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3594E" w14:textId="4260CFB0" w:rsidR="001427D7" w:rsidRPr="007246A9" w:rsidRDefault="0054366B" w:rsidP="00626CAC">
      <w:pPr>
        <w:pStyle w:val="Caption"/>
      </w:pPr>
      <w:r w:rsidRPr="007246A9">
        <w:rPr>
          <w:noProof/>
          <w:lang w:val="en-US" w:eastAsia="en-US"/>
        </w:rPr>
        <w:drawing>
          <wp:inline distT="0" distB="0" distL="0" distR="0" wp14:anchorId="7B4E4C6C" wp14:editId="05D6D2DC">
            <wp:extent cx="2726690" cy="333375"/>
            <wp:effectExtent l="0" t="0" r="0" b="9525"/>
            <wp:docPr id="5" name="Picture 5" descr="C:\Users\V434\AppData\Local\Microsoft\Windows\Temporary Internet Files\Content.Outlook\V1RTQ0A9\BOC_HOLDINGS_logo.jpg"/>
            <wp:cNvGraphicFramePr/>
            <a:graphic xmlns:a="http://schemas.openxmlformats.org/drawingml/2006/main">
              <a:graphicData uri="http://schemas.openxmlformats.org/drawingml/2006/picture">
                <pic:pic xmlns:pic="http://schemas.openxmlformats.org/drawingml/2006/picture">
                  <pic:nvPicPr>
                    <pic:cNvPr id="5" name="Picture 5" descr="C:\Users\V434\AppData\Local\Microsoft\Windows\Temporary Internet Files\Content.Outlook\V1RTQ0A9\BOC_HOLDINGS_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6690" cy="333375"/>
                    </a:xfrm>
                    <a:prstGeom prst="rect">
                      <a:avLst/>
                    </a:prstGeom>
                    <a:noFill/>
                    <a:ln>
                      <a:noFill/>
                    </a:ln>
                  </pic:spPr>
                </pic:pic>
              </a:graphicData>
            </a:graphic>
          </wp:inline>
        </w:drawing>
      </w:r>
      <w:r w:rsidR="001D25A8" w:rsidRPr="007246A9">
        <w:tab/>
      </w:r>
      <w:r w:rsidR="001D25A8" w:rsidRPr="007246A9">
        <w:tab/>
      </w:r>
      <w:r w:rsidR="0058519B" w:rsidRPr="007246A9">
        <w:tab/>
      </w:r>
      <w:r w:rsidR="001D25A8" w:rsidRPr="007246A9">
        <w:tab/>
      </w:r>
      <w:r w:rsidR="00863CC2" w:rsidRPr="007246A9">
        <w:tab/>
      </w:r>
      <w:r w:rsidR="001D25A8" w:rsidRPr="007246A9">
        <w:tab/>
      </w:r>
    </w:p>
    <w:p w14:paraId="3BC772CB" w14:textId="77777777" w:rsidR="0048624B" w:rsidRPr="007246A9" w:rsidRDefault="0048624B" w:rsidP="0048624B">
      <w:pPr>
        <w:rPr>
          <w:rFonts w:ascii="Arial" w:hAnsi="Arial" w:cs="Arial"/>
          <w:sz w:val="28"/>
          <w:szCs w:val="32"/>
          <w:lang w:val="el-GR"/>
        </w:rPr>
      </w:pPr>
      <w:r w:rsidRPr="007246A9">
        <w:rPr>
          <w:rFonts w:ascii="Arial" w:hAnsi="Arial" w:cs="Arial"/>
          <w:sz w:val="28"/>
          <w:szCs w:val="32"/>
          <w:lang w:val="el-GR"/>
        </w:rPr>
        <w:t>Ανακοίνωση</w:t>
      </w:r>
      <w:r w:rsidRPr="007246A9">
        <w:rPr>
          <w:rFonts w:ascii="Arial" w:hAnsi="Arial" w:cs="Arial"/>
          <w:sz w:val="28"/>
          <w:szCs w:val="32"/>
          <w:lang w:val="el-GR"/>
        </w:rPr>
        <w:tab/>
      </w:r>
      <w:r w:rsidRPr="007246A9">
        <w:rPr>
          <w:rFonts w:ascii="Arial" w:hAnsi="Arial" w:cs="Arial"/>
          <w:sz w:val="28"/>
          <w:szCs w:val="32"/>
          <w:lang w:val="el-GR"/>
        </w:rPr>
        <w:tab/>
      </w:r>
      <w:r w:rsidRPr="007246A9">
        <w:rPr>
          <w:rFonts w:ascii="Arial" w:hAnsi="Arial" w:cs="Arial"/>
          <w:sz w:val="28"/>
          <w:szCs w:val="32"/>
          <w:lang w:val="el-GR"/>
        </w:rPr>
        <w:tab/>
      </w:r>
      <w:r w:rsidRPr="007246A9">
        <w:rPr>
          <w:rFonts w:ascii="Arial" w:hAnsi="Arial" w:cs="Arial"/>
          <w:sz w:val="28"/>
          <w:szCs w:val="32"/>
          <w:lang w:val="el-GR"/>
        </w:rPr>
        <w:tab/>
      </w:r>
      <w:r w:rsidRPr="007246A9">
        <w:rPr>
          <w:rFonts w:ascii="Arial" w:hAnsi="Arial" w:cs="Arial"/>
          <w:sz w:val="28"/>
          <w:szCs w:val="32"/>
          <w:lang w:val="el-GR"/>
        </w:rPr>
        <w:tab/>
        <w:t xml:space="preserve"> </w:t>
      </w:r>
    </w:p>
    <w:p w14:paraId="5919C4D1" w14:textId="77777777" w:rsidR="0048624B" w:rsidRPr="007246A9" w:rsidRDefault="0048624B" w:rsidP="0048624B">
      <w:pPr>
        <w:tabs>
          <w:tab w:val="left" w:pos="0"/>
        </w:tabs>
        <w:suppressAutoHyphens/>
        <w:spacing w:after="0" w:line="240" w:lineRule="auto"/>
        <w:rPr>
          <w:rFonts w:ascii="Arial" w:hAnsi="Arial" w:cs="Arial"/>
          <w:b/>
          <w:bCs/>
          <w:sz w:val="24"/>
          <w:szCs w:val="24"/>
          <w:lang w:val="el-GR"/>
        </w:rPr>
      </w:pPr>
    </w:p>
    <w:p w14:paraId="6AD12462" w14:textId="060CC460" w:rsidR="00641C59" w:rsidRPr="007246A9" w:rsidRDefault="00641C59" w:rsidP="009555E1">
      <w:pPr>
        <w:spacing w:after="0" w:line="240" w:lineRule="auto"/>
        <w:rPr>
          <w:rFonts w:ascii="Arial" w:hAnsi="Arial" w:cs="Arial"/>
          <w:b/>
          <w:bCs/>
          <w:sz w:val="24"/>
          <w:szCs w:val="24"/>
          <w:lang w:val="el-GR"/>
        </w:rPr>
      </w:pPr>
      <w:r w:rsidRPr="007246A9">
        <w:rPr>
          <w:rFonts w:ascii="Arial" w:hAnsi="Arial" w:cs="Arial"/>
          <w:b/>
          <w:bCs/>
          <w:sz w:val="24"/>
          <w:szCs w:val="24"/>
          <w:lang w:val="el-GR"/>
        </w:rPr>
        <w:t xml:space="preserve">Οικονομικά Αποτελέσματα Συγκροτήματος για το </w:t>
      </w:r>
      <w:r w:rsidR="007A2F9B">
        <w:rPr>
          <w:rFonts w:ascii="Arial" w:hAnsi="Arial" w:cs="Arial"/>
          <w:b/>
          <w:bCs/>
          <w:sz w:val="24"/>
          <w:szCs w:val="24"/>
          <w:lang w:val="el-GR"/>
        </w:rPr>
        <w:t>εννεάμηνο</w:t>
      </w:r>
      <w:r w:rsidR="00611D24" w:rsidRPr="007246A9">
        <w:rPr>
          <w:rFonts w:ascii="Arial" w:hAnsi="Arial" w:cs="Arial"/>
          <w:b/>
          <w:bCs/>
          <w:sz w:val="24"/>
          <w:szCs w:val="24"/>
          <w:lang w:val="el-GR"/>
        </w:rPr>
        <w:t xml:space="preserve"> </w:t>
      </w:r>
      <w:r w:rsidR="0038060E" w:rsidRPr="007246A9">
        <w:rPr>
          <w:rFonts w:ascii="Arial" w:hAnsi="Arial" w:cs="Arial"/>
          <w:b/>
          <w:bCs/>
          <w:sz w:val="24"/>
          <w:szCs w:val="24"/>
          <w:lang w:val="el-GR"/>
        </w:rPr>
        <w:t>που</w:t>
      </w:r>
      <w:r w:rsidRPr="007246A9">
        <w:rPr>
          <w:rFonts w:ascii="Arial" w:hAnsi="Arial" w:cs="Arial"/>
          <w:b/>
          <w:bCs/>
          <w:sz w:val="24"/>
          <w:szCs w:val="24"/>
          <w:lang w:val="el-GR"/>
        </w:rPr>
        <w:t xml:space="preserve"> έληξε στις </w:t>
      </w:r>
      <w:r w:rsidR="006B5511" w:rsidRPr="007246A9">
        <w:rPr>
          <w:rFonts w:ascii="Arial" w:hAnsi="Arial" w:cs="Arial"/>
          <w:b/>
          <w:bCs/>
          <w:sz w:val="24"/>
          <w:szCs w:val="24"/>
          <w:lang w:val="el-GR"/>
        </w:rPr>
        <w:t>30</w:t>
      </w:r>
      <w:r w:rsidRPr="007246A9">
        <w:rPr>
          <w:rFonts w:ascii="Arial" w:hAnsi="Arial" w:cs="Arial"/>
          <w:b/>
          <w:bCs/>
          <w:sz w:val="24"/>
          <w:szCs w:val="24"/>
          <w:lang w:val="el-GR"/>
        </w:rPr>
        <w:t xml:space="preserve"> </w:t>
      </w:r>
      <w:r w:rsidR="00611D24" w:rsidRPr="007246A9">
        <w:rPr>
          <w:rFonts w:ascii="Arial" w:hAnsi="Arial" w:cs="Arial"/>
          <w:b/>
          <w:bCs/>
          <w:sz w:val="24"/>
          <w:szCs w:val="24"/>
          <w:lang w:val="el-GR"/>
        </w:rPr>
        <w:t xml:space="preserve">Σεπτεμβρίου </w:t>
      </w:r>
      <w:r w:rsidR="0038060E" w:rsidRPr="007246A9">
        <w:rPr>
          <w:rFonts w:ascii="Arial" w:hAnsi="Arial" w:cs="Arial"/>
          <w:b/>
          <w:bCs/>
          <w:sz w:val="24"/>
          <w:szCs w:val="24"/>
          <w:lang w:val="el-GR"/>
        </w:rPr>
        <w:t>2024</w:t>
      </w:r>
    </w:p>
    <w:p w14:paraId="746DC6CC" w14:textId="77777777" w:rsidR="00641C59" w:rsidRPr="007246A9" w:rsidRDefault="00641C59" w:rsidP="00641C59">
      <w:pPr>
        <w:spacing w:after="0" w:line="240" w:lineRule="auto"/>
        <w:rPr>
          <w:rFonts w:ascii="Arial" w:hAnsi="Arial" w:cs="Arial"/>
          <w:b/>
          <w:bCs/>
          <w:sz w:val="24"/>
          <w:szCs w:val="24"/>
          <w:lang w:val="el-GR"/>
        </w:rPr>
      </w:pPr>
      <w:r w:rsidRPr="007246A9">
        <w:rPr>
          <w:rFonts w:ascii="Arial" w:hAnsi="Arial" w:cs="Arial"/>
          <w:b/>
          <w:strike/>
          <w:noProof/>
          <w:sz w:val="24"/>
          <w:lang w:val="en-US" w:eastAsia="en-US"/>
        </w:rPr>
        <mc:AlternateContent>
          <mc:Choice Requires="wps">
            <w:drawing>
              <wp:anchor distT="4294967291" distB="4294967291" distL="114300" distR="114300" simplePos="0" relativeHeight="251661312" behindDoc="0" locked="0" layoutInCell="1" allowOverlap="1" wp14:anchorId="0A14CC8C" wp14:editId="5AF7D3ED">
                <wp:simplePos x="0" y="0"/>
                <wp:positionH relativeFrom="margin">
                  <wp:align>center</wp:align>
                </wp:positionH>
                <wp:positionV relativeFrom="paragraph">
                  <wp:posOffset>41067</wp:posOffset>
                </wp:positionV>
                <wp:extent cx="660400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0" cy="0"/>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EA172E" id="_x0000_t32" coordsize="21600,21600" o:spt="32" o:oned="t" path="m,l21600,21600e" filled="f">
                <v:path arrowok="t" fillok="f" o:connecttype="none"/>
                <o:lock v:ext="edit" shapetype="t"/>
              </v:shapetype>
              <v:shape id="AutoShape 7" o:spid="_x0000_s1026" type="#_x0000_t32" style="position:absolute;margin-left:0;margin-top:3.25pt;width:520pt;height:0;z-index:25166131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" strokecolor="black [3213]" strokeweight="1.5pt">
                <w10:wrap anchorx="margin"/>
              </v:shape>
            </w:pict>
          </mc:Fallback>
        </mc:AlternateContent>
      </w:r>
    </w:p>
    <w:p w14:paraId="076704FB" w14:textId="77777777" w:rsidR="000F5DB3" w:rsidRPr="007246A9" w:rsidRDefault="000F5DB3" w:rsidP="00641C59">
      <w:pPr>
        <w:spacing w:after="0"/>
        <w:jc w:val="both"/>
        <w:rPr>
          <w:rFonts w:ascii="Arial" w:hAnsi="Arial" w:cs="Arial"/>
          <w:sz w:val="18"/>
          <w:lang w:val="el-GR"/>
        </w:rPr>
      </w:pPr>
    </w:p>
    <w:p w14:paraId="32708269" w14:textId="3E253F73" w:rsidR="00641C59" w:rsidRPr="007246A9" w:rsidRDefault="00641C59" w:rsidP="00641C59">
      <w:pPr>
        <w:spacing w:after="0"/>
        <w:jc w:val="both"/>
        <w:rPr>
          <w:rFonts w:ascii="Arial" w:hAnsi="Arial" w:cs="Arial"/>
          <w:sz w:val="18"/>
          <w:lang w:val="el-GR"/>
        </w:rPr>
      </w:pPr>
      <w:r w:rsidRPr="007246A9">
        <w:rPr>
          <w:rFonts w:ascii="Arial" w:hAnsi="Arial" w:cs="Arial"/>
          <w:sz w:val="18"/>
          <w:lang w:val="el-GR"/>
        </w:rPr>
        <w:t xml:space="preserve">Λευκωσία, </w:t>
      </w:r>
      <w:r w:rsidR="00890873">
        <w:rPr>
          <w:rFonts w:ascii="Arial" w:hAnsi="Arial" w:cs="Arial"/>
          <w:sz w:val="18"/>
          <w:lang w:val="el-GR"/>
        </w:rPr>
        <w:t>12</w:t>
      </w:r>
      <w:r w:rsidR="00611D24" w:rsidRPr="007246A9">
        <w:rPr>
          <w:rFonts w:ascii="Arial" w:hAnsi="Arial" w:cs="Arial"/>
          <w:sz w:val="18"/>
          <w:lang w:val="el-GR"/>
        </w:rPr>
        <w:t xml:space="preserve"> Νοεμβρίου </w:t>
      </w:r>
      <w:r w:rsidR="00262767" w:rsidRPr="007246A9">
        <w:rPr>
          <w:rFonts w:ascii="Arial" w:hAnsi="Arial" w:cs="Arial"/>
          <w:sz w:val="18"/>
          <w:lang w:val="el-GR"/>
        </w:rPr>
        <w:t>2024</w:t>
      </w:r>
    </w:p>
    <w:p w14:paraId="399A1999" w14:textId="77777777" w:rsidR="003424B9" w:rsidRPr="00D41B36" w:rsidRDefault="003424B9" w:rsidP="00641C59">
      <w:pPr>
        <w:rPr>
          <w:rFonts w:ascii="Arial" w:hAnsi="Arial" w:cs="Arial"/>
          <w:b/>
          <w:bCs/>
          <w:color w:val="FF9900"/>
          <w:sz w:val="24"/>
          <w:szCs w:val="24"/>
          <w:highlight w:val="yellow"/>
          <w:lang w:val="el-GR"/>
        </w:rPr>
      </w:pPr>
    </w:p>
    <w:p w14:paraId="58A94AF7" w14:textId="77777777" w:rsidR="00AA7BB3" w:rsidRPr="00D41B36" w:rsidRDefault="00AA7BB3" w:rsidP="00AA7BB3">
      <w:pPr>
        <w:rPr>
          <w:highlight w:val="yellow"/>
          <w:lang w:val="el-GR"/>
        </w:rPr>
      </w:pPr>
    </w:p>
    <w:p w14:paraId="12316198" w14:textId="77777777" w:rsidR="00AA7BB3" w:rsidRPr="00D41B36" w:rsidRDefault="00AA7BB3" w:rsidP="00641C59">
      <w:pPr>
        <w:rPr>
          <w:rFonts w:ascii="Arial" w:hAnsi="Arial" w:cs="Arial"/>
          <w:b/>
          <w:bCs/>
          <w:color w:val="FF9900"/>
          <w:sz w:val="24"/>
          <w:szCs w:val="24"/>
          <w:highlight w:val="yellow"/>
          <w:lang w:val="el-GR"/>
        </w:rPr>
      </w:pPr>
    </w:p>
    <w:p w14:paraId="0AA80615" w14:textId="77777777" w:rsidR="00641C59" w:rsidRPr="00D41B36" w:rsidRDefault="00641C59" w:rsidP="00641C59">
      <w:pPr>
        <w:rPr>
          <w:rFonts w:ascii="Arial" w:hAnsi="Arial" w:cs="Arial"/>
          <w:b/>
          <w:bCs/>
          <w:color w:val="FF9900"/>
          <w:szCs w:val="24"/>
          <w:highlight w:val="yellow"/>
          <w:lang w:val="el-GR"/>
        </w:rPr>
      </w:pPr>
    </w:p>
    <w:p w14:paraId="6AFE109E" w14:textId="77777777" w:rsidR="00641C59" w:rsidRPr="00D41B36" w:rsidRDefault="00641C59" w:rsidP="00641C59">
      <w:pPr>
        <w:rPr>
          <w:rFonts w:ascii="Arial" w:hAnsi="Arial" w:cs="Arial"/>
          <w:b/>
          <w:bCs/>
          <w:color w:val="FF9900"/>
          <w:szCs w:val="24"/>
          <w:highlight w:val="yellow"/>
          <w:lang w:val="el-GR"/>
        </w:rPr>
      </w:pPr>
    </w:p>
    <w:p w14:paraId="2FD0780F" w14:textId="77777777" w:rsidR="00641C59" w:rsidRPr="00D41B36" w:rsidRDefault="00641C59" w:rsidP="00641C59">
      <w:pPr>
        <w:rPr>
          <w:rFonts w:ascii="Arial" w:hAnsi="Arial" w:cs="Arial"/>
          <w:b/>
          <w:bCs/>
          <w:color w:val="FF9900"/>
          <w:szCs w:val="24"/>
          <w:highlight w:val="yellow"/>
          <w:lang w:val="el-GR"/>
        </w:rPr>
      </w:pPr>
    </w:p>
    <w:p w14:paraId="0BF6AA7D" w14:textId="77777777" w:rsidR="00011458" w:rsidRPr="00D41B36" w:rsidRDefault="00011458" w:rsidP="00641C59">
      <w:pPr>
        <w:rPr>
          <w:rFonts w:ascii="Arial" w:hAnsi="Arial" w:cs="Arial"/>
          <w:b/>
          <w:bCs/>
          <w:color w:val="FF9900"/>
          <w:szCs w:val="24"/>
          <w:highlight w:val="yellow"/>
          <w:lang w:val="el-GR"/>
        </w:rPr>
      </w:pPr>
    </w:p>
    <w:p w14:paraId="3AAE2F54" w14:textId="77777777" w:rsidR="00011458" w:rsidRPr="00D41B36" w:rsidRDefault="00011458" w:rsidP="00641C59">
      <w:pPr>
        <w:rPr>
          <w:rFonts w:ascii="Arial" w:hAnsi="Arial" w:cs="Arial"/>
          <w:b/>
          <w:bCs/>
          <w:color w:val="FF9900"/>
          <w:szCs w:val="24"/>
          <w:highlight w:val="yellow"/>
          <w:lang w:val="el-GR"/>
        </w:rPr>
      </w:pPr>
    </w:p>
    <w:p w14:paraId="2C000161" w14:textId="77777777" w:rsidR="00011458" w:rsidRPr="00D41B36" w:rsidRDefault="00011458" w:rsidP="00641C59">
      <w:pPr>
        <w:rPr>
          <w:rFonts w:ascii="Arial" w:hAnsi="Arial" w:cs="Arial"/>
          <w:b/>
          <w:bCs/>
          <w:color w:val="FF9900"/>
          <w:szCs w:val="24"/>
          <w:highlight w:val="yellow"/>
          <w:lang w:val="el-GR"/>
        </w:rPr>
      </w:pPr>
    </w:p>
    <w:p w14:paraId="235B3E3C" w14:textId="77777777" w:rsidR="00011458" w:rsidRPr="00D41B36" w:rsidRDefault="00011458" w:rsidP="00641C59">
      <w:pPr>
        <w:rPr>
          <w:rFonts w:ascii="Arial" w:hAnsi="Arial" w:cs="Arial"/>
          <w:b/>
          <w:bCs/>
          <w:color w:val="FF9900"/>
          <w:szCs w:val="24"/>
          <w:highlight w:val="yellow"/>
          <w:lang w:val="el-GR"/>
        </w:rPr>
      </w:pPr>
    </w:p>
    <w:p w14:paraId="33E9AEA0" w14:textId="77777777" w:rsidR="00011458" w:rsidRPr="00D41B36" w:rsidRDefault="00011458" w:rsidP="00641C59">
      <w:pPr>
        <w:rPr>
          <w:rFonts w:ascii="Arial" w:hAnsi="Arial" w:cs="Arial"/>
          <w:b/>
          <w:bCs/>
          <w:color w:val="FF9900"/>
          <w:szCs w:val="24"/>
          <w:highlight w:val="yellow"/>
          <w:lang w:val="el-GR"/>
        </w:rPr>
      </w:pPr>
    </w:p>
    <w:p w14:paraId="77012260" w14:textId="77777777" w:rsidR="00011458" w:rsidRPr="00D41B36" w:rsidRDefault="00011458" w:rsidP="00641C59">
      <w:pPr>
        <w:rPr>
          <w:rFonts w:ascii="Arial" w:hAnsi="Arial" w:cs="Arial"/>
          <w:b/>
          <w:bCs/>
          <w:color w:val="FF9900"/>
          <w:szCs w:val="24"/>
          <w:highlight w:val="yellow"/>
          <w:lang w:val="el-GR"/>
        </w:rPr>
      </w:pPr>
    </w:p>
    <w:p w14:paraId="76EEE2AA" w14:textId="77777777" w:rsidR="00011458" w:rsidRPr="00D41B36" w:rsidRDefault="00011458" w:rsidP="00641C59">
      <w:pPr>
        <w:rPr>
          <w:rFonts w:ascii="Arial" w:hAnsi="Arial" w:cs="Arial"/>
          <w:b/>
          <w:bCs/>
          <w:color w:val="FF9900"/>
          <w:szCs w:val="24"/>
          <w:highlight w:val="yellow"/>
          <w:lang w:val="el-GR"/>
        </w:rPr>
      </w:pPr>
    </w:p>
    <w:p w14:paraId="35F4C66F" w14:textId="77777777" w:rsidR="00011458" w:rsidRPr="00D41B36" w:rsidRDefault="00011458" w:rsidP="00641C59">
      <w:pPr>
        <w:rPr>
          <w:rFonts w:ascii="Arial" w:hAnsi="Arial" w:cs="Arial"/>
          <w:b/>
          <w:bCs/>
          <w:color w:val="FF9900"/>
          <w:szCs w:val="24"/>
          <w:highlight w:val="yellow"/>
          <w:lang w:val="el-GR"/>
        </w:rPr>
      </w:pPr>
    </w:p>
    <w:p w14:paraId="774E1D8F" w14:textId="77777777" w:rsidR="00011458" w:rsidRPr="00D41B36" w:rsidRDefault="00011458" w:rsidP="00641C59">
      <w:pPr>
        <w:rPr>
          <w:rFonts w:ascii="Arial" w:hAnsi="Arial" w:cs="Arial"/>
          <w:b/>
          <w:bCs/>
          <w:color w:val="FF9900"/>
          <w:szCs w:val="24"/>
          <w:highlight w:val="yellow"/>
          <w:lang w:val="el-GR"/>
        </w:rPr>
      </w:pPr>
    </w:p>
    <w:p w14:paraId="54DFEF91" w14:textId="77777777" w:rsidR="00011458" w:rsidRPr="00D41B36" w:rsidRDefault="00011458" w:rsidP="00641C59">
      <w:pPr>
        <w:rPr>
          <w:rFonts w:ascii="Arial" w:hAnsi="Arial" w:cs="Arial"/>
          <w:b/>
          <w:bCs/>
          <w:color w:val="FF9900"/>
          <w:szCs w:val="24"/>
          <w:highlight w:val="yellow"/>
          <w:lang w:val="el-GR"/>
        </w:rPr>
      </w:pPr>
    </w:p>
    <w:p w14:paraId="53C6B766" w14:textId="77777777" w:rsidR="00011458" w:rsidRPr="00D41B36" w:rsidRDefault="00011458" w:rsidP="00641C59">
      <w:pPr>
        <w:rPr>
          <w:rFonts w:ascii="Arial" w:hAnsi="Arial" w:cs="Arial"/>
          <w:b/>
          <w:bCs/>
          <w:color w:val="FF9900"/>
          <w:szCs w:val="24"/>
          <w:highlight w:val="yellow"/>
          <w:lang w:val="el-GR"/>
        </w:rPr>
      </w:pPr>
    </w:p>
    <w:p w14:paraId="6AFB6AD8" w14:textId="77777777" w:rsidR="00011458" w:rsidRPr="00D41B36" w:rsidRDefault="00011458" w:rsidP="00641C59">
      <w:pPr>
        <w:rPr>
          <w:rFonts w:ascii="Arial" w:hAnsi="Arial" w:cs="Arial"/>
          <w:b/>
          <w:bCs/>
          <w:color w:val="FF9900"/>
          <w:szCs w:val="24"/>
          <w:highlight w:val="yellow"/>
          <w:lang w:val="el-GR"/>
        </w:rPr>
      </w:pPr>
    </w:p>
    <w:p w14:paraId="69E09B64" w14:textId="77777777" w:rsidR="00011458" w:rsidRPr="007246A9" w:rsidRDefault="00011458" w:rsidP="00641C59">
      <w:pPr>
        <w:rPr>
          <w:rFonts w:ascii="Arial" w:hAnsi="Arial" w:cs="Arial"/>
          <w:b/>
          <w:bCs/>
          <w:color w:val="FF9900"/>
          <w:szCs w:val="24"/>
          <w:lang w:val="el-GR"/>
        </w:rPr>
      </w:pPr>
    </w:p>
    <w:p w14:paraId="6B9A9843" w14:textId="33877D59" w:rsidR="009A0635" w:rsidRPr="00D41B36" w:rsidRDefault="00CB38F0">
      <w:pPr>
        <w:rPr>
          <w:rFonts w:ascii="Arial" w:hAnsi="Arial" w:cs="Arial"/>
          <w:b/>
          <w:bCs/>
          <w:color w:val="FF9900"/>
          <w:szCs w:val="24"/>
          <w:highlight w:val="yellow"/>
          <w:lang w:val="en-US"/>
        </w:rPr>
      </w:pPr>
      <w:bookmarkStart w:id="0" w:name="_Hlk112347354"/>
      <w:r w:rsidRPr="007246A9">
        <w:rPr>
          <w:noProof/>
        </w:rPr>
        <w:drawing>
          <wp:inline distT="0" distB="0" distL="0" distR="0" wp14:anchorId="41DE64CA" wp14:editId="0BCD734D">
            <wp:extent cx="711143" cy="396240"/>
            <wp:effectExtent l="0" t="0" r="0" b="3810"/>
            <wp:docPr id="1085467875" name="Picture 1" descr="A gol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67875" name="Picture 1" descr="A gold and black text&#10;&#10;Description automatically generated"/>
                    <pic:cNvPicPr/>
                  </pic:nvPicPr>
                  <pic:blipFill>
                    <a:blip r:embed="rId10"/>
                    <a:stretch>
                      <a:fillRect/>
                    </a:stretch>
                  </pic:blipFill>
                  <pic:spPr>
                    <a:xfrm>
                      <a:off x="0" y="0"/>
                      <a:ext cx="726275" cy="404672"/>
                    </a:xfrm>
                    <a:prstGeom prst="rect">
                      <a:avLst/>
                    </a:prstGeom>
                  </pic:spPr>
                </pic:pic>
              </a:graphicData>
            </a:graphic>
          </wp:inline>
        </w:drawing>
      </w:r>
      <w:r w:rsidR="00011458" w:rsidRPr="007246A9">
        <w:rPr>
          <w:noProof/>
        </w:rPr>
        <w:drawing>
          <wp:inline distT="0" distB="0" distL="0" distR="0" wp14:anchorId="21B388D3" wp14:editId="7F94BD1F">
            <wp:extent cx="561975" cy="487045"/>
            <wp:effectExtent l="0" t="0" r="9525" b="8255"/>
            <wp:docPr id="1679133540" name="Picture 1" descr="A blue and gold card with a plane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33540" name="Picture 1" descr="A blue and gold card with a planet and text&#10;&#10;Description automatically generated"/>
                    <pic:cNvPicPr/>
                  </pic:nvPicPr>
                  <pic:blipFill>
                    <a:blip r:embed="rId11"/>
                    <a:stretch>
                      <a:fillRect/>
                    </a:stretch>
                  </pic:blipFill>
                  <pic:spPr>
                    <a:xfrm rot="10800000" flipH="1" flipV="1">
                      <a:off x="0" y="0"/>
                      <a:ext cx="571342" cy="495163"/>
                    </a:xfrm>
                    <a:prstGeom prst="rect">
                      <a:avLst/>
                    </a:prstGeom>
                  </pic:spPr>
                </pic:pic>
              </a:graphicData>
            </a:graphic>
          </wp:inline>
        </w:drawing>
      </w:r>
      <w:r w:rsidR="009A0635" w:rsidRPr="00D41B36">
        <w:rPr>
          <w:rFonts w:ascii="Arial" w:hAnsi="Arial" w:cs="Arial"/>
          <w:b/>
          <w:bCs/>
          <w:color w:val="FF9900"/>
          <w:szCs w:val="24"/>
          <w:highlight w:val="yellow"/>
          <w:lang w:val="el-GR"/>
        </w:rPr>
        <w:br w:type="page"/>
      </w:r>
    </w:p>
    <w:tbl>
      <w:tblPr>
        <w:tblStyle w:val="TableGrid"/>
        <w:tblW w:w="1025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58"/>
      </w:tblGrid>
      <w:tr w:rsidR="009A0635" w:rsidRPr="00910A4E" w14:paraId="1925C7AC" w14:textId="77777777" w:rsidTr="005C4C9A">
        <w:trPr>
          <w:trHeight w:val="11331"/>
        </w:trPr>
        <w:tc>
          <w:tcPr>
            <w:tcW w:w="10258" w:type="dxa"/>
          </w:tcPr>
          <w:tbl>
            <w:tblPr>
              <w:tblStyle w:val="TableGrid"/>
              <w:tblW w:w="10025" w:type="dxa"/>
              <w:tblInd w:w="1"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26"/>
            </w:tblGrid>
            <w:tr w:rsidR="009A0635" w:rsidRPr="00910A4E" w14:paraId="2546EA3D" w14:textId="77777777" w:rsidTr="00A21CB9">
              <w:trPr>
                <w:trHeight w:val="557"/>
              </w:trPr>
              <w:tc>
                <w:tcPr>
                  <w:tcW w:w="10025" w:type="dxa"/>
                </w:tcPr>
                <w:p w14:paraId="1B580BF1" w14:textId="77777777" w:rsidR="009A0635" w:rsidRPr="00D41B36" w:rsidRDefault="009A0635" w:rsidP="00A21CB9">
                  <w:pPr>
                    <w:spacing w:after="60"/>
                    <w:rPr>
                      <w:rFonts w:ascii="Arial" w:hAnsi="Arial" w:cs="Arial"/>
                      <w:sz w:val="19"/>
                      <w:szCs w:val="19"/>
                      <w:highlight w:val="yellow"/>
                    </w:rPr>
                  </w:pPr>
                </w:p>
                <w:tbl>
                  <w:tblPr>
                    <w:tblStyle w:val="TableGrid"/>
                    <w:tblW w:w="9809" w:type="dxa"/>
                    <w:tblInd w:w="1"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09"/>
                  </w:tblGrid>
                  <w:tr w:rsidR="009A0635" w:rsidRPr="00910A4E" w14:paraId="63BD6E03" w14:textId="77777777" w:rsidTr="00A21CB9">
                    <w:trPr>
                      <w:trHeight w:val="557"/>
                    </w:trPr>
                    <w:tc>
                      <w:tcPr>
                        <w:tcW w:w="9809" w:type="dxa"/>
                      </w:tcPr>
                      <w:p w14:paraId="1BCEE41C" w14:textId="61AD1357" w:rsidR="009A0635" w:rsidRPr="007246A9" w:rsidRDefault="009A0635" w:rsidP="00A21CB9">
                        <w:pPr>
                          <w:spacing w:before="120" w:after="60" w:line="360" w:lineRule="auto"/>
                          <w:ind w:left="-42" w:right="-81"/>
                          <w:jc w:val="both"/>
                          <w:rPr>
                            <w:rFonts w:ascii="Arial" w:hAnsi="Arial" w:cs="Arial"/>
                            <w:b/>
                            <w:bCs/>
                            <w:color w:val="FF9900"/>
                            <w:sz w:val="28"/>
                            <w:szCs w:val="28"/>
                            <w:lang w:val="el-GR"/>
                          </w:rPr>
                        </w:pPr>
                        <w:r w:rsidRPr="007246A9">
                          <w:rPr>
                            <w:rFonts w:ascii="Arial" w:hAnsi="Arial" w:cs="Arial"/>
                            <w:b/>
                            <w:bCs/>
                            <w:color w:val="FF9900"/>
                            <w:sz w:val="28"/>
                            <w:szCs w:val="28"/>
                            <w:lang w:val="el-GR"/>
                          </w:rPr>
                          <w:t xml:space="preserve">Κύρια Σημεία για το </w:t>
                        </w:r>
                        <w:r w:rsidR="007A2F9B">
                          <w:rPr>
                            <w:rFonts w:ascii="Arial" w:hAnsi="Arial" w:cs="Arial"/>
                            <w:b/>
                            <w:bCs/>
                            <w:color w:val="FF9900"/>
                            <w:sz w:val="28"/>
                            <w:szCs w:val="28"/>
                            <w:lang w:val="el-GR"/>
                          </w:rPr>
                          <w:t>εννεάμηνο</w:t>
                        </w:r>
                        <w:r w:rsidR="00611D24" w:rsidRPr="007246A9">
                          <w:rPr>
                            <w:rFonts w:ascii="Arial" w:hAnsi="Arial" w:cs="Arial"/>
                            <w:b/>
                            <w:bCs/>
                            <w:color w:val="FF9900"/>
                            <w:sz w:val="28"/>
                            <w:szCs w:val="28"/>
                            <w:lang w:val="el-GR"/>
                          </w:rPr>
                          <w:t xml:space="preserve"> </w:t>
                        </w:r>
                        <w:r w:rsidRPr="007246A9">
                          <w:rPr>
                            <w:rFonts w:ascii="Arial" w:hAnsi="Arial" w:cs="Arial"/>
                            <w:b/>
                            <w:bCs/>
                            <w:color w:val="FF9900"/>
                            <w:sz w:val="28"/>
                            <w:szCs w:val="28"/>
                            <w:lang w:val="el-GR"/>
                          </w:rPr>
                          <w:t xml:space="preserve">που έληξε στις </w:t>
                        </w:r>
                        <w:r w:rsidR="00CB38F0" w:rsidRPr="007246A9">
                          <w:rPr>
                            <w:rFonts w:ascii="Arial" w:hAnsi="Arial" w:cs="Arial"/>
                            <w:b/>
                            <w:bCs/>
                            <w:color w:val="FF9900"/>
                            <w:sz w:val="28"/>
                            <w:szCs w:val="28"/>
                            <w:lang w:val="el-GR"/>
                          </w:rPr>
                          <w:t xml:space="preserve">30 </w:t>
                        </w:r>
                        <w:r w:rsidR="00611D24" w:rsidRPr="007246A9">
                          <w:rPr>
                            <w:rFonts w:ascii="Arial" w:hAnsi="Arial" w:cs="Arial"/>
                            <w:b/>
                            <w:bCs/>
                            <w:color w:val="FF9900"/>
                            <w:sz w:val="28"/>
                            <w:szCs w:val="28"/>
                            <w:lang w:val="el-GR"/>
                          </w:rPr>
                          <w:t xml:space="preserve">Σεπτεμβρίου </w:t>
                        </w:r>
                        <w:r w:rsidR="0038060E" w:rsidRPr="007246A9">
                          <w:rPr>
                            <w:rFonts w:ascii="Arial" w:hAnsi="Arial" w:cs="Arial"/>
                            <w:b/>
                            <w:bCs/>
                            <w:color w:val="FF9900"/>
                            <w:sz w:val="28"/>
                            <w:szCs w:val="28"/>
                            <w:lang w:val="el-GR"/>
                          </w:rPr>
                          <w:t>2024</w:t>
                        </w:r>
                      </w:p>
                      <w:p w14:paraId="6B11CB8E" w14:textId="09ED370F" w:rsidR="009A0635" w:rsidRPr="00DC4213" w:rsidRDefault="009A0635" w:rsidP="00A21CB9">
                        <w:pPr>
                          <w:spacing w:after="60"/>
                          <w:ind w:right="-81" w:hanging="42"/>
                          <w:rPr>
                            <w:rFonts w:ascii="Arial" w:hAnsi="Arial" w:cs="Arial"/>
                            <w:sz w:val="19"/>
                            <w:szCs w:val="19"/>
                            <w:lang w:val="el-GR"/>
                          </w:rPr>
                        </w:pPr>
                        <w:r w:rsidRPr="00502B4F">
                          <w:rPr>
                            <w:rFonts w:ascii="Arial" w:hAnsi="Arial" w:cs="Arial"/>
                            <w:b/>
                            <w:lang w:val="el-GR"/>
                          </w:rPr>
                          <w:t xml:space="preserve"> </w:t>
                        </w:r>
                        <w:r w:rsidR="00CB38F0" w:rsidRPr="00DC4213">
                          <w:rPr>
                            <w:rFonts w:ascii="Arial" w:hAnsi="Arial" w:cs="Arial"/>
                            <w:b/>
                            <w:sz w:val="19"/>
                            <w:szCs w:val="19"/>
                            <w:lang w:val="el-GR"/>
                          </w:rPr>
                          <w:t>Η ισχυρή οικονομική ανάπτυξη συνεχίζεται</w:t>
                        </w:r>
                      </w:p>
                      <w:p w14:paraId="24BAE812" w14:textId="30BBD2A9" w:rsidR="009A0635" w:rsidRPr="00DC4213" w:rsidRDefault="009A0635" w:rsidP="00A21CB9">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Ο ρυθμός</w:t>
                        </w:r>
                        <w:r w:rsidR="00E2017C" w:rsidRPr="00DC4213">
                          <w:rPr>
                            <w:rFonts w:ascii="Arial" w:hAnsi="Arial" w:cs="Arial"/>
                            <w:sz w:val="19"/>
                            <w:szCs w:val="19"/>
                            <w:lang w:val="el-GR"/>
                          </w:rPr>
                          <w:t xml:space="preserve"> </w:t>
                        </w:r>
                        <w:r w:rsidRPr="00DC4213">
                          <w:rPr>
                            <w:rFonts w:ascii="Arial" w:hAnsi="Arial" w:cs="Arial"/>
                            <w:sz w:val="19"/>
                            <w:szCs w:val="19"/>
                            <w:lang w:val="el-GR"/>
                          </w:rPr>
                          <w:t xml:space="preserve">ανάπτυξης </w:t>
                        </w:r>
                        <w:r w:rsidR="00D24FC3" w:rsidRPr="00DC4213">
                          <w:rPr>
                            <w:rFonts w:ascii="Arial" w:hAnsi="Arial" w:cs="Arial"/>
                            <w:sz w:val="19"/>
                            <w:szCs w:val="19"/>
                            <w:lang w:val="el-GR"/>
                          </w:rPr>
                          <w:t>αναμένεται να ανέλθει σε περίπου</w:t>
                        </w:r>
                        <w:r w:rsidR="0009097C" w:rsidRPr="00DC4213">
                          <w:rPr>
                            <w:rFonts w:ascii="Arial" w:hAnsi="Arial" w:cs="Arial"/>
                            <w:sz w:val="19"/>
                            <w:szCs w:val="19"/>
                            <w:lang w:val="el-GR"/>
                          </w:rPr>
                          <w:t xml:space="preserve"> </w:t>
                        </w:r>
                        <w:r w:rsidR="00890873" w:rsidRPr="00DC4213">
                          <w:rPr>
                            <w:rFonts w:ascii="Arial" w:hAnsi="Arial" w:cs="Arial"/>
                            <w:sz w:val="19"/>
                            <w:szCs w:val="19"/>
                            <w:lang w:val="el-GR"/>
                          </w:rPr>
                          <w:t>3</w:t>
                        </w:r>
                        <w:r w:rsidR="0009097C" w:rsidRPr="00DC4213">
                          <w:rPr>
                            <w:rFonts w:ascii="Arial" w:hAnsi="Arial" w:cs="Arial"/>
                            <w:sz w:val="19"/>
                            <w:szCs w:val="19"/>
                            <w:lang w:val="el-GR"/>
                          </w:rPr>
                          <w:t>.</w:t>
                        </w:r>
                        <w:r w:rsidR="00890873" w:rsidRPr="00DC4213">
                          <w:rPr>
                            <w:rFonts w:ascii="Arial" w:hAnsi="Arial" w:cs="Arial"/>
                            <w:sz w:val="19"/>
                            <w:szCs w:val="19"/>
                            <w:lang w:val="el-GR"/>
                          </w:rPr>
                          <w:t>7</w:t>
                        </w:r>
                        <w:r w:rsidR="0009097C" w:rsidRPr="00DC4213">
                          <w:rPr>
                            <w:rFonts w:ascii="Arial" w:hAnsi="Arial" w:cs="Arial"/>
                            <w:sz w:val="19"/>
                            <w:szCs w:val="19"/>
                            <w:lang w:val="el-GR"/>
                          </w:rPr>
                          <w:t>%</w:t>
                        </w:r>
                        <w:r w:rsidR="00E8423B" w:rsidRPr="00DC4213">
                          <w:rPr>
                            <w:rFonts w:ascii="Arial" w:hAnsi="Arial" w:cs="Arial"/>
                            <w:sz w:val="19"/>
                            <w:szCs w:val="19"/>
                            <w:vertAlign w:val="superscript"/>
                            <w:lang w:val="el-GR"/>
                          </w:rPr>
                          <w:t>1</w:t>
                        </w:r>
                        <w:r w:rsidR="0009097C" w:rsidRPr="00DC4213">
                          <w:rPr>
                            <w:rFonts w:ascii="Arial" w:hAnsi="Arial" w:cs="Arial"/>
                            <w:sz w:val="19"/>
                            <w:szCs w:val="19"/>
                            <w:lang w:val="el-GR"/>
                          </w:rPr>
                          <w:t xml:space="preserve"> το 2024, </w:t>
                        </w:r>
                        <w:r w:rsidRPr="00DC4213">
                          <w:rPr>
                            <w:rFonts w:ascii="Arial" w:hAnsi="Arial" w:cs="Arial"/>
                            <w:sz w:val="19"/>
                            <w:szCs w:val="19"/>
                            <w:lang w:val="el-GR"/>
                          </w:rPr>
                          <w:t>ξεπερνώντας τον μέσο όρο της ευρωζώνης</w:t>
                        </w:r>
                      </w:p>
                      <w:p w14:paraId="3165BA28" w14:textId="3E0FEB60" w:rsidR="009A0635" w:rsidRPr="00DC4213" w:rsidRDefault="0076689F" w:rsidP="00A21CB9">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Ισχυρός νέος δανεισμός</w:t>
                        </w:r>
                        <w:r w:rsidR="002B0C4C" w:rsidRPr="00DC4213">
                          <w:rPr>
                            <w:rFonts w:ascii="Arial" w:hAnsi="Arial" w:cs="Arial"/>
                            <w:sz w:val="19"/>
                            <w:szCs w:val="19"/>
                            <w:lang w:val="el-GR"/>
                          </w:rPr>
                          <w:t xml:space="preserve"> ύψους €</w:t>
                        </w:r>
                        <w:r w:rsidR="00FE486F" w:rsidRPr="00DC4213">
                          <w:rPr>
                            <w:rFonts w:ascii="Arial" w:hAnsi="Arial" w:cs="Arial"/>
                            <w:sz w:val="19"/>
                            <w:szCs w:val="19"/>
                            <w:lang w:val="el-GR"/>
                          </w:rPr>
                          <w:t>1.</w:t>
                        </w:r>
                        <w:r w:rsidR="00A5052E" w:rsidRPr="00DC4213">
                          <w:rPr>
                            <w:rFonts w:ascii="Arial" w:hAnsi="Arial" w:cs="Arial"/>
                            <w:sz w:val="19"/>
                            <w:szCs w:val="19"/>
                            <w:lang w:val="el-GR"/>
                          </w:rPr>
                          <w:t>7</w:t>
                        </w:r>
                        <w:r w:rsidR="00FE486F" w:rsidRPr="00DC4213">
                          <w:rPr>
                            <w:rFonts w:ascii="Arial" w:hAnsi="Arial" w:cs="Arial"/>
                            <w:sz w:val="19"/>
                            <w:szCs w:val="19"/>
                            <w:lang w:val="el-GR"/>
                          </w:rPr>
                          <w:t xml:space="preserve"> δις,</w:t>
                        </w:r>
                        <w:r w:rsidR="002B0C4C" w:rsidRPr="00DC4213">
                          <w:rPr>
                            <w:rFonts w:ascii="Arial" w:hAnsi="Arial" w:cs="Arial"/>
                            <w:sz w:val="19"/>
                            <w:szCs w:val="19"/>
                            <w:lang w:val="el-GR"/>
                          </w:rPr>
                          <w:t xml:space="preserve"> </w:t>
                        </w:r>
                        <w:r w:rsidRPr="00DC4213">
                          <w:rPr>
                            <w:rFonts w:ascii="Arial" w:hAnsi="Arial" w:cs="Arial"/>
                            <w:sz w:val="19"/>
                            <w:szCs w:val="19"/>
                            <w:lang w:val="el-GR"/>
                          </w:rPr>
                          <w:t xml:space="preserve">αυξημένος κατά </w:t>
                        </w:r>
                        <w:r w:rsidR="00A5052E" w:rsidRPr="00DC4213">
                          <w:rPr>
                            <w:rFonts w:ascii="Arial" w:hAnsi="Arial" w:cs="Arial"/>
                            <w:sz w:val="19"/>
                            <w:szCs w:val="19"/>
                            <w:lang w:val="el-GR"/>
                          </w:rPr>
                          <w:t>9</w:t>
                        </w:r>
                        <w:r w:rsidRPr="00DC4213">
                          <w:rPr>
                            <w:rFonts w:ascii="Arial" w:hAnsi="Arial" w:cs="Arial"/>
                            <w:sz w:val="19"/>
                            <w:szCs w:val="19"/>
                            <w:lang w:val="el-GR"/>
                          </w:rPr>
                          <w:t>% σε</w:t>
                        </w:r>
                        <w:r w:rsidR="00FE486F" w:rsidRPr="00DC4213">
                          <w:rPr>
                            <w:rFonts w:ascii="Arial" w:hAnsi="Arial" w:cs="Arial"/>
                            <w:sz w:val="19"/>
                            <w:szCs w:val="19"/>
                            <w:lang w:val="el-GR"/>
                          </w:rPr>
                          <w:t xml:space="preserve"> </w:t>
                        </w:r>
                        <w:r w:rsidRPr="00DC4213">
                          <w:rPr>
                            <w:rFonts w:ascii="Arial" w:hAnsi="Arial" w:cs="Arial"/>
                            <w:sz w:val="19"/>
                            <w:szCs w:val="19"/>
                            <w:lang w:val="el-GR"/>
                          </w:rPr>
                          <w:t>ετήσια βάση</w:t>
                        </w:r>
                        <w:r w:rsidR="009A0635" w:rsidRPr="00DC4213" w:rsidDel="00B7459B">
                          <w:rPr>
                            <w:rFonts w:ascii="Arial" w:hAnsi="Arial" w:cs="Arial"/>
                            <w:sz w:val="19"/>
                            <w:szCs w:val="19"/>
                            <w:lang w:val="el-GR"/>
                          </w:rPr>
                          <w:t xml:space="preserve"> </w:t>
                        </w:r>
                      </w:p>
                      <w:p w14:paraId="26A34C2D" w14:textId="03C591C1" w:rsidR="009A0635" w:rsidRPr="00DC4213" w:rsidRDefault="009A0635" w:rsidP="00A21CB9">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Χαρτοφυλάκιο εξυπηρετούμενων δανείων ύψους €</w:t>
                        </w:r>
                        <w:r w:rsidR="005F1F4D" w:rsidRPr="00DC4213">
                          <w:rPr>
                            <w:rFonts w:ascii="Arial" w:hAnsi="Arial" w:cs="Arial"/>
                            <w:sz w:val="19"/>
                            <w:szCs w:val="19"/>
                            <w:lang w:val="el-GR"/>
                          </w:rPr>
                          <w:t>10</w:t>
                        </w:r>
                        <w:r w:rsidRPr="00DC4213">
                          <w:rPr>
                            <w:rFonts w:ascii="Arial" w:hAnsi="Arial" w:cs="Arial"/>
                            <w:sz w:val="19"/>
                            <w:szCs w:val="19"/>
                            <w:lang w:val="el-GR"/>
                          </w:rPr>
                          <w:t>.</w:t>
                        </w:r>
                        <w:r w:rsidR="00A5052E" w:rsidRPr="00DC4213">
                          <w:rPr>
                            <w:rFonts w:ascii="Arial" w:hAnsi="Arial" w:cs="Arial"/>
                            <w:sz w:val="19"/>
                            <w:szCs w:val="19"/>
                            <w:lang w:val="el-GR"/>
                          </w:rPr>
                          <w:t>0</w:t>
                        </w:r>
                        <w:r w:rsidR="002712D6" w:rsidRPr="00DC4213">
                          <w:rPr>
                            <w:rFonts w:ascii="Arial" w:hAnsi="Arial" w:cs="Arial"/>
                            <w:sz w:val="19"/>
                            <w:szCs w:val="19"/>
                            <w:lang w:val="el-GR"/>
                          </w:rPr>
                          <w:t xml:space="preserve"> </w:t>
                        </w:r>
                        <w:r w:rsidRPr="00DC4213">
                          <w:rPr>
                            <w:rFonts w:ascii="Arial" w:hAnsi="Arial" w:cs="Arial"/>
                            <w:sz w:val="19"/>
                            <w:szCs w:val="19"/>
                            <w:lang w:val="el-GR"/>
                          </w:rPr>
                          <w:t xml:space="preserve">δις, </w:t>
                        </w:r>
                        <w:r w:rsidR="005F1F4D" w:rsidRPr="00DC4213">
                          <w:rPr>
                            <w:rFonts w:ascii="Arial" w:hAnsi="Arial" w:cs="Arial"/>
                            <w:sz w:val="19"/>
                            <w:szCs w:val="19"/>
                            <w:lang w:val="el-GR"/>
                          </w:rPr>
                          <w:t xml:space="preserve">αυξημένο κατά </w:t>
                        </w:r>
                        <w:r w:rsidR="002712D6" w:rsidRPr="00DC4213">
                          <w:rPr>
                            <w:rFonts w:ascii="Arial" w:hAnsi="Arial" w:cs="Arial"/>
                            <w:sz w:val="19"/>
                            <w:szCs w:val="19"/>
                            <w:lang w:val="el-GR"/>
                          </w:rPr>
                          <w:t>3</w:t>
                        </w:r>
                        <w:r w:rsidR="005F1F4D" w:rsidRPr="00DC4213">
                          <w:rPr>
                            <w:rFonts w:ascii="Arial" w:hAnsi="Arial" w:cs="Arial"/>
                            <w:sz w:val="19"/>
                            <w:szCs w:val="19"/>
                            <w:lang w:val="el-GR"/>
                          </w:rPr>
                          <w:t xml:space="preserve">% </w:t>
                        </w:r>
                        <w:r w:rsidR="002712D6" w:rsidRPr="00DC4213">
                          <w:rPr>
                            <w:rFonts w:ascii="Arial" w:hAnsi="Arial" w:cs="Arial"/>
                            <w:sz w:val="19"/>
                            <w:szCs w:val="19"/>
                            <w:lang w:val="el-GR"/>
                          </w:rPr>
                          <w:t>από τον Δεκέμβριο 2023</w:t>
                        </w:r>
                      </w:p>
                      <w:p w14:paraId="61AE244D" w14:textId="77777777" w:rsidR="009A0635" w:rsidRPr="00DC4213" w:rsidRDefault="009A0635" w:rsidP="00A21CB9">
                        <w:pPr>
                          <w:spacing w:after="60" w:line="120" w:lineRule="auto"/>
                          <w:ind w:right="-81"/>
                          <w:rPr>
                            <w:rFonts w:ascii="Arial" w:hAnsi="Arial" w:cs="Arial"/>
                            <w:b/>
                            <w:sz w:val="16"/>
                            <w:szCs w:val="16"/>
                            <w:highlight w:val="yellow"/>
                            <w:lang w:val="el-GR"/>
                          </w:rPr>
                        </w:pPr>
                        <w:r w:rsidRPr="00DC4213">
                          <w:rPr>
                            <w:rFonts w:ascii="Arial" w:hAnsi="Arial" w:cs="Arial"/>
                            <w:sz w:val="19"/>
                            <w:szCs w:val="19"/>
                            <w:highlight w:val="yellow"/>
                            <w:lang w:val="el-GR"/>
                          </w:rPr>
                          <w:t xml:space="preserve"> </w:t>
                        </w:r>
                      </w:p>
                      <w:p w14:paraId="70B38286" w14:textId="33E2473F" w:rsidR="009A0635" w:rsidRPr="00DC4213" w:rsidRDefault="009A0635" w:rsidP="00A21CB9">
                        <w:pPr>
                          <w:spacing w:after="60"/>
                          <w:ind w:right="-81" w:hanging="42"/>
                          <w:rPr>
                            <w:rFonts w:ascii="Arial" w:hAnsi="Arial" w:cs="Arial"/>
                            <w:b/>
                            <w:sz w:val="19"/>
                            <w:szCs w:val="19"/>
                            <w:lang w:val="el-GR"/>
                          </w:rPr>
                        </w:pPr>
                        <w:r w:rsidRPr="00DC4213">
                          <w:rPr>
                            <w:rFonts w:ascii="Arial" w:hAnsi="Arial" w:cs="Arial"/>
                            <w:b/>
                            <w:sz w:val="19"/>
                            <w:szCs w:val="19"/>
                            <w:lang w:val="el-GR"/>
                          </w:rPr>
                          <w:t xml:space="preserve">Απόδοση Ενσώματων Ιδίων Κεφαλαίων (ROTE) ύψους </w:t>
                        </w:r>
                        <w:r w:rsidR="00A5052E" w:rsidRPr="00DC4213">
                          <w:rPr>
                            <w:rFonts w:ascii="Arial" w:hAnsi="Arial" w:cs="Arial"/>
                            <w:b/>
                            <w:sz w:val="19"/>
                            <w:szCs w:val="19"/>
                            <w:lang w:val="el-GR"/>
                          </w:rPr>
                          <w:t>22</w:t>
                        </w:r>
                        <w:r w:rsidRPr="00DC4213">
                          <w:rPr>
                            <w:rFonts w:ascii="Arial" w:hAnsi="Arial" w:cs="Arial"/>
                            <w:b/>
                            <w:sz w:val="19"/>
                            <w:szCs w:val="19"/>
                            <w:lang w:val="el-GR"/>
                          </w:rPr>
                          <w:t>.</w:t>
                        </w:r>
                        <w:r w:rsidR="00A5052E" w:rsidRPr="00DC4213">
                          <w:rPr>
                            <w:rFonts w:ascii="Arial" w:hAnsi="Arial" w:cs="Arial"/>
                            <w:b/>
                            <w:sz w:val="19"/>
                            <w:szCs w:val="19"/>
                            <w:lang w:val="el-GR"/>
                          </w:rPr>
                          <w:t>9</w:t>
                        </w:r>
                        <w:r w:rsidRPr="00DC4213">
                          <w:rPr>
                            <w:rFonts w:ascii="Arial" w:hAnsi="Arial" w:cs="Arial"/>
                            <w:b/>
                            <w:sz w:val="19"/>
                            <w:szCs w:val="19"/>
                            <w:lang w:val="el-GR"/>
                          </w:rPr>
                          <w:t xml:space="preserve">% </w:t>
                        </w:r>
                      </w:p>
                      <w:p w14:paraId="3CC58585" w14:textId="2605E98F" w:rsidR="002712D6" w:rsidRPr="00DC4213" w:rsidRDefault="009A0635" w:rsidP="00A21CB9">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Καθαρά έσοδα από τόκους ύψους €</w:t>
                        </w:r>
                        <w:r w:rsidR="00A5052E" w:rsidRPr="00DC4213">
                          <w:rPr>
                            <w:rFonts w:ascii="Arial" w:hAnsi="Arial" w:cs="Arial"/>
                            <w:sz w:val="19"/>
                            <w:szCs w:val="19"/>
                            <w:lang w:val="el-GR"/>
                          </w:rPr>
                          <w:t xml:space="preserve">624 </w:t>
                        </w:r>
                        <w:r w:rsidRPr="00DC4213">
                          <w:rPr>
                            <w:rFonts w:ascii="Arial" w:hAnsi="Arial" w:cs="Arial"/>
                            <w:sz w:val="19"/>
                            <w:szCs w:val="19"/>
                            <w:lang w:val="el-GR"/>
                          </w:rPr>
                          <w:t xml:space="preserve">εκατ., </w:t>
                        </w:r>
                        <w:r w:rsidR="002712D6" w:rsidRPr="00DC4213">
                          <w:rPr>
                            <w:rFonts w:ascii="Arial" w:hAnsi="Arial" w:cs="Arial"/>
                            <w:sz w:val="19"/>
                            <w:szCs w:val="19"/>
                            <w:lang w:val="el-GR"/>
                          </w:rPr>
                          <w:t xml:space="preserve">αυξημένα </w:t>
                        </w:r>
                        <w:r w:rsidRPr="00DC4213">
                          <w:rPr>
                            <w:rFonts w:ascii="Arial" w:hAnsi="Arial" w:cs="Arial"/>
                            <w:sz w:val="19"/>
                            <w:szCs w:val="19"/>
                            <w:lang w:val="el-GR"/>
                          </w:rPr>
                          <w:t xml:space="preserve">κατά </w:t>
                        </w:r>
                        <w:r w:rsidR="00A5052E" w:rsidRPr="00DC4213">
                          <w:rPr>
                            <w:rFonts w:ascii="Arial" w:hAnsi="Arial" w:cs="Arial"/>
                            <w:sz w:val="19"/>
                            <w:szCs w:val="19"/>
                            <w:lang w:val="el-GR"/>
                          </w:rPr>
                          <w:t>9</w:t>
                        </w:r>
                        <w:r w:rsidRPr="00DC4213">
                          <w:rPr>
                            <w:rFonts w:ascii="Arial" w:hAnsi="Arial" w:cs="Arial"/>
                            <w:sz w:val="19"/>
                            <w:szCs w:val="19"/>
                            <w:lang w:val="el-GR"/>
                          </w:rPr>
                          <w:t xml:space="preserve">% σε </w:t>
                        </w:r>
                        <w:r w:rsidR="002712D6" w:rsidRPr="00DC4213">
                          <w:rPr>
                            <w:rFonts w:ascii="Arial" w:hAnsi="Arial" w:cs="Arial"/>
                            <w:sz w:val="19"/>
                            <w:szCs w:val="19"/>
                            <w:lang w:val="el-GR"/>
                          </w:rPr>
                          <w:t xml:space="preserve">ετήσια </w:t>
                        </w:r>
                        <w:r w:rsidRPr="00DC4213">
                          <w:rPr>
                            <w:rFonts w:ascii="Arial" w:hAnsi="Arial" w:cs="Arial"/>
                            <w:sz w:val="19"/>
                            <w:szCs w:val="19"/>
                            <w:lang w:val="el-GR"/>
                          </w:rPr>
                          <w:t>βάση</w:t>
                        </w:r>
                      </w:p>
                      <w:p w14:paraId="31A345BE" w14:textId="7CAE7A6C" w:rsidR="009A0635" w:rsidRPr="00DC4213" w:rsidRDefault="00A5052E" w:rsidP="002712D6">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Τα κ</w:t>
                        </w:r>
                        <w:r w:rsidR="002712D6" w:rsidRPr="00DC4213">
                          <w:rPr>
                            <w:rFonts w:ascii="Arial" w:hAnsi="Arial" w:cs="Arial"/>
                            <w:sz w:val="19"/>
                            <w:szCs w:val="19"/>
                            <w:lang w:val="el-GR"/>
                          </w:rPr>
                          <w:t>αθαρά έσοδα από τόκους</w:t>
                        </w:r>
                        <w:r w:rsidRPr="00DC4213">
                          <w:rPr>
                            <w:rFonts w:ascii="Arial" w:hAnsi="Arial" w:cs="Arial"/>
                            <w:sz w:val="19"/>
                            <w:szCs w:val="19"/>
                            <w:lang w:val="el-GR"/>
                          </w:rPr>
                          <w:t xml:space="preserve"> για το γ’ τρίμηνο 2024 παραμένουν ισχυρά και ανέρχονται σε</w:t>
                        </w:r>
                        <w:r w:rsidR="002712D6" w:rsidRPr="00DC4213">
                          <w:rPr>
                            <w:rFonts w:ascii="Arial" w:hAnsi="Arial" w:cs="Arial"/>
                            <w:sz w:val="19"/>
                            <w:szCs w:val="19"/>
                            <w:lang w:val="el-GR"/>
                          </w:rPr>
                          <w:t xml:space="preserve"> €</w:t>
                        </w:r>
                        <w:r w:rsidRPr="00DC4213">
                          <w:rPr>
                            <w:rFonts w:ascii="Arial" w:hAnsi="Arial" w:cs="Arial"/>
                            <w:sz w:val="19"/>
                            <w:szCs w:val="19"/>
                            <w:lang w:val="el-GR"/>
                          </w:rPr>
                          <w:t xml:space="preserve">204 </w:t>
                        </w:r>
                        <w:r w:rsidR="002712D6" w:rsidRPr="00DC4213">
                          <w:rPr>
                            <w:rFonts w:ascii="Arial" w:hAnsi="Arial" w:cs="Arial"/>
                            <w:sz w:val="19"/>
                            <w:szCs w:val="19"/>
                            <w:lang w:val="el-GR"/>
                          </w:rPr>
                          <w:t>εκατ.,</w:t>
                        </w:r>
                        <w:r w:rsidR="00B93DB8" w:rsidRPr="00B93DB8">
                          <w:rPr>
                            <w:rFonts w:ascii="Arial" w:hAnsi="Arial" w:cs="Arial"/>
                            <w:sz w:val="19"/>
                            <w:szCs w:val="19"/>
                            <w:lang w:val="el-GR"/>
                          </w:rPr>
                          <w:t xml:space="preserve"> </w:t>
                        </w:r>
                        <w:r w:rsidR="009C771A" w:rsidRPr="00DC4213">
                          <w:rPr>
                            <w:rFonts w:ascii="Arial" w:hAnsi="Arial" w:cs="Arial"/>
                            <w:sz w:val="19"/>
                            <w:szCs w:val="19"/>
                            <w:lang w:val="el-GR"/>
                          </w:rPr>
                          <w:t xml:space="preserve">περίπου στα ίδια επίπεδα με το β’ τρίμηνο 2024, παρά τη μείωση </w:t>
                        </w:r>
                        <w:r w:rsidR="007A2F9B">
                          <w:rPr>
                            <w:rFonts w:ascii="Arial" w:hAnsi="Arial" w:cs="Arial"/>
                            <w:sz w:val="19"/>
                            <w:szCs w:val="19"/>
                            <w:lang w:val="el-GR"/>
                          </w:rPr>
                          <w:t xml:space="preserve">των </w:t>
                        </w:r>
                        <w:r w:rsidR="009C771A" w:rsidRPr="00DC4213">
                          <w:rPr>
                            <w:rFonts w:ascii="Arial" w:hAnsi="Arial" w:cs="Arial"/>
                            <w:sz w:val="19"/>
                            <w:szCs w:val="19"/>
                            <w:lang w:val="el-GR"/>
                          </w:rPr>
                          <w:t xml:space="preserve">επιτοκίων κατά 25 </w:t>
                        </w:r>
                        <w:proofErr w:type="spellStart"/>
                        <w:r w:rsidR="009C771A" w:rsidRPr="00DC4213">
                          <w:rPr>
                            <w:rFonts w:ascii="Arial" w:hAnsi="Arial" w:cs="Arial"/>
                            <w:sz w:val="19"/>
                            <w:szCs w:val="19"/>
                            <w:lang w:val="el-GR"/>
                          </w:rPr>
                          <w:t>μ.β</w:t>
                        </w:r>
                        <w:proofErr w:type="spellEnd"/>
                        <w:r w:rsidR="009C771A" w:rsidRPr="00DC4213">
                          <w:rPr>
                            <w:rFonts w:ascii="Arial" w:hAnsi="Arial" w:cs="Arial"/>
                            <w:sz w:val="19"/>
                            <w:szCs w:val="19"/>
                            <w:lang w:val="el-GR"/>
                          </w:rPr>
                          <w:t xml:space="preserve">.  </w:t>
                        </w:r>
                      </w:p>
                      <w:p w14:paraId="69EE1B32" w14:textId="41A67316" w:rsidR="00A5052E" w:rsidRPr="00DC4213" w:rsidRDefault="009A0635" w:rsidP="00A21CB9">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Συνολικά λειτουργικά έξοδα</w:t>
                        </w:r>
                        <w:r w:rsidRPr="00DC4213">
                          <w:rPr>
                            <w:rFonts w:ascii="Arial" w:hAnsi="Arial" w:cs="Arial"/>
                            <w:sz w:val="19"/>
                            <w:szCs w:val="19"/>
                            <w:vertAlign w:val="superscript"/>
                            <w:lang w:val="el-GR"/>
                          </w:rPr>
                          <w:t>2</w:t>
                        </w:r>
                        <w:r w:rsidRPr="00DC4213">
                          <w:rPr>
                            <w:rFonts w:ascii="Arial" w:hAnsi="Arial" w:cs="Arial"/>
                            <w:sz w:val="19"/>
                            <w:szCs w:val="19"/>
                            <w:lang w:val="el-GR"/>
                          </w:rPr>
                          <w:t xml:space="preserve"> </w:t>
                        </w:r>
                        <w:r w:rsidR="00D34C27" w:rsidRPr="00DC4213">
                          <w:rPr>
                            <w:rFonts w:ascii="Arial" w:hAnsi="Arial" w:cs="Arial"/>
                            <w:sz w:val="19"/>
                            <w:szCs w:val="19"/>
                            <w:lang w:val="el-GR"/>
                          </w:rPr>
                          <w:t>ύψους €</w:t>
                        </w:r>
                        <w:r w:rsidR="00A5052E" w:rsidRPr="00DC4213">
                          <w:rPr>
                            <w:rFonts w:ascii="Arial" w:hAnsi="Arial" w:cs="Arial"/>
                            <w:sz w:val="19"/>
                            <w:szCs w:val="19"/>
                            <w:lang w:val="el-GR"/>
                          </w:rPr>
                          <w:t xml:space="preserve">266 </w:t>
                        </w:r>
                        <w:r w:rsidR="00D34C27" w:rsidRPr="00DC4213">
                          <w:rPr>
                            <w:rFonts w:ascii="Arial" w:hAnsi="Arial" w:cs="Arial"/>
                            <w:sz w:val="19"/>
                            <w:szCs w:val="19"/>
                            <w:lang w:val="el-GR"/>
                          </w:rPr>
                          <w:t>εκατ.</w:t>
                        </w:r>
                        <w:r w:rsidR="00510864" w:rsidRPr="00DC4213">
                          <w:rPr>
                            <w:rFonts w:ascii="Arial" w:hAnsi="Arial" w:cs="Arial"/>
                            <w:sz w:val="19"/>
                            <w:szCs w:val="19"/>
                            <w:lang w:val="el-GR"/>
                          </w:rPr>
                          <w:t>,</w:t>
                        </w:r>
                        <w:r w:rsidR="00D34C27" w:rsidRPr="00DC4213">
                          <w:rPr>
                            <w:rFonts w:ascii="Arial" w:hAnsi="Arial" w:cs="Arial"/>
                            <w:sz w:val="19"/>
                            <w:szCs w:val="19"/>
                            <w:lang w:val="el-GR"/>
                          </w:rPr>
                          <w:t xml:space="preserve"> αυξημένα </w:t>
                        </w:r>
                        <w:r w:rsidRPr="00DC4213">
                          <w:rPr>
                            <w:rFonts w:ascii="Arial" w:hAnsi="Arial" w:cs="Arial"/>
                            <w:sz w:val="19"/>
                            <w:szCs w:val="19"/>
                            <w:lang w:val="el-GR"/>
                          </w:rPr>
                          <w:t xml:space="preserve">κατά </w:t>
                        </w:r>
                        <w:r w:rsidR="00A5052E" w:rsidRPr="00DC4213">
                          <w:rPr>
                            <w:rFonts w:ascii="Arial" w:hAnsi="Arial" w:cs="Arial"/>
                            <w:sz w:val="19"/>
                            <w:szCs w:val="19"/>
                            <w:lang w:val="el-GR"/>
                          </w:rPr>
                          <w:t>7</w:t>
                        </w:r>
                        <w:r w:rsidRPr="00DC4213">
                          <w:rPr>
                            <w:rFonts w:ascii="Arial" w:hAnsi="Arial" w:cs="Arial"/>
                            <w:sz w:val="19"/>
                            <w:szCs w:val="19"/>
                            <w:lang w:val="el-GR"/>
                          </w:rPr>
                          <w:t xml:space="preserve">% σε </w:t>
                        </w:r>
                        <w:r w:rsidR="00D34C27" w:rsidRPr="00DC4213">
                          <w:rPr>
                            <w:rFonts w:ascii="Arial" w:hAnsi="Arial" w:cs="Arial"/>
                            <w:sz w:val="19"/>
                            <w:szCs w:val="19"/>
                            <w:lang w:val="el-GR"/>
                          </w:rPr>
                          <w:t xml:space="preserve">ετήσια </w:t>
                        </w:r>
                        <w:r w:rsidRPr="00DC4213">
                          <w:rPr>
                            <w:rFonts w:ascii="Arial" w:hAnsi="Arial" w:cs="Arial"/>
                            <w:sz w:val="19"/>
                            <w:szCs w:val="19"/>
                            <w:lang w:val="el-GR"/>
                          </w:rPr>
                          <w:t>βάση</w:t>
                        </w:r>
                        <w:r w:rsidR="00D34C27" w:rsidRPr="00DC4213">
                          <w:rPr>
                            <w:rFonts w:ascii="Arial" w:hAnsi="Arial" w:cs="Arial"/>
                            <w:sz w:val="19"/>
                            <w:szCs w:val="19"/>
                            <w:lang w:val="el-GR"/>
                          </w:rPr>
                          <w:t xml:space="preserve">, επηρεασμένα από τον πληθωρισμό </w:t>
                        </w:r>
                      </w:p>
                      <w:p w14:paraId="5C2C872A" w14:textId="6780DF94" w:rsidR="009A0635" w:rsidRPr="00DC4213" w:rsidRDefault="005B08A4" w:rsidP="00A21CB9">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Ο δ</w:t>
                        </w:r>
                        <w:r w:rsidR="009A0635" w:rsidRPr="00DC4213">
                          <w:rPr>
                            <w:rFonts w:ascii="Arial" w:hAnsi="Arial" w:cs="Arial"/>
                            <w:sz w:val="19"/>
                            <w:szCs w:val="19"/>
                            <w:lang w:val="el-GR"/>
                          </w:rPr>
                          <w:t>είκτη</w:t>
                        </w:r>
                        <w:r w:rsidR="00D34C27" w:rsidRPr="00DC4213">
                          <w:rPr>
                            <w:rFonts w:ascii="Arial" w:hAnsi="Arial" w:cs="Arial"/>
                            <w:sz w:val="19"/>
                            <w:szCs w:val="19"/>
                            <w:lang w:val="el-GR"/>
                          </w:rPr>
                          <w:t>ς</w:t>
                        </w:r>
                        <w:r w:rsidR="009A0635" w:rsidRPr="00DC4213">
                          <w:rPr>
                            <w:rFonts w:ascii="Arial" w:hAnsi="Arial" w:cs="Arial"/>
                            <w:sz w:val="19"/>
                            <w:szCs w:val="19"/>
                            <w:lang w:val="el-GR"/>
                          </w:rPr>
                          <w:t xml:space="preserve"> κόστο</w:t>
                        </w:r>
                        <w:r w:rsidR="005B7A39" w:rsidRPr="00DC4213">
                          <w:rPr>
                            <w:rFonts w:ascii="Arial" w:hAnsi="Arial" w:cs="Arial"/>
                            <w:sz w:val="19"/>
                            <w:szCs w:val="19"/>
                            <w:lang w:val="el-GR"/>
                          </w:rPr>
                          <w:t>ς</w:t>
                        </w:r>
                        <w:r w:rsidR="009A0635" w:rsidRPr="00DC4213">
                          <w:rPr>
                            <w:rFonts w:ascii="Arial" w:hAnsi="Arial" w:cs="Arial"/>
                            <w:sz w:val="19"/>
                            <w:szCs w:val="19"/>
                            <w:lang w:val="el-GR"/>
                          </w:rPr>
                          <w:t xml:space="preserve"> προς έσοδα</w:t>
                        </w:r>
                        <w:r w:rsidR="009A0635" w:rsidRPr="00DC4213">
                          <w:rPr>
                            <w:rFonts w:ascii="Arial" w:hAnsi="Arial" w:cs="Arial"/>
                            <w:sz w:val="19"/>
                            <w:szCs w:val="19"/>
                            <w:vertAlign w:val="superscript"/>
                            <w:lang w:val="el-GR"/>
                          </w:rPr>
                          <w:t>2</w:t>
                        </w:r>
                        <w:r w:rsidR="003C6ABB" w:rsidRPr="00DC4213">
                          <w:rPr>
                            <w:rFonts w:ascii="Arial" w:hAnsi="Arial" w:cs="Arial"/>
                            <w:sz w:val="19"/>
                            <w:szCs w:val="19"/>
                            <w:lang w:val="el-GR"/>
                          </w:rPr>
                          <w:t xml:space="preserve"> </w:t>
                        </w:r>
                        <w:r w:rsidRPr="00DC4213">
                          <w:rPr>
                            <w:rFonts w:ascii="Arial" w:hAnsi="Arial" w:cs="Arial"/>
                            <w:sz w:val="19"/>
                            <w:szCs w:val="19"/>
                            <w:lang w:val="el-GR"/>
                          </w:rPr>
                          <w:t xml:space="preserve">παραμένει χαμηλός στο </w:t>
                        </w:r>
                        <w:r w:rsidR="00D34C27" w:rsidRPr="00DC4213">
                          <w:rPr>
                            <w:rFonts w:ascii="Arial" w:hAnsi="Arial" w:cs="Arial"/>
                            <w:sz w:val="19"/>
                            <w:szCs w:val="19"/>
                            <w:lang w:val="el-GR"/>
                          </w:rPr>
                          <w:t>3</w:t>
                        </w:r>
                        <w:r w:rsidRPr="00DC4213">
                          <w:rPr>
                            <w:rFonts w:ascii="Arial" w:hAnsi="Arial" w:cs="Arial"/>
                            <w:sz w:val="19"/>
                            <w:szCs w:val="19"/>
                            <w:lang w:val="el-GR"/>
                          </w:rPr>
                          <w:t>2</w:t>
                        </w:r>
                        <w:r w:rsidR="009A0635" w:rsidRPr="00DC4213">
                          <w:rPr>
                            <w:rFonts w:ascii="Arial" w:hAnsi="Arial" w:cs="Arial"/>
                            <w:sz w:val="19"/>
                            <w:szCs w:val="19"/>
                            <w:lang w:val="el-GR"/>
                          </w:rPr>
                          <w:t>%</w:t>
                        </w:r>
                        <w:r w:rsidRPr="00DC4213">
                          <w:rPr>
                            <w:rFonts w:ascii="Arial" w:hAnsi="Arial" w:cs="Arial"/>
                            <w:sz w:val="19"/>
                            <w:szCs w:val="19"/>
                            <w:lang w:val="el-GR"/>
                          </w:rPr>
                          <w:t>.</w:t>
                        </w:r>
                        <w:r w:rsidR="00384B6F" w:rsidRPr="00DC4213">
                          <w:rPr>
                            <w:rFonts w:ascii="Arial" w:hAnsi="Arial" w:cs="Arial"/>
                            <w:sz w:val="19"/>
                            <w:szCs w:val="19"/>
                            <w:lang w:val="el-GR"/>
                          </w:rPr>
                          <w:t xml:space="preserve"> </w:t>
                        </w:r>
                        <w:r w:rsidR="007A2F9B">
                          <w:rPr>
                            <w:rFonts w:ascii="Arial" w:hAnsi="Arial" w:cs="Arial"/>
                            <w:sz w:val="19"/>
                            <w:szCs w:val="19"/>
                            <w:lang w:val="el-GR"/>
                          </w:rPr>
                          <w:t>Δ</w:t>
                        </w:r>
                        <w:r w:rsidRPr="00DC4213">
                          <w:rPr>
                            <w:rFonts w:ascii="Arial" w:hAnsi="Arial" w:cs="Arial"/>
                            <w:sz w:val="19"/>
                            <w:szCs w:val="19"/>
                            <w:lang w:val="el-GR"/>
                          </w:rPr>
                          <w:t>είκτης κόστος προς έσοδα</w:t>
                        </w:r>
                        <w:r w:rsidRPr="00DC4213">
                          <w:rPr>
                            <w:rFonts w:ascii="Arial" w:hAnsi="Arial" w:cs="Arial"/>
                            <w:sz w:val="19"/>
                            <w:szCs w:val="19"/>
                            <w:vertAlign w:val="superscript"/>
                            <w:lang w:val="el-GR"/>
                          </w:rPr>
                          <w:t>2</w:t>
                        </w:r>
                        <w:r w:rsidRPr="00DC4213">
                          <w:rPr>
                            <w:rFonts w:ascii="Arial" w:hAnsi="Arial" w:cs="Arial"/>
                            <w:sz w:val="19"/>
                            <w:szCs w:val="19"/>
                            <w:lang w:val="el-GR"/>
                          </w:rPr>
                          <w:t xml:space="preserve"> για το γ’ τρίμηνο 2024</w:t>
                        </w:r>
                        <w:r w:rsidR="00384B6F" w:rsidRPr="00DC4213">
                          <w:rPr>
                            <w:rFonts w:ascii="Arial" w:hAnsi="Arial" w:cs="Arial"/>
                            <w:sz w:val="19"/>
                            <w:szCs w:val="19"/>
                            <w:lang w:val="el-GR"/>
                          </w:rPr>
                          <w:t xml:space="preserve"> </w:t>
                        </w:r>
                        <w:r w:rsidR="007A2F9B">
                          <w:rPr>
                            <w:rFonts w:ascii="Arial" w:hAnsi="Arial" w:cs="Arial"/>
                            <w:sz w:val="19"/>
                            <w:szCs w:val="19"/>
                            <w:lang w:val="el-GR"/>
                          </w:rPr>
                          <w:t>στο</w:t>
                        </w:r>
                        <w:r w:rsidRPr="00DC4213">
                          <w:rPr>
                            <w:rFonts w:ascii="Arial" w:hAnsi="Arial" w:cs="Arial"/>
                            <w:sz w:val="19"/>
                            <w:szCs w:val="19"/>
                            <w:lang w:val="el-GR"/>
                          </w:rPr>
                          <w:t xml:space="preserve"> 35%,</w:t>
                        </w:r>
                        <w:r w:rsidR="00384B6F" w:rsidRPr="00DC4213">
                          <w:rPr>
                            <w:rFonts w:ascii="Arial" w:hAnsi="Arial" w:cs="Arial"/>
                            <w:sz w:val="19"/>
                            <w:szCs w:val="19"/>
                            <w:lang w:val="el-GR"/>
                          </w:rPr>
                          <w:t xml:space="preserve"> </w:t>
                        </w:r>
                        <w:r w:rsidR="009C771A" w:rsidRPr="00DC4213">
                          <w:rPr>
                            <w:rFonts w:ascii="Arial" w:hAnsi="Arial" w:cs="Arial"/>
                            <w:sz w:val="19"/>
                            <w:szCs w:val="19"/>
                            <w:lang w:val="el-GR"/>
                          </w:rPr>
                          <w:t xml:space="preserve">και περιλαμβάνει </w:t>
                        </w:r>
                        <w:r w:rsidR="000F6C31" w:rsidRPr="00DC4213">
                          <w:rPr>
                            <w:rFonts w:ascii="Arial" w:hAnsi="Arial" w:cs="Arial"/>
                            <w:sz w:val="19"/>
                            <w:szCs w:val="19"/>
                            <w:lang w:val="el-GR"/>
                          </w:rPr>
                          <w:t>κόστο</w:t>
                        </w:r>
                        <w:r w:rsidR="009C771A" w:rsidRPr="00DC4213">
                          <w:rPr>
                            <w:rFonts w:ascii="Arial" w:hAnsi="Arial" w:cs="Arial"/>
                            <w:sz w:val="19"/>
                            <w:szCs w:val="19"/>
                            <w:lang w:val="el-GR"/>
                          </w:rPr>
                          <w:t xml:space="preserve">ς </w:t>
                        </w:r>
                        <w:r w:rsidR="000F6C31" w:rsidRPr="00DC4213">
                          <w:rPr>
                            <w:rFonts w:ascii="Arial" w:hAnsi="Arial" w:cs="Arial"/>
                            <w:sz w:val="19"/>
                            <w:szCs w:val="19"/>
                            <w:lang w:val="el-GR"/>
                          </w:rPr>
                          <w:t xml:space="preserve">που αφορά </w:t>
                        </w:r>
                        <w:r w:rsidR="00384B6F" w:rsidRPr="00DC4213">
                          <w:rPr>
                            <w:rFonts w:ascii="Arial" w:hAnsi="Arial" w:cs="Arial"/>
                            <w:sz w:val="19"/>
                            <w:szCs w:val="19"/>
                            <w:lang w:val="el-GR"/>
                          </w:rPr>
                          <w:t>Σχέδιο Εθελούσιας Αποχώρησης μικρής κλίμακα</w:t>
                        </w:r>
                        <w:r w:rsidR="00036F7D" w:rsidRPr="00DC4213">
                          <w:rPr>
                            <w:rFonts w:ascii="Arial" w:hAnsi="Arial" w:cs="Arial"/>
                            <w:sz w:val="19"/>
                            <w:szCs w:val="19"/>
                            <w:lang w:val="el-GR"/>
                          </w:rPr>
                          <w:t>ς</w:t>
                        </w:r>
                      </w:p>
                      <w:p w14:paraId="1144B0D4" w14:textId="21CEC374" w:rsidR="00792898" w:rsidRPr="00DC4213" w:rsidRDefault="009A0635" w:rsidP="00A21CB9">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Κέρδη μετά τη φορολογία ύψους €</w:t>
                        </w:r>
                        <w:r w:rsidR="000F6C31" w:rsidRPr="00DC4213">
                          <w:rPr>
                            <w:rFonts w:ascii="Arial" w:hAnsi="Arial" w:cs="Arial"/>
                            <w:sz w:val="19"/>
                            <w:szCs w:val="19"/>
                            <w:lang w:val="el-GR"/>
                          </w:rPr>
                          <w:t xml:space="preserve">401 </w:t>
                        </w:r>
                        <w:r w:rsidRPr="00DC4213">
                          <w:rPr>
                            <w:rFonts w:ascii="Arial" w:hAnsi="Arial" w:cs="Arial"/>
                            <w:sz w:val="19"/>
                            <w:szCs w:val="19"/>
                            <w:lang w:val="el-GR"/>
                          </w:rPr>
                          <w:t>εκατ.</w:t>
                        </w:r>
                        <w:r w:rsidR="003C6ABB" w:rsidRPr="00DC4213">
                          <w:rPr>
                            <w:rFonts w:ascii="Arial" w:hAnsi="Arial" w:cs="Arial"/>
                            <w:sz w:val="19"/>
                            <w:szCs w:val="19"/>
                            <w:lang w:val="el-GR"/>
                          </w:rPr>
                          <w:t xml:space="preserve">, </w:t>
                        </w:r>
                        <w:r w:rsidR="00792898" w:rsidRPr="00DC4213">
                          <w:rPr>
                            <w:rFonts w:ascii="Arial" w:hAnsi="Arial" w:cs="Arial"/>
                            <w:sz w:val="19"/>
                            <w:szCs w:val="19"/>
                            <w:lang w:val="el-GR"/>
                          </w:rPr>
                          <w:t xml:space="preserve">αυξημένα </w:t>
                        </w:r>
                        <w:r w:rsidR="003C6ABB" w:rsidRPr="00DC4213">
                          <w:rPr>
                            <w:rFonts w:ascii="Arial" w:hAnsi="Arial" w:cs="Arial"/>
                            <w:sz w:val="19"/>
                            <w:szCs w:val="19"/>
                            <w:lang w:val="el-GR"/>
                          </w:rPr>
                          <w:t xml:space="preserve">κατά </w:t>
                        </w:r>
                        <w:r w:rsidR="000F6C31" w:rsidRPr="00DC4213">
                          <w:rPr>
                            <w:rFonts w:ascii="Arial" w:hAnsi="Arial" w:cs="Arial"/>
                            <w:sz w:val="19"/>
                            <w:szCs w:val="19"/>
                            <w:lang w:val="el-GR"/>
                          </w:rPr>
                          <w:t>15</w:t>
                        </w:r>
                        <w:r w:rsidR="003C6ABB" w:rsidRPr="00DC4213">
                          <w:rPr>
                            <w:rFonts w:ascii="Arial" w:hAnsi="Arial" w:cs="Arial"/>
                            <w:sz w:val="19"/>
                            <w:szCs w:val="19"/>
                            <w:lang w:val="el-GR"/>
                          </w:rPr>
                          <w:t xml:space="preserve">% σε </w:t>
                        </w:r>
                        <w:r w:rsidR="00792898" w:rsidRPr="00DC4213">
                          <w:rPr>
                            <w:rFonts w:ascii="Arial" w:hAnsi="Arial" w:cs="Arial"/>
                            <w:sz w:val="19"/>
                            <w:szCs w:val="19"/>
                            <w:lang w:val="el-GR"/>
                          </w:rPr>
                          <w:t xml:space="preserve">ετήσια </w:t>
                        </w:r>
                        <w:r w:rsidR="003C6ABB" w:rsidRPr="00DC4213">
                          <w:rPr>
                            <w:rFonts w:ascii="Arial" w:hAnsi="Arial" w:cs="Arial"/>
                            <w:sz w:val="19"/>
                            <w:szCs w:val="19"/>
                            <w:lang w:val="el-GR"/>
                          </w:rPr>
                          <w:t>βάση</w:t>
                        </w:r>
                        <w:r w:rsidR="00792898" w:rsidRPr="00DC4213">
                          <w:rPr>
                            <w:rFonts w:ascii="Arial" w:hAnsi="Arial" w:cs="Arial"/>
                            <w:sz w:val="19"/>
                            <w:szCs w:val="19"/>
                            <w:lang w:val="el-GR"/>
                          </w:rPr>
                          <w:t xml:space="preserve">, εκ </w:t>
                        </w:r>
                        <w:r w:rsidR="005B7A39" w:rsidRPr="00DC4213">
                          <w:rPr>
                            <w:rFonts w:ascii="Arial" w:hAnsi="Arial" w:cs="Arial"/>
                            <w:sz w:val="19"/>
                            <w:szCs w:val="19"/>
                            <w:lang w:val="el-GR"/>
                          </w:rPr>
                          <w:t>των</w:t>
                        </w:r>
                        <w:r w:rsidR="00792898" w:rsidRPr="00DC4213">
                          <w:rPr>
                            <w:rFonts w:ascii="Arial" w:hAnsi="Arial" w:cs="Arial"/>
                            <w:sz w:val="19"/>
                            <w:szCs w:val="19"/>
                            <w:lang w:val="el-GR"/>
                          </w:rPr>
                          <w:t xml:space="preserve"> οποίων €</w:t>
                        </w:r>
                        <w:r w:rsidR="000F6C31" w:rsidRPr="00DC4213">
                          <w:rPr>
                            <w:rFonts w:ascii="Arial" w:hAnsi="Arial" w:cs="Arial"/>
                            <w:sz w:val="19"/>
                            <w:szCs w:val="19"/>
                            <w:lang w:val="el-GR"/>
                          </w:rPr>
                          <w:t xml:space="preserve">131 </w:t>
                        </w:r>
                        <w:r w:rsidR="00792898" w:rsidRPr="00DC4213">
                          <w:rPr>
                            <w:rFonts w:ascii="Arial" w:hAnsi="Arial" w:cs="Arial"/>
                            <w:sz w:val="19"/>
                            <w:szCs w:val="19"/>
                            <w:lang w:val="el-GR"/>
                          </w:rPr>
                          <w:t xml:space="preserve">εκατ. </w:t>
                        </w:r>
                        <w:r w:rsidR="005B7A39" w:rsidRPr="00DC4213">
                          <w:rPr>
                            <w:rFonts w:ascii="Arial" w:hAnsi="Arial" w:cs="Arial"/>
                            <w:sz w:val="19"/>
                            <w:szCs w:val="19"/>
                            <w:lang w:val="el-GR"/>
                          </w:rPr>
                          <w:t xml:space="preserve">το </w:t>
                        </w:r>
                        <w:r w:rsidR="000F6C31" w:rsidRPr="00DC4213">
                          <w:rPr>
                            <w:rFonts w:ascii="Arial" w:hAnsi="Arial" w:cs="Arial"/>
                            <w:sz w:val="19"/>
                            <w:szCs w:val="19"/>
                            <w:lang w:val="el-GR"/>
                          </w:rPr>
                          <w:t xml:space="preserve">γ’ </w:t>
                        </w:r>
                        <w:r w:rsidR="00792898" w:rsidRPr="00DC4213">
                          <w:rPr>
                            <w:rFonts w:ascii="Arial" w:hAnsi="Arial" w:cs="Arial"/>
                            <w:sz w:val="19"/>
                            <w:szCs w:val="19"/>
                            <w:lang w:val="el-GR"/>
                          </w:rPr>
                          <w:t>τρίμηνο 2024</w:t>
                        </w:r>
                      </w:p>
                      <w:p w14:paraId="334A5064" w14:textId="47DB0683" w:rsidR="009A0635" w:rsidRPr="00DC4213" w:rsidRDefault="009A0635" w:rsidP="00A21CB9">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Βασικά κέρδη ανά μετοχή ύψους €</w:t>
                        </w:r>
                        <w:r w:rsidR="003C6ABB" w:rsidRPr="00DC4213">
                          <w:rPr>
                            <w:rFonts w:ascii="Arial" w:hAnsi="Arial" w:cs="Arial"/>
                            <w:sz w:val="19"/>
                            <w:szCs w:val="19"/>
                            <w:lang w:val="el-GR"/>
                          </w:rPr>
                          <w:t>0</w:t>
                        </w:r>
                        <w:r w:rsidRPr="00DC4213">
                          <w:rPr>
                            <w:rFonts w:ascii="Arial" w:hAnsi="Arial" w:cs="Arial"/>
                            <w:sz w:val="19"/>
                            <w:szCs w:val="19"/>
                            <w:lang w:val="el-GR"/>
                          </w:rPr>
                          <w:t>.</w:t>
                        </w:r>
                        <w:r w:rsidR="000F6C31" w:rsidRPr="00DC4213">
                          <w:rPr>
                            <w:rFonts w:ascii="Arial" w:hAnsi="Arial" w:cs="Arial"/>
                            <w:sz w:val="19"/>
                            <w:szCs w:val="19"/>
                            <w:lang w:val="el-GR"/>
                          </w:rPr>
                          <w:t>90</w:t>
                        </w:r>
                        <w:r w:rsidR="009F73D8" w:rsidRPr="00DC4213">
                          <w:rPr>
                            <w:rFonts w:ascii="Arial" w:hAnsi="Arial" w:cs="Arial"/>
                            <w:sz w:val="19"/>
                            <w:szCs w:val="19"/>
                            <w:lang w:val="el-GR"/>
                          </w:rPr>
                          <w:t xml:space="preserve"> </w:t>
                        </w:r>
                        <w:r w:rsidR="000F6C31" w:rsidRPr="00DC4213">
                          <w:rPr>
                            <w:rFonts w:ascii="Arial" w:hAnsi="Arial" w:cs="Arial"/>
                            <w:sz w:val="19"/>
                            <w:szCs w:val="19"/>
                            <w:lang w:val="el-GR"/>
                          </w:rPr>
                          <w:t xml:space="preserve">για το </w:t>
                        </w:r>
                        <w:r w:rsidR="007A2F9B">
                          <w:rPr>
                            <w:rFonts w:ascii="Arial" w:hAnsi="Arial" w:cs="Arial"/>
                            <w:sz w:val="19"/>
                            <w:szCs w:val="19"/>
                            <w:lang w:val="el-GR"/>
                          </w:rPr>
                          <w:t>εννεάμηνο</w:t>
                        </w:r>
                        <w:r w:rsidR="000F6C31" w:rsidRPr="00DC4213">
                          <w:rPr>
                            <w:rFonts w:ascii="Arial" w:hAnsi="Arial" w:cs="Arial"/>
                            <w:sz w:val="19"/>
                            <w:szCs w:val="19"/>
                            <w:lang w:val="el-GR"/>
                          </w:rPr>
                          <w:t xml:space="preserve"> που έληξε στις 30 Σεπτεμβρίου 2024</w:t>
                        </w:r>
                        <w:r w:rsidR="00D313B7" w:rsidRPr="00DC4213">
                          <w:rPr>
                            <w:rFonts w:ascii="Arial" w:hAnsi="Arial" w:cs="Arial"/>
                            <w:sz w:val="19"/>
                            <w:szCs w:val="19"/>
                            <w:lang w:val="el-GR"/>
                          </w:rPr>
                          <w:t xml:space="preserve"> (σε σύγκριση με €0.</w:t>
                        </w:r>
                        <w:r w:rsidR="000F6C31" w:rsidRPr="00DC4213">
                          <w:rPr>
                            <w:rFonts w:ascii="Arial" w:hAnsi="Arial" w:cs="Arial"/>
                            <w:sz w:val="19"/>
                            <w:szCs w:val="19"/>
                            <w:lang w:val="el-GR"/>
                          </w:rPr>
                          <w:t xml:space="preserve">78 </w:t>
                        </w:r>
                        <w:r w:rsidR="00D313B7" w:rsidRPr="00DC4213">
                          <w:rPr>
                            <w:rFonts w:ascii="Arial" w:hAnsi="Arial" w:cs="Arial"/>
                            <w:sz w:val="19"/>
                            <w:szCs w:val="19"/>
                            <w:lang w:val="el-GR"/>
                          </w:rPr>
                          <w:t xml:space="preserve">για το </w:t>
                        </w:r>
                        <w:r w:rsidR="000F6C31" w:rsidRPr="00DC4213">
                          <w:rPr>
                            <w:rFonts w:ascii="Arial" w:hAnsi="Arial" w:cs="Arial"/>
                            <w:sz w:val="19"/>
                            <w:szCs w:val="19"/>
                            <w:lang w:val="el-GR"/>
                          </w:rPr>
                          <w:t xml:space="preserve">αντίστοιχο </w:t>
                        </w:r>
                        <w:r w:rsidR="007A2F9B">
                          <w:rPr>
                            <w:rFonts w:ascii="Arial" w:hAnsi="Arial" w:cs="Arial"/>
                            <w:sz w:val="19"/>
                            <w:szCs w:val="19"/>
                            <w:lang w:val="el-GR"/>
                          </w:rPr>
                          <w:t>εννεάμηνο</w:t>
                        </w:r>
                        <w:r w:rsidR="000F6C31" w:rsidRPr="00DC4213">
                          <w:rPr>
                            <w:rFonts w:ascii="Arial" w:hAnsi="Arial" w:cs="Arial"/>
                            <w:sz w:val="19"/>
                            <w:szCs w:val="19"/>
                            <w:lang w:val="el-GR"/>
                          </w:rPr>
                          <w:t xml:space="preserve"> 2023</w:t>
                        </w:r>
                        <w:r w:rsidR="00D313B7" w:rsidRPr="00DC4213">
                          <w:rPr>
                            <w:rFonts w:ascii="Arial" w:hAnsi="Arial" w:cs="Arial"/>
                            <w:sz w:val="19"/>
                            <w:szCs w:val="19"/>
                            <w:lang w:val="el-GR"/>
                          </w:rPr>
                          <w:t>)</w:t>
                        </w:r>
                      </w:p>
                      <w:p w14:paraId="44FAE904" w14:textId="77777777" w:rsidR="009A0635" w:rsidRPr="00DC4213" w:rsidRDefault="009A0635" w:rsidP="00A21CB9">
                        <w:pPr>
                          <w:spacing w:after="60"/>
                          <w:ind w:right="-79"/>
                          <w:jc w:val="both"/>
                          <w:rPr>
                            <w:rFonts w:ascii="Arial" w:hAnsi="Arial" w:cs="Arial"/>
                            <w:sz w:val="10"/>
                            <w:szCs w:val="10"/>
                            <w:highlight w:val="yellow"/>
                            <w:lang w:val="el-GR"/>
                          </w:rPr>
                        </w:pPr>
                      </w:p>
                      <w:p w14:paraId="68CA0C60" w14:textId="77777777" w:rsidR="009A0635" w:rsidRPr="00DC4213" w:rsidRDefault="009A0635" w:rsidP="00A21CB9">
                        <w:pPr>
                          <w:spacing w:after="60"/>
                          <w:ind w:right="-81" w:hanging="42"/>
                          <w:rPr>
                            <w:rFonts w:ascii="Arial" w:hAnsi="Arial" w:cs="Arial"/>
                            <w:b/>
                            <w:sz w:val="19"/>
                            <w:szCs w:val="19"/>
                            <w:lang w:val="el-GR"/>
                          </w:rPr>
                        </w:pPr>
                        <w:r w:rsidRPr="00DC4213">
                          <w:rPr>
                            <w:rFonts w:ascii="Arial" w:hAnsi="Arial" w:cs="Arial"/>
                            <w:b/>
                            <w:sz w:val="19"/>
                            <w:szCs w:val="19"/>
                            <w:lang w:val="el-GR"/>
                          </w:rPr>
                          <w:t>Ρευστότητα και ανθεκτικότητα ισολογισμού</w:t>
                        </w:r>
                      </w:p>
                      <w:p w14:paraId="2A49BB7B" w14:textId="18A919CF" w:rsidR="009A0635" w:rsidRPr="00DC4213" w:rsidRDefault="000065C1" w:rsidP="00A21CB9">
                        <w:pPr>
                          <w:pStyle w:val="ListParagraph"/>
                          <w:numPr>
                            <w:ilvl w:val="0"/>
                            <w:numId w:val="4"/>
                          </w:numPr>
                          <w:spacing w:after="60"/>
                          <w:ind w:left="241" w:right="-79" w:hanging="241"/>
                          <w:jc w:val="both"/>
                          <w:rPr>
                            <w:rFonts w:ascii="Arial" w:hAnsi="Arial" w:cs="Arial"/>
                            <w:sz w:val="19"/>
                            <w:szCs w:val="19"/>
                            <w:lang w:val="el-GR"/>
                          </w:rPr>
                        </w:pPr>
                        <w:r>
                          <w:rPr>
                            <w:rFonts w:ascii="Arial" w:hAnsi="Arial" w:cs="Arial"/>
                            <w:sz w:val="19"/>
                            <w:szCs w:val="19"/>
                            <w:lang w:val="el-GR"/>
                          </w:rPr>
                          <w:t>Το π</w:t>
                        </w:r>
                        <w:r w:rsidR="009A0635" w:rsidRPr="00DC4213">
                          <w:rPr>
                            <w:rFonts w:ascii="Arial" w:hAnsi="Arial" w:cs="Arial"/>
                            <w:sz w:val="19"/>
                            <w:szCs w:val="19"/>
                            <w:lang w:val="el-GR"/>
                          </w:rPr>
                          <w:t xml:space="preserve">οσοστό ΜΕΔ προς δάνεια </w:t>
                        </w:r>
                        <w:r>
                          <w:rPr>
                            <w:rFonts w:ascii="Arial" w:hAnsi="Arial" w:cs="Arial"/>
                            <w:sz w:val="19"/>
                            <w:szCs w:val="19"/>
                            <w:lang w:val="el-GR"/>
                          </w:rPr>
                          <w:t>μειώθηκε</w:t>
                        </w:r>
                        <w:r w:rsidR="000F6C31" w:rsidRPr="00DC4213">
                          <w:rPr>
                            <w:rFonts w:ascii="Arial" w:hAnsi="Arial" w:cs="Arial"/>
                            <w:sz w:val="19"/>
                            <w:szCs w:val="19"/>
                            <w:lang w:val="el-GR"/>
                          </w:rPr>
                          <w:t xml:space="preserve"> στο </w:t>
                        </w:r>
                        <w:r w:rsidR="005E725B" w:rsidRPr="00DC4213">
                          <w:rPr>
                            <w:rFonts w:ascii="Arial" w:hAnsi="Arial" w:cs="Arial"/>
                            <w:sz w:val="19"/>
                            <w:szCs w:val="19"/>
                            <w:lang w:val="el-GR"/>
                          </w:rPr>
                          <w:t>2</w:t>
                        </w:r>
                        <w:r w:rsidR="009A0635" w:rsidRPr="00DC4213">
                          <w:rPr>
                            <w:rFonts w:ascii="Arial" w:hAnsi="Arial" w:cs="Arial"/>
                            <w:sz w:val="19"/>
                            <w:szCs w:val="19"/>
                            <w:lang w:val="el-GR"/>
                          </w:rPr>
                          <w:t>.</w:t>
                        </w:r>
                        <w:r w:rsidR="000F6C31" w:rsidRPr="00DC4213">
                          <w:rPr>
                            <w:rFonts w:ascii="Arial" w:hAnsi="Arial" w:cs="Arial"/>
                            <w:sz w:val="19"/>
                            <w:szCs w:val="19"/>
                            <w:lang w:val="el-GR"/>
                          </w:rPr>
                          <w:t>4</w:t>
                        </w:r>
                        <w:r w:rsidR="009A0635" w:rsidRPr="00DC4213">
                          <w:rPr>
                            <w:rFonts w:ascii="Arial" w:hAnsi="Arial" w:cs="Arial"/>
                            <w:sz w:val="19"/>
                            <w:szCs w:val="19"/>
                            <w:lang w:val="el-GR"/>
                          </w:rPr>
                          <w:t>%</w:t>
                        </w:r>
                        <w:r w:rsidR="00BC7D38" w:rsidRPr="00DC4213">
                          <w:rPr>
                            <w:rFonts w:ascii="Arial" w:hAnsi="Arial" w:cs="Arial"/>
                            <w:sz w:val="19"/>
                            <w:szCs w:val="19"/>
                            <w:vertAlign w:val="superscript"/>
                            <w:lang w:val="el-GR"/>
                          </w:rPr>
                          <w:t>3</w:t>
                        </w:r>
                        <w:r w:rsidR="009A0635" w:rsidRPr="00DC4213">
                          <w:rPr>
                            <w:rFonts w:ascii="Arial" w:hAnsi="Arial" w:cs="Arial"/>
                            <w:sz w:val="19"/>
                            <w:szCs w:val="19"/>
                            <w:lang w:val="el-GR"/>
                          </w:rPr>
                          <w:t xml:space="preserve"> (</w:t>
                        </w:r>
                        <w:r w:rsidR="002D5796" w:rsidRPr="00DC4213">
                          <w:rPr>
                            <w:rFonts w:ascii="Arial" w:hAnsi="Arial" w:cs="Arial"/>
                            <w:sz w:val="19"/>
                            <w:szCs w:val="19"/>
                            <w:lang w:val="el-GR"/>
                          </w:rPr>
                          <w:t>0.</w:t>
                        </w:r>
                        <w:r w:rsidR="000F6C31" w:rsidRPr="00DC4213">
                          <w:rPr>
                            <w:rFonts w:ascii="Arial" w:hAnsi="Arial" w:cs="Arial"/>
                            <w:sz w:val="19"/>
                            <w:szCs w:val="19"/>
                            <w:lang w:val="el-GR"/>
                          </w:rPr>
                          <w:t>1</w:t>
                        </w:r>
                        <w:r w:rsidR="009A0635" w:rsidRPr="00DC4213">
                          <w:rPr>
                            <w:rFonts w:ascii="Arial" w:hAnsi="Arial" w:cs="Arial"/>
                            <w:sz w:val="19"/>
                            <w:szCs w:val="19"/>
                            <w:lang w:val="el-GR"/>
                          </w:rPr>
                          <w:t>%</w:t>
                        </w:r>
                        <w:r w:rsidR="00BC7D38" w:rsidRPr="00DC4213">
                          <w:rPr>
                            <w:rFonts w:ascii="Arial" w:hAnsi="Arial" w:cs="Arial"/>
                            <w:sz w:val="19"/>
                            <w:szCs w:val="19"/>
                            <w:vertAlign w:val="superscript"/>
                            <w:lang w:val="el-GR"/>
                          </w:rPr>
                          <w:t>3</w:t>
                        </w:r>
                        <w:r w:rsidR="009A0635" w:rsidRPr="00DC4213">
                          <w:rPr>
                            <w:rFonts w:ascii="Arial" w:hAnsi="Arial" w:cs="Arial"/>
                            <w:sz w:val="19"/>
                            <w:szCs w:val="19"/>
                            <w:lang w:val="el-GR"/>
                          </w:rPr>
                          <w:t xml:space="preserve"> μετά τις πιστωτικές ζημιές</w:t>
                        </w:r>
                        <w:r w:rsidR="009C771A" w:rsidRPr="00DC4213">
                          <w:rPr>
                            <w:rFonts w:ascii="Arial" w:hAnsi="Arial" w:cs="Arial"/>
                            <w:sz w:val="19"/>
                            <w:szCs w:val="19"/>
                            <w:lang w:val="el-GR"/>
                          </w:rPr>
                          <w:t>)</w:t>
                        </w:r>
                      </w:p>
                      <w:p w14:paraId="69AA3A25" w14:textId="541D5D0F" w:rsidR="009A0635" w:rsidRPr="00DC4213" w:rsidRDefault="009A0635" w:rsidP="00A21CB9">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 xml:space="preserve">Δείκτης κάλυψης ΜΕΔ ύψους </w:t>
                        </w:r>
                        <w:r w:rsidR="009F4F49" w:rsidRPr="00DC4213">
                          <w:rPr>
                            <w:rFonts w:ascii="Arial" w:hAnsi="Arial" w:cs="Arial"/>
                            <w:sz w:val="19"/>
                            <w:szCs w:val="19"/>
                            <w:lang w:val="el-GR"/>
                          </w:rPr>
                          <w:t>96</w:t>
                        </w:r>
                        <w:r w:rsidRPr="00DC4213">
                          <w:rPr>
                            <w:rFonts w:ascii="Arial" w:hAnsi="Arial" w:cs="Arial"/>
                            <w:sz w:val="19"/>
                            <w:szCs w:val="19"/>
                            <w:lang w:val="el-GR"/>
                          </w:rPr>
                          <w:t>%</w:t>
                        </w:r>
                        <w:r w:rsidR="00BC7D38" w:rsidRPr="00DC4213">
                          <w:rPr>
                            <w:rFonts w:ascii="Arial" w:hAnsi="Arial" w:cs="Arial"/>
                            <w:sz w:val="19"/>
                            <w:szCs w:val="19"/>
                            <w:vertAlign w:val="superscript"/>
                            <w:lang w:val="el-GR"/>
                          </w:rPr>
                          <w:t>3</w:t>
                        </w:r>
                        <w:r w:rsidR="005E725B" w:rsidRPr="00DC4213">
                          <w:rPr>
                            <w:rFonts w:ascii="Arial" w:hAnsi="Arial" w:cs="Arial"/>
                            <w:sz w:val="19"/>
                            <w:szCs w:val="19"/>
                            <w:lang w:val="el-GR"/>
                          </w:rPr>
                          <w:t xml:space="preserve">. </w:t>
                        </w:r>
                        <w:r w:rsidRPr="00DC4213">
                          <w:rPr>
                            <w:rFonts w:ascii="Arial" w:hAnsi="Arial" w:cs="Arial"/>
                            <w:sz w:val="19"/>
                            <w:szCs w:val="19"/>
                            <w:lang w:val="el-GR"/>
                          </w:rPr>
                          <w:t xml:space="preserve">Χρέωση πιστωτικών ζημιών δανείων ύψους </w:t>
                        </w:r>
                        <w:r w:rsidR="009F4F49" w:rsidRPr="00DC4213">
                          <w:rPr>
                            <w:rFonts w:ascii="Arial" w:hAnsi="Arial" w:cs="Arial"/>
                            <w:sz w:val="19"/>
                            <w:szCs w:val="19"/>
                            <w:lang w:val="el-GR"/>
                          </w:rPr>
                          <w:t xml:space="preserve">29 </w:t>
                        </w:r>
                        <w:proofErr w:type="spellStart"/>
                        <w:r w:rsidRPr="00DC4213">
                          <w:rPr>
                            <w:rFonts w:ascii="Arial" w:hAnsi="Arial" w:cs="Arial"/>
                            <w:sz w:val="19"/>
                            <w:szCs w:val="19"/>
                            <w:lang w:val="el-GR"/>
                          </w:rPr>
                          <w:t>μ.β</w:t>
                        </w:r>
                        <w:proofErr w:type="spellEnd"/>
                        <w:r w:rsidRPr="00DC4213">
                          <w:rPr>
                            <w:rFonts w:ascii="Arial" w:hAnsi="Arial" w:cs="Arial"/>
                            <w:sz w:val="19"/>
                            <w:szCs w:val="19"/>
                            <w:lang w:val="el-GR"/>
                          </w:rPr>
                          <w:t>.</w:t>
                        </w:r>
                      </w:p>
                      <w:p w14:paraId="53323576" w14:textId="7FC6B570" w:rsidR="008165C1" w:rsidRPr="00DC4213" w:rsidRDefault="009A0635" w:rsidP="00E16774">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Καταθετική βάση, στην πλειονότητα της λιανική, ύψους €</w:t>
                        </w:r>
                        <w:r w:rsidR="009F4F49" w:rsidRPr="00DC4213">
                          <w:rPr>
                            <w:rFonts w:ascii="Arial" w:hAnsi="Arial" w:cs="Arial"/>
                            <w:sz w:val="19"/>
                            <w:szCs w:val="19"/>
                            <w:lang w:val="el-GR"/>
                          </w:rPr>
                          <w:t>20</w:t>
                        </w:r>
                        <w:r w:rsidRPr="00DC4213">
                          <w:rPr>
                            <w:rFonts w:ascii="Arial" w:hAnsi="Arial" w:cs="Arial"/>
                            <w:sz w:val="19"/>
                            <w:szCs w:val="19"/>
                            <w:lang w:val="el-GR"/>
                          </w:rPr>
                          <w:t>.</w:t>
                        </w:r>
                        <w:r w:rsidR="009F4F49" w:rsidRPr="00DC4213">
                          <w:rPr>
                            <w:rFonts w:ascii="Arial" w:hAnsi="Arial" w:cs="Arial"/>
                            <w:sz w:val="19"/>
                            <w:szCs w:val="19"/>
                            <w:lang w:val="el-GR"/>
                          </w:rPr>
                          <w:t>0</w:t>
                        </w:r>
                        <w:r w:rsidR="005E725B" w:rsidRPr="00DC4213">
                          <w:rPr>
                            <w:rFonts w:ascii="Arial" w:hAnsi="Arial" w:cs="Arial"/>
                            <w:sz w:val="19"/>
                            <w:szCs w:val="19"/>
                            <w:lang w:val="el-GR"/>
                          </w:rPr>
                          <w:t xml:space="preserve"> </w:t>
                        </w:r>
                        <w:r w:rsidRPr="00DC4213">
                          <w:rPr>
                            <w:rFonts w:ascii="Arial" w:hAnsi="Arial" w:cs="Arial"/>
                            <w:sz w:val="19"/>
                            <w:szCs w:val="19"/>
                            <w:lang w:val="el-GR"/>
                          </w:rPr>
                          <w:t>δις,</w:t>
                        </w:r>
                        <w:r w:rsidR="005E725B" w:rsidRPr="00DC4213">
                          <w:rPr>
                            <w:rFonts w:ascii="Arial" w:hAnsi="Arial" w:cs="Arial"/>
                            <w:sz w:val="19"/>
                            <w:szCs w:val="19"/>
                            <w:lang w:val="el-GR"/>
                          </w:rPr>
                          <w:t xml:space="preserve"> </w:t>
                        </w:r>
                        <w:r w:rsidRPr="00DC4213">
                          <w:rPr>
                            <w:rFonts w:ascii="Arial" w:hAnsi="Arial" w:cs="Arial"/>
                            <w:sz w:val="19"/>
                            <w:szCs w:val="19"/>
                            <w:lang w:val="el-GR"/>
                          </w:rPr>
                          <w:t xml:space="preserve">αυξημένη κατά </w:t>
                        </w:r>
                        <w:r w:rsidR="009F4F49" w:rsidRPr="00DC4213">
                          <w:rPr>
                            <w:rFonts w:ascii="Arial" w:hAnsi="Arial" w:cs="Arial"/>
                            <w:sz w:val="19"/>
                            <w:szCs w:val="19"/>
                            <w:lang w:val="el-GR"/>
                          </w:rPr>
                          <w:t>4</w:t>
                        </w:r>
                        <w:r w:rsidRPr="00DC4213">
                          <w:rPr>
                            <w:rFonts w:ascii="Arial" w:hAnsi="Arial" w:cs="Arial"/>
                            <w:sz w:val="19"/>
                            <w:szCs w:val="19"/>
                            <w:lang w:val="el-GR"/>
                          </w:rPr>
                          <w:t>% σε ετήσια βάση</w:t>
                        </w:r>
                        <w:r w:rsidR="005E725B" w:rsidRPr="00DC4213">
                          <w:rPr>
                            <w:rFonts w:ascii="Arial" w:hAnsi="Arial" w:cs="Arial"/>
                            <w:sz w:val="19"/>
                            <w:szCs w:val="19"/>
                            <w:lang w:val="el-GR"/>
                          </w:rPr>
                          <w:t xml:space="preserve"> και </w:t>
                        </w:r>
                        <w:r w:rsidR="009F4F49" w:rsidRPr="00DC4213">
                          <w:rPr>
                            <w:rFonts w:ascii="Arial" w:hAnsi="Arial" w:cs="Arial"/>
                            <w:sz w:val="19"/>
                            <w:szCs w:val="19"/>
                            <w:lang w:val="el-GR"/>
                          </w:rPr>
                          <w:t>1</w:t>
                        </w:r>
                        <w:r w:rsidR="005E725B" w:rsidRPr="00DC4213">
                          <w:rPr>
                            <w:rFonts w:ascii="Arial" w:hAnsi="Arial" w:cs="Arial"/>
                            <w:sz w:val="19"/>
                            <w:szCs w:val="19"/>
                            <w:lang w:val="el-GR"/>
                          </w:rPr>
                          <w:t>% σε τριμηνιαία βάση</w:t>
                        </w:r>
                      </w:p>
                      <w:p w14:paraId="5736B7F6" w14:textId="7C1AC27C" w:rsidR="008165C1" w:rsidRPr="00DC4213" w:rsidRDefault="009A0635" w:rsidP="002354D5">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Υψηλή ρευστότητα στον ισολογισμό με €</w:t>
                        </w:r>
                        <w:r w:rsidR="00E16774" w:rsidRPr="00DC4213">
                          <w:rPr>
                            <w:rFonts w:ascii="Arial" w:hAnsi="Arial" w:cs="Arial"/>
                            <w:sz w:val="19"/>
                            <w:szCs w:val="19"/>
                            <w:lang w:val="el-GR"/>
                          </w:rPr>
                          <w:t>7</w:t>
                        </w:r>
                        <w:r w:rsidRPr="00DC4213">
                          <w:rPr>
                            <w:rFonts w:ascii="Arial" w:hAnsi="Arial" w:cs="Arial"/>
                            <w:sz w:val="19"/>
                            <w:szCs w:val="19"/>
                            <w:lang w:val="el-GR"/>
                          </w:rPr>
                          <w:t>.</w:t>
                        </w:r>
                        <w:r w:rsidR="009F4F49" w:rsidRPr="00DC4213">
                          <w:rPr>
                            <w:rFonts w:ascii="Arial" w:hAnsi="Arial" w:cs="Arial"/>
                            <w:sz w:val="19"/>
                            <w:szCs w:val="19"/>
                            <w:lang w:val="el-GR"/>
                          </w:rPr>
                          <w:t>5</w:t>
                        </w:r>
                        <w:r w:rsidR="005E725B" w:rsidRPr="00DC4213">
                          <w:rPr>
                            <w:rFonts w:ascii="Arial" w:hAnsi="Arial" w:cs="Arial"/>
                            <w:sz w:val="19"/>
                            <w:szCs w:val="19"/>
                            <w:lang w:val="el-GR"/>
                          </w:rPr>
                          <w:t xml:space="preserve"> </w:t>
                        </w:r>
                        <w:r w:rsidRPr="00DC4213">
                          <w:rPr>
                            <w:rFonts w:ascii="Arial" w:hAnsi="Arial" w:cs="Arial"/>
                            <w:sz w:val="19"/>
                            <w:szCs w:val="19"/>
                            <w:lang w:val="el-GR"/>
                          </w:rPr>
                          <w:t>δις τοποθετημένα στην ΕΚΤ</w:t>
                        </w:r>
                        <w:r w:rsidR="00280550" w:rsidRPr="00DC4213">
                          <w:rPr>
                            <w:rFonts w:ascii="Arial" w:hAnsi="Arial" w:cs="Arial"/>
                            <w:sz w:val="19"/>
                            <w:szCs w:val="19"/>
                            <w:lang w:val="el-GR"/>
                          </w:rPr>
                          <w:t xml:space="preserve"> </w:t>
                        </w:r>
                      </w:p>
                      <w:p w14:paraId="60C1F850" w14:textId="77777777" w:rsidR="009A0635" w:rsidRPr="00DC4213" w:rsidRDefault="009A0635" w:rsidP="002354D5">
                        <w:pPr>
                          <w:pStyle w:val="ListParagraph"/>
                          <w:rPr>
                            <w:rFonts w:ascii="Arial" w:hAnsi="Arial" w:cs="Arial"/>
                            <w:sz w:val="16"/>
                            <w:szCs w:val="16"/>
                            <w:highlight w:val="yellow"/>
                            <w:lang w:val="el-GR"/>
                          </w:rPr>
                        </w:pPr>
                      </w:p>
                      <w:p w14:paraId="0C5FFF04" w14:textId="77777777" w:rsidR="009A0635" w:rsidRPr="00DC4213" w:rsidRDefault="009A0635" w:rsidP="00A21CB9">
                        <w:pPr>
                          <w:spacing w:after="60"/>
                          <w:ind w:right="-81" w:hanging="42"/>
                          <w:rPr>
                            <w:rFonts w:ascii="Arial" w:hAnsi="Arial" w:cs="Arial"/>
                            <w:b/>
                            <w:sz w:val="19"/>
                            <w:szCs w:val="19"/>
                            <w:lang w:val="el-GR"/>
                          </w:rPr>
                        </w:pPr>
                        <w:r w:rsidRPr="00DC4213">
                          <w:rPr>
                            <w:rFonts w:ascii="Arial" w:hAnsi="Arial" w:cs="Arial"/>
                            <w:b/>
                            <w:sz w:val="19"/>
                            <w:szCs w:val="19"/>
                            <w:lang w:val="el-GR"/>
                          </w:rPr>
                          <w:t>Ισχυρή κεφαλαιακή θέση και επικέντρωση στη δημιουργία αξίας για τους μετόχους</w:t>
                        </w:r>
                      </w:p>
                      <w:p w14:paraId="68004F76" w14:textId="42C87366" w:rsidR="00760575" w:rsidRPr="00DC4213" w:rsidRDefault="009A0635" w:rsidP="00E83230">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Δείκτης Κεφαλαίου Κοινών Μετοχών Κατηγορίας 1 (CET1) και Συνολικός Δείκτης Κεφαλαιακής Επάρκειας</w:t>
                        </w:r>
                        <w:r w:rsidR="00B93DB8" w:rsidRPr="00B93DB8">
                          <w:rPr>
                            <w:rFonts w:ascii="Arial" w:hAnsi="Arial" w:cs="Arial"/>
                            <w:sz w:val="19"/>
                            <w:szCs w:val="19"/>
                            <w:lang w:val="el-GR"/>
                          </w:rPr>
                          <w:t xml:space="preserve"> (</w:t>
                        </w:r>
                        <w:r w:rsidR="00B93DB8">
                          <w:rPr>
                            <w:rFonts w:ascii="Arial" w:hAnsi="Arial" w:cs="Arial"/>
                            <w:sz w:val="19"/>
                            <w:szCs w:val="19"/>
                            <w:lang w:val="el-GR"/>
                          </w:rPr>
                          <w:t>υπολογισμένοι για εποπτικούς σκοπούς)</w:t>
                        </w:r>
                        <w:r w:rsidR="00730655" w:rsidRPr="00DC4213">
                          <w:rPr>
                            <w:rFonts w:ascii="Arial" w:hAnsi="Arial" w:cs="Arial"/>
                            <w:sz w:val="19"/>
                            <w:szCs w:val="19"/>
                            <w:lang w:val="el-GR"/>
                          </w:rPr>
                          <w:t xml:space="preserve"> </w:t>
                        </w:r>
                        <w:bookmarkStart w:id="1" w:name="_Hlk162348348"/>
                        <w:bookmarkStart w:id="2" w:name="_Hlk162343726"/>
                        <w:r w:rsidR="00573323" w:rsidRPr="00DC4213">
                          <w:rPr>
                            <w:rFonts w:ascii="Arial" w:hAnsi="Arial" w:cs="Arial"/>
                            <w:sz w:val="19"/>
                            <w:szCs w:val="19"/>
                            <w:lang w:val="el-GR"/>
                          </w:rPr>
                          <w:t>ύψους</w:t>
                        </w:r>
                        <w:r w:rsidR="00760575" w:rsidRPr="00DC4213">
                          <w:rPr>
                            <w:rFonts w:ascii="Arial" w:hAnsi="Arial" w:cs="Arial"/>
                            <w:sz w:val="19"/>
                            <w:szCs w:val="19"/>
                            <w:lang w:val="el-GR"/>
                          </w:rPr>
                          <w:t xml:space="preserve"> </w:t>
                        </w:r>
                        <w:r w:rsidR="00210857" w:rsidRPr="00DC4213">
                          <w:rPr>
                            <w:rFonts w:ascii="Arial" w:hAnsi="Arial" w:cs="Arial"/>
                            <w:sz w:val="19"/>
                            <w:szCs w:val="19"/>
                            <w:lang w:val="el-GR"/>
                          </w:rPr>
                          <w:t>18</w:t>
                        </w:r>
                        <w:r w:rsidR="009F4F49" w:rsidRPr="00DC4213">
                          <w:rPr>
                            <w:rFonts w:ascii="Arial" w:hAnsi="Arial" w:cs="Arial"/>
                            <w:sz w:val="19"/>
                            <w:szCs w:val="19"/>
                            <w:lang w:val="el-GR"/>
                          </w:rPr>
                          <w:t>.</w:t>
                        </w:r>
                        <w:r w:rsidR="00210857" w:rsidRPr="00DC4213">
                          <w:rPr>
                            <w:rFonts w:ascii="Arial" w:hAnsi="Arial" w:cs="Arial"/>
                            <w:sz w:val="19"/>
                            <w:szCs w:val="19"/>
                            <w:lang w:val="el-GR"/>
                          </w:rPr>
                          <w:t>6</w:t>
                        </w:r>
                        <w:r w:rsidR="00573323" w:rsidRPr="00DC4213">
                          <w:rPr>
                            <w:rFonts w:ascii="Arial" w:hAnsi="Arial" w:cs="Arial"/>
                            <w:sz w:val="19"/>
                            <w:szCs w:val="19"/>
                            <w:lang w:val="el-GR"/>
                          </w:rPr>
                          <w:t xml:space="preserve">% και </w:t>
                        </w:r>
                        <w:r w:rsidR="00210857" w:rsidRPr="00DC4213">
                          <w:rPr>
                            <w:rFonts w:ascii="Arial" w:hAnsi="Arial" w:cs="Arial"/>
                            <w:sz w:val="19"/>
                            <w:szCs w:val="19"/>
                            <w:lang w:val="el-GR"/>
                          </w:rPr>
                          <w:t>23</w:t>
                        </w:r>
                        <w:r w:rsidR="009F4F49" w:rsidRPr="00DC4213">
                          <w:rPr>
                            <w:rFonts w:ascii="Arial" w:hAnsi="Arial" w:cs="Arial"/>
                            <w:sz w:val="19"/>
                            <w:szCs w:val="19"/>
                            <w:lang w:val="el-GR"/>
                          </w:rPr>
                          <w:t>.</w:t>
                        </w:r>
                        <w:r w:rsidR="00210857" w:rsidRPr="00DC4213">
                          <w:rPr>
                            <w:rFonts w:ascii="Arial" w:hAnsi="Arial" w:cs="Arial"/>
                            <w:sz w:val="19"/>
                            <w:szCs w:val="19"/>
                            <w:lang w:val="el-GR"/>
                          </w:rPr>
                          <w:t>7</w:t>
                        </w:r>
                        <w:r w:rsidR="009F4F49" w:rsidRPr="00DC4213" w:rsidDel="009F4F49">
                          <w:rPr>
                            <w:rFonts w:ascii="Arial" w:hAnsi="Arial" w:cs="Arial"/>
                            <w:sz w:val="19"/>
                            <w:szCs w:val="19"/>
                            <w:lang w:val="el-GR"/>
                          </w:rPr>
                          <w:t xml:space="preserve"> </w:t>
                        </w:r>
                        <w:r w:rsidR="00760575" w:rsidRPr="00DC4213">
                          <w:rPr>
                            <w:rFonts w:ascii="Arial" w:hAnsi="Arial" w:cs="Arial"/>
                            <w:sz w:val="19"/>
                            <w:szCs w:val="19"/>
                            <w:lang w:val="el-GR"/>
                          </w:rPr>
                          <w:t>%</w:t>
                        </w:r>
                        <w:r w:rsidR="00573323" w:rsidRPr="00DC4213">
                          <w:rPr>
                            <w:rFonts w:ascii="Arial" w:hAnsi="Arial" w:cs="Arial"/>
                            <w:sz w:val="19"/>
                            <w:szCs w:val="19"/>
                            <w:lang w:val="el-GR"/>
                          </w:rPr>
                          <w:t xml:space="preserve"> αντίστοιχα</w:t>
                        </w:r>
                      </w:p>
                      <w:p w14:paraId="4545AB0F" w14:textId="1B69DDB7" w:rsidR="00210857" w:rsidRPr="00DC4213" w:rsidRDefault="00210857" w:rsidP="00E83230">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Συμπεριλαμβανομένων των κερδών για το γ’ τρίμηνο 2024, μειωμένα για σχετική πρόβλεψη για διανομή</w:t>
                        </w:r>
                        <w:r w:rsidR="009C771A" w:rsidRPr="00DC4213">
                          <w:rPr>
                            <w:rFonts w:ascii="Arial" w:hAnsi="Arial" w:cs="Arial"/>
                            <w:sz w:val="19"/>
                            <w:szCs w:val="19"/>
                            <w:lang w:val="el-GR"/>
                          </w:rPr>
                          <w:t xml:space="preserve"> ύψους 50%</w:t>
                        </w:r>
                        <w:r w:rsidRPr="00DC4213">
                          <w:rPr>
                            <w:rFonts w:ascii="Arial" w:hAnsi="Arial" w:cs="Arial"/>
                            <w:sz w:val="19"/>
                            <w:szCs w:val="19"/>
                            <w:lang w:val="el-GR"/>
                          </w:rPr>
                          <w:t>,</w:t>
                        </w:r>
                        <w:r w:rsidR="009C771A" w:rsidRPr="00DC4213">
                          <w:rPr>
                            <w:rFonts w:ascii="Arial" w:hAnsi="Arial" w:cs="Arial"/>
                            <w:sz w:val="19"/>
                            <w:szCs w:val="19"/>
                            <w:lang w:val="el-GR"/>
                          </w:rPr>
                          <w:t xml:space="preserve"> </w:t>
                        </w:r>
                        <w:r w:rsidRPr="00DC4213">
                          <w:rPr>
                            <w:rFonts w:ascii="Arial" w:hAnsi="Arial" w:cs="Arial"/>
                            <w:sz w:val="19"/>
                            <w:szCs w:val="19"/>
                            <w:lang w:val="el-GR"/>
                          </w:rPr>
                          <w:t>ο Δείκτης Κεφαλαίου Κοινών Μετοχών Κατηγορίας 1 (CET1) αυξάνεται σε 19.1% και ο Συνολικός Δείκτης Κεφαλαιακής Επάρκειας σε 24.3%</w:t>
                        </w:r>
                      </w:p>
                      <w:bookmarkEnd w:id="1"/>
                      <w:bookmarkEnd w:id="2"/>
                      <w:p w14:paraId="3F0399BD" w14:textId="6160A952" w:rsidR="009A0635" w:rsidRPr="00DC4213" w:rsidRDefault="00573323" w:rsidP="00510864">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 xml:space="preserve">Δημιουργία </w:t>
                        </w:r>
                        <w:r w:rsidR="00A92737" w:rsidRPr="00DC4213">
                          <w:rPr>
                            <w:rFonts w:ascii="Arial" w:hAnsi="Arial" w:cs="Arial"/>
                            <w:sz w:val="19"/>
                            <w:szCs w:val="19"/>
                            <w:lang w:val="el-GR"/>
                          </w:rPr>
                          <w:t>κεφαλαίων (</w:t>
                        </w:r>
                        <w:r w:rsidRPr="00DC4213">
                          <w:rPr>
                            <w:rFonts w:ascii="Arial" w:hAnsi="Arial" w:cs="Arial"/>
                            <w:sz w:val="19"/>
                            <w:szCs w:val="19"/>
                            <w:lang w:val="el-GR"/>
                          </w:rPr>
                          <w:t>CET1)</w:t>
                        </w:r>
                        <w:r w:rsidR="00BC7D38" w:rsidRPr="000065C1">
                          <w:rPr>
                            <w:rFonts w:ascii="Arial" w:hAnsi="Arial" w:cs="Arial"/>
                            <w:sz w:val="19"/>
                            <w:szCs w:val="19"/>
                            <w:lang w:val="el-GR"/>
                          </w:rPr>
                          <w:t>4</w:t>
                        </w:r>
                        <w:r w:rsidR="009A0635" w:rsidRPr="00DC4213">
                          <w:rPr>
                            <w:rFonts w:ascii="Arial" w:hAnsi="Arial" w:cs="Arial"/>
                            <w:sz w:val="19"/>
                            <w:szCs w:val="19"/>
                            <w:lang w:val="el-GR"/>
                          </w:rPr>
                          <w:t xml:space="preserve"> ύψους</w:t>
                        </w:r>
                        <w:r w:rsidRPr="00DC4213">
                          <w:rPr>
                            <w:rFonts w:ascii="Arial" w:hAnsi="Arial" w:cs="Arial"/>
                            <w:sz w:val="19"/>
                            <w:szCs w:val="19"/>
                            <w:lang w:val="el-GR"/>
                          </w:rPr>
                          <w:t xml:space="preserve"> </w:t>
                        </w:r>
                        <w:r w:rsidR="009C771A" w:rsidRPr="000065C1">
                          <w:rPr>
                            <w:rFonts w:ascii="Arial" w:hAnsi="Arial" w:cs="Arial"/>
                            <w:sz w:val="19"/>
                            <w:szCs w:val="19"/>
                            <w:lang w:val="el-GR"/>
                          </w:rPr>
                          <w:t>355</w:t>
                        </w:r>
                        <w:r w:rsidR="009F4F49" w:rsidRPr="000065C1">
                          <w:rPr>
                            <w:rFonts w:ascii="Arial" w:hAnsi="Arial" w:cs="Arial"/>
                            <w:sz w:val="19"/>
                            <w:szCs w:val="19"/>
                            <w:lang w:val="el-GR"/>
                          </w:rPr>
                          <w:t xml:space="preserve"> </w:t>
                        </w:r>
                        <w:proofErr w:type="spellStart"/>
                        <w:r w:rsidR="009A0635" w:rsidRPr="000065C1">
                          <w:rPr>
                            <w:rFonts w:ascii="Arial" w:hAnsi="Arial" w:cs="Arial"/>
                            <w:sz w:val="19"/>
                            <w:szCs w:val="19"/>
                            <w:lang w:val="el-GR"/>
                          </w:rPr>
                          <w:t>μ.β</w:t>
                        </w:r>
                        <w:proofErr w:type="spellEnd"/>
                        <w:r w:rsidR="009A0635" w:rsidRPr="000065C1">
                          <w:rPr>
                            <w:rFonts w:ascii="Arial" w:hAnsi="Arial" w:cs="Arial"/>
                            <w:sz w:val="19"/>
                            <w:szCs w:val="19"/>
                            <w:lang w:val="el-GR"/>
                          </w:rPr>
                          <w:t xml:space="preserve">. </w:t>
                        </w:r>
                        <w:r w:rsidR="00760575" w:rsidRPr="000065C1">
                          <w:rPr>
                            <w:rFonts w:ascii="Arial" w:hAnsi="Arial" w:cs="Arial"/>
                            <w:sz w:val="19"/>
                            <w:szCs w:val="19"/>
                            <w:lang w:val="el-GR"/>
                          </w:rPr>
                          <w:t xml:space="preserve">κατά το </w:t>
                        </w:r>
                        <w:r w:rsidR="007A2F9B" w:rsidRPr="000065C1">
                          <w:rPr>
                            <w:rFonts w:ascii="Arial" w:hAnsi="Arial" w:cs="Arial"/>
                            <w:sz w:val="19"/>
                            <w:szCs w:val="19"/>
                            <w:lang w:val="el-GR"/>
                          </w:rPr>
                          <w:t>εννεάμηνο</w:t>
                        </w:r>
                        <w:r w:rsidR="009F4F49" w:rsidRPr="000065C1">
                          <w:rPr>
                            <w:rFonts w:ascii="Arial" w:hAnsi="Arial" w:cs="Arial"/>
                            <w:sz w:val="19"/>
                            <w:szCs w:val="19"/>
                            <w:lang w:val="el-GR"/>
                          </w:rPr>
                          <w:t xml:space="preserve"> που έληξε στις 30 Σεπτεμβρίου</w:t>
                        </w:r>
                        <w:r w:rsidRPr="000065C1">
                          <w:rPr>
                            <w:rFonts w:ascii="Arial" w:hAnsi="Arial" w:cs="Arial"/>
                            <w:sz w:val="19"/>
                            <w:szCs w:val="19"/>
                            <w:lang w:val="el-GR"/>
                          </w:rPr>
                          <w:t xml:space="preserve"> </w:t>
                        </w:r>
                        <w:r w:rsidR="00760575" w:rsidRPr="000065C1">
                          <w:rPr>
                            <w:rFonts w:ascii="Arial" w:hAnsi="Arial" w:cs="Arial"/>
                            <w:sz w:val="19"/>
                            <w:szCs w:val="19"/>
                            <w:lang w:val="el-GR"/>
                          </w:rPr>
                          <w:t>2024</w:t>
                        </w:r>
                        <w:r w:rsidRPr="000065C1">
                          <w:rPr>
                            <w:rFonts w:ascii="Arial" w:hAnsi="Arial" w:cs="Arial"/>
                            <w:sz w:val="19"/>
                            <w:szCs w:val="19"/>
                            <w:lang w:val="el-GR"/>
                          </w:rPr>
                          <w:t xml:space="preserve">, εκ </w:t>
                        </w:r>
                        <w:r w:rsidR="005B7A39" w:rsidRPr="000065C1">
                          <w:rPr>
                            <w:rFonts w:ascii="Arial" w:hAnsi="Arial" w:cs="Arial"/>
                            <w:sz w:val="19"/>
                            <w:szCs w:val="19"/>
                            <w:lang w:val="el-GR"/>
                          </w:rPr>
                          <w:t>των</w:t>
                        </w:r>
                        <w:r w:rsidRPr="000065C1">
                          <w:rPr>
                            <w:rFonts w:ascii="Arial" w:hAnsi="Arial" w:cs="Arial"/>
                            <w:sz w:val="19"/>
                            <w:szCs w:val="19"/>
                            <w:lang w:val="el-GR"/>
                          </w:rPr>
                          <w:t xml:space="preserve"> </w:t>
                        </w:r>
                        <w:r w:rsidR="005B7A39" w:rsidRPr="000065C1">
                          <w:rPr>
                            <w:rFonts w:ascii="Arial" w:hAnsi="Arial" w:cs="Arial"/>
                            <w:sz w:val="19"/>
                            <w:szCs w:val="19"/>
                            <w:lang w:val="el-GR"/>
                          </w:rPr>
                          <w:t>οποίων</w:t>
                        </w:r>
                        <w:r w:rsidR="004B0531" w:rsidRPr="000065C1">
                          <w:rPr>
                            <w:rFonts w:ascii="Arial" w:hAnsi="Arial" w:cs="Arial"/>
                            <w:sz w:val="19"/>
                            <w:szCs w:val="19"/>
                            <w:lang w:val="el-GR"/>
                          </w:rPr>
                          <w:t xml:space="preserve"> περίπου</w:t>
                        </w:r>
                        <w:r w:rsidRPr="000065C1">
                          <w:rPr>
                            <w:rFonts w:ascii="Arial" w:hAnsi="Arial" w:cs="Arial"/>
                            <w:sz w:val="19"/>
                            <w:szCs w:val="19"/>
                            <w:lang w:val="el-GR"/>
                          </w:rPr>
                          <w:t xml:space="preserve"> </w:t>
                        </w:r>
                        <w:r w:rsidR="00D86329" w:rsidRPr="000065C1">
                          <w:rPr>
                            <w:rFonts w:ascii="Arial" w:hAnsi="Arial" w:cs="Arial"/>
                            <w:sz w:val="19"/>
                            <w:szCs w:val="19"/>
                            <w:lang w:val="el-GR"/>
                          </w:rPr>
                          <w:t>140</w:t>
                        </w:r>
                        <w:r w:rsidR="009F4F49" w:rsidRPr="000065C1">
                          <w:rPr>
                            <w:rFonts w:ascii="Arial" w:hAnsi="Arial" w:cs="Arial"/>
                            <w:sz w:val="19"/>
                            <w:szCs w:val="19"/>
                            <w:lang w:val="el-GR"/>
                          </w:rPr>
                          <w:t xml:space="preserve"> </w:t>
                        </w:r>
                        <w:proofErr w:type="spellStart"/>
                        <w:r w:rsidRPr="000065C1">
                          <w:rPr>
                            <w:rFonts w:ascii="Arial" w:hAnsi="Arial" w:cs="Arial"/>
                            <w:sz w:val="19"/>
                            <w:szCs w:val="19"/>
                            <w:lang w:val="el-GR"/>
                          </w:rPr>
                          <w:t>μ.β</w:t>
                        </w:r>
                        <w:proofErr w:type="spellEnd"/>
                        <w:r w:rsidRPr="000065C1">
                          <w:rPr>
                            <w:rFonts w:ascii="Arial" w:hAnsi="Arial" w:cs="Arial"/>
                            <w:sz w:val="19"/>
                            <w:szCs w:val="19"/>
                            <w:lang w:val="el-GR"/>
                          </w:rPr>
                          <w:t xml:space="preserve">. κατά το </w:t>
                        </w:r>
                        <w:r w:rsidR="009F4F49" w:rsidRPr="000065C1">
                          <w:rPr>
                            <w:rFonts w:ascii="Arial" w:hAnsi="Arial" w:cs="Arial"/>
                            <w:sz w:val="19"/>
                            <w:szCs w:val="19"/>
                            <w:lang w:val="el-GR"/>
                          </w:rPr>
                          <w:t>γ</w:t>
                        </w:r>
                        <w:r w:rsidRPr="000065C1">
                          <w:rPr>
                            <w:rFonts w:ascii="Arial" w:hAnsi="Arial" w:cs="Arial"/>
                            <w:sz w:val="19"/>
                            <w:szCs w:val="19"/>
                            <w:lang w:val="el-GR"/>
                          </w:rPr>
                          <w:t>’ τρίμηνο</w:t>
                        </w:r>
                        <w:r w:rsidR="00510864" w:rsidRPr="000065C1">
                          <w:rPr>
                            <w:rFonts w:ascii="Arial" w:hAnsi="Arial" w:cs="Arial"/>
                            <w:sz w:val="19"/>
                            <w:szCs w:val="19"/>
                            <w:lang w:val="el-GR"/>
                          </w:rPr>
                          <w:t xml:space="preserve"> 2024</w:t>
                        </w:r>
                      </w:p>
                      <w:p w14:paraId="75CF05F3" w14:textId="42161407" w:rsidR="000065C1" w:rsidRPr="000065C1" w:rsidRDefault="00D01069" w:rsidP="000065C1">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Στόχος για ποσοστό διανομής</w:t>
                        </w:r>
                        <w:r w:rsidR="000065C1">
                          <w:rPr>
                            <w:rFonts w:ascii="Arial" w:hAnsi="Arial" w:cs="Arial"/>
                            <w:sz w:val="19"/>
                            <w:szCs w:val="19"/>
                            <w:lang w:val="el-GR"/>
                          </w:rPr>
                          <w:t xml:space="preserve"> </w:t>
                        </w:r>
                        <w:r w:rsidR="00B93DB8">
                          <w:rPr>
                            <w:rFonts w:ascii="Arial" w:hAnsi="Arial" w:cs="Arial"/>
                            <w:sz w:val="19"/>
                            <w:szCs w:val="19"/>
                            <w:lang w:val="el-GR"/>
                          </w:rPr>
                          <w:t>50%</w:t>
                        </w:r>
                        <w:r w:rsidR="00B93DB8" w:rsidRPr="000065C1">
                          <w:rPr>
                            <w:rFonts w:ascii="Arial" w:hAnsi="Arial" w:cs="Arial"/>
                            <w:sz w:val="19"/>
                            <w:szCs w:val="19"/>
                            <w:vertAlign w:val="superscript"/>
                            <w:lang w:val="el-GR"/>
                          </w:rPr>
                          <w:t>5</w:t>
                        </w:r>
                        <w:r w:rsidR="00B93DB8">
                          <w:rPr>
                            <w:rFonts w:ascii="Arial" w:hAnsi="Arial" w:cs="Arial"/>
                            <w:sz w:val="19"/>
                            <w:szCs w:val="19"/>
                            <w:lang w:val="el-GR"/>
                          </w:rPr>
                          <w:t xml:space="preserve"> για το 2024,</w:t>
                        </w:r>
                        <w:r w:rsidRPr="00DC4213">
                          <w:rPr>
                            <w:rFonts w:ascii="Arial" w:hAnsi="Arial" w:cs="Arial"/>
                            <w:sz w:val="19"/>
                            <w:szCs w:val="19"/>
                            <w:lang w:val="el-GR"/>
                          </w:rPr>
                          <w:t xml:space="preserve"> </w:t>
                        </w:r>
                        <w:r w:rsidR="00B93DB8">
                          <w:rPr>
                            <w:rFonts w:ascii="Arial" w:hAnsi="Arial" w:cs="Arial"/>
                            <w:sz w:val="19"/>
                            <w:szCs w:val="19"/>
                            <w:lang w:val="el-GR"/>
                          </w:rPr>
                          <w:t>στο</w:t>
                        </w:r>
                        <w:r w:rsidRPr="00DC4213">
                          <w:rPr>
                            <w:rFonts w:ascii="Arial" w:hAnsi="Arial" w:cs="Arial"/>
                            <w:sz w:val="19"/>
                            <w:szCs w:val="19"/>
                            <w:lang w:val="el-GR"/>
                          </w:rPr>
                          <w:t xml:space="preserve"> </w:t>
                        </w:r>
                        <w:r w:rsidR="000065C1">
                          <w:rPr>
                            <w:rFonts w:ascii="Arial" w:hAnsi="Arial" w:cs="Arial"/>
                            <w:sz w:val="19"/>
                            <w:szCs w:val="19"/>
                            <w:lang w:val="el-GR"/>
                          </w:rPr>
                          <w:t>ανώτατο</w:t>
                        </w:r>
                        <w:r w:rsidRPr="00DC4213">
                          <w:rPr>
                            <w:rFonts w:ascii="Arial" w:hAnsi="Arial" w:cs="Arial"/>
                            <w:sz w:val="19"/>
                            <w:szCs w:val="19"/>
                            <w:lang w:val="el-GR"/>
                          </w:rPr>
                          <w:t xml:space="preserve"> </w:t>
                        </w:r>
                        <w:r w:rsidR="000065C1">
                          <w:rPr>
                            <w:rFonts w:ascii="Arial" w:hAnsi="Arial" w:cs="Arial"/>
                            <w:sz w:val="19"/>
                            <w:szCs w:val="19"/>
                            <w:lang w:val="el-GR"/>
                          </w:rPr>
                          <w:t>όριο</w:t>
                        </w:r>
                        <w:r w:rsidRPr="00DC4213">
                          <w:rPr>
                            <w:rFonts w:ascii="Arial" w:hAnsi="Arial" w:cs="Arial"/>
                            <w:sz w:val="19"/>
                            <w:szCs w:val="19"/>
                            <w:lang w:val="el-GR"/>
                          </w:rPr>
                          <w:t xml:space="preserve"> της Πολιτικής Διανομής του Συγκροτήματος</w:t>
                        </w:r>
                        <w:r w:rsidR="000065C1">
                          <w:rPr>
                            <w:rFonts w:ascii="Arial" w:hAnsi="Arial" w:cs="Arial"/>
                            <w:sz w:val="19"/>
                            <w:szCs w:val="19"/>
                            <w:lang w:val="el-GR"/>
                          </w:rPr>
                          <w:t xml:space="preserve"> (30% - 50%)</w:t>
                        </w:r>
                      </w:p>
                      <w:p w14:paraId="082DB9B6" w14:textId="3AC21D35" w:rsidR="009A0635" w:rsidRPr="00DC4213" w:rsidRDefault="009A0635" w:rsidP="000065C1">
                        <w:pPr>
                          <w:pStyle w:val="ListParagraph"/>
                          <w:numPr>
                            <w:ilvl w:val="0"/>
                            <w:numId w:val="4"/>
                          </w:numPr>
                          <w:spacing w:after="60"/>
                          <w:ind w:left="241" w:right="-79" w:hanging="241"/>
                          <w:jc w:val="both"/>
                          <w:rPr>
                            <w:rFonts w:ascii="Arial" w:hAnsi="Arial" w:cs="Arial"/>
                            <w:sz w:val="19"/>
                            <w:szCs w:val="19"/>
                            <w:lang w:val="el-GR"/>
                          </w:rPr>
                        </w:pPr>
                        <w:r w:rsidRPr="00DC4213">
                          <w:rPr>
                            <w:rFonts w:ascii="Arial" w:hAnsi="Arial" w:cs="Arial"/>
                            <w:sz w:val="19"/>
                            <w:szCs w:val="19"/>
                            <w:lang w:val="el-GR"/>
                          </w:rPr>
                          <w:t>Ενσώματη λογιστική αξία ανά μετοχή ύψους €</w:t>
                        </w:r>
                        <w:r w:rsidR="00760575" w:rsidRPr="00DC4213">
                          <w:rPr>
                            <w:rFonts w:ascii="Arial" w:hAnsi="Arial" w:cs="Arial"/>
                            <w:sz w:val="19"/>
                            <w:szCs w:val="19"/>
                            <w:lang w:val="el-GR"/>
                          </w:rPr>
                          <w:t>5</w:t>
                        </w:r>
                        <w:r w:rsidRPr="00DC4213">
                          <w:rPr>
                            <w:rFonts w:ascii="Arial" w:hAnsi="Arial" w:cs="Arial"/>
                            <w:sz w:val="19"/>
                            <w:szCs w:val="19"/>
                            <w:lang w:val="el-GR"/>
                          </w:rPr>
                          <w:t>.</w:t>
                        </w:r>
                        <w:r w:rsidR="009F4F49" w:rsidRPr="00DC4213">
                          <w:rPr>
                            <w:rFonts w:ascii="Arial" w:hAnsi="Arial" w:cs="Arial"/>
                            <w:sz w:val="19"/>
                            <w:szCs w:val="19"/>
                            <w:lang w:val="el-GR"/>
                          </w:rPr>
                          <w:t>56</w:t>
                        </w:r>
                        <w:r w:rsidR="00D01069" w:rsidRPr="00910A4E">
                          <w:rPr>
                            <w:rFonts w:ascii="Arial" w:hAnsi="Arial" w:cs="Arial"/>
                            <w:sz w:val="19"/>
                            <w:szCs w:val="19"/>
                            <w:vertAlign w:val="superscript"/>
                            <w:lang w:val="el-GR"/>
                          </w:rPr>
                          <w:t>6</w:t>
                        </w:r>
                        <w:r w:rsidR="00573323" w:rsidRPr="00DC4213">
                          <w:rPr>
                            <w:rFonts w:ascii="Arial" w:hAnsi="Arial" w:cs="Arial"/>
                            <w:sz w:val="19"/>
                            <w:szCs w:val="19"/>
                            <w:lang w:val="el-GR"/>
                          </w:rPr>
                          <w:t xml:space="preserve"> </w:t>
                        </w:r>
                        <w:r w:rsidRPr="00DC4213">
                          <w:rPr>
                            <w:rFonts w:ascii="Arial" w:hAnsi="Arial" w:cs="Arial"/>
                            <w:sz w:val="19"/>
                            <w:szCs w:val="19"/>
                            <w:lang w:val="el-GR"/>
                          </w:rPr>
                          <w:t xml:space="preserve">στις </w:t>
                        </w:r>
                        <w:r w:rsidR="00573323" w:rsidRPr="00DC4213">
                          <w:rPr>
                            <w:rFonts w:ascii="Arial" w:hAnsi="Arial" w:cs="Arial"/>
                            <w:sz w:val="19"/>
                            <w:szCs w:val="19"/>
                            <w:lang w:val="el-GR"/>
                          </w:rPr>
                          <w:t xml:space="preserve">30 </w:t>
                        </w:r>
                        <w:r w:rsidR="009F4F49" w:rsidRPr="00DC4213">
                          <w:rPr>
                            <w:rFonts w:ascii="Arial" w:hAnsi="Arial" w:cs="Arial"/>
                            <w:sz w:val="19"/>
                            <w:szCs w:val="19"/>
                            <w:lang w:val="el-GR"/>
                          </w:rPr>
                          <w:t xml:space="preserve">Σεπτεμβρίου </w:t>
                        </w:r>
                        <w:r w:rsidR="00760575" w:rsidRPr="00DC4213">
                          <w:rPr>
                            <w:rFonts w:ascii="Arial" w:hAnsi="Arial" w:cs="Arial"/>
                            <w:sz w:val="19"/>
                            <w:szCs w:val="19"/>
                            <w:lang w:val="el-GR"/>
                          </w:rPr>
                          <w:t>2024</w:t>
                        </w:r>
                        <w:r w:rsidRPr="00DC4213">
                          <w:rPr>
                            <w:rFonts w:ascii="Arial" w:hAnsi="Arial" w:cs="Arial"/>
                            <w:sz w:val="19"/>
                            <w:szCs w:val="19"/>
                            <w:lang w:val="el-GR"/>
                          </w:rPr>
                          <w:t xml:space="preserve">, αυξημένη κατά </w:t>
                        </w:r>
                        <w:r w:rsidR="009F4F49" w:rsidRPr="00DC4213">
                          <w:rPr>
                            <w:rFonts w:ascii="Arial" w:hAnsi="Arial" w:cs="Arial"/>
                            <w:sz w:val="19"/>
                            <w:szCs w:val="19"/>
                            <w:lang w:val="el-GR"/>
                          </w:rPr>
                          <w:t>20</w:t>
                        </w:r>
                        <w:r w:rsidRPr="00DC4213">
                          <w:rPr>
                            <w:rFonts w:ascii="Arial" w:hAnsi="Arial" w:cs="Arial"/>
                            <w:sz w:val="19"/>
                            <w:szCs w:val="19"/>
                            <w:lang w:val="el-GR"/>
                          </w:rPr>
                          <w:t xml:space="preserve">% σε ετήσια βάση </w:t>
                        </w:r>
                      </w:p>
                      <w:p w14:paraId="31E0EF75" w14:textId="352DA492" w:rsidR="00F731CA" w:rsidRPr="00DC4213" w:rsidRDefault="00F731CA" w:rsidP="00502B4F">
                        <w:pPr>
                          <w:spacing w:after="60"/>
                          <w:ind w:right="-81"/>
                          <w:jc w:val="both"/>
                          <w:rPr>
                            <w:rFonts w:ascii="Arial" w:hAnsi="Arial" w:cs="Arial"/>
                            <w:b/>
                            <w:sz w:val="10"/>
                            <w:szCs w:val="10"/>
                            <w:highlight w:val="yellow"/>
                            <w:lang w:val="el-GR"/>
                          </w:rPr>
                        </w:pPr>
                      </w:p>
                      <w:p w14:paraId="1B81F5BF" w14:textId="7A952447" w:rsidR="009A0635" w:rsidRPr="00502B4F" w:rsidRDefault="009F4F49" w:rsidP="00502B4F">
                        <w:pPr>
                          <w:spacing w:after="60"/>
                          <w:ind w:right="-81"/>
                          <w:jc w:val="both"/>
                          <w:rPr>
                            <w:rFonts w:ascii="Arial" w:hAnsi="Arial" w:cs="Arial"/>
                            <w:b/>
                            <w:bCs/>
                            <w:sz w:val="19"/>
                            <w:szCs w:val="19"/>
                            <w:highlight w:val="yellow"/>
                            <w:lang w:val="el-GR"/>
                          </w:rPr>
                        </w:pPr>
                        <w:r w:rsidRPr="00DC4213">
                          <w:rPr>
                            <w:rFonts w:ascii="Arial" w:hAnsi="Arial" w:cs="Arial"/>
                            <w:b/>
                            <w:sz w:val="19"/>
                            <w:szCs w:val="19"/>
                            <w:lang w:val="el-GR"/>
                          </w:rPr>
                          <w:t xml:space="preserve">Εισαγωγή </w:t>
                        </w:r>
                        <w:r w:rsidR="00036F7D" w:rsidRPr="00DC4213">
                          <w:rPr>
                            <w:rFonts w:ascii="Arial" w:hAnsi="Arial" w:cs="Arial"/>
                            <w:b/>
                            <w:sz w:val="19"/>
                            <w:szCs w:val="19"/>
                            <w:lang w:val="el-GR"/>
                          </w:rPr>
                          <w:t>στο Χρηματιστήριο Αθηνών και διαγραφή από το Χρηματιστήριο Αξιών Λονδίνου τον Σεπτέμβριο 2024, με σκοπό την ενίσχυση της ρευστότητας</w:t>
                        </w:r>
                        <w:r w:rsidR="000065C1">
                          <w:rPr>
                            <w:rFonts w:ascii="Arial" w:hAnsi="Arial" w:cs="Arial"/>
                            <w:b/>
                            <w:sz w:val="19"/>
                            <w:szCs w:val="19"/>
                            <w:lang w:val="el-GR"/>
                          </w:rPr>
                          <w:t xml:space="preserve"> διαπραγμάτευσης </w:t>
                        </w:r>
                        <w:r w:rsidR="00036F7D" w:rsidRPr="00DC4213">
                          <w:rPr>
                            <w:rFonts w:ascii="Arial" w:hAnsi="Arial" w:cs="Arial"/>
                            <w:b/>
                            <w:sz w:val="19"/>
                            <w:szCs w:val="19"/>
                            <w:lang w:val="el-GR"/>
                          </w:rPr>
                          <w:t>των συνήθων μετοχών του Συγκροτήματος και την ενίσχυση της παρουσίας του Συγκροτήματος στις αγορές</w:t>
                        </w:r>
                        <w:r w:rsidR="00036F7D" w:rsidRPr="00036F7D" w:rsidDel="009F4F49">
                          <w:rPr>
                            <w:rFonts w:ascii="Arial" w:hAnsi="Arial" w:cs="Arial"/>
                            <w:b/>
                            <w:lang w:val="el-GR"/>
                          </w:rPr>
                          <w:t xml:space="preserve"> </w:t>
                        </w:r>
                      </w:p>
                    </w:tc>
                  </w:tr>
                </w:tbl>
                <w:p w14:paraId="753249D2" w14:textId="77777777" w:rsidR="009A0635" w:rsidRPr="00D41B36" w:rsidRDefault="009A0635" w:rsidP="00A21CB9">
                  <w:pPr>
                    <w:spacing w:after="60"/>
                    <w:ind w:right="-81"/>
                    <w:rPr>
                      <w:rFonts w:ascii="Arial" w:hAnsi="Arial" w:cs="Arial"/>
                      <w:sz w:val="19"/>
                      <w:szCs w:val="19"/>
                      <w:highlight w:val="yellow"/>
                      <w:lang w:val="el-GR"/>
                    </w:rPr>
                  </w:pPr>
                </w:p>
              </w:tc>
            </w:tr>
          </w:tbl>
          <w:p w14:paraId="2A79AE70" w14:textId="788A923E" w:rsidR="009A0635" w:rsidRPr="00D41B36" w:rsidRDefault="00442875" w:rsidP="005C4C9A">
            <w:pPr>
              <w:rPr>
                <w:highlight w:val="yellow"/>
                <w:lang w:val="el-GR"/>
              </w:rPr>
            </w:pPr>
            <w:r w:rsidRPr="00D41B36" w:rsidDel="00442875">
              <w:rPr>
                <w:rFonts w:ascii="Arial" w:hAnsi="Arial" w:cs="Arial"/>
                <w:sz w:val="18"/>
                <w:szCs w:val="18"/>
                <w:highlight w:val="yellow"/>
                <w:lang w:val="el-GR"/>
              </w:rPr>
              <w:t xml:space="preserve"> </w:t>
            </w:r>
          </w:p>
        </w:tc>
      </w:tr>
    </w:tbl>
    <w:p w14:paraId="72E65C11" w14:textId="77777777" w:rsidR="00810CB1" w:rsidRPr="00502B4F" w:rsidRDefault="00810CB1" w:rsidP="009A0635">
      <w:pPr>
        <w:spacing w:after="0" w:line="240" w:lineRule="auto"/>
        <w:jc w:val="both"/>
        <w:rPr>
          <w:rFonts w:ascii="Arial" w:hAnsi="Arial" w:cs="Arial"/>
          <w:sz w:val="8"/>
          <w:szCs w:val="14"/>
          <w:highlight w:val="yellow"/>
          <w:lang w:val="el-GR"/>
        </w:rPr>
      </w:pPr>
    </w:p>
    <w:p w14:paraId="5E4875FE" w14:textId="026683FB" w:rsidR="00810CB1" w:rsidRPr="00502B4F" w:rsidRDefault="00810CB1" w:rsidP="008D10DD">
      <w:pPr>
        <w:pStyle w:val="ListParagraph"/>
        <w:numPr>
          <w:ilvl w:val="0"/>
          <w:numId w:val="13"/>
        </w:numPr>
        <w:jc w:val="both"/>
        <w:rPr>
          <w:rFonts w:ascii="Arial" w:hAnsi="Arial" w:cs="Arial"/>
          <w:sz w:val="16"/>
          <w:lang w:val="el-GR"/>
        </w:rPr>
      </w:pPr>
      <w:r w:rsidRPr="00502B4F">
        <w:rPr>
          <w:rFonts w:ascii="Arial" w:hAnsi="Arial" w:cs="Arial"/>
          <w:sz w:val="16"/>
          <w:lang w:val="el-GR"/>
        </w:rPr>
        <w:t>Πηγή: Υπουργείο Οικονομικών Κύπρου</w:t>
      </w:r>
      <w:r w:rsidR="008A3030" w:rsidRPr="00502B4F">
        <w:rPr>
          <w:rFonts w:ascii="Arial" w:hAnsi="Arial" w:cs="Arial"/>
          <w:sz w:val="16"/>
          <w:lang w:val="el-GR"/>
        </w:rPr>
        <w:t xml:space="preserve">, προβλέψεις </w:t>
      </w:r>
      <w:r w:rsidR="00036F7D" w:rsidRPr="00502B4F">
        <w:rPr>
          <w:rFonts w:ascii="Arial" w:hAnsi="Arial" w:cs="Arial"/>
          <w:sz w:val="16"/>
          <w:lang w:val="el-GR"/>
        </w:rPr>
        <w:t xml:space="preserve">Οκτωβρίου </w:t>
      </w:r>
      <w:r w:rsidR="008A3030" w:rsidRPr="00502B4F">
        <w:rPr>
          <w:rFonts w:ascii="Arial" w:hAnsi="Arial" w:cs="Arial"/>
          <w:sz w:val="16"/>
          <w:lang w:val="el-GR"/>
        </w:rPr>
        <w:t>2024</w:t>
      </w:r>
    </w:p>
    <w:p w14:paraId="1CE3796D" w14:textId="77777777" w:rsidR="00810CB1" w:rsidRPr="00502B4F" w:rsidRDefault="00810CB1" w:rsidP="008D10DD">
      <w:pPr>
        <w:pStyle w:val="ListParagraph"/>
        <w:numPr>
          <w:ilvl w:val="0"/>
          <w:numId w:val="13"/>
        </w:numPr>
        <w:jc w:val="both"/>
        <w:rPr>
          <w:rFonts w:ascii="Arial" w:hAnsi="Arial" w:cs="Arial"/>
          <w:sz w:val="16"/>
          <w:lang w:val="el-GR"/>
        </w:rPr>
      </w:pPr>
      <w:r w:rsidRPr="00502B4F">
        <w:rPr>
          <w:rFonts w:ascii="Arial" w:hAnsi="Arial" w:cs="Arial"/>
          <w:sz w:val="16"/>
          <w:lang w:val="el-GR"/>
        </w:rPr>
        <w:t>Αναπροσαρμοσμένα για τον ειδικό φόρο επί των καταθέσεων και άλλα τέλη/εισφορές</w:t>
      </w:r>
    </w:p>
    <w:p w14:paraId="422CB6F9" w14:textId="261FC1E9" w:rsidR="00036F7D" w:rsidRPr="00502B4F" w:rsidRDefault="009C771A" w:rsidP="00036F7D">
      <w:pPr>
        <w:pStyle w:val="ListParagraph"/>
        <w:numPr>
          <w:ilvl w:val="0"/>
          <w:numId w:val="13"/>
        </w:numPr>
        <w:autoSpaceDE w:val="0"/>
        <w:autoSpaceDN w:val="0"/>
        <w:jc w:val="both"/>
        <w:rPr>
          <w:rFonts w:ascii="Arial" w:hAnsi="Arial" w:cs="Arial"/>
          <w:sz w:val="16"/>
          <w:lang w:val="el-GR"/>
        </w:rPr>
      </w:pPr>
      <w:r w:rsidRPr="009C771A">
        <w:rPr>
          <w:rFonts w:ascii="Arial" w:hAnsi="Arial" w:cs="Arial"/>
          <w:sz w:val="16"/>
          <w:lang w:val="el-GR"/>
        </w:rPr>
        <w:t>Αναπροσαρμοσμένο για τ</w:t>
      </w:r>
      <w:r w:rsidR="00B93DB8">
        <w:rPr>
          <w:rFonts w:ascii="Arial" w:hAnsi="Arial" w:cs="Arial"/>
          <w:sz w:val="16"/>
          <w:lang w:val="el-GR"/>
        </w:rPr>
        <w:t>ο</w:t>
      </w:r>
      <w:r w:rsidRPr="009C771A">
        <w:rPr>
          <w:rFonts w:ascii="Arial" w:hAnsi="Arial" w:cs="Arial"/>
          <w:sz w:val="16"/>
          <w:lang w:val="el-GR"/>
        </w:rPr>
        <w:t xml:space="preserve"> </w:t>
      </w:r>
      <w:r w:rsidR="00B93DB8">
        <w:rPr>
          <w:rFonts w:ascii="Arial" w:hAnsi="Arial" w:cs="Arial"/>
          <w:sz w:val="16"/>
          <w:lang w:val="el-GR"/>
        </w:rPr>
        <w:t>χαρτοφυλάκιο</w:t>
      </w:r>
      <w:r w:rsidRPr="009C771A">
        <w:rPr>
          <w:rFonts w:ascii="Arial" w:hAnsi="Arial" w:cs="Arial"/>
          <w:sz w:val="16"/>
          <w:lang w:val="el-GR"/>
        </w:rPr>
        <w:t xml:space="preserve"> που </w:t>
      </w:r>
      <w:r w:rsidR="00B93DB8">
        <w:rPr>
          <w:rFonts w:ascii="Arial" w:hAnsi="Arial" w:cs="Arial"/>
          <w:sz w:val="16"/>
          <w:lang w:val="el-GR"/>
        </w:rPr>
        <w:t>κατέχεται</w:t>
      </w:r>
      <w:r w:rsidRPr="009C771A">
        <w:rPr>
          <w:rFonts w:ascii="Arial" w:hAnsi="Arial" w:cs="Arial"/>
          <w:sz w:val="16"/>
          <w:lang w:val="el-GR"/>
        </w:rPr>
        <w:t xml:space="preserve"> προς πώληση; </w:t>
      </w:r>
      <w:r w:rsidR="00036F7D" w:rsidRPr="00502B4F">
        <w:rPr>
          <w:rFonts w:ascii="Arial" w:hAnsi="Arial" w:cs="Arial"/>
          <w:sz w:val="16"/>
          <w:lang w:val="el-GR"/>
        </w:rPr>
        <w:t>Συμφωνία για πώληση ενός χαρτοφυλακίου μη εξυπηρετούμενων δανείων, ύψους €27 εκατ. Η πώληση υπόκειται υπό τη λήψη των απαραίτητων εγκρίσεων και αναμένεται να ολοκληρωθεί εντός του α’ εξάμηνου 2025</w:t>
      </w:r>
    </w:p>
    <w:p w14:paraId="3CAB2C5D" w14:textId="7AF5A4A0" w:rsidR="00036F7D" w:rsidRPr="00D01069" w:rsidRDefault="00BC7D38" w:rsidP="00BC7D38">
      <w:pPr>
        <w:pStyle w:val="ListParagraph"/>
        <w:numPr>
          <w:ilvl w:val="0"/>
          <w:numId w:val="13"/>
        </w:numPr>
        <w:jc w:val="both"/>
        <w:rPr>
          <w:rFonts w:ascii="Arial" w:hAnsi="Arial" w:cs="Arial"/>
          <w:sz w:val="16"/>
          <w:lang w:val="el-GR"/>
        </w:rPr>
      </w:pPr>
      <w:r w:rsidRPr="00502B4F">
        <w:rPr>
          <w:rFonts w:ascii="Arial" w:hAnsi="Arial" w:cs="Arial"/>
          <w:sz w:val="16"/>
          <w:lang w:val="el-GR"/>
        </w:rPr>
        <w:t xml:space="preserve">Αύξηση στο Δείκτη Κεφαλαίου Κοινών Μετοχών Κατηγορίας 1 (CET1), πριν την αφαίρεση </w:t>
      </w:r>
      <w:r w:rsidR="000065C1">
        <w:rPr>
          <w:rFonts w:ascii="Arial" w:hAnsi="Arial" w:cs="Arial"/>
          <w:sz w:val="16"/>
          <w:lang w:val="el-GR"/>
        </w:rPr>
        <w:t>σχετικής πρόβλεψης για</w:t>
      </w:r>
      <w:r w:rsidRPr="00502B4F">
        <w:rPr>
          <w:rFonts w:ascii="Arial" w:hAnsi="Arial" w:cs="Arial"/>
          <w:sz w:val="16"/>
          <w:lang w:val="el-GR"/>
        </w:rPr>
        <w:t xml:space="preserve"> </w:t>
      </w:r>
      <w:r w:rsidR="000065C1">
        <w:rPr>
          <w:rFonts w:ascii="Arial" w:hAnsi="Arial" w:cs="Arial"/>
          <w:sz w:val="16"/>
          <w:lang w:val="el-GR"/>
        </w:rPr>
        <w:t>διανομή</w:t>
      </w:r>
    </w:p>
    <w:p w14:paraId="27FDE309" w14:textId="45DE1003" w:rsidR="00D01069" w:rsidRPr="00DC4213" w:rsidRDefault="00D01069" w:rsidP="00DC4213">
      <w:pPr>
        <w:pStyle w:val="ListParagraph"/>
        <w:numPr>
          <w:ilvl w:val="0"/>
          <w:numId w:val="13"/>
        </w:numPr>
        <w:jc w:val="both"/>
        <w:rPr>
          <w:rFonts w:ascii="Arial" w:hAnsi="Arial" w:cs="Arial"/>
          <w:sz w:val="16"/>
          <w:lang w:val="el-GR"/>
        </w:rPr>
      </w:pPr>
      <w:r>
        <w:rPr>
          <w:rFonts w:ascii="Arial" w:hAnsi="Arial" w:cs="Arial"/>
          <w:sz w:val="16"/>
          <w:lang w:val="el-GR"/>
        </w:rPr>
        <w:t>Α</w:t>
      </w:r>
      <w:r w:rsidRPr="00D01069">
        <w:rPr>
          <w:rFonts w:ascii="Arial" w:hAnsi="Arial" w:cs="Arial"/>
          <w:sz w:val="16"/>
          <w:lang w:val="el-GR"/>
        </w:rPr>
        <w:t>νάλογα με τις συνθήκες της αγοράς</w:t>
      </w:r>
      <w:r>
        <w:rPr>
          <w:rFonts w:ascii="Arial" w:hAnsi="Arial" w:cs="Arial"/>
          <w:sz w:val="16"/>
          <w:lang w:val="el-GR"/>
        </w:rPr>
        <w:t xml:space="preserve"> καθώς</w:t>
      </w:r>
      <w:r w:rsidR="00DC4213" w:rsidRPr="00DC4213">
        <w:rPr>
          <w:rFonts w:ascii="Arial" w:hAnsi="Arial" w:cs="Arial"/>
          <w:sz w:val="16"/>
          <w:lang w:val="el-GR"/>
        </w:rPr>
        <w:t xml:space="preserve"> </w:t>
      </w:r>
      <w:r w:rsidR="00DC4213">
        <w:rPr>
          <w:rFonts w:ascii="Arial" w:hAnsi="Arial" w:cs="Arial"/>
          <w:sz w:val="16"/>
          <w:lang w:val="el-GR"/>
        </w:rPr>
        <w:t>επίσης</w:t>
      </w:r>
      <w:r>
        <w:rPr>
          <w:rFonts w:ascii="Arial" w:hAnsi="Arial" w:cs="Arial"/>
          <w:sz w:val="16"/>
          <w:lang w:val="el-GR"/>
        </w:rPr>
        <w:t xml:space="preserve"> και</w:t>
      </w:r>
      <w:r w:rsidR="00DC4213" w:rsidRPr="00DC4213">
        <w:rPr>
          <w:rFonts w:ascii="Arial" w:hAnsi="Arial" w:cs="Arial"/>
          <w:sz w:val="16"/>
          <w:lang w:val="el-GR"/>
        </w:rPr>
        <w:t xml:space="preserve"> τα αποτελέσματα του σχεδιασμού κεφαλαίου και ρευστότητας κατά τη δεδομένη χρονική στιγμή.</w:t>
      </w:r>
    </w:p>
    <w:p w14:paraId="5E76D7EA" w14:textId="0C82BF5F" w:rsidR="00210857" w:rsidRPr="00502B4F" w:rsidRDefault="00437D6E" w:rsidP="00D022B5">
      <w:pPr>
        <w:pStyle w:val="ListParagraph"/>
        <w:numPr>
          <w:ilvl w:val="0"/>
          <w:numId w:val="13"/>
        </w:numPr>
        <w:jc w:val="both"/>
        <w:rPr>
          <w:rFonts w:ascii="Arial" w:hAnsi="Arial" w:cs="Arial"/>
          <w:sz w:val="14"/>
          <w:szCs w:val="22"/>
          <w:lang w:val="el-GR"/>
        </w:rPr>
      </w:pPr>
      <w:r w:rsidRPr="00502B4F">
        <w:rPr>
          <w:rFonts w:ascii="Arial" w:hAnsi="Arial" w:cs="Arial"/>
          <w:sz w:val="16"/>
          <w:szCs w:val="16"/>
          <w:lang w:val="el-GR"/>
        </w:rPr>
        <w:t xml:space="preserve">Υπολογίζεται ως τα ίδια κεφάλαια που αναλογούν στους ιδιοκτήτες της Εταιρίας (εξαιρουμένων των λοιπών συμμετοχικών τίτλων) και μείον των αύλων περιουσιακών στοιχείων/ ως προς τον συνολικό αριθμό κοινών μετοχών μείον των ιδίων μετοχών </w:t>
      </w:r>
      <w:r w:rsidR="00526A45" w:rsidRPr="00502B4F">
        <w:rPr>
          <w:rFonts w:ascii="Arial" w:hAnsi="Arial" w:cs="Arial"/>
          <w:sz w:val="16"/>
          <w:szCs w:val="16"/>
          <w:lang w:val="el-GR"/>
        </w:rPr>
        <w:t>που κατέχονται κατά το τέλος του τριμήνο</w:t>
      </w:r>
      <w:r w:rsidR="00210857">
        <w:rPr>
          <w:rFonts w:ascii="Arial" w:hAnsi="Arial" w:cs="Arial"/>
          <w:sz w:val="16"/>
          <w:szCs w:val="16"/>
          <w:lang w:val="el-GR"/>
        </w:rPr>
        <w:t>υ</w:t>
      </w:r>
    </w:p>
    <w:p w14:paraId="6CB6E592" w14:textId="77777777" w:rsidR="005B7A39" w:rsidRPr="00502B4F" w:rsidRDefault="005B7A39" w:rsidP="00502B4F">
      <w:pPr>
        <w:pStyle w:val="ListParagraph"/>
        <w:rPr>
          <w:sz w:val="14"/>
          <w:highlight w:val="yellow"/>
          <w:lang w:val="el-GR"/>
        </w:rPr>
      </w:pPr>
    </w:p>
    <w:p w14:paraId="68A49B11" w14:textId="77777777" w:rsidR="005B7A39" w:rsidRPr="00502B4F" w:rsidRDefault="00810CB1" w:rsidP="005B7A39">
      <w:pPr>
        <w:spacing w:after="0" w:line="240" w:lineRule="auto"/>
        <w:jc w:val="both"/>
        <w:rPr>
          <w:rFonts w:ascii="Arial" w:hAnsi="Arial" w:cs="Arial"/>
          <w:sz w:val="16"/>
          <w:lang w:val="el-GR"/>
        </w:rPr>
      </w:pPr>
      <w:r w:rsidRPr="00502B4F">
        <w:rPr>
          <w:rFonts w:ascii="Arial" w:hAnsi="Arial" w:cs="Arial"/>
          <w:sz w:val="16"/>
          <w:lang w:val="el-GR"/>
        </w:rPr>
        <w:t>*Τα κύρια σημεία παρουσιάζονται με βάση τα οικονομικά αποτελέσματα στην ‘Υποκείμενη Βάση’.</w:t>
      </w:r>
      <w:bookmarkStart w:id="3" w:name="_Hlk119483714"/>
    </w:p>
    <w:p w14:paraId="392FDAE0" w14:textId="75055541" w:rsidR="00D921BD" w:rsidRPr="00B6561A" w:rsidRDefault="000A2BEF" w:rsidP="005B7A39">
      <w:pPr>
        <w:spacing w:after="0" w:line="240" w:lineRule="auto"/>
        <w:jc w:val="both"/>
        <w:rPr>
          <w:rFonts w:ascii="Arial" w:hAnsi="Arial" w:cs="Arial"/>
          <w:sz w:val="16"/>
          <w:lang w:val="el-GR"/>
        </w:rPr>
      </w:pPr>
      <w:r w:rsidRPr="00B6561A">
        <w:rPr>
          <w:rFonts w:ascii="Arial" w:hAnsi="Arial" w:cs="Arial"/>
          <w:b/>
          <w:color w:val="FF9900"/>
          <w:sz w:val="24"/>
          <w:szCs w:val="18"/>
          <w:lang w:val="el-GR"/>
        </w:rPr>
        <w:lastRenderedPageBreak/>
        <w:t>Δ</w:t>
      </w:r>
      <w:r w:rsidRPr="00B6561A">
        <w:rPr>
          <w:rFonts w:ascii="Arial" w:eastAsia="Times New Roman" w:hAnsi="Arial" w:cs="Arial"/>
          <w:b/>
          <w:bCs/>
          <w:color w:val="FF9900"/>
          <w:sz w:val="24"/>
          <w:szCs w:val="24"/>
          <w:lang w:val="el-GR" w:eastAsia="en-US"/>
        </w:rPr>
        <w:t>ήλωση Διευθύνοντος Συμβούλου Συγκροτήματος</w:t>
      </w:r>
    </w:p>
    <w:p w14:paraId="5994574E" w14:textId="77777777" w:rsidR="000122F2" w:rsidRPr="00FC117A" w:rsidRDefault="000122F2" w:rsidP="000A2BEF">
      <w:pPr>
        <w:spacing w:after="0" w:line="360" w:lineRule="auto"/>
        <w:rPr>
          <w:rFonts w:ascii="Arial" w:eastAsia="Times New Roman" w:hAnsi="Arial" w:cs="Arial"/>
          <w:b/>
          <w:bCs/>
          <w:color w:val="FF9900"/>
          <w:sz w:val="16"/>
          <w:szCs w:val="16"/>
          <w:lang w:val="el-GR" w:eastAsia="en-US"/>
        </w:rPr>
      </w:pPr>
    </w:p>
    <w:p w14:paraId="3E9DB41C" w14:textId="0478170E" w:rsidR="001055A1" w:rsidRPr="00B71A5B" w:rsidRDefault="00A92737" w:rsidP="00A92737">
      <w:pPr>
        <w:spacing w:line="240" w:lineRule="auto"/>
        <w:jc w:val="both"/>
        <w:rPr>
          <w:rFonts w:ascii="Arial" w:hAnsi="Arial" w:cs="Arial"/>
          <w:i/>
          <w:iCs/>
          <w:sz w:val="18"/>
          <w:szCs w:val="18"/>
          <w:lang w:val="el-GR"/>
        </w:rPr>
      </w:pPr>
      <w:r w:rsidRPr="00FC117A">
        <w:rPr>
          <w:rFonts w:ascii="Arial" w:hAnsi="Arial" w:cs="Arial"/>
          <w:i/>
          <w:iCs/>
          <w:sz w:val="18"/>
          <w:szCs w:val="18"/>
          <w:lang w:val="el-GR"/>
        </w:rPr>
        <w:t>«</w:t>
      </w:r>
      <w:r w:rsidR="001055A1" w:rsidRPr="00FC117A">
        <w:rPr>
          <w:rFonts w:ascii="Arial" w:hAnsi="Arial" w:cs="Arial"/>
          <w:i/>
          <w:iCs/>
          <w:sz w:val="18"/>
          <w:szCs w:val="18"/>
          <w:lang w:val="el-GR"/>
        </w:rPr>
        <w:t xml:space="preserve"> Συνεχίζουμε να </w:t>
      </w:r>
      <w:r w:rsidR="00FC117A">
        <w:rPr>
          <w:rFonts w:ascii="Arial" w:hAnsi="Arial" w:cs="Arial"/>
          <w:i/>
          <w:iCs/>
          <w:sz w:val="18"/>
          <w:szCs w:val="18"/>
          <w:lang w:val="el-GR"/>
        </w:rPr>
        <w:t>επιτυγχάνουμε</w:t>
      </w:r>
      <w:r w:rsidR="001055A1" w:rsidRPr="00FC117A">
        <w:rPr>
          <w:rFonts w:ascii="Arial" w:hAnsi="Arial" w:cs="Arial"/>
          <w:i/>
          <w:iCs/>
          <w:sz w:val="18"/>
          <w:szCs w:val="18"/>
          <w:lang w:val="el-GR"/>
        </w:rPr>
        <w:t xml:space="preserve"> ισχυρά οικονομικά και λειτουργικά αποτελέσματα, και να παραμένουμε </w:t>
      </w:r>
      <w:r w:rsidR="00FC117A" w:rsidRPr="00FC117A">
        <w:rPr>
          <w:rFonts w:ascii="Arial" w:hAnsi="Arial" w:cs="Arial"/>
          <w:i/>
          <w:iCs/>
          <w:sz w:val="18"/>
          <w:szCs w:val="18"/>
          <w:lang w:val="el-GR"/>
        </w:rPr>
        <w:t xml:space="preserve">σε καλή θέση </w:t>
      </w:r>
      <w:r w:rsidR="001055A1" w:rsidRPr="00FC117A">
        <w:rPr>
          <w:rFonts w:ascii="Arial" w:hAnsi="Arial" w:cs="Arial"/>
          <w:i/>
          <w:iCs/>
          <w:sz w:val="18"/>
          <w:szCs w:val="18"/>
          <w:lang w:val="el-GR"/>
        </w:rPr>
        <w:t xml:space="preserve">για </w:t>
      </w:r>
      <w:r w:rsidR="00FC117A">
        <w:rPr>
          <w:rFonts w:ascii="Arial" w:hAnsi="Arial" w:cs="Arial"/>
          <w:i/>
          <w:iCs/>
          <w:sz w:val="18"/>
          <w:szCs w:val="18"/>
          <w:lang w:val="el-GR"/>
        </w:rPr>
        <w:t>δημιουργία</w:t>
      </w:r>
      <w:r w:rsidR="001055A1" w:rsidRPr="00FC117A">
        <w:rPr>
          <w:rFonts w:ascii="Arial" w:hAnsi="Arial" w:cs="Arial"/>
          <w:i/>
          <w:iCs/>
          <w:sz w:val="18"/>
          <w:szCs w:val="18"/>
          <w:lang w:val="el-GR"/>
        </w:rPr>
        <w:t xml:space="preserve"> σταθερής κερδοφορίας, </w:t>
      </w:r>
      <w:r w:rsidR="00FC117A">
        <w:rPr>
          <w:rFonts w:ascii="Arial" w:hAnsi="Arial" w:cs="Arial"/>
          <w:i/>
          <w:iCs/>
          <w:sz w:val="18"/>
          <w:szCs w:val="18"/>
          <w:lang w:val="el-GR"/>
        </w:rPr>
        <w:t xml:space="preserve">καθώς </w:t>
      </w:r>
      <w:r w:rsidR="00B93DB8">
        <w:rPr>
          <w:rFonts w:ascii="Arial" w:hAnsi="Arial" w:cs="Arial"/>
          <w:i/>
          <w:iCs/>
          <w:sz w:val="18"/>
          <w:szCs w:val="18"/>
          <w:lang w:val="el-GR"/>
        </w:rPr>
        <w:t xml:space="preserve">μεταβαίνουμε </w:t>
      </w:r>
      <w:r w:rsidR="00FC117A" w:rsidRPr="00FC117A">
        <w:rPr>
          <w:rFonts w:ascii="Arial" w:hAnsi="Arial" w:cs="Arial"/>
          <w:i/>
          <w:iCs/>
          <w:sz w:val="18"/>
          <w:szCs w:val="18"/>
          <w:lang w:val="el-GR"/>
        </w:rPr>
        <w:t xml:space="preserve">σε ένα περιβάλλον </w:t>
      </w:r>
      <w:r w:rsidR="00D15E7D">
        <w:rPr>
          <w:rFonts w:ascii="Arial" w:hAnsi="Arial" w:cs="Arial"/>
          <w:i/>
          <w:iCs/>
          <w:sz w:val="18"/>
          <w:szCs w:val="18"/>
          <w:lang w:val="el-GR"/>
        </w:rPr>
        <w:t>χαμηλότερων</w:t>
      </w:r>
      <w:r w:rsidR="00FC117A" w:rsidRPr="00FC117A">
        <w:rPr>
          <w:rFonts w:ascii="Arial" w:hAnsi="Arial" w:cs="Arial"/>
          <w:i/>
          <w:iCs/>
          <w:sz w:val="18"/>
          <w:szCs w:val="18"/>
          <w:lang w:val="el-GR"/>
        </w:rPr>
        <w:t xml:space="preserve"> </w:t>
      </w:r>
      <w:r w:rsidR="00FC117A" w:rsidRPr="00B71A5B">
        <w:rPr>
          <w:rFonts w:ascii="Arial" w:hAnsi="Arial" w:cs="Arial"/>
          <w:i/>
          <w:iCs/>
          <w:sz w:val="18"/>
          <w:szCs w:val="18"/>
          <w:lang w:val="el-GR"/>
        </w:rPr>
        <w:t xml:space="preserve">επιτοκίων. </w:t>
      </w:r>
      <w:r w:rsidR="001055A1" w:rsidRPr="00B71A5B">
        <w:rPr>
          <w:rFonts w:ascii="Arial" w:hAnsi="Arial" w:cs="Arial"/>
          <w:i/>
          <w:iCs/>
          <w:sz w:val="18"/>
          <w:szCs w:val="18"/>
          <w:lang w:val="el-GR"/>
        </w:rPr>
        <w:t xml:space="preserve"> </w:t>
      </w:r>
    </w:p>
    <w:p w14:paraId="76C9D54E" w14:textId="606B3563" w:rsidR="001D6E95" w:rsidRPr="005443EE" w:rsidRDefault="000065C1" w:rsidP="00B71A5B">
      <w:pPr>
        <w:spacing w:line="240" w:lineRule="auto"/>
        <w:jc w:val="both"/>
        <w:rPr>
          <w:rFonts w:ascii="Arial" w:hAnsi="Arial" w:cs="Arial"/>
          <w:i/>
          <w:iCs/>
          <w:sz w:val="18"/>
          <w:szCs w:val="18"/>
          <w:lang w:val="el-GR"/>
        </w:rPr>
      </w:pPr>
      <w:r w:rsidRPr="000065C1">
        <w:rPr>
          <w:rFonts w:ascii="Arial" w:hAnsi="Arial" w:cs="Arial"/>
          <w:i/>
          <w:iCs/>
          <w:sz w:val="18"/>
          <w:szCs w:val="18"/>
          <w:lang w:val="el-GR"/>
        </w:rPr>
        <w:t>Η ανθεκτικότητα των καθαρών εσόδων</w:t>
      </w:r>
      <w:r>
        <w:rPr>
          <w:rFonts w:ascii="Arial" w:hAnsi="Arial" w:cs="Arial"/>
          <w:i/>
          <w:iCs/>
          <w:sz w:val="18"/>
          <w:szCs w:val="18"/>
          <w:lang w:val="el-GR"/>
        </w:rPr>
        <w:t xml:space="preserve"> </w:t>
      </w:r>
      <w:r w:rsidR="00FC117A" w:rsidRPr="00B71A5B">
        <w:rPr>
          <w:rFonts w:ascii="Arial" w:hAnsi="Arial" w:cs="Arial"/>
          <w:i/>
          <w:iCs/>
          <w:sz w:val="18"/>
          <w:szCs w:val="18"/>
          <w:lang w:val="el-GR"/>
        </w:rPr>
        <w:t>από τόκους, το διαφοροποιημένο επιχειρηματικό μας μοντέλο, η υψηλή ρευστότητα και η ισχυρή ποιότητα δανειακού χαρτοφυλακίου</w:t>
      </w:r>
      <w:r w:rsidR="00B71A5B" w:rsidRPr="00B71A5B">
        <w:rPr>
          <w:rFonts w:ascii="Arial" w:hAnsi="Arial" w:cs="Arial"/>
          <w:i/>
          <w:iCs/>
          <w:sz w:val="18"/>
          <w:szCs w:val="18"/>
          <w:lang w:val="el-GR"/>
        </w:rPr>
        <w:t xml:space="preserve"> ήταν καθοριστικοί παράγοντες </w:t>
      </w:r>
      <w:r w:rsidR="00B71A5B">
        <w:rPr>
          <w:rFonts w:ascii="Arial" w:hAnsi="Arial" w:cs="Arial"/>
          <w:i/>
          <w:iCs/>
          <w:sz w:val="18"/>
          <w:szCs w:val="18"/>
          <w:lang w:val="el-GR"/>
        </w:rPr>
        <w:t xml:space="preserve">στην </w:t>
      </w:r>
      <w:r w:rsidR="00B71A5B" w:rsidRPr="00B71A5B">
        <w:rPr>
          <w:rFonts w:ascii="Arial" w:hAnsi="Arial" w:cs="Arial"/>
          <w:i/>
          <w:iCs/>
          <w:sz w:val="18"/>
          <w:szCs w:val="18"/>
          <w:lang w:val="el-GR"/>
        </w:rPr>
        <w:t>επίτευξη ισχυρής κερδοφορίας.</w:t>
      </w:r>
      <w:r w:rsidR="000F52DE">
        <w:rPr>
          <w:rFonts w:ascii="Arial" w:hAnsi="Arial" w:cs="Arial"/>
          <w:i/>
          <w:iCs/>
          <w:sz w:val="18"/>
          <w:szCs w:val="18"/>
          <w:lang w:val="el-GR"/>
        </w:rPr>
        <w:t xml:space="preserve"> </w:t>
      </w:r>
      <w:r w:rsidR="00A92737" w:rsidRPr="00B71A5B">
        <w:rPr>
          <w:rFonts w:ascii="Arial" w:hAnsi="Arial" w:cs="Arial"/>
          <w:i/>
          <w:iCs/>
          <w:sz w:val="18"/>
          <w:szCs w:val="18"/>
          <w:lang w:val="el-GR"/>
        </w:rPr>
        <w:t>Για</w:t>
      </w:r>
      <w:r w:rsidR="00B71A5B">
        <w:rPr>
          <w:rFonts w:ascii="Arial" w:hAnsi="Arial" w:cs="Arial"/>
          <w:i/>
          <w:iCs/>
          <w:sz w:val="18"/>
          <w:szCs w:val="18"/>
          <w:lang w:val="el-GR"/>
        </w:rPr>
        <w:t xml:space="preserve"> </w:t>
      </w:r>
      <w:r w:rsidR="00B71A5B" w:rsidRPr="00B71A5B">
        <w:rPr>
          <w:rFonts w:ascii="Arial" w:hAnsi="Arial" w:cs="Arial"/>
          <w:i/>
          <w:iCs/>
          <w:sz w:val="18"/>
          <w:szCs w:val="18"/>
          <w:lang w:val="el-GR"/>
        </w:rPr>
        <w:t>έβδομο</w:t>
      </w:r>
      <w:r w:rsidR="00A92737" w:rsidRPr="00B71A5B">
        <w:rPr>
          <w:rFonts w:ascii="Arial" w:hAnsi="Arial" w:cs="Arial"/>
          <w:i/>
          <w:iCs/>
          <w:sz w:val="18"/>
          <w:szCs w:val="18"/>
          <w:lang w:val="el-GR"/>
        </w:rPr>
        <w:t xml:space="preserve"> συνεχόμενο τρίμηνο, σημειώσαμε Απόδοση Ενσώματων Ιδίων </w:t>
      </w:r>
      <w:r w:rsidR="00A92737" w:rsidRPr="00DC2787">
        <w:rPr>
          <w:rFonts w:ascii="Arial" w:hAnsi="Arial" w:cs="Arial"/>
          <w:i/>
          <w:iCs/>
          <w:sz w:val="18"/>
          <w:szCs w:val="18"/>
          <w:lang w:val="el-GR"/>
        </w:rPr>
        <w:t>Κεφαλαίων (ROTE) υψηλότερη από 20%,</w:t>
      </w:r>
      <w:r w:rsidR="00B71A5B" w:rsidRPr="00DC2787">
        <w:rPr>
          <w:rFonts w:ascii="Arial" w:hAnsi="Arial" w:cs="Arial"/>
          <w:i/>
          <w:iCs/>
          <w:sz w:val="18"/>
          <w:szCs w:val="18"/>
          <w:lang w:val="el-GR"/>
        </w:rPr>
        <w:t xml:space="preserve"> </w:t>
      </w:r>
      <w:r w:rsidR="00543B24">
        <w:rPr>
          <w:rFonts w:ascii="Arial" w:hAnsi="Arial" w:cs="Arial"/>
          <w:i/>
          <w:iCs/>
          <w:sz w:val="18"/>
          <w:szCs w:val="18"/>
          <w:lang w:val="el-GR"/>
        </w:rPr>
        <w:t>παρά την ραγδαία αύξηση της κεφαλαιακής μας βάσης</w:t>
      </w:r>
      <w:r w:rsidR="00B71A5B" w:rsidRPr="00DC2787">
        <w:rPr>
          <w:rFonts w:ascii="Arial" w:hAnsi="Arial" w:cs="Arial"/>
          <w:i/>
          <w:iCs/>
          <w:sz w:val="18"/>
          <w:szCs w:val="18"/>
          <w:lang w:val="el-GR"/>
        </w:rPr>
        <w:t>.</w:t>
      </w:r>
      <w:r w:rsidR="00543B24">
        <w:rPr>
          <w:rFonts w:ascii="Arial" w:hAnsi="Arial" w:cs="Arial"/>
          <w:i/>
          <w:iCs/>
          <w:sz w:val="18"/>
          <w:szCs w:val="18"/>
          <w:lang w:val="el-GR"/>
        </w:rPr>
        <w:t xml:space="preserve"> </w:t>
      </w:r>
      <w:r w:rsidR="00B71A5B" w:rsidRPr="00DC2787">
        <w:rPr>
          <w:rFonts w:ascii="Arial" w:hAnsi="Arial" w:cs="Arial"/>
          <w:i/>
          <w:iCs/>
          <w:sz w:val="18"/>
          <w:szCs w:val="18"/>
          <w:lang w:val="el-GR"/>
        </w:rPr>
        <w:t>Συνολικά</w:t>
      </w:r>
      <w:r w:rsidR="00DC2787" w:rsidRPr="00DC2787">
        <w:rPr>
          <w:rFonts w:ascii="Arial" w:hAnsi="Arial" w:cs="Arial"/>
          <w:i/>
          <w:iCs/>
          <w:sz w:val="18"/>
          <w:szCs w:val="18"/>
          <w:lang w:val="el-GR"/>
        </w:rPr>
        <w:t xml:space="preserve">, </w:t>
      </w:r>
      <w:r w:rsidR="00B71A5B" w:rsidRPr="00DC2787">
        <w:rPr>
          <w:rFonts w:ascii="Arial" w:hAnsi="Arial" w:cs="Arial"/>
          <w:i/>
          <w:iCs/>
          <w:sz w:val="18"/>
          <w:szCs w:val="18"/>
          <w:lang w:val="el-GR"/>
        </w:rPr>
        <w:t xml:space="preserve">κατά το </w:t>
      </w:r>
      <w:r w:rsidR="007A2F9B">
        <w:rPr>
          <w:rFonts w:ascii="Arial" w:hAnsi="Arial" w:cs="Arial"/>
          <w:i/>
          <w:iCs/>
          <w:sz w:val="18"/>
          <w:szCs w:val="18"/>
          <w:lang w:val="el-GR"/>
        </w:rPr>
        <w:t>εννεάμηνο</w:t>
      </w:r>
      <w:r w:rsidR="00B71A5B" w:rsidRPr="00DC2787">
        <w:rPr>
          <w:rFonts w:ascii="Arial" w:hAnsi="Arial" w:cs="Arial"/>
          <w:i/>
          <w:iCs/>
          <w:sz w:val="18"/>
          <w:szCs w:val="18"/>
          <w:lang w:val="el-GR"/>
        </w:rPr>
        <w:t xml:space="preserve"> που έληξε στις 30 Σεπτεμβρίου 2024</w:t>
      </w:r>
      <w:r w:rsidR="001D6E95" w:rsidRPr="00DC2787">
        <w:rPr>
          <w:rFonts w:ascii="Arial" w:hAnsi="Arial" w:cs="Arial"/>
          <w:i/>
          <w:iCs/>
          <w:sz w:val="18"/>
          <w:szCs w:val="18"/>
          <w:lang w:val="el-GR"/>
        </w:rPr>
        <w:t xml:space="preserve"> καταγράψαμε κέρδη μετά τη φορολογία ύψους €401 εκατ.,</w:t>
      </w:r>
      <w:r w:rsidR="00DC2787" w:rsidRPr="00DC2787">
        <w:rPr>
          <w:rFonts w:ascii="Arial" w:hAnsi="Arial" w:cs="Arial"/>
          <w:i/>
          <w:iCs/>
          <w:sz w:val="18"/>
          <w:szCs w:val="18"/>
          <w:lang w:val="el-GR"/>
        </w:rPr>
        <w:t xml:space="preserve"> </w:t>
      </w:r>
      <w:r w:rsidR="001D6E95" w:rsidRPr="00DC2787">
        <w:rPr>
          <w:rFonts w:ascii="Arial" w:hAnsi="Arial" w:cs="Arial"/>
          <w:i/>
          <w:iCs/>
          <w:sz w:val="18"/>
          <w:szCs w:val="18"/>
          <w:lang w:val="el-GR"/>
        </w:rPr>
        <w:t xml:space="preserve">που αναλογούν σε </w:t>
      </w:r>
      <w:r w:rsidR="00B71A5B" w:rsidRPr="00DC2787">
        <w:rPr>
          <w:rFonts w:ascii="Arial" w:hAnsi="Arial" w:cs="Arial"/>
          <w:i/>
          <w:iCs/>
          <w:sz w:val="18"/>
          <w:szCs w:val="18"/>
          <w:lang w:val="el-GR"/>
        </w:rPr>
        <w:t>βασικά κέρδη ανά μετοχή ύψους €0.</w:t>
      </w:r>
      <w:r w:rsidR="001D6E95" w:rsidRPr="00DC2787">
        <w:rPr>
          <w:rFonts w:ascii="Arial" w:hAnsi="Arial" w:cs="Arial"/>
          <w:i/>
          <w:iCs/>
          <w:sz w:val="18"/>
          <w:szCs w:val="18"/>
          <w:lang w:val="el-GR"/>
        </w:rPr>
        <w:t>90 και Απόδοση Ενσώματων Ιδίων Κεφαλαίων (ROTE) ύψους 22.9%</w:t>
      </w:r>
      <w:r w:rsidR="00DC2787" w:rsidRPr="00DC2787">
        <w:rPr>
          <w:rFonts w:ascii="Arial" w:hAnsi="Arial" w:cs="Arial"/>
          <w:i/>
          <w:iCs/>
          <w:sz w:val="18"/>
          <w:szCs w:val="18"/>
          <w:lang w:val="el-GR"/>
        </w:rPr>
        <w:t xml:space="preserve">, και </w:t>
      </w:r>
      <w:r w:rsidR="00543B24">
        <w:rPr>
          <w:rFonts w:ascii="Arial" w:hAnsi="Arial" w:cs="Arial"/>
          <w:i/>
          <w:iCs/>
          <w:sz w:val="18"/>
          <w:szCs w:val="18"/>
          <w:lang w:val="el-GR"/>
        </w:rPr>
        <w:t>αντανακλούν</w:t>
      </w:r>
      <w:r w:rsidR="00DC2787" w:rsidRPr="00DC2787">
        <w:rPr>
          <w:rFonts w:ascii="Arial" w:hAnsi="Arial" w:cs="Arial"/>
          <w:i/>
          <w:iCs/>
          <w:sz w:val="18"/>
          <w:szCs w:val="18"/>
          <w:lang w:val="el-GR"/>
        </w:rPr>
        <w:t xml:space="preserve"> σε ισχυρή αύξηση της ενσώματης </w:t>
      </w:r>
      <w:r w:rsidR="00DC2787" w:rsidRPr="005443EE">
        <w:rPr>
          <w:rFonts w:ascii="Arial" w:hAnsi="Arial" w:cs="Arial"/>
          <w:i/>
          <w:iCs/>
          <w:sz w:val="18"/>
          <w:szCs w:val="18"/>
          <w:lang w:val="el-GR"/>
        </w:rPr>
        <w:t xml:space="preserve">λογιστικής αξίας ανά μετοχή, </w:t>
      </w:r>
      <w:r w:rsidR="000C0A04" w:rsidRPr="005443EE">
        <w:rPr>
          <w:rFonts w:ascii="Arial" w:hAnsi="Arial" w:cs="Arial"/>
          <w:i/>
          <w:iCs/>
          <w:sz w:val="18"/>
          <w:szCs w:val="18"/>
          <w:lang w:val="el-GR"/>
        </w:rPr>
        <w:t>ξεπερνώντας σημαντικά τους στόχους του 2024</w:t>
      </w:r>
      <w:r w:rsidR="00DC2787" w:rsidRPr="005443EE">
        <w:rPr>
          <w:rFonts w:ascii="Arial" w:hAnsi="Arial" w:cs="Arial"/>
          <w:i/>
          <w:iCs/>
          <w:sz w:val="18"/>
          <w:szCs w:val="18"/>
          <w:lang w:val="el-GR"/>
        </w:rPr>
        <w:t xml:space="preserve">. </w:t>
      </w:r>
    </w:p>
    <w:p w14:paraId="78D1E866" w14:textId="66E1E963" w:rsidR="00DC2787" w:rsidRDefault="000C0A04" w:rsidP="00B71A5B">
      <w:pPr>
        <w:spacing w:line="240" w:lineRule="auto"/>
        <w:jc w:val="both"/>
        <w:rPr>
          <w:rFonts w:ascii="Arial" w:hAnsi="Arial" w:cs="Arial"/>
          <w:i/>
          <w:iCs/>
          <w:sz w:val="18"/>
          <w:szCs w:val="18"/>
          <w:lang w:val="el-GR"/>
        </w:rPr>
      </w:pPr>
      <w:r w:rsidRPr="005443EE">
        <w:rPr>
          <w:rFonts w:ascii="Arial" w:hAnsi="Arial" w:cs="Arial"/>
          <w:i/>
          <w:iCs/>
          <w:sz w:val="18"/>
          <w:szCs w:val="18"/>
          <w:lang w:val="el-GR"/>
        </w:rPr>
        <w:t xml:space="preserve">Έχουμε επιτύχει οργανική δημιουργία κεφαλαίων ύψους 355 </w:t>
      </w:r>
      <w:proofErr w:type="spellStart"/>
      <w:r w:rsidRPr="005443EE">
        <w:rPr>
          <w:rFonts w:ascii="Arial" w:hAnsi="Arial" w:cs="Arial"/>
          <w:i/>
          <w:iCs/>
          <w:sz w:val="18"/>
          <w:szCs w:val="18"/>
          <w:lang w:val="el-GR"/>
        </w:rPr>
        <w:t>μ.β</w:t>
      </w:r>
      <w:proofErr w:type="spellEnd"/>
      <w:r w:rsidRPr="005443EE">
        <w:rPr>
          <w:rFonts w:ascii="Arial" w:hAnsi="Arial" w:cs="Arial"/>
          <w:i/>
          <w:iCs/>
          <w:sz w:val="18"/>
          <w:szCs w:val="18"/>
          <w:lang w:val="el-GR"/>
        </w:rPr>
        <w:t xml:space="preserve">. για το </w:t>
      </w:r>
      <w:r w:rsidR="007A2F9B">
        <w:rPr>
          <w:rFonts w:ascii="Arial" w:hAnsi="Arial" w:cs="Arial"/>
          <w:i/>
          <w:iCs/>
          <w:sz w:val="18"/>
          <w:szCs w:val="18"/>
          <w:lang w:val="el-GR"/>
        </w:rPr>
        <w:t>εννεάμηνο</w:t>
      </w:r>
      <w:r w:rsidRPr="005443EE">
        <w:rPr>
          <w:rFonts w:ascii="Arial" w:hAnsi="Arial" w:cs="Arial"/>
          <w:i/>
          <w:iCs/>
          <w:sz w:val="18"/>
          <w:szCs w:val="18"/>
          <w:lang w:val="el-GR"/>
        </w:rPr>
        <w:t xml:space="preserve"> που έληξε στις 30 Σεπτεμβρίου 2024, ξεπερνώντας τον στόχο που θέσαμε για δημιουργία κεφαλαίων μεγαλύτερη από 300 </w:t>
      </w:r>
      <w:proofErr w:type="spellStart"/>
      <w:r w:rsidRPr="005443EE">
        <w:rPr>
          <w:rFonts w:ascii="Arial" w:hAnsi="Arial" w:cs="Arial"/>
          <w:i/>
          <w:iCs/>
          <w:sz w:val="18"/>
          <w:szCs w:val="18"/>
          <w:lang w:val="el-GR"/>
        </w:rPr>
        <w:t>μ.β</w:t>
      </w:r>
      <w:proofErr w:type="spellEnd"/>
      <w:r w:rsidRPr="005443EE">
        <w:rPr>
          <w:rFonts w:ascii="Arial" w:hAnsi="Arial" w:cs="Arial"/>
          <w:i/>
          <w:iCs/>
          <w:sz w:val="18"/>
          <w:szCs w:val="18"/>
          <w:lang w:val="el-GR"/>
        </w:rPr>
        <w:t xml:space="preserve"> για το 2024. Ο Δείκτης Κεφαλαίου Κοινών Μετοχών Κατηγορίας 1 (CET1) και ο Συνολικός Δείκτης Κεφαλαιακής Επάρκειας</w:t>
      </w:r>
      <w:r w:rsidR="005443EE" w:rsidRPr="005443EE">
        <w:rPr>
          <w:rFonts w:ascii="Arial" w:hAnsi="Arial" w:cs="Arial"/>
          <w:i/>
          <w:iCs/>
          <w:sz w:val="18"/>
          <w:szCs w:val="18"/>
          <w:lang w:val="el-GR"/>
        </w:rPr>
        <w:t xml:space="preserve"> </w:t>
      </w:r>
      <w:r w:rsidRPr="005443EE">
        <w:rPr>
          <w:rFonts w:ascii="Arial" w:hAnsi="Arial" w:cs="Arial"/>
          <w:i/>
          <w:iCs/>
          <w:sz w:val="18"/>
          <w:szCs w:val="18"/>
          <w:lang w:val="el-GR"/>
        </w:rPr>
        <w:t>παραμένουν ισχυροί,</w:t>
      </w:r>
      <w:r w:rsidR="002F0FF8">
        <w:rPr>
          <w:rFonts w:ascii="Arial" w:hAnsi="Arial" w:cs="Arial"/>
          <w:i/>
          <w:iCs/>
          <w:sz w:val="18"/>
          <w:szCs w:val="18"/>
          <w:lang w:val="el-GR"/>
        </w:rPr>
        <w:t xml:space="preserve"> </w:t>
      </w:r>
      <w:r w:rsidRPr="005443EE">
        <w:rPr>
          <w:rFonts w:ascii="Arial" w:hAnsi="Arial" w:cs="Arial"/>
          <w:i/>
          <w:iCs/>
          <w:sz w:val="18"/>
          <w:szCs w:val="18"/>
          <w:lang w:val="el-GR"/>
        </w:rPr>
        <w:t xml:space="preserve">και </w:t>
      </w:r>
      <w:r w:rsidR="005443EE" w:rsidRPr="005443EE">
        <w:rPr>
          <w:rFonts w:ascii="Arial" w:hAnsi="Arial" w:cs="Arial"/>
          <w:i/>
          <w:iCs/>
          <w:sz w:val="18"/>
          <w:szCs w:val="18"/>
          <w:lang w:val="el-GR"/>
        </w:rPr>
        <w:t>ανέρχονται</w:t>
      </w:r>
      <w:r w:rsidRPr="005443EE">
        <w:rPr>
          <w:rFonts w:ascii="Arial" w:hAnsi="Arial" w:cs="Arial"/>
          <w:i/>
          <w:iCs/>
          <w:sz w:val="18"/>
          <w:szCs w:val="18"/>
          <w:lang w:val="el-GR"/>
        </w:rPr>
        <w:t xml:space="preserve"> σε 19.1% και 24.3% </w:t>
      </w:r>
      <w:r w:rsidR="005443EE" w:rsidRPr="005443EE">
        <w:rPr>
          <w:rFonts w:ascii="Arial" w:hAnsi="Arial" w:cs="Arial"/>
          <w:i/>
          <w:iCs/>
          <w:sz w:val="18"/>
          <w:szCs w:val="18"/>
          <w:lang w:val="el-GR"/>
        </w:rPr>
        <w:t>αντίστοιχα</w:t>
      </w:r>
      <w:r w:rsidRPr="005443EE">
        <w:rPr>
          <w:rFonts w:ascii="Arial" w:hAnsi="Arial" w:cs="Arial"/>
          <w:i/>
          <w:iCs/>
          <w:sz w:val="18"/>
          <w:szCs w:val="18"/>
          <w:lang w:val="el-GR"/>
        </w:rPr>
        <w:t>,</w:t>
      </w:r>
      <w:r w:rsidR="005443EE" w:rsidRPr="005443EE">
        <w:rPr>
          <w:rFonts w:ascii="Arial" w:hAnsi="Arial" w:cs="Arial"/>
          <w:i/>
          <w:iCs/>
          <w:sz w:val="18"/>
          <w:szCs w:val="18"/>
          <w:lang w:val="el-GR"/>
        </w:rPr>
        <w:t xml:space="preserve"> μετά </w:t>
      </w:r>
      <w:r w:rsidR="000065C1">
        <w:rPr>
          <w:rFonts w:ascii="Arial" w:hAnsi="Arial" w:cs="Arial"/>
          <w:i/>
          <w:iCs/>
          <w:sz w:val="18"/>
          <w:szCs w:val="18"/>
          <w:lang w:val="el-GR"/>
        </w:rPr>
        <w:t>την</w:t>
      </w:r>
      <w:r w:rsidR="00543B24">
        <w:rPr>
          <w:rFonts w:ascii="Arial" w:hAnsi="Arial" w:cs="Arial"/>
          <w:i/>
          <w:iCs/>
          <w:sz w:val="18"/>
          <w:szCs w:val="18"/>
          <w:lang w:val="el-GR"/>
        </w:rPr>
        <w:t xml:space="preserve"> </w:t>
      </w:r>
      <w:r w:rsidR="005443EE" w:rsidRPr="005443EE">
        <w:rPr>
          <w:rFonts w:ascii="Arial" w:hAnsi="Arial" w:cs="Arial"/>
          <w:i/>
          <w:iCs/>
          <w:sz w:val="18"/>
          <w:szCs w:val="18"/>
          <w:lang w:val="el-GR"/>
        </w:rPr>
        <w:t>πρόβλεψη για</w:t>
      </w:r>
      <w:r w:rsidR="000065C1">
        <w:rPr>
          <w:rFonts w:ascii="Arial" w:hAnsi="Arial" w:cs="Arial"/>
          <w:i/>
          <w:iCs/>
          <w:sz w:val="18"/>
          <w:szCs w:val="18"/>
          <w:lang w:val="el-GR"/>
        </w:rPr>
        <w:t xml:space="preserve"> </w:t>
      </w:r>
      <w:r w:rsidR="005443EE" w:rsidRPr="005443EE">
        <w:rPr>
          <w:rFonts w:ascii="Arial" w:hAnsi="Arial" w:cs="Arial"/>
          <w:i/>
          <w:iCs/>
          <w:sz w:val="18"/>
          <w:szCs w:val="18"/>
          <w:lang w:val="el-GR"/>
        </w:rPr>
        <w:t>διανομή</w:t>
      </w:r>
      <w:r w:rsidR="000065C1">
        <w:rPr>
          <w:rFonts w:ascii="Arial" w:hAnsi="Arial" w:cs="Arial"/>
          <w:i/>
          <w:iCs/>
          <w:sz w:val="18"/>
          <w:szCs w:val="18"/>
          <w:vertAlign w:val="superscript"/>
          <w:lang w:val="el-GR"/>
        </w:rPr>
        <w:t xml:space="preserve"> </w:t>
      </w:r>
      <w:r w:rsidR="005443EE" w:rsidRPr="005443EE">
        <w:rPr>
          <w:rFonts w:ascii="Arial" w:hAnsi="Arial" w:cs="Arial"/>
          <w:i/>
          <w:iCs/>
          <w:sz w:val="18"/>
          <w:szCs w:val="18"/>
          <w:lang w:val="el-GR"/>
        </w:rPr>
        <w:t>50% της κερδοφορίας του 2024</w:t>
      </w:r>
      <w:r w:rsidR="005443EE" w:rsidRPr="005443EE">
        <w:rPr>
          <w:rFonts w:ascii="Arial" w:hAnsi="Arial" w:cs="Arial"/>
          <w:i/>
          <w:iCs/>
          <w:sz w:val="18"/>
          <w:szCs w:val="18"/>
          <w:vertAlign w:val="superscript"/>
          <w:lang w:val="el-GR"/>
        </w:rPr>
        <w:t>1</w:t>
      </w:r>
      <w:r w:rsidR="000065C1">
        <w:rPr>
          <w:rFonts w:ascii="Arial" w:hAnsi="Arial" w:cs="Arial"/>
          <w:i/>
          <w:iCs/>
          <w:sz w:val="18"/>
          <w:szCs w:val="18"/>
          <w:vertAlign w:val="superscript"/>
          <w:lang w:val="el-GR"/>
        </w:rPr>
        <w:t xml:space="preserve">, </w:t>
      </w:r>
      <w:r w:rsidR="000065C1">
        <w:rPr>
          <w:rFonts w:ascii="Arial" w:hAnsi="Arial" w:cs="Arial"/>
          <w:i/>
          <w:iCs/>
          <w:sz w:val="18"/>
          <w:szCs w:val="18"/>
          <w:lang w:val="el-GR"/>
        </w:rPr>
        <w:t>σύμφωνα με τον στόχο μας.</w:t>
      </w:r>
      <w:r w:rsidR="002F0FF8">
        <w:rPr>
          <w:rFonts w:ascii="Arial" w:hAnsi="Arial" w:cs="Arial"/>
          <w:i/>
          <w:iCs/>
          <w:sz w:val="18"/>
          <w:szCs w:val="18"/>
          <w:lang w:val="el-GR"/>
        </w:rPr>
        <w:t xml:space="preserve"> </w:t>
      </w:r>
      <w:r w:rsidR="005443EE">
        <w:rPr>
          <w:rFonts w:ascii="Arial" w:hAnsi="Arial" w:cs="Arial"/>
          <w:i/>
          <w:iCs/>
          <w:sz w:val="18"/>
          <w:szCs w:val="18"/>
          <w:lang w:val="el-GR"/>
        </w:rPr>
        <w:t xml:space="preserve">Είμαστε ιδιαίτερα </w:t>
      </w:r>
      <w:r w:rsidR="00543B24">
        <w:rPr>
          <w:rFonts w:ascii="Arial" w:hAnsi="Arial" w:cs="Arial"/>
          <w:i/>
          <w:iCs/>
          <w:sz w:val="18"/>
          <w:szCs w:val="18"/>
          <w:lang w:val="el-GR"/>
        </w:rPr>
        <w:t>ικανοποιημένοι</w:t>
      </w:r>
      <w:r w:rsidR="005443EE">
        <w:rPr>
          <w:rFonts w:ascii="Arial" w:hAnsi="Arial" w:cs="Arial"/>
          <w:i/>
          <w:iCs/>
          <w:sz w:val="18"/>
          <w:szCs w:val="18"/>
          <w:lang w:val="el-GR"/>
        </w:rPr>
        <w:t xml:space="preserve"> που</w:t>
      </w:r>
      <w:r w:rsidR="000065C1">
        <w:rPr>
          <w:rFonts w:ascii="Arial" w:hAnsi="Arial" w:cs="Arial"/>
          <w:i/>
          <w:iCs/>
          <w:sz w:val="18"/>
          <w:szCs w:val="18"/>
          <w:lang w:val="el-GR"/>
        </w:rPr>
        <w:t xml:space="preserve"> βάση της προκαταρτικής απόφασης ΔΕΕΑ</w:t>
      </w:r>
      <w:r w:rsidR="005F3392">
        <w:rPr>
          <w:rFonts w:ascii="Arial" w:hAnsi="Arial" w:cs="Arial"/>
          <w:i/>
          <w:iCs/>
          <w:sz w:val="18"/>
          <w:szCs w:val="18"/>
          <w:vertAlign w:val="superscript"/>
          <w:lang w:val="el-GR"/>
        </w:rPr>
        <w:t>2</w:t>
      </w:r>
      <w:r w:rsidR="00993445">
        <w:rPr>
          <w:rFonts w:ascii="Arial" w:hAnsi="Arial" w:cs="Arial"/>
          <w:i/>
          <w:iCs/>
          <w:sz w:val="18"/>
          <w:szCs w:val="18"/>
          <w:lang w:val="el-GR"/>
        </w:rPr>
        <w:t>,</w:t>
      </w:r>
      <w:r w:rsidR="005443EE">
        <w:rPr>
          <w:rFonts w:ascii="Arial" w:hAnsi="Arial" w:cs="Arial"/>
          <w:i/>
          <w:iCs/>
          <w:sz w:val="18"/>
          <w:szCs w:val="18"/>
          <w:lang w:val="el-GR"/>
        </w:rPr>
        <w:t xml:space="preserve"> η υφιστάμενη απαίτηση για </w:t>
      </w:r>
      <w:r w:rsidR="005443EE" w:rsidRPr="005443EE">
        <w:rPr>
          <w:rFonts w:ascii="Arial" w:hAnsi="Arial" w:cs="Arial"/>
          <w:i/>
          <w:iCs/>
          <w:sz w:val="18"/>
          <w:szCs w:val="18"/>
          <w:lang w:val="el-GR"/>
        </w:rPr>
        <w:t xml:space="preserve">εποπτική </w:t>
      </w:r>
      <w:r w:rsidR="005443EE">
        <w:rPr>
          <w:rFonts w:ascii="Arial" w:hAnsi="Arial" w:cs="Arial"/>
          <w:i/>
          <w:iCs/>
          <w:sz w:val="18"/>
          <w:szCs w:val="18"/>
          <w:lang w:val="el-GR"/>
        </w:rPr>
        <w:t>έγκριση για την καταβολή μερίσματος αναμένεται να αρθεί τον Ιανουάριο 2025</w:t>
      </w:r>
      <w:r w:rsidR="00993445">
        <w:rPr>
          <w:rFonts w:ascii="Arial" w:hAnsi="Arial" w:cs="Arial"/>
          <w:i/>
          <w:iCs/>
          <w:sz w:val="18"/>
          <w:szCs w:val="18"/>
          <w:lang w:val="el-GR"/>
        </w:rPr>
        <w:t xml:space="preserve">. </w:t>
      </w:r>
      <w:r w:rsidR="005443EE">
        <w:rPr>
          <w:rFonts w:ascii="Arial" w:hAnsi="Arial" w:cs="Arial"/>
          <w:i/>
          <w:iCs/>
          <w:sz w:val="18"/>
          <w:szCs w:val="18"/>
          <w:lang w:val="el-GR"/>
        </w:rPr>
        <w:t xml:space="preserve">Η ποιότητα του δανειακού μας χαρτοφυλακίου παραμένει </w:t>
      </w:r>
      <w:r w:rsidR="00BE39DE" w:rsidRPr="00BE39DE">
        <w:rPr>
          <w:rFonts w:ascii="Arial" w:hAnsi="Arial" w:cs="Arial"/>
          <w:i/>
          <w:iCs/>
          <w:sz w:val="18"/>
          <w:szCs w:val="18"/>
          <w:lang w:val="el-GR"/>
        </w:rPr>
        <w:t>υγιής</w:t>
      </w:r>
      <w:r w:rsidR="005443EE">
        <w:rPr>
          <w:rFonts w:ascii="Arial" w:hAnsi="Arial" w:cs="Arial"/>
          <w:i/>
          <w:iCs/>
          <w:sz w:val="18"/>
          <w:szCs w:val="18"/>
          <w:lang w:val="el-GR"/>
        </w:rPr>
        <w:t>, γεγονός που αποδεικνύεται από το π</w:t>
      </w:r>
      <w:r w:rsidR="005443EE" w:rsidRPr="005443EE">
        <w:rPr>
          <w:rFonts w:ascii="Arial" w:hAnsi="Arial" w:cs="Arial"/>
          <w:i/>
          <w:iCs/>
          <w:sz w:val="18"/>
          <w:szCs w:val="18"/>
          <w:lang w:val="el-GR"/>
        </w:rPr>
        <w:t xml:space="preserve">οσοστό ΜΕΔ προς δάνεια </w:t>
      </w:r>
      <w:r w:rsidR="005443EE">
        <w:rPr>
          <w:rFonts w:ascii="Arial" w:hAnsi="Arial" w:cs="Arial"/>
          <w:i/>
          <w:iCs/>
          <w:sz w:val="18"/>
          <w:szCs w:val="18"/>
          <w:lang w:val="el-GR"/>
        </w:rPr>
        <w:t xml:space="preserve">ύψους  </w:t>
      </w:r>
      <w:r w:rsidR="005443EE" w:rsidRPr="005443EE">
        <w:rPr>
          <w:rFonts w:ascii="Arial" w:hAnsi="Arial" w:cs="Arial"/>
          <w:i/>
          <w:iCs/>
          <w:sz w:val="18"/>
          <w:szCs w:val="18"/>
          <w:lang w:val="el-GR"/>
        </w:rPr>
        <w:t>2.4%</w:t>
      </w:r>
      <w:r w:rsidR="005F3392">
        <w:rPr>
          <w:rFonts w:ascii="Arial" w:hAnsi="Arial" w:cs="Arial"/>
          <w:i/>
          <w:iCs/>
          <w:sz w:val="18"/>
          <w:szCs w:val="18"/>
          <w:vertAlign w:val="superscript"/>
          <w:lang w:val="el-GR"/>
        </w:rPr>
        <w:t>3</w:t>
      </w:r>
      <w:r w:rsidR="005443EE">
        <w:rPr>
          <w:rFonts w:ascii="Arial" w:hAnsi="Arial" w:cs="Arial"/>
          <w:i/>
          <w:iCs/>
          <w:sz w:val="18"/>
          <w:szCs w:val="18"/>
          <w:lang w:val="el-GR"/>
        </w:rPr>
        <w:t xml:space="preserve">, καθώς και από τον δείκτη κάλυψης ΜΕΔ που ξεπερνά το 95%.  </w:t>
      </w:r>
    </w:p>
    <w:p w14:paraId="77089F91" w14:textId="00D460C0" w:rsidR="00A92737" w:rsidRPr="00BE39DE" w:rsidRDefault="00A92737" w:rsidP="00BE39DE">
      <w:pPr>
        <w:spacing w:line="240" w:lineRule="auto"/>
        <w:jc w:val="both"/>
        <w:rPr>
          <w:rFonts w:ascii="Arial" w:hAnsi="Arial" w:cs="Arial"/>
          <w:i/>
          <w:iCs/>
          <w:sz w:val="18"/>
          <w:szCs w:val="18"/>
          <w:lang w:val="el-GR"/>
        </w:rPr>
      </w:pPr>
      <w:r w:rsidRPr="00BE39DE">
        <w:rPr>
          <w:rFonts w:ascii="Arial" w:hAnsi="Arial" w:cs="Arial"/>
          <w:i/>
          <w:iCs/>
          <w:sz w:val="18"/>
          <w:szCs w:val="18"/>
          <w:lang w:val="el-GR"/>
        </w:rPr>
        <w:t>Η κυπριακή οικονομία συνεχίζει να</w:t>
      </w:r>
      <w:r w:rsidR="00993445">
        <w:rPr>
          <w:rFonts w:ascii="Arial" w:hAnsi="Arial" w:cs="Arial"/>
          <w:i/>
          <w:iCs/>
          <w:sz w:val="18"/>
          <w:szCs w:val="18"/>
          <w:lang w:val="el-GR"/>
        </w:rPr>
        <w:t xml:space="preserve"> παραμένει</w:t>
      </w:r>
      <w:r w:rsidRPr="00BE39DE">
        <w:rPr>
          <w:rFonts w:ascii="Arial" w:hAnsi="Arial" w:cs="Arial"/>
          <w:i/>
          <w:iCs/>
          <w:sz w:val="18"/>
          <w:szCs w:val="18"/>
          <w:lang w:val="el-GR"/>
        </w:rPr>
        <w:t xml:space="preserve"> δ</w:t>
      </w:r>
      <w:r w:rsidR="00993445">
        <w:rPr>
          <w:rFonts w:ascii="Arial" w:hAnsi="Arial" w:cs="Arial"/>
          <w:i/>
          <w:iCs/>
          <w:sz w:val="18"/>
          <w:szCs w:val="18"/>
          <w:lang w:val="el-GR"/>
        </w:rPr>
        <w:t>υνατή</w:t>
      </w:r>
      <w:r w:rsidRPr="00BE39DE">
        <w:rPr>
          <w:rFonts w:ascii="Arial" w:hAnsi="Arial" w:cs="Arial"/>
          <w:i/>
          <w:iCs/>
          <w:sz w:val="18"/>
          <w:szCs w:val="18"/>
          <w:lang w:val="el-GR"/>
        </w:rPr>
        <w:t xml:space="preserve"> και </w:t>
      </w:r>
      <w:r w:rsidR="00993445">
        <w:rPr>
          <w:rFonts w:ascii="Arial" w:hAnsi="Arial" w:cs="Arial"/>
          <w:i/>
          <w:iCs/>
          <w:sz w:val="18"/>
          <w:szCs w:val="18"/>
          <w:lang w:val="el-GR"/>
        </w:rPr>
        <w:t>ανθεκτική</w:t>
      </w:r>
      <w:r w:rsidRPr="00BE39DE">
        <w:rPr>
          <w:rFonts w:ascii="Arial" w:hAnsi="Arial" w:cs="Arial"/>
          <w:i/>
          <w:iCs/>
          <w:sz w:val="18"/>
          <w:szCs w:val="18"/>
          <w:lang w:val="el-GR"/>
        </w:rPr>
        <w:t xml:space="preserve">, παρά </w:t>
      </w:r>
      <w:r w:rsidR="00BE39DE" w:rsidRPr="00BE39DE">
        <w:rPr>
          <w:rFonts w:ascii="Arial" w:hAnsi="Arial" w:cs="Arial"/>
          <w:i/>
          <w:iCs/>
          <w:sz w:val="18"/>
          <w:szCs w:val="18"/>
          <w:lang w:val="el-GR"/>
        </w:rPr>
        <w:t>τις γεωπολιτικές</w:t>
      </w:r>
      <w:r w:rsidRPr="00BE39DE">
        <w:rPr>
          <w:rFonts w:ascii="Arial" w:hAnsi="Arial" w:cs="Arial"/>
          <w:i/>
          <w:iCs/>
          <w:sz w:val="18"/>
          <w:szCs w:val="18"/>
          <w:lang w:val="el-GR"/>
        </w:rPr>
        <w:t xml:space="preserve"> </w:t>
      </w:r>
      <w:r w:rsidR="00BE39DE" w:rsidRPr="00BE39DE">
        <w:rPr>
          <w:rFonts w:ascii="Arial" w:hAnsi="Arial" w:cs="Arial"/>
          <w:i/>
          <w:iCs/>
          <w:sz w:val="18"/>
          <w:szCs w:val="18"/>
          <w:lang w:val="el-GR"/>
        </w:rPr>
        <w:t>εξελίξεις.</w:t>
      </w:r>
      <w:r w:rsidR="00993445">
        <w:rPr>
          <w:rFonts w:ascii="Arial" w:hAnsi="Arial" w:cs="Arial"/>
          <w:i/>
          <w:iCs/>
          <w:sz w:val="18"/>
          <w:szCs w:val="18"/>
          <w:lang w:val="el-GR"/>
        </w:rPr>
        <w:t xml:space="preserve"> </w:t>
      </w:r>
      <w:r w:rsidRPr="00BE39DE">
        <w:rPr>
          <w:rFonts w:ascii="Arial" w:hAnsi="Arial" w:cs="Arial"/>
          <w:i/>
          <w:iCs/>
          <w:sz w:val="18"/>
          <w:szCs w:val="18"/>
          <w:lang w:val="el-GR"/>
        </w:rPr>
        <w:t>Ο ρυθμός ανάπτυξης</w:t>
      </w:r>
      <w:r w:rsidR="00993445">
        <w:rPr>
          <w:rFonts w:ascii="Arial" w:hAnsi="Arial" w:cs="Arial"/>
          <w:i/>
          <w:iCs/>
          <w:sz w:val="18"/>
          <w:szCs w:val="18"/>
          <w:lang w:val="el-GR"/>
        </w:rPr>
        <w:t xml:space="preserve"> </w:t>
      </w:r>
      <w:r w:rsidRPr="00BE39DE">
        <w:rPr>
          <w:rFonts w:ascii="Arial" w:hAnsi="Arial" w:cs="Arial"/>
          <w:i/>
          <w:iCs/>
          <w:sz w:val="18"/>
          <w:szCs w:val="18"/>
          <w:lang w:val="el-GR"/>
        </w:rPr>
        <w:t xml:space="preserve">αναμένεται να αυξηθεί κατά περίπου </w:t>
      </w:r>
      <w:r w:rsidR="00BE39DE" w:rsidRPr="00BE39DE">
        <w:rPr>
          <w:rFonts w:ascii="Arial" w:hAnsi="Arial" w:cs="Arial"/>
          <w:i/>
          <w:iCs/>
          <w:sz w:val="18"/>
          <w:szCs w:val="18"/>
          <w:lang w:val="el-GR"/>
        </w:rPr>
        <w:t>3</w:t>
      </w:r>
      <w:r w:rsidRPr="00BE39DE">
        <w:rPr>
          <w:rFonts w:ascii="Arial" w:hAnsi="Arial" w:cs="Arial"/>
          <w:i/>
          <w:iCs/>
          <w:sz w:val="18"/>
          <w:szCs w:val="18"/>
          <w:lang w:val="el-GR"/>
        </w:rPr>
        <w:t>.</w:t>
      </w:r>
      <w:r w:rsidR="00BE39DE" w:rsidRPr="00BE39DE">
        <w:rPr>
          <w:rFonts w:ascii="Arial" w:hAnsi="Arial" w:cs="Arial"/>
          <w:i/>
          <w:iCs/>
          <w:sz w:val="18"/>
          <w:szCs w:val="18"/>
          <w:lang w:val="el-GR"/>
        </w:rPr>
        <w:t>7</w:t>
      </w:r>
      <w:r w:rsidR="00DA4280" w:rsidRPr="00DA4280">
        <w:rPr>
          <w:rFonts w:ascii="Arial" w:hAnsi="Arial" w:cs="Arial"/>
          <w:i/>
          <w:iCs/>
          <w:sz w:val="18"/>
          <w:szCs w:val="18"/>
          <w:lang w:val="el-GR"/>
        </w:rPr>
        <w:t>%</w:t>
      </w:r>
      <w:r w:rsidR="005F3392">
        <w:rPr>
          <w:rFonts w:ascii="Arial" w:hAnsi="Arial" w:cs="Arial"/>
          <w:i/>
          <w:iCs/>
          <w:sz w:val="18"/>
          <w:szCs w:val="18"/>
          <w:vertAlign w:val="superscript"/>
          <w:lang w:val="el-GR"/>
        </w:rPr>
        <w:t>4</w:t>
      </w:r>
      <w:r w:rsidRPr="00BE39DE">
        <w:rPr>
          <w:rFonts w:ascii="Arial" w:hAnsi="Arial" w:cs="Arial"/>
          <w:i/>
          <w:iCs/>
          <w:sz w:val="18"/>
          <w:szCs w:val="18"/>
          <w:lang w:val="el-GR"/>
        </w:rPr>
        <w:t xml:space="preserve"> το 2024, ξεπερνώντας </w:t>
      </w:r>
      <w:r w:rsidR="00BE39DE" w:rsidRPr="00BE39DE">
        <w:rPr>
          <w:rFonts w:ascii="Arial" w:hAnsi="Arial" w:cs="Arial"/>
          <w:i/>
          <w:iCs/>
          <w:sz w:val="18"/>
          <w:szCs w:val="18"/>
          <w:lang w:val="el-GR"/>
        </w:rPr>
        <w:t xml:space="preserve">σημαντικά </w:t>
      </w:r>
      <w:r w:rsidRPr="00BE39DE">
        <w:rPr>
          <w:rFonts w:ascii="Arial" w:hAnsi="Arial" w:cs="Arial"/>
          <w:i/>
          <w:iCs/>
          <w:sz w:val="18"/>
          <w:szCs w:val="18"/>
          <w:lang w:val="el-GR"/>
        </w:rPr>
        <w:t>τον μέσο όρο της ευρωζώνης.</w:t>
      </w:r>
      <w:r w:rsidR="00BE39DE">
        <w:rPr>
          <w:rFonts w:ascii="Arial" w:hAnsi="Arial" w:cs="Arial"/>
          <w:i/>
          <w:iCs/>
          <w:sz w:val="18"/>
          <w:szCs w:val="18"/>
          <w:lang w:val="el-GR"/>
        </w:rPr>
        <w:t xml:space="preserve"> Συνεχίζουμε</w:t>
      </w:r>
      <w:r w:rsidR="00BE39DE" w:rsidRPr="00BE39DE">
        <w:rPr>
          <w:rFonts w:ascii="Arial" w:hAnsi="Arial" w:cs="Arial"/>
          <w:i/>
          <w:iCs/>
          <w:sz w:val="18"/>
          <w:szCs w:val="18"/>
          <w:lang w:val="el-GR"/>
        </w:rPr>
        <w:t xml:space="preserve"> να στηρίζουμε την</w:t>
      </w:r>
      <w:r w:rsidR="00BE39DE">
        <w:rPr>
          <w:rFonts w:ascii="Arial" w:hAnsi="Arial" w:cs="Arial"/>
          <w:i/>
          <w:iCs/>
          <w:sz w:val="18"/>
          <w:szCs w:val="18"/>
          <w:lang w:val="el-GR"/>
        </w:rPr>
        <w:t xml:space="preserve"> εγχώρια</w:t>
      </w:r>
      <w:r w:rsidR="00BE39DE" w:rsidRPr="00BE39DE">
        <w:rPr>
          <w:rFonts w:ascii="Arial" w:hAnsi="Arial" w:cs="Arial"/>
          <w:i/>
          <w:iCs/>
          <w:sz w:val="18"/>
          <w:szCs w:val="18"/>
          <w:lang w:val="el-GR"/>
        </w:rPr>
        <w:t xml:space="preserve"> οικονομία</w:t>
      </w:r>
      <w:r w:rsidR="009E0936">
        <w:rPr>
          <w:rFonts w:ascii="Arial" w:hAnsi="Arial" w:cs="Arial"/>
          <w:i/>
          <w:iCs/>
          <w:sz w:val="18"/>
          <w:szCs w:val="18"/>
          <w:lang w:val="el-GR"/>
        </w:rPr>
        <w:t xml:space="preserve">, παραχωρώντας </w:t>
      </w:r>
      <w:r w:rsidR="000F52DE">
        <w:rPr>
          <w:rFonts w:ascii="Arial" w:hAnsi="Arial" w:cs="Arial"/>
          <w:i/>
          <w:iCs/>
          <w:sz w:val="18"/>
          <w:szCs w:val="18"/>
          <w:lang w:val="el-GR"/>
        </w:rPr>
        <w:t>νέο</w:t>
      </w:r>
      <w:r w:rsidR="009E0936">
        <w:rPr>
          <w:rFonts w:ascii="Arial" w:hAnsi="Arial" w:cs="Arial"/>
          <w:i/>
          <w:iCs/>
          <w:sz w:val="18"/>
          <w:szCs w:val="18"/>
          <w:lang w:val="el-GR"/>
        </w:rPr>
        <w:t xml:space="preserve"> </w:t>
      </w:r>
      <w:r w:rsidR="000F52DE">
        <w:rPr>
          <w:rFonts w:ascii="Arial" w:hAnsi="Arial" w:cs="Arial"/>
          <w:i/>
          <w:iCs/>
          <w:sz w:val="18"/>
          <w:szCs w:val="18"/>
          <w:lang w:val="el-GR"/>
        </w:rPr>
        <w:t>δανεισμό</w:t>
      </w:r>
      <w:r w:rsidR="009E0936">
        <w:rPr>
          <w:rFonts w:ascii="Arial" w:hAnsi="Arial" w:cs="Arial"/>
          <w:i/>
          <w:iCs/>
          <w:sz w:val="18"/>
          <w:szCs w:val="18"/>
          <w:lang w:val="el-GR"/>
        </w:rPr>
        <w:t xml:space="preserve"> </w:t>
      </w:r>
      <w:r w:rsidR="00BE39DE" w:rsidRPr="00BE39DE">
        <w:rPr>
          <w:rFonts w:ascii="Arial" w:hAnsi="Arial" w:cs="Arial"/>
          <w:i/>
          <w:iCs/>
          <w:sz w:val="18"/>
          <w:szCs w:val="18"/>
          <w:lang w:val="el-GR"/>
        </w:rPr>
        <w:t>ύψ</w:t>
      </w:r>
      <w:r w:rsidR="009E0936">
        <w:rPr>
          <w:rFonts w:ascii="Arial" w:hAnsi="Arial" w:cs="Arial"/>
          <w:i/>
          <w:iCs/>
          <w:sz w:val="18"/>
          <w:szCs w:val="18"/>
          <w:lang w:val="el-GR"/>
        </w:rPr>
        <w:t xml:space="preserve">ους €1.7 δις για το </w:t>
      </w:r>
      <w:r w:rsidR="007A2F9B">
        <w:rPr>
          <w:rFonts w:ascii="Arial" w:hAnsi="Arial" w:cs="Arial"/>
          <w:i/>
          <w:iCs/>
          <w:sz w:val="18"/>
          <w:szCs w:val="18"/>
          <w:lang w:val="el-GR"/>
        </w:rPr>
        <w:t>εννεάμηνο</w:t>
      </w:r>
      <w:r w:rsidR="009E0936">
        <w:rPr>
          <w:rFonts w:ascii="Arial" w:hAnsi="Arial" w:cs="Arial"/>
          <w:i/>
          <w:iCs/>
          <w:sz w:val="18"/>
          <w:szCs w:val="18"/>
          <w:lang w:val="el-GR"/>
        </w:rPr>
        <w:t xml:space="preserve"> που έληξε στις 30 Σεπτεμβρίου 2024, </w:t>
      </w:r>
      <w:r w:rsidR="00993445">
        <w:rPr>
          <w:rFonts w:ascii="Arial" w:hAnsi="Arial" w:cs="Arial"/>
          <w:i/>
          <w:iCs/>
          <w:sz w:val="18"/>
          <w:szCs w:val="18"/>
          <w:lang w:val="el-GR"/>
        </w:rPr>
        <w:t xml:space="preserve">αυξημένος </w:t>
      </w:r>
      <w:r w:rsidR="002F0FF8">
        <w:rPr>
          <w:rFonts w:ascii="Arial" w:hAnsi="Arial" w:cs="Arial"/>
          <w:i/>
          <w:iCs/>
          <w:sz w:val="18"/>
          <w:szCs w:val="18"/>
          <w:lang w:val="el-GR"/>
        </w:rPr>
        <w:t>κατά</w:t>
      </w:r>
      <w:r w:rsidR="009E0936">
        <w:rPr>
          <w:rFonts w:ascii="Arial" w:hAnsi="Arial" w:cs="Arial"/>
          <w:i/>
          <w:iCs/>
          <w:sz w:val="18"/>
          <w:szCs w:val="18"/>
          <w:lang w:val="el-GR"/>
        </w:rPr>
        <w:t xml:space="preserve"> 9% σε σύγκριση με την αντίστοιχη περσινή περίοδο. Αυτό οδήγησε στην αύξηση του χ</w:t>
      </w:r>
      <w:r w:rsidR="009E0936" w:rsidRPr="009E0936">
        <w:rPr>
          <w:rFonts w:ascii="Arial" w:hAnsi="Arial" w:cs="Arial"/>
          <w:i/>
          <w:iCs/>
          <w:sz w:val="18"/>
          <w:szCs w:val="18"/>
          <w:lang w:val="el-GR"/>
        </w:rPr>
        <w:t>αρτοφυλ</w:t>
      </w:r>
      <w:r w:rsidR="009E0936">
        <w:rPr>
          <w:rFonts w:ascii="Arial" w:hAnsi="Arial" w:cs="Arial"/>
          <w:i/>
          <w:iCs/>
          <w:sz w:val="18"/>
          <w:szCs w:val="18"/>
          <w:lang w:val="el-GR"/>
        </w:rPr>
        <w:t>ακίου</w:t>
      </w:r>
      <w:r w:rsidR="009E0936" w:rsidRPr="009E0936">
        <w:rPr>
          <w:rFonts w:ascii="Arial" w:hAnsi="Arial" w:cs="Arial"/>
          <w:i/>
          <w:iCs/>
          <w:sz w:val="18"/>
          <w:szCs w:val="18"/>
          <w:lang w:val="el-GR"/>
        </w:rPr>
        <w:t xml:space="preserve"> εξυπηρετούμενων δανείων</w:t>
      </w:r>
      <w:r w:rsidR="009E0936">
        <w:rPr>
          <w:rFonts w:ascii="Arial" w:hAnsi="Arial" w:cs="Arial"/>
          <w:i/>
          <w:iCs/>
          <w:sz w:val="18"/>
          <w:szCs w:val="18"/>
          <w:lang w:val="el-GR"/>
        </w:rPr>
        <w:t xml:space="preserve"> μας κατά 3% από την αρχή του έτους, σε €10.0 δις. </w:t>
      </w:r>
    </w:p>
    <w:p w14:paraId="2D8E4854" w14:textId="37902D6A" w:rsidR="003E4B6C" w:rsidRPr="003E4B6C" w:rsidRDefault="003E4B6C" w:rsidP="00A92737">
      <w:pPr>
        <w:spacing w:line="240" w:lineRule="auto"/>
        <w:jc w:val="both"/>
        <w:rPr>
          <w:rFonts w:ascii="Arial" w:hAnsi="Arial" w:cs="Arial"/>
          <w:i/>
          <w:iCs/>
          <w:sz w:val="18"/>
          <w:szCs w:val="18"/>
          <w:lang w:val="el-GR"/>
        </w:rPr>
      </w:pPr>
      <w:r w:rsidRPr="003E4B6C">
        <w:rPr>
          <w:rFonts w:ascii="Arial" w:hAnsi="Arial" w:cs="Arial"/>
          <w:i/>
          <w:iCs/>
          <w:sz w:val="18"/>
          <w:szCs w:val="18"/>
          <w:lang w:val="el-GR"/>
        </w:rPr>
        <w:t>Κατά το γ’ τρίμηνο 2024</w:t>
      </w:r>
      <w:r>
        <w:rPr>
          <w:rFonts w:ascii="Arial" w:hAnsi="Arial" w:cs="Arial"/>
          <w:i/>
          <w:iCs/>
          <w:sz w:val="18"/>
          <w:szCs w:val="18"/>
          <w:lang w:val="el-GR"/>
        </w:rPr>
        <w:t>, υλοποιήσαμε με επιτυχία το πλάνο μάς για εισαγωγή</w:t>
      </w:r>
      <w:r w:rsidR="00993445">
        <w:rPr>
          <w:rFonts w:ascii="Arial" w:hAnsi="Arial" w:cs="Arial"/>
          <w:i/>
          <w:iCs/>
          <w:sz w:val="18"/>
          <w:szCs w:val="18"/>
          <w:lang w:val="el-GR"/>
        </w:rPr>
        <w:t xml:space="preserve"> των μετοχών μας </w:t>
      </w:r>
      <w:r>
        <w:rPr>
          <w:rFonts w:ascii="Arial" w:hAnsi="Arial" w:cs="Arial"/>
          <w:i/>
          <w:iCs/>
          <w:sz w:val="18"/>
          <w:szCs w:val="18"/>
          <w:lang w:val="el-GR"/>
        </w:rPr>
        <w:t>στο Χρηματιστήριο Αθηνών (‘ΧΑ</w:t>
      </w:r>
      <w:r w:rsidR="00543B24">
        <w:rPr>
          <w:rFonts w:ascii="Arial" w:hAnsi="Arial" w:cs="Arial"/>
          <w:i/>
          <w:iCs/>
          <w:sz w:val="18"/>
          <w:szCs w:val="18"/>
          <w:lang w:val="el-GR"/>
        </w:rPr>
        <w:t>’</w:t>
      </w:r>
      <w:r>
        <w:rPr>
          <w:rFonts w:ascii="Arial" w:hAnsi="Arial" w:cs="Arial"/>
          <w:i/>
          <w:iCs/>
          <w:sz w:val="18"/>
          <w:szCs w:val="18"/>
          <w:lang w:val="el-GR"/>
        </w:rPr>
        <w:t>), σε συνδυασμό με τη διαγραφή από το Χρηματιστήριο Αξιών του Λονδίνου.</w:t>
      </w:r>
      <w:r w:rsidR="00993445">
        <w:rPr>
          <w:rFonts w:ascii="Arial" w:hAnsi="Arial" w:cs="Arial"/>
          <w:i/>
          <w:iCs/>
          <w:sz w:val="18"/>
          <w:szCs w:val="18"/>
          <w:lang w:val="el-GR"/>
        </w:rPr>
        <w:t xml:space="preserve"> Α</w:t>
      </w:r>
      <w:r w:rsidRPr="006509CC">
        <w:rPr>
          <w:rFonts w:ascii="Arial" w:hAnsi="Arial" w:cs="Arial"/>
          <w:i/>
          <w:iCs/>
          <w:sz w:val="18"/>
          <w:szCs w:val="18"/>
          <w:lang w:val="el-GR"/>
        </w:rPr>
        <w:t>ναμένουμε πως η εισαγωγή μας στο ΧΑ θα ενισχύσει τη ρευστότητα</w:t>
      </w:r>
      <w:r w:rsidR="00993445">
        <w:rPr>
          <w:rFonts w:ascii="Arial" w:hAnsi="Arial" w:cs="Arial"/>
          <w:i/>
          <w:iCs/>
          <w:sz w:val="18"/>
          <w:szCs w:val="18"/>
          <w:lang w:val="el-GR"/>
        </w:rPr>
        <w:t xml:space="preserve"> διαπραγμάτευσης</w:t>
      </w:r>
      <w:r w:rsidRPr="006509CC">
        <w:rPr>
          <w:rFonts w:ascii="Arial" w:hAnsi="Arial" w:cs="Arial"/>
          <w:i/>
          <w:iCs/>
          <w:sz w:val="18"/>
          <w:szCs w:val="18"/>
          <w:lang w:val="el-GR"/>
        </w:rPr>
        <w:t xml:space="preserve"> των μετοχών, όπως επίσης και την παρουσία της Τράπεζας στις αγορές</w:t>
      </w:r>
      <w:r w:rsidR="00993445">
        <w:rPr>
          <w:rFonts w:ascii="Arial" w:hAnsi="Arial" w:cs="Arial"/>
          <w:i/>
          <w:iCs/>
          <w:sz w:val="18"/>
          <w:szCs w:val="18"/>
          <w:lang w:val="el-GR"/>
        </w:rPr>
        <w:t xml:space="preserve">. </w:t>
      </w:r>
    </w:p>
    <w:p w14:paraId="3DB7BC32" w14:textId="68448204" w:rsidR="003E4B6C" w:rsidRPr="00CC53EC" w:rsidRDefault="00CC53EC" w:rsidP="00A92737">
      <w:pPr>
        <w:spacing w:line="240" w:lineRule="auto"/>
        <w:jc w:val="both"/>
        <w:rPr>
          <w:rFonts w:ascii="Arial" w:hAnsi="Arial" w:cs="Arial"/>
          <w:i/>
          <w:iCs/>
          <w:sz w:val="18"/>
          <w:szCs w:val="18"/>
          <w:lang w:val="el-GR"/>
        </w:rPr>
      </w:pPr>
      <w:r>
        <w:rPr>
          <w:rFonts w:ascii="Arial" w:hAnsi="Arial" w:cs="Arial"/>
          <w:i/>
          <w:iCs/>
          <w:sz w:val="18"/>
          <w:szCs w:val="18"/>
          <w:lang w:val="el-GR"/>
        </w:rPr>
        <w:t>Αναμένουμε να</w:t>
      </w:r>
      <w:r w:rsidR="000335F0">
        <w:rPr>
          <w:rFonts w:ascii="Arial" w:hAnsi="Arial" w:cs="Arial"/>
          <w:i/>
          <w:iCs/>
          <w:sz w:val="18"/>
          <w:szCs w:val="18"/>
          <w:lang w:val="el-GR"/>
        </w:rPr>
        <w:t xml:space="preserve"> </w:t>
      </w:r>
      <w:r w:rsidR="006509CC" w:rsidRPr="006509CC">
        <w:rPr>
          <w:rFonts w:ascii="Arial" w:hAnsi="Arial" w:cs="Arial"/>
          <w:i/>
          <w:iCs/>
          <w:sz w:val="18"/>
          <w:szCs w:val="18"/>
          <w:lang w:val="el-GR"/>
        </w:rPr>
        <w:t xml:space="preserve">συνεχίσουμε να επιτυγχάνουμε πρόοδο στους τομείς </w:t>
      </w:r>
      <w:r w:rsidR="00543B24">
        <w:rPr>
          <w:rFonts w:ascii="Arial" w:hAnsi="Arial" w:cs="Arial"/>
          <w:i/>
          <w:iCs/>
          <w:sz w:val="18"/>
          <w:szCs w:val="18"/>
          <w:lang w:val="el-GR"/>
        </w:rPr>
        <w:t>υπό</w:t>
      </w:r>
      <w:r w:rsidR="006509CC" w:rsidRPr="006509CC">
        <w:rPr>
          <w:rFonts w:ascii="Arial" w:hAnsi="Arial" w:cs="Arial"/>
          <w:i/>
          <w:iCs/>
          <w:sz w:val="18"/>
          <w:szCs w:val="18"/>
          <w:lang w:val="el-GR"/>
        </w:rPr>
        <w:t xml:space="preserve"> τον έλεγχο </w:t>
      </w:r>
      <w:r w:rsidR="000335F0">
        <w:rPr>
          <w:rFonts w:ascii="Arial" w:hAnsi="Arial" w:cs="Arial"/>
          <w:i/>
          <w:iCs/>
          <w:sz w:val="18"/>
          <w:szCs w:val="18"/>
          <w:lang w:val="el-GR"/>
        </w:rPr>
        <w:t>μας.</w:t>
      </w:r>
      <w:r>
        <w:rPr>
          <w:rFonts w:ascii="Arial" w:hAnsi="Arial" w:cs="Arial"/>
          <w:i/>
          <w:iCs/>
          <w:sz w:val="18"/>
          <w:szCs w:val="18"/>
          <w:lang w:val="el-GR"/>
        </w:rPr>
        <w:t xml:space="preserve"> </w:t>
      </w:r>
      <w:r w:rsidR="000335F0">
        <w:rPr>
          <w:rFonts w:ascii="Arial" w:hAnsi="Arial" w:cs="Arial"/>
          <w:i/>
          <w:iCs/>
          <w:sz w:val="18"/>
          <w:szCs w:val="18"/>
          <w:lang w:val="el-GR"/>
        </w:rPr>
        <w:t xml:space="preserve">Ο στόχος για </w:t>
      </w:r>
      <w:r w:rsidRPr="00B71A5B">
        <w:rPr>
          <w:rFonts w:ascii="Arial" w:hAnsi="Arial" w:cs="Arial"/>
          <w:i/>
          <w:iCs/>
          <w:sz w:val="18"/>
          <w:szCs w:val="18"/>
          <w:lang w:val="el-GR"/>
        </w:rPr>
        <w:t xml:space="preserve">Απόδοση Ενσώματων Ιδίων </w:t>
      </w:r>
      <w:r w:rsidRPr="00DC2787">
        <w:rPr>
          <w:rFonts w:ascii="Arial" w:hAnsi="Arial" w:cs="Arial"/>
          <w:i/>
          <w:iCs/>
          <w:sz w:val="18"/>
          <w:szCs w:val="18"/>
          <w:lang w:val="el-GR"/>
        </w:rPr>
        <w:t>Κεφαλαίων (ROTE)</w:t>
      </w:r>
      <w:r>
        <w:rPr>
          <w:rFonts w:ascii="Arial" w:hAnsi="Arial" w:cs="Arial"/>
          <w:i/>
          <w:iCs/>
          <w:sz w:val="18"/>
          <w:szCs w:val="18"/>
          <w:lang w:val="el-GR"/>
        </w:rPr>
        <w:t xml:space="preserve"> σε επίπεδα </w:t>
      </w:r>
      <w:r>
        <w:rPr>
          <w:rFonts w:ascii="Arial" w:hAnsi="Arial" w:cs="Arial"/>
          <w:i/>
          <w:iCs/>
          <w:sz w:val="18"/>
          <w:szCs w:val="18"/>
          <w:lang w:val="en-US"/>
        </w:rPr>
        <w:t>high</w:t>
      </w:r>
      <w:r w:rsidRPr="00CC53EC">
        <w:rPr>
          <w:rFonts w:ascii="Arial" w:hAnsi="Arial" w:cs="Arial"/>
          <w:i/>
          <w:iCs/>
          <w:sz w:val="18"/>
          <w:szCs w:val="18"/>
          <w:lang w:val="el-GR"/>
        </w:rPr>
        <w:t>-</w:t>
      </w:r>
      <w:r>
        <w:rPr>
          <w:rFonts w:ascii="Arial" w:hAnsi="Arial" w:cs="Arial"/>
          <w:i/>
          <w:iCs/>
          <w:sz w:val="18"/>
          <w:szCs w:val="18"/>
          <w:lang w:val="en-US"/>
        </w:rPr>
        <w:t>teens</w:t>
      </w:r>
      <w:r>
        <w:rPr>
          <w:rFonts w:ascii="Arial" w:hAnsi="Arial" w:cs="Arial"/>
          <w:i/>
          <w:iCs/>
          <w:sz w:val="18"/>
          <w:szCs w:val="18"/>
          <w:lang w:val="el-GR"/>
        </w:rPr>
        <w:t xml:space="preserve">, υπολογισμένος </w:t>
      </w:r>
      <w:r w:rsidRPr="00CC53EC">
        <w:rPr>
          <w:rFonts w:ascii="Arial" w:hAnsi="Arial" w:cs="Arial"/>
          <w:i/>
          <w:iCs/>
          <w:sz w:val="18"/>
          <w:szCs w:val="18"/>
          <w:lang w:val="el-GR"/>
        </w:rPr>
        <w:t>σε Δείκτη Κεφαλαίου Κοινών Μετοχών Κατηγορίας</w:t>
      </w:r>
      <w:r>
        <w:rPr>
          <w:rFonts w:ascii="Arial" w:hAnsi="Arial" w:cs="Arial"/>
          <w:i/>
          <w:iCs/>
          <w:sz w:val="18"/>
          <w:szCs w:val="18"/>
          <w:lang w:val="el-GR"/>
        </w:rPr>
        <w:t xml:space="preserve"> </w:t>
      </w:r>
      <w:r w:rsidRPr="00CC53EC">
        <w:rPr>
          <w:rFonts w:ascii="Arial" w:hAnsi="Arial" w:cs="Arial"/>
          <w:i/>
          <w:iCs/>
          <w:sz w:val="18"/>
          <w:szCs w:val="18"/>
          <w:lang w:val="el-GR"/>
        </w:rPr>
        <w:t>1 (</w:t>
      </w:r>
      <w:r w:rsidRPr="00CC53EC">
        <w:rPr>
          <w:rFonts w:ascii="Arial" w:hAnsi="Arial" w:cs="Arial"/>
          <w:i/>
          <w:iCs/>
          <w:sz w:val="18"/>
          <w:szCs w:val="18"/>
        </w:rPr>
        <w:t>CET</w:t>
      </w:r>
      <w:r w:rsidRPr="00CC53EC">
        <w:rPr>
          <w:rFonts w:ascii="Arial" w:hAnsi="Arial" w:cs="Arial"/>
          <w:i/>
          <w:iCs/>
          <w:sz w:val="18"/>
          <w:szCs w:val="18"/>
          <w:lang w:val="el-GR"/>
        </w:rPr>
        <w:t>1) ύψους 15%</w:t>
      </w:r>
      <w:r>
        <w:rPr>
          <w:rFonts w:ascii="Arial" w:hAnsi="Arial" w:cs="Arial"/>
          <w:i/>
          <w:iCs/>
          <w:sz w:val="18"/>
          <w:szCs w:val="18"/>
          <w:lang w:val="el-GR"/>
        </w:rPr>
        <w:t>, παραμένει</w:t>
      </w:r>
      <w:r w:rsidR="00094089">
        <w:rPr>
          <w:rFonts w:ascii="Arial" w:hAnsi="Arial" w:cs="Arial"/>
          <w:i/>
          <w:iCs/>
          <w:sz w:val="18"/>
          <w:szCs w:val="18"/>
          <w:lang w:val="el-GR"/>
        </w:rPr>
        <w:t xml:space="preserve"> για το 2025</w:t>
      </w:r>
      <w:r>
        <w:rPr>
          <w:rFonts w:ascii="Arial" w:hAnsi="Arial" w:cs="Arial"/>
          <w:i/>
          <w:iCs/>
          <w:sz w:val="18"/>
          <w:szCs w:val="18"/>
          <w:lang w:val="el-GR"/>
        </w:rPr>
        <w:t xml:space="preserve">, παρά </w:t>
      </w:r>
      <w:r w:rsidR="005F3392">
        <w:rPr>
          <w:rFonts w:ascii="Arial" w:hAnsi="Arial" w:cs="Arial"/>
          <w:i/>
          <w:iCs/>
          <w:sz w:val="18"/>
          <w:szCs w:val="18"/>
          <w:lang w:val="el-GR"/>
        </w:rPr>
        <w:t xml:space="preserve">τις </w:t>
      </w:r>
      <w:r>
        <w:rPr>
          <w:rFonts w:ascii="Arial" w:hAnsi="Arial" w:cs="Arial"/>
          <w:i/>
          <w:iCs/>
          <w:sz w:val="18"/>
          <w:szCs w:val="18"/>
          <w:lang w:val="el-GR"/>
        </w:rPr>
        <w:t>εκτιμήσεις τις αγοράς για χαμηλότερα επιτόκια</w:t>
      </w:r>
      <w:r w:rsidR="005F3392">
        <w:rPr>
          <w:rFonts w:ascii="Arial" w:hAnsi="Arial" w:cs="Arial"/>
          <w:i/>
          <w:iCs/>
          <w:sz w:val="18"/>
          <w:szCs w:val="18"/>
          <w:lang w:val="el-GR"/>
        </w:rPr>
        <w:t xml:space="preserve"> σε σχέση με τις αντίστοιχες εκτιμήσεις του Αυγούστου 2024</w:t>
      </w:r>
      <w:r>
        <w:rPr>
          <w:rFonts w:ascii="Arial" w:hAnsi="Arial" w:cs="Arial"/>
          <w:i/>
          <w:iCs/>
          <w:sz w:val="18"/>
          <w:szCs w:val="18"/>
          <w:lang w:val="el-GR"/>
        </w:rPr>
        <w:t>.</w:t>
      </w:r>
      <w:r w:rsidR="005F3392">
        <w:rPr>
          <w:rFonts w:ascii="Arial" w:hAnsi="Arial" w:cs="Arial"/>
          <w:i/>
          <w:iCs/>
          <w:sz w:val="18"/>
          <w:szCs w:val="18"/>
          <w:lang w:val="el-GR"/>
        </w:rPr>
        <w:t xml:space="preserve"> </w:t>
      </w:r>
      <w:r w:rsidR="0063583A">
        <w:rPr>
          <w:rFonts w:ascii="Arial" w:hAnsi="Arial" w:cs="Arial"/>
          <w:i/>
          <w:iCs/>
          <w:sz w:val="18"/>
          <w:szCs w:val="18"/>
          <w:lang w:val="el-GR"/>
        </w:rPr>
        <w:t>Με τα οικονομικά αποτελέσματα του 2024, θ</w:t>
      </w:r>
      <w:r>
        <w:rPr>
          <w:rFonts w:ascii="Arial" w:hAnsi="Arial" w:cs="Arial"/>
          <w:i/>
          <w:iCs/>
          <w:sz w:val="18"/>
          <w:szCs w:val="18"/>
          <w:lang w:val="el-GR"/>
        </w:rPr>
        <w:t xml:space="preserve">α </w:t>
      </w:r>
      <w:proofErr w:type="spellStart"/>
      <w:r w:rsidR="0063583A" w:rsidRPr="0063583A">
        <w:rPr>
          <w:rFonts w:ascii="Arial" w:hAnsi="Arial" w:cs="Arial"/>
          <w:i/>
          <w:iCs/>
          <w:sz w:val="18"/>
          <w:szCs w:val="18"/>
          <w:lang w:val="el-GR"/>
        </w:rPr>
        <w:t>επικαιροποιήσουμε</w:t>
      </w:r>
      <w:proofErr w:type="spellEnd"/>
      <w:r w:rsidR="0063583A" w:rsidRPr="0063583A">
        <w:rPr>
          <w:rFonts w:ascii="Arial" w:hAnsi="Arial" w:cs="Arial"/>
          <w:i/>
          <w:iCs/>
          <w:sz w:val="18"/>
          <w:szCs w:val="18"/>
          <w:lang w:val="el-GR"/>
        </w:rPr>
        <w:t xml:space="preserve"> </w:t>
      </w:r>
      <w:r w:rsidR="0063583A">
        <w:rPr>
          <w:rFonts w:ascii="Arial" w:hAnsi="Arial" w:cs="Arial"/>
          <w:i/>
          <w:iCs/>
          <w:sz w:val="18"/>
          <w:szCs w:val="18"/>
          <w:lang w:val="el-GR"/>
        </w:rPr>
        <w:t xml:space="preserve">όλους </w:t>
      </w:r>
      <w:r>
        <w:rPr>
          <w:rFonts w:ascii="Arial" w:hAnsi="Arial" w:cs="Arial"/>
          <w:i/>
          <w:iCs/>
          <w:sz w:val="18"/>
          <w:szCs w:val="18"/>
          <w:lang w:val="el-GR"/>
        </w:rPr>
        <w:t xml:space="preserve">τους οικονομικούς μας στόχους </w:t>
      </w:r>
      <w:r w:rsidR="0063583A">
        <w:rPr>
          <w:rFonts w:ascii="Arial" w:hAnsi="Arial" w:cs="Arial"/>
          <w:i/>
          <w:iCs/>
          <w:sz w:val="18"/>
          <w:szCs w:val="18"/>
          <w:lang w:val="el-GR"/>
        </w:rPr>
        <w:t xml:space="preserve">και </w:t>
      </w:r>
      <w:r>
        <w:rPr>
          <w:rFonts w:ascii="Arial" w:hAnsi="Arial" w:cs="Arial"/>
          <w:i/>
          <w:iCs/>
          <w:sz w:val="18"/>
          <w:szCs w:val="18"/>
          <w:lang w:val="el-GR"/>
        </w:rPr>
        <w:t xml:space="preserve">θα </w:t>
      </w:r>
      <w:r w:rsidR="0063583A">
        <w:rPr>
          <w:rFonts w:ascii="Arial" w:hAnsi="Arial" w:cs="Arial"/>
          <w:i/>
          <w:iCs/>
          <w:sz w:val="18"/>
          <w:szCs w:val="18"/>
          <w:lang w:val="el-GR"/>
        </w:rPr>
        <w:t xml:space="preserve">επανεξετάσουμε την πολιτική διανομής </w:t>
      </w:r>
      <w:r w:rsidR="005F3392">
        <w:rPr>
          <w:rFonts w:ascii="Arial" w:hAnsi="Arial" w:cs="Arial"/>
          <w:i/>
          <w:iCs/>
          <w:sz w:val="18"/>
          <w:szCs w:val="18"/>
          <w:lang w:val="el-GR"/>
        </w:rPr>
        <w:t>μας, στο πλαίσιο των εκάστοτε συνθηκών της αγοράς.</w:t>
      </w:r>
      <w:r w:rsidR="0063583A">
        <w:rPr>
          <w:rFonts w:ascii="Arial" w:hAnsi="Arial" w:cs="Arial"/>
          <w:i/>
          <w:iCs/>
          <w:sz w:val="18"/>
          <w:szCs w:val="18"/>
          <w:lang w:val="el-GR"/>
        </w:rPr>
        <w:t xml:space="preserve"> </w:t>
      </w:r>
    </w:p>
    <w:p w14:paraId="045EDC7D" w14:textId="53551EF0" w:rsidR="0063583A" w:rsidRPr="000F52DE" w:rsidRDefault="0063583A" w:rsidP="00A92737">
      <w:pPr>
        <w:spacing w:line="240" w:lineRule="auto"/>
        <w:jc w:val="both"/>
        <w:rPr>
          <w:rFonts w:ascii="Arial" w:hAnsi="Arial" w:cs="Arial"/>
          <w:i/>
          <w:iCs/>
          <w:sz w:val="18"/>
          <w:szCs w:val="18"/>
          <w:lang w:val="el-GR"/>
        </w:rPr>
      </w:pPr>
      <w:r w:rsidRPr="000F52DE">
        <w:rPr>
          <w:rFonts w:ascii="Arial" w:hAnsi="Arial" w:cs="Arial"/>
          <w:i/>
          <w:iCs/>
          <w:sz w:val="18"/>
          <w:szCs w:val="18"/>
          <w:lang w:val="el-GR"/>
        </w:rPr>
        <w:t xml:space="preserve">Λαμβάνοντας υπόψη την ισχυρή δημιουργία κεφαλαίων, το διαφοροποιημένο επιχειρηματικό μας μοντέλο και το υποστηρικτικό μακροοικονομικό περιβάλλον, διατηρούμε τη δέσμευση μας για στήριξη των πελατών μας και της ευρύτερης </w:t>
      </w:r>
      <w:r w:rsidR="00543B24">
        <w:rPr>
          <w:rFonts w:ascii="Arial" w:hAnsi="Arial" w:cs="Arial"/>
          <w:i/>
          <w:iCs/>
          <w:sz w:val="18"/>
          <w:szCs w:val="18"/>
          <w:lang w:val="el-GR"/>
        </w:rPr>
        <w:t>οικονομίας</w:t>
      </w:r>
      <w:r w:rsidRPr="000F52DE">
        <w:rPr>
          <w:rFonts w:ascii="Arial" w:hAnsi="Arial" w:cs="Arial"/>
          <w:i/>
          <w:iCs/>
          <w:sz w:val="18"/>
          <w:szCs w:val="18"/>
          <w:lang w:val="el-GR"/>
        </w:rPr>
        <w:t xml:space="preserve">, για </w:t>
      </w:r>
      <w:r w:rsidR="000F52DE" w:rsidRPr="000F52DE">
        <w:rPr>
          <w:rFonts w:ascii="Arial" w:hAnsi="Arial" w:cs="Arial"/>
          <w:i/>
          <w:iCs/>
          <w:sz w:val="18"/>
          <w:szCs w:val="18"/>
          <w:lang w:val="el-GR"/>
        </w:rPr>
        <w:t>επανεπένδυση στην επιχείρηση και δημιουργία ισχυρών αποδόσεων για τους μετόχους μας. »</w:t>
      </w:r>
    </w:p>
    <w:p w14:paraId="04F46D33" w14:textId="77777777" w:rsidR="000A2BEF" w:rsidRPr="000F52DE" w:rsidRDefault="000A2BEF" w:rsidP="000A2BEF">
      <w:pPr>
        <w:spacing w:after="0" w:line="360" w:lineRule="auto"/>
        <w:jc w:val="both"/>
        <w:rPr>
          <w:rFonts w:ascii="Arial" w:hAnsi="Arial" w:cs="Arial"/>
          <w:i/>
          <w:iCs/>
          <w:sz w:val="18"/>
          <w:szCs w:val="18"/>
          <w:lang w:val="el-GR"/>
        </w:rPr>
      </w:pPr>
    </w:p>
    <w:p w14:paraId="00D69458" w14:textId="58D10C0C" w:rsidR="000A2BEF" w:rsidRPr="000F52DE" w:rsidRDefault="000A2BEF" w:rsidP="00555781">
      <w:pPr>
        <w:jc w:val="right"/>
        <w:rPr>
          <w:rFonts w:ascii="Arial" w:hAnsi="Arial" w:cs="Arial"/>
          <w:b/>
          <w:color w:val="FF9900"/>
          <w:sz w:val="24"/>
          <w:szCs w:val="18"/>
          <w:lang w:val="el-GR"/>
        </w:rPr>
      </w:pPr>
      <w:r w:rsidRPr="000F52DE">
        <w:rPr>
          <w:rFonts w:ascii="Arial" w:hAnsi="Arial" w:cs="Arial"/>
          <w:b/>
          <w:bCs/>
          <w:i/>
          <w:iCs/>
          <w:sz w:val="18"/>
          <w:szCs w:val="18"/>
          <w:lang w:val="el-GR"/>
        </w:rPr>
        <w:t>Πανίκος Νικολάου</w:t>
      </w:r>
      <w:bookmarkEnd w:id="3"/>
    </w:p>
    <w:p w14:paraId="6E94CF66" w14:textId="77777777" w:rsidR="000F52DE" w:rsidRPr="000F52DE" w:rsidRDefault="000F52DE" w:rsidP="000A2BEF">
      <w:pPr>
        <w:jc w:val="both"/>
        <w:rPr>
          <w:rFonts w:ascii="Arial" w:hAnsi="Arial" w:cs="Arial"/>
          <w:i/>
          <w:iCs/>
          <w:sz w:val="18"/>
          <w:szCs w:val="18"/>
          <w:highlight w:val="yellow"/>
          <w:vertAlign w:val="superscript"/>
          <w:lang w:val="el-GR"/>
        </w:rPr>
      </w:pPr>
    </w:p>
    <w:p w14:paraId="19DDE18B" w14:textId="77777777" w:rsidR="00147CF4" w:rsidRDefault="00147CF4" w:rsidP="000A2BEF">
      <w:pPr>
        <w:jc w:val="both"/>
        <w:rPr>
          <w:rFonts w:ascii="Arial" w:hAnsi="Arial" w:cs="Arial"/>
          <w:i/>
          <w:iCs/>
          <w:sz w:val="16"/>
          <w:szCs w:val="16"/>
          <w:highlight w:val="yellow"/>
          <w:lang w:val="el-GR"/>
        </w:rPr>
      </w:pPr>
    </w:p>
    <w:p w14:paraId="54C28A7F" w14:textId="77777777" w:rsidR="00A4663E" w:rsidRDefault="00A4663E" w:rsidP="000A2BEF">
      <w:pPr>
        <w:jc w:val="both"/>
        <w:rPr>
          <w:rFonts w:ascii="Arial" w:hAnsi="Arial" w:cs="Arial"/>
          <w:i/>
          <w:iCs/>
          <w:sz w:val="16"/>
          <w:szCs w:val="16"/>
          <w:highlight w:val="yellow"/>
          <w:lang w:val="el-GR"/>
        </w:rPr>
      </w:pPr>
    </w:p>
    <w:p w14:paraId="550F5102" w14:textId="77777777" w:rsidR="00A4663E" w:rsidRDefault="00A4663E" w:rsidP="000A2BEF">
      <w:pPr>
        <w:jc w:val="both"/>
        <w:rPr>
          <w:rFonts w:ascii="Arial" w:eastAsia="Times New Roman" w:hAnsi="Arial" w:cs="Arial"/>
          <w:sz w:val="16"/>
          <w:szCs w:val="24"/>
          <w:highlight w:val="yellow"/>
          <w:lang w:val="el-GR"/>
        </w:rPr>
      </w:pPr>
    </w:p>
    <w:p w14:paraId="2B9C80F9" w14:textId="77777777" w:rsidR="00A4663E" w:rsidRDefault="00A4663E" w:rsidP="000A2BEF">
      <w:pPr>
        <w:jc w:val="both"/>
        <w:rPr>
          <w:rFonts w:ascii="Arial" w:eastAsia="Times New Roman" w:hAnsi="Arial" w:cs="Arial"/>
          <w:sz w:val="16"/>
          <w:szCs w:val="24"/>
          <w:highlight w:val="yellow"/>
          <w:lang w:val="el-GR"/>
        </w:rPr>
      </w:pPr>
    </w:p>
    <w:p w14:paraId="34EE4E4D" w14:textId="77777777" w:rsidR="00A4663E" w:rsidRDefault="00A4663E" w:rsidP="000A2BEF">
      <w:pPr>
        <w:jc w:val="both"/>
        <w:rPr>
          <w:rFonts w:ascii="Arial" w:eastAsia="Times New Roman" w:hAnsi="Arial" w:cs="Arial"/>
          <w:sz w:val="16"/>
          <w:szCs w:val="24"/>
          <w:highlight w:val="yellow"/>
          <w:lang w:val="el-GR"/>
        </w:rPr>
      </w:pPr>
    </w:p>
    <w:p w14:paraId="00B2E806" w14:textId="77777777" w:rsidR="00A4663E" w:rsidRPr="00A4663E" w:rsidRDefault="00A4663E" w:rsidP="000A2BEF">
      <w:pPr>
        <w:jc w:val="both"/>
        <w:rPr>
          <w:rFonts w:ascii="Arial" w:eastAsia="Times New Roman" w:hAnsi="Arial" w:cs="Arial"/>
          <w:sz w:val="16"/>
          <w:szCs w:val="24"/>
          <w:lang w:val="el-GR"/>
        </w:rPr>
      </w:pPr>
    </w:p>
    <w:p w14:paraId="150C88FC" w14:textId="77777777" w:rsidR="00B93DB8" w:rsidRDefault="00A4663E" w:rsidP="0056738E">
      <w:pPr>
        <w:pStyle w:val="ListParagraph"/>
        <w:numPr>
          <w:ilvl w:val="0"/>
          <w:numId w:val="23"/>
        </w:numPr>
        <w:ind w:left="567"/>
        <w:jc w:val="both"/>
        <w:rPr>
          <w:rFonts w:ascii="Arial" w:hAnsi="Arial" w:cs="Arial"/>
          <w:sz w:val="16"/>
          <w:lang w:val="el-GR"/>
        </w:rPr>
      </w:pPr>
      <w:r w:rsidRPr="00A4663E">
        <w:rPr>
          <w:rFonts w:ascii="Arial" w:hAnsi="Arial" w:cs="Arial"/>
          <w:sz w:val="16"/>
          <w:lang w:val="el-GR"/>
        </w:rPr>
        <w:t xml:space="preserve">Ανάλογα </w:t>
      </w:r>
      <w:r w:rsidR="000F52DE" w:rsidRPr="00A4663E">
        <w:rPr>
          <w:rFonts w:ascii="Arial" w:hAnsi="Arial" w:cs="Arial"/>
          <w:sz w:val="16"/>
          <w:lang w:val="el-GR"/>
        </w:rPr>
        <w:t xml:space="preserve">με τις συνθήκες της αγοράς. Η πρόβλεψη για διανομή </w:t>
      </w:r>
      <w:r w:rsidRPr="00A4663E">
        <w:rPr>
          <w:rFonts w:ascii="Arial" w:hAnsi="Arial" w:cs="Arial"/>
          <w:sz w:val="16"/>
          <w:lang w:val="el-GR"/>
        </w:rPr>
        <w:t xml:space="preserve">στους δείκτες κεφαλαίων </w:t>
      </w:r>
      <w:r w:rsidR="000F52DE" w:rsidRPr="00A4663E">
        <w:rPr>
          <w:rFonts w:ascii="Arial" w:hAnsi="Arial" w:cs="Arial"/>
          <w:sz w:val="16"/>
          <w:lang w:val="el-GR"/>
        </w:rPr>
        <w:t>δεν αποτελεί δέσμευση για καταβολή διανομής οποιουδήποτε ποσού ούτε αποτελεί εγγύηση ή διαβεβαίωση ότι θα γίνει καταβολή διανομής.</w:t>
      </w:r>
    </w:p>
    <w:p w14:paraId="5D2900F1" w14:textId="1E5B3F2F" w:rsidR="005F3392" w:rsidRPr="005F3392" w:rsidRDefault="005F3392" w:rsidP="0056738E">
      <w:pPr>
        <w:pStyle w:val="ListParagraph"/>
        <w:numPr>
          <w:ilvl w:val="0"/>
          <w:numId w:val="23"/>
        </w:numPr>
        <w:ind w:left="567"/>
        <w:jc w:val="both"/>
        <w:rPr>
          <w:rFonts w:ascii="Arial" w:hAnsi="Arial" w:cs="Arial"/>
          <w:sz w:val="16"/>
          <w:lang w:val="el-GR"/>
        </w:rPr>
      </w:pPr>
      <w:r w:rsidRPr="00CA3A08">
        <w:rPr>
          <w:rFonts w:ascii="Arial" w:hAnsi="Arial" w:cs="Arial"/>
          <w:sz w:val="16"/>
          <w:lang w:val="el-GR"/>
        </w:rPr>
        <w:t>Διαδικασία Εποπτικής Εξέτασης και Αξιολόγησης</w:t>
      </w:r>
      <w:r>
        <w:rPr>
          <w:rFonts w:ascii="Arial" w:hAnsi="Arial" w:cs="Arial"/>
          <w:sz w:val="16"/>
          <w:lang w:val="el-GR"/>
        </w:rPr>
        <w:t xml:space="preserve"> της Ευρωπαϊκής Κεντρικής Τράπεζας.</w:t>
      </w:r>
    </w:p>
    <w:p w14:paraId="0D32532E" w14:textId="1656A534" w:rsidR="00B93DB8" w:rsidRDefault="00B93DB8" w:rsidP="0056738E">
      <w:pPr>
        <w:pStyle w:val="ListParagraph"/>
        <w:numPr>
          <w:ilvl w:val="0"/>
          <w:numId w:val="23"/>
        </w:numPr>
        <w:ind w:left="567"/>
        <w:jc w:val="both"/>
        <w:rPr>
          <w:rFonts w:ascii="Arial" w:hAnsi="Arial" w:cs="Arial"/>
          <w:sz w:val="16"/>
          <w:lang w:val="el-GR"/>
        </w:rPr>
      </w:pPr>
      <w:r w:rsidRPr="00B93DB8">
        <w:rPr>
          <w:rFonts w:ascii="Arial" w:hAnsi="Arial" w:cs="Arial"/>
          <w:sz w:val="16"/>
          <w:lang w:val="el-GR"/>
        </w:rPr>
        <w:t xml:space="preserve">Αναπροσαρμοσμένο για το χαρτοφυλάκιο που κατέχεται προς πώληση; Συμφωνία για πώληση ενός χαρτοφυλακίου μη εξυπηρετούμενων δανείων, ύψους €27 εκατ. Η πώληση υπόκειται υπό τη λήψη των απαραίτητων εγκρίσεων και αναμένεται να ολοκληρωθεί εντός του α’ εξάμηνου 2025. </w:t>
      </w:r>
    </w:p>
    <w:p w14:paraId="084A525C" w14:textId="2F45FE78" w:rsidR="00A4663E" w:rsidRPr="00A4663E" w:rsidRDefault="00A4663E" w:rsidP="0056738E">
      <w:pPr>
        <w:pStyle w:val="ListParagraph"/>
        <w:numPr>
          <w:ilvl w:val="0"/>
          <w:numId w:val="23"/>
        </w:numPr>
        <w:ind w:left="567"/>
        <w:jc w:val="both"/>
        <w:rPr>
          <w:rFonts w:ascii="Arial" w:hAnsi="Arial" w:cs="Arial"/>
          <w:sz w:val="16"/>
          <w:lang w:val="el-GR"/>
        </w:rPr>
      </w:pPr>
      <w:r w:rsidRPr="00A4663E">
        <w:rPr>
          <w:rFonts w:ascii="Arial" w:hAnsi="Arial" w:cs="Arial"/>
          <w:sz w:val="16"/>
          <w:lang w:val="el-GR"/>
        </w:rPr>
        <w:t>Πηγή: Υπουργείο Οικονομικών Κύπρου, προβλέψεις Οκτωβρίου 2024</w:t>
      </w:r>
    </w:p>
    <w:p w14:paraId="349DF868" w14:textId="77777777" w:rsidR="00147CF4" w:rsidRDefault="00147CF4" w:rsidP="00A4663E">
      <w:pPr>
        <w:rPr>
          <w:rFonts w:ascii="Arial" w:hAnsi="Arial" w:cs="Arial"/>
          <w:b/>
          <w:color w:val="FF9900"/>
          <w:sz w:val="24"/>
          <w:szCs w:val="24"/>
          <w:lang w:val="el-GR"/>
        </w:rPr>
      </w:pPr>
    </w:p>
    <w:p w14:paraId="6E2C08B2" w14:textId="133D6024" w:rsidR="009C412B" w:rsidRPr="007246A9" w:rsidRDefault="00611D24" w:rsidP="00CB38F0">
      <w:pPr>
        <w:ind w:left="-284"/>
        <w:rPr>
          <w:rFonts w:ascii="Arial" w:hAnsi="Arial" w:cs="Arial"/>
          <w:b/>
          <w:color w:val="FF9900"/>
          <w:lang w:val="el-GR"/>
        </w:rPr>
      </w:pPr>
      <w:r w:rsidRPr="007246A9">
        <w:rPr>
          <w:rFonts w:ascii="Arial" w:hAnsi="Arial" w:cs="Arial"/>
          <w:b/>
          <w:color w:val="FF9900"/>
          <w:sz w:val="24"/>
          <w:szCs w:val="24"/>
          <w:lang w:val="el-GR"/>
        </w:rPr>
        <w:lastRenderedPageBreak/>
        <w:t>Α</w:t>
      </w:r>
      <w:r w:rsidR="009C412B" w:rsidRPr="007246A9">
        <w:rPr>
          <w:rFonts w:ascii="Arial" w:hAnsi="Arial" w:cs="Arial"/>
          <w:b/>
          <w:color w:val="FF9900"/>
          <w:sz w:val="24"/>
          <w:szCs w:val="24"/>
          <w:lang w:val="el-GR"/>
        </w:rPr>
        <w:t xml:space="preserve">. </w:t>
      </w:r>
      <w:bookmarkStart w:id="4" w:name="_Hlk179274224"/>
      <w:r w:rsidR="009C412B" w:rsidRPr="007246A9">
        <w:rPr>
          <w:rFonts w:ascii="Arial" w:hAnsi="Arial" w:cs="Arial"/>
          <w:b/>
          <w:color w:val="FF9900"/>
          <w:sz w:val="24"/>
          <w:szCs w:val="24"/>
          <w:lang w:val="el-GR"/>
        </w:rPr>
        <w:t xml:space="preserve">Οικονομικά Αποτελέσματα Συγκροτήματος –Υποκείμενη Βάση </w:t>
      </w:r>
      <w:bookmarkEnd w:id="4"/>
    </w:p>
    <w:p w14:paraId="756AD90D" w14:textId="1F98F4E9" w:rsidR="00CC2B9B" w:rsidRPr="007246A9" w:rsidRDefault="00676CDB" w:rsidP="00CB38F0">
      <w:pPr>
        <w:pStyle w:val="ListParagraph"/>
        <w:spacing w:line="360" w:lineRule="auto"/>
        <w:ind w:left="-284"/>
        <w:rPr>
          <w:rFonts w:ascii="Arial" w:hAnsi="Arial" w:cs="Arial"/>
          <w:b/>
          <w:color w:val="FF9900"/>
          <w:sz w:val="22"/>
          <w:szCs w:val="22"/>
          <w:lang w:val="el-GR"/>
        </w:rPr>
      </w:pPr>
      <w:bookmarkStart w:id="5" w:name="_Hlk179274239"/>
      <w:r w:rsidRPr="007246A9">
        <w:rPr>
          <w:rFonts w:ascii="Arial" w:hAnsi="Arial" w:cs="Arial"/>
          <w:b/>
          <w:color w:val="FF9900"/>
          <w:sz w:val="22"/>
          <w:szCs w:val="22"/>
          <w:lang w:val="el-GR"/>
        </w:rPr>
        <w:t xml:space="preserve">Μη Ελεγμένη </w:t>
      </w:r>
      <w:r w:rsidR="004D5CA9" w:rsidRPr="007246A9">
        <w:rPr>
          <w:rFonts w:ascii="Arial" w:hAnsi="Arial" w:cs="Arial"/>
          <w:b/>
          <w:color w:val="FF9900"/>
          <w:sz w:val="22"/>
          <w:szCs w:val="22"/>
          <w:lang w:val="el-GR"/>
        </w:rPr>
        <w:t>Ενδιάμεση</w:t>
      </w:r>
      <w:r w:rsidRPr="007246A9">
        <w:rPr>
          <w:rFonts w:ascii="Arial" w:hAnsi="Arial" w:cs="Arial"/>
          <w:b/>
          <w:color w:val="FF9900"/>
          <w:sz w:val="22"/>
          <w:szCs w:val="22"/>
          <w:lang w:val="el-GR"/>
        </w:rPr>
        <w:t xml:space="preserve"> Συνοπτική</w:t>
      </w:r>
      <w:r w:rsidR="004D5CA9" w:rsidRPr="007246A9">
        <w:rPr>
          <w:rFonts w:ascii="Arial" w:hAnsi="Arial" w:cs="Arial"/>
          <w:b/>
          <w:color w:val="FF9900"/>
          <w:sz w:val="22"/>
          <w:szCs w:val="22"/>
          <w:lang w:val="el-GR"/>
        </w:rPr>
        <w:t xml:space="preserve"> Ενοποιημένη Κατάσταση Λογαριασμού Αποτελεσμάτων</w:t>
      </w:r>
    </w:p>
    <w:tbl>
      <w:tblPr>
        <w:tblW w:w="11533" w:type="dxa"/>
        <w:jc w:val="center"/>
        <w:tblLayout w:type="fixed"/>
        <w:tblCellMar>
          <w:left w:w="40" w:type="dxa"/>
          <w:right w:w="40" w:type="dxa"/>
        </w:tblCellMar>
        <w:tblLook w:val="0000" w:firstRow="0" w:lastRow="0" w:firstColumn="0" w:lastColumn="0" w:noHBand="0" w:noVBand="0"/>
      </w:tblPr>
      <w:tblGrid>
        <w:gridCol w:w="4957"/>
        <w:gridCol w:w="1165"/>
        <w:gridCol w:w="1139"/>
        <w:gridCol w:w="956"/>
        <w:gridCol w:w="1276"/>
        <w:gridCol w:w="1043"/>
        <w:gridCol w:w="997"/>
      </w:tblGrid>
      <w:tr w:rsidR="00BC7D38" w:rsidRPr="00D41B36" w14:paraId="75A45F0F" w14:textId="77777777" w:rsidTr="00BC7D38">
        <w:trPr>
          <w:trHeight w:val="469"/>
          <w:jc w:val="center"/>
        </w:trPr>
        <w:tc>
          <w:tcPr>
            <w:tcW w:w="4957"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bookmarkEnd w:id="5"/>
          <w:p w14:paraId="51D4316F" w14:textId="77777777" w:rsidR="004470C2" w:rsidRPr="007246A9" w:rsidRDefault="004470C2" w:rsidP="004470C2">
            <w:pPr>
              <w:tabs>
                <w:tab w:val="left" w:pos="974"/>
                <w:tab w:val="left" w:pos="1416"/>
                <w:tab w:val="decimal" w:pos="4962"/>
                <w:tab w:val="decimal" w:pos="6521"/>
                <w:tab w:val="right" w:pos="7560"/>
                <w:tab w:val="decimal" w:pos="8220"/>
                <w:tab w:val="left" w:pos="8640"/>
                <w:tab w:val="right" w:pos="9000"/>
              </w:tabs>
              <w:suppressAutoHyphens/>
              <w:spacing w:after="0" w:line="240" w:lineRule="auto"/>
              <w:ind w:left="10"/>
              <w:rPr>
                <w:rFonts w:ascii="Arial" w:eastAsia="Times New Roman" w:hAnsi="Arial" w:cs="Arial"/>
                <w:b/>
                <w:sz w:val="18"/>
                <w:szCs w:val="18"/>
                <w:lang w:eastAsia="el-GR"/>
              </w:rPr>
            </w:pPr>
            <w:r w:rsidRPr="007246A9">
              <w:rPr>
                <w:rFonts w:ascii="Arial" w:eastAsia="Times New Roman" w:hAnsi="Arial" w:cs="Arial"/>
                <w:b/>
                <w:sz w:val="18"/>
                <w:szCs w:val="18"/>
                <w:lang w:eastAsia="el-GR"/>
              </w:rPr>
              <w:t>€</w:t>
            </w:r>
            <w:r w:rsidRPr="007246A9">
              <w:rPr>
                <w:rFonts w:ascii="Arial" w:eastAsia="Times New Roman" w:hAnsi="Arial" w:cs="Arial"/>
                <w:b/>
                <w:sz w:val="18"/>
                <w:szCs w:val="18"/>
                <w:lang w:val="el-GR" w:eastAsia="el-GR"/>
              </w:rPr>
              <w:t xml:space="preserve"> εκατ.</w:t>
            </w:r>
          </w:p>
        </w:tc>
        <w:tc>
          <w:tcPr>
            <w:tcW w:w="1165" w:type="dxa"/>
            <w:tcBorders>
              <w:top w:val="single" w:sz="4" w:space="0" w:color="808080" w:themeColor="background1" w:themeShade="80"/>
              <w:bottom w:val="single" w:sz="4" w:space="0" w:color="808080" w:themeColor="background1" w:themeShade="80"/>
            </w:tcBorders>
          </w:tcPr>
          <w:p w14:paraId="5FE5E59C" w14:textId="629A40DD" w:rsidR="004470C2" w:rsidRPr="007246A9" w:rsidRDefault="007A2F9B" w:rsidP="004470C2">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Pr>
                <w:rFonts w:ascii="Arial" w:eastAsia="Times New Roman" w:hAnsi="Arial" w:cs="Arial"/>
                <w:b/>
                <w:bCs/>
                <w:sz w:val="18"/>
                <w:szCs w:val="18"/>
                <w:lang w:val="el-GR" w:eastAsia="el-GR"/>
              </w:rPr>
              <w:t>Εννεάμηνο</w:t>
            </w:r>
            <w:r w:rsidR="004470C2" w:rsidRPr="007246A9">
              <w:rPr>
                <w:rFonts w:ascii="Arial" w:eastAsia="Times New Roman" w:hAnsi="Arial" w:cs="Arial"/>
                <w:b/>
                <w:bCs/>
                <w:sz w:val="18"/>
                <w:szCs w:val="18"/>
                <w:lang w:val="el-GR" w:eastAsia="el-GR"/>
              </w:rPr>
              <w:t xml:space="preserve"> 2024</w:t>
            </w:r>
          </w:p>
        </w:tc>
        <w:tc>
          <w:tcPr>
            <w:tcW w:w="1139" w:type="dxa"/>
            <w:tcBorders>
              <w:top w:val="single" w:sz="4" w:space="0" w:color="808080" w:themeColor="background1" w:themeShade="80"/>
              <w:bottom w:val="single" w:sz="4" w:space="0" w:color="808080" w:themeColor="background1" w:themeShade="80"/>
            </w:tcBorders>
          </w:tcPr>
          <w:p w14:paraId="0D376A08" w14:textId="5C9D1684" w:rsidR="004470C2" w:rsidRPr="007246A9" w:rsidRDefault="007A2F9B" w:rsidP="004470C2">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Pr>
                <w:rFonts w:ascii="Arial" w:eastAsia="Times New Roman" w:hAnsi="Arial" w:cs="Arial"/>
                <w:b/>
                <w:bCs/>
                <w:sz w:val="18"/>
                <w:szCs w:val="18"/>
                <w:lang w:val="el-GR" w:eastAsia="el-GR"/>
              </w:rPr>
              <w:t>Εννεάμηνο</w:t>
            </w:r>
            <w:r w:rsidR="009631CD" w:rsidRPr="007246A9">
              <w:rPr>
                <w:rFonts w:ascii="Arial" w:eastAsia="Times New Roman" w:hAnsi="Arial" w:cs="Arial"/>
                <w:b/>
                <w:bCs/>
                <w:sz w:val="18"/>
                <w:szCs w:val="18"/>
                <w:lang w:val="el-GR" w:eastAsia="el-GR"/>
              </w:rPr>
              <w:t xml:space="preserve"> </w:t>
            </w:r>
            <w:r w:rsidR="004470C2" w:rsidRPr="007246A9">
              <w:rPr>
                <w:rFonts w:ascii="Arial" w:eastAsia="Times New Roman" w:hAnsi="Arial" w:cs="Arial"/>
                <w:b/>
                <w:bCs/>
                <w:sz w:val="18"/>
                <w:szCs w:val="18"/>
                <w:lang w:val="el-GR" w:eastAsia="el-GR"/>
              </w:rPr>
              <w:t>2023</w:t>
            </w:r>
          </w:p>
        </w:tc>
        <w:tc>
          <w:tcPr>
            <w:tcW w:w="956" w:type="dxa"/>
            <w:tcBorders>
              <w:top w:val="single" w:sz="4" w:space="0" w:color="808080" w:themeColor="background1" w:themeShade="80"/>
              <w:bottom w:val="single" w:sz="4" w:space="0" w:color="808080" w:themeColor="background1" w:themeShade="80"/>
            </w:tcBorders>
          </w:tcPr>
          <w:p w14:paraId="1853797D" w14:textId="77777777"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7246A9">
              <w:rPr>
                <w:rFonts w:ascii="Arial" w:eastAsia="Times New Roman" w:hAnsi="Arial" w:cs="Arial"/>
                <w:bCs/>
                <w:sz w:val="18"/>
                <w:szCs w:val="18"/>
                <w:lang w:val="el-GR" w:eastAsia="el-GR"/>
              </w:rPr>
              <w:t>Ετήσια μεταβολή</w:t>
            </w:r>
          </w:p>
          <w:p w14:paraId="21EB7619" w14:textId="3A40A463" w:rsidR="004470C2"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7246A9">
              <w:rPr>
                <w:rFonts w:ascii="Arial" w:eastAsia="Times New Roman" w:hAnsi="Arial" w:cs="Arial"/>
                <w:bCs/>
                <w:sz w:val="18"/>
                <w:szCs w:val="18"/>
                <w:u w:val="single"/>
                <w:lang w:eastAsia="el-GR"/>
              </w:rPr>
              <w:t>+</w:t>
            </w:r>
            <w:r w:rsidRPr="007246A9">
              <w:rPr>
                <w:rFonts w:ascii="Arial" w:eastAsia="Times New Roman" w:hAnsi="Arial" w:cs="Arial"/>
                <w:bCs/>
                <w:sz w:val="18"/>
                <w:szCs w:val="18"/>
                <w:lang w:eastAsia="el-GR"/>
              </w:rPr>
              <w:t>%</w:t>
            </w:r>
          </w:p>
        </w:tc>
        <w:tc>
          <w:tcPr>
            <w:tcW w:w="1276" w:type="dxa"/>
            <w:tcBorders>
              <w:top w:val="single" w:sz="4" w:space="0" w:color="808080" w:themeColor="background1" w:themeShade="80"/>
              <w:bottom w:val="single" w:sz="4" w:space="0" w:color="808080" w:themeColor="background1" w:themeShade="80"/>
            </w:tcBorders>
          </w:tcPr>
          <w:p w14:paraId="65A62A9E" w14:textId="5CEF3B1C" w:rsidR="004470C2" w:rsidRPr="007246A9" w:rsidRDefault="00BC7D38" w:rsidP="004470C2">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7246A9">
              <w:rPr>
                <w:rFonts w:ascii="Arial" w:eastAsia="Times New Roman" w:hAnsi="Arial" w:cs="Arial"/>
                <w:b/>
                <w:bCs/>
                <w:sz w:val="18"/>
                <w:szCs w:val="18"/>
                <w:lang w:val="el-GR" w:eastAsia="el-GR"/>
              </w:rPr>
              <w:t>Γ’ τρίμηνο 2024</w:t>
            </w:r>
          </w:p>
        </w:tc>
        <w:tc>
          <w:tcPr>
            <w:tcW w:w="1043" w:type="dxa"/>
            <w:tcBorders>
              <w:top w:val="single" w:sz="4" w:space="0" w:color="808080" w:themeColor="background1" w:themeShade="80"/>
              <w:bottom w:val="single" w:sz="4" w:space="0" w:color="808080" w:themeColor="background1" w:themeShade="80"/>
            </w:tcBorders>
          </w:tcPr>
          <w:p w14:paraId="3AA9639C" w14:textId="73D0F512" w:rsidR="004470C2" w:rsidRPr="007246A9" w:rsidRDefault="00BC7D38" w:rsidP="004470C2">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7246A9">
              <w:rPr>
                <w:rFonts w:ascii="Arial" w:eastAsia="Times New Roman" w:hAnsi="Arial" w:cs="Arial"/>
                <w:b/>
                <w:bCs/>
                <w:sz w:val="18"/>
                <w:szCs w:val="18"/>
                <w:lang w:val="el-GR" w:eastAsia="el-GR"/>
              </w:rPr>
              <w:t>Β’ τρίμηνο 2024</w:t>
            </w:r>
          </w:p>
        </w:tc>
        <w:tc>
          <w:tcPr>
            <w:tcW w:w="99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E3AAE5" w14:textId="77777777" w:rsidR="00BC7D38" w:rsidRPr="00755F7E"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755F7E">
              <w:rPr>
                <w:rFonts w:ascii="Arial" w:eastAsia="Times New Roman" w:hAnsi="Arial" w:cs="Arial"/>
                <w:bCs/>
                <w:sz w:val="18"/>
                <w:szCs w:val="18"/>
                <w:lang w:val="el-GR" w:eastAsia="el-GR"/>
              </w:rPr>
              <w:t>Τριμηνιαία μεταβολή</w:t>
            </w:r>
          </w:p>
          <w:p w14:paraId="52AA985F" w14:textId="18CCEC37" w:rsidR="004470C2" w:rsidRPr="007246A9" w:rsidRDefault="00BC7D38" w:rsidP="004470C2">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eastAsia="el-GR"/>
              </w:rPr>
            </w:pPr>
            <w:r w:rsidRPr="00755F7E">
              <w:rPr>
                <w:rFonts w:ascii="Arial" w:eastAsia="Times New Roman" w:hAnsi="Arial" w:cs="Arial"/>
                <w:bCs/>
                <w:sz w:val="18"/>
                <w:szCs w:val="18"/>
                <w:u w:val="single"/>
                <w:lang w:val="el-GR" w:eastAsia="el-GR"/>
              </w:rPr>
              <w:t>+</w:t>
            </w:r>
            <w:r w:rsidRPr="00755F7E">
              <w:rPr>
                <w:rFonts w:ascii="Arial" w:eastAsia="Times New Roman" w:hAnsi="Arial" w:cs="Arial"/>
                <w:bCs/>
                <w:sz w:val="18"/>
                <w:szCs w:val="18"/>
                <w:lang w:val="el-GR" w:eastAsia="el-GR"/>
              </w:rPr>
              <w:t>%</w:t>
            </w:r>
          </w:p>
        </w:tc>
      </w:tr>
      <w:tr w:rsidR="00BC7D38" w:rsidRPr="00D41B36" w14:paraId="2CF129CA" w14:textId="77777777" w:rsidTr="00BC7D38">
        <w:trPr>
          <w:trHeight w:val="215"/>
          <w:jc w:val="center"/>
        </w:trPr>
        <w:tc>
          <w:tcPr>
            <w:tcW w:w="4957" w:type="dxa"/>
            <w:tcBorders>
              <w:top w:val="single" w:sz="4" w:space="0" w:color="808080" w:themeColor="background1" w:themeShade="80"/>
            </w:tcBorders>
            <w:vAlign w:val="center"/>
          </w:tcPr>
          <w:p w14:paraId="3DDFA787" w14:textId="77777777" w:rsidR="00BC7D38" w:rsidRPr="007246A9" w:rsidRDefault="00BC7D38" w:rsidP="00BC7D38">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eastAsia="el-GR"/>
              </w:rPr>
            </w:pPr>
            <w:r w:rsidRPr="007246A9">
              <w:rPr>
                <w:rFonts w:ascii="Arial" w:hAnsi="Arial" w:cs="Arial"/>
                <w:color w:val="000000" w:themeColor="text1"/>
                <w:sz w:val="18"/>
                <w:szCs w:val="18"/>
                <w:lang w:val="el-GR"/>
              </w:rPr>
              <w:t>Καθαρά έσοδα από τόκους</w:t>
            </w:r>
          </w:p>
        </w:tc>
        <w:tc>
          <w:tcPr>
            <w:tcW w:w="1165" w:type="dxa"/>
            <w:tcBorders>
              <w:top w:val="single" w:sz="4" w:space="0" w:color="808080" w:themeColor="background1" w:themeShade="80"/>
            </w:tcBorders>
            <w:vAlign w:val="center"/>
          </w:tcPr>
          <w:p w14:paraId="3993E576" w14:textId="088EB986"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sidRPr="00D81E3D">
              <w:rPr>
                <w:rFonts w:ascii="Arial" w:eastAsia="Times New Roman" w:hAnsi="Arial" w:cs="Arial"/>
                <w:sz w:val="18"/>
                <w:szCs w:val="20"/>
                <w:lang w:eastAsia="el-GR"/>
              </w:rPr>
              <w:t>624</w:t>
            </w:r>
          </w:p>
        </w:tc>
        <w:tc>
          <w:tcPr>
            <w:tcW w:w="1139" w:type="dxa"/>
            <w:tcBorders>
              <w:top w:val="single" w:sz="4" w:space="0" w:color="808080" w:themeColor="background1" w:themeShade="80"/>
              <w:left w:val="nil"/>
              <w:bottom w:val="nil"/>
              <w:right w:val="nil"/>
            </w:tcBorders>
            <w:vAlign w:val="center"/>
          </w:tcPr>
          <w:p w14:paraId="2B43D072" w14:textId="666FFE5A"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572</w:t>
            </w:r>
          </w:p>
        </w:tc>
        <w:tc>
          <w:tcPr>
            <w:tcW w:w="956" w:type="dxa"/>
            <w:tcBorders>
              <w:top w:val="single" w:sz="4" w:space="0" w:color="808080" w:themeColor="background1" w:themeShade="80"/>
            </w:tcBorders>
            <w:vAlign w:val="center"/>
          </w:tcPr>
          <w:p w14:paraId="63A08159" w14:textId="01B05706"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9D10E0">
              <w:rPr>
                <w:rFonts w:ascii="Arial" w:eastAsia="Times New Roman" w:hAnsi="Arial" w:cs="Arial"/>
                <w:sz w:val="18"/>
                <w:szCs w:val="20"/>
                <w:lang w:eastAsia="el-GR"/>
              </w:rPr>
              <w:t>9%</w:t>
            </w:r>
          </w:p>
        </w:tc>
        <w:tc>
          <w:tcPr>
            <w:tcW w:w="1276" w:type="dxa"/>
            <w:tcBorders>
              <w:top w:val="single" w:sz="4" w:space="0" w:color="808080" w:themeColor="background1" w:themeShade="80"/>
            </w:tcBorders>
            <w:vAlign w:val="center"/>
          </w:tcPr>
          <w:p w14:paraId="76A6458B" w14:textId="717DB722"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204</w:t>
            </w:r>
          </w:p>
        </w:tc>
        <w:tc>
          <w:tcPr>
            <w:tcW w:w="1043" w:type="dxa"/>
            <w:tcBorders>
              <w:top w:val="single" w:sz="4" w:space="0" w:color="808080" w:themeColor="background1" w:themeShade="80"/>
            </w:tcBorders>
            <w:vAlign w:val="center"/>
          </w:tcPr>
          <w:p w14:paraId="63C6E818" w14:textId="7EE77787"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207</w:t>
            </w:r>
          </w:p>
        </w:tc>
        <w:tc>
          <w:tcPr>
            <w:tcW w:w="997" w:type="dxa"/>
            <w:tcBorders>
              <w:top w:val="single" w:sz="4" w:space="0" w:color="808080" w:themeColor="background1" w:themeShade="80"/>
            </w:tcBorders>
            <w:shd w:val="clear" w:color="auto" w:fill="auto"/>
            <w:vAlign w:val="center"/>
          </w:tcPr>
          <w:p w14:paraId="60C2D1A2" w14:textId="10E170B4"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FE36E5">
              <w:rPr>
                <w:rFonts w:ascii="Arial" w:eastAsia="Times New Roman" w:hAnsi="Arial" w:cs="Arial"/>
                <w:sz w:val="18"/>
                <w:szCs w:val="20"/>
                <w:lang w:eastAsia="el-GR"/>
              </w:rPr>
              <w:t>-1%</w:t>
            </w:r>
          </w:p>
        </w:tc>
      </w:tr>
      <w:tr w:rsidR="00BC7D38" w:rsidRPr="00D41B36" w14:paraId="409CD2A0" w14:textId="77777777" w:rsidTr="00502B4F">
        <w:trPr>
          <w:trHeight w:val="215"/>
          <w:jc w:val="center"/>
        </w:trPr>
        <w:tc>
          <w:tcPr>
            <w:tcW w:w="4957" w:type="dxa"/>
            <w:vAlign w:val="center"/>
          </w:tcPr>
          <w:p w14:paraId="3ADD007A" w14:textId="77777777" w:rsidR="00BC7D38" w:rsidRPr="007246A9" w:rsidRDefault="00BC7D38" w:rsidP="00BC7D38">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Cs/>
                <w:sz w:val="18"/>
                <w:szCs w:val="18"/>
                <w:lang w:val="el-GR" w:eastAsia="el-GR"/>
              </w:rPr>
            </w:pPr>
            <w:r w:rsidRPr="007246A9">
              <w:rPr>
                <w:rFonts w:ascii="Arial" w:hAnsi="Arial" w:cs="Arial"/>
                <w:color w:val="000000" w:themeColor="text1"/>
                <w:sz w:val="18"/>
                <w:szCs w:val="18"/>
                <w:lang w:val="el-GR"/>
              </w:rPr>
              <w:t>Καθαρά έσοδα από αμοιβές και προμήθειες</w:t>
            </w:r>
          </w:p>
        </w:tc>
        <w:tc>
          <w:tcPr>
            <w:tcW w:w="1165" w:type="dxa"/>
            <w:vAlign w:val="center"/>
          </w:tcPr>
          <w:p w14:paraId="39E7B13C" w14:textId="33AD6A34"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val="el-GR" w:eastAsia="el-GR"/>
              </w:rPr>
            </w:pPr>
            <w:r w:rsidRPr="00D81E3D">
              <w:rPr>
                <w:rFonts w:ascii="Arial" w:eastAsia="Times New Roman" w:hAnsi="Arial" w:cs="Arial"/>
                <w:sz w:val="18"/>
                <w:szCs w:val="20"/>
                <w:lang w:eastAsia="el-GR"/>
              </w:rPr>
              <w:t>131</w:t>
            </w:r>
          </w:p>
        </w:tc>
        <w:tc>
          <w:tcPr>
            <w:tcW w:w="1139" w:type="dxa"/>
            <w:vAlign w:val="center"/>
          </w:tcPr>
          <w:p w14:paraId="73414417" w14:textId="1ED02B4D"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135</w:t>
            </w:r>
          </w:p>
        </w:tc>
        <w:tc>
          <w:tcPr>
            <w:tcW w:w="956" w:type="dxa"/>
            <w:vAlign w:val="center"/>
          </w:tcPr>
          <w:p w14:paraId="29DE2E94" w14:textId="41EF1341"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9D10E0">
              <w:rPr>
                <w:rFonts w:ascii="Arial" w:eastAsia="Times New Roman" w:hAnsi="Arial" w:cs="Arial"/>
                <w:sz w:val="18"/>
                <w:szCs w:val="20"/>
                <w:lang w:eastAsia="el-GR"/>
              </w:rPr>
              <w:t>-3%</w:t>
            </w:r>
          </w:p>
        </w:tc>
        <w:tc>
          <w:tcPr>
            <w:tcW w:w="1276" w:type="dxa"/>
            <w:vAlign w:val="center"/>
          </w:tcPr>
          <w:p w14:paraId="6EF30DDE" w14:textId="3319FDB8"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45</w:t>
            </w:r>
          </w:p>
        </w:tc>
        <w:tc>
          <w:tcPr>
            <w:tcW w:w="1043" w:type="dxa"/>
            <w:vAlign w:val="center"/>
          </w:tcPr>
          <w:p w14:paraId="7D67F754" w14:textId="07274008"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44</w:t>
            </w:r>
          </w:p>
        </w:tc>
        <w:tc>
          <w:tcPr>
            <w:tcW w:w="997" w:type="dxa"/>
            <w:shd w:val="clear" w:color="auto" w:fill="auto"/>
            <w:vAlign w:val="center"/>
          </w:tcPr>
          <w:p w14:paraId="1888511F" w14:textId="07D031A0"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FE36E5">
              <w:rPr>
                <w:rFonts w:ascii="Arial" w:eastAsia="Times New Roman" w:hAnsi="Arial" w:cs="Arial"/>
                <w:sz w:val="18"/>
                <w:szCs w:val="20"/>
                <w:lang w:eastAsia="el-GR"/>
              </w:rPr>
              <w:t>1%</w:t>
            </w:r>
          </w:p>
        </w:tc>
      </w:tr>
      <w:tr w:rsidR="00BC7D38" w:rsidRPr="00D41B36" w14:paraId="065A996B" w14:textId="77777777" w:rsidTr="00502B4F">
        <w:trPr>
          <w:trHeight w:val="215"/>
          <w:jc w:val="center"/>
        </w:trPr>
        <w:tc>
          <w:tcPr>
            <w:tcW w:w="4957" w:type="dxa"/>
            <w:vAlign w:val="center"/>
          </w:tcPr>
          <w:p w14:paraId="5B491F16" w14:textId="1F9192AE" w:rsidR="00BC7D38" w:rsidRPr="007246A9" w:rsidRDefault="00BC7D38" w:rsidP="00BC7D38">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hAnsi="Arial" w:cs="Arial"/>
                <w:sz w:val="18"/>
                <w:szCs w:val="18"/>
                <w:lang w:val="el-GR"/>
              </w:rPr>
            </w:pPr>
            <w:r w:rsidRPr="007246A9">
              <w:rPr>
                <w:rFonts w:ascii="Arial" w:hAnsi="Arial" w:cs="Arial"/>
                <w:sz w:val="18"/>
                <w:szCs w:val="18"/>
                <w:lang w:val="el-GR"/>
              </w:rPr>
              <w:t>Καθαρά κέρδη από διαπραγμάτευση συναλλάγματος και καθαρά κέρδη</w:t>
            </w:r>
            <w:r>
              <w:rPr>
                <w:rFonts w:ascii="Arial" w:hAnsi="Arial" w:cs="Arial"/>
                <w:sz w:val="18"/>
                <w:szCs w:val="18"/>
                <w:lang w:val="el-GR"/>
              </w:rPr>
              <w:t>/(ζημιές)</w:t>
            </w:r>
            <w:r w:rsidRPr="007246A9">
              <w:rPr>
                <w:rFonts w:ascii="Arial" w:hAnsi="Arial" w:cs="Arial"/>
                <w:sz w:val="18"/>
                <w:szCs w:val="18"/>
                <w:lang w:val="el-GR"/>
              </w:rPr>
              <w:t xml:space="preserve"> από χρηματοοικονομικά μέσα</w:t>
            </w:r>
          </w:p>
        </w:tc>
        <w:tc>
          <w:tcPr>
            <w:tcW w:w="1165" w:type="dxa"/>
            <w:vAlign w:val="center"/>
          </w:tcPr>
          <w:p w14:paraId="40FA70E4" w14:textId="590C7BE0"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val="el-GR" w:eastAsia="el-GR"/>
              </w:rPr>
            </w:pPr>
            <w:r w:rsidRPr="00D81E3D">
              <w:rPr>
                <w:rFonts w:ascii="Arial" w:eastAsia="Times New Roman" w:hAnsi="Arial" w:cs="Arial"/>
                <w:sz w:val="18"/>
                <w:szCs w:val="20"/>
                <w:lang w:eastAsia="el-GR"/>
              </w:rPr>
              <w:t>27</w:t>
            </w:r>
          </w:p>
        </w:tc>
        <w:tc>
          <w:tcPr>
            <w:tcW w:w="1139" w:type="dxa"/>
            <w:vAlign w:val="center"/>
          </w:tcPr>
          <w:p w14:paraId="21C5A32B" w14:textId="4EF9156B"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29</w:t>
            </w:r>
          </w:p>
        </w:tc>
        <w:tc>
          <w:tcPr>
            <w:tcW w:w="956" w:type="dxa"/>
            <w:vAlign w:val="center"/>
          </w:tcPr>
          <w:p w14:paraId="36117C77" w14:textId="3BFF6EBC"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9D10E0">
              <w:rPr>
                <w:rFonts w:ascii="Arial" w:eastAsia="Times New Roman" w:hAnsi="Arial" w:cs="Arial"/>
                <w:sz w:val="18"/>
                <w:szCs w:val="20"/>
                <w:lang w:eastAsia="el-GR"/>
              </w:rPr>
              <w:t>-5%</w:t>
            </w:r>
          </w:p>
        </w:tc>
        <w:tc>
          <w:tcPr>
            <w:tcW w:w="1276" w:type="dxa"/>
            <w:vAlign w:val="center"/>
          </w:tcPr>
          <w:p w14:paraId="19D9E7B0" w14:textId="44B789EE"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14</w:t>
            </w:r>
          </w:p>
        </w:tc>
        <w:tc>
          <w:tcPr>
            <w:tcW w:w="1043" w:type="dxa"/>
            <w:vAlign w:val="center"/>
          </w:tcPr>
          <w:p w14:paraId="5799FD83" w14:textId="5033440E"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6</w:t>
            </w:r>
          </w:p>
        </w:tc>
        <w:tc>
          <w:tcPr>
            <w:tcW w:w="997" w:type="dxa"/>
            <w:shd w:val="clear" w:color="auto" w:fill="auto"/>
            <w:vAlign w:val="center"/>
          </w:tcPr>
          <w:p w14:paraId="499F7BBB" w14:textId="59C6A9B2"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jc w:val="center"/>
              <w:rPr>
                <w:rFonts w:ascii="Arial" w:eastAsia="Times New Roman" w:hAnsi="Arial" w:cs="Arial"/>
                <w:color w:val="000000" w:themeColor="text1"/>
                <w:sz w:val="18"/>
                <w:szCs w:val="18"/>
                <w:highlight w:val="yellow"/>
                <w:lang w:eastAsia="el-GR"/>
              </w:rPr>
            </w:pPr>
            <w:r w:rsidRPr="00FE36E5">
              <w:rPr>
                <w:rFonts w:ascii="Arial" w:eastAsia="Times New Roman" w:hAnsi="Arial" w:cs="Arial"/>
                <w:sz w:val="18"/>
                <w:szCs w:val="20"/>
                <w:lang w:eastAsia="el-GR"/>
              </w:rPr>
              <w:t>142%</w:t>
            </w:r>
          </w:p>
        </w:tc>
      </w:tr>
      <w:tr w:rsidR="00BC7D38" w:rsidRPr="00D41B36" w14:paraId="43C52DA4" w14:textId="77777777" w:rsidTr="00502B4F">
        <w:trPr>
          <w:trHeight w:val="215"/>
          <w:jc w:val="center"/>
        </w:trPr>
        <w:tc>
          <w:tcPr>
            <w:tcW w:w="4957" w:type="dxa"/>
            <w:vAlign w:val="center"/>
          </w:tcPr>
          <w:p w14:paraId="5CBC413C" w14:textId="77777777" w:rsidR="00BC7D38" w:rsidRPr="007246A9" w:rsidRDefault="00BC7D38" w:rsidP="00BC7D38">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hAnsi="Arial" w:cs="Arial"/>
                <w:sz w:val="18"/>
                <w:szCs w:val="18"/>
                <w:lang w:val="el-GR"/>
              </w:rPr>
            </w:pPr>
            <w:r w:rsidRPr="007246A9">
              <w:rPr>
                <w:rFonts w:ascii="Arial" w:hAnsi="Arial" w:cs="Arial"/>
                <w:sz w:val="18"/>
                <w:szCs w:val="18"/>
                <w:lang w:val="el-GR"/>
              </w:rPr>
              <w:t>Καθαρό αποτέλεσμα από ασφαλιστικές εργασίες</w:t>
            </w:r>
          </w:p>
        </w:tc>
        <w:tc>
          <w:tcPr>
            <w:tcW w:w="1165" w:type="dxa"/>
            <w:vAlign w:val="center"/>
          </w:tcPr>
          <w:p w14:paraId="6EA09BBD" w14:textId="3568FEFC"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val="el-GR" w:eastAsia="el-GR"/>
              </w:rPr>
            </w:pPr>
            <w:r w:rsidRPr="00D81E3D">
              <w:rPr>
                <w:rFonts w:ascii="Arial" w:eastAsia="Times New Roman" w:hAnsi="Arial" w:cs="Arial"/>
                <w:sz w:val="18"/>
                <w:szCs w:val="20"/>
                <w:lang w:eastAsia="el-GR"/>
              </w:rPr>
              <w:t>35</w:t>
            </w:r>
          </w:p>
        </w:tc>
        <w:tc>
          <w:tcPr>
            <w:tcW w:w="1139" w:type="dxa"/>
            <w:vAlign w:val="center"/>
          </w:tcPr>
          <w:p w14:paraId="7F033242" w14:textId="180AE3EA"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38</w:t>
            </w:r>
          </w:p>
        </w:tc>
        <w:tc>
          <w:tcPr>
            <w:tcW w:w="956" w:type="dxa"/>
            <w:vAlign w:val="center"/>
          </w:tcPr>
          <w:p w14:paraId="38ABFEBF" w14:textId="39AF7413"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9D10E0">
              <w:rPr>
                <w:rFonts w:ascii="Arial" w:eastAsia="Times New Roman" w:hAnsi="Arial" w:cs="Arial"/>
                <w:sz w:val="18"/>
                <w:szCs w:val="20"/>
                <w:lang w:eastAsia="el-GR"/>
              </w:rPr>
              <w:t>-7%</w:t>
            </w:r>
          </w:p>
        </w:tc>
        <w:tc>
          <w:tcPr>
            <w:tcW w:w="1276" w:type="dxa"/>
            <w:vAlign w:val="center"/>
          </w:tcPr>
          <w:p w14:paraId="7B65529E" w14:textId="74D63DBA"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12</w:t>
            </w:r>
          </w:p>
        </w:tc>
        <w:tc>
          <w:tcPr>
            <w:tcW w:w="1043" w:type="dxa"/>
            <w:vAlign w:val="center"/>
          </w:tcPr>
          <w:p w14:paraId="791F6670" w14:textId="5A0B11D6"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13</w:t>
            </w:r>
          </w:p>
        </w:tc>
        <w:tc>
          <w:tcPr>
            <w:tcW w:w="997" w:type="dxa"/>
            <w:shd w:val="clear" w:color="auto" w:fill="auto"/>
            <w:vAlign w:val="center"/>
          </w:tcPr>
          <w:p w14:paraId="44A9DE62" w14:textId="75B835F3"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color w:val="000000" w:themeColor="text1"/>
                <w:sz w:val="18"/>
                <w:szCs w:val="18"/>
                <w:highlight w:val="yellow"/>
                <w:lang w:eastAsia="el-GR"/>
              </w:rPr>
            </w:pPr>
            <w:r w:rsidRPr="00FE36E5">
              <w:rPr>
                <w:rFonts w:ascii="Arial" w:eastAsia="Times New Roman" w:hAnsi="Arial" w:cs="Arial"/>
                <w:sz w:val="18"/>
                <w:szCs w:val="20"/>
                <w:lang w:eastAsia="el-GR"/>
              </w:rPr>
              <w:t>-5%</w:t>
            </w:r>
          </w:p>
        </w:tc>
      </w:tr>
      <w:tr w:rsidR="00BC7D38" w:rsidRPr="00D41B36" w14:paraId="6B7BF85D" w14:textId="77777777" w:rsidTr="00502B4F">
        <w:trPr>
          <w:trHeight w:val="215"/>
          <w:jc w:val="center"/>
        </w:trPr>
        <w:tc>
          <w:tcPr>
            <w:tcW w:w="4957" w:type="dxa"/>
            <w:vAlign w:val="center"/>
          </w:tcPr>
          <w:p w14:paraId="7E74D6D3" w14:textId="77777777" w:rsidR="00BC7D38" w:rsidRPr="007246A9" w:rsidRDefault="00BC7D38" w:rsidP="00BC7D38">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Cs/>
                <w:sz w:val="18"/>
                <w:szCs w:val="18"/>
                <w:lang w:val="el-GR" w:eastAsia="el-GR"/>
              </w:rPr>
            </w:pPr>
            <w:r w:rsidRPr="007246A9">
              <w:rPr>
                <w:rFonts w:ascii="Arial" w:hAnsi="Arial" w:cs="Arial"/>
                <w:sz w:val="18"/>
                <w:szCs w:val="18"/>
                <w:lang w:val="el-GR"/>
              </w:rPr>
              <w:t>Καθαρά κέρδη/(ζημιές) από επανεκτίμηση και πώληση επενδύσεων σε ακίνητα και από πώληση αποθεμάτων ακινήτων</w:t>
            </w:r>
          </w:p>
        </w:tc>
        <w:tc>
          <w:tcPr>
            <w:tcW w:w="1165" w:type="dxa"/>
            <w:vAlign w:val="center"/>
          </w:tcPr>
          <w:p w14:paraId="2E7DF1B0" w14:textId="36FAAB1B"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val="el-GR" w:eastAsia="el-GR"/>
              </w:rPr>
            </w:pPr>
            <w:r w:rsidRPr="00D81E3D">
              <w:rPr>
                <w:rFonts w:ascii="Arial" w:eastAsia="Times New Roman" w:hAnsi="Arial" w:cs="Arial"/>
                <w:sz w:val="18"/>
                <w:szCs w:val="20"/>
                <w:lang w:eastAsia="el-GR"/>
              </w:rPr>
              <w:t>3</w:t>
            </w:r>
          </w:p>
        </w:tc>
        <w:tc>
          <w:tcPr>
            <w:tcW w:w="1139" w:type="dxa"/>
            <w:vAlign w:val="center"/>
          </w:tcPr>
          <w:p w14:paraId="4D12EC04" w14:textId="49830027"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7</w:t>
            </w:r>
          </w:p>
        </w:tc>
        <w:tc>
          <w:tcPr>
            <w:tcW w:w="956" w:type="dxa"/>
            <w:vAlign w:val="center"/>
          </w:tcPr>
          <w:p w14:paraId="69F52FF7" w14:textId="1098F7BF"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9D10E0">
              <w:rPr>
                <w:rFonts w:ascii="Arial" w:eastAsia="Times New Roman" w:hAnsi="Arial" w:cs="Arial"/>
                <w:sz w:val="18"/>
                <w:szCs w:val="20"/>
                <w:lang w:eastAsia="el-GR"/>
              </w:rPr>
              <w:t>-53%</w:t>
            </w:r>
          </w:p>
        </w:tc>
        <w:tc>
          <w:tcPr>
            <w:tcW w:w="1276" w:type="dxa"/>
            <w:vAlign w:val="center"/>
          </w:tcPr>
          <w:p w14:paraId="1169920B" w14:textId="41A9ADBC"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1</w:t>
            </w:r>
          </w:p>
        </w:tc>
        <w:tc>
          <w:tcPr>
            <w:tcW w:w="1043" w:type="dxa"/>
            <w:vAlign w:val="center"/>
          </w:tcPr>
          <w:p w14:paraId="1A1469FE" w14:textId="257AEFC6"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1</w:t>
            </w:r>
          </w:p>
        </w:tc>
        <w:tc>
          <w:tcPr>
            <w:tcW w:w="997" w:type="dxa"/>
            <w:shd w:val="clear" w:color="auto" w:fill="auto"/>
            <w:vAlign w:val="center"/>
          </w:tcPr>
          <w:p w14:paraId="1C32FF61" w14:textId="784D36AC"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color w:val="000000" w:themeColor="text1"/>
                <w:sz w:val="18"/>
                <w:szCs w:val="18"/>
                <w:highlight w:val="yellow"/>
                <w:lang w:eastAsia="el-GR"/>
              </w:rPr>
            </w:pPr>
            <w:r w:rsidRPr="00FE36E5">
              <w:rPr>
                <w:rFonts w:ascii="Arial" w:eastAsia="Times New Roman" w:hAnsi="Arial" w:cs="Arial"/>
                <w:sz w:val="18"/>
                <w:szCs w:val="20"/>
                <w:lang w:eastAsia="el-GR"/>
              </w:rPr>
              <w:t>159%</w:t>
            </w:r>
          </w:p>
        </w:tc>
      </w:tr>
      <w:tr w:rsidR="00BC7D38" w:rsidRPr="00D41B36" w14:paraId="6F354D9E" w14:textId="77777777" w:rsidTr="00BC7D38">
        <w:trPr>
          <w:trHeight w:val="65"/>
          <w:jc w:val="center"/>
        </w:trPr>
        <w:tc>
          <w:tcPr>
            <w:tcW w:w="4957" w:type="dxa"/>
            <w:tcBorders>
              <w:bottom w:val="single" w:sz="4" w:space="0" w:color="808080" w:themeColor="background1" w:themeShade="80"/>
            </w:tcBorders>
            <w:vAlign w:val="center"/>
          </w:tcPr>
          <w:p w14:paraId="0DF3F69C" w14:textId="77777777" w:rsidR="00BC7D38" w:rsidRPr="007246A9" w:rsidRDefault="00BC7D38" w:rsidP="00BC7D38">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Cs/>
                <w:sz w:val="18"/>
                <w:szCs w:val="18"/>
                <w:lang w:eastAsia="el-GR"/>
              </w:rPr>
            </w:pPr>
            <w:proofErr w:type="spellStart"/>
            <w:r w:rsidRPr="007246A9">
              <w:rPr>
                <w:rFonts w:ascii="Arial" w:hAnsi="Arial" w:cs="Arial"/>
                <w:color w:val="000000" w:themeColor="text1"/>
                <w:sz w:val="18"/>
                <w:szCs w:val="18"/>
              </w:rPr>
              <w:t>Λοι</w:t>
            </w:r>
            <w:proofErr w:type="spellEnd"/>
            <w:r w:rsidRPr="007246A9">
              <w:rPr>
                <w:rFonts w:ascii="Arial" w:hAnsi="Arial" w:cs="Arial"/>
                <w:color w:val="000000" w:themeColor="text1"/>
                <w:sz w:val="18"/>
                <w:szCs w:val="18"/>
              </w:rPr>
              <w:t xml:space="preserve">πά </w:t>
            </w:r>
            <w:proofErr w:type="spellStart"/>
            <w:r w:rsidRPr="007246A9">
              <w:rPr>
                <w:rFonts w:ascii="Arial" w:hAnsi="Arial" w:cs="Arial"/>
                <w:color w:val="000000" w:themeColor="text1"/>
                <w:sz w:val="18"/>
                <w:szCs w:val="18"/>
              </w:rPr>
              <w:t>έσοδ</w:t>
            </w:r>
            <w:proofErr w:type="spellEnd"/>
            <w:r w:rsidRPr="007246A9">
              <w:rPr>
                <w:rFonts w:ascii="Arial" w:hAnsi="Arial" w:cs="Arial"/>
                <w:color w:val="000000" w:themeColor="text1"/>
                <w:sz w:val="18"/>
                <w:szCs w:val="18"/>
              </w:rPr>
              <w:t>α</w:t>
            </w:r>
          </w:p>
        </w:tc>
        <w:tc>
          <w:tcPr>
            <w:tcW w:w="1165" w:type="dxa"/>
            <w:tcBorders>
              <w:bottom w:val="single" w:sz="4" w:space="0" w:color="808080" w:themeColor="background1" w:themeShade="80"/>
            </w:tcBorders>
            <w:vAlign w:val="center"/>
          </w:tcPr>
          <w:p w14:paraId="15E62F83" w14:textId="45376A15"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sidRPr="00D81E3D">
              <w:rPr>
                <w:rFonts w:ascii="Arial" w:eastAsia="Times New Roman" w:hAnsi="Arial" w:cs="Arial"/>
                <w:sz w:val="18"/>
                <w:szCs w:val="20"/>
                <w:lang w:eastAsia="el-GR"/>
              </w:rPr>
              <w:t>8</w:t>
            </w:r>
          </w:p>
        </w:tc>
        <w:tc>
          <w:tcPr>
            <w:tcW w:w="1139" w:type="dxa"/>
            <w:tcBorders>
              <w:top w:val="nil"/>
              <w:left w:val="nil"/>
              <w:bottom w:val="single" w:sz="4" w:space="0" w:color="808080" w:themeColor="background1" w:themeShade="80"/>
              <w:right w:val="nil"/>
            </w:tcBorders>
            <w:vAlign w:val="center"/>
          </w:tcPr>
          <w:p w14:paraId="6B4A84C1" w14:textId="79ED7C5F"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15</w:t>
            </w:r>
          </w:p>
        </w:tc>
        <w:tc>
          <w:tcPr>
            <w:tcW w:w="956" w:type="dxa"/>
            <w:tcBorders>
              <w:bottom w:val="single" w:sz="4" w:space="0" w:color="808080" w:themeColor="background1" w:themeShade="80"/>
            </w:tcBorders>
            <w:vAlign w:val="center"/>
          </w:tcPr>
          <w:p w14:paraId="24D3C664" w14:textId="1EA8C125"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9D10E0">
              <w:rPr>
                <w:rFonts w:ascii="Arial" w:eastAsia="Times New Roman" w:hAnsi="Arial" w:cs="Arial"/>
                <w:sz w:val="18"/>
                <w:szCs w:val="20"/>
                <w:lang w:eastAsia="el-GR"/>
              </w:rPr>
              <w:t>-</w:t>
            </w:r>
            <w:r>
              <w:rPr>
                <w:rFonts w:ascii="Arial" w:eastAsia="Times New Roman" w:hAnsi="Arial" w:cs="Arial"/>
                <w:sz w:val="18"/>
                <w:szCs w:val="20"/>
                <w:lang w:eastAsia="el-GR"/>
              </w:rPr>
              <w:t>50</w:t>
            </w:r>
            <w:r w:rsidRPr="009D10E0">
              <w:rPr>
                <w:rFonts w:ascii="Arial" w:eastAsia="Times New Roman" w:hAnsi="Arial" w:cs="Arial"/>
                <w:sz w:val="18"/>
                <w:szCs w:val="20"/>
                <w:lang w:eastAsia="el-GR"/>
              </w:rPr>
              <w:t>%</w:t>
            </w:r>
          </w:p>
        </w:tc>
        <w:tc>
          <w:tcPr>
            <w:tcW w:w="1276" w:type="dxa"/>
            <w:tcBorders>
              <w:bottom w:val="single" w:sz="4" w:space="0" w:color="808080" w:themeColor="background1" w:themeShade="80"/>
            </w:tcBorders>
            <w:vAlign w:val="center"/>
          </w:tcPr>
          <w:p w14:paraId="3D74E8EB" w14:textId="26C93310"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3</w:t>
            </w:r>
          </w:p>
        </w:tc>
        <w:tc>
          <w:tcPr>
            <w:tcW w:w="1043" w:type="dxa"/>
            <w:tcBorders>
              <w:bottom w:val="single" w:sz="4" w:space="0" w:color="808080" w:themeColor="background1" w:themeShade="80"/>
            </w:tcBorders>
            <w:vAlign w:val="center"/>
          </w:tcPr>
          <w:p w14:paraId="4918425B" w14:textId="0FB8ABAE"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2</w:t>
            </w:r>
          </w:p>
        </w:tc>
        <w:tc>
          <w:tcPr>
            <w:tcW w:w="997" w:type="dxa"/>
            <w:tcBorders>
              <w:bottom w:val="single" w:sz="4" w:space="0" w:color="808080" w:themeColor="background1" w:themeShade="80"/>
            </w:tcBorders>
            <w:shd w:val="clear" w:color="auto" w:fill="auto"/>
            <w:vAlign w:val="center"/>
          </w:tcPr>
          <w:p w14:paraId="42B685BC" w14:textId="3A9EF4E6"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FE36E5">
              <w:rPr>
                <w:rFonts w:ascii="Arial" w:eastAsia="Times New Roman" w:hAnsi="Arial" w:cs="Arial"/>
                <w:sz w:val="18"/>
                <w:szCs w:val="20"/>
                <w:lang w:eastAsia="el-GR"/>
              </w:rPr>
              <w:t>1%</w:t>
            </w:r>
          </w:p>
        </w:tc>
      </w:tr>
      <w:tr w:rsidR="00BC7D38" w:rsidRPr="00D41B36" w14:paraId="4788DBF6" w14:textId="77777777" w:rsidTr="00502B4F">
        <w:trPr>
          <w:trHeight w:val="55"/>
          <w:jc w:val="center"/>
        </w:trPr>
        <w:tc>
          <w:tcPr>
            <w:tcW w:w="4957"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AEF9BCF" w14:textId="77777777" w:rsidR="00BC7D38" w:rsidRPr="007246A9" w:rsidRDefault="00BC7D38" w:rsidP="00BC7D38">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
                <w:sz w:val="18"/>
                <w:szCs w:val="18"/>
                <w:lang w:eastAsia="el-GR"/>
              </w:rPr>
            </w:pPr>
            <w:proofErr w:type="spellStart"/>
            <w:r w:rsidRPr="007246A9">
              <w:rPr>
                <w:rFonts w:ascii="Arial" w:hAnsi="Arial" w:cs="Arial"/>
                <w:b/>
                <w:bCs/>
                <w:color w:val="000000" w:themeColor="text1"/>
                <w:sz w:val="18"/>
                <w:szCs w:val="18"/>
              </w:rPr>
              <w:t>Σύνολο</w:t>
            </w:r>
            <w:proofErr w:type="spellEnd"/>
            <w:r w:rsidRPr="007246A9">
              <w:rPr>
                <w:rFonts w:ascii="Arial" w:hAnsi="Arial" w:cs="Arial"/>
                <w:b/>
                <w:bCs/>
                <w:color w:val="000000" w:themeColor="text1"/>
                <w:sz w:val="18"/>
                <w:szCs w:val="18"/>
              </w:rPr>
              <w:t xml:space="preserve"> </w:t>
            </w:r>
            <w:proofErr w:type="spellStart"/>
            <w:r w:rsidRPr="007246A9">
              <w:rPr>
                <w:rFonts w:ascii="Arial" w:hAnsi="Arial" w:cs="Arial"/>
                <w:b/>
                <w:bCs/>
                <w:color w:val="000000" w:themeColor="text1"/>
                <w:sz w:val="18"/>
                <w:szCs w:val="18"/>
              </w:rPr>
              <w:t>εσόδων</w:t>
            </w:r>
            <w:proofErr w:type="spellEnd"/>
          </w:p>
        </w:tc>
        <w:tc>
          <w:tcPr>
            <w:tcW w:w="1165" w:type="dxa"/>
            <w:tcBorders>
              <w:top w:val="single" w:sz="4" w:space="0" w:color="808080" w:themeColor="background1" w:themeShade="80"/>
              <w:left w:val="nil"/>
              <w:bottom w:val="single" w:sz="4" w:space="0" w:color="808080" w:themeColor="background1" w:themeShade="80"/>
            </w:tcBorders>
            <w:vAlign w:val="center"/>
          </w:tcPr>
          <w:p w14:paraId="758C8956" w14:textId="7F25E85A"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highlight w:val="yellow"/>
                <w:lang w:eastAsia="el-GR"/>
              </w:rPr>
            </w:pPr>
            <w:r w:rsidRPr="00D81E3D">
              <w:rPr>
                <w:rFonts w:ascii="Arial" w:eastAsia="Times New Roman" w:hAnsi="Arial" w:cs="Arial"/>
                <w:b/>
                <w:bCs/>
                <w:sz w:val="18"/>
                <w:szCs w:val="20"/>
                <w:lang w:eastAsia="el-GR"/>
              </w:rPr>
              <w:t>828</w:t>
            </w:r>
          </w:p>
        </w:tc>
        <w:tc>
          <w:tcPr>
            <w:tcW w:w="1139" w:type="dxa"/>
            <w:tcBorders>
              <w:top w:val="single" w:sz="4" w:space="0" w:color="808080" w:themeColor="background1" w:themeShade="80"/>
              <w:left w:val="nil"/>
              <w:bottom w:val="single" w:sz="4" w:space="0" w:color="808080" w:themeColor="background1" w:themeShade="80"/>
              <w:right w:val="nil"/>
            </w:tcBorders>
            <w:vAlign w:val="center"/>
          </w:tcPr>
          <w:p w14:paraId="014B5D7B" w14:textId="6C4FCBDD"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highlight w:val="yellow"/>
                <w:lang w:eastAsia="el-GR"/>
              </w:rPr>
            </w:pPr>
            <w:r>
              <w:rPr>
                <w:rFonts w:ascii="Arial" w:eastAsia="Times New Roman" w:hAnsi="Arial" w:cs="Arial"/>
                <w:b/>
                <w:bCs/>
                <w:sz w:val="18"/>
                <w:szCs w:val="20"/>
                <w:lang w:eastAsia="el-GR"/>
              </w:rPr>
              <w:t>796</w:t>
            </w:r>
          </w:p>
        </w:tc>
        <w:tc>
          <w:tcPr>
            <w:tcW w:w="956" w:type="dxa"/>
            <w:tcBorders>
              <w:top w:val="single" w:sz="4" w:space="0" w:color="808080" w:themeColor="background1" w:themeShade="80"/>
              <w:bottom w:val="single" w:sz="4" w:space="0" w:color="808080" w:themeColor="background1" w:themeShade="80"/>
            </w:tcBorders>
            <w:vAlign w:val="center"/>
          </w:tcPr>
          <w:p w14:paraId="434DF92C" w14:textId="6C23604A"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9D10E0">
              <w:rPr>
                <w:rFonts w:ascii="Arial" w:eastAsia="Times New Roman" w:hAnsi="Arial" w:cs="Arial"/>
                <w:b/>
                <w:bCs/>
                <w:sz w:val="18"/>
                <w:szCs w:val="20"/>
                <w:lang w:eastAsia="el-GR"/>
              </w:rPr>
              <w:t>4%</w:t>
            </w:r>
          </w:p>
        </w:tc>
        <w:tc>
          <w:tcPr>
            <w:tcW w:w="1276" w:type="dxa"/>
            <w:tcBorders>
              <w:top w:val="single" w:sz="4" w:space="0" w:color="808080" w:themeColor="background1" w:themeShade="80"/>
              <w:bottom w:val="single" w:sz="4" w:space="0" w:color="808080" w:themeColor="background1" w:themeShade="80"/>
            </w:tcBorders>
            <w:vAlign w:val="center"/>
          </w:tcPr>
          <w:p w14:paraId="2FAC3D88" w14:textId="4C4CD133"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lang w:eastAsia="el-GR"/>
              </w:rPr>
            </w:pPr>
            <w:r w:rsidRPr="004E282F">
              <w:rPr>
                <w:rFonts w:ascii="Arial" w:eastAsia="Times New Roman" w:hAnsi="Arial" w:cs="Arial"/>
                <w:b/>
                <w:bCs/>
                <w:sz w:val="18"/>
                <w:szCs w:val="20"/>
                <w:lang w:eastAsia="el-GR"/>
              </w:rPr>
              <w:t>279</w:t>
            </w:r>
          </w:p>
        </w:tc>
        <w:tc>
          <w:tcPr>
            <w:tcW w:w="1043" w:type="dxa"/>
            <w:tcBorders>
              <w:top w:val="single" w:sz="4" w:space="0" w:color="808080" w:themeColor="background1" w:themeShade="80"/>
              <w:bottom w:val="single" w:sz="4" w:space="0" w:color="808080" w:themeColor="background1" w:themeShade="80"/>
            </w:tcBorders>
            <w:vAlign w:val="center"/>
          </w:tcPr>
          <w:p w14:paraId="7DC16571" w14:textId="3A026B5E"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D42E7E">
              <w:rPr>
                <w:rFonts w:ascii="Arial" w:eastAsia="Times New Roman" w:hAnsi="Arial" w:cs="Arial"/>
                <w:b/>
                <w:bCs/>
                <w:sz w:val="18"/>
                <w:szCs w:val="20"/>
                <w:lang w:eastAsia="el-GR"/>
              </w:rPr>
              <w:t>273</w:t>
            </w:r>
          </w:p>
        </w:tc>
        <w:tc>
          <w:tcPr>
            <w:tcW w:w="99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5DAB7D" w14:textId="09DDC6D3"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FE36E5">
              <w:rPr>
                <w:rFonts w:ascii="Arial" w:eastAsia="Times New Roman" w:hAnsi="Arial" w:cs="Arial"/>
                <w:b/>
                <w:bCs/>
                <w:sz w:val="18"/>
                <w:szCs w:val="20"/>
                <w:lang w:eastAsia="el-GR"/>
              </w:rPr>
              <w:t>2%</w:t>
            </w:r>
          </w:p>
        </w:tc>
      </w:tr>
      <w:tr w:rsidR="00BC7D38" w:rsidRPr="00D41B36" w14:paraId="114E79B6" w14:textId="77777777" w:rsidTr="00BC7D38">
        <w:trPr>
          <w:trHeight w:val="215"/>
          <w:jc w:val="center"/>
        </w:trPr>
        <w:tc>
          <w:tcPr>
            <w:tcW w:w="4957" w:type="dxa"/>
            <w:tcBorders>
              <w:top w:val="single" w:sz="4" w:space="0" w:color="808080" w:themeColor="background1" w:themeShade="80"/>
            </w:tcBorders>
            <w:vAlign w:val="center"/>
          </w:tcPr>
          <w:p w14:paraId="686B4874" w14:textId="77777777" w:rsidR="00BC7D38" w:rsidRPr="007246A9" w:rsidRDefault="00BC7D38" w:rsidP="00BC7D38">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Cs/>
                <w:sz w:val="18"/>
                <w:szCs w:val="18"/>
                <w:lang w:eastAsia="el-GR"/>
              </w:rPr>
            </w:pPr>
            <w:proofErr w:type="spellStart"/>
            <w:r w:rsidRPr="007246A9">
              <w:rPr>
                <w:rFonts w:ascii="Arial" w:hAnsi="Arial" w:cs="Arial"/>
                <w:color w:val="000000" w:themeColor="text1"/>
                <w:sz w:val="18"/>
                <w:szCs w:val="18"/>
              </w:rPr>
              <w:t>Κόστος</w:t>
            </w:r>
            <w:proofErr w:type="spellEnd"/>
            <w:r w:rsidRPr="007246A9">
              <w:rPr>
                <w:rFonts w:ascii="Arial" w:hAnsi="Arial" w:cs="Arial"/>
                <w:color w:val="000000" w:themeColor="text1"/>
                <w:sz w:val="18"/>
                <w:szCs w:val="18"/>
              </w:rPr>
              <w:t xml:space="preserve"> π</w:t>
            </w:r>
            <w:proofErr w:type="spellStart"/>
            <w:r w:rsidRPr="007246A9">
              <w:rPr>
                <w:rFonts w:ascii="Arial" w:hAnsi="Arial" w:cs="Arial"/>
                <w:color w:val="000000" w:themeColor="text1"/>
                <w:sz w:val="18"/>
                <w:szCs w:val="18"/>
              </w:rPr>
              <w:t>ροσω</w:t>
            </w:r>
            <w:proofErr w:type="spellEnd"/>
            <w:r w:rsidRPr="007246A9">
              <w:rPr>
                <w:rFonts w:ascii="Arial" w:hAnsi="Arial" w:cs="Arial"/>
                <w:color w:val="000000" w:themeColor="text1"/>
                <w:sz w:val="18"/>
                <w:szCs w:val="18"/>
              </w:rPr>
              <w:t>πικού</w:t>
            </w:r>
          </w:p>
        </w:tc>
        <w:tc>
          <w:tcPr>
            <w:tcW w:w="1165" w:type="dxa"/>
            <w:tcBorders>
              <w:top w:val="single" w:sz="4" w:space="0" w:color="808080" w:themeColor="background1" w:themeShade="80"/>
            </w:tcBorders>
            <w:vAlign w:val="center"/>
          </w:tcPr>
          <w:p w14:paraId="0E10169C" w14:textId="1C213FAE"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sidRPr="00A5667B">
              <w:rPr>
                <w:rFonts w:ascii="Arial" w:eastAsia="Times New Roman" w:hAnsi="Arial" w:cs="Arial"/>
                <w:sz w:val="18"/>
                <w:szCs w:val="20"/>
                <w:lang w:eastAsia="el-GR"/>
              </w:rPr>
              <w:t>(15</w:t>
            </w:r>
            <w:r>
              <w:rPr>
                <w:rFonts w:ascii="Arial" w:eastAsia="Times New Roman" w:hAnsi="Arial" w:cs="Arial"/>
                <w:sz w:val="18"/>
                <w:szCs w:val="20"/>
                <w:lang w:eastAsia="el-GR"/>
              </w:rPr>
              <w:t>1</w:t>
            </w:r>
            <w:r w:rsidRPr="00A5667B">
              <w:rPr>
                <w:rFonts w:ascii="Arial" w:eastAsia="Times New Roman" w:hAnsi="Arial" w:cs="Arial"/>
                <w:sz w:val="18"/>
                <w:szCs w:val="20"/>
                <w:lang w:eastAsia="el-GR"/>
              </w:rPr>
              <w:t>)</w:t>
            </w:r>
          </w:p>
        </w:tc>
        <w:tc>
          <w:tcPr>
            <w:tcW w:w="1139" w:type="dxa"/>
            <w:tcBorders>
              <w:top w:val="single" w:sz="4" w:space="0" w:color="808080" w:themeColor="background1" w:themeShade="80"/>
              <w:left w:val="nil"/>
              <w:bottom w:val="nil"/>
              <w:right w:val="nil"/>
            </w:tcBorders>
            <w:vAlign w:val="center"/>
          </w:tcPr>
          <w:p w14:paraId="5BAF3635" w14:textId="4294C470"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(141)</w:t>
            </w:r>
          </w:p>
        </w:tc>
        <w:tc>
          <w:tcPr>
            <w:tcW w:w="956" w:type="dxa"/>
            <w:tcBorders>
              <w:top w:val="single" w:sz="4" w:space="0" w:color="808080" w:themeColor="background1" w:themeShade="80"/>
            </w:tcBorders>
            <w:vAlign w:val="center"/>
          </w:tcPr>
          <w:p w14:paraId="6BBF68CA" w14:textId="305423B7"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7</w:t>
            </w:r>
            <w:r w:rsidRPr="009D10E0">
              <w:rPr>
                <w:rFonts w:ascii="Arial" w:eastAsia="Times New Roman" w:hAnsi="Arial" w:cs="Arial"/>
                <w:sz w:val="18"/>
                <w:szCs w:val="20"/>
                <w:lang w:eastAsia="el-GR"/>
              </w:rPr>
              <w:t>%</w:t>
            </w:r>
          </w:p>
        </w:tc>
        <w:tc>
          <w:tcPr>
            <w:tcW w:w="1276" w:type="dxa"/>
            <w:tcBorders>
              <w:top w:val="single" w:sz="4" w:space="0" w:color="808080" w:themeColor="background1" w:themeShade="80"/>
            </w:tcBorders>
            <w:vAlign w:val="center"/>
          </w:tcPr>
          <w:p w14:paraId="2CA18800" w14:textId="6040C870"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(55)</w:t>
            </w:r>
          </w:p>
        </w:tc>
        <w:tc>
          <w:tcPr>
            <w:tcW w:w="1043" w:type="dxa"/>
            <w:tcBorders>
              <w:top w:val="single" w:sz="4" w:space="0" w:color="808080" w:themeColor="background1" w:themeShade="80"/>
            </w:tcBorders>
            <w:vAlign w:val="center"/>
          </w:tcPr>
          <w:p w14:paraId="4BEB3999" w14:textId="30566308"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(48)</w:t>
            </w:r>
          </w:p>
        </w:tc>
        <w:tc>
          <w:tcPr>
            <w:tcW w:w="997" w:type="dxa"/>
            <w:tcBorders>
              <w:top w:val="single" w:sz="4" w:space="0" w:color="808080" w:themeColor="background1" w:themeShade="80"/>
            </w:tcBorders>
            <w:shd w:val="clear" w:color="auto" w:fill="auto"/>
            <w:vAlign w:val="center"/>
          </w:tcPr>
          <w:p w14:paraId="1A0D7501" w14:textId="7D21E46C"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FE36E5">
              <w:rPr>
                <w:rFonts w:ascii="Arial" w:eastAsia="Times New Roman" w:hAnsi="Arial" w:cs="Arial"/>
                <w:sz w:val="18"/>
                <w:szCs w:val="20"/>
                <w:lang w:eastAsia="el-GR"/>
              </w:rPr>
              <w:t>1</w:t>
            </w:r>
            <w:r>
              <w:rPr>
                <w:rFonts w:ascii="Arial" w:eastAsia="Times New Roman" w:hAnsi="Arial" w:cs="Arial"/>
                <w:sz w:val="18"/>
                <w:szCs w:val="20"/>
                <w:lang w:eastAsia="el-GR"/>
              </w:rPr>
              <w:t>4</w:t>
            </w:r>
            <w:r w:rsidRPr="00FE36E5">
              <w:rPr>
                <w:rFonts w:ascii="Arial" w:eastAsia="Times New Roman" w:hAnsi="Arial" w:cs="Arial"/>
                <w:sz w:val="18"/>
                <w:szCs w:val="20"/>
                <w:lang w:eastAsia="el-GR"/>
              </w:rPr>
              <w:t>%</w:t>
            </w:r>
          </w:p>
        </w:tc>
      </w:tr>
      <w:tr w:rsidR="00BC7D38" w:rsidRPr="00D41B36" w14:paraId="0D4BE08E" w14:textId="77777777" w:rsidTr="00502B4F">
        <w:trPr>
          <w:trHeight w:val="215"/>
          <w:jc w:val="center"/>
        </w:trPr>
        <w:tc>
          <w:tcPr>
            <w:tcW w:w="4957" w:type="dxa"/>
            <w:vAlign w:val="center"/>
          </w:tcPr>
          <w:p w14:paraId="0AA00680" w14:textId="2E11C604" w:rsidR="00BC7D38" w:rsidRPr="007246A9" w:rsidRDefault="00BC7D38" w:rsidP="00BC7D38">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Cs/>
                <w:sz w:val="18"/>
                <w:szCs w:val="18"/>
                <w:lang w:eastAsia="el-GR"/>
              </w:rPr>
            </w:pPr>
            <w:r>
              <w:rPr>
                <w:rFonts w:ascii="Arial" w:hAnsi="Arial" w:cs="Arial"/>
                <w:color w:val="000000" w:themeColor="text1"/>
                <w:sz w:val="18"/>
                <w:szCs w:val="18"/>
                <w:lang w:val="el-GR"/>
              </w:rPr>
              <w:t>Λοιπά</w:t>
            </w:r>
            <w:r w:rsidRPr="007246A9">
              <w:rPr>
                <w:rFonts w:ascii="Arial" w:hAnsi="Arial" w:cs="Arial"/>
                <w:color w:val="000000" w:themeColor="text1"/>
                <w:sz w:val="18"/>
                <w:szCs w:val="18"/>
              </w:rPr>
              <w:t xml:space="preserve"> </w:t>
            </w:r>
            <w:proofErr w:type="spellStart"/>
            <w:r w:rsidRPr="007246A9">
              <w:rPr>
                <w:rFonts w:ascii="Arial" w:hAnsi="Arial" w:cs="Arial"/>
                <w:color w:val="000000" w:themeColor="text1"/>
                <w:sz w:val="18"/>
                <w:szCs w:val="18"/>
              </w:rPr>
              <w:t>λειτουργικά</w:t>
            </w:r>
            <w:proofErr w:type="spellEnd"/>
            <w:r w:rsidRPr="007246A9">
              <w:rPr>
                <w:rFonts w:ascii="Arial" w:hAnsi="Arial" w:cs="Arial"/>
                <w:color w:val="000000" w:themeColor="text1"/>
                <w:sz w:val="18"/>
                <w:szCs w:val="18"/>
              </w:rPr>
              <w:t xml:space="preserve"> </w:t>
            </w:r>
            <w:proofErr w:type="spellStart"/>
            <w:r w:rsidRPr="007246A9">
              <w:rPr>
                <w:rFonts w:ascii="Arial" w:hAnsi="Arial" w:cs="Arial"/>
                <w:color w:val="000000" w:themeColor="text1"/>
                <w:sz w:val="18"/>
                <w:szCs w:val="18"/>
              </w:rPr>
              <w:t>έξοδ</w:t>
            </w:r>
            <w:proofErr w:type="spellEnd"/>
            <w:r w:rsidRPr="007246A9">
              <w:rPr>
                <w:rFonts w:ascii="Arial" w:hAnsi="Arial" w:cs="Arial"/>
                <w:color w:val="000000" w:themeColor="text1"/>
                <w:sz w:val="18"/>
                <w:szCs w:val="18"/>
              </w:rPr>
              <w:t>α</w:t>
            </w:r>
          </w:p>
        </w:tc>
        <w:tc>
          <w:tcPr>
            <w:tcW w:w="1165" w:type="dxa"/>
            <w:vAlign w:val="center"/>
          </w:tcPr>
          <w:p w14:paraId="29BF8E0D" w14:textId="1844FE1F"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sidRPr="00A5667B">
              <w:rPr>
                <w:rFonts w:ascii="Arial" w:eastAsia="Times New Roman" w:hAnsi="Arial" w:cs="Arial"/>
                <w:sz w:val="18"/>
                <w:szCs w:val="20"/>
                <w:lang w:eastAsia="el-GR"/>
              </w:rPr>
              <w:t>(115)</w:t>
            </w:r>
          </w:p>
        </w:tc>
        <w:tc>
          <w:tcPr>
            <w:tcW w:w="1139" w:type="dxa"/>
            <w:vAlign w:val="center"/>
          </w:tcPr>
          <w:p w14:paraId="25B30D57" w14:textId="29D59A8B"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(107)</w:t>
            </w:r>
          </w:p>
        </w:tc>
        <w:tc>
          <w:tcPr>
            <w:tcW w:w="956" w:type="dxa"/>
            <w:vAlign w:val="center"/>
          </w:tcPr>
          <w:p w14:paraId="61139540" w14:textId="3DFFFB72"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9D10E0">
              <w:rPr>
                <w:rFonts w:ascii="Arial" w:eastAsia="Times New Roman" w:hAnsi="Arial" w:cs="Arial"/>
                <w:sz w:val="18"/>
                <w:szCs w:val="20"/>
                <w:lang w:eastAsia="el-GR"/>
              </w:rPr>
              <w:t>8%</w:t>
            </w:r>
          </w:p>
        </w:tc>
        <w:tc>
          <w:tcPr>
            <w:tcW w:w="1276" w:type="dxa"/>
            <w:vAlign w:val="center"/>
          </w:tcPr>
          <w:p w14:paraId="1B20465D" w14:textId="02969194"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(44)</w:t>
            </w:r>
          </w:p>
        </w:tc>
        <w:tc>
          <w:tcPr>
            <w:tcW w:w="1043" w:type="dxa"/>
            <w:vAlign w:val="center"/>
          </w:tcPr>
          <w:p w14:paraId="40382258" w14:textId="655B8E64" w:rsidR="00BC7D38" w:rsidRPr="00D41B36" w:rsidDel="00027A6E"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(38)</w:t>
            </w:r>
          </w:p>
        </w:tc>
        <w:tc>
          <w:tcPr>
            <w:tcW w:w="997" w:type="dxa"/>
            <w:shd w:val="clear" w:color="auto" w:fill="auto"/>
            <w:vAlign w:val="center"/>
          </w:tcPr>
          <w:p w14:paraId="448A6B87" w14:textId="047271F1"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FE36E5">
              <w:rPr>
                <w:rFonts w:ascii="Arial" w:eastAsia="Times New Roman" w:hAnsi="Arial" w:cs="Arial"/>
                <w:sz w:val="18"/>
                <w:szCs w:val="20"/>
                <w:lang w:eastAsia="el-GR"/>
              </w:rPr>
              <w:t>14%</w:t>
            </w:r>
          </w:p>
        </w:tc>
      </w:tr>
      <w:tr w:rsidR="00BC7D38" w:rsidRPr="00D41B36" w14:paraId="2046F8E1" w14:textId="77777777" w:rsidTr="00502B4F">
        <w:trPr>
          <w:trHeight w:val="215"/>
          <w:jc w:val="center"/>
        </w:trPr>
        <w:tc>
          <w:tcPr>
            <w:tcW w:w="4957" w:type="dxa"/>
            <w:vAlign w:val="center"/>
          </w:tcPr>
          <w:p w14:paraId="32F25824" w14:textId="77777777" w:rsidR="00BC7D38" w:rsidRPr="007246A9" w:rsidRDefault="00BC7D38" w:rsidP="00BC7D38">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Cs/>
                <w:sz w:val="18"/>
                <w:szCs w:val="18"/>
                <w:lang w:val="el-GR" w:eastAsia="el-GR"/>
              </w:rPr>
            </w:pPr>
            <w:r w:rsidRPr="007246A9">
              <w:rPr>
                <w:rFonts w:ascii="Arial" w:hAnsi="Arial" w:cs="Arial"/>
                <w:color w:val="000000" w:themeColor="text1"/>
                <w:sz w:val="18"/>
                <w:szCs w:val="18"/>
                <w:lang w:val="el-GR"/>
              </w:rPr>
              <w:t>Ειδικός φόρος επί των καταθέσεων και άλλα τέλη/εισφορές</w:t>
            </w:r>
          </w:p>
        </w:tc>
        <w:tc>
          <w:tcPr>
            <w:tcW w:w="1165" w:type="dxa"/>
            <w:vAlign w:val="center"/>
          </w:tcPr>
          <w:p w14:paraId="465D679D" w14:textId="3589EC57"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val="el-GR" w:eastAsia="el-GR"/>
              </w:rPr>
            </w:pPr>
            <w:r w:rsidRPr="00A5667B">
              <w:rPr>
                <w:rFonts w:ascii="Arial" w:eastAsia="Times New Roman" w:hAnsi="Arial" w:cs="Arial"/>
                <w:sz w:val="18"/>
                <w:szCs w:val="20"/>
                <w:lang w:eastAsia="el-GR"/>
              </w:rPr>
              <w:t>(26)</w:t>
            </w:r>
          </w:p>
        </w:tc>
        <w:tc>
          <w:tcPr>
            <w:tcW w:w="1139" w:type="dxa"/>
            <w:vAlign w:val="center"/>
          </w:tcPr>
          <w:p w14:paraId="378EBAB4" w14:textId="073C8B84"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(30)</w:t>
            </w:r>
          </w:p>
        </w:tc>
        <w:tc>
          <w:tcPr>
            <w:tcW w:w="956" w:type="dxa"/>
            <w:vAlign w:val="center"/>
          </w:tcPr>
          <w:p w14:paraId="799D4B00" w14:textId="36AFC763"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9D10E0">
              <w:rPr>
                <w:rFonts w:ascii="Arial" w:eastAsia="Times New Roman" w:hAnsi="Arial" w:cs="Arial"/>
                <w:sz w:val="18"/>
                <w:szCs w:val="20"/>
                <w:lang w:eastAsia="el-GR"/>
              </w:rPr>
              <w:t>-12%</w:t>
            </w:r>
          </w:p>
        </w:tc>
        <w:tc>
          <w:tcPr>
            <w:tcW w:w="1276" w:type="dxa"/>
            <w:vAlign w:val="center"/>
          </w:tcPr>
          <w:p w14:paraId="5EA1A6C8" w14:textId="38C10C7D"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(7)</w:t>
            </w:r>
          </w:p>
        </w:tc>
        <w:tc>
          <w:tcPr>
            <w:tcW w:w="1043" w:type="dxa"/>
            <w:vAlign w:val="center"/>
          </w:tcPr>
          <w:p w14:paraId="7A883DDD" w14:textId="6108E077"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(8)</w:t>
            </w:r>
          </w:p>
        </w:tc>
        <w:tc>
          <w:tcPr>
            <w:tcW w:w="997" w:type="dxa"/>
            <w:shd w:val="clear" w:color="auto" w:fill="auto"/>
            <w:vAlign w:val="center"/>
          </w:tcPr>
          <w:p w14:paraId="57BA471D" w14:textId="3E1B06AC" w:rsidR="00BC7D38" w:rsidRPr="00DC4213" w:rsidRDefault="00DC4213"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val="el-GR" w:eastAsia="el-GR"/>
              </w:rPr>
            </w:pPr>
            <w:r>
              <w:rPr>
                <w:rFonts w:ascii="Arial" w:eastAsia="Times New Roman" w:hAnsi="Arial" w:cs="Arial"/>
                <w:sz w:val="18"/>
                <w:szCs w:val="20"/>
                <w:lang w:val="el-GR" w:eastAsia="el-GR"/>
              </w:rPr>
              <w:t>-</w:t>
            </w:r>
          </w:p>
        </w:tc>
      </w:tr>
      <w:tr w:rsidR="00BC7D38" w:rsidRPr="00D41B36" w14:paraId="0DB60706" w14:textId="77777777" w:rsidTr="00502B4F">
        <w:trPr>
          <w:trHeight w:val="215"/>
          <w:jc w:val="center"/>
        </w:trPr>
        <w:tc>
          <w:tcPr>
            <w:tcW w:w="4957"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DC6A54E" w14:textId="77777777" w:rsidR="00BC7D38" w:rsidRPr="007246A9" w:rsidRDefault="00BC7D38" w:rsidP="00BC7D38">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
                <w:sz w:val="18"/>
                <w:szCs w:val="18"/>
                <w:lang w:eastAsia="el-GR"/>
              </w:rPr>
            </w:pPr>
            <w:proofErr w:type="spellStart"/>
            <w:r w:rsidRPr="007246A9">
              <w:rPr>
                <w:rFonts w:ascii="Arial" w:hAnsi="Arial" w:cs="Arial"/>
                <w:b/>
                <w:bCs/>
                <w:color w:val="000000" w:themeColor="text1"/>
                <w:sz w:val="18"/>
                <w:szCs w:val="18"/>
              </w:rPr>
              <w:t>Σύνολο</w:t>
            </w:r>
            <w:proofErr w:type="spellEnd"/>
            <w:r w:rsidRPr="007246A9">
              <w:rPr>
                <w:rFonts w:ascii="Arial" w:hAnsi="Arial" w:cs="Arial"/>
                <w:b/>
                <w:bCs/>
                <w:color w:val="000000" w:themeColor="text1"/>
                <w:sz w:val="18"/>
                <w:szCs w:val="18"/>
              </w:rPr>
              <w:t xml:space="preserve"> </w:t>
            </w:r>
            <w:proofErr w:type="spellStart"/>
            <w:r w:rsidRPr="007246A9">
              <w:rPr>
                <w:rFonts w:ascii="Arial" w:hAnsi="Arial" w:cs="Arial"/>
                <w:b/>
                <w:bCs/>
                <w:color w:val="000000" w:themeColor="text1"/>
                <w:sz w:val="18"/>
                <w:szCs w:val="18"/>
              </w:rPr>
              <w:t>εξόδων</w:t>
            </w:r>
            <w:proofErr w:type="spellEnd"/>
          </w:p>
        </w:tc>
        <w:tc>
          <w:tcPr>
            <w:tcW w:w="1165" w:type="dxa"/>
            <w:tcBorders>
              <w:top w:val="single" w:sz="4" w:space="0" w:color="808080" w:themeColor="background1" w:themeShade="80"/>
              <w:left w:val="nil"/>
              <w:bottom w:val="single" w:sz="4" w:space="0" w:color="808080" w:themeColor="background1" w:themeShade="80"/>
            </w:tcBorders>
            <w:vAlign w:val="center"/>
          </w:tcPr>
          <w:p w14:paraId="6CE62C72" w14:textId="6119909D"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highlight w:val="yellow"/>
                <w:lang w:eastAsia="el-GR"/>
              </w:rPr>
            </w:pPr>
            <w:r w:rsidRPr="00A5667B">
              <w:rPr>
                <w:rFonts w:ascii="Arial" w:eastAsia="Times New Roman" w:hAnsi="Arial" w:cs="Arial"/>
                <w:b/>
                <w:bCs/>
                <w:sz w:val="18"/>
                <w:szCs w:val="20"/>
                <w:lang w:eastAsia="el-GR"/>
              </w:rPr>
              <w:t>(29</w:t>
            </w:r>
            <w:r>
              <w:rPr>
                <w:rFonts w:ascii="Arial" w:eastAsia="Times New Roman" w:hAnsi="Arial" w:cs="Arial"/>
                <w:b/>
                <w:bCs/>
                <w:sz w:val="18"/>
                <w:szCs w:val="20"/>
                <w:lang w:eastAsia="el-GR"/>
              </w:rPr>
              <w:t>2</w:t>
            </w:r>
            <w:r w:rsidRPr="00A5667B">
              <w:rPr>
                <w:rFonts w:ascii="Arial" w:eastAsia="Times New Roman" w:hAnsi="Arial" w:cs="Arial"/>
                <w:b/>
                <w:bCs/>
                <w:sz w:val="18"/>
                <w:szCs w:val="20"/>
                <w:lang w:eastAsia="el-GR"/>
              </w:rPr>
              <w:t>)</w:t>
            </w:r>
          </w:p>
        </w:tc>
        <w:tc>
          <w:tcPr>
            <w:tcW w:w="1139" w:type="dxa"/>
            <w:tcBorders>
              <w:top w:val="single" w:sz="4" w:space="0" w:color="808080" w:themeColor="background1" w:themeShade="80"/>
              <w:left w:val="nil"/>
              <w:bottom w:val="single" w:sz="4" w:space="0" w:color="808080" w:themeColor="background1" w:themeShade="80"/>
              <w:right w:val="nil"/>
            </w:tcBorders>
            <w:vAlign w:val="center"/>
          </w:tcPr>
          <w:p w14:paraId="7DC0624E" w14:textId="2CCDC46F"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highlight w:val="yellow"/>
                <w:lang w:eastAsia="el-GR"/>
              </w:rPr>
            </w:pPr>
            <w:r>
              <w:rPr>
                <w:rFonts w:ascii="Arial" w:eastAsia="Times New Roman" w:hAnsi="Arial" w:cs="Arial"/>
                <w:b/>
                <w:bCs/>
                <w:sz w:val="18"/>
                <w:szCs w:val="20"/>
                <w:lang w:eastAsia="el-GR"/>
              </w:rPr>
              <w:t>(278)</w:t>
            </w:r>
          </w:p>
        </w:tc>
        <w:tc>
          <w:tcPr>
            <w:tcW w:w="956" w:type="dxa"/>
            <w:tcBorders>
              <w:top w:val="single" w:sz="4" w:space="0" w:color="808080" w:themeColor="background1" w:themeShade="80"/>
              <w:bottom w:val="single" w:sz="4" w:space="0" w:color="808080" w:themeColor="background1" w:themeShade="80"/>
            </w:tcBorders>
            <w:vAlign w:val="center"/>
          </w:tcPr>
          <w:p w14:paraId="58884FEF" w14:textId="2411C45B"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Pr>
                <w:rFonts w:ascii="Arial" w:eastAsia="Times New Roman" w:hAnsi="Arial" w:cs="Arial"/>
                <w:b/>
                <w:bCs/>
                <w:sz w:val="18"/>
                <w:szCs w:val="20"/>
                <w:lang w:eastAsia="el-GR"/>
              </w:rPr>
              <w:t>5</w:t>
            </w:r>
            <w:r w:rsidRPr="009D10E0">
              <w:rPr>
                <w:rFonts w:ascii="Arial" w:eastAsia="Times New Roman" w:hAnsi="Arial" w:cs="Arial"/>
                <w:b/>
                <w:bCs/>
                <w:sz w:val="18"/>
                <w:szCs w:val="20"/>
                <w:lang w:eastAsia="el-GR"/>
              </w:rPr>
              <w:t>%</w:t>
            </w:r>
          </w:p>
        </w:tc>
        <w:tc>
          <w:tcPr>
            <w:tcW w:w="1276" w:type="dxa"/>
            <w:tcBorders>
              <w:top w:val="single" w:sz="4" w:space="0" w:color="808080" w:themeColor="background1" w:themeShade="80"/>
              <w:bottom w:val="single" w:sz="4" w:space="0" w:color="808080" w:themeColor="background1" w:themeShade="80"/>
            </w:tcBorders>
            <w:vAlign w:val="center"/>
          </w:tcPr>
          <w:p w14:paraId="4E8D78C9" w14:textId="0DCE750D"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lang w:eastAsia="el-GR"/>
              </w:rPr>
            </w:pPr>
            <w:r w:rsidRPr="004E282F">
              <w:rPr>
                <w:rFonts w:ascii="Arial" w:eastAsia="Times New Roman" w:hAnsi="Arial" w:cs="Arial"/>
                <w:b/>
                <w:bCs/>
                <w:sz w:val="18"/>
                <w:szCs w:val="20"/>
                <w:lang w:eastAsia="el-GR"/>
              </w:rPr>
              <w:t>(10</w:t>
            </w:r>
            <w:r>
              <w:rPr>
                <w:rFonts w:ascii="Arial" w:eastAsia="Times New Roman" w:hAnsi="Arial" w:cs="Arial"/>
                <w:b/>
                <w:bCs/>
                <w:sz w:val="18"/>
                <w:szCs w:val="20"/>
                <w:lang w:eastAsia="el-GR"/>
              </w:rPr>
              <w:t>6</w:t>
            </w:r>
            <w:r w:rsidRPr="004E282F">
              <w:rPr>
                <w:rFonts w:ascii="Arial" w:eastAsia="Times New Roman" w:hAnsi="Arial" w:cs="Arial"/>
                <w:b/>
                <w:bCs/>
                <w:sz w:val="18"/>
                <w:szCs w:val="20"/>
                <w:lang w:eastAsia="el-GR"/>
              </w:rPr>
              <w:t>)</w:t>
            </w:r>
          </w:p>
        </w:tc>
        <w:tc>
          <w:tcPr>
            <w:tcW w:w="1043" w:type="dxa"/>
            <w:tcBorders>
              <w:top w:val="single" w:sz="4" w:space="0" w:color="808080" w:themeColor="background1" w:themeShade="80"/>
              <w:bottom w:val="single" w:sz="4" w:space="0" w:color="808080" w:themeColor="background1" w:themeShade="80"/>
            </w:tcBorders>
            <w:vAlign w:val="center"/>
          </w:tcPr>
          <w:p w14:paraId="245F9D99" w14:textId="446D289F"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D42E7E">
              <w:rPr>
                <w:rFonts w:ascii="Arial" w:eastAsia="Times New Roman" w:hAnsi="Arial" w:cs="Arial"/>
                <w:b/>
                <w:bCs/>
                <w:sz w:val="18"/>
                <w:szCs w:val="20"/>
                <w:lang w:eastAsia="el-GR"/>
              </w:rPr>
              <w:t>(9</w:t>
            </w:r>
            <w:r>
              <w:rPr>
                <w:rFonts w:ascii="Arial" w:eastAsia="Times New Roman" w:hAnsi="Arial" w:cs="Arial"/>
                <w:b/>
                <w:bCs/>
                <w:sz w:val="18"/>
                <w:szCs w:val="20"/>
                <w:lang w:eastAsia="el-GR"/>
              </w:rPr>
              <w:t>4</w:t>
            </w:r>
            <w:r w:rsidRPr="00D42E7E">
              <w:rPr>
                <w:rFonts w:ascii="Arial" w:eastAsia="Times New Roman" w:hAnsi="Arial" w:cs="Arial"/>
                <w:b/>
                <w:bCs/>
                <w:sz w:val="18"/>
                <w:szCs w:val="20"/>
                <w:lang w:eastAsia="el-GR"/>
              </w:rPr>
              <w:t>)</w:t>
            </w:r>
          </w:p>
        </w:tc>
        <w:tc>
          <w:tcPr>
            <w:tcW w:w="99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2DC39D" w14:textId="2ABC3EBE"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FE36E5">
              <w:rPr>
                <w:rFonts w:ascii="Arial" w:eastAsia="Times New Roman" w:hAnsi="Arial" w:cs="Arial"/>
                <w:b/>
                <w:bCs/>
                <w:sz w:val="18"/>
                <w:szCs w:val="20"/>
                <w:lang w:eastAsia="el-GR"/>
              </w:rPr>
              <w:t>1</w:t>
            </w:r>
            <w:r>
              <w:rPr>
                <w:rFonts w:ascii="Arial" w:eastAsia="Times New Roman" w:hAnsi="Arial" w:cs="Arial"/>
                <w:b/>
                <w:bCs/>
                <w:sz w:val="18"/>
                <w:szCs w:val="20"/>
                <w:lang w:eastAsia="el-GR"/>
              </w:rPr>
              <w:t>3</w:t>
            </w:r>
            <w:r w:rsidRPr="00FE36E5">
              <w:rPr>
                <w:rFonts w:ascii="Arial" w:eastAsia="Times New Roman" w:hAnsi="Arial" w:cs="Arial"/>
                <w:b/>
                <w:bCs/>
                <w:sz w:val="18"/>
                <w:szCs w:val="20"/>
                <w:lang w:eastAsia="el-GR"/>
              </w:rPr>
              <w:t>%</w:t>
            </w:r>
          </w:p>
        </w:tc>
      </w:tr>
      <w:tr w:rsidR="00BC7D38" w:rsidRPr="00D41B36" w14:paraId="27AB9103" w14:textId="77777777" w:rsidTr="00502B4F">
        <w:trPr>
          <w:trHeight w:val="73"/>
          <w:jc w:val="center"/>
        </w:trPr>
        <w:tc>
          <w:tcPr>
            <w:tcW w:w="4957"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B38325F" w14:textId="77777777" w:rsidR="00BC7D38" w:rsidRPr="007246A9" w:rsidRDefault="00BC7D38" w:rsidP="00BC7D38">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
                <w:sz w:val="18"/>
                <w:szCs w:val="18"/>
                <w:lang w:eastAsia="el-GR"/>
              </w:rPr>
            </w:pPr>
            <w:proofErr w:type="spellStart"/>
            <w:r w:rsidRPr="007246A9">
              <w:rPr>
                <w:rFonts w:ascii="Arial" w:hAnsi="Arial" w:cs="Arial"/>
                <w:b/>
                <w:bCs/>
                <w:color w:val="000000" w:themeColor="text1"/>
                <w:sz w:val="18"/>
                <w:szCs w:val="18"/>
              </w:rPr>
              <w:t>Λειτουργικά</w:t>
            </w:r>
            <w:proofErr w:type="spellEnd"/>
            <w:r w:rsidRPr="007246A9">
              <w:rPr>
                <w:rFonts w:ascii="Arial" w:hAnsi="Arial" w:cs="Arial"/>
                <w:b/>
                <w:bCs/>
                <w:color w:val="000000" w:themeColor="text1"/>
                <w:sz w:val="18"/>
                <w:szCs w:val="18"/>
              </w:rPr>
              <w:t xml:space="preserve"> </w:t>
            </w:r>
            <w:proofErr w:type="spellStart"/>
            <w:r w:rsidRPr="007246A9">
              <w:rPr>
                <w:rFonts w:ascii="Arial" w:hAnsi="Arial" w:cs="Arial"/>
                <w:b/>
                <w:bCs/>
                <w:color w:val="000000" w:themeColor="text1"/>
                <w:sz w:val="18"/>
                <w:szCs w:val="18"/>
              </w:rPr>
              <w:t>κέρδη</w:t>
            </w:r>
            <w:proofErr w:type="spellEnd"/>
            <w:r w:rsidRPr="007246A9">
              <w:rPr>
                <w:rFonts w:ascii="Arial" w:hAnsi="Arial" w:cs="Arial"/>
                <w:b/>
                <w:bCs/>
                <w:color w:val="000000" w:themeColor="text1"/>
                <w:sz w:val="18"/>
                <w:szCs w:val="18"/>
              </w:rPr>
              <w:t xml:space="preserve"> </w:t>
            </w:r>
          </w:p>
        </w:tc>
        <w:tc>
          <w:tcPr>
            <w:tcW w:w="1165" w:type="dxa"/>
            <w:tcBorders>
              <w:top w:val="single" w:sz="4" w:space="0" w:color="808080" w:themeColor="background1" w:themeShade="80"/>
              <w:left w:val="nil"/>
              <w:bottom w:val="single" w:sz="4" w:space="0" w:color="808080" w:themeColor="background1" w:themeShade="80"/>
            </w:tcBorders>
            <w:vAlign w:val="center"/>
          </w:tcPr>
          <w:p w14:paraId="2FAC88D7" w14:textId="12BFD6D8"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highlight w:val="yellow"/>
                <w:lang w:eastAsia="el-GR"/>
              </w:rPr>
            </w:pPr>
            <w:r w:rsidRPr="00E41665">
              <w:rPr>
                <w:rFonts w:ascii="Arial" w:eastAsia="Times New Roman" w:hAnsi="Arial" w:cs="Arial"/>
                <w:b/>
                <w:bCs/>
                <w:sz w:val="18"/>
                <w:szCs w:val="20"/>
                <w:lang w:eastAsia="el-GR"/>
              </w:rPr>
              <w:t>53</w:t>
            </w:r>
            <w:r>
              <w:rPr>
                <w:rFonts w:ascii="Arial" w:eastAsia="Times New Roman" w:hAnsi="Arial" w:cs="Arial"/>
                <w:b/>
                <w:bCs/>
                <w:sz w:val="18"/>
                <w:szCs w:val="20"/>
                <w:lang w:eastAsia="el-GR"/>
              </w:rPr>
              <w:t>6</w:t>
            </w:r>
          </w:p>
        </w:tc>
        <w:tc>
          <w:tcPr>
            <w:tcW w:w="1139" w:type="dxa"/>
            <w:tcBorders>
              <w:top w:val="single" w:sz="4" w:space="0" w:color="808080" w:themeColor="background1" w:themeShade="80"/>
              <w:left w:val="nil"/>
              <w:bottom w:val="single" w:sz="4" w:space="0" w:color="808080" w:themeColor="background1" w:themeShade="80"/>
              <w:right w:val="nil"/>
            </w:tcBorders>
            <w:vAlign w:val="center"/>
          </w:tcPr>
          <w:p w14:paraId="21198712" w14:textId="64A1CB72"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highlight w:val="yellow"/>
                <w:lang w:eastAsia="el-GR"/>
              </w:rPr>
            </w:pPr>
            <w:r>
              <w:rPr>
                <w:rFonts w:ascii="Arial" w:eastAsia="Times New Roman" w:hAnsi="Arial" w:cs="Arial"/>
                <w:b/>
                <w:bCs/>
                <w:sz w:val="18"/>
                <w:szCs w:val="20"/>
                <w:lang w:eastAsia="el-GR"/>
              </w:rPr>
              <w:t>518</w:t>
            </w:r>
          </w:p>
        </w:tc>
        <w:tc>
          <w:tcPr>
            <w:tcW w:w="956" w:type="dxa"/>
            <w:tcBorders>
              <w:top w:val="single" w:sz="4" w:space="0" w:color="808080" w:themeColor="background1" w:themeShade="80"/>
              <w:bottom w:val="single" w:sz="4" w:space="0" w:color="808080" w:themeColor="background1" w:themeShade="80"/>
            </w:tcBorders>
            <w:vAlign w:val="center"/>
          </w:tcPr>
          <w:p w14:paraId="6B5F846B" w14:textId="28913DEC"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9D10E0">
              <w:rPr>
                <w:rFonts w:ascii="Arial" w:eastAsia="Times New Roman" w:hAnsi="Arial" w:cs="Arial"/>
                <w:b/>
                <w:bCs/>
                <w:sz w:val="18"/>
                <w:szCs w:val="20"/>
                <w:lang w:eastAsia="el-GR"/>
              </w:rPr>
              <w:t>3%</w:t>
            </w:r>
          </w:p>
        </w:tc>
        <w:tc>
          <w:tcPr>
            <w:tcW w:w="1276" w:type="dxa"/>
            <w:tcBorders>
              <w:top w:val="single" w:sz="4" w:space="0" w:color="808080" w:themeColor="background1" w:themeShade="80"/>
              <w:bottom w:val="single" w:sz="4" w:space="0" w:color="808080" w:themeColor="background1" w:themeShade="80"/>
            </w:tcBorders>
            <w:vAlign w:val="center"/>
          </w:tcPr>
          <w:p w14:paraId="2BD99511" w14:textId="5673AA71"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lang w:eastAsia="el-GR"/>
              </w:rPr>
            </w:pPr>
            <w:r w:rsidRPr="004E282F">
              <w:rPr>
                <w:rFonts w:ascii="Arial" w:eastAsia="Times New Roman" w:hAnsi="Arial" w:cs="Arial"/>
                <w:b/>
                <w:bCs/>
                <w:sz w:val="18"/>
                <w:szCs w:val="20"/>
                <w:lang w:eastAsia="el-GR"/>
              </w:rPr>
              <w:t>17</w:t>
            </w:r>
            <w:r>
              <w:rPr>
                <w:rFonts w:ascii="Arial" w:eastAsia="Times New Roman" w:hAnsi="Arial" w:cs="Arial"/>
                <w:b/>
                <w:bCs/>
                <w:sz w:val="18"/>
                <w:szCs w:val="20"/>
                <w:lang w:eastAsia="el-GR"/>
              </w:rPr>
              <w:t>3</w:t>
            </w:r>
          </w:p>
        </w:tc>
        <w:tc>
          <w:tcPr>
            <w:tcW w:w="1043" w:type="dxa"/>
            <w:tcBorders>
              <w:top w:val="single" w:sz="4" w:space="0" w:color="808080" w:themeColor="background1" w:themeShade="80"/>
              <w:bottom w:val="single" w:sz="4" w:space="0" w:color="808080" w:themeColor="background1" w:themeShade="80"/>
            </w:tcBorders>
            <w:vAlign w:val="center"/>
          </w:tcPr>
          <w:p w14:paraId="55387D6C" w14:textId="2E5E8F2A"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D42E7E">
              <w:rPr>
                <w:rFonts w:ascii="Arial" w:eastAsia="Times New Roman" w:hAnsi="Arial" w:cs="Arial"/>
                <w:b/>
                <w:bCs/>
                <w:sz w:val="18"/>
                <w:szCs w:val="20"/>
                <w:lang w:eastAsia="el-GR"/>
              </w:rPr>
              <w:t>1</w:t>
            </w:r>
            <w:r>
              <w:rPr>
                <w:rFonts w:ascii="Arial" w:eastAsia="Times New Roman" w:hAnsi="Arial" w:cs="Arial"/>
                <w:b/>
                <w:bCs/>
                <w:sz w:val="18"/>
                <w:szCs w:val="20"/>
                <w:lang w:eastAsia="el-GR"/>
              </w:rPr>
              <w:t>79</w:t>
            </w:r>
          </w:p>
        </w:tc>
        <w:tc>
          <w:tcPr>
            <w:tcW w:w="99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3086AD" w14:textId="7CA6F720"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FE36E5">
              <w:rPr>
                <w:rFonts w:ascii="Arial" w:eastAsia="Times New Roman" w:hAnsi="Arial" w:cs="Arial"/>
                <w:b/>
                <w:bCs/>
                <w:sz w:val="18"/>
                <w:szCs w:val="20"/>
                <w:lang w:eastAsia="el-GR"/>
              </w:rPr>
              <w:t>-</w:t>
            </w:r>
            <w:r>
              <w:rPr>
                <w:rFonts w:ascii="Arial" w:eastAsia="Times New Roman" w:hAnsi="Arial" w:cs="Arial"/>
                <w:b/>
                <w:bCs/>
                <w:sz w:val="18"/>
                <w:szCs w:val="20"/>
                <w:lang w:eastAsia="el-GR"/>
              </w:rPr>
              <w:t>3</w:t>
            </w:r>
            <w:r w:rsidRPr="00FE36E5">
              <w:rPr>
                <w:rFonts w:ascii="Arial" w:eastAsia="Times New Roman" w:hAnsi="Arial" w:cs="Arial"/>
                <w:b/>
                <w:bCs/>
                <w:sz w:val="18"/>
                <w:szCs w:val="20"/>
                <w:lang w:eastAsia="el-GR"/>
              </w:rPr>
              <w:t>%</w:t>
            </w:r>
          </w:p>
        </w:tc>
      </w:tr>
      <w:tr w:rsidR="00BC7D38" w:rsidRPr="00D41B36" w14:paraId="7FE66FD1" w14:textId="77777777" w:rsidTr="00BC7D38">
        <w:trPr>
          <w:trHeight w:val="289"/>
          <w:jc w:val="center"/>
        </w:trPr>
        <w:tc>
          <w:tcPr>
            <w:tcW w:w="4957" w:type="dxa"/>
            <w:tcBorders>
              <w:top w:val="single" w:sz="4" w:space="0" w:color="808080" w:themeColor="background1" w:themeShade="80"/>
            </w:tcBorders>
            <w:vAlign w:val="center"/>
          </w:tcPr>
          <w:p w14:paraId="7BE6E4CC" w14:textId="77777777" w:rsidR="00BC7D38" w:rsidRPr="007246A9" w:rsidRDefault="00BC7D38" w:rsidP="00BC7D38">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eastAsia="el-GR"/>
              </w:rPr>
            </w:pPr>
            <w:r w:rsidRPr="007246A9">
              <w:rPr>
                <w:rFonts w:ascii="Arial" w:hAnsi="Arial" w:cs="Arial"/>
                <w:color w:val="000000" w:themeColor="text1"/>
                <w:sz w:val="18"/>
                <w:szCs w:val="18"/>
                <w:lang w:val="el-GR" w:eastAsia="el-GR"/>
              </w:rPr>
              <w:t>Πιστωτικές ζημιές</w:t>
            </w:r>
            <w:r w:rsidRPr="007246A9">
              <w:rPr>
                <w:rFonts w:ascii="Arial" w:hAnsi="Arial" w:cs="Arial"/>
                <w:color w:val="000000" w:themeColor="text1"/>
                <w:sz w:val="18"/>
                <w:szCs w:val="18"/>
                <w:lang w:eastAsia="el-GR"/>
              </w:rPr>
              <w:t xml:space="preserve"> </w:t>
            </w:r>
            <w:r w:rsidRPr="007246A9">
              <w:rPr>
                <w:rFonts w:ascii="Arial" w:hAnsi="Arial" w:cs="Arial"/>
                <w:color w:val="000000" w:themeColor="text1"/>
                <w:sz w:val="18"/>
                <w:szCs w:val="18"/>
                <w:lang w:val="el-GR" w:eastAsia="el-GR"/>
              </w:rPr>
              <w:t>δανείων</w:t>
            </w:r>
          </w:p>
        </w:tc>
        <w:tc>
          <w:tcPr>
            <w:tcW w:w="1165" w:type="dxa"/>
            <w:tcBorders>
              <w:top w:val="single" w:sz="4" w:space="0" w:color="808080" w:themeColor="background1" w:themeShade="80"/>
            </w:tcBorders>
            <w:vAlign w:val="center"/>
          </w:tcPr>
          <w:p w14:paraId="6DF2D8C1" w14:textId="2C6381A9"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Cs/>
                <w:sz w:val="18"/>
                <w:szCs w:val="20"/>
                <w:highlight w:val="yellow"/>
                <w:lang w:eastAsia="el-GR"/>
              </w:rPr>
            </w:pPr>
            <w:r w:rsidRPr="001E06D6">
              <w:rPr>
                <w:rFonts w:ascii="Arial" w:eastAsia="Times New Roman" w:hAnsi="Arial" w:cs="Arial"/>
                <w:bCs/>
                <w:sz w:val="18"/>
                <w:szCs w:val="20"/>
                <w:lang w:eastAsia="el-GR"/>
              </w:rPr>
              <w:t>(</w:t>
            </w:r>
            <w:r>
              <w:rPr>
                <w:rFonts w:ascii="Arial" w:eastAsia="Times New Roman" w:hAnsi="Arial" w:cs="Arial"/>
                <w:bCs/>
                <w:sz w:val="18"/>
                <w:szCs w:val="20"/>
                <w:lang w:eastAsia="el-GR"/>
              </w:rPr>
              <w:t>22</w:t>
            </w:r>
            <w:r w:rsidRPr="001E06D6">
              <w:rPr>
                <w:rFonts w:ascii="Arial" w:eastAsia="Times New Roman" w:hAnsi="Arial" w:cs="Arial"/>
                <w:bCs/>
                <w:sz w:val="18"/>
                <w:szCs w:val="20"/>
                <w:lang w:eastAsia="el-GR"/>
              </w:rPr>
              <w:t>)</w:t>
            </w:r>
          </w:p>
        </w:tc>
        <w:tc>
          <w:tcPr>
            <w:tcW w:w="1139" w:type="dxa"/>
            <w:tcBorders>
              <w:top w:val="single" w:sz="4" w:space="0" w:color="808080" w:themeColor="background1" w:themeShade="80"/>
              <w:left w:val="nil"/>
              <w:bottom w:val="nil"/>
              <w:right w:val="nil"/>
            </w:tcBorders>
            <w:vAlign w:val="center"/>
          </w:tcPr>
          <w:p w14:paraId="49B4D993" w14:textId="0071EDC4"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bCs/>
                <w:sz w:val="18"/>
                <w:szCs w:val="20"/>
                <w:lang w:eastAsia="el-GR"/>
              </w:rPr>
              <w:t>(44)</w:t>
            </w:r>
          </w:p>
        </w:tc>
        <w:tc>
          <w:tcPr>
            <w:tcW w:w="956" w:type="dxa"/>
            <w:tcBorders>
              <w:top w:val="single" w:sz="4" w:space="0" w:color="808080" w:themeColor="background1" w:themeShade="80"/>
            </w:tcBorders>
            <w:vAlign w:val="center"/>
          </w:tcPr>
          <w:p w14:paraId="3A0BB412" w14:textId="218546D3"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Cs/>
                <w:sz w:val="18"/>
                <w:szCs w:val="18"/>
                <w:highlight w:val="yellow"/>
                <w:lang w:eastAsia="el-GR"/>
              </w:rPr>
            </w:pPr>
            <w:r w:rsidRPr="009D10E0">
              <w:rPr>
                <w:rFonts w:ascii="Arial" w:eastAsia="Times New Roman" w:hAnsi="Arial" w:cs="Arial"/>
                <w:bCs/>
                <w:sz w:val="18"/>
                <w:szCs w:val="20"/>
                <w:lang w:eastAsia="el-GR"/>
              </w:rPr>
              <w:t>-</w:t>
            </w:r>
            <w:r>
              <w:rPr>
                <w:rFonts w:ascii="Arial" w:eastAsia="Times New Roman" w:hAnsi="Arial" w:cs="Arial"/>
                <w:bCs/>
                <w:sz w:val="18"/>
                <w:szCs w:val="20"/>
                <w:lang w:eastAsia="el-GR"/>
              </w:rPr>
              <w:t>50</w:t>
            </w:r>
            <w:r w:rsidRPr="009D10E0">
              <w:rPr>
                <w:rFonts w:ascii="Arial" w:eastAsia="Times New Roman" w:hAnsi="Arial" w:cs="Arial"/>
                <w:bCs/>
                <w:sz w:val="18"/>
                <w:szCs w:val="20"/>
                <w:lang w:eastAsia="el-GR"/>
              </w:rPr>
              <w:t>%</w:t>
            </w:r>
          </w:p>
        </w:tc>
        <w:tc>
          <w:tcPr>
            <w:tcW w:w="1276" w:type="dxa"/>
            <w:tcBorders>
              <w:top w:val="single" w:sz="4" w:space="0" w:color="808080" w:themeColor="background1" w:themeShade="80"/>
            </w:tcBorders>
            <w:vAlign w:val="center"/>
          </w:tcPr>
          <w:p w14:paraId="5C3D24EE" w14:textId="2DBB229D"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bCs/>
                <w:sz w:val="18"/>
                <w:szCs w:val="20"/>
                <w:lang w:eastAsia="el-GR"/>
              </w:rPr>
              <w:t>(6)</w:t>
            </w:r>
          </w:p>
        </w:tc>
        <w:tc>
          <w:tcPr>
            <w:tcW w:w="1043" w:type="dxa"/>
            <w:tcBorders>
              <w:top w:val="single" w:sz="4" w:space="0" w:color="808080" w:themeColor="background1" w:themeShade="80"/>
            </w:tcBorders>
            <w:vAlign w:val="center"/>
          </w:tcPr>
          <w:p w14:paraId="30BEA39E" w14:textId="7F2BB387"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bCs/>
                <w:sz w:val="18"/>
                <w:szCs w:val="20"/>
                <w:lang w:eastAsia="el-GR"/>
              </w:rPr>
              <w:t>(9)</w:t>
            </w:r>
          </w:p>
        </w:tc>
        <w:tc>
          <w:tcPr>
            <w:tcW w:w="997" w:type="dxa"/>
            <w:tcBorders>
              <w:top w:val="single" w:sz="4" w:space="0" w:color="808080" w:themeColor="background1" w:themeShade="80"/>
            </w:tcBorders>
            <w:shd w:val="clear" w:color="auto" w:fill="auto"/>
            <w:vAlign w:val="center"/>
          </w:tcPr>
          <w:p w14:paraId="1C97A01E" w14:textId="4A934D39"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1E06D6">
              <w:rPr>
                <w:rFonts w:ascii="Arial" w:eastAsia="Times New Roman" w:hAnsi="Arial" w:cs="Arial"/>
                <w:bCs/>
                <w:sz w:val="18"/>
                <w:szCs w:val="20"/>
                <w:lang w:eastAsia="el-GR"/>
              </w:rPr>
              <w:t>-</w:t>
            </w:r>
            <w:r>
              <w:rPr>
                <w:rFonts w:ascii="Arial" w:eastAsia="Times New Roman" w:hAnsi="Arial" w:cs="Arial"/>
                <w:bCs/>
                <w:sz w:val="18"/>
                <w:szCs w:val="20"/>
                <w:lang w:eastAsia="el-GR"/>
              </w:rPr>
              <w:t>23</w:t>
            </w:r>
            <w:r w:rsidRPr="001E06D6">
              <w:rPr>
                <w:rFonts w:ascii="Arial" w:eastAsia="Times New Roman" w:hAnsi="Arial" w:cs="Arial"/>
                <w:bCs/>
                <w:sz w:val="18"/>
                <w:szCs w:val="20"/>
                <w:lang w:eastAsia="el-GR"/>
              </w:rPr>
              <w:t>%</w:t>
            </w:r>
          </w:p>
        </w:tc>
      </w:tr>
      <w:tr w:rsidR="00BC7D38" w:rsidRPr="00D41B36" w14:paraId="2938F7D4" w14:textId="77777777" w:rsidTr="00502B4F">
        <w:trPr>
          <w:trHeight w:val="215"/>
          <w:jc w:val="center"/>
        </w:trPr>
        <w:tc>
          <w:tcPr>
            <w:tcW w:w="4957" w:type="dxa"/>
            <w:vAlign w:val="center"/>
          </w:tcPr>
          <w:p w14:paraId="465CABB9" w14:textId="77777777" w:rsidR="00BC7D38" w:rsidRPr="007246A9" w:rsidRDefault="00BC7D38" w:rsidP="00BC7D38">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val="el-GR" w:eastAsia="el-GR"/>
              </w:rPr>
            </w:pPr>
            <w:proofErr w:type="spellStart"/>
            <w:r w:rsidRPr="007246A9">
              <w:rPr>
                <w:rFonts w:ascii="Arial" w:hAnsi="Arial" w:cs="Arial"/>
                <w:color w:val="000000" w:themeColor="text1"/>
                <w:sz w:val="18"/>
                <w:szCs w:val="18"/>
                <w:lang w:val="el-GR"/>
              </w:rPr>
              <w:t>Απομειώσεις</w:t>
            </w:r>
            <w:proofErr w:type="spellEnd"/>
            <w:r w:rsidRPr="007246A9">
              <w:rPr>
                <w:rFonts w:ascii="Arial" w:hAnsi="Arial" w:cs="Arial"/>
                <w:color w:val="000000" w:themeColor="text1"/>
                <w:sz w:val="18"/>
                <w:szCs w:val="18"/>
                <w:lang w:val="el-GR"/>
              </w:rPr>
              <w:t xml:space="preserve"> άλλων χρηματοοικονομικών και μη χρηματοοικονομικών περιουσιακών στοιχείων</w:t>
            </w:r>
          </w:p>
        </w:tc>
        <w:tc>
          <w:tcPr>
            <w:tcW w:w="1165" w:type="dxa"/>
            <w:vAlign w:val="center"/>
          </w:tcPr>
          <w:p w14:paraId="73B0D4F0" w14:textId="100659A7"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val="el-GR" w:eastAsia="el-GR"/>
              </w:rPr>
            </w:pPr>
            <w:r w:rsidRPr="001E06D6">
              <w:rPr>
                <w:rFonts w:ascii="Arial" w:eastAsia="Times New Roman" w:hAnsi="Arial" w:cs="Arial"/>
                <w:sz w:val="18"/>
                <w:szCs w:val="20"/>
                <w:lang w:eastAsia="el-GR"/>
              </w:rPr>
              <w:t>(39)</w:t>
            </w:r>
          </w:p>
        </w:tc>
        <w:tc>
          <w:tcPr>
            <w:tcW w:w="1139" w:type="dxa"/>
            <w:vAlign w:val="center"/>
          </w:tcPr>
          <w:p w14:paraId="3B51D709" w14:textId="5EAA1C41"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(38)</w:t>
            </w:r>
          </w:p>
        </w:tc>
        <w:tc>
          <w:tcPr>
            <w:tcW w:w="956" w:type="dxa"/>
            <w:vAlign w:val="center"/>
          </w:tcPr>
          <w:p w14:paraId="4DB33921" w14:textId="09CF6CB8"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Cs/>
                <w:sz w:val="18"/>
                <w:szCs w:val="18"/>
                <w:highlight w:val="yellow"/>
                <w:lang w:eastAsia="el-GR"/>
              </w:rPr>
            </w:pPr>
            <w:r w:rsidRPr="009D10E0">
              <w:rPr>
                <w:rFonts w:ascii="Arial" w:eastAsia="Times New Roman" w:hAnsi="Arial" w:cs="Arial"/>
                <w:bCs/>
                <w:sz w:val="18"/>
                <w:szCs w:val="20"/>
                <w:lang w:eastAsia="el-GR"/>
              </w:rPr>
              <w:t>5%</w:t>
            </w:r>
          </w:p>
        </w:tc>
        <w:tc>
          <w:tcPr>
            <w:tcW w:w="1276" w:type="dxa"/>
            <w:vAlign w:val="center"/>
          </w:tcPr>
          <w:p w14:paraId="054FE974" w14:textId="3F0AD97B"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bCs/>
                <w:sz w:val="18"/>
                <w:szCs w:val="20"/>
                <w:lang w:eastAsia="el-GR"/>
              </w:rPr>
              <w:t>(14)</w:t>
            </w:r>
          </w:p>
        </w:tc>
        <w:tc>
          <w:tcPr>
            <w:tcW w:w="1043" w:type="dxa"/>
            <w:vAlign w:val="center"/>
          </w:tcPr>
          <w:p w14:paraId="65BBA82F" w14:textId="1E4624CB"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bCs/>
                <w:sz w:val="18"/>
                <w:szCs w:val="20"/>
                <w:lang w:eastAsia="el-GR"/>
              </w:rPr>
              <w:t>(17)</w:t>
            </w:r>
          </w:p>
        </w:tc>
        <w:tc>
          <w:tcPr>
            <w:tcW w:w="997" w:type="dxa"/>
            <w:shd w:val="clear" w:color="auto" w:fill="auto"/>
            <w:vAlign w:val="center"/>
          </w:tcPr>
          <w:p w14:paraId="6B2FF0E2" w14:textId="03FE42D0"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1E06D6">
              <w:rPr>
                <w:rFonts w:ascii="Arial" w:eastAsia="Times New Roman" w:hAnsi="Arial" w:cs="Arial"/>
                <w:bCs/>
                <w:sz w:val="18"/>
                <w:szCs w:val="20"/>
                <w:lang w:eastAsia="el-GR"/>
              </w:rPr>
              <w:t>-12%</w:t>
            </w:r>
          </w:p>
        </w:tc>
      </w:tr>
      <w:tr w:rsidR="00BC7D38" w:rsidRPr="00D41B36" w14:paraId="619DBCF6" w14:textId="77777777" w:rsidTr="00BC7D38">
        <w:trPr>
          <w:trHeight w:val="223"/>
          <w:jc w:val="center"/>
        </w:trPr>
        <w:tc>
          <w:tcPr>
            <w:tcW w:w="4957" w:type="dxa"/>
            <w:tcBorders>
              <w:bottom w:val="single" w:sz="4" w:space="0" w:color="808080" w:themeColor="background1" w:themeShade="80"/>
            </w:tcBorders>
            <w:vAlign w:val="center"/>
          </w:tcPr>
          <w:p w14:paraId="09883EE2" w14:textId="08DF5D25" w:rsidR="00BC7D38" w:rsidRPr="007246A9" w:rsidRDefault="00BC7D38" w:rsidP="00BC7D38">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val="el-GR" w:eastAsia="el-GR"/>
              </w:rPr>
            </w:pPr>
            <w:r w:rsidRPr="007246A9">
              <w:rPr>
                <w:rFonts w:ascii="Arial" w:hAnsi="Arial" w:cs="Arial"/>
                <w:bCs/>
                <w:sz w:val="18"/>
                <w:szCs w:val="18"/>
                <w:lang w:val="el-GR"/>
              </w:rPr>
              <w:t>Προβλέψεις για επιδικίες, απαιτήσεις, κανονιστικά</w:t>
            </w:r>
            <w:r>
              <w:rPr>
                <w:rFonts w:ascii="Arial" w:hAnsi="Arial" w:cs="Arial"/>
                <w:bCs/>
                <w:sz w:val="18"/>
                <w:szCs w:val="18"/>
                <w:lang w:val="el-GR"/>
              </w:rPr>
              <w:t xml:space="preserve"> </w:t>
            </w:r>
            <w:r w:rsidRPr="007246A9">
              <w:rPr>
                <w:rFonts w:ascii="Arial" w:hAnsi="Arial" w:cs="Arial"/>
                <w:bCs/>
                <w:sz w:val="18"/>
                <w:szCs w:val="18"/>
                <w:lang w:val="el-GR"/>
              </w:rPr>
              <w:t>και άλλα θέματα (μετά από αναστροφές)</w:t>
            </w:r>
          </w:p>
        </w:tc>
        <w:tc>
          <w:tcPr>
            <w:tcW w:w="1165" w:type="dxa"/>
            <w:tcBorders>
              <w:bottom w:val="single" w:sz="4" w:space="0" w:color="808080" w:themeColor="background1" w:themeShade="80"/>
            </w:tcBorders>
            <w:vAlign w:val="center"/>
          </w:tcPr>
          <w:p w14:paraId="4B7D4498" w14:textId="4C55C87B"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val="el-GR" w:eastAsia="el-GR"/>
              </w:rPr>
            </w:pPr>
            <w:r w:rsidRPr="001E06D6">
              <w:rPr>
                <w:rFonts w:ascii="Arial" w:eastAsia="Times New Roman" w:hAnsi="Arial" w:cs="Arial"/>
                <w:sz w:val="18"/>
                <w:szCs w:val="20"/>
                <w:lang w:eastAsia="el-GR"/>
              </w:rPr>
              <w:t>1</w:t>
            </w:r>
          </w:p>
        </w:tc>
        <w:tc>
          <w:tcPr>
            <w:tcW w:w="1139" w:type="dxa"/>
            <w:tcBorders>
              <w:top w:val="nil"/>
              <w:left w:val="nil"/>
              <w:bottom w:val="single" w:sz="4" w:space="0" w:color="808080" w:themeColor="background1" w:themeShade="80"/>
              <w:right w:val="nil"/>
            </w:tcBorders>
            <w:vAlign w:val="center"/>
          </w:tcPr>
          <w:p w14:paraId="3A99E02F" w14:textId="11F8E2E4"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(20)</w:t>
            </w:r>
          </w:p>
        </w:tc>
        <w:tc>
          <w:tcPr>
            <w:tcW w:w="956" w:type="dxa"/>
            <w:tcBorders>
              <w:bottom w:val="single" w:sz="4" w:space="0" w:color="808080" w:themeColor="background1" w:themeShade="80"/>
            </w:tcBorders>
            <w:vAlign w:val="center"/>
          </w:tcPr>
          <w:p w14:paraId="3C3A4BE2" w14:textId="40ADA953"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Cs/>
                <w:sz w:val="18"/>
                <w:szCs w:val="18"/>
                <w:highlight w:val="yellow"/>
                <w:lang w:eastAsia="el-GR"/>
              </w:rPr>
            </w:pPr>
            <w:r w:rsidRPr="009D10E0">
              <w:rPr>
                <w:rFonts w:ascii="Arial" w:eastAsia="Times New Roman" w:hAnsi="Arial" w:cs="Arial"/>
                <w:bCs/>
                <w:sz w:val="18"/>
                <w:szCs w:val="20"/>
                <w:lang w:eastAsia="el-GR"/>
              </w:rPr>
              <w:t>-105%</w:t>
            </w:r>
          </w:p>
        </w:tc>
        <w:tc>
          <w:tcPr>
            <w:tcW w:w="1276" w:type="dxa"/>
            <w:tcBorders>
              <w:bottom w:val="single" w:sz="4" w:space="0" w:color="808080" w:themeColor="background1" w:themeShade="80"/>
            </w:tcBorders>
            <w:vAlign w:val="center"/>
          </w:tcPr>
          <w:p w14:paraId="00BE8708" w14:textId="1424EDE4"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bCs/>
                <w:sz w:val="18"/>
                <w:szCs w:val="20"/>
                <w:lang w:eastAsia="el-GR"/>
              </w:rPr>
              <w:t>4</w:t>
            </w:r>
          </w:p>
        </w:tc>
        <w:tc>
          <w:tcPr>
            <w:tcW w:w="1043" w:type="dxa"/>
            <w:tcBorders>
              <w:bottom w:val="single" w:sz="4" w:space="0" w:color="808080" w:themeColor="background1" w:themeShade="80"/>
            </w:tcBorders>
            <w:vAlign w:val="center"/>
          </w:tcPr>
          <w:p w14:paraId="284EF50E" w14:textId="67C70BFB"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bCs/>
                <w:sz w:val="18"/>
                <w:szCs w:val="20"/>
                <w:lang w:eastAsia="el-GR"/>
              </w:rPr>
              <w:t>7</w:t>
            </w:r>
          </w:p>
        </w:tc>
        <w:tc>
          <w:tcPr>
            <w:tcW w:w="997" w:type="dxa"/>
            <w:tcBorders>
              <w:bottom w:val="single" w:sz="4" w:space="0" w:color="808080" w:themeColor="background1" w:themeShade="80"/>
            </w:tcBorders>
            <w:shd w:val="clear" w:color="auto" w:fill="auto"/>
            <w:vAlign w:val="center"/>
          </w:tcPr>
          <w:p w14:paraId="781BE7EF" w14:textId="5A239950"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1E06D6">
              <w:rPr>
                <w:rFonts w:ascii="Arial" w:eastAsia="Times New Roman" w:hAnsi="Arial" w:cs="Arial"/>
                <w:bCs/>
                <w:sz w:val="18"/>
                <w:szCs w:val="20"/>
                <w:lang w:eastAsia="el-GR"/>
              </w:rPr>
              <w:t>-51%</w:t>
            </w:r>
          </w:p>
        </w:tc>
      </w:tr>
      <w:tr w:rsidR="00BC7D38" w:rsidRPr="00D41B36" w14:paraId="00E7CD87" w14:textId="77777777" w:rsidTr="00502B4F">
        <w:trPr>
          <w:trHeight w:val="91"/>
          <w:jc w:val="center"/>
        </w:trPr>
        <w:tc>
          <w:tcPr>
            <w:tcW w:w="4957"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B6718A2" w14:textId="77777777" w:rsidR="00BC7D38" w:rsidRPr="007246A9" w:rsidRDefault="00BC7D38" w:rsidP="00BC7D38">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
                <w:sz w:val="18"/>
                <w:szCs w:val="18"/>
                <w:lang w:val="el-GR" w:eastAsia="el-GR"/>
              </w:rPr>
            </w:pPr>
            <w:r w:rsidRPr="007246A9">
              <w:rPr>
                <w:rFonts w:ascii="Arial" w:hAnsi="Arial" w:cs="Arial"/>
                <w:b/>
                <w:sz w:val="18"/>
                <w:szCs w:val="18"/>
                <w:lang w:val="el-GR"/>
              </w:rPr>
              <w:t>Σύνολο</w:t>
            </w:r>
            <w:r w:rsidRPr="007246A9">
              <w:rPr>
                <w:rFonts w:ascii="Arial" w:hAnsi="Arial" w:cs="Arial"/>
                <w:b/>
                <w:sz w:val="18"/>
                <w:szCs w:val="18"/>
                <w:lang w:val="el-GR" w:eastAsia="el-GR"/>
              </w:rPr>
              <w:t xml:space="preserve"> πιστωτικών ζημιών δανείων, </w:t>
            </w:r>
            <w:proofErr w:type="spellStart"/>
            <w:r w:rsidRPr="007246A9">
              <w:rPr>
                <w:rFonts w:ascii="Arial" w:hAnsi="Arial" w:cs="Arial"/>
                <w:b/>
                <w:sz w:val="18"/>
                <w:szCs w:val="18"/>
                <w:lang w:val="el-GR"/>
              </w:rPr>
              <w:t>απομειώσεων</w:t>
            </w:r>
            <w:proofErr w:type="spellEnd"/>
            <w:r w:rsidRPr="007246A9">
              <w:rPr>
                <w:rFonts w:ascii="Arial" w:hAnsi="Arial" w:cs="Arial"/>
                <w:b/>
                <w:sz w:val="18"/>
                <w:szCs w:val="18"/>
                <w:lang w:val="el-GR"/>
              </w:rPr>
              <w:t xml:space="preserve"> και προβλέψεων</w:t>
            </w:r>
          </w:p>
        </w:tc>
        <w:tc>
          <w:tcPr>
            <w:tcW w:w="1165" w:type="dxa"/>
            <w:tcBorders>
              <w:top w:val="single" w:sz="4" w:space="0" w:color="808080" w:themeColor="background1" w:themeShade="80"/>
              <w:left w:val="nil"/>
              <w:bottom w:val="single" w:sz="4" w:space="0" w:color="808080" w:themeColor="background1" w:themeShade="80"/>
            </w:tcBorders>
            <w:vAlign w:val="center"/>
          </w:tcPr>
          <w:p w14:paraId="3E1E8A7E" w14:textId="22BD78F1"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20"/>
                <w:highlight w:val="yellow"/>
                <w:lang w:val="el-GR" w:eastAsia="el-GR"/>
              </w:rPr>
            </w:pPr>
            <w:r w:rsidRPr="001E06D6">
              <w:rPr>
                <w:rFonts w:ascii="Arial" w:eastAsia="Times New Roman" w:hAnsi="Arial" w:cs="Arial"/>
                <w:b/>
                <w:sz w:val="18"/>
                <w:szCs w:val="20"/>
                <w:lang w:eastAsia="el-GR"/>
              </w:rPr>
              <w:t>(</w:t>
            </w:r>
            <w:r>
              <w:rPr>
                <w:rFonts w:ascii="Arial" w:eastAsia="Times New Roman" w:hAnsi="Arial" w:cs="Arial"/>
                <w:b/>
                <w:sz w:val="18"/>
                <w:szCs w:val="20"/>
                <w:lang w:eastAsia="el-GR"/>
              </w:rPr>
              <w:t>60</w:t>
            </w:r>
            <w:r w:rsidRPr="001E06D6">
              <w:rPr>
                <w:rFonts w:ascii="Arial" w:eastAsia="Times New Roman" w:hAnsi="Arial" w:cs="Arial"/>
                <w:b/>
                <w:sz w:val="18"/>
                <w:szCs w:val="20"/>
                <w:lang w:eastAsia="el-GR"/>
              </w:rPr>
              <w:t>)</w:t>
            </w:r>
          </w:p>
        </w:tc>
        <w:tc>
          <w:tcPr>
            <w:tcW w:w="1139" w:type="dxa"/>
            <w:tcBorders>
              <w:top w:val="single" w:sz="4" w:space="0" w:color="808080" w:themeColor="background1" w:themeShade="80"/>
              <w:left w:val="nil"/>
              <w:bottom w:val="single" w:sz="4" w:space="0" w:color="808080" w:themeColor="background1" w:themeShade="80"/>
              <w:right w:val="nil"/>
            </w:tcBorders>
            <w:vAlign w:val="center"/>
          </w:tcPr>
          <w:p w14:paraId="67497F37" w14:textId="59D57816"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20"/>
                <w:highlight w:val="yellow"/>
                <w:lang w:eastAsia="el-GR"/>
              </w:rPr>
            </w:pPr>
            <w:r>
              <w:rPr>
                <w:rFonts w:ascii="Arial" w:eastAsia="Times New Roman" w:hAnsi="Arial" w:cs="Arial"/>
                <w:b/>
                <w:sz w:val="18"/>
                <w:szCs w:val="20"/>
                <w:lang w:eastAsia="el-GR"/>
              </w:rPr>
              <w:t>(102)</w:t>
            </w:r>
          </w:p>
        </w:tc>
        <w:tc>
          <w:tcPr>
            <w:tcW w:w="956" w:type="dxa"/>
            <w:tcBorders>
              <w:top w:val="single" w:sz="4" w:space="0" w:color="808080" w:themeColor="background1" w:themeShade="80"/>
              <w:bottom w:val="single" w:sz="4" w:space="0" w:color="808080" w:themeColor="background1" w:themeShade="80"/>
            </w:tcBorders>
            <w:vAlign w:val="center"/>
          </w:tcPr>
          <w:p w14:paraId="09A24DA1" w14:textId="663F21CB"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18"/>
                <w:highlight w:val="yellow"/>
                <w:lang w:eastAsia="el-GR"/>
              </w:rPr>
            </w:pPr>
            <w:r w:rsidRPr="009D10E0">
              <w:rPr>
                <w:rFonts w:ascii="Arial" w:eastAsia="Times New Roman" w:hAnsi="Arial" w:cs="Arial"/>
                <w:b/>
                <w:sz w:val="18"/>
                <w:szCs w:val="20"/>
                <w:lang w:eastAsia="el-GR"/>
              </w:rPr>
              <w:t>-4</w:t>
            </w:r>
            <w:r>
              <w:rPr>
                <w:rFonts w:ascii="Arial" w:eastAsia="Times New Roman" w:hAnsi="Arial" w:cs="Arial"/>
                <w:b/>
                <w:sz w:val="18"/>
                <w:szCs w:val="20"/>
                <w:lang w:eastAsia="el-GR"/>
              </w:rPr>
              <w:t>1</w:t>
            </w:r>
            <w:r w:rsidRPr="009D10E0">
              <w:rPr>
                <w:rFonts w:ascii="Arial" w:eastAsia="Times New Roman" w:hAnsi="Arial" w:cs="Arial"/>
                <w:b/>
                <w:sz w:val="18"/>
                <w:szCs w:val="20"/>
                <w:lang w:eastAsia="el-GR"/>
              </w:rPr>
              <w:t>%</w:t>
            </w:r>
          </w:p>
        </w:tc>
        <w:tc>
          <w:tcPr>
            <w:tcW w:w="1276" w:type="dxa"/>
            <w:tcBorders>
              <w:top w:val="single" w:sz="4" w:space="0" w:color="808080" w:themeColor="background1" w:themeShade="80"/>
              <w:bottom w:val="single" w:sz="4" w:space="0" w:color="808080" w:themeColor="background1" w:themeShade="80"/>
            </w:tcBorders>
            <w:vAlign w:val="center"/>
          </w:tcPr>
          <w:p w14:paraId="53351498" w14:textId="4D15B9A4"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20"/>
                <w:lang w:eastAsia="el-GR"/>
              </w:rPr>
            </w:pPr>
            <w:r w:rsidRPr="004E282F">
              <w:rPr>
                <w:rFonts w:ascii="Arial" w:eastAsia="Times New Roman" w:hAnsi="Arial" w:cs="Arial"/>
                <w:b/>
                <w:sz w:val="18"/>
                <w:szCs w:val="20"/>
                <w:lang w:eastAsia="el-GR"/>
              </w:rPr>
              <w:t>(1</w:t>
            </w:r>
            <w:r>
              <w:rPr>
                <w:rFonts w:ascii="Arial" w:eastAsia="Times New Roman" w:hAnsi="Arial" w:cs="Arial"/>
                <w:b/>
                <w:sz w:val="18"/>
                <w:szCs w:val="20"/>
                <w:lang w:eastAsia="el-GR"/>
              </w:rPr>
              <w:t>6</w:t>
            </w:r>
            <w:r w:rsidRPr="004E282F">
              <w:rPr>
                <w:rFonts w:ascii="Arial" w:eastAsia="Times New Roman" w:hAnsi="Arial" w:cs="Arial"/>
                <w:b/>
                <w:sz w:val="18"/>
                <w:szCs w:val="20"/>
                <w:lang w:eastAsia="el-GR"/>
              </w:rPr>
              <w:t>)</w:t>
            </w:r>
          </w:p>
        </w:tc>
        <w:tc>
          <w:tcPr>
            <w:tcW w:w="1043" w:type="dxa"/>
            <w:tcBorders>
              <w:top w:val="single" w:sz="4" w:space="0" w:color="808080" w:themeColor="background1" w:themeShade="80"/>
              <w:bottom w:val="single" w:sz="4" w:space="0" w:color="808080" w:themeColor="background1" w:themeShade="80"/>
            </w:tcBorders>
            <w:vAlign w:val="center"/>
          </w:tcPr>
          <w:p w14:paraId="3663FBC3" w14:textId="557FB753"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18"/>
                <w:highlight w:val="yellow"/>
                <w:lang w:eastAsia="el-GR"/>
              </w:rPr>
            </w:pPr>
            <w:r w:rsidRPr="00D42E7E">
              <w:rPr>
                <w:rFonts w:ascii="Arial" w:eastAsia="Times New Roman" w:hAnsi="Arial" w:cs="Arial"/>
                <w:b/>
                <w:sz w:val="18"/>
                <w:szCs w:val="20"/>
                <w:lang w:eastAsia="el-GR"/>
              </w:rPr>
              <w:t>(</w:t>
            </w:r>
            <w:r>
              <w:rPr>
                <w:rFonts w:ascii="Arial" w:eastAsia="Times New Roman" w:hAnsi="Arial" w:cs="Arial"/>
                <w:b/>
                <w:sz w:val="18"/>
                <w:szCs w:val="20"/>
                <w:lang w:eastAsia="el-GR"/>
              </w:rPr>
              <w:t>19</w:t>
            </w:r>
            <w:r w:rsidRPr="00D42E7E">
              <w:rPr>
                <w:rFonts w:ascii="Arial" w:eastAsia="Times New Roman" w:hAnsi="Arial" w:cs="Arial"/>
                <w:b/>
                <w:sz w:val="18"/>
                <w:szCs w:val="20"/>
                <w:lang w:eastAsia="el-GR"/>
              </w:rPr>
              <w:t>)</w:t>
            </w:r>
          </w:p>
        </w:tc>
        <w:tc>
          <w:tcPr>
            <w:tcW w:w="99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BE3AF0" w14:textId="1FA8BBED" w:rsidR="00BC7D38" w:rsidRPr="00D41B36" w:rsidDel="00CB576F"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18"/>
                <w:highlight w:val="yellow"/>
                <w:lang w:eastAsia="el-GR"/>
              </w:rPr>
            </w:pPr>
            <w:r w:rsidRPr="001E06D6">
              <w:rPr>
                <w:rFonts w:ascii="Arial" w:eastAsia="Times New Roman" w:hAnsi="Arial" w:cs="Arial"/>
                <w:b/>
                <w:sz w:val="18"/>
                <w:szCs w:val="20"/>
                <w:lang w:eastAsia="el-GR"/>
              </w:rPr>
              <w:t>-</w:t>
            </w:r>
            <w:r>
              <w:rPr>
                <w:rFonts w:ascii="Arial" w:eastAsia="Times New Roman" w:hAnsi="Arial" w:cs="Arial"/>
                <w:b/>
                <w:sz w:val="18"/>
                <w:szCs w:val="20"/>
                <w:lang w:eastAsia="el-GR"/>
              </w:rPr>
              <w:t>2</w:t>
            </w:r>
            <w:r w:rsidRPr="001E06D6">
              <w:rPr>
                <w:rFonts w:ascii="Arial" w:eastAsia="Times New Roman" w:hAnsi="Arial" w:cs="Arial"/>
                <w:b/>
                <w:sz w:val="18"/>
                <w:szCs w:val="20"/>
                <w:lang w:eastAsia="el-GR"/>
              </w:rPr>
              <w:t>%</w:t>
            </w:r>
          </w:p>
        </w:tc>
      </w:tr>
      <w:tr w:rsidR="00BC7D38" w:rsidRPr="00D41B36" w14:paraId="0F377E0E" w14:textId="77777777" w:rsidTr="00502B4F">
        <w:trPr>
          <w:trHeight w:val="91"/>
          <w:jc w:val="center"/>
        </w:trPr>
        <w:tc>
          <w:tcPr>
            <w:tcW w:w="4957"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7C45A55" w14:textId="77777777" w:rsidR="00BC7D38" w:rsidRPr="007246A9" w:rsidRDefault="00BC7D38" w:rsidP="00BC7D38">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
                <w:sz w:val="18"/>
                <w:szCs w:val="18"/>
                <w:lang w:val="el-GR" w:eastAsia="el-GR"/>
              </w:rPr>
            </w:pPr>
            <w:r w:rsidRPr="007246A9">
              <w:rPr>
                <w:rFonts w:ascii="Arial" w:hAnsi="Arial" w:cs="Arial"/>
                <w:b/>
                <w:sz w:val="18"/>
                <w:szCs w:val="18"/>
                <w:lang w:val="el-GR"/>
              </w:rPr>
              <w:t>Κέρδη πριν τη φορολογία και μη- επαναλαμβανόμενα στοιχεία</w:t>
            </w:r>
          </w:p>
        </w:tc>
        <w:tc>
          <w:tcPr>
            <w:tcW w:w="1165" w:type="dxa"/>
            <w:tcBorders>
              <w:top w:val="single" w:sz="4" w:space="0" w:color="808080" w:themeColor="background1" w:themeShade="80"/>
              <w:left w:val="nil"/>
              <w:bottom w:val="single" w:sz="4" w:space="0" w:color="808080" w:themeColor="background1" w:themeShade="80"/>
            </w:tcBorders>
            <w:vAlign w:val="center"/>
          </w:tcPr>
          <w:p w14:paraId="714718DB" w14:textId="273E4598"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20"/>
                <w:highlight w:val="yellow"/>
                <w:lang w:val="el-GR" w:eastAsia="el-GR"/>
              </w:rPr>
            </w:pPr>
            <w:r w:rsidRPr="001E06D6">
              <w:rPr>
                <w:rFonts w:ascii="Arial" w:eastAsia="Times New Roman" w:hAnsi="Arial" w:cs="Arial"/>
                <w:b/>
                <w:bCs/>
                <w:sz w:val="18"/>
                <w:szCs w:val="20"/>
                <w:lang w:eastAsia="el-GR"/>
              </w:rPr>
              <w:t>4</w:t>
            </w:r>
            <w:r>
              <w:rPr>
                <w:rFonts w:ascii="Arial" w:eastAsia="Times New Roman" w:hAnsi="Arial" w:cs="Arial"/>
                <w:b/>
                <w:bCs/>
                <w:sz w:val="18"/>
                <w:szCs w:val="20"/>
                <w:lang w:eastAsia="el-GR"/>
              </w:rPr>
              <w:t>76</w:t>
            </w:r>
          </w:p>
        </w:tc>
        <w:tc>
          <w:tcPr>
            <w:tcW w:w="1139" w:type="dxa"/>
            <w:tcBorders>
              <w:top w:val="single" w:sz="4" w:space="0" w:color="808080" w:themeColor="background1" w:themeShade="80"/>
              <w:left w:val="nil"/>
              <w:bottom w:val="single" w:sz="4" w:space="0" w:color="808080" w:themeColor="background1" w:themeShade="80"/>
              <w:right w:val="nil"/>
            </w:tcBorders>
            <w:vAlign w:val="center"/>
          </w:tcPr>
          <w:p w14:paraId="44494402" w14:textId="1B00B189"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20"/>
                <w:highlight w:val="yellow"/>
                <w:lang w:eastAsia="el-GR"/>
              </w:rPr>
            </w:pPr>
            <w:r>
              <w:rPr>
                <w:rFonts w:ascii="Arial" w:eastAsia="Times New Roman" w:hAnsi="Arial" w:cs="Arial"/>
                <w:b/>
                <w:bCs/>
                <w:sz w:val="18"/>
                <w:szCs w:val="20"/>
                <w:lang w:eastAsia="el-GR"/>
              </w:rPr>
              <w:t>416</w:t>
            </w:r>
          </w:p>
        </w:tc>
        <w:tc>
          <w:tcPr>
            <w:tcW w:w="956" w:type="dxa"/>
            <w:tcBorders>
              <w:top w:val="single" w:sz="4" w:space="0" w:color="808080" w:themeColor="background1" w:themeShade="80"/>
              <w:bottom w:val="single" w:sz="4" w:space="0" w:color="808080" w:themeColor="background1" w:themeShade="80"/>
            </w:tcBorders>
            <w:vAlign w:val="center"/>
          </w:tcPr>
          <w:p w14:paraId="49C2D1B9" w14:textId="13BC6BE9"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18"/>
                <w:highlight w:val="yellow"/>
                <w:lang w:eastAsia="el-GR"/>
              </w:rPr>
            </w:pPr>
            <w:r w:rsidRPr="00D0358A">
              <w:rPr>
                <w:rFonts w:ascii="Arial" w:eastAsia="Times New Roman" w:hAnsi="Arial" w:cs="Arial"/>
                <w:b/>
                <w:sz w:val="18"/>
                <w:szCs w:val="20"/>
                <w:lang w:eastAsia="el-GR"/>
              </w:rPr>
              <w:t>1</w:t>
            </w:r>
            <w:r>
              <w:rPr>
                <w:rFonts w:ascii="Arial" w:eastAsia="Times New Roman" w:hAnsi="Arial" w:cs="Arial"/>
                <w:b/>
                <w:sz w:val="18"/>
                <w:szCs w:val="20"/>
                <w:lang w:eastAsia="el-GR"/>
              </w:rPr>
              <w:t>4</w:t>
            </w:r>
            <w:r w:rsidRPr="00D0358A">
              <w:rPr>
                <w:rFonts w:ascii="Arial" w:eastAsia="Times New Roman" w:hAnsi="Arial" w:cs="Arial"/>
                <w:b/>
                <w:sz w:val="18"/>
                <w:szCs w:val="20"/>
                <w:lang w:eastAsia="el-GR"/>
              </w:rPr>
              <w:t>%</w:t>
            </w:r>
          </w:p>
        </w:tc>
        <w:tc>
          <w:tcPr>
            <w:tcW w:w="1276" w:type="dxa"/>
            <w:tcBorders>
              <w:top w:val="single" w:sz="4" w:space="0" w:color="808080" w:themeColor="background1" w:themeShade="80"/>
              <w:bottom w:val="single" w:sz="4" w:space="0" w:color="808080" w:themeColor="background1" w:themeShade="80"/>
            </w:tcBorders>
            <w:vAlign w:val="center"/>
          </w:tcPr>
          <w:p w14:paraId="6E12D081" w14:textId="2D19886B"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20"/>
                <w:lang w:eastAsia="el-GR"/>
              </w:rPr>
            </w:pPr>
            <w:r w:rsidRPr="004E282F">
              <w:rPr>
                <w:rFonts w:ascii="Arial" w:eastAsia="Times New Roman" w:hAnsi="Arial" w:cs="Arial"/>
                <w:b/>
                <w:sz w:val="18"/>
                <w:szCs w:val="20"/>
                <w:lang w:eastAsia="el-GR"/>
              </w:rPr>
              <w:t>1</w:t>
            </w:r>
            <w:r>
              <w:rPr>
                <w:rFonts w:ascii="Arial" w:eastAsia="Times New Roman" w:hAnsi="Arial" w:cs="Arial"/>
                <w:b/>
                <w:sz w:val="18"/>
                <w:szCs w:val="20"/>
                <w:lang w:eastAsia="el-GR"/>
              </w:rPr>
              <w:t>57</w:t>
            </w:r>
          </w:p>
        </w:tc>
        <w:tc>
          <w:tcPr>
            <w:tcW w:w="1043" w:type="dxa"/>
            <w:tcBorders>
              <w:top w:val="single" w:sz="4" w:space="0" w:color="808080" w:themeColor="background1" w:themeShade="80"/>
              <w:bottom w:val="single" w:sz="4" w:space="0" w:color="808080" w:themeColor="background1" w:themeShade="80"/>
            </w:tcBorders>
            <w:vAlign w:val="center"/>
          </w:tcPr>
          <w:p w14:paraId="62D5D089" w14:textId="47933C79"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color w:val="000000" w:themeColor="text1"/>
                <w:sz w:val="18"/>
                <w:szCs w:val="18"/>
                <w:highlight w:val="yellow"/>
                <w:lang w:eastAsia="el-GR"/>
              </w:rPr>
            </w:pPr>
            <w:r w:rsidRPr="00D42E7E">
              <w:rPr>
                <w:rFonts w:ascii="Arial" w:eastAsia="Times New Roman" w:hAnsi="Arial" w:cs="Arial"/>
                <w:b/>
                <w:bCs/>
                <w:sz w:val="18"/>
                <w:szCs w:val="20"/>
                <w:lang w:eastAsia="el-GR"/>
              </w:rPr>
              <w:t>1</w:t>
            </w:r>
            <w:r>
              <w:rPr>
                <w:rFonts w:ascii="Arial" w:eastAsia="Times New Roman" w:hAnsi="Arial" w:cs="Arial"/>
                <w:b/>
                <w:bCs/>
                <w:sz w:val="18"/>
                <w:szCs w:val="20"/>
                <w:lang w:eastAsia="el-GR"/>
              </w:rPr>
              <w:t>60</w:t>
            </w:r>
          </w:p>
        </w:tc>
        <w:tc>
          <w:tcPr>
            <w:tcW w:w="99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ADF25C" w14:textId="7683D25C"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color w:val="000000" w:themeColor="text1"/>
                <w:sz w:val="18"/>
                <w:szCs w:val="18"/>
                <w:highlight w:val="yellow"/>
                <w:lang w:eastAsia="el-GR"/>
              </w:rPr>
            </w:pPr>
            <w:r w:rsidRPr="001E06D6">
              <w:rPr>
                <w:rFonts w:ascii="Arial" w:eastAsia="Times New Roman" w:hAnsi="Arial" w:cs="Arial"/>
                <w:b/>
                <w:sz w:val="18"/>
                <w:szCs w:val="20"/>
                <w:lang w:eastAsia="el-GR"/>
              </w:rPr>
              <w:t>-</w:t>
            </w:r>
            <w:r>
              <w:rPr>
                <w:rFonts w:ascii="Arial" w:eastAsia="Times New Roman" w:hAnsi="Arial" w:cs="Arial"/>
                <w:b/>
                <w:sz w:val="18"/>
                <w:szCs w:val="20"/>
                <w:lang w:eastAsia="el-GR"/>
              </w:rPr>
              <w:t>4</w:t>
            </w:r>
            <w:r w:rsidRPr="001E06D6">
              <w:rPr>
                <w:rFonts w:ascii="Arial" w:eastAsia="Times New Roman" w:hAnsi="Arial" w:cs="Arial"/>
                <w:b/>
                <w:sz w:val="18"/>
                <w:szCs w:val="20"/>
                <w:lang w:eastAsia="el-GR"/>
              </w:rPr>
              <w:t>%</w:t>
            </w:r>
          </w:p>
        </w:tc>
      </w:tr>
      <w:tr w:rsidR="00BC7D38" w:rsidRPr="00D41B36" w14:paraId="72D9A9F5" w14:textId="77777777" w:rsidTr="00502B4F">
        <w:trPr>
          <w:trHeight w:val="215"/>
          <w:jc w:val="center"/>
        </w:trPr>
        <w:tc>
          <w:tcPr>
            <w:tcW w:w="4957" w:type="dxa"/>
            <w:vAlign w:val="center"/>
          </w:tcPr>
          <w:p w14:paraId="5EEB8F43" w14:textId="77777777" w:rsidR="00BC7D38" w:rsidRPr="007246A9" w:rsidRDefault="00BC7D38" w:rsidP="00BC7D38">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eastAsia="el-GR"/>
              </w:rPr>
            </w:pPr>
            <w:r w:rsidRPr="007246A9">
              <w:rPr>
                <w:rFonts w:ascii="Arial" w:hAnsi="Arial" w:cs="Arial"/>
                <w:sz w:val="18"/>
                <w:szCs w:val="18"/>
                <w:lang w:val="el-GR"/>
              </w:rPr>
              <w:t>Φορολογία</w:t>
            </w:r>
          </w:p>
        </w:tc>
        <w:tc>
          <w:tcPr>
            <w:tcW w:w="1165" w:type="dxa"/>
            <w:vAlign w:val="center"/>
          </w:tcPr>
          <w:p w14:paraId="18DE2386" w14:textId="3A29FC8C"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sidRPr="001E06D6">
              <w:rPr>
                <w:rFonts w:ascii="Arial" w:eastAsia="Times New Roman" w:hAnsi="Arial" w:cs="Arial"/>
                <w:sz w:val="18"/>
                <w:szCs w:val="20"/>
                <w:lang w:eastAsia="el-GR"/>
              </w:rPr>
              <w:t>(7</w:t>
            </w:r>
            <w:r>
              <w:rPr>
                <w:rFonts w:ascii="Arial" w:eastAsia="Times New Roman" w:hAnsi="Arial" w:cs="Arial"/>
                <w:sz w:val="18"/>
                <w:szCs w:val="20"/>
                <w:lang w:eastAsia="el-GR"/>
              </w:rPr>
              <w:t>3</w:t>
            </w:r>
            <w:r w:rsidRPr="001E06D6">
              <w:rPr>
                <w:rFonts w:ascii="Arial" w:eastAsia="Times New Roman" w:hAnsi="Arial" w:cs="Arial"/>
                <w:sz w:val="18"/>
                <w:szCs w:val="20"/>
                <w:lang w:eastAsia="el-GR"/>
              </w:rPr>
              <w:t>)</w:t>
            </w:r>
          </w:p>
        </w:tc>
        <w:tc>
          <w:tcPr>
            <w:tcW w:w="1139" w:type="dxa"/>
            <w:vAlign w:val="center"/>
          </w:tcPr>
          <w:p w14:paraId="7D54BCBE" w14:textId="77CA5AB3"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(63)</w:t>
            </w:r>
          </w:p>
        </w:tc>
        <w:tc>
          <w:tcPr>
            <w:tcW w:w="956" w:type="dxa"/>
            <w:vAlign w:val="center"/>
          </w:tcPr>
          <w:p w14:paraId="36D9CF7E" w14:textId="3AC6102D"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16</w:t>
            </w:r>
            <w:r w:rsidRPr="00D0358A">
              <w:rPr>
                <w:rFonts w:ascii="Arial" w:eastAsia="Times New Roman" w:hAnsi="Arial" w:cs="Arial"/>
                <w:sz w:val="18"/>
                <w:szCs w:val="20"/>
                <w:lang w:eastAsia="el-GR"/>
              </w:rPr>
              <w:t>%</w:t>
            </w:r>
          </w:p>
        </w:tc>
        <w:tc>
          <w:tcPr>
            <w:tcW w:w="1276" w:type="dxa"/>
            <w:vAlign w:val="center"/>
          </w:tcPr>
          <w:p w14:paraId="15285184" w14:textId="29068F0C"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(25)</w:t>
            </w:r>
          </w:p>
        </w:tc>
        <w:tc>
          <w:tcPr>
            <w:tcW w:w="1043" w:type="dxa"/>
            <w:vAlign w:val="center"/>
          </w:tcPr>
          <w:p w14:paraId="46CBEAAD" w14:textId="7BAA894F"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color w:val="000000" w:themeColor="text1"/>
                <w:sz w:val="18"/>
                <w:szCs w:val="18"/>
                <w:highlight w:val="yellow"/>
                <w:lang w:eastAsia="el-GR"/>
              </w:rPr>
            </w:pPr>
            <w:r>
              <w:rPr>
                <w:rFonts w:ascii="Arial" w:eastAsia="Times New Roman" w:hAnsi="Arial" w:cs="Arial"/>
                <w:sz w:val="18"/>
                <w:szCs w:val="20"/>
                <w:lang w:eastAsia="el-GR"/>
              </w:rPr>
              <w:t>(23)</w:t>
            </w:r>
          </w:p>
        </w:tc>
        <w:tc>
          <w:tcPr>
            <w:tcW w:w="997" w:type="dxa"/>
            <w:shd w:val="clear" w:color="auto" w:fill="auto"/>
            <w:vAlign w:val="center"/>
          </w:tcPr>
          <w:p w14:paraId="17F6D1C1" w14:textId="5862A69D"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color w:val="000000" w:themeColor="text1"/>
                <w:sz w:val="18"/>
                <w:szCs w:val="18"/>
                <w:highlight w:val="yellow"/>
                <w:lang w:eastAsia="el-GR"/>
              </w:rPr>
            </w:pPr>
            <w:r>
              <w:rPr>
                <w:rFonts w:ascii="Arial" w:eastAsia="Times New Roman" w:hAnsi="Arial" w:cs="Arial"/>
                <w:sz w:val="18"/>
                <w:szCs w:val="20"/>
                <w:lang w:eastAsia="el-GR"/>
              </w:rPr>
              <w:t>6</w:t>
            </w:r>
            <w:r w:rsidRPr="001E06D6">
              <w:rPr>
                <w:rFonts w:ascii="Arial" w:eastAsia="Times New Roman" w:hAnsi="Arial" w:cs="Arial"/>
                <w:sz w:val="18"/>
                <w:szCs w:val="20"/>
                <w:lang w:eastAsia="el-GR"/>
              </w:rPr>
              <w:t>%</w:t>
            </w:r>
          </w:p>
        </w:tc>
      </w:tr>
      <w:tr w:rsidR="00BC7D38" w:rsidRPr="00D41B36" w14:paraId="1A535FC7" w14:textId="77777777" w:rsidTr="00502B4F">
        <w:trPr>
          <w:trHeight w:val="105"/>
          <w:jc w:val="center"/>
        </w:trPr>
        <w:tc>
          <w:tcPr>
            <w:tcW w:w="4957" w:type="dxa"/>
            <w:vAlign w:val="center"/>
          </w:tcPr>
          <w:p w14:paraId="235A1BD5" w14:textId="77777777" w:rsidR="00BC7D38" w:rsidRPr="007246A9" w:rsidRDefault="00BC7D38" w:rsidP="00BC7D38">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val="el-GR" w:eastAsia="el-GR"/>
              </w:rPr>
            </w:pPr>
            <w:r w:rsidRPr="007246A9">
              <w:rPr>
                <w:rFonts w:ascii="Arial" w:hAnsi="Arial" w:cs="Arial"/>
                <w:sz w:val="18"/>
                <w:szCs w:val="18"/>
                <w:lang w:val="el-GR"/>
              </w:rPr>
              <w:t>Κέρδη</w:t>
            </w:r>
            <w:r w:rsidRPr="007246A9">
              <w:rPr>
                <w:rFonts w:ascii="Arial" w:hAnsi="Arial" w:cs="Arial"/>
                <w:color w:val="FF0000"/>
                <w:sz w:val="18"/>
                <w:szCs w:val="18"/>
                <w:lang w:val="el-GR"/>
              </w:rPr>
              <w:t xml:space="preserve"> </w:t>
            </w:r>
            <w:r w:rsidRPr="007246A9">
              <w:rPr>
                <w:rFonts w:ascii="Arial" w:hAnsi="Arial" w:cs="Arial"/>
                <w:sz w:val="18"/>
                <w:szCs w:val="18"/>
                <w:lang w:val="el-GR"/>
              </w:rPr>
              <w:t>που αναλογούν σε δικαιώματα μειοψηφίας</w:t>
            </w:r>
          </w:p>
        </w:tc>
        <w:tc>
          <w:tcPr>
            <w:tcW w:w="1165" w:type="dxa"/>
            <w:vAlign w:val="center"/>
          </w:tcPr>
          <w:p w14:paraId="796176E1" w14:textId="5B9ECC3F"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val="el-GR" w:eastAsia="el-GR"/>
              </w:rPr>
            </w:pPr>
            <w:r w:rsidRPr="001E06D6">
              <w:rPr>
                <w:rFonts w:ascii="Arial" w:eastAsia="Times New Roman" w:hAnsi="Arial" w:cs="Arial"/>
                <w:sz w:val="18"/>
                <w:szCs w:val="20"/>
                <w:lang w:eastAsia="el-GR"/>
              </w:rPr>
              <w:t>(</w:t>
            </w:r>
            <w:r>
              <w:rPr>
                <w:rFonts w:ascii="Arial" w:eastAsia="Times New Roman" w:hAnsi="Arial" w:cs="Arial"/>
                <w:sz w:val="18"/>
                <w:szCs w:val="20"/>
                <w:lang w:eastAsia="el-GR"/>
              </w:rPr>
              <w:t>2</w:t>
            </w:r>
            <w:r w:rsidRPr="001E06D6">
              <w:rPr>
                <w:rFonts w:ascii="Arial" w:eastAsia="Times New Roman" w:hAnsi="Arial" w:cs="Arial"/>
                <w:sz w:val="18"/>
                <w:szCs w:val="20"/>
                <w:lang w:eastAsia="el-GR"/>
              </w:rPr>
              <w:t>)</w:t>
            </w:r>
          </w:p>
        </w:tc>
        <w:tc>
          <w:tcPr>
            <w:tcW w:w="1139" w:type="dxa"/>
            <w:vAlign w:val="center"/>
          </w:tcPr>
          <w:p w14:paraId="0B9881C7" w14:textId="760E6659"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(2)</w:t>
            </w:r>
          </w:p>
        </w:tc>
        <w:tc>
          <w:tcPr>
            <w:tcW w:w="956" w:type="dxa"/>
            <w:vAlign w:val="center"/>
          </w:tcPr>
          <w:p w14:paraId="74B77366" w14:textId="5C354DD8"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D0358A">
              <w:rPr>
                <w:rFonts w:ascii="Arial" w:eastAsia="Times New Roman" w:hAnsi="Arial" w:cs="Arial"/>
                <w:sz w:val="18"/>
                <w:szCs w:val="20"/>
                <w:lang w:eastAsia="el-GR"/>
              </w:rPr>
              <w:t>-7%</w:t>
            </w:r>
          </w:p>
        </w:tc>
        <w:tc>
          <w:tcPr>
            <w:tcW w:w="1276" w:type="dxa"/>
            <w:vAlign w:val="center"/>
          </w:tcPr>
          <w:p w14:paraId="63789E76" w14:textId="21795FE4"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(1)</w:t>
            </w:r>
          </w:p>
        </w:tc>
        <w:tc>
          <w:tcPr>
            <w:tcW w:w="1043" w:type="dxa"/>
            <w:vAlign w:val="center"/>
          </w:tcPr>
          <w:p w14:paraId="2563F873" w14:textId="48607589"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color w:val="000000" w:themeColor="text1"/>
                <w:sz w:val="18"/>
                <w:szCs w:val="18"/>
                <w:highlight w:val="yellow"/>
                <w:lang w:eastAsia="el-GR"/>
              </w:rPr>
            </w:pPr>
            <w:r>
              <w:rPr>
                <w:rFonts w:ascii="Arial" w:eastAsia="Times New Roman" w:hAnsi="Arial" w:cs="Arial"/>
                <w:sz w:val="18"/>
                <w:szCs w:val="20"/>
                <w:lang w:eastAsia="el-GR"/>
              </w:rPr>
              <w:t>0</w:t>
            </w:r>
          </w:p>
        </w:tc>
        <w:tc>
          <w:tcPr>
            <w:tcW w:w="997" w:type="dxa"/>
            <w:shd w:val="clear" w:color="auto" w:fill="auto"/>
            <w:vAlign w:val="center"/>
          </w:tcPr>
          <w:p w14:paraId="073F169E" w14:textId="3789DC17"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color w:val="000000" w:themeColor="text1"/>
                <w:sz w:val="18"/>
                <w:szCs w:val="18"/>
                <w:highlight w:val="yellow"/>
                <w:lang w:eastAsia="el-GR"/>
              </w:rPr>
            </w:pPr>
            <w:r w:rsidRPr="001E06D6">
              <w:rPr>
                <w:rFonts w:ascii="Arial" w:eastAsia="Times New Roman" w:hAnsi="Arial" w:cs="Arial"/>
                <w:sz w:val="18"/>
                <w:szCs w:val="20"/>
                <w:lang w:eastAsia="el-GR"/>
              </w:rPr>
              <w:t>20%</w:t>
            </w:r>
          </w:p>
        </w:tc>
      </w:tr>
      <w:tr w:rsidR="00BC7D38" w:rsidRPr="00D41B36" w14:paraId="174C00CA" w14:textId="77777777" w:rsidTr="00502B4F">
        <w:trPr>
          <w:trHeight w:val="91"/>
          <w:jc w:val="center"/>
        </w:trPr>
        <w:tc>
          <w:tcPr>
            <w:tcW w:w="4957"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B8E0780" w14:textId="77777777" w:rsidR="00BC7D38" w:rsidRPr="007246A9" w:rsidRDefault="00BC7D38" w:rsidP="00BC7D38">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val="el-GR" w:eastAsia="el-GR"/>
              </w:rPr>
            </w:pPr>
            <w:r w:rsidRPr="007246A9">
              <w:rPr>
                <w:rFonts w:ascii="Arial" w:hAnsi="Arial" w:cs="Arial"/>
                <w:b/>
                <w:sz w:val="18"/>
                <w:szCs w:val="18"/>
                <w:lang w:val="el-GR"/>
              </w:rPr>
              <w:t>Κέρδη</w:t>
            </w:r>
            <w:r w:rsidRPr="007246A9">
              <w:rPr>
                <w:rFonts w:ascii="Arial" w:hAnsi="Arial" w:cs="Arial"/>
                <w:b/>
                <w:bCs/>
                <w:sz w:val="18"/>
                <w:szCs w:val="18"/>
                <w:lang w:val="el-GR"/>
              </w:rPr>
              <w:t xml:space="preserve"> μετά τη φορολογία και πριν τα μη- επαναλαμβανόμενα στοιχεία (που αναλογούν στους ιδιοκτήτες της Εταιρίας)</w:t>
            </w:r>
          </w:p>
        </w:tc>
        <w:tc>
          <w:tcPr>
            <w:tcW w:w="1165" w:type="dxa"/>
            <w:tcBorders>
              <w:top w:val="single" w:sz="4" w:space="0" w:color="808080" w:themeColor="background1" w:themeShade="80"/>
              <w:left w:val="nil"/>
              <w:bottom w:val="single" w:sz="4" w:space="0" w:color="808080" w:themeColor="background1" w:themeShade="80"/>
            </w:tcBorders>
            <w:vAlign w:val="center"/>
          </w:tcPr>
          <w:p w14:paraId="32E093CA" w14:textId="3ECD3798"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highlight w:val="yellow"/>
                <w:lang w:val="el-GR" w:eastAsia="el-GR"/>
              </w:rPr>
            </w:pPr>
            <w:r w:rsidRPr="001E06D6">
              <w:rPr>
                <w:rFonts w:ascii="Arial" w:eastAsia="Times New Roman" w:hAnsi="Arial" w:cs="Arial"/>
                <w:b/>
                <w:bCs/>
                <w:sz w:val="18"/>
                <w:szCs w:val="20"/>
                <w:lang w:eastAsia="el-GR"/>
              </w:rPr>
              <w:t>40</w:t>
            </w:r>
            <w:r>
              <w:rPr>
                <w:rFonts w:ascii="Arial" w:eastAsia="Times New Roman" w:hAnsi="Arial" w:cs="Arial"/>
                <w:b/>
                <w:bCs/>
                <w:sz w:val="18"/>
                <w:szCs w:val="20"/>
                <w:lang w:eastAsia="el-GR"/>
              </w:rPr>
              <w:t>1</w:t>
            </w:r>
          </w:p>
        </w:tc>
        <w:tc>
          <w:tcPr>
            <w:tcW w:w="1139" w:type="dxa"/>
            <w:tcBorders>
              <w:top w:val="single" w:sz="4" w:space="0" w:color="808080" w:themeColor="background1" w:themeShade="80"/>
              <w:left w:val="nil"/>
              <w:bottom w:val="single" w:sz="4" w:space="0" w:color="808080" w:themeColor="background1" w:themeShade="80"/>
              <w:right w:val="nil"/>
            </w:tcBorders>
            <w:vAlign w:val="center"/>
          </w:tcPr>
          <w:p w14:paraId="5620D868" w14:textId="61DAA8DE"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highlight w:val="yellow"/>
                <w:lang w:eastAsia="el-GR"/>
              </w:rPr>
            </w:pPr>
            <w:r>
              <w:rPr>
                <w:rFonts w:ascii="Arial" w:eastAsia="Times New Roman" w:hAnsi="Arial" w:cs="Arial"/>
                <w:b/>
                <w:bCs/>
                <w:sz w:val="18"/>
                <w:szCs w:val="20"/>
                <w:lang w:eastAsia="el-GR"/>
              </w:rPr>
              <w:t>351</w:t>
            </w:r>
          </w:p>
        </w:tc>
        <w:tc>
          <w:tcPr>
            <w:tcW w:w="956" w:type="dxa"/>
            <w:tcBorders>
              <w:top w:val="single" w:sz="4" w:space="0" w:color="808080" w:themeColor="background1" w:themeShade="80"/>
              <w:bottom w:val="single" w:sz="4" w:space="0" w:color="808080" w:themeColor="background1" w:themeShade="80"/>
            </w:tcBorders>
            <w:vAlign w:val="center"/>
          </w:tcPr>
          <w:p w14:paraId="451AFC00" w14:textId="386B5F76"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D0358A">
              <w:rPr>
                <w:rFonts w:ascii="Arial" w:eastAsia="Times New Roman" w:hAnsi="Arial" w:cs="Arial"/>
                <w:b/>
                <w:bCs/>
                <w:sz w:val="18"/>
                <w:szCs w:val="20"/>
                <w:lang w:eastAsia="el-GR"/>
              </w:rPr>
              <w:t>1</w:t>
            </w:r>
            <w:r>
              <w:rPr>
                <w:rFonts w:ascii="Arial" w:eastAsia="Times New Roman" w:hAnsi="Arial" w:cs="Arial"/>
                <w:b/>
                <w:bCs/>
                <w:sz w:val="18"/>
                <w:szCs w:val="20"/>
                <w:lang w:eastAsia="el-GR"/>
              </w:rPr>
              <w:t>4</w:t>
            </w:r>
            <w:r w:rsidRPr="00D0358A">
              <w:rPr>
                <w:rFonts w:ascii="Arial" w:eastAsia="Times New Roman" w:hAnsi="Arial" w:cs="Arial"/>
                <w:b/>
                <w:bCs/>
                <w:sz w:val="18"/>
                <w:szCs w:val="20"/>
                <w:lang w:eastAsia="el-GR"/>
              </w:rPr>
              <w:t>%</w:t>
            </w:r>
          </w:p>
        </w:tc>
        <w:tc>
          <w:tcPr>
            <w:tcW w:w="1276" w:type="dxa"/>
            <w:tcBorders>
              <w:top w:val="single" w:sz="4" w:space="0" w:color="808080" w:themeColor="background1" w:themeShade="80"/>
              <w:bottom w:val="single" w:sz="4" w:space="0" w:color="808080" w:themeColor="background1" w:themeShade="80"/>
            </w:tcBorders>
            <w:vAlign w:val="center"/>
          </w:tcPr>
          <w:p w14:paraId="11CA30DC" w14:textId="72E9E2F4"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lang w:eastAsia="el-GR"/>
              </w:rPr>
            </w:pPr>
            <w:r w:rsidRPr="004E282F">
              <w:rPr>
                <w:rFonts w:ascii="Arial" w:eastAsia="Times New Roman" w:hAnsi="Arial" w:cs="Arial"/>
                <w:b/>
                <w:bCs/>
                <w:sz w:val="18"/>
                <w:szCs w:val="20"/>
                <w:lang w:eastAsia="el-GR"/>
              </w:rPr>
              <w:t>13</w:t>
            </w:r>
            <w:r>
              <w:rPr>
                <w:rFonts w:ascii="Arial" w:eastAsia="Times New Roman" w:hAnsi="Arial" w:cs="Arial"/>
                <w:b/>
                <w:bCs/>
                <w:sz w:val="18"/>
                <w:szCs w:val="20"/>
                <w:lang w:eastAsia="el-GR"/>
              </w:rPr>
              <w:t>1</w:t>
            </w:r>
          </w:p>
        </w:tc>
        <w:tc>
          <w:tcPr>
            <w:tcW w:w="1043" w:type="dxa"/>
            <w:tcBorders>
              <w:top w:val="single" w:sz="4" w:space="0" w:color="808080" w:themeColor="background1" w:themeShade="80"/>
              <w:bottom w:val="single" w:sz="4" w:space="0" w:color="808080" w:themeColor="background1" w:themeShade="80"/>
            </w:tcBorders>
            <w:vAlign w:val="center"/>
          </w:tcPr>
          <w:p w14:paraId="14C134E0" w14:textId="11B49292"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D42E7E">
              <w:rPr>
                <w:rFonts w:ascii="Arial" w:eastAsia="Times New Roman" w:hAnsi="Arial" w:cs="Arial"/>
                <w:b/>
                <w:bCs/>
                <w:sz w:val="18"/>
                <w:szCs w:val="20"/>
                <w:lang w:eastAsia="el-GR"/>
              </w:rPr>
              <w:t>13</w:t>
            </w:r>
            <w:r>
              <w:rPr>
                <w:rFonts w:ascii="Arial" w:eastAsia="Times New Roman" w:hAnsi="Arial" w:cs="Arial"/>
                <w:b/>
                <w:bCs/>
                <w:sz w:val="18"/>
                <w:szCs w:val="20"/>
                <w:lang w:eastAsia="el-GR"/>
              </w:rPr>
              <w:t>7</w:t>
            </w:r>
          </w:p>
        </w:tc>
        <w:tc>
          <w:tcPr>
            <w:tcW w:w="99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163DC1" w14:textId="57679C1E"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D0358A">
              <w:rPr>
                <w:rFonts w:ascii="Arial" w:eastAsia="Times New Roman" w:hAnsi="Arial" w:cs="Arial"/>
                <w:b/>
                <w:bCs/>
                <w:sz w:val="18"/>
                <w:szCs w:val="20"/>
                <w:lang w:eastAsia="el-GR"/>
              </w:rPr>
              <w:t>-</w:t>
            </w:r>
            <w:r>
              <w:rPr>
                <w:rFonts w:ascii="Arial" w:eastAsia="Times New Roman" w:hAnsi="Arial" w:cs="Arial"/>
                <w:b/>
                <w:bCs/>
                <w:sz w:val="18"/>
                <w:szCs w:val="20"/>
                <w:lang w:eastAsia="el-GR"/>
              </w:rPr>
              <w:t>5</w:t>
            </w:r>
            <w:r w:rsidRPr="00D0358A">
              <w:rPr>
                <w:rFonts w:ascii="Arial" w:eastAsia="Times New Roman" w:hAnsi="Arial" w:cs="Arial"/>
                <w:b/>
                <w:bCs/>
                <w:sz w:val="18"/>
                <w:szCs w:val="20"/>
                <w:lang w:eastAsia="el-GR"/>
              </w:rPr>
              <w:t>%</w:t>
            </w:r>
          </w:p>
        </w:tc>
      </w:tr>
      <w:tr w:rsidR="00BC7D38" w:rsidRPr="00D41B36" w14:paraId="3D36A860" w14:textId="77777777" w:rsidTr="00BC7D38">
        <w:trPr>
          <w:trHeight w:val="91"/>
          <w:jc w:val="center"/>
        </w:trPr>
        <w:tc>
          <w:tcPr>
            <w:tcW w:w="4957" w:type="dxa"/>
            <w:tcBorders>
              <w:top w:val="single" w:sz="4" w:space="0" w:color="808080" w:themeColor="background1" w:themeShade="80"/>
              <w:bottom w:val="single" w:sz="4" w:space="0" w:color="808080" w:themeColor="background1" w:themeShade="80"/>
            </w:tcBorders>
            <w:vAlign w:val="center"/>
          </w:tcPr>
          <w:p w14:paraId="59C6F988" w14:textId="77777777" w:rsidR="00BC7D38" w:rsidRPr="007246A9" w:rsidRDefault="00BC7D38" w:rsidP="00BC7D38">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val="el-GR" w:eastAsia="el-GR"/>
              </w:rPr>
            </w:pPr>
            <w:r w:rsidRPr="007246A9">
              <w:rPr>
                <w:rFonts w:ascii="Arial" w:hAnsi="Arial" w:cs="Arial"/>
                <w:sz w:val="18"/>
                <w:szCs w:val="18"/>
                <w:lang w:val="el-GR"/>
              </w:rPr>
              <w:t>Έξοδα από συμβουλευτικές υπηρεσίες και άλλα έξοδα μετασχηματισμού – οργανικά</w:t>
            </w:r>
          </w:p>
        </w:tc>
        <w:tc>
          <w:tcPr>
            <w:tcW w:w="1165" w:type="dxa"/>
            <w:tcBorders>
              <w:top w:val="single" w:sz="4" w:space="0" w:color="808080" w:themeColor="background1" w:themeShade="80"/>
              <w:bottom w:val="single" w:sz="4" w:space="0" w:color="808080" w:themeColor="background1" w:themeShade="80"/>
            </w:tcBorders>
            <w:vAlign w:val="center"/>
          </w:tcPr>
          <w:p w14:paraId="497F498C" w14:textId="3CDD03C4"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Cs/>
                <w:sz w:val="18"/>
                <w:szCs w:val="20"/>
                <w:highlight w:val="yellow"/>
                <w:lang w:val="el-GR" w:eastAsia="el-GR"/>
              </w:rPr>
            </w:pPr>
            <w:r w:rsidRPr="001E06D6">
              <w:rPr>
                <w:rFonts w:ascii="Arial" w:eastAsia="Times New Roman" w:hAnsi="Arial" w:cs="Arial"/>
                <w:bCs/>
                <w:sz w:val="18"/>
                <w:szCs w:val="20"/>
                <w:lang w:eastAsia="el-GR"/>
              </w:rPr>
              <w:t>-</w:t>
            </w:r>
          </w:p>
        </w:tc>
        <w:tc>
          <w:tcPr>
            <w:tcW w:w="1139" w:type="dxa"/>
            <w:tcBorders>
              <w:top w:val="single" w:sz="4" w:space="0" w:color="808080" w:themeColor="background1" w:themeShade="80"/>
              <w:left w:val="nil"/>
              <w:bottom w:val="single" w:sz="4" w:space="0" w:color="808080" w:themeColor="background1" w:themeShade="80"/>
              <w:right w:val="nil"/>
            </w:tcBorders>
            <w:vAlign w:val="center"/>
          </w:tcPr>
          <w:p w14:paraId="116616A1" w14:textId="05E63A04"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bCs/>
                <w:sz w:val="18"/>
                <w:szCs w:val="20"/>
                <w:lang w:eastAsia="el-GR"/>
              </w:rPr>
              <w:t>(2)</w:t>
            </w:r>
          </w:p>
        </w:tc>
        <w:tc>
          <w:tcPr>
            <w:tcW w:w="956" w:type="dxa"/>
            <w:tcBorders>
              <w:top w:val="single" w:sz="4" w:space="0" w:color="808080" w:themeColor="background1" w:themeShade="80"/>
              <w:bottom w:val="single" w:sz="4" w:space="0" w:color="808080" w:themeColor="background1" w:themeShade="80"/>
            </w:tcBorders>
            <w:vAlign w:val="center"/>
          </w:tcPr>
          <w:p w14:paraId="147EC9BA" w14:textId="4E5D373A"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Cs/>
                <w:sz w:val="18"/>
                <w:szCs w:val="18"/>
                <w:highlight w:val="yellow"/>
                <w:lang w:eastAsia="el-GR"/>
              </w:rPr>
            </w:pPr>
            <w:r w:rsidRPr="00D0358A">
              <w:rPr>
                <w:rFonts w:ascii="Arial" w:eastAsia="Times New Roman" w:hAnsi="Arial" w:cs="Arial"/>
                <w:bCs/>
                <w:sz w:val="18"/>
                <w:szCs w:val="20"/>
                <w:lang w:eastAsia="el-GR"/>
              </w:rPr>
              <w:t>-100%</w:t>
            </w:r>
          </w:p>
        </w:tc>
        <w:tc>
          <w:tcPr>
            <w:tcW w:w="1276" w:type="dxa"/>
            <w:tcBorders>
              <w:top w:val="single" w:sz="4" w:space="0" w:color="808080" w:themeColor="background1" w:themeShade="80"/>
              <w:bottom w:val="single" w:sz="4" w:space="0" w:color="808080" w:themeColor="background1" w:themeShade="80"/>
            </w:tcBorders>
            <w:vAlign w:val="center"/>
          </w:tcPr>
          <w:p w14:paraId="087AD720" w14:textId="6C4C6DB0"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bCs/>
                <w:sz w:val="18"/>
                <w:szCs w:val="20"/>
                <w:lang w:eastAsia="el-GR"/>
              </w:rPr>
              <w:t>-</w:t>
            </w:r>
          </w:p>
        </w:tc>
        <w:tc>
          <w:tcPr>
            <w:tcW w:w="1043" w:type="dxa"/>
            <w:tcBorders>
              <w:top w:val="single" w:sz="4" w:space="0" w:color="808080" w:themeColor="background1" w:themeShade="80"/>
              <w:bottom w:val="single" w:sz="4" w:space="0" w:color="808080" w:themeColor="background1" w:themeShade="80"/>
            </w:tcBorders>
            <w:vAlign w:val="center"/>
          </w:tcPr>
          <w:p w14:paraId="6B9B8FC2" w14:textId="4B18E8A8"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D42E7E">
              <w:rPr>
                <w:rFonts w:ascii="Arial" w:eastAsia="Times New Roman" w:hAnsi="Arial" w:cs="Arial"/>
                <w:bCs/>
                <w:sz w:val="18"/>
                <w:szCs w:val="20"/>
                <w:lang w:eastAsia="el-GR"/>
              </w:rPr>
              <w:t>-</w:t>
            </w:r>
          </w:p>
        </w:tc>
        <w:tc>
          <w:tcPr>
            <w:tcW w:w="997" w:type="dxa"/>
            <w:tcBorders>
              <w:top w:val="single" w:sz="4" w:space="0" w:color="808080" w:themeColor="background1" w:themeShade="80"/>
              <w:bottom w:val="single" w:sz="4" w:space="0" w:color="808080" w:themeColor="background1" w:themeShade="80"/>
            </w:tcBorders>
            <w:shd w:val="clear" w:color="auto" w:fill="auto"/>
            <w:vAlign w:val="center"/>
          </w:tcPr>
          <w:p w14:paraId="49E6FAF7" w14:textId="15A24848"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D0358A">
              <w:rPr>
                <w:rFonts w:ascii="Arial" w:eastAsia="Times New Roman" w:hAnsi="Arial" w:cs="Arial"/>
                <w:bCs/>
                <w:sz w:val="18"/>
                <w:szCs w:val="20"/>
                <w:lang w:eastAsia="el-GR"/>
              </w:rPr>
              <w:t>-</w:t>
            </w:r>
          </w:p>
        </w:tc>
      </w:tr>
      <w:tr w:rsidR="00BC7D38" w:rsidRPr="00D41B36" w14:paraId="4AD679E8" w14:textId="77777777" w:rsidTr="00BC7D38">
        <w:trPr>
          <w:trHeight w:val="91"/>
          <w:jc w:val="center"/>
        </w:trPr>
        <w:tc>
          <w:tcPr>
            <w:tcW w:w="4957"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C47DBEC" w14:textId="77777777" w:rsidR="00BC7D38" w:rsidRPr="007246A9" w:rsidRDefault="00BC7D38" w:rsidP="00BC7D38">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val="el-GR" w:eastAsia="el-GR"/>
              </w:rPr>
            </w:pPr>
            <w:r w:rsidRPr="007246A9">
              <w:rPr>
                <w:rFonts w:ascii="Arial" w:hAnsi="Arial" w:cs="Arial"/>
                <w:b/>
                <w:sz w:val="18"/>
                <w:szCs w:val="18"/>
                <w:lang w:val="el-GR"/>
              </w:rPr>
              <w:t xml:space="preserve">Κέρδη </w:t>
            </w:r>
            <w:r w:rsidRPr="007246A9">
              <w:rPr>
                <w:rFonts w:ascii="Arial" w:hAnsi="Arial" w:cs="Arial"/>
                <w:b/>
                <w:bCs/>
                <w:sz w:val="18"/>
                <w:szCs w:val="18"/>
                <w:lang w:val="el-GR"/>
              </w:rPr>
              <w:t>μετά τη φορολογία (που αναλογούν στους ιδιοκτήτες της Εταιρίας)</w:t>
            </w:r>
          </w:p>
        </w:tc>
        <w:tc>
          <w:tcPr>
            <w:tcW w:w="1165" w:type="dxa"/>
            <w:tcBorders>
              <w:top w:val="single" w:sz="4" w:space="0" w:color="808080" w:themeColor="background1" w:themeShade="80"/>
              <w:bottom w:val="single" w:sz="4" w:space="0" w:color="808080" w:themeColor="background1" w:themeShade="80"/>
            </w:tcBorders>
            <w:vAlign w:val="center"/>
          </w:tcPr>
          <w:p w14:paraId="200CC1B8" w14:textId="0DBB9E11"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jc w:val="center"/>
              <w:rPr>
                <w:rFonts w:ascii="Arial" w:eastAsia="Times New Roman" w:hAnsi="Arial" w:cs="Arial"/>
                <w:b/>
                <w:sz w:val="18"/>
                <w:szCs w:val="20"/>
                <w:highlight w:val="yellow"/>
                <w:lang w:val="el-GR" w:eastAsia="el-GR"/>
              </w:rPr>
            </w:pPr>
            <w:r w:rsidRPr="001E06D6">
              <w:rPr>
                <w:rFonts w:ascii="Arial" w:eastAsia="Times New Roman" w:hAnsi="Arial" w:cs="Arial"/>
                <w:b/>
                <w:bCs/>
                <w:sz w:val="18"/>
                <w:szCs w:val="20"/>
                <w:lang w:eastAsia="el-GR"/>
              </w:rPr>
              <w:t>40</w:t>
            </w:r>
            <w:r>
              <w:rPr>
                <w:rFonts w:ascii="Arial" w:eastAsia="Times New Roman" w:hAnsi="Arial" w:cs="Arial"/>
                <w:b/>
                <w:bCs/>
                <w:sz w:val="18"/>
                <w:szCs w:val="20"/>
                <w:lang w:eastAsia="el-GR"/>
              </w:rPr>
              <w:t>1</w:t>
            </w:r>
          </w:p>
        </w:tc>
        <w:tc>
          <w:tcPr>
            <w:tcW w:w="1139" w:type="dxa"/>
            <w:tcBorders>
              <w:top w:val="single" w:sz="4" w:space="0" w:color="808080" w:themeColor="background1" w:themeShade="80"/>
              <w:bottom w:val="single" w:sz="4" w:space="0" w:color="808080" w:themeColor="background1" w:themeShade="80"/>
            </w:tcBorders>
            <w:vAlign w:val="center"/>
          </w:tcPr>
          <w:p w14:paraId="46DFD59F" w14:textId="71ABB695"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20"/>
                <w:highlight w:val="yellow"/>
                <w:lang w:eastAsia="el-GR"/>
              </w:rPr>
            </w:pPr>
            <w:r>
              <w:rPr>
                <w:rFonts w:ascii="Arial" w:eastAsia="Times New Roman" w:hAnsi="Arial" w:cs="Arial"/>
                <w:b/>
                <w:bCs/>
                <w:sz w:val="18"/>
                <w:szCs w:val="20"/>
                <w:lang w:eastAsia="el-GR"/>
              </w:rPr>
              <w:t>349</w:t>
            </w:r>
          </w:p>
        </w:tc>
        <w:tc>
          <w:tcPr>
            <w:tcW w:w="956" w:type="dxa"/>
            <w:tcBorders>
              <w:top w:val="single" w:sz="4" w:space="0" w:color="808080" w:themeColor="background1" w:themeShade="80"/>
              <w:bottom w:val="single" w:sz="4" w:space="0" w:color="808080" w:themeColor="background1" w:themeShade="80"/>
            </w:tcBorders>
            <w:vAlign w:val="center"/>
          </w:tcPr>
          <w:p w14:paraId="14132113" w14:textId="5CEA889C"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jc w:val="center"/>
              <w:rPr>
                <w:rFonts w:ascii="Arial" w:eastAsia="Times New Roman" w:hAnsi="Arial" w:cs="Arial"/>
                <w:b/>
                <w:sz w:val="18"/>
                <w:szCs w:val="18"/>
                <w:highlight w:val="yellow"/>
                <w:lang w:eastAsia="el-GR"/>
              </w:rPr>
            </w:pPr>
            <w:r w:rsidRPr="00D0358A">
              <w:rPr>
                <w:rFonts w:ascii="Arial" w:eastAsia="Times New Roman" w:hAnsi="Arial" w:cs="Arial"/>
                <w:b/>
                <w:bCs/>
                <w:sz w:val="18"/>
                <w:szCs w:val="20"/>
                <w:lang w:eastAsia="el-GR"/>
              </w:rPr>
              <w:t>1</w:t>
            </w:r>
            <w:r>
              <w:rPr>
                <w:rFonts w:ascii="Arial" w:eastAsia="Times New Roman" w:hAnsi="Arial" w:cs="Arial"/>
                <w:b/>
                <w:bCs/>
                <w:sz w:val="18"/>
                <w:szCs w:val="20"/>
                <w:lang w:eastAsia="el-GR"/>
              </w:rPr>
              <w:t>5</w:t>
            </w:r>
            <w:r w:rsidRPr="00D0358A">
              <w:rPr>
                <w:rFonts w:ascii="Arial" w:eastAsia="Times New Roman" w:hAnsi="Arial" w:cs="Arial"/>
                <w:b/>
                <w:bCs/>
                <w:sz w:val="18"/>
                <w:szCs w:val="20"/>
                <w:lang w:eastAsia="el-GR"/>
              </w:rPr>
              <w:t>%</w:t>
            </w:r>
          </w:p>
        </w:tc>
        <w:tc>
          <w:tcPr>
            <w:tcW w:w="1276" w:type="dxa"/>
            <w:tcBorders>
              <w:top w:val="single" w:sz="4" w:space="0" w:color="808080" w:themeColor="background1" w:themeShade="80"/>
              <w:bottom w:val="single" w:sz="4" w:space="0" w:color="808080" w:themeColor="background1" w:themeShade="80"/>
            </w:tcBorders>
            <w:vAlign w:val="center"/>
          </w:tcPr>
          <w:p w14:paraId="14BAD9A6" w14:textId="03A8634A"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20"/>
                <w:lang w:eastAsia="el-GR"/>
              </w:rPr>
            </w:pPr>
            <w:r>
              <w:rPr>
                <w:rFonts w:ascii="Arial" w:eastAsia="Times New Roman" w:hAnsi="Arial" w:cs="Arial"/>
                <w:b/>
                <w:bCs/>
                <w:sz w:val="18"/>
                <w:szCs w:val="20"/>
                <w:lang w:eastAsia="el-GR"/>
              </w:rPr>
              <w:t>131</w:t>
            </w:r>
          </w:p>
        </w:tc>
        <w:tc>
          <w:tcPr>
            <w:tcW w:w="1043" w:type="dxa"/>
            <w:tcBorders>
              <w:top w:val="single" w:sz="4" w:space="0" w:color="808080" w:themeColor="background1" w:themeShade="80"/>
              <w:bottom w:val="single" w:sz="4" w:space="0" w:color="808080" w:themeColor="background1" w:themeShade="80"/>
            </w:tcBorders>
            <w:vAlign w:val="center"/>
          </w:tcPr>
          <w:p w14:paraId="5F3C68C7" w14:textId="6DF5BDAF"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jc w:val="center"/>
              <w:rPr>
                <w:rFonts w:ascii="Arial" w:eastAsia="Times New Roman" w:hAnsi="Arial" w:cs="Arial"/>
                <w:b/>
                <w:sz w:val="18"/>
                <w:szCs w:val="18"/>
                <w:highlight w:val="yellow"/>
                <w:lang w:eastAsia="el-GR"/>
              </w:rPr>
            </w:pPr>
            <w:r w:rsidRPr="00D42E7E">
              <w:rPr>
                <w:rFonts w:ascii="Arial" w:eastAsia="Times New Roman" w:hAnsi="Arial" w:cs="Arial"/>
                <w:b/>
                <w:bCs/>
                <w:sz w:val="18"/>
                <w:szCs w:val="20"/>
                <w:lang w:eastAsia="el-GR"/>
              </w:rPr>
              <w:t>13</w:t>
            </w:r>
            <w:r>
              <w:rPr>
                <w:rFonts w:ascii="Arial" w:eastAsia="Times New Roman" w:hAnsi="Arial" w:cs="Arial"/>
                <w:b/>
                <w:bCs/>
                <w:sz w:val="18"/>
                <w:szCs w:val="20"/>
                <w:lang w:eastAsia="el-GR"/>
              </w:rPr>
              <w:t>7</w:t>
            </w:r>
          </w:p>
        </w:tc>
        <w:tc>
          <w:tcPr>
            <w:tcW w:w="99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8C9254" w14:textId="077ADE6F"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jc w:val="center"/>
              <w:rPr>
                <w:rFonts w:ascii="Arial" w:eastAsia="Times New Roman" w:hAnsi="Arial" w:cs="Arial"/>
                <w:b/>
                <w:sz w:val="18"/>
                <w:szCs w:val="18"/>
                <w:highlight w:val="yellow"/>
                <w:lang w:eastAsia="el-GR"/>
              </w:rPr>
            </w:pPr>
            <w:r w:rsidRPr="001E06D6">
              <w:rPr>
                <w:rFonts w:ascii="Arial" w:eastAsia="Times New Roman" w:hAnsi="Arial" w:cs="Arial"/>
                <w:b/>
                <w:bCs/>
                <w:sz w:val="18"/>
                <w:szCs w:val="20"/>
                <w:lang w:eastAsia="el-GR"/>
              </w:rPr>
              <w:t>-</w:t>
            </w:r>
            <w:r>
              <w:rPr>
                <w:rFonts w:ascii="Arial" w:eastAsia="Times New Roman" w:hAnsi="Arial" w:cs="Arial"/>
                <w:b/>
                <w:bCs/>
                <w:sz w:val="18"/>
                <w:szCs w:val="20"/>
                <w:lang w:eastAsia="el-GR"/>
              </w:rPr>
              <w:t>5</w:t>
            </w:r>
            <w:r w:rsidRPr="001E06D6">
              <w:rPr>
                <w:rFonts w:ascii="Arial" w:eastAsia="Times New Roman" w:hAnsi="Arial" w:cs="Arial"/>
                <w:b/>
                <w:bCs/>
                <w:sz w:val="18"/>
                <w:szCs w:val="20"/>
                <w:lang w:eastAsia="el-GR"/>
              </w:rPr>
              <w:t>%</w:t>
            </w:r>
          </w:p>
        </w:tc>
      </w:tr>
    </w:tbl>
    <w:p w14:paraId="210F8782" w14:textId="77777777" w:rsidR="009C412B" w:rsidRPr="00D41B36" w:rsidRDefault="009C412B" w:rsidP="009C412B">
      <w:pPr>
        <w:spacing w:after="0" w:line="240" w:lineRule="auto"/>
        <w:jc w:val="both"/>
        <w:rPr>
          <w:rFonts w:ascii="Arial" w:hAnsi="Arial" w:cs="Arial"/>
          <w:b/>
          <w:bCs/>
          <w:color w:val="FF9900"/>
          <w:sz w:val="18"/>
          <w:szCs w:val="18"/>
          <w:highlight w:val="yellow"/>
          <w:lang w:val="el-GR"/>
        </w:rPr>
      </w:pPr>
    </w:p>
    <w:p w14:paraId="418EFBBD" w14:textId="77777777" w:rsidR="00CC2B9B" w:rsidRPr="00D41B36" w:rsidRDefault="00CC2B9B" w:rsidP="009C412B">
      <w:pPr>
        <w:spacing w:after="0" w:line="240" w:lineRule="auto"/>
        <w:jc w:val="both"/>
        <w:rPr>
          <w:rFonts w:ascii="Arial" w:hAnsi="Arial" w:cs="Arial"/>
          <w:b/>
          <w:bCs/>
          <w:color w:val="FF9900"/>
          <w:sz w:val="18"/>
          <w:szCs w:val="18"/>
          <w:highlight w:val="yellow"/>
          <w:lang w:val="el-GR"/>
        </w:rPr>
      </w:pPr>
    </w:p>
    <w:p w14:paraId="0CE3FA8E" w14:textId="77777777" w:rsidR="00CC2B9B" w:rsidRPr="00D41B36" w:rsidRDefault="00CC2B9B" w:rsidP="009C412B">
      <w:pPr>
        <w:spacing w:after="0" w:line="240" w:lineRule="auto"/>
        <w:jc w:val="both"/>
        <w:rPr>
          <w:rFonts w:ascii="Arial" w:hAnsi="Arial" w:cs="Arial"/>
          <w:b/>
          <w:bCs/>
          <w:color w:val="FF9900"/>
          <w:highlight w:val="yellow"/>
          <w:lang w:val="el-GR"/>
        </w:rPr>
      </w:pPr>
    </w:p>
    <w:p w14:paraId="52E1BE64" w14:textId="77777777" w:rsidR="00CC2B9B" w:rsidRPr="00D41B36" w:rsidRDefault="00CC2B9B" w:rsidP="009C412B">
      <w:pPr>
        <w:spacing w:after="0" w:line="240" w:lineRule="auto"/>
        <w:jc w:val="both"/>
        <w:rPr>
          <w:rFonts w:ascii="Arial" w:hAnsi="Arial" w:cs="Arial"/>
          <w:b/>
          <w:bCs/>
          <w:color w:val="FF9900"/>
          <w:highlight w:val="yellow"/>
          <w:lang w:val="el-GR"/>
        </w:rPr>
      </w:pPr>
    </w:p>
    <w:p w14:paraId="41315E7D" w14:textId="77777777" w:rsidR="00CC2B9B" w:rsidRPr="00D41B36" w:rsidRDefault="00CC2B9B" w:rsidP="009C412B">
      <w:pPr>
        <w:spacing w:after="0" w:line="240" w:lineRule="auto"/>
        <w:jc w:val="both"/>
        <w:rPr>
          <w:rFonts w:ascii="Arial" w:hAnsi="Arial" w:cs="Arial"/>
          <w:b/>
          <w:bCs/>
          <w:color w:val="FF9900"/>
          <w:highlight w:val="yellow"/>
          <w:lang w:val="el-GR"/>
        </w:rPr>
      </w:pPr>
    </w:p>
    <w:p w14:paraId="58FEB550" w14:textId="77777777" w:rsidR="00CC2B9B" w:rsidRPr="00D41B36" w:rsidRDefault="00CC2B9B" w:rsidP="009C412B">
      <w:pPr>
        <w:spacing w:after="0" w:line="240" w:lineRule="auto"/>
        <w:jc w:val="both"/>
        <w:rPr>
          <w:rFonts w:ascii="Arial" w:hAnsi="Arial" w:cs="Arial"/>
          <w:b/>
          <w:bCs/>
          <w:color w:val="FF9900"/>
          <w:highlight w:val="yellow"/>
          <w:lang w:val="el-GR"/>
        </w:rPr>
      </w:pPr>
    </w:p>
    <w:p w14:paraId="49662261" w14:textId="77777777" w:rsidR="00CC2B9B" w:rsidRPr="00D41B36" w:rsidRDefault="00CC2B9B" w:rsidP="009C412B">
      <w:pPr>
        <w:spacing w:after="0" w:line="240" w:lineRule="auto"/>
        <w:jc w:val="both"/>
        <w:rPr>
          <w:rFonts w:ascii="Arial" w:hAnsi="Arial" w:cs="Arial"/>
          <w:b/>
          <w:bCs/>
          <w:color w:val="FF9900"/>
          <w:highlight w:val="yellow"/>
          <w:lang w:val="el-GR"/>
        </w:rPr>
      </w:pPr>
    </w:p>
    <w:p w14:paraId="4FEA7AEC" w14:textId="77777777" w:rsidR="00CC2B9B" w:rsidRPr="00D41B36" w:rsidRDefault="00CC2B9B" w:rsidP="009C412B">
      <w:pPr>
        <w:spacing w:after="0" w:line="240" w:lineRule="auto"/>
        <w:jc w:val="both"/>
        <w:rPr>
          <w:rFonts w:ascii="Arial" w:hAnsi="Arial" w:cs="Arial"/>
          <w:b/>
          <w:bCs/>
          <w:color w:val="FF9900"/>
          <w:highlight w:val="yellow"/>
          <w:lang w:val="el-GR"/>
        </w:rPr>
      </w:pPr>
    </w:p>
    <w:p w14:paraId="2FDB01F1" w14:textId="77777777" w:rsidR="00CC2B9B" w:rsidRPr="00D41B36" w:rsidRDefault="00CC2B9B" w:rsidP="009C412B">
      <w:pPr>
        <w:spacing w:after="0" w:line="240" w:lineRule="auto"/>
        <w:jc w:val="both"/>
        <w:rPr>
          <w:rFonts w:ascii="Arial" w:hAnsi="Arial" w:cs="Arial"/>
          <w:b/>
          <w:bCs/>
          <w:color w:val="FF9900"/>
          <w:highlight w:val="yellow"/>
          <w:lang w:val="el-GR"/>
        </w:rPr>
      </w:pPr>
    </w:p>
    <w:p w14:paraId="020C0A80" w14:textId="77777777" w:rsidR="00CC2B9B" w:rsidRPr="00D41B36" w:rsidRDefault="00CC2B9B" w:rsidP="009C412B">
      <w:pPr>
        <w:spacing w:after="0" w:line="240" w:lineRule="auto"/>
        <w:jc w:val="both"/>
        <w:rPr>
          <w:rFonts w:ascii="Arial" w:hAnsi="Arial" w:cs="Arial"/>
          <w:b/>
          <w:bCs/>
          <w:color w:val="FF9900"/>
          <w:highlight w:val="yellow"/>
          <w:lang w:val="el-GR"/>
        </w:rPr>
      </w:pPr>
    </w:p>
    <w:p w14:paraId="71836BA0" w14:textId="77777777" w:rsidR="00CC2B9B" w:rsidRPr="00D41B36" w:rsidRDefault="00CC2B9B" w:rsidP="009C412B">
      <w:pPr>
        <w:spacing w:after="0" w:line="240" w:lineRule="auto"/>
        <w:jc w:val="both"/>
        <w:rPr>
          <w:rFonts w:ascii="Arial" w:hAnsi="Arial" w:cs="Arial"/>
          <w:b/>
          <w:bCs/>
          <w:color w:val="FF9900"/>
          <w:highlight w:val="yellow"/>
          <w:lang w:val="el-GR"/>
        </w:rPr>
      </w:pPr>
    </w:p>
    <w:p w14:paraId="1C5638E0" w14:textId="77777777" w:rsidR="00CC2B9B" w:rsidRPr="00D41B36" w:rsidRDefault="00CC2B9B" w:rsidP="009C412B">
      <w:pPr>
        <w:spacing w:after="0" w:line="240" w:lineRule="auto"/>
        <w:jc w:val="both"/>
        <w:rPr>
          <w:rFonts w:ascii="Arial" w:hAnsi="Arial" w:cs="Arial"/>
          <w:b/>
          <w:bCs/>
          <w:color w:val="FF9900"/>
          <w:highlight w:val="yellow"/>
          <w:lang w:val="el-GR"/>
        </w:rPr>
      </w:pPr>
    </w:p>
    <w:p w14:paraId="39E6369C" w14:textId="77777777" w:rsidR="00CC2B9B" w:rsidRPr="00D41B36" w:rsidRDefault="00CC2B9B" w:rsidP="009C412B">
      <w:pPr>
        <w:spacing w:after="0" w:line="240" w:lineRule="auto"/>
        <w:jc w:val="both"/>
        <w:rPr>
          <w:rFonts w:ascii="Arial" w:hAnsi="Arial" w:cs="Arial"/>
          <w:b/>
          <w:bCs/>
          <w:color w:val="FF9900"/>
          <w:highlight w:val="yellow"/>
          <w:lang w:val="el-GR"/>
        </w:rPr>
      </w:pPr>
    </w:p>
    <w:p w14:paraId="2924CD79" w14:textId="77777777" w:rsidR="00CC2B9B" w:rsidRPr="00D41B36" w:rsidRDefault="00CC2B9B" w:rsidP="009C412B">
      <w:pPr>
        <w:spacing w:after="0" w:line="240" w:lineRule="auto"/>
        <w:jc w:val="both"/>
        <w:rPr>
          <w:rFonts w:ascii="Arial" w:hAnsi="Arial" w:cs="Arial"/>
          <w:b/>
          <w:bCs/>
          <w:color w:val="FF9900"/>
          <w:highlight w:val="yellow"/>
          <w:lang w:val="el-GR"/>
        </w:rPr>
      </w:pPr>
    </w:p>
    <w:p w14:paraId="2BE2A973" w14:textId="77777777" w:rsidR="00147CF4" w:rsidRDefault="00147CF4" w:rsidP="009C412B">
      <w:pPr>
        <w:spacing w:after="0" w:line="240" w:lineRule="auto"/>
        <w:jc w:val="both"/>
        <w:rPr>
          <w:rFonts w:ascii="Arial" w:hAnsi="Arial" w:cs="Arial"/>
          <w:b/>
          <w:bCs/>
          <w:color w:val="FF9900"/>
          <w:highlight w:val="yellow"/>
          <w:lang w:val="el-GR"/>
        </w:rPr>
      </w:pPr>
    </w:p>
    <w:p w14:paraId="48F5131E" w14:textId="77777777" w:rsidR="00147CF4" w:rsidRDefault="00147CF4" w:rsidP="009C412B">
      <w:pPr>
        <w:spacing w:after="0" w:line="240" w:lineRule="auto"/>
        <w:jc w:val="both"/>
        <w:rPr>
          <w:rFonts w:ascii="Arial" w:hAnsi="Arial" w:cs="Arial"/>
          <w:b/>
          <w:bCs/>
          <w:color w:val="FF9900"/>
          <w:highlight w:val="yellow"/>
          <w:lang w:val="el-GR"/>
        </w:rPr>
      </w:pPr>
    </w:p>
    <w:p w14:paraId="00D7658D" w14:textId="77777777" w:rsidR="00147CF4" w:rsidRPr="00D41B36" w:rsidRDefault="00147CF4" w:rsidP="009C412B">
      <w:pPr>
        <w:spacing w:after="0" w:line="240" w:lineRule="auto"/>
        <w:jc w:val="both"/>
        <w:rPr>
          <w:rFonts w:ascii="Arial" w:hAnsi="Arial" w:cs="Arial"/>
          <w:b/>
          <w:bCs/>
          <w:color w:val="FF9900"/>
          <w:highlight w:val="yellow"/>
          <w:lang w:val="el-GR"/>
        </w:rPr>
      </w:pPr>
    </w:p>
    <w:p w14:paraId="32A54164" w14:textId="77777777" w:rsidR="00F95BEB" w:rsidRPr="00D41B36" w:rsidRDefault="00F95BEB" w:rsidP="00D022B5">
      <w:pPr>
        <w:spacing w:after="0" w:line="240" w:lineRule="auto"/>
        <w:jc w:val="both"/>
        <w:rPr>
          <w:rFonts w:ascii="Arial" w:hAnsi="Arial" w:cs="Arial"/>
          <w:b/>
          <w:color w:val="FF9900"/>
          <w:sz w:val="24"/>
          <w:szCs w:val="24"/>
          <w:highlight w:val="yellow"/>
          <w:lang w:val="el-GR"/>
        </w:rPr>
      </w:pPr>
    </w:p>
    <w:p w14:paraId="5DC3C3ED" w14:textId="5458EA56" w:rsidR="009C412B" w:rsidRPr="007246A9" w:rsidRDefault="00A53569" w:rsidP="00CB38F0">
      <w:pPr>
        <w:ind w:left="-426"/>
        <w:rPr>
          <w:szCs w:val="16"/>
          <w:lang w:val="el-GR"/>
        </w:rPr>
      </w:pPr>
      <w:r w:rsidRPr="007246A9">
        <w:rPr>
          <w:rFonts w:ascii="Arial" w:hAnsi="Arial" w:cs="Arial"/>
          <w:b/>
          <w:color w:val="FF9900"/>
          <w:sz w:val="24"/>
          <w:szCs w:val="24"/>
          <w:lang w:val="el-GR"/>
        </w:rPr>
        <w:lastRenderedPageBreak/>
        <w:t>Α</w:t>
      </w:r>
      <w:r w:rsidR="009C4C04" w:rsidRPr="007246A9">
        <w:rPr>
          <w:rFonts w:ascii="Arial" w:hAnsi="Arial" w:cs="Arial"/>
          <w:b/>
          <w:color w:val="FF9900"/>
          <w:sz w:val="24"/>
          <w:szCs w:val="24"/>
          <w:lang w:val="el-GR"/>
        </w:rPr>
        <w:t xml:space="preserve">. </w:t>
      </w:r>
      <w:r w:rsidRPr="00A53569">
        <w:rPr>
          <w:rFonts w:ascii="Arial" w:hAnsi="Arial" w:cs="Arial"/>
          <w:b/>
          <w:color w:val="FF9900"/>
          <w:sz w:val="24"/>
          <w:szCs w:val="24"/>
          <w:lang w:val="el-GR"/>
        </w:rPr>
        <w:t xml:space="preserve">Οικονομικά Αποτελέσματα Συγκροτήματος –Υποκείμενη Βάση </w:t>
      </w:r>
      <w:r w:rsidR="009C4C04" w:rsidRPr="007246A9">
        <w:rPr>
          <w:rFonts w:ascii="Arial" w:hAnsi="Arial" w:cs="Arial"/>
          <w:bCs/>
          <w:color w:val="FF9900"/>
          <w:sz w:val="24"/>
          <w:szCs w:val="24"/>
          <w:lang w:val="el-GR"/>
        </w:rPr>
        <w:t>(συνέχεια)</w:t>
      </w:r>
    </w:p>
    <w:p w14:paraId="58D4899E" w14:textId="7222BA48" w:rsidR="00765113" w:rsidRPr="007246A9" w:rsidRDefault="00A53569" w:rsidP="00CB38F0">
      <w:pPr>
        <w:pStyle w:val="ListParagraph"/>
        <w:ind w:left="-426"/>
        <w:rPr>
          <w:rFonts w:ascii="Arial" w:hAnsi="Arial" w:cs="Arial"/>
          <w:b/>
          <w:color w:val="FF9900"/>
          <w:sz w:val="22"/>
          <w:szCs w:val="22"/>
          <w:lang w:val="el-GR"/>
        </w:rPr>
      </w:pPr>
      <w:r w:rsidRPr="00A53569">
        <w:rPr>
          <w:rFonts w:ascii="Arial" w:hAnsi="Arial" w:cs="Arial"/>
          <w:b/>
          <w:color w:val="FF9900"/>
          <w:sz w:val="22"/>
          <w:szCs w:val="22"/>
          <w:lang w:val="el-GR"/>
        </w:rPr>
        <w:t>Μη Ελεγμένη Ενδιάμεση Συνοπτική Ενοποιημένη Κατάσταση Λογαριασμού Αποτελεσμάτων</w:t>
      </w:r>
      <w:r w:rsidR="00765113" w:rsidRPr="007246A9">
        <w:rPr>
          <w:rFonts w:ascii="Arial" w:hAnsi="Arial" w:cs="Arial"/>
          <w:b/>
          <w:color w:val="FF9900"/>
          <w:sz w:val="22"/>
          <w:szCs w:val="22"/>
          <w:lang w:val="el-GR"/>
        </w:rPr>
        <w:t>- Κύριοι Δείκτες Απόδοσης</w:t>
      </w:r>
      <w:r w:rsidR="00765113" w:rsidRPr="007246A9" w:rsidDel="00765113">
        <w:rPr>
          <w:rFonts w:ascii="Arial" w:hAnsi="Arial" w:cs="Arial"/>
          <w:b/>
          <w:color w:val="FF9900"/>
          <w:sz w:val="22"/>
          <w:szCs w:val="22"/>
          <w:lang w:val="el-GR"/>
        </w:rPr>
        <w:t xml:space="preserve"> </w:t>
      </w:r>
    </w:p>
    <w:p w14:paraId="4D863DFD" w14:textId="77777777" w:rsidR="009C412B" w:rsidRPr="00D41B36" w:rsidRDefault="009C412B" w:rsidP="009C412B">
      <w:pPr>
        <w:pStyle w:val="ListParagraph"/>
        <w:ind w:left="0"/>
        <w:jc w:val="both"/>
        <w:rPr>
          <w:rFonts w:ascii="Arial" w:hAnsi="Arial" w:cs="Arial"/>
          <w:b/>
          <w:color w:val="FF9900"/>
          <w:highlight w:val="yellow"/>
          <w:lang w:val="el-GR"/>
        </w:rPr>
      </w:pPr>
    </w:p>
    <w:tbl>
      <w:tblPr>
        <w:tblW w:w="10777" w:type="dxa"/>
        <w:tblInd w:w="-401" w:type="dxa"/>
        <w:tblLayout w:type="fixed"/>
        <w:tblCellMar>
          <w:left w:w="40" w:type="dxa"/>
          <w:right w:w="40" w:type="dxa"/>
        </w:tblCellMar>
        <w:tblLook w:val="0000" w:firstRow="0" w:lastRow="0" w:firstColumn="0" w:lastColumn="0" w:noHBand="0" w:noVBand="0"/>
      </w:tblPr>
      <w:tblGrid>
        <w:gridCol w:w="3940"/>
        <w:gridCol w:w="1094"/>
        <w:gridCol w:w="1146"/>
        <w:gridCol w:w="1147"/>
        <w:gridCol w:w="1147"/>
        <w:gridCol w:w="1147"/>
        <w:gridCol w:w="1156"/>
      </w:tblGrid>
      <w:tr w:rsidR="00BC7D38" w:rsidRPr="00D41B36" w14:paraId="65AD1F9C" w14:textId="77777777" w:rsidTr="007246A9">
        <w:trPr>
          <w:trHeight w:val="352"/>
        </w:trPr>
        <w:tc>
          <w:tcPr>
            <w:tcW w:w="3940"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3204DEBD" w14:textId="77777777" w:rsidR="00BC7D38" w:rsidRPr="007246A9" w:rsidRDefault="00BC7D38" w:rsidP="00BC7D38">
            <w:pPr>
              <w:pStyle w:val="BodyText3"/>
              <w:tabs>
                <w:tab w:val="clear" w:pos="0"/>
                <w:tab w:val="clear" w:pos="1416"/>
                <w:tab w:val="left" w:pos="1184"/>
              </w:tabs>
              <w:spacing w:afterLines="20" w:after="48"/>
              <w:jc w:val="left"/>
              <w:rPr>
                <w:rFonts w:ascii="Arial" w:hAnsi="Arial" w:cs="Arial"/>
                <w:b/>
                <w:bCs/>
                <w:sz w:val="18"/>
                <w:szCs w:val="18"/>
              </w:rPr>
            </w:pPr>
            <w:proofErr w:type="spellStart"/>
            <w:r w:rsidRPr="007246A9">
              <w:rPr>
                <w:rFonts w:ascii="Arial" w:hAnsi="Arial" w:cs="Arial"/>
                <w:b/>
                <w:color w:val="000000"/>
                <w:sz w:val="18"/>
                <w:szCs w:val="18"/>
              </w:rPr>
              <w:t>Κύριοι</w:t>
            </w:r>
            <w:proofErr w:type="spellEnd"/>
            <w:r w:rsidRPr="007246A9">
              <w:rPr>
                <w:rFonts w:ascii="Arial" w:hAnsi="Arial" w:cs="Arial"/>
                <w:b/>
                <w:color w:val="000000"/>
                <w:sz w:val="18"/>
                <w:szCs w:val="18"/>
              </w:rPr>
              <w:t xml:space="preserve"> </w:t>
            </w:r>
            <w:proofErr w:type="spellStart"/>
            <w:r w:rsidRPr="007246A9">
              <w:rPr>
                <w:rFonts w:ascii="Arial" w:hAnsi="Arial" w:cs="Arial"/>
                <w:b/>
                <w:color w:val="000000"/>
                <w:sz w:val="18"/>
                <w:szCs w:val="18"/>
              </w:rPr>
              <w:t>Δείκτες</w:t>
            </w:r>
            <w:proofErr w:type="spellEnd"/>
            <w:r w:rsidRPr="007246A9">
              <w:rPr>
                <w:rFonts w:ascii="Arial" w:hAnsi="Arial" w:cs="Arial"/>
                <w:b/>
                <w:color w:val="000000"/>
                <w:sz w:val="18"/>
                <w:szCs w:val="18"/>
              </w:rPr>
              <w:t xml:space="preserve"> </w:t>
            </w:r>
            <w:r w:rsidRPr="007246A9">
              <w:rPr>
                <w:rFonts w:ascii="Arial" w:hAnsi="Arial" w:cs="Arial"/>
                <w:b/>
                <w:sz w:val="18"/>
                <w:szCs w:val="18"/>
              </w:rPr>
              <w:t>Απ</w:t>
            </w:r>
            <w:proofErr w:type="spellStart"/>
            <w:r w:rsidRPr="007246A9">
              <w:rPr>
                <w:rFonts w:ascii="Arial" w:hAnsi="Arial" w:cs="Arial"/>
                <w:b/>
                <w:sz w:val="18"/>
                <w:szCs w:val="18"/>
              </w:rPr>
              <w:t>όδοσης</w:t>
            </w:r>
            <w:proofErr w:type="spellEnd"/>
          </w:p>
        </w:tc>
        <w:tc>
          <w:tcPr>
            <w:tcW w:w="1094" w:type="dxa"/>
            <w:tcBorders>
              <w:top w:val="single" w:sz="4" w:space="0" w:color="808080" w:themeColor="background1" w:themeShade="80"/>
              <w:bottom w:val="single" w:sz="4" w:space="0" w:color="808080" w:themeColor="background1" w:themeShade="80"/>
            </w:tcBorders>
          </w:tcPr>
          <w:p w14:paraId="5529024F" w14:textId="6AECE47B" w:rsidR="00BC7D38" w:rsidRPr="00D41B36" w:rsidRDefault="007A2F9B" w:rsidP="00BC7D38">
            <w:pPr>
              <w:pStyle w:val="BodyText3"/>
              <w:spacing w:afterLines="20" w:after="48" w:line="276" w:lineRule="auto"/>
              <w:ind w:right="23"/>
              <w:jc w:val="center"/>
              <w:rPr>
                <w:rFonts w:ascii="Arial" w:hAnsi="Arial" w:cs="Arial"/>
                <w:b/>
                <w:bCs/>
                <w:sz w:val="18"/>
                <w:szCs w:val="18"/>
                <w:highlight w:val="yellow"/>
                <w:lang w:val="el-GR"/>
              </w:rPr>
            </w:pPr>
            <w:r>
              <w:rPr>
                <w:rFonts w:ascii="Arial" w:hAnsi="Arial" w:cs="Arial"/>
                <w:b/>
                <w:bCs/>
                <w:sz w:val="18"/>
                <w:szCs w:val="18"/>
                <w:lang w:val="el-GR"/>
              </w:rPr>
              <w:t>Εννεάμηνο</w:t>
            </w:r>
            <w:r w:rsidR="00BC7D38" w:rsidRPr="007246A9">
              <w:rPr>
                <w:rFonts w:ascii="Arial" w:hAnsi="Arial" w:cs="Arial"/>
                <w:b/>
                <w:bCs/>
                <w:sz w:val="18"/>
                <w:szCs w:val="18"/>
                <w:lang w:val="el-GR"/>
              </w:rPr>
              <w:t xml:space="preserve"> 2024</w:t>
            </w:r>
          </w:p>
        </w:tc>
        <w:tc>
          <w:tcPr>
            <w:tcW w:w="1146" w:type="dxa"/>
            <w:tcBorders>
              <w:top w:val="single" w:sz="4" w:space="0" w:color="808080" w:themeColor="background1" w:themeShade="80"/>
              <w:bottom w:val="single" w:sz="4" w:space="0" w:color="808080" w:themeColor="background1" w:themeShade="80"/>
            </w:tcBorders>
          </w:tcPr>
          <w:p w14:paraId="7FE1CB9A" w14:textId="13049E71" w:rsidR="00BC7D38" w:rsidRPr="00D41B36" w:rsidRDefault="007A2F9B" w:rsidP="00BC7D38">
            <w:pPr>
              <w:pStyle w:val="BodyText3"/>
              <w:spacing w:afterLines="20" w:after="48" w:line="276" w:lineRule="auto"/>
              <w:ind w:right="23"/>
              <w:jc w:val="center"/>
              <w:rPr>
                <w:rFonts w:ascii="Arial" w:hAnsi="Arial" w:cs="Arial"/>
                <w:b/>
                <w:bCs/>
                <w:sz w:val="18"/>
                <w:szCs w:val="18"/>
                <w:highlight w:val="yellow"/>
              </w:rPr>
            </w:pPr>
            <w:r>
              <w:rPr>
                <w:rFonts w:ascii="Arial" w:hAnsi="Arial" w:cs="Arial"/>
                <w:b/>
                <w:bCs/>
                <w:sz w:val="18"/>
                <w:szCs w:val="18"/>
                <w:lang w:val="el-GR"/>
              </w:rPr>
              <w:t>Εννεάμηνο</w:t>
            </w:r>
            <w:r w:rsidR="00BC7D38" w:rsidRPr="007246A9">
              <w:rPr>
                <w:rFonts w:ascii="Arial" w:hAnsi="Arial" w:cs="Arial"/>
                <w:b/>
                <w:bCs/>
                <w:sz w:val="18"/>
                <w:szCs w:val="18"/>
                <w:lang w:val="el-GR"/>
              </w:rPr>
              <w:t xml:space="preserve"> 2023</w:t>
            </w:r>
          </w:p>
        </w:tc>
        <w:tc>
          <w:tcPr>
            <w:tcW w:w="1147" w:type="dxa"/>
            <w:tcBorders>
              <w:top w:val="single" w:sz="4" w:space="0" w:color="808080" w:themeColor="background1" w:themeShade="80"/>
              <w:bottom w:val="single" w:sz="4" w:space="0" w:color="808080" w:themeColor="background1" w:themeShade="80"/>
            </w:tcBorders>
          </w:tcPr>
          <w:p w14:paraId="0D7274CF" w14:textId="77777777" w:rsidR="00BC7D38" w:rsidRPr="007246A9"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7246A9">
              <w:rPr>
                <w:rFonts w:ascii="Arial" w:eastAsia="Times New Roman" w:hAnsi="Arial" w:cs="Arial"/>
                <w:bCs/>
                <w:sz w:val="18"/>
                <w:szCs w:val="18"/>
                <w:lang w:val="el-GR" w:eastAsia="el-GR"/>
              </w:rPr>
              <w:t>Ετήσια μεταβολή</w:t>
            </w:r>
          </w:p>
          <w:p w14:paraId="12234531" w14:textId="69C05F9D" w:rsidR="00BC7D38" w:rsidRPr="00D41B36" w:rsidRDefault="00BC7D38" w:rsidP="00BC7D38">
            <w:pPr>
              <w:pStyle w:val="BodyText3"/>
              <w:spacing w:afterLines="20" w:after="48" w:line="276" w:lineRule="auto"/>
              <w:ind w:right="23"/>
              <w:jc w:val="center"/>
              <w:rPr>
                <w:rFonts w:ascii="Arial" w:hAnsi="Arial" w:cs="Arial"/>
                <w:b/>
                <w:bCs/>
                <w:sz w:val="18"/>
                <w:szCs w:val="18"/>
                <w:highlight w:val="yellow"/>
                <w:lang w:val="el-GR"/>
              </w:rPr>
            </w:pPr>
            <w:r w:rsidRPr="007246A9">
              <w:rPr>
                <w:rFonts w:ascii="Arial" w:hAnsi="Arial" w:cs="Arial"/>
                <w:bCs/>
                <w:sz w:val="18"/>
                <w:szCs w:val="18"/>
                <w:u w:val="single"/>
              </w:rPr>
              <w:t>+</w:t>
            </w:r>
            <w:r w:rsidRPr="007246A9">
              <w:rPr>
                <w:rFonts w:ascii="Arial" w:hAnsi="Arial" w:cs="Arial"/>
                <w:bCs/>
                <w:sz w:val="18"/>
                <w:szCs w:val="18"/>
              </w:rPr>
              <w:t>%</w:t>
            </w:r>
          </w:p>
        </w:tc>
        <w:tc>
          <w:tcPr>
            <w:tcW w:w="1147" w:type="dxa"/>
            <w:tcBorders>
              <w:top w:val="single" w:sz="4" w:space="0" w:color="808080" w:themeColor="background1" w:themeShade="80"/>
              <w:bottom w:val="single" w:sz="4" w:space="0" w:color="808080" w:themeColor="background1" w:themeShade="80"/>
            </w:tcBorders>
          </w:tcPr>
          <w:p w14:paraId="52353746" w14:textId="142108F7"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highlight w:val="yellow"/>
                <w:lang w:val="el-GR" w:eastAsia="el-GR"/>
              </w:rPr>
            </w:pPr>
            <w:r w:rsidRPr="007246A9">
              <w:rPr>
                <w:rFonts w:ascii="Arial" w:eastAsia="Times New Roman" w:hAnsi="Arial" w:cs="Arial"/>
                <w:b/>
                <w:bCs/>
                <w:sz w:val="18"/>
                <w:szCs w:val="18"/>
                <w:lang w:val="el-GR" w:eastAsia="el-GR"/>
              </w:rPr>
              <w:t>Γ’ τρίμηνο 2024</w:t>
            </w:r>
          </w:p>
        </w:tc>
        <w:tc>
          <w:tcPr>
            <w:tcW w:w="1147" w:type="dxa"/>
            <w:tcBorders>
              <w:top w:val="single" w:sz="4" w:space="0" w:color="808080" w:themeColor="background1" w:themeShade="80"/>
              <w:bottom w:val="single" w:sz="4" w:space="0" w:color="808080" w:themeColor="background1" w:themeShade="80"/>
            </w:tcBorders>
          </w:tcPr>
          <w:p w14:paraId="47F311D5" w14:textId="07DDE83B" w:rsidR="00BC7D38" w:rsidRPr="00D41B36"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Lines="20" w:after="48"/>
              <w:ind w:right="23"/>
              <w:jc w:val="center"/>
              <w:rPr>
                <w:rFonts w:ascii="Arial" w:hAnsi="Arial" w:cs="Arial"/>
                <w:bCs/>
                <w:sz w:val="18"/>
                <w:szCs w:val="18"/>
                <w:highlight w:val="yellow"/>
                <w:lang w:val="el-GR"/>
              </w:rPr>
            </w:pPr>
            <w:r w:rsidRPr="007246A9">
              <w:rPr>
                <w:rFonts w:ascii="Arial" w:eastAsia="Times New Roman" w:hAnsi="Arial" w:cs="Arial"/>
                <w:b/>
                <w:bCs/>
                <w:sz w:val="18"/>
                <w:szCs w:val="18"/>
                <w:lang w:val="el-GR" w:eastAsia="el-GR"/>
              </w:rPr>
              <w:t>Β’ τρίμηνο 2024</w:t>
            </w:r>
          </w:p>
        </w:tc>
        <w:tc>
          <w:tcPr>
            <w:tcW w:w="115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8BEE554" w14:textId="77777777" w:rsidR="00BC7D38" w:rsidRPr="00755F7E" w:rsidRDefault="00BC7D38" w:rsidP="00BC7D38">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755F7E">
              <w:rPr>
                <w:rFonts w:ascii="Arial" w:eastAsia="Times New Roman" w:hAnsi="Arial" w:cs="Arial"/>
                <w:bCs/>
                <w:sz w:val="18"/>
                <w:szCs w:val="18"/>
                <w:lang w:val="el-GR" w:eastAsia="el-GR"/>
              </w:rPr>
              <w:t>Τριμηνιαία μεταβολή</w:t>
            </w:r>
          </w:p>
          <w:p w14:paraId="4157F05E" w14:textId="4B7F6A39" w:rsidR="00BC7D38" w:rsidRPr="00D41B36" w:rsidRDefault="00BC7D38" w:rsidP="00BC7D38">
            <w:pPr>
              <w:pStyle w:val="BodyText3"/>
              <w:spacing w:afterLines="20" w:after="48" w:line="276" w:lineRule="auto"/>
              <w:ind w:right="23"/>
              <w:jc w:val="center"/>
              <w:rPr>
                <w:rFonts w:ascii="Arial" w:hAnsi="Arial" w:cs="Arial"/>
                <w:bCs/>
                <w:sz w:val="18"/>
                <w:szCs w:val="18"/>
                <w:highlight w:val="yellow"/>
              </w:rPr>
            </w:pPr>
            <w:r w:rsidRPr="00755F7E">
              <w:rPr>
                <w:rFonts w:ascii="Arial" w:hAnsi="Arial" w:cs="Arial"/>
                <w:bCs/>
                <w:sz w:val="18"/>
                <w:szCs w:val="18"/>
                <w:u w:val="single"/>
                <w:lang w:val="el-GR"/>
              </w:rPr>
              <w:t>+</w:t>
            </w:r>
            <w:r w:rsidRPr="00755F7E">
              <w:rPr>
                <w:rFonts w:ascii="Arial" w:hAnsi="Arial" w:cs="Arial"/>
                <w:bCs/>
                <w:sz w:val="18"/>
                <w:szCs w:val="18"/>
                <w:lang w:val="el-GR"/>
              </w:rPr>
              <w:t>%</w:t>
            </w:r>
          </w:p>
        </w:tc>
      </w:tr>
      <w:tr w:rsidR="00BC7D38" w:rsidRPr="00D41B36" w14:paraId="7B39D392" w14:textId="77777777" w:rsidTr="007246A9">
        <w:trPr>
          <w:trHeight w:val="352"/>
        </w:trPr>
        <w:tc>
          <w:tcPr>
            <w:tcW w:w="394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3DA29F3B" w14:textId="77777777" w:rsidR="00BC7D38" w:rsidRPr="007246A9" w:rsidRDefault="00BC7D38" w:rsidP="00BC7D38">
            <w:pPr>
              <w:pStyle w:val="BodyText3"/>
              <w:tabs>
                <w:tab w:val="clear" w:pos="0"/>
                <w:tab w:val="clear" w:pos="1416"/>
                <w:tab w:val="left" w:pos="1184"/>
              </w:tabs>
              <w:spacing w:after="20"/>
              <w:jc w:val="left"/>
              <w:rPr>
                <w:rFonts w:ascii="Arial" w:hAnsi="Arial" w:cs="Arial"/>
                <w:b/>
                <w:bCs/>
                <w:sz w:val="18"/>
                <w:szCs w:val="18"/>
                <w:lang w:val="el-GR"/>
              </w:rPr>
            </w:pPr>
            <w:r w:rsidRPr="007246A9">
              <w:rPr>
                <w:rFonts w:ascii="Arial" w:hAnsi="Arial" w:cs="Arial"/>
                <w:color w:val="000000"/>
                <w:sz w:val="18"/>
                <w:szCs w:val="18"/>
                <w:lang w:val="el-GR"/>
              </w:rPr>
              <w:t xml:space="preserve">Καθαρό </w:t>
            </w:r>
            <w:proofErr w:type="spellStart"/>
            <w:r w:rsidRPr="007246A9">
              <w:rPr>
                <w:rFonts w:ascii="Arial" w:hAnsi="Arial" w:cs="Arial"/>
                <w:color w:val="000000"/>
                <w:sz w:val="18"/>
                <w:szCs w:val="18"/>
                <w:lang w:val="el-GR"/>
              </w:rPr>
              <w:t>επιτοκιακό</w:t>
            </w:r>
            <w:proofErr w:type="spellEnd"/>
            <w:r w:rsidRPr="007246A9">
              <w:rPr>
                <w:rFonts w:ascii="Arial" w:hAnsi="Arial" w:cs="Arial"/>
                <w:color w:val="000000"/>
                <w:sz w:val="18"/>
                <w:szCs w:val="18"/>
                <w:lang w:val="el-GR"/>
              </w:rPr>
              <w:t xml:space="preserve"> περιθώριο (</w:t>
            </w:r>
            <w:proofErr w:type="spellStart"/>
            <w:r w:rsidRPr="007246A9">
              <w:rPr>
                <w:rFonts w:ascii="Arial" w:hAnsi="Arial" w:cs="Arial"/>
                <w:color w:val="000000"/>
                <w:sz w:val="18"/>
                <w:szCs w:val="18"/>
                <w:lang w:val="el-GR"/>
              </w:rPr>
              <w:t>ετησιοποιημένη</w:t>
            </w:r>
            <w:proofErr w:type="spellEnd"/>
            <w:r w:rsidRPr="007246A9">
              <w:rPr>
                <w:rFonts w:ascii="Arial" w:hAnsi="Arial" w:cs="Arial"/>
                <w:color w:val="000000"/>
                <w:sz w:val="18"/>
                <w:szCs w:val="18"/>
                <w:lang w:val="el-GR"/>
              </w:rPr>
              <w:t xml:space="preserve"> βάση)</w:t>
            </w:r>
          </w:p>
        </w:tc>
        <w:tc>
          <w:tcPr>
            <w:tcW w:w="1094" w:type="dxa"/>
            <w:tcBorders>
              <w:top w:val="single" w:sz="4" w:space="0" w:color="808080" w:themeColor="background1" w:themeShade="80"/>
              <w:bottom w:val="single" w:sz="4" w:space="0" w:color="808080" w:themeColor="background1" w:themeShade="80"/>
            </w:tcBorders>
            <w:vAlign w:val="center"/>
          </w:tcPr>
          <w:p w14:paraId="3F41FDAB" w14:textId="721AF860" w:rsidR="00BC7D38" w:rsidRPr="00D41B36" w:rsidRDefault="00BC7D38" w:rsidP="00BC7D38">
            <w:pPr>
              <w:pStyle w:val="BodyText3"/>
              <w:spacing w:after="20"/>
              <w:jc w:val="center"/>
              <w:rPr>
                <w:rFonts w:ascii="Arial" w:hAnsi="Arial" w:cs="Arial"/>
                <w:sz w:val="18"/>
                <w:szCs w:val="18"/>
                <w:highlight w:val="yellow"/>
                <w:lang w:val="el-GR"/>
              </w:rPr>
            </w:pPr>
            <w:r w:rsidRPr="00DA6EBC">
              <w:rPr>
                <w:rFonts w:ascii="Arial" w:hAnsi="Arial" w:cs="Arial"/>
                <w:sz w:val="18"/>
                <w:szCs w:val="18"/>
              </w:rPr>
              <w:t>3.60%</w:t>
            </w:r>
          </w:p>
        </w:tc>
        <w:tc>
          <w:tcPr>
            <w:tcW w:w="1146" w:type="dxa"/>
            <w:tcBorders>
              <w:top w:val="single" w:sz="4" w:space="0" w:color="808080" w:themeColor="background1" w:themeShade="80"/>
              <w:bottom w:val="single" w:sz="4" w:space="0" w:color="808080" w:themeColor="background1" w:themeShade="80"/>
            </w:tcBorders>
            <w:vAlign w:val="center"/>
          </w:tcPr>
          <w:p w14:paraId="22C36211" w14:textId="3B27AC98" w:rsidR="00BC7D38" w:rsidRPr="00D41B36" w:rsidRDefault="00BC7D38" w:rsidP="00BC7D38">
            <w:pPr>
              <w:pStyle w:val="BodyText3"/>
              <w:spacing w:after="20"/>
              <w:jc w:val="center"/>
              <w:rPr>
                <w:rFonts w:ascii="Arial" w:hAnsi="Arial" w:cs="Arial"/>
                <w:b/>
                <w:bCs/>
                <w:sz w:val="18"/>
                <w:szCs w:val="18"/>
                <w:highlight w:val="yellow"/>
                <w:lang w:val="el-GR"/>
              </w:rPr>
            </w:pPr>
            <w:r w:rsidRPr="00504E73">
              <w:rPr>
                <w:rFonts w:ascii="Arial" w:hAnsi="Arial" w:cs="Arial"/>
                <w:sz w:val="18"/>
                <w:szCs w:val="18"/>
              </w:rPr>
              <w:t>3.32%</w:t>
            </w:r>
          </w:p>
        </w:tc>
        <w:tc>
          <w:tcPr>
            <w:tcW w:w="1147" w:type="dxa"/>
            <w:tcBorders>
              <w:top w:val="single" w:sz="4" w:space="0" w:color="808080" w:themeColor="background1" w:themeShade="80"/>
              <w:bottom w:val="single" w:sz="4" w:space="0" w:color="808080" w:themeColor="background1" w:themeShade="80"/>
            </w:tcBorders>
            <w:vAlign w:val="center"/>
          </w:tcPr>
          <w:p w14:paraId="5F860267" w14:textId="1EFC7F0F" w:rsidR="00BC7D38" w:rsidRPr="00D41B36" w:rsidRDefault="00BC7D38" w:rsidP="00BC7D38">
            <w:pPr>
              <w:pStyle w:val="BodyText3"/>
              <w:spacing w:after="20"/>
              <w:jc w:val="center"/>
              <w:rPr>
                <w:rFonts w:ascii="Arial" w:hAnsi="Arial" w:cs="Arial"/>
                <w:sz w:val="18"/>
                <w:szCs w:val="18"/>
                <w:highlight w:val="yellow"/>
              </w:rPr>
            </w:pPr>
            <w:r w:rsidRPr="00DA6EBC">
              <w:rPr>
                <w:rFonts w:ascii="Arial" w:hAnsi="Arial" w:cs="Arial"/>
                <w:bCs/>
                <w:sz w:val="18"/>
                <w:szCs w:val="18"/>
              </w:rPr>
              <w:t xml:space="preserve">28 </w:t>
            </w:r>
            <w:proofErr w:type="spellStart"/>
            <w:r>
              <w:rPr>
                <w:rFonts w:ascii="Arial" w:hAnsi="Arial" w:cs="Arial"/>
                <w:sz w:val="18"/>
                <w:szCs w:val="18"/>
                <w:lang w:val="el-GR"/>
              </w:rPr>
              <w:t>μ.β</w:t>
            </w:r>
            <w:proofErr w:type="spellEnd"/>
            <w:r>
              <w:rPr>
                <w:rFonts w:ascii="Arial" w:hAnsi="Arial" w:cs="Arial"/>
                <w:sz w:val="18"/>
                <w:szCs w:val="18"/>
                <w:lang w:val="el-GR"/>
              </w:rPr>
              <w:t>.</w:t>
            </w:r>
          </w:p>
        </w:tc>
        <w:tc>
          <w:tcPr>
            <w:tcW w:w="1147" w:type="dxa"/>
            <w:tcBorders>
              <w:top w:val="single" w:sz="4" w:space="0" w:color="808080" w:themeColor="background1" w:themeShade="80"/>
              <w:bottom w:val="single" w:sz="4" w:space="0" w:color="808080" w:themeColor="background1" w:themeShade="80"/>
            </w:tcBorders>
            <w:vAlign w:val="center"/>
          </w:tcPr>
          <w:p w14:paraId="2A347F8C" w14:textId="6FCBF0AD" w:rsidR="00BC7D38" w:rsidRPr="00D41B36" w:rsidRDefault="00BC7D38" w:rsidP="00BC7D38">
            <w:pPr>
              <w:pStyle w:val="BodyText3"/>
              <w:spacing w:after="20"/>
              <w:jc w:val="center"/>
              <w:rPr>
                <w:rFonts w:ascii="Arial" w:hAnsi="Arial" w:cs="Arial"/>
                <w:sz w:val="18"/>
                <w:szCs w:val="18"/>
                <w:highlight w:val="yellow"/>
              </w:rPr>
            </w:pPr>
            <w:r w:rsidRPr="00504E73">
              <w:rPr>
                <w:rFonts w:ascii="Arial" w:hAnsi="Arial" w:cs="Arial"/>
                <w:sz w:val="18"/>
                <w:szCs w:val="18"/>
              </w:rPr>
              <w:t>3.52%</w:t>
            </w:r>
          </w:p>
        </w:tc>
        <w:tc>
          <w:tcPr>
            <w:tcW w:w="1147" w:type="dxa"/>
            <w:tcBorders>
              <w:top w:val="single" w:sz="4" w:space="0" w:color="808080" w:themeColor="background1" w:themeShade="80"/>
              <w:bottom w:val="single" w:sz="4" w:space="0" w:color="808080" w:themeColor="background1" w:themeShade="80"/>
            </w:tcBorders>
            <w:vAlign w:val="center"/>
          </w:tcPr>
          <w:p w14:paraId="3B0DDD8D" w14:textId="24858682" w:rsidR="00BC7D38" w:rsidRPr="00D41B36" w:rsidRDefault="00BC7D38" w:rsidP="00BC7D38">
            <w:pPr>
              <w:pStyle w:val="BodyText3"/>
              <w:spacing w:after="20"/>
              <w:jc w:val="center"/>
              <w:rPr>
                <w:rFonts w:ascii="Arial" w:hAnsi="Arial" w:cs="Arial"/>
                <w:sz w:val="18"/>
                <w:szCs w:val="18"/>
                <w:highlight w:val="yellow"/>
                <w:lang w:val="el-GR"/>
              </w:rPr>
            </w:pPr>
            <w:r w:rsidRPr="00504E73">
              <w:rPr>
                <w:rFonts w:ascii="Arial" w:hAnsi="Arial" w:cs="Arial"/>
                <w:sz w:val="18"/>
                <w:szCs w:val="18"/>
              </w:rPr>
              <w:t>3.68%</w:t>
            </w:r>
          </w:p>
        </w:tc>
        <w:tc>
          <w:tcPr>
            <w:tcW w:w="115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F92CD6" w14:textId="77EF315E" w:rsidR="00BC7D38" w:rsidRPr="00D41B36" w:rsidRDefault="00BC7D38" w:rsidP="00BC7D38">
            <w:pPr>
              <w:pStyle w:val="BodyText3"/>
              <w:spacing w:after="20"/>
              <w:jc w:val="center"/>
              <w:rPr>
                <w:rFonts w:ascii="Arial" w:hAnsi="Arial" w:cs="Arial"/>
                <w:bCs/>
                <w:sz w:val="18"/>
                <w:szCs w:val="18"/>
                <w:highlight w:val="yellow"/>
              </w:rPr>
            </w:pPr>
            <w:r w:rsidRPr="00DA6EBC">
              <w:rPr>
                <w:rFonts w:ascii="Arial" w:hAnsi="Arial" w:cs="Arial"/>
                <w:sz w:val="18"/>
                <w:szCs w:val="18"/>
              </w:rPr>
              <w:t xml:space="preserve">-16 </w:t>
            </w:r>
            <w:proofErr w:type="spellStart"/>
            <w:r>
              <w:rPr>
                <w:rFonts w:ascii="Arial" w:hAnsi="Arial" w:cs="Arial"/>
                <w:sz w:val="18"/>
                <w:szCs w:val="18"/>
                <w:lang w:val="el-GR"/>
              </w:rPr>
              <w:t>μ.β</w:t>
            </w:r>
            <w:proofErr w:type="spellEnd"/>
            <w:r>
              <w:rPr>
                <w:rFonts w:ascii="Arial" w:hAnsi="Arial" w:cs="Arial"/>
                <w:sz w:val="18"/>
                <w:szCs w:val="18"/>
                <w:lang w:val="el-GR"/>
              </w:rPr>
              <w:t>.</w:t>
            </w:r>
          </w:p>
        </w:tc>
      </w:tr>
      <w:tr w:rsidR="00BC7D38" w:rsidRPr="00D41B36" w14:paraId="508ED586" w14:textId="77777777" w:rsidTr="007246A9">
        <w:trPr>
          <w:trHeight w:val="352"/>
        </w:trPr>
        <w:tc>
          <w:tcPr>
            <w:tcW w:w="3940"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69DC884" w14:textId="7A4187A1" w:rsidR="00BC7D38" w:rsidRPr="007246A9" w:rsidRDefault="00BC7D38" w:rsidP="00BC7D38">
            <w:pPr>
              <w:pStyle w:val="BodyText3"/>
              <w:tabs>
                <w:tab w:val="clear" w:pos="0"/>
                <w:tab w:val="clear" w:pos="1416"/>
                <w:tab w:val="left" w:pos="1184"/>
              </w:tabs>
              <w:spacing w:after="20"/>
              <w:jc w:val="left"/>
              <w:rPr>
                <w:rFonts w:ascii="Arial" w:hAnsi="Arial" w:cs="Arial"/>
                <w:color w:val="000000"/>
                <w:sz w:val="18"/>
                <w:szCs w:val="18"/>
                <w:lang w:val="el-GR"/>
              </w:rPr>
            </w:pPr>
            <w:r w:rsidRPr="007246A9">
              <w:rPr>
                <w:rFonts w:ascii="Arial" w:hAnsi="Arial" w:cs="Arial"/>
                <w:color w:val="000000"/>
                <w:sz w:val="18"/>
                <w:szCs w:val="18"/>
                <w:lang w:val="el-GR"/>
              </w:rPr>
              <w:t xml:space="preserve">Καθαρό </w:t>
            </w:r>
            <w:proofErr w:type="spellStart"/>
            <w:r w:rsidRPr="007246A9">
              <w:rPr>
                <w:rFonts w:ascii="Arial" w:hAnsi="Arial" w:cs="Arial"/>
                <w:color w:val="000000"/>
                <w:sz w:val="18"/>
                <w:szCs w:val="18"/>
                <w:lang w:val="el-GR"/>
              </w:rPr>
              <w:t>επιτοκιακό</w:t>
            </w:r>
            <w:proofErr w:type="spellEnd"/>
            <w:r w:rsidRPr="007246A9">
              <w:rPr>
                <w:rFonts w:ascii="Arial" w:hAnsi="Arial" w:cs="Arial"/>
                <w:color w:val="000000"/>
                <w:sz w:val="18"/>
                <w:szCs w:val="18"/>
                <w:lang w:val="el-GR"/>
              </w:rPr>
              <w:t xml:space="preserve"> περιθώριο (</w:t>
            </w:r>
            <w:proofErr w:type="spellStart"/>
            <w:r w:rsidRPr="007246A9">
              <w:rPr>
                <w:rFonts w:ascii="Arial" w:hAnsi="Arial" w:cs="Arial"/>
                <w:color w:val="000000"/>
                <w:sz w:val="18"/>
                <w:szCs w:val="18"/>
                <w:lang w:val="el-GR"/>
              </w:rPr>
              <w:t>ετησιοποιημένη</w:t>
            </w:r>
            <w:proofErr w:type="spellEnd"/>
            <w:r w:rsidRPr="007246A9">
              <w:rPr>
                <w:rFonts w:ascii="Arial" w:hAnsi="Arial" w:cs="Arial"/>
                <w:color w:val="000000"/>
                <w:sz w:val="18"/>
                <w:szCs w:val="18"/>
                <w:lang w:val="el-GR"/>
              </w:rPr>
              <w:t xml:space="preserve"> βάση)</w:t>
            </w:r>
            <w:r w:rsidRPr="007246A9">
              <w:rPr>
                <w:rFonts w:ascii="Arial" w:hAnsi="Arial" w:cs="Arial"/>
                <w:color w:val="000000" w:themeColor="text1"/>
                <w:sz w:val="18"/>
                <w:szCs w:val="18"/>
                <w:lang w:val="el-GR"/>
              </w:rPr>
              <w:t xml:space="preserve"> </w:t>
            </w:r>
            <w:r w:rsidRPr="007246A9">
              <w:rPr>
                <w:rFonts w:ascii="Arial" w:hAnsi="Arial" w:cs="Arial"/>
                <w:sz w:val="18"/>
                <w:szCs w:val="18"/>
                <w:lang w:val="el-GR"/>
              </w:rPr>
              <w:t xml:space="preserve">εξαιρώντας </w:t>
            </w:r>
            <w:r>
              <w:rPr>
                <w:rFonts w:ascii="Arial" w:hAnsi="Arial" w:cs="Arial"/>
                <w:sz w:val="18"/>
                <w:szCs w:val="18"/>
                <w:lang w:val="el-GR"/>
              </w:rPr>
              <w:t xml:space="preserve">τη χρηματοδότηση </w:t>
            </w:r>
            <w:r w:rsidRPr="007246A9">
              <w:rPr>
                <w:rFonts w:ascii="Arial" w:hAnsi="Arial" w:cs="Arial"/>
                <w:sz w:val="18"/>
                <w:szCs w:val="18"/>
                <w:lang w:val="el-GR"/>
              </w:rPr>
              <w:t>ΣΠΠΜΑ ΙΙΙ</w:t>
            </w:r>
          </w:p>
        </w:tc>
        <w:tc>
          <w:tcPr>
            <w:tcW w:w="1094" w:type="dxa"/>
            <w:tcBorders>
              <w:top w:val="single" w:sz="4" w:space="0" w:color="808080" w:themeColor="background1" w:themeShade="80"/>
              <w:bottom w:val="single" w:sz="4" w:space="0" w:color="808080" w:themeColor="background1" w:themeShade="80"/>
            </w:tcBorders>
            <w:vAlign w:val="center"/>
          </w:tcPr>
          <w:p w14:paraId="512526C9" w14:textId="2E45ED64" w:rsidR="00BC7D38" w:rsidRPr="00D41B36" w:rsidRDefault="00BC7D38" w:rsidP="00BC7D38">
            <w:pPr>
              <w:pStyle w:val="BodyText3"/>
              <w:spacing w:after="20"/>
              <w:jc w:val="center"/>
              <w:rPr>
                <w:rFonts w:ascii="Arial" w:hAnsi="Arial" w:cs="Arial"/>
                <w:sz w:val="18"/>
                <w:szCs w:val="18"/>
                <w:highlight w:val="yellow"/>
                <w:lang w:val="el-GR"/>
              </w:rPr>
            </w:pPr>
            <w:r w:rsidRPr="00DA6EBC">
              <w:rPr>
                <w:rFonts w:ascii="Arial" w:hAnsi="Arial" w:cs="Arial"/>
                <w:sz w:val="18"/>
                <w:szCs w:val="18"/>
              </w:rPr>
              <w:t>3.70%</w:t>
            </w:r>
          </w:p>
        </w:tc>
        <w:tc>
          <w:tcPr>
            <w:tcW w:w="1146" w:type="dxa"/>
            <w:tcBorders>
              <w:top w:val="single" w:sz="4" w:space="0" w:color="808080" w:themeColor="background1" w:themeShade="80"/>
              <w:bottom w:val="single" w:sz="4" w:space="0" w:color="808080" w:themeColor="background1" w:themeShade="80"/>
            </w:tcBorders>
            <w:vAlign w:val="center"/>
          </w:tcPr>
          <w:p w14:paraId="6E222214" w14:textId="5547B513" w:rsidR="00BC7D38" w:rsidRPr="00D41B36" w:rsidRDefault="00BC7D38" w:rsidP="00BC7D38">
            <w:pPr>
              <w:pStyle w:val="BodyText3"/>
              <w:spacing w:after="20"/>
              <w:jc w:val="center"/>
              <w:rPr>
                <w:rFonts w:ascii="Arial" w:hAnsi="Arial" w:cs="Arial"/>
                <w:sz w:val="18"/>
                <w:szCs w:val="18"/>
                <w:highlight w:val="yellow"/>
                <w:lang w:val="el-GR"/>
              </w:rPr>
            </w:pPr>
            <w:r w:rsidRPr="00504E73">
              <w:rPr>
                <w:rFonts w:ascii="Arial" w:hAnsi="Arial" w:cs="Arial"/>
                <w:sz w:val="18"/>
                <w:szCs w:val="18"/>
              </w:rPr>
              <w:t>3.</w:t>
            </w:r>
            <w:r w:rsidR="00614841">
              <w:rPr>
                <w:rFonts w:ascii="Arial" w:hAnsi="Arial" w:cs="Arial"/>
                <w:sz w:val="18"/>
                <w:szCs w:val="18"/>
              </w:rPr>
              <w:t>64</w:t>
            </w:r>
            <w:r w:rsidRPr="00504E73">
              <w:rPr>
                <w:rFonts w:ascii="Arial" w:hAnsi="Arial" w:cs="Arial"/>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2E8246F6" w14:textId="401AE3C4" w:rsidR="00BC7D38" w:rsidRPr="00D41B36" w:rsidRDefault="00614841" w:rsidP="00BC7D38">
            <w:pPr>
              <w:pStyle w:val="BodyText3"/>
              <w:spacing w:after="20"/>
              <w:jc w:val="center"/>
              <w:rPr>
                <w:rFonts w:ascii="Arial" w:hAnsi="Arial" w:cs="Arial"/>
                <w:sz w:val="18"/>
                <w:szCs w:val="18"/>
                <w:highlight w:val="yellow"/>
                <w:lang w:val="el-GR"/>
              </w:rPr>
            </w:pPr>
            <w:r>
              <w:rPr>
                <w:rFonts w:ascii="Arial" w:hAnsi="Arial" w:cs="Arial"/>
                <w:bCs/>
                <w:sz w:val="18"/>
                <w:szCs w:val="18"/>
              </w:rPr>
              <w:t>6</w:t>
            </w:r>
            <w:r w:rsidR="00BC7D38" w:rsidRPr="00DA6EBC">
              <w:rPr>
                <w:rFonts w:ascii="Arial" w:hAnsi="Arial" w:cs="Arial"/>
                <w:bCs/>
                <w:sz w:val="18"/>
                <w:szCs w:val="18"/>
              </w:rPr>
              <w:t xml:space="preserve"> </w:t>
            </w:r>
            <w:proofErr w:type="spellStart"/>
            <w:r w:rsidR="00BC7D38">
              <w:rPr>
                <w:rFonts w:ascii="Arial" w:hAnsi="Arial" w:cs="Arial"/>
                <w:sz w:val="18"/>
                <w:szCs w:val="18"/>
                <w:lang w:val="el-GR"/>
              </w:rPr>
              <w:t>μ.β</w:t>
            </w:r>
            <w:proofErr w:type="spellEnd"/>
            <w:r w:rsidR="00BC7D38">
              <w:rPr>
                <w:rFonts w:ascii="Arial" w:hAnsi="Arial" w:cs="Arial"/>
                <w:sz w:val="18"/>
                <w:szCs w:val="18"/>
                <w:lang w:val="el-GR"/>
              </w:rPr>
              <w:t>.</w:t>
            </w:r>
          </w:p>
        </w:tc>
        <w:tc>
          <w:tcPr>
            <w:tcW w:w="1147" w:type="dxa"/>
            <w:tcBorders>
              <w:top w:val="single" w:sz="4" w:space="0" w:color="808080" w:themeColor="background1" w:themeShade="80"/>
              <w:bottom w:val="single" w:sz="4" w:space="0" w:color="808080" w:themeColor="background1" w:themeShade="80"/>
            </w:tcBorders>
            <w:vAlign w:val="center"/>
          </w:tcPr>
          <w:p w14:paraId="56E92235" w14:textId="046433A4" w:rsidR="00BC7D38" w:rsidRPr="00D41B36" w:rsidRDefault="00BC7D38" w:rsidP="00BC7D38">
            <w:pPr>
              <w:pStyle w:val="BodyText3"/>
              <w:spacing w:after="20"/>
              <w:jc w:val="center"/>
              <w:rPr>
                <w:rFonts w:ascii="Arial" w:hAnsi="Arial" w:cs="Arial"/>
                <w:sz w:val="18"/>
                <w:szCs w:val="18"/>
                <w:highlight w:val="yellow"/>
                <w:lang w:val="el-GR"/>
              </w:rPr>
            </w:pPr>
            <w:r w:rsidRPr="00504E73">
              <w:rPr>
                <w:rFonts w:ascii="Arial" w:hAnsi="Arial" w:cs="Arial"/>
                <w:sz w:val="18"/>
                <w:szCs w:val="18"/>
              </w:rPr>
              <w:t>3.52%</w:t>
            </w:r>
          </w:p>
        </w:tc>
        <w:tc>
          <w:tcPr>
            <w:tcW w:w="1147" w:type="dxa"/>
            <w:tcBorders>
              <w:top w:val="single" w:sz="4" w:space="0" w:color="808080" w:themeColor="background1" w:themeShade="80"/>
              <w:bottom w:val="single" w:sz="4" w:space="0" w:color="808080" w:themeColor="background1" w:themeShade="80"/>
            </w:tcBorders>
            <w:vAlign w:val="center"/>
          </w:tcPr>
          <w:p w14:paraId="48D23919" w14:textId="7BCCA5DB" w:rsidR="00BC7D38" w:rsidRPr="00D41B36" w:rsidRDefault="00BC7D38" w:rsidP="00BC7D38">
            <w:pPr>
              <w:pStyle w:val="BodyText3"/>
              <w:spacing w:after="20"/>
              <w:jc w:val="center"/>
              <w:rPr>
                <w:rFonts w:ascii="Arial" w:hAnsi="Arial" w:cs="Arial"/>
                <w:sz w:val="18"/>
                <w:szCs w:val="18"/>
                <w:highlight w:val="yellow"/>
                <w:lang w:val="el-GR"/>
              </w:rPr>
            </w:pPr>
            <w:r w:rsidRPr="00504E73">
              <w:rPr>
                <w:rFonts w:ascii="Arial" w:hAnsi="Arial" w:cs="Arial"/>
                <w:sz w:val="18"/>
                <w:szCs w:val="18"/>
              </w:rPr>
              <w:t>3.70%</w:t>
            </w:r>
          </w:p>
        </w:tc>
        <w:tc>
          <w:tcPr>
            <w:tcW w:w="115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E558DC" w14:textId="2A485C20" w:rsidR="00BC7D38" w:rsidRPr="00D41B36" w:rsidRDefault="00BC7D38" w:rsidP="00BC7D38">
            <w:pPr>
              <w:pStyle w:val="BodyText3"/>
              <w:spacing w:after="20"/>
              <w:jc w:val="center"/>
              <w:rPr>
                <w:rFonts w:ascii="Arial" w:hAnsi="Arial" w:cs="Arial"/>
                <w:bCs/>
                <w:sz w:val="18"/>
                <w:szCs w:val="18"/>
                <w:highlight w:val="yellow"/>
                <w:lang w:val="el-GR"/>
              </w:rPr>
            </w:pPr>
            <w:r w:rsidRPr="00DA6EBC">
              <w:rPr>
                <w:rFonts w:ascii="Arial" w:hAnsi="Arial" w:cs="Arial"/>
                <w:sz w:val="18"/>
                <w:szCs w:val="18"/>
              </w:rPr>
              <w:t xml:space="preserve">-18 </w:t>
            </w:r>
            <w:proofErr w:type="spellStart"/>
            <w:r>
              <w:rPr>
                <w:rFonts w:ascii="Arial" w:hAnsi="Arial" w:cs="Arial"/>
                <w:sz w:val="18"/>
                <w:szCs w:val="18"/>
                <w:lang w:val="el-GR"/>
              </w:rPr>
              <w:t>μ.β</w:t>
            </w:r>
            <w:proofErr w:type="spellEnd"/>
          </w:p>
        </w:tc>
      </w:tr>
      <w:tr w:rsidR="00BC7D38" w:rsidRPr="00D41B36" w14:paraId="50D2E96C" w14:textId="77777777" w:rsidTr="007246A9">
        <w:trPr>
          <w:trHeight w:val="352"/>
        </w:trPr>
        <w:tc>
          <w:tcPr>
            <w:tcW w:w="394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4769354" w14:textId="77777777" w:rsidR="00BC7D38" w:rsidRPr="007246A9" w:rsidRDefault="00BC7D38" w:rsidP="00BC7D38">
            <w:pPr>
              <w:pStyle w:val="BodyText3"/>
              <w:tabs>
                <w:tab w:val="clear" w:pos="0"/>
                <w:tab w:val="clear" w:pos="1416"/>
                <w:tab w:val="left" w:pos="1184"/>
              </w:tabs>
              <w:spacing w:after="20"/>
              <w:jc w:val="left"/>
              <w:rPr>
                <w:rFonts w:ascii="Arial" w:hAnsi="Arial" w:cs="Arial"/>
                <w:b/>
                <w:bCs/>
                <w:sz w:val="18"/>
                <w:szCs w:val="18"/>
              </w:rPr>
            </w:pPr>
            <w:r w:rsidRPr="007246A9">
              <w:rPr>
                <w:rFonts w:ascii="Arial" w:hAnsi="Arial" w:cs="Arial"/>
                <w:color w:val="000000"/>
                <w:sz w:val="18"/>
                <w:szCs w:val="18"/>
                <w:lang w:val="el-GR"/>
              </w:rPr>
              <w:t>Δείκτης κόστος προς έσοδα</w:t>
            </w:r>
          </w:p>
        </w:tc>
        <w:tc>
          <w:tcPr>
            <w:tcW w:w="1094" w:type="dxa"/>
            <w:tcBorders>
              <w:top w:val="single" w:sz="4" w:space="0" w:color="808080" w:themeColor="background1" w:themeShade="80"/>
              <w:bottom w:val="single" w:sz="4" w:space="0" w:color="808080" w:themeColor="background1" w:themeShade="80"/>
            </w:tcBorders>
            <w:vAlign w:val="center"/>
          </w:tcPr>
          <w:p w14:paraId="56124BC4" w14:textId="350306D3" w:rsidR="00BC7D38" w:rsidRPr="00D41B36" w:rsidRDefault="00BC7D38" w:rsidP="00BC7D38">
            <w:pPr>
              <w:pStyle w:val="BodyText3"/>
              <w:spacing w:after="20"/>
              <w:jc w:val="center"/>
              <w:rPr>
                <w:rFonts w:ascii="Arial" w:hAnsi="Arial" w:cs="Arial"/>
                <w:sz w:val="18"/>
                <w:szCs w:val="18"/>
                <w:highlight w:val="yellow"/>
              </w:rPr>
            </w:pPr>
            <w:r w:rsidRPr="00225BD7">
              <w:rPr>
                <w:rFonts w:ascii="Arial" w:hAnsi="Arial" w:cs="Arial"/>
                <w:sz w:val="18"/>
                <w:szCs w:val="18"/>
              </w:rPr>
              <w:t>35%</w:t>
            </w:r>
          </w:p>
        </w:tc>
        <w:tc>
          <w:tcPr>
            <w:tcW w:w="1146" w:type="dxa"/>
            <w:tcBorders>
              <w:top w:val="single" w:sz="4" w:space="0" w:color="808080" w:themeColor="background1" w:themeShade="80"/>
              <w:bottom w:val="single" w:sz="4" w:space="0" w:color="808080" w:themeColor="background1" w:themeShade="80"/>
            </w:tcBorders>
            <w:vAlign w:val="center"/>
          </w:tcPr>
          <w:p w14:paraId="03FEF122" w14:textId="5029A644" w:rsidR="00BC7D38" w:rsidRPr="00D41B36" w:rsidRDefault="00BC7D38" w:rsidP="00BC7D38">
            <w:pPr>
              <w:pStyle w:val="BodyText3"/>
              <w:spacing w:after="20"/>
              <w:jc w:val="center"/>
              <w:rPr>
                <w:rFonts w:ascii="Arial" w:hAnsi="Arial" w:cs="Arial"/>
                <w:sz w:val="18"/>
                <w:szCs w:val="18"/>
                <w:highlight w:val="yellow"/>
              </w:rPr>
            </w:pPr>
            <w:r w:rsidRPr="00225BD7">
              <w:rPr>
                <w:rFonts w:ascii="Arial" w:hAnsi="Arial" w:cs="Arial"/>
                <w:sz w:val="18"/>
                <w:szCs w:val="18"/>
              </w:rPr>
              <w:t>35%</w:t>
            </w:r>
          </w:p>
        </w:tc>
        <w:tc>
          <w:tcPr>
            <w:tcW w:w="1147" w:type="dxa"/>
            <w:tcBorders>
              <w:top w:val="single" w:sz="4" w:space="0" w:color="808080" w:themeColor="background1" w:themeShade="80"/>
              <w:bottom w:val="single" w:sz="4" w:space="0" w:color="808080" w:themeColor="background1" w:themeShade="80"/>
            </w:tcBorders>
            <w:vAlign w:val="center"/>
          </w:tcPr>
          <w:p w14:paraId="406FFC95" w14:textId="228F4D13" w:rsidR="00BC7D38" w:rsidRPr="00D41B36" w:rsidRDefault="00BC7D38" w:rsidP="00BC7D38">
            <w:pPr>
              <w:pStyle w:val="BodyText3"/>
              <w:spacing w:after="20"/>
              <w:jc w:val="center"/>
              <w:rPr>
                <w:rFonts w:ascii="Arial" w:hAnsi="Arial" w:cs="Arial"/>
                <w:sz w:val="18"/>
                <w:szCs w:val="18"/>
                <w:highlight w:val="yellow"/>
              </w:rPr>
            </w:pPr>
            <w:r w:rsidRPr="00225BD7">
              <w:rPr>
                <w:rFonts w:ascii="Arial" w:hAnsi="Arial" w:cs="Arial"/>
                <w:bCs/>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0154E771" w14:textId="68DC61D5" w:rsidR="00BC7D38" w:rsidRPr="00D41B36" w:rsidRDefault="00BC7D38" w:rsidP="00BC7D38">
            <w:pPr>
              <w:pStyle w:val="BodyText3"/>
              <w:spacing w:after="20"/>
              <w:jc w:val="center"/>
              <w:rPr>
                <w:rFonts w:ascii="Arial" w:hAnsi="Arial" w:cs="Arial"/>
                <w:sz w:val="18"/>
                <w:szCs w:val="18"/>
                <w:highlight w:val="yellow"/>
              </w:rPr>
            </w:pPr>
            <w:r w:rsidRPr="00225BD7">
              <w:rPr>
                <w:rFonts w:ascii="Arial" w:hAnsi="Arial" w:cs="Arial"/>
                <w:sz w:val="18"/>
                <w:szCs w:val="18"/>
              </w:rPr>
              <w:t>38%</w:t>
            </w:r>
          </w:p>
        </w:tc>
        <w:tc>
          <w:tcPr>
            <w:tcW w:w="1147" w:type="dxa"/>
            <w:tcBorders>
              <w:top w:val="single" w:sz="4" w:space="0" w:color="808080" w:themeColor="background1" w:themeShade="80"/>
              <w:bottom w:val="single" w:sz="4" w:space="0" w:color="808080" w:themeColor="background1" w:themeShade="80"/>
            </w:tcBorders>
            <w:vAlign w:val="center"/>
          </w:tcPr>
          <w:p w14:paraId="313F7840" w14:textId="1F2F6776" w:rsidR="00BC7D38" w:rsidRPr="00D41B36" w:rsidRDefault="00BC7D38" w:rsidP="00BC7D38">
            <w:pPr>
              <w:pStyle w:val="BodyText3"/>
              <w:spacing w:after="20"/>
              <w:jc w:val="center"/>
              <w:rPr>
                <w:rFonts w:ascii="Arial" w:hAnsi="Arial" w:cs="Arial"/>
                <w:color w:val="FF0000"/>
                <w:sz w:val="18"/>
                <w:szCs w:val="18"/>
                <w:highlight w:val="yellow"/>
                <w:lang w:val="el-GR"/>
              </w:rPr>
            </w:pPr>
            <w:r w:rsidRPr="00225BD7">
              <w:rPr>
                <w:rFonts w:ascii="Arial" w:hAnsi="Arial" w:cs="Arial"/>
                <w:sz w:val="18"/>
                <w:szCs w:val="18"/>
              </w:rPr>
              <w:t>34%</w:t>
            </w:r>
          </w:p>
        </w:tc>
        <w:tc>
          <w:tcPr>
            <w:tcW w:w="115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F4EA71" w14:textId="4D626A16" w:rsidR="00BC7D38" w:rsidRPr="00D41B36" w:rsidRDefault="00BC7D38" w:rsidP="00BC7D38">
            <w:pPr>
              <w:pStyle w:val="BodyText3"/>
              <w:spacing w:after="20"/>
              <w:jc w:val="center"/>
              <w:rPr>
                <w:rFonts w:ascii="Arial" w:hAnsi="Arial" w:cs="Arial"/>
                <w:bCs/>
                <w:color w:val="FF0000"/>
                <w:sz w:val="18"/>
                <w:szCs w:val="18"/>
                <w:highlight w:val="yellow"/>
              </w:rPr>
            </w:pPr>
            <w:r w:rsidRPr="007068A6">
              <w:rPr>
                <w:rFonts w:ascii="Arial" w:hAnsi="Arial" w:cs="Arial"/>
                <w:sz w:val="18"/>
                <w:szCs w:val="18"/>
              </w:rPr>
              <w:t xml:space="preserve">4 </w:t>
            </w:r>
            <w:r>
              <w:rPr>
                <w:rFonts w:ascii="Arial" w:hAnsi="Arial" w:cs="Arial"/>
                <w:sz w:val="18"/>
                <w:szCs w:val="18"/>
                <w:lang w:val="el-GR"/>
              </w:rPr>
              <w:t>ε</w:t>
            </w:r>
            <w:r w:rsidRPr="007068A6">
              <w:rPr>
                <w:rFonts w:ascii="Arial" w:hAnsi="Arial" w:cs="Arial"/>
                <w:sz w:val="18"/>
                <w:szCs w:val="18"/>
              </w:rPr>
              <w:t>.</w:t>
            </w:r>
            <w:r>
              <w:rPr>
                <w:rFonts w:ascii="Arial" w:hAnsi="Arial" w:cs="Arial"/>
                <w:sz w:val="18"/>
                <w:szCs w:val="18"/>
                <w:lang w:val="el-GR"/>
              </w:rPr>
              <w:t>μ</w:t>
            </w:r>
            <w:r w:rsidRPr="007068A6">
              <w:rPr>
                <w:rFonts w:ascii="Arial" w:hAnsi="Arial" w:cs="Arial"/>
                <w:sz w:val="18"/>
                <w:szCs w:val="18"/>
              </w:rPr>
              <w:t>.</w:t>
            </w:r>
          </w:p>
        </w:tc>
      </w:tr>
      <w:tr w:rsidR="00BC7D38" w:rsidRPr="00D41B36" w14:paraId="6FB8864E" w14:textId="77777777" w:rsidTr="007246A9">
        <w:trPr>
          <w:trHeight w:val="569"/>
        </w:trPr>
        <w:tc>
          <w:tcPr>
            <w:tcW w:w="394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651B9E9" w14:textId="77777777" w:rsidR="00BC7D38" w:rsidRPr="007246A9" w:rsidRDefault="00BC7D38" w:rsidP="00BC7D38">
            <w:pPr>
              <w:pStyle w:val="BodyText3"/>
              <w:tabs>
                <w:tab w:val="clear" w:pos="0"/>
                <w:tab w:val="clear" w:pos="1416"/>
                <w:tab w:val="left" w:pos="1184"/>
              </w:tabs>
              <w:spacing w:after="20"/>
              <w:jc w:val="left"/>
              <w:rPr>
                <w:rFonts w:ascii="Arial" w:hAnsi="Arial" w:cs="Arial"/>
                <w:b/>
                <w:bCs/>
                <w:sz w:val="18"/>
                <w:szCs w:val="18"/>
                <w:lang w:val="el-GR"/>
              </w:rPr>
            </w:pPr>
            <w:r w:rsidRPr="007246A9">
              <w:rPr>
                <w:rFonts w:ascii="Arial" w:hAnsi="Arial" w:cs="Arial"/>
                <w:color w:val="000000" w:themeColor="text1"/>
                <w:sz w:val="18"/>
                <w:szCs w:val="18"/>
                <w:lang w:val="el-GR"/>
              </w:rPr>
              <w:t>Δείκτης κόστος προς έσοδα αναπροσαρμοσμένος για τον ειδικό φόρο επί των καταθέσεων και άλλα τέλη/εισφορές</w:t>
            </w:r>
          </w:p>
        </w:tc>
        <w:tc>
          <w:tcPr>
            <w:tcW w:w="1094" w:type="dxa"/>
            <w:tcBorders>
              <w:top w:val="single" w:sz="4" w:space="0" w:color="808080" w:themeColor="background1" w:themeShade="80"/>
              <w:bottom w:val="single" w:sz="4" w:space="0" w:color="808080" w:themeColor="background1" w:themeShade="80"/>
            </w:tcBorders>
            <w:vAlign w:val="center"/>
          </w:tcPr>
          <w:p w14:paraId="4CE11E44" w14:textId="538CB11F" w:rsidR="00BC7D38" w:rsidRPr="00D41B36" w:rsidRDefault="00BC7D38" w:rsidP="00BC7D38">
            <w:pPr>
              <w:pStyle w:val="BodyText3"/>
              <w:spacing w:after="20"/>
              <w:jc w:val="center"/>
              <w:rPr>
                <w:rFonts w:ascii="Arial" w:hAnsi="Arial" w:cs="Arial"/>
                <w:sz w:val="18"/>
                <w:szCs w:val="18"/>
                <w:highlight w:val="yellow"/>
                <w:lang w:val="el-GR"/>
              </w:rPr>
            </w:pPr>
            <w:r w:rsidRPr="00225BD7">
              <w:rPr>
                <w:rFonts w:ascii="Arial" w:hAnsi="Arial" w:cs="Arial"/>
                <w:sz w:val="18"/>
                <w:szCs w:val="18"/>
              </w:rPr>
              <w:t>32%</w:t>
            </w:r>
          </w:p>
        </w:tc>
        <w:tc>
          <w:tcPr>
            <w:tcW w:w="1146" w:type="dxa"/>
            <w:tcBorders>
              <w:top w:val="single" w:sz="4" w:space="0" w:color="808080" w:themeColor="background1" w:themeShade="80"/>
              <w:bottom w:val="single" w:sz="4" w:space="0" w:color="808080" w:themeColor="background1" w:themeShade="80"/>
            </w:tcBorders>
            <w:vAlign w:val="center"/>
          </w:tcPr>
          <w:p w14:paraId="48560C24" w14:textId="1232DE8F" w:rsidR="00BC7D38" w:rsidRPr="00D41B36" w:rsidRDefault="00BC7D38" w:rsidP="00BC7D38">
            <w:pPr>
              <w:pStyle w:val="BodyText3"/>
              <w:spacing w:after="20"/>
              <w:jc w:val="center"/>
              <w:rPr>
                <w:rFonts w:ascii="Arial" w:hAnsi="Arial" w:cs="Arial"/>
                <w:b/>
                <w:bCs/>
                <w:sz w:val="18"/>
                <w:szCs w:val="18"/>
                <w:highlight w:val="yellow"/>
                <w:lang w:val="el-GR"/>
              </w:rPr>
            </w:pPr>
            <w:r w:rsidRPr="00225BD7">
              <w:rPr>
                <w:rFonts w:ascii="Arial" w:hAnsi="Arial" w:cs="Arial"/>
                <w:sz w:val="18"/>
                <w:szCs w:val="18"/>
              </w:rPr>
              <w:t>31%</w:t>
            </w:r>
          </w:p>
        </w:tc>
        <w:tc>
          <w:tcPr>
            <w:tcW w:w="1147" w:type="dxa"/>
            <w:tcBorders>
              <w:top w:val="single" w:sz="4" w:space="0" w:color="808080" w:themeColor="background1" w:themeShade="80"/>
              <w:bottom w:val="single" w:sz="4" w:space="0" w:color="808080" w:themeColor="background1" w:themeShade="80"/>
            </w:tcBorders>
            <w:vAlign w:val="center"/>
          </w:tcPr>
          <w:p w14:paraId="6C86FA02" w14:textId="2BA1936A" w:rsidR="00BC7D38" w:rsidRPr="00D41B36" w:rsidRDefault="00BC7D38" w:rsidP="00BC7D38">
            <w:pPr>
              <w:pStyle w:val="BodyText3"/>
              <w:spacing w:after="20"/>
              <w:jc w:val="center"/>
              <w:rPr>
                <w:rFonts w:ascii="Arial" w:hAnsi="Arial" w:cs="Arial"/>
                <w:sz w:val="18"/>
                <w:szCs w:val="18"/>
                <w:highlight w:val="yellow"/>
              </w:rPr>
            </w:pPr>
            <w:r w:rsidRPr="00225BD7">
              <w:rPr>
                <w:rFonts w:ascii="Arial" w:hAnsi="Arial" w:cs="Arial"/>
                <w:bCs/>
                <w:sz w:val="18"/>
                <w:szCs w:val="18"/>
              </w:rPr>
              <w:t xml:space="preserve">1 </w:t>
            </w:r>
            <w:r>
              <w:rPr>
                <w:rFonts w:ascii="Arial" w:hAnsi="Arial" w:cs="Arial"/>
                <w:sz w:val="18"/>
                <w:szCs w:val="18"/>
                <w:lang w:val="el-GR"/>
              </w:rPr>
              <w:t>ε</w:t>
            </w:r>
            <w:r w:rsidRPr="007068A6">
              <w:rPr>
                <w:rFonts w:ascii="Arial" w:hAnsi="Arial" w:cs="Arial"/>
                <w:sz w:val="18"/>
                <w:szCs w:val="18"/>
              </w:rPr>
              <w:t>.</w:t>
            </w:r>
            <w:r>
              <w:rPr>
                <w:rFonts w:ascii="Arial" w:hAnsi="Arial" w:cs="Arial"/>
                <w:sz w:val="18"/>
                <w:szCs w:val="18"/>
                <w:lang w:val="el-GR"/>
              </w:rPr>
              <w:t>μ</w:t>
            </w:r>
            <w:r w:rsidRPr="007068A6">
              <w:rPr>
                <w:rFonts w:ascii="Arial" w:hAnsi="Arial" w:cs="Arial"/>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71ECF060" w14:textId="3B222998" w:rsidR="00BC7D38" w:rsidRPr="00D41B36" w:rsidRDefault="00BC7D38" w:rsidP="00BC7D38">
            <w:pPr>
              <w:pStyle w:val="BodyText3"/>
              <w:spacing w:after="20"/>
              <w:jc w:val="center"/>
              <w:rPr>
                <w:rFonts w:ascii="Arial" w:hAnsi="Arial" w:cs="Arial"/>
                <w:sz w:val="18"/>
                <w:szCs w:val="18"/>
                <w:highlight w:val="yellow"/>
              </w:rPr>
            </w:pPr>
            <w:r w:rsidRPr="00225BD7">
              <w:rPr>
                <w:rFonts w:ascii="Arial" w:hAnsi="Arial" w:cs="Arial"/>
                <w:sz w:val="18"/>
                <w:szCs w:val="18"/>
              </w:rPr>
              <w:t>35%</w:t>
            </w:r>
          </w:p>
        </w:tc>
        <w:tc>
          <w:tcPr>
            <w:tcW w:w="1147" w:type="dxa"/>
            <w:tcBorders>
              <w:top w:val="single" w:sz="4" w:space="0" w:color="808080" w:themeColor="background1" w:themeShade="80"/>
              <w:bottom w:val="single" w:sz="4" w:space="0" w:color="808080" w:themeColor="background1" w:themeShade="80"/>
            </w:tcBorders>
            <w:vAlign w:val="center"/>
          </w:tcPr>
          <w:p w14:paraId="29CE75B5" w14:textId="7F5C7ACE" w:rsidR="00BC7D38" w:rsidRPr="00D41B36" w:rsidRDefault="00BC7D38" w:rsidP="00BC7D38">
            <w:pPr>
              <w:pStyle w:val="BodyText3"/>
              <w:spacing w:after="20"/>
              <w:jc w:val="center"/>
              <w:rPr>
                <w:rFonts w:ascii="Arial" w:hAnsi="Arial" w:cs="Arial"/>
                <w:sz w:val="18"/>
                <w:szCs w:val="18"/>
                <w:highlight w:val="yellow"/>
                <w:lang w:val="el-GR"/>
              </w:rPr>
            </w:pPr>
            <w:r w:rsidRPr="00225BD7">
              <w:rPr>
                <w:rFonts w:ascii="Arial" w:hAnsi="Arial" w:cs="Arial"/>
                <w:sz w:val="18"/>
                <w:szCs w:val="18"/>
              </w:rPr>
              <w:t>32%</w:t>
            </w:r>
          </w:p>
        </w:tc>
        <w:tc>
          <w:tcPr>
            <w:tcW w:w="115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866AB5" w14:textId="46E613E7" w:rsidR="00BC7D38" w:rsidRPr="00D41B36" w:rsidRDefault="00BC7D38" w:rsidP="00BC7D38">
            <w:pPr>
              <w:pStyle w:val="BodyText3"/>
              <w:spacing w:after="20"/>
              <w:jc w:val="center"/>
              <w:rPr>
                <w:rFonts w:ascii="Arial" w:hAnsi="Arial" w:cs="Arial"/>
                <w:bCs/>
                <w:sz w:val="18"/>
                <w:szCs w:val="18"/>
                <w:highlight w:val="yellow"/>
              </w:rPr>
            </w:pPr>
            <w:r w:rsidRPr="007068A6">
              <w:rPr>
                <w:rFonts w:ascii="Arial" w:hAnsi="Arial" w:cs="Arial"/>
                <w:sz w:val="18"/>
                <w:szCs w:val="18"/>
              </w:rPr>
              <w:t xml:space="preserve">3 </w:t>
            </w:r>
            <w:r>
              <w:rPr>
                <w:rFonts w:ascii="Arial" w:hAnsi="Arial" w:cs="Arial"/>
                <w:sz w:val="18"/>
                <w:szCs w:val="18"/>
                <w:lang w:val="el-GR"/>
              </w:rPr>
              <w:t>ε</w:t>
            </w:r>
            <w:r w:rsidRPr="007068A6">
              <w:rPr>
                <w:rFonts w:ascii="Arial" w:hAnsi="Arial" w:cs="Arial"/>
                <w:sz w:val="18"/>
                <w:szCs w:val="18"/>
              </w:rPr>
              <w:t>.</w:t>
            </w:r>
            <w:r>
              <w:rPr>
                <w:rFonts w:ascii="Arial" w:hAnsi="Arial" w:cs="Arial"/>
                <w:sz w:val="18"/>
                <w:szCs w:val="18"/>
                <w:lang w:val="el-GR"/>
              </w:rPr>
              <w:t>μ</w:t>
            </w:r>
            <w:r w:rsidRPr="007068A6">
              <w:rPr>
                <w:rFonts w:ascii="Arial" w:hAnsi="Arial" w:cs="Arial"/>
                <w:sz w:val="18"/>
                <w:szCs w:val="18"/>
              </w:rPr>
              <w:t>.</w:t>
            </w:r>
          </w:p>
        </w:tc>
      </w:tr>
      <w:tr w:rsidR="00BC7D38" w:rsidRPr="00D41B36" w14:paraId="1CA27ACF" w14:textId="77777777" w:rsidTr="007246A9">
        <w:trPr>
          <w:trHeight w:val="352"/>
        </w:trPr>
        <w:tc>
          <w:tcPr>
            <w:tcW w:w="394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505558D" w14:textId="77777777" w:rsidR="00BC7D38" w:rsidRPr="007246A9" w:rsidRDefault="00BC7D38" w:rsidP="00BC7D38">
            <w:pPr>
              <w:pStyle w:val="BodyText3"/>
              <w:tabs>
                <w:tab w:val="clear" w:pos="0"/>
                <w:tab w:val="clear" w:pos="1416"/>
                <w:tab w:val="left" w:pos="1184"/>
              </w:tabs>
              <w:spacing w:after="20"/>
              <w:jc w:val="left"/>
              <w:rPr>
                <w:rFonts w:ascii="Arial" w:hAnsi="Arial" w:cs="Arial"/>
                <w:b/>
                <w:bCs/>
                <w:sz w:val="18"/>
                <w:szCs w:val="18"/>
                <w:lang w:val="el-GR"/>
              </w:rPr>
            </w:pPr>
            <w:r w:rsidRPr="007246A9">
              <w:rPr>
                <w:rFonts w:ascii="Arial" w:hAnsi="Arial" w:cs="Arial"/>
                <w:sz w:val="18"/>
                <w:szCs w:val="18"/>
                <w:lang w:val="el-GR"/>
              </w:rPr>
              <w:t>Λειτουργικά κέρδη επί του μέσου όρου των περιουσιακών στοιχείων (</w:t>
            </w:r>
            <w:proofErr w:type="spellStart"/>
            <w:r w:rsidRPr="007246A9">
              <w:rPr>
                <w:rFonts w:ascii="Arial" w:hAnsi="Arial" w:cs="Arial"/>
                <w:sz w:val="18"/>
                <w:szCs w:val="18"/>
                <w:lang w:val="el-GR"/>
              </w:rPr>
              <w:t>ετησιοποιημένη</w:t>
            </w:r>
            <w:proofErr w:type="spellEnd"/>
            <w:r w:rsidRPr="007246A9">
              <w:rPr>
                <w:rFonts w:ascii="Arial" w:hAnsi="Arial" w:cs="Arial"/>
                <w:sz w:val="18"/>
                <w:szCs w:val="18"/>
                <w:lang w:val="el-GR"/>
              </w:rPr>
              <w:t xml:space="preserve"> βάση)</w:t>
            </w:r>
          </w:p>
        </w:tc>
        <w:tc>
          <w:tcPr>
            <w:tcW w:w="1094" w:type="dxa"/>
            <w:tcBorders>
              <w:top w:val="single" w:sz="4" w:space="0" w:color="808080" w:themeColor="background1" w:themeShade="80"/>
              <w:bottom w:val="single" w:sz="4" w:space="0" w:color="808080" w:themeColor="background1" w:themeShade="80"/>
            </w:tcBorders>
            <w:vAlign w:val="center"/>
          </w:tcPr>
          <w:p w14:paraId="4F9DD945" w14:textId="03965BFD" w:rsidR="00BC7D38" w:rsidRPr="00D41B36" w:rsidRDefault="00BC7D38" w:rsidP="00BC7D38">
            <w:pPr>
              <w:pStyle w:val="BodyText3"/>
              <w:spacing w:after="20"/>
              <w:jc w:val="center"/>
              <w:rPr>
                <w:rFonts w:ascii="Arial" w:hAnsi="Arial" w:cs="Arial"/>
                <w:color w:val="000000" w:themeColor="text1"/>
                <w:sz w:val="18"/>
                <w:szCs w:val="18"/>
                <w:highlight w:val="yellow"/>
                <w:lang w:val="el-GR"/>
              </w:rPr>
            </w:pPr>
            <w:r w:rsidRPr="00DA6EBC">
              <w:rPr>
                <w:rFonts w:ascii="Arial" w:hAnsi="Arial" w:cs="Arial"/>
                <w:sz w:val="18"/>
                <w:szCs w:val="18"/>
              </w:rPr>
              <w:t>2.8%</w:t>
            </w:r>
          </w:p>
        </w:tc>
        <w:tc>
          <w:tcPr>
            <w:tcW w:w="1146" w:type="dxa"/>
            <w:tcBorders>
              <w:top w:val="single" w:sz="4" w:space="0" w:color="808080" w:themeColor="background1" w:themeShade="80"/>
              <w:bottom w:val="single" w:sz="4" w:space="0" w:color="808080" w:themeColor="background1" w:themeShade="80"/>
            </w:tcBorders>
            <w:vAlign w:val="center"/>
          </w:tcPr>
          <w:p w14:paraId="08AFB567" w14:textId="1A030DE4" w:rsidR="00BC7D38" w:rsidRPr="00D41B36" w:rsidRDefault="00BC7D38" w:rsidP="00BC7D38">
            <w:pPr>
              <w:pStyle w:val="BodyText3"/>
              <w:spacing w:after="20"/>
              <w:jc w:val="center"/>
              <w:rPr>
                <w:rFonts w:ascii="Arial" w:hAnsi="Arial" w:cs="Arial"/>
                <w:b/>
                <w:bCs/>
                <w:color w:val="000000" w:themeColor="text1"/>
                <w:sz w:val="18"/>
                <w:szCs w:val="18"/>
                <w:highlight w:val="yellow"/>
                <w:lang w:val="el-GR"/>
              </w:rPr>
            </w:pPr>
            <w:r w:rsidRPr="00225BD7">
              <w:rPr>
                <w:rFonts w:ascii="Arial" w:hAnsi="Arial" w:cs="Arial"/>
                <w:sz w:val="18"/>
                <w:szCs w:val="18"/>
              </w:rPr>
              <w:t>2.7%</w:t>
            </w:r>
          </w:p>
        </w:tc>
        <w:tc>
          <w:tcPr>
            <w:tcW w:w="1147" w:type="dxa"/>
            <w:tcBorders>
              <w:top w:val="single" w:sz="4" w:space="0" w:color="808080" w:themeColor="background1" w:themeShade="80"/>
              <w:bottom w:val="single" w:sz="4" w:space="0" w:color="808080" w:themeColor="background1" w:themeShade="80"/>
            </w:tcBorders>
            <w:vAlign w:val="center"/>
          </w:tcPr>
          <w:p w14:paraId="3762B5DB" w14:textId="1FB586E7" w:rsidR="00BC7D38" w:rsidRPr="00D41B36" w:rsidRDefault="00614841" w:rsidP="00BC7D38">
            <w:pPr>
              <w:pStyle w:val="BodyText3"/>
              <w:spacing w:after="20"/>
              <w:jc w:val="center"/>
              <w:rPr>
                <w:rFonts w:ascii="Arial" w:hAnsi="Arial" w:cs="Arial"/>
                <w:color w:val="000000" w:themeColor="text1"/>
                <w:sz w:val="18"/>
                <w:szCs w:val="18"/>
                <w:highlight w:val="yellow"/>
              </w:rPr>
            </w:pPr>
            <w:r>
              <w:rPr>
                <w:rFonts w:ascii="Arial" w:hAnsi="Arial" w:cs="Arial"/>
                <w:sz w:val="18"/>
                <w:szCs w:val="18"/>
              </w:rPr>
              <w:t>10</w:t>
            </w:r>
            <w:r w:rsidR="00BC7D38" w:rsidRPr="00DA6EBC">
              <w:rPr>
                <w:rFonts w:ascii="Arial" w:hAnsi="Arial" w:cs="Arial"/>
                <w:sz w:val="18"/>
                <w:szCs w:val="18"/>
              </w:rPr>
              <w:t xml:space="preserve"> </w:t>
            </w:r>
            <w:r>
              <w:rPr>
                <w:rFonts w:ascii="Arial" w:hAnsi="Arial" w:cs="Arial"/>
                <w:sz w:val="18"/>
                <w:szCs w:val="18"/>
                <w:lang w:val="el-GR"/>
              </w:rPr>
              <w:t>μ</w:t>
            </w:r>
            <w:r w:rsidR="00BC7D38" w:rsidRPr="007068A6">
              <w:rPr>
                <w:rFonts w:ascii="Arial" w:hAnsi="Arial" w:cs="Arial"/>
                <w:sz w:val="18"/>
                <w:szCs w:val="18"/>
              </w:rPr>
              <w:t>.</w:t>
            </w:r>
            <w:r>
              <w:rPr>
                <w:rFonts w:ascii="Arial" w:hAnsi="Arial" w:cs="Arial"/>
                <w:sz w:val="18"/>
                <w:szCs w:val="18"/>
                <w:lang w:val="el-GR"/>
              </w:rPr>
              <w:t>β</w:t>
            </w:r>
            <w:r w:rsidR="00BC7D38" w:rsidRPr="007068A6">
              <w:rPr>
                <w:rFonts w:ascii="Arial" w:hAnsi="Arial" w:cs="Arial"/>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42879418" w14:textId="0238986F" w:rsidR="00BC7D38" w:rsidRPr="00D41B36" w:rsidRDefault="00BC7D38" w:rsidP="00BC7D38">
            <w:pPr>
              <w:pStyle w:val="BodyText3"/>
              <w:spacing w:after="20"/>
              <w:jc w:val="center"/>
              <w:rPr>
                <w:rFonts w:ascii="Arial" w:hAnsi="Arial" w:cs="Arial"/>
                <w:color w:val="000000" w:themeColor="text1"/>
                <w:sz w:val="18"/>
                <w:szCs w:val="18"/>
                <w:highlight w:val="yellow"/>
              </w:rPr>
            </w:pPr>
            <w:r w:rsidRPr="00225BD7">
              <w:rPr>
                <w:rFonts w:ascii="Arial" w:hAnsi="Arial" w:cs="Arial"/>
                <w:sz w:val="18"/>
                <w:szCs w:val="18"/>
              </w:rPr>
              <w:t>2.7%</w:t>
            </w:r>
          </w:p>
        </w:tc>
        <w:tc>
          <w:tcPr>
            <w:tcW w:w="1147" w:type="dxa"/>
            <w:tcBorders>
              <w:top w:val="single" w:sz="4" w:space="0" w:color="808080" w:themeColor="background1" w:themeShade="80"/>
              <w:bottom w:val="single" w:sz="4" w:space="0" w:color="808080" w:themeColor="background1" w:themeShade="80"/>
            </w:tcBorders>
            <w:vAlign w:val="center"/>
          </w:tcPr>
          <w:p w14:paraId="6649361B" w14:textId="503C7B11" w:rsidR="00BC7D38" w:rsidRPr="00D41B36" w:rsidRDefault="00BC7D38" w:rsidP="00BC7D38">
            <w:pPr>
              <w:pStyle w:val="BodyText3"/>
              <w:spacing w:after="20"/>
              <w:jc w:val="center"/>
              <w:rPr>
                <w:rFonts w:ascii="Arial" w:hAnsi="Arial" w:cs="Arial"/>
                <w:color w:val="000000" w:themeColor="text1"/>
                <w:sz w:val="18"/>
                <w:szCs w:val="18"/>
                <w:highlight w:val="yellow"/>
                <w:lang w:val="el-GR"/>
              </w:rPr>
            </w:pPr>
            <w:r w:rsidRPr="00225BD7">
              <w:rPr>
                <w:rFonts w:ascii="Arial" w:hAnsi="Arial" w:cs="Arial"/>
                <w:sz w:val="18"/>
                <w:szCs w:val="18"/>
              </w:rPr>
              <w:t>2.9%</w:t>
            </w:r>
          </w:p>
        </w:tc>
        <w:tc>
          <w:tcPr>
            <w:tcW w:w="115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AD9E66" w14:textId="712877DC" w:rsidR="00BC7D38" w:rsidRPr="00D41B36" w:rsidRDefault="00BC7D38" w:rsidP="00BC7D38">
            <w:pPr>
              <w:pStyle w:val="BodyText3"/>
              <w:spacing w:after="20"/>
              <w:jc w:val="center"/>
              <w:rPr>
                <w:rFonts w:ascii="Arial" w:hAnsi="Arial" w:cs="Arial"/>
                <w:bCs/>
                <w:color w:val="000000" w:themeColor="text1"/>
                <w:sz w:val="18"/>
                <w:szCs w:val="18"/>
                <w:highlight w:val="yellow"/>
              </w:rPr>
            </w:pPr>
            <w:r w:rsidRPr="00DA6EBC">
              <w:rPr>
                <w:rFonts w:ascii="Arial" w:hAnsi="Arial" w:cs="Arial"/>
                <w:sz w:val="18"/>
                <w:szCs w:val="18"/>
              </w:rPr>
              <w:t>-</w:t>
            </w:r>
            <w:r w:rsidR="00614841">
              <w:rPr>
                <w:rFonts w:ascii="Arial" w:hAnsi="Arial" w:cs="Arial"/>
                <w:sz w:val="18"/>
                <w:szCs w:val="18"/>
                <w:lang w:val="el-GR"/>
              </w:rPr>
              <w:t>20</w:t>
            </w:r>
            <w:r>
              <w:rPr>
                <w:rFonts w:ascii="Arial" w:hAnsi="Arial" w:cs="Arial"/>
                <w:sz w:val="18"/>
                <w:szCs w:val="18"/>
                <w:lang w:val="el-GR"/>
              </w:rPr>
              <w:t xml:space="preserve"> </w:t>
            </w:r>
            <w:proofErr w:type="spellStart"/>
            <w:r w:rsidR="00614841">
              <w:rPr>
                <w:rFonts w:ascii="Arial" w:hAnsi="Arial" w:cs="Arial"/>
                <w:sz w:val="18"/>
                <w:szCs w:val="18"/>
                <w:lang w:val="el-GR"/>
              </w:rPr>
              <w:t>μ</w:t>
            </w:r>
            <w:r>
              <w:rPr>
                <w:rFonts w:ascii="Arial" w:hAnsi="Arial" w:cs="Arial"/>
                <w:sz w:val="18"/>
                <w:szCs w:val="18"/>
                <w:lang w:val="el-GR"/>
              </w:rPr>
              <w:t>.</w:t>
            </w:r>
            <w:r w:rsidR="00614841">
              <w:rPr>
                <w:rFonts w:ascii="Arial" w:hAnsi="Arial" w:cs="Arial"/>
                <w:sz w:val="18"/>
                <w:szCs w:val="18"/>
                <w:lang w:val="el-GR"/>
              </w:rPr>
              <w:t>β</w:t>
            </w:r>
            <w:proofErr w:type="spellEnd"/>
            <w:r>
              <w:rPr>
                <w:rFonts w:ascii="Arial" w:hAnsi="Arial" w:cs="Arial"/>
                <w:sz w:val="18"/>
                <w:szCs w:val="18"/>
                <w:lang w:val="el-GR"/>
              </w:rPr>
              <w:t>.</w:t>
            </w:r>
          </w:p>
        </w:tc>
      </w:tr>
      <w:tr w:rsidR="00BC7D38" w:rsidRPr="00D41B36" w14:paraId="1481729D" w14:textId="77777777" w:rsidTr="007246A9">
        <w:trPr>
          <w:trHeight w:val="352"/>
        </w:trPr>
        <w:tc>
          <w:tcPr>
            <w:tcW w:w="394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204E232E" w14:textId="36603F48" w:rsidR="00BC7D38" w:rsidRPr="007246A9" w:rsidRDefault="00BC7D38" w:rsidP="00BC7D38">
            <w:pPr>
              <w:pStyle w:val="BodyText3"/>
              <w:tabs>
                <w:tab w:val="clear" w:pos="0"/>
                <w:tab w:val="clear" w:pos="1416"/>
                <w:tab w:val="left" w:pos="1184"/>
              </w:tabs>
              <w:spacing w:after="20"/>
              <w:jc w:val="left"/>
              <w:rPr>
                <w:rFonts w:ascii="Arial" w:hAnsi="Arial" w:cs="Arial"/>
                <w:b/>
                <w:bCs/>
                <w:sz w:val="18"/>
                <w:szCs w:val="18"/>
                <w:lang w:val="el-GR"/>
              </w:rPr>
            </w:pPr>
            <w:r w:rsidRPr="007246A9">
              <w:rPr>
                <w:rFonts w:ascii="Arial" w:hAnsi="Arial" w:cs="Arial"/>
                <w:sz w:val="18"/>
                <w:szCs w:val="18"/>
                <w:lang w:val="el-GR"/>
              </w:rPr>
              <w:t>Βασικά κέρδη ανά μετοχή που αναλογούν στους ιδιοκτήτες της Εταιρίας (€)</w:t>
            </w:r>
            <w:r w:rsidRPr="007246A9">
              <w:rPr>
                <w:rFonts w:ascii="Arial" w:hAnsi="Arial" w:cs="Arial"/>
                <w:sz w:val="18"/>
                <w:szCs w:val="18"/>
                <w:vertAlign w:val="superscript"/>
                <w:lang w:val="el-GR"/>
              </w:rPr>
              <w:t>1</w:t>
            </w:r>
          </w:p>
        </w:tc>
        <w:tc>
          <w:tcPr>
            <w:tcW w:w="1094" w:type="dxa"/>
            <w:tcBorders>
              <w:top w:val="single" w:sz="4" w:space="0" w:color="808080" w:themeColor="background1" w:themeShade="80"/>
              <w:bottom w:val="single" w:sz="4" w:space="0" w:color="808080" w:themeColor="background1" w:themeShade="80"/>
            </w:tcBorders>
            <w:vAlign w:val="center"/>
          </w:tcPr>
          <w:p w14:paraId="5A27C130" w14:textId="7D074E35" w:rsidR="00BC7D38" w:rsidRPr="00D41B36" w:rsidRDefault="00BC7D38" w:rsidP="00BC7D38">
            <w:pPr>
              <w:pStyle w:val="BodyText3"/>
              <w:spacing w:after="20"/>
              <w:jc w:val="center"/>
              <w:rPr>
                <w:rFonts w:ascii="Arial" w:hAnsi="Arial" w:cs="Arial"/>
                <w:sz w:val="18"/>
                <w:szCs w:val="18"/>
                <w:highlight w:val="yellow"/>
                <w:lang w:val="el-GR"/>
              </w:rPr>
            </w:pPr>
            <w:r w:rsidRPr="00DA6EBC">
              <w:rPr>
                <w:rFonts w:ascii="Arial" w:hAnsi="Arial" w:cs="Arial"/>
                <w:sz w:val="18"/>
                <w:szCs w:val="18"/>
              </w:rPr>
              <w:t>0.90</w:t>
            </w:r>
          </w:p>
        </w:tc>
        <w:tc>
          <w:tcPr>
            <w:tcW w:w="1146" w:type="dxa"/>
            <w:tcBorders>
              <w:top w:val="single" w:sz="4" w:space="0" w:color="808080" w:themeColor="background1" w:themeShade="80"/>
              <w:bottom w:val="single" w:sz="4" w:space="0" w:color="808080" w:themeColor="background1" w:themeShade="80"/>
            </w:tcBorders>
            <w:vAlign w:val="center"/>
          </w:tcPr>
          <w:p w14:paraId="70A8563A" w14:textId="1C503840" w:rsidR="00BC7D38" w:rsidRPr="00D41B36" w:rsidRDefault="00BC7D38" w:rsidP="00BC7D38">
            <w:pPr>
              <w:pStyle w:val="BodyText3"/>
              <w:spacing w:after="20"/>
              <w:jc w:val="center"/>
              <w:rPr>
                <w:rFonts w:ascii="Arial" w:hAnsi="Arial" w:cs="Arial"/>
                <w:b/>
                <w:bCs/>
                <w:sz w:val="18"/>
                <w:szCs w:val="18"/>
                <w:highlight w:val="yellow"/>
                <w:lang w:val="el-GR"/>
              </w:rPr>
            </w:pPr>
            <w:r w:rsidRPr="00225BD7">
              <w:rPr>
                <w:rFonts w:ascii="Arial" w:hAnsi="Arial" w:cs="Arial"/>
                <w:sz w:val="18"/>
                <w:szCs w:val="18"/>
              </w:rPr>
              <w:t>0.78</w:t>
            </w:r>
          </w:p>
        </w:tc>
        <w:tc>
          <w:tcPr>
            <w:tcW w:w="1147" w:type="dxa"/>
            <w:tcBorders>
              <w:top w:val="single" w:sz="4" w:space="0" w:color="808080" w:themeColor="background1" w:themeShade="80"/>
              <w:bottom w:val="single" w:sz="4" w:space="0" w:color="808080" w:themeColor="background1" w:themeShade="80"/>
            </w:tcBorders>
            <w:vAlign w:val="center"/>
          </w:tcPr>
          <w:p w14:paraId="0F1C0B49" w14:textId="377B4B0A" w:rsidR="00BC7D38" w:rsidRPr="00D41B36" w:rsidRDefault="00BC7D38" w:rsidP="00BC7D38">
            <w:pPr>
              <w:pStyle w:val="BodyText3"/>
              <w:spacing w:after="20"/>
              <w:jc w:val="center"/>
              <w:rPr>
                <w:rFonts w:ascii="Arial" w:hAnsi="Arial" w:cs="Arial"/>
                <w:sz w:val="18"/>
                <w:szCs w:val="18"/>
                <w:highlight w:val="yellow"/>
              </w:rPr>
            </w:pPr>
            <w:r w:rsidRPr="00DA6EBC">
              <w:rPr>
                <w:rFonts w:ascii="Arial" w:hAnsi="Arial" w:cs="Arial"/>
                <w:sz w:val="18"/>
                <w:szCs w:val="18"/>
              </w:rPr>
              <w:t>0.12</w:t>
            </w:r>
          </w:p>
        </w:tc>
        <w:tc>
          <w:tcPr>
            <w:tcW w:w="1147" w:type="dxa"/>
            <w:tcBorders>
              <w:top w:val="single" w:sz="4" w:space="0" w:color="808080" w:themeColor="background1" w:themeShade="80"/>
              <w:bottom w:val="single" w:sz="4" w:space="0" w:color="808080" w:themeColor="background1" w:themeShade="80"/>
            </w:tcBorders>
            <w:vAlign w:val="center"/>
          </w:tcPr>
          <w:p w14:paraId="5B8115A5" w14:textId="4C8A9F6E" w:rsidR="00BC7D38" w:rsidRPr="00D41B36" w:rsidRDefault="00BC7D38" w:rsidP="00BC7D38">
            <w:pPr>
              <w:pStyle w:val="BodyText3"/>
              <w:spacing w:after="20"/>
              <w:jc w:val="center"/>
              <w:rPr>
                <w:rFonts w:ascii="Arial" w:hAnsi="Arial" w:cs="Arial"/>
                <w:sz w:val="18"/>
                <w:szCs w:val="18"/>
                <w:highlight w:val="yellow"/>
              </w:rPr>
            </w:pPr>
            <w:r w:rsidRPr="00225BD7">
              <w:rPr>
                <w:rFonts w:ascii="Arial" w:hAnsi="Arial" w:cs="Arial"/>
                <w:sz w:val="18"/>
                <w:szCs w:val="18"/>
              </w:rPr>
              <w:t>0.</w:t>
            </w:r>
            <w:r w:rsidRPr="00DA6EBC">
              <w:rPr>
                <w:rFonts w:ascii="Arial" w:hAnsi="Arial" w:cs="Arial"/>
                <w:sz w:val="18"/>
                <w:szCs w:val="18"/>
              </w:rPr>
              <w:t>29</w:t>
            </w:r>
          </w:p>
        </w:tc>
        <w:tc>
          <w:tcPr>
            <w:tcW w:w="1147" w:type="dxa"/>
            <w:tcBorders>
              <w:top w:val="single" w:sz="4" w:space="0" w:color="808080" w:themeColor="background1" w:themeShade="80"/>
              <w:bottom w:val="single" w:sz="4" w:space="0" w:color="808080" w:themeColor="background1" w:themeShade="80"/>
            </w:tcBorders>
            <w:vAlign w:val="center"/>
          </w:tcPr>
          <w:p w14:paraId="02285275" w14:textId="7D1310EE" w:rsidR="00BC7D38" w:rsidRPr="00D41B36" w:rsidRDefault="00BC7D38" w:rsidP="00BC7D38">
            <w:pPr>
              <w:pStyle w:val="BodyText3"/>
              <w:spacing w:after="20"/>
              <w:jc w:val="center"/>
              <w:rPr>
                <w:rFonts w:ascii="Arial" w:hAnsi="Arial" w:cs="Arial"/>
                <w:sz w:val="18"/>
                <w:szCs w:val="18"/>
                <w:highlight w:val="yellow"/>
              </w:rPr>
            </w:pPr>
            <w:r w:rsidRPr="00225BD7">
              <w:rPr>
                <w:rFonts w:ascii="Arial" w:hAnsi="Arial" w:cs="Arial"/>
                <w:sz w:val="18"/>
                <w:szCs w:val="18"/>
              </w:rPr>
              <w:t>0.31</w:t>
            </w:r>
          </w:p>
        </w:tc>
        <w:tc>
          <w:tcPr>
            <w:tcW w:w="115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EFFB1D" w14:textId="5F7D6FB9" w:rsidR="00BC7D38" w:rsidRPr="00D41B36" w:rsidRDefault="00BC7D38" w:rsidP="00BC7D38">
            <w:pPr>
              <w:pStyle w:val="BodyText3"/>
              <w:spacing w:after="20"/>
              <w:jc w:val="center"/>
              <w:rPr>
                <w:rFonts w:ascii="Arial" w:hAnsi="Arial" w:cs="Arial"/>
                <w:bCs/>
                <w:sz w:val="18"/>
                <w:szCs w:val="18"/>
                <w:highlight w:val="yellow"/>
              </w:rPr>
            </w:pPr>
            <w:r w:rsidRPr="00DA6EBC">
              <w:rPr>
                <w:rFonts w:ascii="Arial" w:hAnsi="Arial" w:cs="Arial"/>
                <w:sz w:val="18"/>
                <w:szCs w:val="18"/>
              </w:rPr>
              <w:t>-0.02</w:t>
            </w:r>
          </w:p>
        </w:tc>
      </w:tr>
      <w:tr w:rsidR="00BC7D38" w:rsidRPr="00D41B36" w14:paraId="3EDA8893" w14:textId="77777777" w:rsidTr="007246A9">
        <w:trPr>
          <w:trHeight w:val="352"/>
        </w:trPr>
        <w:tc>
          <w:tcPr>
            <w:tcW w:w="394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516AACE" w14:textId="1DF20B30" w:rsidR="00BC7D38" w:rsidRPr="007246A9" w:rsidRDefault="00BC7D38" w:rsidP="00BC7D38">
            <w:pPr>
              <w:pStyle w:val="BodyText3"/>
              <w:tabs>
                <w:tab w:val="clear" w:pos="0"/>
                <w:tab w:val="clear" w:pos="1416"/>
                <w:tab w:val="left" w:pos="1184"/>
              </w:tabs>
              <w:spacing w:after="20"/>
              <w:jc w:val="left"/>
              <w:rPr>
                <w:rFonts w:ascii="Arial" w:hAnsi="Arial" w:cs="Arial"/>
                <w:color w:val="000000" w:themeColor="text1"/>
                <w:sz w:val="18"/>
                <w:szCs w:val="18"/>
                <w:lang w:val="el-GR"/>
              </w:rPr>
            </w:pPr>
            <w:r w:rsidRPr="007246A9">
              <w:rPr>
                <w:rFonts w:ascii="Arial" w:hAnsi="Arial" w:cs="Arial"/>
                <w:color w:val="000000" w:themeColor="text1"/>
                <w:sz w:val="18"/>
                <w:szCs w:val="18"/>
                <w:lang w:val="el-GR"/>
              </w:rPr>
              <w:t xml:space="preserve">Απόδοση </w:t>
            </w:r>
            <w:r w:rsidRPr="007246A9">
              <w:rPr>
                <w:rFonts w:ascii="Arial" w:hAnsi="Arial" w:cs="Arial"/>
                <w:sz w:val="18"/>
                <w:szCs w:val="18"/>
                <w:lang w:val="el-GR"/>
              </w:rPr>
              <w:t>(</w:t>
            </w:r>
            <w:proofErr w:type="spellStart"/>
            <w:r w:rsidRPr="007246A9">
              <w:rPr>
                <w:rFonts w:ascii="Arial" w:hAnsi="Arial" w:cs="Arial"/>
                <w:sz w:val="18"/>
                <w:szCs w:val="18"/>
                <w:lang w:val="el-GR"/>
              </w:rPr>
              <w:t>ετησιοποιημένη</w:t>
            </w:r>
            <w:proofErr w:type="spellEnd"/>
            <w:r w:rsidRPr="007246A9">
              <w:rPr>
                <w:rFonts w:ascii="Arial" w:hAnsi="Arial" w:cs="Arial"/>
                <w:sz w:val="18"/>
                <w:szCs w:val="18"/>
                <w:lang w:val="el-GR"/>
              </w:rPr>
              <w:t xml:space="preserve"> βάση)</w:t>
            </w:r>
            <w:r w:rsidRPr="007246A9">
              <w:rPr>
                <w:rFonts w:ascii="Arial" w:hAnsi="Arial" w:cs="Arial"/>
                <w:color w:val="000000" w:themeColor="text1"/>
                <w:sz w:val="18"/>
                <w:szCs w:val="18"/>
                <w:lang w:val="el-GR"/>
              </w:rPr>
              <w:t xml:space="preserve"> Ενσώματων Ιδίων Κεφαλαίων (</w:t>
            </w:r>
            <w:r w:rsidRPr="007246A9">
              <w:rPr>
                <w:rFonts w:ascii="Arial" w:hAnsi="Arial" w:cs="Arial"/>
                <w:color w:val="000000" w:themeColor="text1"/>
                <w:sz w:val="18"/>
                <w:szCs w:val="18"/>
              </w:rPr>
              <w:t>ROTE</w:t>
            </w:r>
            <w:r w:rsidRPr="007246A9">
              <w:rPr>
                <w:rFonts w:ascii="Arial" w:hAnsi="Arial" w:cs="Arial"/>
                <w:color w:val="000000" w:themeColor="text1"/>
                <w:sz w:val="18"/>
                <w:szCs w:val="18"/>
                <w:lang w:val="el-GR"/>
              </w:rPr>
              <w:t xml:space="preserve">) </w:t>
            </w:r>
          </w:p>
        </w:tc>
        <w:tc>
          <w:tcPr>
            <w:tcW w:w="1094" w:type="dxa"/>
            <w:tcBorders>
              <w:top w:val="single" w:sz="4" w:space="0" w:color="808080" w:themeColor="background1" w:themeShade="80"/>
              <w:bottom w:val="single" w:sz="4" w:space="0" w:color="808080" w:themeColor="background1" w:themeShade="80"/>
            </w:tcBorders>
            <w:vAlign w:val="center"/>
          </w:tcPr>
          <w:p w14:paraId="104CD415" w14:textId="6A33F062" w:rsidR="00BC7D38" w:rsidRPr="00D41B36" w:rsidRDefault="00BC7D38" w:rsidP="00BC7D38">
            <w:pPr>
              <w:pStyle w:val="BodyText3"/>
              <w:spacing w:after="20"/>
              <w:jc w:val="center"/>
              <w:rPr>
                <w:rFonts w:ascii="Arial" w:hAnsi="Arial" w:cs="Arial"/>
                <w:sz w:val="18"/>
                <w:szCs w:val="18"/>
                <w:highlight w:val="yellow"/>
                <w:lang w:val="el-GR"/>
              </w:rPr>
            </w:pPr>
            <w:r w:rsidRPr="00DA6EBC">
              <w:rPr>
                <w:rFonts w:ascii="Arial" w:hAnsi="Arial" w:cs="Arial"/>
                <w:sz w:val="18"/>
                <w:szCs w:val="18"/>
              </w:rPr>
              <w:t>22.9%</w:t>
            </w:r>
          </w:p>
        </w:tc>
        <w:tc>
          <w:tcPr>
            <w:tcW w:w="1146" w:type="dxa"/>
            <w:tcBorders>
              <w:top w:val="single" w:sz="4" w:space="0" w:color="808080" w:themeColor="background1" w:themeShade="80"/>
              <w:bottom w:val="single" w:sz="4" w:space="0" w:color="808080" w:themeColor="background1" w:themeShade="80"/>
            </w:tcBorders>
            <w:vAlign w:val="center"/>
          </w:tcPr>
          <w:p w14:paraId="11A37C67" w14:textId="67F155D0" w:rsidR="00BC7D38" w:rsidRPr="00D41B36" w:rsidRDefault="00BC7D38" w:rsidP="00BC7D38">
            <w:pPr>
              <w:pStyle w:val="BodyText3"/>
              <w:spacing w:after="20"/>
              <w:jc w:val="center"/>
              <w:rPr>
                <w:rFonts w:ascii="Arial" w:hAnsi="Arial" w:cs="Arial"/>
                <w:sz w:val="18"/>
                <w:szCs w:val="18"/>
                <w:highlight w:val="yellow"/>
                <w:lang w:val="el-GR"/>
              </w:rPr>
            </w:pPr>
            <w:r w:rsidRPr="00225BD7">
              <w:rPr>
                <w:rFonts w:ascii="Arial" w:hAnsi="Arial" w:cs="Arial"/>
                <w:sz w:val="18"/>
                <w:szCs w:val="18"/>
              </w:rPr>
              <w:t>24.6%</w:t>
            </w:r>
          </w:p>
        </w:tc>
        <w:tc>
          <w:tcPr>
            <w:tcW w:w="1147" w:type="dxa"/>
            <w:tcBorders>
              <w:top w:val="single" w:sz="4" w:space="0" w:color="808080" w:themeColor="background1" w:themeShade="80"/>
              <w:bottom w:val="single" w:sz="4" w:space="0" w:color="808080" w:themeColor="background1" w:themeShade="80"/>
            </w:tcBorders>
            <w:vAlign w:val="center"/>
          </w:tcPr>
          <w:p w14:paraId="31281B31" w14:textId="60EBDF33" w:rsidR="00BC7D38" w:rsidRPr="00D41B36" w:rsidRDefault="00BC7D38" w:rsidP="00BC7D38">
            <w:pPr>
              <w:pStyle w:val="BodyText3"/>
              <w:spacing w:after="20"/>
              <w:jc w:val="center"/>
              <w:rPr>
                <w:rFonts w:ascii="Arial" w:hAnsi="Arial" w:cs="Arial"/>
                <w:sz w:val="18"/>
                <w:szCs w:val="18"/>
                <w:highlight w:val="yellow"/>
              </w:rPr>
            </w:pPr>
            <w:r w:rsidRPr="00DA6EBC">
              <w:rPr>
                <w:rFonts w:ascii="Arial" w:hAnsi="Arial" w:cs="Arial"/>
                <w:bCs/>
                <w:sz w:val="18"/>
                <w:szCs w:val="18"/>
              </w:rPr>
              <w:t>-</w:t>
            </w:r>
            <w:r w:rsidRPr="007068A6">
              <w:rPr>
                <w:rFonts w:ascii="Arial" w:hAnsi="Arial" w:cs="Arial"/>
                <w:bCs/>
                <w:sz w:val="18"/>
                <w:szCs w:val="18"/>
              </w:rPr>
              <w:t>1.</w:t>
            </w:r>
            <w:r w:rsidRPr="00DA6EBC">
              <w:rPr>
                <w:rFonts w:ascii="Arial" w:hAnsi="Arial" w:cs="Arial"/>
                <w:bCs/>
                <w:sz w:val="18"/>
                <w:szCs w:val="18"/>
              </w:rPr>
              <w:t>7</w:t>
            </w:r>
            <w:r w:rsidRPr="007068A6">
              <w:rPr>
                <w:rFonts w:ascii="Arial" w:hAnsi="Arial" w:cs="Arial"/>
                <w:bCs/>
                <w:sz w:val="18"/>
                <w:szCs w:val="18"/>
              </w:rPr>
              <w:t xml:space="preserve"> </w:t>
            </w:r>
            <w:r>
              <w:rPr>
                <w:rFonts w:ascii="Arial" w:hAnsi="Arial" w:cs="Arial"/>
                <w:sz w:val="18"/>
                <w:szCs w:val="18"/>
                <w:lang w:val="el-GR"/>
              </w:rPr>
              <w:t>ε</w:t>
            </w:r>
            <w:r w:rsidRPr="007068A6">
              <w:rPr>
                <w:rFonts w:ascii="Arial" w:hAnsi="Arial" w:cs="Arial"/>
                <w:sz w:val="18"/>
                <w:szCs w:val="18"/>
              </w:rPr>
              <w:t>.</w:t>
            </w:r>
            <w:r>
              <w:rPr>
                <w:rFonts w:ascii="Arial" w:hAnsi="Arial" w:cs="Arial"/>
                <w:sz w:val="18"/>
                <w:szCs w:val="18"/>
                <w:lang w:val="el-GR"/>
              </w:rPr>
              <w:t>μ</w:t>
            </w:r>
            <w:r w:rsidRPr="007068A6">
              <w:rPr>
                <w:rFonts w:ascii="Arial" w:hAnsi="Arial" w:cs="Arial"/>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0F919604" w14:textId="13087213" w:rsidR="00BC7D38" w:rsidRPr="00D41B36" w:rsidRDefault="00BC7D38" w:rsidP="00BC7D38">
            <w:pPr>
              <w:pStyle w:val="BodyText3"/>
              <w:spacing w:after="20"/>
              <w:jc w:val="center"/>
              <w:rPr>
                <w:rFonts w:ascii="Arial" w:hAnsi="Arial" w:cs="Arial"/>
                <w:sz w:val="18"/>
                <w:szCs w:val="18"/>
                <w:highlight w:val="yellow"/>
              </w:rPr>
            </w:pPr>
            <w:r w:rsidRPr="00225BD7">
              <w:rPr>
                <w:rFonts w:ascii="Arial" w:hAnsi="Arial" w:cs="Arial"/>
                <w:sz w:val="18"/>
                <w:szCs w:val="18"/>
              </w:rPr>
              <w:t>2</w:t>
            </w:r>
            <w:r w:rsidRPr="00DA6EBC">
              <w:rPr>
                <w:rFonts w:ascii="Arial" w:hAnsi="Arial" w:cs="Arial"/>
                <w:sz w:val="18"/>
                <w:szCs w:val="18"/>
              </w:rPr>
              <w:t>1</w:t>
            </w:r>
            <w:r w:rsidRPr="00225BD7">
              <w:rPr>
                <w:rFonts w:ascii="Arial" w:hAnsi="Arial" w:cs="Arial"/>
                <w:sz w:val="18"/>
                <w:szCs w:val="18"/>
              </w:rPr>
              <w:t>.</w:t>
            </w:r>
            <w:r w:rsidRPr="00DA6EBC">
              <w:rPr>
                <w:rFonts w:ascii="Arial" w:hAnsi="Arial" w:cs="Arial"/>
                <w:sz w:val="18"/>
                <w:szCs w:val="18"/>
              </w:rPr>
              <w:t>6</w:t>
            </w:r>
            <w:r w:rsidRPr="00225BD7">
              <w:rPr>
                <w:rFonts w:ascii="Arial" w:hAnsi="Arial" w:cs="Arial"/>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5F34D6B1" w14:textId="7C1AE479" w:rsidR="00BC7D38" w:rsidRPr="00D41B36" w:rsidRDefault="00BC7D38" w:rsidP="00BC7D38">
            <w:pPr>
              <w:pStyle w:val="BodyText3"/>
              <w:spacing w:after="20"/>
              <w:jc w:val="center"/>
              <w:rPr>
                <w:rFonts w:ascii="Arial" w:hAnsi="Arial" w:cs="Arial"/>
                <w:bCs/>
                <w:sz w:val="18"/>
                <w:szCs w:val="18"/>
                <w:highlight w:val="yellow"/>
              </w:rPr>
            </w:pPr>
            <w:r w:rsidRPr="00225BD7">
              <w:rPr>
                <w:rFonts w:ascii="Arial" w:hAnsi="Arial" w:cs="Arial"/>
                <w:sz w:val="18"/>
                <w:szCs w:val="18"/>
              </w:rPr>
              <w:t>23.7%</w:t>
            </w:r>
          </w:p>
        </w:tc>
        <w:tc>
          <w:tcPr>
            <w:tcW w:w="115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1D29D5" w14:textId="7BF6539A" w:rsidR="00BC7D38" w:rsidRPr="00D41B36" w:rsidRDefault="00BC7D38" w:rsidP="00BC7D38">
            <w:pPr>
              <w:pStyle w:val="BodyText3"/>
              <w:spacing w:after="20"/>
              <w:jc w:val="center"/>
              <w:rPr>
                <w:rFonts w:ascii="Arial" w:hAnsi="Arial" w:cs="Arial"/>
                <w:color w:val="FF0000"/>
                <w:sz w:val="18"/>
                <w:szCs w:val="18"/>
                <w:highlight w:val="yellow"/>
                <w:lang w:val="el-GR"/>
              </w:rPr>
            </w:pPr>
            <w:r w:rsidRPr="007068A6">
              <w:rPr>
                <w:rFonts w:ascii="Arial" w:hAnsi="Arial" w:cs="Arial"/>
                <w:sz w:val="18"/>
                <w:szCs w:val="18"/>
              </w:rPr>
              <w:t>-</w:t>
            </w:r>
            <w:r w:rsidRPr="00DA6EBC">
              <w:rPr>
                <w:rFonts w:ascii="Arial" w:hAnsi="Arial" w:cs="Arial"/>
                <w:sz w:val="18"/>
                <w:szCs w:val="18"/>
              </w:rPr>
              <w:t xml:space="preserve">2.1 </w:t>
            </w:r>
            <w:r>
              <w:rPr>
                <w:rFonts w:ascii="Arial" w:hAnsi="Arial" w:cs="Arial"/>
                <w:sz w:val="18"/>
                <w:szCs w:val="18"/>
                <w:lang w:val="el-GR"/>
              </w:rPr>
              <w:t>ε</w:t>
            </w:r>
            <w:r w:rsidRPr="007068A6">
              <w:rPr>
                <w:rFonts w:ascii="Arial" w:hAnsi="Arial" w:cs="Arial"/>
                <w:sz w:val="18"/>
                <w:szCs w:val="18"/>
              </w:rPr>
              <w:t>.</w:t>
            </w:r>
            <w:r>
              <w:rPr>
                <w:rFonts w:ascii="Arial" w:hAnsi="Arial" w:cs="Arial"/>
                <w:sz w:val="18"/>
                <w:szCs w:val="18"/>
                <w:lang w:val="el-GR"/>
              </w:rPr>
              <w:t>μ</w:t>
            </w:r>
            <w:r w:rsidRPr="007068A6">
              <w:rPr>
                <w:rFonts w:ascii="Arial" w:hAnsi="Arial" w:cs="Arial"/>
                <w:sz w:val="18"/>
                <w:szCs w:val="18"/>
              </w:rPr>
              <w:t>.</w:t>
            </w:r>
          </w:p>
        </w:tc>
      </w:tr>
      <w:tr w:rsidR="00BC7D38" w:rsidRPr="00D41B36" w14:paraId="12B7FF6B" w14:textId="77777777" w:rsidTr="007246A9">
        <w:trPr>
          <w:trHeight w:val="352"/>
        </w:trPr>
        <w:tc>
          <w:tcPr>
            <w:tcW w:w="394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0B65215" w14:textId="7E1940D9" w:rsidR="00BC7D38" w:rsidRPr="007246A9" w:rsidRDefault="00BC7D38" w:rsidP="00BC7D38">
            <w:pPr>
              <w:pStyle w:val="BodyText3"/>
              <w:tabs>
                <w:tab w:val="clear" w:pos="0"/>
                <w:tab w:val="clear" w:pos="1416"/>
                <w:tab w:val="left" w:pos="1184"/>
              </w:tabs>
              <w:spacing w:after="20"/>
              <w:jc w:val="left"/>
              <w:rPr>
                <w:rFonts w:ascii="Arial" w:hAnsi="Arial" w:cs="Arial"/>
                <w:color w:val="000000" w:themeColor="text1"/>
                <w:sz w:val="18"/>
                <w:szCs w:val="18"/>
                <w:lang w:val="el-GR"/>
              </w:rPr>
            </w:pPr>
            <w:r w:rsidRPr="007246A9">
              <w:rPr>
                <w:rFonts w:ascii="Arial" w:hAnsi="Arial" w:cs="Arial"/>
                <w:color w:val="000000" w:themeColor="text1"/>
                <w:sz w:val="18"/>
                <w:szCs w:val="18"/>
                <w:lang w:val="el-GR"/>
              </w:rPr>
              <w:t xml:space="preserve">Απόδοση </w:t>
            </w:r>
            <w:r w:rsidRPr="007246A9">
              <w:rPr>
                <w:rFonts w:ascii="Arial" w:hAnsi="Arial" w:cs="Arial"/>
                <w:sz w:val="18"/>
                <w:szCs w:val="18"/>
                <w:lang w:val="el-GR"/>
              </w:rPr>
              <w:t>(</w:t>
            </w:r>
            <w:proofErr w:type="spellStart"/>
            <w:r w:rsidRPr="007246A9">
              <w:rPr>
                <w:rFonts w:ascii="Arial" w:hAnsi="Arial" w:cs="Arial"/>
                <w:sz w:val="18"/>
                <w:szCs w:val="18"/>
                <w:lang w:val="el-GR"/>
              </w:rPr>
              <w:t>ετησιοποιημένη</w:t>
            </w:r>
            <w:proofErr w:type="spellEnd"/>
            <w:r w:rsidRPr="007246A9">
              <w:rPr>
                <w:rFonts w:ascii="Arial" w:hAnsi="Arial" w:cs="Arial"/>
                <w:sz w:val="18"/>
                <w:szCs w:val="18"/>
                <w:lang w:val="el-GR"/>
              </w:rPr>
              <w:t xml:space="preserve"> βάση)</w:t>
            </w:r>
            <w:r w:rsidRPr="007246A9">
              <w:rPr>
                <w:rFonts w:ascii="Arial" w:hAnsi="Arial" w:cs="Arial"/>
                <w:color w:val="000000" w:themeColor="text1"/>
                <w:sz w:val="18"/>
                <w:szCs w:val="18"/>
                <w:lang w:val="el-GR"/>
              </w:rPr>
              <w:t xml:space="preserve"> Ενσώματων Ιδίων Κεφαλαίων (</w:t>
            </w:r>
            <w:r w:rsidRPr="007246A9">
              <w:rPr>
                <w:rFonts w:ascii="Arial" w:hAnsi="Arial" w:cs="Arial"/>
                <w:color w:val="000000" w:themeColor="text1"/>
                <w:sz w:val="18"/>
                <w:szCs w:val="18"/>
              </w:rPr>
              <w:t>ROTE</w:t>
            </w:r>
            <w:r w:rsidRPr="007246A9">
              <w:rPr>
                <w:rFonts w:ascii="Arial" w:hAnsi="Arial" w:cs="Arial"/>
                <w:color w:val="000000" w:themeColor="text1"/>
                <w:sz w:val="18"/>
                <w:szCs w:val="18"/>
                <w:lang w:val="el-GR"/>
              </w:rPr>
              <w:t>), υπολογισμένη σε Δείκτη Κεφαλαίου Κοινών Μετόχων Κατηγορίας 1 (</w:t>
            </w:r>
            <w:r w:rsidRPr="007246A9">
              <w:rPr>
                <w:rFonts w:ascii="Arial" w:hAnsi="Arial" w:cs="Arial"/>
                <w:color w:val="000000" w:themeColor="text1"/>
                <w:sz w:val="18"/>
                <w:szCs w:val="18"/>
                <w:lang w:val="en-US"/>
              </w:rPr>
              <w:t>CET</w:t>
            </w:r>
            <w:r w:rsidRPr="007246A9">
              <w:rPr>
                <w:rFonts w:ascii="Arial" w:hAnsi="Arial" w:cs="Arial"/>
                <w:color w:val="000000" w:themeColor="text1"/>
                <w:sz w:val="18"/>
                <w:szCs w:val="18"/>
                <w:lang w:val="el-GR"/>
              </w:rPr>
              <w:t>1) ύψους 15%</w:t>
            </w:r>
            <w:r w:rsidRPr="007246A9">
              <w:rPr>
                <w:rFonts w:ascii="Arial" w:hAnsi="Arial" w:cs="Arial"/>
                <w:color w:val="000000" w:themeColor="text1"/>
                <w:sz w:val="18"/>
                <w:szCs w:val="18"/>
                <w:vertAlign w:val="superscript"/>
                <w:lang w:val="el-GR"/>
              </w:rPr>
              <w:t>2</w:t>
            </w:r>
          </w:p>
        </w:tc>
        <w:tc>
          <w:tcPr>
            <w:tcW w:w="1094" w:type="dxa"/>
            <w:tcBorders>
              <w:top w:val="single" w:sz="4" w:space="0" w:color="808080" w:themeColor="background1" w:themeShade="80"/>
              <w:bottom w:val="single" w:sz="4" w:space="0" w:color="808080" w:themeColor="background1" w:themeShade="80"/>
            </w:tcBorders>
            <w:vAlign w:val="center"/>
          </w:tcPr>
          <w:p w14:paraId="7E65BDDE" w14:textId="4C07A8E5" w:rsidR="00BC7D38" w:rsidRPr="003C7651" w:rsidRDefault="00BC7D38" w:rsidP="00BC7D38">
            <w:pPr>
              <w:pStyle w:val="BodyText3"/>
              <w:spacing w:after="20"/>
              <w:jc w:val="center"/>
              <w:rPr>
                <w:rFonts w:ascii="Arial" w:hAnsi="Arial" w:cs="Arial"/>
                <w:sz w:val="18"/>
                <w:szCs w:val="18"/>
                <w:highlight w:val="yellow"/>
                <w:lang w:val="el-GR"/>
              </w:rPr>
            </w:pPr>
            <w:r w:rsidRPr="003C7651">
              <w:rPr>
                <w:rFonts w:ascii="Arial" w:hAnsi="Arial" w:cs="Arial"/>
                <w:sz w:val="18"/>
                <w:szCs w:val="18"/>
              </w:rPr>
              <w:t>29.</w:t>
            </w:r>
            <w:r w:rsidR="00614841" w:rsidRPr="003C7651">
              <w:rPr>
                <w:rFonts w:ascii="Arial" w:hAnsi="Arial" w:cs="Arial"/>
                <w:sz w:val="18"/>
                <w:szCs w:val="18"/>
                <w:lang w:val="el-GR"/>
              </w:rPr>
              <w:t>1</w:t>
            </w:r>
            <w:r w:rsidRPr="003C7651">
              <w:rPr>
                <w:rFonts w:ascii="Arial" w:hAnsi="Arial" w:cs="Arial"/>
                <w:sz w:val="18"/>
                <w:szCs w:val="18"/>
              </w:rPr>
              <w:t>%</w:t>
            </w:r>
          </w:p>
        </w:tc>
        <w:tc>
          <w:tcPr>
            <w:tcW w:w="1146" w:type="dxa"/>
            <w:tcBorders>
              <w:top w:val="single" w:sz="4" w:space="0" w:color="808080" w:themeColor="background1" w:themeShade="80"/>
              <w:bottom w:val="single" w:sz="4" w:space="0" w:color="808080" w:themeColor="background1" w:themeShade="80"/>
            </w:tcBorders>
            <w:vAlign w:val="center"/>
          </w:tcPr>
          <w:p w14:paraId="4D77D1EF" w14:textId="1847A5F6" w:rsidR="00BC7D38" w:rsidRPr="003C7651" w:rsidRDefault="00BC7D38" w:rsidP="00BC7D38">
            <w:pPr>
              <w:pStyle w:val="BodyText3"/>
              <w:spacing w:after="20"/>
              <w:jc w:val="center"/>
              <w:rPr>
                <w:rFonts w:ascii="Arial" w:hAnsi="Arial" w:cs="Arial"/>
                <w:sz w:val="18"/>
                <w:szCs w:val="18"/>
                <w:highlight w:val="yellow"/>
                <w:lang w:val="el-GR"/>
              </w:rPr>
            </w:pPr>
            <w:r w:rsidRPr="003C7651">
              <w:rPr>
                <w:rFonts w:ascii="Arial" w:hAnsi="Arial" w:cs="Arial"/>
                <w:sz w:val="18"/>
                <w:szCs w:val="18"/>
              </w:rPr>
              <w:t>26.</w:t>
            </w:r>
            <w:r w:rsidR="003C7651" w:rsidRPr="003C7651">
              <w:rPr>
                <w:rFonts w:ascii="Arial" w:hAnsi="Arial" w:cs="Arial"/>
                <w:sz w:val="18"/>
                <w:szCs w:val="18"/>
                <w:lang w:val="el-GR"/>
              </w:rPr>
              <w:t>4</w:t>
            </w:r>
            <w:r w:rsidRPr="003C7651">
              <w:rPr>
                <w:rFonts w:ascii="Arial" w:hAnsi="Arial" w:cs="Arial"/>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6E3C11BC" w14:textId="67D6AAAE" w:rsidR="00BC7D38" w:rsidRPr="003C7651" w:rsidRDefault="00614841" w:rsidP="00BC7D38">
            <w:pPr>
              <w:pStyle w:val="BodyText3"/>
              <w:spacing w:after="20"/>
              <w:jc w:val="center"/>
              <w:rPr>
                <w:rFonts w:ascii="Arial" w:hAnsi="Arial" w:cs="Arial"/>
                <w:sz w:val="18"/>
                <w:szCs w:val="18"/>
                <w:highlight w:val="yellow"/>
              </w:rPr>
            </w:pPr>
            <w:r w:rsidRPr="003C7651">
              <w:rPr>
                <w:rFonts w:ascii="Arial" w:hAnsi="Arial" w:cs="Arial"/>
                <w:bCs/>
                <w:sz w:val="18"/>
                <w:szCs w:val="18"/>
                <w:lang w:val="el-GR"/>
              </w:rPr>
              <w:t>2</w:t>
            </w:r>
            <w:r w:rsidR="00BC7D38" w:rsidRPr="003C7651">
              <w:rPr>
                <w:rFonts w:ascii="Arial" w:hAnsi="Arial" w:cs="Arial"/>
                <w:bCs/>
                <w:sz w:val="18"/>
                <w:szCs w:val="18"/>
              </w:rPr>
              <w:t>.</w:t>
            </w:r>
            <w:r w:rsidR="003C7651" w:rsidRPr="003C7651">
              <w:rPr>
                <w:rFonts w:ascii="Arial" w:hAnsi="Arial" w:cs="Arial"/>
                <w:bCs/>
                <w:sz w:val="18"/>
                <w:szCs w:val="18"/>
                <w:lang w:val="el-GR"/>
              </w:rPr>
              <w:t>7</w:t>
            </w:r>
            <w:r w:rsidR="00BC7D38" w:rsidRPr="003C7651">
              <w:rPr>
                <w:rFonts w:ascii="Arial" w:hAnsi="Arial" w:cs="Arial"/>
                <w:bCs/>
                <w:sz w:val="18"/>
                <w:szCs w:val="18"/>
              </w:rPr>
              <w:t xml:space="preserve"> </w:t>
            </w:r>
            <w:r w:rsidR="00BC7D38" w:rsidRPr="003C7651">
              <w:rPr>
                <w:rFonts w:ascii="Arial" w:hAnsi="Arial" w:cs="Arial"/>
                <w:sz w:val="18"/>
                <w:szCs w:val="18"/>
                <w:lang w:val="el-GR"/>
              </w:rPr>
              <w:t>ε</w:t>
            </w:r>
            <w:r w:rsidR="00BC7D38" w:rsidRPr="003C7651">
              <w:rPr>
                <w:rFonts w:ascii="Arial" w:hAnsi="Arial" w:cs="Arial"/>
                <w:sz w:val="18"/>
                <w:szCs w:val="18"/>
              </w:rPr>
              <w:t>.</w:t>
            </w:r>
            <w:r w:rsidR="00BC7D38" w:rsidRPr="003C7651">
              <w:rPr>
                <w:rFonts w:ascii="Arial" w:hAnsi="Arial" w:cs="Arial"/>
                <w:sz w:val="18"/>
                <w:szCs w:val="18"/>
                <w:lang w:val="el-GR"/>
              </w:rPr>
              <w:t>μ</w:t>
            </w:r>
            <w:r w:rsidR="00BC7D38" w:rsidRPr="003C7651">
              <w:rPr>
                <w:rFonts w:ascii="Arial" w:hAnsi="Arial" w:cs="Arial"/>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69EC0165" w14:textId="7A2290F6" w:rsidR="00BC7D38" w:rsidRPr="003C7651" w:rsidRDefault="00BC7D38" w:rsidP="00BC7D38">
            <w:pPr>
              <w:pStyle w:val="BodyText3"/>
              <w:spacing w:after="20"/>
              <w:jc w:val="center"/>
              <w:rPr>
                <w:rFonts w:ascii="Arial" w:hAnsi="Arial" w:cs="Arial"/>
                <w:sz w:val="18"/>
                <w:szCs w:val="18"/>
                <w:highlight w:val="yellow"/>
              </w:rPr>
            </w:pPr>
            <w:r w:rsidRPr="003C7651">
              <w:rPr>
                <w:rFonts w:ascii="Arial" w:hAnsi="Arial" w:cs="Arial"/>
                <w:sz w:val="18"/>
                <w:szCs w:val="18"/>
              </w:rPr>
              <w:t>2</w:t>
            </w:r>
            <w:r w:rsidR="00614841" w:rsidRPr="003C7651">
              <w:rPr>
                <w:rFonts w:ascii="Arial" w:hAnsi="Arial" w:cs="Arial"/>
                <w:sz w:val="18"/>
                <w:szCs w:val="18"/>
                <w:lang w:val="el-GR"/>
              </w:rPr>
              <w:t>8</w:t>
            </w:r>
            <w:r w:rsidRPr="003C7651">
              <w:rPr>
                <w:rFonts w:ascii="Arial" w:hAnsi="Arial" w:cs="Arial"/>
                <w:sz w:val="18"/>
                <w:szCs w:val="18"/>
              </w:rPr>
              <w:t>.</w:t>
            </w:r>
            <w:r w:rsidR="00614841" w:rsidRPr="003C7651">
              <w:rPr>
                <w:rFonts w:ascii="Arial" w:hAnsi="Arial" w:cs="Arial"/>
                <w:sz w:val="18"/>
                <w:szCs w:val="18"/>
                <w:lang w:val="el-GR"/>
              </w:rPr>
              <w:t>2</w:t>
            </w:r>
            <w:r w:rsidRPr="003C7651">
              <w:rPr>
                <w:rFonts w:ascii="Arial" w:hAnsi="Arial" w:cs="Arial"/>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1DFE7050" w14:textId="2B27068A" w:rsidR="00BC7D38" w:rsidRPr="003C7651" w:rsidRDefault="00BC7D38" w:rsidP="00BC7D38">
            <w:pPr>
              <w:pStyle w:val="BodyText3"/>
              <w:spacing w:after="20"/>
              <w:jc w:val="center"/>
              <w:rPr>
                <w:rFonts w:ascii="Arial" w:hAnsi="Arial" w:cs="Arial"/>
                <w:sz w:val="18"/>
                <w:szCs w:val="18"/>
                <w:highlight w:val="yellow"/>
              </w:rPr>
            </w:pPr>
            <w:r w:rsidRPr="003C7651">
              <w:rPr>
                <w:rFonts w:ascii="Arial" w:hAnsi="Arial" w:cs="Arial"/>
                <w:sz w:val="18"/>
                <w:szCs w:val="18"/>
              </w:rPr>
              <w:t>29.9%</w:t>
            </w:r>
          </w:p>
        </w:tc>
        <w:tc>
          <w:tcPr>
            <w:tcW w:w="115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2760C3" w14:textId="1D6E5B05" w:rsidR="00BC7D38" w:rsidRPr="003C7651" w:rsidRDefault="00614841" w:rsidP="00BC7D38">
            <w:pPr>
              <w:pStyle w:val="BodyText3"/>
              <w:spacing w:after="20"/>
              <w:jc w:val="center"/>
              <w:rPr>
                <w:rFonts w:ascii="Arial" w:hAnsi="Arial" w:cs="Arial"/>
                <w:bCs/>
                <w:sz w:val="18"/>
                <w:szCs w:val="18"/>
                <w:highlight w:val="yellow"/>
              </w:rPr>
            </w:pPr>
            <w:r w:rsidRPr="003C7651">
              <w:rPr>
                <w:rFonts w:ascii="Arial" w:hAnsi="Arial" w:cs="Arial"/>
                <w:sz w:val="18"/>
                <w:szCs w:val="18"/>
                <w:lang w:val="el-GR"/>
              </w:rPr>
              <w:t>-1</w:t>
            </w:r>
            <w:r w:rsidR="00BC7D38" w:rsidRPr="003C7651">
              <w:rPr>
                <w:rFonts w:ascii="Arial" w:hAnsi="Arial" w:cs="Arial"/>
                <w:sz w:val="18"/>
                <w:szCs w:val="18"/>
              </w:rPr>
              <w:t>.</w:t>
            </w:r>
            <w:r w:rsidRPr="003C7651">
              <w:rPr>
                <w:rFonts w:ascii="Arial" w:hAnsi="Arial" w:cs="Arial"/>
                <w:sz w:val="18"/>
                <w:szCs w:val="18"/>
                <w:lang w:val="el-GR"/>
              </w:rPr>
              <w:t>7</w:t>
            </w:r>
            <w:r w:rsidR="00BC7D38" w:rsidRPr="003C7651">
              <w:rPr>
                <w:rFonts w:ascii="Arial" w:hAnsi="Arial" w:cs="Arial"/>
                <w:sz w:val="18"/>
                <w:szCs w:val="18"/>
              </w:rPr>
              <w:t xml:space="preserve"> </w:t>
            </w:r>
            <w:r w:rsidR="00BC7D38" w:rsidRPr="003C7651">
              <w:rPr>
                <w:rFonts w:ascii="Arial" w:hAnsi="Arial" w:cs="Arial"/>
                <w:sz w:val="18"/>
                <w:szCs w:val="18"/>
                <w:lang w:val="el-GR"/>
              </w:rPr>
              <w:t>ε</w:t>
            </w:r>
            <w:r w:rsidR="00BC7D38" w:rsidRPr="003C7651">
              <w:rPr>
                <w:rFonts w:ascii="Arial" w:hAnsi="Arial" w:cs="Arial"/>
                <w:sz w:val="18"/>
                <w:szCs w:val="18"/>
              </w:rPr>
              <w:t>.</w:t>
            </w:r>
            <w:r w:rsidR="00BC7D38" w:rsidRPr="003C7651">
              <w:rPr>
                <w:rFonts w:ascii="Arial" w:hAnsi="Arial" w:cs="Arial"/>
                <w:sz w:val="18"/>
                <w:szCs w:val="18"/>
                <w:lang w:val="el-GR"/>
              </w:rPr>
              <w:t>μ</w:t>
            </w:r>
            <w:r w:rsidR="00BC7D38" w:rsidRPr="003C7651">
              <w:rPr>
                <w:rFonts w:ascii="Arial" w:hAnsi="Arial" w:cs="Arial"/>
                <w:sz w:val="18"/>
                <w:szCs w:val="18"/>
              </w:rPr>
              <w:t>.</w:t>
            </w:r>
          </w:p>
        </w:tc>
      </w:tr>
      <w:tr w:rsidR="00BC7D38" w:rsidRPr="00D41B36" w14:paraId="186CD358" w14:textId="77777777" w:rsidTr="007246A9">
        <w:trPr>
          <w:trHeight w:val="352"/>
        </w:trPr>
        <w:tc>
          <w:tcPr>
            <w:tcW w:w="394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37CE78E6" w14:textId="24DD57D1" w:rsidR="00BC7D38" w:rsidRPr="007246A9" w:rsidRDefault="00BC7D38" w:rsidP="00BC7D38">
            <w:pPr>
              <w:pStyle w:val="BodyText3"/>
              <w:tabs>
                <w:tab w:val="clear" w:pos="0"/>
                <w:tab w:val="clear" w:pos="1416"/>
                <w:tab w:val="left" w:pos="1184"/>
              </w:tabs>
              <w:spacing w:after="20"/>
              <w:jc w:val="left"/>
              <w:rPr>
                <w:rFonts w:ascii="Arial" w:hAnsi="Arial" w:cs="Arial"/>
                <w:color w:val="000000" w:themeColor="text1"/>
                <w:sz w:val="18"/>
                <w:szCs w:val="18"/>
                <w:lang w:val="el-GR"/>
              </w:rPr>
            </w:pPr>
            <w:r w:rsidRPr="007246A9">
              <w:rPr>
                <w:rFonts w:ascii="Arial" w:hAnsi="Arial" w:cs="Arial"/>
                <w:color w:val="000000" w:themeColor="text1"/>
                <w:sz w:val="18"/>
                <w:szCs w:val="18"/>
                <w:lang w:val="el-GR"/>
              </w:rPr>
              <w:t xml:space="preserve">Ενσώματη λογιστική αξία </w:t>
            </w:r>
            <w:r w:rsidRPr="007246A9">
              <w:rPr>
                <w:rFonts w:ascii="Arial" w:hAnsi="Arial" w:cs="Arial"/>
                <w:sz w:val="18"/>
                <w:szCs w:val="18"/>
                <w:lang w:val="el-GR"/>
              </w:rPr>
              <w:t>ανά μετοχή</w:t>
            </w:r>
            <w:r w:rsidRPr="007246A9">
              <w:rPr>
                <w:rFonts w:ascii="Arial" w:hAnsi="Arial" w:cs="Arial"/>
                <w:sz w:val="18"/>
                <w:szCs w:val="18"/>
                <w:vertAlign w:val="superscript"/>
                <w:lang w:val="el-GR"/>
              </w:rPr>
              <w:t>3</w:t>
            </w:r>
            <w:r w:rsidRPr="007246A9">
              <w:rPr>
                <w:rFonts w:ascii="Arial" w:hAnsi="Arial" w:cs="Arial"/>
                <w:sz w:val="18"/>
                <w:szCs w:val="18"/>
                <w:lang w:val="el-GR"/>
              </w:rPr>
              <w:t xml:space="preserve"> (€)</w:t>
            </w:r>
          </w:p>
        </w:tc>
        <w:tc>
          <w:tcPr>
            <w:tcW w:w="1094" w:type="dxa"/>
            <w:tcBorders>
              <w:top w:val="single" w:sz="4" w:space="0" w:color="808080" w:themeColor="background1" w:themeShade="80"/>
              <w:bottom w:val="single" w:sz="4" w:space="0" w:color="808080" w:themeColor="background1" w:themeShade="80"/>
            </w:tcBorders>
            <w:vAlign w:val="center"/>
          </w:tcPr>
          <w:p w14:paraId="37FA04DF" w14:textId="28375758" w:rsidR="00BC7D38" w:rsidRPr="00D41B36" w:rsidRDefault="00BC7D38" w:rsidP="00BC7D38">
            <w:pPr>
              <w:pStyle w:val="BodyText3"/>
              <w:spacing w:after="20"/>
              <w:jc w:val="center"/>
              <w:rPr>
                <w:rFonts w:ascii="Arial" w:hAnsi="Arial" w:cs="Arial"/>
                <w:sz w:val="18"/>
                <w:szCs w:val="18"/>
                <w:highlight w:val="yellow"/>
                <w:lang w:val="el-GR"/>
              </w:rPr>
            </w:pPr>
            <w:r w:rsidRPr="00DA6EBC">
              <w:rPr>
                <w:rFonts w:ascii="Arial" w:hAnsi="Arial" w:cs="Arial"/>
                <w:sz w:val="18"/>
                <w:szCs w:val="18"/>
              </w:rPr>
              <w:t>5.56</w:t>
            </w:r>
          </w:p>
        </w:tc>
        <w:tc>
          <w:tcPr>
            <w:tcW w:w="1146" w:type="dxa"/>
            <w:tcBorders>
              <w:top w:val="single" w:sz="4" w:space="0" w:color="808080" w:themeColor="background1" w:themeShade="80"/>
              <w:bottom w:val="single" w:sz="4" w:space="0" w:color="808080" w:themeColor="background1" w:themeShade="80"/>
            </w:tcBorders>
            <w:vAlign w:val="center"/>
          </w:tcPr>
          <w:p w14:paraId="0700DEE8" w14:textId="6E1EA0D6" w:rsidR="00BC7D38" w:rsidRPr="00D41B36" w:rsidRDefault="00BC7D38" w:rsidP="00BC7D38">
            <w:pPr>
              <w:pStyle w:val="BodyText3"/>
              <w:spacing w:after="20"/>
              <w:jc w:val="center"/>
              <w:rPr>
                <w:rFonts w:ascii="Arial" w:hAnsi="Arial" w:cs="Arial"/>
                <w:sz w:val="18"/>
                <w:szCs w:val="18"/>
                <w:highlight w:val="yellow"/>
                <w:lang w:val="el-GR"/>
              </w:rPr>
            </w:pPr>
            <w:r w:rsidRPr="00225BD7">
              <w:rPr>
                <w:rFonts w:ascii="Arial" w:hAnsi="Arial" w:cs="Arial"/>
                <w:sz w:val="18"/>
                <w:szCs w:val="18"/>
              </w:rPr>
              <w:t>4.63</w:t>
            </w:r>
          </w:p>
        </w:tc>
        <w:tc>
          <w:tcPr>
            <w:tcW w:w="1147" w:type="dxa"/>
            <w:tcBorders>
              <w:top w:val="single" w:sz="4" w:space="0" w:color="808080" w:themeColor="background1" w:themeShade="80"/>
              <w:bottom w:val="single" w:sz="4" w:space="0" w:color="808080" w:themeColor="background1" w:themeShade="80"/>
            </w:tcBorders>
            <w:vAlign w:val="center"/>
          </w:tcPr>
          <w:p w14:paraId="4EB4757B" w14:textId="1A0F6142" w:rsidR="00BC7D38" w:rsidRPr="00D41B36" w:rsidRDefault="00BC7D38" w:rsidP="00BC7D38">
            <w:pPr>
              <w:pStyle w:val="BodyText3"/>
              <w:spacing w:after="20"/>
              <w:jc w:val="center"/>
              <w:rPr>
                <w:rFonts w:ascii="Arial" w:hAnsi="Arial" w:cs="Arial"/>
                <w:sz w:val="18"/>
                <w:szCs w:val="18"/>
                <w:highlight w:val="yellow"/>
              </w:rPr>
            </w:pPr>
            <w:r w:rsidRPr="00DA6EBC">
              <w:rPr>
                <w:rFonts w:ascii="Arial" w:hAnsi="Arial" w:cs="Arial"/>
                <w:bCs/>
                <w:sz w:val="18"/>
                <w:szCs w:val="18"/>
              </w:rPr>
              <w:t>0.93</w:t>
            </w:r>
          </w:p>
        </w:tc>
        <w:tc>
          <w:tcPr>
            <w:tcW w:w="1147" w:type="dxa"/>
            <w:tcBorders>
              <w:top w:val="single" w:sz="4" w:space="0" w:color="808080" w:themeColor="background1" w:themeShade="80"/>
              <w:bottom w:val="single" w:sz="4" w:space="0" w:color="808080" w:themeColor="background1" w:themeShade="80"/>
            </w:tcBorders>
            <w:vAlign w:val="center"/>
          </w:tcPr>
          <w:p w14:paraId="34539CAF" w14:textId="186DDA46" w:rsidR="00BC7D38" w:rsidRPr="00D41B36" w:rsidRDefault="00BC7D38" w:rsidP="00BC7D38">
            <w:pPr>
              <w:pStyle w:val="BodyText3"/>
              <w:spacing w:after="20"/>
              <w:jc w:val="center"/>
              <w:rPr>
                <w:rFonts w:ascii="Arial" w:hAnsi="Arial" w:cs="Arial"/>
                <w:sz w:val="18"/>
                <w:szCs w:val="18"/>
                <w:highlight w:val="yellow"/>
              </w:rPr>
            </w:pPr>
            <w:r w:rsidRPr="007068A6">
              <w:rPr>
                <w:rFonts w:ascii="Arial" w:hAnsi="Arial" w:cs="Arial"/>
                <w:sz w:val="18"/>
                <w:szCs w:val="18"/>
              </w:rPr>
              <w:t>5.5</w:t>
            </w:r>
            <w:r w:rsidRPr="00DA6EBC">
              <w:rPr>
                <w:rFonts w:ascii="Arial" w:hAnsi="Arial" w:cs="Arial"/>
                <w:sz w:val="18"/>
                <w:szCs w:val="18"/>
              </w:rPr>
              <w:t>6</w:t>
            </w:r>
          </w:p>
        </w:tc>
        <w:tc>
          <w:tcPr>
            <w:tcW w:w="1147" w:type="dxa"/>
            <w:tcBorders>
              <w:top w:val="single" w:sz="4" w:space="0" w:color="808080" w:themeColor="background1" w:themeShade="80"/>
              <w:bottom w:val="single" w:sz="4" w:space="0" w:color="808080" w:themeColor="background1" w:themeShade="80"/>
            </w:tcBorders>
            <w:vAlign w:val="center"/>
          </w:tcPr>
          <w:p w14:paraId="06AEAD6F" w14:textId="495B70C4" w:rsidR="00BC7D38" w:rsidRPr="00D41B36" w:rsidRDefault="00BC7D38" w:rsidP="00BC7D38">
            <w:pPr>
              <w:pStyle w:val="BodyText3"/>
              <w:spacing w:after="20"/>
              <w:jc w:val="center"/>
              <w:rPr>
                <w:rFonts w:ascii="Arial" w:hAnsi="Arial" w:cs="Arial"/>
                <w:sz w:val="18"/>
                <w:szCs w:val="18"/>
                <w:highlight w:val="yellow"/>
                <w:lang w:val="el-GR"/>
              </w:rPr>
            </w:pPr>
            <w:r w:rsidRPr="007068A6">
              <w:rPr>
                <w:rFonts w:ascii="Arial" w:hAnsi="Arial" w:cs="Arial"/>
                <w:sz w:val="18"/>
                <w:szCs w:val="18"/>
              </w:rPr>
              <w:t>5.27</w:t>
            </w:r>
          </w:p>
        </w:tc>
        <w:tc>
          <w:tcPr>
            <w:tcW w:w="115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403637" w14:textId="5401F807" w:rsidR="00BC7D38" w:rsidRPr="00D41B36" w:rsidRDefault="00BC7D38" w:rsidP="00BC7D38">
            <w:pPr>
              <w:pStyle w:val="BodyText3"/>
              <w:spacing w:after="20"/>
              <w:jc w:val="center"/>
              <w:rPr>
                <w:rFonts w:ascii="Arial" w:hAnsi="Arial" w:cs="Arial"/>
                <w:bCs/>
                <w:sz w:val="18"/>
                <w:szCs w:val="18"/>
                <w:highlight w:val="yellow"/>
                <w:lang w:val="el-GR"/>
              </w:rPr>
            </w:pPr>
            <w:r w:rsidRPr="00DA6EBC">
              <w:rPr>
                <w:rFonts w:ascii="Arial" w:hAnsi="Arial" w:cs="Arial"/>
                <w:sz w:val="18"/>
                <w:szCs w:val="18"/>
              </w:rPr>
              <w:t>0.29</w:t>
            </w:r>
          </w:p>
        </w:tc>
      </w:tr>
      <w:tr w:rsidR="00BC7D38" w:rsidRPr="00D41B36" w14:paraId="2E2F82C1" w14:textId="77777777" w:rsidTr="007246A9">
        <w:trPr>
          <w:trHeight w:val="352"/>
        </w:trPr>
        <w:tc>
          <w:tcPr>
            <w:tcW w:w="394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21F49815" w14:textId="77777777" w:rsidR="00BC7D38" w:rsidRPr="007246A9" w:rsidRDefault="00BC7D38" w:rsidP="00BC7D38">
            <w:pPr>
              <w:pStyle w:val="BodyText3"/>
              <w:tabs>
                <w:tab w:val="clear" w:pos="0"/>
                <w:tab w:val="clear" w:pos="1416"/>
                <w:tab w:val="left" w:pos="1184"/>
              </w:tabs>
              <w:spacing w:after="20"/>
              <w:jc w:val="left"/>
              <w:rPr>
                <w:rFonts w:ascii="Arial" w:hAnsi="Arial" w:cs="Arial"/>
                <w:color w:val="000000" w:themeColor="text1"/>
                <w:sz w:val="18"/>
                <w:szCs w:val="18"/>
                <w:lang w:val="el-GR"/>
              </w:rPr>
            </w:pPr>
            <w:r w:rsidRPr="007246A9">
              <w:rPr>
                <w:rFonts w:ascii="Arial" w:hAnsi="Arial" w:cs="Arial"/>
                <w:color w:val="000000" w:themeColor="text1"/>
                <w:sz w:val="18"/>
                <w:szCs w:val="18"/>
                <w:lang w:val="el-GR"/>
              </w:rPr>
              <w:t xml:space="preserve">Ενσώματη λογιστική αξία </w:t>
            </w:r>
            <w:r w:rsidRPr="007246A9">
              <w:rPr>
                <w:rFonts w:ascii="Arial" w:hAnsi="Arial" w:cs="Arial"/>
                <w:sz w:val="18"/>
                <w:szCs w:val="18"/>
                <w:lang w:val="el-GR"/>
              </w:rPr>
              <w:t xml:space="preserve">ανά μετοχή (€) </w:t>
            </w:r>
            <w:r w:rsidRPr="007246A9">
              <w:rPr>
                <w:rFonts w:ascii="Arial" w:hAnsi="Arial" w:cs="Arial"/>
                <w:color w:val="000000" w:themeColor="text1"/>
                <w:sz w:val="18"/>
                <w:szCs w:val="18"/>
                <w:lang w:val="el-GR"/>
              </w:rPr>
              <w:t>εξαιρουμένης του μερίσματος σε μετρητά</w:t>
            </w:r>
          </w:p>
        </w:tc>
        <w:tc>
          <w:tcPr>
            <w:tcW w:w="1094" w:type="dxa"/>
            <w:tcBorders>
              <w:top w:val="single" w:sz="4" w:space="0" w:color="808080" w:themeColor="background1" w:themeShade="80"/>
              <w:bottom w:val="single" w:sz="4" w:space="0" w:color="808080" w:themeColor="background1" w:themeShade="80"/>
            </w:tcBorders>
            <w:vAlign w:val="center"/>
          </w:tcPr>
          <w:p w14:paraId="5D46F583" w14:textId="6A9502CD" w:rsidR="00BC7D38" w:rsidRPr="00D41B36" w:rsidRDefault="00BC7D38" w:rsidP="00BC7D38">
            <w:pPr>
              <w:pStyle w:val="BodyText3"/>
              <w:spacing w:after="20"/>
              <w:jc w:val="center"/>
              <w:rPr>
                <w:rFonts w:ascii="Arial" w:hAnsi="Arial" w:cs="Arial"/>
                <w:sz w:val="18"/>
                <w:szCs w:val="18"/>
                <w:highlight w:val="yellow"/>
                <w:lang w:val="el-GR"/>
              </w:rPr>
            </w:pPr>
            <w:r w:rsidRPr="00DA6EBC">
              <w:rPr>
                <w:rFonts w:ascii="Arial" w:hAnsi="Arial" w:cs="Arial"/>
                <w:sz w:val="18"/>
                <w:szCs w:val="18"/>
              </w:rPr>
              <w:t>5.56</w:t>
            </w:r>
          </w:p>
        </w:tc>
        <w:tc>
          <w:tcPr>
            <w:tcW w:w="1146" w:type="dxa"/>
            <w:tcBorders>
              <w:top w:val="single" w:sz="4" w:space="0" w:color="808080" w:themeColor="background1" w:themeShade="80"/>
              <w:bottom w:val="single" w:sz="4" w:space="0" w:color="808080" w:themeColor="background1" w:themeShade="80"/>
            </w:tcBorders>
            <w:vAlign w:val="center"/>
          </w:tcPr>
          <w:p w14:paraId="3F7B318D" w14:textId="71995FA4" w:rsidR="00BC7D38" w:rsidRPr="00D41B36" w:rsidRDefault="00BC7D38" w:rsidP="00BC7D38">
            <w:pPr>
              <w:pStyle w:val="BodyText3"/>
              <w:spacing w:after="20"/>
              <w:jc w:val="center"/>
              <w:rPr>
                <w:rFonts w:ascii="Arial" w:hAnsi="Arial" w:cs="Arial"/>
                <w:sz w:val="18"/>
                <w:szCs w:val="18"/>
                <w:highlight w:val="yellow"/>
              </w:rPr>
            </w:pPr>
            <w:r w:rsidRPr="00225BD7">
              <w:rPr>
                <w:rFonts w:ascii="Arial" w:hAnsi="Arial" w:cs="Arial"/>
                <w:sz w:val="18"/>
                <w:szCs w:val="18"/>
              </w:rPr>
              <w:t>4.63</w:t>
            </w:r>
          </w:p>
        </w:tc>
        <w:tc>
          <w:tcPr>
            <w:tcW w:w="1147" w:type="dxa"/>
            <w:tcBorders>
              <w:top w:val="single" w:sz="4" w:space="0" w:color="808080" w:themeColor="background1" w:themeShade="80"/>
              <w:bottom w:val="single" w:sz="4" w:space="0" w:color="808080" w:themeColor="background1" w:themeShade="80"/>
            </w:tcBorders>
            <w:vAlign w:val="center"/>
          </w:tcPr>
          <w:p w14:paraId="585404BB" w14:textId="3F65C6C1" w:rsidR="00BC7D38" w:rsidRPr="00D41B36" w:rsidRDefault="00BC7D38" w:rsidP="00BC7D38">
            <w:pPr>
              <w:pStyle w:val="BodyText3"/>
              <w:spacing w:after="20"/>
              <w:jc w:val="center"/>
              <w:rPr>
                <w:rFonts w:ascii="Arial" w:hAnsi="Arial" w:cs="Arial"/>
                <w:sz w:val="18"/>
                <w:szCs w:val="18"/>
                <w:highlight w:val="yellow"/>
              </w:rPr>
            </w:pPr>
            <w:r w:rsidRPr="00DA6EBC">
              <w:rPr>
                <w:rFonts w:ascii="Arial" w:hAnsi="Arial" w:cs="Arial"/>
                <w:bCs/>
                <w:sz w:val="18"/>
                <w:szCs w:val="18"/>
              </w:rPr>
              <w:t>0.93</w:t>
            </w:r>
          </w:p>
        </w:tc>
        <w:tc>
          <w:tcPr>
            <w:tcW w:w="1147" w:type="dxa"/>
            <w:tcBorders>
              <w:top w:val="single" w:sz="4" w:space="0" w:color="808080" w:themeColor="background1" w:themeShade="80"/>
              <w:bottom w:val="single" w:sz="4" w:space="0" w:color="808080" w:themeColor="background1" w:themeShade="80"/>
            </w:tcBorders>
            <w:vAlign w:val="center"/>
          </w:tcPr>
          <w:p w14:paraId="4FB89D45" w14:textId="572F3F7A" w:rsidR="00BC7D38" w:rsidRPr="00D41B36" w:rsidRDefault="00BC7D38" w:rsidP="00BC7D38">
            <w:pPr>
              <w:pStyle w:val="BodyText3"/>
              <w:spacing w:after="20"/>
              <w:jc w:val="center"/>
              <w:rPr>
                <w:rFonts w:ascii="Arial" w:hAnsi="Arial" w:cs="Arial"/>
                <w:sz w:val="18"/>
                <w:szCs w:val="18"/>
                <w:highlight w:val="yellow"/>
              </w:rPr>
            </w:pPr>
            <w:r w:rsidRPr="007068A6">
              <w:rPr>
                <w:rFonts w:ascii="Arial" w:hAnsi="Arial" w:cs="Arial"/>
                <w:sz w:val="18"/>
                <w:szCs w:val="18"/>
              </w:rPr>
              <w:t>5.2</w:t>
            </w:r>
            <w:r w:rsidRPr="00DA6EBC">
              <w:rPr>
                <w:rFonts w:ascii="Arial" w:hAnsi="Arial" w:cs="Arial"/>
                <w:sz w:val="18"/>
                <w:szCs w:val="18"/>
              </w:rPr>
              <w:t>6</w:t>
            </w:r>
          </w:p>
        </w:tc>
        <w:tc>
          <w:tcPr>
            <w:tcW w:w="1147" w:type="dxa"/>
            <w:tcBorders>
              <w:top w:val="single" w:sz="4" w:space="0" w:color="808080" w:themeColor="background1" w:themeShade="80"/>
              <w:bottom w:val="single" w:sz="4" w:space="0" w:color="808080" w:themeColor="background1" w:themeShade="80"/>
            </w:tcBorders>
            <w:vAlign w:val="center"/>
          </w:tcPr>
          <w:p w14:paraId="7876472A" w14:textId="4AA30D7A" w:rsidR="00BC7D38" w:rsidRPr="00D41B36" w:rsidRDefault="00BC7D38" w:rsidP="00BC7D38">
            <w:pPr>
              <w:pStyle w:val="BodyText3"/>
              <w:spacing w:after="20"/>
              <w:jc w:val="center"/>
              <w:rPr>
                <w:rFonts w:ascii="Arial" w:hAnsi="Arial" w:cs="Arial"/>
                <w:sz w:val="18"/>
                <w:szCs w:val="18"/>
                <w:highlight w:val="yellow"/>
              </w:rPr>
            </w:pPr>
            <w:r w:rsidRPr="007068A6">
              <w:rPr>
                <w:rFonts w:ascii="Arial" w:hAnsi="Arial" w:cs="Arial"/>
                <w:sz w:val="18"/>
                <w:szCs w:val="18"/>
              </w:rPr>
              <w:t>5.27</w:t>
            </w:r>
          </w:p>
        </w:tc>
        <w:tc>
          <w:tcPr>
            <w:tcW w:w="1156"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95140F" w14:textId="6C48D935" w:rsidR="00BC7D38" w:rsidRPr="00D41B36" w:rsidRDefault="00BC7D38" w:rsidP="00BC7D38">
            <w:pPr>
              <w:pStyle w:val="BodyText3"/>
              <w:spacing w:after="20"/>
              <w:ind w:left="360"/>
              <w:jc w:val="left"/>
              <w:rPr>
                <w:rFonts w:ascii="Arial" w:hAnsi="Arial" w:cs="Arial"/>
                <w:bCs/>
                <w:sz w:val="18"/>
                <w:szCs w:val="18"/>
                <w:highlight w:val="yellow"/>
              </w:rPr>
            </w:pPr>
            <w:r w:rsidRPr="00DA6EBC">
              <w:rPr>
                <w:rFonts w:ascii="Arial" w:hAnsi="Arial" w:cs="Arial"/>
                <w:sz w:val="18"/>
                <w:szCs w:val="18"/>
              </w:rPr>
              <w:t>0.29</w:t>
            </w:r>
          </w:p>
        </w:tc>
      </w:tr>
      <w:tr w:rsidR="00765113" w:rsidRPr="00910A4E" w14:paraId="55395BE5" w14:textId="77777777" w:rsidTr="00D022B5">
        <w:trPr>
          <w:trHeight w:val="352"/>
        </w:trPr>
        <w:tc>
          <w:tcPr>
            <w:tcW w:w="1077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9B9588" w14:textId="1422D5A0" w:rsidR="00765113" w:rsidRPr="007246A9" w:rsidRDefault="00765113" w:rsidP="0056738E">
            <w:pPr>
              <w:pStyle w:val="BodyText3"/>
              <w:numPr>
                <w:ilvl w:val="0"/>
                <w:numId w:val="19"/>
              </w:numPr>
              <w:tabs>
                <w:tab w:val="clear" w:pos="1416"/>
                <w:tab w:val="clear" w:pos="6521"/>
              </w:tabs>
              <w:ind w:left="357"/>
              <w:jc w:val="left"/>
              <w:rPr>
                <w:rFonts w:ascii="Arial" w:hAnsi="Arial" w:cs="Arial"/>
                <w:sz w:val="14"/>
                <w:szCs w:val="14"/>
                <w:lang w:val="el-GR"/>
              </w:rPr>
            </w:pPr>
            <w:r w:rsidRPr="007246A9">
              <w:rPr>
                <w:rFonts w:ascii="Arial" w:hAnsi="Arial" w:cs="Arial"/>
                <w:sz w:val="14"/>
                <w:szCs w:val="14"/>
                <w:lang w:val="el-GR"/>
              </w:rPr>
              <w:t xml:space="preserve">Τα </w:t>
            </w:r>
            <w:r w:rsidRPr="009478A1">
              <w:rPr>
                <w:rFonts w:ascii="Arial" w:hAnsi="Arial" w:cs="Arial"/>
                <w:sz w:val="14"/>
                <w:szCs w:val="14"/>
                <w:lang w:val="el-GR"/>
              </w:rPr>
              <w:t xml:space="preserve">προσαρμοσμένα κέρδη ανά μετοχή που αναλογούν στους ιδιοκτήτες της Εταιρίας για το </w:t>
            </w:r>
            <w:r w:rsidR="00CB7733" w:rsidRPr="009478A1">
              <w:rPr>
                <w:rFonts w:ascii="Arial" w:hAnsi="Arial" w:cs="Arial"/>
                <w:sz w:val="14"/>
                <w:szCs w:val="14"/>
                <w:lang w:val="el-GR"/>
              </w:rPr>
              <w:t xml:space="preserve">γ’ </w:t>
            </w:r>
            <w:r w:rsidRPr="009478A1">
              <w:rPr>
                <w:rFonts w:ascii="Arial" w:hAnsi="Arial" w:cs="Arial"/>
                <w:sz w:val="14"/>
                <w:szCs w:val="14"/>
                <w:lang w:val="el-GR"/>
              </w:rPr>
              <w:t xml:space="preserve">τρίμηνο 2024 </w:t>
            </w:r>
            <w:r w:rsidR="004F1991" w:rsidRPr="009478A1">
              <w:rPr>
                <w:rFonts w:ascii="Arial" w:hAnsi="Arial" w:cs="Arial"/>
                <w:sz w:val="14"/>
                <w:szCs w:val="14"/>
                <w:lang w:val="el-GR"/>
              </w:rPr>
              <w:t xml:space="preserve">και </w:t>
            </w:r>
            <w:r w:rsidR="00CB7733" w:rsidRPr="009478A1">
              <w:rPr>
                <w:rFonts w:ascii="Arial" w:hAnsi="Arial" w:cs="Arial"/>
                <w:sz w:val="14"/>
                <w:szCs w:val="14"/>
                <w:lang w:val="el-GR"/>
              </w:rPr>
              <w:t xml:space="preserve">για το </w:t>
            </w:r>
            <w:r w:rsidR="007A2F9B">
              <w:rPr>
                <w:rFonts w:ascii="Arial" w:hAnsi="Arial" w:cs="Arial"/>
                <w:sz w:val="14"/>
                <w:szCs w:val="14"/>
                <w:lang w:val="el-GR"/>
              </w:rPr>
              <w:t>εννεάμηνο</w:t>
            </w:r>
            <w:r w:rsidR="00CB7733" w:rsidRPr="009478A1">
              <w:rPr>
                <w:rFonts w:ascii="Arial" w:hAnsi="Arial" w:cs="Arial"/>
                <w:sz w:val="14"/>
                <w:szCs w:val="14"/>
                <w:lang w:val="el-GR"/>
              </w:rPr>
              <w:t xml:space="preserve"> που έληξε στις 30 Σεπτεμβρίου 2024 </w:t>
            </w:r>
            <w:r w:rsidRPr="009478A1">
              <w:rPr>
                <w:rFonts w:ascii="Arial" w:hAnsi="Arial" w:cs="Arial"/>
                <w:sz w:val="14"/>
                <w:szCs w:val="14"/>
                <w:lang w:val="el-GR"/>
              </w:rPr>
              <w:t>ανήλθαν σε €</w:t>
            </w:r>
            <w:r w:rsidR="00BC7D38" w:rsidRPr="009478A1">
              <w:rPr>
                <w:rFonts w:ascii="Arial" w:hAnsi="Arial" w:cs="Arial"/>
                <w:sz w:val="14"/>
                <w:szCs w:val="14"/>
                <w:lang w:val="el-GR"/>
              </w:rPr>
              <w:t>0.29</w:t>
            </w:r>
            <w:r w:rsidR="004F1991" w:rsidRPr="009478A1">
              <w:rPr>
                <w:rFonts w:ascii="Arial" w:hAnsi="Arial" w:cs="Arial"/>
                <w:sz w:val="14"/>
                <w:szCs w:val="14"/>
                <w:lang w:val="el-GR"/>
              </w:rPr>
              <w:t xml:space="preserve"> και €</w:t>
            </w:r>
            <w:r w:rsidR="00BC7D38" w:rsidRPr="009478A1">
              <w:rPr>
                <w:rFonts w:ascii="Arial" w:hAnsi="Arial" w:cs="Arial"/>
                <w:sz w:val="14"/>
                <w:szCs w:val="14"/>
                <w:lang w:val="el-GR"/>
              </w:rPr>
              <w:t>0.90</w:t>
            </w:r>
            <w:r w:rsidR="004F1991" w:rsidRPr="009478A1">
              <w:rPr>
                <w:rFonts w:ascii="Arial" w:hAnsi="Arial" w:cs="Arial"/>
                <w:sz w:val="14"/>
                <w:szCs w:val="14"/>
                <w:lang w:val="el-GR"/>
              </w:rPr>
              <w:t xml:space="preserve"> αντίστοιχα</w:t>
            </w:r>
          </w:p>
          <w:p w14:paraId="5233BF03" w14:textId="102EC030" w:rsidR="00212BA8" w:rsidRPr="007246A9" w:rsidRDefault="00765113" w:rsidP="0056738E">
            <w:pPr>
              <w:pStyle w:val="BodyText3"/>
              <w:numPr>
                <w:ilvl w:val="0"/>
                <w:numId w:val="19"/>
              </w:numPr>
              <w:tabs>
                <w:tab w:val="clear" w:pos="1416"/>
                <w:tab w:val="clear" w:pos="6521"/>
              </w:tabs>
              <w:ind w:left="357"/>
              <w:jc w:val="left"/>
              <w:rPr>
                <w:rFonts w:ascii="Arial" w:hAnsi="Arial" w:cs="Arial"/>
                <w:sz w:val="14"/>
                <w:szCs w:val="14"/>
                <w:lang w:val="el-GR"/>
              </w:rPr>
            </w:pPr>
            <w:r w:rsidRPr="007246A9">
              <w:rPr>
                <w:rFonts w:ascii="Arial" w:hAnsi="Arial" w:cs="Arial"/>
                <w:sz w:val="14"/>
                <w:szCs w:val="14"/>
                <w:lang w:val="el-GR"/>
              </w:rPr>
              <w:t>Υπολογίζεται ως προς το Κέρδος/(Ζημιά) μετά τη φορολογία (που αναλογούν στους ιδιοκτήτες της Εταιρίας) (</w:t>
            </w:r>
            <w:proofErr w:type="spellStart"/>
            <w:r w:rsidRPr="007246A9">
              <w:rPr>
                <w:rFonts w:ascii="Arial" w:hAnsi="Arial" w:cs="Arial"/>
                <w:sz w:val="14"/>
                <w:szCs w:val="14"/>
                <w:lang w:val="el-GR"/>
              </w:rPr>
              <w:t>ετησιοποιημένα</w:t>
            </w:r>
            <w:proofErr w:type="spellEnd"/>
            <w:r w:rsidRPr="007246A9">
              <w:rPr>
                <w:rFonts w:ascii="Arial" w:hAnsi="Arial" w:cs="Arial"/>
                <w:sz w:val="14"/>
                <w:szCs w:val="14"/>
                <w:lang w:val="el-GR"/>
              </w:rPr>
              <w:t xml:space="preserve"> – (βασισμένα στις μέρες από την αρχή του έτους μέχρι </w:t>
            </w:r>
            <w:r w:rsidR="00CA2D88">
              <w:rPr>
                <w:rFonts w:ascii="Arial" w:hAnsi="Arial" w:cs="Arial"/>
                <w:sz w:val="14"/>
                <w:szCs w:val="14"/>
                <w:lang w:val="el-GR"/>
              </w:rPr>
              <w:t>την ημερομηνία αναφοράς</w:t>
            </w:r>
            <w:r w:rsidRPr="007246A9">
              <w:rPr>
                <w:rFonts w:ascii="Arial" w:hAnsi="Arial" w:cs="Arial"/>
                <w:sz w:val="14"/>
                <w:szCs w:val="14"/>
                <w:lang w:val="el-GR"/>
              </w:rPr>
              <w:t xml:space="preserve">)), ως προς τον τριμηνιαίο μέσο όρο των ιδίων κεφαλαίων που αναλογούν στους ιδιοκτήτες της Εταιρίας μείον τα άυλα περιουσιακά στοιχεία, και μετά την αφαίρεση του πλεονάσματος που προκύπτει από τον Δείκτη Κεφαλαίου Κοινών Μετοχών Κατηγορίας 1 (CET1) σε σύγκριση με Δείκτη Κεφαλαίου Κοινών Μετοχών Κατηγορίας 1 (CET1) ύψους 15%, από </w:t>
            </w:r>
            <w:r w:rsidR="00212BA8" w:rsidRPr="007246A9">
              <w:rPr>
                <w:rFonts w:ascii="Arial" w:hAnsi="Arial" w:cs="Arial"/>
                <w:sz w:val="14"/>
                <w:szCs w:val="14"/>
                <w:lang w:val="el-GR"/>
              </w:rPr>
              <w:t>τα ενσώματα ίδια κεφάλαια που αναλογούν στους ιδιοκτήτες της Εταιρίας</w:t>
            </w:r>
          </w:p>
          <w:p w14:paraId="6450C8E6" w14:textId="39949C44" w:rsidR="00212BA8" w:rsidRPr="007246A9" w:rsidRDefault="00212BA8" w:rsidP="0056738E">
            <w:pPr>
              <w:pStyle w:val="BodyText3"/>
              <w:numPr>
                <w:ilvl w:val="0"/>
                <w:numId w:val="19"/>
              </w:numPr>
              <w:tabs>
                <w:tab w:val="clear" w:pos="1416"/>
                <w:tab w:val="clear" w:pos="6521"/>
              </w:tabs>
              <w:ind w:left="357"/>
              <w:jc w:val="left"/>
              <w:rPr>
                <w:rFonts w:ascii="Arial" w:hAnsi="Arial" w:cs="Arial"/>
                <w:sz w:val="14"/>
                <w:szCs w:val="14"/>
                <w:lang w:val="el-GR"/>
              </w:rPr>
            </w:pPr>
            <w:r w:rsidRPr="007246A9">
              <w:rPr>
                <w:rFonts w:ascii="Arial" w:hAnsi="Arial" w:cs="Arial"/>
                <w:sz w:val="14"/>
                <w:szCs w:val="14"/>
                <w:lang w:val="el-GR"/>
              </w:rPr>
              <w:t xml:space="preserve">Υπολογίζεται με βάση τον συνολικό αριθμό κοινών μετοχών μείον των ιδίων μετοχών που κατέχονται κατά το τέλος </w:t>
            </w:r>
            <w:r w:rsidR="00F374FE" w:rsidRPr="007246A9">
              <w:rPr>
                <w:rFonts w:ascii="Arial" w:hAnsi="Arial" w:cs="Arial"/>
                <w:sz w:val="14"/>
                <w:szCs w:val="14"/>
                <w:lang w:val="el-GR"/>
              </w:rPr>
              <w:t>της περιόδου</w:t>
            </w:r>
          </w:p>
          <w:p w14:paraId="3E8D7E76" w14:textId="3DFB5C57" w:rsidR="00765113" w:rsidRPr="00D41B36" w:rsidRDefault="00765113" w:rsidP="002354D5">
            <w:pPr>
              <w:pStyle w:val="BodyText3"/>
              <w:spacing w:after="20"/>
              <w:ind w:left="357"/>
              <w:jc w:val="left"/>
              <w:rPr>
                <w:rFonts w:ascii="Arial" w:hAnsi="Arial" w:cs="Arial"/>
                <w:bCs/>
                <w:sz w:val="18"/>
                <w:szCs w:val="18"/>
                <w:highlight w:val="yellow"/>
                <w:lang w:val="el-GR"/>
              </w:rPr>
            </w:pPr>
            <w:proofErr w:type="spellStart"/>
            <w:r w:rsidRPr="007246A9">
              <w:rPr>
                <w:rFonts w:ascii="Arial" w:hAnsi="Arial" w:cs="Arial"/>
                <w:sz w:val="14"/>
                <w:szCs w:val="14"/>
                <w:lang w:val="el-GR"/>
              </w:rPr>
              <w:t>ε.μ</w:t>
            </w:r>
            <w:proofErr w:type="spellEnd"/>
            <w:r w:rsidRPr="007246A9">
              <w:rPr>
                <w:rFonts w:ascii="Arial" w:hAnsi="Arial" w:cs="Arial"/>
                <w:sz w:val="14"/>
                <w:szCs w:val="14"/>
                <w:lang w:val="el-GR"/>
              </w:rPr>
              <w:t xml:space="preserve">. = εκατοστιαίες μονάδες, </w:t>
            </w:r>
            <w:proofErr w:type="spellStart"/>
            <w:r w:rsidRPr="007246A9">
              <w:rPr>
                <w:rFonts w:ascii="Arial" w:hAnsi="Arial" w:cs="Arial"/>
                <w:sz w:val="14"/>
                <w:szCs w:val="14"/>
                <w:lang w:val="el-GR"/>
              </w:rPr>
              <w:t>μ.β</w:t>
            </w:r>
            <w:proofErr w:type="spellEnd"/>
            <w:r w:rsidRPr="007246A9">
              <w:rPr>
                <w:rFonts w:ascii="Arial" w:hAnsi="Arial" w:cs="Arial"/>
                <w:sz w:val="14"/>
                <w:szCs w:val="14"/>
                <w:lang w:val="el-GR"/>
              </w:rPr>
              <w:t>.= μονάδες βάσης, 100 μονάδες βάσης = 1 εκατοστιαία μονάδα</w:t>
            </w:r>
          </w:p>
        </w:tc>
      </w:tr>
    </w:tbl>
    <w:p w14:paraId="3B80BEC6" w14:textId="77777777" w:rsidR="009C412B" w:rsidRPr="00D41B36" w:rsidRDefault="009C412B" w:rsidP="009C412B">
      <w:pPr>
        <w:spacing w:after="0" w:line="240" w:lineRule="auto"/>
        <w:jc w:val="both"/>
        <w:rPr>
          <w:rFonts w:ascii="Arial" w:hAnsi="Arial" w:cs="Arial"/>
          <w:b/>
          <w:bCs/>
          <w:color w:val="FF9900"/>
          <w:highlight w:val="yellow"/>
          <w:lang w:val="el-GR"/>
        </w:rPr>
      </w:pPr>
    </w:p>
    <w:p w14:paraId="230DE5D9" w14:textId="77777777" w:rsidR="00442875" w:rsidRPr="00D41B36" w:rsidRDefault="00442875" w:rsidP="009A0635">
      <w:pPr>
        <w:spacing w:after="0" w:line="240" w:lineRule="auto"/>
        <w:jc w:val="both"/>
        <w:rPr>
          <w:rFonts w:ascii="Arial" w:hAnsi="Arial" w:cs="Arial"/>
          <w:sz w:val="16"/>
          <w:highlight w:val="yellow"/>
          <w:lang w:val="el-GR"/>
        </w:rPr>
      </w:pPr>
    </w:p>
    <w:bookmarkEnd w:id="0"/>
    <w:p w14:paraId="081B9ECB" w14:textId="53E8B0E9" w:rsidR="00743960" w:rsidRPr="007246A9" w:rsidRDefault="00743960" w:rsidP="00743960">
      <w:pPr>
        <w:spacing w:after="0" w:line="360" w:lineRule="auto"/>
        <w:jc w:val="both"/>
        <w:rPr>
          <w:rFonts w:ascii="Arial" w:hAnsi="Arial" w:cs="Arial"/>
          <w:b/>
          <w:bCs/>
          <w:color w:val="FF9900"/>
          <w:lang w:val="el-GR"/>
        </w:rPr>
      </w:pPr>
      <w:r w:rsidRPr="007246A9">
        <w:rPr>
          <w:rFonts w:ascii="Arial" w:hAnsi="Arial" w:cs="Arial"/>
          <w:b/>
          <w:bCs/>
          <w:color w:val="FF9900"/>
          <w:lang w:val="el-GR"/>
        </w:rPr>
        <w:t>Σχόλια για την Υποκείμενη Βάση</w:t>
      </w:r>
    </w:p>
    <w:p w14:paraId="26A78347" w14:textId="087A4C5A" w:rsidR="00743960" w:rsidRPr="007246A9" w:rsidRDefault="00743960" w:rsidP="00743960">
      <w:pPr>
        <w:autoSpaceDE w:val="0"/>
        <w:autoSpaceDN w:val="0"/>
        <w:adjustRightInd w:val="0"/>
        <w:spacing w:after="0" w:line="240" w:lineRule="auto"/>
        <w:jc w:val="both"/>
        <w:rPr>
          <w:rFonts w:ascii="Arial" w:hAnsi="Arial" w:cs="Arial"/>
          <w:sz w:val="18"/>
          <w:szCs w:val="18"/>
          <w:lang w:val="el-GR"/>
        </w:rPr>
      </w:pPr>
      <w:r w:rsidRPr="007246A9">
        <w:rPr>
          <w:rFonts w:ascii="Arial" w:hAnsi="Arial" w:cs="Arial"/>
          <w:color w:val="000000"/>
          <w:sz w:val="18"/>
          <w:szCs w:val="18"/>
          <w:lang w:val="el-GR"/>
        </w:rPr>
        <w:t xml:space="preserve">Η χρηματοοικονομική πληροφόρηση που παρουσιάζεται σε αυτό το Μέρος παρέχει μια ανασκόπηση των οικονομικών αποτελεσμάτων του Συγκροτήματος για το </w:t>
      </w:r>
      <w:r w:rsidR="007A2F9B">
        <w:rPr>
          <w:rFonts w:ascii="Arial" w:hAnsi="Arial" w:cs="Arial"/>
          <w:color w:val="000000"/>
          <w:sz w:val="18"/>
          <w:szCs w:val="18"/>
          <w:lang w:val="el-GR"/>
        </w:rPr>
        <w:t>εννεάμηνο</w:t>
      </w:r>
      <w:r w:rsidR="0088043F" w:rsidRPr="007246A9">
        <w:rPr>
          <w:rFonts w:ascii="Arial" w:hAnsi="Arial" w:cs="Arial"/>
          <w:color w:val="000000"/>
          <w:sz w:val="18"/>
          <w:szCs w:val="18"/>
          <w:lang w:val="el-GR"/>
        </w:rPr>
        <w:t xml:space="preserve"> </w:t>
      </w:r>
      <w:r w:rsidRPr="007246A9">
        <w:rPr>
          <w:rFonts w:ascii="Arial" w:hAnsi="Arial" w:cs="Arial"/>
          <w:color w:val="000000"/>
          <w:sz w:val="18"/>
          <w:szCs w:val="18"/>
          <w:lang w:val="el-GR"/>
        </w:rPr>
        <w:t xml:space="preserve">που έληξε στις </w:t>
      </w:r>
      <w:r w:rsidR="004F1991" w:rsidRPr="007246A9">
        <w:rPr>
          <w:rFonts w:ascii="Arial" w:hAnsi="Arial" w:cs="Arial"/>
          <w:color w:val="000000"/>
          <w:sz w:val="18"/>
          <w:szCs w:val="18"/>
          <w:lang w:val="el-GR"/>
        </w:rPr>
        <w:t xml:space="preserve">30 </w:t>
      </w:r>
      <w:r w:rsidR="0088043F" w:rsidRPr="007246A9">
        <w:rPr>
          <w:rFonts w:ascii="Arial" w:hAnsi="Arial" w:cs="Arial"/>
          <w:color w:val="000000"/>
          <w:sz w:val="18"/>
          <w:szCs w:val="18"/>
          <w:lang w:val="el-GR"/>
        </w:rPr>
        <w:t xml:space="preserve">Σεπτεμβρίου </w:t>
      </w:r>
      <w:r w:rsidR="002775B2" w:rsidRPr="007246A9">
        <w:rPr>
          <w:rFonts w:ascii="Arial" w:hAnsi="Arial" w:cs="Arial"/>
          <w:color w:val="000000"/>
          <w:sz w:val="18"/>
          <w:szCs w:val="18"/>
          <w:lang w:val="el-GR"/>
        </w:rPr>
        <w:t xml:space="preserve">2024 </w:t>
      </w:r>
      <w:r w:rsidRPr="007246A9">
        <w:rPr>
          <w:rFonts w:ascii="Arial" w:hAnsi="Arial" w:cs="Arial"/>
          <w:color w:val="000000"/>
          <w:sz w:val="18"/>
          <w:szCs w:val="18"/>
          <w:lang w:val="el-GR"/>
        </w:rPr>
        <w:t xml:space="preserve">στην ‘υποκείμενη βάση’, για την οποία η Διεύθυνση πιστεύει ότι παρουσιάζει </w:t>
      </w:r>
      <w:r w:rsidRPr="007246A9">
        <w:rPr>
          <w:rFonts w:ascii="Arial" w:hAnsi="Arial" w:cs="Arial"/>
          <w:sz w:val="18"/>
          <w:szCs w:val="18"/>
          <w:lang w:val="el-GR"/>
        </w:rPr>
        <w:t>καλύτερα την επιμέτρηση της απόδοσης και της θέσης του Συγκροτήματος, καθώς παρουσιάζονται</w:t>
      </w:r>
      <w:r w:rsidR="002775B2" w:rsidRPr="007246A9">
        <w:rPr>
          <w:rFonts w:ascii="Arial" w:hAnsi="Arial" w:cs="Arial"/>
          <w:sz w:val="18"/>
          <w:szCs w:val="18"/>
          <w:lang w:val="el-GR"/>
        </w:rPr>
        <w:t xml:space="preserve"> </w:t>
      </w:r>
      <w:r w:rsidRPr="007246A9">
        <w:rPr>
          <w:rFonts w:ascii="Arial" w:hAnsi="Arial" w:cs="Arial"/>
          <w:sz w:val="18"/>
          <w:szCs w:val="18"/>
          <w:lang w:val="el-GR"/>
        </w:rPr>
        <w:t xml:space="preserve">ξεχωριστά τα μη-επαναλαμβανόμενα στοιχεία και επιπρόσθετα περιλαμβάνει ορισμένες </w:t>
      </w:r>
      <w:proofErr w:type="spellStart"/>
      <w:r w:rsidRPr="007246A9">
        <w:rPr>
          <w:rFonts w:ascii="Arial" w:hAnsi="Arial" w:cs="Arial"/>
          <w:bCs/>
          <w:sz w:val="18"/>
          <w:szCs w:val="18"/>
          <w:lang w:val="el-GR"/>
        </w:rPr>
        <w:t>επαναταξινομήσεις</w:t>
      </w:r>
      <w:proofErr w:type="spellEnd"/>
      <w:r w:rsidRPr="007246A9">
        <w:rPr>
          <w:rFonts w:ascii="Arial" w:hAnsi="Arial" w:cs="Arial"/>
          <w:bCs/>
          <w:sz w:val="18"/>
          <w:szCs w:val="18"/>
          <w:lang w:val="el-GR"/>
        </w:rPr>
        <w:t xml:space="preserve"> </w:t>
      </w:r>
      <w:r w:rsidRPr="007246A9">
        <w:rPr>
          <w:rFonts w:ascii="Arial" w:hAnsi="Arial" w:cs="Arial"/>
          <w:sz w:val="18"/>
          <w:szCs w:val="18"/>
          <w:lang w:val="el-GR"/>
        </w:rPr>
        <w:t xml:space="preserve">στοιχείων, εκτός των μη-επαναλαμβανόμενων στοιχείων, </w:t>
      </w:r>
      <w:r w:rsidR="00CA2D88">
        <w:rPr>
          <w:rFonts w:ascii="Arial" w:hAnsi="Arial" w:cs="Arial"/>
          <w:sz w:val="18"/>
          <w:szCs w:val="18"/>
          <w:lang w:val="el-GR"/>
        </w:rPr>
        <w:t xml:space="preserve">οι οποίες γίνονται </w:t>
      </w:r>
      <w:r w:rsidRPr="007246A9">
        <w:rPr>
          <w:rFonts w:ascii="Arial" w:hAnsi="Arial" w:cs="Arial"/>
          <w:sz w:val="18"/>
          <w:szCs w:val="18"/>
          <w:lang w:val="el-GR"/>
        </w:rPr>
        <w:t xml:space="preserve">για λόγους παρουσίασης στην υποκείμενή βάση με σκοπό την ευθυγράμμιση της παρουσίασης τους με στοιχεία παρόμοιας φύσης. </w:t>
      </w:r>
    </w:p>
    <w:p w14:paraId="0363F0BF" w14:textId="77777777" w:rsidR="00743960" w:rsidRPr="007246A9" w:rsidRDefault="00743960" w:rsidP="00743960">
      <w:pPr>
        <w:autoSpaceDE w:val="0"/>
        <w:autoSpaceDN w:val="0"/>
        <w:adjustRightInd w:val="0"/>
        <w:spacing w:after="0" w:line="240" w:lineRule="auto"/>
        <w:jc w:val="both"/>
        <w:rPr>
          <w:rFonts w:ascii="Arial" w:hAnsi="Arial" w:cs="Arial"/>
          <w:sz w:val="18"/>
          <w:szCs w:val="18"/>
          <w:lang w:val="el-GR"/>
        </w:rPr>
      </w:pPr>
    </w:p>
    <w:p w14:paraId="287887B2" w14:textId="7D45C0BD" w:rsidR="000916E4" w:rsidRPr="007246A9" w:rsidRDefault="00743960" w:rsidP="0088043F">
      <w:pPr>
        <w:spacing w:after="0" w:line="240" w:lineRule="auto"/>
        <w:jc w:val="both"/>
        <w:rPr>
          <w:rFonts w:ascii="Arial" w:hAnsi="Arial" w:cs="Arial"/>
          <w:color w:val="000000"/>
          <w:sz w:val="18"/>
          <w:szCs w:val="18"/>
          <w:lang w:val="el-GR"/>
        </w:rPr>
      </w:pPr>
      <w:r w:rsidRPr="007246A9">
        <w:rPr>
          <w:rFonts w:ascii="Arial" w:hAnsi="Arial" w:cs="Arial"/>
          <w:color w:val="000000"/>
          <w:sz w:val="18"/>
          <w:szCs w:val="18"/>
          <w:lang w:val="el-GR"/>
        </w:rPr>
        <w:t xml:space="preserve">Συμφιλιώσεις μεταξύ της απαιτούμενης από τη νομοθεσία βάσης και της υποκείμενης βάσης για τη διευκόλυνση της σύγκρισης της υποκείμενης βάσης με την απαιτούμενη από τη νομοθεσία πληροφόρηση, περιλαμβάνονται στο μέρος </w:t>
      </w:r>
      <w:r w:rsidR="0088043F" w:rsidRPr="007246A9">
        <w:rPr>
          <w:rFonts w:ascii="Arial" w:hAnsi="Arial" w:cs="Arial"/>
          <w:color w:val="000000"/>
          <w:sz w:val="18"/>
          <w:szCs w:val="18"/>
          <w:lang w:val="el-GR"/>
        </w:rPr>
        <w:t>Στ</w:t>
      </w:r>
      <w:r w:rsidR="00F95BEB" w:rsidRPr="007246A9">
        <w:rPr>
          <w:rFonts w:ascii="Arial" w:hAnsi="Arial" w:cs="Arial"/>
          <w:color w:val="000000"/>
          <w:sz w:val="18"/>
          <w:szCs w:val="18"/>
          <w:lang w:val="el-GR"/>
        </w:rPr>
        <w:t>.</w:t>
      </w:r>
      <w:r w:rsidRPr="007246A9">
        <w:rPr>
          <w:rFonts w:ascii="Arial" w:hAnsi="Arial" w:cs="Arial"/>
          <w:color w:val="000000"/>
          <w:sz w:val="18"/>
          <w:szCs w:val="18"/>
          <w:lang w:val="el-GR"/>
        </w:rPr>
        <w:t xml:space="preserve">1 ‘Συμφιλίωση </w:t>
      </w:r>
      <w:r w:rsidR="003367CC" w:rsidRPr="007246A9">
        <w:rPr>
          <w:rFonts w:ascii="Arial" w:hAnsi="Arial" w:cs="Arial"/>
          <w:color w:val="000000"/>
          <w:sz w:val="18"/>
          <w:szCs w:val="18"/>
          <w:lang w:val="el-GR"/>
        </w:rPr>
        <w:t xml:space="preserve">της </w:t>
      </w:r>
      <w:r w:rsidR="00F95BEB" w:rsidRPr="007246A9">
        <w:rPr>
          <w:rFonts w:ascii="Arial" w:hAnsi="Arial" w:cs="Arial"/>
          <w:color w:val="000000"/>
          <w:sz w:val="18"/>
          <w:szCs w:val="18"/>
          <w:lang w:val="el-GR"/>
        </w:rPr>
        <w:t xml:space="preserve">Ενδιάμεσης Ενοποιημένης Κατάστασης Λογαριασμού Αποτελεσμάτων </w:t>
      </w:r>
      <w:r w:rsidRPr="007246A9">
        <w:rPr>
          <w:rFonts w:ascii="Arial" w:hAnsi="Arial" w:cs="Arial"/>
          <w:color w:val="000000"/>
          <w:sz w:val="18"/>
          <w:szCs w:val="18"/>
          <w:lang w:val="el-GR"/>
        </w:rPr>
        <w:t>μεταξύ της</w:t>
      </w:r>
      <w:r w:rsidR="00B03379" w:rsidRPr="007246A9">
        <w:rPr>
          <w:rFonts w:ascii="Arial" w:hAnsi="Arial" w:cs="Arial"/>
          <w:color w:val="000000"/>
          <w:sz w:val="18"/>
          <w:szCs w:val="18"/>
          <w:lang w:val="el-GR"/>
        </w:rPr>
        <w:t xml:space="preserve"> </w:t>
      </w:r>
      <w:r w:rsidRPr="007246A9">
        <w:rPr>
          <w:rFonts w:ascii="Arial" w:hAnsi="Arial" w:cs="Arial"/>
          <w:color w:val="000000"/>
          <w:sz w:val="18"/>
          <w:szCs w:val="18"/>
          <w:lang w:val="el-GR"/>
        </w:rPr>
        <w:t xml:space="preserve">απαιτούμενης από τη νομοθεσία βάσης και της υποκείμενης βάσης για το </w:t>
      </w:r>
      <w:r w:rsidR="007A2F9B">
        <w:rPr>
          <w:rFonts w:ascii="Arial" w:hAnsi="Arial" w:cs="Arial"/>
          <w:color w:val="000000"/>
          <w:sz w:val="18"/>
          <w:szCs w:val="18"/>
          <w:lang w:val="el-GR"/>
        </w:rPr>
        <w:t>εννεάμηνο</w:t>
      </w:r>
      <w:r w:rsidR="0088043F" w:rsidRPr="007246A9">
        <w:rPr>
          <w:rFonts w:ascii="Arial" w:hAnsi="Arial" w:cs="Arial"/>
          <w:color w:val="000000"/>
          <w:sz w:val="18"/>
          <w:szCs w:val="18"/>
          <w:lang w:val="el-GR"/>
        </w:rPr>
        <w:t xml:space="preserve"> </w:t>
      </w:r>
      <w:r w:rsidRPr="007246A9">
        <w:rPr>
          <w:rFonts w:ascii="Arial" w:hAnsi="Arial" w:cs="Arial"/>
          <w:color w:val="000000"/>
          <w:sz w:val="18"/>
          <w:szCs w:val="18"/>
          <w:lang w:val="el-GR"/>
        </w:rPr>
        <w:t xml:space="preserve">που έληξε στις </w:t>
      </w:r>
      <w:r w:rsidR="00F95BEB" w:rsidRPr="007246A9">
        <w:rPr>
          <w:rFonts w:ascii="Arial" w:hAnsi="Arial" w:cs="Arial"/>
          <w:color w:val="000000"/>
          <w:sz w:val="18"/>
          <w:szCs w:val="18"/>
          <w:lang w:val="el-GR"/>
        </w:rPr>
        <w:t xml:space="preserve">30 </w:t>
      </w:r>
      <w:r w:rsidR="0088043F" w:rsidRPr="007246A9">
        <w:rPr>
          <w:rFonts w:ascii="Arial" w:hAnsi="Arial" w:cs="Arial"/>
          <w:color w:val="000000"/>
          <w:sz w:val="18"/>
          <w:szCs w:val="18"/>
          <w:lang w:val="el-GR"/>
        </w:rPr>
        <w:t xml:space="preserve">Σεπτεμβρίου </w:t>
      </w:r>
      <w:r w:rsidR="00F36B25" w:rsidRPr="007246A9">
        <w:rPr>
          <w:rFonts w:ascii="Arial" w:hAnsi="Arial" w:cs="Arial"/>
          <w:color w:val="000000"/>
          <w:sz w:val="18"/>
          <w:szCs w:val="18"/>
          <w:lang w:val="el-GR"/>
        </w:rPr>
        <w:t>2024’</w:t>
      </w:r>
      <w:r w:rsidRPr="007246A9">
        <w:rPr>
          <w:rFonts w:ascii="Arial" w:hAnsi="Arial" w:cs="Arial"/>
          <w:color w:val="000000"/>
          <w:sz w:val="18"/>
          <w:szCs w:val="18"/>
          <w:lang w:val="el-GR"/>
        </w:rPr>
        <w:t xml:space="preserve">, και θα είναι επίσης διαθέσιμη </w:t>
      </w:r>
      <w:r w:rsidR="0088043F" w:rsidRPr="0088043F">
        <w:rPr>
          <w:rFonts w:ascii="Arial" w:hAnsi="Arial" w:cs="Arial"/>
          <w:color w:val="000000"/>
          <w:sz w:val="18"/>
          <w:szCs w:val="18"/>
          <w:lang w:val="el-GR"/>
        </w:rPr>
        <w:t xml:space="preserve">στο μέρος Η. ‘Εναλλακτικά Μέτρα Απόδοσης’ και στο Μέρος Θ. ‘Όροι και Επεξηγήσεις’. </w:t>
      </w:r>
    </w:p>
    <w:p w14:paraId="3C2ADBAE" w14:textId="77777777" w:rsidR="000C5334" w:rsidRPr="00D41B36" w:rsidRDefault="000C5334" w:rsidP="00743960">
      <w:pPr>
        <w:spacing w:after="0" w:line="240" w:lineRule="auto"/>
        <w:jc w:val="both"/>
        <w:rPr>
          <w:rFonts w:ascii="Arial" w:hAnsi="Arial" w:cs="Arial"/>
          <w:sz w:val="18"/>
          <w:szCs w:val="18"/>
          <w:highlight w:val="yellow"/>
          <w:lang w:val="el-GR"/>
        </w:rPr>
      </w:pPr>
    </w:p>
    <w:p w14:paraId="7849C630" w14:textId="005E682F" w:rsidR="000C5334" w:rsidRPr="000C5334" w:rsidRDefault="000C5334" w:rsidP="000C5334">
      <w:pPr>
        <w:spacing w:after="0" w:line="360" w:lineRule="auto"/>
        <w:jc w:val="both"/>
        <w:rPr>
          <w:rFonts w:ascii="Arial" w:hAnsi="Arial" w:cs="Arial"/>
          <w:b/>
          <w:bCs/>
          <w:color w:val="FF9900"/>
          <w:lang w:val="el-GR"/>
        </w:rPr>
      </w:pPr>
      <w:r>
        <w:rPr>
          <w:rFonts w:ascii="Arial" w:hAnsi="Arial" w:cs="Arial"/>
          <w:b/>
          <w:bCs/>
          <w:color w:val="FF9900"/>
          <w:lang w:val="el-GR"/>
        </w:rPr>
        <w:t xml:space="preserve">Εταιρικές Ενέργειες   </w:t>
      </w:r>
    </w:p>
    <w:p w14:paraId="71AF91B4" w14:textId="53AF3E19" w:rsidR="0029630D" w:rsidRDefault="000C5334" w:rsidP="0029630D">
      <w:pPr>
        <w:spacing w:line="240" w:lineRule="auto"/>
        <w:jc w:val="both"/>
        <w:rPr>
          <w:rFonts w:ascii="Arial" w:hAnsi="Arial" w:cs="Arial"/>
          <w:sz w:val="18"/>
          <w:szCs w:val="18"/>
          <w:lang w:val="el-GR"/>
        </w:rPr>
      </w:pPr>
      <w:r w:rsidRPr="007246A9">
        <w:rPr>
          <w:rFonts w:ascii="Arial" w:hAnsi="Arial" w:cs="Arial"/>
          <w:sz w:val="18"/>
          <w:szCs w:val="18"/>
          <w:lang w:val="el-GR"/>
        </w:rPr>
        <w:t xml:space="preserve">Στο πλαίσιο της αξιολόγησης της στρατηγικής του Συγκροτήματος για την επίτευξη των μακροπρόθεσμων στρατηγικών του στόχων και τη δημιουργία σταθερής αξίας για τους μετόχους, το Διοικητικό Συμβούλιο </w:t>
      </w:r>
      <w:r w:rsidR="005D116A">
        <w:rPr>
          <w:rFonts w:ascii="Arial" w:hAnsi="Arial" w:cs="Arial"/>
          <w:sz w:val="18"/>
          <w:szCs w:val="18"/>
          <w:lang w:val="el-GR"/>
        </w:rPr>
        <w:t>αξιολόγησε</w:t>
      </w:r>
      <w:r w:rsidRPr="007246A9">
        <w:rPr>
          <w:rFonts w:ascii="Arial" w:hAnsi="Arial" w:cs="Arial"/>
          <w:sz w:val="18"/>
          <w:szCs w:val="18"/>
          <w:lang w:val="el-GR"/>
        </w:rPr>
        <w:t xml:space="preserve"> τον τρόπο ενίσχυσης της ρευστότητας των </w:t>
      </w:r>
      <w:r w:rsidRPr="000C5334">
        <w:rPr>
          <w:rFonts w:ascii="Arial" w:hAnsi="Arial" w:cs="Arial"/>
          <w:sz w:val="18"/>
          <w:szCs w:val="18"/>
          <w:lang w:val="el-GR"/>
        </w:rPr>
        <w:t xml:space="preserve">συνήθων </w:t>
      </w:r>
      <w:r w:rsidRPr="007246A9">
        <w:rPr>
          <w:rFonts w:ascii="Arial" w:hAnsi="Arial" w:cs="Arial"/>
          <w:sz w:val="18"/>
          <w:szCs w:val="18"/>
          <w:lang w:val="el-GR"/>
        </w:rPr>
        <w:t>μετοχών του Συγκροτήματος. Σε συνέχεια εκτεταμένης επικοινωνίας με τα ενδιαφερόμενα μέρη του Συγκροτήματος, το Διοικητικό Συμβούλιο κατέληξε πως η εισαγωγή των</w:t>
      </w:r>
      <w:r w:rsidRPr="000C5334">
        <w:rPr>
          <w:rFonts w:ascii="Arial" w:hAnsi="Arial" w:cs="Arial"/>
          <w:sz w:val="18"/>
          <w:szCs w:val="18"/>
          <w:lang w:val="el-GR"/>
        </w:rPr>
        <w:t xml:space="preserve"> συνήθων μετοχών</w:t>
      </w:r>
      <w:r w:rsidRPr="007246A9">
        <w:rPr>
          <w:rFonts w:ascii="Arial" w:hAnsi="Arial" w:cs="Arial"/>
          <w:sz w:val="18"/>
          <w:szCs w:val="18"/>
          <w:lang w:val="el-GR"/>
        </w:rPr>
        <w:t xml:space="preserve">  στο Χρηματιστήριο Αθηνών (‘ΧΑ</w:t>
      </w:r>
      <w:r w:rsidR="007A79CC" w:rsidRPr="007A79CC">
        <w:rPr>
          <w:rFonts w:ascii="Arial" w:hAnsi="Arial" w:cs="Arial"/>
          <w:sz w:val="18"/>
          <w:szCs w:val="18"/>
          <w:lang w:val="el-GR"/>
        </w:rPr>
        <w:t>’</w:t>
      </w:r>
      <w:r w:rsidRPr="007246A9">
        <w:rPr>
          <w:rFonts w:ascii="Arial" w:hAnsi="Arial" w:cs="Arial"/>
          <w:sz w:val="18"/>
          <w:szCs w:val="18"/>
          <w:lang w:val="el-GR"/>
        </w:rPr>
        <w:t>), σε συνδυασμό με τη διαγραφή από</w:t>
      </w:r>
      <w:r w:rsidRPr="000C5334">
        <w:rPr>
          <w:lang w:val="el-GR"/>
        </w:rPr>
        <w:t xml:space="preserve"> </w:t>
      </w:r>
      <w:r w:rsidRPr="007246A9">
        <w:rPr>
          <w:rFonts w:ascii="Arial" w:hAnsi="Arial" w:cs="Arial"/>
          <w:sz w:val="18"/>
          <w:szCs w:val="18"/>
          <w:lang w:val="el-GR"/>
        </w:rPr>
        <w:t xml:space="preserve">τη δευτερογενή εισαγωγή διεθνών εμπορικών εταιρειών στο Επίσημο Μητρώο του </w:t>
      </w:r>
      <w:r w:rsidRPr="007246A9">
        <w:rPr>
          <w:rFonts w:ascii="Arial" w:hAnsi="Arial" w:cs="Arial"/>
          <w:sz w:val="18"/>
          <w:szCs w:val="18"/>
        </w:rPr>
        <w:t>London</w:t>
      </w:r>
      <w:r w:rsidRPr="007246A9">
        <w:rPr>
          <w:rFonts w:ascii="Arial" w:hAnsi="Arial" w:cs="Arial"/>
          <w:sz w:val="18"/>
          <w:szCs w:val="18"/>
          <w:lang w:val="el-GR"/>
        </w:rPr>
        <w:t xml:space="preserve"> </w:t>
      </w:r>
      <w:r w:rsidRPr="007246A9">
        <w:rPr>
          <w:rFonts w:ascii="Arial" w:hAnsi="Arial" w:cs="Arial"/>
          <w:sz w:val="18"/>
          <w:szCs w:val="18"/>
        </w:rPr>
        <w:t>Stock</w:t>
      </w:r>
      <w:r w:rsidRPr="007246A9">
        <w:rPr>
          <w:rFonts w:ascii="Arial" w:hAnsi="Arial" w:cs="Arial"/>
          <w:sz w:val="18"/>
          <w:szCs w:val="18"/>
          <w:lang w:val="el-GR"/>
        </w:rPr>
        <w:t xml:space="preserve"> </w:t>
      </w:r>
      <w:r w:rsidRPr="007246A9">
        <w:rPr>
          <w:rFonts w:ascii="Arial" w:hAnsi="Arial" w:cs="Arial"/>
          <w:sz w:val="18"/>
          <w:szCs w:val="18"/>
        </w:rPr>
        <w:t>Exchange</w:t>
      </w:r>
      <w:r w:rsidRPr="007246A9">
        <w:rPr>
          <w:rFonts w:ascii="Arial" w:hAnsi="Arial" w:cs="Arial"/>
          <w:sz w:val="18"/>
          <w:szCs w:val="18"/>
          <w:lang w:val="el-GR"/>
        </w:rPr>
        <w:t xml:space="preserve"> </w:t>
      </w:r>
      <w:r w:rsidRPr="007246A9">
        <w:rPr>
          <w:rFonts w:ascii="Arial" w:hAnsi="Arial" w:cs="Arial"/>
          <w:sz w:val="18"/>
          <w:szCs w:val="18"/>
        </w:rPr>
        <w:t>Group</w:t>
      </w:r>
      <w:r w:rsidRPr="007246A9">
        <w:rPr>
          <w:rFonts w:ascii="Arial" w:hAnsi="Arial" w:cs="Arial"/>
          <w:sz w:val="18"/>
          <w:szCs w:val="18"/>
          <w:lang w:val="el-GR"/>
        </w:rPr>
        <w:t xml:space="preserve"> </w:t>
      </w:r>
      <w:r w:rsidRPr="007246A9">
        <w:rPr>
          <w:rFonts w:ascii="Arial" w:hAnsi="Arial" w:cs="Arial"/>
          <w:sz w:val="18"/>
          <w:szCs w:val="18"/>
        </w:rPr>
        <w:t>plc</w:t>
      </w:r>
      <w:r w:rsidRPr="007246A9">
        <w:rPr>
          <w:rFonts w:ascii="Arial" w:hAnsi="Arial" w:cs="Arial"/>
          <w:sz w:val="18"/>
          <w:szCs w:val="18"/>
          <w:lang w:val="el-GR"/>
        </w:rPr>
        <w:t xml:space="preserve"> (το ‘</w:t>
      </w:r>
      <w:r w:rsidRPr="007246A9">
        <w:rPr>
          <w:rFonts w:ascii="Arial" w:hAnsi="Arial" w:cs="Arial"/>
          <w:sz w:val="18"/>
          <w:szCs w:val="18"/>
        </w:rPr>
        <w:t>LSE</w:t>
      </w:r>
      <w:r w:rsidRPr="007246A9">
        <w:rPr>
          <w:rFonts w:ascii="Arial" w:hAnsi="Arial" w:cs="Arial"/>
          <w:sz w:val="18"/>
          <w:szCs w:val="18"/>
          <w:lang w:val="el-GR"/>
        </w:rPr>
        <w:t>’), θα αποφέρει μια σειρά από μακροπρόθεσμα στρατηγικά οφέλη και θα ενισχύσει την παρουσία του Συγκροτήματος στις αγορές.</w:t>
      </w:r>
      <w:r w:rsidRPr="000C5334">
        <w:rPr>
          <w:rFonts w:ascii="Arial" w:hAnsi="Arial" w:cs="Arial"/>
          <w:sz w:val="18"/>
          <w:szCs w:val="18"/>
          <w:lang w:val="el-GR"/>
        </w:rPr>
        <w:t xml:space="preserve"> </w:t>
      </w:r>
      <w:r w:rsidRPr="007246A9">
        <w:rPr>
          <w:rFonts w:ascii="Arial" w:hAnsi="Arial" w:cs="Arial"/>
          <w:sz w:val="18"/>
          <w:szCs w:val="18"/>
          <w:lang w:val="el-GR"/>
        </w:rPr>
        <w:t xml:space="preserve">Αυτές περιλαμβάνουν την ενίσχυση του προφίλ του Συγκροτήματος στους επενδυτές που επικεντρώνονται στην περιοχή, επιτρέποντας τους να συγκρίνουν άμεσα τις επιδόσεις του Συγκροτήματος με άλλες τράπεζες τις περιοχής, προσελκύοντας έτσι μακροπρόθεσμους θεσμικούς </w:t>
      </w:r>
    </w:p>
    <w:p w14:paraId="62A3983B" w14:textId="77777777" w:rsidR="0029630D" w:rsidRDefault="0029630D" w:rsidP="0029630D">
      <w:pPr>
        <w:ind w:left="-426"/>
        <w:rPr>
          <w:rFonts w:ascii="Arial" w:hAnsi="Arial" w:cs="Arial"/>
          <w:bCs/>
          <w:color w:val="FF9900"/>
          <w:sz w:val="24"/>
          <w:szCs w:val="24"/>
          <w:lang w:val="el-GR"/>
        </w:rPr>
      </w:pPr>
      <w:r w:rsidRPr="0034047F">
        <w:rPr>
          <w:rFonts w:ascii="Arial" w:hAnsi="Arial" w:cs="Arial"/>
          <w:b/>
          <w:color w:val="FF9900"/>
          <w:sz w:val="24"/>
          <w:szCs w:val="24"/>
          <w:lang w:val="el-GR"/>
        </w:rPr>
        <w:lastRenderedPageBreak/>
        <w:t xml:space="preserve">Α. </w:t>
      </w:r>
      <w:r w:rsidRPr="00A53569">
        <w:rPr>
          <w:rFonts w:ascii="Arial" w:hAnsi="Arial" w:cs="Arial"/>
          <w:b/>
          <w:color w:val="FF9900"/>
          <w:sz w:val="24"/>
          <w:szCs w:val="24"/>
          <w:lang w:val="el-GR"/>
        </w:rPr>
        <w:t xml:space="preserve">Οικονομικά Αποτελέσματα Συγκροτήματος –Υποκείμενη Βάση </w:t>
      </w:r>
      <w:r w:rsidRPr="0034047F">
        <w:rPr>
          <w:rFonts w:ascii="Arial" w:hAnsi="Arial" w:cs="Arial"/>
          <w:bCs/>
          <w:color w:val="FF9900"/>
          <w:sz w:val="24"/>
          <w:szCs w:val="24"/>
          <w:lang w:val="el-GR"/>
        </w:rPr>
        <w:t>(συνέχεια)</w:t>
      </w:r>
    </w:p>
    <w:p w14:paraId="02603C8F" w14:textId="1365E746" w:rsidR="0029630D" w:rsidRPr="007246A9" w:rsidRDefault="0029630D" w:rsidP="007246A9">
      <w:pPr>
        <w:spacing w:after="0" w:line="360" w:lineRule="auto"/>
        <w:jc w:val="both"/>
        <w:rPr>
          <w:rFonts w:ascii="Arial" w:hAnsi="Arial" w:cs="Arial"/>
          <w:b/>
          <w:bCs/>
          <w:color w:val="FF9900"/>
          <w:lang w:val="el-GR"/>
        </w:rPr>
      </w:pPr>
      <w:r>
        <w:rPr>
          <w:rFonts w:ascii="Arial" w:hAnsi="Arial" w:cs="Arial"/>
          <w:b/>
          <w:bCs/>
          <w:color w:val="FF9900"/>
          <w:lang w:val="el-GR"/>
        </w:rPr>
        <w:t xml:space="preserve">Εταιρικές </w:t>
      </w:r>
      <w:r w:rsidRPr="0029630D">
        <w:rPr>
          <w:rFonts w:ascii="Arial" w:hAnsi="Arial" w:cs="Arial"/>
          <w:b/>
          <w:bCs/>
          <w:color w:val="FF9900"/>
          <w:lang w:val="el-GR"/>
        </w:rPr>
        <w:t xml:space="preserve">Ενέργειες </w:t>
      </w:r>
      <w:r w:rsidRPr="0034047F">
        <w:rPr>
          <w:rFonts w:ascii="Arial" w:hAnsi="Arial" w:cs="Arial"/>
          <w:bCs/>
          <w:color w:val="FF9900"/>
          <w:lang w:val="el-GR"/>
        </w:rPr>
        <w:t>(συνέχεια)</w:t>
      </w:r>
      <w:r>
        <w:rPr>
          <w:rFonts w:ascii="Arial" w:hAnsi="Arial" w:cs="Arial"/>
          <w:b/>
          <w:bCs/>
          <w:color w:val="FF9900"/>
          <w:lang w:val="el-GR"/>
        </w:rPr>
        <w:t xml:space="preserve">  </w:t>
      </w:r>
    </w:p>
    <w:p w14:paraId="73E53BDA" w14:textId="3BBDFB58" w:rsidR="0029630D" w:rsidRDefault="0029630D" w:rsidP="0029630D">
      <w:pPr>
        <w:spacing w:line="240" w:lineRule="auto"/>
        <w:jc w:val="both"/>
        <w:rPr>
          <w:rFonts w:ascii="Arial" w:hAnsi="Arial" w:cs="Arial"/>
          <w:sz w:val="18"/>
          <w:szCs w:val="18"/>
          <w:lang w:val="el-GR"/>
        </w:rPr>
      </w:pPr>
      <w:r w:rsidRPr="0034047F">
        <w:rPr>
          <w:rFonts w:ascii="Arial" w:hAnsi="Arial" w:cs="Arial"/>
          <w:sz w:val="18"/>
          <w:szCs w:val="18"/>
          <w:lang w:val="el-GR"/>
        </w:rPr>
        <w:t>επενδυτές σε μια πιο επικεντρωμένη αγορά εντός του ΧΑ και παρέχοντας περιθώριο για ένταξη της μετοχής του Συγκροτήματος σε χρηματιστηριακούς δείκτες με την πάροδο του χρόνου.</w:t>
      </w:r>
    </w:p>
    <w:p w14:paraId="4E448718" w14:textId="04EE37CD" w:rsidR="00B62FA0" w:rsidRPr="0029630D" w:rsidRDefault="00B62FA0" w:rsidP="00B62FA0">
      <w:pPr>
        <w:spacing w:line="240" w:lineRule="auto"/>
        <w:jc w:val="both"/>
        <w:rPr>
          <w:rFonts w:ascii="Arial" w:hAnsi="Arial" w:cs="Arial"/>
          <w:sz w:val="18"/>
          <w:szCs w:val="18"/>
          <w:lang w:val="el-GR"/>
        </w:rPr>
      </w:pPr>
      <w:r w:rsidRPr="00B62FA0">
        <w:rPr>
          <w:rFonts w:ascii="Arial" w:hAnsi="Arial" w:cs="Arial"/>
          <w:sz w:val="18"/>
          <w:szCs w:val="18"/>
          <w:lang w:val="el-GR"/>
        </w:rPr>
        <w:t xml:space="preserve">Στις 13 Σεπτεμβρίου 2024, </w:t>
      </w:r>
      <w:proofErr w:type="spellStart"/>
      <w:r w:rsidRPr="00B62FA0">
        <w:rPr>
          <w:rFonts w:ascii="Arial" w:hAnsi="Arial" w:cs="Arial"/>
          <w:sz w:val="18"/>
          <w:szCs w:val="18"/>
          <w:lang w:val="el-GR"/>
        </w:rPr>
        <w:t>συγκλήθηκε</w:t>
      </w:r>
      <w:proofErr w:type="spellEnd"/>
      <w:r w:rsidRPr="00B62FA0">
        <w:rPr>
          <w:rFonts w:ascii="Arial" w:hAnsi="Arial" w:cs="Arial"/>
          <w:sz w:val="18"/>
          <w:szCs w:val="18"/>
          <w:lang w:val="el-GR"/>
        </w:rPr>
        <w:t xml:space="preserve"> </w:t>
      </w:r>
      <w:r w:rsidR="00390FA1" w:rsidRPr="007246A9">
        <w:rPr>
          <w:rFonts w:ascii="Arial" w:hAnsi="Arial" w:cs="Arial"/>
          <w:sz w:val="18"/>
          <w:szCs w:val="18"/>
          <w:lang w:val="el-GR"/>
        </w:rPr>
        <w:t>Έκτακτη Γενική Συνέλευση</w:t>
      </w:r>
      <w:r w:rsidRPr="00B62FA0">
        <w:rPr>
          <w:rFonts w:ascii="Arial" w:hAnsi="Arial" w:cs="Arial"/>
          <w:sz w:val="18"/>
          <w:szCs w:val="18"/>
          <w:lang w:val="el-GR"/>
        </w:rPr>
        <w:t>, όπου οι μέτοχοι της Εταιρίας ενέκριναν την εισαγωγή στο ΧΑ.</w:t>
      </w:r>
      <w:r>
        <w:rPr>
          <w:rFonts w:ascii="Arial" w:hAnsi="Arial" w:cs="Arial"/>
          <w:sz w:val="18"/>
          <w:szCs w:val="18"/>
          <w:lang w:val="el-GR"/>
        </w:rPr>
        <w:t xml:space="preserve"> </w:t>
      </w:r>
      <w:r w:rsidRPr="007246A9">
        <w:rPr>
          <w:rFonts w:ascii="Arial" w:hAnsi="Arial" w:cs="Arial"/>
          <w:sz w:val="18"/>
          <w:szCs w:val="18"/>
          <w:lang w:val="el-GR"/>
        </w:rPr>
        <w:t xml:space="preserve">Μετά τη λήψη </w:t>
      </w:r>
      <w:r>
        <w:rPr>
          <w:rFonts w:ascii="Arial" w:hAnsi="Arial" w:cs="Arial"/>
          <w:sz w:val="18"/>
          <w:szCs w:val="18"/>
          <w:lang w:val="el-GR"/>
        </w:rPr>
        <w:t>της έγκρισης</w:t>
      </w:r>
      <w:r w:rsidRPr="007246A9">
        <w:rPr>
          <w:rFonts w:ascii="Arial" w:hAnsi="Arial" w:cs="Arial"/>
          <w:sz w:val="18"/>
          <w:szCs w:val="18"/>
          <w:lang w:val="el-GR"/>
        </w:rPr>
        <w:t xml:space="preserve"> </w:t>
      </w:r>
      <w:r>
        <w:rPr>
          <w:rFonts w:ascii="Arial" w:hAnsi="Arial" w:cs="Arial"/>
          <w:sz w:val="18"/>
          <w:szCs w:val="18"/>
          <w:lang w:val="el-GR"/>
        </w:rPr>
        <w:t xml:space="preserve">από </w:t>
      </w:r>
      <w:r w:rsidRPr="007246A9">
        <w:rPr>
          <w:rFonts w:ascii="Arial" w:hAnsi="Arial" w:cs="Arial"/>
          <w:sz w:val="18"/>
          <w:szCs w:val="18"/>
          <w:lang w:val="el-GR"/>
        </w:rPr>
        <w:t>την Επιτροπή Εισαγωγών και Λειτουργίας Αγορών του ΧΑ</w:t>
      </w:r>
      <w:r>
        <w:rPr>
          <w:rFonts w:ascii="Arial" w:hAnsi="Arial" w:cs="Arial"/>
          <w:sz w:val="18"/>
          <w:szCs w:val="18"/>
          <w:lang w:val="el-GR"/>
        </w:rPr>
        <w:t>, η</w:t>
      </w:r>
      <w:r w:rsidRPr="007246A9">
        <w:rPr>
          <w:rFonts w:ascii="Arial" w:hAnsi="Arial" w:cs="Arial"/>
          <w:sz w:val="18"/>
          <w:szCs w:val="18"/>
          <w:lang w:val="el-GR"/>
        </w:rPr>
        <w:t xml:space="preserve"> διαπραγμάτευση</w:t>
      </w:r>
      <w:r>
        <w:rPr>
          <w:rFonts w:ascii="Arial" w:hAnsi="Arial" w:cs="Arial"/>
          <w:sz w:val="18"/>
          <w:szCs w:val="18"/>
          <w:lang w:val="el-GR"/>
        </w:rPr>
        <w:t xml:space="preserve"> </w:t>
      </w:r>
      <w:r w:rsidRPr="007246A9">
        <w:rPr>
          <w:rFonts w:ascii="Arial" w:hAnsi="Arial" w:cs="Arial"/>
          <w:sz w:val="18"/>
          <w:szCs w:val="18"/>
          <w:lang w:val="el-GR"/>
        </w:rPr>
        <w:t xml:space="preserve">των </w:t>
      </w:r>
      <w:r>
        <w:rPr>
          <w:rFonts w:ascii="Arial" w:hAnsi="Arial" w:cs="Arial"/>
          <w:sz w:val="18"/>
          <w:szCs w:val="18"/>
          <w:lang w:val="el-GR"/>
        </w:rPr>
        <w:t>σ</w:t>
      </w:r>
      <w:r w:rsidRPr="007246A9">
        <w:rPr>
          <w:rFonts w:ascii="Arial" w:hAnsi="Arial" w:cs="Arial"/>
          <w:sz w:val="18"/>
          <w:szCs w:val="18"/>
          <w:lang w:val="el-GR"/>
        </w:rPr>
        <w:t xml:space="preserve">υνήθων </w:t>
      </w:r>
      <w:r>
        <w:rPr>
          <w:rFonts w:ascii="Arial" w:hAnsi="Arial" w:cs="Arial"/>
          <w:sz w:val="18"/>
          <w:szCs w:val="18"/>
          <w:lang w:val="el-GR"/>
        </w:rPr>
        <w:t>μ</w:t>
      </w:r>
      <w:r w:rsidRPr="007246A9">
        <w:rPr>
          <w:rFonts w:ascii="Arial" w:hAnsi="Arial" w:cs="Arial"/>
          <w:sz w:val="18"/>
          <w:szCs w:val="18"/>
          <w:lang w:val="el-GR"/>
        </w:rPr>
        <w:t>ετοχών</w:t>
      </w:r>
      <w:r>
        <w:rPr>
          <w:rFonts w:ascii="Arial" w:hAnsi="Arial" w:cs="Arial"/>
          <w:sz w:val="18"/>
          <w:szCs w:val="18"/>
          <w:lang w:val="el-GR"/>
        </w:rPr>
        <w:t xml:space="preserve"> της Εταιρίας</w:t>
      </w:r>
      <w:r w:rsidRPr="007246A9">
        <w:rPr>
          <w:rFonts w:ascii="Arial" w:hAnsi="Arial" w:cs="Arial"/>
          <w:sz w:val="18"/>
          <w:szCs w:val="18"/>
          <w:lang w:val="el-GR"/>
        </w:rPr>
        <w:t xml:space="preserve"> </w:t>
      </w:r>
      <w:r>
        <w:rPr>
          <w:rFonts w:ascii="Arial" w:hAnsi="Arial" w:cs="Arial"/>
          <w:sz w:val="18"/>
          <w:szCs w:val="18"/>
          <w:lang w:val="el-GR"/>
        </w:rPr>
        <w:t>στο ΧΑ ξεκίνησε σ</w:t>
      </w:r>
      <w:r w:rsidRPr="007246A9">
        <w:rPr>
          <w:rFonts w:ascii="Arial" w:hAnsi="Arial" w:cs="Arial"/>
          <w:sz w:val="18"/>
          <w:szCs w:val="18"/>
          <w:lang w:val="el-GR"/>
        </w:rPr>
        <w:t xml:space="preserve">τις 23 Σεπτεμβρίου 2024. Η διαγραφή των </w:t>
      </w:r>
      <w:r>
        <w:rPr>
          <w:rFonts w:ascii="Arial" w:hAnsi="Arial" w:cs="Arial"/>
          <w:sz w:val="18"/>
          <w:szCs w:val="18"/>
          <w:lang w:val="el-GR"/>
        </w:rPr>
        <w:t>σ</w:t>
      </w:r>
      <w:r w:rsidRPr="007246A9">
        <w:rPr>
          <w:rFonts w:ascii="Arial" w:hAnsi="Arial" w:cs="Arial"/>
          <w:sz w:val="18"/>
          <w:szCs w:val="18"/>
          <w:lang w:val="el-GR"/>
        </w:rPr>
        <w:t xml:space="preserve">υνήθων </w:t>
      </w:r>
      <w:r>
        <w:rPr>
          <w:rFonts w:ascii="Arial" w:hAnsi="Arial" w:cs="Arial"/>
          <w:sz w:val="18"/>
          <w:szCs w:val="18"/>
          <w:lang w:val="el-GR"/>
        </w:rPr>
        <w:t>μ</w:t>
      </w:r>
      <w:r w:rsidRPr="007246A9">
        <w:rPr>
          <w:rFonts w:ascii="Arial" w:hAnsi="Arial" w:cs="Arial"/>
          <w:sz w:val="18"/>
          <w:szCs w:val="18"/>
          <w:lang w:val="el-GR"/>
        </w:rPr>
        <w:t xml:space="preserve">ετοχών από </w:t>
      </w:r>
      <w:r>
        <w:rPr>
          <w:rFonts w:ascii="Arial" w:hAnsi="Arial" w:cs="Arial"/>
          <w:sz w:val="18"/>
          <w:szCs w:val="18"/>
          <w:lang w:val="el-GR"/>
        </w:rPr>
        <w:t xml:space="preserve">το </w:t>
      </w:r>
      <w:r w:rsidRPr="007246A9">
        <w:rPr>
          <w:rFonts w:ascii="Arial" w:hAnsi="Arial" w:cs="Arial"/>
          <w:sz w:val="18"/>
          <w:szCs w:val="18"/>
          <w:lang w:val="el-GR"/>
        </w:rPr>
        <w:t>LSE</w:t>
      </w:r>
      <w:r>
        <w:rPr>
          <w:rFonts w:ascii="Arial" w:hAnsi="Arial" w:cs="Arial"/>
          <w:sz w:val="18"/>
          <w:szCs w:val="18"/>
          <w:lang w:val="el-GR"/>
        </w:rPr>
        <w:t xml:space="preserve"> και η</w:t>
      </w:r>
      <w:r w:rsidRPr="007246A9">
        <w:rPr>
          <w:rFonts w:ascii="Arial" w:hAnsi="Arial" w:cs="Arial"/>
          <w:sz w:val="18"/>
          <w:szCs w:val="18"/>
          <w:lang w:val="el-GR"/>
        </w:rPr>
        <w:t xml:space="preserve"> επακόλουθη ακύρωση της εισαγωγής στο LSE</w:t>
      </w:r>
      <w:r>
        <w:rPr>
          <w:rFonts w:ascii="Arial" w:hAnsi="Arial" w:cs="Arial"/>
          <w:sz w:val="18"/>
          <w:szCs w:val="18"/>
          <w:lang w:val="el-GR"/>
        </w:rPr>
        <w:t xml:space="preserve"> </w:t>
      </w:r>
      <w:r w:rsidR="0029630D">
        <w:rPr>
          <w:rFonts w:ascii="Arial" w:hAnsi="Arial" w:cs="Arial"/>
          <w:sz w:val="18"/>
          <w:szCs w:val="18"/>
          <w:lang w:val="el-GR"/>
        </w:rPr>
        <w:t>σημειώθηκαν</w:t>
      </w:r>
      <w:r>
        <w:rPr>
          <w:rFonts w:ascii="Arial" w:hAnsi="Arial" w:cs="Arial"/>
          <w:sz w:val="18"/>
          <w:szCs w:val="18"/>
          <w:lang w:val="el-GR"/>
        </w:rPr>
        <w:t xml:space="preserve"> στις 19 Σεπτεμβρίου 2024.</w:t>
      </w:r>
      <w:r w:rsidR="0029630D">
        <w:rPr>
          <w:rFonts w:ascii="Arial" w:hAnsi="Arial" w:cs="Arial"/>
          <w:sz w:val="18"/>
          <w:szCs w:val="18"/>
          <w:lang w:val="el-GR"/>
        </w:rPr>
        <w:t xml:space="preserve"> Οι συνήθεις μετοχές του Συγκροτήματος παραμένουν εισηγμένες </w:t>
      </w:r>
      <w:r w:rsidR="007A79CC">
        <w:rPr>
          <w:rFonts w:ascii="Arial" w:hAnsi="Arial" w:cs="Arial"/>
          <w:sz w:val="18"/>
          <w:szCs w:val="18"/>
          <w:lang w:val="el-GR"/>
        </w:rPr>
        <w:t>σ</w:t>
      </w:r>
      <w:r w:rsidR="0029630D">
        <w:rPr>
          <w:rFonts w:ascii="Arial" w:hAnsi="Arial" w:cs="Arial"/>
          <w:sz w:val="18"/>
          <w:szCs w:val="18"/>
          <w:lang w:val="el-GR"/>
        </w:rPr>
        <w:t xml:space="preserve">το Χρηματιστήριο Αξιών Κύπρου (‘ΧΑΚ’). Στις 8 Οκτωβρίου 2024, οι συνήθεις μετοχές της Εταιρίας εισάχθηκαν στη σύνθεση των δεικτών ‘Γενικός Δείκτης Τιμών ΧΑ’ και ‘Δείκτης Συνολικής Απόδοσης Γενικού Δείκτη ΧΑ’. </w:t>
      </w:r>
    </w:p>
    <w:p w14:paraId="737E6305" w14:textId="61F92021" w:rsidR="00390FA1" w:rsidRPr="007246A9" w:rsidRDefault="0029630D" w:rsidP="000C5334">
      <w:pPr>
        <w:spacing w:line="240" w:lineRule="auto"/>
        <w:jc w:val="both"/>
        <w:rPr>
          <w:rFonts w:ascii="Arial" w:hAnsi="Arial" w:cs="Arial"/>
          <w:sz w:val="18"/>
          <w:szCs w:val="18"/>
          <w:lang w:val="el-GR"/>
        </w:rPr>
      </w:pPr>
      <w:r w:rsidRPr="007246A9">
        <w:rPr>
          <w:rFonts w:ascii="Arial" w:hAnsi="Arial" w:cs="Arial"/>
          <w:sz w:val="18"/>
          <w:szCs w:val="18"/>
          <w:lang w:val="el-GR"/>
        </w:rPr>
        <w:t>Το διοικητικό συμβούλιο</w:t>
      </w:r>
      <w:r>
        <w:rPr>
          <w:rFonts w:ascii="Arial" w:hAnsi="Arial" w:cs="Arial"/>
          <w:sz w:val="18"/>
          <w:szCs w:val="18"/>
          <w:lang w:val="el-GR"/>
        </w:rPr>
        <w:t xml:space="preserve"> του Συγκροτήματος </w:t>
      </w:r>
      <w:r w:rsidRPr="007246A9">
        <w:rPr>
          <w:rFonts w:ascii="Arial" w:hAnsi="Arial" w:cs="Arial"/>
          <w:sz w:val="18"/>
          <w:szCs w:val="18"/>
          <w:lang w:val="el-GR"/>
        </w:rPr>
        <w:t xml:space="preserve">πιστεύει ότι η εισαγωγή </w:t>
      </w:r>
      <w:r>
        <w:rPr>
          <w:rFonts w:ascii="Arial" w:hAnsi="Arial" w:cs="Arial"/>
          <w:sz w:val="18"/>
          <w:szCs w:val="18"/>
          <w:lang w:val="el-GR"/>
        </w:rPr>
        <w:t xml:space="preserve">στο ΧΑ και η διαγραφή από το </w:t>
      </w:r>
      <w:r>
        <w:rPr>
          <w:rFonts w:ascii="Arial" w:hAnsi="Arial" w:cs="Arial"/>
          <w:sz w:val="18"/>
          <w:szCs w:val="18"/>
          <w:lang w:val="en-US"/>
        </w:rPr>
        <w:t>LSE</w:t>
      </w:r>
      <w:r w:rsidRPr="007246A9">
        <w:rPr>
          <w:rFonts w:ascii="Arial" w:hAnsi="Arial" w:cs="Arial"/>
          <w:sz w:val="18"/>
          <w:szCs w:val="18"/>
          <w:lang w:val="el-GR"/>
        </w:rPr>
        <w:t xml:space="preserve"> έχει τη δυνατότητα να ενισχύσει τη ρευστότητα των</w:t>
      </w:r>
      <w:r>
        <w:rPr>
          <w:rFonts w:ascii="Arial" w:hAnsi="Arial" w:cs="Arial"/>
          <w:sz w:val="18"/>
          <w:szCs w:val="18"/>
          <w:lang w:val="el-GR"/>
        </w:rPr>
        <w:t xml:space="preserve"> συνήθων</w:t>
      </w:r>
      <w:r w:rsidRPr="007246A9">
        <w:rPr>
          <w:rFonts w:ascii="Arial" w:hAnsi="Arial" w:cs="Arial"/>
          <w:sz w:val="18"/>
          <w:szCs w:val="18"/>
          <w:lang w:val="el-GR"/>
        </w:rPr>
        <w:t xml:space="preserve"> μετοχών</w:t>
      </w:r>
      <w:r>
        <w:rPr>
          <w:rFonts w:ascii="Arial" w:hAnsi="Arial" w:cs="Arial"/>
          <w:sz w:val="18"/>
          <w:szCs w:val="18"/>
          <w:lang w:val="el-GR"/>
        </w:rPr>
        <w:t xml:space="preserve"> </w:t>
      </w:r>
      <w:r w:rsidRPr="007246A9">
        <w:rPr>
          <w:rFonts w:ascii="Arial" w:hAnsi="Arial" w:cs="Arial"/>
          <w:sz w:val="18"/>
          <w:szCs w:val="18"/>
          <w:lang w:val="el-GR"/>
        </w:rPr>
        <w:t xml:space="preserve">και την </w:t>
      </w:r>
      <w:r w:rsidRPr="0034047F">
        <w:rPr>
          <w:rFonts w:ascii="Arial" w:hAnsi="Arial" w:cs="Arial"/>
          <w:sz w:val="18"/>
          <w:szCs w:val="18"/>
          <w:lang w:val="el-GR"/>
        </w:rPr>
        <w:t>παρουσία του Συγκροτήματος στις αγορές</w:t>
      </w:r>
      <w:r>
        <w:rPr>
          <w:rFonts w:ascii="Arial" w:hAnsi="Arial" w:cs="Arial"/>
          <w:sz w:val="18"/>
          <w:szCs w:val="18"/>
          <w:lang w:val="el-GR"/>
        </w:rPr>
        <w:t xml:space="preserve"> </w:t>
      </w:r>
      <w:r w:rsidRPr="007246A9">
        <w:rPr>
          <w:rFonts w:ascii="Arial" w:hAnsi="Arial" w:cs="Arial"/>
          <w:sz w:val="18"/>
          <w:szCs w:val="18"/>
          <w:lang w:val="el-GR"/>
        </w:rPr>
        <w:t>προς όφελος των μετόχων και του Συγκροτήματος</w:t>
      </w:r>
      <w:r>
        <w:rPr>
          <w:rFonts w:ascii="Arial" w:hAnsi="Arial" w:cs="Arial"/>
          <w:sz w:val="18"/>
          <w:szCs w:val="18"/>
          <w:lang w:val="el-GR"/>
        </w:rPr>
        <w:t>.</w:t>
      </w:r>
    </w:p>
    <w:p w14:paraId="09E94324" w14:textId="77777777" w:rsidR="00743960" w:rsidRPr="00D41B36" w:rsidRDefault="00743960" w:rsidP="00B043BD">
      <w:pPr>
        <w:pStyle w:val="ListParagraph"/>
        <w:spacing w:line="360" w:lineRule="auto"/>
        <w:ind w:left="-567"/>
        <w:rPr>
          <w:rFonts w:ascii="Arial" w:hAnsi="Arial" w:cs="Arial"/>
          <w:b/>
          <w:color w:val="FF9900"/>
          <w:szCs w:val="16"/>
          <w:highlight w:val="yellow"/>
          <w:lang w:val="el-GR"/>
        </w:rPr>
      </w:pPr>
    </w:p>
    <w:p w14:paraId="70B830A4" w14:textId="77777777" w:rsidR="004009CD" w:rsidRPr="00D41B36" w:rsidRDefault="004009CD" w:rsidP="004009CD">
      <w:pPr>
        <w:spacing w:line="240" w:lineRule="auto"/>
        <w:rPr>
          <w:rFonts w:ascii="Arial" w:hAnsi="Arial" w:cs="Arial"/>
          <w:b/>
          <w:bCs/>
          <w:color w:val="FF9900"/>
          <w:highlight w:val="yellow"/>
          <w:lang w:val="el-GR"/>
        </w:rPr>
      </w:pPr>
    </w:p>
    <w:p w14:paraId="52643AE8" w14:textId="77777777" w:rsidR="004009CD" w:rsidRPr="00D41B36" w:rsidRDefault="004009CD" w:rsidP="004009CD">
      <w:pPr>
        <w:spacing w:line="240" w:lineRule="auto"/>
        <w:rPr>
          <w:rFonts w:ascii="Arial" w:hAnsi="Arial" w:cs="Arial"/>
          <w:b/>
          <w:bCs/>
          <w:color w:val="FF9900"/>
          <w:highlight w:val="yellow"/>
          <w:lang w:val="el-GR"/>
        </w:rPr>
      </w:pPr>
    </w:p>
    <w:p w14:paraId="105477B5" w14:textId="77777777" w:rsidR="00F95BEB" w:rsidRPr="00D41B36" w:rsidRDefault="00F95BEB" w:rsidP="004009CD">
      <w:pPr>
        <w:spacing w:line="240" w:lineRule="auto"/>
        <w:rPr>
          <w:rFonts w:ascii="Arial" w:hAnsi="Arial" w:cs="Arial"/>
          <w:b/>
          <w:bCs/>
          <w:color w:val="FF9900"/>
          <w:highlight w:val="yellow"/>
          <w:lang w:val="el-GR"/>
        </w:rPr>
      </w:pPr>
    </w:p>
    <w:p w14:paraId="70ACAF0D" w14:textId="25BF10B2" w:rsidR="00FF36F2" w:rsidRDefault="00FF36F2" w:rsidP="00352599">
      <w:pPr>
        <w:autoSpaceDE w:val="0"/>
        <w:autoSpaceDN w:val="0"/>
        <w:adjustRightInd w:val="0"/>
        <w:spacing w:after="160"/>
        <w:jc w:val="both"/>
        <w:rPr>
          <w:rFonts w:ascii="Arial" w:hAnsi="Arial" w:cs="Arial"/>
          <w:sz w:val="18"/>
          <w:highlight w:val="yellow"/>
          <w:lang w:val="el-GR"/>
        </w:rPr>
      </w:pPr>
    </w:p>
    <w:p w14:paraId="385CB866"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358A7C13"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70EFE8FE"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7DF65A4D"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588DC643"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227DBAA2"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37BFB4F5"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1E7CC299"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48EF670E"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5043FAF7"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5B62CDFE"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0EB8DFFC"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2A52141D"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4A496527"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094779C3"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548421DE"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40E6ED6A"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6AF163A2"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6C66C9E3" w14:textId="77777777" w:rsidR="004F0D6C" w:rsidRDefault="004F0D6C" w:rsidP="00352599">
      <w:pPr>
        <w:autoSpaceDE w:val="0"/>
        <w:autoSpaceDN w:val="0"/>
        <w:adjustRightInd w:val="0"/>
        <w:spacing w:after="160"/>
        <w:jc w:val="both"/>
        <w:rPr>
          <w:rFonts w:ascii="Arial" w:hAnsi="Arial" w:cs="Arial"/>
          <w:sz w:val="18"/>
          <w:highlight w:val="yellow"/>
          <w:lang w:val="el-GR"/>
        </w:rPr>
      </w:pPr>
    </w:p>
    <w:p w14:paraId="58F2C56D" w14:textId="77777777" w:rsidR="004F0D6C" w:rsidRPr="00D41B36" w:rsidRDefault="004F0D6C" w:rsidP="00352599">
      <w:pPr>
        <w:autoSpaceDE w:val="0"/>
        <w:autoSpaceDN w:val="0"/>
        <w:adjustRightInd w:val="0"/>
        <w:spacing w:after="160"/>
        <w:jc w:val="both"/>
        <w:rPr>
          <w:rFonts w:ascii="Arial" w:hAnsi="Arial" w:cs="Arial"/>
          <w:sz w:val="18"/>
          <w:highlight w:val="yellow"/>
          <w:lang w:val="el-GR"/>
        </w:rPr>
      </w:pPr>
    </w:p>
    <w:tbl>
      <w:tblPr>
        <w:tblStyle w:val="TableGrid"/>
        <w:tblW w:w="102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1"/>
        <w:gridCol w:w="1158"/>
        <w:gridCol w:w="1562"/>
        <w:gridCol w:w="1560"/>
        <w:gridCol w:w="1420"/>
      </w:tblGrid>
      <w:tr w:rsidR="00352599" w:rsidRPr="00910A4E" w14:paraId="4673818C" w14:textId="77777777" w:rsidTr="001A1A82">
        <w:trPr>
          <w:trHeight w:val="342"/>
        </w:trPr>
        <w:tc>
          <w:tcPr>
            <w:tcW w:w="10241" w:type="dxa"/>
            <w:gridSpan w:val="5"/>
          </w:tcPr>
          <w:p w14:paraId="497C73CE" w14:textId="02D7EF2F" w:rsidR="00532AD6" w:rsidRPr="007246A9" w:rsidRDefault="0088043F" w:rsidP="005C4C9A">
            <w:pPr>
              <w:ind w:right="-106"/>
              <w:jc w:val="both"/>
              <w:rPr>
                <w:rFonts w:ascii="Arial" w:hAnsi="Arial" w:cs="Arial"/>
                <w:sz w:val="18"/>
                <w:szCs w:val="18"/>
                <w:lang w:val="el-GR"/>
              </w:rPr>
            </w:pPr>
            <w:r w:rsidRPr="007246A9">
              <w:rPr>
                <w:rFonts w:ascii="Arial" w:hAnsi="Arial" w:cs="Arial"/>
                <w:b/>
                <w:color w:val="FF9900"/>
                <w:sz w:val="24"/>
                <w:szCs w:val="24"/>
                <w:lang w:val="el-GR"/>
              </w:rPr>
              <w:lastRenderedPageBreak/>
              <w:t>Α</w:t>
            </w:r>
            <w:r w:rsidR="00F95BEB" w:rsidRPr="007246A9">
              <w:rPr>
                <w:rFonts w:ascii="Arial" w:hAnsi="Arial" w:cs="Arial"/>
                <w:b/>
                <w:color w:val="FF9900"/>
                <w:sz w:val="24"/>
                <w:szCs w:val="24"/>
                <w:lang w:val="el-GR"/>
              </w:rPr>
              <w:t>. Οικονομικά Αποτελέσματα Συγκροτήματος – Υποκείμενη Βάση (συνέχεια)</w:t>
            </w:r>
          </w:p>
        </w:tc>
      </w:tr>
      <w:tr w:rsidR="00352599" w:rsidRPr="00910A4E" w14:paraId="53B9DBF9" w14:textId="77777777" w:rsidTr="001A1A82">
        <w:trPr>
          <w:trHeight w:val="342"/>
        </w:trPr>
        <w:tc>
          <w:tcPr>
            <w:tcW w:w="10241" w:type="dxa"/>
            <w:gridSpan w:val="5"/>
            <w:tcBorders>
              <w:bottom w:val="single" w:sz="4" w:space="0" w:color="7F7F7F" w:themeColor="text1" w:themeTint="80"/>
            </w:tcBorders>
          </w:tcPr>
          <w:p w14:paraId="583DBE49" w14:textId="2D135725" w:rsidR="00352599" w:rsidRPr="007246A9" w:rsidRDefault="0088043F" w:rsidP="00041D74">
            <w:pPr>
              <w:rPr>
                <w:rFonts w:ascii="Arial" w:hAnsi="Arial" w:cs="Arial"/>
                <w:b/>
                <w:bCs/>
                <w:color w:val="FF9900"/>
                <w:sz w:val="22"/>
                <w:szCs w:val="22"/>
                <w:lang w:val="el-GR"/>
              </w:rPr>
            </w:pPr>
            <w:r w:rsidRPr="007246A9">
              <w:rPr>
                <w:rFonts w:ascii="Arial" w:hAnsi="Arial" w:cs="Arial"/>
                <w:b/>
                <w:color w:val="FF9900"/>
                <w:lang w:val="el-GR"/>
              </w:rPr>
              <w:t xml:space="preserve">Μη Ελεγμένος </w:t>
            </w:r>
            <w:r w:rsidR="00F95BEB" w:rsidRPr="007246A9">
              <w:rPr>
                <w:rFonts w:ascii="Arial" w:hAnsi="Arial" w:cs="Arial"/>
                <w:b/>
                <w:color w:val="FF9900"/>
                <w:lang w:val="el-GR"/>
              </w:rPr>
              <w:t>Ενδιάμεσος</w:t>
            </w:r>
            <w:r w:rsidRPr="007246A9">
              <w:rPr>
                <w:rFonts w:ascii="Arial" w:hAnsi="Arial" w:cs="Arial"/>
                <w:b/>
                <w:color w:val="FF9900"/>
                <w:lang w:val="el-GR"/>
              </w:rPr>
              <w:t xml:space="preserve"> Συνοπτικός</w:t>
            </w:r>
            <w:r w:rsidR="00F95BEB" w:rsidRPr="007246A9">
              <w:rPr>
                <w:rFonts w:ascii="Arial" w:hAnsi="Arial" w:cs="Arial"/>
                <w:b/>
                <w:color w:val="FF9900"/>
                <w:lang w:val="el-GR"/>
              </w:rPr>
              <w:t xml:space="preserve"> Ενοποιημένος Ισολογισμός</w:t>
            </w:r>
          </w:p>
        </w:tc>
      </w:tr>
      <w:tr w:rsidR="007D7488" w:rsidRPr="00D41B36" w14:paraId="25D7ECAD" w14:textId="77777777" w:rsidTr="006A1797">
        <w:trPr>
          <w:trHeight w:val="312"/>
        </w:trPr>
        <w:tc>
          <w:tcPr>
            <w:tcW w:w="5699" w:type="dxa"/>
            <w:gridSpan w:val="2"/>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1C38B70D" w14:textId="77777777" w:rsidR="007D7488" w:rsidRPr="00D41B36" w:rsidRDefault="007D7488" w:rsidP="007D7488">
            <w:pPr>
              <w:rPr>
                <w:rFonts w:ascii="Arial" w:hAnsi="Arial" w:cs="Arial"/>
                <w:b/>
                <w:bCs/>
                <w:sz w:val="16"/>
                <w:szCs w:val="16"/>
                <w:highlight w:val="yellow"/>
              </w:rPr>
            </w:pPr>
            <w:r w:rsidRPr="007246A9">
              <w:rPr>
                <w:rFonts w:ascii="Arial" w:hAnsi="Arial" w:cs="Arial"/>
                <w:b/>
                <w:color w:val="000000"/>
                <w:sz w:val="16"/>
                <w:szCs w:val="16"/>
              </w:rPr>
              <w:t>€</w:t>
            </w:r>
            <w:r w:rsidRPr="007246A9">
              <w:rPr>
                <w:rFonts w:ascii="Arial" w:hAnsi="Arial" w:cs="Arial"/>
                <w:b/>
                <w:color w:val="000000"/>
                <w:sz w:val="16"/>
                <w:szCs w:val="16"/>
                <w:lang w:val="el-GR"/>
              </w:rPr>
              <w:t xml:space="preserve"> εκατ.</w:t>
            </w:r>
          </w:p>
        </w:tc>
        <w:tc>
          <w:tcPr>
            <w:tcW w:w="1562" w:type="dxa"/>
            <w:tcBorders>
              <w:top w:val="single" w:sz="4" w:space="0" w:color="7F7F7F" w:themeColor="text1" w:themeTint="80"/>
              <w:bottom w:val="single" w:sz="4" w:space="0" w:color="7F7F7F" w:themeColor="text1" w:themeTint="80"/>
            </w:tcBorders>
            <w:shd w:val="clear" w:color="auto" w:fill="auto"/>
            <w:vAlign w:val="center"/>
          </w:tcPr>
          <w:p w14:paraId="46D32E29" w14:textId="30FF9F43" w:rsidR="007D7488" w:rsidRPr="00D41B36" w:rsidRDefault="007D7488" w:rsidP="007D7488">
            <w:pPr>
              <w:jc w:val="right"/>
              <w:rPr>
                <w:rFonts w:ascii="Arial" w:hAnsi="Arial" w:cs="Arial"/>
                <w:b/>
                <w:bCs/>
                <w:sz w:val="16"/>
                <w:szCs w:val="16"/>
                <w:highlight w:val="yellow"/>
                <w:lang w:val="el-GR"/>
              </w:rPr>
            </w:pPr>
            <w:r w:rsidRPr="007246A9">
              <w:rPr>
                <w:rFonts w:ascii="Arial" w:hAnsi="Arial" w:cs="Arial"/>
                <w:b/>
                <w:bCs/>
                <w:sz w:val="16"/>
                <w:szCs w:val="16"/>
                <w:lang w:val="el-GR"/>
              </w:rPr>
              <w:t>30</w:t>
            </w:r>
            <w:r w:rsidRPr="007246A9">
              <w:rPr>
                <w:rFonts w:ascii="Arial" w:hAnsi="Arial" w:cs="Arial"/>
                <w:b/>
                <w:bCs/>
                <w:sz w:val="16"/>
                <w:szCs w:val="16"/>
              </w:rPr>
              <w:t>.0</w:t>
            </w:r>
            <w:r w:rsidR="0088043F" w:rsidRPr="007246A9">
              <w:rPr>
                <w:rFonts w:ascii="Arial" w:hAnsi="Arial" w:cs="Arial"/>
                <w:b/>
                <w:bCs/>
                <w:sz w:val="16"/>
                <w:szCs w:val="16"/>
                <w:lang w:val="el-GR"/>
              </w:rPr>
              <w:t>9</w:t>
            </w:r>
            <w:r w:rsidRPr="007246A9">
              <w:rPr>
                <w:rFonts w:ascii="Arial" w:hAnsi="Arial" w:cs="Arial"/>
                <w:b/>
                <w:bCs/>
                <w:sz w:val="16"/>
                <w:szCs w:val="16"/>
              </w:rPr>
              <w:t>.2024</w:t>
            </w:r>
          </w:p>
        </w:tc>
        <w:tc>
          <w:tcPr>
            <w:tcW w:w="1560" w:type="dxa"/>
            <w:tcBorders>
              <w:top w:val="single" w:sz="4" w:space="0" w:color="7F7F7F" w:themeColor="text1" w:themeTint="80"/>
              <w:bottom w:val="single" w:sz="4" w:space="0" w:color="7F7F7F" w:themeColor="text1" w:themeTint="80"/>
            </w:tcBorders>
            <w:vAlign w:val="center"/>
          </w:tcPr>
          <w:p w14:paraId="2E9EBCD4" w14:textId="353AC20E" w:rsidR="007D7488" w:rsidRPr="00D41B36" w:rsidRDefault="007D7488" w:rsidP="007D7488">
            <w:pPr>
              <w:jc w:val="right"/>
              <w:rPr>
                <w:rFonts w:ascii="Arial" w:hAnsi="Arial" w:cs="Arial"/>
                <w:b/>
                <w:bCs/>
                <w:sz w:val="16"/>
                <w:szCs w:val="16"/>
                <w:highlight w:val="yellow"/>
                <w:lang w:val="el-GR"/>
              </w:rPr>
            </w:pPr>
            <w:r w:rsidRPr="007246A9">
              <w:rPr>
                <w:rFonts w:ascii="Arial" w:hAnsi="Arial" w:cs="Arial"/>
                <w:b/>
                <w:bCs/>
                <w:sz w:val="16"/>
                <w:szCs w:val="16"/>
                <w:lang w:val="el-GR"/>
              </w:rPr>
              <w:t>31.12.2023</w:t>
            </w:r>
          </w:p>
        </w:tc>
        <w:tc>
          <w:tcPr>
            <w:tcW w:w="1420"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1ABED401" w14:textId="0DA7CC75" w:rsidR="007D7488" w:rsidRPr="007246A9" w:rsidRDefault="007D7488" w:rsidP="006A1797">
            <w:pPr>
              <w:jc w:val="right"/>
              <w:rPr>
                <w:rFonts w:ascii="Arial" w:hAnsi="Arial" w:cs="Arial"/>
                <w:b/>
                <w:bCs/>
                <w:sz w:val="16"/>
                <w:szCs w:val="16"/>
              </w:rPr>
            </w:pPr>
            <w:r w:rsidRPr="007246A9">
              <w:rPr>
                <w:rFonts w:ascii="Arial" w:hAnsi="Arial" w:cs="Arial"/>
                <w:b/>
                <w:bCs/>
                <w:sz w:val="16"/>
                <w:szCs w:val="16"/>
                <w:u w:val="single"/>
              </w:rPr>
              <w:t>+</w:t>
            </w:r>
            <w:r w:rsidRPr="007246A9">
              <w:rPr>
                <w:rFonts w:ascii="Arial" w:hAnsi="Arial" w:cs="Arial"/>
                <w:b/>
                <w:bCs/>
                <w:sz w:val="16"/>
                <w:szCs w:val="16"/>
              </w:rPr>
              <w:t>%</w:t>
            </w:r>
          </w:p>
        </w:tc>
      </w:tr>
      <w:tr w:rsidR="003517E9" w:rsidRPr="00D41B36" w14:paraId="4B5DB844" w14:textId="77777777" w:rsidTr="001A1A82">
        <w:trPr>
          <w:trHeight w:val="312"/>
        </w:trPr>
        <w:tc>
          <w:tcPr>
            <w:tcW w:w="5699" w:type="dxa"/>
            <w:gridSpan w:val="2"/>
            <w:tcBorders>
              <w:top w:val="single" w:sz="4" w:space="0" w:color="7F7F7F" w:themeColor="text1" w:themeTint="80"/>
            </w:tcBorders>
            <w:shd w:val="clear" w:color="auto" w:fill="auto"/>
            <w:vAlign w:val="center"/>
          </w:tcPr>
          <w:p w14:paraId="679F792B" w14:textId="77777777" w:rsidR="003517E9" w:rsidRPr="007246A9" w:rsidRDefault="003517E9" w:rsidP="003517E9">
            <w:pPr>
              <w:rPr>
                <w:rFonts w:ascii="Arial" w:hAnsi="Arial" w:cs="Arial"/>
                <w:b/>
                <w:bCs/>
                <w:sz w:val="16"/>
                <w:szCs w:val="16"/>
                <w:lang w:val="el-GR"/>
              </w:rPr>
            </w:pPr>
            <w:r w:rsidRPr="007246A9">
              <w:rPr>
                <w:rFonts w:ascii="Arial" w:hAnsi="Arial" w:cs="Arial"/>
                <w:color w:val="000000"/>
                <w:sz w:val="16"/>
                <w:szCs w:val="16"/>
                <w:lang w:val="el-GR"/>
              </w:rPr>
              <w:t>Μετρητά και καταθέσεις με κεντρικές τράπεζες</w:t>
            </w:r>
          </w:p>
        </w:tc>
        <w:tc>
          <w:tcPr>
            <w:tcW w:w="1562" w:type="dxa"/>
            <w:tcBorders>
              <w:top w:val="single" w:sz="4" w:space="0" w:color="7F7F7F" w:themeColor="text1" w:themeTint="80"/>
            </w:tcBorders>
            <w:vAlign w:val="center"/>
          </w:tcPr>
          <w:p w14:paraId="6BF85C08" w14:textId="79333B3B" w:rsidR="003517E9" w:rsidRPr="003517E9" w:rsidRDefault="003517E9" w:rsidP="003517E9">
            <w:pPr>
              <w:jc w:val="right"/>
              <w:rPr>
                <w:rFonts w:ascii="Arial" w:hAnsi="Arial" w:cs="Arial"/>
                <w:b/>
                <w:bCs/>
                <w:color w:val="FF0000"/>
                <w:sz w:val="16"/>
                <w:szCs w:val="16"/>
                <w:lang w:val="el-GR"/>
              </w:rPr>
            </w:pPr>
            <w:r w:rsidRPr="00502B4F">
              <w:rPr>
                <w:rFonts w:ascii="Arial" w:hAnsi="Arial" w:cs="Arial"/>
                <w:b/>
                <w:bCs/>
                <w:sz w:val="16"/>
                <w:szCs w:val="16"/>
              </w:rPr>
              <w:t>7,517</w:t>
            </w:r>
          </w:p>
        </w:tc>
        <w:tc>
          <w:tcPr>
            <w:tcW w:w="1560" w:type="dxa"/>
            <w:tcBorders>
              <w:top w:val="single" w:sz="4" w:space="0" w:color="7F7F7F" w:themeColor="text1" w:themeTint="80"/>
            </w:tcBorders>
            <w:vAlign w:val="center"/>
          </w:tcPr>
          <w:p w14:paraId="31EF90F3" w14:textId="3D743EC5"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9,615</w:t>
            </w:r>
          </w:p>
        </w:tc>
        <w:tc>
          <w:tcPr>
            <w:tcW w:w="1420" w:type="dxa"/>
            <w:tcBorders>
              <w:top w:val="single" w:sz="4" w:space="0" w:color="7F7F7F" w:themeColor="text1" w:themeTint="80"/>
            </w:tcBorders>
            <w:vAlign w:val="center"/>
          </w:tcPr>
          <w:p w14:paraId="4E987F70" w14:textId="2F98DA9E" w:rsidR="003517E9" w:rsidRPr="003517E9" w:rsidRDefault="003517E9" w:rsidP="003517E9">
            <w:pPr>
              <w:jc w:val="right"/>
              <w:rPr>
                <w:rFonts w:ascii="Arial" w:hAnsi="Arial" w:cs="Arial"/>
                <w:color w:val="FF0000"/>
                <w:sz w:val="16"/>
                <w:szCs w:val="16"/>
              </w:rPr>
            </w:pPr>
            <w:r w:rsidRPr="00502B4F">
              <w:rPr>
                <w:rFonts w:ascii="Arial" w:hAnsi="Arial" w:cs="Arial"/>
                <w:sz w:val="16"/>
                <w:szCs w:val="16"/>
              </w:rPr>
              <w:t>-22%</w:t>
            </w:r>
          </w:p>
        </w:tc>
      </w:tr>
      <w:tr w:rsidR="003517E9" w:rsidRPr="00D41B36" w14:paraId="7A48C015" w14:textId="77777777" w:rsidTr="001A1A82">
        <w:trPr>
          <w:trHeight w:val="312"/>
        </w:trPr>
        <w:tc>
          <w:tcPr>
            <w:tcW w:w="5699" w:type="dxa"/>
            <w:gridSpan w:val="2"/>
            <w:shd w:val="clear" w:color="auto" w:fill="auto"/>
            <w:vAlign w:val="center"/>
          </w:tcPr>
          <w:p w14:paraId="6572D49B" w14:textId="77777777" w:rsidR="003517E9" w:rsidRPr="007246A9" w:rsidRDefault="003517E9" w:rsidP="003517E9">
            <w:pPr>
              <w:rPr>
                <w:rFonts w:ascii="Arial" w:hAnsi="Arial" w:cs="Arial"/>
                <w:b/>
                <w:bCs/>
                <w:sz w:val="16"/>
                <w:szCs w:val="16"/>
                <w:lang w:val="el-GR"/>
              </w:rPr>
            </w:pPr>
            <w:r w:rsidRPr="007246A9">
              <w:rPr>
                <w:rFonts w:ascii="Arial" w:hAnsi="Arial" w:cs="Arial"/>
                <w:color w:val="000000"/>
                <w:sz w:val="16"/>
                <w:szCs w:val="16"/>
                <w:lang w:val="el-GR"/>
              </w:rPr>
              <w:t>Δάνεια και απαιτήσεις σε τράπεζες</w:t>
            </w:r>
          </w:p>
        </w:tc>
        <w:tc>
          <w:tcPr>
            <w:tcW w:w="1562" w:type="dxa"/>
            <w:vAlign w:val="center"/>
          </w:tcPr>
          <w:p w14:paraId="0153183A" w14:textId="1607AB14" w:rsidR="003517E9" w:rsidRPr="003517E9" w:rsidRDefault="003517E9" w:rsidP="003517E9">
            <w:pPr>
              <w:jc w:val="right"/>
              <w:rPr>
                <w:rFonts w:ascii="Arial" w:hAnsi="Arial" w:cs="Arial"/>
                <w:b/>
                <w:bCs/>
                <w:color w:val="FF0000"/>
                <w:sz w:val="16"/>
                <w:szCs w:val="16"/>
                <w:lang w:val="el-GR"/>
              </w:rPr>
            </w:pPr>
            <w:r w:rsidRPr="00502B4F">
              <w:rPr>
                <w:rFonts w:ascii="Arial" w:hAnsi="Arial" w:cs="Arial"/>
                <w:b/>
                <w:bCs/>
                <w:sz w:val="16"/>
                <w:szCs w:val="16"/>
              </w:rPr>
              <w:t>337</w:t>
            </w:r>
          </w:p>
        </w:tc>
        <w:tc>
          <w:tcPr>
            <w:tcW w:w="1560" w:type="dxa"/>
            <w:vAlign w:val="center"/>
          </w:tcPr>
          <w:p w14:paraId="6BD51B58" w14:textId="3F3AE346"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385</w:t>
            </w:r>
          </w:p>
        </w:tc>
        <w:tc>
          <w:tcPr>
            <w:tcW w:w="1420" w:type="dxa"/>
            <w:vAlign w:val="center"/>
          </w:tcPr>
          <w:p w14:paraId="6986FA99" w14:textId="512DD96F" w:rsidR="003517E9" w:rsidRPr="003517E9" w:rsidRDefault="003517E9" w:rsidP="003517E9">
            <w:pPr>
              <w:jc w:val="right"/>
              <w:rPr>
                <w:rFonts w:ascii="Arial" w:hAnsi="Arial" w:cs="Arial"/>
                <w:color w:val="FF0000"/>
                <w:sz w:val="16"/>
                <w:szCs w:val="16"/>
              </w:rPr>
            </w:pPr>
            <w:r w:rsidRPr="00502B4F">
              <w:rPr>
                <w:rFonts w:ascii="Arial" w:hAnsi="Arial" w:cs="Arial"/>
                <w:sz w:val="16"/>
                <w:szCs w:val="16"/>
              </w:rPr>
              <w:t>-12%</w:t>
            </w:r>
          </w:p>
        </w:tc>
      </w:tr>
      <w:tr w:rsidR="003517E9" w:rsidRPr="00D41B36" w14:paraId="1175F89C" w14:textId="77777777" w:rsidTr="001A1A82">
        <w:trPr>
          <w:trHeight w:val="312"/>
        </w:trPr>
        <w:tc>
          <w:tcPr>
            <w:tcW w:w="5699" w:type="dxa"/>
            <w:gridSpan w:val="2"/>
            <w:shd w:val="clear" w:color="auto" w:fill="auto"/>
            <w:vAlign w:val="center"/>
          </w:tcPr>
          <w:p w14:paraId="7A54DD75" w14:textId="78B35327" w:rsidR="003517E9" w:rsidRPr="007246A9" w:rsidRDefault="003517E9" w:rsidP="003517E9">
            <w:pPr>
              <w:rPr>
                <w:rFonts w:ascii="Arial" w:hAnsi="Arial" w:cs="Arial"/>
                <w:color w:val="000000"/>
                <w:sz w:val="16"/>
                <w:szCs w:val="16"/>
                <w:lang w:val="el-GR"/>
              </w:rPr>
            </w:pPr>
            <w:r w:rsidRPr="007246A9">
              <w:rPr>
                <w:rFonts w:ascii="Arial" w:hAnsi="Arial" w:cs="Arial"/>
                <w:color w:val="000000"/>
                <w:sz w:val="16"/>
                <w:szCs w:val="16"/>
                <w:lang w:val="el-GR"/>
              </w:rPr>
              <w:t xml:space="preserve">Συμφωνίες </w:t>
            </w:r>
            <w:proofErr w:type="spellStart"/>
            <w:r w:rsidRPr="007246A9">
              <w:rPr>
                <w:rFonts w:ascii="Arial" w:hAnsi="Arial" w:cs="Arial"/>
                <w:color w:val="000000"/>
                <w:sz w:val="16"/>
                <w:szCs w:val="16"/>
                <w:lang w:val="el-GR"/>
              </w:rPr>
              <w:t>επαναπώλησης</w:t>
            </w:r>
            <w:proofErr w:type="spellEnd"/>
            <w:r>
              <w:rPr>
                <w:rFonts w:ascii="Arial" w:hAnsi="Arial" w:cs="Arial"/>
                <w:color w:val="000000"/>
                <w:sz w:val="16"/>
                <w:szCs w:val="16"/>
                <w:lang w:val="el-GR"/>
              </w:rPr>
              <w:t xml:space="preserve"> τίτλων</w:t>
            </w:r>
          </w:p>
        </w:tc>
        <w:tc>
          <w:tcPr>
            <w:tcW w:w="1562" w:type="dxa"/>
            <w:vAlign w:val="center"/>
          </w:tcPr>
          <w:p w14:paraId="24C0C0ED" w14:textId="66FB4B77"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1,023</w:t>
            </w:r>
          </w:p>
        </w:tc>
        <w:tc>
          <w:tcPr>
            <w:tcW w:w="1560" w:type="dxa"/>
            <w:vAlign w:val="center"/>
          </w:tcPr>
          <w:p w14:paraId="11B5FB79" w14:textId="518B13C2"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403</w:t>
            </w:r>
          </w:p>
        </w:tc>
        <w:tc>
          <w:tcPr>
            <w:tcW w:w="1420" w:type="dxa"/>
            <w:vAlign w:val="center"/>
          </w:tcPr>
          <w:p w14:paraId="0D7D0D5A" w14:textId="5F81D929" w:rsidR="003517E9" w:rsidRPr="003517E9" w:rsidRDefault="003517E9" w:rsidP="003517E9">
            <w:pPr>
              <w:jc w:val="right"/>
              <w:rPr>
                <w:rFonts w:ascii="Arial" w:hAnsi="Arial" w:cs="Arial"/>
                <w:color w:val="FF0000"/>
                <w:sz w:val="16"/>
                <w:szCs w:val="16"/>
              </w:rPr>
            </w:pPr>
            <w:r w:rsidRPr="00502B4F">
              <w:rPr>
                <w:rFonts w:ascii="Arial" w:hAnsi="Arial" w:cs="Arial"/>
                <w:sz w:val="16"/>
                <w:szCs w:val="16"/>
              </w:rPr>
              <w:t>154%</w:t>
            </w:r>
          </w:p>
        </w:tc>
      </w:tr>
      <w:tr w:rsidR="003517E9" w:rsidRPr="00D41B36" w14:paraId="0B5CCA1F" w14:textId="77777777" w:rsidTr="001A1A82">
        <w:trPr>
          <w:trHeight w:val="312"/>
        </w:trPr>
        <w:tc>
          <w:tcPr>
            <w:tcW w:w="5699" w:type="dxa"/>
            <w:gridSpan w:val="2"/>
            <w:shd w:val="clear" w:color="auto" w:fill="auto"/>
            <w:vAlign w:val="center"/>
          </w:tcPr>
          <w:p w14:paraId="53FDD32C" w14:textId="598DA83B" w:rsidR="003517E9" w:rsidRPr="007246A9" w:rsidRDefault="003517E9" w:rsidP="003517E9">
            <w:pPr>
              <w:rPr>
                <w:rFonts w:ascii="Arial" w:hAnsi="Arial" w:cs="Arial"/>
                <w:b/>
                <w:bCs/>
                <w:sz w:val="16"/>
                <w:szCs w:val="16"/>
                <w:lang w:val="el-GR"/>
              </w:rPr>
            </w:pPr>
            <w:r w:rsidRPr="007246A9">
              <w:rPr>
                <w:rFonts w:ascii="Arial" w:hAnsi="Arial" w:cs="Arial"/>
                <w:color w:val="000000"/>
                <w:sz w:val="16"/>
                <w:szCs w:val="16"/>
                <w:lang w:val="el-GR"/>
              </w:rPr>
              <w:t xml:space="preserve">Ομόλογα, κρατικά αξιόγραφα και </w:t>
            </w:r>
            <w:r>
              <w:rPr>
                <w:rFonts w:ascii="Arial" w:hAnsi="Arial" w:cs="Arial"/>
                <w:color w:val="000000"/>
                <w:sz w:val="16"/>
                <w:szCs w:val="16"/>
                <w:lang w:val="el-GR"/>
              </w:rPr>
              <w:t>επενδύσεις σε συμμετοχικούς τίτλους</w:t>
            </w:r>
          </w:p>
        </w:tc>
        <w:tc>
          <w:tcPr>
            <w:tcW w:w="1562" w:type="dxa"/>
            <w:vAlign w:val="center"/>
          </w:tcPr>
          <w:p w14:paraId="4B9B2E67" w14:textId="1374D203" w:rsidR="003517E9" w:rsidRPr="003517E9" w:rsidRDefault="003517E9" w:rsidP="003517E9">
            <w:pPr>
              <w:jc w:val="right"/>
              <w:rPr>
                <w:rFonts w:ascii="Arial" w:hAnsi="Arial" w:cs="Arial"/>
                <w:b/>
                <w:bCs/>
                <w:color w:val="FF0000"/>
                <w:sz w:val="16"/>
                <w:szCs w:val="16"/>
                <w:lang w:val="el-GR"/>
              </w:rPr>
            </w:pPr>
            <w:r w:rsidRPr="00502B4F">
              <w:rPr>
                <w:rFonts w:ascii="Arial" w:hAnsi="Arial" w:cs="Arial"/>
                <w:b/>
                <w:bCs/>
                <w:sz w:val="16"/>
                <w:szCs w:val="16"/>
              </w:rPr>
              <w:t>4,199</w:t>
            </w:r>
          </w:p>
        </w:tc>
        <w:tc>
          <w:tcPr>
            <w:tcW w:w="1560" w:type="dxa"/>
            <w:vAlign w:val="center"/>
          </w:tcPr>
          <w:p w14:paraId="1B500315" w14:textId="03A987F2"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3,695</w:t>
            </w:r>
          </w:p>
        </w:tc>
        <w:tc>
          <w:tcPr>
            <w:tcW w:w="1420" w:type="dxa"/>
            <w:vAlign w:val="center"/>
          </w:tcPr>
          <w:p w14:paraId="6792F20D" w14:textId="19D11400" w:rsidR="003517E9" w:rsidRPr="003517E9" w:rsidRDefault="003517E9" w:rsidP="003517E9">
            <w:pPr>
              <w:jc w:val="right"/>
              <w:rPr>
                <w:rFonts w:ascii="Arial" w:hAnsi="Arial" w:cs="Arial"/>
                <w:color w:val="FF0000"/>
                <w:sz w:val="16"/>
                <w:szCs w:val="16"/>
              </w:rPr>
            </w:pPr>
            <w:r w:rsidRPr="00502B4F">
              <w:rPr>
                <w:rFonts w:ascii="Arial" w:hAnsi="Arial" w:cs="Arial"/>
                <w:sz w:val="16"/>
                <w:szCs w:val="16"/>
              </w:rPr>
              <w:t>14%</w:t>
            </w:r>
          </w:p>
        </w:tc>
      </w:tr>
      <w:tr w:rsidR="003517E9" w:rsidRPr="00D41B36" w14:paraId="71D76731" w14:textId="77777777" w:rsidTr="001A1A82">
        <w:trPr>
          <w:trHeight w:val="312"/>
        </w:trPr>
        <w:tc>
          <w:tcPr>
            <w:tcW w:w="5699" w:type="dxa"/>
            <w:gridSpan w:val="2"/>
            <w:shd w:val="clear" w:color="auto" w:fill="auto"/>
            <w:vAlign w:val="center"/>
          </w:tcPr>
          <w:p w14:paraId="01C2C23C" w14:textId="77777777" w:rsidR="003517E9" w:rsidRPr="007246A9" w:rsidRDefault="003517E9" w:rsidP="003517E9">
            <w:pPr>
              <w:rPr>
                <w:rFonts w:ascii="Arial" w:hAnsi="Arial" w:cs="Arial"/>
                <w:b/>
                <w:bCs/>
                <w:sz w:val="16"/>
                <w:szCs w:val="16"/>
                <w:lang w:val="el-GR"/>
              </w:rPr>
            </w:pPr>
            <w:r w:rsidRPr="007246A9">
              <w:rPr>
                <w:rFonts w:ascii="Arial" w:hAnsi="Arial" w:cs="Arial"/>
                <w:color w:val="000000"/>
                <w:sz w:val="16"/>
                <w:szCs w:val="16"/>
                <w:lang w:val="el-GR"/>
              </w:rPr>
              <w:t>Καθαρά δάνεια και απαιτήσεις από πελάτες</w:t>
            </w:r>
          </w:p>
        </w:tc>
        <w:tc>
          <w:tcPr>
            <w:tcW w:w="1562" w:type="dxa"/>
            <w:vAlign w:val="center"/>
          </w:tcPr>
          <w:p w14:paraId="27A22967" w14:textId="04F9099D" w:rsidR="003517E9" w:rsidRPr="003517E9" w:rsidRDefault="003517E9" w:rsidP="003517E9">
            <w:pPr>
              <w:jc w:val="right"/>
              <w:rPr>
                <w:rFonts w:ascii="Arial" w:hAnsi="Arial" w:cs="Arial"/>
                <w:b/>
                <w:bCs/>
                <w:color w:val="FF0000"/>
                <w:sz w:val="16"/>
                <w:szCs w:val="16"/>
                <w:lang w:val="el-GR"/>
              </w:rPr>
            </w:pPr>
            <w:r w:rsidRPr="00502B4F">
              <w:rPr>
                <w:rFonts w:ascii="Arial" w:hAnsi="Arial" w:cs="Arial"/>
                <w:b/>
                <w:bCs/>
                <w:sz w:val="16"/>
                <w:szCs w:val="16"/>
              </w:rPr>
              <w:t>10,031</w:t>
            </w:r>
          </w:p>
        </w:tc>
        <w:tc>
          <w:tcPr>
            <w:tcW w:w="1560" w:type="dxa"/>
            <w:vAlign w:val="center"/>
          </w:tcPr>
          <w:p w14:paraId="131B1157" w14:textId="60F275B2"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9,822</w:t>
            </w:r>
          </w:p>
        </w:tc>
        <w:tc>
          <w:tcPr>
            <w:tcW w:w="1420" w:type="dxa"/>
            <w:vAlign w:val="center"/>
          </w:tcPr>
          <w:p w14:paraId="1074F493" w14:textId="509A0734" w:rsidR="003517E9" w:rsidRPr="003517E9" w:rsidRDefault="003517E9" w:rsidP="003517E9">
            <w:pPr>
              <w:jc w:val="right"/>
              <w:rPr>
                <w:rFonts w:ascii="Arial" w:hAnsi="Arial" w:cs="Arial"/>
                <w:color w:val="FF0000"/>
                <w:sz w:val="16"/>
                <w:szCs w:val="16"/>
              </w:rPr>
            </w:pPr>
            <w:r w:rsidRPr="00502B4F">
              <w:rPr>
                <w:rFonts w:ascii="Arial" w:hAnsi="Arial" w:cs="Arial"/>
                <w:sz w:val="16"/>
                <w:szCs w:val="16"/>
              </w:rPr>
              <w:t>2%</w:t>
            </w:r>
          </w:p>
        </w:tc>
      </w:tr>
      <w:tr w:rsidR="003517E9" w:rsidRPr="00D41B36" w14:paraId="5F43C403" w14:textId="77777777" w:rsidTr="001A1A82">
        <w:trPr>
          <w:trHeight w:val="312"/>
        </w:trPr>
        <w:tc>
          <w:tcPr>
            <w:tcW w:w="5699" w:type="dxa"/>
            <w:gridSpan w:val="2"/>
            <w:shd w:val="clear" w:color="auto" w:fill="auto"/>
            <w:vAlign w:val="center"/>
          </w:tcPr>
          <w:p w14:paraId="6F9EC10D" w14:textId="77777777" w:rsidR="003517E9" w:rsidRPr="007246A9" w:rsidRDefault="003517E9" w:rsidP="003517E9">
            <w:pPr>
              <w:rPr>
                <w:rFonts w:ascii="Arial" w:hAnsi="Arial" w:cs="Arial"/>
                <w:b/>
                <w:bCs/>
                <w:sz w:val="16"/>
                <w:szCs w:val="16"/>
              </w:rPr>
            </w:pPr>
            <w:r w:rsidRPr="007246A9">
              <w:rPr>
                <w:rFonts w:ascii="Arial" w:hAnsi="Arial" w:cs="Arial"/>
                <w:color w:val="000000"/>
                <w:sz w:val="16"/>
                <w:szCs w:val="16"/>
              </w:rPr>
              <w:t>Απ</w:t>
            </w:r>
            <w:proofErr w:type="spellStart"/>
            <w:r w:rsidRPr="007246A9">
              <w:rPr>
                <w:rFonts w:ascii="Arial" w:hAnsi="Arial" w:cs="Arial"/>
                <w:color w:val="000000"/>
                <w:sz w:val="16"/>
                <w:szCs w:val="16"/>
              </w:rPr>
              <w:t>οθέμ</w:t>
            </w:r>
            <w:proofErr w:type="spellEnd"/>
            <w:r w:rsidRPr="007246A9">
              <w:rPr>
                <w:rFonts w:ascii="Arial" w:hAnsi="Arial" w:cs="Arial"/>
                <w:color w:val="000000"/>
                <w:sz w:val="16"/>
                <w:szCs w:val="16"/>
              </w:rPr>
              <w:t>ατα α</w:t>
            </w:r>
            <w:proofErr w:type="spellStart"/>
            <w:r w:rsidRPr="007246A9">
              <w:rPr>
                <w:rFonts w:ascii="Arial" w:hAnsi="Arial" w:cs="Arial"/>
                <w:color w:val="000000"/>
                <w:sz w:val="16"/>
                <w:szCs w:val="16"/>
              </w:rPr>
              <w:t>κινήτων</w:t>
            </w:r>
            <w:proofErr w:type="spellEnd"/>
          </w:p>
        </w:tc>
        <w:tc>
          <w:tcPr>
            <w:tcW w:w="1562" w:type="dxa"/>
            <w:vAlign w:val="center"/>
          </w:tcPr>
          <w:p w14:paraId="38611279" w14:textId="4013320E"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742</w:t>
            </w:r>
          </w:p>
        </w:tc>
        <w:tc>
          <w:tcPr>
            <w:tcW w:w="1560" w:type="dxa"/>
            <w:vAlign w:val="center"/>
          </w:tcPr>
          <w:p w14:paraId="7F0E8472" w14:textId="3B740699"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826</w:t>
            </w:r>
          </w:p>
        </w:tc>
        <w:tc>
          <w:tcPr>
            <w:tcW w:w="1420" w:type="dxa"/>
            <w:vAlign w:val="center"/>
          </w:tcPr>
          <w:p w14:paraId="6AFBF71B" w14:textId="6D2DE84E" w:rsidR="003517E9" w:rsidRPr="003517E9" w:rsidRDefault="003517E9" w:rsidP="003517E9">
            <w:pPr>
              <w:jc w:val="right"/>
              <w:rPr>
                <w:rFonts w:ascii="Arial" w:hAnsi="Arial" w:cs="Arial"/>
                <w:color w:val="FF0000"/>
                <w:sz w:val="16"/>
                <w:szCs w:val="16"/>
              </w:rPr>
            </w:pPr>
            <w:r w:rsidRPr="00502B4F">
              <w:rPr>
                <w:rFonts w:ascii="Arial" w:hAnsi="Arial" w:cs="Arial"/>
                <w:sz w:val="16"/>
                <w:szCs w:val="16"/>
              </w:rPr>
              <w:t>-10%</w:t>
            </w:r>
          </w:p>
        </w:tc>
      </w:tr>
      <w:tr w:rsidR="003517E9" w:rsidRPr="00D41B36" w14:paraId="12F4A9C4" w14:textId="77777777" w:rsidTr="001A1A82">
        <w:trPr>
          <w:trHeight w:val="312"/>
        </w:trPr>
        <w:tc>
          <w:tcPr>
            <w:tcW w:w="5699" w:type="dxa"/>
            <w:gridSpan w:val="2"/>
            <w:shd w:val="clear" w:color="auto" w:fill="auto"/>
            <w:vAlign w:val="center"/>
          </w:tcPr>
          <w:p w14:paraId="45C39502" w14:textId="77777777" w:rsidR="003517E9" w:rsidRPr="007246A9" w:rsidRDefault="003517E9" w:rsidP="003517E9">
            <w:pPr>
              <w:rPr>
                <w:rFonts w:ascii="Arial" w:hAnsi="Arial" w:cs="Arial"/>
                <w:b/>
                <w:bCs/>
                <w:sz w:val="16"/>
                <w:szCs w:val="16"/>
              </w:rPr>
            </w:pPr>
            <w:r w:rsidRPr="007246A9">
              <w:rPr>
                <w:rFonts w:ascii="Arial" w:hAnsi="Arial" w:cs="Arial"/>
                <w:sz w:val="16"/>
                <w:szCs w:val="16"/>
              </w:rPr>
              <w:t>Επ</w:t>
            </w:r>
            <w:proofErr w:type="spellStart"/>
            <w:r w:rsidRPr="007246A9">
              <w:rPr>
                <w:rFonts w:ascii="Arial" w:hAnsi="Arial" w:cs="Arial"/>
                <w:sz w:val="16"/>
                <w:szCs w:val="16"/>
              </w:rPr>
              <w:t>ενδύσεις</w:t>
            </w:r>
            <w:proofErr w:type="spellEnd"/>
            <w:r w:rsidRPr="007246A9">
              <w:rPr>
                <w:rFonts w:ascii="Arial" w:hAnsi="Arial" w:cs="Arial"/>
                <w:sz w:val="16"/>
                <w:szCs w:val="16"/>
              </w:rPr>
              <w:t xml:space="preserve"> σε α</w:t>
            </w:r>
            <w:proofErr w:type="spellStart"/>
            <w:r w:rsidRPr="007246A9">
              <w:rPr>
                <w:rFonts w:ascii="Arial" w:hAnsi="Arial" w:cs="Arial"/>
                <w:sz w:val="16"/>
                <w:szCs w:val="16"/>
              </w:rPr>
              <w:t>κίνητ</w:t>
            </w:r>
            <w:proofErr w:type="spellEnd"/>
            <w:r w:rsidRPr="007246A9">
              <w:rPr>
                <w:rFonts w:ascii="Arial" w:hAnsi="Arial" w:cs="Arial"/>
                <w:sz w:val="16"/>
                <w:szCs w:val="16"/>
              </w:rPr>
              <w:t>α</w:t>
            </w:r>
          </w:p>
        </w:tc>
        <w:tc>
          <w:tcPr>
            <w:tcW w:w="1562" w:type="dxa"/>
            <w:vAlign w:val="center"/>
          </w:tcPr>
          <w:p w14:paraId="7B385978" w14:textId="1535F88B"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50</w:t>
            </w:r>
          </w:p>
        </w:tc>
        <w:tc>
          <w:tcPr>
            <w:tcW w:w="1560" w:type="dxa"/>
            <w:vAlign w:val="center"/>
          </w:tcPr>
          <w:p w14:paraId="3BCD5870" w14:textId="528C97E1" w:rsidR="003517E9" w:rsidRPr="003517E9" w:rsidRDefault="003517E9" w:rsidP="003517E9">
            <w:pPr>
              <w:jc w:val="right"/>
              <w:rPr>
                <w:rFonts w:ascii="Arial" w:hAnsi="Arial" w:cs="Arial"/>
                <w:sz w:val="16"/>
                <w:szCs w:val="16"/>
              </w:rPr>
            </w:pPr>
            <w:r w:rsidRPr="00502B4F">
              <w:rPr>
                <w:rFonts w:ascii="Arial" w:hAnsi="Arial" w:cs="Arial"/>
                <w:b/>
                <w:bCs/>
                <w:sz w:val="16"/>
                <w:szCs w:val="16"/>
              </w:rPr>
              <w:t>62</w:t>
            </w:r>
          </w:p>
        </w:tc>
        <w:tc>
          <w:tcPr>
            <w:tcW w:w="1420" w:type="dxa"/>
            <w:vAlign w:val="center"/>
          </w:tcPr>
          <w:p w14:paraId="4FC6A6AA" w14:textId="76AB7318" w:rsidR="003517E9" w:rsidRPr="003517E9" w:rsidRDefault="003517E9" w:rsidP="003517E9">
            <w:pPr>
              <w:jc w:val="right"/>
              <w:rPr>
                <w:rFonts w:ascii="Arial" w:hAnsi="Arial" w:cs="Arial"/>
                <w:color w:val="FF0000"/>
                <w:sz w:val="16"/>
                <w:szCs w:val="16"/>
              </w:rPr>
            </w:pPr>
            <w:r w:rsidRPr="00502B4F">
              <w:rPr>
                <w:rFonts w:ascii="Arial" w:hAnsi="Arial" w:cs="Arial"/>
                <w:sz w:val="16"/>
                <w:szCs w:val="16"/>
              </w:rPr>
              <w:t>-19%</w:t>
            </w:r>
          </w:p>
        </w:tc>
      </w:tr>
      <w:tr w:rsidR="003517E9" w:rsidRPr="00D41B36" w14:paraId="130A6874" w14:textId="77777777" w:rsidTr="001A1A82">
        <w:trPr>
          <w:trHeight w:val="312"/>
        </w:trPr>
        <w:tc>
          <w:tcPr>
            <w:tcW w:w="5699" w:type="dxa"/>
            <w:gridSpan w:val="2"/>
            <w:shd w:val="clear" w:color="auto" w:fill="auto"/>
            <w:vAlign w:val="center"/>
          </w:tcPr>
          <w:p w14:paraId="4F218E28" w14:textId="77777777" w:rsidR="003517E9" w:rsidRPr="007246A9" w:rsidRDefault="003517E9" w:rsidP="003517E9">
            <w:pPr>
              <w:rPr>
                <w:rFonts w:ascii="Arial" w:hAnsi="Arial" w:cs="Arial"/>
                <w:b/>
                <w:bCs/>
                <w:sz w:val="16"/>
                <w:szCs w:val="16"/>
              </w:rPr>
            </w:pPr>
            <w:r w:rsidRPr="007246A9">
              <w:rPr>
                <w:rFonts w:ascii="Arial" w:hAnsi="Arial" w:cs="Arial"/>
                <w:color w:val="000000"/>
                <w:sz w:val="16"/>
                <w:szCs w:val="16"/>
                <w:lang w:val="el-GR"/>
              </w:rPr>
              <w:t>Λοιπά περιουσιακά στοιχεία</w:t>
            </w:r>
          </w:p>
        </w:tc>
        <w:tc>
          <w:tcPr>
            <w:tcW w:w="1562" w:type="dxa"/>
            <w:vAlign w:val="center"/>
          </w:tcPr>
          <w:p w14:paraId="55577916" w14:textId="2A6B5030"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1,952</w:t>
            </w:r>
          </w:p>
        </w:tc>
        <w:tc>
          <w:tcPr>
            <w:tcW w:w="1560" w:type="dxa"/>
            <w:vAlign w:val="center"/>
          </w:tcPr>
          <w:p w14:paraId="17CD11B1" w14:textId="71F00DA3"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1,821</w:t>
            </w:r>
          </w:p>
        </w:tc>
        <w:tc>
          <w:tcPr>
            <w:tcW w:w="1420" w:type="dxa"/>
            <w:vAlign w:val="center"/>
          </w:tcPr>
          <w:p w14:paraId="312C7ED4" w14:textId="21481C01" w:rsidR="003517E9" w:rsidRPr="003517E9" w:rsidRDefault="003517E9" w:rsidP="003517E9">
            <w:pPr>
              <w:jc w:val="right"/>
              <w:rPr>
                <w:rFonts w:ascii="Arial" w:hAnsi="Arial" w:cs="Arial"/>
                <w:color w:val="FF0000"/>
                <w:sz w:val="16"/>
                <w:szCs w:val="16"/>
              </w:rPr>
            </w:pPr>
            <w:r w:rsidRPr="00502B4F">
              <w:rPr>
                <w:rFonts w:ascii="Arial" w:hAnsi="Arial" w:cs="Arial"/>
                <w:sz w:val="16"/>
                <w:szCs w:val="16"/>
              </w:rPr>
              <w:t>7%</w:t>
            </w:r>
          </w:p>
        </w:tc>
      </w:tr>
      <w:tr w:rsidR="003517E9" w:rsidRPr="00D41B36" w14:paraId="6EFC8E16" w14:textId="77777777" w:rsidTr="001A1A82">
        <w:trPr>
          <w:trHeight w:val="312"/>
        </w:trPr>
        <w:tc>
          <w:tcPr>
            <w:tcW w:w="5699" w:type="dxa"/>
            <w:gridSpan w:val="2"/>
            <w:shd w:val="clear" w:color="auto" w:fill="auto"/>
            <w:vAlign w:val="center"/>
          </w:tcPr>
          <w:p w14:paraId="010178E2" w14:textId="77777777" w:rsidR="003517E9" w:rsidRPr="003517E9" w:rsidRDefault="003517E9" w:rsidP="003517E9">
            <w:pPr>
              <w:rPr>
                <w:rFonts w:ascii="Arial" w:hAnsi="Arial" w:cs="Arial"/>
                <w:color w:val="000000"/>
                <w:sz w:val="16"/>
                <w:szCs w:val="16"/>
                <w:lang w:val="el-GR"/>
              </w:rPr>
            </w:pPr>
            <w:r w:rsidRPr="003517E9">
              <w:rPr>
                <w:rFonts w:ascii="Arial" w:hAnsi="Arial" w:cs="Arial"/>
                <w:color w:val="000000"/>
                <w:sz w:val="16"/>
                <w:szCs w:val="16"/>
                <w:lang w:val="el-GR"/>
              </w:rPr>
              <w:t xml:space="preserve">Μη </w:t>
            </w:r>
            <w:proofErr w:type="spellStart"/>
            <w:r w:rsidRPr="003517E9">
              <w:rPr>
                <w:rFonts w:ascii="Arial" w:hAnsi="Arial" w:cs="Arial"/>
                <w:color w:val="000000"/>
                <w:sz w:val="16"/>
                <w:szCs w:val="16"/>
                <w:lang w:val="el-GR"/>
              </w:rPr>
              <w:t>κυκλοφορούντα</w:t>
            </w:r>
            <w:proofErr w:type="spellEnd"/>
            <w:r w:rsidRPr="003517E9">
              <w:rPr>
                <w:rFonts w:ascii="Arial" w:hAnsi="Arial" w:cs="Arial"/>
                <w:color w:val="000000"/>
                <w:sz w:val="16"/>
                <w:szCs w:val="16"/>
                <w:lang w:val="el-GR"/>
              </w:rPr>
              <w:t xml:space="preserve"> περιουσιακά στοιχεία και ομάδες εκποίησης που</w:t>
            </w:r>
          </w:p>
          <w:p w14:paraId="58BBC23E" w14:textId="308721B6" w:rsidR="003517E9" w:rsidRPr="007246A9" w:rsidRDefault="003517E9" w:rsidP="003517E9">
            <w:pPr>
              <w:rPr>
                <w:rFonts w:ascii="Arial" w:hAnsi="Arial" w:cs="Arial"/>
                <w:color w:val="000000"/>
                <w:sz w:val="16"/>
                <w:szCs w:val="16"/>
                <w:lang w:val="el-GR"/>
              </w:rPr>
            </w:pPr>
            <w:r w:rsidRPr="003517E9">
              <w:rPr>
                <w:rFonts w:ascii="Arial" w:hAnsi="Arial" w:cs="Arial"/>
                <w:color w:val="000000"/>
                <w:sz w:val="16"/>
                <w:szCs w:val="16"/>
                <w:lang w:val="el-GR"/>
              </w:rPr>
              <w:t>κατέχονται προς πώληση</w:t>
            </w:r>
          </w:p>
        </w:tc>
        <w:tc>
          <w:tcPr>
            <w:tcW w:w="1562" w:type="dxa"/>
            <w:vAlign w:val="center"/>
          </w:tcPr>
          <w:p w14:paraId="3617AB2D" w14:textId="661B2FA3"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12</w:t>
            </w:r>
          </w:p>
        </w:tc>
        <w:tc>
          <w:tcPr>
            <w:tcW w:w="1560" w:type="dxa"/>
            <w:vAlign w:val="center"/>
          </w:tcPr>
          <w:p w14:paraId="450EB158" w14:textId="3BFF6B70"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w:t>
            </w:r>
          </w:p>
        </w:tc>
        <w:tc>
          <w:tcPr>
            <w:tcW w:w="1420" w:type="dxa"/>
            <w:vAlign w:val="center"/>
          </w:tcPr>
          <w:p w14:paraId="5FB64832" w14:textId="50C97EC1" w:rsidR="003517E9" w:rsidRPr="003517E9" w:rsidRDefault="003517E9" w:rsidP="003517E9">
            <w:pPr>
              <w:jc w:val="right"/>
              <w:rPr>
                <w:rFonts w:ascii="Arial" w:hAnsi="Arial" w:cs="Arial"/>
                <w:color w:val="FF0000"/>
                <w:sz w:val="16"/>
                <w:szCs w:val="16"/>
              </w:rPr>
            </w:pPr>
            <w:r w:rsidRPr="00502B4F">
              <w:rPr>
                <w:rFonts w:ascii="Arial" w:hAnsi="Arial" w:cs="Arial"/>
                <w:sz w:val="16"/>
                <w:szCs w:val="16"/>
              </w:rPr>
              <w:t>-</w:t>
            </w:r>
          </w:p>
        </w:tc>
      </w:tr>
      <w:tr w:rsidR="003517E9" w:rsidRPr="00D41B36" w14:paraId="5B12B342" w14:textId="77777777" w:rsidTr="001A1A82">
        <w:trPr>
          <w:trHeight w:val="342"/>
        </w:trPr>
        <w:tc>
          <w:tcPr>
            <w:tcW w:w="5699" w:type="dxa"/>
            <w:gridSpan w:val="2"/>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1155F107" w14:textId="77777777" w:rsidR="003517E9" w:rsidRPr="007246A9" w:rsidRDefault="003517E9" w:rsidP="003517E9">
            <w:pPr>
              <w:rPr>
                <w:rFonts w:ascii="Arial" w:hAnsi="Arial" w:cs="Arial"/>
                <w:b/>
                <w:bCs/>
                <w:sz w:val="16"/>
                <w:szCs w:val="16"/>
              </w:rPr>
            </w:pPr>
            <w:proofErr w:type="spellStart"/>
            <w:r w:rsidRPr="007246A9">
              <w:rPr>
                <w:rFonts w:ascii="Arial" w:hAnsi="Arial" w:cs="Arial"/>
                <w:b/>
                <w:color w:val="000000"/>
                <w:sz w:val="16"/>
                <w:szCs w:val="16"/>
              </w:rPr>
              <w:t>Σύνολο</w:t>
            </w:r>
            <w:proofErr w:type="spellEnd"/>
            <w:r w:rsidRPr="007246A9">
              <w:rPr>
                <w:rFonts w:ascii="Arial" w:hAnsi="Arial" w:cs="Arial"/>
                <w:b/>
                <w:color w:val="000000"/>
                <w:sz w:val="16"/>
                <w:szCs w:val="16"/>
              </w:rPr>
              <w:t xml:space="preserve"> π</w:t>
            </w:r>
            <w:proofErr w:type="spellStart"/>
            <w:r w:rsidRPr="007246A9">
              <w:rPr>
                <w:rFonts w:ascii="Arial" w:hAnsi="Arial" w:cs="Arial"/>
                <w:b/>
                <w:color w:val="000000"/>
                <w:sz w:val="16"/>
                <w:szCs w:val="16"/>
              </w:rPr>
              <w:t>εριουσι</w:t>
            </w:r>
            <w:proofErr w:type="spellEnd"/>
            <w:r w:rsidRPr="007246A9">
              <w:rPr>
                <w:rFonts w:ascii="Arial" w:hAnsi="Arial" w:cs="Arial"/>
                <w:b/>
                <w:color w:val="000000"/>
                <w:sz w:val="16"/>
                <w:szCs w:val="16"/>
              </w:rPr>
              <w:t xml:space="preserve">ακών </w:t>
            </w:r>
            <w:proofErr w:type="spellStart"/>
            <w:r w:rsidRPr="007246A9">
              <w:rPr>
                <w:rFonts w:ascii="Arial" w:hAnsi="Arial" w:cs="Arial"/>
                <w:b/>
                <w:color w:val="000000"/>
                <w:sz w:val="16"/>
                <w:szCs w:val="16"/>
              </w:rPr>
              <w:t>στοιχείων</w:t>
            </w:r>
            <w:proofErr w:type="spellEnd"/>
          </w:p>
        </w:tc>
        <w:tc>
          <w:tcPr>
            <w:tcW w:w="1562" w:type="dxa"/>
            <w:tcBorders>
              <w:top w:val="single" w:sz="4" w:space="0" w:color="7F7F7F" w:themeColor="text1" w:themeTint="80"/>
              <w:bottom w:val="single" w:sz="4" w:space="0" w:color="7F7F7F" w:themeColor="text1" w:themeTint="80"/>
            </w:tcBorders>
            <w:vAlign w:val="center"/>
          </w:tcPr>
          <w:p w14:paraId="290C4694" w14:textId="66671A84"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25,863</w:t>
            </w:r>
          </w:p>
        </w:tc>
        <w:tc>
          <w:tcPr>
            <w:tcW w:w="1560" w:type="dxa"/>
            <w:tcBorders>
              <w:top w:val="single" w:sz="4" w:space="0" w:color="7F7F7F" w:themeColor="text1" w:themeTint="80"/>
              <w:bottom w:val="single" w:sz="4" w:space="0" w:color="7F7F7F" w:themeColor="text1" w:themeTint="80"/>
            </w:tcBorders>
            <w:vAlign w:val="center"/>
          </w:tcPr>
          <w:p w14:paraId="56FC559C" w14:textId="1C713716"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26,629</w:t>
            </w:r>
          </w:p>
        </w:tc>
        <w:tc>
          <w:tcPr>
            <w:tcW w:w="1420"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296D2434" w14:textId="3E5B0782"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-3%</w:t>
            </w:r>
          </w:p>
        </w:tc>
      </w:tr>
      <w:tr w:rsidR="003517E9" w:rsidRPr="00D41B36" w14:paraId="524B39F4" w14:textId="77777777" w:rsidTr="001A1A82">
        <w:trPr>
          <w:trHeight w:val="312"/>
        </w:trPr>
        <w:tc>
          <w:tcPr>
            <w:tcW w:w="5699" w:type="dxa"/>
            <w:gridSpan w:val="2"/>
            <w:tcBorders>
              <w:top w:val="single" w:sz="4" w:space="0" w:color="7F7F7F" w:themeColor="text1" w:themeTint="80"/>
            </w:tcBorders>
            <w:shd w:val="clear" w:color="auto" w:fill="auto"/>
            <w:vAlign w:val="center"/>
          </w:tcPr>
          <w:p w14:paraId="7773D90B" w14:textId="77777777" w:rsidR="003517E9" w:rsidRPr="007246A9" w:rsidRDefault="003517E9" w:rsidP="003517E9">
            <w:pPr>
              <w:rPr>
                <w:rFonts w:ascii="Arial" w:hAnsi="Arial" w:cs="Arial"/>
                <w:b/>
                <w:bCs/>
                <w:sz w:val="16"/>
                <w:szCs w:val="16"/>
              </w:rPr>
            </w:pPr>
            <w:r w:rsidRPr="007246A9">
              <w:rPr>
                <w:rFonts w:ascii="Arial" w:hAnsi="Arial" w:cs="Arial"/>
                <w:sz w:val="16"/>
                <w:szCs w:val="16"/>
                <w:lang w:val="el-GR"/>
              </w:rPr>
              <w:t>Καταθέσεις από τράπεζες</w:t>
            </w:r>
          </w:p>
        </w:tc>
        <w:tc>
          <w:tcPr>
            <w:tcW w:w="1562" w:type="dxa"/>
            <w:tcBorders>
              <w:top w:val="single" w:sz="4" w:space="0" w:color="7F7F7F" w:themeColor="text1" w:themeTint="80"/>
            </w:tcBorders>
            <w:vAlign w:val="center"/>
          </w:tcPr>
          <w:p w14:paraId="325A74AE" w14:textId="453BC8C3"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381</w:t>
            </w:r>
          </w:p>
        </w:tc>
        <w:tc>
          <w:tcPr>
            <w:tcW w:w="1560" w:type="dxa"/>
            <w:tcBorders>
              <w:top w:val="single" w:sz="4" w:space="0" w:color="7F7F7F" w:themeColor="text1" w:themeTint="80"/>
            </w:tcBorders>
            <w:vAlign w:val="center"/>
          </w:tcPr>
          <w:p w14:paraId="533B1073" w14:textId="2191C612"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472</w:t>
            </w:r>
          </w:p>
        </w:tc>
        <w:tc>
          <w:tcPr>
            <w:tcW w:w="1420" w:type="dxa"/>
            <w:tcBorders>
              <w:top w:val="single" w:sz="4" w:space="0" w:color="7F7F7F" w:themeColor="text1" w:themeTint="80"/>
            </w:tcBorders>
            <w:vAlign w:val="center"/>
          </w:tcPr>
          <w:p w14:paraId="1BF2F26E" w14:textId="70686339" w:rsidR="003517E9" w:rsidRPr="003517E9" w:rsidRDefault="003517E9" w:rsidP="003517E9">
            <w:pPr>
              <w:jc w:val="right"/>
              <w:rPr>
                <w:rFonts w:ascii="Arial" w:hAnsi="Arial" w:cs="Arial"/>
                <w:color w:val="FF0000"/>
                <w:sz w:val="16"/>
                <w:szCs w:val="16"/>
              </w:rPr>
            </w:pPr>
            <w:r w:rsidRPr="00502B4F">
              <w:rPr>
                <w:rFonts w:ascii="Arial" w:hAnsi="Arial" w:cs="Arial"/>
                <w:sz w:val="16"/>
                <w:szCs w:val="16"/>
              </w:rPr>
              <w:t>-19%</w:t>
            </w:r>
          </w:p>
        </w:tc>
      </w:tr>
      <w:tr w:rsidR="003517E9" w:rsidRPr="00D41B36" w14:paraId="2B0E4618" w14:textId="77777777" w:rsidTr="001A1A82">
        <w:trPr>
          <w:trHeight w:val="312"/>
        </w:trPr>
        <w:tc>
          <w:tcPr>
            <w:tcW w:w="5699" w:type="dxa"/>
            <w:gridSpan w:val="2"/>
            <w:shd w:val="clear" w:color="auto" w:fill="auto"/>
            <w:vAlign w:val="center"/>
          </w:tcPr>
          <w:p w14:paraId="2AFB373C" w14:textId="77777777" w:rsidR="003517E9" w:rsidRPr="007246A9" w:rsidRDefault="003517E9" w:rsidP="003517E9">
            <w:pPr>
              <w:rPr>
                <w:rFonts w:ascii="Arial" w:hAnsi="Arial" w:cs="Arial"/>
                <w:b/>
                <w:bCs/>
                <w:sz w:val="16"/>
                <w:szCs w:val="16"/>
              </w:rPr>
            </w:pPr>
            <w:r w:rsidRPr="007246A9">
              <w:rPr>
                <w:rFonts w:ascii="Arial" w:hAnsi="Arial" w:cs="Arial"/>
                <w:sz w:val="16"/>
                <w:szCs w:val="16"/>
                <w:lang w:val="el-GR"/>
              </w:rPr>
              <w:t>Χρηματοδότηση από κεντρικές τράπεζες</w:t>
            </w:r>
          </w:p>
        </w:tc>
        <w:tc>
          <w:tcPr>
            <w:tcW w:w="1562" w:type="dxa"/>
            <w:vAlign w:val="center"/>
          </w:tcPr>
          <w:p w14:paraId="0282BA5D" w14:textId="6FB374DF"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w:t>
            </w:r>
          </w:p>
        </w:tc>
        <w:tc>
          <w:tcPr>
            <w:tcW w:w="1560" w:type="dxa"/>
            <w:vAlign w:val="center"/>
          </w:tcPr>
          <w:p w14:paraId="6C3432C9" w14:textId="52976FE5" w:rsidR="003517E9" w:rsidRPr="003517E9" w:rsidRDefault="003517E9" w:rsidP="003517E9">
            <w:pPr>
              <w:jc w:val="right"/>
              <w:rPr>
                <w:rFonts w:ascii="Arial" w:hAnsi="Arial" w:cs="Arial"/>
                <w:sz w:val="16"/>
                <w:szCs w:val="16"/>
              </w:rPr>
            </w:pPr>
            <w:r w:rsidRPr="00502B4F">
              <w:rPr>
                <w:rFonts w:ascii="Arial" w:hAnsi="Arial" w:cs="Arial"/>
                <w:b/>
                <w:bCs/>
                <w:sz w:val="16"/>
                <w:szCs w:val="16"/>
              </w:rPr>
              <w:t>2,044</w:t>
            </w:r>
          </w:p>
        </w:tc>
        <w:tc>
          <w:tcPr>
            <w:tcW w:w="1420" w:type="dxa"/>
            <w:vAlign w:val="center"/>
          </w:tcPr>
          <w:p w14:paraId="298D4149" w14:textId="16AC78CA" w:rsidR="003517E9" w:rsidRPr="003517E9" w:rsidRDefault="003517E9" w:rsidP="003517E9">
            <w:pPr>
              <w:jc w:val="right"/>
              <w:rPr>
                <w:rFonts w:ascii="Arial" w:hAnsi="Arial" w:cs="Arial"/>
                <w:color w:val="FF0000"/>
                <w:sz w:val="16"/>
                <w:szCs w:val="16"/>
              </w:rPr>
            </w:pPr>
            <w:r w:rsidRPr="00502B4F">
              <w:rPr>
                <w:rFonts w:ascii="Arial" w:hAnsi="Arial" w:cs="Arial"/>
                <w:sz w:val="16"/>
                <w:szCs w:val="16"/>
              </w:rPr>
              <w:t>-100%</w:t>
            </w:r>
          </w:p>
        </w:tc>
      </w:tr>
      <w:tr w:rsidR="003517E9" w:rsidRPr="00D41B36" w14:paraId="58C52AB7" w14:textId="77777777" w:rsidTr="001A1A82">
        <w:trPr>
          <w:trHeight w:val="312"/>
        </w:trPr>
        <w:tc>
          <w:tcPr>
            <w:tcW w:w="5699" w:type="dxa"/>
            <w:gridSpan w:val="2"/>
            <w:shd w:val="clear" w:color="auto" w:fill="auto"/>
            <w:vAlign w:val="center"/>
          </w:tcPr>
          <w:p w14:paraId="5DA3BF83" w14:textId="77777777" w:rsidR="003517E9" w:rsidRPr="007246A9" w:rsidRDefault="003517E9" w:rsidP="003517E9">
            <w:pPr>
              <w:rPr>
                <w:rFonts w:ascii="Arial" w:hAnsi="Arial" w:cs="Arial"/>
                <w:b/>
                <w:bCs/>
                <w:sz w:val="16"/>
                <w:szCs w:val="16"/>
              </w:rPr>
            </w:pPr>
            <w:r w:rsidRPr="007246A9">
              <w:rPr>
                <w:rFonts w:ascii="Arial" w:hAnsi="Arial" w:cs="Arial"/>
                <w:sz w:val="16"/>
                <w:szCs w:val="16"/>
                <w:lang w:val="el-GR"/>
              </w:rPr>
              <w:t>Καταθέσεις πελατών</w:t>
            </w:r>
          </w:p>
        </w:tc>
        <w:tc>
          <w:tcPr>
            <w:tcW w:w="1562" w:type="dxa"/>
            <w:vAlign w:val="center"/>
          </w:tcPr>
          <w:p w14:paraId="6DF6F8A7" w14:textId="71A293A1"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19,989</w:t>
            </w:r>
          </w:p>
        </w:tc>
        <w:tc>
          <w:tcPr>
            <w:tcW w:w="1560" w:type="dxa"/>
            <w:vAlign w:val="center"/>
          </w:tcPr>
          <w:p w14:paraId="36AE065F" w14:textId="050674D0"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19,337</w:t>
            </w:r>
          </w:p>
        </w:tc>
        <w:tc>
          <w:tcPr>
            <w:tcW w:w="1420" w:type="dxa"/>
            <w:vAlign w:val="center"/>
          </w:tcPr>
          <w:p w14:paraId="4D372CF9" w14:textId="63BC03A3" w:rsidR="003517E9" w:rsidRPr="003517E9" w:rsidRDefault="003517E9" w:rsidP="003517E9">
            <w:pPr>
              <w:jc w:val="right"/>
              <w:rPr>
                <w:rFonts w:ascii="Arial" w:hAnsi="Arial" w:cs="Arial"/>
                <w:color w:val="FF0000"/>
                <w:sz w:val="16"/>
                <w:szCs w:val="16"/>
              </w:rPr>
            </w:pPr>
            <w:r w:rsidRPr="00502B4F">
              <w:rPr>
                <w:rFonts w:ascii="Arial" w:hAnsi="Arial" w:cs="Arial"/>
                <w:sz w:val="16"/>
                <w:szCs w:val="16"/>
              </w:rPr>
              <w:t>3%</w:t>
            </w:r>
          </w:p>
        </w:tc>
      </w:tr>
      <w:tr w:rsidR="003517E9" w:rsidRPr="00D41B36" w14:paraId="5739A4FE" w14:textId="77777777" w:rsidTr="001A1A82">
        <w:trPr>
          <w:trHeight w:val="312"/>
        </w:trPr>
        <w:tc>
          <w:tcPr>
            <w:tcW w:w="5699" w:type="dxa"/>
            <w:gridSpan w:val="2"/>
            <w:shd w:val="clear" w:color="auto" w:fill="auto"/>
            <w:vAlign w:val="center"/>
          </w:tcPr>
          <w:p w14:paraId="1F049BA7" w14:textId="77777777" w:rsidR="003517E9" w:rsidRPr="007246A9" w:rsidRDefault="003517E9" w:rsidP="003517E9">
            <w:pPr>
              <w:rPr>
                <w:rFonts w:ascii="Arial" w:hAnsi="Arial" w:cs="Arial"/>
                <w:sz w:val="16"/>
                <w:szCs w:val="16"/>
                <w:lang w:val="el-GR"/>
              </w:rPr>
            </w:pPr>
            <w:bookmarkStart w:id="6" w:name="_Hlk109648779"/>
            <w:proofErr w:type="spellStart"/>
            <w:r w:rsidRPr="007246A9">
              <w:rPr>
                <w:rFonts w:ascii="Arial" w:eastAsiaTheme="minorEastAsia" w:hAnsi="Arial" w:cs="Arial"/>
                <w:sz w:val="16"/>
                <w:szCs w:val="16"/>
                <w:lang w:val="el-GR"/>
              </w:rPr>
              <w:t>Ομoλογιακά</w:t>
            </w:r>
            <w:proofErr w:type="spellEnd"/>
            <w:r w:rsidRPr="007246A9">
              <w:rPr>
                <w:rFonts w:ascii="Arial" w:eastAsiaTheme="minorEastAsia" w:hAnsi="Arial" w:cs="Arial"/>
                <w:sz w:val="16"/>
                <w:szCs w:val="16"/>
                <w:lang w:val="el-GR"/>
              </w:rPr>
              <w:t xml:space="preserve"> δάνεια</w:t>
            </w:r>
          </w:p>
        </w:tc>
        <w:tc>
          <w:tcPr>
            <w:tcW w:w="1562" w:type="dxa"/>
            <w:vAlign w:val="center"/>
          </w:tcPr>
          <w:p w14:paraId="0ED42219" w14:textId="3EE46745"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976</w:t>
            </w:r>
          </w:p>
        </w:tc>
        <w:tc>
          <w:tcPr>
            <w:tcW w:w="1560" w:type="dxa"/>
            <w:vAlign w:val="center"/>
          </w:tcPr>
          <w:p w14:paraId="7B2CD70B" w14:textId="5B5AA0D9"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672</w:t>
            </w:r>
          </w:p>
        </w:tc>
        <w:tc>
          <w:tcPr>
            <w:tcW w:w="1420" w:type="dxa"/>
            <w:vAlign w:val="center"/>
          </w:tcPr>
          <w:p w14:paraId="0242C985" w14:textId="3ED99C6B" w:rsidR="003517E9" w:rsidRPr="003517E9" w:rsidRDefault="003517E9" w:rsidP="003517E9">
            <w:pPr>
              <w:jc w:val="right"/>
              <w:rPr>
                <w:rFonts w:ascii="Arial" w:hAnsi="Arial" w:cs="Arial"/>
                <w:color w:val="FF0000"/>
                <w:sz w:val="16"/>
                <w:szCs w:val="16"/>
              </w:rPr>
            </w:pPr>
            <w:r w:rsidRPr="00502B4F">
              <w:rPr>
                <w:rFonts w:ascii="Arial" w:hAnsi="Arial" w:cs="Arial"/>
                <w:sz w:val="16"/>
                <w:szCs w:val="16"/>
              </w:rPr>
              <w:t>45%</w:t>
            </w:r>
          </w:p>
        </w:tc>
      </w:tr>
      <w:tr w:rsidR="003517E9" w:rsidRPr="00D41B36" w14:paraId="08233B4F" w14:textId="77777777" w:rsidTr="001A1A82">
        <w:trPr>
          <w:trHeight w:val="312"/>
        </w:trPr>
        <w:tc>
          <w:tcPr>
            <w:tcW w:w="5699" w:type="dxa"/>
            <w:gridSpan w:val="2"/>
            <w:shd w:val="clear" w:color="auto" w:fill="auto"/>
            <w:vAlign w:val="center"/>
          </w:tcPr>
          <w:p w14:paraId="597B8E86" w14:textId="7D00233C" w:rsidR="003517E9" w:rsidRPr="007246A9" w:rsidRDefault="003517E9" w:rsidP="003517E9">
            <w:pPr>
              <w:rPr>
                <w:rFonts w:ascii="Arial" w:hAnsi="Arial" w:cs="Arial"/>
                <w:sz w:val="16"/>
                <w:szCs w:val="16"/>
                <w:lang w:val="el-GR"/>
              </w:rPr>
            </w:pPr>
            <w:r w:rsidRPr="007246A9">
              <w:rPr>
                <w:rFonts w:ascii="Arial" w:eastAsiaTheme="minorEastAsia" w:hAnsi="Arial" w:cs="Arial"/>
                <w:sz w:val="16"/>
                <w:szCs w:val="16"/>
                <w:lang w:val="el-GR"/>
              </w:rPr>
              <w:t>Υποχρεώσεις μειωμένης εξασφάλισης</w:t>
            </w:r>
          </w:p>
        </w:tc>
        <w:tc>
          <w:tcPr>
            <w:tcW w:w="1562" w:type="dxa"/>
            <w:vAlign w:val="center"/>
          </w:tcPr>
          <w:p w14:paraId="74178AE2" w14:textId="3D528AD0"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322</w:t>
            </w:r>
          </w:p>
        </w:tc>
        <w:tc>
          <w:tcPr>
            <w:tcW w:w="1560" w:type="dxa"/>
            <w:vAlign w:val="center"/>
          </w:tcPr>
          <w:p w14:paraId="463808FF" w14:textId="22A43484" w:rsidR="003517E9" w:rsidRPr="003517E9" w:rsidRDefault="003517E9" w:rsidP="003517E9">
            <w:pPr>
              <w:jc w:val="right"/>
              <w:rPr>
                <w:rFonts w:ascii="Arial" w:hAnsi="Arial" w:cs="Arial"/>
                <w:sz w:val="16"/>
                <w:szCs w:val="16"/>
              </w:rPr>
            </w:pPr>
            <w:r w:rsidRPr="00502B4F">
              <w:rPr>
                <w:rFonts w:ascii="Arial" w:hAnsi="Arial" w:cs="Arial"/>
                <w:b/>
                <w:bCs/>
                <w:sz w:val="16"/>
                <w:szCs w:val="16"/>
              </w:rPr>
              <w:t>307</w:t>
            </w:r>
          </w:p>
        </w:tc>
        <w:tc>
          <w:tcPr>
            <w:tcW w:w="1420" w:type="dxa"/>
            <w:vAlign w:val="center"/>
          </w:tcPr>
          <w:p w14:paraId="6EBDF314" w14:textId="107F7576" w:rsidR="003517E9" w:rsidRPr="003517E9" w:rsidRDefault="003517E9" w:rsidP="003517E9">
            <w:pPr>
              <w:jc w:val="right"/>
              <w:rPr>
                <w:rFonts w:ascii="Arial" w:hAnsi="Arial" w:cs="Arial"/>
                <w:color w:val="FF0000"/>
                <w:sz w:val="16"/>
                <w:szCs w:val="16"/>
              </w:rPr>
            </w:pPr>
            <w:r w:rsidRPr="00502B4F">
              <w:rPr>
                <w:rFonts w:ascii="Arial" w:hAnsi="Arial" w:cs="Arial"/>
                <w:sz w:val="16"/>
                <w:szCs w:val="16"/>
              </w:rPr>
              <w:t>5%</w:t>
            </w:r>
          </w:p>
        </w:tc>
      </w:tr>
      <w:bookmarkEnd w:id="6"/>
      <w:tr w:rsidR="003517E9" w:rsidRPr="00D41B36" w14:paraId="15111B48" w14:textId="77777777" w:rsidTr="00085DAB">
        <w:trPr>
          <w:trHeight w:val="63"/>
        </w:trPr>
        <w:tc>
          <w:tcPr>
            <w:tcW w:w="5699" w:type="dxa"/>
            <w:gridSpan w:val="2"/>
            <w:tcBorders>
              <w:bottom w:val="single" w:sz="4" w:space="0" w:color="7F7F7F" w:themeColor="text1" w:themeTint="80"/>
            </w:tcBorders>
            <w:shd w:val="clear" w:color="auto" w:fill="auto"/>
            <w:vAlign w:val="center"/>
          </w:tcPr>
          <w:p w14:paraId="4AA6EEAF" w14:textId="77777777" w:rsidR="003517E9" w:rsidRPr="007246A9" w:rsidRDefault="003517E9" w:rsidP="003517E9">
            <w:pPr>
              <w:rPr>
                <w:rFonts w:ascii="Arial" w:hAnsi="Arial" w:cs="Arial"/>
                <w:sz w:val="16"/>
                <w:szCs w:val="16"/>
                <w:lang w:val="el-GR"/>
              </w:rPr>
            </w:pPr>
            <w:r w:rsidRPr="007246A9">
              <w:rPr>
                <w:rFonts w:ascii="Arial" w:hAnsi="Arial" w:cs="Arial"/>
                <w:sz w:val="16"/>
                <w:szCs w:val="16"/>
                <w:lang w:val="el-GR"/>
              </w:rPr>
              <w:t>Λοιπές υποχρεώσεις</w:t>
            </w:r>
          </w:p>
        </w:tc>
        <w:tc>
          <w:tcPr>
            <w:tcW w:w="1562" w:type="dxa"/>
            <w:tcBorders>
              <w:bottom w:val="single" w:sz="4" w:space="0" w:color="7F7F7F" w:themeColor="text1" w:themeTint="80"/>
            </w:tcBorders>
            <w:vAlign w:val="center"/>
          </w:tcPr>
          <w:p w14:paraId="011F9721" w14:textId="692DCFFC"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1,444</w:t>
            </w:r>
          </w:p>
        </w:tc>
        <w:tc>
          <w:tcPr>
            <w:tcW w:w="1560" w:type="dxa"/>
            <w:tcBorders>
              <w:bottom w:val="single" w:sz="4" w:space="0" w:color="7F7F7F" w:themeColor="text1" w:themeTint="80"/>
            </w:tcBorders>
            <w:vAlign w:val="center"/>
          </w:tcPr>
          <w:p w14:paraId="33F58184" w14:textId="1D90EC56"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1,309</w:t>
            </w:r>
          </w:p>
        </w:tc>
        <w:tc>
          <w:tcPr>
            <w:tcW w:w="1420" w:type="dxa"/>
            <w:tcBorders>
              <w:bottom w:val="single" w:sz="4" w:space="0" w:color="7F7F7F" w:themeColor="text1" w:themeTint="80"/>
            </w:tcBorders>
            <w:vAlign w:val="center"/>
          </w:tcPr>
          <w:p w14:paraId="6C766517" w14:textId="5BC76766" w:rsidR="003517E9" w:rsidRPr="003517E9" w:rsidRDefault="003517E9" w:rsidP="003517E9">
            <w:pPr>
              <w:jc w:val="right"/>
              <w:rPr>
                <w:rFonts w:ascii="Arial" w:hAnsi="Arial" w:cs="Arial"/>
                <w:color w:val="FF0000"/>
                <w:sz w:val="16"/>
                <w:szCs w:val="16"/>
              </w:rPr>
            </w:pPr>
            <w:r w:rsidRPr="00502B4F">
              <w:rPr>
                <w:rFonts w:ascii="Arial" w:hAnsi="Arial" w:cs="Arial"/>
                <w:sz w:val="16"/>
                <w:szCs w:val="16"/>
              </w:rPr>
              <w:t>10%</w:t>
            </w:r>
          </w:p>
        </w:tc>
      </w:tr>
      <w:tr w:rsidR="003517E9" w:rsidRPr="00D41B36" w14:paraId="38564649" w14:textId="77777777" w:rsidTr="00085DAB">
        <w:trPr>
          <w:trHeight w:val="378"/>
        </w:trPr>
        <w:tc>
          <w:tcPr>
            <w:tcW w:w="5699" w:type="dxa"/>
            <w:gridSpan w:val="2"/>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4C505506" w14:textId="77777777" w:rsidR="003517E9" w:rsidRPr="007246A9" w:rsidRDefault="003517E9" w:rsidP="003517E9">
            <w:pPr>
              <w:rPr>
                <w:rFonts w:ascii="Arial" w:hAnsi="Arial" w:cs="Arial"/>
                <w:b/>
                <w:bCs/>
                <w:sz w:val="16"/>
                <w:szCs w:val="16"/>
              </w:rPr>
            </w:pPr>
            <w:proofErr w:type="spellStart"/>
            <w:r w:rsidRPr="007246A9">
              <w:rPr>
                <w:rFonts w:ascii="Arial" w:hAnsi="Arial" w:cs="Arial"/>
                <w:b/>
                <w:color w:val="000000"/>
                <w:sz w:val="16"/>
                <w:szCs w:val="16"/>
              </w:rPr>
              <w:t>Σύνολο</w:t>
            </w:r>
            <w:proofErr w:type="spellEnd"/>
            <w:r w:rsidRPr="007246A9">
              <w:rPr>
                <w:rFonts w:ascii="Arial" w:hAnsi="Arial" w:cs="Arial"/>
                <w:b/>
                <w:color w:val="000000"/>
                <w:sz w:val="16"/>
                <w:szCs w:val="16"/>
              </w:rPr>
              <w:t xml:space="preserve"> υπ</w:t>
            </w:r>
            <w:proofErr w:type="spellStart"/>
            <w:r w:rsidRPr="007246A9">
              <w:rPr>
                <w:rFonts w:ascii="Arial" w:hAnsi="Arial" w:cs="Arial"/>
                <w:b/>
                <w:color w:val="000000"/>
                <w:sz w:val="16"/>
                <w:szCs w:val="16"/>
              </w:rPr>
              <w:t>οχρεώσεων</w:t>
            </w:r>
            <w:proofErr w:type="spellEnd"/>
          </w:p>
        </w:tc>
        <w:tc>
          <w:tcPr>
            <w:tcW w:w="1562" w:type="dxa"/>
            <w:tcBorders>
              <w:top w:val="single" w:sz="4" w:space="0" w:color="7F7F7F" w:themeColor="text1" w:themeTint="80"/>
              <w:bottom w:val="single" w:sz="4" w:space="0" w:color="7F7F7F" w:themeColor="text1" w:themeTint="80"/>
            </w:tcBorders>
            <w:vAlign w:val="center"/>
          </w:tcPr>
          <w:p w14:paraId="40DAA60A" w14:textId="0BD68AD3"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23,112</w:t>
            </w:r>
          </w:p>
        </w:tc>
        <w:tc>
          <w:tcPr>
            <w:tcW w:w="1560" w:type="dxa"/>
            <w:tcBorders>
              <w:top w:val="single" w:sz="4" w:space="0" w:color="7F7F7F" w:themeColor="text1" w:themeTint="80"/>
              <w:bottom w:val="single" w:sz="4" w:space="0" w:color="7F7F7F" w:themeColor="text1" w:themeTint="80"/>
            </w:tcBorders>
            <w:vAlign w:val="center"/>
          </w:tcPr>
          <w:p w14:paraId="1F20A5D3" w14:textId="4098812A"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24,141</w:t>
            </w:r>
          </w:p>
        </w:tc>
        <w:tc>
          <w:tcPr>
            <w:tcW w:w="1420"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42866179" w14:textId="35A01129"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-4%</w:t>
            </w:r>
          </w:p>
        </w:tc>
      </w:tr>
      <w:tr w:rsidR="008E7D1C" w:rsidRPr="00D41B36" w14:paraId="56FA4FD7" w14:textId="77777777" w:rsidTr="001A1A82">
        <w:trPr>
          <w:trHeight w:val="83"/>
        </w:trPr>
        <w:tc>
          <w:tcPr>
            <w:tcW w:w="4541" w:type="dxa"/>
            <w:tcBorders>
              <w:top w:val="single" w:sz="4" w:space="0" w:color="7F7F7F" w:themeColor="text1" w:themeTint="80"/>
              <w:bottom w:val="single" w:sz="4" w:space="0" w:color="7F7F7F" w:themeColor="text1" w:themeTint="80"/>
            </w:tcBorders>
            <w:vAlign w:val="center"/>
          </w:tcPr>
          <w:p w14:paraId="60D32480" w14:textId="77777777" w:rsidR="008E7D1C" w:rsidRPr="00D41B36" w:rsidRDefault="008E7D1C" w:rsidP="008E7D1C">
            <w:pPr>
              <w:rPr>
                <w:rFonts w:ascii="Arial" w:hAnsi="Arial" w:cs="Arial"/>
                <w:b/>
                <w:bCs/>
                <w:sz w:val="16"/>
                <w:szCs w:val="16"/>
                <w:highlight w:val="yellow"/>
              </w:rPr>
            </w:pPr>
          </w:p>
        </w:tc>
        <w:tc>
          <w:tcPr>
            <w:tcW w:w="1158" w:type="dxa"/>
            <w:tcBorders>
              <w:top w:val="single" w:sz="4" w:space="0" w:color="7F7F7F" w:themeColor="text1" w:themeTint="80"/>
              <w:bottom w:val="single" w:sz="4" w:space="0" w:color="7F7F7F" w:themeColor="text1" w:themeTint="80"/>
            </w:tcBorders>
            <w:vAlign w:val="center"/>
          </w:tcPr>
          <w:p w14:paraId="1F2C355E" w14:textId="77777777" w:rsidR="008E7D1C" w:rsidRPr="00D41B36" w:rsidRDefault="008E7D1C" w:rsidP="008E7D1C">
            <w:pPr>
              <w:rPr>
                <w:rFonts w:ascii="Arial" w:hAnsi="Arial" w:cs="Arial"/>
                <w:b/>
                <w:bCs/>
                <w:sz w:val="16"/>
                <w:szCs w:val="16"/>
                <w:highlight w:val="yellow"/>
              </w:rPr>
            </w:pPr>
          </w:p>
        </w:tc>
        <w:tc>
          <w:tcPr>
            <w:tcW w:w="1562" w:type="dxa"/>
            <w:tcBorders>
              <w:top w:val="single" w:sz="4" w:space="0" w:color="7F7F7F" w:themeColor="text1" w:themeTint="80"/>
              <w:bottom w:val="single" w:sz="4" w:space="0" w:color="7F7F7F" w:themeColor="text1" w:themeTint="80"/>
            </w:tcBorders>
            <w:vAlign w:val="center"/>
          </w:tcPr>
          <w:p w14:paraId="7E081C14" w14:textId="77777777" w:rsidR="008E7D1C" w:rsidRPr="007246A9" w:rsidRDefault="008E7D1C" w:rsidP="008E7D1C">
            <w:pPr>
              <w:jc w:val="right"/>
              <w:rPr>
                <w:rFonts w:ascii="Arial" w:hAnsi="Arial" w:cs="Arial"/>
                <w:b/>
                <w:bCs/>
                <w:color w:val="FF0000"/>
                <w:sz w:val="16"/>
                <w:szCs w:val="16"/>
              </w:rPr>
            </w:pPr>
          </w:p>
        </w:tc>
        <w:tc>
          <w:tcPr>
            <w:tcW w:w="1560" w:type="dxa"/>
            <w:tcBorders>
              <w:top w:val="single" w:sz="4" w:space="0" w:color="7F7F7F" w:themeColor="text1" w:themeTint="80"/>
              <w:bottom w:val="single" w:sz="4" w:space="0" w:color="7F7F7F" w:themeColor="text1" w:themeTint="80"/>
            </w:tcBorders>
            <w:vAlign w:val="center"/>
          </w:tcPr>
          <w:p w14:paraId="182A2FAB" w14:textId="77777777" w:rsidR="008E7D1C" w:rsidRPr="007246A9" w:rsidRDefault="008E7D1C" w:rsidP="008E7D1C">
            <w:pPr>
              <w:jc w:val="right"/>
              <w:rPr>
                <w:rFonts w:ascii="Arial" w:hAnsi="Arial" w:cs="Arial"/>
                <w:b/>
                <w:bCs/>
                <w:sz w:val="16"/>
                <w:szCs w:val="16"/>
              </w:rPr>
            </w:pPr>
          </w:p>
        </w:tc>
        <w:tc>
          <w:tcPr>
            <w:tcW w:w="1420" w:type="dxa"/>
            <w:tcBorders>
              <w:top w:val="single" w:sz="4" w:space="0" w:color="7F7F7F" w:themeColor="text1" w:themeTint="80"/>
              <w:bottom w:val="single" w:sz="4" w:space="0" w:color="7F7F7F" w:themeColor="text1" w:themeTint="80"/>
            </w:tcBorders>
            <w:vAlign w:val="center"/>
          </w:tcPr>
          <w:p w14:paraId="2573651A" w14:textId="77777777" w:rsidR="008E7D1C" w:rsidRPr="007246A9" w:rsidRDefault="008E7D1C" w:rsidP="008E7D1C">
            <w:pPr>
              <w:jc w:val="right"/>
              <w:rPr>
                <w:rFonts w:ascii="Arial" w:hAnsi="Arial" w:cs="Arial"/>
                <w:b/>
                <w:bCs/>
                <w:color w:val="FF0000"/>
                <w:sz w:val="16"/>
                <w:szCs w:val="16"/>
              </w:rPr>
            </w:pPr>
          </w:p>
        </w:tc>
      </w:tr>
      <w:tr w:rsidR="003517E9" w:rsidRPr="00D41B36" w14:paraId="33525A19" w14:textId="77777777" w:rsidTr="001A1A82">
        <w:trPr>
          <w:trHeight w:val="342"/>
        </w:trPr>
        <w:tc>
          <w:tcPr>
            <w:tcW w:w="5699" w:type="dxa"/>
            <w:gridSpan w:val="2"/>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5BD5CA30" w14:textId="77777777" w:rsidR="003517E9" w:rsidRPr="007246A9" w:rsidRDefault="003517E9" w:rsidP="003517E9">
            <w:pPr>
              <w:rPr>
                <w:rFonts w:ascii="Arial" w:hAnsi="Arial" w:cs="Arial"/>
                <w:b/>
                <w:bCs/>
                <w:sz w:val="16"/>
                <w:szCs w:val="16"/>
                <w:lang w:val="el-GR"/>
              </w:rPr>
            </w:pPr>
            <w:r w:rsidRPr="007246A9">
              <w:rPr>
                <w:rFonts w:ascii="Arial" w:hAnsi="Arial" w:cs="Arial"/>
                <w:b/>
                <w:sz w:val="16"/>
                <w:szCs w:val="16"/>
                <w:lang w:val="el-GR"/>
              </w:rPr>
              <w:t>Ίδια κεφάλαια που αναλογούν στους ιδιοκτήτες της Εταιρίας</w:t>
            </w:r>
          </w:p>
        </w:tc>
        <w:tc>
          <w:tcPr>
            <w:tcW w:w="1562" w:type="dxa"/>
            <w:tcBorders>
              <w:top w:val="single" w:sz="4" w:space="0" w:color="7F7F7F" w:themeColor="text1" w:themeTint="80"/>
              <w:bottom w:val="single" w:sz="4" w:space="0" w:color="7F7F7F" w:themeColor="text1" w:themeTint="80"/>
            </w:tcBorders>
            <w:vAlign w:val="center"/>
          </w:tcPr>
          <w:p w14:paraId="33BA8089" w14:textId="58BF10C2" w:rsidR="003517E9" w:rsidRPr="003517E9" w:rsidRDefault="003517E9" w:rsidP="003517E9">
            <w:pPr>
              <w:jc w:val="right"/>
              <w:rPr>
                <w:rFonts w:ascii="Arial" w:hAnsi="Arial" w:cs="Arial"/>
                <w:b/>
                <w:color w:val="FF0000"/>
                <w:sz w:val="16"/>
                <w:szCs w:val="16"/>
                <w:lang w:val="el-GR"/>
              </w:rPr>
            </w:pPr>
            <w:r w:rsidRPr="00502B4F">
              <w:rPr>
                <w:rFonts w:ascii="Arial" w:hAnsi="Arial" w:cs="Arial"/>
                <w:b/>
                <w:sz w:val="16"/>
                <w:szCs w:val="16"/>
              </w:rPr>
              <w:t>2,508</w:t>
            </w:r>
          </w:p>
        </w:tc>
        <w:tc>
          <w:tcPr>
            <w:tcW w:w="1560" w:type="dxa"/>
            <w:tcBorders>
              <w:top w:val="single" w:sz="4" w:space="0" w:color="7F7F7F" w:themeColor="text1" w:themeTint="80"/>
              <w:bottom w:val="single" w:sz="4" w:space="0" w:color="7F7F7F" w:themeColor="text1" w:themeTint="80"/>
            </w:tcBorders>
            <w:vAlign w:val="center"/>
          </w:tcPr>
          <w:p w14:paraId="14E1CD3B" w14:textId="34F2CB87" w:rsidR="003517E9" w:rsidRPr="003517E9" w:rsidRDefault="003517E9" w:rsidP="003517E9">
            <w:pPr>
              <w:jc w:val="right"/>
              <w:rPr>
                <w:rFonts w:ascii="Arial" w:hAnsi="Arial" w:cs="Arial"/>
                <w:b/>
                <w:sz w:val="16"/>
                <w:szCs w:val="16"/>
              </w:rPr>
            </w:pPr>
            <w:r w:rsidRPr="00502B4F">
              <w:rPr>
                <w:rFonts w:ascii="Arial" w:hAnsi="Arial" w:cs="Arial"/>
                <w:b/>
                <w:sz w:val="16"/>
                <w:szCs w:val="16"/>
              </w:rPr>
              <w:t>2,247</w:t>
            </w:r>
          </w:p>
        </w:tc>
        <w:tc>
          <w:tcPr>
            <w:tcW w:w="1420"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358B1285" w14:textId="6176C6D8" w:rsidR="003517E9" w:rsidRPr="003517E9" w:rsidRDefault="003517E9" w:rsidP="003517E9">
            <w:pPr>
              <w:jc w:val="right"/>
              <w:rPr>
                <w:rFonts w:ascii="Arial" w:hAnsi="Arial" w:cs="Arial"/>
                <w:b/>
                <w:color w:val="FF0000"/>
                <w:sz w:val="16"/>
                <w:szCs w:val="16"/>
              </w:rPr>
            </w:pPr>
            <w:r w:rsidRPr="00502B4F">
              <w:rPr>
                <w:rFonts w:ascii="Arial" w:hAnsi="Arial" w:cs="Arial"/>
                <w:b/>
                <w:sz w:val="16"/>
                <w:szCs w:val="16"/>
              </w:rPr>
              <w:t>12%</w:t>
            </w:r>
          </w:p>
        </w:tc>
      </w:tr>
      <w:tr w:rsidR="003517E9" w:rsidRPr="00D41B36" w14:paraId="3CB58203" w14:textId="77777777" w:rsidTr="001A1A82">
        <w:trPr>
          <w:trHeight w:val="342"/>
        </w:trPr>
        <w:tc>
          <w:tcPr>
            <w:tcW w:w="5699" w:type="dxa"/>
            <w:gridSpan w:val="2"/>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79574C7E" w14:textId="77777777" w:rsidR="003517E9" w:rsidRPr="007246A9" w:rsidRDefault="003517E9" w:rsidP="003517E9">
            <w:pPr>
              <w:rPr>
                <w:rFonts w:ascii="Arial" w:hAnsi="Arial" w:cs="Arial"/>
                <w:b/>
                <w:bCs/>
                <w:sz w:val="16"/>
                <w:szCs w:val="16"/>
              </w:rPr>
            </w:pPr>
            <w:proofErr w:type="spellStart"/>
            <w:r w:rsidRPr="007246A9">
              <w:rPr>
                <w:rFonts w:ascii="Arial" w:hAnsi="Arial" w:cs="Arial"/>
                <w:sz w:val="16"/>
                <w:szCs w:val="16"/>
              </w:rPr>
              <w:t>Λοι</w:t>
            </w:r>
            <w:proofErr w:type="spellEnd"/>
            <w:r w:rsidRPr="007246A9">
              <w:rPr>
                <w:rFonts w:ascii="Arial" w:hAnsi="Arial" w:cs="Arial"/>
                <w:sz w:val="16"/>
                <w:szCs w:val="16"/>
              </w:rPr>
              <w:t xml:space="preserve">ποί </w:t>
            </w:r>
            <w:proofErr w:type="spellStart"/>
            <w:r w:rsidRPr="007246A9">
              <w:rPr>
                <w:rFonts w:ascii="Arial" w:hAnsi="Arial" w:cs="Arial"/>
                <w:sz w:val="16"/>
                <w:szCs w:val="16"/>
              </w:rPr>
              <w:t>συμμετοχικοί</w:t>
            </w:r>
            <w:proofErr w:type="spellEnd"/>
            <w:r w:rsidRPr="007246A9">
              <w:rPr>
                <w:rFonts w:ascii="Arial" w:hAnsi="Arial" w:cs="Arial"/>
                <w:sz w:val="16"/>
                <w:szCs w:val="16"/>
              </w:rPr>
              <w:t xml:space="preserve"> </w:t>
            </w:r>
            <w:proofErr w:type="spellStart"/>
            <w:r w:rsidRPr="007246A9">
              <w:rPr>
                <w:rFonts w:ascii="Arial" w:hAnsi="Arial" w:cs="Arial"/>
                <w:sz w:val="16"/>
                <w:szCs w:val="16"/>
              </w:rPr>
              <w:t>τίτλοι</w:t>
            </w:r>
            <w:proofErr w:type="spellEnd"/>
          </w:p>
        </w:tc>
        <w:tc>
          <w:tcPr>
            <w:tcW w:w="1562" w:type="dxa"/>
            <w:tcBorders>
              <w:top w:val="single" w:sz="4" w:space="0" w:color="7F7F7F" w:themeColor="text1" w:themeTint="80"/>
              <w:bottom w:val="single" w:sz="4" w:space="0" w:color="7F7F7F" w:themeColor="text1" w:themeTint="80"/>
            </w:tcBorders>
            <w:vAlign w:val="center"/>
          </w:tcPr>
          <w:p w14:paraId="251E6EB1" w14:textId="24B72D47" w:rsidR="003517E9" w:rsidRPr="003517E9" w:rsidRDefault="003517E9" w:rsidP="003517E9">
            <w:pPr>
              <w:jc w:val="right"/>
              <w:rPr>
                <w:rFonts w:ascii="Arial" w:hAnsi="Arial" w:cs="Arial"/>
                <w:b/>
                <w:bCs/>
                <w:color w:val="FF0000"/>
                <w:sz w:val="16"/>
                <w:szCs w:val="16"/>
              </w:rPr>
            </w:pPr>
            <w:r w:rsidRPr="00502B4F">
              <w:rPr>
                <w:rFonts w:ascii="Arial" w:hAnsi="Arial" w:cs="Arial"/>
                <w:sz w:val="16"/>
                <w:szCs w:val="16"/>
              </w:rPr>
              <w:t>220</w:t>
            </w:r>
          </w:p>
        </w:tc>
        <w:tc>
          <w:tcPr>
            <w:tcW w:w="1560" w:type="dxa"/>
            <w:tcBorders>
              <w:top w:val="single" w:sz="4" w:space="0" w:color="7F7F7F" w:themeColor="text1" w:themeTint="80"/>
              <w:bottom w:val="single" w:sz="4" w:space="0" w:color="7F7F7F" w:themeColor="text1" w:themeTint="80"/>
            </w:tcBorders>
            <w:vAlign w:val="center"/>
          </w:tcPr>
          <w:p w14:paraId="1B894BF4" w14:textId="2250CA59" w:rsidR="003517E9" w:rsidRPr="003517E9" w:rsidRDefault="003517E9" w:rsidP="003517E9">
            <w:pPr>
              <w:jc w:val="right"/>
              <w:rPr>
                <w:rFonts w:ascii="Arial" w:hAnsi="Arial" w:cs="Arial"/>
                <w:sz w:val="16"/>
                <w:szCs w:val="16"/>
              </w:rPr>
            </w:pPr>
            <w:r w:rsidRPr="00502B4F">
              <w:rPr>
                <w:rFonts w:ascii="Arial" w:hAnsi="Arial" w:cs="Arial"/>
                <w:sz w:val="16"/>
                <w:szCs w:val="16"/>
              </w:rPr>
              <w:t>220</w:t>
            </w:r>
          </w:p>
        </w:tc>
        <w:tc>
          <w:tcPr>
            <w:tcW w:w="1420"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7D338656" w14:textId="106F6BBC" w:rsidR="003517E9" w:rsidRPr="003517E9" w:rsidRDefault="003517E9" w:rsidP="003517E9">
            <w:pPr>
              <w:jc w:val="right"/>
              <w:rPr>
                <w:rFonts w:ascii="Arial" w:hAnsi="Arial" w:cs="Arial"/>
                <w:color w:val="FF0000"/>
                <w:sz w:val="16"/>
                <w:szCs w:val="16"/>
              </w:rPr>
            </w:pPr>
            <w:r w:rsidRPr="00502B4F">
              <w:rPr>
                <w:rFonts w:ascii="Arial" w:hAnsi="Arial" w:cs="Arial"/>
                <w:b/>
                <w:sz w:val="16"/>
                <w:szCs w:val="16"/>
              </w:rPr>
              <w:t>-</w:t>
            </w:r>
          </w:p>
        </w:tc>
      </w:tr>
      <w:tr w:rsidR="003517E9" w:rsidRPr="00D41B36" w14:paraId="7A16542F" w14:textId="77777777" w:rsidTr="00B043BD">
        <w:trPr>
          <w:trHeight w:val="281"/>
        </w:trPr>
        <w:tc>
          <w:tcPr>
            <w:tcW w:w="5699" w:type="dxa"/>
            <w:gridSpan w:val="2"/>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1A496ECE" w14:textId="77777777" w:rsidR="003517E9" w:rsidRPr="007246A9" w:rsidRDefault="003517E9" w:rsidP="003517E9">
            <w:pPr>
              <w:rPr>
                <w:rFonts w:ascii="Arial" w:hAnsi="Arial" w:cs="Arial"/>
                <w:b/>
                <w:bCs/>
                <w:sz w:val="16"/>
                <w:szCs w:val="16"/>
                <w:lang w:val="el-GR"/>
              </w:rPr>
            </w:pPr>
            <w:r w:rsidRPr="007246A9">
              <w:rPr>
                <w:rFonts w:ascii="Arial" w:hAnsi="Arial" w:cs="Arial"/>
                <w:b/>
                <w:sz w:val="16"/>
                <w:szCs w:val="16"/>
                <w:lang w:val="el-GR"/>
              </w:rPr>
              <w:t>Σύνολο κεφαλαίων εξαιρουμένων των δικαιωμάτων μειοψηφίας</w:t>
            </w:r>
          </w:p>
        </w:tc>
        <w:tc>
          <w:tcPr>
            <w:tcW w:w="1562" w:type="dxa"/>
            <w:tcBorders>
              <w:top w:val="single" w:sz="4" w:space="0" w:color="7F7F7F" w:themeColor="text1" w:themeTint="80"/>
              <w:bottom w:val="single" w:sz="4" w:space="0" w:color="7F7F7F" w:themeColor="text1" w:themeTint="80"/>
            </w:tcBorders>
            <w:vAlign w:val="center"/>
          </w:tcPr>
          <w:p w14:paraId="0E2C93C7" w14:textId="1D84D601" w:rsidR="003517E9" w:rsidRPr="003517E9" w:rsidRDefault="003517E9" w:rsidP="003517E9">
            <w:pPr>
              <w:jc w:val="right"/>
              <w:rPr>
                <w:rFonts w:ascii="Arial" w:hAnsi="Arial" w:cs="Arial"/>
                <w:b/>
                <w:bCs/>
                <w:color w:val="FF0000"/>
                <w:sz w:val="16"/>
                <w:szCs w:val="16"/>
                <w:lang w:val="el-GR"/>
              </w:rPr>
            </w:pPr>
            <w:r w:rsidRPr="00502B4F">
              <w:rPr>
                <w:rFonts w:ascii="Arial" w:hAnsi="Arial" w:cs="Arial"/>
                <w:b/>
                <w:bCs/>
                <w:sz w:val="16"/>
                <w:szCs w:val="16"/>
              </w:rPr>
              <w:t>2,728</w:t>
            </w:r>
          </w:p>
        </w:tc>
        <w:tc>
          <w:tcPr>
            <w:tcW w:w="1560" w:type="dxa"/>
            <w:tcBorders>
              <w:top w:val="single" w:sz="4" w:space="0" w:color="7F7F7F" w:themeColor="text1" w:themeTint="80"/>
              <w:bottom w:val="single" w:sz="4" w:space="0" w:color="7F7F7F" w:themeColor="text1" w:themeTint="80"/>
            </w:tcBorders>
            <w:vAlign w:val="center"/>
          </w:tcPr>
          <w:p w14:paraId="5F2E02F2" w14:textId="0C129B84"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2,467</w:t>
            </w:r>
          </w:p>
        </w:tc>
        <w:tc>
          <w:tcPr>
            <w:tcW w:w="1420"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0333ECF6" w14:textId="40E4BE71"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11%</w:t>
            </w:r>
          </w:p>
        </w:tc>
      </w:tr>
      <w:tr w:rsidR="003517E9" w:rsidRPr="00D41B36" w14:paraId="063B9400" w14:textId="77777777" w:rsidTr="001A1A82">
        <w:trPr>
          <w:trHeight w:val="342"/>
        </w:trPr>
        <w:tc>
          <w:tcPr>
            <w:tcW w:w="5699" w:type="dxa"/>
            <w:gridSpan w:val="2"/>
            <w:tcBorders>
              <w:top w:val="single" w:sz="4" w:space="0" w:color="7F7F7F" w:themeColor="text1" w:themeTint="80"/>
              <w:bottom w:val="single" w:sz="4" w:space="0" w:color="7F7F7F" w:themeColor="text1" w:themeTint="80"/>
            </w:tcBorders>
            <w:vAlign w:val="center"/>
          </w:tcPr>
          <w:p w14:paraId="45A87F78" w14:textId="77777777" w:rsidR="003517E9" w:rsidRPr="007246A9" w:rsidRDefault="003517E9" w:rsidP="003517E9">
            <w:pPr>
              <w:rPr>
                <w:rFonts w:ascii="Arial" w:hAnsi="Arial" w:cs="Arial"/>
                <w:b/>
                <w:bCs/>
                <w:sz w:val="16"/>
                <w:szCs w:val="16"/>
              </w:rPr>
            </w:pPr>
            <w:r w:rsidRPr="007246A9">
              <w:rPr>
                <w:rFonts w:ascii="Arial" w:hAnsi="Arial" w:cs="Arial"/>
                <w:color w:val="000000"/>
                <w:sz w:val="16"/>
                <w:szCs w:val="16"/>
                <w:lang w:val="el-GR"/>
              </w:rPr>
              <w:t>Δικαιώματα μειοψηφίας</w:t>
            </w:r>
          </w:p>
        </w:tc>
        <w:tc>
          <w:tcPr>
            <w:tcW w:w="1562" w:type="dxa"/>
            <w:tcBorders>
              <w:top w:val="single" w:sz="4" w:space="0" w:color="7F7F7F" w:themeColor="text1" w:themeTint="80"/>
              <w:bottom w:val="single" w:sz="4" w:space="0" w:color="7F7F7F" w:themeColor="text1" w:themeTint="80"/>
            </w:tcBorders>
            <w:vAlign w:val="center"/>
          </w:tcPr>
          <w:p w14:paraId="6C2EFAD4" w14:textId="226AC454" w:rsidR="003517E9" w:rsidRPr="003517E9" w:rsidRDefault="003517E9" w:rsidP="003517E9">
            <w:pPr>
              <w:jc w:val="right"/>
              <w:rPr>
                <w:rFonts w:ascii="Arial" w:hAnsi="Arial" w:cs="Arial"/>
                <w:b/>
                <w:bCs/>
                <w:color w:val="FF0000"/>
                <w:sz w:val="16"/>
                <w:szCs w:val="16"/>
              </w:rPr>
            </w:pPr>
            <w:r w:rsidRPr="00502B4F">
              <w:rPr>
                <w:rFonts w:ascii="Arial" w:hAnsi="Arial" w:cs="Arial"/>
                <w:sz w:val="16"/>
                <w:szCs w:val="16"/>
              </w:rPr>
              <w:t>23</w:t>
            </w:r>
          </w:p>
        </w:tc>
        <w:tc>
          <w:tcPr>
            <w:tcW w:w="1560" w:type="dxa"/>
            <w:tcBorders>
              <w:top w:val="single" w:sz="4" w:space="0" w:color="7F7F7F" w:themeColor="text1" w:themeTint="80"/>
              <w:bottom w:val="single" w:sz="4" w:space="0" w:color="7F7F7F" w:themeColor="text1" w:themeTint="80"/>
            </w:tcBorders>
            <w:vAlign w:val="center"/>
          </w:tcPr>
          <w:p w14:paraId="615987DB" w14:textId="74FA84BB" w:rsidR="003517E9" w:rsidRPr="003517E9" w:rsidRDefault="003517E9" w:rsidP="003517E9">
            <w:pPr>
              <w:jc w:val="right"/>
              <w:rPr>
                <w:rFonts w:ascii="Arial" w:hAnsi="Arial" w:cs="Arial"/>
                <w:sz w:val="16"/>
                <w:szCs w:val="16"/>
              </w:rPr>
            </w:pPr>
            <w:r w:rsidRPr="00502B4F">
              <w:rPr>
                <w:rFonts w:ascii="Arial" w:hAnsi="Arial" w:cs="Arial"/>
                <w:sz w:val="16"/>
                <w:szCs w:val="16"/>
              </w:rPr>
              <w:t>21</w:t>
            </w:r>
          </w:p>
        </w:tc>
        <w:tc>
          <w:tcPr>
            <w:tcW w:w="1420" w:type="dxa"/>
            <w:tcBorders>
              <w:top w:val="single" w:sz="4" w:space="0" w:color="7F7F7F" w:themeColor="text1" w:themeTint="80"/>
              <w:bottom w:val="single" w:sz="4" w:space="0" w:color="7F7F7F" w:themeColor="text1" w:themeTint="80"/>
            </w:tcBorders>
            <w:vAlign w:val="center"/>
          </w:tcPr>
          <w:p w14:paraId="42BDCBAD" w14:textId="49C2FF4E"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7%</w:t>
            </w:r>
          </w:p>
        </w:tc>
      </w:tr>
      <w:tr w:rsidR="003517E9" w:rsidRPr="00D41B36" w14:paraId="6A8FE412" w14:textId="77777777" w:rsidTr="00851F20">
        <w:trPr>
          <w:trHeight w:val="331"/>
        </w:trPr>
        <w:tc>
          <w:tcPr>
            <w:tcW w:w="5699" w:type="dxa"/>
            <w:gridSpan w:val="2"/>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36A989E9" w14:textId="77777777" w:rsidR="003517E9" w:rsidRPr="007246A9" w:rsidRDefault="003517E9" w:rsidP="003517E9">
            <w:pPr>
              <w:rPr>
                <w:rFonts w:ascii="Arial" w:hAnsi="Arial" w:cs="Arial"/>
                <w:b/>
                <w:bCs/>
                <w:sz w:val="16"/>
                <w:szCs w:val="16"/>
              </w:rPr>
            </w:pPr>
            <w:r w:rsidRPr="007246A9">
              <w:rPr>
                <w:rFonts w:ascii="Arial" w:hAnsi="Arial" w:cs="Arial"/>
                <w:b/>
                <w:bCs/>
                <w:color w:val="000000"/>
                <w:sz w:val="16"/>
                <w:szCs w:val="16"/>
                <w:lang w:val="el-GR"/>
              </w:rPr>
              <w:t>Σύνολο ιδίων κεφαλαίων</w:t>
            </w:r>
          </w:p>
        </w:tc>
        <w:tc>
          <w:tcPr>
            <w:tcW w:w="1562" w:type="dxa"/>
            <w:tcBorders>
              <w:top w:val="single" w:sz="4" w:space="0" w:color="7F7F7F" w:themeColor="text1" w:themeTint="80"/>
              <w:bottom w:val="single" w:sz="4" w:space="0" w:color="7F7F7F" w:themeColor="text1" w:themeTint="80"/>
            </w:tcBorders>
            <w:vAlign w:val="center"/>
          </w:tcPr>
          <w:p w14:paraId="211C752E" w14:textId="58C93976"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2,751</w:t>
            </w:r>
          </w:p>
        </w:tc>
        <w:tc>
          <w:tcPr>
            <w:tcW w:w="1560" w:type="dxa"/>
            <w:tcBorders>
              <w:top w:val="single" w:sz="4" w:space="0" w:color="7F7F7F" w:themeColor="text1" w:themeTint="80"/>
              <w:bottom w:val="single" w:sz="4" w:space="0" w:color="7F7F7F" w:themeColor="text1" w:themeTint="80"/>
            </w:tcBorders>
            <w:vAlign w:val="center"/>
          </w:tcPr>
          <w:p w14:paraId="5BC82EC4" w14:textId="3AAE53D0"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2,488</w:t>
            </w:r>
          </w:p>
        </w:tc>
        <w:tc>
          <w:tcPr>
            <w:tcW w:w="1420"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29B6F2DD" w14:textId="4CD21446"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11%</w:t>
            </w:r>
          </w:p>
        </w:tc>
      </w:tr>
      <w:tr w:rsidR="003517E9" w:rsidRPr="00D41B36" w14:paraId="5AC29832" w14:textId="77777777" w:rsidTr="00851F20">
        <w:trPr>
          <w:trHeight w:val="264"/>
        </w:trPr>
        <w:tc>
          <w:tcPr>
            <w:tcW w:w="5699" w:type="dxa"/>
            <w:gridSpan w:val="2"/>
            <w:tcBorders>
              <w:top w:val="single" w:sz="4" w:space="0" w:color="7F7F7F" w:themeColor="text1" w:themeTint="80"/>
              <w:left w:val="single" w:sz="4" w:space="0" w:color="7F7F7F" w:themeColor="text1" w:themeTint="80"/>
              <w:bottom w:val="single" w:sz="4" w:space="0" w:color="A6A6A6" w:themeColor="background1" w:themeShade="A6"/>
            </w:tcBorders>
            <w:vAlign w:val="center"/>
          </w:tcPr>
          <w:p w14:paraId="2D2D73F0" w14:textId="77777777" w:rsidR="003517E9" w:rsidRPr="007246A9" w:rsidRDefault="003517E9" w:rsidP="003517E9">
            <w:pPr>
              <w:rPr>
                <w:rFonts w:ascii="Arial" w:hAnsi="Arial" w:cs="Arial"/>
                <w:b/>
                <w:bCs/>
                <w:sz w:val="16"/>
                <w:szCs w:val="16"/>
                <w:lang w:val="el-GR"/>
              </w:rPr>
            </w:pPr>
            <w:r w:rsidRPr="007246A9">
              <w:rPr>
                <w:rFonts w:ascii="Arial" w:hAnsi="Arial" w:cs="Arial"/>
                <w:b/>
                <w:bCs/>
                <w:color w:val="000000"/>
                <w:sz w:val="16"/>
                <w:szCs w:val="16"/>
                <w:lang w:val="el-GR"/>
              </w:rPr>
              <w:t>Σύνολο υποχρεώσεων και ιδίων κεφαλαίων</w:t>
            </w:r>
          </w:p>
        </w:tc>
        <w:tc>
          <w:tcPr>
            <w:tcW w:w="1562" w:type="dxa"/>
            <w:tcBorders>
              <w:top w:val="single" w:sz="4" w:space="0" w:color="7F7F7F" w:themeColor="text1" w:themeTint="80"/>
              <w:bottom w:val="single" w:sz="4" w:space="0" w:color="A6A6A6" w:themeColor="background1" w:themeShade="A6"/>
            </w:tcBorders>
            <w:vAlign w:val="center"/>
          </w:tcPr>
          <w:p w14:paraId="43C57928" w14:textId="3260A6BC" w:rsidR="003517E9" w:rsidRPr="003517E9" w:rsidRDefault="003517E9" w:rsidP="003517E9">
            <w:pPr>
              <w:jc w:val="right"/>
              <w:rPr>
                <w:rFonts w:ascii="Arial" w:hAnsi="Arial" w:cs="Arial"/>
                <w:b/>
                <w:bCs/>
                <w:color w:val="FF0000"/>
                <w:sz w:val="16"/>
                <w:szCs w:val="16"/>
                <w:lang w:val="el-GR"/>
              </w:rPr>
            </w:pPr>
            <w:r w:rsidRPr="00502B4F">
              <w:rPr>
                <w:rFonts w:ascii="Arial" w:hAnsi="Arial" w:cs="Arial"/>
                <w:b/>
                <w:bCs/>
                <w:sz w:val="16"/>
                <w:szCs w:val="16"/>
              </w:rPr>
              <w:t>25,863</w:t>
            </w:r>
          </w:p>
        </w:tc>
        <w:tc>
          <w:tcPr>
            <w:tcW w:w="1560" w:type="dxa"/>
            <w:tcBorders>
              <w:top w:val="single" w:sz="4" w:space="0" w:color="7F7F7F" w:themeColor="text1" w:themeTint="80"/>
              <w:bottom w:val="single" w:sz="4" w:space="0" w:color="A6A6A6" w:themeColor="background1" w:themeShade="A6"/>
            </w:tcBorders>
            <w:vAlign w:val="center"/>
          </w:tcPr>
          <w:p w14:paraId="09C5CB80" w14:textId="40E943F4" w:rsidR="003517E9" w:rsidRPr="003517E9" w:rsidRDefault="003517E9" w:rsidP="003517E9">
            <w:pPr>
              <w:jc w:val="right"/>
              <w:rPr>
                <w:rFonts w:ascii="Arial" w:hAnsi="Arial" w:cs="Arial"/>
                <w:b/>
                <w:bCs/>
                <w:sz w:val="16"/>
                <w:szCs w:val="16"/>
              </w:rPr>
            </w:pPr>
            <w:r w:rsidRPr="00502B4F">
              <w:rPr>
                <w:rFonts w:ascii="Arial" w:hAnsi="Arial" w:cs="Arial"/>
                <w:b/>
                <w:bCs/>
                <w:sz w:val="16"/>
                <w:szCs w:val="16"/>
              </w:rPr>
              <w:t>26,629</w:t>
            </w:r>
          </w:p>
        </w:tc>
        <w:tc>
          <w:tcPr>
            <w:tcW w:w="1420" w:type="dxa"/>
            <w:tcBorders>
              <w:top w:val="single" w:sz="4" w:space="0" w:color="7F7F7F" w:themeColor="text1" w:themeTint="80"/>
              <w:bottom w:val="single" w:sz="4" w:space="0" w:color="A6A6A6" w:themeColor="background1" w:themeShade="A6"/>
              <w:right w:val="single" w:sz="4" w:space="0" w:color="7F7F7F" w:themeColor="text1" w:themeTint="80"/>
            </w:tcBorders>
            <w:vAlign w:val="center"/>
          </w:tcPr>
          <w:p w14:paraId="041CAA6C" w14:textId="4FE0B052" w:rsidR="003517E9" w:rsidRPr="003517E9" w:rsidRDefault="003517E9" w:rsidP="003517E9">
            <w:pPr>
              <w:jc w:val="right"/>
              <w:rPr>
                <w:rFonts w:ascii="Arial" w:hAnsi="Arial" w:cs="Arial"/>
                <w:b/>
                <w:bCs/>
                <w:color w:val="FF0000"/>
                <w:sz w:val="16"/>
                <w:szCs w:val="16"/>
              </w:rPr>
            </w:pPr>
            <w:r w:rsidRPr="00502B4F">
              <w:rPr>
                <w:rFonts w:ascii="Arial" w:hAnsi="Arial" w:cs="Arial"/>
                <w:b/>
                <w:bCs/>
                <w:sz w:val="16"/>
                <w:szCs w:val="16"/>
              </w:rPr>
              <w:t>-3%</w:t>
            </w:r>
          </w:p>
        </w:tc>
      </w:tr>
    </w:tbl>
    <w:tbl>
      <w:tblPr>
        <w:tblStyle w:val="TableGrid"/>
        <w:tblpPr w:leftFromText="180" w:rightFromText="180" w:vertAnchor="text" w:horzAnchor="margin" w:tblpX="-289" w:tblpY="216"/>
        <w:tblW w:w="10201" w:type="dxa"/>
        <w:tblLayout w:type="fixed"/>
        <w:tblLook w:val="04A0" w:firstRow="1" w:lastRow="0" w:firstColumn="1" w:lastColumn="0" w:noHBand="0" w:noVBand="1"/>
      </w:tblPr>
      <w:tblGrid>
        <w:gridCol w:w="3538"/>
        <w:gridCol w:w="1844"/>
        <w:gridCol w:w="142"/>
        <w:gridCol w:w="1842"/>
        <w:gridCol w:w="1561"/>
        <w:gridCol w:w="1274"/>
      </w:tblGrid>
      <w:tr w:rsidR="003517E9" w:rsidRPr="00D41B36" w14:paraId="7C6F2B6A" w14:textId="77777777" w:rsidTr="00502B4F">
        <w:trPr>
          <w:trHeight w:val="126"/>
        </w:trPr>
        <w:tc>
          <w:tcPr>
            <w:tcW w:w="3538" w:type="dxa"/>
            <w:tcBorders>
              <w:top w:val="single" w:sz="4" w:space="0" w:color="auto"/>
              <w:left w:val="single" w:sz="4" w:space="0" w:color="auto"/>
              <w:bottom w:val="single" w:sz="4" w:space="0" w:color="A6A6A6" w:themeColor="background1" w:themeShade="A6"/>
              <w:right w:val="nil"/>
            </w:tcBorders>
            <w:vAlign w:val="center"/>
          </w:tcPr>
          <w:p w14:paraId="055C10AE" w14:textId="116699F9" w:rsidR="003517E9" w:rsidRPr="007246A9" w:rsidRDefault="003517E9" w:rsidP="003517E9">
            <w:pPr>
              <w:spacing w:line="360" w:lineRule="auto"/>
              <w:rPr>
                <w:rFonts w:ascii="Arial" w:hAnsi="Arial" w:cs="Arial"/>
                <w:b/>
                <w:bCs/>
                <w:color w:val="FF9900"/>
                <w:sz w:val="16"/>
                <w:szCs w:val="16"/>
                <w:lang w:val="el-GR"/>
              </w:rPr>
            </w:pPr>
            <w:bookmarkStart w:id="7" w:name="_Hlk34962818"/>
            <w:r w:rsidRPr="007246A9">
              <w:rPr>
                <w:rFonts w:ascii="Arial" w:hAnsi="Arial" w:cs="Arial"/>
                <w:b/>
                <w:color w:val="000000"/>
                <w:sz w:val="16"/>
                <w:szCs w:val="16"/>
                <w:lang w:val="el-GR"/>
              </w:rPr>
              <w:t>Κύρια Στοιχεία και Δείκτες Ισολογισμού</w:t>
            </w:r>
          </w:p>
        </w:tc>
        <w:tc>
          <w:tcPr>
            <w:tcW w:w="1844" w:type="dxa"/>
            <w:tcBorders>
              <w:top w:val="single" w:sz="4" w:space="0" w:color="auto"/>
              <w:left w:val="nil"/>
              <w:bottom w:val="single" w:sz="4" w:space="0" w:color="A6A6A6" w:themeColor="background1" w:themeShade="A6"/>
              <w:right w:val="nil"/>
            </w:tcBorders>
            <w:vAlign w:val="center"/>
          </w:tcPr>
          <w:p w14:paraId="37F89617" w14:textId="345C24FA" w:rsidR="003517E9" w:rsidRPr="00502B4F" w:rsidRDefault="003517E9" w:rsidP="007A79CC">
            <w:pPr>
              <w:jc w:val="center"/>
              <w:rPr>
                <w:rFonts w:ascii="Arial" w:hAnsi="Arial" w:cs="Arial"/>
                <w:b/>
                <w:bCs/>
                <w:sz w:val="16"/>
                <w:szCs w:val="16"/>
                <w:lang w:val="el-GR"/>
              </w:rPr>
            </w:pPr>
            <w:r w:rsidRPr="00502B4F">
              <w:rPr>
                <w:rFonts w:ascii="Arial" w:hAnsi="Arial" w:cs="Arial"/>
                <w:b/>
                <w:bCs/>
                <w:sz w:val="16"/>
                <w:szCs w:val="16"/>
                <w:lang w:val="el-GR"/>
              </w:rPr>
              <w:t>30.0</w:t>
            </w:r>
            <w:r w:rsidRPr="003517E9">
              <w:rPr>
                <w:rFonts w:ascii="Arial" w:hAnsi="Arial" w:cs="Arial"/>
                <w:b/>
                <w:bCs/>
                <w:sz w:val="16"/>
                <w:szCs w:val="16"/>
                <w:lang w:val="el-GR"/>
              </w:rPr>
              <w:t>9</w:t>
            </w:r>
            <w:r w:rsidRPr="00502B4F">
              <w:rPr>
                <w:rFonts w:ascii="Arial" w:hAnsi="Arial" w:cs="Arial"/>
                <w:b/>
                <w:bCs/>
                <w:sz w:val="16"/>
                <w:szCs w:val="16"/>
                <w:lang w:val="el-GR"/>
              </w:rPr>
              <w:t>.2024</w:t>
            </w:r>
            <w:r>
              <w:rPr>
                <w:rFonts w:ascii="Arial" w:hAnsi="Arial" w:cs="Arial"/>
                <w:b/>
                <w:bCs/>
                <w:sz w:val="16"/>
                <w:szCs w:val="16"/>
                <w:lang w:val="el-GR"/>
              </w:rPr>
              <w:t xml:space="preserve"> </w:t>
            </w:r>
            <w:r w:rsidRPr="00502B4F">
              <w:rPr>
                <w:rFonts w:ascii="Arial" w:hAnsi="Arial" w:cs="Arial"/>
                <w:b/>
                <w:bCs/>
                <w:sz w:val="14"/>
                <w:szCs w:val="14"/>
                <w:lang w:val="el-GR"/>
              </w:rPr>
              <w:t>(Αναπροσαρμοσμένα</w:t>
            </w:r>
            <w:r w:rsidR="00357D84" w:rsidRPr="00502B4F">
              <w:rPr>
                <w:rFonts w:ascii="Arial Bold" w:hAnsi="Arial Bold" w:cs="Arial"/>
                <w:b/>
                <w:bCs/>
                <w:sz w:val="14"/>
                <w:szCs w:val="14"/>
                <w:vertAlign w:val="superscript"/>
                <w:lang w:val="el-GR"/>
              </w:rPr>
              <w:t>1</w:t>
            </w:r>
            <w:r w:rsidRPr="00502B4F">
              <w:rPr>
                <w:rFonts w:ascii="Arial" w:hAnsi="Arial" w:cs="Arial"/>
                <w:b/>
                <w:bCs/>
                <w:sz w:val="14"/>
                <w:szCs w:val="14"/>
                <w:lang w:val="el-GR"/>
              </w:rPr>
              <w:t>)</w:t>
            </w:r>
          </w:p>
        </w:tc>
        <w:tc>
          <w:tcPr>
            <w:tcW w:w="1984" w:type="dxa"/>
            <w:gridSpan w:val="2"/>
            <w:tcBorders>
              <w:top w:val="single" w:sz="4" w:space="0" w:color="auto"/>
              <w:left w:val="nil"/>
              <w:bottom w:val="single" w:sz="4" w:space="0" w:color="A6A6A6" w:themeColor="background1" w:themeShade="A6"/>
              <w:right w:val="nil"/>
            </w:tcBorders>
            <w:vAlign w:val="center"/>
          </w:tcPr>
          <w:p w14:paraId="53812C28" w14:textId="594D42AB" w:rsidR="003517E9" w:rsidRPr="007246A9" w:rsidRDefault="003517E9" w:rsidP="003517E9">
            <w:pPr>
              <w:jc w:val="right"/>
              <w:rPr>
                <w:rFonts w:ascii="Arial" w:hAnsi="Arial" w:cs="Arial"/>
                <w:b/>
                <w:bCs/>
                <w:sz w:val="16"/>
                <w:szCs w:val="16"/>
                <w:lang w:val="el-GR"/>
              </w:rPr>
            </w:pPr>
            <w:r w:rsidRPr="007246A9">
              <w:rPr>
                <w:rFonts w:ascii="Arial" w:hAnsi="Arial" w:cs="Arial"/>
                <w:b/>
                <w:bCs/>
                <w:sz w:val="16"/>
                <w:szCs w:val="16"/>
              </w:rPr>
              <w:t>30.0</w:t>
            </w:r>
            <w:r w:rsidRPr="007246A9">
              <w:rPr>
                <w:rFonts w:ascii="Arial" w:hAnsi="Arial" w:cs="Arial"/>
                <w:b/>
                <w:bCs/>
                <w:sz w:val="16"/>
                <w:szCs w:val="16"/>
                <w:lang w:val="el-GR"/>
              </w:rPr>
              <w:t>9</w:t>
            </w:r>
            <w:r w:rsidRPr="007246A9">
              <w:rPr>
                <w:rFonts w:ascii="Arial" w:hAnsi="Arial" w:cs="Arial"/>
                <w:b/>
                <w:bCs/>
                <w:sz w:val="16"/>
                <w:szCs w:val="16"/>
              </w:rPr>
              <w:t>.2024</w:t>
            </w:r>
          </w:p>
        </w:tc>
        <w:tc>
          <w:tcPr>
            <w:tcW w:w="1561" w:type="dxa"/>
            <w:tcBorders>
              <w:top w:val="single" w:sz="4" w:space="0" w:color="auto"/>
              <w:left w:val="nil"/>
              <w:bottom w:val="single" w:sz="4" w:space="0" w:color="A6A6A6" w:themeColor="background1" w:themeShade="A6"/>
              <w:right w:val="nil"/>
            </w:tcBorders>
            <w:vAlign w:val="center"/>
          </w:tcPr>
          <w:p w14:paraId="56A2B0A5" w14:textId="74425729" w:rsidR="003517E9" w:rsidRPr="007246A9" w:rsidRDefault="003517E9" w:rsidP="003517E9">
            <w:pPr>
              <w:jc w:val="right"/>
              <w:rPr>
                <w:rFonts w:ascii="Arial" w:hAnsi="Arial" w:cs="Arial"/>
                <w:b/>
                <w:bCs/>
                <w:sz w:val="16"/>
                <w:szCs w:val="16"/>
                <w:lang w:val="el-GR"/>
              </w:rPr>
            </w:pPr>
            <w:r w:rsidRPr="007246A9">
              <w:rPr>
                <w:rFonts w:ascii="Arial" w:hAnsi="Arial" w:cs="Arial"/>
                <w:b/>
                <w:bCs/>
                <w:sz w:val="16"/>
                <w:szCs w:val="16"/>
              </w:rPr>
              <w:t>31.12.20</w:t>
            </w:r>
            <w:r w:rsidRPr="007246A9">
              <w:rPr>
                <w:rFonts w:ascii="Arial Bold" w:hAnsi="Arial Bold" w:cs="Arial"/>
                <w:b/>
                <w:bCs/>
                <w:sz w:val="16"/>
                <w:szCs w:val="16"/>
              </w:rPr>
              <w:t>23</w:t>
            </w:r>
            <w:r w:rsidRPr="007246A9">
              <w:rPr>
                <w:rFonts w:ascii="Arial" w:hAnsi="Arial" w:cs="Arial"/>
                <w:sz w:val="16"/>
                <w:szCs w:val="16"/>
              </w:rPr>
              <w:t xml:space="preserve">   </w:t>
            </w:r>
          </w:p>
        </w:tc>
        <w:tc>
          <w:tcPr>
            <w:tcW w:w="1274" w:type="dxa"/>
            <w:tcBorders>
              <w:top w:val="single" w:sz="4" w:space="0" w:color="auto"/>
              <w:left w:val="nil"/>
              <w:bottom w:val="single" w:sz="4" w:space="0" w:color="A6A6A6" w:themeColor="background1" w:themeShade="A6"/>
              <w:right w:val="single" w:sz="4" w:space="0" w:color="auto"/>
            </w:tcBorders>
            <w:vAlign w:val="center"/>
          </w:tcPr>
          <w:p w14:paraId="3A5F7DF0" w14:textId="3210F127" w:rsidR="003517E9" w:rsidRPr="007246A9" w:rsidRDefault="003517E9" w:rsidP="003517E9">
            <w:pPr>
              <w:jc w:val="right"/>
              <w:rPr>
                <w:rFonts w:ascii="Arial" w:hAnsi="Arial" w:cs="Arial"/>
                <w:b/>
                <w:bCs/>
                <w:color w:val="FF9900"/>
                <w:sz w:val="16"/>
                <w:szCs w:val="16"/>
                <w:lang w:val="el-GR"/>
              </w:rPr>
            </w:pPr>
            <w:r w:rsidRPr="007246A9">
              <w:rPr>
                <w:rFonts w:ascii="Arial" w:hAnsi="Arial" w:cs="Arial"/>
                <w:b/>
                <w:bCs/>
                <w:sz w:val="16"/>
                <w:szCs w:val="16"/>
                <w:u w:val="single"/>
              </w:rPr>
              <w:t>+</w:t>
            </w:r>
          </w:p>
        </w:tc>
      </w:tr>
      <w:tr w:rsidR="00357D84" w:rsidRPr="00D41B36" w14:paraId="541B2AEE" w14:textId="77777777" w:rsidTr="00502B4F">
        <w:trPr>
          <w:trHeight w:val="96"/>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4FE1696F" w14:textId="6A235530" w:rsidR="00357D84" w:rsidRPr="007246A9" w:rsidRDefault="00357D84" w:rsidP="00357D84">
            <w:pPr>
              <w:rPr>
                <w:rFonts w:ascii="Arial" w:eastAsia="Batang" w:hAnsi="Arial" w:cs="Arial"/>
                <w:bCs/>
                <w:color w:val="000000" w:themeColor="text1"/>
                <w:sz w:val="16"/>
                <w:szCs w:val="16"/>
                <w:lang w:val="el-GR"/>
              </w:rPr>
            </w:pPr>
            <w:r w:rsidRPr="007246A9">
              <w:rPr>
                <w:rFonts w:ascii="Arial" w:eastAsia="Batang" w:hAnsi="Arial" w:cs="Arial"/>
                <w:bCs/>
                <w:color w:val="000000" w:themeColor="text1"/>
                <w:sz w:val="16"/>
                <w:szCs w:val="16"/>
                <w:lang w:val="el-GR"/>
              </w:rPr>
              <w:t>Δάνεια (€ εκατ.)</w:t>
            </w:r>
          </w:p>
        </w:tc>
        <w:tc>
          <w:tcPr>
            <w:tcW w:w="1844" w:type="dxa"/>
            <w:tcBorders>
              <w:top w:val="single" w:sz="4" w:space="0" w:color="A6A6A6" w:themeColor="background1" w:themeShade="A6"/>
              <w:left w:val="nil"/>
              <w:bottom w:val="single" w:sz="4" w:space="0" w:color="A6A6A6" w:themeColor="background1" w:themeShade="A6"/>
              <w:right w:val="nil"/>
            </w:tcBorders>
            <w:vAlign w:val="center"/>
          </w:tcPr>
          <w:p w14:paraId="15969EC5" w14:textId="4D494AEC" w:rsidR="00357D84" w:rsidRPr="00357D84" w:rsidRDefault="00357D84" w:rsidP="00502B4F">
            <w:pPr>
              <w:spacing w:line="360" w:lineRule="auto"/>
              <w:jc w:val="right"/>
              <w:rPr>
                <w:rFonts w:ascii="Arial" w:hAnsi="Arial" w:cs="Arial"/>
                <w:b/>
                <w:bCs/>
                <w:color w:val="FF9900"/>
                <w:sz w:val="16"/>
                <w:szCs w:val="16"/>
                <w:highlight w:val="yellow"/>
                <w:lang w:val="el-GR"/>
              </w:rPr>
            </w:pPr>
            <w:r w:rsidRPr="00502B4F">
              <w:rPr>
                <w:rFonts w:ascii="Arial" w:hAnsi="Arial" w:cs="Arial"/>
                <w:b/>
                <w:bCs/>
                <w:sz w:val="16"/>
                <w:szCs w:val="16"/>
              </w:rPr>
              <w:t>10,250</w:t>
            </w:r>
          </w:p>
        </w:tc>
        <w:tc>
          <w:tcPr>
            <w:tcW w:w="1984" w:type="dxa"/>
            <w:gridSpan w:val="2"/>
            <w:tcBorders>
              <w:top w:val="single" w:sz="4" w:space="0" w:color="A6A6A6" w:themeColor="background1" w:themeShade="A6"/>
              <w:left w:val="nil"/>
              <w:bottom w:val="single" w:sz="4" w:space="0" w:color="A6A6A6" w:themeColor="background1" w:themeShade="A6"/>
              <w:right w:val="nil"/>
            </w:tcBorders>
            <w:vAlign w:val="center"/>
          </w:tcPr>
          <w:p w14:paraId="02E3205A" w14:textId="20A1CE01" w:rsidR="00357D84" w:rsidRPr="00614841" w:rsidRDefault="00357D84" w:rsidP="00357D84">
            <w:pPr>
              <w:jc w:val="right"/>
              <w:rPr>
                <w:rFonts w:ascii="Arial" w:hAnsi="Arial" w:cs="Arial"/>
                <w:b/>
                <w:bCs/>
                <w:color w:val="FF0000"/>
                <w:sz w:val="16"/>
                <w:szCs w:val="16"/>
                <w:lang w:val="el-GR"/>
              </w:rPr>
            </w:pPr>
            <w:r w:rsidRPr="00502B4F">
              <w:rPr>
                <w:rFonts w:ascii="Arial" w:hAnsi="Arial" w:cs="Arial"/>
                <w:b/>
                <w:bCs/>
                <w:sz w:val="16"/>
                <w:szCs w:val="16"/>
              </w:rPr>
              <w:t>10,27</w:t>
            </w:r>
            <w:r w:rsidR="00614841">
              <w:rPr>
                <w:rFonts w:ascii="Arial" w:hAnsi="Arial" w:cs="Arial"/>
                <w:b/>
                <w:bCs/>
                <w:sz w:val="16"/>
                <w:szCs w:val="16"/>
                <w:lang w:val="el-GR"/>
              </w:rPr>
              <w:t>7</w:t>
            </w:r>
          </w:p>
        </w:tc>
        <w:tc>
          <w:tcPr>
            <w:tcW w:w="1561" w:type="dxa"/>
            <w:tcBorders>
              <w:top w:val="single" w:sz="4" w:space="0" w:color="A6A6A6" w:themeColor="background1" w:themeShade="A6"/>
              <w:left w:val="nil"/>
              <w:bottom w:val="single" w:sz="4" w:space="0" w:color="A6A6A6" w:themeColor="background1" w:themeShade="A6"/>
              <w:right w:val="nil"/>
            </w:tcBorders>
            <w:vAlign w:val="center"/>
          </w:tcPr>
          <w:p w14:paraId="4E559E11" w14:textId="18EC8C7D" w:rsidR="00357D84" w:rsidRPr="00357D84" w:rsidRDefault="00357D84" w:rsidP="00357D84">
            <w:pPr>
              <w:jc w:val="right"/>
              <w:rPr>
                <w:rFonts w:ascii="Arial" w:hAnsi="Arial" w:cs="Arial"/>
                <w:b/>
                <w:bCs/>
                <w:sz w:val="16"/>
                <w:szCs w:val="16"/>
              </w:rPr>
            </w:pPr>
            <w:r w:rsidRPr="00502B4F">
              <w:rPr>
                <w:rFonts w:ascii="Arial" w:hAnsi="Arial" w:cs="Arial"/>
                <w:b/>
                <w:bCs/>
                <w:sz w:val="16"/>
                <w:szCs w:val="16"/>
              </w:rPr>
              <w:t>10,070</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459DDC59" w14:textId="45D65C92" w:rsidR="00357D84" w:rsidRPr="00357D84" w:rsidRDefault="00357D84" w:rsidP="00357D84">
            <w:pPr>
              <w:jc w:val="right"/>
              <w:rPr>
                <w:rFonts w:ascii="Arial" w:hAnsi="Arial" w:cs="Arial"/>
                <w:color w:val="FF0000"/>
                <w:sz w:val="16"/>
                <w:szCs w:val="16"/>
              </w:rPr>
            </w:pPr>
            <w:r w:rsidRPr="00502B4F">
              <w:rPr>
                <w:rFonts w:ascii="Arial" w:hAnsi="Arial" w:cs="Arial"/>
                <w:sz w:val="16"/>
                <w:szCs w:val="16"/>
              </w:rPr>
              <w:t>2%</w:t>
            </w:r>
          </w:p>
        </w:tc>
      </w:tr>
      <w:tr w:rsidR="00357D84" w:rsidRPr="00D41B36" w14:paraId="2BBED64F" w14:textId="77777777" w:rsidTr="00502B4F">
        <w:trPr>
          <w:trHeight w:val="206"/>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314ADC2E" w14:textId="6887EF1F" w:rsidR="00357D84" w:rsidRPr="007246A9" w:rsidRDefault="00357D84" w:rsidP="00357D84">
            <w:pPr>
              <w:rPr>
                <w:rFonts w:ascii="Arial" w:eastAsia="Batang" w:hAnsi="Arial" w:cs="Arial"/>
                <w:bCs/>
                <w:color w:val="000000" w:themeColor="text1"/>
                <w:sz w:val="16"/>
                <w:szCs w:val="16"/>
                <w:lang w:val="el-GR"/>
              </w:rPr>
            </w:pPr>
            <w:r w:rsidRPr="007246A9">
              <w:rPr>
                <w:rFonts w:ascii="Arial" w:eastAsia="Batang" w:hAnsi="Arial" w:cs="Arial"/>
                <w:bCs/>
                <w:color w:val="000000" w:themeColor="text1"/>
                <w:sz w:val="16"/>
                <w:szCs w:val="16"/>
                <w:lang w:val="el-GR"/>
              </w:rPr>
              <w:t xml:space="preserve">Συσσωρευμένες αναμενόμενες πιστωτικές ζημιές δανείων (€ </w:t>
            </w:r>
            <w:proofErr w:type="spellStart"/>
            <w:r w:rsidRPr="007246A9">
              <w:rPr>
                <w:rFonts w:ascii="Arial" w:eastAsia="Batang" w:hAnsi="Arial" w:cs="Arial"/>
                <w:bCs/>
                <w:color w:val="000000" w:themeColor="text1"/>
                <w:sz w:val="16"/>
                <w:szCs w:val="16"/>
                <w:lang w:val="el-GR"/>
              </w:rPr>
              <w:t>εκατ</w:t>
            </w:r>
            <w:proofErr w:type="spellEnd"/>
            <w:r w:rsidRPr="007246A9">
              <w:rPr>
                <w:rFonts w:ascii="Arial" w:eastAsia="Batang" w:hAnsi="Arial" w:cs="Arial"/>
                <w:bCs/>
                <w:color w:val="000000" w:themeColor="text1"/>
                <w:sz w:val="16"/>
                <w:szCs w:val="16"/>
                <w:lang w:val="el-GR"/>
              </w:rPr>
              <w:t xml:space="preserve">)  </w:t>
            </w:r>
          </w:p>
        </w:tc>
        <w:tc>
          <w:tcPr>
            <w:tcW w:w="1844" w:type="dxa"/>
            <w:tcBorders>
              <w:top w:val="single" w:sz="4" w:space="0" w:color="A6A6A6" w:themeColor="background1" w:themeShade="A6"/>
              <w:left w:val="nil"/>
              <w:bottom w:val="single" w:sz="4" w:space="0" w:color="A6A6A6" w:themeColor="background1" w:themeShade="A6"/>
              <w:right w:val="nil"/>
            </w:tcBorders>
            <w:vAlign w:val="center"/>
          </w:tcPr>
          <w:p w14:paraId="1FEDA3E2" w14:textId="26B28F6C" w:rsidR="00357D84" w:rsidRPr="00357D84" w:rsidRDefault="00357D84" w:rsidP="00502B4F">
            <w:pPr>
              <w:spacing w:line="360" w:lineRule="auto"/>
              <w:jc w:val="right"/>
              <w:rPr>
                <w:rFonts w:ascii="Arial" w:hAnsi="Arial" w:cs="Arial"/>
                <w:b/>
                <w:bCs/>
                <w:color w:val="FF9900"/>
                <w:sz w:val="16"/>
                <w:szCs w:val="16"/>
                <w:highlight w:val="yellow"/>
                <w:lang w:val="el-GR"/>
              </w:rPr>
            </w:pPr>
            <w:r w:rsidRPr="00502B4F">
              <w:rPr>
                <w:rFonts w:ascii="Arial" w:hAnsi="Arial" w:cs="Arial"/>
                <w:b/>
                <w:bCs/>
                <w:sz w:val="16"/>
                <w:szCs w:val="16"/>
              </w:rPr>
              <w:t>237</w:t>
            </w:r>
          </w:p>
        </w:tc>
        <w:tc>
          <w:tcPr>
            <w:tcW w:w="1984" w:type="dxa"/>
            <w:gridSpan w:val="2"/>
            <w:tcBorders>
              <w:top w:val="single" w:sz="4" w:space="0" w:color="A6A6A6" w:themeColor="background1" w:themeShade="A6"/>
              <w:left w:val="nil"/>
              <w:bottom w:val="single" w:sz="4" w:space="0" w:color="A6A6A6" w:themeColor="background1" w:themeShade="A6"/>
              <w:right w:val="nil"/>
            </w:tcBorders>
            <w:vAlign w:val="center"/>
          </w:tcPr>
          <w:p w14:paraId="2B12497F" w14:textId="4BAA199E" w:rsidR="00357D84" w:rsidRPr="00357D84" w:rsidRDefault="00357D84" w:rsidP="00357D84">
            <w:pPr>
              <w:jc w:val="right"/>
              <w:rPr>
                <w:rFonts w:ascii="Arial" w:hAnsi="Arial" w:cs="Arial"/>
                <w:b/>
                <w:bCs/>
                <w:color w:val="FF0000"/>
                <w:sz w:val="16"/>
                <w:szCs w:val="16"/>
              </w:rPr>
            </w:pPr>
            <w:r w:rsidRPr="00502B4F">
              <w:rPr>
                <w:rFonts w:ascii="Arial" w:hAnsi="Arial" w:cs="Arial"/>
                <w:b/>
                <w:bCs/>
                <w:sz w:val="16"/>
                <w:szCs w:val="16"/>
              </w:rPr>
              <w:t>252</w:t>
            </w:r>
          </w:p>
        </w:tc>
        <w:tc>
          <w:tcPr>
            <w:tcW w:w="1561" w:type="dxa"/>
            <w:tcBorders>
              <w:top w:val="single" w:sz="4" w:space="0" w:color="A6A6A6" w:themeColor="background1" w:themeShade="A6"/>
              <w:left w:val="nil"/>
              <w:bottom w:val="single" w:sz="4" w:space="0" w:color="A6A6A6" w:themeColor="background1" w:themeShade="A6"/>
              <w:right w:val="nil"/>
            </w:tcBorders>
            <w:vAlign w:val="center"/>
          </w:tcPr>
          <w:p w14:paraId="7AB4E067" w14:textId="57A58E4D" w:rsidR="00357D84" w:rsidRPr="00357D84" w:rsidRDefault="00357D84" w:rsidP="00357D84">
            <w:pPr>
              <w:jc w:val="right"/>
              <w:rPr>
                <w:rFonts w:ascii="Arial" w:hAnsi="Arial" w:cs="Arial"/>
                <w:b/>
                <w:bCs/>
                <w:sz w:val="16"/>
                <w:szCs w:val="16"/>
              </w:rPr>
            </w:pPr>
            <w:r w:rsidRPr="00502B4F">
              <w:rPr>
                <w:rFonts w:ascii="Arial" w:hAnsi="Arial" w:cs="Arial"/>
                <w:b/>
                <w:bCs/>
                <w:sz w:val="16"/>
                <w:szCs w:val="16"/>
              </w:rPr>
              <w:t>267</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0811BE51" w14:textId="26761FC5" w:rsidR="00357D84" w:rsidRPr="00357D84" w:rsidRDefault="00357D84" w:rsidP="00357D84">
            <w:pPr>
              <w:jc w:val="right"/>
              <w:rPr>
                <w:rFonts w:ascii="Arial" w:hAnsi="Arial" w:cs="Arial"/>
                <w:color w:val="FF0000"/>
                <w:sz w:val="16"/>
                <w:szCs w:val="16"/>
              </w:rPr>
            </w:pPr>
            <w:r w:rsidRPr="00502B4F">
              <w:rPr>
                <w:rFonts w:ascii="Arial" w:hAnsi="Arial" w:cs="Arial"/>
                <w:sz w:val="16"/>
                <w:szCs w:val="16"/>
              </w:rPr>
              <w:t>-</w:t>
            </w:r>
            <w:r w:rsidR="00614841">
              <w:rPr>
                <w:rFonts w:ascii="Arial" w:hAnsi="Arial" w:cs="Arial"/>
                <w:sz w:val="16"/>
                <w:szCs w:val="16"/>
                <w:lang w:val="el-GR"/>
              </w:rPr>
              <w:t>11</w:t>
            </w:r>
            <w:r w:rsidRPr="00502B4F">
              <w:rPr>
                <w:rFonts w:ascii="Arial" w:hAnsi="Arial" w:cs="Arial"/>
                <w:sz w:val="16"/>
                <w:szCs w:val="16"/>
              </w:rPr>
              <w:t>%</w:t>
            </w:r>
          </w:p>
        </w:tc>
      </w:tr>
      <w:tr w:rsidR="00357D84" w:rsidRPr="00D41B36" w14:paraId="70233218" w14:textId="77777777" w:rsidTr="00502B4F">
        <w:trPr>
          <w:trHeight w:val="340"/>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533066F8" w14:textId="41ED6C8D" w:rsidR="00357D84" w:rsidRPr="007246A9" w:rsidRDefault="00357D84" w:rsidP="00357D84">
            <w:pPr>
              <w:rPr>
                <w:rFonts w:ascii="Arial" w:eastAsia="Batang" w:hAnsi="Arial" w:cs="Arial"/>
                <w:bCs/>
                <w:color w:val="000000" w:themeColor="text1"/>
                <w:sz w:val="16"/>
                <w:szCs w:val="16"/>
                <w:lang w:val="el-GR"/>
              </w:rPr>
            </w:pPr>
            <w:r w:rsidRPr="007246A9">
              <w:rPr>
                <w:rFonts w:ascii="Arial" w:eastAsia="Batang" w:hAnsi="Arial" w:cs="Arial"/>
                <w:bCs/>
                <w:color w:val="000000" w:themeColor="text1"/>
                <w:sz w:val="16"/>
                <w:szCs w:val="16"/>
                <w:lang w:val="el-GR"/>
              </w:rPr>
              <w:t xml:space="preserve">Καταθέσεις πελατών (€ εκατ.)  </w:t>
            </w:r>
          </w:p>
        </w:tc>
        <w:tc>
          <w:tcPr>
            <w:tcW w:w="1844" w:type="dxa"/>
            <w:tcBorders>
              <w:top w:val="single" w:sz="4" w:space="0" w:color="A6A6A6" w:themeColor="background1" w:themeShade="A6"/>
              <w:left w:val="nil"/>
              <w:bottom w:val="single" w:sz="4" w:space="0" w:color="A6A6A6" w:themeColor="background1" w:themeShade="A6"/>
              <w:right w:val="nil"/>
            </w:tcBorders>
            <w:vAlign w:val="center"/>
          </w:tcPr>
          <w:p w14:paraId="02EB22DF" w14:textId="3B05544D" w:rsidR="00357D84" w:rsidRPr="00357D84" w:rsidRDefault="00357D84" w:rsidP="00502B4F">
            <w:pPr>
              <w:spacing w:line="360" w:lineRule="auto"/>
              <w:jc w:val="right"/>
              <w:rPr>
                <w:rFonts w:ascii="Arial" w:hAnsi="Arial" w:cs="Arial"/>
                <w:b/>
                <w:bCs/>
                <w:color w:val="FF9900"/>
                <w:sz w:val="16"/>
                <w:szCs w:val="16"/>
                <w:highlight w:val="yellow"/>
                <w:lang w:val="el-GR"/>
              </w:rPr>
            </w:pPr>
            <w:r w:rsidRPr="00502B4F">
              <w:rPr>
                <w:rFonts w:ascii="Arial" w:hAnsi="Arial" w:cs="Arial"/>
                <w:b/>
                <w:bCs/>
                <w:sz w:val="16"/>
                <w:szCs w:val="16"/>
              </w:rPr>
              <w:t>19,989</w:t>
            </w:r>
          </w:p>
        </w:tc>
        <w:tc>
          <w:tcPr>
            <w:tcW w:w="1984" w:type="dxa"/>
            <w:gridSpan w:val="2"/>
            <w:tcBorders>
              <w:top w:val="single" w:sz="4" w:space="0" w:color="A6A6A6" w:themeColor="background1" w:themeShade="A6"/>
              <w:left w:val="nil"/>
              <w:bottom w:val="single" w:sz="4" w:space="0" w:color="A6A6A6" w:themeColor="background1" w:themeShade="A6"/>
              <w:right w:val="nil"/>
            </w:tcBorders>
            <w:vAlign w:val="center"/>
          </w:tcPr>
          <w:p w14:paraId="74994E19" w14:textId="0E8F521C" w:rsidR="00357D84" w:rsidRPr="00357D84" w:rsidRDefault="00357D84" w:rsidP="00357D84">
            <w:pPr>
              <w:jc w:val="right"/>
              <w:rPr>
                <w:rFonts w:ascii="Arial" w:hAnsi="Arial" w:cs="Arial"/>
                <w:b/>
                <w:bCs/>
                <w:color w:val="FF0000"/>
                <w:sz w:val="16"/>
                <w:szCs w:val="16"/>
              </w:rPr>
            </w:pPr>
            <w:r w:rsidRPr="00502B4F">
              <w:rPr>
                <w:rFonts w:ascii="Arial" w:hAnsi="Arial" w:cs="Arial"/>
                <w:b/>
                <w:bCs/>
                <w:sz w:val="16"/>
                <w:szCs w:val="16"/>
              </w:rPr>
              <w:t>19,989</w:t>
            </w:r>
          </w:p>
        </w:tc>
        <w:tc>
          <w:tcPr>
            <w:tcW w:w="1561" w:type="dxa"/>
            <w:tcBorders>
              <w:top w:val="single" w:sz="4" w:space="0" w:color="A6A6A6" w:themeColor="background1" w:themeShade="A6"/>
              <w:left w:val="nil"/>
              <w:bottom w:val="single" w:sz="4" w:space="0" w:color="A6A6A6" w:themeColor="background1" w:themeShade="A6"/>
              <w:right w:val="nil"/>
            </w:tcBorders>
            <w:vAlign w:val="center"/>
          </w:tcPr>
          <w:p w14:paraId="11A57246" w14:textId="2B4DAB14" w:rsidR="00357D84" w:rsidRPr="00357D84" w:rsidRDefault="00357D84" w:rsidP="00357D84">
            <w:pPr>
              <w:jc w:val="right"/>
              <w:rPr>
                <w:rFonts w:ascii="Arial" w:hAnsi="Arial" w:cs="Arial"/>
                <w:b/>
                <w:bCs/>
                <w:sz w:val="16"/>
                <w:szCs w:val="16"/>
              </w:rPr>
            </w:pPr>
            <w:r w:rsidRPr="00502B4F">
              <w:rPr>
                <w:rFonts w:ascii="Arial" w:hAnsi="Arial" w:cs="Arial"/>
                <w:b/>
                <w:bCs/>
                <w:sz w:val="16"/>
                <w:szCs w:val="16"/>
              </w:rPr>
              <w:t>19,337</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131D8FD2" w14:textId="5DA8ECDD" w:rsidR="00357D84" w:rsidRPr="00357D84" w:rsidRDefault="00357D84" w:rsidP="00357D84">
            <w:pPr>
              <w:jc w:val="right"/>
              <w:rPr>
                <w:rFonts w:ascii="Arial" w:hAnsi="Arial" w:cs="Arial"/>
                <w:color w:val="FF0000"/>
                <w:sz w:val="16"/>
                <w:szCs w:val="16"/>
              </w:rPr>
            </w:pPr>
            <w:r w:rsidRPr="00502B4F">
              <w:rPr>
                <w:rFonts w:ascii="Arial" w:hAnsi="Arial" w:cs="Arial"/>
                <w:sz w:val="16"/>
                <w:szCs w:val="16"/>
              </w:rPr>
              <w:t>3%</w:t>
            </w:r>
          </w:p>
        </w:tc>
      </w:tr>
      <w:tr w:rsidR="00357D84" w:rsidRPr="00D41B36" w14:paraId="1CBECE52" w14:textId="77777777" w:rsidTr="00502B4F">
        <w:trPr>
          <w:trHeight w:val="112"/>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1145B583" w14:textId="4C6A3377" w:rsidR="00357D84" w:rsidRPr="007246A9" w:rsidRDefault="00357D84" w:rsidP="00357D84">
            <w:pPr>
              <w:rPr>
                <w:rFonts w:ascii="Arial" w:eastAsia="Batang" w:hAnsi="Arial" w:cs="Arial"/>
                <w:bCs/>
                <w:color w:val="000000" w:themeColor="text1"/>
                <w:sz w:val="16"/>
                <w:szCs w:val="16"/>
                <w:lang w:val="el-GR"/>
              </w:rPr>
            </w:pPr>
            <w:r w:rsidRPr="007246A9">
              <w:rPr>
                <w:rFonts w:ascii="Arial" w:eastAsia="Batang" w:hAnsi="Arial" w:cs="Arial"/>
                <w:bCs/>
                <w:color w:val="000000" w:themeColor="text1"/>
                <w:sz w:val="16"/>
                <w:szCs w:val="16"/>
                <w:lang w:val="el-GR"/>
              </w:rPr>
              <w:t xml:space="preserve">Δείκτης δανείων (μετά τις προβλέψεις) προς καταθέσεις </w:t>
            </w:r>
          </w:p>
        </w:tc>
        <w:tc>
          <w:tcPr>
            <w:tcW w:w="1844" w:type="dxa"/>
            <w:tcBorders>
              <w:top w:val="single" w:sz="4" w:space="0" w:color="A6A6A6" w:themeColor="background1" w:themeShade="A6"/>
              <w:left w:val="nil"/>
              <w:bottom w:val="single" w:sz="4" w:space="0" w:color="A6A6A6" w:themeColor="background1" w:themeShade="A6"/>
              <w:right w:val="nil"/>
            </w:tcBorders>
            <w:vAlign w:val="center"/>
          </w:tcPr>
          <w:p w14:paraId="3A51208E" w14:textId="5062992A" w:rsidR="00357D84" w:rsidRPr="00357D84" w:rsidRDefault="00357D84" w:rsidP="00502B4F">
            <w:pPr>
              <w:spacing w:line="360" w:lineRule="auto"/>
              <w:jc w:val="right"/>
              <w:rPr>
                <w:rFonts w:ascii="Arial" w:hAnsi="Arial" w:cs="Arial"/>
                <w:b/>
                <w:bCs/>
                <w:color w:val="FF9900"/>
                <w:sz w:val="16"/>
                <w:szCs w:val="16"/>
                <w:highlight w:val="yellow"/>
                <w:lang w:val="el-GR"/>
              </w:rPr>
            </w:pPr>
            <w:r w:rsidRPr="00502B4F">
              <w:rPr>
                <w:rFonts w:ascii="Arial" w:hAnsi="Arial" w:cs="Arial"/>
                <w:b/>
                <w:bCs/>
                <w:sz w:val="16"/>
                <w:szCs w:val="16"/>
              </w:rPr>
              <w:t>50%</w:t>
            </w:r>
          </w:p>
        </w:tc>
        <w:tc>
          <w:tcPr>
            <w:tcW w:w="1984" w:type="dxa"/>
            <w:gridSpan w:val="2"/>
            <w:tcBorders>
              <w:top w:val="single" w:sz="4" w:space="0" w:color="A6A6A6" w:themeColor="background1" w:themeShade="A6"/>
              <w:left w:val="nil"/>
              <w:bottom w:val="single" w:sz="4" w:space="0" w:color="A6A6A6" w:themeColor="background1" w:themeShade="A6"/>
              <w:right w:val="nil"/>
            </w:tcBorders>
            <w:vAlign w:val="center"/>
          </w:tcPr>
          <w:p w14:paraId="5A83D75E" w14:textId="3493C8E1" w:rsidR="00357D84" w:rsidRPr="00357D84" w:rsidRDefault="00357D84" w:rsidP="00357D84">
            <w:pPr>
              <w:jc w:val="right"/>
              <w:rPr>
                <w:rFonts w:ascii="Arial" w:hAnsi="Arial" w:cs="Arial"/>
                <w:b/>
                <w:bCs/>
                <w:color w:val="FF0000"/>
                <w:sz w:val="16"/>
                <w:szCs w:val="16"/>
              </w:rPr>
            </w:pPr>
            <w:r w:rsidRPr="00502B4F">
              <w:rPr>
                <w:rFonts w:ascii="Arial" w:hAnsi="Arial" w:cs="Arial"/>
                <w:b/>
                <w:bCs/>
                <w:sz w:val="16"/>
                <w:szCs w:val="16"/>
              </w:rPr>
              <w:t>50%</w:t>
            </w:r>
          </w:p>
        </w:tc>
        <w:tc>
          <w:tcPr>
            <w:tcW w:w="1561" w:type="dxa"/>
            <w:tcBorders>
              <w:top w:val="single" w:sz="4" w:space="0" w:color="A6A6A6" w:themeColor="background1" w:themeShade="A6"/>
              <w:left w:val="nil"/>
              <w:bottom w:val="single" w:sz="4" w:space="0" w:color="A6A6A6" w:themeColor="background1" w:themeShade="A6"/>
              <w:right w:val="nil"/>
            </w:tcBorders>
            <w:vAlign w:val="center"/>
          </w:tcPr>
          <w:p w14:paraId="555AC9BE" w14:textId="248E3D7A" w:rsidR="00357D84" w:rsidRPr="00357D84" w:rsidRDefault="00357D84" w:rsidP="00357D84">
            <w:pPr>
              <w:jc w:val="right"/>
              <w:rPr>
                <w:rFonts w:ascii="Arial" w:hAnsi="Arial" w:cs="Arial"/>
                <w:b/>
                <w:bCs/>
                <w:sz w:val="16"/>
                <w:szCs w:val="16"/>
              </w:rPr>
            </w:pPr>
            <w:r w:rsidRPr="00502B4F">
              <w:rPr>
                <w:rFonts w:ascii="Arial" w:hAnsi="Arial" w:cs="Arial"/>
                <w:b/>
                <w:bCs/>
                <w:sz w:val="16"/>
                <w:szCs w:val="16"/>
              </w:rPr>
              <w:t>51%</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16FA55EB" w14:textId="7FD92DB5" w:rsidR="00357D84" w:rsidRPr="00357D84" w:rsidRDefault="00357D84" w:rsidP="00357D84">
            <w:pPr>
              <w:jc w:val="right"/>
              <w:rPr>
                <w:rFonts w:ascii="Arial" w:hAnsi="Arial" w:cs="Arial"/>
                <w:color w:val="FF0000"/>
                <w:sz w:val="16"/>
                <w:szCs w:val="16"/>
              </w:rPr>
            </w:pPr>
            <w:r w:rsidRPr="00502B4F">
              <w:rPr>
                <w:rFonts w:ascii="Arial" w:hAnsi="Arial" w:cs="Arial"/>
                <w:sz w:val="16"/>
                <w:szCs w:val="16"/>
              </w:rPr>
              <w:t xml:space="preserve">-1 </w:t>
            </w:r>
            <w:r>
              <w:rPr>
                <w:rFonts w:ascii="Arial" w:hAnsi="Arial" w:cs="Arial"/>
                <w:sz w:val="16"/>
                <w:szCs w:val="16"/>
                <w:lang w:val="el-GR"/>
              </w:rPr>
              <w:t>ε</w:t>
            </w:r>
            <w:r w:rsidRPr="00502B4F">
              <w:rPr>
                <w:rFonts w:ascii="Arial" w:hAnsi="Arial" w:cs="Arial"/>
                <w:sz w:val="16"/>
                <w:szCs w:val="16"/>
              </w:rPr>
              <w:t>.</w:t>
            </w:r>
            <w:r>
              <w:rPr>
                <w:rFonts w:ascii="Arial" w:hAnsi="Arial" w:cs="Arial"/>
                <w:sz w:val="16"/>
                <w:szCs w:val="16"/>
                <w:lang w:val="el-GR"/>
              </w:rPr>
              <w:t>μ</w:t>
            </w:r>
            <w:r w:rsidRPr="00502B4F">
              <w:rPr>
                <w:rFonts w:ascii="Arial" w:hAnsi="Arial" w:cs="Arial"/>
                <w:sz w:val="16"/>
                <w:szCs w:val="16"/>
              </w:rPr>
              <w:t>.</w:t>
            </w:r>
          </w:p>
        </w:tc>
      </w:tr>
      <w:tr w:rsidR="00357D84" w:rsidRPr="00D41B36" w14:paraId="135EA8D1" w14:textId="77777777" w:rsidTr="00502B4F">
        <w:trPr>
          <w:trHeight w:val="280"/>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5EFDF13C" w14:textId="214538B2" w:rsidR="00357D84" w:rsidRPr="007246A9" w:rsidRDefault="00357D84" w:rsidP="00357D84">
            <w:pPr>
              <w:rPr>
                <w:rFonts w:ascii="Arial" w:eastAsia="Batang" w:hAnsi="Arial" w:cs="Arial"/>
                <w:bCs/>
                <w:color w:val="000000" w:themeColor="text1"/>
                <w:sz w:val="16"/>
                <w:szCs w:val="16"/>
                <w:lang w:val="el-GR"/>
              </w:rPr>
            </w:pPr>
            <w:r w:rsidRPr="007246A9">
              <w:rPr>
                <w:rFonts w:ascii="Arial" w:eastAsia="Batang" w:hAnsi="Arial" w:cs="Arial"/>
                <w:bCs/>
                <w:color w:val="000000" w:themeColor="text1"/>
                <w:sz w:val="16"/>
                <w:szCs w:val="16"/>
                <w:lang w:val="el-GR"/>
              </w:rPr>
              <w:t>Ποσοστό ΜΕΔ προς δάνεια</w:t>
            </w:r>
          </w:p>
        </w:tc>
        <w:tc>
          <w:tcPr>
            <w:tcW w:w="1844" w:type="dxa"/>
            <w:tcBorders>
              <w:top w:val="single" w:sz="4" w:space="0" w:color="A6A6A6" w:themeColor="background1" w:themeShade="A6"/>
              <w:left w:val="nil"/>
              <w:bottom w:val="single" w:sz="4" w:space="0" w:color="A6A6A6" w:themeColor="background1" w:themeShade="A6"/>
              <w:right w:val="nil"/>
            </w:tcBorders>
            <w:vAlign w:val="center"/>
          </w:tcPr>
          <w:p w14:paraId="4F1C75A5" w14:textId="68270D1D" w:rsidR="00357D84" w:rsidRPr="00357D84" w:rsidRDefault="00357D84" w:rsidP="00502B4F">
            <w:pPr>
              <w:spacing w:line="360" w:lineRule="auto"/>
              <w:jc w:val="right"/>
              <w:rPr>
                <w:rFonts w:ascii="Arial" w:hAnsi="Arial" w:cs="Arial"/>
                <w:b/>
                <w:bCs/>
                <w:color w:val="FF9900"/>
                <w:sz w:val="16"/>
                <w:szCs w:val="16"/>
                <w:highlight w:val="yellow"/>
                <w:lang w:val="el-GR"/>
              </w:rPr>
            </w:pPr>
            <w:r w:rsidRPr="00502B4F">
              <w:rPr>
                <w:rFonts w:ascii="Arial" w:hAnsi="Arial" w:cs="Arial"/>
                <w:b/>
                <w:bCs/>
                <w:sz w:val="16"/>
                <w:szCs w:val="16"/>
              </w:rPr>
              <w:t>2.4%</w:t>
            </w:r>
          </w:p>
        </w:tc>
        <w:tc>
          <w:tcPr>
            <w:tcW w:w="1984" w:type="dxa"/>
            <w:gridSpan w:val="2"/>
            <w:tcBorders>
              <w:top w:val="single" w:sz="4" w:space="0" w:color="A6A6A6" w:themeColor="background1" w:themeShade="A6"/>
              <w:left w:val="nil"/>
              <w:bottom w:val="single" w:sz="4" w:space="0" w:color="A6A6A6" w:themeColor="background1" w:themeShade="A6"/>
              <w:right w:val="nil"/>
            </w:tcBorders>
            <w:vAlign w:val="center"/>
          </w:tcPr>
          <w:p w14:paraId="455AEA92" w14:textId="49BB8864" w:rsidR="00357D84" w:rsidRPr="00357D84" w:rsidRDefault="00357D84" w:rsidP="00357D84">
            <w:pPr>
              <w:jc w:val="right"/>
              <w:rPr>
                <w:rFonts w:ascii="Arial" w:hAnsi="Arial" w:cs="Arial"/>
                <w:b/>
                <w:bCs/>
                <w:color w:val="FF0000"/>
                <w:sz w:val="16"/>
                <w:szCs w:val="16"/>
              </w:rPr>
            </w:pPr>
            <w:r w:rsidRPr="00502B4F">
              <w:rPr>
                <w:rFonts w:ascii="Arial" w:hAnsi="Arial" w:cs="Arial"/>
                <w:b/>
                <w:bCs/>
                <w:sz w:val="16"/>
                <w:szCs w:val="16"/>
              </w:rPr>
              <w:t>2.7%</w:t>
            </w:r>
          </w:p>
        </w:tc>
        <w:tc>
          <w:tcPr>
            <w:tcW w:w="1561" w:type="dxa"/>
            <w:tcBorders>
              <w:top w:val="single" w:sz="4" w:space="0" w:color="A6A6A6" w:themeColor="background1" w:themeShade="A6"/>
              <w:left w:val="nil"/>
              <w:bottom w:val="single" w:sz="4" w:space="0" w:color="A6A6A6" w:themeColor="background1" w:themeShade="A6"/>
              <w:right w:val="nil"/>
            </w:tcBorders>
            <w:vAlign w:val="center"/>
          </w:tcPr>
          <w:p w14:paraId="11DA1588" w14:textId="3A6C461C" w:rsidR="00357D84" w:rsidRPr="00357D84" w:rsidRDefault="00357D84" w:rsidP="00357D84">
            <w:pPr>
              <w:jc w:val="right"/>
              <w:rPr>
                <w:rFonts w:ascii="Arial" w:hAnsi="Arial" w:cs="Arial"/>
                <w:b/>
                <w:bCs/>
                <w:sz w:val="16"/>
                <w:szCs w:val="16"/>
              </w:rPr>
            </w:pPr>
            <w:r w:rsidRPr="00502B4F">
              <w:rPr>
                <w:rFonts w:ascii="Arial" w:hAnsi="Arial" w:cs="Arial"/>
                <w:b/>
                <w:bCs/>
                <w:sz w:val="16"/>
                <w:szCs w:val="16"/>
              </w:rPr>
              <w:t>3.6%</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7678CD08" w14:textId="06473BD2" w:rsidR="00357D84" w:rsidRPr="00357D84" w:rsidRDefault="00AB5C66" w:rsidP="00357D84">
            <w:pPr>
              <w:jc w:val="right"/>
              <w:rPr>
                <w:rFonts w:ascii="Arial" w:hAnsi="Arial" w:cs="Arial"/>
                <w:color w:val="FF0000"/>
                <w:sz w:val="16"/>
                <w:szCs w:val="16"/>
              </w:rPr>
            </w:pPr>
            <w:r>
              <w:rPr>
                <w:rFonts w:ascii="Arial" w:hAnsi="Arial" w:cs="Arial"/>
                <w:sz w:val="16"/>
                <w:szCs w:val="16"/>
                <w:lang w:val="el-GR"/>
              </w:rPr>
              <w:t>-</w:t>
            </w:r>
            <w:r w:rsidR="00614841">
              <w:rPr>
                <w:rFonts w:ascii="Arial" w:hAnsi="Arial" w:cs="Arial"/>
                <w:sz w:val="16"/>
                <w:szCs w:val="16"/>
                <w:lang w:val="el-GR"/>
              </w:rPr>
              <w:t>120</w:t>
            </w:r>
            <w:r w:rsidR="00357D84" w:rsidRPr="00502B4F">
              <w:rPr>
                <w:rFonts w:ascii="Arial" w:hAnsi="Arial" w:cs="Arial"/>
                <w:sz w:val="16"/>
                <w:szCs w:val="16"/>
              </w:rPr>
              <w:t xml:space="preserve"> </w:t>
            </w:r>
            <w:proofErr w:type="spellStart"/>
            <w:r w:rsidR="00357D84">
              <w:rPr>
                <w:rFonts w:ascii="Arial" w:hAnsi="Arial" w:cs="Arial"/>
                <w:sz w:val="16"/>
                <w:szCs w:val="16"/>
                <w:lang w:val="el-GR"/>
              </w:rPr>
              <w:t>μ.β</w:t>
            </w:r>
            <w:proofErr w:type="spellEnd"/>
            <w:r w:rsidR="00357D84">
              <w:rPr>
                <w:rFonts w:ascii="Arial" w:hAnsi="Arial" w:cs="Arial"/>
                <w:sz w:val="16"/>
                <w:szCs w:val="16"/>
                <w:lang w:val="el-GR"/>
              </w:rPr>
              <w:t>.</w:t>
            </w:r>
          </w:p>
        </w:tc>
      </w:tr>
      <w:tr w:rsidR="00357D84" w:rsidRPr="00D41B36" w14:paraId="7E7E1248" w14:textId="77777777" w:rsidTr="00502B4F">
        <w:trPr>
          <w:trHeight w:val="228"/>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317F059C" w14:textId="779CBDAE" w:rsidR="00357D84" w:rsidRPr="007246A9" w:rsidRDefault="00357D84" w:rsidP="00357D84">
            <w:pPr>
              <w:rPr>
                <w:rFonts w:ascii="Arial" w:eastAsia="Batang" w:hAnsi="Arial" w:cs="Arial"/>
                <w:bCs/>
                <w:color w:val="000000" w:themeColor="text1"/>
                <w:sz w:val="16"/>
                <w:szCs w:val="16"/>
                <w:lang w:val="el-GR"/>
              </w:rPr>
            </w:pPr>
            <w:r w:rsidRPr="007246A9">
              <w:rPr>
                <w:rFonts w:ascii="Arial" w:eastAsia="Batang" w:hAnsi="Arial" w:cs="Arial"/>
                <w:bCs/>
                <w:color w:val="000000" w:themeColor="text1"/>
                <w:sz w:val="16"/>
                <w:szCs w:val="16"/>
                <w:lang w:val="el-GR"/>
              </w:rPr>
              <w:t xml:space="preserve">Δείκτης κάλυψης ΜΕΔ </w:t>
            </w:r>
          </w:p>
        </w:tc>
        <w:tc>
          <w:tcPr>
            <w:tcW w:w="1844" w:type="dxa"/>
            <w:tcBorders>
              <w:top w:val="single" w:sz="4" w:space="0" w:color="A6A6A6" w:themeColor="background1" w:themeShade="A6"/>
              <w:left w:val="nil"/>
              <w:bottom w:val="single" w:sz="4" w:space="0" w:color="A6A6A6" w:themeColor="background1" w:themeShade="A6"/>
              <w:right w:val="nil"/>
            </w:tcBorders>
            <w:vAlign w:val="center"/>
          </w:tcPr>
          <w:p w14:paraId="71070789" w14:textId="65FF775F" w:rsidR="00357D84" w:rsidRPr="00357D84" w:rsidRDefault="00357D84" w:rsidP="00502B4F">
            <w:pPr>
              <w:spacing w:line="360" w:lineRule="auto"/>
              <w:jc w:val="right"/>
              <w:rPr>
                <w:rFonts w:ascii="Arial" w:hAnsi="Arial" w:cs="Arial"/>
                <w:b/>
                <w:bCs/>
                <w:color w:val="FF9900"/>
                <w:sz w:val="16"/>
                <w:szCs w:val="16"/>
                <w:highlight w:val="yellow"/>
                <w:lang w:val="el-GR"/>
              </w:rPr>
            </w:pPr>
            <w:r w:rsidRPr="00502B4F">
              <w:rPr>
                <w:rFonts w:ascii="Arial" w:hAnsi="Arial" w:cs="Arial"/>
                <w:b/>
                <w:bCs/>
                <w:sz w:val="16"/>
                <w:szCs w:val="16"/>
              </w:rPr>
              <w:t>96%</w:t>
            </w:r>
          </w:p>
        </w:tc>
        <w:tc>
          <w:tcPr>
            <w:tcW w:w="1984" w:type="dxa"/>
            <w:gridSpan w:val="2"/>
            <w:tcBorders>
              <w:top w:val="single" w:sz="4" w:space="0" w:color="A6A6A6" w:themeColor="background1" w:themeShade="A6"/>
              <w:left w:val="nil"/>
              <w:bottom w:val="single" w:sz="4" w:space="0" w:color="A6A6A6" w:themeColor="background1" w:themeShade="A6"/>
              <w:right w:val="nil"/>
            </w:tcBorders>
            <w:vAlign w:val="center"/>
          </w:tcPr>
          <w:p w14:paraId="48AE2859" w14:textId="29E63FEF" w:rsidR="00357D84" w:rsidRPr="00357D84" w:rsidRDefault="00357D84" w:rsidP="00357D84">
            <w:pPr>
              <w:jc w:val="right"/>
              <w:rPr>
                <w:rFonts w:ascii="Arial" w:hAnsi="Arial" w:cs="Arial"/>
                <w:b/>
                <w:bCs/>
                <w:color w:val="FF0000"/>
                <w:sz w:val="16"/>
                <w:szCs w:val="16"/>
              </w:rPr>
            </w:pPr>
            <w:r w:rsidRPr="00502B4F">
              <w:rPr>
                <w:rFonts w:ascii="Arial" w:hAnsi="Arial" w:cs="Arial"/>
                <w:b/>
                <w:bCs/>
                <w:sz w:val="16"/>
                <w:szCs w:val="16"/>
              </w:rPr>
              <w:t>92%</w:t>
            </w:r>
          </w:p>
        </w:tc>
        <w:tc>
          <w:tcPr>
            <w:tcW w:w="1561" w:type="dxa"/>
            <w:tcBorders>
              <w:top w:val="single" w:sz="4" w:space="0" w:color="A6A6A6" w:themeColor="background1" w:themeShade="A6"/>
              <w:left w:val="nil"/>
              <w:bottom w:val="single" w:sz="4" w:space="0" w:color="A6A6A6" w:themeColor="background1" w:themeShade="A6"/>
              <w:right w:val="nil"/>
            </w:tcBorders>
            <w:vAlign w:val="center"/>
          </w:tcPr>
          <w:p w14:paraId="35B9191E" w14:textId="012F89EC" w:rsidR="00357D84" w:rsidRPr="00357D84" w:rsidRDefault="00357D84" w:rsidP="00357D84">
            <w:pPr>
              <w:jc w:val="right"/>
              <w:rPr>
                <w:rFonts w:ascii="Arial" w:hAnsi="Arial" w:cs="Arial"/>
                <w:b/>
                <w:bCs/>
                <w:sz w:val="16"/>
                <w:szCs w:val="16"/>
              </w:rPr>
            </w:pPr>
            <w:r w:rsidRPr="00502B4F">
              <w:rPr>
                <w:rFonts w:ascii="Arial" w:hAnsi="Arial" w:cs="Arial"/>
                <w:b/>
                <w:bCs/>
                <w:sz w:val="16"/>
                <w:szCs w:val="16"/>
              </w:rPr>
              <w:t>73%</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1905619A" w14:textId="2D53047C" w:rsidR="00357D84" w:rsidRPr="00357D84" w:rsidRDefault="00357D84" w:rsidP="00357D84">
            <w:pPr>
              <w:jc w:val="right"/>
              <w:rPr>
                <w:rFonts w:ascii="Arial" w:hAnsi="Arial" w:cs="Arial"/>
                <w:color w:val="FF0000"/>
                <w:sz w:val="16"/>
                <w:szCs w:val="16"/>
              </w:rPr>
            </w:pPr>
            <w:r w:rsidRPr="00502B4F">
              <w:rPr>
                <w:rFonts w:ascii="Arial" w:hAnsi="Arial" w:cs="Arial"/>
                <w:sz w:val="16"/>
                <w:szCs w:val="16"/>
              </w:rPr>
              <w:t>+</w:t>
            </w:r>
            <w:r w:rsidR="00614841">
              <w:rPr>
                <w:rFonts w:ascii="Arial" w:hAnsi="Arial" w:cs="Arial"/>
                <w:sz w:val="16"/>
                <w:szCs w:val="16"/>
                <w:lang w:val="el-GR"/>
              </w:rPr>
              <w:t>23</w:t>
            </w:r>
            <w:r>
              <w:rPr>
                <w:rFonts w:ascii="Arial" w:hAnsi="Arial" w:cs="Arial"/>
                <w:sz w:val="16"/>
                <w:szCs w:val="16"/>
                <w:lang w:val="el-GR"/>
              </w:rPr>
              <w:t xml:space="preserve"> ε</w:t>
            </w:r>
            <w:r w:rsidRPr="00865420">
              <w:rPr>
                <w:rFonts w:ascii="Arial" w:hAnsi="Arial" w:cs="Arial"/>
                <w:sz w:val="16"/>
                <w:szCs w:val="16"/>
              </w:rPr>
              <w:t>.</w:t>
            </w:r>
            <w:r>
              <w:rPr>
                <w:rFonts w:ascii="Arial" w:hAnsi="Arial" w:cs="Arial"/>
                <w:sz w:val="16"/>
                <w:szCs w:val="16"/>
                <w:lang w:val="el-GR"/>
              </w:rPr>
              <w:t>μ.</w:t>
            </w:r>
            <w:r w:rsidRPr="00357D84" w:rsidDel="005F5A9C">
              <w:rPr>
                <w:rFonts w:ascii="Arial" w:hAnsi="Arial" w:cs="Arial"/>
                <w:color w:val="FF0000"/>
                <w:sz w:val="16"/>
                <w:szCs w:val="16"/>
              </w:rPr>
              <w:t xml:space="preserve"> </w:t>
            </w:r>
          </w:p>
        </w:tc>
      </w:tr>
      <w:tr w:rsidR="00357D84" w:rsidRPr="00D41B36" w14:paraId="45E006E2" w14:textId="77777777" w:rsidTr="00502B4F">
        <w:trPr>
          <w:trHeight w:val="239"/>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45903CFB" w14:textId="5325C52E" w:rsidR="00357D84" w:rsidRPr="007246A9" w:rsidRDefault="00357D84" w:rsidP="00357D84">
            <w:pPr>
              <w:rPr>
                <w:rFonts w:ascii="Arial" w:eastAsia="Batang" w:hAnsi="Arial" w:cs="Arial"/>
                <w:bCs/>
                <w:color w:val="000000" w:themeColor="text1"/>
                <w:sz w:val="16"/>
                <w:szCs w:val="16"/>
                <w:lang w:val="el-GR"/>
              </w:rPr>
            </w:pPr>
            <w:r w:rsidRPr="007246A9">
              <w:rPr>
                <w:rFonts w:ascii="Arial" w:eastAsia="Batang" w:hAnsi="Arial" w:cs="Arial"/>
                <w:bCs/>
                <w:color w:val="000000" w:themeColor="text1"/>
                <w:sz w:val="16"/>
                <w:szCs w:val="16"/>
                <w:lang w:val="el-GR"/>
              </w:rPr>
              <w:t xml:space="preserve">Δείκτης </w:t>
            </w:r>
            <w:proofErr w:type="spellStart"/>
            <w:r w:rsidRPr="007246A9">
              <w:rPr>
                <w:rFonts w:ascii="Arial" w:eastAsia="Batang" w:hAnsi="Arial" w:cs="Arial"/>
                <w:bCs/>
                <w:color w:val="000000" w:themeColor="text1"/>
                <w:sz w:val="16"/>
                <w:szCs w:val="16"/>
                <w:lang w:val="el-GR"/>
              </w:rPr>
              <w:t>μόχλευσης</w:t>
            </w:r>
            <w:proofErr w:type="spellEnd"/>
          </w:p>
        </w:tc>
        <w:tc>
          <w:tcPr>
            <w:tcW w:w="1844" w:type="dxa"/>
            <w:tcBorders>
              <w:top w:val="single" w:sz="4" w:space="0" w:color="A6A6A6" w:themeColor="background1" w:themeShade="A6"/>
              <w:left w:val="nil"/>
              <w:bottom w:val="single" w:sz="4" w:space="0" w:color="A6A6A6" w:themeColor="background1" w:themeShade="A6"/>
              <w:right w:val="nil"/>
            </w:tcBorders>
            <w:vAlign w:val="center"/>
          </w:tcPr>
          <w:p w14:paraId="49804785" w14:textId="17639C16" w:rsidR="00357D84" w:rsidRPr="00357D84" w:rsidRDefault="00357D84" w:rsidP="00502B4F">
            <w:pPr>
              <w:spacing w:line="360" w:lineRule="auto"/>
              <w:jc w:val="right"/>
              <w:rPr>
                <w:rFonts w:ascii="Arial" w:hAnsi="Arial" w:cs="Arial"/>
                <w:b/>
                <w:bCs/>
                <w:color w:val="FF9900"/>
                <w:sz w:val="16"/>
                <w:szCs w:val="16"/>
                <w:highlight w:val="yellow"/>
                <w:lang w:val="el-GR"/>
              </w:rPr>
            </w:pPr>
            <w:r w:rsidRPr="00502B4F">
              <w:rPr>
                <w:rFonts w:ascii="Arial" w:hAnsi="Arial" w:cs="Arial"/>
                <w:b/>
                <w:bCs/>
                <w:sz w:val="16"/>
                <w:szCs w:val="16"/>
              </w:rPr>
              <w:t>10.4%</w:t>
            </w:r>
          </w:p>
        </w:tc>
        <w:tc>
          <w:tcPr>
            <w:tcW w:w="1984" w:type="dxa"/>
            <w:gridSpan w:val="2"/>
            <w:tcBorders>
              <w:top w:val="single" w:sz="4" w:space="0" w:color="A6A6A6" w:themeColor="background1" w:themeShade="A6"/>
              <w:left w:val="nil"/>
              <w:bottom w:val="single" w:sz="4" w:space="0" w:color="A6A6A6" w:themeColor="background1" w:themeShade="A6"/>
              <w:right w:val="nil"/>
            </w:tcBorders>
            <w:vAlign w:val="center"/>
          </w:tcPr>
          <w:p w14:paraId="53C85879" w14:textId="3836AF80" w:rsidR="00357D84" w:rsidRPr="00357D84" w:rsidRDefault="00357D84" w:rsidP="00357D84">
            <w:pPr>
              <w:jc w:val="right"/>
              <w:rPr>
                <w:rFonts w:ascii="Arial" w:hAnsi="Arial" w:cs="Arial"/>
                <w:b/>
                <w:bCs/>
                <w:color w:val="FF0000"/>
                <w:sz w:val="16"/>
                <w:szCs w:val="16"/>
              </w:rPr>
            </w:pPr>
            <w:r w:rsidRPr="00502B4F">
              <w:rPr>
                <w:rFonts w:ascii="Arial" w:hAnsi="Arial" w:cs="Arial"/>
                <w:b/>
                <w:bCs/>
                <w:sz w:val="16"/>
                <w:szCs w:val="16"/>
              </w:rPr>
              <w:t>10.4%</w:t>
            </w:r>
          </w:p>
        </w:tc>
        <w:tc>
          <w:tcPr>
            <w:tcW w:w="1561" w:type="dxa"/>
            <w:tcBorders>
              <w:top w:val="single" w:sz="4" w:space="0" w:color="A6A6A6" w:themeColor="background1" w:themeShade="A6"/>
              <w:left w:val="nil"/>
              <w:bottom w:val="single" w:sz="4" w:space="0" w:color="A6A6A6" w:themeColor="background1" w:themeShade="A6"/>
              <w:right w:val="nil"/>
            </w:tcBorders>
            <w:vAlign w:val="center"/>
          </w:tcPr>
          <w:p w14:paraId="59448717" w14:textId="24F79F50" w:rsidR="00357D84" w:rsidRPr="00357D84" w:rsidRDefault="00357D84" w:rsidP="00357D84">
            <w:pPr>
              <w:jc w:val="right"/>
              <w:rPr>
                <w:rFonts w:ascii="Arial" w:hAnsi="Arial" w:cs="Arial"/>
                <w:b/>
                <w:bCs/>
                <w:sz w:val="16"/>
                <w:szCs w:val="16"/>
              </w:rPr>
            </w:pPr>
            <w:r w:rsidRPr="00502B4F">
              <w:rPr>
                <w:rFonts w:ascii="Arial" w:hAnsi="Arial" w:cs="Arial"/>
                <w:b/>
                <w:bCs/>
                <w:sz w:val="16"/>
                <w:szCs w:val="16"/>
              </w:rPr>
              <w:t>9.1%</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34FF6C07" w14:textId="0BA6B849" w:rsidR="00357D84" w:rsidRPr="00357D84" w:rsidRDefault="00357D84" w:rsidP="00357D84">
            <w:pPr>
              <w:jc w:val="right"/>
              <w:rPr>
                <w:rFonts w:ascii="Arial" w:hAnsi="Arial" w:cs="Arial"/>
                <w:color w:val="FF0000"/>
                <w:sz w:val="16"/>
                <w:szCs w:val="16"/>
              </w:rPr>
            </w:pPr>
            <w:r w:rsidRPr="00502B4F">
              <w:rPr>
                <w:rFonts w:ascii="Arial" w:hAnsi="Arial" w:cs="Arial"/>
                <w:sz w:val="16"/>
                <w:szCs w:val="16"/>
              </w:rPr>
              <w:t>+130</w:t>
            </w:r>
            <w:r>
              <w:rPr>
                <w:rFonts w:ascii="Arial" w:hAnsi="Arial" w:cs="Arial"/>
                <w:sz w:val="16"/>
                <w:szCs w:val="16"/>
                <w:lang w:val="el-GR"/>
              </w:rPr>
              <w:t xml:space="preserve"> </w:t>
            </w:r>
            <w:proofErr w:type="spellStart"/>
            <w:r>
              <w:rPr>
                <w:rFonts w:ascii="Arial" w:hAnsi="Arial" w:cs="Arial"/>
                <w:sz w:val="16"/>
                <w:szCs w:val="16"/>
                <w:lang w:val="el-GR"/>
              </w:rPr>
              <w:t>μ.β</w:t>
            </w:r>
            <w:proofErr w:type="spellEnd"/>
            <w:r>
              <w:rPr>
                <w:rFonts w:ascii="Arial" w:hAnsi="Arial" w:cs="Arial"/>
                <w:sz w:val="16"/>
                <w:szCs w:val="16"/>
                <w:lang w:val="el-GR"/>
              </w:rPr>
              <w:t>.</w:t>
            </w:r>
            <w:r w:rsidRPr="00502B4F">
              <w:rPr>
                <w:rFonts w:ascii="Arial" w:hAnsi="Arial" w:cs="Arial"/>
                <w:sz w:val="16"/>
                <w:szCs w:val="16"/>
              </w:rPr>
              <w:t xml:space="preserve"> </w:t>
            </w:r>
          </w:p>
        </w:tc>
      </w:tr>
      <w:tr w:rsidR="003517E9" w:rsidRPr="00D41B36" w14:paraId="1D1DD712" w14:textId="77777777" w:rsidTr="0038696F">
        <w:trPr>
          <w:trHeight w:val="571"/>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3E74EABD" w14:textId="19DB3F40" w:rsidR="003517E9" w:rsidRPr="007246A9" w:rsidRDefault="003517E9" w:rsidP="003517E9">
            <w:pPr>
              <w:rPr>
                <w:rFonts w:ascii="Arial" w:hAnsi="Arial" w:cs="Arial"/>
                <w:b/>
                <w:bCs/>
                <w:color w:val="000000" w:themeColor="text1"/>
                <w:sz w:val="16"/>
                <w:szCs w:val="16"/>
                <w:lang w:val="el-GR"/>
              </w:rPr>
            </w:pPr>
            <w:r w:rsidRPr="007246A9">
              <w:rPr>
                <w:rFonts w:ascii="Arial" w:hAnsi="Arial" w:cs="Arial"/>
                <w:b/>
                <w:color w:val="000000" w:themeColor="text1"/>
                <w:sz w:val="16"/>
                <w:szCs w:val="16"/>
                <w:lang w:val="el-GR"/>
              </w:rPr>
              <w:t>Δείκτες Κεφαλαίου και σταθμισμένα περιουσιακά στοιχεία</w:t>
            </w:r>
          </w:p>
        </w:tc>
        <w:tc>
          <w:tcPr>
            <w:tcW w:w="1986" w:type="dxa"/>
            <w:gridSpan w:val="2"/>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74EA8FDF" w14:textId="7A7CE615" w:rsidR="003517E9" w:rsidRPr="007246A9" w:rsidRDefault="003517E9" w:rsidP="003517E9">
            <w:pPr>
              <w:jc w:val="center"/>
              <w:rPr>
                <w:rFonts w:ascii="Arial" w:hAnsi="Arial" w:cs="Arial"/>
                <w:b/>
                <w:bCs/>
                <w:sz w:val="16"/>
                <w:szCs w:val="16"/>
                <w:lang w:val="el-GR"/>
              </w:rPr>
            </w:pPr>
            <w:r w:rsidRPr="007246A9">
              <w:rPr>
                <w:rFonts w:ascii="Arial" w:hAnsi="Arial" w:cs="Arial"/>
                <w:b/>
                <w:bCs/>
                <w:sz w:val="16"/>
                <w:szCs w:val="16"/>
              </w:rPr>
              <w:t>30</w:t>
            </w:r>
            <w:r w:rsidRPr="007246A9">
              <w:rPr>
                <w:rFonts w:ascii="Arial" w:hAnsi="Arial" w:cs="Arial"/>
                <w:b/>
                <w:bCs/>
                <w:sz w:val="16"/>
                <w:szCs w:val="16"/>
                <w:lang w:val="el-GR"/>
              </w:rPr>
              <w:t>.09.2024</w:t>
            </w:r>
          </w:p>
          <w:p w14:paraId="2FFBE84B" w14:textId="77777777" w:rsidR="0038696F" w:rsidRPr="00A241F9" w:rsidRDefault="0038696F" w:rsidP="0038696F">
            <w:pPr>
              <w:jc w:val="center"/>
              <w:rPr>
                <w:rFonts w:ascii="Arial" w:hAnsi="Arial" w:cs="Arial"/>
                <w:b/>
                <w:bCs/>
                <w:sz w:val="16"/>
                <w:szCs w:val="16"/>
                <w:lang w:val="el-GR"/>
              </w:rPr>
            </w:pPr>
            <w:r w:rsidRPr="00A241F9">
              <w:rPr>
                <w:rFonts w:ascii="Arial" w:hAnsi="Arial" w:cs="Arial"/>
                <w:b/>
                <w:bCs/>
                <w:sz w:val="16"/>
                <w:szCs w:val="16"/>
                <w:lang w:val="el-GR"/>
              </w:rPr>
              <w:t>συμπεριλαμβάνοντας</w:t>
            </w:r>
          </w:p>
          <w:p w14:paraId="265E17F3" w14:textId="6E0B636E" w:rsidR="003517E9" w:rsidRPr="00D41B36" w:rsidRDefault="0038696F" w:rsidP="0038696F">
            <w:pPr>
              <w:jc w:val="center"/>
              <w:rPr>
                <w:rFonts w:ascii="Arial" w:hAnsi="Arial" w:cs="Arial"/>
                <w:b/>
                <w:bCs/>
                <w:sz w:val="16"/>
                <w:szCs w:val="16"/>
                <w:highlight w:val="yellow"/>
                <w:lang w:val="el-GR"/>
              </w:rPr>
            </w:pPr>
            <w:r w:rsidRPr="00A241F9">
              <w:rPr>
                <w:rFonts w:ascii="Arial" w:hAnsi="Arial" w:cs="Arial"/>
                <w:b/>
                <w:bCs/>
                <w:sz w:val="16"/>
                <w:szCs w:val="16"/>
                <w:lang w:val="el-GR"/>
              </w:rPr>
              <w:t>αδιανέμητα κέρδη</w:t>
            </w:r>
            <w:r>
              <w:rPr>
                <w:rFonts w:cs="Arial"/>
                <w:b/>
                <w:bCs/>
                <w:sz w:val="16"/>
                <w:szCs w:val="16"/>
                <w:vertAlign w:val="superscript"/>
                <w:lang w:val="el-GR"/>
              </w:rPr>
              <w:t>2</w:t>
            </w:r>
            <w:r w:rsidRPr="007246A9">
              <w:rPr>
                <w:rFonts w:ascii="Arial" w:hAnsi="Arial" w:cs="Arial"/>
                <w:b/>
                <w:bCs/>
                <w:sz w:val="16"/>
                <w:szCs w:val="16"/>
                <w:lang w:val="el-GR"/>
              </w:rPr>
              <w:t>)</w:t>
            </w:r>
          </w:p>
        </w:tc>
        <w:tc>
          <w:tcPr>
            <w:tcW w:w="1842"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2EE1ECFF" w14:textId="04037191" w:rsidR="003517E9" w:rsidRPr="007246A9" w:rsidRDefault="003517E9" w:rsidP="003517E9">
            <w:pPr>
              <w:jc w:val="center"/>
              <w:rPr>
                <w:rFonts w:ascii="Arial" w:hAnsi="Arial" w:cs="Arial"/>
                <w:b/>
                <w:bCs/>
                <w:sz w:val="16"/>
                <w:szCs w:val="16"/>
                <w:lang w:val="el-GR"/>
              </w:rPr>
            </w:pPr>
            <w:r w:rsidRPr="007246A9">
              <w:rPr>
                <w:rFonts w:ascii="Arial" w:hAnsi="Arial" w:cs="Arial"/>
                <w:b/>
                <w:bCs/>
                <w:sz w:val="16"/>
                <w:szCs w:val="16"/>
              </w:rPr>
              <w:t>30</w:t>
            </w:r>
            <w:r w:rsidRPr="007246A9">
              <w:rPr>
                <w:rFonts w:ascii="Arial" w:hAnsi="Arial" w:cs="Arial"/>
                <w:b/>
                <w:bCs/>
                <w:sz w:val="16"/>
                <w:szCs w:val="16"/>
                <w:lang w:val="el-GR"/>
              </w:rPr>
              <w:t>.09.2024</w:t>
            </w:r>
          </w:p>
          <w:p w14:paraId="6A0772DB" w14:textId="5945B6EE" w:rsidR="003517E9" w:rsidRPr="007246A9" w:rsidRDefault="003517E9" w:rsidP="0038696F">
            <w:pPr>
              <w:jc w:val="center"/>
              <w:rPr>
                <w:rFonts w:ascii="Arial" w:hAnsi="Arial" w:cs="Arial"/>
                <w:b/>
                <w:bCs/>
                <w:sz w:val="16"/>
                <w:szCs w:val="16"/>
                <w:lang w:val="el-GR"/>
              </w:rPr>
            </w:pPr>
            <w:r w:rsidRPr="007246A9">
              <w:rPr>
                <w:rFonts w:ascii="Arial" w:hAnsi="Arial" w:cs="Arial"/>
                <w:b/>
                <w:bCs/>
                <w:sz w:val="16"/>
                <w:szCs w:val="16"/>
                <w:lang w:val="el-GR"/>
              </w:rPr>
              <w:t>(</w:t>
            </w:r>
            <w:r w:rsidR="0038696F">
              <w:rPr>
                <w:rFonts w:ascii="Arial" w:hAnsi="Arial" w:cs="Arial"/>
                <w:b/>
                <w:bCs/>
                <w:sz w:val="16"/>
                <w:szCs w:val="16"/>
                <w:lang w:val="el-GR"/>
              </w:rPr>
              <w:t>για εποπτικούς σκοπούς</w:t>
            </w:r>
            <w:r w:rsidRPr="007246A9">
              <w:rPr>
                <w:rFonts w:ascii="Arial" w:hAnsi="Arial" w:cs="Arial"/>
                <w:b/>
                <w:bCs/>
                <w:sz w:val="16"/>
                <w:szCs w:val="16"/>
                <w:lang w:val="el-GR"/>
              </w:rPr>
              <w:t>)</w:t>
            </w:r>
          </w:p>
        </w:tc>
        <w:tc>
          <w:tcPr>
            <w:tcW w:w="156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77D88F62" w14:textId="77777777" w:rsidR="003517E9" w:rsidRPr="007246A9" w:rsidRDefault="003517E9" w:rsidP="003517E9">
            <w:pPr>
              <w:jc w:val="center"/>
              <w:rPr>
                <w:rFonts w:ascii="Arial" w:hAnsi="Arial" w:cs="Arial"/>
                <w:b/>
                <w:bCs/>
                <w:sz w:val="16"/>
                <w:szCs w:val="16"/>
                <w:lang w:val="el-GR"/>
              </w:rPr>
            </w:pPr>
            <w:r w:rsidRPr="007246A9">
              <w:rPr>
                <w:rFonts w:ascii="Arial" w:hAnsi="Arial" w:cs="Arial"/>
                <w:b/>
                <w:bCs/>
                <w:sz w:val="16"/>
                <w:szCs w:val="16"/>
                <w:lang w:val="el-GR"/>
              </w:rPr>
              <w:t>31.12.2023</w:t>
            </w:r>
          </w:p>
          <w:p w14:paraId="02C97D1A" w14:textId="79B6ABED" w:rsidR="003517E9" w:rsidRPr="00502B4F" w:rsidRDefault="003517E9" w:rsidP="003517E9">
            <w:pPr>
              <w:jc w:val="center"/>
              <w:rPr>
                <w:rFonts w:asciiTheme="minorHAnsi" w:hAnsiTheme="minorHAnsi" w:cs="Arial"/>
                <w:b/>
                <w:bCs/>
                <w:sz w:val="16"/>
                <w:szCs w:val="16"/>
                <w:lang w:val="el-GR"/>
              </w:rPr>
            </w:pPr>
            <w:r w:rsidRPr="007246A9">
              <w:rPr>
                <w:rFonts w:ascii="Arial" w:hAnsi="Arial" w:cs="Arial"/>
                <w:b/>
                <w:bCs/>
                <w:sz w:val="16"/>
                <w:szCs w:val="16"/>
                <w:lang w:val="el-GR"/>
              </w:rPr>
              <w:t>(για εποπτικούς σκοπούς)</w:t>
            </w:r>
            <w:r w:rsidR="00357D84">
              <w:rPr>
                <w:rFonts w:asciiTheme="minorHAnsi" w:hAnsiTheme="minorHAnsi" w:cs="Arial"/>
                <w:b/>
                <w:bCs/>
                <w:sz w:val="16"/>
                <w:szCs w:val="16"/>
                <w:vertAlign w:val="superscript"/>
                <w:lang w:val="el-GR"/>
              </w:rPr>
              <w:t>3</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19F519CB" w14:textId="77777777" w:rsidR="003517E9" w:rsidRPr="007246A9" w:rsidRDefault="003517E9" w:rsidP="003517E9">
            <w:pPr>
              <w:jc w:val="center"/>
              <w:rPr>
                <w:rFonts w:ascii="Arial" w:hAnsi="Arial" w:cs="Arial"/>
                <w:b/>
                <w:bCs/>
                <w:sz w:val="16"/>
                <w:szCs w:val="16"/>
                <w:lang w:val="el-GR"/>
              </w:rPr>
            </w:pPr>
          </w:p>
          <w:p w14:paraId="65531918" w14:textId="3799D703" w:rsidR="003517E9" w:rsidRPr="007246A9" w:rsidRDefault="003517E9" w:rsidP="003517E9">
            <w:pPr>
              <w:jc w:val="right"/>
              <w:rPr>
                <w:rFonts w:ascii="Arial" w:hAnsi="Arial" w:cs="Arial"/>
                <w:b/>
                <w:bCs/>
                <w:sz w:val="16"/>
                <w:szCs w:val="16"/>
                <w:lang w:val="el-GR"/>
              </w:rPr>
            </w:pPr>
            <w:r w:rsidRPr="007246A9">
              <w:rPr>
                <w:rFonts w:ascii="Arial" w:hAnsi="Arial" w:cs="Arial"/>
                <w:b/>
                <w:bCs/>
                <w:sz w:val="16"/>
                <w:szCs w:val="16"/>
                <w:u w:val="single"/>
              </w:rPr>
              <w:t>+</w:t>
            </w:r>
          </w:p>
          <w:p w14:paraId="06D10E4A" w14:textId="71C0B357" w:rsidR="003517E9" w:rsidRPr="007246A9" w:rsidRDefault="003517E9" w:rsidP="003517E9">
            <w:pPr>
              <w:jc w:val="center"/>
              <w:rPr>
                <w:rFonts w:ascii="Arial" w:hAnsi="Arial" w:cs="Arial"/>
                <w:b/>
                <w:bCs/>
                <w:sz w:val="16"/>
                <w:szCs w:val="16"/>
                <w:lang w:val="el-GR"/>
              </w:rPr>
            </w:pPr>
          </w:p>
        </w:tc>
      </w:tr>
      <w:tr w:rsidR="0038696F" w:rsidRPr="00D41B36" w14:paraId="6E3F8729" w14:textId="77777777" w:rsidTr="0038696F">
        <w:trPr>
          <w:trHeight w:val="157"/>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1CD0A220" w14:textId="58A5B556" w:rsidR="0038696F" w:rsidRPr="007246A9" w:rsidRDefault="0038696F" w:rsidP="0038696F">
            <w:pPr>
              <w:rPr>
                <w:rFonts w:ascii="Arial" w:hAnsi="Arial" w:cs="Arial"/>
                <w:b/>
                <w:bCs/>
                <w:color w:val="000000" w:themeColor="text1"/>
                <w:sz w:val="16"/>
                <w:szCs w:val="16"/>
                <w:lang w:val="el-GR"/>
              </w:rPr>
            </w:pPr>
            <w:r w:rsidRPr="007246A9">
              <w:rPr>
                <w:rFonts w:ascii="Arial" w:hAnsi="Arial" w:cs="Arial"/>
                <w:color w:val="000000" w:themeColor="text1"/>
                <w:sz w:val="16"/>
                <w:szCs w:val="16"/>
                <w:lang w:val="el-GR"/>
              </w:rPr>
              <w:t>Δείκτης Κεφαλαίου Κοινών Μετοχών Κατηγορίας 1 (</w:t>
            </w:r>
            <w:r w:rsidRPr="007246A9">
              <w:rPr>
                <w:rFonts w:ascii="Arial" w:hAnsi="Arial" w:cs="Arial"/>
                <w:color w:val="000000" w:themeColor="text1"/>
                <w:sz w:val="16"/>
                <w:szCs w:val="16"/>
              </w:rPr>
              <w:t>CET</w:t>
            </w:r>
            <w:r w:rsidRPr="007246A9">
              <w:rPr>
                <w:rFonts w:ascii="Arial" w:hAnsi="Arial" w:cs="Arial"/>
                <w:color w:val="000000" w:themeColor="text1"/>
                <w:sz w:val="16"/>
                <w:szCs w:val="16"/>
                <w:lang w:val="el-GR"/>
              </w:rPr>
              <w:t>1) (με μεταβατικές διατάξεις)</w:t>
            </w:r>
          </w:p>
        </w:tc>
        <w:tc>
          <w:tcPr>
            <w:tcW w:w="1986" w:type="dxa"/>
            <w:gridSpan w:val="2"/>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0AE872FE" w14:textId="2D4EAFDD" w:rsidR="0038696F" w:rsidRPr="0038696F" w:rsidRDefault="0038696F" w:rsidP="0038696F">
            <w:pPr>
              <w:jc w:val="right"/>
              <w:rPr>
                <w:rFonts w:ascii="Arial" w:hAnsi="Arial" w:cs="Arial"/>
                <w:b/>
                <w:bCs/>
                <w:sz w:val="16"/>
                <w:szCs w:val="16"/>
              </w:rPr>
            </w:pPr>
            <w:r w:rsidRPr="0038696F">
              <w:rPr>
                <w:rFonts w:ascii="Arial" w:hAnsi="Arial" w:cs="Arial"/>
                <w:b/>
                <w:bCs/>
                <w:sz w:val="16"/>
                <w:szCs w:val="16"/>
              </w:rPr>
              <w:t>19.1%</w:t>
            </w:r>
          </w:p>
        </w:tc>
        <w:tc>
          <w:tcPr>
            <w:tcW w:w="1842"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0FC15419" w14:textId="08EDF808" w:rsidR="0038696F" w:rsidRPr="0038696F" w:rsidRDefault="0038696F" w:rsidP="0038696F">
            <w:pPr>
              <w:jc w:val="right"/>
              <w:rPr>
                <w:rFonts w:ascii="Arial" w:hAnsi="Arial" w:cs="Arial"/>
                <w:b/>
                <w:bCs/>
                <w:sz w:val="16"/>
                <w:szCs w:val="16"/>
              </w:rPr>
            </w:pPr>
            <w:r w:rsidRPr="0038696F">
              <w:rPr>
                <w:rFonts w:ascii="Arial" w:hAnsi="Arial" w:cs="Arial"/>
                <w:b/>
                <w:bCs/>
                <w:sz w:val="16"/>
                <w:szCs w:val="16"/>
              </w:rPr>
              <w:t>18.6%</w:t>
            </w:r>
          </w:p>
        </w:tc>
        <w:tc>
          <w:tcPr>
            <w:tcW w:w="156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2902F70" w14:textId="41411FF3" w:rsidR="0038696F" w:rsidRPr="0038696F" w:rsidRDefault="0038696F" w:rsidP="0038696F">
            <w:pPr>
              <w:jc w:val="right"/>
              <w:rPr>
                <w:rFonts w:ascii="Arial" w:hAnsi="Arial" w:cs="Arial"/>
                <w:b/>
                <w:bCs/>
                <w:sz w:val="16"/>
                <w:szCs w:val="16"/>
              </w:rPr>
            </w:pPr>
            <w:r w:rsidRPr="0038696F">
              <w:rPr>
                <w:rFonts w:ascii="Arial" w:hAnsi="Arial" w:cs="Arial"/>
                <w:b/>
                <w:bCs/>
                <w:sz w:val="16"/>
                <w:szCs w:val="16"/>
              </w:rPr>
              <w:t>17.4%</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40789D83" w14:textId="5127A9BA" w:rsidR="0038696F" w:rsidRPr="0038696F" w:rsidRDefault="0038696F" w:rsidP="0038696F">
            <w:pPr>
              <w:jc w:val="right"/>
              <w:rPr>
                <w:rFonts w:ascii="Arial" w:hAnsi="Arial" w:cs="Arial"/>
                <w:sz w:val="16"/>
                <w:szCs w:val="16"/>
              </w:rPr>
            </w:pPr>
            <w:r w:rsidRPr="0038696F">
              <w:rPr>
                <w:rFonts w:ascii="Arial" w:hAnsi="Arial" w:cs="Arial"/>
                <w:sz w:val="16"/>
                <w:szCs w:val="16"/>
              </w:rPr>
              <w:t>+170 μ.β.</w:t>
            </w:r>
          </w:p>
        </w:tc>
      </w:tr>
      <w:tr w:rsidR="0038696F" w:rsidRPr="00D41B36" w14:paraId="0BA9DEC1" w14:textId="77777777" w:rsidTr="0038696F">
        <w:trPr>
          <w:trHeight w:val="107"/>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53A456DC" w14:textId="6E608786" w:rsidR="0038696F" w:rsidRPr="007246A9" w:rsidRDefault="0038696F" w:rsidP="0038696F">
            <w:pPr>
              <w:rPr>
                <w:rFonts w:ascii="Arial" w:hAnsi="Arial" w:cs="Arial"/>
                <w:color w:val="000000" w:themeColor="text1"/>
                <w:sz w:val="16"/>
                <w:szCs w:val="16"/>
                <w:lang w:val="el-GR"/>
              </w:rPr>
            </w:pPr>
            <w:r w:rsidRPr="007246A9">
              <w:rPr>
                <w:rFonts w:ascii="Arial" w:hAnsi="Arial" w:cs="Arial"/>
                <w:color w:val="000000" w:themeColor="text1"/>
                <w:sz w:val="16"/>
                <w:szCs w:val="16"/>
                <w:lang w:val="el-GR"/>
              </w:rPr>
              <w:t>Συνολικός δείκτης κεφαλαιακής επάρκειας (με μεταβατικές διατάξεις)</w:t>
            </w:r>
          </w:p>
        </w:tc>
        <w:tc>
          <w:tcPr>
            <w:tcW w:w="1986" w:type="dxa"/>
            <w:gridSpan w:val="2"/>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62A5069E" w14:textId="3CC849EB" w:rsidR="0038696F" w:rsidRPr="0038696F" w:rsidRDefault="0038696F" w:rsidP="0038696F">
            <w:pPr>
              <w:jc w:val="right"/>
              <w:rPr>
                <w:rFonts w:ascii="Arial" w:hAnsi="Arial" w:cs="Arial"/>
                <w:b/>
                <w:bCs/>
                <w:sz w:val="16"/>
                <w:szCs w:val="16"/>
              </w:rPr>
            </w:pPr>
            <w:r w:rsidRPr="0038696F">
              <w:rPr>
                <w:rFonts w:ascii="Arial" w:hAnsi="Arial" w:cs="Arial"/>
                <w:b/>
                <w:bCs/>
                <w:sz w:val="16"/>
                <w:szCs w:val="16"/>
              </w:rPr>
              <w:t>24.3%</w:t>
            </w:r>
          </w:p>
        </w:tc>
        <w:tc>
          <w:tcPr>
            <w:tcW w:w="1842"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6FFBCD49" w14:textId="29EFE18B" w:rsidR="0038696F" w:rsidRPr="0038696F" w:rsidRDefault="0038696F" w:rsidP="0038696F">
            <w:pPr>
              <w:jc w:val="right"/>
              <w:rPr>
                <w:rFonts w:ascii="Arial" w:hAnsi="Arial" w:cs="Arial"/>
                <w:b/>
                <w:bCs/>
                <w:sz w:val="16"/>
                <w:szCs w:val="16"/>
              </w:rPr>
            </w:pPr>
            <w:r w:rsidRPr="0038696F">
              <w:rPr>
                <w:rFonts w:ascii="Arial" w:hAnsi="Arial" w:cs="Arial"/>
                <w:b/>
                <w:bCs/>
                <w:sz w:val="16"/>
                <w:szCs w:val="16"/>
              </w:rPr>
              <w:t>23.7%</w:t>
            </w:r>
          </w:p>
        </w:tc>
        <w:tc>
          <w:tcPr>
            <w:tcW w:w="1561"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29FF6D52" w14:textId="35C77E31" w:rsidR="0038696F" w:rsidRPr="0038696F" w:rsidRDefault="0038696F" w:rsidP="0038696F">
            <w:pPr>
              <w:jc w:val="right"/>
              <w:rPr>
                <w:rFonts w:ascii="Arial" w:hAnsi="Arial" w:cs="Arial"/>
                <w:b/>
                <w:bCs/>
                <w:sz w:val="16"/>
                <w:szCs w:val="16"/>
              </w:rPr>
            </w:pPr>
            <w:r w:rsidRPr="007246A9">
              <w:rPr>
                <w:rFonts w:ascii="Arial" w:hAnsi="Arial" w:cs="Arial"/>
                <w:b/>
                <w:bCs/>
                <w:sz w:val="16"/>
                <w:szCs w:val="16"/>
              </w:rPr>
              <w:t>22.4%</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4711A9BF" w14:textId="74D6C699" w:rsidR="0038696F" w:rsidRPr="0038696F" w:rsidRDefault="0038696F" w:rsidP="0038696F">
            <w:pPr>
              <w:jc w:val="right"/>
              <w:rPr>
                <w:rFonts w:ascii="Arial" w:hAnsi="Arial" w:cs="Arial"/>
                <w:sz w:val="16"/>
                <w:szCs w:val="16"/>
              </w:rPr>
            </w:pPr>
            <w:r w:rsidRPr="0038696F">
              <w:rPr>
                <w:rFonts w:ascii="Arial" w:hAnsi="Arial" w:cs="Arial"/>
                <w:sz w:val="16"/>
                <w:szCs w:val="16"/>
              </w:rPr>
              <w:t>+190 μ.β.</w:t>
            </w:r>
          </w:p>
        </w:tc>
      </w:tr>
      <w:tr w:rsidR="0038696F" w:rsidRPr="00D41B36" w14:paraId="61946382" w14:textId="77777777" w:rsidTr="0038696F">
        <w:trPr>
          <w:trHeight w:val="278"/>
        </w:trPr>
        <w:tc>
          <w:tcPr>
            <w:tcW w:w="3538" w:type="dxa"/>
            <w:tcBorders>
              <w:top w:val="single" w:sz="4" w:space="0" w:color="A6A6A6" w:themeColor="background1" w:themeShade="A6"/>
              <w:left w:val="single" w:sz="4" w:space="0" w:color="auto"/>
              <w:bottom w:val="single" w:sz="4" w:space="0" w:color="auto"/>
              <w:right w:val="nil"/>
            </w:tcBorders>
            <w:vAlign w:val="center"/>
          </w:tcPr>
          <w:p w14:paraId="796B3883" w14:textId="6A426B0B" w:rsidR="0038696F" w:rsidRPr="007246A9" w:rsidRDefault="0038696F" w:rsidP="0038696F">
            <w:pPr>
              <w:rPr>
                <w:rFonts w:ascii="Arial" w:hAnsi="Arial" w:cs="Arial"/>
                <w:color w:val="000000" w:themeColor="text1"/>
                <w:sz w:val="16"/>
                <w:szCs w:val="16"/>
                <w:lang w:val="el-GR"/>
              </w:rPr>
            </w:pPr>
            <w:proofErr w:type="spellStart"/>
            <w:r w:rsidRPr="007246A9">
              <w:rPr>
                <w:rFonts w:ascii="Arial" w:hAnsi="Arial" w:cs="Arial"/>
                <w:color w:val="000000" w:themeColor="text1"/>
                <w:sz w:val="16"/>
                <w:szCs w:val="16"/>
              </w:rPr>
              <w:t>Στ</w:t>
            </w:r>
            <w:proofErr w:type="spellEnd"/>
            <w:r w:rsidRPr="007246A9">
              <w:rPr>
                <w:rFonts w:ascii="Arial" w:hAnsi="Arial" w:cs="Arial"/>
                <w:color w:val="000000" w:themeColor="text1"/>
                <w:sz w:val="16"/>
                <w:szCs w:val="16"/>
              </w:rPr>
              <w:t>αθμισμένα π</w:t>
            </w:r>
            <w:proofErr w:type="spellStart"/>
            <w:r w:rsidRPr="007246A9">
              <w:rPr>
                <w:rFonts w:ascii="Arial" w:hAnsi="Arial" w:cs="Arial"/>
                <w:color w:val="000000" w:themeColor="text1"/>
                <w:sz w:val="16"/>
                <w:szCs w:val="16"/>
              </w:rPr>
              <w:t>εριουσι</w:t>
            </w:r>
            <w:proofErr w:type="spellEnd"/>
            <w:r w:rsidRPr="007246A9">
              <w:rPr>
                <w:rFonts w:ascii="Arial" w:hAnsi="Arial" w:cs="Arial"/>
                <w:color w:val="000000" w:themeColor="text1"/>
                <w:sz w:val="16"/>
                <w:szCs w:val="16"/>
              </w:rPr>
              <w:t xml:space="preserve">ακά </w:t>
            </w:r>
            <w:proofErr w:type="spellStart"/>
            <w:r w:rsidRPr="007246A9">
              <w:rPr>
                <w:rFonts w:ascii="Arial" w:hAnsi="Arial" w:cs="Arial"/>
                <w:color w:val="000000" w:themeColor="text1"/>
                <w:sz w:val="16"/>
                <w:szCs w:val="16"/>
              </w:rPr>
              <w:t>στοιχεί</w:t>
            </w:r>
            <w:proofErr w:type="spellEnd"/>
            <w:r w:rsidRPr="007246A9">
              <w:rPr>
                <w:rFonts w:ascii="Arial" w:hAnsi="Arial" w:cs="Arial"/>
                <w:color w:val="000000" w:themeColor="text1"/>
                <w:sz w:val="16"/>
                <w:szCs w:val="16"/>
              </w:rPr>
              <w:t xml:space="preserve">α (€ </w:t>
            </w:r>
            <w:proofErr w:type="spellStart"/>
            <w:r w:rsidRPr="007246A9">
              <w:rPr>
                <w:rFonts w:ascii="Arial" w:hAnsi="Arial" w:cs="Arial"/>
                <w:color w:val="000000" w:themeColor="text1"/>
                <w:sz w:val="16"/>
                <w:szCs w:val="16"/>
              </w:rPr>
              <w:t>εκ</w:t>
            </w:r>
            <w:proofErr w:type="spellEnd"/>
            <w:r w:rsidRPr="007246A9">
              <w:rPr>
                <w:rFonts w:ascii="Arial" w:hAnsi="Arial" w:cs="Arial"/>
                <w:color w:val="000000" w:themeColor="text1"/>
                <w:sz w:val="16"/>
                <w:szCs w:val="16"/>
              </w:rPr>
              <w:t>ατ.)</w:t>
            </w:r>
          </w:p>
        </w:tc>
        <w:tc>
          <w:tcPr>
            <w:tcW w:w="1986" w:type="dxa"/>
            <w:gridSpan w:val="2"/>
            <w:tcBorders>
              <w:top w:val="single" w:sz="4" w:space="0" w:color="A6A6A6" w:themeColor="background1" w:themeShade="A6"/>
              <w:left w:val="nil"/>
              <w:bottom w:val="single" w:sz="4" w:space="0" w:color="auto"/>
              <w:right w:val="nil"/>
            </w:tcBorders>
            <w:shd w:val="clear" w:color="auto" w:fill="auto"/>
            <w:vAlign w:val="center"/>
          </w:tcPr>
          <w:p w14:paraId="2163FE71" w14:textId="5A73A15D" w:rsidR="0038696F" w:rsidRPr="0038696F" w:rsidRDefault="0038696F" w:rsidP="0038696F">
            <w:pPr>
              <w:jc w:val="right"/>
              <w:rPr>
                <w:rFonts w:ascii="Arial" w:hAnsi="Arial" w:cs="Arial"/>
                <w:b/>
                <w:bCs/>
                <w:sz w:val="16"/>
                <w:szCs w:val="16"/>
              </w:rPr>
            </w:pPr>
            <w:r w:rsidRPr="0038696F">
              <w:rPr>
                <w:rFonts w:ascii="Arial" w:hAnsi="Arial" w:cs="Arial"/>
                <w:b/>
                <w:bCs/>
                <w:sz w:val="16"/>
                <w:szCs w:val="16"/>
              </w:rPr>
              <w:t>10,441</w:t>
            </w:r>
          </w:p>
        </w:tc>
        <w:tc>
          <w:tcPr>
            <w:tcW w:w="1842" w:type="dxa"/>
            <w:tcBorders>
              <w:top w:val="single" w:sz="4" w:space="0" w:color="A6A6A6" w:themeColor="background1" w:themeShade="A6"/>
              <w:left w:val="nil"/>
              <w:bottom w:val="single" w:sz="4" w:space="0" w:color="auto"/>
              <w:right w:val="nil"/>
            </w:tcBorders>
            <w:shd w:val="clear" w:color="auto" w:fill="auto"/>
            <w:vAlign w:val="center"/>
          </w:tcPr>
          <w:p w14:paraId="1424EA7A" w14:textId="704DAEEE" w:rsidR="0038696F" w:rsidRPr="0038696F" w:rsidRDefault="0038696F" w:rsidP="0038696F">
            <w:pPr>
              <w:jc w:val="right"/>
              <w:rPr>
                <w:rFonts w:ascii="Arial" w:hAnsi="Arial" w:cs="Arial"/>
                <w:b/>
                <w:bCs/>
                <w:sz w:val="16"/>
                <w:szCs w:val="16"/>
              </w:rPr>
            </w:pPr>
            <w:r w:rsidRPr="0038696F">
              <w:rPr>
                <w:rFonts w:ascii="Arial" w:hAnsi="Arial" w:cs="Arial"/>
                <w:b/>
                <w:bCs/>
                <w:sz w:val="16"/>
                <w:szCs w:val="16"/>
              </w:rPr>
              <w:t>10,441</w:t>
            </w:r>
          </w:p>
        </w:tc>
        <w:tc>
          <w:tcPr>
            <w:tcW w:w="1561" w:type="dxa"/>
            <w:tcBorders>
              <w:top w:val="single" w:sz="4" w:space="0" w:color="A6A6A6" w:themeColor="background1" w:themeShade="A6"/>
              <w:left w:val="nil"/>
              <w:bottom w:val="single" w:sz="4" w:space="0" w:color="auto"/>
              <w:right w:val="nil"/>
            </w:tcBorders>
            <w:shd w:val="clear" w:color="auto" w:fill="auto"/>
            <w:vAlign w:val="center"/>
          </w:tcPr>
          <w:p w14:paraId="6744115A" w14:textId="1BA48141" w:rsidR="0038696F" w:rsidRPr="0038696F" w:rsidRDefault="0038696F" w:rsidP="0038696F">
            <w:pPr>
              <w:jc w:val="right"/>
              <w:rPr>
                <w:rFonts w:ascii="Arial" w:hAnsi="Arial" w:cs="Arial"/>
                <w:b/>
                <w:bCs/>
                <w:sz w:val="16"/>
                <w:szCs w:val="16"/>
              </w:rPr>
            </w:pPr>
            <w:r w:rsidRPr="007246A9">
              <w:rPr>
                <w:rFonts w:ascii="Arial" w:hAnsi="Arial" w:cs="Arial"/>
                <w:b/>
                <w:bCs/>
                <w:sz w:val="16"/>
                <w:szCs w:val="16"/>
              </w:rPr>
              <w:t>10,341</w:t>
            </w:r>
          </w:p>
        </w:tc>
        <w:tc>
          <w:tcPr>
            <w:tcW w:w="1274" w:type="dxa"/>
            <w:tcBorders>
              <w:top w:val="single" w:sz="4" w:space="0" w:color="A6A6A6" w:themeColor="background1" w:themeShade="A6"/>
              <w:left w:val="nil"/>
              <w:bottom w:val="single" w:sz="4" w:space="0" w:color="auto"/>
              <w:right w:val="single" w:sz="4" w:space="0" w:color="auto"/>
            </w:tcBorders>
            <w:shd w:val="clear" w:color="auto" w:fill="auto"/>
            <w:vAlign w:val="center"/>
          </w:tcPr>
          <w:p w14:paraId="395A8B07" w14:textId="5158553C" w:rsidR="0038696F" w:rsidRPr="0038696F" w:rsidRDefault="0038696F" w:rsidP="0038696F">
            <w:pPr>
              <w:jc w:val="right"/>
              <w:rPr>
                <w:rFonts w:ascii="Arial" w:hAnsi="Arial" w:cs="Arial"/>
                <w:sz w:val="16"/>
                <w:szCs w:val="16"/>
              </w:rPr>
            </w:pPr>
            <w:r w:rsidRPr="0038696F">
              <w:rPr>
                <w:rFonts w:ascii="Arial" w:hAnsi="Arial" w:cs="Arial"/>
                <w:sz w:val="16"/>
                <w:szCs w:val="16"/>
              </w:rPr>
              <w:t>+1%</w:t>
            </w:r>
          </w:p>
        </w:tc>
      </w:tr>
      <w:tr w:rsidR="003517E9" w:rsidRPr="00910A4E" w14:paraId="5CAC0A8D" w14:textId="77777777" w:rsidTr="00C64AA8">
        <w:trPr>
          <w:trHeight w:val="70"/>
        </w:trPr>
        <w:tc>
          <w:tcPr>
            <w:tcW w:w="10201" w:type="dxa"/>
            <w:gridSpan w:val="6"/>
            <w:tcBorders>
              <w:top w:val="single" w:sz="4" w:space="0" w:color="auto"/>
            </w:tcBorders>
            <w:shd w:val="clear" w:color="auto" w:fill="auto"/>
          </w:tcPr>
          <w:p w14:paraId="3E4435DB" w14:textId="2147BF92" w:rsidR="003517E9" w:rsidRPr="007246A9" w:rsidRDefault="003517E9" w:rsidP="00502B4F">
            <w:pPr>
              <w:pStyle w:val="BodyText3"/>
              <w:tabs>
                <w:tab w:val="left" w:pos="142"/>
              </w:tabs>
              <w:ind w:right="20"/>
              <w:jc w:val="both"/>
              <w:rPr>
                <w:rFonts w:ascii="Arial" w:hAnsi="Arial" w:cs="Arial"/>
                <w:color w:val="000000" w:themeColor="text1"/>
                <w:sz w:val="14"/>
                <w:szCs w:val="14"/>
                <w:lang w:val="el-GR"/>
              </w:rPr>
            </w:pPr>
            <w:r w:rsidRPr="007246A9">
              <w:rPr>
                <w:rFonts w:ascii="Arial" w:hAnsi="Arial" w:cs="Arial"/>
                <w:color w:val="000000" w:themeColor="text1"/>
                <w:sz w:val="14"/>
                <w:szCs w:val="14"/>
                <w:lang w:val="el-GR"/>
              </w:rPr>
              <w:t>1.</w:t>
            </w:r>
            <w:r w:rsidR="00357D84">
              <w:rPr>
                <w:rFonts w:ascii="Arial" w:hAnsi="Arial" w:cs="Arial"/>
                <w:color w:val="000000" w:themeColor="text1"/>
                <w:sz w:val="14"/>
                <w:szCs w:val="14"/>
                <w:lang w:val="el-GR"/>
              </w:rPr>
              <w:t xml:space="preserve"> </w:t>
            </w:r>
            <w:r w:rsidR="007A79CC">
              <w:rPr>
                <w:rFonts w:ascii="Arial" w:hAnsi="Arial" w:cs="Arial"/>
                <w:color w:val="000000" w:themeColor="text1"/>
                <w:sz w:val="14"/>
                <w:szCs w:val="14"/>
                <w:lang w:val="el-GR"/>
              </w:rPr>
              <w:t>Αναπροσαρμοσμένα για σ</w:t>
            </w:r>
            <w:r w:rsidR="00357D84" w:rsidRPr="00357D84">
              <w:rPr>
                <w:rFonts w:ascii="Arial" w:hAnsi="Arial" w:cs="Arial"/>
                <w:color w:val="000000" w:themeColor="text1"/>
                <w:sz w:val="14"/>
                <w:szCs w:val="14"/>
                <w:lang w:val="el-GR"/>
              </w:rPr>
              <w:t>υμφωνία πώληση</w:t>
            </w:r>
            <w:r w:rsidR="007A79CC">
              <w:rPr>
                <w:rFonts w:ascii="Arial" w:hAnsi="Arial" w:cs="Arial"/>
                <w:color w:val="000000" w:themeColor="text1"/>
                <w:sz w:val="14"/>
                <w:szCs w:val="14"/>
                <w:lang w:val="el-GR"/>
              </w:rPr>
              <w:t>ς</w:t>
            </w:r>
            <w:r w:rsidR="00357D84" w:rsidRPr="00357D84">
              <w:rPr>
                <w:rFonts w:ascii="Arial" w:hAnsi="Arial" w:cs="Arial"/>
                <w:color w:val="000000" w:themeColor="text1"/>
                <w:sz w:val="14"/>
                <w:szCs w:val="14"/>
                <w:lang w:val="el-GR"/>
              </w:rPr>
              <w:t xml:space="preserve"> ενός χαρτοφυλακίου μη εξυπηρετούμενων δανείων, ύψους €27 εκατ. Η πώληση υπόκειται υπό τη λήψη των απαραίτητων εγκρίσεων και αναμένεται να ολοκληρωθεί εντός του α’ εξάμηνου 2025.</w:t>
            </w:r>
            <w:r w:rsidR="00357D84">
              <w:rPr>
                <w:rFonts w:ascii="Arial" w:hAnsi="Arial" w:cs="Arial"/>
                <w:color w:val="000000" w:themeColor="text1"/>
                <w:sz w:val="14"/>
                <w:szCs w:val="14"/>
                <w:lang w:val="el-GR"/>
              </w:rPr>
              <w:t xml:space="preserve"> 2. </w:t>
            </w:r>
            <w:r w:rsidRPr="00161C7D">
              <w:rPr>
                <w:rFonts w:ascii="Arial" w:hAnsi="Arial" w:cs="Arial"/>
                <w:color w:val="000000" w:themeColor="text1"/>
                <w:sz w:val="14"/>
                <w:szCs w:val="14"/>
                <w:lang w:val="el-GR"/>
              </w:rPr>
              <w:t xml:space="preserve">Περιλαμβάνουν μη ελεγμένα/ μη </w:t>
            </w:r>
            <w:proofErr w:type="spellStart"/>
            <w:r w:rsidRPr="00161C7D">
              <w:rPr>
                <w:rFonts w:ascii="Arial" w:hAnsi="Arial" w:cs="Arial"/>
                <w:color w:val="000000" w:themeColor="text1"/>
                <w:sz w:val="14"/>
                <w:szCs w:val="14"/>
                <w:lang w:val="el-GR"/>
              </w:rPr>
              <w:t>επισκοπημένα</w:t>
            </w:r>
            <w:proofErr w:type="spellEnd"/>
            <w:r w:rsidRPr="00161C7D">
              <w:rPr>
                <w:rFonts w:ascii="Arial" w:hAnsi="Arial" w:cs="Arial"/>
                <w:color w:val="000000" w:themeColor="text1"/>
                <w:sz w:val="14"/>
                <w:szCs w:val="14"/>
                <w:lang w:val="el-GR"/>
              </w:rPr>
              <w:t xml:space="preserve"> κέρδη για το </w:t>
            </w:r>
            <w:r w:rsidR="0038696F">
              <w:rPr>
                <w:rFonts w:ascii="Arial" w:hAnsi="Arial" w:cs="Arial"/>
                <w:color w:val="000000" w:themeColor="text1"/>
                <w:sz w:val="14"/>
                <w:szCs w:val="14"/>
                <w:lang w:val="el-GR"/>
              </w:rPr>
              <w:t xml:space="preserve">γ’ τρίμηνο 2024, </w:t>
            </w:r>
            <w:r w:rsidRPr="00161C7D">
              <w:rPr>
                <w:rFonts w:ascii="Arial" w:hAnsi="Arial" w:cs="Arial"/>
                <w:color w:val="000000" w:themeColor="text1"/>
                <w:sz w:val="14"/>
                <w:szCs w:val="14"/>
                <w:lang w:val="el-GR"/>
              </w:rPr>
              <w:t xml:space="preserve">μειωμένα για σχετική πρόβλεψη για διανομή (βλέπε μέρος Α.1.1 ‘Κεφαλαιακή Βάση’). </w:t>
            </w:r>
            <w:r w:rsidR="00357D84">
              <w:rPr>
                <w:rFonts w:ascii="Arial" w:hAnsi="Arial" w:cs="Arial"/>
                <w:color w:val="000000" w:themeColor="text1"/>
                <w:sz w:val="14"/>
                <w:szCs w:val="14"/>
                <w:lang w:val="el-GR"/>
              </w:rPr>
              <w:t xml:space="preserve">3. </w:t>
            </w:r>
            <w:r>
              <w:rPr>
                <w:rFonts w:ascii="Arial" w:hAnsi="Arial" w:cs="Arial"/>
                <w:color w:val="000000" w:themeColor="text1"/>
                <w:sz w:val="14"/>
                <w:szCs w:val="14"/>
                <w:lang w:val="el-GR"/>
              </w:rPr>
              <w:t>Περιλαμβάνοντας τα</w:t>
            </w:r>
            <w:r w:rsidRPr="007246A9">
              <w:rPr>
                <w:rFonts w:ascii="Arial" w:hAnsi="Arial" w:cs="Arial"/>
                <w:color w:val="000000" w:themeColor="text1"/>
                <w:sz w:val="14"/>
                <w:szCs w:val="14"/>
                <w:lang w:val="el-GR"/>
              </w:rPr>
              <w:t xml:space="preserve"> κέρδη για το έτος πού έληξε στις 31 Δεκεμβρίου 2023, μειωμένα για διανομή με ποσοστό (</w:t>
            </w:r>
            <w:proofErr w:type="spellStart"/>
            <w:r w:rsidRPr="007246A9">
              <w:rPr>
                <w:rFonts w:ascii="Arial" w:hAnsi="Arial" w:cs="Arial"/>
                <w:color w:val="000000" w:themeColor="text1"/>
                <w:sz w:val="14"/>
                <w:szCs w:val="14"/>
                <w:lang w:val="el-GR"/>
              </w:rPr>
              <w:t>payout</w:t>
            </w:r>
            <w:proofErr w:type="spellEnd"/>
            <w:r w:rsidRPr="007246A9">
              <w:rPr>
                <w:rFonts w:ascii="Arial" w:hAnsi="Arial" w:cs="Arial"/>
                <w:color w:val="000000" w:themeColor="text1"/>
                <w:sz w:val="14"/>
                <w:szCs w:val="14"/>
                <w:lang w:val="el-GR"/>
              </w:rPr>
              <w:t xml:space="preserve"> </w:t>
            </w:r>
            <w:proofErr w:type="spellStart"/>
            <w:r w:rsidRPr="007246A9">
              <w:rPr>
                <w:rFonts w:ascii="Arial" w:hAnsi="Arial" w:cs="Arial"/>
                <w:color w:val="000000" w:themeColor="text1"/>
                <w:sz w:val="14"/>
                <w:szCs w:val="14"/>
                <w:lang w:val="el-GR"/>
              </w:rPr>
              <w:t>ratio</w:t>
            </w:r>
            <w:proofErr w:type="spellEnd"/>
            <w:r w:rsidRPr="007246A9">
              <w:rPr>
                <w:rFonts w:ascii="Arial" w:hAnsi="Arial" w:cs="Arial"/>
                <w:color w:val="000000" w:themeColor="text1"/>
                <w:sz w:val="14"/>
                <w:szCs w:val="14"/>
                <w:lang w:val="el-GR"/>
              </w:rPr>
              <w:t>) 30%, μετά τη λήψη σχετικής έγκρισης από την ΕΚΤ τον Μάρτιο 2024</w:t>
            </w:r>
            <w:r w:rsidR="0038696F">
              <w:rPr>
                <w:rFonts w:ascii="Arial" w:hAnsi="Arial" w:cs="Arial"/>
                <w:color w:val="000000" w:themeColor="text1"/>
                <w:sz w:val="14"/>
                <w:szCs w:val="14"/>
                <w:lang w:val="el-GR"/>
              </w:rPr>
              <w:t>.</w:t>
            </w:r>
            <w:r w:rsidRPr="007246A9">
              <w:rPr>
                <w:rFonts w:ascii="Arial" w:hAnsi="Arial" w:cs="Arial"/>
                <w:color w:val="000000" w:themeColor="text1"/>
                <w:sz w:val="14"/>
                <w:szCs w:val="14"/>
                <w:lang w:val="el-GR"/>
              </w:rPr>
              <w:t xml:space="preserve"> </w:t>
            </w:r>
          </w:p>
          <w:p w14:paraId="3949BB87" w14:textId="486C974C" w:rsidR="003517E9" w:rsidRPr="00D41B36" w:rsidRDefault="003517E9" w:rsidP="003517E9">
            <w:pPr>
              <w:pStyle w:val="BodyText3"/>
              <w:tabs>
                <w:tab w:val="clear" w:pos="0"/>
                <w:tab w:val="left" w:pos="142"/>
              </w:tabs>
              <w:ind w:right="20"/>
              <w:jc w:val="both"/>
              <w:rPr>
                <w:rFonts w:ascii="Arial" w:hAnsi="Arial"/>
                <w:sz w:val="18"/>
                <w:szCs w:val="18"/>
                <w:highlight w:val="yellow"/>
                <w:lang w:val="el-GR"/>
              </w:rPr>
            </w:pPr>
            <w:proofErr w:type="spellStart"/>
            <w:r w:rsidRPr="007246A9">
              <w:rPr>
                <w:rFonts w:ascii="Arial" w:hAnsi="Arial" w:cs="Arial"/>
                <w:color w:val="000000" w:themeColor="text1"/>
                <w:sz w:val="14"/>
                <w:szCs w:val="14"/>
                <w:lang w:val="el-GR"/>
              </w:rPr>
              <w:t>Ε.μ</w:t>
            </w:r>
            <w:proofErr w:type="spellEnd"/>
            <w:r w:rsidRPr="007246A9">
              <w:rPr>
                <w:rFonts w:ascii="Arial" w:hAnsi="Arial" w:cs="Arial"/>
                <w:color w:val="000000" w:themeColor="text1"/>
                <w:sz w:val="14"/>
                <w:szCs w:val="14"/>
                <w:lang w:val="el-GR"/>
              </w:rPr>
              <w:t xml:space="preserve">. = εκατοστιαίες μονάδες, </w:t>
            </w:r>
            <w:proofErr w:type="spellStart"/>
            <w:r w:rsidRPr="007246A9">
              <w:rPr>
                <w:rFonts w:ascii="Arial" w:hAnsi="Arial" w:cs="Arial"/>
                <w:color w:val="000000" w:themeColor="text1"/>
                <w:sz w:val="14"/>
                <w:szCs w:val="14"/>
                <w:lang w:val="el-GR"/>
              </w:rPr>
              <w:t>μ.β</w:t>
            </w:r>
            <w:proofErr w:type="spellEnd"/>
            <w:r w:rsidRPr="007246A9">
              <w:rPr>
                <w:rFonts w:ascii="Arial" w:hAnsi="Arial" w:cs="Arial"/>
                <w:color w:val="000000" w:themeColor="text1"/>
                <w:sz w:val="14"/>
                <w:szCs w:val="14"/>
                <w:lang w:val="el-GR"/>
              </w:rPr>
              <w:t>.= μονάδες βάσης, 100 μονάδες βάσης = 1 εκατοστιαία μονάδα</w:t>
            </w:r>
          </w:p>
        </w:tc>
      </w:tr>
    </w:tbl>
    <w:p w14:paraId="349D8E55" w14:textId="77777777" w:rsidR="004E5012" w:rsidRPr="00D41B36" w:rsidRDefault="004E5012">
      <w:pPr>
        <w:spacing w:after="0" w:line="240" w:lineRule="auto"/>
        <w:ind w:left="777" w:hanging="777"/>
        <w:rPr>
          <w:rFonts w:ascii="Arial" w:hAnsi="Arial" w:cs="Arial"/>
          <w:b/>
          <w:bCs/>
          <w:color w:val="FF9900"/>
          <w:sz w:val="24"/>
          <w:highlight w:val="yellow"/>
          <w:lang w:val="el-GR"/>
        </w:rPr>
      </w:pPr>
    </w:p>
    <w:p w14:paraId="309977CD" w14:textId="7FB53D2E" w:rsidR="00E74AC4" w:rsidRPr="007246A9" w:rsidRDefault="00DC7787" w:rsidP="00B043BD">
      <w:pPr>
        <w:rPr>
          <w:rFonts w:ascii="Arial" w:eastAsia="Times New Roman" w:hAnsi="Arial" w:cs="Arial"/>
          <w:sz w:val="18"/>
          <w:szCs w:val="18"/>
          <w:lang w:val="el-GR"/>
        </w:rPr>
      </w:pPr>
      <w:r w:rsidRPr="007246A9">
        <w:rPr>
          <w:rFonts w:ascii="Arial" w:hAnsi="Arial" w:cs="Arial"/>
          <w:b/>
          <w:bCs/>
          <w:color w:val="FF9900"/>
          <w:sz w:val="24"/>
          <w:lang w:val="el-GR"/>
        </w:rPr>
        <w:lastRenderedPageBreak/>
        <w:t>Α</w:t>
      </w:r>
      <w:r w:rsidR="007C51EB" w:rsidRPr="007246A9">
        <w:rPr>
          <w:rFonts w:ascii="Arial" w:hAnsi="Arial" w:cs="Arial"/>
          <w:b/>
          <w:bCs/>
          <w:color w:val="FF9900"/>
          <w:sz w:val="24"/>
          <w:lang w:val="el-GR"/>
        </w:rPr>
        <w:t xml:space="preserve">. Οικονομικά Αποτελέσματα Συγκροτήματος – Υποκείμενη Βάση </w:t>
      </w:r>
      <w:r w:rsidR="007C51EB" w:rsidRPr="007246A9">
        <w:rPr>
          <w:rFonts w:ascii="Arial" w:hAnsi="Arial" w:cs="Arial"/>
          <w:color w:val="FF9900"/>
          <w:sz w:val="24"/>
          <w:lang w:val="el-GR"/>
        </w:rPr>
        <w:t>(συνέχεια)</w:t>
      </w:r>
    </w:p>
    <w:p w14:paraId="742C9E8E" w14:textId="7A5E49EC" w:rsidR="00352599" w:rsidRPr="007246A9" w:rsidRDefault="00DC7787" w:rsidP="00B043BD">
      <w:pPr>
        <w:rPr>
          <w:rFonts w:ascii="Arial" w:hAnsi="Arial" w:cs="Arial"/>
          <w:b/>
          <w:bCs/>
          <w:color w:val="FF9900"/>
          <w:sz w:val="23"/>
          <w:szCs w:val="23"/>
          <w:lang w:val="el-GR"/>
        </w:rPr>
      </w:pPr>
      <w:r w:rsidRPr="007246A9">
        <w:rPr>
          <w:rFonts w:ascii="Arial" w:hAnsi="Arial" w:cs="Arial"/>
          <w:b/>
          <w:bCs/>
          <w:color w:val="FF9900"/>
          <w:sz w:val="23"/>
          <w:szCs w:val="23"/>
          <w:lang w:val="el-GR"/>
        </w:rPr>
        <w:t>Α</w:t>
      </w:r>
      <w:r w:rsidR="00352599" w:rsidRPr="007246A9">
        <w:rPr>
          <w:rFonts w:ascii="Arial" w:hAnsi="Arial" w:cs="Arial"/>
          <w:b/>
          <w:bCs/>
          <w:color w:val="FF9900"/>
          <w:sz w:val="23"/>
          <w:szCs w:val="23"/>
          <w:lang w:val="el-GR"/>
        </w:rPr>
        <w:t>.</w:t>
      </w:r>
      <w:r w:rsidRPr="007246A9">
        <w:rPr>
          <w:rFonts w:ascii="Arial" w:hAnsi="Arial" w:cs="Arial"/>
          <w:b/>
          <w:bCs/>
          <w:color w:val="FF9900"/>
          <w:sz w:val="23"/>
          <w:szCs w:val="23"/>
          <w:lang w:val="el-GR"/>
        </w:rPr>
        <w:t>1</w:t>
      </w:r>
      <w:r w:rsidR="00E74AC4" w:rsidRPr="007246A9">
        <w:rPr>
          <w:rFonts w:ascii="Arial" w:hAnsi="Arial" w:cs="Arial"/>
          <w:b/>
          <w:bCs/>
          <w:color w:val="FF9900"/>
          <w:sz w:val="23"/>
          <w:szCs w:val="23"/>
          <w:lang w:val="el-GR"/>
        </w:rPr>
        <w:t xml:space="preserve"> </w:t>
      </w:r>
      <w:r w:rsidR="00352599" w:rsidRPr="007246A9">
        <w:rPr>
          <w:rFonts w:ascii="Arial" w:hAnsi="Arial" w:cs="Arial"/>
          <w:b/>
          <w:bCs/>
          <w:color w:val="FF9900"/>
          <w:sz w:val="23"/>
          <w:szCs w:val="23"/>
          <w:lang w:val="el-GR"/>
        </w:rPr>
        <w:t>Ανάλυση Ισολογισμού</w:t>
      </w:r>
    </w:p>
    <w:p w14:paraId="6ECBB235" w14:textId="3CA47DAA" w:rsidR="00352599" w:rsidRPr="007246A9" w:rsidRDefault="00DC7787" w:rsidP="00B043BD">
      <w:pPr>
        <w:rPr>
          <w:rFonts w:ascii="Arial" w:hAnsi="Arial" w:cs="Arial"/>
          <w:b/>
          <w:bCs/>
          <w:color w:val="FF9900"/>
          <w:lang w:val="el-GR"/>
        </w:rPr>
      </w:pPr>
      <w:r w:rsidRPr="007246A9">
        <w:rPr>
          <w:rFonts w:ascii="Arial" w:hAnsi="Arial" w:cs="Arial"/>
          <w:b/>
          <w:bCs/>
          <w:color w:val="FF9900"/>
          <w:lang w:val="el-GR"/>
        </w:rPr>
        <w:t>Α.1</w:t>
      </w:r>
      <w:r w:rsidR="00352599" w:rsidRPr="007246A9">
        <w:rPr>
          <w:rFonts w:ascii="Arial" w:hAnsi="Arial" w:cs="Arial"/>
          <w:b/>
          <w:bCs/>
          <w:color w:val="FF9900"/>
          <w:lang w:val="el-GR"/>
        </w:rPr>
        <w:t>.1</w:t>
      </w:r>
      <w:r w:rsidR="00E74AC4" w:rsidRPr="007246A9">
        <w:rPr>
          <w:rFonts w:ascii="Arial" w:hAnsi="Arial" w:cs="Arial"/>
          <w:b/>
          <w:bCs/>
          <w:color w:val="FF9900"/>
          <w:lang w:val="el-GR"/>
        </w:rPr>
        <w:t xml:space="preserve"> </w:t>
      </w:r>
      <w:r w:rsidR="00352599" w:rsidRPr="007246A9">
        <w:rPr>
          <w:rFonts w:ascii="Arial" w:hAnsi="Arial" w:cs="Arial"/>
          <w:b/>
          <w:bCs/>
          <w:color w:val="FF9900"/>
          <w:lang w:val="el-GR"/>
        </w:rPr>
        <w:t xml:space="preserve">Κεφαλαιακή Βάση </w:t>
      </w:r>
    </w:p>
    <w:p w14:paraId="17808894" w14:textId="6574390B" w:rsidR="00352599" w:rsidRPr="007246A9" w:rsidRDefault="00352599" w:rsidP="00CB0EEF">
      <w:pPr>
        <w:spacing w:after="0" w:line="240" w:lineRule="auto"/>
        <w:jc w:val="both"/>
        <w:rPr>
          <w:rFonts w:ascii="Arial" w:hAnsi="Arial" w:cs="Arial"/>
          <w:sz w:val="18"/>
          <w:szCs w:val="18"/>
          <w:lang w:val="el-GR"/>
        </w:rPr>
      </w:pPr>
      <w:r w:rsidRPr="007246A9">
        <w:rPr>
          <w:rFonts w:ascii="Arial" w:hAnsi="Arial" w:cs="Arial"/>
          <w:sz w:val="18"/>
          <w:szCs w:val="18"/>
          <w:lang w:val="el-GR"/>
        </w:rPr>
        <w:t xml:space="preserve">Το </w:t>
      </w:r>
      <w:r w:rsidRPr="007246A9">
        <w:rPr>
          <w:rFonts w:ascii="Arial" w:hAnsi="Arial" w:cs="Arial"/>
          <w:b/>
          <w:bCs/>
          <w:sz w:val="18"/>
          <w:szCs w:val="18"/>
          <w:lang w:val="el-GR"/>
        </w:rPr>
        <w:t xml:space="preserve">σύνολο </w:t>
      </w:r>
      <w:r w:rsidR="002C2201" w:rsidRPr="007246A9">
        <w:rPr>
          <w:rFonts w:ascii="Arial" w:hAnsi="Arial" w:cs="Arial"/>
          <w:b/>
          <w:bCs/>
          <w:sz w:val="18"/>
          <w:szCs w:val="18"/>
          <w:lang w:val="el-GR"/>
        </w:rPr>
        <w:t xml:space="preserve">ιδίων </w:t>
      </w:r>
      <w:r w:rsidRPr="007246A9">
        <w:rPr>
          <w:rFonts w:ascii="Arial" w:hAnsi="Arial" w:cs="Arial"/>
          <w:b/>
          <w:bCs/>
          <w:sz w:val="18"/>
          <w:szCs w:val="18"/>
          <w:lang w:val="el-GR"/>
        </w:rPr>
        <w:t>κεφαλαίων εξαιρουμένων των δικαιωμάτων μειοψηφίας</w:t>
      </w:r>
      <w:r w:rsidRPr="007246A9">
        <w:rPr>
          <w:rFonts w:ascii="Arial" w:hAnsi="Arial" w:cs="Arial"/>
          <w:sz w:val="18"/>
          <w:szCs w:val="18"/>
          <w:lang w:val="el-GR"/>
        </w:rPr>
        <w:t xml:space="preserve"> ανήλθε </w:t>
      </w:r>
      <w:r w:rsidR="00C85957" w:rsidRPr="007246A9">
        <w:rPr>
          <w:rFonts w:ascii="Arial" w:hAnsi="Arial" w:cs="Arial"/>
          <w:sz w:val="18"/>
          <w:szCs w:val="18"/>
          <w:lang w:val="el-GR"/>
        </w:rPr>
        <w:t xml:space="preserve">σε </w:t>
      </w:r>
      <w:r w:rsidR="00357D84">
        <w:rPr>
          <w:rFonts w:ascii="Arial" w:hAnsi="Arial" w:cs="Arial"/>
          <w:bCs/>
          <w:sz w:val="18"/>
          <w:szCs w:val="18"/>
          <w:lang w:val="el-GR"/>
        </w:rPr>
        <w:t>€</w:t>
      </w:r>
      <w:r w:rsidR="00357D84" w:rsidRPr="00502B4F">
        <w:rPr>
          <w:rFonts w:ascii="Arial" w:hAnsi="Arial" w:cs="Arial"/>
          <w:bCs/>
          <w:sz w:val="18"/>
          <w:szCs w:val="18"/>
          <w:lang w:val="el-GR"/>
        </w:rPr>
        <w:t xml:space="preserve">2,728 </w:t>
      </w:r>
      <w:r w:rsidR="00C85957" w:rsidRPr="007246A9">
        <w:rPr>
          <w:rFonts w:ascii="Arial" w:hAnsi="Arial" w:cs="Arial"/>
          <w:sz w:val="18"/>
          <w:szCs w:val="18"/>
          <w:lang w:val="el-GR"/>
        </w:rPr>
        <w:t>εκατ.</w:t>
      </w:r>
      <w:r w:rsidR="00EB1D23" w:rsidRPr="007246A9">
        <w:rPr>
          <w:rFonts w:ascii="Arial" w:hAnsi="Arial" w:cs="Arial"/>
          <w:sz w:val="18"/>
          <w:szCs w:val="18"/>
          <w:lang w:val="el-GR"/>
        </w:rPr>
        <w:t xml:space="preserve"> στις                               </w:t>
      </w:r>
      <w:r w:rsidR="00B53267" w:rsidRPr="007246A9">
        <w:rPr>
          <w:rFonts w:ascii="Arial" w:hAnsi="Arial" w:cs="Arial"/>
          <w:sz w:val="18"/>
          <w:szCs w:val="18"/>
          <w:lang w:val="el-GR"/>
        </w:rPr>
        <w:t>30</w:t>
      </w:r>
      <w:r w:rsidR="00EB1D23" w:rsidRPr="007246A9">
        <w:rPr>
          <w:rFonts w:ascii="Arial" w:hAnsi="Arial" w:cs="Arial"/>
          <w:sz w:val="18"/>
          <w:szCs w:val="18"/>
          <w:lang w:val="el-GR"/>
        </w:rPr>
        <w:t xml:space="preserve"> Σεπτεμβρίου </w:t>
      </w:r>
      <w:r w:rsidR="00835D84" w:rsidRPr="007246A9">
        <w:rPr>
          <w:rFonts w:ascii="Arial" w:hAnsi="Arial" w:cs="Arial"/>
          <w:sz w:val="18"/>
          <w:szCs w:val="18"/>
          <w:lang w:val="el-GR"/>
        </w:rPr>
        <w:t>2024</w:t>
      </w:r>
      <w:r w:rsidR="00C85957" w:rsidRPr="007246A9">
        <w:rPr>
          <w:rFonts w:ascii="Arial" w:hAnsi="Arial" w:cs="Arial"/>
          <w:sz w:val="18"/>
          <w:szCs w:val="18"/>
          <w:lang w:val="el-GR"/>
        </w:rPr>
        <w:t>, σε σύγκριση με</w:t>
      </w:r>
      <w:r w:rsidR="00B53267" w:rsidRPr="007246A9">
        <w:rPr>
          <w:rFonts w:ascii="Arial" w:hAnsi="Arial" w:cs="Arial"/>
          <w:sz w:val="18"/>
          <w:szCs w:val="18"/>
          <w:lang w:val="el-GR"/>
        </w:rPr>
        <w:t xml:space="preserve"> </w:t>
      </w:r>
      <w:r w:rsidR="00EB1D23" w:rsidRPr="007246A9">
        <w:rPr>
          <w:rFonts w:ascii="Arial" w:hAnsi="Arial" w:cs="Arial"/>
          <w:bCs/>
          <w:sz w:val="18"/>
          <w:szCs w:val="18"/>
          <w:lang w:val="el-GR"/>
        </w:rPr>
        <w:t xml:space="preserve">€2,607 </w:t>
      </w:r>
      <w:r w:rsidR="00EB1D23" w:rsidRPr="007246A9">
        <w:rPr>
          <w:rFonts w:ascii="Arial" w:hAnsi="Arial" w:cs="Arial"/>
          <w:sz w:val="18"/>
          <w:szCs w:val="18"/>
          <w:lang w:val="el-GR"/>
        </w:rPr>
        <w:t xml:space="preserve">εκατ. στις 30 Ιουνίου 2024 </w:t>
      </w:r>
      <w:r w:rsidR="00B53267" w:rsidRPr="007246A9">
        <w:rPr>
          <w:rFonts w:ascii="Arial" w:hAnsi="Arial" w:cs="Arial"/>
          <w:sz w:val="18"/>
          <w:szCs w:val="18"/>
          <w:lang w:val="el-GR"/>
        </w:rPr>
        <w:t xml:space="preserve">και με </w:t>
      </w:r>
      <w:r w:rsidR="00E74AC4" w:rsidRPr="007246A9">
        <w:rPr>
          <w:rFonts w:ascii="Arial" w:hAnsi="Arial" w:cs="Arial"/>
          <w:bCs/>
          <w:sz w:val="18"/>
          <w:szCs w:val="18"/>
          <w:lang w:val="el-GR"/>
        </w:rPr>
        <w:t>€</w:t>
      </w:r>
      <w:r w:rsidR="00835D84" w:rsidRPr="007246A9">
        <w:rPr>
          <w:rFonts w:ascii="Arial" w:hAnsi="Arial" w:cs="Arial"/>
          <w:bCs/>
          <w:sz w:val="18"/>
          <w:szCs w:val="18"/>
          <w:lang w:val="el-GR"/>
        </w:rPr>
        <w:t xml:space="preserve">2,467 </w:t>
      </w:r>
      <w:r w:rsidR="00E74AC4" w:rsidRPr="007246A9">
        <w:rPr>
          <w:rFonts w:ascii="Arial" w:hAnsi="Arial" w:cs="Arial"/>
          <w:sz w:val="18"/>
          <w:szCs w:val="18"/>
          <w:lang w:val="el-GR"/>
        </w:rPr>
        <w:t xml:space="preserve">εκατ. στις </w:t>
      </w:r>
      <w:r w:rsidR="00835D84" w:rsidRPr="007246A9">
        <w:rPr>
          <w:rFonts w:ascii="Arial" w:hAnsi="Arial" w:cs="Arial"/>
          <w:sz w:val="18"/>
          <w:szCs w:val="18"/>
          <w:lang w:val="el-GR"/>
        </w:rPr>
        <w:t xml:space="preserve">31 Δεκεμβρίου </w:t>
      </w:r>
      <w:r w:rsidR="00E74AC4" w:rsidRPr="007246A9">
        <w:rPr>
          <w:rFonts w:ascii="Arial" w:hAnsi="Arial" w:cs="Arial"/>
          <w:sz w:val="18"/>
          <w:szCs w:val="18"/>
          <w:lang w:val="el-GR"/>
        </w:rPr>
        <w:t>2023</w:t>
      </w:r>
      <w:r w:rsidR="00B53267" w:rsidRPr="007246A9">
        <w:rPr>
          <w:rFonts w:ascii="Arial" w:hAnsi="Arial" w:cs="Arial"/>
          <w:sz w:val="18"/>
          <w:szCs w:val="18"/>
          <w:lang w:val="el-GR"/>
        </w:rPr>
        <w:t xml:space="preserve">. </w:t>
      </w:r>
      <w:r w:rsidR="00B137E1" w:rsidRPr="007246A9">
        <w:rPr>
          <w:rFonts w:ascii="Arial" w:hAnsi="Arial" w:cs="Arial"/>
          <w:sz w:val="18"/>
          <w:szCs w:val="18"/>
          <w:lang w:val="el-GR"/>
        </w:rPr>
        <w:t xml:space="preserve">Τα </w:t>
      </w:r>
      <w:r w:rsidRPr="007246A9">
        <w:rPr>
          <w:rFonts w:ascii="Arial" w:hAnsi="Arial" w:cs="Arial"/>
          <w:sz w:val="18"/>
          <w:szCs w:val="18"/>
          <w:lang w:val="el-GR"/>
        </w:rPr>
        <w:t xml:space="preserve">ίδια κεφάλαια </w:t>
      </w:r>
      <w:r w:rsidR="002C2201" w:rsidRPr="007246A9">
        <w:rPr>
          <w:rFonts w:ascii="Arial" w:hAnsi="Arial" w:cs="Arial"/>
          <w:sz w:val="18"/>
          <w:szCs w:val="18"/>
          <w:lang w:val="el-GR"/>
        </w:rPr>
        <w:t xml:space="preserve">που αναλογούν στους ιδιοκτήτες </w:t>
      </w:r>
      <w:r w:rsidRPr="007246A9">
        <w:rPr>
          <w:rFonts w:ascii="Arial" w:hAnsi="Arial" w:cs="Arial"/>
          <w:sz w:val="18"/>
          <w:szCs w:val="18"/>
          <w:lang w:val="el-GR"/>
        </w:rPr>
        <w:t>της Εταιρίας διαμορφώθηκαν</w:t>
      </w:r>
      <w:r w:rsidRPr="007246A9">
        <w:rPr>
          <w:rFonts w:ascii="Arial" w:hAnsi="Arial" w:cs="Arial"/>
          <w:bCs/>
          <w:sz w:val="18"/>
          <w:szCs w:val="28"/>
          <w:lang w:val="el-GR"/>
        </w:rPr>
        <w:t xml:space="preserve"> </w:t>
      </w:r>
      <w:r w:rsidRPr="00357D84">
        <w:rPr>
          <w:rFonts w:ascii="Arial" w:hAnsi="Arial" w:cs="Arial"/>
          <w:bCs/>
          <w:sz w:val="18"/>
          <w:szCs w:val="28"/>
          <w:lang w:val="el-GR"/>
        </w:rPr>
        <w:t>σε</w:t>
      </w:r>
      <w:r w:rsidR="00B137E1" w:rsidRPr="00357D84">
        <w:rPr>
          <w:rFonts w:ascii="Arial" w:hAnsi="Arial" w:cs="Arial"/>
          <w:bCs/>
          <w:sz w:val="18"/>
          <w:szCs w:val="28"/>
          <w:lang w:val="el-GR"/>
        </w:rPr>
        <w:t xml:space="preserve"> </w:t>
      </w:r>
      <w:r w:rsidR="00357D84" w:rsidRPr="00502B4F">
        <w:rPr>
          <w:rFonts w:ascii="Arial" w:hAnsi="Arial" w:cs="Arial"/>
          <w:sz w:val="18"/>
          <w:szCs w:val="18"/>
          <w:lang w:val="el-GR"/>
        </w:rPr>
        <w:t xml:space="preserve">€2,508 </w:t>
      </w:r>
      <w:r w:rsidR="00B137E1" w:rsidRPr="00357D84">
        <w:rPr>
          <w:rFonts w:ascii="Arial" w:hAnsi="Arial" w:cs="Arial"/>
          <w:sz w:val="18"/>
          <w:szCs w:val="18"/>
          <w:lang w:val="el-GR"/>
        </w:rPr>
        <w:t xml:space="preserve">εκατ. στις </w:t>
      </w:r>
      <w:r w:rsidR="00B53267" w:rsidRPr="00357D84">
        <w:rPr>
          <w:rFonts w:ascii="Arial" w:hAnsi="Arial" w:cs="Arial"/>
          <w:sz w:val="18"/>
          <w:szCs w:val="18"/>
          <w:lang w:val="el-GR"/>
        </w:rPr>
        <w:t xml:space="preserve">30 </w:t>
      </w:r>
      <w:r w:rsidR="00EB1D23" w:rsidRPr="00357D84">
        <w:rPr>
          <w:rFonts w:ascii="Arial" w:hAnsi="Arial" w:cs="Arial"/>
          <w:sz w:val="18"/>
          <w:szCs w:val="18"/>
          <w:lang w:val="el-GR"/>
        </w:rPr>
        <w:t xml:space="preserve">Σεπτεμβρίου </w:t>
      </w:r>
      <w:r w:rsidR="00835D84" w:rsidRPr="00357D84">
        <w:rPr>
          <w:rFonts w:ascii="Arial" w:hAnsi="Arial" w:cs="Arial"/>
          <w:sz w:val="18"/>
          <w:szCs w:val="18"/>
          <w:lang w:val="el-GR"/>
        </w:rPr>
        <w:t>2024</w:t>
      </w:r>
      <w:r w:rsidR="00B137E1" w:rsidRPr="00357D84">
        <w:rPr>
          <w:rFonts w:ascii="Arial" w:hAnsi="Arial" w:cs="Arial"/>
          <w:sz w:val="18"/>
          <w:szCs w:val="18"/>
          <w:lang w:val="el-GR"/>
        </w:rPr>
        <w:t>, σε σύγκριση με</w:t>
      </w:r>
      <w:r w:rsidR="00B53267" w:rsidRPr="00357D84">
        <w:rPr>
          <w:rFonts w:ascii="Arial" w:hAnsi="Arial" w:cs="Arial"/>
          <w:sz w:val="18"/>
          <w:szCs w:val="18"/>
          <w:lang w:val="el-GR"/>
        </w:rPr>
        <w:t xml:space="preserve"> </w:t>
      </w:r>
      <w:r w:rsidR="00EB1D23" w:rsidRPr="00357D84">
        <w:rPr>
          <w:rFonts w:ascii="Arial" w:hAnsi="Arial" w:cs="Arial"/>
          <w:sz w:val="18"/>
          <w:szCs w:val="18"/>
          <w:lang w:val="el-GR"/>
        </w:rPr>
        <w:t>€2,387</w:t>
      </w:r>
      <w:r w:rsidR="00EB1D23" w:rsidRPr="00502B4F">
        <w:rPr>
          <w:rFonts w:ascii="Arial" w:hAnsi="Arial" w:cs="Arial"/>
          <w:sz w:val="18"/>
          <w:szCs w:val="18"/>
          <w:lang w:val="el-GR"/>
        </w:rPr>
        <w:t xml:space="preserve"> </w:t>
      </w:r>
      <w:r w:rsidR="00EB1D23" w:rsidRPr="00357D84">
        <w:rPr>
          <w:rFonts w:ascii="Arial" w:hAnsi="Arial" w:cs="Arial"/>
          <w:sz w:val="18"/>
          <w:szCs w:val="18"/>
          <w:lang w:val="el-GR"/>
        </w:rPr>
        <w:t xml:space="preserve">εκατ. στις 30 Ιουνίου 2024 </w:t>
      </w:r>
      <w:r w:rsidR="00B53267" w:rsidRPr="00357D84">
        <w:rPr>
          <w:rFonts w:ascii="Arial" w:hAnsi="Arial" w:cs="Arial"/>
          <w:sz w:val="18"/>
          <w:szCs w:val="18"/>
          <w:lang w:val="el-GR"/>
        </w:rPr>
        <w:t xml:space="preserve">και με </w:t>
      </w:r>
      <w:r w:rsidR="00257F18" w:rsidRPr="00357D84">
        <w:rPr>
          <w:rFonts w:ascii="Arial" w:hAnsi="Arial" w:cs="Arial"/>
          <w:sz w:val="18"/>
          <w:szCs w:val="18"/>
          <w:lang w:val="el-GR"/>
        </w:rPr>
        <w:t>€</w:t>
      </w:r>
      <w:r w:rsidR="00835D84" w:rsidRPr="00357D84">
        <w:rPr>
          <w:rFonts w:ascii="Arial" w:hAnsi="Arial" w:cs="Arial"/>
          <w:sz w:val="18"/>
          <w:szCs w:val="18"/>
          <w:lang w:val="el-GR"/>
        </w:rPr>
        <w:t xml:space="preserve">2,247 </w:t>
      </w:r>
      <w:r w:rsidR="00D426B6" w:rsidRPr="00357D84">
        <w:rPr>
          <w:rFonts w:ascii="Arial" w:hAnsi="Arial" w:cs="Arial"/>
          <w:sz w:val="18"/>
          <w:szCs w:val="18"/>
          <w:lang w:val="el-GR"/>
        </w:rPr>
        <w:t xml:space="preserve">εκατ. στις </w:t>
      </w:r>
      <w:r w:rsidR="00835D84" w:rsidRPr="00357D84">
        <w:rPr>
          <w:rFonts w:ascii="Arial" w:hAnsi="Arial" w:cs="Arial"/>
          <w:sz w:val="18"/>
          <w:szCs w:val="18"/>
          <w:lang w:val="el-GR"/>
        </w:rPr>
        <w:t xml:space="preserve">31 Δεκεμβρίου </w:t>
      </w:r>
      <w:r w:rsidR="00D426B6" w:rsidRPr="00357D84">
        <w:rPr>
          <w:rFonts w:ascii="Arial" w:hAnsi="Arial" w:cs="Arial"/>
          <w:sz w:val="18"/>
          <w:szCs w:val="18"/>
          <w:lang w:val="el-GR"/>
        </w:rPr>
        <w:t>2023</w:t>
      </w:r>
      <w:r w:rsidR="00B53267" w:rsidRPr="00357D84">
        <w:rPr>
          <w:rFonts w:ascii="Arial" w:hAnsi="Arial" w:cs="Arial"/>
          <w:sz w:val="18"/>
          <w:szCs w:val="18"/>
          <w:lang w:val="el-GR"/>
        </w:rPr>
        <w:t>.</w:t>
      </w:r>
    </w:p>
    <w:p w14:paraId="390449D7" w14:textId="77777777" w:rsidR="00352599" w:rsidRPr="00D41B36" w:rsidRDefault="00352599" w:rsidP="00CB0EEF">
      <w:pPr>
        <w:spacing w:after="0" w:line="240" w:lineRule="auto"/>
        <w:jc w:val="both"/>
        <w:rPr>
          <w:rFonts w:ascii="Arial" w:hAnsi="Arial" w:cs="Arial"/>
          <w:sz w:val="18"/>
          <w:szCs w:val="18"/>
          <w:highlight w:val="yellow"/>
          <w:lang w:val="el-GR"/>
        </w:rPr>
      </w:pPr>
    </w:p>
    <w:p w14:paraId="4991D8A3" w14:textId="5025DBF0" w:rsidR="003F2BB4" w:rsidRPr="007246A9" w:rsidRDefault="00352599" w:rsidP="00CB0EEF">
      <w:pPr>
        <w:spacing w:after="0" w:line="240" w:lineRule="auto"/>
        <w:jc w:val="both"/>
        <w:rPr>
          <w:rFonts w:ascii="Arial" w:hAnsi="Arial" w:cs="Arial"/>
          <w:sz w:val="18"/>
          <w:szCs w:val="18"/>
          <w:lang w:val="el-GR"/>
        </w:rPr>
      </w:pPr>
      <w:r w:rsidRPr="007246A9">
        <w:rPr>
          <w:rFonts w:ascii="Arial" w:hAnsi="Arial" w:cs="Arial"/>
          <w:bCs/>
          <w:sz w:val="18"/>
          <w:szCs w:val="18"/>
          <w:lang w:val="el-GR"/>
        </w:rPr>
        <w:t xml:space="preserve">Ο </w:t>
      </w:r>
      <w:r w:rsidRPr="007246A9">
        <w:rPr>
          <w:rFonts w:ascii="Arial" w:hAnsi="Arial" w:cs="Arial"/>
          <w:b/>
          <w:bCs/>
          <w:sz w:val="18"/>
          <w:szCs w:val="18"/>
          <w:lang w:val="el-GR"/>
        </w:rPr>
        <w:t>δείκτης Κεφαλαίου Κοινών Μετοχών Κατηγορίας 1 (CET1) με μεταβατικές διατάξεις</w:t>
      </w:r>
      <w:r w:rsidR="00DF5FD1" w:rsidRPr="007246A9">
        <w:rPr>
          <w:rFonts w:ascii="Arial" w:hAnsi="Arial" w:cs="Arial"/>
          <w:b/>
          <w:bCs/>
          <w:sz w:val="18"/>
          <w:szCs w:val="18"/>
          <w:lang w:val="el-GR"/>
        </w:rPr>
        <w:t xml:space="preserve"> </w:t>
      </w:r>
      <w:r w:rsidR="00761A46" w:rsidRPr="007246A9">
        <w:rPr>
          <w:rFonts w:ascii="Arial" w:hAnsi="Arial" w:cs="Arial"/>
          <w:b/>
          <w:bCs/>
          <w:sz w:val="18"/>
          <w:szCs w:val="18"/>
          <w:lang w:val="el-GR"/>
        </w:rPr>
        <w:t>υπολογισμένος για εποπτικούς σκοπούς</w:t>
      </w:r>
      <w:r w:rsidR="00DF5FD1" w:rsidRPr="007246A9">
        <w:rPr>
          <w:rFonts w:ascii="Arial" w:hAnsi="Arial" w:cs="Arial"/>
          <w:sz w:val="18"/>
          <w:szCs w:val="18"/>
          <w:lang w:val="el-GR"/>
        </w:rPr>
        <w:t xml:space="preserve"> </w:t>
      </w:r>
      <w:r w:rsidRPr="007246A9">
        <w:rPr>
          <w:rFonts w:ascii="Arial" w:hAnsi="Arial" w:cs="Arial"/>
          <w:bCs/>
          <w:sz w:val="18"/>
          <w:szCs w:val="18"/>
          <w:lang w:val="el-GR"/>
        </w:rPr>
        <w:t xml:space="preserve">ανήλθε </w:t>
      </w:r>
      <w:r w:rsidR="006E3CD7" w:rsidRPr="0038696F">
        <w:rPr>
          <w:rFonts w:ascii="Arial" w:hAnsi="Arial" w:cs="Arial"/>
          <w:bCs/>
          <w:color w:val="000000" w:themeColor="text1"/>
          <w:sz w:val="18"/>
          <w:szCs w:val="18"/>
          <w:lang w:val="el-GR"/>
        </w:rPr>
        <w:t xml:space="preserve">σε </w:t>
      </w:r>
      <w:r w:rsidR="00147CF4" w:rsidRPr="0038696F">
        <w:rPr>
          <w:rFonts w:ascii="Arial" w:hAnsi="Arial" w:cs="Arial"/>
          <w:bCs/>
          <w:color w:val="000000" w:themeColor="text1"/>
          <w:sz w:val="18"/>
          <w:szCs w:val="18"/>
          <w:lang w:val="el-GR"/>
        </w:rPr>
        <w:t>18</w:t>
      </w:r>
      <w:r w:rsidR="00EB1D23" w:rsidRPr="0038696F">
        <w:rPr>
          <w:rFonts w:ascii="Arial" w:hAnsi="Arial" w:cs="Arial"/>
          <w:bCs/>
          <w:color w:val="000000" w:themeColor="text1"/>
          <w:sz w:val="18"/>
          <w:szCs w:val="18"/>
          <w:lang w:val="el-GR"/>
        </w:rPr>
        <w:t>.</w:t>
      </w:r>
      <w:r w:rsidR="00147CF4" w:rsidRPr="0038696F">
        <w:rPr>
          <w:rFonts w:ascii="Arial" w:hAnsi="Arial" w:cs="Arial"/>
          <w:bCs/>
          <w:color w:val="000000" w:themeColor="text1"/>
          <w:sz w:val="18"/>
          <w:szCs w:val="18"/>
          <w:lang w:val="el-GR"/>
        </w:rPr>
        <w:t>6</w:t>
      </w:r>
      <w:r w:rsidR="00590687" w:rsidRPr="0038696F">
        <w:rPr>
          <w:rFonts w:ascii="Arial" w:hAnsi="Arial" w:cs="Arial"/>
          <w:bCs/>
          <w:color w:val="000000" w:themeColor="text1"/>
          <w:sz w:val="18"/>
          <w:szCs w:val="18"/>
          <w:lang w:val="el-GR"/>
        </w:rPr>
        <w:t>% στι</w:t>
      </w:r>
      <w:r w:rsidR="00590687" w:rsidRPr="007246A9">
        <w:rPr>
          <w:rFonts w:ascii="Arial" w:hAnsi="Arial" w:cs="Arial"/>
          <w:bCs/>
          <w:sz w:val="18"/>
          <w:szCs w:val="18"/>
          <w:lang w:val="el-GR"/>
        </w:rPr>
        <w:t xml:space="preserve">ς 30 </w:t>
      </w:r>
      <w:r w:rsidR="00EB1D23" w:rsidRPr="00400901">
        <w:rPr>
          <w:rFonts w:ascii="Arial" w:hAnsi="Arial" w:cs="Arial"/>
          <w:sz w:val="18"/>
          <w:szCs w:val="18"/>
          <w:lang w:val="el-GR"/>
        </w:rPr>
        <w:t xml:space="preserve">Σεπτεμβρίου </w:t>
      </w:r>
      <w:r w:rsidR="00590687" w:rsidRPr="007246A9">
        <w:rPr>
          <w:rFonts w:ascii="Arial" w:hAnsi="Arial" w:cs="Arial"/>
          <w:bCs/>
          <w:sz w:val="18"/>
          <w:szCs w:val="18"/>
          <w:lang w:val="el-GR"/>
        </w:rPr>
        <w:t xml:space="preserve">2024 σε σύγκριση με </w:t>
      </w:r>
      <w:r w:rsidR="00EB1D23" w:rsidRPr="007246A9">
        <w:rPr>
          <w:rFonts w:ascii="Arial" w:hAnsi="Arial" w:cs="Arial"/>
          <w:bCs/>
          <w:sz w:val="18"/>
          <w:szCs w:val="18"/>
          <w:lang w:val="el-GR"/>
        </w:rPr>
        <w:t xml:space="preserve">18.3% στις 30 Ιουνίου 2024 </w:t>
      </w:r>
      <w:r w:rsidR="00590687" w:rsidRPr="007246A9">
        <w:rPr>
          <w:rFonts w:ascii="Arial" w:hAnsi="Arial" w:cs="Arial"/>
          <w:sz w:val="18"/>
          <w:szCs w:val="18"/>
          <w:lang w:val="el-GR"/>
        </w:rPr>
        <w:t xml:space="preserve">και με </w:t>
      </w:r>
      <w:r w:rsidR="00AA5B33" w:rsidRPr="007246A9">
        <w:rPr>
          <w:rFonts w:ascii="Arial" w:hAnsi="Arial" w:cs="Arial"/>
          <w:sz w:val="18"/>
          <w:szCs w:val="18"/>
          <w:lang w:val="el-GR"/>
        </w:rPr>
        <w:t>1</w:t>
      </w:r>
      <w:r w:rsidR="007B0B94" w:rsidRPr="007246A9">
        <w:rPr>
          <w:rFonts w:ascii="Arial" w:hAnsi="Arial" w:cs="Arial"/>
          <w:sz w:val="18"/>
          <w:szCs w:val="18"/>
          <w:lang w:val="el-GR"/>
        </w:rPr>
        <w:t>7</w:t>
      </w:r>
      <w:r w:rsidR="00AA5B33" w:rsidRPr="007246A9">
        <w:rPr>
          <w:rFonts w:ascii="Arial" w:hAnsi="Arial" w:cs="Arial"/>
          <w:sz w:val="18"/>
          <w:szCs w:val="18"/>
          <w:lang w:val="el-GR"/>
        </w:rPr>
        <w:t>.</w:t>
      </w:r>
      <w:r w:rsidR="007B0B94" w:rsidRPr="007246A9">
        <w:rPr>
          <w:rFonts w:ascii="Arial" w:hAnsi="Arial" w:cs="Arial"/>
          <w:sz w:val="18"/>
          <w:szCs w:val="18"/>
          <w:lang w:val="el-GR"/>
        </w:rPr>
        <w:t>4</w:t>
      </w:r>
      <w:r w:rsidR="00AA5B33" w:rsidRPr="007246A9">
        <w:rPr>
          <w:rFonts w:ascii="Arial" w:hAnsi="Arial" w:cs="Arial"/>
          <w:sz w:val="18"/>
          <w:szCs w:val="18"/>
          <w:lang w:val="el-GR"/>
        </w:rPr>
        <w:t xml:space="preserve">% στις </w:t>
      </w:r>
      <w:r w:rsidR="007B0B94" w:rsidRPr="007246A9">
        <w:rPr>
          <w:rFonts w:ascii="Arial" w:hAnsi="Arial" w:cs="Arial"/>
          <w:sz w:val="18"/>
          <w:szCs w:val="18"/>
          <w:lang w:val="el-GR"/>
        </w:rPr>
        <w:t xml:space="preserve">31 Δεκεμβρίου </w:t>
      </w:r>
      <w:r w:rsidR="00AA5B33" w:rsidRPr="007246A9">
        <w:rPr>
          <w:rFonts w:ascii="Arial" w:hAnsi="Arial" w:cs="Arial"/>
          <w:sz w:val="18"/>
          <w:szCs w:val="18"/>
          <w:lang w:val="el-GR"/>
        </w:rPr>
        <w:t>2023</w:t>
      </w:r>
      <w:r w:rsidR="007B0B94" w:rsidRPr="007246A9">
        <w:rPr>
          <w:rFonts w:ascii="Arial" w:hAnsi="Arial" w:cs="Arial"/>
          <w:sz w:val="18"/>
          <w:szCs w:val="18"/>
          <w:lang w:val="el-GR"/>
        </w:rPr>
        <w:t>.</w:t>
      </w:r>
      <w:r w:rsidR="00590687" w:rsidRPr="007246A9">
        <w:rPr>
          <w:rFonts w:ascii="Arial" w:hAnsi="Arial" w:cs="Arial"/>
          <w:sz w:val="18"/>
          <w:szCs w:val="18"/>
          <w:lang w:val="el-GR"/>
        </w:rPr>
        <w:t xml:space="preserve"> </w:t>
      </w:r>
      <w:r w:rsidR="005E53BC" w:rsidRPr="007246A9">
        <w:rPr>
          <w:rFonts w:ascii="Arial" w:hAnsi="Arial" w:cs="Arial"/>
          <w:sz w:val="18"/>
          <w:szCs w:val="18"/>
          <w:lang w:val="el-GR"/>
        </w:rPr>
        <w:t xml:space="preserve">Σε αυτή την ανακοίνωση, </w:t>
      </w:r>
      <w:r w:rsidR="005E53BC" w:rsidRPr="007246A9">
        <w:rPr>
          <w:rFonts w:ascii="Arial" w:hAnsi="Arial" w:cs="Arial"/>
          <w:sz w:val="18"/>
          <w:szCs w:val="18"/>
          <w:lang w:val="en-US"/>
        </w:rPr>
        <w:t>o</w:t>
      </w:r>
      <w:r w:rsidR="005E53BC" w:rsidRPr="007246A9">
        <w:rPr>
          <w:rFonts w:ascii="Arial" w:hAnsi="Arial" w:cs="Arial"/>
          <w:sz w:val="18"/>
          <w:szCs w:val="18"/>
          <w:lang w:val="el-GR"/>
        </w:rPr>
        <w:t xml:space="preserve">ι δείκτες κεφαλαίων υπολογισμένοι για εποπτικούς σκοπούς στις </w:t>
      </w:r>
      <w:r w:rsidR="00590687" w:rsidRPr="007246A9">
        <w:rPr>
          <w:rFonts w:ascii="Arial" w:hAnsi="Arial" w:cs="Arial"/>
          <w:sz w:val="18"/>
          <w:szCs w:val="18"/>
          <w:lang w:val="el-GR"/>
        </w:rPr>
        <w:t xml:space="preserve">30 </w:t>
      </w:r>
      <w:r w:rsidR="00EB1D23" w:rsidRPr="007246A9">
        <w:rPr>
          <w:rFonts w:ascii="Arial" w:hAnsi="Arial" w:cs="Arial"/>
          <w:sz w:val="18"/>
          <w:szCs w:val="18"/>
          <w:lang w:val="el-GR"/>
        </w:rPr>
        <w:t xml:space="preserve">Σεπτεμβρίου </w:t>
      </w:r>
      <w:r w:rsidR="005E53BC" w:rsidRPr="007246A9">
        <w:rPr>
          <w:rFonts w:ascii="Arial" w:hAnsi="Arial" w:cs="Arial"/>
          <w:sz w:val="18"/>
          <w:szCs w:val="18"/>
          <w:lang w:val="el-GR"/>
        </w:rPr>
        <w:t>2024</w:t>
      </w:r>
      <w:r w:rsidR="00590687" w:rsidRPr="007246A9">
        <w:rPr>
          <w:rFonts w:ascii="Arial" w:hAnsi="Arial" w:cs="Arial"/>
          <w:sz w:val="18"/>
          <w:szCs w:val="18"/>
          <w:lang w:val="el-GR"/>
        </w:rPr>
        <w:t xml:space="preserve"> περιλαμβάνουν </w:t>
      </w:r>
      <w:proofErr w:type="spellStart"/>
      <w:r w:rsidR="00590687" w:rsidRPr="007246A9">
        <w:rPr>
          <w:rFonts w:ascii="Arial" w:hAnsi="Arial" w:cs="Arial"/>
          <w:sz w:val="18"/>
          <w:szCs w:val="18"/>
          <w:lang w:val="el-GR"/>
        </w:rPr>
        <w:t>επισκοπημένα</w:t>
      </w:r>
      <w:proofErr w:type="spellEnd"/>
      <w:r w:rsidR="00590687" w:rsidRPr="007246A9">
        <w:rPr>
          <w:rFonts w:ascii="Arial" w:hAnsi="Arial" w:cs="Arial"/>
          <w:sz w:val="18"/>
          <w:szCs w:val="18"/>
          <w:lang w:val="el-GR"/>
        </w:rPr>
        <w:t xml:space="preserve"> κέρδη για το α΄ εξάμηνο 2024</w:t>
      </w:r>
      <w:r w:rsidR="002F7ED3" w:rsidRPr="007246A9">
        <w:rPr>
          <w:rFonts w:ascii="Arial" w:hAnsi="Arial" w:cs="Arial"/>
          <w:sz w:val="18"/>
          <w:szCs w:val="18"/>
          <w:lang w:val="el-GR"/>
        </w:rPr>
        <w:t>, βάσει της απόφασης (ΕΕ) (2015/656) της Ευρωπαϊκής Κεντρικής Τράπεζας (‘ΕΚΤ’) όπου επιτρέπεται η αναγνώριση της ενδιάμεσης</w:t>
      </w:r>
      <w:r w:rsidR="00D2651C" w:rsidRPr="007246A9">
        <w:rPr>
          <w:rFonts w:ascii="Arial" w:hAnsi="Arial" w:cs="Arial"/>
          <w:sz w:val="18"/>
          <w:szCs w:val="18"/>
          <w:lang w:val="el-GR"/>
        </w:rPr>
        <w:t xml:space="preserve"> ή τελικής</w:t>
      </w:r>
      <w:r w:rsidR="002F7ED3" w:rsidRPr="007246A9">
        <w:rPr>
          <w:rFonts w:ascii="Arial" w:hAnsi="Arial" w:cs="Arial"/>
          <w:sz w:val="18"/>
          <w:szCs w:val="18"/>
          <w:lang w:val="el-GR"/>
        </w:rPr>
        <w:t xml:space="preserve"> κερδοφορίας στο δείκτη Κεφαλαίου Κοινών Μετοχών Κατηγορίας 1 (</w:t>
      </w:r>
      <w:r w:rsidR="002F7ED3" w:rsidRPr="007246A9">
        <w:rPr>
          <w:rFonts w:ascii="Arial" w:hAnsi="Arial" w:cs="Arial"/>
          <w:sz w:val="18"/>
          <w:szCs w:val="18"/>
        </w:rPr>
        <w:t>CET</w:t>
      </w:r>
      <w:r w:rsidR="002F7ED3" w:rsidRPr="007246A9">
        <w:rPr>
          <w:rFonts w:ascii="Arial" w:hAnsi="Arial" w:cs="Arial"/>
          <w:sz w:val="18"/>
          <w:szCs w:val="18"/>
          <w:lang w:val="el-GR"/>
        </w:rPr>
        <w:t>1) σύμφωνα με το άρθρο 26(2) του Κανονισμού Κεφαλαιακών Απαιτήσεων (</w:t>
      </w:r>
      <w:r w:rsidR="002F7ED3" w:rsidRPr="007246A9">
        <w:rPr>
          <w:rFonts w:ascii="Arial" w:hAnsi="Arial" w:cs="Arial"/>
          <w:sz w:val="18"/>
          <w:szCs w:val="18"/>
        </w:rPr>
        <w:t>CRR</w:t>
      </w:r>
      <w:r w:rsidR="002F7ED3" w:rsidRPr="007246A9">
        <w:rPr>
          <w:rFonts w:ascii="Arial" w:hAnsi="Arial" w:cs="Arial"/>
          <w:sz w:val="18"/>
          <w:szCs w:val="18"/>
          <w:lang w:val="el-GR"/>
        </w:rPr>
        <w:t>),</w:t>
      </w:r>
      <w:r w:rsidR="00590687" w:rsidRPr="007246A9">
        <w:rPr>
          <w:rFonts w:ascii="Arial" w:hAnsi="Arial" w:cs="Arial"/>
          <w:sz w:val="18"/>
          <w:szCs w:val="18"/>
          <w:lang w:val="el-GR"/>
        </w:rPr>
        <w:t xml:space="preserve"> μειωμένα για σχετική πρόβλεψη για διανομή </w:t>
      </w:r>
      <w:r w:rsidR="005E53BC" w:rsidRPr="007246A9">
        <w:rPr>
          <w:rFonts w:ascii="Arial" w:hAnsi="Arial" w:cs="Arial"/>
          <w:sz w:val="18"/>
          <w:szCs w:val="18"/>
          <w:lang w:val="el-GR"/>
        </w:rPr>
        <w:t>στο υψηλότερο ποσοστό (‘</w:t>
      </w:r>
      <w:proofErr w:type="spellStart"/>
      <w:r w:rsidR="005E53BC" w:rsidRPr="007246A9">
        <w:rPr>
          <w:rFonts w:ascii="Arial" w:hAnsi="Arial" w:cs="Arial"/>
          <w:sz w:val="18"/>
          <w:szCs w:val="18"/>
          <w:lang w:val="el-GR"/>
        </w:rPr>
        <w:t>payout</w:t>
      </w:r>
      <w:proofErr w:type="spellEnd"/>
      <w:r w:rsidR="005E53BC" w:rsidRPr="007246A9">
        <w:rPr>
          <w:rFonts w:ascii="Arial" w:hAnsi="Arial" w:cs="Arial"/>
          <w:sz w:val="18"/>
          <w:szCs w:val="18"/>
          <w:lang w:val="el-GR"/>
        </w:rPr>
        <w:t xml:space="preserve"> </w:t>
      </w:r>
      <w:proofErr w:type="spellStart"/>
      <w:r w:rsidR="005E53BC" w:rsidRPr="007246A9">
        <w:rPr>
          <w:rFonts w:ascii="Arial" w:hAnsi="Arial" w:cs="Arial"/>
          <w:sz w:val="18"/>
          <w:szCs w:val="18"/>
          <w:lang w:val="el-GR"/>
        </w:rPr>
        <w:t>ratio</w:t>
      </w:r>
      <w:proofErr w:type="spellEnd"/>
      <w:r w:rsidR="005E53BC" w:rsidRPr="007246A9">
        <w:rPr>
          <w:rFonts w:ascii="Arial" w:hAnsi="Arial" w:cs="Arial"/>
          <w:sz w:val="18"/>
          <w:szCs w:val="18"/>
          <w:lang w:val="el-GR"/>
        </w:rPr>
        <w:t>’) της εγκεκριμένης πολιτικής διανομής του Συγκροτήματος</w:t>
      </w:r>
      <w:r w:rsidR="00590687" w:rsidRPr="007246A9">
        <w:rPr>
          <w:rFonts w:ascii="Arial" w:hAnsi="Arial" w:cs="Arial"/>
          <w:sz w:val="18"/>
          <w:szCs w:val="18"/>
          <w:lang w:val="el-GR"/>
        </w:rPr>
        <w:t xml:space="preserve">, </w:t>
      </w:r>
      <w:r w:rsidR="00FC7B3F" w:rsidRPr="007246A9">
        <w:rPr>
          <w:rFonts w:ascii="Arial" w:hAnsi="Arial" w:cs="Arial"/>
          <w:sz w:val="18"/>
          <w:szCs w:val="18"/>
          <w:lang w:val="el-GR"/>
        </w:rPr>
        <w:t>σύμφωνα με τις αρχές του κατ’ εξουσιοδότηση Κανονισμού της (ΕΕ) αριθ. 241/2014</w:t>
      </w:r>
      <w:r w:rsidR="00590687" w:rsidRPr="007246A9">
        <w:rPr>
          <w:rFonts w:ascii="Arial" w:hAnsi="Arial" w:cs="Arial"/>
          <w:sz w:val="18"/>
          <w:szCs w:val="18"/>
          <w:lang w:val="el-GR"/>
        </w:rPr>
        <w:t xml:space="preserve"> (οι δείκτες αυτοί αναφέρονται ως εποπτικοί</w:t>
      </w:r>
      <w:r w:rsidR="00EB1D23" w:rsidRPr="007246A9">
        <w:rPr>
          <w:rFonts w:ascii="Arial" w:hAnsi="Arial" w:cs="Arial"/>
          <w:sz w:val="18"/>
          <w:szCs w:val="18"/>
          <w:lang w:val="el-GR"/>
        </w:rPr>
        <w:t xml:space="preserve"> και δεν περιλαμβάνουν την κερδοφορία του γ’ τριμήνου 2024</w:t>
      </w:r>
      <w:r w:rsidR="00590687" w:rsidRPr="007246A9">
        <w:rPr>
          <w:rFonts w:ascii="Arial" w:hAnsi="Arial" w:cs="Arial"/>
          <w:sz w:val="18"/>
          <w:szCs w:val="18"/>
          <w:lang w:val="el-GR"/>
        </w:rPr>
        <w:t>).</w:t>
      </w:r>
      <w:r w:rsidR="00161C7D" w:rsidRPr="007246A9">
        <w:rPr>
          <w:rFonts w:ascii="Arial" w:hAnsi="Arial" w:cs="Arial"/>
          <w:sz w:val="18"/>
          <w:szCs w:val="18"/>
          <w:lang w:val="el-GR"/>
        </w:rPr>
        <w:t xml:space="preserve"> </w:t>
      </w:r>
      <w:bookmarkStart w:id="8" w:name="_Hlk134961273"/>
      <w:r w:rsidR="00FE6150" w:rsidRPr="007246A9">
        <w:rPr>
          <w:rFonts w:ascii="Arial" w:hAnsi="Arial" w:cs="Arial"/>
          <w:sz w:val="18"/>
          <w:szCs w:val="18"/>
          <w:lang w:val="el-GR"/>
        </w:rPr>
        <w:t>Η πρόβλεψη για διανομή από τα κέρδη του 2024</w:t>
      </w:r>
      <w:r w:rsidR="005D7DF8">
        <w:rPr>
          <w:rFonts w:ascii="Arial" w:hAnsi="Arial" w:cs="Arial"/>
          <w:sz w:val="18"/>
          <w:szCs w:val="18"/>
          <w:lang w:val="el-GR"/>
        </w:rPr>
        <w:t xml:space="preserve"> στους δείκτες κεφαλαίων </w:t>
      </w:r>
      <w:r w:rsidR="00FE6150" w:rsidRPr="007246A9">
        <w:rPr>
          <w:rFonts w:ascii="Arial" w:hAnsi="Arial" w:cs="Arial"/>
          <w:sz w:val="18"/>
          <w:szCs w:val="18"/>
          <w:lang w:val="el-GR"/>
        </w:rPr>
        <w:t xml:space="preserve">δεν αποτελεί </w:t>
      </w:r>
      <w:r w:rsidR="00FE6150" w:rsidRPr="005D7DF8">
        <w:rPr>
          <w:rFonts w:ascii="Arial" w:hAnsi="Arial" w:cs="Arial"/>
          <w:color w:val="000000" w:themeColor="text1"/>
          <w:sz w:val="18"/>
          <w:szCs w:val="18"/>
          <w:lang w:val="el-GR"/>
        </w:rPr>
        <w:t xml:space="preserve">δέσμευση για </w:t>
      </w:r>
      <w:r w:rsidR="00363FE1" w:rsidRPr="005D7DF8">
        <w:rPr>
          <w:rFonts w:ascii="Arial" w:hAnsi="Arial" w:cs="Arial"/>
          <w:color w:val="000000" w:themeColor="text1"/>
          <w:sz w:val="18"/>
          <w:szCs w:val="18"/>
          <w:lang w:val="el-GR"/>
        </w:rPr>
        <w:t xml:space="preserve">καταβολή </w:t>
      </w:r>
      <w:r w:rsidR="00FE6150" w:rsidRPr="005D7DF8">
        <w:rPr>
          <w:rFonts w:ascii="Arial" w:hAnsi="Arial" w:cs="Arial"/>
          <w:color w:val="000000" w:themeColor="text1"/>
          <w:sz w:val="18"/>
          <w:szCs w:val="18"/>
          <w:lang w:val="el-GR"/>
        </w:rPr>
        <w:t>διανομής</w:t>
      </w:r>
      <w:r w:rsidR="005D7DF8" w:rsidRPr="005D7DF8">
        <w:rPr>
          <w:rFonts w:ascii="Arial" w:hAnsi="Arial" w:cs="Arial"/>
          <w:color w:val="000000" w:themeColor="text1"/>
          <w:sz w:val="18"/>
          <w:szCs w:val="18"/>
          <w:lang w:val="el-GR"/>
        </w:rPr>
        <w:t xml:space="preserve"> οποιουδήποτε ποσού</w:t>
      </w:r>
      <w:r w:rsidR="00FE6150" w:rsidRPr="005D7DF8">
        <w:rPr>
          <w:rFonts w:ascii="Arial" w:hAnsi="Arial" w:cs="Arial"/>
          <w:color w:val="000000" w:themeColor="text1"/>
          <w:sz w:val="18"/>
          <w:szCs w:val="18"/>
          <w:lang w:val="el-GR"/>
        </w:rPr>
        <w:t xml:space="preserve"> ούτε αποτελεί εγγύηση ή διαβεβαίωση ότι θα γίνει </w:t>
      </w:r>
      <w:r w:rsidR="005C0D66" w:rsidRPr="005D7DF8">
        <w:rPr>
          <w:rFonts w:ascii="Arial" w:hAnsi="Arial" w:cs="Arial"/>
          <w:color w:val="000000" w:themeColor="text1"/>
          <w:sz w:val="18"/>
          <w:szCs w:val="18"/>
          <w:lang w:val="el-GR"/>
        </w:rPr>
        <w:t xml:space="preserve">καταβολή </w:t>
      </w:r>
      <w:r w:rsidR="00FE6150" w:rsidRPr="005D7DF8">
        <w:rPr>
          <w:rFonts w:ascii="Arial" w:hAnsi="Arial" w:cs="Arial"/>
          <w:color w:val="000000" w:themeColor="text1"/>
          <w:sz w:val="18"/>
          <w:szCs w:val="18"/>
          <w:lang w:val="el-GR"/>
        </w:rPr>
        <w:t>διανομής.</w:t>
      </w:r>
      <w:r w:rsidR="005D7DF8" w:rsidRPr="005D7DF8">
        <w:rPr>
          <w:rFonts w:ascii="Arial" w:hAnsi="Arial" w:cs="Arial"/>
          <w:color w:val="000000" w:themeColor="text1"/>
          <w:sz w:val="18"/>
          <w:szCs w:val="18"/>
          <w:lang w:val="el-GR"/>
        </w:rPr>
        <w:t xml:space="preserve"> </w:t>
      </w:r>
      <w:r w:rsidR="00400901" w:rsidRPr="005D7DF8">
        <w:rPr>
          <w:rFonts w:ascii="Arial" w:hAnsi="Arial" w:cs="Arial"/>
          <w:color w:val="000000" w:themeColor="text1"/>
          <w:sz w:val="18"/>
          <w:szCs w:val="18"/>
          <w:lang w:val="el-GR"/>
        </w:rPr>
        <w:t>Συμπεριλαμβάνοντας τα κέρδη για το γ’ τρίμηνο 2024 ύψους</w:t>
      </w:r>
      <w:r w:rsidR="00FB6879" w:rsidRPr="005D7DF8">
        <w:rPr>
          <w:rFonts w:ascii="Arial" w:hAnsi="Arial" w:cs="Arial"/>
          <w:color w:val="000000" w:themeColor="text1"/>
          <w:sz w:val="18"/>
          <w:szCs w:val="18"/>
          <w:lang w:val="el-GR"/>
        </w:rPr>
        <w:t xml:space="preserve"> </w:t>
      </w:r>
      <w:r w:rsidR="005D7DF8" w:rsidRPr="005D7DF8">
        <w:rPr>
          <w:rFonts w:ascii="Arial" w:hAnsi="Arial" w:cs="Arial"/>
          <w:color w:val="000000" w:themeColor="text1"/>
          <w:sz w:val="18"/>
          <w:szCs w:val="18"/>
          <w:lang w:val="el-GR"/>
        </w:rPr>
        <w:t>123</w:t>
      </w:r>
      <w:r w:rsidR="00400901" w:rsidRPr="005D7DF8">
        <w:rPr>
          <w:rFonts w:ascii="Arial" w:hAnsi="Arial" w:cs="Arial"/>
          <w:color w:val="000000" w:themeColor="text1"/>
          <w:sz w:val="18"/>
          <w:szCs w:val="18"/>
          <w:lang w:val="el-GR"/>
        </w:rPr>
        <w:t xml:space="preserve"> </w:t>
      </w:r>
      <w:proofErr w:type="spellStart"/>
      <w:r w:rsidR="00400901" w:rsidRPr="005D7DF8">
        <w:rPr>
          <w:rFonts w:ascii="Arial" w:hAnsi="Arial" w:cs="Arial"/>
          <w:color w:val="000000" w:themeColor="text1"/>
          <w:sz w:val="18"/>
          <w:szCs w:val="18"/>
          <w:lang w:val="el-GR"/>
        </w:rPr>
        <w:t>μ.β</w:t>
      </w:r>
      <w:proofErr w:type="spellEnd"/>
      <w:r w:rsidR="00400901" w:rsidRPr="005D7DF8">
        <w:rPr>
          <w:rFonts w:ascii="Arial" w:hAnsi="Arial" w:cs="Arial"/>
          <w:color w:val="000000" w:themeColor="text1"/>
          <w:sz w:val="18"/>
          <w:szCs w:val="18"/>
          <w:lang w:val="el-GR"/>
        </w:rPr>
        <w:t>., μειωμένα για σχετική πρόβλεψη για διανομή στο υψηλότερο ποσοστό (‘</w:t>
      </w:r>
      <w:proofErr w:type="spellStart"/>
      <w:r w:rsidR="00400901" w:rsidRPr="005D7DF8">
        <w:rPr>
          <w:rFonts w:ascii="Arial" w:hAnsi="Arial" w:cs="Arial"/>
          <w:color w:val="000000" w:themeColor="text1"/>
          <w:sz w:val="18"/>
          <w:szCs w:val="18"/>
          <w:lang w:val="el-GR"/>
        </w:rPr>
        <w:t>payout</w:t>
      </w:r>
      <w:proofErr w:type="spellEnd"/>
      <w:r w:rsidR="00400901" w:rsidRPr="005D7DF8">
        <w:rPr>
          <w:rFonts w:ascii="Arial" w:hAnsi="Arial" w:cs="Arial"/>
          <w:color w:val="000000" w:themeColor="text1"/>
          <w:sz w:val="18"/>
          <w:szCs w:val="18"/>
          <w:lang w:val="el-GR"/>
        </w:rPr>
        <w:t xml:space="preserve"> </w:t>
      </w:r>
      <w:proofErr w:type="spellStart"/>
      <w:r w:rsidR="00400901" w:rsidRPr="005D7DF8">
        <w:rPr>
          <w:rFonts w:ascii="Arial" w:hAnsi="Arial" w:cs="Arial"/>
          <w:color w:val="000000" w:themeColor="text1"/>
          <w:sz w:val="18"/>
          <w:szCs w:val="18"/>
          <w:lang w:val="el-GR"/>
        </w:rPr>
        <w:t>ratio</w:t>
      </w:r>
      <w:proofErr w:type="spellEnd"/>
      <w:r w:rsidR="00400901" w:rsidRPr="005D7DF8">
        <w:rPr>
          <w:rFonts w:ascii="Arial" w:hAnsi="Arial" w:cs="Arial"/>
          <w:color w:val="000000" w:themeColor="text1"/>
          <w:sz w:val="18"/>
          <w:szCs w:val="18"/>
          <w:lang w:val="el-GR"/>
        </w:rPr>
        <w:t xml:space="preserve">’) της εγκεκριμένης πολιτικής διανομής του Συγκροτήματος ύψους περίπου </w:t>
      </w:r>
      <w:r w:rsidR="005D7DF8" w:rsidRPr="005D7DF8">
        <w:rPr>
          <w:rFonts w:ascii="Arial" w:hAnsi="Arial" w:cs="Arial"/>
          <w:color w:val="000000" w:themeColor="text1"/>
          <w:sz w:val="18"/>
          <w:szCs w:val="18"/>
          <w:lang w:val="el-GR"/>
        </w:rPr>
        <w:t>70</w:t>
      </w:r>
      <w:r w:rsidR="00400901" w:rsidRPr="005D7DF8">
        <w:rPr>
          <w:rFonts w:ascii="Arial" w:hAnsi="Arial" w:cs="Arial"/>
          <w:color w:val="000000" w:themeColor="text1"/>
          <w:sz w:val="18"/>
          <w:szCs w:val="18"/>
          <w:lang w:val="el-GR"/>
        </w:rPr>
        <w:t xml:space="preserve"> </w:t>
      </w:r>
      <w:proofErr w:type="spellStart"/>
      <w:r w:rsidR="00400901" w:rsidRPr="005D7DF8">
        <w:rPr>
          <w:rFonts w:ascii="Arial" w:hAnsi="Arial" w:cs="Arial"/>
          <w:color w:val="000000" w:themeColor="text1"/>
          <w:sz w:val="18"/>
          <w:szCs w:val="18"/>
          <w:lang w:val="el-GR"/>
        </w:rPr>
        <w:t>μ.β</w:t>
      </w:r>
      <w:proofErr w:type="spellEnd"/>
      <w:r w:rsidR="00400901" w:rsidRPr="005D7DF8">
        <w:rPr>
          <w:rFonts w:ascii="Arial" w:hAnsi="Arial" w:cs="Arial"/>
          <w:color w:val="000000" w:themeColor="text1"/>
          <w:sz w:val="18"/>
          <w:szCs w:val="18"/>
          <w:lang w:val="el-GR"/>
        </w:rPr>
        <w:t xml:space="preserve">., ο δείκτης Κεφαλαίου Κοινών Μετοχών Κατηγορίας 1 (CET1) με μεταβατικές διατάξεις (συμπεριλαμβάνοντας τα αδιανέμητα κέρδη) αυξάνεται σε </w:t>
      </w:r>
      <w:r w:rsidR="00147CF4" w:rsidRPr="005D7DF8">
        <w:rPr>
          <w:rFonts w:ascii="Arial" w:hAnsi="Arial" w:cs="Arial"/>
          <w:color w:val="000000" w:themeColor="text1"/>
          <w:sz w:val="18"/>
          <w:szCs w:val="18"/>
          <w:lang w:val="el-GR"/>
        </w:rPr>
        <w:t>19</w:t>
      </w:r>
      <w:r w:rsidR="00400901" w:rsidRPr="005D7DF8">
        <w:rPr>
          <w:rFonts w:ascii="Arial" w:hAnsi="Arial" w:cs="Arial"/>
          <w:color w:val="000000" w:themeColor="text1"/>
          <w:sz w:val="18"/>
          <w:szCs w:val="18"/>
          <w:lang w:val="el-GR"/>
        </w:rPr>
        <w:t>.</w:t>
      </w:r>
      <w:r w:rsidR="00147CF4" w:rsidRPr="005D7DF8">
        <w:rPr>
          <w:rFonts w:ascii="Arial" w:hAnsi="Arial" w:cs="Arial"/>
          <w:color w:val="000000" w:themeColor="text1"/>
          <w:sz w:val="18"/>
          <w:szCs w:val="18"/>
          <w:lang w:val="el-GR"/>
        </w:rPr>
        <w:t>1</w:t>
      </w:r>
      <w:r w:rsidR="00400901" w:rsidRPr="005D7DF8">
        <w:rPr>
          <w:rFonts w:ascii="Arial" w:hAnsi="Arial" w:cs="Arial"/>
          <w:color w:val="000000" w:themeColor="text1"/>
          <w:sz w:val="18"/>
          <w:szCs w:val="18"/>
          <w:lang w:val="el-GR"/>
        </w:rPr>
        <w:t xml:space="preserve">% στις 30 Σεπτεμβρίου 2024. </w:t>
      </w:r>
      <w:r w:rsidR="001000B3" w:rsidRPr="005D7DF8">
        <w:rPr>
          <w:rFonts w:ascii="Arial" w:hAnsi="Arial" w:cs="Arial"/>
          <w:color w:val="000000" w:themeColor="text1"/>
          <w:sz w:val="18"/>
          <w:szCs w:val="18"/>
          <w:lang w:val="el-GR"/>
        </w:rPr>
        <w:t xml:space="preserve">Από τον Σεπτέμβριο 2023, </w:t>
      </w:r>
      <w:r w:rsidR="008337B4" w:rsidRPr="005D7DF8">
        <w:rPr>
          <w:rFonts w:ascii="Arial" w:hAnsi="Arial" w:cs="Arial"/>
          <w:color w:val="000000" w:themeColor="text1"/>
          <w:sz w:val="18"/>
          <w:szCs w:val="18"/>
          <w:lang w:val="el-GR"/>
        </w:rPr>
        <w:t xml:space="preserve">εποπτική </w:t>
      </w:r>
      <w:r w:rsidR="00DD6416" w:rsidRPr="005D7DF8">
        <w:rPr>
          <w:rFonts w:ascii="Arial" w:hAnsi="Arial" w:cs="Arial"/>
          <w:color w:val="000000" w:themeColor="text1"/>
          <w:sz w:val="18"/>
          <w:szCs w:val="18"/>
          <w:lang w:val="el-GR"/>
        </w:rPr>
        <w:t>επιβάρυνση</w:t>
      </w:r>
      <w:r w:rsidR="001000B3" w:rsidRPr="005D7DF8">
        <w:rPr>
          <w:rFonts w:ascii="Arial" w:hAnsi="Arial" w:cs="Arial"/>
          <w:color w:val="000000" w:themeColor="text1"/>
          <w:sz w:val="18"/>
          <w:szCs w:val="18"/>
          <w:lang w:val="el-GR"/>
        </w:rPr>
        <w:t xml:space="preserve"> </w:t>
      </w:r>
      <w:r w:rsidR="00DD6416" w:rsidRPr="005D7DF8">
        <w:rPr>
          <w:rFonts w:ascii="Arial" w:hAnsi="Arial" w:cs="Arial"/>
          <w:color w:val="000000" w:themeColor="text1"/>
          <w:sz w:val="18"/>
          <w:szCs w:val="18"/>
          <w:lang w:val="el-GR"/>
        </w:rPr>
        <w:t>αφαιρείται από τα ίδια κεφάλαια και αφορά τις προληπτικές προβλέψεις της ΕΚΤ για τα Μη Εξυπηρετούμενα Δάνεια</w:t>
      </w:r>
      <w:r w:rsidR="001000B3" w:rsidRPr="005D7DF8">
        <w:rPr>
          <w:rFonts w:ascii="Arial" w:hAnsi="Arial" w:cs="Arial"/>
          <w:color w:val="000000" w:themeColor="text1"/>
          <w:sz w:val="18"/>
          <w:szCs w:val="18"/>
          <w:lang w:val="el-GR"/>
        </w:rPr>
        <w:t>, η οποία ανήλθε σε</w:t>
      </w:r>
      <w:r w:rsidR="00B2282B" w:rsidRPr="005D7DF8">
        <w:rPr>
          <w:rFonts w:ascii="Arial" w:hAnsi="Arial" w:cs="Arial"/>
          <w:color w:val="000000" w:themeColor="text1"/>
          <w:sz w:val="18"/>
          <w:szCs w:val="18"/>
          <w:lang w:val="el-GR"/>
        </w:rPr>
        <w:t xml:space="preserve"> </w:t>
      </w:r>
      <w:r w:rsidR="005D7DF8" w:rsidRPr="005D7DF8">
        <w:rPr>
          <w:rFonts w:ascii="Arial" w:hAnsi="Arial" w:cs="Arial"/>
          <w:color w:val="000000" w:themeColor="text1"/>
          <w:sz w:val="18"/>
          <w:szCs w:val="18"/>
          <w:lang w:val="el-GR"/>
        </w:rPr>
        <w:t>27</w:t>
      </w:r>
      <w:r w:rsidR="00400901" w:rsidRPr="005D7DF8">
        <w:rPr>
          <w:rFonts w:ascii="Arial" w:hAnsi="Arial" w:cs="Arial"/>
          <w:color w:val="000000" w:themeColor="text1"/>
          <w:sz w:val="18"/>
          <w:szCs w:val="18"/>
          <w:lang w:val="el-GR"/>
        </w:rPr>
        <w:t xml:space="preserve"> </w:t>
      </w:r>
      <w:proofErr w:type="spellStart"/>
      <w:r w:rsidR="00B2282B" w:rsidRPr="007246A9">
        <w:rPr>
          <w:rFonts w:ascii="Arial" w:hAnsi="Arial" w:cs="Arial"/>
          <w:sz w:val="18"/>
          <w:szCs w:val="18"/>
          <w:lang w:val="el-GR"/>
        </w:rPr>
        <w:t>μ.β</w:t>
      </w:r>
      <w:proofErr w:type="spellEnd"/>
      <w:r w:rsidR="000537EC" w:rsidRPr="007246A9">
        <w:rPr>
          <w:rFonts w:ascii="Arial" w:hAnsi="Arial" w:cs="Arial"/>
          <w:sz w:val="18"/>
          <w:szCs w:val="18"/>
          <w:lang w:val="el-GR"/>
        </w:rPr>
        <w:t>.</w:t>
      </w:r>
      <w:r w:rsidR="00B2282B" w:rsidRPr="007246A9">
        <w:rPr>
          <w:rFonts w:ascii="Arial" w:hAnsi="Arial" w:cs="Arial"/>
          <w:sz w:val="18"/>
          <w:szCs w:val="18"/>
          <w:lang w:val="el-GR"/>
        </w:rPr>
        <w:t xml:space="preserve"> στις 30 </w:t>
      </w:r>
      <w:r w:rsidR="00400901" w:rsidRPr="00400901">
        <w:rPr>
          <w:rFonts w:ascii="Arial" w:hAnsi="Arial" w:cs="Arial"/>
          <w:sz w:val="18"/>
          <w:szCs w:val="18"/>
          <w:lang w:val="el-GR"/>
        </w:rPr>
        <w:t xml:space="preserve">Σεπτεμβρίου </w:t>
      </w:r>
      <w:r w:rsidR="00B2282B" w:rsidRPr="007246A9">
        <w:rPr>
          <w:rFonts w:ascii="Arial" w:hAnsi="Arial" w:cs="Arial"/>
          <w:sz w:val="18"/>
          <w:szCs w:val="18"/>
          <w:lang w:val="el-GR"/>
        </w:rPr>
        <w:t>2024, σε σύγκριση με</w:t>
      </w:r>
      <w:r w:rsidR="001000B3" w:rsidRPr="007246A9">
        <w:rPr>
          <w:rFonts w:ascii="Arial" w:hAnsi="Arial" w:cs="Arial"/>
          <w:sz w:val="18"/>
          <w:szCs w:val="18"/>
          <w:lang w:val="el-GR"/>
        </w:rPr>
        <w:t xml:space="preserve"> </w:t>
      </w:r>
      <w:r w:rsidR="00400901" w:rsidRPr="007246A9">
        <w:rPr>
          <w:rFonts w:ascii="Arial" w:hAnsi="Arial" w:cs="Arial"/>
          <w:sz w:val="18"/>
          <w:szCs w:val="18"/>
          <w:lang w:val="el-GR"/>
        </w:rPr>
        <w:t xml:space="preserve">26 </w:t>
      </w:r>
      <w:proofErr w:type="spellStart"/>
      <w:r w:rsidR="001000B3" w:rsidRPr="007246A9">
        <w:rPr>
          <w:rFonts w:ascii="Arial" w:hAnsi="Arial" w:cs="Arial"/>
          <w:sz w:val="18"/>
          <w:szCs w:val="18"/>
          <w:lang w:val="el-GR"/>
        </w:rPr>
        <w:t>μ.β</w:t>
      </w:r>
      <w:proofErr w:type="spellEnd"/>
      <w:r w:rsidR="001000B3" w:rsidRPr="007246A9">
        <w:rPr>
          <w:rFonts w:ascii="Arial" w:hAnsi="Arial" w:cs="Arial"/>
          <w:sz w:val="18"/>
          <w:szCs w:val="18"/>
          <w:lang w:val="el-GR"/>
        </w:rPr>
        <w:t xml:space="preserve">. στις </w:t>
      </w:r>
      <w:r w:rsidR="00400901" w:rsidRPr="007246A9">
        <w:rPr>
          <w:rFonts w:ascii="Arial" w:hAnsi="Arial" w:cs="Arial"/>
          <w:sz w:val="18"/>
          <w:szCs w:val="18"/>
          <w:lang w:val="el-GR"/>
        </w:rPr>
        <w:t xml:space="preserve">30 Ιουνίου </w:t>
      </w:r>
      <w:r w:rsidR="001000B3" w:rsidRPr="007246A9">
        <w:rPr>
          <w:rFonts w:ascii="Arial" w:hAnsi="Arial" w:cs="Arial"/>
          <w:sz w:val="18"/>
          <w:szCs w:val="18"/>
          <w:lang w:val="el-GR"/>
        </w:rPr>
        <w:t>2024</w:t>
      </w:r>
      <w:r w:rsidR="00B2282B" w:rsidRPr="007246A9">
        <w:rPr>
          <w:rFonts w:ascii="Arial" w:hAnsi="Arial" w:cs="Arial"/>
          <w:sz w:val="18"/>
          <w:szCs w:val="18"/>
          <w:lang w:val="el-GR"/>
        </w:rPr>
        <w:t xml:space="preserve"> και</w:t>
      </w:r>
      <w:r w:rsidR="00400901" w:rsidRPr="007246A9">
        <w:rPr>
          <w:rFonts w:ascii="Arial" w:hAnsi="Arial" w:cs="Arial"/>
          <w:sz w:val="18"/>
          <w:szCs w:val="18"/>
          <w:lang w:val="el-GR"/>
        </w:rPr>
        <w:t xml:space="preserve"> με 32 </w:t>
      </w:r>
      <w:proofErr w:type="spellStart"/>
      <w:r w:rsidR="00400901" w:rsidRPr="007246A9">
        <w:rPr>
          <w:rFonts w:ascii="Arial" w:hAnsi="Arial" w:cs="Arial"/>
          <w:sz w:val="18"/>
          <w:szCs w:val="18"/>
          <w:lang w:val="el-GR"/>
        </w:rPr>
        <w:t>μ.β</w:t>
      </w:r>
      <w:proofErr w:type="spellEnd"/>
      <w:r w:rsidR="00400901" w:rsidRPr="007246A9">
        <w:rPr>
          <w:rFonts w:ascii="Arial" w:hAnsi="Arial" w:cs="Arial"/>
          <w:sz w:val="18"/>
          <w:szCs w:val="18"/>
          <w:lang w:val="el-GR"/>
        </w:rPr>
        <w:t xml:space="preserve">. στις </w:t>
      </w:r>
      <w:r w:rsidR="00B2282B" w:rsidRPr="007246A9">
        <w:rPr>
          <w:rFonts w:ascii="Arial" w:hAnsi="Arial" w:cs="Arial"/>
          <w:sz w:val="18"/>
          <w:szCs w:val="18"/>
          <w:lang w:val="el-GR"/>
        </w:rPr>
        <w:t>31 Δεκεμβρίου 2023.</w:t>
      </w:r>
      <w:r w:rsidR="001000B3" w:rsidRPr="007246A9">
        <w:rPr>
          <w:rFonts w:ascii="Arial" w:hAnsi="Arial" w:cs="Arial"/>
          <w:sz w:val="18"/>
          <w:szCs w:val="18"/>
          <w:lang w:val="el-GR"/>
        </w:rPr>
        <w:t xml:space="preserve"> </w:t>
      </w:r>
      <w:r w:rsidR="00DE4728" w:rsidRPr="007246A9">
        <w:rPr>
          <w:rFonts w:ascii="Arial" w:hAnsi="Arial" w:cs="Arial"/>
          <w:sz w:val="18"/>
          <w:szCs w:val="18"/>
          <w:lang w:val="el-GR"/>
        </w:rPr>
        <w:t>Εποπτική επιβάρυνση, σε σχέση με</w:t>
      </w:r>
      <w:r w:rsidR="001000B3" w:rsidRPr="007246A9">
        <w:rPr>
          <w:rFonts w:ascii="Arial" w:hAnsi="Arial" w:cs="Arial"/>
          <w:sz w:val="18"/>
          <w:szCs w:val="18"/>
          <w:lang w:val="el-GR"/>
        </w:rPr>
        <w:t xml:space="preserve"> μια</w:t>
      </w:r>
      <w:r w:rsidR="00DE4728" w:rsidRPr="007246A9">
        <w:rPr>
          <w:rFonts w:ascii="Arial" w:hAnsi="Arial" w:cs="Arial"/>
          <w:sz w:val="18"/>
          <w:szCs w:val="18"/>
          <w:lang w:val="el-GR"/>
        </w:rPr>
        <w:t xml:space="preserve"> επιτόπια επιθεώρηση που αφορά την αξία των περιουσιακών στοιχείων που περιέρχονται στην κυριότητα του Συγκροτήματος μέσω εκποιήσεων, αφαιρείται από τα ίδια κεφάλαια από τον Ιούνιο 2021, η επίδραση της οποίας </w:t>
      </w:r>
      <w:r w:rsidR="00B5190E" w:rsidRPr="007246A9">
        <w:rPr>
          <w:rFonts w:ascii="Arial" w:hAnsi="Arial" w:cs="Arial"/>
          <w:sz w:val="18"/>
          <w:szCs w:val="18"/>
          <w:lang w:val="el-GR"/>
        </w:rPr>
        <w:t>ανήλθε</w:t>
      </w:r>
      <w:r w:rsidR="00B5190E" w:rsidRPr="005D7DF8">
        <w:rPr>
          <w:rFonts w:ascii="Arial" w:hAnsi="Arial" w:cs="Arial"/>
          <w:color w:val="000000" w:themeColor="text1"/>
          <w:sz w:val="18"/>
          <w:szCs w:val="18"/>
          <w:lang w:val="el-GR"/>
        </w:rPr>
        <w:t xml:space="preserve"> </w:t>
      </w:r>
      <w:r w:rsidR="00DE4728" w:rsidRPr="005D7DF8">
        <w:rPr>
          <w:rFonts w:ascii="Arial" w:hAnsi="Arial" w:cs="Arial"/>
          <w:color w:val="000000" w:themeColor="text1"/>
          <w:sz w:val="18"/>
          <w:szCs w:val="18"/>
          <w:lang w:val="el-GR"/>
        </w:rPr>
        <w:t xml:space="preserve">σε </w:t>
      </w:r>
      <w:r w:rsidR="005D7DF8" w:rsidRPr="005D7DF8">
        <w:rPr>
          <w:rFonts w:ascii="Arial" w:hAnsi="Arial" w:cs="Arial"/>
          <w:color w:val="000000" w:themeColor="text1"/>
          <w:sz w:val="18"/>
          <w:szCs w:val="18"/>
          <w:lang w:val="el-GR"/>
        </w:rPr>
        <w:t>3</w:t>
      </w:r>
      <w:r w:rsidR="00400901" w:rsidRPr="005D7DF8">
        <w:rPr>
          <w:rFonts w:ascii="Arial" w:hAnsi="Arial" w:cs="Arial"/>
          <w:color w:val="000000" w:themeColor="text1"/>
          <w:sz w:val="18"/>
          <w:szCs w:val="18"/>
          <w:lang w:val="el-GR"/>
        </w:rPr>
        <w:t xml:space="preserve"> </w:t>
      </w:r>
      <w:proofErr w:type="spellStart"/>
      <w:r w:rsidR="00DE4728" w:rsidRPr="005D7DF8">
        <w:rPr>
          <w:rFonts w:ascii="Arial" w:hAnsi="Arial" w:cs="Arial"/>
          <w:color w:val="000000" w:themeColor="text1"/>
          <w:sz w:val="18"/>
          <w:szCs w:val="18"/>
          <w:lang w:val="el-GR"/>
        </w:rPr>
        <w:t>μ.</w:t>
      </w:r>
      <w:r w:rsidR="00DE4728" w:rsidRPr="007246A9">
        <w:rPr>
          <w:rFonts w:ascii="Arial" w:hAnsi="Arial" w:cs="Arial"/>
          <w:sz w:val="18"/>
          <w:szCs w:val="18"/>
          <w:lang w:val="el-GR"/>
        </w:rPr>
        <w:t>β</w:t>
      </w:r>
      <w:proofErr w:type="spellEnd"/>
      <w:r w:rsidR="00DE4728" w:rsidRPr="007246A9">
        <w:rPr>
          <w:rFonts w:ascii="Arial" w:hAnsi="Arial" w:cs="Arial"/>
          <w:sz w:val="18"/>
          <w:szCs w:val="18"/>
          <w:lang w:val="el-GR"/>
        </w:rPr>
        <w:t xml:space="preserve">. στον δείκτη Κεφαλαίου Κοινών Μετοχών Κατηγορίας 1 (CET1) του Συγκροτήματος στις </w:t>
      </w:r>
      <w:r w:rsidR="00B2282B" w:rsidRPr="007246A9">
        <w:rPr>
          <w:rFonts w:ascii="Arial" w:hAnsi="Arial" w:cs="Arial"/>
          <w:sz w:val="18"/>
          <w:szCs w:val="18"/>
          <w:lang w:val="el-GR"/>
        </w:rPr>
        <w:t xml:space="preserve">30 </w:t>
      </w:r>
      <w:r w:rsidR="00400901" w:rsidRPr="007246A9">
        <w:rPr>
          <w:rFonts w:ascii="Arial" w:hAnsi="Arial" w:cs="Arial"/>
          <w:sz w:val="18"/>
          <w:szCs w:val="18"/>
          <w:lang w:val="el-GR"/>
        </w:rPr>
        <w:t xml:space="preserve">Σεπτεμβρίου </w:t>
      </w:r>
      <w:r w:rsidR="00DD6416" w:rsidRPr="007246A9">
        <w:rPr>
          <w:rFonts w:ascii="Arial" w:hAnsi="Arial" w:cs="Arial"/>
          <w:sz w:val="18"/>
          <w:szCs w:val="18"/>
          <w:lang w:val="el-GR"/>
        </w:rPr>
        <w:t>2024</w:t>
      </w:r>
      <w:r w:rsidR="001000B3" w:rsidRPr="007246A9">
        <w:rPr>
          <w:rFonts w:ascii="Arial" w:hAnsi="Arial" w:cs="Arial"/>
          <w:sz w:val="18"/>
          <w:szCs w:val="18"/>
          <w:lang w:val="el-GR"/>
        </w:rPr>
        <w:t xml:space="preserve"> (σε σύγκριση με</w:t>
      </w:r>
      <w:r w:rsidR="00B2282B" w:rsidRPr="007246A9">
        <w:rPr>
          <w:rFonts w:ascii="Arial" w:hAnsi="Arial" w:cs="Arial"/>
          <w:sz w:val="18"/>
          <w:szCs w:val="18"/>
          <w:lang w:val="el-GR"/>
        </w:rPr>
        <w:t xml:space="preserve"> </w:t>
      </w:r>
      <w:r w:rsidR="00400901" w:rsidRPr="007246A9">
        <w:rPr>
          <w:rFonts w:ascii="Arial" w:hAnsi="Arial" w:cs="Arial"/>
          <w:sz w:val="18"/>
          <w:szCs w:val="18"/>
          <w:lang w:val="el-GR"/>
        </w:rPr>
        <w:t xml:space="preserve">7 </w:t>
      </w:r>
      <w:proofErr w:type="spellStart"/>
      <w:r w:rsidR="00B2282B" w:rsidRPr="007246A9">
        <w:rPr>
          <w:rFonts w:ascii="Arial" w:hAnsi="Arial" w:cs="Arial"/>
          <w:sz w:val="18"/>
          <w:szCs w:val="18"/>
          <w:lang w:val="el-GR"/>
        </w:rPr>
        <w:t>μ.β</w:t>
      </w:r>
      <w:proofErr w:type="spellEnd"/>
      <w:r w:rsidR="00B2282B" w:rsidRPr="007246A9">
        <w:rPr>
          <w:rFonts w:ascii="Arial" w:hAnsi="Arial" w:cs="Arial"/>
          <w:sz w:val="18"/>
          <w:szCs w:val="18"/>
          <w:lang w:val="el-GR"/>
        </w:rPr>
        <w:t xml:space="preserve">. στον δείκτη Κεφαλαίου Κοινών Μετοχών Κατηγορίας 1 (CET1) στις </w:t>
      </w:r>
      <w:r w:rsidR="00400901" w:rsidRPr="007246A9">
        <w:rPr>
          <w:rFonts w:ascii="Arial" w:hAnsi="Arial" w:cs="Arial"/>
          <w:sz w:val="18"/>
          <w:szCs w:val="18"/>
          <w:lang w:val="el-GR"/>
        </w:rPr>
        <w:t xml:space="preserve">30 Ιουνίου </w:t>
      </w:r>
      <w:r w:rsidR="00B2282B" w:rsidRPr="007246A9">
        <w:rPr>
          <w:rFonts w:ascii="Arial" w:hAnsi="Arial" w:cs="Arial"/>
          <w:sz w:val="18"/>
          <w:szCs w:val="18"/>
          <w:lang w:val="el-GR"/>
        </w:rPr>
        <w:t>2024 και με</w:t>
      </w:r>
      <w:r w:rsidR="001000B3" w:rsidRPr="007246A9">
        <w:rPr>
          <w:rFonts w:ascii="Arial" w:hAnsi="Arial" w:cs="Arial"/>
          <w:sz w:val="18"/>
          <w:szCs w:val="18"/>
          <w:lang w:val="el-GR"/>
        </w:rPr>
        <w:t xml:space="preserve"> 12 </w:t>
      </w:r>
      <w:proofErr w:type="spellStart"/>
      <w:r w:rsidR="001000B3" w:rsidRPr="007246A9">
        <w:rPr>
          <w:rFonts w:ascii="Arial" w:hAnsi="Arial" w:cs="Arial"/>
          <w:sz w:val="18"/>
          <w:szCs w:val="18"/>
          <w:lang w:val="el-GR"/>
        </w:rPr>
        <w:t>μ.β</w:t>
      </w:r>
      <w:proofErr w:type="spellEnd"/>
      <w:r w:rsidR="001000B3" w:rsidRPr="007246A9">
        <w:rPr>
          <w:rFonts w:ascii="Arial" w:hAnsi="Arial" w:cs="Arial"/>
          <w:sz w:val="18"/>
          <w:szCs w:val="18"/>
          <w:lang w:val="el-GR"/>
        </w:rPr>
        <w:t>. στις 31 Δεκεμβρίου 2023)</w:t>
      </w:r>
      <w:r w:rsidR="00DE4728" w:rsidRPr="007246A9">
        <w:rPr>
          <w:rFonts w:ascii="Arial" w:hAnsi="Arial" w:cs="Arial"/>
          <w:sz w:val="18"/>
          <w:szCs w:val="18"/>
          <w:lang w:val="el-GR"/>
        </w:rPr>
        <w:t>.</w:t>
      </w:r>
      <w:r w:rsidR="00B2282B" w:rsidRPr="007246A9">
        <w:rPr>
          <w:rFonts w:ascii="Arial" w:hAnsi="Arial" w:cs="Arial"/>
          <w:sz w:val="18"/>
          <w:szCs w:val="18"/>
          <w:lang w:val="el-GR"/>
        </w:rPr>
        <w:t xml:space="preserve"> </w:t>
      </w:r>
      <w:r w:rsidR="00DE4728" w:rsidRPr="007246A9">
        <w:rPr>
          <w:rFonts w:ascii="Arial" w:hAnsi="Arial" w:cs="Arial"/>
          <w:sz w:val="18"/>
          <w:szCs w:val="18"/>
          <w:lang w:val="el-GR"/>
        </w:rPr>
        <w:t>Επιπλέον, το Συγκρότημα υπόκειται σε</w:t>
      </w:r>
      <w:r w:rsidR="00FB0FE7" w:rsidRPr="007246A9">
        <w:rPr>
          <w:rFonts w:ascii="Arial" w:hAnsi="Arial" w:cs="Arial"/>
          <w:sz w:val="18"/>
          <w:szCs w:val="18"/>
          <w:lang w:val="el-GR"/>
        </w:rPr>
        <w:t xml:space="preserve"> αυξημένες</w:t>
      </w:r>
      <w:r w:rsidR="00DE4728" w:rsidRPr="007246A9">
        <w:rPr>
          <w:rFonts w:ascii="Arial" w:hAnsi="Arial" w:cs="Arial"/>
          <w:sz w:val="18"/>
          <w:szCs w:val="18"/>
          <w:lang w:val="el-GR"/>
        </w:rPr>
        <w:t xml:space="preserve"> κεφαλαιακές απαιτήσεις σε σχέση με το χαρτοφυλάκιο ανακτηθέντων ακινήτων, οι οποίες ακολουθούν πρόνοια της ΔΕΕΑ για τήρηση ενός ελάχιστου επίπεδου κεφαλαίου έναντι ακίνητων περιουσιακών στοιχείων που κατέχονται μακροπρόθεσμα. Το επίπεδο κεφαλαίου που τηρείται παραμένει δυναμικό και μεταβάλλεται σε σχέση με τα ακίνητα εντός του πεδίου εφαρμογής που </w:t>
      </w:r>
      <w:r w:rsidR="00DE4728" w:rsidRPr="005D7DF8">
        <w:rPr>
          <w:rFonts w:ascii="Arial" w:hAnsi="Arial" w:cs="Arial"/>
          <w:color w:val="000000" w:themeColor="text1"/>
          <w:sz w:val="18"/>
          <w:szCs w:val="18"/>
          <w:lang w:val="el-GR"/>
        </w:rPr>
        <w:t xml:space="preserve">διαχειρίζεται η Διεύθυνση Διαχείρισης Ακινήτων (ΔΔΑ) του Συγκροτήματος τα οποία παραμένουν στον ισολογισμό του Συγκροτήματος και την αξία των εν λόγω ακινήτων. Στις </w:t>
      </w:r>
      <w:r w:rsidR="008D4934" w:rsidRPr="005D7DF8">
        <w:rPr>
          <w:rFonts w:ascii="Arial" w:hAnsi="Arial" w:cs="Arial"/>
          <w:color w:val="000000" w:themeColor="text1"/>
          <w:sz w:val="18"/>
          <w:szCs w:val="18"/>
          <w:lang w:val="el-GR"/>
        </w:rPr>
        <w:t xml:space="preserve">30 </w:t>
      </w:r>
      <w:r w:rsidR="002066EB" w:rsidRPr="005D7DF8">
        <w:rPr>
          <w:rFonts w:ascii="Arial" w:hAnsi="Arial" w:cs="Arial"/>
          <w:color w:val="000000" w:themeColor="text1"/>
          <w:sz w:val="18"/>
          <w:szCs w:val="18"/>
          <w:lang w:val="el-GR"/>
        </w:rPr>
        <w:t xml:space="preserve">Σεπτεμβρίου </w:t>
      </w:r>
      <w:r w:rsidR="00DD6416" w:rsidRPr="005D7DF8">
        <w:rPr>
          <w:rFonts w:ascii="Arial" w:hAnsi="Arial" w:cs="Arial"/>
          <w:color w:val="000000" w:themeColor="text1"/>
          <w:sz w:val="18"/>
          <w:szCs w:val="18"/>
          <w:lang w:val="el-GR"/>
        </w:rPr>
        <w:t>2024</w:t>
      </w:r>
      <w:r w:rsidR="00DE4728" w:rsidRPr="005D7DF8">
        <w:rPr>
          <w:rFonts w:ascii="Arial" w:hAnsi="Arial" w:cs="Arial"/>
          <w:color w:val="000000" w:themeColor="text1"/>
          <w:sz w:val="18"/>
          <w:szCs w:val="18"/>
          <w:lang w:val="el-GR"/>
        </w:rPr>
        <w:t xml:space="preserve">, η επίδραση της απαίτησης αυτής </w:t>
      </w:r>
      <w:r w:rsidR="00CD3D6D" w:rsidRPr="005D7DF8">
        <w:rPr>
          <w:rFonts w:ascii="Arial" w:hAnsi="Arial" w:cs="Arial"/>
          <w:color w:val="000000" w:themeColor="text1"/>
          <w:sz w:val="18"/>
          <w:szCs w:val="18"/>
          <w:lang w:val="el-GR"/>
        </w:rPr>
        <w:t xml:space="preserve">ανήλθε </w:t>
      </w:r>
      <w:r w:rsidR="00DE4728" w:rsidRPr="005D7DF8">
        <w:rPr>
          <w:rFonts w:ascii="Arial" w:hAnsi="Arial" w:cs="Arial"/>
          <w:color w:val="000000" w:themeColor="text1"/>
          <w:sz w:val="18"/>
          <w:szCs w:val="18"/>
          <w:lang w:val="el-GR"/>
        </w:rPr>
        <w:t xml:space="preserve">σε </w:t>
      </w:r>
      <w:r w:rsidR="005D7DF8" w:rsidRPr="005D7DF8">
        <w:rPr>
          <w:rFonts w:ascii="Arial" w:hAnsi="Arial" w:cs="Arial"/>
          <w:color w:val="000000" w:themeColor="text1"/>
          <w:sz w:val="18"/>
          <w:szCs w:val="18"/>
          <w:lang w:val="el-GR"/>
        </w:rPr>
        <w:t>46</w:t>
      </w:r>
      <w:r w:rsidR="002066EB" w:rsidRPr="005D7DF8">
        <w:rPr>
          <w:rFonts w:ascii="Arial" w:hAnsi="Arial" w:cs="Arial"/>
          <w:color w:val="000000" w:themeColor="text1"/>
          <w:sz w:val="18"/>
          <w:szCs w:val="18"/>
          <w:lang w:val="el-GR"/>
        </w:rPr>
        <w:t xml:space="preserve"> </w:t>
      </w:r>
      <w:proofErr w:type="spellStart"/>
      <w:r w:rsidR="00DE4728" w:rsidRPr="005D7DF8">
        <w:rPr>
          <w:rFonts w:ascii="Arial" w:hAnsi="Arial" w:cs="Arial"/>
          <w:color w:val="000000" w:themeColor="text1"/>
          <w:sz w:val="18"/>
          <w:szCs w:val="18"/>
          <w:lang w:val="el-GR"/>
        </w:rPr>
        <w:t>μ.β</w:t>
      </w:r>
      <w:proofErr w:type="spellEnd"/>
      <w:r w:rsidR="00DE4728" w:rsidRPr="005D7DF8">
        <w:rPr>
          <w:rFonts w:ascii="Arial" w:hAnsi="Arial" w:cs="Arial"/>
          <w:color w:val="000000" w:themeColor="text1"/>
          <w:sz w:val="18"/>
          <w:szCs w:val="18"/>
          <w:lang w:val="el-GR"/>
        </w:rPr>
        <w:t>. στον δείκτη Κεφαλαίου Κοινών Μετοχών Κατηγορίας 1 (CET1) του Συγκροτήματος</w:t>
      </w:r>
      <w:r w:rsidR="0094392F" w:rsidRPr="005D7DF8">
        <w:rPr>
          <w:rFonts w:ascii="Arial" w:hAnsi="Arial" w:cs="Arial"/>
          <w:color w:val="000000" w:themeColor="text1"/>
          <w:sz w:val="18"/>
          <w:szCs w:val="18"/>
          <w:lang w:val="el-GR"/>
        </w:rPr>
        <w:t xml:space="preserve">, σε σύγκριση με </w:t>
      </w:r>
      <w:r w:rsidR="008D4934" w:rsidRPr="005D7DF8">
        <w:rPr>
          <w:rFonts w:ascii="Arial" w:hAnsi="Arial" w:cs="Arial"/>
          <w:color w:val="000000" w:themeColor="text1"/>
          <w:sz w:val="18"/>
          <w:szCs w:val="18"/>
          <w:lang w:val="el-GR"/>
        </w:rPr>
        <w:t>4</w:t>
      </w:r>
      <w:r w:rsidR="002066EB" w:rsidRPr="005D7DF8">
        <w:rPr>
          <w:rFonts w:ascii="Arial" w:hAnsi="Arial" w:cs="Arial"/>
          <w:color w:val="000000" w:themeColor="text1"/>
          <w:sz w:val="18"/>
          <w:szCs w:val="18"/>
          <w:lang w:val="el-GR"/>
        </w:rPr>
        <w:t>7</w:t>
      </w:r>
      <w:r w:rsidR="008D4934" w:rsidRPr="005D7DF8">
        <w:rPr>
          <w:rFonts w:ascii="Arial" w:hAnsi="Arial" w:cs="Arial"/>
          <w:color w:val="000000" w:themeColor="text1"/>
          <w:sz w:val="18"/>
          <w:szCs w:val="18"/>
          <w:lang w:val="el-GR"/>
        </w:rPr>
        <w:t xml:space="preserve"> </w:t>
      </w:r>
      <w:proofErr w:type="spellStart"/>
      <w:r w:rsidR="008D4934" w:rsidRPr="005D7DF8">
        <w:rPr>
          <w:rFonts w:ascii="Arial" w:hAnsi="Arial" w:cs="Arial"/>
          <w:color w:val="000000" w:themeColor="text1"/>
          <w:sz w:val="18"/>
          <w:szCs w:val="18"/>
          <w:lang w:val="el-GR"/>
        </w:rPr>
        <w:t>μ.β</w:t>
      </w:r>
      <w:proofErr w:type="spellEnd"/>
      <w:r w:rsidR="008D4934" w:rsidRPr="005D7DF8">
        <w:rPr>
          <w:rFonts w:ascii="Arial" w:hAnsi="Arial" w:cs="Arial"/>
          <w:color w:val="000000" w:themeColor="text1"/>
          <w:sz w:val="18"/>
          <w:szCs w:val="18"/>
          <w:lang w:val="el-GR"/>
        </w:rPr>
        <w:t>.</w:t>
      </w:r>
      <w:r w:rsidR="000A6583" w:rsidRPr="005D7DF8">
        <w:rPr>
          <w:rFonts w:ascii="Arial" w:hAnsi="Arial" w:cs="Arial"/>
          <w:color w:val="000000" w:themeColor="text1"/>
          <w:sz w:val="18"/>
          <w:szCs w:val="18"/>
          <w:lang w:val="el-GR"/>
        </w:rPr>
        <w:t xml:space="preserve"> </w:t>
      </w:r>
      <w:r w:rsidR="008D4934" w:rsidRPr="005D7DF8">
        <w:rPr>
          <w:rFonts w:ascii="Arial" w:hAnsi="Arial" w:cs="Arial"/>
          <w:color w:val="000000" w:themeColor="text1"/>
          <w:sz w:val="18"/>
          <w:szCs w:val="18"/>
          <w:lang w:val="el-GR"/>
        </w:rPr>
        <w:t xml:space="preserve">στις </w:t>
      </w:r>
      <w:r w:rsidR="002066EB" w:rsidRPr="005D7DF8">
        <w:rPr>
          <w:rFonts w:ascii="Arial" w:hAnsi="Arial" w:cs="Arial"/>
          <w:color w:val="000000" w:themeColor="text1"/>
          <w:sz w:val="18"/>
          <w:szCs w:val="18"/>
          <w:lang w:val="el-GR"/>
        </w:rPr>
        <w:t xml:space="preserve">30 Ιουνίου </w:t>
      </w:r>
      <w:r w:rsidR="008D4934" w:rsidRPr="005D7DF8">
        <w:rPr>
          <w:rFonts w:ascii="Arial" w:hAnsi="Arial" w:cs="Arial"/>
          <w:color w:val="000000" w:themeColor="text1"/>
          <w:sz w:val="18"/>
          <w:szCs w:val="18"/>
          <w:lang w:val="el-GR"/>
        </w:rPr>
        <w:t xml:space="preserve">2024 </w:t>
      </w:r>
      <w:r w:rsidR="008D4934" w:rsidRPr="007246A9">
        <w:rPr>
          <w:rFonts w:ascii="Arial" w:hAnsi="Arial" w:cs="Arial"/>
          <w:sz w:val="18"/>
          <w:szCs w:val="18"/>
          <w:lang w:val="el-GR"/>
        </w:rPr>
        <w:t xml:space="preserve">και με </w:t>
      </w:r>
      <w:r w:rsidR="0094392F" w:rsidRPr="007246A9">
        <w:rPr>
          <w:rFonts w:ascii="Arial" w:hAnsi="Arial" w:cs="Arial"/>
          <w:sz w:val="18"/>
          <w:szCs w:val="18"/>
          <w:lang w:val="el-GR"/>
        </w:rPr>
        <w:t xml:space="preserve">24 </w:t>
      </w:r>
      <w:proofErr w:type="spellStart"/>
      <w:r w:rsidR="0094392F" w:rsidRPr="007246A9">
        <w:rPr>
          <w:rFonts w:ascii="Arial" w:hAnsi="Arial" w:cs="Arial"/>
          <w:sz w:val="18"/>
          <w:szCs w:val="18"/>
          <w:lang w:val="el-GR"/>
        </w:rPr>
        <w:t>μ.β</w:t>
      </w:r>
      <w:proofErr w:type="spellEnd"/>
      <w:r w:rsidR="0094392F" w:rsidRPr="007246A9">
        <w:rPr>
          <w:rFonts w:ascii="Arial" w:hAnsi="Arial" w:cs="Arial"/>
          <w:sz w:val="18"/>
          <w:szCs w:val="18"/>
          <w:lang w:val="el-GR"/>
        </w:rPr>
        <w:t>. στις 31 Δεκεμβρίου 2023</w:t>
      </w:r>
      <w:r w:rsidR="00DE4728" w:rsidRPr="007246A9">
        <w:rPr>
          <w:rFonts w:ascii="Arial" w:hAnsi="Arial" w:cs="Arial"/>
          <w:sz w:val="18"/>
          <w:szCs w:val="18"/>
          <w:lang w:val="el-GR"/>
        </w:rPr>
        <w:t>.</w:t>
      </w:r>
      <w:r w:rsidR="000A6583" w:rsidRPr="007246A9">
        <w:rPr>
          <w:lang w:val="el-GR"/>
        </w:rPr>
        <w:t xml:space="preserve"> </w:t>
      </w:r>
      <w:r w:rsidR="00844551" w:rsidRPr="007246A9">
        <w:rPr>
          <w:rFonts w:ascii="Arial" w:hAnsi="Arial" w:cs="Arial"/>
          <w:sz w:val="18"/>
          <w:szCs w:val="18"/>
          <w:lang w:val="el-GR"/>
        </w:rPr>
        <w:t>Οι προαναφερόμενες απαιτήσεις περιλαμβάνονται στα κεφαλαιακά πλάνα του Συγκροτήματος και αντικατοπτρίζονται στις κεφαλαιακές προβλέψεις.</w:t>
      </w:r>
    </w:p>
    <w:bookmarkEnd w:id="8"/>
    <w:p w14:paraId="1AC4AF3D" w14:textId="77777777" w:rsidR="003F2BB4" w:rsidRPr="007246A9" w:rsidRDefault="003F2BB4" w:rsidP="005D7FFC">
      <w:pPr>
        <w:spacing w:after="0" w:line="240" w:lineRule="auto"/>
        <w:jc w:val="both"/>
        <w:rPr>
          <w:rFonts w:ascii="Arial" w:hAnsi="Arial" w:cs="Arial"/>
          <w:sz w:val="18"/>
          <w:szCs w:val="18"/>
          <w:lang w:val="el-GR"/>
        </w:rPr>
      </w:pPr>
    </w:p>
    <w:p w14:paraId="25051977" w14:textId="33B2DEF0" w:rsidR="0058408C" w:rsidRPr="007246A9" w:rsidRDefault="00352599" w:rsidP="005D7FFC">
      <w:pPr>
        <w:spacing w:after="0" w:line="240" w:lineRule="auto"/>
        <w:jc w:val="both"/>
        <w:rPr>
          <w:rFonts w:ascii="Arial" w:hAnsi="Arial" w:cs="Arial"/>
          <w:bCs/>
          <w:sz w:val="18"/>
          <w:szCs w:val="18"/>
          <w:lang w:val="el-GR"/>
        </w:rPr>
      </w:pPr>
      <w:r w:rsidRPr="007246A9">
        <w:rPr>
          <w:rFonts w:ascii="Arial" w:hAnsi="Arial" w:cs="Arial"/>
          <w:bCs/>
          <w:sz w:val="18"/>
          <w:szCs w:val="18"/>
          <w:lang w:val="en-US"/>
        </w:rPr>
        <w:t>O</w:t>
      </w:r>
      <w:r w:rsidRPr="007246A9">
        <w:rPr>
          <w:rFonts w:ascii="Arial" w:hAnsi="Arial" w:cs="Arial"/>
          <w:bCs/>
          <w:sz w:val="18"/>
          <w:szCs w:val="18"/>
          <w:lang w:val="el-GR"/>
        </w:rPr>
        <w:t xml:space="preserve"> </w:t>
      </w:r>
      <w:r w:rsidRPr="007246A9">
        <w:rPr>
          <w:rFonts w:ascii="Arial" w:hAnsi="Arial" w:cs="Arial"/>
          <w:b/>
          <w:sz w:val="18"/>
          <w:szCs w:val="18"/>
          <w:lang w:val="el-GR"/>
        </w:rPr>
        <w:t>Συνολικός Δείκτης Κεφαλαιακής Επάρκειας</w:t>
      </w:r>
      <w:r w:rsidR="001F152D" w:rsidRPr="007246A9">
        <w:rPr>
          <w:rFonts w:ascii="Arial" w:hAnsi="Arial" w:cs="Arial"/>
          <w:b/>
          <w:bCs/>
          <w:sz w:val="18"/>
          <w:szCs w:val="18"/>
          <w:lang w:val="el-GR"/>
        </w:rPr>
        <w:t xml:space="preserve"> με μεταβατικές διατάξεις</w:t>
      </w:r>
      <w:r w:rsidR="003B74C5" w:rsidRPr="007246A9">
        <w:rPr>
          <w:rFonts w:ascii="Arial" w:hAnsi="Arial" w:cs="Arial"/>
          <w:b/>
          <w:bCs/>
          <w:sz w:val="18"/>
          <w:szCs w:val="18"/>
          <w:lang w:val="el-GR"/>
        </w:rPr>
        <w:t xml:space="preserve"> </w:t>
      </w:r>
      <w:r w:rsidR="00790AB6" w:rsidRPr="007246A9">
        <w:rPr>
          <w:rFonts w:ascii="Arial" w:hAnsi="Arial" w:cs="Arial"/>
          <w:b/>
          <w:bCs/>
          <w:sz w:val="18"/>
          <w:lang w:val="el-GR"/>
        </w:rPr>
        <w:t>υπολογισμένος για εποπτικούς σκοπούς</w:t>
      </w:r>
      <w:r w:rsidR="003B74C5" w:rsidRPr="007246A9">
        <w:rPr>
          <w:rFonts w:ascii="Arial" w:hAnsi="Arial" w:cs="Arial"/>
          <w:sz w:val="18"/>
          <w:szCs w:val="18"/>
          <w:lang w:val="el-GR"/>
        </w:rPr>
        <w:t xml:space="preserve"> </w:t>
      </w:r>
      <w:r w:rsidRPr="007246A9">
        <w:rPr>
          <w:rFonts w:ascii="Arial" w:hAnsi="Arial" w:cs="Arial"/>
          <w:bCs/>
          <w:sz w:val="18"/>
          <w:szCs w:val="18"/>
          <w:lang w:val="el-GR"/>
        </w:rPr>
        <w:t xml:space="preserve">ανήλθε </w:t>
      </w:r>
      <w:r w:rsidRPr="000F52DE">
        <w:rPr>
          <w:rFonts w:ascii="Arial" w:hAnsi="Arial" w:cs="Arial"/>
          <w:bCs/>
          <w:color w:val="000000" w:themeColor="text1"/>
          <w:sz w:val="18"/>
          <w:szCs w:val="18"/>
          <w:lang w:val="el-GR"/>
        </w:rPr>
        <w:t>σε</w:t>
      </w:r>
      <w:r w:rsidR="00165890" w:rsidRPr="000F52DE">
        <w:rPr>
          <w:rFonts w:ascii="Arial" w:hAnsi="Arial" w:cs="Arial"/>
          <w:bCs/>
          <w:color w:val="000000" w:themeColor="text1"/>
          <w:sz w:val="18"/>
          <w:szCs w:val="18"/>
          <w:lang w:val="el-GR"/>
        </w:rPr>
        <w:t xml:space="preserve"> </w:t>
      </w:r>
      <w:r w:rsidR="00147CF4" w:rsidRPr="000F52DE">
        <w:rPr>
          <w:rFonts w:ascii="Arial" w:hAnsi="Arial" w:cs="Arial"/>
          <w:color w:val="000000" w:themeColor="text1"/>
          <w:sz w:val="18"/>
          <w:szCs w:val="18"/>
          <w:lang w:val="el-GR"/>
        </w:rPr>
        <w:t>23</w:t>
      </w:r>
      <w:r w:rsidR="00FB6879" w:rsidRPr="000F52DE">
        <w:rPr>
          <w:rFonts w:ascii="Arial" w:hAnsi="Arial" w:cs="Arial"/>
          <w:color w:val="000000" w:themeColor="text1"/>
          <w:sz w:val="18"/>
          <w:szCs w:val="18"/>
          <w:lang w:val="el-GR"/>
        </w:rPr>
        <w:t>.</w:t>
      </w:r>
      <w:r w:rsidR="00147CF4" w:rsidRPr="000F52DE">
        <w:rPr>
          <w:rFonts w:ascii="Arial" w:hAnsi="Arial" w:cs="Arial"/>
          <w:color w:val="000000" w:themeColor="text1"/>
          <w:sz w:val="18"/>
          <w:szCs w:val="18"/>
          <w:lang w:val="el-GR"/>
        </w:rPr>
        <w:t>7</w:t>
      </w:r>
      <w:r w:rsidR="00165890" w:rsidRPr="000F52DE">
        <w:rPr>
          <w:rFonts w:ascii="Arial" w:hAnsi="Arial" w:cs="Arial"/>
          <w:bCs/>
          <w:color w:val="000000" w:themeColor="text1"/>
          <w:sz w:val="18"/>
          <w:szCs w:val="18"/>
          <w:lang w:val="el-GR"/>
        </w:rPr>
        <w:t xml:space="preserve">% στις </w:t>
      </w:r>
      <w:r w:rsidR="0020560A" w:rsidRPr="000F52DE">
        <w:rPr>
          <w:rFonts w:ascii="Arial" w:hAnsi="Arial" w:cs="Arial"/>
          <w:bCs/>
          <w:color w:val="000000" w:themeColor="text1"/>
          <w:sz w:val="18"/>
          <w:szCs w:val="18"/>
          <w:lang w:val="el-GR"/>
        </w:rPr>
        <w:t xml:space="preserve">30 </w:t>
      </w:r>
      <w:r w:rsidR="00FB6879" w:rsidRPr="000F52DE">
        <w:rPr>
          <w:rFonts w:ascii="Arial" w:hAnsi="Arial" w:cs="Arial"/>
          <w:color w:val="000000" w:themeColor="text1"/>
          <w:sz w:val="18"/>
          <w:szCs w:val="18"/>
          <w:lang w:val="el-GR"/>
        </w:rPr>
        <w:t xml:space="preserve">Σεπτεμβρίου </w:t>
      </w:r>
      <w:r w:rsidR="0094392F" w:rsidRPr="000F52DE">
        <w:rPr>
          <w:rFonts w:ascii="Arial" w:hAnsi="Arial" w:cs="Arial"/>
          <w:bCs/>
          <w:color w:val="000000" w:themeColor="text1"/>
          <w:sz w:val="18"/>
          <w:szCs w:val="18"/>
          <w:lang w:val="el-GR"/>
        </w:rPr>
        <w:t>2024</w:t>
      </w:r>
      <w:r w:rsidR="004036B6" w:rsidRPr="000F52DE">
        <w:rPr>
          <w:rFonts w:ascii="Arial" w:hAnsi="Arial" w:cs="Arial"/>
          <w:bCs/>
          <w:color w:val="000000" w:themeColor="text1"/>
          <w:sz w:val="18"/>
          <w:szCs w:val="18"/>
          <w:lang w:val="el-GR"/>
        </w:rPr>
        <w:t>,</w:t>
      </w:r>
      <w:r w:rsidR="0094392F" w:rsidRPr="000F52DE">
        <w:rPr>
          <w:rFonts w:ascii="Arial" w:hAnsi="Arial" w:cs="Arial"/>
          <w:bCs/>
          <w:color w:val="000000" w:themeColor="text1"/>
          <w:sz w:val="18"/>
          <w:szCs w:val="18"/>
          <w:lang w:val="el-GR"/>
        </w:rPr>
        <w:t xml:space="preserve"> </w:t>
      </w:r>
      <w:r w:rsidR="00165890" w:rsidRPr="000F52DE">
        <w:rPr>
          <w:rFonts w:ascii="Arial" w:hAnsi="Arial" w:cs="Arial"/>
          <w:bCs/>
          <w:color w:val="000000" w:themeColor="text1"/>
          <w:sz w:val="18"/>
          <w:szCs w:val="18"/>
          <w:lang w:val="el-GR"/>
        </w:rPr>
        <w:t xml:space="preserve">σε σύγκριση με </w:t>
      </w:r>
      <w:r w:rsidR="00FB6879" w:rsidRPr="000F52DE">
        <w:rPr>
          <w:rFonts w:ascii="Arial" w:hAnsi="Arial" w:cs="Arial"/>
          <w:color w:val="000000" w:themeColor="text1"/>
          <w:sz w:val="18"/>
          <w:szCs w:val="18"/>
          <w:lang w:val="el-GR"/>
        </w:rPr>
        <w:t>23.3</w:t>
      </w:r>
      <w:r w:rsidR="00FB6879" w:rsidRPr="000F52DE">
        <w:rPr>
          <w:rFonts w:ascii="Arial" w:hAnsi="Arial" w:cs="Arial"/>
          <w:bCs/>
          <w:color w:val="000000" w:themeColor="text1"/>
          <w:sz w:val="18"/>
          <w:szCs w:val="18"/>
          <w:lang w:val="el-GR"/>
        </w:rPr>
        <w:t xml:space="preserve">% στις 30 </w:t>
      </w:r>
      <w:r w:rsidR="00FB6879" w:rsidRPr="000F52DE">
        <w:rPr>
          <w:rFonts w:ascii="Arial" w:hAnsi="Arial" w:cs="Arial"/>
          <w:color w:val="000000" w:themeColor="text1"/>
          <w:sz w:val="18"/>
          <w:szCs w:val="18"/>
          <w:lang w:val="el-GR"/>
        </w:rPr>
        <w:t xml:space="preserve">Ιουνίου </w:t>
      </w:r>
      <w:r w:rsidR="00FB6879" w:rsidRPr="000F52DE">
        <w:rPr>
          <w:rFonts w:ascii="Arial" w:hAnsi="Arial" w:cs="Arial"/>
          <w:bCs/>
          <w:color w:val="000000" w:themeColor="text1"/>
          <w:sz w:val="18"/>
          <w:szCs w:val="18"/>
          <w:lang w:val="el-GR"/>
        </w:rPr>
        <w:t xml:space="preserve">2024 </w:t>
      </w:r>
      <w:r w:rsidR="0020560A" w:rsidRPr="000F52DE">
        <w:rPr>
          <w:rFonts w:ascii="Arial" w:hAnsi="Arial" w:cs="Arial"/>
          <w:bCs/>
          <w:color w:val="000000" w:themeColor="text1"/>
          <w:sz w:val="18"/>
          <w:szCs w:val="18"/>
          <w:lang w:val="el-GR"/>
        </w:rPr>
        <w:t xml:space="preserve">και με </w:t>
      </w:r>
      <w:r w:rsidR="0094392F" w:rsidRPr="000F52DE">
        <w:rPr>
          <w:rFonts w:ascii="Arial" w:hAnsi="Arial" w:cs="Arial"/>
          <w:bCs/>
          <w:color w:val="000000" w:themeColor="text1"/>
          <w:sz w:val="18"/>
          <w:szCs w:val="18"/>
          <w:lang w:val="el-GR"/>
        </w:rPr>
        <w:t>22</w:t>
      </w:r>
      <w:r w:rsidR="00FD6899" w:rsidRPr="000F52DE">
        <w:rPr>
          <w:rFonts w:ascii="Arial" w:hAnsi="Arial" w:cs="Arial"/>
          <w:bCs/>
          <w:color w:val="000000" w:themeColor="text1"/>
          <w:sz w:val="18"/>
          <w:szCs w:val="18"/>
          <w:lang w:val="el-GR"/>
        </w:rPr>
        <w:t xml:space="preserve">.4% στις </w:t>
      </w:r>
      <w:r w:rsidR="0094392F" w:rsidRPr="000F52DE">
        <w:rPr>
          <w:rFonts w:ascii="Arial" w:hAnsi="Arial" w:cs="Arial"/>
          <w:bCs/>
          <w:color w:val="000000" w:themeColor="text1"/>
          <w:sz w:val="18"/>
          <w:szCs w:val="18"/>
          <w:lang w:val="el-GR"/>
        </w:rPr>
        <w:t xml:space="preserve">31 </w:t>
      </w:r>
      <w:r w:rsidR="0094392F" w:rsidRPr="000F52DE">
        <w:rPr>
          <w:rFonts w:ascii="Arial" w:hAnsi="Arial" w:cs="Arial"/>
          <w:color w:val="000000" w:themeColor="text1"/>
          <w:sz w:val="18"/>
          <w:szCs w:val="18"/>
          <w:lang w:val="el-GR"/>
        </w:rPr>
        <w:t xml:space="preserve">Δεκεμβρίου </w:t>
      </w:r>
      <w:r w:rsidR="00FD6899" w:rsidRPr="000F52DE">
        <w:rPr>
          <w:rFonts w:ascii="Arial" w:hAnsi="Arial" w:cs="Arial"/>
          <w:bCs/>
          <w:color w:val="000000" w:themeColor="text1"/>
          <w:sz w:val="18"/>
          <w:szCs w:val="18"/>
          <w:lang w:val="el-GR"/>
        </w:rPr>
        <w:t>202</w:t>
      </w:r>
      <w:r w:rsidR="003B74C5" w:rsidRPr="000F52DE">
        <w:rPr>
          <w:rFonts w:ascii="Arial" w:hAnsi="Arial" w:cs="Arial"/>
          <w:bCs/>
          <w:color w:val="000000" w:themeColor="text1"/>
          <w:sz w:val="18"/>
          <w:szCs w:val="18"/>
          <w:lang w:val="el-GR"/>
        </w:rPr>
        <w:t>3</w:t>
      </w:r>
      <w:r w:rsidR="00FB6879" w:rsidRPr="000F52DE">
        <w:rPr>
          <w:rFonts w:ascii="Arial" w:hAnsi="Arial" w:cs="Arial"/>
          <w:bCs/>
          <w:color w:val="000000" w:themeColor="text1"/>
          <w:sz w:val="18"/>
          <w:szCs w:val="18"/>
          <w:lang w:val="el-GR"/>
        </w:rPr>
        <w:t xml:space="preserve">. </w:t>
      </w:r>
      <w:r w:rsidR="00FB6879" w:rsidRPr="000F52DE">
        <w:rPr>
          <w:rFonts w:ascii="Arial" w:hAnsi="Arial" w:cs="Arial"/>
          <w:color w:val="000000" w:themeColor="text1"/>
          <w:sz w:val="18"/>
          <w:szCs w:val="18"/>
          <w:lang w:val="el-GR"/>
        </w:rPr>
        <w:t xml:space="preserve">Συμπεριλαμβάνοντας τα κέρδη για το γ’ τρίμηνο 2024 ύψους </w:t>
      </w:r>
      <w:r w:rsidR="005D7DF8" w:rsidRPr="000F52DE">
        <w:rPr>
          <w:rFonts w:ascii="Arial" w:hAnsi="Arial" w:cs="Arial"/>
          <w:color w:val="000000" w:themeColor="text1"/>
          <w:sz w:val="18"/>
          <w:szCs w:val="18"/>
          <w:lang w:val="el-GR"/>
        </w:rPr>
        <w:t>123</w:t>
      </w:r>
      <w:r w:rsidR="00FB6879" w:rsidRPr="000F52DE">
        <w:rPr>
          <w:rFonts w:ascii="Arial" w:hAnsi="Arial" w:cs="Arial"/>
          <w:color w:val="000000" w:themeColor="text1"/>
          <w:sz w:val="18"/>
          <w:szCs w:val="18"/>
          <w:lang w:val="el-GR"/>
        </w:rPr>
        <w:t xml:space="preserve"> </w:t>
      </w:r>
      <w:proofErr w:type="spellStart"/>
      <w:r w:rsidR="00FB6879" w:rsidRPr="000F52DE">
        <w:rPr>
          <w:rFonts w:ascii="Arial" w:hAnsi="Arial" w:cs="Arial"/>
          <w:color w:val="000000" w:themeColor="text1"/>
          <w:sz w:val="18"/>
          <w:szCs w:val="18"/>
          <w:lang w:val="el-GR"/>
        </w:rPr>
        <w:t>μ.β</w:t>
      </w:r>
      <w:proofErr w:type="spellEnd"/>
      <w:r w:rsidR="00FB6879" w:rsidRPr="000F52DE">
        <w:rPr>
          <w:rFonts w:ascii="Arial" w:hAnsi="Arial" w:cs="Arial"/>
          <w:color w:val="000000" w:themeColor="text1"/>
          <w:sz w:val="18"/>
          <w:szCs w:val="18"/>
          <w:lang w:val="el-GR"/>
        </w:rPr>
        <w:t>., μειωμένα για σχετική πρόβλεψη για διανομή στο υψηλότερο ποσοστό (‘</w:t>
      </w:r>
      <w:proofErr w:type="spellStart"/>
      <w:r w:rsidR="00FB6879" w:rsidRPr="000F52DE">
        <w:rPr>
          <w:rFonts w:ascii="Arial" w:hAnsi="Arial" w:cs="Arial"/>
          <w:color w:val="000000" w:themeColor="text1"/>
          <w:sz w:val="18"/>
          <w:szCs w:val="18"/>
          <w:lang w:val="el-GR"/>
        </w:rPr>
        <w:t>payout</w:t>
      </w:r>
      <w:proofErr w:type="spellEnd"/>
      <w:r w:rsidR="00FB6879" w:rsidRPr="000F52DE">
        <w:rPr>
          <w:rFonts w:ascii="Arial" w:hAnsi="Arial" w:cs="Arial"/>
          <w:color w:val="000000" w:themeColor="text1"/>
          <w:sz w:val="18"/>
          <w:szCs w:val="18"/>
          <w:lang w:val="el-GR"/>
        </w:rPr>
        <w:t xml:space="preserve"> </w:t>
      </w:r>
      <w:proofErr w:type="spellStart"/>
      <w:r w:rsidR="00FB6879" w:rsidRPr="000F52DE">
        <w:rPr>
          <w:rFonts w:ascii="Arial" w:hAnsi="Arial" w:cs="Arial"/>
          <w:color w:val="000000" w:themeColor="text1"/>
          <w:sz w:val="18"/>
          <w:szCs w:val="18"/>
          <w:lang w:val="el-GR"/>
        </w:rPr>
        <w:t>ratio</w:t>
      </w:r>
      <w:proofErr w:type="spellEnd"/>
      <w:r w:rsidR="00FB6879" w:rsidRPr="000F52DE">
        <w:rPr>
          <w:rFonts w:ascii="Arial" w:hAnsi="Arial" w:cs="Arial"/>
          <w:color w:val="000000" w:themeColor="text1"/>
          <w:sz w:val="18"/>
          <w:szCs w:val="18"/>
          <w:lang w:val="el-GR"/>
        </w:rPr>
        <w:t xml:space="preserve">’) της εγκεκριμένης πολιτικής διανομής του Συγκροτήματος ύψους </w:t>
      </w:r>
      <w:r w:rsidR="005D7DF8" w:rsidRPr="000F52DE">
        <w:rPr>
          <w:rFonts w:ascii="Arial" w:hAnsi="Arial" w:cs="Arial"/>
          <w:color w:val="000000" w:themeColor="text1"/>
          <w:sz w:val="18"/>
          <w:szCs w:val="18"/>
          <w:lang w:val="el-GR"/>
        </w:rPr>
        <w:t>70</w:t>
      </w:r>
      <w:r w:rsidR="00FB6879" w:rsidRPr="000F52DE">
        <w:rPr>
          <w:rFonts w:ascii="Arial" w:hAnsi="Arial" w:cs="Arial"/>
          <w:color w:val="000000" w:themeColor="text1"/>
          <w:sz w:val="18"/>
          <w:szCs w:val="18"/>
          <w:lang w:val="el-GR"/>
        </w:rPr>
        <w:t xml:space="preserve"> </w:t>
      </w:r>
      <w:proofErr w:type="spellStart"/>
      <w:r w:rsidR="00FB6879" w:rsidRPr="000F52DE">
        <w:rPr>
          <w:rFonts w:ascii="Arial" w:hAnsi="Arial" w:cs="Arial"/>
          <w:color w:val="000000" w:themeColor="text1"/>
          <w:sz w:val="18"/>
          <w:szCs w:val="18"/>
          <w:lang w:val="el-GR"/>
        </w:rPr>
        <w:t>μ.β</w:t>
      </w:r>
      <w:proofErr w:type="spellEnd"/>
      <w:r w:rsidR="00FB6879" w:rsidRPr="000F52DE">
        <w:rPr>
          <w:rFonts w:ascii="Arial" w:hAnsi="Arial" w:cs="Arial"/>
          <w:color w:val="000000" w:themeColor="text1"/>
          <w:sz w:val="18"/>
          <w:szCs w:val="18"/>
          <w:lang w:val="el-GR"/>
        </w:rPr>
        <w:t xml:space="preserve">., ο δείκτης Κεφαλαίου Κοινών Μετοχών Κατηγορίας 1 (CET1) με μεταβατικές διατάξεις (συμπεριλαμβάνοντας τα αδιανέμητα κέρδη) αυξάνεται σε </w:t>
      </w:r>
      <w:r w:rsidR="00147CF4" w:rsidRPr="000F52DE">
        <w:rPr>
          <w:rFonts w:ascii="Arial" w:hAnsi="Arial" w:cs="Arial"/>
          <w:color w:val="000000" w:themeColor="text1"/>
          <w:sz w:val="18"/>
          <w:szCs w:val="18"/>
          <w:lang w:val="el-GR"/>
        </w:rPr>
        <w:t>24</w:t>
      </w:r>
      <w:r w:rsidR="00FB6879" w:rsidRPr="000F52DE">
        <w:rPr>
          <w:rFonts w:ascii="Arial" w:hAnsi="Arial" w:cs="Arial"/>
          <w:color w:val="000000" w:themeColor="text1"/>
          <w:sz w:val="18"/>
          <w:szCs w:val="18"/>
          <w:lang w:val="el-GR"/>
        </w:rPr>
        <w:t>.</w:t>
      </w:r>
      <w:r w:rsidR="00147CF4" w:rsidRPr="000F52DE">
        <w:rPr>
          <w:rFonts w:ascii="Arial" w:hAnsi="Arial" w:cs="Arial"/>
          <w:color w:val="000000" w:themeColor="text1"/>
          <w:sz w:val="18"/>
          <w:szCs w:val="18"/>
          <w:lang w:val="el-GR"/>
        </w:rPr>
        <w:t>3</w:t>
      </w:r>
      <w:r w:rsidR="00FB6879" w:rsidRPr="000F52DE">
        <w:rPr>
          <w:rFonts w:ascii="Arial" w:hAnsi="Arial" w:cs="Arial"/>
          <w:color w:val="000000" w:themeColor="text1"/>
          <w:sz w:val="18"/>
          <w:szCs w:val="18"/>
          <w:lang w:val="el-GR"/>
        </w:rPr>
        <w:t xml:space="preserve">% στις </w:t>
      </w:r>
      <w:r w:rsidR="00FB6879" w:rsidRPr="00400901">
        <w:rPr>
          <w:rFonts w:ascii="Arial" w:hAnsi="Arial" w:cs="Arial"/>
          <w:sz w:val="18"/>
          <w:szCs w:val="18"/>
          <w:lang w:val="el-GR"/>
        </w:rPr>
        <w:t>30 Σεπτεμβρίου 2024.</w:t>
      </w:r>
    </w:p>
    <w:p w14:paraId="38971C2A" w14:textId="182039CC" w:rsidR="0058408C" w:rsidRPr="007246A9" w:rsidRDefault="0058408C" w:rsidP="00CB0EEF">
      <w:pPr>
        <w:spacing w:after="0" w:line="240" w:lineRule="auto"/>
        <w:jc w:val="both"/>
        <w:rPr>
          <w:rFonts w:ascii="Arial" w:hAnsi="Arial" w:cs="Arial"/>
          <w:bCs/>
          <w:sz w:val="18"/>
          <w:szCs w:val="18"/>
          <w:lang w:val="el-GR"/>
        </w:rPr>
      </w:pPr>
    </w:p>
    <w:p w14:paraId="2A300A82" w14:textId="14B54793" w:rsidR="0058408C" w:rsidRPr="007246A9" w:rsidRDefault="0058408C" w:rsidP="00CB0EEF">
      <w:pPr>
        <w:spacing w:after="0" w:line="240" w:lineRule="auto"/>
        <w:jc w:val="both"/>
        <w:rPr>
          <w:rFonts w:ascii="Arial" w:hAnsi="Arial" w:cs="Arial"/>
          <w:bCs/>
          <w:sz w:val="18"/>
          <w:szCs w:val="28"/>
          <w:lang w:val="el-GR"/>
        </w:rPr>
      </w:pPr>
      <w:r w:rsidRPr="007246A9">
        <w:rPr>
          <w:rFonts w:ascii="Arial" w:hAnsi="Arial" w:cs="Arial"/>
          <w:bCs/>
          <w:sz w:val="18"/>
          <w:szCs w:val="28"/>
          <w:lang w:val="el-GR"/>
        </w:rPr>
        <w:t>Οι κεφαλαιακοί δείκτες του Συγκροτήματος παραμένουν πάνω από τις απαιτήσεις που απορρέουν από τη Διαδικασία Εποπτικής Εξέτασης και Αξιολόγησης (ΔΕΕΑ).</w:t>
      </w:r>
    </w:p>
    <w:p w14:paraId="4629C296" w14:textId="77777777" w:rsidR="006B1F4F" w:rsidRPr="007246A9" w:rsidRDefault="006B1F4F" w:rsidP="008723F0">
      <w:pPr>
        <w:pStyle w:val="Default"/>
        <w:jc w:val="both"/>
        <w:rPr>
          <w:sz w:val="18"/>
          <w:szCs w:val="18"/>
          <w:lang w:val="el-GR"/>
        </w:rPr>
      </w:pPr>
    </w:p>
    <w:p w14:paraId="3582D5ED" w14:textId="5A969D2B" w:rsidR="00D81EEC" w:rsidRPr="004964ED" w:rsidRDefault="00FB6879" w:rsidP="00D81EEC">
      <w:pPr>
        <w:pStyle w:val="Default"/>
        <w:jc w:val="both"/>
        <w:rPr>
          <w:sz w:val="18"/>
          <w:szCs w:val="18"/>
          <w:lang w:val="el-GR"/>
        </w:rPr>
      </w:pPr>
      <w:r w:rsidRPr="007246A9">
        <w:rPr>
          <w:sz w:val="18"/>
          <w:szCs w:val="18"/>
          <w:lang w:val="el-GR"/>
        </w:rPr>
        <w:t>Με βάση την ετήσια ΔΕΕΑ που πραγματοποιήθηκε από την ΕΚΤ το 2024, και με βάση την προκαταρκτική απόφαση ΔΕΕΑ που λήφθηκε τον Οκτώβριο 2024, η οποία αναμένεται να τεθεί σε εφαρμογή από 1 Ιανουαρίου 2025 (και τελεί υπό τη λήψη τελικής επιβεβαίωσης από την ΕΚΤ), η ελάχιστη απαίτηση για τον δείκτη Κεφαλαίου Κοινών Μετοχών Κατηγορίας 1 (</w:t>
      </w:r>
      <w:r w:rsidRPr="007246A9">
        <w:rPr>
          <w:sz w:val="18"/>
          <w:szCs w:val="18"/>
        </w:rPr>
        <w:t>CET</w:t>
      </w:r>
      <w:r w:rsidRPr="007246A9">
        <w:rPr>
          <w:sz w:val="18"/>
          <w:szCs w:val="18"/>
          <w:lang w:val="el-GR"/>
        </w:rPr>
        <w:t xml:space="preserve">1) </w:t>
      </w:r>
      <w:r w:rsidR="00C95733" w:rsidRPr="007246A9">
        <w:rPr>
          <w:sz w:val="18"/>
          <w:szCs w:val="18"/>
          <w:lang w:val="el-GR"/>
        </w:rPr>
        <w:t xml:space="preserve">με μεταβατικές διατάξεις </w:t>
      </w:r>
      <w:r w:rsidRPr="007246A9">
        <w:rPr>
          <w:sz w:val="18"/>
          <w:szCs w:val="18"/>
          <w:lang w:val="el-GR"/>
        </w:rPr>
        <w:t>και η ελάχιστη απαίτηση για τον Συνολικό Δείκτη Κεφαλαιακής Επάρκειας του Συγκροτήματος</w:t>
      </w:r>
      <w:r w:rsidR="00C95733" w:rsidRPr="007246A9">
        <w:rPr>
          <w:sz w:val="18"/>
          <w:szCs w:val="18"/>
          <w:lang w:val="el-GR"/>
        </w:rPr>
        <w:t xml:space="preserve"> με μεταβατικές διατάξεις</w:t>
      </w:r>
      <w:r w:rsidRPr="007246A9">
        <w:rPr>
          <w:sz w:val="18"/>
          <w:szCs w:val="18"/>
          <w:lang w:val="el-GR"/>
        </w:rPr>
        <w:t xml:space="preserve"> αναμένεται να </w:t>
      </w:r>
      <w:r w:rsidR="00161C7D" w:rsidRPr="00502B4F">
        <w:rPr>
          <w:color w:val="auto"/>
          <w:sz w:val="18"/>
          <w:szCs w:val="18"/>
          <w:lang w:val="el-GR"/>
        </w:rPr>
        <w:t>παραμ</w:t>
      </w:r>
      <w:r w:rsidR="00AE4F14">
        <w:rPr>
          <w:color w:val="auto"/>
          <w:sz w:val="18"/>
          <w:szCs w:val="18"/>
          <w:lang w:val="el-GR"/>
        </w:rPr>
        <w:t xml:space="preserve">είνουν </w:t>
      </w:r>
      <w:r w:rsidR="00161C7D" w:rsidRPr="00502B4F">
        <w:rPr>
          <w:color w:val="auto"/>
          <w:sz w:val="18"/>
          <w:szCs w:val="18"/>
          <w:lang w:val="el-GR"/>
        </w:rPr>
        <w:t>στα ίδια επίπεδα</w:t>
      </w:r>
      <w:r w:rsidRPr="00502B4F">
        <w:rPr>
          <w:color w:val="auto"/>
          <w:sz w:val="18"/>
          <w:szCs w:val="18"/>
          <w:lang w:val="el-GR"/>
        </w:rPr>
        <w:t xml:space="preserve">, εξαιρώντας </w:t>
      </w:r>
      <w:r w:rsidRPr="007246A9">
        <w:rPr>
          <w:sz w:val="18"/>
          <w:szCs w:val="18"/>
          <w:lang w:val="el-GR"/>
        </w:rPr>
        <w:t>την εφαρμογή του κεφαλαιακού Αποθέματος Ασφαλείας των Άλλων Συστημικά Σημαντικών Ιδρυμάτων (</w:t>
      </w:r>
      <w:r w:rsidRPr="007246A9">
        <w:rPr>
          <w:sz w:val="18"/>
          <w:szCs w:val="18"/>
        </w:rPr>
        <w:t>O</w:t>
      </w:r>
      <w:r w:rsidRPr="007246A9">
        <w:rPr>
          <w:sz w:val="18"/>
          <w:szCs w:val="18"/>
          <w:lang w:val="el-GR"/>
        </w:rPr>
        <w:t>-</w:t>
      </w:r>
      <w:r w:rsidRPr="007246A9">
        <w:rPr>
          <w:sz w:val="18"/>
          <w:szCs w:val="18"/>
        </w:rPr>
        <w:t>SII</w:t>
      </w:r>
      <w:r w:rsidRPr="007246A9">
        <w:rPr>
          <w:sz w:val="18"/>
          <w:szCs w:val="18"/>
          <w:lang w:val="el-GR"/>
        </w:rPr>
        <w:t>)</w:t>
      </w:r>
      <w:r w:rsidR="00C95733" w:rsidRPr="00C95733">
        <w:rPr>
          <w:sz w:val="18"/>
          <w:szCs w:val="18"/>
          <w:lang w:val="el-GR"/>
        </w:rPr>
        <w:t xml:space="preserve">. </w:t>
      </w:r>
      <w:r w:rsidRPr="007246A9">
        <w:rPr>
          <w:sz w:val="18"/>
          <w:szCs w:val="18"/>
          <w:lang w:val="el-GR"/>
        </w:rPr>
        <w:t xml:space="preserve">Κατά την 1 Ιανουαρίου </w:t>
      </w:r>
      <w:r w:rsidR="00C95733" w:rsidRPr="007246A9">
        <w:rPr>
          <w:sz w:val="18"/>
          <w:szCs w:val="18"/>
          <w:lang w:val="el-GR"/>
        </w:rPr>
        <w:t>2025</w:t>
      </w:r>
      <w:r w:rsidRPr="007246A9">
        <w:rPr>
          <w:sz w:val="18"/>
          <w:szCs w:val="18"/>
          <w:lang w:val="el-GR"/>
        </w:rPr>
        <w:t>, η ελάχιστη απαίτηση για τον δείκτη Κεφαλαίου Κοινών Μετοχών Κατηγορίας 1 (</w:t>
      </w:r>
      <w:r w:rsidRPr="007246A9">
        <w:rPr>
          <w:sz w:val="18"/>
          <w:szCs w:val="18"/>
        </w:rPr>
        <w:t>CET</w:t>
      </w:r>
      <w:r w:rsidRPr="007246A9">
        <w:rPr>
          <w:sz w:val="18"/>
          <w:szCs w:val="18"/>
          <w:lang w:val="el-GR"/>
        </w:rPr>
        <w:t>1) με μεταβατικές διατάξεις του Συγκροτήματος αναμένεται να καθοριστεί σε</w:t>
      </w:r>
      <w:r w:rsidRPr="00502B4F">
        <w:rPr>
          <w:color w:val="auto"/>
          <w:sz w:val="18"/>
          <w:szCs w:val="18"/>
          <w:lang w:val="el-GR"/>
        </w:rPr>
        <w:t xml:space="preserve"> </w:t>
      </w:r>
      <w:r w:rsidR="00161C7D" w:rsidRPr="00502B4F">
        <w:rPr>
          <w:b/>
          <w:bCs/>
          <w:color w:val="auto"/>
          <w:sz w:val="18"/>
          <w:szCs w:val="18"/>
          <w:lang w:val="el-GR"/>
        </w:rPr>
        <w:t>11.4</w:t>
      </w:r>
      <w:r w:rsidR="005D7DF8">
        <w:rPr>
          <w:b/>
          <w:bCs/>
          <w:color w:val="auto"/>
          <w:sz w:val="18"/>
          <w:szCs w:val="18"/>
          <w:lang w:val="el-GR"/>
        </w:rPr>
        <w:t>2</w:t>
      </w:r>
      <w:r w:rsidRPr="00502B4F">
        <w:rPr>
          <w:b/>
          <w:bCs/>
          <w:color w:val="auto"/>
          <w:sz w:val="18"/>
          <w:szCs w:val="18"/>
          <w:lang w:val="el-GR"/>
        </w:rPr>
        <w:t>%,</w:t>
      </w:r>
      <w:r w:rsidRPr="00502B4F">
        <w:rPr>
          <w:color w:val="auto"/>
          <w:sz w:val="18"/>
          <w:szCs w:val="18"/>
          <w:lang w:val="el-GR"/>
        </w:rPr>
        <w:t xml:space="preserve"> ο </w:t>
      </w:r>
      <w:r w:rsidRPr="007246A9">
        <w:rPr>
          <w:sz w:val="18"/>
          <w:szCs w:val="18"/>
          <w:lang w:val="el-GR"/>
        </w:rPr>
        <w:t>οποίος θα αποτελείται από απαιτήσεις του Πυλώνα Ι ύψους 4.50%, απαιτήσεις του Πυλώνα ΙΙ ύψους 1.55%, Απόθεμα Ασφαλείας Διατήρησης Κεφαλαίου (</w:t>
      </w:r>
      <w:r w:rsidRPr="007246A9">
        <w:rPr>
          <w:sz w:val="18"/>
          <w:szCs w:val="18"/>
        </w:rPr>
        <w:t>CCB</w:t>
      </w:r>
      <w:r w:rsidRPr="007246A9">
        <w:rPr>
          <w:sz w:val="18"/>
          <w:szCs w:val="18"/>
          <w:lang w:val="el-GR"/>
        </w:rPr>
        <w:t>) ύψους 2.50%, Απόθεμα Ασφαλείας των Άλλων Συστημικά Σημαντικών Ιδρυμάτων (</w:t>
      </w:r>
      <w:r w:rsidRPr="007246A9">
        <w:rPr>
          <w:sz w:val="18"/>
          <w:szCs w:val="18"/>
        </w:rPr>
        <w:t>O</w:t>
      </w:r>
      <w:r w:rsidRPr="007246A9">
        <w:rPr>
          <w:sz w:val="18"/>
          <w:szCs w:val="18"/>
          <w:lang w:val="el-GR"/>
        </w:rPr>
        <w:t>-</w:t>
      </w:r>
      <w:r w:rsidRPr="007246A9">
        <w:rPr>
          <w:sz w:val="18"/>
          <w:szCs w:val="18"/>
        </w:rPr>
        <w:t>SII</w:t>
      </w:r>
      <w:r w:rsidRPr="007246A9">
        <w:rPr>
          <w:sz w:val="18"/>
          <w:szCs w:val="18"/>
          <w:lang w:val="el-GR"/>
        </w:rPr>
        <w:t>) ύψους 1.</w:t>
      </w:r>
      <w:r w:rsidR="00C95733" w:rsidRPr="007246A9">
        <w:rPr>
          <w:sz w:val="18"/>
          <w:szCs w:val="18"/>
          <w:lang w:val="el-GR"/>
        </w:rPr>
        <w:t>9375</w:t>
      </w:r>
      <w:r w:rsidRPr="007246A9">
        <w:rPr>
          <w:sz w:val="18"/>
          <w:szCs w:val="18"/>
          <w:lang w:val="el-GR"/>
        </w:rPr>
        <w:t xml:space="preserve">% και </w:t>
      </w:r>
      <w:proofErr w:type="spellStart"/>
      <w:r w:rsidRPr="007246A9">
        <w:rPr>
          <w:sz w:val="18"/>
          <w:szCs w:val="18"/>
          <w:lang w:val="el-GR"/>
        </w:rPr>
        <w:t>Αντικυκλικό</w:t>
      </w:r>
      <w:proofErr w:type="spellEnd"/>
      <w:r w:rsidRPr="007246A9">
        <w:rPr>
          <w:sz w:val="18"/>
          <w:szCs w:val="18"/>
          <w:lang w:val="el-GR"/>
        </w:rPr>
        <w:t xml:space="preserve"> Απόθεμα Ασφαλείας (</w:t>
      </w:r>
      <w:proofErr w:type="spellStart"/>
      <w:r w:rsidRPr="007246A9">
        <w:rPr>
          <w:sz w:val="18"/>
          <w:szCs w:val="18"/>
        </w:rPr>
        <w:t>CcyB</w:t>
      </w:r>
      <w:proofErr w:type="spellEnd"/>
      <w:r w:rsidRPr="007246A9">
        <w:rPr>
          <w:sz w:val="18"/>
          <w:szCs w:val="18"/>
          <w:lang w:val="el-GR"/>
        </w:rPr>
        <w:t>) ύψους</w:t>
      </w:r>
      <w:r w:rsidR="00C95733" w:rsidRPr="00C95733">
        <w:rPr>
          <w:sz w:val="18"/>
          <w:szCs w:val="18"/>
          <w:lang w:val="el-GR"/>
        </w:rPr>
        <w:t xml:space="preserve"> </w:t>
      </w:r>
      <w:r w:rsidRPr="007246A9">
        <w:rPr>
          <w:sz w:val="18"/>
          <w:szCs w:val="18"/>
          <w:lang w:val="el-GR"/>
        </w:rPr>
        <w:t>περίπου 0.</w:t>
      </w:r>
      <w:r w:rsidR="00C95733" w:rsidRPr="007246A9">
        <w:rPr>
          <w:sz w:val="18"/>
          <w:szCs w:val="18"/>
          <w:lang w:val="el-GR"/>
        </w:rPr>
        <w:t>9</w:t>
      </w:r>
      <w:r w:rsidR="005D7DF8" w:rsidRPr="005D7DF8">
        <w:rPr>
          <w:sz w:val="18"/>
          <w:szCs w:val="18"/>
          <w:lang w:val="el-GR"/>
        </w:rPr>
        <w:t>3</w:t>
      </w:r>
      <w:r w:rsidRPr="007246A9">
        <w:rPr>
          <w:sz w:val="18"/>
          <w:szCs w:val="18"/>
          <w:lang w:val="el-GR"/>
        </w:rPr>
        <w:t xml:space="preserve">%. </w:t>
      </w:r>
      <w:r w:rsidR="00D81EEC" w:rsidRPr="007246A9">
        <w:rPr>
          <w:sz w:val="18"/>
          <w:szCs w:val="18"/>
          <w:lang w:val="el-GR"/>
        </w:rPr>
        <w:t>Αντίστοιχα,</w:t>
      </w:r>
      <w:r w:rsidR="00C95733" w:rsidRPr="00C95733">
        <w:rPr>
          <w:sz w:val="18"/>
          <w:szCs w:val="18"/>
          <w:lang w:val="el-GR"/>
        </w:rPr>
        <w:t xml:space="preserve">, </w:t>
      </w:r>
      <w:r w:rsidR="00C95733" w:rsidRPr="007246A9">
        <w:rPr>
          <w:sz w:val="18"/>
          <w:szCs w:val="18"/>
          <w:lang w:val="el-GR"/>
        </w:rPr>
        <w:t>κ</w:t>
      </w:r>
      <w:r w:rsidRPr="007246A9">
        <w:rPr>
          <w:sz w:val="18"/>
          <w:szCs w:val="18"/>
          <w:lang w:val="el-GR"/>
        </w:rPr>
        <w:t xml:space="preserve">ατά την 1 Ιανουαρίου </w:t>
      </w:r>
      <w:r w:rsidR="00C95733" w:rsidRPr="007246A9">
        <w:rPr>
          <w:sz w:val="18"/>
          <w:szCs w:val="18"/>
          <w:lang w:val="el-GR"/>
        </w:rPr>
        <w:t>2025</w:t>
      </w:r>
      <w:r w:rsidRPr="007246A9">
        <w:rPr>
          <w:sz w:val="18"/>
          <w:szCs w:val="18"/>
          <w:lang w:val="el-GR"/>
        </w:rPr>
        <w:t xml:space="preserve">, η ελάχιστη απαίτηση για τον Συνολικό Δείκτη Κεφαλαιακής Επάρκειας με μεταβατικές διατάξεις του Συγκροτήματος αναμένεται να καθοριστεί σε </w:t>
      </w:r>
      <w:r w:rsidR="00161C7D" w:rsidRPr="00502B4F">
        <w:rPr>
          <w:b/>
          <w:bCs/>
          <w:color w:val="auto"/>
          <w:sz w:val="18"/>
          <w:szCs w:val="18"/>
          <w:lang w:val="el-GR"/>
        </w:rPr>
        <w:t>16.1</w:t>
      </w:r>
      <w:r w:rsidR="005D7DF8" w:rsidRPr="005D7DF8">
        <w:rPr>
          <w:b/>
          <w:bCs/>
          <w:color w:val="auto"/>
          <w:sz w:val="18"/>
          <w:szCs w:val="18"/>
          <w:lang w:val="el-GR"/>
        </w:rPr>
        <w:t>2</w:t>
      </w:r>
      <w:r w:rsidRPr="00502B4F">
        <w:rPr>
          <w:b/>
          <w:bCs/>
          <w:color w:val="auto"/>
          <w:sz w:val="18"/>
          <w:szCs w:val="18"/>
          <w:lang w:val="el-GR"/>
        </w:rPr>
        <w:t>%,</w:t>
      </w:r>
      <w:r w:rsidRPr="00502B4F">
        <w:rPr>
          <w:color w:val="auto"/>
          <w:sz w:val="18"/>
          <w:szCs w:val="18"/>
          <w:lang w:val="el-GR"/>
        </w:rPr>
        <w:t xml:space="preserve"> </w:t>
      </w:r>
      <w:r w:rsidRPr="007246A9">
        <w:rPr>
          <w:sz w:val="18"/>
          <w:szCs w:val="18"/>
          <w:lang w:val="el-GR"/>
        </w:rPr>
        <w:t>ο οποίος θα αποτελείται από απαιτήσεις του Πυλώνα Ι ύψους 8.00%, εκ των οποίων 1.50% μπορεί να είναι υπό μορφή Πρόσθετων</w:t>
      </w:r>
      <w:r w:rsidR="005D7DF8" w:rsidRPr="005D7DF8">
        <w:rPr>
          <w:sz w:val="18"/>
          <w:szCs w:val="18"/>
          <w:lang w:val="el-GR"/>
        </w:rPr>
        <w:t xml:space="preserve"> </w:t>
      </w:r>
      <w:r w:rsidR="005D7DF8" w:rsidRPr="007246A9">
        <w:rPr>
          <w:sz w:val="18"/>
          <w:szCs w:val="18"/>
          <w:lang w:val="el-GR"/>
        </w:rPr>
        <w:t xml:space="preserve">Κεφαλαίων Κατηγορίας 1 (ΑΤ1) και μέχρι 2.00% υπό μορφή Κεφαλαίου Κατηγορίας 2 (Τ2), απαιτήσεις του Πυλώνα ΙΙ ύψους </w:t>
      </w:r>
      <w:r w:rsidR="00D81EEC" w:rsidRPr="007246A9">
        <w:rPr>
          <w:sz w:val="18"/>
          <w:szCs w:val="18"/>
          <w:lang w:val="el-GR"/>
        </w:rPr>
        <w:t>2.75%, Απόθεμα Ασφαλείας Διατήρησης Κεφαλαίου (</w:t>
      </w:r>
      <w:r w:rsidR="00D81EEC" w:rsidRPr="007246A9">
        <w:rPr>
          <w:sz w:val="18"/>
          <w:szCs w:val="18"/>
        </w:rPr>
        <w:t>CCB</w:t>
      </w:r>
      <w:r w:rsidR="00D81EEC" w:rsidRPr="007246A9">
        <w:rPr>
          <w:sz w:val="18"/>
          <w:szCs w:val="18"/>
          <w:lang w:val="el-GR"/>
        </w:rPr>
        <w:t>) ύψους 2.50%,</w:t>
      </w:r>
      <w:r w:rsidR="00D81EEC" w:rsidRPr="00D81EEC">
        <w:rPr>
          <w:sz w:val="18"/>
          <w:szCs w:val="18"/>
          <w:lang w:val="el-GR"/>
        </w:rPr>
        <w:t xml:space="preserve"> </w:t>
      </w:r>
      <w:r w:rsidR="00D81EEC" w:rsidRPr="007246A9">
        <w:rPr>
          <w:sz w:val="18"/>
          <w:szCs w:val="18"/>
          <w:lang w:val="el-GR"/>
        </w:rPr>
        <w:t xml:space="preserve">Συστημικά Σημαντικών </w:t>
      </w:r>
    </w:p>
    <w:p w14:paraId="43FBE3F6" w14:textId="77777777" w:rsidR="00D81EEC" w:rsidRPr="00D01B8A" w:rsidRDefault="00D81EEC" w:rsidP="00D81EEC">
      <w:pPr>
        <w:rPr>
          <w:rFonts w:ascii="Arial" w:eastAsia="Times New Roman" w:hAnsi="Arial" w:cs="Arial"/>
          <w:sz w:val="18"/>
          <w:szCs w:val="18"/>
          <w:lang w:val="el-GR"/>
        </w:rPr>
      </w:pPr>
      <w:r w:rsidRPr="00D01B8A">
        <w:rPr>
          <w:rFonts w:ascii="Arial" w:hAnsi="Arial" w:cs="Arial"/>
          <w:b/>
          <w:bCs/>
          <w:color w:val="FF9900"/>
          <w:sz w:val="24"/>
          <w:lang w:val="el-GR"/>
        </w:rPr>
        <w:lastRenderedPageBreak/>
        <w:t xml:space="preserve">Α. Οικονομικά Αποτελέσματα Συγκροτήματος – Υποκείμενη Βάση </w:t>
      </w:r>
      <w:r w:rsidRPr="00D01B8A">
        <w:rPr>
          <w:rFonts w:ascii="Arial" w:hAnsi="Arial" w:cs="Arial"/>
          <w:color w:val="FF9900"/>
          <w:sz w:val="24"/>
          <w:lang w:val="el-GR"/>
        </w:rPr>
        <w:t>(συνέχεια)</w:t>
      </w:r>
    </w:p>
    <w:p w14:paraId="31653C85" w14:textId="77777777" w:rsidR="00D81EEC" w:rsidRPr="00D01B8A" w:rsidRDefault="00D81EEC" w:rsidP="00D81EEC">
      <w:pPr>
        <w:rPr>
          <w:rFonts w:ascii="Arial" w:hAnsi="Arial" w:cs="Arial"/>
          <w:b/>
          <w:bCs/>
          <w:color w:val="FF9900"/>
          <w:sz w:val="23"/>
          <w:szCs w:val="23"/>
          <w:lang w:val="el-GR"/>
        </w:rPr>
      </w:pPr>
      <w:r w:rsidRPr="00D01B8A">
        <w:rPr>
          <w:rFonts w:ascii="Arial" w:hAnsi="Arial" w:cs="Arial"/>
          <w:b/>
          <w:bCs/>
          <w:color w:val="FF9900"/>
          <w:sz w:val="23"/>
          <w:szCs w:val="23"/>
          <w:lang w:val="el-GR"/>
        </w:rPr>
        <w:t xml:space="preserve">Α.1 Ανάλυση </w:t>
      </w:r>
      <w:r w:rsidRPr="00161C7D">
        <w:rPr>
          <w:rFonts w:ascii="Arial" w:hAnsi="Arial" w:cs="Arial"/>
          <w:b/>
          <w:bCs/>
          <w:color w:val="FF9900"/>
          <w:sz w:val="23"/>
          <w:szCs w:val="23"/>
          <w:lang w:val="el-GR"/>
        </w:rPr>
        <w:t xml:space="preserve">Ισολογισμού </w:t>
      </w:r>
      <w:r w:rsidRPr="007246A9">
        <w:rPr>
          <w:rFonts w:ascii="Arial" w:hAnsi="Arial" w:cs="Arial"/>
          <w:color w:val="FF9900"/>
          <w:sz w:val="23"/>
          <w:szCs w:val="23"/>
          <w:lang w:val="el-GR"/>
        </w:rPr>
        <w:t>(συνέχεια)</w:t>
      </w:r>
    </w:p>
    <w:p w14:paraId="2FE6CAB9" w14:textId="1A76F69B" w:rsidR="00D81EEC" w:rsidRPr="004964ED" w:rsidRDefault="00D81EEC" w:rsidP="00D81EEC">
      <w:pPr>
        <w:rPr>
          <w:lang w:val="el-GR"/>
        </w:rPr>
      </w:pPr>
      <w:r w:rsidRPr="00D01B8A">
        <w:rPr>
          <w:rFonts w:ascii="Arial" w:hAnsi="Arial" w:cs="Arial"/>
          <w:b/>
          <w:bCs/>
          <w:color w:val="FF9900"/>
          <w:lang w:val="el-GR"/>
        </w:rPr>
        <w:t xml:space="preserve">Α.1.1 Κεφαλαιακή </w:t>
      </w:r>
      <w:r w:rsidRPr="007246A9">
        <w:rPr>
          <w:rFonts w:ascii="Arial" w:hAnsi="Arial" w:cs="Arial"/>
          <w:b/>
          <w:bCs/>
          <w:color w:val="FF9900"/>
          <w:lang w:val="el-GR"/>
        </w:rPr>
        <w:t xml:space="preserve">Βάση </w:t>
      </w:r>
      <w:r w:rsidRPr="007246A9">
        <w:rPr>
          <w:rFonts w:ascii="Arial" w:hAnsi="Arial" w:cs="Arial"/>
          <w:color w:val="FF9900"/>
          <w:lang w:val="el-GR"/>
        </w:rPr>
        <w:t>(συνέχεια)</w:t>
      </w:r>
    </w:p>
    <w:p w14:paraId="5E74D212" w14:textId="7755C155" w:rsidR="00D81EEC" w:rsidRPr="00AF53C3" w:rsidRDefault="00D81EEC" w:rsidP="00D81EEC">
      <w:pPr>
        <w:pStyle w:val="Default"/>
        <w:jc w:val="both"/>
        <w:rPr>
          <w:b/>
          <w:bCs/>
          <w:sz w:val="18"/>
          <w:szCs w:val="18"/>
          <w:lang w:val="el-GR"/>
        </w:rPr>
      </w:pPr>
      <w:r w:rsidRPr="007246A9">
        <w:rPr>
          <w:sz w:val="18"/>
          <w:szCs w:val="18"/>
          <w:lang w:val="el-GR"/>
        </w:rPr>
        <w:t>Ιδρυμάτων (</w:t>
      </w:r>
      <w:r w:rsidRPr="007246A9">
        <w:rPr>
          <w:sz w:val="18"/>
          <w:szCs w:val="18"/>
        </w:rPr>
        <w:t>O</w:t>
      </w:r>
      <w:r w:rsidRPr="007246A9">
        <w:rPr>
          <w:sz w:val="18"/>
          <w:szCs w:val="18"/>
          <w:lang w:val="el-GR"/>
        </w:rPr>
        <w:t>-</w:t>
      </w:r>
      <w:r w:rsidRPr="007246A9">
        <w:rPr>
          <w:sz w:val="18"/>
          <w:szCs w:val="18"/>
        </w:rPr>
        <w:t>SII</w:t>
      </w:r>
      <w:r w:rsidRPr="007246A9">
        <w:rPr>
          <w:sz w:val="18"/>
          <w:szCs w:val="18"/>
          <w:lang w:val="el-GR"/>
        </w:rPr>
        <w:t xml:space="preserve">) ύψους 1.9375% και </w:t>
      </w:r>
      <w:proofErr w:type="spellStart"/>
      <w:r w:rsidRPr="007246A9">
        <w:rPr>
          <w:sz w:val="18"/>
          <w:szCs w:val="18"/>
          <w:lang w:val="el-GR"/>
        </w:rPr>
        <w:t>Αντικυκλικό</w:t>
      </w:r>
      <w:proofErr w:type="spellEnd"/>
      <w:r w:rsidRPr="007246A9">
        <w:rPr>
          <w:sz w:val="18"/>
          <w:szCs w:val="18"/>
          <w:lang w:val="el-GR"/>
        </w:rPr>
        <w:t xml:space="preserve"> Απόθεμα Ασφαλείας (</w:t>
      </w:r>
      <w:proofErr w:type="spellStart"/>
      <w:r w:rsidRPr="007246A9">
        <w:rPr>
          <w:sz w:val="18"/>
          <w:szCs w:val="18"/>
        </w:rPr>
        <w:t>CcyB</w:t>
      </w:r>
      <w:proofErr w:type="spellEnd"/>
      <w:r w:rsidRPr="007246A9">
        <w:rPr>
          <w:sz w:val="18"/>
          <w:szCs w:val="18"/>
          <w:lang w:val="el-GR"/>
        </w:rPr>
        <w:t>) ύψους</w:t>
      </w:r>
      <w:r w:rsidRPr="00492AA9">
        <w:rPr>
          <w:sz w:val="18"/>
          <w:szCs w:val="18"/>
          <w:lang w:val="el-GR"/>
        </w:rPr>
        <w:t xml:space="preserve"> περίπου 0.9</w:t>
      </w:r>
      <w:r w:rsidRPr="005D7DF8">
        <w:rPr>
          <w:sz w:val="18"/>
          <w:szCs w:val="18"/>
          <w:lang w:val="el-GR"/>
        </w:rPr>
        <w:t>3</w:t>
      </w:r>
      <w:r w:rsidRPr="00492AA9">
        <w:rPr>
          <w:sz w:val="18"/>
          <w:szCs w:val="18"/>
          <w:lang w:val="el-GR"/>
        </w:rPr>
        <w:t xml:space="preserve">%. </w:t>
      </w:r>
      <w:r>
        <w:rPr>
          <w:sz w:val="18"/>
          <w:szCs w:val="18"/>
          <w:lang w:val="en-US"/>
        </w:rPr>
        <w:t>H</w:t>
      </w:r>
      <w:r w:rsidRPr="007246A9">
        <w:rPr>
          <w:sz w:val="18"/>
          <w:szCs w:val="18"/>
          <w:lang w:val="el-GR"/>
        </w:rPr>
        <w:t xml:space="preserve"> μη δημόσια καθοδήγηση για πρόσθετα αποθέματα του δείκτη Κεφαλαίου Κοινών Μετοχών Κατηγορίας 1 (CET1) με βάση τις κεφαλαιακές απαιτήσεις του Πυλώνα ΙΙ</w:t>
      </w:r>
      <w:r w:rsidRPr="00502B4F">
        <w:rPr>
          <w:sz w:val="18"/>
          <w:szCs w:val="18"/>
          <w:lang w:val="el-GR"/>
        </w:rPr>
        <w:t xml:space="preserve"> </w:t>
      </w:r>
      <w:r>
        <w:rPr>
          <w:sz w:val="18"/>
          <w:szCs w:val="18"/>
          <w:lang w:val="el-GR"/>
        </w:rPr>
        <w:t>αναμένεται να παραμείνει στα ίδια επίπεδα</w:t>
      </w:r>
      <w:r w:rsidRPr="007246A9">
        <w:rPr>
          <w:sz w:val="18"/>
          <w:szCs w:val="18"/>
          <w:lang w:val="el-GR"/>
        </w:rPr>
        <w:t xml:space="preserve"> σε σύγκριση με το </w:t>
      </w:r>
      <w:r>
        <w:rPr>
          <w:sz w:val="18"/>
          <w:szCs w:val="18"/>
          <w:lang w:val="el-GR"/>
        </w:rPr>
        <w:t xml:space="preserve">2024. </w:t>
      </w:r>
      <w:r w:rsidRPr="00AF53C3">
        <w:rPr>
          <w:b/>
          <w:bCs/>
          <w:sz w:val="18"/>
          <w:szCs w:val="18"/>
          <w:lang w:val="el-GR"/>
        </w:rPr>
        <w:t xml:space="preserve">Με βάση την προκαταρκτική απόφαση ΔΕΕΑ, η υφιστάμενη εποπτική έγκριση </w:t>
      </w:r>
      <w:r>
        <w:rPr>
          <w:b/>
          <w:bCs/>
          <w:sz w:val="18"/>
          <w:szCs w:val="18"/>
          <w:lang w:val="el-GR"/>
        </w:rPr>
        <w:t>πριν την</w:t>
      </w:r>
      <w:r w:rsidRPr="00AF53C3">
        <w:rPr>
          <w:b/>
          <w:bCs/>
          <w:sz w:val="18"/>
          <w:szCs w:val="18"/>
          <w:lang w:val="el-GR"/>
        </w:rPr>
        <w:t xml:space="preserve"> καταβολή μερίσματος αναμένεται να αρθεί, με ημερομηνία ισχύς από την 1 Ιανουαρίου 2025. </w:t>
      </w:r>
    </w:p>
    <w:p w14:paraId="131F61F9" w14:textId="0AFBBD97" w:rsidR="00C95733" w:rsidRPr="004964ED" w:rsidRDefault="00D81EEC" w:rsidP="000A6583">
      <w:pPr>
        <w:pStyle w:val="Default"/>
        <w:jc w:val="both"/>
        <w:rPr>
          <w:sz w:val="18"/>
          <w:szCs w:val="18"/>
          <w:lang w:val="el-GR"/>
        </w:rPr>
      </w:pPr>
      <w:r w:rsidRPr="00D81EEC">
        <w:rPr>
          <w:sz w:val="18"/>
          <w:szCs w:val="18"/>
          <w:lang w:val="el-GR"/>
        </w:rPr>
        <w:t xml:space="preserve"> </w:t>
      </w:r>
    </w:p>
    <w:p w14:paraId="22E83250" w14:textId="27833A38" w:rsidR="00C95733" w:rsidRPr="007246A9" w:rsidRDefault="00C95733" w:rsidP="000A6583">
      <w:pPr>
        <w:pStyle w:val="Default"/>
        <w:jc w:val="both"/>
        <w:rPr>
          <w:sz w:val="18"/>
          <w:szCs w:val="18"/>
          <w:lang w:val="el-GR"/>
        </w:rPr>
      </w:pPr>
      <w:r w:rsidRPr="007246A9">
        <w:rPr>
          <w:sz w:val="18"/>
          <w:szCs w:val="18"/>
          <w:lang w:val="el-GR"/>
        </w:rPr>
        <w:t xml:space="preserve">Στις 30 </w:t>
      </w:r>
      <w:r w:rsidR="00492AA9" w:rsidRPr="007246A9">
        <w:rPr>
          <w:sz w:val="18"/>
          <w:szCs w:val="18"/>
          <w:lang w:val="el-GR"/>
        </w:rPr>
        <w:t>Σεπτεμβρίου</w:t>
      </w:r>
      <w:r w:rsidRPr="007246A9">
        <w:rPr>
          <w:sz w:val="18"/>
          <w:szCs w:val="18"/>
          <w:lang w:val="el-GR"/>
        </w:rPr>
        <w:t xml:space="preserve"> 2024, η ελάχιστη απαίτηση για τον δείκτη Κεφαλαίου Κοινών Μετοχών Κατηγορίας 1 (</w:t>
      </w:r>
      <w:r w:rsidRPr="007246A9">
        <w:rPr>
          <w:sz w:val="18"/>
          <w:szCs w:val="18"/>
        </w:rPr>
        <w:t>CET</w:t>
      </w:r>
      <w:r w:rsidRPr="007246A9">
        <w:rPr>
          <w:sz w:val="18"/>
          <w:szCs w:val="18"/>
          <w:lang w:val="el-GR"/>
        </w:rPr>
        <w:t xml:space="preserve">1) με μεταβατικές διατάξεις του Συγκροτήματος έχει καθοριστεί σε </w:t>
      </w:r>
      <w:r w:rsidRPr="007246A9">
        <w:rPr>
          <w:b/>
          <w:bCs/>
          <w:sz w:val="18"/>
          <w:szCs w:val="18"/>
          <w:lang w:val="el-GR"/>
        </w:rPr>
        <w:t>11.36%</w:t>
      </w:r>
      <w:r w:rsidRPr="007246A9">
        <w:rPr>
          <w:sz w:val="18"/>
          <w:szCs w:val="18"/>
          <w:lang w:val="el-GR"/>
        </w:rPr>
        <w:t xml:space="preserve">, </w:t>
      </w:r>
      <w:r w:rsidR="008337B4">
        <w:rPr>
          <w:sz w:val="18"/>
          <w:szCs w:val="18"/>
          <w:lang w:val="el-GR"/>
        </w:rPr>
        <w:t>και</w:t>
      </w:r>
      <w:r w:rsidRPr="007246A9">
        <w:rPr>
          <w:sz w:val="18"/>
          <w:szCs w:val="18"/>
          <w:lang w:val="el-GR"/>
        </w:rPr>
        <w:t xml:space="preserve"> αποτελείται από απαιτήσεις του Πυλώνα Ι ύψους 4.50%, απαιτήσεις του Πυλώνα ΙΙ ύψους 1.55%, Απόθεμα Ασφαλείας Διατήρησης Κεφαλαίου (CCB) ύψους 2.50%,</w:t>
      </w:r>
      <w:r w:rsidR="00492AA9" w:rsidRPr="007246A9">
        <w:rPr>
          <w:sz w:val="18"/>
          <w:szCs w:val="18"/>
          <w:lang w:val="el-GR"/>
        </w:rPr>
        <w:t xml:space="preserve"> </w:t>
      </w:r>
      <w:r w:rsidRPr="007246A9">
        <w:rPr>
          <w:sz w:val="18"/>
          <w:szCs w:val="18"/>
          <w:lang w:val="el-GR"/>
        </w:rPr>
        <w:t xml:space="preserve">Απόθεμα Ασφαλείας των Άλλων Συστημικά Σημαντικών Ιδρυμάτων (O-SII) ύψους 1.875% και </w:t>
      </w:r>
      <w:proofErr w:type="spellStart"/>
      <w:r w:rsidRPr="007246A9">
        <w:rPr>
          <w:sz w:val="18"/>
          <w:szCs w:val="18"/>
          <w:lang w:val="el-GR"/>
        </w:rPr>
        <w:t>Αντικυκλικό</w:t>
      </w:r>
      <w:proofErr w:type="spellEnd"/>
      <w:r w:rsidRPr="007246A9">
        <w:rPr>
          <w:sz w:val="18"/>
          <w:szCs w:val="18"/>
          <w:lang w:val="el-GR"/>
        </w:rPr>
        <w:t xml:space="preserve"> Απόθεμα Ασφαλείας (</w:t>
      </w:r>
      <w:proofErr w:type="spellStart"/>
      <w:r w:rsidRPr="007246A9">
        <w:rPr>
          <w:sz w:val="18"/>
          <w:szCs w:val="18"/>
        </w:rPr>
        <w:t>CcyB</w:t>
      </w:r>
      <w:proofErr w:type="spellEnd"/>
      <w:r w:rsidRPr="007246A9">
        <w:rPr>
          <w:sz w:val="18"/>
          <w:szCs w:val="18"/>
          <w:lang w:val="el-GR"/>
        </w:rPr>
        <w:t>) ύψους περίπου</w:t>
      </w:r>
      <w:r w:rsidR="00492AA9" w:rsidRPr="007246A9">
        <w:rPr>
          <w:sz w:val="18"/>
          <w:szCs w:val="18"/>
          <w:lang w:val="el-GR"/>
        </w:rPr>
        <w:t xml:space="preserve"> </w:t>
      </w:r>
      <w:r w:rsidRPr="007246A9">
        <w:rPr>
          <w:sz w:val="18"/>
          <w:szCs w:val="18"/>
          <w:lang w:val="el-GR"/>
        </w:rPr>
        <w:t>0.9</w:t>
      </w:r>
      <w:r w:rsidR="00AF53C3">
        <w:rPr>
          <w:sz w:val="18"/>
          <w:szCs w:val="18"/>
          <w:lang w:val="el-GR"/>
        </w:rPr>
        <w:t>3</w:t>
      </w:r>
      <w:r w:rsidRPr="007246A9">
        <w:rPr>
          <w:sz w:val="18"/>
          <w:szCs w:val="18"/>
          <w:lang w:val="el-GR"/>
        </w:rPr>
        <w:t>%.</w:t>
      </w:r>
      <w:r w:rsidR="00492AA9" w:rsidRPr="00492AA9">
        <w:rPr>
          <w:color w:val="auto"/>
          <w:sz w:val="18"/>
          <w:szCs w:val="18"/>
          <w:lang w:val="el-GR"/>
        </w:rPr>
        <w:t xml:space="preserve"> </w:t>
      </w:r>
      <w:r w:rsidRPr="007246A9">
        <w:rPr>
          <w:sz w:val="18"/>
          <w:szCs w:val="18"/>
          <w:lang w:val="el-GR"/>
        </w:rPr>
        <w:t>Αντίστοιχα, η ελάχιστη απαίτηση για τον Συνολικό Δείκτη Κεφαλαιακής Επάρκειας με μεταβατικές διατάξεις του Συγκροτήματος έχει καθοριστεί</w:t>
      </w:r>
      <w:r w:rsidRPr="007246A9" w:rsidDel="00BA08C0">
        <w:rPr>
          <w:sz w:val="18"/>
          <w:szCs w:val="18"/>
          <w:lang w:val="el-GR"/>
        </w:rPr>
        <w:t xml:space="preserve"> </w:t>
      </w:r>
      <w:r w:rsidRPr="007246A9">
        <w:rPr>
          <w:sz w:val="18"/>
          <w:szCs w:val="18"/>
          <w:lang w:val="el-GR"/>
        </w:rPr>
        <w:t xml:space="preserve">σε </w:t>
      </w:r>
      <w:r w:rsidRPr="007246A9">
        <w:rPr>
          <w:b/>
          <w:bCs/>
          <w:sz w:val="18"/>
          <w:szCs w:val="18"/>
          <w:lang w:val="el-GR"/>
        </w:rPr>
        <w:t>16.06%,</w:t>
      </w:r>
      <w:r w:rsidR="008337B4">
        <w:rPr>
          <w:sz w:val="18"/>
          <w:szCs w:val="18"/>
          <w:lang w:val="el-GR"/>
        </w:rPr>
        <w:t xml:space="preserve"> και </w:t>
      </w:r>
      <w:r w:rsidRPr="007246A9">
        <w:rPr>
          <w:sz w:val="18"/>
          <w:szCs w:val="18"/>
          <w:lang w:val="el-GR"/>
        </w:rPr>
        <w:t xml:space="preserve">αποτελείται από απαιτήσεις του Πυλώνα Ι ύψους 8.00%, εκ των οποίων 1.50% μπορεί να είναι υπό μορφή Πρόσθετων Κεφαλαίων Κατηγορίας 1 (ΑΤ1) και μέχρι 2.00% υπό μορφή Κεφαλαίου Κατηγορίας 2 (Τ2),  απαιτήσεις του Πυλώνα ΙΙ ύψους 2.75%, Απόθεμα Ασφαλείας Διατήρησης Κεφαλαίου (CCB) ύψους 2.50%, Απόθεμα Ασφαλείας των Άλλων Συστημικά Σημαντικών Ιδρυμάτων (O-SII) ύψους 1.875% και </w:t>
      </w:r>
      <w:proofErr w:type="spellStart"/>
      <w:r w:rsidRPr="007246A9">
        <w:rPr>
          <w:sz w:val="18"/>
          <w:szCs w:val="18"/>
          <w:lang w:val="el-GR"/>
        </w:rPr>
        <w:t>Αντικυκλικό</w:t>
      </w:r>
      <w:proofErr w:type="spellEnd"/>
      <w:r w:rsidRPr="007246A9">
        <w:rPr>
          <w:sz w:val="18"/>
          <w:szCs w:val="18"/>
          <w:lang w:val="el-GR"/>
        </w:rPr>
        <w:t xml:space="preserve"> Απόθεμα Ασφαλείας (</w:t>
      </w:r>
      <w:proofErr w:type="spellStart"/>
      <w:r w:rsidRPr="007246A9">
        <w:rPr>
          <w:sz w:val="18"/>
          <w:szCs w:val="18"/>
        </w:rPr>
        <w:t>CcyB</w:t>
      </w:r>
      <w:proofErr w:type="spellEnd"/>
      <w:r w:rsidRPr="007246A9">
        <w:rPr>
          <w:sz w:val="18"/>
          <w:szCs w:val="18"/>
          <w:lang w:val="el-GR"/>
        </w:rPr>
        <w:t>) ύψους περίπου 0.9</w:t>
      </w:r>
      <w:r w:rsidR="00AF53C3">
        <w:rPr>
          <w:sz w:val="18"/>
          <w:szCs w:val="18"/>
          <w:lang w:val="el-GR"/>
        </w:rPr>
        <w:t>3</w:t>
      </w:r>
      <w:r w:rsidRPr="007246A9">
        <w:rPr>
          <w:sz w:val="18"/>
          <w:szCs w:val="18"/>
          <w:lang w:val="el-GR"/>
        </w:rPr>
        <w:t>%. Η ΕΚΤ έχει</w:t>
      </w:r>
      <w:r w:rsidR="00492AA9" w:rsidRPr="007246A9">
        <w:rPr>
          <w:sz w:val="18"/>
          <w:szCs w:val="18"/>
          <w:lang w:val="el-GR"/>
        </w:rPr>
        <w:t xml:space="preserve"> επίσης </w:t>
      </w:r>
      <w:r w:rsidRPr="007246A9">
        <w:rPr>
          <w:sz w:val="18"/>
          <w:szCs w:val="18"/>
          <w:lang w:val="el-GR"/>
        </w:rPr>
        <w:t xml:space="preserve">δώσει επίσης αναθεωρημένη χαμηλότερη μη δημόσια καθοδήγηση για πρόσθετα αποθέματα του δείκτη Κεφαλαίου Κοινών Μετοχών Κατηγορίας 1 (CET1) με βάση τις κεφαλαιακές απαιτήσεις του Πυλώνα ΙΙ, σε σύγκριση με το </w:t>
      </w:r>
      <w:r w:rsidR="001E4473">
        <w:rPr>
          <w:sz w:val="18"/>
          <w:szCs w:val="18"/>
          <w:lang w:val="el-GR"/>
        </w:rPr>
        <w:t>2023.</w:t>
      </w:r>
      <w:r w:rsidRPr="007246A9">
        <w:rPr>
          <w:sz w:val="18"/>
          <w:szCs w:val="18"/>
          <w:lang w:val="el-GR"/>
        </w:rPr>
        <w:t xml:space="preserve"> </w:t>
      </w:r>
    </w:p>
    <w:p w14:paraId="75560355" w14:textId="77777777" w:rsidR="00FB6879" w:rsidRPr="007246A9" w:rsidRDefault="00FB6879" w:rsidP="000A6583">
      <w:pPr>
        <w:pStyle w:val="Default"/>
        <w:jc w:val="both"/>
        <w:rPr>
          <w:sz w:val="18"/>
          <w:szCs w:val="18"/>
          <w:lang w:val="el-GR"/>
        </w:rPr>
      </w:pPr>
    </w:p>
    <w:p w14:paraId="09C983FA" w14:textId="444D6A1A" w:rsidR="000A6583" w:rsidRPr="00D41B36" w:rsidRDefault="000A6583" w:rsidP="000A6583">
      <w:pPr>
        <w:pStyle w:val="Default"/>
        <w:jc w:val="both"/>
        <w:rPr>
          <w:sz w:val="18"/>
          <w:szCs w:val="18"/>
          <w:highlight w:val="yellow"/>
          <w:lang w:val="el-GR"/>
        </w:rPr>
      </w:pPr>
      <w:r w:rsidRPr="007246A9">
        <w:rPr>
          <w:sz w:val="18"/>
          <w:szCs w:val="18"/>
          <w:lang w:val="el-GR"/>
        </w:rPr>
        <w:t xml:space="preserve">Στις 30 Νοεμβρίου 2022, η Κεντρική Τράπεζα της Κύπρου (ΚΤΚ), σε συνέχεια αναθεωρημένης μεθοδολογίας όπως περιλαμβάνεται στη </w:t>
      </w:r>
      <w:proofErr w:type="spellStart"/>
      <w:r w:rsidRPr="007246A9">
        <w:rPr>
          <w:sz w:val="18"/>
          <w:szCs w:val="18"/>
          <w:lang w:val="el-GR"/>
        </w:rPr>
        <w:t>μακροπροληπτική</w:t>
      </w:r>
      <w:proofErr w:type="spellEnd"/>
      <w:r w:rsidRPr="007246A9">
        <w:rPr>
          <w:sz w:val="18"/>
          <w:szCs w:val="18"/>
          <w:lang w:val="el-GR"/>
        </w:rPr>
        <w:t xml:space="preserve"> πολιτική της, αποφάσισε να αυξήσει το </w:t>
      </w:r>
      <w:proofErr w:type="spellStart"/>
      <w:r w:rsidRPr="007246A9">
        <w:rPr>
          <w:sz w:val="18"/>
          <w:szCs w:val="18"/>
          <w:lang w:val="el-GR"/>
        </w:rPr>
        <w:t>Αντικυκλικό</w:t>
      </w:r>
      <w:proofErr w:type="spellEnd"/>
      <w:r w:rsidRPr="007246A9">
        <w:rPr>
          <w:sz w:val="18"/>
          <w:szCs w:val="18"/>
          <w:lang w:val="el-GR"/>
        </w:rPr>
        <w:t xml:space="preserve"> Απόθεμα Ασφαλείας (</w:t>
      </w:r>
      <w:proofErr w:type="spellStart"/>
      <w:r w:rsidRPr="007246A9">
        <w:rPr>
          <w:sz w:val="18"/>
          <w:szCs w:val="18"/>
        </w:rPr>
        <w:t>CcyB</w:t>
      </w:r>
      <w:proofErr w:type="spellEnd"/>
      <w:r w:rsidRPr="007246A9">
        <w:rPr>
          <w:sz w:val="18"/>
          <w:szCs w:val="18"/>
          <w:lang w:val="el-GR"/>
        </w:rPr>
        <w:t xml:space="preserve">) από 0.00% στο 0.50% του συνολικού ποσού έκθεσης σε κίνδυνο στην Κύπρο για κάθε </w:t>
      </w:r>
      <w:proofErr w:type="spellStart"/>
      <w:r w:rsidRPr="007246A9">
        <w:rPr>
          <w:sz w:val="18"/>
          <w:szCs w:val="18"/>
          <w:lang w:val="el-GR"/>
        </w:rPr>
        <w:t>αδειοδοτημένο</w:t>
      </w:r>
      <w:proofErr w:type="spellEnd"/>
      <w:r w:rsidRPr="007246A9">
        <w:rPr>
          <w:sz w:val="18"/>
          <w:szCs w:val="18"/>
          <w:lang w:val="el-GR"/>
        </w:rPr>
        <w:t xml:space="preserve"> πιστωτικό ίδρυμα που έχει συσταθεί στην Κύπρο, το οποίο τέθηκε σε εφαρμογή στις 30 Νοεμβρίου 2023. Επιπρόσθετα, τον Ιούνιο 2023 η ΚΤΚ ανακοίνωσε επιπρόσθετη αύξηση ύψους 0.50% στο </w:t>
      </w:r>
      <w:proofErr w:type="spellStart"/>
      <w:r w:rsidRPr="007246A9">
        <w:rPr>
          <w:sz w:val="18"/>
          <w:szCs w:val="18"/>
          <w:lang w:val="el-GR"/>
        </w:rPr>
        <w:t>Αντικυκλικό</w:t>
      </w:r>
      <w:proofErr w:type="spellEnd"/>
      <w:r w:rsidRPr="007246A9">
        <w:rPr>
          <w:sz w:val="18"/>
          <w:szCs w:val="18"/>
          <w:lang w:val="el-GR"/>
        </w:rPr>
        <w:t xml:space="preserve"> Απόθεμα Ασφαλείας (</w:t>
      </w:r>
      <w:proofErr w:type="spellStart"/>
      <w:r w:rsidRPr="007246A9">
        <w:rPr>
          <w:sz w:val="18"/>
          <w:szCs w:val="18"/>
          <w:lang w:val="el-GR"/>
        </w:rPr>
        <w:t>CcyB</w:t>
      </w:r>
      <w:proofErr w:type="spellEnd"/>
      <w:r w:rsidRPr="007246A9">
        <w:rPr>
          <w:sz w:val="18"/>
          <w:szCs w:val="18"/>
          <w:lang w:val="el-GR"/>
        </w:rPr>
        <w:t xml:space="preserve">) του συνολικού ποσού έκθεσης σε κίνδυνο στην Κύπρο για κάθε </w:t>
      </w:r>
      <w:proofErr w:type="spellStart"/>
      <w:r w:rsidRPr="007246A9">
        <w:rPr>
          <w:sz w:val="18"/>
          <w:szCs w:val="18"/>
          <w:lang w:val="el-GR"/>
        </w:rPr>
        <w:t>αδειοδοτημένο</w:t>
      </w:r>
      <w:proofErr w:type="spellEnd"/>
      <w:r w:rsidRPr="007246A9">
        <w:rPr>
          <w:sz w:val="18"/>
          <w:szCs w:val="18"/>
          <w:lang w:val="el-GR"/>
        </w:rPr>
        <w:t xml:space="preserve"> πιστωτικό ίδρυμα που έχει συσταθεί στην Κύπρο. Η αύξηση αυτή </w:t>
      </w:r>
      <w:r w:rsidR="000537EC" w:rsidRPr="007246A9">
        <w:rPr>
          <w:sz w:val="18"/>
          <w:szCs w:val="18"/>
          <w:lang w:val="el-GR"/>
        </w:rPr>
        <w:t xml:space="preserve">τέθηκε </w:t>
      </w:r>
      <w:r w:rsidRPr="007246A9">
        <w:rPr>
          <w:sz w:val="18"/>
          <w:szCs w:val="18"/>
          <w:lang w:val="el-GR"/>
        </w:rPr>
        <w:t xml:space="preserve">σε εφαρμογή τον Ιούνιο 2024, αυξάνοντας το </w:t>
      </w:r>
      <w:proofErr w:type="spellStart"/>
      <w:r w:rsidRPr="007246A9">
        <w:rPr>
          <w:sz w:val="18"/>
          <w:szCs w:val="18"/>
          <w:lang w:val="el-GR"/>
        </w:rPr>
        <w:t>Αντικυκλικό</w:t>
      </w:r>
      <w:proofErr w:type="spellEnd"/>
      <w:r w:rsidRPr="007246A9">
        <w:rPr>
          <w:sz w:val="18"/>
          <w:szCs w:val="18"/>
          <w:lang w:val="el-GR"/>
        </w:rPr>
        <w:t xml:space="preserve"> Απόθεμα Ασφαλείας (</w:t>
      </w:r>
      <w:proofErr w:type="spellStart"/>
      <w:r w:rsidRPr="007246A9">
        <w:rPr>
          <w:sz w:val="18"/>
          <w:szCs w:val="18"/>
        </w:rPr>
        <w:t>CcyB</w:t>
      </w:r>
      <w:proofErr w:type="spellEnd"/>
      <w:r w:rsidRPr="007246A9">
        <w:rPr>
          <w:sz w:val="18"/>
          <w:szCs w:val="18"/>
          <w:lang w:val="el-GR"/>
        </w:rPr>
        <w:t xml:space="preserve">) σε 1.00%. Ως αποτέλεσμα, το </w:t>
      </w:r>
      <w:proofErr w:type="spellStart"/>
      <w:r w:rsidRPr="007246A9">
        <w:rPr>
          <w:sz w:val="18"/>
          <w:szCs w:val="18"/>
          <w:lang w:val="el-GR"/>
        </w:rPr>
        <w:t>Αντικυκλικό</w:t>
      </w:r>
      <w:proofErr w:type="spellEnd"/>
      <w:r w:rsidRPr="007246A9">
        <w:rPr>
          <w:sz w:val="18"/>
          <w:szCs w:val="18"/>
          <w:lang w:val="el-GR"/>
        </w:rPr>
        <w:t xml:space="preserve"> Απόθεμα Ασφαλείας (</w:t>
      </w:r>
      <w:proofErr w:type="spellStart"/>
      <w:r w:rsidRPr="007246A9">
        <w:rPr>
          <w:sz w:val="18"/>
          <w:szCs w:val="18"/>
        </w:rPr>
        <w:t>CcyB</w:t>
      </w:r>
      <w:proofErr w:type="spellEnd"/>
      <w:r w:rsidRPr="007246A9">
        <w:rPr>
          <w:sz w:val="18"/>
          <w:szCs w:val="18"/>
          <w:lang w:val="el-GR"/>
        </w:rPr>
        <w:t xml:space="preserve">) του Συγκροτήματος </w:t>
      </w:r>
      <w:r w:rsidR="009072B6" w:rsidRPr="007246A9">
        <w:rPr>
          <w:sz w:val="18"/>
          <w:szCs w:val="18"/>
          <w:lang w:val="el-GR"/>
        </w:rPr>
        <w:t>ανήλθε</w:t>
      </w:r>
      <w:r w:rsidRPr="007246A9">
        <w:rPr>
          <w:sz w:val="18"/>
          <w:szCs w:val="18"/>
          <w:lang w:val="el-GR"/>
        </w:rPr>
        <w:t xml:space="preserve"> σε </w:t>
      </w:r>
      <w:r w:rsidR="000537EC" w:rsidRPr="007246A9">
        <w:rPr>
          <w:sz w:val="18"/>
          <w:szCs w:val="18"/>
          <w:lang w:val="el-GR"/>
        </w:rPr>
        <w:t xml:space="preserve">περίπου </w:t>
      </w:r>
      <w:r w:rsidRPr="007246A9">
        <w:rPr>
          <w:sz w:val="18"/>
          <w:szCs w:val="18"/>
          <w:lang w:val="el-GR"/>
        </w:rPr>
        <w:t>0.9</w:t>
      </w:r>
      <w:r w:rsidR="00AF53C3">
        <w:rPr>
          <w:sz w:val="18"/>
          <w:szCs w:val="18"/>
          <w:lang w:val="el-GR"/>
        </w:rPr>
        <w:t>3</w:t>
      </w:r>
      <w:r w:rsidRPr="007246A9">
        <w:rPr>
          <w:sz w:val="18"/>
          <w:szCs w:val="18"/>
          <w:lang w:val="el-GR"/>
        </w:rPr>
        <w:t xml:space="preserve">% στις 30 </w:t>
      </w:r>
      <w:r w:rsidR="00442A03" w:rsidRPr="007246A9">
        <w:rPr>
          <w:sz w:val="18"/>
          <w:szCs w:val="18"/>
          <w:lang w:val="el-GR"/>
        </w:rPr>
        <w:t xml:space="preserve">Σεπτεμβρίου </w:t>
      </w:r>
      <w:r w:rsidRPr="007246A9">
        <w:rPr>
          <w:sz w:val="18"/>
          <w:szCs w:val="18"/>
          <w:lang w:val="el-GR"/>
        </w:rPr>
        <w:t>2024.</w:t>
      </w:r>
    </w:p>
    <w:p w14:paraId="0048135E" w14:textId="77777777" w:rsidR="004B12E2" w:rsidRPr="007246A9" w:rsidRDefault="004B12E2" w:rsidP="000A6583">
      <w:pPr>
        <w:pStyle w:val="Default"/>
        <w:jc w:val="both"/>
        <w:rPr>
          <w:sz w:val="18"/>
          <w:szCs w:val="18"/>
          <w:lang w:val="el-GR"/>
        </w:rPr>
      </w:pPr>
    </w:p>
    <w:p w14:paraId="7C39B517" w14:textId="722F3F2B" w:rsidR="00870528" w:rsidRPr="00D41B36" w:rsidRDefault="004B12E2" w:rsidP="007246A9">
      <w:pPr>
        <w:spacing w:line="240" w:lineRule="auto"/>
        <w:jc w:val="both"/>
        <w:rPr>
          <w:highlight w:val="yellow"/>
          <w:lang w:val="el-GR"/>
        </w:rPr>
      </w:pPr>
      <w:r w:rsidRPr="007246A9">
        <w:rPr>
          <w:rFonts w:ascii="Arial" w:hAnsi="Arial" w:cs="Arial"/>
          <w:sz w:val="18"/>
          <w:szCs w:val="18"/>
          <w:lang w:val="el-GR"/>
        </w:rPr>
        <w:t>Η Τράπεζα έχει προσδιοριστεί ως Άλλο Συστημικά Σημαντικό Ίδρυμα (</w:t>
      </w:r>
      <w:r w:rsidRPr="007246A9">
        <w:rPr>
          <w:rFonts w:ascii="Arial" w:hAnsi="Arial" w:cs="Arial"/>
          <w:b/>
          <w:bCs/>
          <w:sz w:val="18"/>
          <w:szCs w:val="18"/>
          <w:lang w:val="en-US"/>
        </w:rPr>
        <w:t>O</w:t>
      </w:r>
      <w:r w:rsidRPr="007246A9">
        <w:rPr>
          <w:rFonts w:ascii="Arial" w:hAnsi="Arial" w:cs="Arial"/>
          <w:b/>
          <w:bCs/>
          <w:sz w:val="18"/>
          <w:szCs w:val="18"/>
          <w:lang w:val="el-GR"/>
        </w:rPr>
        <w:t>-</w:t>
      </w:r>
      <w:r w:rsidRPr="007246A9">
        <w:rPr>
          <w:rFonts w:ascii="Arial" w:hAnsi="Arial" w:cs="Arial"/>
          <w:b/>
          <w:bCs/>
          <w:sz w:val="18"/>
          <w:szCs w:val="18"/>
          <w:lang w:val="en-US"/>
        </w:rPr>
        <w:t>SII</w:t>
      </w:r>
      <w:r w:rsidRPr="007246A9">
        <w:rPr>
          <w:rFonts w:ascii="Arial" w:hAnsi="Arial" w:cs="Arial"/>
          <w:sz w:val="18"/>
          <w:szCs w:val="18"/>
          <w:lang w:val="el-GR"/>
        </w:rPr>
        <w:t xml:space="preserve">) από την ΚΤΚ σύμφωνα με τις διατάξεις του περί </w:t>
      </w:r>
      <w:proofErr w:type="spellStart"/>
      <w:r w:rsidRPr="007246A9">
        <w:rPr>
          <w:rFonts w:ascii="Arial" w:hAnsi="Arial" w:cs="Arial"/>
          <w:sz w:val="18"/>
          <w:szCs w:val="18"/>
          <w:lang w:val="el-GR"/>
        </w:rPr>
        <w:t>Μακροπροληπτικής</w:t>
      </w:r>
      <w:proofErr w:type="spellEnd"/>
      <w:r w:rsidRPr="007246A9">
        <w:rPr>
          <w:rFonts w:ascii="Arial" w:hAnsi="Arial" w:cs="Arial"/>
          <w:sz w:val="18"/>
          <w:szCs w:val="18"/>
          <w:lang w:val="el-GR"/>
        </w:rPr>
        <w:t xml:space="preserve"> Εποπτείας των Ιδρυμάτων Νόμου του 2015 και το σχετικό κεφαλαιακό Απόθεμα Ασφαλείας των Άλλων Συστημικά Σημαντικών Ιδρυμάτων</w:t>
      </w:r>
      <w:r w:rsidRPr="007246A9" w:rsidDel="00657F4D">
        <w:rPr>
          <w:rFonts w:ascii="Arial" w:hAnsi="Arial" w:cs="Arial"/>
          <w:sz w:val="18"/>
          <w:szCs w:val="18"/>
          <w:lang w:val="el-GR"/>
        </w:rPr>
        <w:t xml:space="preserve"> </w:t>
      </w:r>
      <w:r w:rsidRPr="007246A9">
        <w:rPr>
          <w:rFonts w:ascii="Arial" w:hAnsi="Arial" w:cs="Arial"/>
          <w:sz w:val="18"/>
          <w:szCs w:val="18"/>
          <w:lang w:val="el-GR"/>
        </w:rPr>
        <w:t xml:space="preserve">(O-SII) του Συγκροτήματος </w:t>
      </w:r>
      <w:r w:rsidR="001E4473">
        <w:rPr>
          <w:rFonts w:ascii="Arial" w:hAnsi="Arial" w:cs="Arial"/>
          <w:sz w:val="18"/>
          <w:szCs w:val="18"/>
          <w:lang w:val="el-GR"/>
        </w:rPr>
        <w:t>ανήλθε</w:t>
      </w:r>
      <w:r w:rsidRPr="007246A9">
        <w:rPr>
          <w:rFonts w:ascii="Arial" w:hAnsi="Arial" w:cs="Arial"/>
          <w:sz w:val="18"/>
          <w:szCs w:val="18"/>
          <w:lang w:val="el-GR"/>
        </w:rPr>
        <w:t xml:space="preserve"> σε 1.875% την 1 Ιανουαρίου 2024.</w:t>
      </w:r>
      <w:r w:rsidR="008301A6" w:rsidRPr="008301A6">
        <w:rPr>
          <w:rFonts w:ascii="Arial" w:hAnsi="Arial" w:cs="Arial"/>
          <w:sz w:val="18"/>
          <w:szCs w:val="18"/>
          <w:lang w:val="el-GR"/>
        </w:rPr>
        <w:t xml:space="preserve"> </w:t>
      </w:r>
      <w:r w:rsidRPr="007246A9">
        <w:rPr>
          <w:rFonts w:ascii="Arial" w:hAnsi="Arial" w:cs="Arial"/>
          <w:sz w:val="18"/>
          <w:szCs w:val="18"/>
          <w:lang w:val="el-GR"/>
        </w:rPr>
        <w:t>Τον Απρίλιο 2024, σε συνέχεια αναθεώρησης της πολιτικής της ΚΤΚ για τον προσδιορισμό πιστωτικών ιδρυμάτων ως Άλλα Συστημικά Σημαντικά Ιδρύματα (O-SII) και τον καθορισμό του αποθέματος που πρέπει να τηρείται, το κεφαλαιακό Απόθεμα Ασφαλείας των Άλλων Συστημικά Σημαντικών Ιδρυμάτων</w:t>
      </w:r>
      <w:r w:rsidRPr="007246A9" w:rsidDel="00657F4D">
        <w:rPr>
          <w:rFonts w:ascii="Arial" w:hAnsi="Arial" w:cs="Arial"/>
          <w:sz w:val="18"/>
          <w:szCs w:val="18"/>
          <w:lang w:val="el-GR"/>
        </w:rPr>
        <w:t xml:space="preserve"> </w:t>
      </w:r>
      <w:r w:rsidRPr="007246A9">
        <w:rPr>
          <w:rFonts w:ascii="Arial" w:hAnsi="Arial" w:cs="Arial"/>
          <w:sz w:val="18"/>
          <w:szCs w:val="18"/>
          <w:lang w:val="el-GR"/>
        </w:rPr>
        <w:t>(O-SII) του Συγκροτήματος έχει μειωθεί σε 2.00% κατά την 1 Ιανουαρίου 2026 (σε σύγκριση με την προηγούμενή αξιολόγηση που καθόριζε το κεφαλαιακό Απόθεμα Ασφαλείας των Άλλων Συστημικά Σημαντικών Ιδρυμάτων</w:t>
      </w:r>
      <w:r w:rsidRPr="007246A9" w:rsidDel="00657F4D">
        <w:rPr>
          <w:rFonts w:ascii="Arial" w:hAnsi="Arial" w:cs="Arial"/>
          <w:sz w:val="18"/>
          <w:szCs w:val="18"/>
          <w:lang w:val="el-GR"/>
        </w:rPr>
        <w:t xml:space="preserve"> </w:t>
      </w:r>
      <w:r w:rsidRPr="007246A9">
        <w:rPr>
          <w:rFonts w:ascii="Arial" w:hAnsi="Arial" w:cs="Arial"/>
          <w:sz w:val="18"/>
          <w:szCs w:val="18"/>
          <w:lang w:val="el-GR"/>
        </w:rPr>
        <w:t>(O-SII) του Συγκροτήματος σε 2.25% κατά την 1 Ιανουαρίου 2025). Το αναθεωρημένο Απόθεμα Ασφαλείας των Άλλων Συστημικά Σημαντικών Ιδρυμάτων</w:t>
      </w:r>
      <w:r w:rsidRPr="007246A9" w:rsidDel="00657F4D">
        <w:rPr>
          <w:rFonts w:ascii="Arial" w:hAnsi="Arial" w:cs="Arial"/>
          <w:sz w:val="18"/>
          <w:szCs w:val="18"/>
          <w:lang w:val="el-GR"/>
        </w:rPr>
        <w:t xml:space="preserve"> </w:t>
      </w:r>
      <w:r w:rsidRPr="007246A9">
        <w:rPr>
          <w:rFonts w:ascii="Arial" w:hAnsi="Arial" w:cs="Arial"/>
          <w:sz w:val="18"/>
          <w:szCs w:val="18"/>
          <w:lang w:val="el-GR"/>
        </w:rPr>
        <w:t xml:space="preserve">(O-SII) του Συγκροτήματος θα εφαρμόζεται σταδιακά κατά 6.25 </w:t>
      </w:r>
      <w:proofErr w:type="spellStart"/>
      <w:r w:rsidRPr="007246A9">
        <w:rPr>
          <w:rFonts w:ascii="Arial" w:hAnsi="Arial" w:cs="Arial"/>
          <w:sz w:val="18"/>
          <w:szCs w:val="18"/>
          <w:lang w:val="el-GR"/>
        </w:rPr>
        <w:t>μ.β</w:t>
      </w:r>
      <w:proofErr w:type="spellEnd"/>
      <w:r w:rsidRPr="007246A9">
        <w:rPr>
          <w:rFonts w:ascii="Arial" w:hAnsi="Arial" w:cs="Arial"/>
          <w:sz w:val="18"/>
          <w:szCs w:val="18"/>
          <w:lang w:val="el-GR"/>
        </w:rPr>
        <w:t xml:space="preserve">. ανά έτος από τα σημερινά επίπεδα ύψους 1.875%, και θα ανέλθει σε 1.9375% την 1 Ιανουαρίου 2025 και σε 2.00% την 1 Ιανουαρίου 2026.  </w:t>
      </w:r>
    </w:p>
    <w:p w14:paraId="5E237AA4" w14:textId="77777777" w:rsidR="00352599" w:rsidRPr="007246A9" w:rsidRDefault="00352599" w:rsidP="00D26789">
      <w:pPr>
        <w:spacing w:after="0" w:line="240" w:lineRule="auto"/>
        <w:jc w:val="both"/>
        <w:rPr>
          <w:rFonts w:ascii="Arial" w:hAnsi="Arial" w:cs="Arial"/>
          <w:sz w:val="18"/>
          <w:szCs w:val="18"/>
          <w:lang w:val="el-GR"/>
        </w:rPr>
      </w:pPr>
      <w:r w:rsidRPr="007246A9">
        <w:rPr>
          <w:rFonts w:ascii="Arial" w:hAnsi="Arial" w:cs="Arial"/>
          <w:sz w:val="18"/>
          <w:szCs w:val="18"/>
          <w:lang w:val="el-GR"/>
        </w:rPr>
        <w:t xml:space="preserve">Τα ίδια κεφάλαια που κατέχονται για σκοπούς Καθοδήγησης του Πυλώνα II δεν μπορούν να χρησιμοποιηθούν για την ικανοποίηση οποιωνδήποτε άλλων κεφαλαιακών απαιτήσεων (απαιτήσεις του Πυλώνα Ι, απαιτήσεις του Πυλώνα ΙΙ ή την απαίτηση του συνδυασμένου αποθέματος ασφαλείας), κι ως εκ τούτου δεν μπορούν να χρησιμοποιηθούν δύο φορές. </w:t>
      </w:r>
    </w:p>
    <w:p w14:paraId="7E58CEBA" w14:textId="77777777" w:rsidR="006B1F4F" w:rsidRPr="00D41B36" w:rsidRDefault="006B1F4F">
      <w:pPr>
        <w:pStyle w:val="Default"/>
        <w:jc w:val="both"/>
        <w:rPr>
          <w:color w:val="FF0000"/>
          <w:sz w:val="18"/>
          <w:szCs w:val="18"/>
          <w:highlight w:val="yellow"/>
          <w:lang w:val="el-GR"/>
        </w:rPr>
      </w:pPr>
    </w:p>
    <w:p w14:paraId="4BC9C706" w14:textId="0BC2D74E" w:rsidR="00C4407A" w:rsidRPr="007246A9" w:rsidRDefault="006E6709" w:rsidP="006A1797">
      <w:pPr>
        <w:pStyle w:val="BodyText3"/>
        <w:spacing w:line="360" w:lineRule="auto"/>
        <w:jc w:val="both"/>
        <w:rPr>
          <w:lang w:val="el-GR"/>
        </w:rPr>
      </w:pPr>
      <w:r w:rsidRPr="007246A9">
        <w:rPr>
          <w:rFonts w:ascii="Arial" w:hAnsi="Arial" w:cs="Arial"/>
          <w:b/>
          <w:bCs/>
          <w:color w:val="FF9900"/>
          <w:sz w:val="20"/>
          <w:lang w:val="el-GR"/>
        </w:rPr>
        <w:t>Διανομές</w:t>
      </w:r>
    </w:p>
    <w:p w14:paraId="40A31B32" w14:textId="677516A0" w:rsidR="00EC3823" w:rsidRPr="007246A9" w:rsidRDefault="00EC3823" w:rsidP="00EC3823">
      <w:pPr>
        <w:spacing w:after="0" w:line="240" w:lineRule="auto"/>
        <w:jc w:val="both"/>
        <w:rPr>
          <w:rFonts w:ascii="Arial" w:hAnsi="Arial" w:cs="Arial"/>
          <w:bCs/>
          <w:sz w:val="18"/>
          <w:szCs w:val="28"/>
          <w:lang w:val="el-GR"/>
        </w:rPr>
      </w:pPr>
      <w:r w:rsidRPr="007246A9">
        <w:rPr>
          <w:rFonts w:ascii="Arial" w:hAnsi="Arial" w:cs="Arial"/>
          <w:bCs/>
          <w:sz w:val="18"/>
          <w:szCs w:val="28"/>
          <w:lang w:val="el-GR"/>
        </w:rPr>
        <w:t>Τον Απρίλιο 2023, η Εταιρία έλαβε έγκριση από την ΕΚΤ για πληρωμή μερίσματος</w:t>
      </w:r>
      <w:r w:rsidR="00EF0C5E" w:rsidRPr="007246A9">
        <w:rPr>
          <w:rFonts w:ascii="Arial" w:hAnsi="Arial" w:cs="Arial"/>
          <w:bCs/>
          <w:sz w:val="18"/>
          <w:szCs w:val="28"/>
          <w:lang w:val="el-GR"/>
        </w:rPr>
        <w:t xml:space="preserve"> </w:t>
      </w:r>
      <w:r w:rsidRPr="007246A9">
        <w:rPr>
          <w:rFonts w:ascii="Arial" w:hAnsi="Arial" w:cs="Arial"/>
          <w:bCs/>
          <w:sz w:val="18"/>
          <w:szCs w:val="28"/>
          <w:lang w:val="el-GR"/>
        </w:rPr>
        <w:t>ύψους €0.05 ανά συνήθη</w:t>
      </w:r>
      <w:r w:rsidR="00EF0C5E" w:rsidRPr="007246A9">
        <w:rPr>
          <w:rFonts w:ascii="Arial" w:hAnsi="Arial" w:cs="Arial"/>
          <w:bCs/>
          <w:sz w:val="18"/>
          <w:szCs w:val="28"/>
          <w:lang w:val="el-GR"/>
        </w:rPr>
        <w:t xml:space="preserve"> </w:t>
      </w:r>
      <w:r w:rsidRPr="007246A9">
        <w:rPr>
          <w:rFonts w:ascii="Arial" w:hAnsi="Arial" w:cs="Arial"/>
          <w:bCs/>
          <w:sz w:val="18"/>
          <w:szCs w:val="28"/>
          <w:lang w:val="el-GR"/>
        </w:rPr>
        <w:t>μετοχή από τα κέρδη για το έτος που έληξε στις 31 Δεκεμβρίου 2022</w:t>
      </w:r>
      <w:r w:rsidR="00EF0C5E" w:rsidRPr="007246A9">
        <w:rPr>
          <w:rFonts w:ascii="Arial" w:hAnsi="Arial" w:cs="Arial"/>
          <w:bCs/>
          <w:sz w:val="18"/>
          <w:szCs w:val="28"/>
          <w:lang w:val="el-GR"/>
        </w:rPr>
        <w:t xml:space="preserve">. Αυτό </w:t>
      </w:r>
      <w:r w:rsidR="00AC7A39" w:rsidRPr="007246A9">
        <w:rPr>
          <w:rFonts w:ascii="Arial" w:hAnsi="Arial" w:cs="Arial"/>
          <w:bCs/>
          <w:sz w:val="18"/>
          <w:szCs w:val="28"/>
          <w:lang w:val="el-GR"/>
        </w:rPr>
        <w:t xml:space="preserve">σηματοδοτούσε </w:t>
      </w:r>
      <w:r w:rsidR="00EF0C5E" w:rsidRPr="007246A9">
        <w:rPr>
          <w:rFonts w:ascii="Arial" w:hAnsi="Arial" w:cs="Arial"/>
          <w:bCs/>
          <w:sz w:val="18"/>
          <w:szCs w:val="28"/>
          <w:lang w:val="el-GR"/>
        </w:rPr>
        <w:t>την πρώτη πληρωμή μερισμάτων μετά από 12 χρόνια, υποστηρίζοντας τη θέση του Συγκροτήματος ως ένα δυνατό και καλά διαφοροποιημένο οργανισμό, ικανό για παροχή σταθερής απόδοσης στους μετόχους.</w:t>
      </w:r>
      <w:r w:rsidR="00EF0C5E" w:rsidRPr="007246A9">
        <w:rPr>
          <w:rFonts w:ascii="Arial" w:hAnsi="Arial" w:cs="Arial"/>
          <w:bCs/>
          <w:sz w:val="18"/>
          <w:szCs w:val="28"/>
          <w:lang w:val="el-GR"/>
        </w:rPr>
        <w:cr/>
      </w:r>
    </w:p>
    <w:p w14:paraId="4B76CF81" w14:textId="52F9030E" w:rsidR="00F77A70" w:rsidRPr="007246A9" w:rsidRDefault="00FE2A9E" w:rsidP="00FE2A9E">
      <w:pPr>
        <w:spacing w:after="0" w:line="240" w:lineRule="auto"/>
        <w:jc w:val="both"/>
        <w:rPr>
          <w:rFonts w:ascii="Arial" w:hAnsi="Arial" w:cs="Arial"/>
          <w:bCs/>
          <w:sz w:val="18"/>
          <w:szCs w:val="28"/>
          <w:lang w:val="el-GR"/>
        </w:rPr>
      </w:pPr>
      <w:r w:rsidRPr="007246A9">
        <w:rPr>
          <w:rFonts w:ascii="Arial" w:hAnsi="Arial" w:cs="Arial"/>
          <w:bCs/>
          <w:sz w:val="18"/>
          <w:szCs w:val="28"/>
          <w:lang w:val="el-GR"/>
        </w:rPr>
        <w:t>Τον Μάρτιο 2024, η Εταιρία έλαβε έγκριση από την ΕΚΤ για πληρωμή μερίσματος σε μετρητά και έναρξη προγράμματος επαναγοράς ιδίων μετοχών (μαζί αναφέρονται ως ‘Διανομή’).</w:t>
      </w:r>
      <w:r w:rsidR="00F77A70" w:rsidRPr="007246A9">
        <w:rPr>
          <w:rFonts w:ascii="Arial" w:hAnsi="Arial" w:cs="Arial"/>
          <w:bCs/>
          <w:sz w:val="18"/>
          <w:szCs w:val="28"/>
          <w:lang w:val="el-GR"/>
        </w:rPr>
        <w:t xml:space="preserve"> </w:t>
      </w:r>
      <w:r w:rsidRPr="007246A9">
        <w:rPr>
          <w:rFonts w:ascii="Arial" w:hAnsi="Arial" w:cs="Arial"/>
          <w:bCs/>
          <w:sz w:val="18"/>
          <w:szCs w:val="28"/>
          <w:lang w:val="el-GR"/>
        </w:rPr>
        <w:t>Η Διανομή αντιστοιχ</w:t>
      </w:r>
      <w:r w:rsidR="00AC7A39" w:rsidRPr="007246A9">
        <w:rPr>
          <w:rFonts w:ascii="Arial" w:hAnsi="Arial" w:cs="Arial"/>
          <w:bCs/>
          <w:sz w:val="18"/>
          <w:szCs w:val="28"/>
          <w:lang w:val="el-GR"/>
        </w:rPr>
        <w:t>ούσε</w:t>
      </w:r>
      <w:r w:rsidRPr="007246A9">
        <w:rPr>
          <w:rFonts w:ascii="Arial" w:hAnsi="Arial" w:cs="Arial"/>
          <w:bCs/>
          <w:sz w:val="18"/>
          <w:szCs w:val="28"/>
          <w:lang w:val="el-GR"/>
        </w:rPr>
        <w:t xml:space="preserve"> σε ποσοστό (</w:t>
      </w:r>
      <w:proofErr w:type="spellStart"/>
      <w:r w:rsidRPr="007246A9">
        <w:rPr>
          <w:rFonts w:ascii="Arial" w:hAnsi="Arial" w:cs="Arial"/>
          <w:bCs/>
          <w:sz w:val="18"/>
          <w:szCs w:val="28"/>
          <w:lang w:val="el-GR"/>
        </w:rPr>
        <w:t>payout</w:t>
      </w:r>
      <w:proofErr w:type="spellEnd"/>
      <w:r w:rsidRPr="007246A9">
        <w:rPr>
          <w:rFonts w:ascii="Arial" w:hAnsi="Arial" w:cs="Arial"/>
          <w:bCs/>
          <w:sz w:val="18"/>
          <w:szCs w:val="28"/>
          <w:lang w:val="el-GR"/>
        </w:rPr>
        <w:t xml:space="preserve"> </w:t>
      </w:r>
      <w:proofErr w:type="spellStart"/>
      <w:r w:rsidRPr="007246A9">
        <w:rPr>
          <w:rFonts w:ascii="Arial" w:hAnsi="Arial" w:cs="Arial"/>
          <w:bCs/>
          <w:sz w:val="18"/>
          <w:szCs w:val="28"/>
          <w:lang w:val="el-GR"/>
        </w:rPr>
        <w:t>ratio</w:t>
      </w:r>
      <w:proofErr w:type="spellEnd"/>
      <w:r w:rsidRPr="007246A9">
        <w:rPr>
          <w:rFonts w:ascii="Arial" w:hAnsi="Arial" w:cs="Arial"/>
          <w:bCs/>
          <w:sz w:val="18"/>
          <w:szCs w:val="28"/>
          <w:lang w:val="el-GR"/>
        </w:rPr>
        <w:t xml:space="preserve">) 30% της προσαρμοσμένης κερδοφορίας </w:t>
      </w:r>
      <w:r w:rsidRPr="007246A9">
        <w:rPr>
          <w:rFonts w:ascii="Arial" w:hAnsi="Arial" w:cs="Arial"/>
          <w:sz w:val="18"/>
          <w:szCs w:val="18"/>
          <w:lang w:val="el-GR"/>
        </w:rPr>
        <w:t>πριν των μη επαναλαμβανόμενων στοιχείων</w:t>
      </w:r>
      <w:r w:rsidRPr="007246A9">
        <w:rPr>
          <w:rFonts w:ascii="Arial" w:hAnsi="Arial" w:cs="Arial"/>
          <w:bCs/>
          <w:sz w:val="18"/>
          <w:szCs w:val="28"/>
          <w:lang w:val="el-GR"/>
        </w:rPr>
        <w:t xml:space="preserve"> για το έτος που έληξε στις 31 Δεκεμβρίου 2023 και </w:t>
      </w:r>
      <w:r w:rsidR="00AC7A39" w:rsidRPr="007246A9">
        <w:rPr>
          <w:rFonts w:ascii="Arial" w:hAnsi="Arial" w:cs="Arial"/>
          <w:bCs/>
          <w:sz w:val="18"/>
          <w:szCs w:val="28"/>
          <w:lang w:val="el-GR"/>
        </w:rPr>
        <w:t xml:space="preserve">ανήλθε </w:t>
      </w:r>
      <w:r w:rsidRPr="007246A9">
        <w:rPr>
          <w:rFonts w:ascii="Arial" w:hAnsi="Arial" w:cs="Arial"/>
          <w:bCs/>
          <w:sz w:val="18"/>
          <w:szCs w:val="28"/>
          <w:lang w:val="el-GR"/>
        </w:rPr>
        <w:t>συνολικά σε €137 εκατ., η οποία αποτελείται από μέρισμα σε μετρητά ύψους €112 εκατ. και επαναγορά ιδίων μετοχών ύψους μέχρι €25 εκατ.</w:t>
      </w:r>
      <w:r w:rsidR="00F77A70" w:rsidRPr="007246A9">
        <w:rPr>
          <w:rFonts w:ascii="Arial" w:hAnsi="Arial" w:cs="Arial"/>
          <w:bCs/>
          <w:sz w:val="18"/>
          <w:szCs w:val="28"/>
          <w:lang w:val="el-GR"/>
        </w:rPr>
        <w:t xml:space="preserve"> Το προτεινόμενο τελικό μέρισμα ύψους €0.25 ανά συνήθη μετοχή</w:t>
      </w:r>
      <w:r w:rsidR="008B3F72" w:rsidRPr="007246A9">
        <w:rPr>
          <w:rFonts w:ascii="Arial" w:hAnsi="Arial" w:cs="Arial"/>
          <w:bCs/>
          <w:sz w:val="18"/>
          <w:szCs w:val="28"/>
          <w:lang w:val="el-GR"/>
        </w:rPr>
        <w:t xml:space="preserve"> εγκρίθηκε στην</w:t>
      </w:r>
      <w:r w:rsidR="008B3F72" w:rsidRPr="007246A9">
        <w:rPr>
          <w:rFonts w:ascii="Arial" w:hAnsi="Arial" w:cs="Arial"/>
          <w:sz w:val="18"/>
          <w:szCs w:val="18"/>
          <w:lang w:val="el-GR"/>
        </w:rPr>
        <w:t xml:space="preserve"> Ετήσια Γενική Συνέλευση</w:t>
      </w:r>
      <w:r w:rsidR="008B3F72" w:rsidRPr="007246A9">
        <w:rPr>
          <w:rFonts w:ascii="Arial" w:hAnsi="Arial" w:cs="Arial"/>
          <w:bCs/>
          <w:sz w:val="18"/>
          <w:szCs w:val="28"/>
          <w:lang w:val="el-GR"/>
        </w:rPr>
        <w:t xml:space="preserve"> (‘ΕΓΣ’), η οποία πραγματοποιήθηκε στις 17 Μαΐου 2024. Το μέρισμα πληρώθηκε σε μετρητά στις 14 Ιουνίου 2024. </w:t>
      </w:r>
    </w:p>
    <w:p w14:paraId="1BB3F93E" w14:textId="77777777" w:rsidR="00870528" w:rsidRPr="007246A9" w:rsidRDefault="00870528" w:rsidP="00FE2A9E">
      <w:pPr>
        <w:spacing w:after="0" w:line="240" w:lineRule="auto"/>
        <w:jc w:val="both"/>
        <w:rPr>
          <w:rFonts w:ascii="Arial" w:hAnsi="Arial" w:cs="Arial"/>
          <w:bCs/>
          <w:sz w:val="18"/>
          <w:szCs w:val="28"/>
          <w:lang w:val="el-GR"/>
        </w:rPr>
      </w:pPr>
    </w:p>
    <w:p w14:paraId="1B8BAA78" w14:textId="77777777" w:rsidR="000A5C52" w:rsidRPr="007246A9" w:rsidRDefault="000A5C52" w:rsidP="00FE2A9E">
      <w:pPr>
        <w:spacing w:after="0" w:line="240" w:lineRule="auto"/>
        <w:jc w:val="both"/>
        <w:rPr>
          <w:rFonts w:ascii="Arial" w:hAnsi="Arial" w:cs="Arial"/>
          <w:bCs/>
          <w:sz w:val="18"/>
          <w:szCs w:val="28"/>
          <w:lang w:val="el-GR"/>
        </w:rPr>
      </w:pPr>
    </w:p>
    <w:p w14:paraId="6D4F984C" w14:textId="77777777" w:rsidR="00AF53C3" w:rsidRDefault="00AF53C3" w:rsidP="00CF51A6">
      <w:pPr>
        <w:rPr>
          <w:rFonts w:ascii="Arial" w:hAnsi="Arial" w:cs="Arial"/>
          <w:b/>
          <w:bCs/>
          <w:color w:val="FF9900"/>
          <w:sz w:val="24"/>
          <w:lang w:val="el-GR"/>
        </w:rPr>
      </w:pPr>
    </w:p>
    <w:p w14:paraId="710AA497" w14:textId="7EBE805E" w:rsidR="00CF51A6" w:rsidRPr="00755F7E" w:rsidRDefault="00CF51A6" w:rsidP="00CF51A6">
      <w:pPr>
        <w:rPr>
          <w:rFonts w:ascii="Arial" w:eastAsia="Times New Roman" w:hAnsi="Arial" w:cs="Arial"/>
          <w:sz w:val="18"/>
          <w:szCs w:val="18"/>
          <w:lang w:val="el-GR"/>
        </w:rPr>
      </w:pPr>
      <w:r w:rsidRPr="00755F7E">
        <w:rPr>
          <w:rFonts w:ascii="Arial" w:hAnsi="Arial" w:cs="Arial"/>
          <w:b/>
          <w:bCs/>
          <w:color w:val="FF9900"/>
          <w:sz w:val="24"/>
          <w:lang w:val="el-GR"/>
        </w:rPr>
        <w:lastRenderedPageBreak/>
        <w:t xml:space="preserve">Α. Οικονομικά Αποτελέσματα Συγκροτήματος – Υποκείμενη Βάση </w:t>
      </w:r>
      <w:r w:rsidRPr="00755F7E">
        <w:rPr>
          <w:rFonts w:ascii="Arial" w:hAnsi="Arial" w:cs="Arial"/>
          <w:color w:val="FF9900"/>
          <w:sz w:val="24"/>
          <w:lang w:val="el-GR"/>
        </w:rPr>
        <w:t>(συνέχεια)</w:t>
      </w:r>
    </w:p>
    <w:p w14:paraId="40592B18" w14:textId="77777777" w:rsidR="00CF51A6" w:rsidRPr="00755F7E" w:rsidRDefault="00CF51A6" w:rsidP="00CF51A6">
      <w:pPr>
        <w:rPr>
          <w:rFonts w:ascii="Arial" w:hAnsi="Arial" w:cs="Arial"/>
          <w:b/>
          <w:bCs/>
          <w:color w:val="FF9900"/>
          <w:sz w:val="23"/>
          <w:szCs w:val="23"/>
          <w:lang w:val="el-GR"/>
        </w:rPr>
      </w:pPr>
      <w:r w:rsidRPr="00755F7E">
        <w:rPr>
          <w:rFonts w:ascii="Arial" w:hAnsi="Arial" w:cs="Arial"/>
          <w:b/>
          <w:bCs/>
          <w:color w:val="FF9900"/>
          <w:sz w:val="23"/>
          <w:szCs w:val="23"/>
          <w:lang w:val="el-GR"/>
        </w:rPr>
        <w:t>Α.1 Ανάλυση Ισολογισμ</w:t>
      </w:r>
      <w:r w:rsidRPr="00D65FD6">
        <w:rPr>
          <w:rFonts w:ascii="Arial" w:hAnsi="Arial" w:cs="Arial"/>
          <w:b/>
          <w:bCs/>
          <w:color w:val="FF9900"/>
          <w:sz w:val="23"/>
          <w:szCs w:val="23"/>
          <w:lang w:val="el-GR"/>
        </w:rPr>
        <w:t xml:space="preserve">ού </w:t>
      </w:r>
      <w:r w:rsidRPr="00755F7E">
        <w:rPr>
          <w:rFonts w:ascii="Arial" w:hAnsi="Arial" w:cs="Arial"/>
          <w:color w:val="FF9900"/>
          <w:sz w:val="23"/>
          <w:szCs w:val="23"/>
          <w:lang w:val="el-GR"/>
        </w:rPr>
        <w:t>(συνέχεια)</w:t>
      </w:r>
    </w:p>
    <w:p w14:paraId="37D70379" w14:textId="77777777" w:rsidR="00CF51A6" w:rsidRDefault="00CF51A6" w:rsidP="00CF51A6">
      <w:pPr>
        <w:rPr>
          <w:rFonts w:ascii="Arial" w:hAnsi="Arial" w:cs="Arial"/>
          <w:color w:val="FF9900"/>
          <w:lang w:val="el-GR"/>
        </w:rPr>
      </w:pPr>
      <w:r w:rsidRPr="00755F7E">
        <w:rPr>
          <w:rFonts w:ascii="Arial" w:hAnsi="Arial" w:cs="Arial"/>
          <w:b/>
          <w:bCs/>
          <w:color w:val="FF9900"/>
          <w:lang w:val="el-GR"/>
        </w:rPr>
        <w:t>Α.1.1 Κεφαλαιακή Βάση</w:t>
      </w:r>
      <w:r>
        <w:rPr>
          <w:rFonts w:ascii="Arial" w:hAnsi="Arial" w:cs="Arial"/>
          <w:b/>
          <w:bCs/>
          <w:color w:val="FF9900"/>
          <w:lang w:val="el-GR"/>
        </w:rPr>
        <w:t xml:space="preserve"> </w:t>
      </w:r>
      <w:r w:rsidRPr="00755F7E">
        <w:rPr>
          <w:rFonts w:ascii="Arial" w:hAnsi="Arial" w:cs="Arial"/>
          <w:color w:val="FF9900"/>
          <w:lang w:val="el-GR"/>
        </w:rPr>
        <w:t>(συνέχεια)</w:t>
      </w:r>
    </w:p>
    <w:p w14:paraId="1CE563B5" w14:textId="50FC02EC" w:rsidR="001212AD" w:rsidRPr="007246A9" w:rsidRDefault="001212AD" w:rsidP="007246A9">
      <w:pPr>
        <w:pStyle w:val="BodyText3"/>
        <w:spacing w:line="360" w:lineRule="auto"/>
        <w:jc w:val="both"/>
        <w:rPr>
          <w:sz w:val="20"/>
          <w:lang w:val="el-GR"/>
        </w:rPr>
      </w:pPr>
      <w:r w:rsidRPr="001212AD">
        <w:rPr>
          <w:rFonts w:ascii="Arial" w:hAnsi="Arial" w:cs="Arial"/>
          <w:b/>
          <w:bCs/>
          <w:color w:val="FF9900"/>
          <w:sz w:val="20"/>
          <w:lang w:val="el-GR"/>
        </w:rPr>
        <w:t xml:space="preserve">Διανομές </w:t>
      </w:r>
      <w:r w:rsidRPr="007246A9">
        <w:rPr>
          <w:rFonts w:ascii="Arial" w:hAnsi="Arial" w:cs="Arial"/>
          <w:color w:val="FF9900"/>
          <w:sz w:val="20"/>
          <w:lang w:val="el-GR"/>
        </w:rPr>
        <w:t>(συνέχεια)</w:t>
      </w:r>
    </w:p>
    <w:p w14:paraId="311FF738" w14:textId="0257005F" w:rsidR="00862E4A" w:rsidRPr="007246A9" w:rsidRDefault="007D2904" w:rsidP="00FE2A9E">
      <w:pPr>
        <w:spacing w:after="0" w:line="240" w:lineRule="auto"/>
        <w:jc w:val="both"/>
        <w:rPr>
          <w:rFonts w:ascii="Arial" w:hAnsi="Arial" w:cs="Arial"/>
          <w:bCs/>
          <w:sz w:val="18"/>
          <w:szCs w:val="28"/>
          <w:lang w:val="el-GR"/>
        </w:rPr>
      </w:pPr>
      <w:r w:rsidRPr="007246A9">
        <w:rPr>
          <w:rFonts w:ascii="Arial" w:hAnsi="Arial" w:cs="Arial"/>
          <w:bCs/>
          <w:sz w:val="18"/>
          <w:szCs w:val="28"/>
          <w:lang w:val="el-GR"/>
        </w:rPr>
        <w:t>Τον Απρίλιο 2024, το Συγκρότημα προχώρησε στην έναρξη του πρώτου προγράμματος επαναγοράς συνήθων μετοχών της Εταιρίας, με το συνολικό ποσό να ανέρχεται μέχρι €25 εκατ. (το ‘Πρόγραμμα’). Σκοπός του Προγράμματος είναι η μείωση του μετοχικού κεφαλαίου της Εταιρίας και επομένως οι μετοχές που θα αγοραστούν στα πλαίσια του Προγράμματος θα ακυρωθούν.</w:t>
      </w:r>
      <w:r w:rsidR="00AC7A39" w:rsidRPr="007246A9">
        <w:rPr>
          <w:rFonts w:ascii="Arial" w:hAnsi="Arial" w:cs="Arial"/>
          <w:bCs/>
          <w:sz w:val="18"/>
          <w:szCs w:val="28"/>
          <w:lang w:val="el-GR"/>
        </w:rPr>
        <w:t xml:space="preserve"> </w:t>
      </w:r>
      <w:r w:rsidRPr="007246A9">
        <w:rPr>
          <w:rFonts w:ascii="Arial" w:hAnsi="Arial" w:cs="Arial"/>
          <w:bCs/>
          <w:sz w:val="18"/>
          <w:szCs w:val="28"/>
          <w:lang w:val="el-GR"/>
        </w:rPr>
        <w:t xml:space="preserve">Η Εταιρία έχει συνάψει συμφωνίες μη διακριτικής ευχέρειας με τους Numis Securities </w:t>
      </w:r>
      <w:proofErr w:type="spellStart"/>
      <w:r w:rsidRPr="007246A9">
        <w:rPr>
          <w:rFonts w:ascii="Arial" w:hAnsi="Arial" w:cs="Arial"/>
          <w:bCs/>
          <w:sz w:val="18"/>
          <w:szCs w:val="28"/>
          <w:lang w:val="el-GR"/>
        </w:rPr>
        <w:t>Limited</w:t>
      </w:r>
      <w:proofErr w:type="spellEnd"/>
      <w:r w:rsidRPr="007246A9">
        <w:rPr>
          <w:rFonts w:ascii="Arial" w:hAnsi="Arial" w:cs="Arial"/>
          <w:bCs/>
          <w:sz w:val="18"/>
          <w:szCs w:val="28"/>
          <w:lang w:val="el-GR"/>
        </w:rPr>
        <w:t xml:space="preserve"> (που διαπραγματεύονται ως ‘</w:t>
      </w:r>
      <w:proofErr w:type="spellStart"/>
      <w:r w:rsidRPr="007246A9">
        <w:rPr>
          <w:rFonts w:ascii="Arial" w:hAnsi="Arial" w:cs="Arial"/>
          <w:bCs/>
          <w:sz w:val="18"/>
          <w:szCs w:val="28"/>
          <w:lang w:val="el-GR"/>
        </w:rPr>
        <w:t>Deutsche</w:t>
      </w:r>
      <w:proofErr w:type="spellEnd"/>
      <w:r w:rsidRPr="007246A9">
        <w:rPr>
          <w:rFonts w:ascii="Arial" w:hAnsi="Arial" w:cs="Arial"/>
          <w:bCs/>
          <w:sz w:val="18"/>
          <w:szCs w:val="28"/>
          <w:lang w:val="el-GR"/>
        </w:rPr>
        <w:t xml:space="preserve"> Numis') και τον Κυπριακό Οργανισμό Επενδύσεων και Αξιών </w:t>
      </w:r>
      <w:proofErr w:type="spellStart"/>
      <w:r w:rsidRPr="007246A9">
        <w:rPr>
          <w:rFonts w:ascii="Arial" w:hAnsi="Arial" w:cs="Arial"/>
          <w:bCs/>
          <w:sz w:val="18"/>
          <w:szCs w:val="28"/>
          <w:lang w:val="el-GR"/>
        </w:rPr>
        <w:t>Λτδ</w:t>
      </w:r>
      <w:proofErr w:type="spellEnd"/>
      <w:r w:rsidRPr="007246A9">
        <w:rPr>
          <w:rFonts w:ascii="Arial" w:hAnsi="Arial" w:cs="Arial"/>
          <w:bCs/>
          <w:sz w:val="18"/>
          <w:szCs w:val="28"/>
          <w:lang w:val="el-GR"/>
        </w:rPr>
        <w:t xml:space="preserve"> (‘CISCO’) που ενεργο</w:t>
      </w:r>
      <w:r w:rsidR="00E22FF7">
        <w:rPr>
          <w:rFonts w:ascii="Arial" w:hAnsi="Arial" w:cs="Arial"/>
          <w:bCs/>
          <w:sz w:val="18"/>
          <w:szCs w:val="28"/>
          <w:lang w:val="el-GR"/>
        </w:rPr>
        <w:t>ύσαν</w:t>
      </w:r>
      <w:r w:rsidRPr="007246A9">
        <w:rPr>
          <w:rFonts w:ascii="Arial" w:hAnsi="Arial" w:cs="Arial"/>
          <w:bCs/>
          <w:sz w:val="18"/>
          <w:szCs w:val="28"/>
          <w:lang w:val="el-GR"/>
        </w:rPr>
        <w:t xml:space="preserve"> από κοινού ως κύριοι ανάδοχοι (‘Joint </w:t>
      </w:r>
      <w:proofErr w:type="spellStart"/>
      <w:r w:rsidRPr="007246A9">
        <w:rPr>
          <w:rFonts w:ascii="Arial" w:hAnsi="Arial" w:cs="Arial"/>
          <w:bCs/>
          <w:sz w:val="18"/>
          <w:szCs w:val="28"/>
          <w:lang w:val="el-GR"/>
        </w:rPr>
        <w:t>Lead</w:t>
      </w:r>
      <w:proofErr w:type="spellEnd"/>
      <w:r w:rsidRPr="007246A9">
        <w:rPr>
          <w:rFonts w:ascii="Arial" w:hAnsi="Arial" w:cs="Arial"/>
          <w:bCs/>
          <w:sz w:val="18"/>
          <w:szCs w:val="28"/>
          <w:lang w:val="el-GR"/>
        </w:rPr>
        <w:t xml:space="preserve"> </w:t>
      </w:r>
      <w:proofErr w:type="spellStart"/>
      <w:r w:rsidRPr="007246A9">
        <w:rPr>
          <w:rFonts w:ascii="Arial" w:hAnsi="Arial" w:cs="Arial"/>
          <w:bCs/>
          <w:sz w:val="18"/>
          <w:szCs w:val="28"/>
          <w:lang w:val="el-GR"/>
        </w:rPr>
        <w:t>Managers</w:t>
      </w:r>
      <w:proofErr w:type="spellEnd"/>
      <w:r w:rsidRPr="007246A9">
        <w:rPr>
          <w:rFonts w:ascii="Arial" w:hAnsi="Arial" w:cs="Arial"/>
          <w:bCs/>
          <w:sz w:val="18"/>
          <w:szCs w:val="28"/>
          <w:lang w:val="el-GR"/>
        </w:rPr>
        <w:t xml:space="preserve">’) για τη διεξαγωγή του Προγράμματος, για την επαναγορά των </w:t>
      </w:r>
      <w:r w:rsidR="00862E4A" w:rsidRPr="007246A9">
        <w:rPr>
          <w:rFonts w:ascii="Arial" w:hAnsi="Arial" w:cs="Arial"/>
          <w:bCs/>
          <w:sz w:val="18"/>
          <w:szCs w:val="28"/>
          <w:lang w:val="el-GR"/>
        </w:rPr>
        <w:t>μ</w:t>
      </w:r>
      <w:r w:rsidRPr="007246A9">
        <w:rPr>
          <w:rFonts w:ascii="Arial" w:hAnsi="Arial" w:cs="Arial"/>
          <w:bCs/>
          <w:sz w:val="18"/>
          <w:szCs w:val="28"/>
          <w:lang w:val="el-GR"/>
        </w:rPr>
        <w:t>ετοχών για λογαριασμό της Εταιρίας, καθώς και για τη λήψη αποφάσεων διαπραγμάτευσης στο πλαίσιο του Προγράμματος, ανεξάρτητα από την Εταιρία, σύμφωνα με ορισμένες προκαθορισμένες παραμέτρους.</w:t>
      </w:r>
      <w:r w:rsidR="00AC7A39" w:rsidRPr="007246A9">
        <w:rPr>
          <w:rFonts w:ascii="Arial" w:hAnsi="Arial" w:cs="Arial"/>
          <w:bCs/>
          <w:sz w:val="18"/>
          <w:szCs w:val="28"/>
          <w:lang w:val="el-GR"/>
        </w:rPr>
        <w:t xml:space="preserve"> </w:t>
      </w:r>
      <w:r w:rsidRPr="007246A9">
        <w:rPr>
          <w:rFonts w:ascii="Arial" w:hAnsi="Arial" w:cs="Arial"/>
          <w:bCs/>
          <w:sz w:val="18"/>
          <w:szCs w:val="28"/>
          <w:lang w:val="el-GR"/>
        </w:rPr>
        <w:t xml:space="preserve">Το Πρόγραμμα </w:t>
      </w:r>
      <w:r w:rsidR="00862E4A" w:rsidRPr="007246A9">
        <w:rPr>
          <w:rFonts w:ascii="Arial" w:hAnsi="Arial" w:cs="Arial"/>
          <w:bCs/>
          <w:sz w:val="18"/>
          <w:szCs w:val="28"/>
          <w:lang w:val="el-GR"/>
        </w:rPr>
        <w:t xml:space="preserve">διεξαγόταν </w:t>
      </w:r>
      <w:r w:rsidRPr="007246A9">
        <w:rPr>
          <w:rFonts w:ascii="Arial" w:hAnsi="Arial" w:cs="Arial"/>
          <w:bCs/>
          <w:sz w:val="18"/>
          <w:szCs w:val="28"/>
          <w:lang w:val="el-GR"/>
        </w:rPr>
        <w:t>στο Χρηματιστήριο Αξιών του Λονδίνου και στο Χρηματιστήριο Αξιών Κύπρου (‘ΧΑΚ’)</w:t>
      </w:r>
      <w:r w:rsidR="00862E4A" w:rsidRPr="007246A9">
        <w:rPr>
          <w:rFonts w:ascii="Arial" w:hAnsi="Arial" w:cs="Arial"/>
          <w:bCs/>
          <w:sz w:val="18"/>
          <w:szCs w:val="28"/>
          <w:lang w:val="el-GR"/>
        </w:rPr>
        <w:t>.</w:t>
      </w:r>
    </w:p>
    <w:p w14:paraId="0E67A6C2" w14:textId="77777777" w:rsidR="00862E4A" w:rsidRDefault="00862E4A" w:rsidP="00FE2A9E">
      <w:pPr>
        <w:spacing w:after="0" w:line="240" w:lineRule="auto"/>
        <w:jc w:val="both"/>
        <w:rPr>
          <w:rFonts w:ascii="Arial" w:hAnsi="Arial" w:cs="Arial"/>
          <w:bCs/>
          <w:sz w:val="18"/>
          <w:szCs w:val="28"/>
          <w:highlight w:val="yellow"/>
          <w:lang w:val="el-GR"/>
        </w:rPr>
      </w:pPr>
    </w:p>
    <w:p w14:paraId="19CBC058" w14:textId="6A0A3BE1" w:rsidR="002E4696" w:rsidRPr="007246A9" w:rsidRDefault="002E4696" w:rsidP="00FE2A9E">
      <w:pPr>
        <w:spacing w:after="0" w:line="240" w:lineRule="auto"/>
        <w:jc w:val="both"/>
        <w:rPr>
          <w:rFonts w:ascii="Arial" w:hAnsi="Arial" w:cs="Arial"/>
          <w:bCs/>
          <w:sz w:val="18"/>
          <w:szCs w:val="28"/>
          <w:lang w:val="el-GR"/>
        </w:rPr>
      </w:pPr>
      <w:r w:rsidRPr="007246A9">
        <w:rPr>
          <w:rFonts w:ascii="Arial" w:hAnsi="Arial" w:cs="Arial"/>
          <w:bCs/>
          <w:sz w:val="18"/>
          <w:szCs w:val="28"/>
          <w:lang w:val="el-GR"/>
        </w:rPr>
        <w:t xml:space="preserve">Σε συνέχεια της </w:t>
      </w:r>
      <w:r w:rsidR="006D10DE" w:rsidRPr="007246A9">
        <w:rPr>
          <w:rFonts w:ascii="Arial" w:hAnsi="Arial" w:cs="Arial"/>
          <w:bCs/>
          <w:sz w:val="18"/>
          <w:szCs w:val="28"/>
          <w:lang w:val="el-GR"/>
        </w:rPr>
        <w:t>διαγραφή</w:t>
      </w:r>
      <w:r w:rsidRPr="007246A9">
        <w:rPr>
          <w:rFonts w:ascii="Arial" w:hAnsi="Arial" w:cs="Arial"/>
          <w:bCs/>
          <w:sz w:val="18"/>
          <w:szCs w:val="28"/>
          <w:lang w:val="el-GR"/>
        </w:rPr>
        <w:t xml:space="preserve">ς </w:t>
      </w:r>
      <w:r w:rsidR="006D10DE" w:rsidRPr="007246A9">
        <w:rPr>
          <w:rFonts w:ascii="Arial" w:hAnsi="Arial" w:cs="Arial"/>
          <w:bCs/>
          <w:sz w:val="18"/>
          <w:szCs w:val="28"/>
          <w:lang w:val="el-GR"/>
        </w:rPr>
        <w:t xml:space="preserve">της </w:t>
      </w:r>
      <w:r w:rsidRPr="007246A9">
        <w:rPr>
          <w:rFonts w:ascii="Arial" w:hAnsi="Arial" w:cs="Arial"/>
          <w:bCs/>
          <w:sz w:val="18"/>
          <w:szCs w:val="28"/>
          <w:lang w:val="el-GR"/>
        </w:rPr>
        <w:t xml:space="preserve">Εταιρίας </w:t>
      </w:r>
      <w:r w:rsidR="006D10DE" w:rsidRPr="007246A9">
        <w:rPr>
          <w:rFonts w:ascii="Arial" w:hAnsi="Arial" w:cs="Arial"/>
          <w:bCs/>
          <w:sz w:val="18"/>
          <w:szCs w:val="28"/>
          <w:lang w:val="el-GR"/>
        </w:rPr>
        <w:t xml:space="preserve">από τη δευτερογενή εισαγωγή διεθνών εμπορικών εταιρειών στο Επίσημο Μητρώο του </w:t>
      </w:r>
      <w:r w:rsidR="006D10DE" w:rsidRPr="007246A9">
        <w:rPr>
          <w:rFonts w:ascii="Arial" w:hAnsi="Arial" w:cs="Arial"/>
          <w:bCs/>
          <w:sz w:val="18"/>
          <w:szCs w:val="28"/>
        </w:rPr>
        <w:t>London</w:t>
      </w:r>
      <w:r w:rsidR="006D10DE" w:rsidRPr="007246A9">
        <w:rPr>
          <w:rFonts w:ascii="Arial" w:hAnsi="Arial" w:cs="Arial"/>
          <w:bCs/>
          <w:sz w:val="18"/>
          <w:szCs w:val="28"/>
          <w:lang w:val="el-GR"/>
        </w:rPr>
        <w:t xml:space="preserve"> </w:t>
      </w:r>
      <w:r w:rsidR="006D10DE" w:rsidRPr="007246A9">
        <w:rPr>
          <w:rFonts w:ascii="Arial" w:hAnsi="Arial" w:cs="Arial"/>
          <w:bCs/>
          <w:sz w:val="18"/>
          <w:szCs w:val="28"/>
        </w:rPr>
        <w:t>Stock</w:t>
      </w:r>
      <w:r w:rsidR="006D10DE" w:rsidRPr="007246A9">
        <w:rPr>
          <w:rFonts w:ascii="Arial" w:hAnsi="Arial" w:cs="Arial"/>
          <w:bCs/>
          <w:sz w:val="18"/>
          <w:szCs w:val="28"/>
          <w:lang w:val="el-GR"/>
        </w:rPr>
        <w:t xml:space="preserve"> </w:t>
      </w:r>
      <w:r w:rsidR="006D10DE" w:rsidRPr="007246A9">
        <w:rPr>
          <w:rFonts w:ascii="Arial" w:hAnsi="Arial" w:cs="Arial"/>
          <w:bCs/>
          <w:sz w:val="18"/>
          <w:szCs w:val="28"/>
        </w:rPr>
        <w:t>Exchange</w:t>
      </w:r>
      <w:r w:rsidR="006D10DE" w:rsidRPr="007246A9">
        <w:rPr>
          <w:rFonts w:ascii="Arial" w:hAnsi="Arial" w:cs="Arial"/>
          <w:bCs/>
          <w:sz w:val="18"/>
          <w:szCs w:val="28"/>
          <w:lang w:val="el-GR"/>
        </w:rPr>
        <w:t xml:space="preserve"> </w:t>
      </w:r>
      <w:r w:rsidR="006D10DE" w:rsidRPr="007246A9">
        <w:rPr>
          <w:rFonts w:ascii="Arial" w:hAnsi="Arial" w:cs="Arial"/>
          <w:bCs/>
          <w:sz w:val="18"/>
          <w:szCs w:val="28"/>
        </w:rPr>
        <w:t>Group</w:t>
      </w:r>
      <w:r w:rsidR="006D10DE" w:rsidRPr="007246A9">
        <w:rPr>
          <w:rFonts w:ascii="Arial" w:hAnsi="Arial" w:cs="Arial"/>
          <w:bCs/>
          <w:sz w:val="18"/>
          <w:szCs w:val="28"/>
          <w:lang w:val="el-GR"/>
        </w:rPr>
        <w:t xml:space="preserve"> </w:t>
      </w:r>
      <w:r w:rsidR="006D10DE" w:rsidRPr="007246A9">
        <w:rPr>
          <w:rFonts w:ascii="Arial" w:hAnsi="Arial" w:cs="Arial"/>
          <w:bCs/>
          <w:sz w:val="18"/>
          <w:szCs w:val="28"/>
        </w:rPr>
        <w:t>plc</w:t>
      </w:r>
      <w:r w:rsidR="006D10DE" w:rsidRPr="007246A9">
        <w:rPr>
          <w:rFonts w:ascii="Arial" w:hAnsi="Arial" w:cs="Arial"/>
          <w:bCs/>
          <w:sz w:val="18"/>
          <w:szCs w:val="28"/>
          <w:lang w:val="el-GR"/>
        </w:rPr>
        <w:t xml:space="preserve"> (το ‘</w:t>
      </w:r>
      <w:r w:rsidR="006D10DE" w:rsidRPr="007246A9">
        <w:rPr>
          <w:rFonts w:ascii="Arial" w:hAnsi="Arial" w:cs="Arial"/>
          <w:bCs/>
          <w:sz w:val="18"/>
          <w:szCs w:val="28"/>
        </w:rPr>
        <w:t>LSE</w:t>
      </w:r>
      <w:r w:rsidR="006D10DE" w:rsidRPr="007246A9">
        <w:rPr>
          <w:rFonts w:ascii="Arial" w:hAnsi="Arial" w:cs="Arial"/>
          <w:bCs/>
          <w:sz w:val="18"/>
          <w:szCs w:val="28"/>
          <w:lang w:val="el-GR"/>
        </w:rPr>
        <w:t xml:space="preserve">’) </w:t>
      </w:r>
      <w:r w:rsidRPr="007246A9">
        <w:rPr>
          <w:rFonts w:ascii="Arial" w:hAnsi="Arial" w:cs="Arial"/>
          <w:bCs/>
          <w:sz w:val="18"/>
          <w:szCs w:val="28"/>
          <w:lang w:val="el-GR"/>
        </w:rPr>
        <w:t>στις 19 Σεπτεμβρίου 2024 και της εισαγωγής των συνήθων μετοχών της Εταιρίας στην Κύρια Αγορά της Ρυθμιζόμενης Αγοράς του Χρηματιστηρίου Αθηνών (το ‘ΧΑ’)</w:t>
      </w:r>
      <w:r w:rsidR="00AF53C3">
        <w:rPr>
          <w:rFonts w:ascii="Arial" w:hAnsi="Arial" w:cs="Arial"/>
          <w:bCs/>
          <w:sz w:val="18"/>
          <w:szCs w:val="28"/>
          <w:lang w:val="el-GR"/>
        </w:rPr>
        <w:t xml:space="preserve"> στις 23 Σεπτεμβρίου 2024</w:t>
      </w:r>
      <w:r>
        <w:rPr>
          <w:rFonts w:ascii="Arial" w:hAnsi="Arial" w:cs="Arial"/>
          <w:bCs/>
          <w:sz w:val="18"/>
          <w:szCs w:val="28"/>
          <w:lang w:val="el-GR"/>
        </w:rPr>
        <w:t xml:space="preserve">, </w:t>
      </w:r>
      <w:r w:rsidRPr="007246A9">
        <w:rPr>
          <w:rFonts w:ascii="Arial" w:hAnsi="Arial" w:cs="Arial"/>
          <w:bCs/>
          <w:sz w:val="18"/>
          <w:szCs w:val="28"/>
          <w:lang w:val="el-GR"/>
        </w:rPr>
        <w:t>η Εταιρία τερμάτισε την επαναγορά ιδίων μετοχών στο LSE στις 19 Σεπτεμβρίου 2024 και ξεκίνησε την επαναγορά ιδίων μετοχών στο ΧΑ, στις 23 Σεπτεμβρίου 2024.</w:t>
      </w:r>
      <w:r w:rsidR="001212AD">
        <w:rPr>
          <w:rFonts w:ascii="Arial" w:hAnsi="Arial" w:cs="Arial"/>
          <w:bCs/>
          <w:sz w:val="18"/>
          <w:szCs w:val="28"/>
          <w:lang w:val="el-GR"/>
        </w:rPr>
        <w:t xml:space="preserve"> </w:t>
      </w:r>
      <w:r w:rsidR="001212AD" w:rsidRPr="007246A9">
        <w:rPr>
          <w:rFonts w:ascii="Arial" w:hAnsi="Arial" w:cs="Arial"/>
          <w:bCs/>
          <w:sz w:val="18"/>
          <w:szCs w:val="28"/>
          <w:lang w:val="el-GR"/>
        </w:rPr>
        <w:t xml:space="preserve">Το πρόγραμμα επαναγοράς ιδίων μετοχών στο ΧΑ </w:t>
      </w:r>
      <w:r w:rsidR="00AF53C3">
        <w:rPr>
          <w:rFonts w:ascii="Arial" w:hAnsi="Arial" w:cs="Arial"/>
          <w:bCs/>
          <w:sz w:val="18"/>
          <w:szCs w:val="28"/>
          <w:lang w:val="el-GR"/>
        </w:rPr>
        <w:t>δεν</w:t>
      </w:r>
      <w:r w:rsidR="001212AD" w:rsidRPr="007246A9">
        <w:rPr>
          <w:rFonts w:ascii="Arial" w:hAnsi="Arial" w:cs="Arial"/>
          <w:bCs/>
          <w:sz w:val="18"/>
          <w:szCs w:val="28"/>
          <w:lang w:val="el-GR"/>
        </w:rPr>
        <w:t xml:space="preserve"> </w:t>
      </w:r>
      <w:r w:rsidR="00AF53C3">
        <w:rPr>
          <w:rFonts w:ascii="Arial" w:hAnsi="Arial" w:cs="Arial"/>
          <w:bCs/>
          <w:sz w:val="18"/>
          <w:szCs w:val="28"/>
          <w:lang w:val="el-GR"/>
        </w:rPr>
        <w:t>αλλάζει</w:t>
      </w:r>
      <w:r w:rsidR="001212AD" w:rsidRPr="007246A9">
        <w:rPr>
          <w:rFonts w:ascii="Arial" w:hAnsi="Arial" w:cs="Arial"/>
          <w:bCs/>
          <w:sz w:val="18"/>
          <w:szCs w:val="28"/>
          <w:lang w:val="el-GR"/>
        </w:rPr>
        <w:t xml:space="preserve"> το μέγεθος του Προγράμματος και</w:t>
      </w:r>
      <w:r w:rsidR="00AF53C3">
        <w:rPr>
          <w:rFonts w:ascii="Arial" w:hAnsi="Arial" w:cs="Arial"/>
          <w:bCs/>
          <w:sz w:val="18"/>
          <w:szCs w:val="28"/>
          <w:lang w:val="el-GR"/>
        </w:rPr>
        <w:t xml:space="preserve"> </w:t>
      </w:r>
      <w:r w:rsidR="001212AD" w:rsidRPr="007246A9">
        <w:rPr>
          <w:rFonts w:ascii="Arial" w:hAnsi="Arial" w:cs="Arial"/>
          <w:bCs/>
          <w:sz w:val="18"/>
          <w:szCs w:val="28"/>
          <w:lang w:val="el-GR"/>
        </w:rPr>
        <w:t>εκτελείται παράλληλα με την επαναγορά ιδίων μετοχών στο Χρηματιστήριο Αξιών Κύπρου, που συνεχίζεται σύμφωνα με το Πρόγραμμα και δ</w:t>
      </w:r>
      <w:r w:rsidR="00AF53C3">
        <w:rPr>
          <w:rFonts w:ascii="Arial" w:hAnsi="Arial" w:cs="Arial"/>
          <w:bCs/>
          <w:sz w:val="18"/>
          <w:szCs w:val="28"/>
          <w:lang w:val="el-GR"/>
        </w:rPr>
        <w:t>εν</w:t>
      </w:r>
      <w:r w:rsidR="001212AD" w:rsidRPr="007246A9">
        <w:rPr>
          <w:rFonts w:ascii="Arial" w:hAnsi="Arial" w:cs="Arial"/>
          <w:bCs/>
          <w:sz w:val="18"/>
          <w:szCs w:val="28"/>
          <w:lang w:val="el-GR"/>
        </w:rPr>
        <w:t xml:space="preserve"> </w:t>
      </w:r>
      <w:r w:rsidR="00AF53C3">
        <w:rPr>
          <w:rFonts w:ascii="Arial" w:hAnsi="Arial" w:cs="Arial"/>
          <w:bCs/>
          <w:sz w:val="18"/>
          <w:szCs w:val="28"/>
          <w:lang w:val="el-GR"/>
        </w:rPr>
        <w:t>επηρεάζεται</w:t>
      </w:r>
      <w:r w:rsidR="001212AD" w:rsidRPr="007246A9">
        <w:rPr>
          <w:rFonts w:ascii="Arial" w:hAnsi="Arial" w:cs="Arial"/>
          <w:bCs/>
          <w:sz w:val="18"/>
          <w:szCs w:val="28"/>
          <w:lang w:val="el-GR"/>
        </w:rPr>
        <w:t>.</w:t>
      </w:r>
      <w:r w:rsidR="001212AD">
        <w:rPr>
          <w:rFonts w:ascii="Arial" w:hAnsi="Arial" w:cs="Arial"/>
          <w:bCs/>
          <w:sz w:val="18"/>
          <w:szCs w:val="28"/>
          <w:lang w:val="el-GR"/>
        </w:rPr>
        <w:t xml:space="preserve"> </w:t>
      </w:r>
    </w:p>
    <w:p w14:paraId="632D681C" w14:textId="77777777" w:rsidR="002E4696" w:rsidRDefault="002E4696" w:rsidP="00FE2A9E">
      <w:pPr>
        <w:spacing w:after="0" w:line="240" w:lineRule="auto"/>
        <w:jc w:val="both"/>
        <w:rPr>
          <w:rFonts w:ascii="Arial" w:hAnsi="Arial" w:cs="Arial"/>
          <w:bCs/>
          <w:sz w:val="18"/>
          <w:szCs w:val="28"/>
          <w:highlight w:val="yellow"/>
          <w:lang w:val="el-GR"/>
        </w:rPr>
      </w:pPr>
    </w:p>
    <w:p w14:paraId="241F78D7" w14:textId="26B2F595" w:rsidR="00862E4A" w:rsidRPr="00501D23" w:rsidRDefault="001B2B8F" w:rsidP="0029325A">
      <w:pPr>
        <w:spacing w:after="0" w:line="240" w:lineRule="auto"/>
        <w:jc w:val="both"/>
        <w:rPr>
          <w:rFonts w:ascii="Arial" w:hAnsi="Arial" w:cs="Arial"/>
          <w:bCs/>
          <w:color w:val="000000" w:themeColor="text1"/>
          <w:sz w:val="18"/>
          <w:szCs w:val="28"/>
          <w:lang w:val="el-GR"/>
        </w:rPr>
      </w:pPr>
      <w:r w:rsidRPr="00501D23">
        <w:rPr>
          <w:rFonts w:ascii="Arial" w:hAnsi="Arial" w:cs="Arial"/>
          <w:bCs/>
          <w:color w:val="000000" w:themeColor="text1"/>
          <w:sz w:val="18"/>
          <w:szCs w:val="28"/>
          <w:lang w:val="el-GR"/>
        </w:rPr>
        <w:t xml:space="preserve">Το Πρόγραμμα εγκρίθηκε από την ΕΚΤ στις 15 Μαρτίου 2024 και η έγκριση παραμένει σε ισχύ για ένα έτος, δηλαδή </w:t>
      </w:r>
      <w:r w:rsidR="007D2904" w:rsidRPr="00501D23">
        <w:rPr>
          <w:rFonts w:ascii="Arial" w:hAnsi="Arial" w:cs="Arial"/>
          <w:bCs/>
          <w:color w:val="000000" w:themeColor="text1"/>
          <w:sz w:val="18"/>
          <w:szCs w:val="28"/>
          <w:lang w:val="el-GR"/>
        </w:rPr>
        <w:t>μπορεί να</w:t>
      </w:r>
      <w:r w:rsidRPr="00501D23">
        <w:rPr>
          <w:rFonts w:ascii="Arial" w:hAnsi="Arial" w:cs="Arial"/>
          <w:bCs/>
          <w:color w:val="000000" w:themeColor="text1"/>
          <w:sz w:val="18"/>
          <w:szCs w:val="28"/>
          <w:lang w:val="el-GR"/>
        </w:rPr>
        <w:t xml:space="preserve"> </w:t>
      </w:r>
      <w:r w:rsidR="007D2904" w:rsidRPr="00501D23">
        <w:rPr>
          <w:rFonts w:ascii="Arial" w:hAnsi="Arial" w:cs="Arial"/>
          <w:bCs/>
          <w:color w:val="000000" w:themeColor="text1"/>
          <w:sz w:val="18"/>
          <w:szCs w:val="28"/>
          <w:lang w:val="el-GR"/>
        </w:rPr>
        <w:t>συνεχιστεί μέχρι τις 14 Μαρτίου 2025, καθώς υπόκειται στις συνθήκες της αγοράς, στη συνεχή αξιολόγηση των κεφαλαιακών απαιτήσεων της Εταιρίας και σε δικαιώματα πρόωρης λήξης συνήθη για συναλλαγές αυτής της φύσεως.</w:t>
      </w:r>
      <w:r w:rsidRPr="00501D23">
        <w:rPr>
          <w:rFonts w:ascii="Arial" w:hAnsi="Arial" w:cs="Arial"/>
          <w:bCs/>
          <w:color w:val="000000" w:themeColor="text1"/>
          <w:sz w:val="18"/>
          <w:szCs w:val="28"/>
          <w:lang w:val="el-GR"/>
        </w:rPr>
        <w:t xml:space="preserve"> </w:t>
      </w:r>
      <w:r w:rsidR="007D2904" w:rsidRPr="00501D23">
        <w:rPr>
          <w:rFonts w:ascii="Arial" w:hAnsi="Arial" w:cs="Arial"/>
          <w:bCs/>
          <w:color w:val="000000" w:themeColor="text1"/>
          <w:sz w:val="18"/>
          <w:szCs w:val="28"/>
          <w:lang w:val="el-GR"/>
        </w:rPr>
        <w:t xml:space="preserve">Η έναρξη του προγράμματος επαναγοράς ιδίων μετοχών εφαρμόζεται σύμφωνα με τη γενική εξουσιοδότηση της Εταιρίας για την επαναγορά συνήθων μετοχών της Εταιρίας, όπως εγκρίθηκε από τους μετόχους κατά την ΕΓΣ στις </w:t>
      </w:r>
      <w:r w:rsidR="00323252" w:rsidRPr="00501D23">
        <w:rPr>
          <w:rFonts w:ascii="Arial" w:hAnsi="Arial" w:cs="Arial"/>
          <w:bCs/>
          <w:color w:val="000000" w:themeColor="text1"/>
          <w:sz w:val="18"/>
          <w:szCs w:val="28"/>
          <w:lang w:val="el-GR"/>
        </w:rPr>
        <w:t xml:space="preserve">17 </w:t>
      </w:r>
      <w:r w:rsidR="007D2904" w:rsidRPr="00501D23">
        <w:rPr>
          <w:rFonts w:ascii="Arial" w:hAnsi="Arial" w:cs="Arial"/>
          <w:bCs/>
          <w:color w:val="000000" w:themeColor="text1"/>
          <w:sz w:val="18"/>
          <w:szCs w:val="28"/>
          <w:lang w:val="el-GR"/>
        </w:rPr>
        <w:t xml:space="preserve">Μαΐου </w:t>
      </w:r>
      <w:r w:rsidR="00323252" w:rsidRPr="00501D23">
        <w:rPr>
          <w:rFonts w:ascii="Arial" w:hAnsi="Arial" w:cs="Arial"/>
          <w:bCs/>
          <w:color w:val="000000" w:themeColor="text1"/>
          <w:sz w:val="18"/>
          <w:szCs w:val="28"/>
          <w:lang w:val="el-GR"/>
        </w:rPr>
        <w:t>2024</w:t>
      </w:r>
      <w:r w:rsidRPr="00501D23">
        <w:rPr>
          <w:rFonts w:ascii="Arial" w:hAnsi="Arial" w:cs="Arial"/>
          <w:bCs/>
          <w:color w:val="000000" w:themeColor="text1"/>
          <w:sz w:val="18"/>
          <w:szCs w:val="28"/>
          <w:lang w:val="el-GR"/>
        </w:rPr>
        <w:t xml:space="preserve">. </w:t>
      </w:r>
      <w:r w:rsidR="007D2904" w:rsidRPr="00501D23">
        <w:rPr>
          <w:rFonts w:ascii="Arial" w:hAnsi="Arial" w:cs="Arial"/>
          <w:bCs/>
          <w:color w:val="000000" w:themeColor="text1"/>
          <w:sz w:val="18"/>
          <w:szCs w:val="28"/>
          <w:lang w:val="el-GR"/>
        </w:rPr>
        <w:t>Σύμφωνα με την έγκριση της ΕΚΤ, το ανώτατο όριο επαναγοράς μετοχών ανέρχεται μέχρι το 1.6% του συνόλου των υφιστάμενων μετοχών στις 31 Δεκεμβρίου 2023 (δηλαδή μέχρι 7,343,249 μετοχές).</w:t>
      </w:r>
      <w:r w:rsidR="0029325A" w:rsidRPr="00501D23">
        <w:rPr>
          <w:rFonts w:ascii="Arial" w:hAnsi="Arial" w:cs="Arial"/>
          <w:bCs/>
          <w:color w:val="000000" w:themeColor="text1"/>
          <w:sz w:val="18"/>
          <w:szCs w:val="28"/>
          <w:lang w:val="el-GR"/>
        </w:rPr>
        <w:t xml:space="preserve"> Μέχρι τις </w:t>
      </w:r>
      <w:r w:rsidR="007E05DA">
        <w:rPr>
          <w:rFonts w:ascii="Arial" w:hAnsi="Arial" w:cs="Arial"/>
          <w:bCs/>
          <w:color w:val="000000" w:themeColor="text1"/>
          <w:sz w:val="18"/>
          <w:szCs w:val="28"/>
          <w:lang w:val="el-GR"/>
        </w:rPr>
        <w:t>8</w:t>
      </w:r>
      <w:r w:rsidR="0029325A" w:rsidRPr="00501D23">
        <w:rPr>
          <w:rFonts w:ascii="Arial" w:hAnsi="Arial" w:cs="Arial"/>
          <w:bCs/>
          <w:color w:val="000000" w:themeColor="text1"/>
          <w:sz w:val="18"/>
          <w:szCs w:val="28"/>
          <w:lang w:val="el-GR"/>
        </w:rPr>
        <w:t xml:space="preserve"> Νοεμβρίου 2024, ο συνολικός αριθμός </w:t>
      </w:r>
      <w:r w:rsidR="00353E49">
        <w:rPr>
          <w:rFonts w:ascii="Arial" w:hAnsi="Arial" w:cs="Arial"/>
          <w:bCs/>
          <w:color w:val="000000" w:themeColor="text1"/>
          <w:sz w:val="18"/>
          <w:szCs w:val="28"/>
          <w:lang w:val="el-GR"/>
        </w:rPr>
        <w:t xml:space="preserve">συνήθων </w:t>
      </w:r>
      <w:r w:rsidR="0029325A" w:rsidRPr="00501D23">
        <w:rPr>
          <w:rFonts w:ascii="Arial" w:hAnsi="Arial" w:cs="Arial"/>
          <w:bCs/>
          <w:color w:val="000000" w:themeColor="text1"/>
          <w:sz w:val="18"/>
          <w:szCs w:val="28"/>
          <w:lang w:val="el-GR"/>
        </w:rPr>
        <w:t>μετοχών που εξαγοράστηκαν</w:t>
      </w:r>
      <w:r w:rsidR="00353E49">
        <w:rPr>
          <w:rFonts w:ascii="Arial" w:hAnsi="Arial" w:cs="Arial"/>
          <w:bCs/>
          <w:color w:val="000000" w:themeColor="text1"/>
          <w:sz w:val="18"/>
          <w:szCs w:val="28"/>
          <w:lang w:val="el-GR"/>
        </w:rPr>
        <w:t xml:space="preserve"> </w:t>
      </w:r>
      <w:r w:rsidR="0029325A" w:rsidRPr="00501D23">
        <w:rPr>
          <w:rFonts w:ascii="Arial" w:hAnsi="Arial" w:cs="Arial"/>
          <w:bCs/>
          <w:color w:val="000000" w:themeColor="text1"/>
          <w:sz w:val="18"/>
          <w:szCs w:val="28"/>
          <w:lang w:val="el-GR"/>
        </w:rPr>
        <w:t>ανέρχεται σε 4,</w:t>
      </w:r>
      <w:r w:rsidR="007E05DA">
        <w:rPr>
          <w:rFonts w:ascii="Arial" w:hAnsi="Arial" w:cs="Arial"/>
          <w:bCs/>
          <w:color w:val="000000" w:themeColor="text1"/>
          <w:sz w:val="18"/>
          <w:szCs w:val="28"/>
          <w:lang w:val="el-GR"/>
        </w:rPr>
        <w:t>802</w:t>
      </w:r>
      <w:r w:rsidR="0029325A" w:rsidRPr="00501D23">
        <w:rPr>
          <w:rFonts w:ascii="Arial" w:hAnsi="Arial" w:cs="Arial"/>
          <w:bCs/>
          <w:color w:val="000000" w:themeColor="text1"/>
          <w:sz w:val="18"/>
          <w:szCs w:val="28"/>
          <w:lang w:val="el-GR"/>
        </w:rPr>
        <w:t>,</w:t>
      </w:r>
      <w:r w:rsidR="007E05DA">
        <w:rPr>
          <w:rFonts w:ascii="Arial" w:hAnsi="Arial" w:cs="Arial"/>
          <w:bCs/>
          <w:color w:val="000000" w:themeColor="text1"/>
          <w:sz w:val="18"/>
          <w:szCs w:val="28"/>
          <w:lang w:val="el-GR"/>
        </w:rPr>
        <w:t>247</w:t>
      </w:r>
      <w:r w:rsidR="0029325A" w:rsidRPr="00501D23">
        <w:rPr>
          <w:rFonts w:ascii="Arial" w:hAnsi="Arial" w:cs="Arial"/>
          <w:bCs/>
          <w:color w:val="000000" w:themeColor="text1"/>
          <w:sz w:val="18"/>
          <w:szCs w:val="28"/>
          <w:lang w:val="el-GR"/>
        </w:rPr>
        <w:t xml:space="preserve"> κοινές μετοχές (εκ τον οποίων το συνολικό ποσό </w:t>
      </w:r>
      <w:r w:rsidR="00353E49">
        <w:rPr>
          <w:rFonts w:ascii="Arial" w:hAnsi="Arial" w:cs="Arial"/>
          <w:bCs/>
          <w:color w:val="000000" w:themeColor="text1"/>
          <w:sz w:val="18"/>
          <w:szCs w:val="28"/>
          <w:lang w:val="el-GR"/>
        </w:rPr>
        <w:t xml:space="preserve">συνήθων </w:t>
      </w:r>
      <w:r w:rsidR="0029325A" w:rsidRPr="00501D23">
        <w:rPr>
          <w:rFonts w:ascii="Arial" w:hAnsi="Arial" w:cs="Arial"/>
          <w:bCs/>
          <w:color w:val="000000" w:themeColor="text1"/>
          <w:sz w:val="18"/>
          <w:szCs w:val="28"/>
          <w:lang w:val="el-GR"/>
        </w:rPr>
        <w:t xml:space="preserve">μετοχών που ακυρώθηκαν μέχρι τις </w:t>
      </w:r>
      <w:r w:rsidR="007E05DA">
        <w:rPr>
          <w:rFonts w:ascii="Arial" w:hAnsi="Arial" w:cs="Arial"/>
          <w:bCs/>
          <w:color w:val="000000" w:themeColor="text1"/>
          <w:sz w:val="18"/>
          <w:szCs w:val="28"/>
          <w:lang w:val="el-GR"/>
        </w:rPr>
        <w:t>8</w:t>
      </w:r>
      <w:r w:rsidR="0029325A" w:rsidRPr="00501D23">
        <w:rPr>
          <w:rFonts w:ascii="Arial" w:hAnsi="Arial" w:cs="Arial"/>
          <w:bCs/>
          <w:color w:val="000000" w:themeColor="text1"/>
          <w:sz w:val="18"/>
          <w:szCs w:val="28"/>
          <w:lang w:val="el-GR"/>
        </w:rPr>
        <w:t xml:space="preserve"> Νοεμβρίου 2024 ανέρχεται σε 4,</w:t>
      </w:r>
      <w:r w:rsidR="007E05DA">
        <w:rPr>
          <w:rFonts w:ascii="Arial" w:hAnsi="Arial" w:cs="Arial"/>
          <w:bCs/>
          <w:color w:val="000000" w:themeColor="text1"/>
          <w:sz w:val="18"/>
          <w:szCs w:val="28"/>
          <w:lang w:val="el-GR"/>
        </w:rPr>
        <w:t>290</w:t>
      </w:r>
      <w:r w:rsidR="0029325A" w:rsidRPr="00501D23">
        <w:rPr>
          <w:rFonts w:ascii="Arial" w:hAnsi="Arial" w:cs="Arial"/>
          <w:bCs/>
          <w:color w:val="000000" w:themeColor="text1"/>
          <w:sz w:val="18"/>
          <w:szCs w:val="28"/>
          <w:lang w:val="el-GR"/>
        </w:rPr>
        <w:t>,</w:t>
      </w:r>
      <w:r w:rsidR="007E05DA">
        <w:rPr>
          <w:rFonts w:ascii="Arial" w:hAnsi="Arial" w:cs="Arial"/>
          <w:bCs/>
          <w:color w:val="000000" w:themeColor="text1"/>
          <w:sz w:val="18"/>
          <w:szCs w:val="28"/>
          <w:lang w:val="el-GR"/>
        </w:rPr>
        <w:t>222</w:t>
      </w:r>
      <w:r w:rsidR="0029325A" w:rsidRPr="00501D23">
        <w:rPr>
          <w:rFonts w:ascii="Arial" w:hAnsi="Arial" w:cs="Arial"/>
          <w:bCs/>
          <w:color w:val="000000" w:themeColor="text1"/>
          <w:sz w:val="18"/>
          <w:szCs w:val="28"/>
          <w:lang w:val="el-GR"/>
        </w:rPr>
        <w:t>),</w:t>
      </w:r>
      <w:r w:rsidR="00FA347A">
        <w:rPr>
          <w:rFonts w:ascii="Arial" w:hAnsi="Arial" w:cs="Arial"/>
          <w:bCs/>
          <w:color w:val="000000" w:themeColor="text1"/>
          <w:sz w:val="18"/>
          <w:szCs w:val="28"/>
          <w:lang w:val="el-GR"/>
        </w:rPr>
        <w:t xml:space="preserve"> </w:t>
      </w:r>
      <w:r w:rsidR="0029325A" w:rsidRPr="00501D23">
        <w:rPr>
          <w:rFonts w:ascii="Arial" w:hAnsi="Arial" w:cs="Arial"/>
          <w:bCs/>
          <w:color w:val="000000" w:themeColor="text1"/>
          <w:sz w:val="18"/>
          <w:szCs w:val="28"/>
          <w:lang w:val="el-GR"/>
        </w:rPr>
        <w:t>με μέση σταθμισμένη τιμή €4.3</w:t>
      </w:r>
      <w:r w:rsidR="007E05DA">
        <w:rPr>
          <w:rFonts w:ascii="Arial" w:hAnsi="Arial" w:cs="Arial"/>
          <w:bCs/>
          <w:color w:val="000000" w:themeColor="text1"/>
          <w:sz w:val="18"/>
          <w:szCs w:val="28"/>
          <w:lang w:val="el-GR"/>
        </w:rPr>
        <w:t>8</w:t>
      </w:r>
      <w:r w:rsidR="0029325A" w:rsidRPr="00501D23">
        <w:rPr>
          <w:rFonts w:ascii="Arial" w:hAnsi="Arial" w:cs="Arial"/>
          <w:bCs/>
          <w:color w:val="000000" w:themeColor="text1"/>
          <w:sz w:val="18"/>
          <w:szCs w:val="28"/>
          <w:lang w:val="el-GR"/>
        </w:rPr>
        <w:t xml:space="preserve"> για συνολικό τίμημα €</w:t>
      </w:r>
      <w:r w:rsidR="007E05DA">
        <w:rPr>
          <w:rFonts w:ascii="Arial" w:hAnsi="Arial" w:cs="Arial"/>
          <w:bCs/>
          <w:color w:val="000000" w:themeColor="text1"/>
          <w:sz w:val="18"/>
          <w:szCs w:val="28"/>
          <w:lang w:val="el-GR"/>
        </w:rPr>
        <w:t>21</w:t>
      </w:r>
      <w:r w:rsidR="0029325A" w:rsidRPr="00501D23">
        <w:rPr>
          <w:rFonts w:ascii="Arial" w:hAnsi="Arial" w:cs="Arial"/>
          <w:bCs/>
          <w:color w:val="000000" w:themeColor="text1"/>
          <w:sz w:val="18"/>
          <w:szCs w:val="28"/>
          <w:lang w:val="el-GR"/>
        </w:rPr>
        <w:t>,</w:t>
      </w:r>
      <w:r w:rsidR="007E05DA">
        <w:rPr>
          <w:rFonts w:ascii="Arial" w:hAnsi="Arial" w:cs="Arial"/>
          <w:bCs/>
          <w:color w:val="000000" w:themeColor="text1"/>
          <w:sz w:val="18"/>
          <w:szCs w:val="28"/>
          <w:lang w:val="el-GR"/>
        </w:rPr>
        <w:t>054</w:t>
      </w:r>
      <w:r w:rsidR="0029325A" w:rsidRPr="00501D23">
        <w:rPr>
          <w:rFonts w:ascii="Arial" w:hAnsi="Arial" w:cs="Arial"/>
          <w:bCs/>
          <w:color w:val="000000" w:themeColor="text1"/>
          <w:sz w:val="18"/>
          <w:szCs w:val="28"/>
          <w:lang w:val="el-GR"/>
        </w:rPr>
        <w:t>,</w:t>
      </w:r>
      <w:r w:rsidR="007E05DA">
        <w:rPr>
          <w:rFonts w:ascii="Arial" w:hAnsi="Arial" w:cs="Arial"/>
          <w:bCs/>
          <w:color w:val="000000" w:themeColor="text1"/>
          <w:sz w:val="18"/>
          <w:szCs w:val="28"/>
          <w:lang w:val="el-GR"/>
        </w:rPr>
        <w:t>483</w:t>
      </w:r>
      <w:r w:rsidR="0029325A" w:rsidRPr="00501D23">
        <w:rPr>
          <w:rFonts w:ascii="Arial" w:hAnsi="Arial" w:cs="Arial"/>
          <w:bCs/>
          <w:color w:val="000000" w:themeColor="text1"/>
          <w:sz w:val="18"/>
          <w:szCs w:val="28"/>
          <w:lang w:val="el-GR"/>
        </w:rPr>
        <w:t xml:space="preserve">. Μέχρι τις </w:t>
      </w:r>
      <w:r w:rsidR="007E05DA">
        <w:rPr>
          <w:rFonts w:ascii="Arial" w:hAnsi="Arial" w:cs="Arial"/>
          <w:bCs/>
          <w:color w:val="000000" w:themeColor="text1"/>
          <w:sz w:val="18"/>
          <w:szCs w:val="28"/>
          <w:lang w:val="el-GR"/>
        </w:rPr>
        <w:t>8</w:t>
      </w:r>
      <w:r w:rsidR="0029325A" w:rsidRPr="00501D23">
        <w:rPr>
          <w:rFonts w:ascii="Arial" w:hAnsi="Arial" w:cs="Arial"/>
          <w:bCs/>
          <w:color w:val="000000" w:themeColor="text1"/>
          <w:sz w:val="18"/>
          <w:szCs w:val="28"/>
          <w:lang w:val="el-GR"/>
        </w:rPr>
        <w:t xml:space="preserve"> Νοεμβρίου 2024 έχει ολοκληρωθεί περίπου το </w:t>
      </w:r>
      <w:r w:rsidR="007E05DA">
        <w:rPr>
          <w:rFonts w:ascii="Arial" w:hAnsi="Arial" w:cs="Arial"/>
          <w:bCs/>
          <w:color w:val="000000" w:themeColor="text1"/>
          <w:sz w:val="18"/>
          <w:szCs w:val="28"/>
          <w:lang w:val="el-GR"/>
        </w:rPr>
        <w:t>84</w:t>
      </w:r>
      <w:r w:rsidR="0029325A" w:rsidRPr="00501D23">
        <w:rPr>
          <w:rFonts w:ascii="Arial" w:hAnsi="Arial" w:cs="Arial"/>
          <w:bCs/>
          <w:color w:val="000000" w:themeColor="text1"/>
          <w:sz w:val="18"/>
          <w:szCs w:val="28"/>
          <w:lang w:val="el-GR"/>
        </w:rPr>
        <w:t>% της μέγιστης συνολικής αξίας του προγράμματος επαναγοράς μετοχών.</w:t>
      </w:r>
    </w:p>
    <w:p w14:paraId="73541DAC" w14:textId="77777777" w:rsidR="0029325A" w:rsidRPr="0029325A" w:rsidRDefault="0029325A" w:rsidP="0029325A">
      <w:pPr>
        <w:spacing w:after="0" w:line="240" w:lineRule="auto"/>
        <w:jc w:val="both"/>
        <w:rPr>
          <w:rFonts w:ascii="Arial" w:hAnsi="Arial" w:cs="Arial"/>
          <w:bCs/>
          <w:color w:val="FF0000"/>
          <w:sz w:val="18"/>
          <w:szCs w:val="28"/>
          <w:lang w:val="el-GR"/>
        </w:rPr>
      </w:pPr>
    </w:p>
    <w:p w14:paraId="1B9BD747" w14:textId="38322C41" w:rsidR="00862E4A" w:rsidRPr="007246A9" w:rsidRDefault="001B2B8F" w:rsidP="00FE2A9E">
      <w:pPr>
        <w:spacing w:after="0" w:line="240" w:lineRule="auto"/>
        <w:jc w:val="both"/>
        <w:rPr>
          <w:rFonts w:ascii="Arial" w:hAnsi="Arial" w:cs="Arial"/>
          <w:bCs/>
          <w:sz w:val="18"/>
          <w:szCs w:val="28"/>
          <w:lang w:val="el-GR"/>
        </w:rPr>
      </w:pPr>
      <w:r w:rsidRPr="007246A9">
        <w:rPr>
          <w:rFonts w:ascii="Arial" w:hAnsi="Arial" w:cs="Arial"/>
          <w:bCs/>
          <w:sz w:val="18"/>
          <w:szCs w:val="28"/>
          <w:lang w:val="el-GR"/>
        </w:rPr>
        <w:t xml:space="preserve">Η Διανομή από τα κέρδη του 2023 αντιστοιχούσε σε περίπου 130 </w:t>
      </w:r>
      <w:proofErr w:type="spellStart"/>
      <w:r w:rsidRPr="007246A9">
        <w:rPr>
          <w:rFonts w:ascii="Arial" w:hAnsi="Arial" w:cs="Arial"/>
          <w:bCs/>
          <w:sz w:val="18"/>
          <w:szCs w:val="28"/>
          <w:lang w:val="el-GR"/>
        </w:rPr>
        <w:t>μ.β</w:t>
      </w:r>
      <w:proofErr w:type="spellEnd"/>
      <w:r w:rsidRPr="007246A9">
        <w:rPr>
          <w:rFonts w:ascii="Arial" w:hAnsi="Arial" w:cs="Arial"/>
          <w:bCs/>
          <w:sz w:val="18"/>
          <w:szCs w:val="28"/>
          <w:lang w:val="el-GR"/>
        </w:rPr>
        <w:t>. στο Δείκτη Κεφαλαίου Κοινών Μετοχών Κατηγορίας 1 (CET1) στις 31 Δεκεμβρίου 2023.</w:t>
      </w:r>
    </w:p>
    <w:p w14:paraId="72906EE6" w14:textId="77777777" w:rsidR="00862E4A" w:rsidRDefault="00862E4A" w:rsidP="00FE2A9E">
      <w:pPr>
        <w:spacing w:after="0" w:line="240" w:lineRule="auto"/>
        <w:jc w:val="both"/>
        <w:rPr>
          <w:rFonts w:ascii="Arial" w:hAnsi="Arial" w:cs="Arial"/>
          <w:bCs/>
          <w:sz w:val="18"/>
          <w:szCs w:val="28"/>
          <w:highlight w:val="yellow"/>
          <w:lang w:val="el-GR"/>
        </w:rPr>
      </w:pPr>
    </w:p>
    <w:p w14:paraId="021FD1E8" w14:textId="3FCFA3C4" w:rsidR="00352599" w:rsidRPr="007246A9" w:rsidRDefault="00352599" w:rsidP="004953BA">
      <w:pPr>
        <w:pStyle w:val="BodyText3"/>
        <w:spacing w:line="360" w:lineRule="auto"/>
        <w:jc w:val="both"/>
        <w:rPr>
          <w:rFonts w:ascii="Arial" w:hAnsi="Arial" w:cs="Arial"/>
          <w:b/>
          <w:bCs/>
          <w:color w:val="FF9900"/>
          <w:sz w:val="20"/>
          <w:lang w:val="el-GR"/>
        </w:rPr>
      </w:pPr>
      <w:r w:rsidRPr="007246A9">
        <w:rPr>
          <w:rFonts w:ascii="Arial" w:hAnsi="Arial" w:cs="Arial"/>
          <w:b/>
          <w:bCs/>
          <w:color w:val="FF9900"/>
          <w:sz w:val="20"/>
          <w:lang w:val="el-GR"/>
        </w:rPr>
        <w:t xml:space="preserve">Πολιτική </w:t>
      </w:r>
      <w:r w:rsidR="000A6772" w:rsidRPr="007246A9">
        <w:rPr>
          <w:rFonts w:ascii="Arial" w:hAnsi="Arial" w:cs="Arial"/>
          <w:b/>
          <w:bCs/>
          <w:color w:val="FF9900"/>
          <w:sz w:val="20"/>
          <w:lang w:val="el-GR"/>
        </w:rPr>
        <w:t>διανομ</w:t>
      </w:r>
      <w:r w:rsidR="00A95341" w:rsidRPr="007246A9">
        <w:rPr>
          <w:rFonts w:ascii="Arial" w:hAnsi="Arial" w:cs="Arial"/>
          <w:b/>
          <w:bCs/>
          <w:color w:val="FF9900"/>
          <w:sz w:val="20"/>
          <w:lang w:val="el-GR"/>
        </w:rPr>
        <w:t>ής</w:t>
      </w:r>
    </w:p>
    <w:p w14:paraId="0E7E21C5" w14:textId="3BD00152" w:rsidR="00253F72" w:rsidRDefault="00E716AA" w:rsidP="00041D74">
      <w:pPr>
        <w:spacing w:after="0" w:line="240" w:lineRule="auto"/>
        <w:jc w:val="both"/>
        <w:rPr>
          <w:rFonts w:ascii="Arial" w:hAnsi="Arial" w:cs="Arial"/>
          <w:bCs/>
          <w:sz w:val="18"/>
          <w:szCs w:val="28"/>
          <w:lang w:val="el-GR"/>
        </w:rPr>
      </w:pPr>
      <w:r w:rsidRPr="007246A9">
        <w:rPr>
          <w:rFonts w:ascii="Arial" w:hAnsi="Arial" w:cs="Arial"/>
          <w:bCs/>
          <w:sz w:val="18"/>
          <w:szCs w:val="28"/>
          <w:lang w:val="el-GR"/>
        </w:rPr>
        <w:t>Στόχος του Συγκροτήματος είναι η παροχή σταθερής απόδοσης στους μετόχους.</w:t>
      </w:r>
      <w:r w:rsidR="00253F72" w:rsidRPr="00253F72">
        <w:rPr>
          <w:rFonts w:ascii="Arial" w:hAnsi="Arial" w:cs="Arial"/>
          <w:bCs/>
          <w:sz w:val="18"/>
          <w:szCs w:val="28"/>
          <w:lang w:val="el-GR"/>
        </w:rPr>
        <w:t xml:space="preserve"> </w:t>
      </w:r>
      <w:r w:rsidRPr="007246A9">
        <w:rPr>
          <w:rFonts w:ascii="Arial" w:hAnsi="Arial" w:cs="Arial"/>
          <w:bCs/>
          <w:sz w:val="18"/>
          <w:szCs w:val="28"/>
          <w:lang w:val="el-GR"/>
        </w:rPr>
        <w:t>Σύμφωνα με την πολιτική διανομής του Συγκροτήματος, οι διανομές αναμένεται να κυμαίν</w:t>
      </w:r>
      <w:r w:rsidR="00E22FF7">
        <w:rPr>
          <w:rFonts w:ascii="Arial" w:hAnsi="Arial" w:cs="Arial"/>
          <w:bCs/>
          <w:sz w:val="18"/>
          <w:szCs w:val="28"/>
          <w:lang w:val="el-GR"/>
        </w:rPr>
        <w:t xml:space="preserve">ονται </w:t>
      </w:r>
      <w:r w:rsidRPr="007246A9">
        <w:rPr>
          <w:rFonts w:ascii="Arial" w:hAnsi="Arial" w:cs="Arial"/>
          <w:bCs/>
          <w:sz w:val="18"/>
          <w:szCs w:val="28"/>
          <w:lang w:val="el-GR"/>
        </w:rPr>
        <w:t>μεταξύ 30-50% της προσαρμοσμένης κερδοφορίας πριν των μη επαναλαμβανόμενων στοιχείων του Συγκροτήματος, και να περιλαμβάνουν μερίσματα σε μετρητά και επαναγορά ιδίων μετοχών</w:t>
      </w:r>
      <w:r w:rsidR="0029325A">
        <w:rPr>
          <w:rFonts w:ascii="Arial" w:hAnsi="Arial" w:cs="Arial"/>
          <w:bCs/>
          <w:sz w:val="18"/>
          <w:szCs w:val="28"/>
          <w:lang w:val="el-GR"/>
        </w:rPr>
        <w:t xml:space="preserve">. </w:t>
      </w:r>
      <w:r w:rsidR="00E40FED">
        <w:rPr>
          <w:rFonts w:ascii="Arial" w:hAnsi="Arial" w:cs="Arial"/>
          <w:bCs/>
          <w:sz w:val="18"/>
          <w:szCs w:val="28"/>
          <w:lang w:val="el-GR"/>
        </w:rPr>
        <w:t xml:space="preserve"> </w:t>
      </w:r>
      <w:r w:rsidR="002B28BF" w:rsidRPr="007246A9">
        <w:rPr>
          <w:rFonts w:ascii="Arial" w:hAnsi="Arial" w:cs="Arial"/>
          <w:bCs/>
          <w:sz w:val="18"/>
          <w:szCs w:val="28"/>
          <w:lang w:val="el-GR"/>
        </w:rPr>
        <w:t xml:space="preserve">Η προσαρμοσμένη κερδοφορία πριν των μη επαναλαμβανόμενων στοιχείων </w:t>
      </w:r>
      <w:r w:rsidR="00454CAE">
        <w:rPr>
          <w:rFonts w:ascii="Arial" w:hAnsi="Arial" w:cs="Arial"/>
          <w:bCs/>
          <w:sz w:val="18"/>
          <w:szCs w:val="28"/>
          <w:lang w:val="el-GR"/>
        </w:rPr>
        <w:t>καθορίζεται</w:t>
      </w:r>
      <w:r w:rsidR="00AD2E46" w:rsidRPr="007246A9">
        <w:rPr>
          <w:rFonts w:ascii="Arial" w:hAnsi="Arial" w:cs="Arial"/>
          <w:bCs/>
          <w:sz w:val="18"/>
          <w:szCs w:val="28"/>
          <w:lang w:val="el-GR"/>
        </w:rPr>
        <w:t xml:space="preserve"> ως</w:t>
      </w:r>
      <w:r w:rsidR="002B28BF" w:rsidRPr="007246A9">
        <w:rPr>
          <w:rFonts w:ascii="Arial" w:hAnsi="Arial" w:cs="Arial"/>
          <w:bCs/>
          <w:sz w:val="18"/>
          <w:szCs w:val="28"/>
          <w:lang w:val="el-GR"/>
        </w:rPr>
        <w:t xml:space="preserve"> τα κέρδη μετά τη φορολογία και πριν τα μη-επαναλαμβανόμενα στοιχεία που αναλογούν στους ιδιοκτήτες του Συγκροτήματος, λαμβάνοντας υπόψιν τις διανομές από τους λοιπούς συμμετοχικούς τίτλους όπως την πληρωμή κουπονιού στους κατόχους Χρεογράφων Κατηγορίας 1.</w:t>
      </w:r>
    </w:p>
    <w:p w14:paraId="2B02E746" w14:textId="77777777" w:rsidR="00253F72" w:rsidRDefault="00253F72" w:rsidP="00041D74">
      <w:pPr>
        <w:spacing w:after="0" w:line="240" w:lineRule="auto"/>
        <w:jc w:val="both"/>
        <w:rPr>
          <w:rFonts w:ascii="Arial" w:hAnsi="Arial" w:cs="Arial"/>
          <w:bCs/>
          <w:sz w:val="18"/>
          <w:szCs w:val="28"/>
          <w:lang w:val="el-GR"/>
        </w:rPr>
      </w:pPr>
    </w:p>
    <w:p w14:paraId="1F2903DA" w14:textId="77777777" w:rsidR="00E40FED" w:rsidRPr="00AF53C3" w:rsidRDefault="00E40FED" w:rsidP="00E40FED">
      <w:pPr>
        <w:pStyle w:val="Default"/>
        <w:jc w:val="both"/>
        <w:rPr>
          <w:b/>
          <w:bCs/>
          <w:sz w:val="18"/>
          <w:szCs w:val="18"/>
          <w:lang w:val="el-GR"/>
        </w:rPr>
      </w:pPr>
      <w:r w:rsidRPr="00AF53C3">
        <w:rPr>
          <w:b/>
          <w:bCs/>
          <w:sz w:val="18"/>
          <w:szCs w:val="18"/>
          <w:lang w:val="el-GR"/>
        </w:rPr>
        <w:t xml:space="preserve">Με βάση την προκαταρκτική απόφαση ΔΕΕΑ, η υφιστάμενη εποπτική έγκριση </w:t>
      </w:r>
      <w:r>
        <w:rPr>
          <w:b/>
          <w:bCs/>
          <w:sz w:val="18"/>
          <w:szCs w:val="18"/>
          <w:lang w:val="el-GR"/>
        </w:rPr>
        <w:t>πριν την</w:t>
      </w:r>
      <w:r w:rsidRPr="00AF53C3">
        <w:rPr>
          <w:b/>
          <w:bCs/>
          <w:sz w:val="18"/>
          <w:szCs w:val="18"/>
          <w:lang w:val="el-GR"/>
        </w:rPr>
        <w:t xml:space="preserve"> καταβολή μερίσματος αναμένεται να αρθεί, με ημερομηνία ισχύς από την 1 Ιανουαρίου 2025. </w:t>
      </w:r>
    </w:p>
    <w:p w14:paraId="01C935FE" w14:textId="77777777" w:rsidR="00E40FED" w:rsidRDefault="00E40FED" w:rsidP="00502B4F">
      <w:pPr>
        <w:pStyle w:val="Default"/>
        <w:jc w:val="both"/>
        <w:rPr>
          <w:bCs/>
          <w:sz w:val="18"/>
          <w:szCs w:val="28"/>
          <w:lang w:val="el-GR"/>
        </w:rPr>
      </w:pPr>
    </w:p>
    <w:p w14:paraId="33A3BA69" w14:textId="44A808D6" w:rsidR="00EA70D7" w:rsidRPr="00502B4F" w:rsidRDefault="00E716AA" w:rsidP="00502B4F">
      <w:pPr>
        <w:pStyle w:val="Default"/>
        <w:jc w:val="both"/>
        <w:rPr>
          <w:sz w:val="18"/>
          <w:szCs w:val="18"/>
          <w:lang w:val="el-GR"/>
        </w:rPr>
      </w:pPr>
      <w:r w:rsidRPr="007246A9">
        <w:rPr>
          <w:bCs/>
          <w:sz w:val="18"/>
          <w:szCs w:val="28"/>
          <w:lang w:val="el-GR"/>
        </w:rPr>
        <w:t xml:space="preserve">Σύμφωνα με την πολιτική διανομής του Συγκροτήματος, το Συγκρότημα είναι προσηλωμένο στην παροχή σταθερών και αυξανόμενων διανομών, συνδυάζοντας μέρισμα σε μετρητά και επαναγορά ιδίων μετοχών, διατηρώντας παράλληλα την ισχυρή κεφαλαιακή του θέση, στηρίζοντας έτσι την αύξηση της κερδοφορίας και τη συνετή ετοιμασία του Συγκροτήματος ως </w:t>
      </w:r>
      <w:r w:rsidR="00454CAE">
        <w:rPr>
          <w:bCs/>
          <w:sz w:val="18"/>
          <w:szCs w:val="28"/>
          <w:lang w:val="el-GR"/>
        </w:rPr>
        <w:t xml:space="preserve">προς </w:t>
      </w:r>
      <w:r w:rsidRPr="007246A9">
        <w:rPr>
          <w:bCs/>
          <w:sz w:val="18"/>
          <w:szCs w:val="28"/>
          <w:lang w:val="el-GR"/>
        </w:rPr>
        <w:t>επερχόμενες πιθανές κανονιστικές αλλαγές.</w:t>
      </w:r>
      <w:r w:rsidR="00AD2E46" w:rsidRPr="00AD2E46">
        <w:rPr>
          <w:bCs/>
          <w:sz w:val="18"/>
          <w:szCs w:val="28"/>
          <w:lang w:val="el-GR"/>
        </w:rPr>
        <w:t xml:space="preserve"> </w:t>
      </w:r>
      <w:r w:rsidRPr="007246A9">
        <w:rPr>
          <w:bCs/>
          <w:sz w:val="18"/>
          <w:szCs w:val="28"/>
          <w:lang w:val="el-GR"/>
        </w:rPr>
        <w:t xml:space="preserve">Υποστηριζόμενο από την συνεχή του πρόοδο ως προς τους στρατηγικούς του στόχους, </w:t>
      </w:r>
      <w:r w:rsidRPr="007246A9">
        <w:rPr>
          <w:b/>
          <w:sz w:val="18"/>
          <w:szCs w:val="28"/>
          <w:lang w:val="el-GR"/>
        </w:rPr>
        <w:t xml:space="preserve">το Συγκρότημα, για το 2024, επιδιώκει να κινηθεί ως </w:t>
      </w:r>
      <w:r w:rsidR="00A92737" w:rsidRPr="007246A9">
        <w:rPr>
          <w:b/>
          <w:sz w:val="18"/>
          <w:szCs w:val="28"/>
          <w:lang w:val="el-GR"/>
        </w:rPr>
        <w:t xml:space="preserve">προς το </w:t>
      </w:r>
      <w:r w:rsidR="003A687C">
        <w:rPr>
          <w:b/>
          <w:sz w:val="18"/>
          <w:szCs w:val="28"/>
          <w:lang w:val="el-GR"/>
        </w:rPr>
        <w:t>ανώτατο</w:t>
      </w:r>
      <w:r w:rsidR="00A92737" w:rsidRPr="007246A9">
        <w:rPr>
          <w:b/>
          <w:sz w:val="18"/>
          <w:szCs w:val="28"/>
          <w:lang w:val="el-GR"/>
        </w:rPr>
        <w:t xml:space="preserve"> </w:t>
      </w:r>
      <w:r w:rsidR="003A687C">
        <w:rPr>
          <w:b/>
          <w:sz w:val="18"/>
          <w:szCs w:val="28"/>
          <w:lang w:val="el-GR"/>
        </w:rPr>
        <w:t>όριο</w:t>
      </w:r>
      <w:r w:rsidR="00454CAE" w:rsidRPr="007246A9">
        <w:rPr>
          <w:b/>
          <w:sz w:val="18"/>
          <w:szCs w:val="28"/>
          <w:lang w:val="el-GR"/>
        </w:rPr>
        <w:t xml:space="preserve"> </w:t>
      </w:r>
      <w:r w:rsidR="00A92737" w:rsidRPr="007246A9">
        <w:rPr>
          <w:b/>
          <w:sz w:val="18"/>
          <w:szCs w:val="28"/>
          <w:lang w:val="el-GR"/>
        </w:rPr>
        <w:t>του εύρους του ποσοστού διανομής (δηλαδή 50%)</w:t>
      </w:r>
      <w:r w:rsidRPr="007246A9">
        <w:rPr>
          <w:b/>
          <w:sz w:val="18"/>
          <w:szCs w:val="28"/>
          <w:lang w:val="el-GR"/>
        </w:rPr>
        <w:t>.</w:t>
      </w:r>
      <w:r w:rsidR="00E40FED">
        <w:rPr>
          <w:b/>
          <w:sz w:val="18"/>
          <w:szCs w:val="28"/>
          <w:lang w:val="el-GR"/>
        </w:rPr>
        <w:t xml:space="preserve"> </w:t>
      </w:r>
      <w:r w:rsidRPr="007246A9">
        <w:rPr>
          <w:bCs/>
          <w:sz w:val="18"/>
          <w:szCs w:val="28"/>
          <w:lang w:val="el-GR"/>
        </w:rPr>
        <w:t xml:space="preserve">Οποιοδήποτε προτεινόμενο ποσό διανομής, καθώς και η προβλεπόμενη κατανομή μεταξύ μερίσματος σε μετρητά και επαναγοράς ιδίων μετοχών, θα λαμβάνει υπόψη τις συνθήκες της αγοράς όπως επίσης και τα αποτελέσματα του σχεδιασμού κεφαλαίου και ρευστότητας κατά τη δεδομένη χρονική στιγμή. </w:t>
      </w:r>
      <w:r w:rsidRPr="007246A9">
        <w:rPr>
          <w:b/>
          <w:sz w:val="18"/>
          <w:szCs w:val="28"/>
          <w:lang w:val="el-GR"/>
        </w:rPr>
        <w:t>Δεδομένης της ισχυρής δημιουργίας κεφαλαίου, η πολιτική διανομής του Συγκροτήματος αναμένεται να επανεξεταστεί με τα οικονομικά αποτελέσματα για το έτος 2024, στο πλαίσιο των εκάστοτε συνθηκών της αγοράς.</w:t>
      </w:r>
    </w:p>
    <w:p w14:paraId="5C84C5D7" w14:textId="77777777" w:rsidR="00E716AA" w:rsidRPr="00D41B36" w:rsidRDefault="00E716AA" w:rsidP="00041D74">
      <w:pPr>
        <w:spacing w:after="0" w:line="240" w:lineRule="auto"/>
        <w:jc w:val="both"/>
        <w:rPr>
          <w:rFonts w:ascii="Arial" w:hAnsi="Arial" w:cs="Arial"/>
          <w:bCs/>
          <w:sz w:val="18"/>
          <w:szCs w:val="28"/>
          <w:highlight w:val="yellow"/>
          <w:lang w:val="el-GR"/>
        </w:rPr>
      </w:pPr>
    </w:p>
    <w:p w14:paraId="51A7C130" w14:textId="77777777" w:rsidR="00AD2E46" w:rsidRDefault="00AD2E46" w:rsidP="00CB38F0">
      <w:pPr>
        <w:spacing w:after="0" w:line="360" w:lineRule="auto"/>
        <w:jc w:val="both"/>
        <w:rPr>
          <w:rFonts w:ascii="Arial" w:hAnsi="Arial" w:cs="Arial"/>
          <w:b/>
          <w:bCs/>
          <w:color w:val="FF9900"/>
          <w:sz w:val="20"/>
          <w:szCs w:val="24"/>
          <w:highlight w:val="yellow"/>
          <w:lang w:val="el-GR"/>
        </w:rPr>
      </w:pPr>
    </w:p>
    <w:p w14:paraId="1E0E0BB8" w14:textId="77777777" w:rsidR="00E40FED" w:rsidRDefault="00E40FED" w:rsidP="00AD2E46">
      <w:pPr>
        <w:rPr>
          <w:rFonts w:ascii="Arial" w:hAnsi="Arial" w:cs="Arial"/>
          <w:b/>
          <w:bCs/>
          <w:color w:val="FF9900"/>
          <w:sz w:val="24"/>
          <w:lang w:val="el-GR"/>
        </w:rPr>
      </w:pPr>
    </w:p>
    <w:p w14:paraId="19C15558" w14:textId="5DFBC053" w:rsidR="00AD2E46" w:rsidRPr="00755F7E" w:rsidRDefault="00AD2E46" w:rsidP="00AD2E46">
      <w:pPr>
        <w:rPr>
          <w:rFonts w:ascii="Arial" w:eastAsia="Times New Roman" w:hAnsi="Arial" w:cs="Arial"/>
          <w:sz w:val="18"/>
          <w:szCs w:val="18"/>
          <w:lang w:val="el-GR"/>
        </w:rPr>
      </w:pPr>
      <w:r w:rsidRPr="00755F7E">
        <w:rPr>
          <w:rFonts w:ascii="Arial" w:hAnsi="Arial" w:cs="Arial"/>
          <w:b/>
          <w:bCs/>
          <w:color w:val="FF9900"/>
          <w:sz w:val="24"/>
          <w:lang w:val="el-GR"/>
        </w:rPr>
        <w:lastRenderedPageBreak/>
        <w:t xml:space="preserve">Α. Οικονομικά Αποτελέσματα Συγκροτήματος – Υποκείμενη Βάση </w:t>
      </w:r>
      <w:r w:rsidRPr="00755F7E">
        <w:rPr>
          <w:rFonts w:ascii="Arial" w:hAnsi="Arial" w:cs="Arial"/>
          <w:color w:val="FF9900"/>
          <w:sz w:val="24"/>
          <w:lang w:val="el-GR"/>
        </w:rPr>
        <w:t>(συνέχεια)</w:t>
      </w:r>
    </w:p>
    <w:p w14:paraId="28F3D96D" w14:textId="77777777" w:rsidR="00AD2E46" w:rsidRPr="00755F7E" w:rsidRDefault="00AD2E46" w:rsidP="00AD2E46">
      <w:pPr>
        <w:rPr>
          <w:rFonts w:ascii="Arial" w:hAnsi="Arial" w:cs="Arial"/>
          <w:b/>
          <w:bCs/>
          <w:color w:val="FF9900"/>
          <w:sz w:val="23"/>
          <w:szCs w:val="23"/>
          <w:lang w:val="el-GR"/>
        </w:rPr>
      </w:pPr>
      <w:r w:rsidRPr="00755F7E">
        <w:rPr>
          <w:rFonts w:ascii="Arial" w:hAnsi="Arial" w:cs="Arial"/>
          <w:b/>
          <w:bCs/>
          <w:color w:val="FF9900"/>
          <w:sz w:val="23"/>
          <w:szCs w:val="23"/>
          <w:lang w:val="el-GR"/>
        </w:rPr>
        <w:t>Α.1 Ανάλυση Ισολογισμ</w:t>
      </w:r>
      <w:r w:rsidRPr="00D65FD6">
        <w:rPr>
          <w:rFonts w:ascii="Arial" w:hAnsi="Arial" w:cs="Arial"/>
          <w:b/>
          <w:bCs/>
          <w:color w:val="FF9900"/>
          <w:sz w:val="23"/>
          <w:szCs w:val="23"/>
          <w:lang w:val="el-GR"/>
        </w:rPr>
        <w:t xml:space="preserve">ού </w:t>
      </w:r>
      <w:r w:rsidRPr="00755F7E">
        <w:rPr>
          <w:rFonts w:ascii="Arial" w:hAnsi="Arial" w:cs="Arial"/>
          <w:color w:val="FF9900"/>
          <w:sz w:val="23"/>
          <w:szCs w:val="23"/>
          <w:lang w:val="el-GR"/>
        </w:rPr>
        <w:t>(συνέχεια)</w:t>
      </w:r>
    </w:p>
    <w:p w14:paraId="2DE8F6E0" w14:textId="77777777" w:rsidR="00AD2E46" w:rsidRDefault="00AD2E46" w:rsidP="00AD2E46">
      <w:pPr>
        <w:rPr>
          <w:rFonts w:ascii="Arial" w:hAnsi="Arial" w:cs="Arial"/>
          <w:color w:val="FF9900"/>
          <w:lang w:val="el-GR"/>
        </w:rPr>
      </w:pPr>
      <w:r w:rsidRPr="00755F7E">
        <w:rPr>
          <w:rFonts w:ascii="Arial" w:hAnsi="Arial" w:cs="Arial"/>
          <w:b/>
          <w:bCs/>
          <w:color w:val="FF9900"/>
          <w:lang w:val="el-GR"/>
        </w:rPr>
        <w:t>Α.1.1 Κεφαλαιακή Βάση</w:t>
      </w:r>
      <w:r>
        <w:rPr>
          <w:rFonts w:ascii="Arial" w:hAnsi="Arial" w:cs="Arial"/>
          <w:b/>
          <w:bCs/>
          <w:color w:val="FF9900"/>
          <w:lang w:val="el-GR"/>
        </w:rPr>
        <w:t xml:space="preserve"> </w:t>
      </w:r>
      <w:r w:rsidRPr="00755F7E">
        <w:rPr>
          <w:rFonts w:ascii="Arial" w:hAnsi="Arial" w:cs="Arial"/>
          <w:color w:val="FF9900"/>
          <w:lang w:val="el-GR"/>
        </w:rPr>
        <w:t>(συνέχεια)</w:t>
      </w:r>
    </w:p>
    <w:p w14:paraId="0847C28E" w14:textId="3E9887B0" w:rsidR="000F7ADA" w:rsidRPr="007246A9" w:rsidRDefault="000F7ADA" w:rsidP="00CB38F0">
      <w:pPr>
        <w:spacing w:after="0" w:line="360" w:lineRule="auto"/>
        <w:jc w:val="both"/>
        <w:rPr>
          <w:rFonts w:ascii="Arial" w:hAnsi="Arial" w:cs="Arial"/>
          <w:b/>
          <w:bCs/>
          <w:color w:val="FF9900"/>
          <w:sz w:val="20"/>
          <w:szCs w:val="24"/>
          <w:lang w:val="el-GR"/>
        </w:rPr>
      </w:pPr>
      <w:r w:rsidRPr="007246A9">
        <w:rPr>
          <w:rFonts w:ascii="Arial" w:hAnsi="Arial" w:cs="Arial"/>
          <w:b/>
          <w:bCs/>
          <w:color w:val="FF9900"/>
          <w:sz w:val="20"/>
          <w:szCs w:val="24"/>
          <w:lang w:val="el-GR"/>
        </w:rPr>
        <w:t>Μετοχικό κεφάλαιο</w:t>
      </w:r>
    </w:p>
    <w:p w14:paraId="1DDFF15F" w14:textId="6EADE85B" w:rsidR="000F7ADA" w:rsidRPr="007246A9" w:rsidRDefault="000F7ADA" w:rsidP="000F7ADA">
      <w:pPr>
        <w:spacing w:after="0" w:line="240" w:lineRule="auto"/>
        <w:jc w:val="both"/>
        <w:rPr>
          <w:rFonts w:ascii="Arial" w:hAnsi="Arial" w:cs="Arial"/>
          <w:bCs/>
          <w:sz w:val="18"/>
          <w:szCs w:val="28"/>
          <w:lang w:val="el-GR"/>
        </w:rPr>
      </w:pPr>
      <w:r w:rsidRPr="007246A9">
        <w:rPr>
          <w:rFonts w:ascii="Arial" w:hAnsi="Arial" w:cs="Arial"/>
          <w:bCs/>
          <w:sz w:val="18"/>
          <w:szCs w:val="28"/>
          <w:lang w:val="el-GR"/>
        </w:rPr>
        <w:t xml:space="preserve">Στις 30 </w:t>
      </w:r>
      <w:r w:rsidR="00AD2E46" w:rsidRPr="007246A9">
        <w:rPr>
          <w:rFonts w:ascii="Arial" w:hAnsi="Arial" w:cs="Arial"/>
          <w:bCs/>
          <w:sz w:val="18"/>
          <w:szCs w:val="28"/>
          <w:lang w:val="el-GR"/>
        </w:rPr>
        <w:t xml:space="preserve">Σεπτεμβρίου </w:t>
      </w:r>
      <w:r w:rsidRPr="007246A9">
        <w:rPr>
          <w:rFonts w:ascii="Arial" w:hAnsi="Arial" w:cs="Arial"/>
          <w:bCs/>
          <w:sz w:val="18"/>
          <w:szCs w:val="28"/>
          <w:lang w:val="el-GR"/>
        </w:rPr>
        <w:t xml:space="preserve">2024, οι συνολικές </w:t>
      </w:r>
      <w:proofErr w:type="spellStart"/>
      <w:r w:rsidRPr="007246A9">
        <w:rPr>
          <w:rFonts w:ascii="Arial" w:hAnsi="Arial" w:cs="Arial"/>
          <w:bCs/>
          <w:sz w:val="18"/>
          <w:szCs w:val="28"/>
          <w:lang w:val="el-GR"/>
        </w:rPr>
        <w:t>εκδοθέν</w:t>
      </w:r>
      <w:proofErr w:type="spellEnd"/>
      <w:r w:rsidRPr="007246A9">
        <w:rPr>
          <w:rFonts w:ascii="Arial" w:hAnsi="Arial" w:cs="Arial"/>
          <w:bCs/>
          <w:sz w:val="18"/>
          <w:szCs w:val="28"/>
          <w:lang w:val="el-GR"/>
        </w:rPr>
        <w:t xml:space="preserve"> συνήθεις μετοχές, με ονομαστική αξία ύψους €0.10 </w:t>
      </w:r>
      <w:r w:rsidR="00454CAE">
        <w:rPr>
          <w:rFonts w:ascii="Arial" w:hAnsi="Arial" w:cs="Arial"/>
          <w:bCs/>
          <w:sz w:val="18"/>
          <w:szCs w:val="28"/>
          <w:lang w:val="el-GR"/>
        </w:rPr>
        <w:t>ανά μετοχή</w:t>
      </w:r>
      <w:r w:rsidRPr="007246A9">
        <w:rPr>
          <w:rFonts w:ascii="Arial" w:hAnsi="Arial" w:cs="Arial"/>
          <w:bCs/>
          <w:sz w:val="18"/>
          <w:szCs w:val="28"/>
          <w:lang w:val="el-GR"/>
        </w:rPr>
        <w:t xml:space="preserve">, ανήλθαν σε </w:t>
      </w:r>
      <w:r w:rsidR="00AD2E46" w:rsidRPr="007246A9">
        <w:rPr>
          <w:rFonts w:ascii="Arial" w:hAnsi="Arial" w:cs="Arial"/>
          <w:sz w:val="18"/>
          <w:szCs w:val="18"/>
          <w:lang w:val="el-GR"/>
        </w:rPr>
        <w:t>442,943,279</w:t>
      </w:r>
      <w:r w:rsidRPr="007246A9">
        <w:rPr>
          <w:rFonts w:ascii="Arial" w:hAnsi="Arial" w:cs="Arial"/>
          <w:bCs/>
          <w:sz w:val="18"/>
          <w:szCs w:val="28"/>
          <w:lang w:val="el-GR"/>
        </w:rPr>
        <w:t>, σε σύγκριση με</w:t>
      </w:r>
      <w:r w:rsidR="00AD2E46" w:rsidRPr="007246A9">
        <w:rPr>
          <w:rFonts w:ascii="Arial" w:hAnsi="Arial" w:cs="Arial"/>
          <w:bCs/>
          <w:sz w:val="18"/>
          <w:szCs w:val="28"/>
          <w:lang w:val="el-GR"/>
        </w:rPr>
        <w:t xml:space="preserve"> 444,812,058</w:t>
      </w:r>
      <w:r w:rsidRPr="007246A9">
        <w:rPr>
          <w:rFonts w:ascii="Arial" w:hAnsi="Arial" w:cs="Arial"/>
          <w:bCs/>
          <w:sz w:val="18"/>
          <w:szCs w:val="28"/>
          <w:lang w:val="el-GR"/>
        </w:rPr>
        <w:t xml:space="preserve"> </w:t>
      </w:r>
      <w:r w:rsidR="00AD2E46" w:rsidRPr="007246A9">
        <w:rPr>
          <w:rFonts w:ascii="Arial" w:hAnsi="Arial" w:cs="Arial"/>
          <w:bCs/>
          <w:sz w:val="18"/>
          <w:szCs w:val="28"/>
          <w:lang w:val="el-GR"/>
        </w:rPr>
        <w:t>στις 30 Ιουνίου 2024 και με 446,</w:t>
      </w:r>
      <w:r w:rsidRPr="007246A9">
        <w:rPr>
          <w:rFonts w:ascii="Arial" w:hAnsi="Arial" w:cs="Arial"/>
          <w:bCs/>
          <w:sz w:val="18"/>
          <w:szCs w:val="28"/>
          <w:lang w:val="el-GR"/>
        </w:rPr>
        <w:t xml:space="preserve">199,933 </w:t>
      </w:r>
      <w:proofErr w:type="spellStart"/>
      <w:r w:rsidRPr="007246A9">
        <w:rPr>
          <w:rFonts w:ascii="Arial" w:hAnsi="Arial" w:cs="Arial"/>
          <w:bCs/>
          <w:sz w:val="18"/>
          <w:szCs w:val="28"/>
          <w:lang w:val="el-GR"/>
        </w:rPr>
        <w:t>εκδοθέν</w:t>
      </w:r>
      <w:proofErr w:type="spellEnd"/>
      <w:r w:rsidRPr="007246A9">
        <w:rPr>
          <w:rFonts w:ascii="Arial" w:hAnsi="Arial" w:cs="Arial"/>
          <w:bCs/>
          <w:sz w:val="18"/>
          <w:szCs w:val="28"/>
          <w:lang w:val="el-GR"/>
        </w:rPr>
        <w:t xml:space="preserve"> συνήθεις μετοχές </w:t>
      </w:r>
      <w:r w:rsidR="00AD2E46" w:rsidRPr="007246A9">
        <w:rPr>
          <w:rFonts w:ascii="Arial" w:hAnsi="Arial" w:cs="Arial"/>
          <w:bCs/>
          <w:sz w:val="18"/>
          <w:szCs w:val="28"/>
          <w:lang w:val="el-GR"/>
        </w:rPr>
        <w:t xml:space="preserve">στις </w:t>
      </w:r>
      <w:r w:rsidR="00155452" w:rsidRPr="007246A9">
        <w:rPr>
          <w:rFonts w:ascii="Arial" w:hAnsi="Arial" w:cs="Arial"/>
          <w:bCs/>
          <w:sz w:val="18"/>
          <w:szCs w:val="28"/>
          <w:lang w:val="el-GR"/>
        </w:rPr>
        <w:t>31</w:t>
      </w:r>
      <w:r w:rsidRPr="007246A9">
        <w:rPr>
          <w:rFonts w:ascii="Arial" w:hAnsi="Arial" w:cs="Arial"/>
          <w:bCs/>
          <w:sz w:val="18"/>
          <w:szCs w:val="28"/>
          <w:lang w:val="el-GR"/>
        </w:rPr>
        <w:t xml:space="preserve"> Δεκεμβρίου </w:t>
      </w:r>
      <w:r w:rsidR="007A0969" w:rsidRPr="007246A9">
        <w:rPr>
          <w:rFonts w:ascii="Arial" w:hAnsi="Arial" w:cs="Arial"/>
          <w:bCs/>
          <w:sz w:val="18"/>
          <w:szCs w:val="28"/>
          <w:lang w:val="el-GR"/>
        </w:rPr>
        <w:t>2023</w:t>
      </w:r>
      <w:r w:rsidRPr="007246A9">
        <w:rPr>
          <w:rFonts w:ascii="Arial" w:hAnsi="Arial" w:cs="Arial"/>
          <w:bCs/>
          <w:sz w:val="18"/>
          <w:szCs w:val="28"/>
          <w:lang w:val="el-GR"/>
        </w:rPr>
        <w:t xml:space="preserve">. </w:t>
      </w:r>
      <w:r w:rsidR="00403EA3" w:rsidRPr="007246A9">
        <w:rPr>
          <w:rFonts w:ascii="Arial" w:hAnsi="Arial" w:cs="Arial"/>
          <w:bCs/>
          <w:sz w:val="18"/>
          <w:szCs w:val="28"/>
          <w:lang w:val="el-GR"/>
        </w:rPr>
        <w:t xml:space="preserve">Η μείωση από την αρχή του έτους αφορά το πρόγραμμα επαναγοράς συνήθων μετοχών που ξεκίνησε τον Απρίλιο 2024. </w:t>
      </w:r>
      <w:r w:rsidR="00BD29F3" w:rsidRPr="007246A9">
        <w:rPr>
          <w:rFonts w:ascii="Arial" w:hAnsi="Arial" w:cs="Arial"/>
          <w:bCs/>
          <w:sz w:val="18"/>
          <w:szCs w:val="28"/>
          <w:lang w:val="el-GR"/>
        </w:rPr>
        <w:t xml:space="preserve">Στις 30 Σεπτεμβρίου 2024, η Εταιρία </w:t>
      </w:r>
      <w:r w:rsidR="00BD29F3">
        <w:rPr>
          <w:rFonts w:ascii="Arial" w:hAnsi="Arial" w:cs="Arial"/>
          <w:bCs/>
          <w:sz w:val="18"/>
          <w:szCs w:val="28"/>
          <w:lang w:val="el-GR"/>
        </w:rPr>
        <w:t>κατείχε</w:t>
      </w:r>
      <w:r w:rsidR="00BD29F3" w:rsidRPr="007246A9">
        <w:rPr>
          <w:rFonts w:ascii="Arial" w:hAnsi="Arial" w:cs="Arial"/>
          <w:bCs/>
          <w:sz w:val="18"/>
          <w:szCs w:val="28"/>
          <w:lang w:val="el-GR"/>
        </w:rPr>
        <w:t xml:space="preserve"> 230,589 συνήθεις μετοχές ως ίδιες μετοχές</w:t>
      </w:r>
      <w:r w:rsidR="00BD29F3">
        <w:rPr>
          <w:rFonts w:ascii="Arial" w:hAnsi="Arial" w:cs="Arial"/>
          <w:bCs/>
          <w:sz w:val="18"/>
          <w:szCs w:val="28"/>
          <w:lang w:val="el-GR"/>
        </w:rPr>
        <w:t xml:space="preserve">. </w:t>
      </w:r>
      <w:r w:rsidR="00BD29F3" w:rsidRPr="007246A9">
        <w:rPr>
          <w:rFonts w:ascii="Arial" w:hAnsi="Arial" w:cs="Arial"/>
          <w:bCs/>
          <w:sz w:val="18"/>
          <w:szCs w:val="28"/>
          <w:lang w:val="el-GR"/>
        </w:rPr>
        <w:t>Οι συνήθεις μετοχές που κατέχονται ως ίδιες μετοχές δεν φέρουν δικαιώματα ψήφου.</w:t>
      </w:r>
    </w:p>
    <w:p w14:paraId="26AD1344" w14:textId="77777777" w:rsidR="000F7ADA" w:rsidRPr="00D41B36" w:rsidRDefault="000F7ADA" w:rsidP="000F7ADA">
      <w:pPr>
        <w:spacing w:after="0" w:line="240" w:lineRule="auto"/>
        <w:jc w:val="both"/>
        <w:rPr>
          <w:rFonts w:ascii="Arial" w:hAnsi="Arial" w:cs="Arial"/>
          <w:bCs/>
          <w:sz w:val="18"/>
          <w:szCs w:val="28"/>
          <w:highlight w:val="yellow"/>
          <w:lang w:val="el-GR"/>
        </w:rPr>
      </w:pPr>
    </w:p>
    <w:p w14:paraId="61EBB7CF" w14:textId="092FF347" w:rsidR="00EA70D7" w:rsidRPr="007246A9" w:rsidRDefault="00EA70D7" w:rsidP="00EA70D7">
      <w:pPr>
        <w:spacing w:after="0" w:line="360" w:lineRule="auto"/>
        <w:jc w:val="both"/>
        <w:rPr>
          <w:rFonts w:ascii="Arial" w:hAnsi="Arial" w:cs="Arial"/>
          <w:b/>
          <w:bCs/>
          <w:color w:val="FF9900"/>
          <w:sz w:val="20"/>
          <w:szCs w:val="24"/>
          <w:lang w:val="el-GR"/>
        </w:rPr>
      </w:pPr>
      <w:r w:rsidRPr="007246A9">
        <w:rPr>
          <w:rFonts w:ascii="Arial" w:hAnsi="Arial" w:cs="Arial"/>
          <w:b/>
          <w:bCs/>
          <w:color w:val="FF9900"/>
          <w:sz w:val="20"/>
          <w:szCs w:val="24"/>
          <w:lang w:val="el-GR"/>
        </w:rPr>
        <w:t>Λοιποί Συμμε</w:t>
      </w:r>
      <w:r w:rsidR="00B467EB" w:rsidRPr="007246A9">
        <w:rPr>
          <w:rFonts w:ascii="Arial" w:hAnsi="Arial" w:cs="Arial"/>
          <w:b/>
          <w:bCs/>
          <w:color w:val="FF9900"/>
          <w:sz w:val="20"/>
          <w:szCs w:val="24"/>
          <w:lang w:val="el-GR"/>
        </w:rPr>
        <w:t>το</w:t>
      </w:r>
      <w:r w:rsidR="0034335D" w:rsidRPr="007246A9">
        <w:rPr>
          <w:rFonts w:ascii="Arial" w:hAnsi="Arial" w:cs="Arial"/>
          <w:b/>
          <w:bCs/>
          <w:color w:val="FF9900"/>
          <w:sz w:val="20"/>
          <w:szCs w:val="24"/>
          <w:lang w:val="el-GR"/>
        </w:rPr>
        <w:t>χι</w:t>
      </w:r>
      <w:r w:rsidRPr="007246A9">
        <w:rPr>
          <w:rFonts w:ascii="Arial" w:hAnsi="Arial" w:cs="Arial"/>
          <w:b/>
          <w:bCs/>
          <w:color w:val="FF9900"/>
          <w:sz w:val="20"/>
          <w:szCs w:val="24"/>
          <w:lang w:val="el-GR"/>
        </w:rPr>
        <w:t>κοί Τίτλοι</w:t>
      </w:r>
    </w:p>
    <w:p w14:paraId="68A47B38" w14:textId="20B7EAD0" w:rsidR="00132A8B" w:rsidRPr="007246A9" w:rsidRDefault="00EA70D7" w:rsidP="00132A8B">
      <w:pPr>
        <w:spacing w:after="0" w:line="240" w:lineRule="auto"/>
        <w:jc w:val="both"/>
        <w:rPr>
          <w:rFonts w:ascii="Arial" w:hAnsi="Arial" w:cs="Arial"/>
          <w:color w:val="FF0000"/>
          <w:sz w:val="18"/>
          <w:szCs w:val="18"/>
          <w:lang w:val="el-GR"/>
        </w:rPr>
      </w:pPr>
      <w:r w:rsidRPr="007246A9">
        <w:rPr>
          <w:rFonts w:ascii="Arial" w:hAnsi="Arial" w:cs="Arial"/>
          <w:sz w:val="18"/>
          <w:szCs w:val="18"/>
          <w:lang w:val="el-GR"/>
        </w:rPr>
        <w:t xml:space="preserve">Στις </w:t>
      </w:r>
      <w:r w:rsidR="00F968F9" w:rsidRPr="007246A9">
        <w:rPr>
          <w:rFonts w:ascii="Arial" w:hAnsi="Arial" w:cs="Arial"/>
          <w:sz w:val="18"/>
          <w:szCs w:val="18"/>
          <w:lang w:val="el-GR"/>
        </w:rPr>
        <w:t xml:space="preserve">30 </w:t>
      </w:r>
      <w:r w:rsidR="00C61F46" w:rsidRPr="00C61F46">
        <w:rPr>
          <w:rFonts w:ascii="Arial" w:hAnsi="Arial" w:cs="Arial"/>
          <w:bCs/>
          <w:sz w:val="18"/>
          <w:szCs w:val="28"/>
          <w:lang w:val="el-GR"/>
        </w:rPr>
        <w:t>Σεπτεμβρίου</w:t>
      </w:r>
      <w:r w:rsidR="00C61F46" w:rsidRPr="007246A9">
        <w:rPr>
          <w:rFonts w:ascii="Arial" w:hAnsi="Arial" w:cs="Arial"/>
          <w:bCs/>
          <w:sz w:val="18"/>
          <w:szCs w:val="28"/>
          <w:lang w:val="el-GR"/>
        </w:rPr>
        <w:t xml:space="preserve"> </w:t>
      </w:r>
      <w:r w:rsidR="00E16257" w:rsidRPr="007246A9">
        <w:rPr>
          <w:rFonts w:ascii="Arial" w:hAnsi="Arial" w:cs="Arial"/>
          <w:sz w:val="18"/>
          <w:szCs w:val="18"/>
          <w:lang w:val="el-GR"/>
        </w:rPr>
        <w:t>2024</w:t>
      </w:r>
      <w:r w:rsidRPr="007246A9">
        <w:rPr>
          <w:rFonts w:ascii="Arial" w:hAnsi="Arial" w:cs="Arial"/>
          <w:sz w:val="18"/>
          <w:szCs w:val="18"/>
          <w:lang w:val="el-GR"/>
        </w:rPr>
        <w:t>, οι λοιποί συμμετοχικοί τίτλοι του Συγκροτήματος</w:t>
      </w:r>
      <w:r w:rsidR="00185DE9" w:rsidRPr="007246A9">
        <w:rPr>
          <w:rFonts w:ascii="Arial" w:hAnsi="Arial" w:cs="Arial"/>
          <w:sz w:val="18"/>
          <w:szCs w:val="18"/>
          <w:lang w:val="el-GR"/>
        </w:rPr>
        <w:t xml:space="preserve"> αφορούν </w:t>
      </w:r>
      <w:r w:rsidR="00185DE9" w:rsidRPr="007246A9">
        <w:rPr>
          <w:rFonts w:ascii="Arial" w:hAnsi="Arial" w:cs="Arial"/>
          <w:sz w:val="18"/>
          <w:lang w:val="el-GR"/>
        </w:rPr>
        <w:t xml:space="preserve">τα Πρόσθετα Κεφάλαια Κατηγορίας 1 (ΑΤ1) και </w:t>
      </w:r>
      <w:r w:rsidRPr="007246A9">
        <w:rPr>
          <w:rFonts w:ascii="Arial" w:hAnsi="Arial" w:cs="Arial"/>
          <w:sz w:val="18"/>
          <w:szCs w:val="18"/>
          <w:lang w:val="el-GR"/>
        </w:rPr>
        <w:t>ανήλθαν σε €</w:t>
      </w:r>
      <w:r w:rsidR="00031006" w:rsidRPr="007246A9">
        <w:rPr>
          <w:rFonts w:ascii="Arial" w:hAnsi="Arial" w:cs="Arial"/>
          <w:sz w:val="18"/>
          <w:szCs w:val="18"/>
          <w:lang w:val="el-GR"/>
        </w:rPr>
        <w:t xml:space="preserve">220 </w:t>
      </w:r>
      <w:r w:rsidRPr="007246A9">
        <w:rPr>
          <w:rFonts w:ascii="Arial" w:hAnsi="Arial" w:cs="Arial"/>
          <w:sz w:val="18"/>
          <w:szCs w:val="18"/>
          <w:lang w:val="el-GR"/>
        </w:rPr>
        <w:t>εκατ.</w:t>
      </w:r>
      <w:r w:rsidR="00E16257" w:rsidRPr="007246A9">
        <w:rPr>
          <w:rFonts w:ascii="Arial" w:hAnsi="Arial" w:cs="Arial"/>
          <w:sz w:val="18"/>
          <w:szCs w:val="18"/>
          <w:lang w:val="el-GR"/>
        </w:rPr>
        <w:t>, στα ίδια επίπεδα σε τριμηνιαία βάση.</w:t>
      </w:r>
    </w:p>
    <w:p w14:paraId="73A4057C" w14:textId="77777777" w:rsidR="00EA70D7" w:rsidRPr="007246A9" w:rsidRDefault="00EA70D7" w:rsidP="00EA70D7">
      <w:pPr>
        <w:spacing w:after="0" w:line="240" w:lineRule="auto"/>
        <w:jc w:val="both"/>
        <w:rPr>
          <w:rFonts w:ascii="Arial" w:hAnsi="Arial" w:cs="Arial"/>
          <w:sz w:val="18"/>
          <w:szCs w:val="18"/>
          <w:lang w:val="el-GR"/>
        </w:rPr>
      </w:pPr>
    </w:p>
    <w:p w14:paraId="009F5C6F" w14:textId="0BDC755A" w:rsidR="009E64A6" w:rsidRPr="007246A9" w:rsidRDefault="00DA291C" w:rsidP="00C74CC8">
      <w:pPr>
        <w:spacing w:after="0" w:line="240" w:lineRule="auto"/>
        <w:jc w:val="both"/>
        <w:rPr>
          <w:rFonts w:ascii="Arial" w:hAnsi="Arial" w:cs="Arial"/>
          <w:sz w:val="18"/>
          <w:szCs w:val="18"/>
          <w:lang w:val="el-GR"/>
        </w:rPr>
      </w:pPr>
      <w:r w:rsidRPr="007246A9">
        <w:rPr>
          <w:rFonts w:ascii="Arial" w:hAnsi="Arial" w:cs="Arial"/>
          <w:sz w:val="18"/>
          <w:szCs w:val="18"/>
          <w:lang w:val="el-GR"/>
        </w:rPr>
        <w:t xml:space="preserve">Τα </w:t>
      </w:r>
      <w:r w:rsidR="00EA70D7" w:rsidRPr="007246A9">
        <w:rPr>
          <w:rFonts w:ascii="Arial" w:hAnsi="Arial" w:cs="Arial"/>
          <w:sz w:val="18"/>
          <w:szCs w:val="18"/>
          <w:lang w:val="el-GR"/>
        </w:rPr>
        <w:t>Χρε</w:t>
      </w:r>
      <w:r w:rsidRPr="007246A9">
        <w:rPr>
          <w:rFonts w:ascii="Arial" w:hAnsi="Arial" w:cs="Arial"/>
          <w:sz w:val="18"/>
          <w:szCs w:val="18"/>
          <w:lang w:val="el-GR"/>
        </w:rPr>
        <w:t>ό</w:t>
      </w:r>
      <w:r w:rsidR="00EA70D7" w:rsidRPr="007246A9">
        <w:rPr>
          <w:rFonts w:ascii="Arial" w:hAnsi="Arial" w:cs="Arial"/>
          <w:sz w:val="18"/>
          <w:szCs w:val="18"/>
          <w:lang w:val="el-GR"/>
        </w:rPr>
        <w:t>γρ</w:t>
      </w:r>
      <w:r w:rsidRPr="007246A9">
        <w:rPr>
          <w:rFonts w:ascii="Arial" w:hAnsi="Arial" w:cs="Arial"/>
          <w:sz w:val="18"/>
          <w:szCs w:val="18"/>
          <w:lang w:val="el-GR"/>
        </w:rPr>
        <w:t>α</w:t>
      </w:r>
      <w:r w:rsidR="00EA70D7" w:rsidRPr="007246A9">
        <w:rPr>
          <w:rFonts w:ascii="Arial" w:hAnsi="Arial" w:cs="Arial"/>
          <w:sz w:val="18"/>
          <w:szCs w:val="18"/>
          <w:lang w:val="el-GR"/>
        </w:rPr>
        <w:t>φ</w:t>
      </w:r>
      <w:r w:rsidRPr="007246A9">
        <w:rPr>
          <w:rFonts w:ascii="Arial" w:hAnsi="Arial" w:cs="Arial"/>
          <w:sz w:val="18"/>
          <w:szCs w:val="18"/>
          <w:lang w:val="el-GR"/>
        </w:rPr>
        <w:t>α</w:t>
      </w:r>
      <w:r w:rsidR="00EA70D7" w:rsidRPr="007246A9">
        <w:rPr>
          <w:rFonts w:ascii="Arial" w:hAnsi="Arial" w:cs="Arial"/>
          <w:sz w:val="18"/>
          <w:szCs w:val="18"/>
          <w:lang w:val="el-GR"/>
        </w:rPr>
        <w:t xml:space="preserve"> Πρόσθετου Κεφαλαίου Κατηγορίας 1 σταθερού επιτοκίου (</w:t>
      </w:r>
      <w:proofErr w:type="spellStart"/>
      <w:r w:rsidR="00EA70D7" w:rsidRPr="007246A9">
        <w:rPr>
          <w:rFonts w:ascii="Arial" w:hAnsi="Arial" w:cs="Arial"/>
          <w:sz w:val="18"/>
          <w:szCs w:val="18"/>
          <w:lang w:val="el-GR"/>
        </w:rPr>
        <w:t>Fixed</w:t>
      </w:r>
      <w:proofErr w:type="spellEnd"/>
      <w:r w:rsidR="00EA70D7" w:rsidRPr="007246A9">
        <w:rPr>
          <w:rFonts w:ascii="Arial" w:hAnsi="Arial" w:cs="Arial"/>
          <w:sz w:val="18"/>
          <w:szCs w:val="18"/>
          <w:lang w:val="el-GR"/>
        </w:rPr>
        <w:t xml:space="preserve"> </w:t>
      </w:r>
      <w:proofErr w:type="spellStart"/>
      <w:r w:rsidR="00EA70D7" w:rsidRPr="007246A9">
        <w:rPr>
          <w:rFonts w:ascii="Arial" w:hAnsi="Arial" w:cs="Arial"/>
          <w:sz w:val="18"/>
          <w:szCs w:val="18"/>
          <w:lang w:val="el-GR"/>
        </w:rPr>
        <w:t>Rate</w:t>
      </w:r>
      <w:proofErr w:type="spellEnd"/>
      <w:r w:rsidR="00EA70D7" w:rsidRPr="007246A9">
        <w:rPr>
          <w:rFonts w:ascii="Arial" w:hAnsi="Arial" w:cs="Arial"/>
          <w:sz w:val="18"/>
          <w:szCs w:val="18"/>
          <w:lang w:val="el-GR"/>
        </w:rPr>
        <w:t xml:space="preserve"> </w:t>
      </w:r>
      <w:proofErr w:type="spellStart"/>
      <w:r w:rsidR="00EA70D7" w:rsidRPr="007246A9">
        <w:rPr>
          <w:rFonts w:ascii="Arial" w:hAnsi="Arial" w:cs="Arial"/>
          <w:sz w:val="18"/>
          <w:szCs w:val="18"/>
          <w:lang w:val="el-GR"/>
        </w:rPr>
        <w:t>Reset</w:t>
      </w:r>
      <w:proofErr w:type="spellEnd"/>
      <w:r w:rsidR="00EA70D7" w:rsidRPr="007246A9">
        <w:rPr>
          <w:rFonts w:ascii="Arial" w:hAnsi="Arial" w:cs="Arial"/>
          <w:sz w:val="18"/>
          <w:szCs w:val="18"/>
          <w:lang w:val="el-GR"/>
        </w:rPr>
        <w:t xml:space="preserve"> </w:t>
      </w:r>
      <w:proofErr w:type="spellStart"/>
      <w:r w:rsidR="00EA70D7" w:rsidRPr="007246A9">
        <w:rPr>
          <w:rFonts w:ascii="Arial" w:hAnsi="Arial" w:cs="Arial"/>
          <w:sz w:val="18"/>
          <w:szCs w:val="18"/>
          <w:lang w:val="el-GR"/>
        </w:rPr>
        <w:t>Perpetual</w:t>
      </w:r>
      <w:proofErr w:type="spellEnd"/>
      <w:r w:rsidR="00EA70D7" w:rsidRPr="007246A9">
        <w:rPr>
          <w:rFonts w:ascii="Arial" w:hAnsi="Arial" w:cs="Arial"/>
          <w:sz w:val="18"/>
          <w:szCs w:val="18"/>
          <w:lang w:val="el-GR"/>
        </w:rPr>
        <w:t xml:space="preserve"> </w:t>
      </w:r>
      <w:proofErr w:type="spellStart"/>
      <w:r w:rsidR="00EA70D7" w:rsidRPr="007246A9">
        <w:rPr>
          <w:rFonts w:ascii="Arial" w:hAnsi="Arial" w:cs="Arial"/>
          <w:sz w:val="18"/>
          <w:szCs w:val="18"/>
          <w:lang w:val="el-GR"/>
        </w:rPr>
        <w:t>Additional</w:t>
      </w:r>
      <w:proofErr w:type="spellEnd"/>
      <w:r w:rsidR="00EA70D7" w:rsidRPr="007246A9">
        <w:rPr>
          <w:rFonts w:ascii="Arial" w:hAnsi="Arial" w:cs="Arial"/>
          <w:sz w:val="18"/>
          <w:szCs w:val="18"/>
          <w:lang w:val="el-GR"/>
        </w:rPr>
        <w:t xml:space="preserve"> </w:t>
      </w:r>
      <w:proofErr w:type="spellStart"/>
      <w:r w:rsidR="00EA70D7" w:rsidRPr="007246A9">
        <w:rPr>
          <w:rFonts w:ascii="Arial" w:hAnsi="Arial" w:cs="Arial"/>
          <w:sz w:val="18"/>
          <w:szCs w:val="18"/>
          <w:lang w:val="el-GR"/>
        </w:rPr>
        <w:t>Tier</w:t>
      </w:r>
      <w:proofErr w:type="spellEnd"/>
      <w:r w:rsidR="00EA70D7" w:rsidRPr="007246A9">
        <w:rPr>
          <w:rFonts w:ascii="Arial" w:hAnsi="Arial" w:cs="Arial"/>
          <w:sz w:val="18"/>
          <w:szCs w:val="18"/>
          <w:lang w:val="el-GR"/>
        </w:rPr>
        <w:t xml:space="preserve"> 1 Capital Securities)</w:t>
      </w:r>
      <w:r w:rsidR="009E64A6" w:rsidRPr="007246A9">
        <w:rPr>
          <w:rFonts w:ascii="Arial" w:hAnsi="Arial" w:cs="Arial"/>
          <w:sz w:val="18"/>
          <w:szCs w:val="18"/>
          <w:lang w:val="el-GR"/>
        </w:rPr>
        <w:t xml:space="preserve"> </w:t>
      </w:r>
      <w:r w:rsidR="00185DE9" w:rsidRPr="007246A9">
        <w:rPr>
          <w:rFonts w:ascii="Arial" w:hAnsi="Arial" w:cs="Arial"/>
          <w:sz w:val="18"/>
          <w:szCs w:val="18"/>
          <w:lang w:val="el-GR"/>
        </w:rPr>
        <w:t xml:space="preserve">αποτελούν μη εξασφαλισμένες και μειωμένης </w:t>
      </w:r>
      <w:r w:rsidR="00AA718D" w:rsidRPr="007246A9">
        <w:rPr>
          <w:rFonts w:ascii="Arial" w:hAnsi="Arial" w:cs="Arial"/>
          <w:sz w:val="18"/>
          <w:szCs w:val="18"/>
          <w:lang w:val="el-GR"/>
        </w:rPr>
        <w:t>εξασφάλισης υποχρεώσεις της Εταιρίας</w:t>
      </w:r>
      <w:r w:rsidR="00185DE9" w:rsidRPr="007246A9">
        <w:rPr>
          <w:rFonts w:ascii="Arial" w:hAnsi="Arial" w:cs="Arial"/>
          <w:sz w:val="18"/>
          <w:szCs w:val="18"/>
          <w:lang w:val="el-GR"/>
        </w:rPr>
        <w:t xml:space="preserve">, δεν έχουν ημερομηνία λήξης και έχουν τιμή </w:t>
      </w:r>
      <w:r w:rsidR="00822315" w:rsidRPr="007246A9">
        <w:rPr>
          <w:rFonts w:ascii="Arial" w:hAnsi="Arial" w:cs="Arial"/>
          <w:sz w:val="18"/>
          <w:szCs w:val="18"/>
          <w:lang w:val="el-GR"/>
        </w:rPr>
        <w:t xml:space="preserve">ίση με </w:t>
      </w:r>
      <w:r w:rsidR="00185DE9" w:rsidRPr="007246A9">
        <w:rPr>
          <w:rFonts w:ascii="Arial" w:hAnsi="Arial" w:cs="Arial"/>
          <w:sz w:val="18"/>
          <w:szCs w:val="18"/>
          <w:lang w:val="el-GR"/>
        </w:rPr>
        <w:t>την ονομαστική τους αξία. Φέρουν αρχικό ετήσιο επιτόκιο ύψους 11.875%, θα καταβάλλεται κάθε εξάμηνο αναδρομικά και επανακαθορίζεται στις 21 Δεκεμβρίου 2028 και μετέπειτα ανά κάθε πενταετία.</w:t>
      </w:r>
    </w:p>
    <w:p w14:paraId="17B064D2" w14:textId="77777777" w:rsidR="009E64A6" w:rsidRPr="007246A9" w:rsidRDefault="009E64A6" w:rsidP="00C74CC8">
      <w:pPr>
        <w:spacing w:after="0" w:line="240" w:lineRule="auto"/>
        <w:jc w:val="both"/>
        <w:rPr>
          <w:rFonts w:ascii="Arial" w:hAnsi="Arial" w:cs="Arial"/>
          <w:sz w:val="18"/>
          <w:szCs w:val="18"/>
          <w:lang w:val="el-GR"/>
        </w:rPr>
      </w:pPr>
    </w:p>
    <w:p w14:paraId="79A9B62B" w14:textId="4AB7FBDD" w:rsidR="00C74CC8" w:rsidRPr="007246A9" w:rsidRDefault="00185DE9" w:rsidP="00C74CC8">
      <w:pPr>
        <w:spacing w:after="0" w:line="240" w:lineRule="auto"/>
        <w:jc w:val="both"/>
        <w:rPr>
          <w:rFonts w:ascii="Arial" w:hAnsi="Arial" w:cs="Arial"/>
          <w:sz w:val="18"/>
          <w:szCs w:val="18"/>
          <w:lang w:val="el-GR"/>
        </w:rPr>
      </w:pPr>
      <w:r w:rsidRPr="007246A9">
        <w:rPr>
          <w:rFonts w:ascii="Arial" w:hAnsi="Arial" w:cs="Arial"/>
          <w:sz w:val="18"/>
          <w:szCs w:val="18"/>
          <w:lang w:val="el-GR"/>
        </w:rPr>
        <w:t>Η Εταιρία έχει το δικαίωμα πρόωρης εξόφλησης των</w:t>
      </w:r>
      <w:r w:rsidR="00454CAE">
        <w:rPr>
          <w:rFonts w:ascii="Arial" w:hAnsi="Arial" w:cs="Arial"/>
          <w:sz w:val="18"/>
          <w:szCs w:val="18"/>
          <w:lang w:val="el-GR"/>
        </w:rPr>
        <w:t xml:space="preserve"> </w:t>
      </w:r>
      <w:r w:rsidRPr="007246A9">
        <w:rPr>
          <w:rFonts w:ascii="Arial" w:hAnsi="Arial" w:cs="Arial"/>
          <w:sz w:val="18"/>
          <w:szCs w:val="18"/>
          <w:lang w:val="el-GR"/>
        </w:rPr>
        <w:t>Χρεογράφων Κεφαλαίου οποιαδήποτε ημέρα από 21 Ιουνίου 2028 μέχρι 21 Δεκεμβρίου 2028 (συμπεριλαμβανομένων των πιο πάνω ημερομηνιών)</w:t>
      </w:r>
      <w:r w:rsidR="00C74CC8" w:rsidRPr="007246A9">
        <w:rPr>
          <w:rFonts w:ascii="Arial" w:hAnsi="Arial" w:cs="Arial"/>
          <w:sz w:val="18"/>
          <w:szCs w:val="18"/>
          <w:lang w:val="el-GR"/>
        </w:rPr>
        <w:t xml:space="preserve"> και σε κάθε επόμενη ημερομηνία πληρωμής τόκων, υπό τη αίρεση εποπτικών εγκρίσεων και των σχετικών όρων εξόφλησης.</w:t>
      </w:r>
      <w:r w:rsidR="00634777" w:rsidRPr="007246A9">
        <w:rPr>
          <w:rFonts w:ascii="Arial" w:hAnsi="Arial" w:cs="Arial"/>
          <w:sz w:val="18"/>
          <w:szCs w:val="18"/>
          <w:lang w:val="el-GR"/>
        </w:rPr>
        <w:t xml:space="preserve"> </w:t>
      </w:r>
    </w:p>
    <w:p w14:paraId="2136791A" w14:textId="42A7A4D6" w:rsidR="00132A8B" w:rsidRPr="00D41B36" w:rsidRDefault="00132A8B" w:rsidP="008E728F">
      <w:pPr>
        <w:spacing w:after="0" w:line="240" w:lineRule="auto"/>
        <w:jc w:val="both"/>
        <w:rPr>
          <w:rFonts w:ascii="Arial" w:hAnsi="Arial" w:cs="Arial"/>
          <w:sz w:val="14"/>
          <w:szCs w:val="14"/>
          <w:highlight w:val="yellow"/>
          <w:lang w:val="el-GR"/>
        </w:rPr>
      </w:pPr>
    </w:p>
    <w:p w14:paraId="607051DB" w14:textId="3FA1C60A" w:rsidR="005B1FD5" w:rsidRPr="007246A9" w:rsidRDefault="005B1FD5" w:rsidP="005B1FD5">
      <w:pPr>
        <w:pStyle w:val="BodyText3"/>
        <w:spacing w:line="360" w:lineRule="auto"/>
        <w:jc w:val="both"/>
        <w:rPr>
          <w:rFonts w:ascii="Arial" w:hAnsi="Arial" w:cs="Arial"/>
          <w:b/>
          <w:bCs/>
          <w:color w:val="FF9900"/>
          <w:sz w:val="20"/>
          <w:lang w:val="el-GR"/>
        </w:rPr>
      </w:pPr>
      <w:r w:rsidRPr="007246A9">
        <w:rPr>
          <w:rFonts w:ascii="Arial" w:hAnsi="Arial" w:cs="Arial"/>
          <w:b/>
          <w:bCs/>
          <w:color w:val="FF9900"/>
          <w:sz w:val="20"/>
          <w:lang w:val="el-GR"/>
        </w:rPr>
        <w:t xml:space="preserve">Νομοθετικές μεταρρυθμίσεις για τη μετατροπή των ΑΦΑ σε ΑΦΠ </w:t>
      </w:r>
    </w:p>
    <w:p w14:paraId="3C3F7099" w14:textId="0F462002" w:rsidR="00724793" w:rsidRPr="007246A9" w:rsidRDefault="00724793" w:rsidP="00041D74">
      <w:pPr>
        <w:spacing w:after="0" w:line="240" w:lineRule="auto"/>
        <w:jc w:val="both"/>
        <w:rPr>
          <w:rFonts w:ascii="Arial" w:hAnsi="Arial" w:cs="Arial"/>
          <w:b/>
          <w:bCs/>
          <w:color w:val="FF9900"/>
          <w:sz w:val="20"/>
          <w:szCs w:val="24"/>
          <w:lang w:val="el-GR"/>
        </w:rPr>
      </w:pPr>
      <w:r w:rsidRPr="007246A9">
        <w:rPr>
          <w:rFonts w:ascii="Arial" w:hAnsi="Arial" w:cs="Arial"/>
          <w:sz w:val="18"/>
          <w:szCs w:val="18"/>
          <w:lang w:val="el-GR"/>
        </w:rPr>
        <w:t xml:space="preserve">Νομοθετικές μεταρρυθμίσεις που επιτρέπουν τη μετατροπή ορισμένων αναβαλλόμενων φορολογικών απαιτήσεων (ΑΦΑ) σε αναβαλλόμενες φορολογικές πιστώσεις (ΑΦΠ) τέθηκαν σε εφαρμογή </w:t>
      </w:r>
      <w:r w:rsidRPr="007246A9">
        <w:rPr>
          <w:rFonts w:ascii="Arial" w:hAnsi="Arial" w:cs="Arial"/>
          <w:color w:val="000000"/>
          <w:sz w:val="18"/>
          <w:szCs w:val="18"/>
          <w:lang w:val="el-GR"/>
        </w:rPr>
        <w:t>τον Μάρτιο 2019.</w:t>
      </w:r>
      <w:r w:rsidR="00C04176" w:rsidRPr="007246A9">
        <w:rPr>
          <w:rFonts w:ascii="Arial" w:hAnsi="Arial" w:cs="Arial"/>
          <w:color w:val="000000"/>
          <w:sz w:val="18"/>
          <w:szCs w:val="18"/>
          <w:lang w:val="el-GR"/>
        </w:rPr>
        <w:t xml:space="preserve"> </w:t>
      </w:r>
      <w:r w:rsidRPr="007246A9">
        <w:rPr>
          <w:rFonts w:ascii="Arial" w:hAnsi="Arial" w:cs="Arial"/>
          <w:sz w:val="18"/>
          <w:szCs w:val="18"/>
          <w:lang w:val="el-GR"/>
        </w:rPr>
        <w:t xml:space="preserve">Οι νομοθετικές μεταρρυθμίσεις εφαρμόζονται για τη χρήση φορολογικών ζημιών που μεταφέρθηκαν από τη Λαϊκή Τράπεζα στην Τράπεζα τον Μάρτιο 2013. Η εισαγωγή του Κανονισμού Κεφαλαιακών Απαιτήσεων (CRR) και της Οδηγίας Κεφαλαιακών Απαιτήσεων (CRD) IV τον Ιανουάριο 2014 και η σταδιακή εφαρμογή του οδήγησαν σε πιο υψηλές απαιτήσεις κεφαλαίου από την Τράπεζα για αυτές τις ΑΦΑ. Ο νόμος επιτρέπει στα πιστωτικά ιδρύματα να χειρίζονται τις συγκεκριμένες ΑΦΑ ως ‘μη βασιζόμενες σε μελλοντική κερδοφορία’ σύμφωνα με τις διατάξεις του </w:t>
      </w:r>
      <w:r w:rsidRPr="007246A9">
        <w:rPr>
          <w:rFonts w:ascii="Arial" w:hAnsi="Arial" w:cs="Arial"/>
          <w:sz w:val="18"/>
          <w:szCs w:val="18"/>
          <w:lang w:val="en-US"/>
        </w:rPr>
        <w:t>CRR</w:t>
      </w:r>
      <w:r w:rsidRPr="007246A9">
        <w:rPr>
          <w:rFonts w:ascii="Arial" w:hAnsi="Arial" w:cs="Arial"/>
          <w:sz w:val="18"/>
          <w:szCs w:val="18"/>
          <w:lang w:val="el-GR"/>
        </w:rPr>
        <w:t>/</w:t>
      </w:r>
      <w:r w:rsidRPr="007246A9">
        <w:rPr>
          <w:rFonts w:ascii="Arial" w:hAnsi="Arial" w:cs="Arial"/>
          <w:sz w:val="18"/>
          <w:szCs w:val="18"/>
          <w:lang w:val="en-US"/>
        </w:rPr>
        <w:t>CRD</w:t>
      </w:r>
      <w:r w:rsidRPr="007246A9">
        <w:rPr>
          <w:rFonts w:ascii="Arial" w:hAnsi="Arial" w:cs="Arial"/>
          <w:sz w:val="18"/>
          <w:szCs w:val="18"/>
          <w:lang w:val="el-GR"/>
        </w:rPr>
        <w:t xml:space="preserve"> </w:t>
      </w:r>
      <w:r w:rsidRPr="007246A9">
        <w:rPr>
          <w:rFonts w:ascii="Arial" w:hAnsi="Arial" w:cs="Arial"/>
          <w:sz w:val="18"/>
          <w:szCs w:val="18"/>
          <w:lang w:val="en-US"/>
        </w:rPr>
        <w:t>IV</w:t>
      </w:r>
      <w:r w:rsidRPr="007246A9">
        <w:rPr>
          <w:rFonts w:ascii="Arial" w:hAnsi="Arial" w:cs="Arial"/>
          <w:sz w:val="18"/>
          <w:szCs w:val="18"/>
          <w:lang w:val="el-GR"/>
        </w:rPr>
        <w:t>, με αποτέλεσμα να μην αφαιρούνται από τον</w:t>
      </w:r>
      <w:r w:rsidRPr="007246A9">
        <w:rPr>
          <w:rFonts w:ascii="Arial" w:hAnsi="Arial" w:cs="Arial"/>
          <w:color w:val="000000" w:themeColor="text1"/>
          <w:sz w:val="18"/>
          <w:szCs w:val="18"/>
          <w:lang w:val="el-GR"/>
        </w:rPr>
        <w:t xml:space="preserve"> δείκτη Κεφαλαίου Κοινών Μετοχών Κατηγορίας 1 (CET1)</w:t>
      </w:r>
      <w:r w:rsidRPr="007246A9">
        <w:rPr>
          <w:rFonts w:ascii="Arial" w:hAnsi="Arial" w:cs="Arial"/>
          <w:sz w:val="18"/>
          <w:szCs w:val="18"/>
          <w:lang w:val="el-GR"/>
        </w:rPr>
        <w:t>, και συνεπώς να βελτιώνεται η κεφαλαιακή θέση τους.</w:t>
      </w:r>
      <w:r w:rsidR="00FE6D3F" w:rsidRPr="007246A9">
        <w:rPr>
          <w:rFonts w:ascii="Arial" w:hAnsi="Arial" w:cs="Arial"/>
          <w:sz w:val="18"/>
          <w:szCs w:val="18"/>
          <w:lang w:val="el-GR"/>
        </w:rPr>
        <w:t xml:space="preserve"> </w:t>
      </w:r>
      <w:r w:rsidRPr="007246A9">
        <w:rPr>
          <w:rFonts w:ascii="Arial" w:hAnsi="Arial" w:cs="Arial"/>
          <w:sz w:val="18"/>
          <w:szCs w:val="18"/>
          <w:lang w:val="el-GR"/>
        </w:rPr>
        <w:t xml:space="preserve">Ο Νόμος προβλέπει την καταβολή </w:t>
      </w:r>
      <w:r w:rsidRPr="007246A9">
        <w:rPr>
          <w:rFonts w:ascii="Arial" w:eastAsia="Times New Roman" w:hAnsi="Arial" w:cs="Arial"/>
          <w:color w:val="000000" w:themeColor="text1"/>
          <w:sz w:val="18"/>
          <w:szCs w:val="18"/>
          <w:lang w:val="el-GR" w:eastAsia="el-GR"/>
        </w:rPr>
        <w:t>τέλους</w:t>
      </w:r>
      <w:r w:rsidRPr="007246A9">
        <w:rPr>
          <w:rFonts w:ascii="Arial" w:hAnsi="Arial" w:cs="Arial"/>
          <w:sz w:val="18"/>
          <w:szCs w:val="18"/>
          <w:lang w:val="el-GR"/>
        </w:rPr>
        <w:t xml:space="preserve"> ως προς τις ετήσιες αναβαλλόμενες φορολογικές πιστώσεις (ΑΦΠ) </w:t>
      </w:r>
      <w:r w:rsidR="00D61DBD" w:rsidRPr="007246A9">
        <w:rPr>
          <w:rFonts w:ascii="Arial" w:hAnsi="Arial" w:cs="Arial"/>
          <w:sz w:val="18"/>
          <w:szCs w:val="18"/>
          <w:lang w:val="el-GR"/>
        </w:rPr>
        <w:t>και</w:t>
      </w:r>
      <w:r w:rsidRPr="007246A9">
        <w:rPr>
          <w:rFonts w:ascii="Arial" w:hAnsi="Arial" w:cs="Arial"/>
          <w:sz w:val="18"/>
          <w:szCs w:val="18"/>
          <w:lang w:val="el-GR"/>
        </w:rPr>
        <w:t xml:space="preserve"> καταβάλλεται σε ετήσια βάση από το πιστωτικό ίδρυμα προς την </w:t>
      </w:r>
      <w:r w:rsidRPr="007246A9">
        <w:rPr>
          <w:rFonts w:ascii="Arial" w:eastAsia="Times New Roman" w:hAnsi="Arial" w:cs="Arial"/>
          <w:color w:val="000000" w:themeColor="text1"/>
          <w:sz w:val="18"/>
          <w:szCs w:val="18"/>
          <w:lang w:val="el-GR" w:eastAsia="el-GR"/>
        </w:rPr>
        <w:t>Κυπριακή Κυβέρνηση.</w:t>
      </w:r>
    </w:p>
    <w:p w14:paraId="3B309B76" w14:textId="77777777" w:rsidR="00724793" w:rsidRPr="007246A9" w:rsidRDefault="00724793" w:rsidP="00041D74">
      <w:pPr>
        <w:spacing w:after="0" w:line="240" w:lineRule="auto"/>
        <w:jc w:val="both"/>
        <w:rPr>
          <w:rFonts w:ascii="Arial" w:eastAsia="Times New Roman" w:hAnsi="Arial" w:cs="Arial"/>
          <w:sz w:val="14"/>
          <w:szCs w:val="14"/>
          <w:lang w:val="el-GR" w:eastAsia="el-GR"/>
        </w:rPr>
      </w:pPr>
    </w:p>
    <w:p w14:paraId="672329A5" w14:textId="1046B496" w:rsidR="00352599" w:rsidRPr="007246A9" w:rsidRDefault="00E11732" w:rsidP="00041D74">
      <w:pPr>
        <w:spacing w:after="0" w:line="240" w:lineRule="auto"/>
        <w:jc w:val="both"/>
        <w:rPr>
          <w:rFonts w:ascii="Arial" w:hAnsi="Arial" w:cs="Arial"/>
          <w:b/>
          <w:bCs/>
          <w:color w:val="FF9900"/>
          <w:sz w:val="24"/>
          <w:szCs w:val="24"/>
          <w:lang w:val="el-GR"/>
        </w:rPr>
      </w:pPr>
      <w:r w:rsidRPr="007246A9">
        <w:rPr>
          <w:rFonts w:ascii="Arial" w:eastAsia="Times New Roman" w:hAnsi="Arial" w:cs="Arial"/>
          <w:sz w:val="18"/>
          <w:szCs w:val="18"/>
          <w:lang w:val="el-GR" w:eastAsia="el-GR"/>
        </w:rPr>
        <w:t xml:space="preserve">Μετά από ορισμένες νομοθετικές τροποποιήσεις τον Μάϊο 2022, </w:t>
      </w:r>
      <w:r w:rsidRPr="007246A9">
        <w:rPr>
          <w:rFonts w:ascii="Arial" w:eastAsia="Times New Roman" w:hAnsi="Arial" w:cs="Arial"/>
          <w:color w:val="000000" w:themeColor="text1"/>
          <w:sz w:val="18"/>
          <w:szCs w:val="18"/>
          <w:lang w:val="el-GR" w:eastAsia="el-GR"/>
        </w:rPr>
        <w:t>το ετήσιο τέλος</w:t>
      </w:r>
      <w:r w:rsidR="00454CAE">
        <w:rPr>
          <w:rFonts w:ascii="Arial" w:eastAsia="Times New Roman" w:hAnsi="Arial" w:cs="Arial"/>
          <w:color w:val="000000" w:themeColor="text1"/>
          <w:sz w:val="18"/>
          <w:szCs w:val="18"/>
          <w:lang w:val="el-GR" w:eastAsia="el-GR"/>
        </w:rPr>
        <w:t xml:space="preserve"> </w:t>
      </w:r>
      <w:r w:rsidRPr="007246A9">
        <w:rPr>
          <w:rFonts w:ascii="Arial" w:eastAsia="Times New Roman" w:hAnsi="Arial" w:cs="Arial"/>
          <w:color w:val="000000" w:themeColor="text1"/>
          <w:sz w:val="18"/>
          <w:szCs w:val="18"/>
          <w:lang w:val="el-GR" w:eastAsia="el-GR"/>
        </w:rPr>
        <w:t xml:space="preserve">καθορίζεται από την Κυπριακή Κυβέρνηση σε ετήσια βάση, προβλέποντας ωστόσο </w:t>
      </w:r>
      <w:r w:rsidRPr="007246A9">
        <w:rPr>
          <w:rFonts w:ascii="Arial" w:eastAsia="Times New Roman" w:hAnsi="Arial" w:cs="Arial"/>
          <w:sz w:val="18"/>
          <w:szCs w:val="18"/>
          <w:lang w:val="el-GR" w:eastAsia="el-GR"/>
        </w:rPr>
        <w:t xml:space="preserve">ότι το ποσό που θα χρεωθεί θα καθοριστεί στο ελάχιστο τέλος ύψους 1.5% της ετήσιας </w:t>
      </w:r>
      <w:r w:rsidR="00352599" w:rsidRPr="007246A9">
        <w:rPr>
          <w:rFonts w:ascii="Arial" w:eastAsia="Times New Roman" w:hAnsi="Arial" w:cs="Arial"/>
          <w:sz w:val="18"/>
          <w:szCs w:val="18"/>
          <w:lang w:val="el-GR" w:eastAsia="el-GR"/>
        </w:rPr>
        <w:t>δόσης και μπορεί να κυμαίνεται έως ένα μέγιστο ποσό ύψους €10 εκατ. ετησίως</w:t>
      </w:r>
      <w:r w:rsidR="00C04176" w:rsidRPr="007246A9">
        <w:rPr>
          <w:rFonts w:ascii="Arial" w:eastAsia="Times New Roman" w:hAnsi="Arial" w:cs="Arial"/>
          <w:sz w:val="18"/>
          <w:szCs w:val="18"/>
          <w:lang w:val="el-GR" w:eastAsia="el-GR"/>
        </w:rPr>
        <w:t>.</w:t>
      </w:r>
      <w:r w:rsidR="00352599" w:rsidRPr="007246A9">
        <w:rPr>
          <w:rFonts w:ascii="Arial" w:eastAsia="Times New Roman" w:hAnsi="Arial" w:cs="Arial"/>
          <w:sz w:val="18"/>
          <w:szCs w:val="18"/>
          <w:lang w:val="el-GR" w:eastAsia="el-GR"/>
        </w:rPr>
        <w:t xml:space="preserve"> </w:t>
      </w:r>
    </w:p>
    <w:p w14:paraId="51ED98CF" w14:textId="77777777" w:rsidR="009619F5" w:rsidRPr="007246A9" w:rsidRDefault="009619F5" w:rsidP="00AD44ED">
      <w:pPr>
        <w:pStyle w:val="BodyText3"/>
        <w:tabs>
          <w:tab w:val="left" w:pos="7230"/>
        </w:tabs>
        <w:jc w:val="both"/>
        <w:rPr>
          <w:rFonts w:ascii="Arial" w:hAnsi="Arial" w:cs="Arial"/>
          <w:sz w:val="14"/>
          <w:szCs w:val="14"/>
          <w:lang w:val="el-GR"/>
        </w:rPr>
      </w:pPr>
    </w:p>
    <w:p w14:paraId="4FDA0EAE" w14:textId="16C690DD" w:rsidR="00E716AA" w:rsidRPr="007246A9" w:rsidRDefault="00352599" w:rsidP="00AD44ED">
      <w:pPr>
        <w:pStyle w:val="BodyText3"/>
        <w:tabs>
          <w:tab w:val="left" w:pos="7230"/>
        </w:tabs>
        <w:jc w:val="both"/>
        <w:rPr>
          <w:rFonts w:ascii="Arial" w:hAnsi="Arial" w:cs="Arial"/>
          <w:sz w:val="18"/>
          <w:szCs w:val="18"/>
          <w:lang w:val="el-GR"/>
        </w:rPr>
      </w:pPr>
      <w:r w:rsidRPr="007246A9">
        <w:rPr>
          <w:rFonts w:ascii="Arial" w:hAnsi="Arial" w:cs="Arial"/>
          <w:sz w:val="18"/>
          <w:szCs w:val="18"/>
          <w:lang w:val="el-GR"/>
        </w:rPr>
        <w:t xml:space="preserve">Το Συγκρότημα εκτιμά ότι αυτά τα τέλη θα μπορούσαν να κυμαίνονται έως και περίπου €5 εκατ. ετησίως (για κάθε φορολογικό έτος εφαρμογής, δηλαδή από το 2018) παρόλο που το Συγκρότημα κατανοεί ότι τέτοια τέλη μπορεί να κυμαίνονται σε ετήσια βάση, όπως θα καθοριστεί από το Υπουργείο Οικονομικών. </w:t>
      </w:r>
    </w:p>
    <w:p w14:paraId="4C7D7156" w14:textId="22698E24" w:rsidR="00D52C71" w:rsidRPr="00D41B36" w:rsidRDefault="00D52C71" w:rsidP="007246A9">
      <w:pPr>
        <w:pStyle w:val="Default"/>
        <w:jc w:val="both"/>
        <w:rPr>
          <w:b/>
          <w:bCs/>
          <w:color w:val="FF9900"/>
          <w:sz w:val="23"/>
          <w:szCs w:val="23"/>
          <w:highlight w:val="yellow"/>
          <w:lang w:val="el-GR"/>
        </w:rPr>
      </w:pPr>
      <w:bookmarkStart w:id="9" w:name="_Hlk135033209"/>
    </w:p>
    <w:bookmarkEnd w:id="9"/>
    <w:p w14:paraId="379A1A95" w14:textId="747114E7" w:rsidR="004E699B" w:rsidRDefault="004E699B" w:rsidP="004953BA">
      <w:pPr>
        <w:spacing w:after="120" w:line="240" w:lineRule="auto"/>
        <w:ind w:left="851" w:hanging="851"/>
        <w:jc w:val="both"/>
        <w:rPr>
          <w:rFonts w:ascii="Arial" w:eastAsia="Times New Roman" w:hAnsi="Arial" w:cs="Arial"/>
          <w:b/>
          <w:bCs/>
          <w:color w:val="FF9900"/>
          <w:lang w:val="el-GR" w:eastAsia="el-GR"/>
        </w:rPr>
      </w:pPr>
      <w:r w:rsidRPr="004964ED">
        <w:rPr>
          <w:rFonts w:ascii="Arial" w:eastAsia="Times New Roman" w:hAnsi="Arial" w:cs="Arial"/>
          <w:b/>
          <w:bCs/>
          <w:color w:val="FF9900"/>
          <w:lang w:val="el-GR" w:eastAsia="el-GR"/>
        </w:rPr>
        <w:t>Α.1.2. Κανονισμοί και Οδηγίες</w:t>
      </w:r>
    </w:p>
    <w:p w14:paraId="71D2832A" w14:textId="08C6398A" w:rsidR="00352599" w:rsidRPr="007246A9" w:rsidRDefault="00FE6D3F" w:rsidP="004953BA">
      <w:pPr>
        <w:spacing w:after="120" w:line="240" w:lineRule="auto"/>
        <w:ind w:left="851" w:hanging="851"/>
        <w:jc w:val="both"/>
        <w:rPr>
          <w:rFonts w:ascii="Arial" w:eastAsia="Times New Roman" w:hAnsi="Arial" w:cs="Arial"/>
          <w:lang w:val="el-GR"/>
        </w:rPr>
      </w:pPr>
      <w:r w:rsidRPr="007246A9">
        <w:rPr>
          <w:rFonts w:ascii="Arial" w:eastAsia="Times New Roman" w:hAnsi="Arial" w:cs="Arial"/>
          <w:b/>
          <w:bCs/>
          <w:color w:val="FF9900"/>
          <w:lang w:val="en-US" w:eastAsia="el-GR"/>
        </w:rPr>
        <w:t>A</w:t>
      </w:r>
      <w:r w:rsidR="00352599" w:rsidRPr="007246A9">
        <w:rPr>
          <w:rFonts w:ascii="Arial" w:eastAsia="Times New Roman" w:hAnsi="Arial" w:cs="Arial"/>
          <w:b/>
          <w:bCs/>
          <w:color w:val="FF9900"/>
          <w:lang w:val="el-GR" w:eastAsia="el-GR"/>
        </w:rPr>
        <w:t>.</w:t>
      </w:r>
      <w:r w:rsidRPr="007246A9">
        <w:rPr>
          <w:rFonts w:ascii="Arial" w:eastAsia="Times New Roman" w:hAnsi="Arial" w:cs="Arial"/>
          <w:b/>
          <w:bCs/>
          <w:color w:val="FF9900"/>
          <w:lang w:val="el-GR" w:eastAsia="el-GR"/>
        </w:rPr>
        <w:t>1</w:t>
      </w:r>
      <w:r w:rsidR="00352599" w:rsidRPr="007246A9">
        <w:rPr>
          <w:rFonts w:ascii="Arial" w:eastAsia="Times New Roman" w:hAnsi="Arial" w:cs="Arial"/>
          <w:b/>
          <w:bCs/>
          <w:color w:val="FF9900"/>
          <w:lang w:val="el-GR" w:eastAsia="el-GR"/>
        </w:rPr>
        <w:t>.2.1</w:t>
      </w:r>
      <w:r w:rsidR="003F2BB4" w:rsidRPr="007246A9">
        <w:rPr>
          <w:rFonts w:ascii="Arial" w:eastAsia="Times New Roman" w:hAnsi="Arial" w:cs="Arial"/>
          <w:b/>
          <w:bCs/>
          <w:color w:val="FF9900"/>
          <w:lang w:val="el-GR" w:eastAsia="el-GR"/>
        </w:rPr>
        <w:t>.</w:t>
      </w:r>
      <w:r w:rsidR="00352599" w:rsidRPr="007246A9">
        <w:rPr>
          <w:rFonts w:ascii="Arial" w:eastAsia="Times New Roman" w:hAnsi="Arial" w:cs="Arial"/>
          <w:b/>
          <w:bCs/>
          <w:color w:val="FF9900"/>
          <w:lang w:val="el-GR" w:eastAsia="el-GR"/>
        </w:rPr>
        <w:t xml:space="preserve"> Τραπεζικό Πακέτο 2021 (</w:t>
      </w:r>
      <w:r w:rsidR="00352599" w:rsidRPr="007246A9">
        <w:rPr>
          <w:rFonts w:ascii="Arial" w:eastAsia="Times New Roman" w:hAnsi="Arial" w:cs="Arial"/>
          <w:b/>
          <w:bCs/>
          <w:color w:val="FF9900"/>
          <w:lang w:eastAsia="el-GR"/>
        </w:rPr>
        <w:t>CRR</w:t>
      </w:r>
      <w:r w:rsidR="00352599" w:rsidRPr="007246A9">
        <w:rPr>
          <w:rFonts w:ascii="Arial" w:eastAsia="Times New Roman" w:hAnsi="Arial" w:cs="Arial"/>
          <w:b/>
          <w:bCs/>
          <w:color w:val="FF9900"/>
          <w:lang w:val="el-GR" w:eastAsia="el-GR"/>
        </w:rPr>
        <w:t xml:space="preserve"> </w:t>
      </w:r>
      <w:r w:rsidR="00352599" w:rsidRPr="007246A9">
        <w:rPr>
          <w:rFonts w:ascii="Arial" w:eastAsia="Times New Roman" w:hAnsi="Arial" w:cs="Arial"/>
          <w:b/>
          <w:bCs/>
          <w:color w:val="FF9900"/>
          <w:lang w:eastAsia="el-GR"/>
        </w:rPr>
        <w:t>III</w:t>
      </w:r>
      <w:r w:rsidR="00352599" w:rsidRPr="007246A9">
        <w:rPr>
          <w:rFonts w:ascii="Arial" w:eastAsia="Times New Roman" w:hAnsi="Arial" w:cs="Arial"/>
          <w:b/>
          <w:bCs/>
          <w:color w:val="FF9900"/>
          <w:lang w:val="el-GR" w:eastAsia="el-GR"/>
        </w:rPr>
        <w:t xml:space="preserve">, </w:t>
      </w:r>
      <w:r w:rsidR="00352599" w:rsidRPr="007246A9">
        <w:rPr>
          <w:rFonts w:ascii="Arial" w:eastAsia="Times New Roman" w:hAnsi="Arial" w:cs="Arial"/>
          <w:b/>
          <w:bCs/>
          <w:color w:val="FF9900"/>
          <w:lang w:eastAsia="el-GR"/>
        </w:rPr>
        <w:t>CRD</w:t>
      </w:r>
      <w:r w:rsidR="00352599" w:rsidRPr="007246A9">
        <w:rPr>
          <w:rFonts w:ascii="Arial" w:eastAsia="Times New Roman" w:hAnsi="Arial" w:cs="Arial"/>
          <w:b/>
          <w:bCs/>
          <w:color w:val="FF9900"/>
          <w:lang w:val="el-GR" w:eastAsia="el-GR"/>
        </w:rPr>
        <w:t xml:space="preserve"> </w:t>
      </w:r>
      <w:r w:rsidR="00352599" w:rsidRPr="007246A9">
        <w:rPr>
          <w:rFonts w:ascii="Arial" w:eastAsia="Times New Roman" w:hAnsi="Arial" w:cs="Arial"/>
          <w:b/>
          <w:bCs/>
          <w:color w:val="FF9900"/>
          <w:lang w:eastAsia="el-GR"/>
        </w:rPr>
        <w:t>VI</w:t>
      </w:r>
      <w:r w:rsidR="00352599" w:rsidRPr="007246A9">
        <w:rPr>
          <w:rFonts w:ascii="Arial" w:eastAsia="Times New Roman" w:hAnsi="Arial" w:cs="Arial"/>
          <w:b/>
          <w:bCs/>
          <w:color w:val="FF9900"/>
          <w:lang w:val="el-GR" w:eastAsia="el-GR"/>
        </w:rPr>
        <w:t xml:space="preserve"> και </w:t>
      </w:r>
      <w:r w:rsidR="00352599" w:rsidRPr="007246A9">
        <w:rPr>
          <w:rFonts w:ascii="Arial" w:eastAsia="Times New Roman" w:hAnsi="Arial" w:cs="Arial"/>
          <w:b/>
          <w:bCs/>
          <w:color w:val="FF9900"/>
          <w:lang w:val="en-US" w:eastAsia="el-GR"/>
        </w:rPr>
        <w:t>BRRD</w:t>
      </w:r>
      <w:r w:rsidR="00352599" w:rsidRPr="007246A9">
        <w:rPr>
          <w:rFonts w:ascii="Arial" w:eastAsia="Times New Roman" w:hAnsi="Arial" w:cs="Arial"/>
          <w:b/>
          <w:bCs/>
          <w:color w:val="FF9900"/>
          <w:lang w:val="el-GR" w:eastAsia="el-GR"/>
        </w:rPr>
        <w:t>)</w:t>
      </w:r>
    </w:p>
    <w:p w14:paraId="11C2A859" w14:textId="77777777" w:rsidR="004E699B" w:rsidRDefault="00352599" w:rsidP="00821951">
      <w:pPr>
        <w:spacing w:after="0" w:line="240" w:lineRule="auto"/>
        <w:jc w:val="both"/>
        <w:rPr>
          <w:rFonts w:ascii="Arial" w:eastAsia="Times New Roman" w:hAnsi="Arial" w:cs="Arial"/>
          <w:sz w:val="18"/>
          <w:szCs w:val="18"/>
          <w:lang w:val="el-GR" w:eastAsia="el-GR"/>
        </w:rPr>
      </w:pPr>
      <w:bookmarkStart w:id="10" w:name="_Hlk103597689"/>
      <w:r w:rsidRPr="007246A9">
        <w:rPr>
          <w:rFonts w:ascii="Arial" w:eastAsia="Times New Roman" w:hAnsi="Arial" w:cs="Arial"/>
          <w:sz w:val="18"/>
          <w:szCs w:val="18"/>
          <w:lang w:val="el-GR" w:eastAsia="el-GR"/>
        </w:rPr>
        <w:t xml:space="preserve">Τον Οκτώβριο 2021, η Ευρωπαϊκή Επιτροπή υιοθέτησε νομοθετικές προτάσεις για περαιτέρω τροποποιήσεις στον Κανονισμό Κεφαλαιακών Απαιτήσεων (CRR), στην Οδηγία Κεφαλαιακών Απαιτήσεων (CRD) και στην Οδηγία για Ανάκαμψη και Εξυγίανση Πιστωτικών Ιδρυμάτων και Επιχειρήσεων Επενδύσεων (BRRD) (το </w:t>
      </w:r>
      <w:r w:rsidR="006114D5" w:rsidRPr="007246A9">
        <w:rPr>
          <w:rFonts w:ascii="Arial" w:eastAsia="Times New Roman" w:hAnsi="Arial" w:cs="Arial"/>
          <w:sz w:val="18"/>
          <w:szCs w:val="18"/>
          <w:lang w:val="el-GR" w:eastAsia="el-GR"/>
        </w:rPr>
        <w:t>‘</w:t>
      </w:r>
      <w:r w:rsidRPr="007246A9">
        <w:rPr>
          <w:rFonts w:ascii="Arial" w:eastAsia="Times New Roman" w:hAnsi="Arial" w:cs="Arial"/>
          <w:b/>
          <w:bCs/>
          <w:sz w:val="18"/>
          <w:szCs w:val="18"/>
          <w:lang w:val="el-GR" w:eastAsia="el-GR"/>
        </w:rPr>
        <w:t>Τραπεζικό Πακέτο 2021</w:t>
      </w:r>
      <w:r w:rsidR="006114D5" w:rsidRPr="007246A9">
        <w:rPr>
          <w:rFonts w:ascii="Arial" w:eastAsia="Times New Roman" w:hAnsi="Arial" w:cs="Arial"/>
          <w:sz w:val="18"/>
          <w:szCs w:val="18"/>
          <w:lang w:val="el-GR" w:eastAsia="el-GR"/>
        </w:rPr>
        <w:t>’</w:t>
      </w:r>
      <w:r w:rsidRPr="007246A9">
        <w:rPr>
          <w:rFonts w:ascii="Arial" w:eastAsia="Times New Roman" w:hAnsi="Arial" w:cs="Arial"/>
          <w:sz w:val="18"/>
          <w:szCs w:val="18"/>
          <w:lang w:val="el-GR" w:eastAsia="el-GR"/>
        </w:rPr>
        <w:t xml:space="preserve">). Μεταξύ άλλων, το Τραπεζικό Πακέτο 2021 θα εφαρμόσει ορισμένα μέρη της Βασιλείας ΙΙΙ που δεν έχουν ακόμη ενσωματωθεί στο δίκαιο της ΕΕ. </w:t>
      </w:r>
      <w:r w:rsidR="007E101D" w:rsidRPr="007246A9">
        <w:rPr>
          <w:rFonts w:ascii="Arial" w:eastAsia="Times New Roman" w:hAnsi="Arial" w:cs="Arial"/>
          <w:sz w:val="18"/>
          <w:szCs w:val="18"/>
          <w:lang w:val="el-GR" w:eastAsia="el-GR"/>
        </w:rPr>
        <w:t>Σ</w:t>
      </w:r>
      <w:r w:rsidRPr="007246A9">
        <w:rPr>
          <w:rFonts w:ascii="Arial" w:eastAsia="Times New Roman" w:hAnsi="Arial" w:cs="Arial"/>
          <w:sz w:val="18"/>
          <w:szCs w:val="18"/>
          <w:lang w:val="el-GR" w:eastAsia="el-GR"/>
        </w:rPr>
        <w:t>την περίπτωση των προτεινόμενων τροποποιήσεων του CRD</w:t>
      </w:r>
      <w:r w:rsidR="007E101D" w:rsidRPr="007246A9">
        <w:rPr>
          <w:rFonts w:ascii="Arial" w:eastAsia="Times New Roman" w:hAnsi="Arial" w:cs="Arial"/>
          <w:sz w:val="18"/>
          <w:szCs w:val="18"/>
          <w:lang w:val="el-GR" w:eastAsia="el-GR"/>
        </w:rPr>
        <w:t xml:space="preserve"> </w:t>
      </w:r>
      <w:r w:rsidRPr="007246A9">
        <w:rPr>
          <w:rFonts w:ascii="Arial" w:eastAsia="Times New Roman" w:hAnsi="Arial" w:cs="Arial"/>
          <w:sz w:val="18"/>
          <w:szCs w:val="18"/>
          <w:lang w:val="el-GR" w:eastAsia="el-GR"/>
        </w:rPr>
        <w:t>και του BRRD, οι όροι και η ισχύ τους θα εξαρτηθούν, εν μέρει, από τον τρόπο ενσωμάτωσής τους στη νομοθεσία κάθε κράτους μέλους.</w:t>
      </w:r>
      <w:r w:rsidR="001E467A" w:rsidRPr="007246A9">
        <w:rPr>
          <w:rFonts w:ascii="Arial" w:eastAsia="Times New Roman" w:hAnsi="Arial" w:cs="Arial"/>
          <w:sz w:val="18"/>
          <w:szCs w:val="18"/>
          <w:lang w:val="el-GR" w:eastAsia="el-GR"/>
        </w:rPr>
        <w:t xml:space="preserve"> </w:t>
      </w:r>
      <w:r w:rsidR="00AF3620" w:rsidRPr="007246A9">
        <w:rPr>
          <w:rFonts w:ascii="Arial" w:eastAsia="Times New Roman" w:hAnsi="Arial" w:cs="Arial"/>
          <w:sz w:val="18"/>
          <w:szCs w:val="18"/>
          <w:lang w:val="el-GR" w:eastAsia="el-GR"/>
        </w:rPr>
        <w:t xml:space="preserve">Τον Δεκέμβριο 2023, τα προπαρασκευαστικά όργανα του Συμβουλίου και του Ευρωπαϊκού Κοινοβουλίου ενέκριναν τις τροποποιήσεις στον Κανονισμό Κεφαλαιακών Απαιτήσεων (CRR) και στην Οδηγία Κεφαλαιακών Απαιτήσεων (CRD) και τα νομικά κείμενα δημοσιεύθηκαν στους </w:t>
      </w:r>
      <w:proofErr w:type="spellStart"/>
      <w:r w:rsidR="00F85534">
        <w:rPr>
          <w:rFonts w:ascii="Arial" w:eastAsia="Times New Roman" w:hAnsi="Arial" w:cs="Arial"/>
          <w:sz w:val="18"/>
          <w:szCs w:val="18"/>
          <w:lang w:val="el-GR" w:eastAsia="el-GR"/>
        </w:rPr>
        <w:t>ιστότοπους</w:t>
      </w:r>
      <w:proofErr w:type="spellEnd"/>
      <w:r w:rsidR="00F85534" w:rsidRPr="007246A9">
        <w:rPr>
          <w:rFonts w:ascii="Arial" w:eastAsia="Times New Roman" w:hAnsi="Arial" w:cs="Arial"/>
          <w:sz w:val="18"/>
          <w:szCs w:val="18"/>
          <w:lang w:val="el-GR" w:eastAsia="el-GR"/>
        </w:rPr>
        <w:t xml:space="preserve"> </w:t>
      </w:r>
      <w:r w:rsidR="00AF3620" w:rsidRPr="007246A9">
        <w:rPr>
          <w:rFonts w:ascii="Arial" w:eastAsia="Times New Roman" w:hAnsi="Arial" w:cs="Arial"/>
          <w:sz w:val="18"/>
          <w:szCs w:val="18"/>
          <w:lang w:val="el-GR" w:eastAsia="el-GR"/>
        </w:rPr>
        <w:t>του Συμβουλίου και του Κοινοβουλίου. Τον Απρίλιο 2024, το Ευρωπαϊκό Κοινοβούλιο ψήφισε την υιοθέτηση των τροποποιήσεων στον Κανονισμό Κεφαλαιακών Απαιτήσεων (CRR) και στην Οδηγία Κεφαλαιακών Απαιτήσεων (CRD)</w:t>
      </w:r>
      <w:r w:rsidR="004E699B" w:rsidRPr="004E699B">
        <w:rPr>
          <w:rFonts w:ascii="Arial" w:eastAsia="Times New Roman" w:hAnsi="Arial" w:cs="Arial"/>
          <w:sz w:val="18"/>
          <w:szCs w:val="18"/>
          <w:lang w:val="el-GR" w:eastAsia="el-GR"/>
        </w:rPr>
        <w:t>:</w:t>
      </w:r>
      <w:r w:rsidR="00AF3620" w:rsidRPr="007246A9">
        <w:rPr>
          <w:rFonts w:ascii="Arial" w:eastAsia="Times New Roman" w:hAnsi="Arial" w:cs="Arial"/>
          <w:sz w:val="18"/>
          <w:szCs w:val="18"/>
          <w:lang w:val="el-GR" w:eastAsia="el-GR"/>
        </w:rPr>
        <w:t xml:space="preserve"> ο Κανονισμός (ΕΕ) 2024/1623 (γνωστός ως CRR III) και η Οδηγία (ΕΕ) 2024/1619 (γνωστή ως CRD VI) δημοσιεύτηκαν στην επίσημη εφημερίδα της Ευρωπαϊκής Ένωσης</w:t>
      </w:r>
      <w:r w:rsidR="004E699B" w:rsidRPr="004E699B">
        <w:rPr>
          <w:rFonts w:ascii="Arial" w:eastAsia="Times New Roman" w:hAnsi="Arial" w:cs="Arial"/>
          <w:sz w:val="18"/>
          <w:szCs w:val="18"/>
          <w:lang w:val="el-GR" w:eastAsia="el-GR"/>
        </w:rPr>
        <w:t xml:space="preserve"> </w:t>
      </w:r>
      <w:r w:rsidR="004E699B">
        <w:rPr>
          <w:rFonts w:ascii="Arial" w:eastAsia="Times New Roman" w:hAnsi="Arial" w:cs="Arial"/>
          <w:sz w:val="18"/>
          <w:szCs w:val="18"/>
          <w:lang w:val="el-GR" w:eastAsia="el-GR"/>
        </w:rPr>
        <w:t>τον Ιούνιο 2024</w:t>
      </w:r>
      <w:r w:rsidR="00AF3620" w:rsidRPr="007246A9">
        <w:rPr>
          <w:rFonts w:ascii="Arial" w:eastAsia="Times New Roman" w:hAnsi="Arial" w:cs="Arial"/>
          <w:sz w:val="18"/>
          <w:szCs w:val="18"/>
          <w:lang w:val="el-GR" w:eastAsia="el-GR"/>
        </w:rPr>
        <w:t xml:space="preserve">, με έναρξη ισχύος 20 μέρες από την ημερομηνία δημοσίευσής τους. Οι περισσότερες </w:t>
      </w:r>
      <w:r w:rsidR="00E40FED">
        <w:rPr>
          <w:rFonts w:ascii="Arial" w:eastAsia="Times New Roman" w:hAnsi="Arial" w:cs="Arial"/>
          <w:sz w:val="18"/>
          <w:szCs w:val="18"/>
          <w:lang w:val="el-GR" w:eastAsia="el-GR"/>
        </w:rPr>
        <w:t xml:space="preserve">τροποποιημένες </w:t>
      </w:r>
      <w:r w:rsidR="00AF3620" w:rsidRPr="007246A9">
        <w:rPr>
          <w:rFonts w:ascii="Arial" w:eastAsia="Times New Roman" w:hAnsi="Arial" w:cs="Arial"/>
          <w:sz w:val="18"/>
          <w:szCs w:val="18"/>
          <w:lang w:val="el-GR" w:eastAsia="el-GR"/>
        </w:rPr>
        <w:t xml:space="preserve">διατάξεις του CRR III θα τεθούν σε ισχύ την 1 Ιανουαρίου 2025 και ορισμένα μέτρα αναμένεται να υπόκεινται σε μεταβατικές ρυθμίσεις ή να εφαρμοστούν σταδιακά. </w:t>
      </w:r>
    </w:p>
    <w:p w14:paraId="68A4B8E3" w14:textId="77777777" w:rsidR="004E699B" w:rsidRDefault="004E699B" w:rsidP="00821951">
      <w:pPr>
        <w:spacing w:after="0" w:line="240" w:lineRule="auto"/>
        <w:jc w:val="both"/>
        <w:rPr>
          <w:rFonts w:ascii="Arial" w:eastAsia="Times New Roman" w:hAnsi="Arial" w:cs="Arial"/>
          <w:sz w:val="18"/>
          <w:szCs w:val="18"/>
          <w:lang w:val="el-GR" w:eastAsia="el-GR"/>
        </w:rPr>
      </w:pPr>
    </w:p>
    <w:p w14:paraId="743729B9" w14:textId="77777777" w:rsidR="004E699B" w:rsidRPr="00FE6D3F" w:rsidRDefault="004E699B" w:rsidP="004E699B">
      <w:pPr>
        <w:rPr>
          <w:rFonts w:ascii="Arial" w:eastAsia="Times New Roman" w:hAnsi="Arial" w:cs="Arial"/>
          <w:sz w:val="18"/>
          <w:szCs w:val="18"/>
          <w:lang w:val="el-GR"/>
        </w:rPr>
      </w:pPr>
      <w:r w:rsidRPr="00755F7E">
        <w:rPr>
          <w:rFonts w:ascii="Arial" w:hAnsi="Arial" w:cs="Arial"/>
          <w:b/>
          <w:bCs/>
          <w:color w:val="FF9900"/>
          <w:sz w:val="24"/>
          <w:lang w:val="el-GR"/>
        </w:rPr>
        <w:lastRenderedPageBreak/>
        <w:t>Α</w:t>
      </w:r>
      <w:r w:rsidRPr="00FE6D3F">
        <w:rPr>
          <w:rFonts w:ascii="Arial" w:hAnsi="Arial" w:cs="Arial"/>
          <w:b/>
          <w:bCs/>
          <w:color w:val="FF9900"/>
          <w:sz w:val="24"/>
          <w:lang w:val="el-GR"/>
        </w:rPr>
        <w:t xml:space="preserve">. Οικονομικά Αποτελέσματα Συγκροτήματος – Υποκείμενη Βάση </w:t>
      </w:r>
      <w:r w:rsidRPr="00FE6D3F">
        <w:rPr>
          <w:rFonts w:ascii="Arial" w:hAnsi="Arial" w:cs="Arial"/>
          <w:color w:val="FF9900"/>
          <w:sz w:val="24"/>
          <w:lang w:val="el-GR"/>
        </w:rPr>
        <w:t>(συνέχεια)</w:t>
      </w:r>
    </w:p>
    <w:p w14:paraId="034885D6" w14:textId="77777777" w:rsidR="004E699B" w:rsidRPr="00FE6D3F" w:rsidRDefault="004E699B" w:rsidP="004E699B">
      <w:pPr>
        <w:rPr>
          <w:rFonts w:ascii="Arial" w:hAnsi="Arial" w:cs="Arial"/>
          <w:b/>
          <w:bCs/>
          <w:color w:val="FF9900"/>
          <w:sz w:val="23"/>
          <w:szCs w:val="23"/>
          <w:lang w:val="el-GR"/>
        </w:rPr>
      </w:pPr>
      <w:r w:rsidRPr="00FE6D3F">
        <w:rPr>
          <w:rFonts w:ascii="Arial" w:hAnsi="Arial" w:cs="Arial"/>
          <w:b/>
          <w:bCs/>
          <w:color w:val="FF9900"/>
          <w:sz w:val="23"/>
          <w:szCs w:val="23"/>
          <w:lang w:val="el-GR"/>
        </w:rPr>
        <w:t xml:space="preserve">Α.1 Ανάλυση Ισολογισμού </w:t>
      </w:r>
      <w:r w:rsidRPr="00FE6D3F">
        <w:rPr>
          <w:rFonts w:ascii="Arial" w:hAnsi="Arial" w:cs="Arial"/>
          <w:color w:val="FF9900"/>
          <w:sz w:val="23"/>
          <w:szCs w:val="23"/>
          <w:lang w:val="el-GR"/>
        </w:rPr>
        <w:t>(συνέχεια)</w:t>
      </w:r>
    </w:p>
    <w:p w14:paraId="10431E50" w14:textId="77777777" w:rsidR="004E699B" w:rsidRDefault="004E699B" w:rsidP="004E699B">
      <w:pPr>
        <w:rPr>
          <w:rFonts w:ascii="Arial" w:hAnsi="Arial" w:cs="Arial"/>
          <w:color w:val="FF9900"/>
          <w:lang w:val="el-GR"/>
        </w:rPr>
      </w:pPr>
      <w:r w:rsidRPr="00FE6D3F">
        <w:rPr>
          <w:rFonts w:ascii="Arial" w:hAnsi="Arial" w:cs="Arial"/>
          <w:b/>
          <w:bCs/>
          <w:color w:val="FF9900"/>
          <w:lang w:val="el-GR"/>
        </w:rPr>
        <w:t xml:space="preserve">Α.1.1 Κεφαλαιακή Βάση </w:t>
      </w:r>
      <w:r w:rsidRPr="00FE6D3F">
        <w:rPr>
          <w:rFonts w:ascii="Arial" w:hAnsi="Arial" w:cs="Arial"/>
          <w:color w:val="FF9900"/>
          <w:lang w:val="el-GR"/>
        </w:rPr>
        <w:t>(συνέχεια)</w:t>
      </w:r>
    </w:p>
    <w:p w14:paraId="30B7DD0C" w14:textId="25D77884" w:rsidR="004E699B" w:rsidRDefault="004E699B" w:rsidP="004E699B">
      <w:pPr>
        <w:spacing w:after="120" w:line="240" w:lineRule="auto"/>
        <w:ind w:left="851" w:hanging="851"/>
        <w:jc w:val="both"/>
        <w:rPr>
          <w:rFonts w:ascii="Arial" w:hAnsi="Arial" w:cs="Arial"/>
          <w:color w:val="FF9900"/>
          <w:lang w:val="el-GR"/>
        </w:rPr>
      </w:pPr>
      <w:r w:rsidRPr="004E699B">
        <w:rPr>
          <w:rFonts w:ascii="Arial" w:eastAsia="Times New Roman" w:hAnsi="Arial" w:cs="Arial"/>
          <w:b/>
          <w:bCs/>
          <w:color w:val="FF9900"/>
          <w:lang w:val="el-GR" w:eastAsia="el-GR"/>
        </w:rPr>
        <w:t>Α.1.2. Κανονισμοί και Οδηγίες</w:t>
      </w:r>
      <w:r>
        <w:rPr>
          <w:rFonts w:ascii="Arial" w:eastAsia="Times New Roman" w:hAnsi="Arial" w:cs="Arial"/>
          <w:b/>
          <w:bCs/>
          <w:color w:val="FF9900"/>
          <w:lang w:val="el-GR" w:eastAsia="el-GR"/>
        </w:rPr>
        <w:t xml:space="preserve"> </w:t>
      </w:r>
      <w:r w:rsidRPr="00FE6D3F">
        <w:rPr>
          <w:rFonts w:ascii="Arial" w:hAnsi="Arial" w:cs="Arial"/>
          <w:color w:val="FF9900"/>
          <w:lang w:val="el-GR"/>
        </w:rPr>
        <w:t>(συνέχεια)</w:t>
      </w:r>
    </w:p>
    <w:p w14:paraId="7B76730D" w14:textId="049C8165" w:rsidR="004E699B" w:rsidRPr="007246A9" w:rsidRDefault="004E699B" w:rsidP="004E699B">
      <w:pPr>
        <w:spacing w:after="120" w:line="240" w:lineRule="auto"/>
        <w:ind w:left="851" w:hanging="851"/>
        <w:jc w:val="both"/>
        <w:rPr>
          <w:rFonts w:ascii="Arial" w:eastAsia="Times New Roman" w:hAnsi="Arial" w:cs="Arial"/>
          <w:lang w:val="el-GR"/>
        </w:rPr>
      </w:pPr>
      <w:r w:rsidRPr="007246A9">
        <w:rPr>
          <w:rFonts w:ascii="Arial" w:eastAsia="Times New Roman" w:hAnsi="Arial" w:cs="Arial"/>
          <w:b/>
          <w:bCs/>
          <w:color w:val="FF9900"/>
          <w:lang w:val="en-US" w:eastAsia="el-GR"/>
        </w:rPr>
        <w:t>A</w:t>
      </w:r>
      <w:r w:rsidRPr="007246A9">
        <w:rPr>
          <w:rFonts w:ascii="Arial" w:eastAsia="Times New Roman" w:hAnsi="Arial" w:cs="Arial"/>
          <w:b/>
          <w:bCs/>
          <w:color w:val="FF9900"/>
          <w:lang w:val="el-GR" w:eastAsia="el-GR"/>
        </w:rPr>
        <w:t>.1.2.1. Τραπεζικό Πακέτο 2021 (</w:t>
      </w:r>
      <w:r w:rsidRPr="007246A9">
        <w:rPr>
          <w:rFonts w:ascii="Arial" w:eastAsia="Times New Roman" w:hAnsi="Arial" w:cs="Arial"/>
          <w:b/>
          <w:bCs/>
          <w:color w:val="FF9900"/>
          <w:lang w:eastAsia="el-GR"/>
        </w:rPr>
        <w:t>CRR</w:t>
      </w:r>
      <w:r w:rsidRPr="007246A9">
        <w:rPr>
          <w:rFonts w:ascii="Arial" w:eastAsia="Times New Roman" w:hAnsi="Arial" w:cs="Arial"/>
          <w:b/>
          <w:bCs/>
          <w:color w:val="FF9900"/>
          <w:lang w:val="el-GR" w:eastAsia="el-GR"/>
        </w:rPr>
        <w:t xml:space="preserve"> </w:t>
      </w:r>
      <w:r w:rsidRPr="007246A9">
        <w:rPr>
          <w:rFonts w:ascii="Arial" w:eastAsia="Times New Roman" w:hAnsi="Arial" w:cs="Arial"/>
          <w:b/>
          <w:bCs/>
          <w:color w:val="FF9900"/>
          <w:lang w:eastAsia="el-GR"/>
        </w:rPr>
        <w:t>III</w:t>
      </w:r>
      <w:r w:rsidRPr="007246A9">
        <w:rPr>
          <w:rFonts w:ascii="Arial" w:eastAsia="Times New Roman" w:hAnsi="Arial" w:cs="Arial"/>
          <w:b/>
          <w:bCs/>
          <w:color w:val="FF9900"/>
          <w:lang w:val="el-GR" w:eastAsia="el-GR"/>
        </w:rPr>
        <w:t xml:space="preserve">, </w:t>
      </w:r>
      <w:r w:rsidRPr="007246A9">
        <w:rPr>
          <w:rFonts w:ascii="Arial" w:eastAsia="Times New Roman" w:hAnsi="Arial" w:cs="Arial"/>
          <w:b/>
          <w:bCs/>
          <w:color w:val="FF9900"/>
          <w:lang w:eastAsia="el-GR"/>
        </w:rPr>
        <w:t>CRD</w:t>
      </w:r>
      <w:r w:rsidRPr="007246A9">
        <w:rPr>
          <w:rFonts w:ascii="Arial" w:eastAsia="Times New Roman" w:hAnsi="Arial" w:cs="Arial"/>
          <w:b/>
          <w:bCs/>
          <w:color w:val="FF9900"/>
          <w:lang w:val="el-GR" w:eastAsia="el-GR"/>
        </w:rPr>
        <w:t xml:space="preserve"> </w:t>
      </w:r>
      <w:r w:rsidRPr="007246A9">
        <w:rPr>
          <w:rFonts w:ascii="Arial" w:eastAsia="Times New Roman" w:hAnsi="Arial" w:cs="Arial"/>
          <w:b/>
          <w:bCs/>
          <w:color w:val="FF9900"/>
          <w:lang w:eastAsia="el-GR"/>
        </w:rPr>
        <w:t>VI</w:t>
      </w:r>
      <w:r w:rsidRPr="007246A9">
        <w:rPr>
          <w:rFonts w:ascii="Arial" w:eastAsia="Times New Roman" w:hAnsi="Arial" w:cs="Arial"/>
          <w:b/>
          <w:bCs/>
          <w:color w:val="FF9900"/>
          <w:lang w:val="el-GR" w:eastAsia="el-GR"/>
        </w:rPr>
        <w:t xml:space="preserve"> και </w:t>
      </w:r>
      <w:r w:rsidRPr="007246A9">
        <w:rPr>
          <w:rFonts w:ascii="Arial" w:eastAsia="Times New Roman" w:hAnsi="Arial" w:cs="Arial"/>
          <w:b/>
          <w:bCs/>
          <w:color w:val="FF9900"/>
          <w:lang w:val="en-US" w:eastAsia="el-GR"/>
        </w:rPr>
        <w:t>BRRD</w:t>
      </w:r>
      <w:r w:rsidRPr="007246A9">
        <w:rPr>
          <w:rFonts w:ascii="Arial" w:eastAsia="Times New Roman" w:hAnsi="Arial" w:cs="Arial"/>
          <w:b/>
          <w:bCs/>
          <w:color w:val="FF9900"/>
          <w:lang w:val="el-GR" w:eastAsia="el-GR"/>
        </w:rPr>
        <w:t>)</w:t>
      </w:r>
      <w:r>
        <w:rPr>
          <w:rFonts w:ascii="Arial" w:eastAsia="Times New Roman" w:hAnsi="Arial" w:cs="Arial"/>
          <w:b/>
          <w:bCs/>
          <w:color w:val="FF9900"/>
          <w:lang w:val="el-GR" w:eastAsia="el-GR"/>
        </w:rPr>
        <w:t xml:space="preserve"> </w:t>
      </w:r>
      <w:r w:rsidRPr="00FE6D3F">
        <w:rPr>
          <w:rFonts w:ascii="Arial" w:hAnsi="Arial" w:cs="Arial"/>
          <w:color w:val="FF9900"/>
          <w:lang w:val="el-GR"/>
        </w:rPr>
        <w:t>(συνέχεια)</w:t>
      </w:r>
    </w:p>
    <w:p w14:paraId="25988AAE" w14:textId="69DE5729" w:rsidR="00821951" w:rsidRPr="007246A9" w:rsidRDefault="00AF3620" w:rsidP="00821951">
      <w:pPr>
        <w:spacing w:after="0" w:line="240" w:lineRule="auto"/>
        <w:jc w:val="both"/>
        <w:rPr>
          <w:rFonts w:ascii="Arial" w:eastAsia="Times New Roman" w:hAnsi="Arial" w:cs="Arial"/>
          <w:sz w:val="18"/>
          <w:szCs w:val="18"/>
          <w:lang w:val="el-GR" w:eastAsia="el-GR"/>
        </w:rPr>
      </w:pPr>
      <w:r w:rsidRPr="007246A9">
        <w:rPr>
          <w:rFonts w:ascii="Arial" w:eastAsia="Times New Roman" w:hAnsi="Arial" w:cs="Arial"/>
          <w:sz w:val="18"/>
          <w:szCs w:val="18"/>
          <w:lang w:val="el-GR" w:eastAsia="el-GR"/>
        </w:rPr>
        <w:t>Τα κράτη μέλη θα πρέπει να εφαρμόσουν και να δημοσιεύσουν, έως τις 10 Ιανουαρίου 2026, τις νομοθετικές, κανονιστικές και διοικητικές διατάξεις που είναι αναγκαίες για τη συμμόρφωση με την οδηγία CRD VI και να εφαρμόζουν  στην πλειονότητά τους τα εν λόγω μέτρα  από τις 11 Ιανουαρίου 2026.</w:t>
      </w:r>
    </w:p>
    <w:p w14:paraId="6654C05B" w14:textId="1CC1DB30" w:rsidR="00821951" w:rsidRPr="00D41B36" w:rsidRDefault="00821951" w:rsidP="001E467A">
      <w:pPr>
        <w:spacing w:after="0" w:line="240" w:lineRule="auto"/>
        <w:jc w:val="both"/>
        <w:rPr>
          <w:rFonts w:ascii="Arial" w:eastAsia="Times New Roman" w:hAnsi="Arial" w:cs="Arial"/>
          <w:sz w:val="18"/>
          <w:szCs w:val="18"/>
          <w:highlight w:val="yellow"/>
          <w:lang w:val="el-GR" w:eastAsia="el-GR"/>
        </w:rPr>
      </w:pPr>
    </w:p>
    <w:p w14:paraId="50B65342" w14:textId="77777777" w:rsidR="004E699B" w:rsidRDefault="004E699B" w:rsidP="004E699B">
      <w:pPr>
        <w:spacing w:after="0" w:line="240" w:lineRule="auto"/>
        <w:jc w:val="both"/>
        <w:rPr>
          <w:rFonts w:ascii="Arial" w:eastAsia="Times New Roman" w:hAnsi="Arial" w:cs="Arial"/>
          <w:b/>
          <w:bCs/>
          <w:color w:val="FF9900"/>
          <w:lang w:val="el-GR" w:eastAsia="el-GR"/>
        </w:rPr>
      </w:pPr>
      <w:r w:rsidRPr="007246A9">
        <w:rPr>
          <w:rFonts w:ascii="Arial" w:eastAsia="Times New Roman" w:hAnsi="Arial" w:cs="Arial"/>
          <w:b/>
          <w:bCs/>
          <w:color w:val="FF9900"/>
          <w:lang w:val="en-US" w:eastAsia="el-GR"/>
        </w:rPr>
        <w:t>A</w:t>
      </w:r>
      <w:r w:rsidRPr="007246A9">
        <w:rPr>
          <w:rFonts w:ascii="Arial" w:eastAsia="Times New Roman" w:hAnsi="Arial" w:cs="Arial"/>
          <w:b/>
          <w:bCs/>
          <w:color w:val="FF9900"/>
          <w:lang w:val="el-GR" w:eastAsia="el-GR"/>
        </w:rPr>
        <w:t>.1.2.2 Οδηγία για Ανάκαμψη και Εξυγίανση Πιστωτικών Ιδρυμάτων και Επιχειρήσεων Επενδύσεων (BRRD)</w:t>
      </w:r>
    </w:p>
    <w:p w14:paraId="54208BF9" w14:textId="77777777" w:rsidR="004D03FF" w:rsidRPr="00D41B36" w:rsidRDefault="004D03FF" w:rsidP="004D03FF">
      <w:pPr>
        <w:spacing w:after="0" w:line="240" w:lineRule="auto"/>
        <w:jc w:val="both"/>
        <w:rPr>
          <w:rFonts w:ascii="Arial" w:eastAsia="Times New Roman" w:hAnsi="Arial" w:cs="Arial"/>
          <w:b/>
          <w:bCs/>
          <w:color w:val="FF9900"/>
          <w:szCs w:val="24"/>
          <w:highlight w:val="yellow"/>
          <w:lang w:val="el-GR" w:eastAsia="el-GR"/>
        </w:rPr>
      </w:pPr>
    </w:p>
    <w:p w14:paraId="73B556D0" w14:textId="77777777" w:rsidR="004D03FF" w:rsidRPr="007246A9" w:rsidRDefault="004D03FF" w:rsidP="004D03FF">
      <w:pPr>
        <w:spacing w:after="0" w:line="360" w:lineRule="auto"/>
        <w:rPr>
          <w:rFonts w:ascii="Arial" w:eastAsia="Times New Roman" w:hAnsi="Arial" w:cs="Arial"/>
          <w:b/>
          <w:bCs/>
          <w:i/>
          <w:iCs/>
          <w:color w:val="FF9900"/>
          <w:sz w:val="20"/>
          <w:szCs w:val="20"/>
          <w:lang w:val="el-GR" w:eastAsia="el-GR"/>
        </w:rPr>
      </w:pPr>
      <w:r w:rsidRPr="007246A9">
        <w:rPr>
          <w:rFonts w:ascii="Arial" w:eastAsia="Times New Roman" w:hAnsi="Arial" w:cs="Arial"/>
          <w:b/>
          <w:bCs/>
          <w:i/>
          <w:iCs/>
          <w:color w:val="FF9900"/>
          <w:sz w:val="20"/>
          <w:szCs w:val="20"/>
          <w:lang w:val="el-GR" w:eastAsia="el-GR"/>
        </w:rPr>
        <w:t>Ελάχιστη Απαίτηση για Ίδια Κεφάλαια και Επιλέξιμες Υποχρεώσεις (</w:t>
      </w:r>
      <w:r w:rsidRPr="007246A9">
        <w:rPr>
          <w:rFonts w:ascii="Arial" w:eastAsia="Times New Roman" w:hAnsi="Arial" w:cs="Arial"/>
          <w:b/>
          <w:bCs/>
          <w:i/>
          <w:iCs/>
          <w:color w:val="FF9900"/>
          <w:sz w:val="20"/>
          <w:szCs w:val="20"/>
          <w:lang w:eastAsia="el-GR"/>
        </w:rPr>
        <w:t>MREL</w:t>
      </w:r>
      <w:r w:rsidRPr="007246A9">
        <w:rPr>
          <w:rFonts w:ascii="Arial" w:eastAsia="Times New Roman" w:hAnsi="Arial" w:cs="Arial"/>
          <w:b/>
          <w:bCs/>
          <w:i/>
          <w:iCs/>
          <w:color w:val="FF9900"/>
          <w:sz w:val="20"/>
          <w:szCs w:val="20"/>
          <w:lang w:val="el-GR" w:eastAsia="el-GR"/>
        </w:rPr>
        <w:t xml:space="preserve">) </w:t>
      </w:r>
    </w:p>
    <w:p w14:paraId="2CECBFA3" w14:textId="77BF964E" w:rsidR="007F5B28" w:rsidRPr="007246A9" w:rsidRDefault="007F5B28" w:rsidP="00555781">
      <w:pPr>
        <w:spacing w:after="0" w:line="240" w:lineRule="auto"/>
        <w:jc w:val="both"/>
        <w:rPr>
          <w:rFonts w:ascii="Arial" w:eastAsia="Times New Roman" w:hAnsi="Arial" w:cs="Arial"/>
          <w:sz w:val="18"/>
          <w:szCs w:val="18"/>
          <w:lang w:val="el-GR" w:eastAsia="en-US"/>
        </w:rPr>
      </w:pPr>
      <w:r w:rsidRPr="007246A9">
        <w:rPr>
          <w:rFonts w:ascii="Arial" w:eastAsia="Times New Roman" w:hAnsi="Arial" w:cs="Arial"/>
          <w:sz w:val="18"/>
          <w:szCs w:val="18"/>
          <w:lang w:val="el-GR" w:eastAsia="en-US"/>
        </w:rPr>
        <w:t>Από τον Ιανουάριο 2016, τα κράτη μέλη της ΕΕ έχουν την υποχρέωση να εφαρμόζουν τις διατάξεις της Οδηγίας για Ανάκαμψη και Εξυγίανση Πιστωτικών Ιδρυμάτων και Επιχειρήσεων Επενδύσεων (BRRD), η οποία απαιτεί από τα πιστωτικά ιδρύματα της ΕΕ και ορισμένες επιχειρήσεις επενδύσεων να τηρούν την Ελάχιστη Απαίτηση Ιδίων Κεφαλαίων και Επιλέξιμων Υποχρεώσεων (MREL), με την επιφύλαξη των διατάξεων του Κατ’ Εξουσιοδότηση Κανονισμού (ΕΕ) 2016/1450.</w:t>
      </w:r>
      <w:r w:rsidR="00FE6D3F" w:rsidRPr="007246A9">
        <w:rPr>
          <w:rFonts w:ascii="Arial" w:eastAsia="Times New Roman" w:hAnsi="Arial" w:cs="Arial"/>
          <w:sz w:val="18"/>
          <w:szCs w:val="18"/>
          <w:lang w:val="el-GR" w:eastAsia="en-US"/>
        </w:rPr>
        <w:t xml:space="preserve"> </w:t>
      </w:r>
      <w:r w:rsidRPr="007246A9">
        <w:rPr>
          <w:rFonts w:ascii="Arial" w:eastAsia="Times New Roman" w:hAnsi="Arial" w:cs="Arial"/>
          <w:sz w:val="18"/>
          <w:szCs w:val="18"/>
          <w:lang w:val="el-GR" w:eastAsia="en-US"/>
        </w:rPr>
        <w:t>Στις 27 Ιουνίου 2019, ως μέρος του πακέτου μεταρρύθμισης για την ενδυνάμωση της ανθεκτικότητας και εξυγίανσης των Ευρωπαϊκών τραπεζών, τέθηκε σε εφαρμογή η Οδηγία για Ανάκαμψη και Εξυγίανση Πιστωτικών Ιδρυμάτων και Επιχειρήσεων Επενδύσεων ΙΙ (BRRD ΙΙ), η οποία έπρεπε να ενσωματωθεί στην εθνική νομοθεσία. Η Οδηγία για Ανάκαμψη και Εξυγίανση Πιστωτικών Ιδρυμάτων και Επιχειρήσεων Επενδύσεων ΙΙ (BRRD ΙΙ) ενσωματώθηκε στην Κυπριακή νομοθεσία και τέθηκε σε εφαρμογή το Μάιο 2021. Επιπρόσθετα, ορισμένες από τις πρόνοιες της Ελάχιστης Απαίτησης Ιδίων Κεφαλαίων και Επιλέξιμων Υποχρεώσεων (MREL) έχουν εισαχθεί στον Κανονισμό Κεφαλαιακών Απαιτήσεων II (CRR II), ο οποίος τέθηκε επίσης σε εφαρμογή στις 27 Ιουνίου 2019 ως μέρος του πακέτου μεταρρύθμισης και τέθηκαν άμεσα σε ισχύ.</w:t>
      </w:r>
    </w:p>
    <w:p w14:paraId="1180A69C" w14:textId="77777777" w:rsidR="007F5B28" w:rsidRPr="007246A9" w:rsidRDefault="007F5B28" w:rsidP="00555781">
      <w:pPr>
        <w:spacing w:after="0" w:line="240" w:lineRule="auto"/>
        <w:rPr>
          <w:rFonts w:ascii="Arial" w:eastAsia="Times New Roman" w:hAnsi="Arial" w:cs="Arial"/>
          <w:sz w:val="18"/>
          <w:szCs w:val="18"/>
          <w:lang w:val="el-GR" w:eastAsia="en-US"/>
        </w:rPr>
      </w:pPr>
    </w:p>
    <w:p w14:paraId="0F8472B6" w14:textId="703A9774" w:rsidR="007F5B28" w:rsidRPr="007246A9" w:rsidRDefault="007F5B28" w:rsidP="00555781">
      <w:pPr>
        <w:spacing w:after="0" w:line="240" w:lineRule="auto"/>
        <w:jc w:val="both"/>
        <w:rPr>
          <w:rFonts w:ascii="Arial" w:eastAsia="Times New Roman" w:hAnsi="Arial" w:cs="Arial"/>
          <w:sz w:val="18"/>
          <w:szCs w:val="18"/>
          <w:lang w:val="el-GR" w:eastAsia="en-US"/>
        </w:rPr>
      </w:pPr>
      <w:r w:rsidRPr="007246A9">
        <w:rPr>
          <w:rFonts w:ascii="Arial" w:eastAsia="Times New Roman" w:hAnsi="Arial" w:cs="Arial"/>
          <w:sz w:val="18"/>
          <w:szCs w:val="18"/>
          <w:lang w:val="el-GR" w:eastAsia="en-US"/>
        </w:rPr>
        <w:t xml:space="preserve">Τον Ιανουάριο 2024, η </w:t>
      </w:r>
      <w:r w:rsidR="00095048" w:rsidRPr="007246A9">
        <w:rPr>
          <w:rFonts w:ascii="Arial" w:eastAsia="Times New Roman" w:hAnsi="Arial" w:cs="Arial"/>
          <w:sz w:val="18"/>
          <w:szCs w:val="18"/>
          <w:lang w:val="el-GR" w:eastAsia="en-US"/>
        </w:rPr>
        <w:t xml:space="preserve">Τράπεζα </w:t>
      </w:r>
      <w:r w:rsidRPr="007246A9">
        <w:rPr>
          <w:rFonts w:ascii="Arial" w:eastAsia="Times New Roman" w:hAnsi="Arial" w:cs="Arial"/>
          <w:sz w:val="18"/>
          <w:szCs w:val="18"/>
          <w:lang w:val="el-GR" w:eastAsia="en-US"/>
        </w:rPr>
        <w:t xml:space="preserve">έλαβε τελική ειδοποίηση από το Ενιαίο Συμβούλιο Εξυγίανσης (ΕΣΕ) σχετικά με την απόφαση της Ελάχιστης Απαίτησης Ιδίων Κεφαλαίων και Επιλέξιμων Υποχρεώσεων (MREL) του 2024, με την οποία η τελική απαίτηση της </w:t>
      </w:r>
      <w:proofErr w:type="spellStart"/>
      <w:r w:rsidRPr="007246A9">
        <w:rPr>
          <w:rFonts w:ascii="Arial" w:eastAsia="Times New Roman" w:hAnsi="Arial" w:cs="Arial"/>
          <w:sz w:val="18"/>
          <w:szCs w:val="18"/>
          <w:lang w:val="el-GR" w:eastAsia="en-US"/>
        </w:rPr>
        <w:t>Eλάχιστης</w:t>
      </w:r>
      <w:proofErr w:type="spellEnd"/>
      <w:r w:rsidRPr="007246A9">
        <w:rPr>
          <w:rFonts w:ascii="Arial" w:eastAsia="Times New Roman" w:hAnsi="Arial" w:cs="Arial"/>
          <w:sz w:val="18"/>
          <w:szCs w:val="18"/>
          <w:lang w:val="el-GR" w:eastAsia="en-US"/>
        </w:rPr>
        <w:t xml:space="preserve"> </w:t>
      </w:r>
      <w:proofErr w:type="spellStart"/>
      <w:r w:rsidRPr="007246A9">
        <w:rPr>
          <w:rFonts w:ascii="Arial" w:eastAsia="Times New Roman" w:hAnsi="Arial" w:cs="Arial"/>
          <w:sz w:val="18"/>
          <w:szCs w:val="18"/>
          <w:lang w:val="el-GR" w:eastAsia="en-US"/>
        </w:rPr>
        <w:t>Aπαίτησης</w:t>
      </w:r>
      <w:proofErr w:type="spellEnd"/>
      <w:r w:rsidRPr="007246A9">
        <w:rPr>
          <w:rFonts w:ascii="Arial" w:eastAsia="Times New Roman" w:hAnsi="Arial" w:cs="Arial"/>
          <w:sz w:val="18"/>
          <w:szCs w:val="18"/>
          <w:lang w:val="el-GR" w:eastAsia="en-US"/>
        </w:rPr>
        <w:t xml:space="preserve"> </w:t>
      </w:r>
      <w:proofErr w:type="spellStart"/>
      <w:r w:rsidRPr="007246A9">
        <w:rPr>
          <w:rFonts w:ascii="Arial" w:eastAsia="Times New Roman" w:hAnsi="Arial" w:cs="Arial"/>
          <w:sz w:val="18"/>
          <w:szCs w:val="18"/>
          <w:lang w:val="el-GR" w:eastAsia="en-US"/>
        </w:rPr>
        <w:t>Iδίων</w:t>
      </w:r>
      <w:proofErr w:type="spellEnd"/>
      <w:r w:rsidRPr="007246A9">
        <w:rPr>
          <w:rFonts w:ascii="Arial" w:eastAsia="Times New Roman" w:hAnsi="Arial" w:cs="Arial"/>
          <w:sz w:val="18"/>
          <w:szCs w:val="18"/>
          <w:lang w:val="el-GR" w:eastAsia="en-US"/>
        </w:rPr>
        <w:t xml:space="preserve"> </w:t>
      </w:r>
      <w:proofErr w:type="spellStart"/>
      <w:r w:rsidRPr="007246A9">
        <w:rPr>
          <w:rFonts w:ascii="Arial" w:eastAsia="Times New Roman" w:hAnsi="Arial" w:cs="Arial"/>
          <w:sz w:val="18"/>
          <w:szCs w:val="18"/>
          <w:lang w:val="el-GR" w:eastAsia="en-US"/>
        </w:rPr>
        <w:t>Kεφαλαίων</w:t>
      </w:r>
      <w:proofErr w:type="spellEnd"/>
      <w:r w:rsidRPr="007246A9">
        <w:rPr>
          <w:rFonts w:ascii="Arial" w:eastAsia="Times New Roman" w:hAnsi="Arial" w:cs="Arial"/>
          <w:sz w:val="18"/>
          <w:szCs w:val="18"/>
          <w:lang w:val="el-GR" w:eastAsia="en-US"/>
        </w:rPr>
        <w:t xml:space="preserve"> και </w:t>
      </w:r>
      <w:proofErr w:type="spellStart"/>
      <w:r w:rsidRPr="007246A9">
        <w:rPr>
          <w:rFonts w:ascii="Arial" w:eastAsia="Times New Roman" w:hAnsi="Arial" w:cs="Arial"/>
          <w:sz w:val="18"/>
          <w:szCs w:val="18"/>
          <w:lang w:val="el-GR" w:eastAsia="en-US"/>
        </w:rPr>
        <w:t>Eπιλέξιμων</w:t>
      </w:r>
      <w:proofErr w:type="spellEnd"/>
      <w:r w:rsidRPr="007246A9">
        <w:rPr>
          <w:rFonts w:ascii="Arial" w:eastAsia="Times New Roman" w:hAnsi="Arial" w:cs="Arial"/>
          <w:sz w:val="18"/>
          <w:szCs w:val="18"/>
          <w:lang w:val="el-GR" w:eastAsia="en-US"/>
        </w:rPr>
        <w:t xml:space="preserve"> </w:t>
      </w:r>
      <w:proofErr w:type="spellStart"/>
      <w:r w:rsidRPr="007246A9">
        <w:rPr>
          <w:rFonts w:ascii="Arial" w:eastAsia="Times New Roman" w:hAnsi="Arial" w:cs="Arial"/>
          <w:sz w:val="18"/>
          <w:szCs w:val="18"/>
          <w:lang w:val="el-GR" w:eastAsia="en-US"/>
        </w:rPr>
        <w:t>Yποχρεώσεων</w:t>
      </w:r>
      <w:proofErr w:type="spellEnd"/>
      <w:r w:rsidRPr="007246A9">
        <w:rPr>
          <w:rFonts w:ascii="Arial" w:eastAsia="Times New Roman" w:hAnsi="Arial" w:cs="Arial"/>
          <w:sz w:val="18"/>
          <w:szCs w:val="18"/>
          <w:lang w:val="el-GR" w:eastAsia="en-US"/>
        </w:rPr>
        <w:t xml:space="preserve"> (MREL) ορίζεται πλέον στο 25.00% των σταθμισμένων ως προς τον κίνδυνο περιουσιακών στοιχείων (</w:t>
      </w:r>
      <w:r w:rsidR="00095048" w:rsidRPr="007246A9">
        <w:rPr>
          <w:rFonts w:ascii="Arial" w:eastAsia="Times New Roman" w:hAnsi="Arial" w:cs="Arial"/>
          <w:sz w:val="18"/>
          <w:szCs w:val="18"/>
          <w:lang w:val="el-GR" w:eastAsia="en-US"/>
        </w:rPr>
        <w:t xml:space="preserve">ή </w:t>
      </w:r>
      <w:r w:rsidRPr="007246A9">
        <w:rPr>
          <w:rFonts w:ascii="Arial" w:eastAsia="Times New Roman" w:hAnsi="Arial" w:cs="Arial"/>
          <w:sz w:val="18"/>
          <w:szCs w:val="18"/>
          <w:lang w:val="el-GR" w:eastAsia="en-US"/>
        </w:rPr>
        <w:t>στο 30.</w:t>
      </w:r>
      <w:r w:rsidR="00721BCE" w:rsidRPr="007246A9">
        <w:rPr>
          <w:rFonts w:ascii="Arial" w:eastAsia="Times New Roman" w:hAnsi="Arial" w:cs="Arial"/>
          <w:sz w:val="18"/>
          <w:szCs w:val="18"/>
          <w:lang w:val="el-GR" w:eastAsia="en-US"/>
        </w:rPr>
        <w:t>3</w:t>
      </w:r>
      <w:r w:rsidRPr="007246A9">
        <w:rPr>
          <w:rFonts w:ascii="Arial" w:eastAsia="Times New Roman" w:hAnsi="Arial" w:cs="Arial"/>
          <w:sz w:val="18"/>
          <w:szCs w:val="18"/>
          <w:lang w:val="el-GR" w:eastAsia="en-US"/>
        </w:rPr>
        <w:t>%</w:t>
      </w:r>
      <w:r w:rsidR="00F85534">
        <w:rPr>
          <w:rFonts w:ascii="Arial" w:eastAsia="Times New Roman" w:hAnsi="Arial" w:cs="Arial"/>
          <w:sz w:val="18"/>
          <w:szCs w:val="18"/>
          <w:lang w:val="el-GR" w:eastAsia="en-US"/>
        </w:rPr>
        <w:t xml:space="preserve"> επί</w:t>
      </w:r>
      <w:r w:rsidRPr="007246A9">
        <w:rPr>
          <w:rFonts w:ascii="Arial" w:eastAsia="Times New Roman" w:hAnsi="Arial" w:cs="Arial"/>
          <w:sz w:val="18"/>
          <w:szCs w:val="18"/>
          <w:lang w:val="el-GR" w:eastAsia="en-US"/>
        </w:rPr>
        <w:t xml:space="preserve"> των σταθμισμένων ως προς τον κίνδυνο περιουσιακών στοιχείων λαμβάνοντα</w:t>
      </w:r>
      <w:r w:rsidR="00095048" w:rsidRPr="007246A9">
        <w:rPr>
          <w:rFonts w:ascii="Arial" w:eastAsia="Times New Roman" w:hAnsi="Arial" w:cs="Arial"/>
          <w:sz w:val="18"/>
          <w:szCs w:val="18"/>
          <w:lang w:val="el-GR" w:eastAsia="en-US"/>
        </w:rPr>
        <w:t>ς</w:t>
      </w:r>
      <w:r w:rsidRPr="007246A9">
        <w:rPr>
          <w:rFonts w:ascii="Arial" w:eastAsia="Times New Roman" w:hAnsi="Arial" w:cs="Arial"/>
          <w:sz w:val="18"/>
          <w:szCs w:val="18"/>
          <w:lang w:val="el-GR" w:eastAsia="en-US"/>
        </w:rPr>
        <w:t xml:space="preserve"> </w:t>
      </w:r>
      <w:proofErr w:type="spellStart"/>
      <w:r w:rsidRPr="007246A9">
        <w:rPr>
          <w:rFonts w:ascii="Arial" w:eastAsia="Times New Roman" w:hAnsi="Arial" w:cs="Arial"/>
          <w:sz w:val="18"/>
          <w:szCs w:val="18"/>
          <w:lang w:val="el-GR" w:eastAsia="en-US"/>
        </w:rPr>
        <w:t>υπόψην</w:t>
      </w:r>
      <w:proofErr w:type="spellEnd"/>
      <w:r w:rsidRPr="007246A9">
        <w:rPr>
          <w:rFonts w:ascii="Arial" w:eastAsia="Times New Roman" w:hAnsi="Arial" w:cs="Arial"/>
          <w:sz w:val="18"/>
          <w:szCs w:val="18"/>
          <w:lang w:val="el-GR" w:eastAsia="en-US"/>
        </w:rPr>
        <w:t xml:space="preserve"> το αναμενόμενο ισχύον ποσοστό της Συνδυασμένης Απαίτησης Αποθέματος Ασφαλείας (CBR) κατά τις 31 Δεκεμβρίου 2024, η οποία πρέπει να επιτευχθεί με ίδια κεφάλαια πέραν της Ελάχιστης Απαίτησης Ιδίων Κεφαλαίων και Επιλέξιμων Υποχρεώσεων (MREL)) και στο 5.91% της έκθεσης του μέτρου συνολικού ανοίγματος του Δείκτη </w:t>
      </w:r>
      <w:proofErr w:type="spellStart"/>
      <w:r w:rsidRPr="007246A9">
        <w:rPr>
          <w:rFonts w:ascii="Arial" w:eastAsia="Times New Roman" w:hAnsi="Arial" w:cs="Arial"/>
          <w:sz w:val="18"/>
          <w:szCs w:val="18"/>
          <w:lang w:val="el-GR" w:eastAsia="en-US"/>
        </w:rPr>
        <w:t>Μόχλευσης</w:t>
      </w:r>
      <w:proofErr w:type="spellEnd"/>
      <w:r w:rsidRPr="007246A9">
        <w:rPr>
          <w:rFonts w:ascii="Arial" w:eastAsia="Times New Roman" w:hAnsi="Arial" w:cs="Arial"/>
          <w:sz w:val="18"/>
          <w:szCs w:val="18"/>
          <w:lang w:val="el-GR" w:eastAsia="en-US"/>
        </w:rPr>
        <w:t xml:space="preserve"> (LRE) (όπως ορίζεται στον Κανονισμό Κεφαλαιακών Απαιτήσεων (CRR)) και πρέπει να έχει επιτευχθεί έως τις 31 Δεκεμβρίου 2024. </w:t>
      </w:r>
    </w:p>
    <w:p w14:paraId="673160E5" w14:textId="77777777" w:rsidR="007F5B28" w:rsidRPr="00D41B36" w:rsidRDefault="007F5B28" w:rsidP="00555781">
      <w:pPr>
        <w:spacing w:after="0" w:line="240" w:lineRule="auto"/>
        <w:jc w:val="both"/>
        <w:rPr>
          <w:rFonts w:ascii="Arial" w:eastAsia="Times New Roman" w:hAnsi="Arial" w:cs="Arial"/>
          <w:sz w:val="18"/>
          <w:szCs w:val="18"/>
          <w:highlight w:val="yellow"/>
          <w:lang w:val="el-GR" w:eastAsia="en-US"/>
        </w:rPr>
      </w:pPr>
    </w:p>
    <w:p w14:paraId="6C5F148B" w14:textId="6028C102" w:rsidR="007F5B28" w:rsidRPr="007246A9" w:rsidRDefault="007F5B28" w:rsidP="00555781">
      <w:pPr>
        <w:spacing w:after="0" w:line="240" w:lineRule="auto"/>
        <w:jc w:val="both"/>
        <w:rPr>
          <w:rFonts w:ascii="Arial" w:eastAsia="Times New Roman" w:hAnsi="Arial" w:cs="Arial"/>
          <w:sz w:val="18"/>
          <w:szCs w:val="18"/>
          <w:lang w:val="el-GR" w:eastAsia="en-US"/>
        </w:rPr>
      </w:pPr>
      <w:r w:rsidRPr="007246A9">
        <w:rPr>
          <w:rFonts w:ascii="Arial" w:eastAsia="Times New Roman" w:hAnsi="Arial" w:cs="Arial"/>
          <w:sz w:val="18"/>
          <w:szCs w:val="18"/>
          <w:lang w:val="el-GR" w:eastAsia="en-US"/>
        </w:rPr>
        <w:t>Η Τράπεζα πρέπει να συμμορφώνεται με την Ελάχιστη Απαίτηση Ιδίων Κεφαλαίων και Επιλέξιμων Υποχρεώσεων (MREL) σε ενοποιημένο επίπεδο, που περιλαμβάνει την Τράπεζα και τις θυγατρικές της.</w:t>
      </w:r>
    </w:p>
    <w:p w14:paraId="16A41328" w14:textId="77777777" w:rsidR="007F5B28" w:rsidRPr="007246A9" w:rsidRDefault="007F5B28" w:rsidP="00555781">
      <w:pPr>
        <w:spacing w:after="0" w:line="240" w:lineRule="auto"/>
        <w:jc w:val="both"/>
        <w:rPr>
          <w:rFonts w:ascii="Arial" w:eastAsia="Times New Roman" w:hAnsi="Arial" w:cs="Arial"/>
          <w:sz w:val="18"/>
          <w:szCs w:val="18"/>
          <w:lang w:val="el-GR" w:eastAsia="en-US"/>
        </w:rPr>
      </w:pPr>
    </w:p>
    <w:p w14:paraId="3EB17013" w14:textId="39A03A6A" w:rsidR="00FE6D3F" w:rsidRPr="007246A9" w:rsidRDefault="00D022B5" w:rsidP="00D022B5">
      <w:pPr>
        <w:spacing w:after="0" w:line="240" w:lineRule="auto"/>
        <w:jc w:val="both"/>
        <w:rPr>
          <w:rFonts w:ascii="Arial" w:eastAsia="Times New Roman" w:hAnsi="Arial" w:cs="Arial"/>
          <w:sz w:val="18"/>
          <w:szCs w:val="18"/>
          <w:lang w:val="el-GR" w:eastAsia="en-US"/>
        </w:rPr>
      </w:pPr>
      <w:r w:rsidRPr="007246A9">
        <w:rPr>
          <w:rFonts w:ascii="Arial" w:eastAsia="Times New Roman" w:hAnsi="Arial" w:cs="Arial"/>
          <w:sz w:val="18"/>
          <w:szCs w:val="18"/>
          <w:lang w:val="el-GR" w:eastAsia="en-US"/>
        </w:rPr>
        <w:t xml:space="preserve">Ο δείκτης Ελάχιστης Απαίτησης Ιδίων Κεφαλαίων και Επιλέξιμων Υποχρεώσεων (MREL) κατά τις 30 </w:t>
      </w:r>
      <w:r w:rsidR="00FE6D3F" w:rsidRPr="007246A9">
        <w:rPr>
          <w:rFonts w:ascii="Arial" w:eastAsia="Times New Roman" w:hAnsi="Arial" w:cs="Arial"/>
          <w:sz w:val="18"/>
          <w:szCs w:val="18"/>
          <w:lang w:val="el-GR" w:eastAsia="en-US"/>
        </w:rPr>
        <w:t xml:space="preserve">Σεπτεμβρίου </w:t>
      </w:r>
      <w:r w:rsidRPr="007246A9">
        <w:rPr>
          <w:rFonts w:ascii="Arial" w:eastAsia="Times New Roman" w:hAnsi="Arial" w:cs="Arial"/>
          <w:sz w:val="18"/>
          <w:szCs w:val="18"/>
          <w:lang w:val="el-GR" w:eastAsia="en-US"/>
        </w:rPr>
        <w:t>2024, υπο</w:t>
      </w:r>
      <w:r w:rsidRPr="00E40FED">
        <w:rPr>
          <w:rFonts w:ascii="Arial" w:eastAsia="Times New Roman" w:hAnsi="Arial" w:cs="Arial"/>
          <w:color w:val="000000" w:themeColor="text1"/>
          <w:sz w:val="18"/>
          <w:szCs w:val="18"/>
          <w:lang w:val="el-GR" w:eastAsia="en-US"/>
        </w:rPr>
        <w:t xml:space="preserve">λογιζόμενος σύμφωνα με τα ισχύοντα κριτήρια </w:t>
      </w:r>
      <w:proofErr w:type="spellStart"/>
      <w:r w:rsidRPr="00E40FED">
        <w:rPr>
          <w:rFonts w:ascii="Arial" w:eastAsia="Times New Roman" w:hAnsi="Arial" w:cs="Arial"/>
          <w:color w:val="000000" w:themeColor="text1"/>
          <w:sz w:val="18"/>
          <w:szCs w:val="18"/>
          <w:lang w:val="el-GR" w:eastAsia="en-US"/>
        </w:rPr>
        <w:t>επιλεξιμότητας</w:t>
      </w:r>
      <w:proofErr w:type="spellEnd"/>
      <w:r w:rsidRPr="00E40FED">
        <w:rPr>
          <w:rFonts w:ascii="Arial" w:eastAsia="Times New Roman" w:hAnsi="Arial" w:cs="Arial"/>
          <w:color w:val="000000" w:themeColor="text1"/>
          <w:sz w:val="18"/>
          <w:szCs w:val="18"/>
          <w:lang w:val="el-GR" w:eastAsia="en-US"/>
        </w:rPr>
        <w:t xml:space="preserve"> του ΕΣΕ, και βασισμένος σε εσωτερικές εκτιμήσεις, ανήλθε στο </w:t>
      </w:r>
      <w:r w:rsidR="00E40FED" w:rsidRPr="00E40FED">
        <w:rPr>
          <w:rFonts w:ascii="Arial" w:eastAsia="Times New Roman" w:hAnsi="Arial" w:cs="Arial"/>
          <w:color w:val="000000" w:themeColor="text1"/>
          <w:sz w:val="18"/>
          <w:szCs w:val="18"/>
          <w:lang w:val="el-GR"/>
        </w:rPr>
        <w:t>33</w:t>
      </w:r>
      <w:r w:rsidRPr="00E40FED">
        <w:rPr>
          <w:rFonts w:ascii="Arial" w:eastAsia="Times New Roman" w:hAnsi="Arial" w:cs="Arial"/>
          <w:color w:val="000000" w:themeColor="text1"/>
          <w:sz w:val="18"/>
          <w:szCs w:val="18"/>
          <w:lang w:val="el-GR"/>
        </w:rPr>
        <w:t>.</w:t>
      </w:r>
      <w:r w:rsidR="00E40FED" w:rsidRPr="00E40FED">
        <w:rPr>
          <w:rFonts w:ascii="Arial" w:eastAsia="Times New Roman" w:hAnsi="Arial" w:cs="Arial"/>
          <w:color w:val="000000" w:themeColor="text1"/>
          <w:sz w:val="18"/>
          <w:szCs w:val="18"/>
          <w:lang w:val="el-GR"/>
        </w:rPr>
        <w:t>8</w:t>
      </w:r>
      <w:r w:rsidRPr="00E40FED">
        <w:rPr>
          <w:rFonts w:ascii="Arial" w:eastAsia="Times New Roman" w:hAnsi="Arial" w:cs="Arial"/>
          <w:color w:val="000000" w:themeColor="text1"/>
          <w:sz w:val="18"/>
          <w:szCs w:val="18"/>
          <w:lang w:val="el-GR" w:eastAsia="en-US"/>
        </w:rPr>
        <w:t xml:space="preserve">% των </w:t>
      </w:r>
      <w:r w:rsidRPr="007246A9">
        <w:rPr>
          <w:rFonts w:ascii="Arial" w:eastAsia="Times New Roman" w:hAnsi="Arial" w:cs="Arial"/>
          <w:sz w:val="18"/>
          <w:szCs w:val="18"/>
          <w:lang w:val="el-GR" w:eastAsia="en-US"/>
        </w:rPr>
        <w:t>σταθμισμένων ως προς τον κίνδυνο περιουσιακών στοιχείων (RWA</w:t>
      </w:r>
      <w:r w:rsidR="00F85534">
        <w:rPr>
          <w:rFonts w:ascii="Arial" w:eastAsia="Times New Roman" w:hAnsi="Arial" w:cs="Arial"/>
          <w:sz w:val="18"/>
          <w:szCs w:val="18"/>
          <w:lang w:val="en-US" w:eastAsia="en-US"/>
        </w:rPr>
        <w:t>s</w:t>
      </w:r>
      <w:r w:rsidRPr="007246A9">
        <w:rPr>
          <w:rFonts w:ascii="Arial" w:eastAsia="Times New Roman" w:hAnsi="Arial" w:cs="Arial"/>
          <w:sz w:val="18"/>
          <w:szCs w:val="18"/>
          <w:lang w:val="el-GR" w:eastAsia="en-US"/>
        </w:rPr>
        <w:t>) (περιλαμβανομένου του</w:t>
      </w:r>
      <w:r w:rsidR="00E40FED">
        <w:rPr>
          <w:rFonts w:ascii="Arial" w:eastAsia="Times New Roman" w:hAnsi="Arial" w:cs="Arial"/>
          <w:sz w:val="18"/>
          <w:szCs w:val="18"/>
          <w:lang w:val="el-GR" w:eastAsia="en-US"/>
        </w:rPr>
        <w:t xml:space="preserve"> </w:t>
      </w:r>
      <w:r w:rsidRPr="007246A9">
        <w:rPr>
          <w:rFonts w:ascii="Arial" w:eastAsia="Times New Roman" w:hAnsi="Arial" w:cs="Arial"/>
          <w:sz w:val="18"/>
          <w:szCs w:val="18"/>
          <w:lang w:val="el-GR" w:eastAsia="en-US"/>
        </w:rPr>
        <w:t xml:space="preserve">κεφαλαίου που χρησιμοποιείται για κάλυψη της Συνδυασμένης Απαίτησης Αποθέματος Ασφαλείας (CBR)) </w:t>
      </w:r>
      <w:r w:rsidRPr="00E40FED">
        <w:rPr>
          <w:rFonts w:ascii="Arial" w:eastAsia="Times New Roman" w:hAnsi="Arial" w:cs="Arial"/>
          <w:color w:val="000000" w:themeColor="text1"/>
          <w:sz w:val="18"/>
          <w:szCs w:val="18"/>
          <w:lang w:val="el-GR" w:eastAsia="en-US"/>
        </w:rPr>
        <w:t xml:space="preserve">και στο </w:t>
      </w:r>
      <w:r w:rsidR="00E40FED" w:rsidRPr="00E40FED">
        <w:rPr>
          <w:rFonts w:ascii="Arial" w:eastAsia="Times New Roman" w:hAnsi="Arial" w:cs="Arial"/>
          <w:color w:val="000000" w:themeColor="text1"/>
          <w:sz w:val="18"/>
          <w:szCs w:val="18"/>
          <w:lang w:val="el-GR"/>
        </w:rPr>
        <w:t>13</w:t>
      </w:r>
      <w:r w:rsidR="00FE6D3F" w:rsidRPr="00E40FED">
        <w:rPr>
          <w:rFonts w:ascii="Arial" w:eastAsia="Times New Roman" w:hAnsi="Arial" w:cs="Arial"/>
          <w:color w:val="000000" w:themeColor="text1"/>
          <w:sz w:val="18"/>
          <w:szCs w:val="18"/>
          <w:lang w:val="el-GR"/>
        </w:rPr>
        <w:t>.</w:t>
      </w:r>
      <w:r w:rsidR="00E40FED" w:rsidRPr="00E40FED">
        <w:rPr>
          <w:rFonts w:ascii="Arial" w:eastAsia="Times New Roman" w:hAnsi="Arial" w:cs="Arial"/>
          <w:color w:val="000000" w:themeColor="text1"/>
          <w:sz w:val="18"/>
          <w:szCs w:val="18"/>
          <w:lang w:val="el-GR"/>
        </w:rPr>
        <w:t>8</w:t>
      </w:r>
      <w:r w:rsidRPr="00E40FED">
        <w:rPr>
          <w:rFonts w:ascii="Arial" w:eastAsia="Times New Roman" w:hAnsi="Arial" w:cs="Arial"/>
          <w:color w:val="000000" w:themeColor="text1"/>
          <w:sz w:val="18"/>
          <w:szCs w:val="18"/>
          <w:lang w:val="el-GR" w:eastAsia="en-US"/>
        </w:rPr>
        <w:t xml:space="preserve">% </w:t>
      </w:r>
      <w:r w:rsidRPr="007246A9">
        <w:rPr>
          <w:rFonts w:ascii="Arial" w:eastAsia="Times New Roman" w:hAnsi="Arial" w:cs="Arial"/>
          <w:sz w:val="18"/>
          <w:szCs w:val="18"/>
          <w:lang w:val="el-GR" w:eastAsia="en-US"/>
        </w:rPr>
        <w:t xml:space="preserve">του μέτρου συνολικού ανοίγματος του Δείκτη </w:t>
      </w:r>
      <w:proofErr w:type="spellStart"/>
      <w:r w:rsidRPr="007246A9">
        <w:rPr>
          <w:rFonts w:ascii="Arial" w:eastAsia="Times New Roman" w:hAnsi="Arial" w:cs="Arial"/>
          <w:sz w:val="18"/>
          <w:szCs w:val="18"/>
          <w:lang w:val="el-GR" w:eastAsia="en-US"/>
        </w:rPr>
        <w:t>Μόχλευσης</w:t>
      </w:r>
      <w:proofErr w:type="spellEnd"/>
      <w:r w:rsidRPr="007246A9">
        <w:rPr>
          <w:rFonts w:ascii="Arial" w:eastAsia="Times New Roman" w:hAnsi="Arial" w:cs="Arial"/>
          <w:sz w:val="18"/>
          <w:szCs w:val="18"/>
          <w:lang w:val="el-GR" w:eastAsia="en-US"/>
        </w:rPr>
        <w:t xml:space="preserve"> (LRE) (με βάση τα Συνολικά Εποπτικά Κεφαλαία κατά τις 30 </w:t>
      </w:r>
      <w:r w:rsidR="00FE6D3F" w:rsidRPr="00962549">
        <w:rPr>
          <w:rFonts w:ascii="Arial" w:eastAsia="Times New Roman" w:hAnsi="Arial" w:cs="Arial"/>
          <w:sz w:val="18"/>
          <w:szCs w:val="18"/>
          <w:lang w:val="el-GR" w:eastAsia="en-US"/>
        </w:rPr>
        <w:t xml:space="preserve">Σεπτεμβρίου </w:t>
      </w:r>
      <w:r w:rsidRPr="007246A9">
        <w:rPr>
          <w:rFonts w:ascii="Arial" w:eastAsia="Times New Roman" w:hAnsi="Arial" w:cs="Arial"/>
          <w:sz w:val="18"/>
          <w:szCs w:val="18"/>
          <w:lang w:val="el-GR" w:eastAsia="en-US"/>
        </w:rPr>
        <w:t>2024)</w:t>
      </w:r>
      <w:r w:rsidR="00FE6D3F" w:rsidRPr="007246A9">
        <w:rPr>
          <w:rFonts w:ascii="Arial" w:eastAsia="Times New Roman" w:hAnsi="Arial" w:cs="Arial"/>
          <w:sz w:val="18"/>
          <w:szCs w:val="18"/>
          <w:lang w:val="el-GR" w:eastAsia="en-US"/>
        </w:rPr>
        <w:t>,</w:t>
      </w:r>
      <w:r w:rsidR="00962549" w:rsidRPr="007246A9">
        <w:rPr>
          <w:rFonts w:ascii="Arial" w:eastAsia="Times New Roman" w:hAnsi="Arial" w:cs="Arial"/>
          <w:sz w:val="18"/>
          <w:szCs w:val="18"/>
          <w:lang w:val="el-GR" w:eastAsia="en-US"/>
        </w:rPr>
        <w:t xml:space="preserve"> αποδεικνύοντας</w:t>
      </w:r>
      <w:r w:rsidR="00FE6D3F" w:rsidRPr="007246A9">
        <w:rPr>
          <w:rFonts w:ascii="Arial" w:eastAsia="Times New Roman" w:hAnsi="Arial" w:cs="Arial"/>
          <w:sz w:val="18"/>
          <w:szCs w:val="18"/>
          <w:lang w:val="el-GR" w:eastAsia="en-US"/>
        </w:rPr>
        <w:t xml:space="preserve"> </w:t>
      </w:r>
      <w:r w:rsidR="00962549" w:rsidRPr="007246A9">
        <w:rPr>
          <w:rFonts w:ascii="Arial" w:eastAsia="Times New Roman" w:hAnsi="Arial" w:cs="Arial"/>
          <w:sz w:val="18"/>
          <w:szCs w:val="18"/>
          <w:lang w:val="el-GR" w:eastAsia="en-US"/>
        </w:rPr>
        <w:t xml:space="preserve">τη συμμόρφωση της Τράπεζας και τη δημιουργία επαρκούς αποθέματος ως προς τις τελικές απαιτήσεις. </w:t>
      </w:r>
    </w:p>
    <w:p w14:paraId="2D72E42E" w14:textId="77777777" w:rsidR="00FE6D3F" w:rsidRPr="007246A9" w:rsidRDefault="00FE6D3F" w:rsidP="00D022B5">
      <w:pPr>
        <w:spacing w:after="0" w:line="240" w:lineRule="auto"/>
        <w:jc w:val="both"/>
        <w:rPr>
          <w:rFonts w:ascii="Arial" w:eastAsia="Times New Roman" w:hAnsi="Arial" w:cs="Arial"/>
          <w:sz w:val="18"/>
          <w:szCs w:val="18"/>
          <w:lang w:val="el-GR" w:eastAsia="en-US"/>
        </w:rPr>
      </w:pPr>
    </w:p>
    <w:p w14:paraId="518AFA5A" w14:textId="7EFD4584" w:rsidR="00721BCE" w:rsidRPr="007246A9" w:rsidRDefault="00D022B5" w:rsidP="00C04176">
      <w:pPr>
        <w:spacing w:after="0" w:line="240" w:lineRule="auto"/>
        <w:jc w:val="both"/>
        <w:rPr>
          <w:rFonts w:ascii="Arial" w:eastAsia="Times New Roman" w:hAnsi="Arial" w:cs="Arial"/>
          <w:sz w:val="18"/>
          <w:szCs w:val="18"/>
          <w:lang w:val="el-GR" w:eastAsia="en-US"/>
        </w:rPr>
      </w:pPr>
      <w:r w:rsidRPr="007246A9">
        <w:rPr>
          <w:rFonts w:ascii="Arial" w:eastAsia="Times New Roman" w:hAnsi="Arial" w:cs="Arial"/>
          <w:sz w:val="18"/>
          <w:szCs w:val="18"/>
          <w:lang w:val="el-GR" w:eastAsia="en-US"/>
        </w:rPr>
        <w:t xml:space="preserve">Το ποσοστό της Συνδυασμένης Απαίτησης Αποθέματος Ασφαλείας (CBR) ανήλθε στο </w:t>
      </w:r>
      <w:r w:rsidRPr="007246A9">
        <w:rPr>
          <w:rFonts w:ascii="Arial" w:eastAsia="Times New Roman" w:hAnsi="Arial" w:cs="Arial"/>
          <w:sz w:val="18"/>
          <w:szCs w:val="18"/>
          <w:lang w:val="el-GR"/>
        </w:rPr>
        <w:t>5.31</w:t>
      </w:r>
      <w:r w:rsidRPr="007246A9">
        <w:rPr>
          <w:rFonts w:ascii="Arial" w:eastAsia="Times New Roman" w:hAnsi="Arial" w:cs="Arial"/>
          <w:sz w:val="18"/>
          <w:szCs w:val="18"/>
          <w:lang w:val="el-GR" w:eastAsia="en-US"/>
        </w:rPr>
        <w:t xml:space="preserve">% στις 30 </w:t>
      </w:r>
      <w:r w:rsidR="00962549" w:rsidRPr="007246A9">
        <w:rPr>
          <w:rFonts w:ascii="Arial" w:eastAsia="Times New Roman" w:hAnsi="Arial" w:cs="Arial"/>
          <w:sz w:val="18"/>
          <w:szCs w:val="18"/>
          <w:lang w:val="el-GR" w:eastAsia="en-US"/>
        </w:rPr>
        <w:t xml:space="preserve">Σεπτεμβρίου </w:t>
      </w:r>
      <w:r w:rsidRPr="007246A9">
        <w:rPr>
          <w:rFonts w:ascii="Arial" w:eastAsia="Times New Roman" w:hAnsi="Arial" w:cs="Arial"/>
          <w:sz w:val="18"/>
          <w:szCs w:val="18"/>
          <w:lang w:val="el-GR" w:eastAsia="en-US"/>
        </w:rPr>
        <w:t>2024</w:t>
      </w:r>
      <w:r w:rsidR="00962549" w:rsidRPr="00B54774">
        <w:rPr>
          <w:rFonts w:ascii="Arial" w:eastAsia="Times New Roman" w:hAnsi="Arial" w:cs="Arial"/>
          <w:sz w:val="18"/>
          <w:szCs w:val="18"/>
          <w:lang w:val="el-GR" w:eastAsia="en-US"/>
        </w:rPr>
        <w:t xml:space="preserve">, στα ίδια επίπεδα σε τριμηνιαία βάση </w:t>
      </w:r>
      <w:r w:rsidRPr="007246A9">
        <w:rPr>
          <w:rFonts w:ascii="Arial" w:eastAsia="Times New Roman" w:hAnsi="Arial" w:cs="Arial"/>
          <w:sz w:val="18"/>
          <w:szCs w:val="18"/>
          <w:lang w:val="el-GR" w:eastAsia="en-US"/>
        </w:rPr>
        <w:t>(σε σύγκριση με</w:t>
      </w:r>
      <w:r w:rsidR="00962549" w:rsidRPr="007246A9">
        <w:rPr>
          <w:rFonts w:ascii="Arial" w:eastAsia="Times New Roman" w:hAnsi="Arial" w:cs="Arial"/>
          <w:sz w:val="18"/>
          <w:szCs w:val="18"/>
          <w:lang w:val="el-GR" w:eastAsia="en-US"/>
        </w:rPr>
        <w:t xml:space="preserve"> </w:t>
      </w:r>
      <w:r w:rsidRPr="007246A9">
        <w:rPr>
          <w:rFonts w:ascii="Arial" w:eastAsia="Times New Roman" w:hAnsi="Arial" w:cs="Arial"/>
          <w:sz w:val="18"/>
          <w:szCs w:val="18"/>
          <w:lang w:val="el-GR" w:eastAsia="en-US"/>
        </w:rPr>
        <w:t>4.48% στις 31 Δεκεμβρίου 2023),</w:t>
      </w:r>
      <w:r w:rsidR="005C5218" w:rsidRPr="00B54774">
        <w:rPr>
          <w:rFonts w:ascii="Arial" w:eastAsia="Times New Roman" w:hAnsi="Arial" w:cs="Arial"/>
          <w:sz w:val="18"/>
          <w:szCs w:val="18"/>
          <w:lang w:val="el-GR" w:eastAsia="en-US"/>
        </w:rPr>
        <w:t xml:space="preserve"> </w:t>
      </w:r>
      <w:r w:rsidRPr="007246A9">
        <w:rPr>
          <w:rFonts w:ascii="Arial" w:eastAsia="Times New Roman" w:hAnsi="Arial" w:cs="Arial"/>
          <w:sz w:val="18"/>
          <w:szCs w:val="18"/>
          <w:lang w:val="el-GR" w:eastAsia="en-US"/>
        </w:rPr>
        <w:t xml:space="preserve">αντανακλώντας την αύξηση του ποσοστού του </w:t>
      </w:r>
      <w:proofErr w:type="spellStart"/>
      <w:r w:rsidRPr="007246A9">
        <w:rPr>
          <w:rFonts w:ascii="Arial" w:eastAsia="Times New Roman" w:hAnsi="Arial" w:cs="Arial"/>
          <w:sz w:val="18"/>
          <w:szCs w:val="18"/>
          <w:lang w:val="el-GR" w:eastAsia="en-US"/>
        </w:rPr>
        <w:t>Αντικυκλικού</w:t>
      </w:r>
      <w:proofErr w:type="spellEnd"/>
      <w:r w:rsidRPr="007246A9">
        <w:rPr>
          <w:rFonts w:ascii="Arial" w:eastAsia="Times New Roman" w:hAnsi="Arial" w:cs="Arial"/>
          <w:sz w:val="18"/>
          <w:szCs w:val="18"/>
          <w:lang w:val="el-GR" w:eastAsia="en-US"/>
        </w:rPr>
        <w:t xml:space="preserve"> Κεφαλαιακού Αποθέματος Ασφαλείας (</w:t>
      </w:r>
      <w:proofErr w:type="spellStart"/>
      <w:r w:rsidRPr="007246A9">
        <w:rPr>
          <w:rFonts w:ascii="Arial" w:eastAsia="Times New Roman" w:hAnsi="Arial" w:cs="Arial"/>
          <w:sz w:val="18"/>
          <w:szCs w:val="18"/>
          <w:lang w:val="el-GR" w:eastAsia="en-US"/>
        </w:rPr>
        <w:t>CcyB</w:t>
      </w:r>
      <w:proofErr w:type="spellEnd"/>
      <w:r w:rsidRPr="007246A9">
        <w:rPr>
          <w:rFonts w:ascii="Arial" w:eastAsia="Times New Roman" w:hAnsi="Arial" w:cs="Arial"/>
          <w:sz w:val="18"/>
          <w:szCs w:val="18"/>
          <w:lang w:val="el-GR" w:eastAsia="en-US"/>
        </w:rPr>
        <w:t>)</w:t>
      </w:r>
      <w:r w:rsidR="005C5218" w:rsidRPr="007246A9">
        <w:rPr>
          <w:rFonts w:ascii="Arial" w:eastAsia="Times New Roman" w:hAnsi="Arial" w:cs="Arial"/>
          <w:sz w:val="18"/>
          <w:szCs w:val="18"/>
          <w:lang w:val="el-GR" w:eastAsia="en-US"/>
        </w:rPr>
        <w:t xml:space="preserve"> και του ποσοστού Αποθέματος Ασφαλείας O-SII</w:t>
      </w:r>
      <w:r w:rsidR="00285844" w:rsidRPr="007246A9">
        <w:rPr>
          <w:rFonts w:ascii="Arial" w:eastAsia="Times New Roman" w:hAnsi="Arial" w:cs="Arial"/>
          <w:sz w:val="18"/>
          <w:szCs w:val="18"/>
          <w:lang w:val="el-GR" w:eastAsia="en-US"/>
        </w:rPr>
        <w:t xml:space="preserve"> </w:t>
      </w:r>
      <w:r w:rsidR="00285844" w:rsidRPr="00B54774">
        <w:rPr>
          <w:rFonts w:ascii="Arial" w:eastAsia="Times New Roman" w:hAnsi="Arial" w:cs="Arial"/>
          <w:sz w:val="18"/>
          <w:szCs w:val="18"/>
          <w:lang w:val="el-GR" w:eastAsia="en-US"/>
        </w:rPr>
        <w:t xml:space="preserve">κατά περίπου 50 </w:t>
      </w:r>
      <w:proofErr w:type="spellStart"/>
      <w:r w:rsidR="00285844" w:rsidRPr="00B54774">
        <w:rPr>
          <w:rFonts w:ascii="Arial" w:eastAsia="Times New Roman" w:hAnsi="Arial" w:cs="Arial"/>
          <w:sz w:val="18"/>
          <w:szCs w:val="18"/>
          <w:lang w:val="el-GR" w:eastAsia="en-US"/>
        </w:rPr>
        <w:t>μ.β</w:t>
      </w:r>
      <w:proofErr w:type="spellEnd"/>
      <w:r w:rsidR="00285844" w:rsidRPr="00B54774">
        <w:rPr>
          <w:rFonts w:ascii="Arial" w:eastAsia="Times New Roman" w:hAnsi="Arial" w:cs="Arial"/>
          <w:sz w:val="18"/>
          <w:szCs w:val="18"/>
          <w:lang w:val="el-GR" w:eastAsia="en-US"/>
        </w:rPr>
        <w:t xml:space="preserve">. και 37.5 </w:t>
      </w:r>
      <w:proofErr w:type="spellStart"/>
      <w:r w:rsidR="00285844" w:rsidRPr="00B54774">
        <w:rPr>
          <w:rFonts w:ascii="Arial" w:eastAsia="Times New Roman" w:hAnsi="Arial" w:cs="Arial"/>
          <w:sz w:val="18"/>
          <w:szCs w:val="18"/>
          <w:lang w:val="el-GR" w:eastAsia="en-US"/>
        </w:rPr>
        <w:t>μ.β</w:t>
      </w:r>
      <w:proofErr w:type="spellEnd"/>
      <w:r w:rsidR="00285844" w:rsidRPr="00B54774">
        <w:rPr>
          <w:rFonts w:ascii="Arial" w:eastAsia="Times New Roman" w:hAnsi="Arial" w:cs="Arial"/>
          <w:sz w:val="18"/>
          <w:szCs w:val="18"/>
          <w:lang w:val="el-GR" w:eastAsia="en-US"/>
        </w:rPr>
        <w:t>. αντίστοιχα.</w:t>
      </w:r>
      <w:r w:rsidR="00B54774" w:rsidRPr="00B54774">
        <w:rPr>
          <w:rFonts w:ascii="Arial" w:eastAsia="Times New Roman" w:hAnsi="Arial" w:cs="Arial"/>
          <w:sz w:val="18"/>
          <w:szCs w:val="18"/>
          <w:lang w:val="el-GR" w:eastAsia="en-US"/>
        </w:rPr>
        <w:t xml:space="preserve"> </w:t>
      </w:r>
      <w:r w:rsidR="00285844" w:rsidRPr="007246A9">
        <w:rPr>
          <w:rFonts w:ascii="Arial" w:eastAsia="Times New Roman" w:hAnsi="Arial" w:cs="Arial"/>
          <w:sz w:val="18"/>
          <w:szCs w:val="18"/>
          <w:lang w:val="el-GR" w:eastAsia="en-US"/>
        </w:rPr>
        <w:t>Τ</w:t>
      </w:r>
      <w:r w:rsidR="007F5B28" w:rsidRPr="007246A9">
        <w:rPr>
          <w:rFonts w:ascii="Arial" w:eastAsia="Times New Roman" w:hAnsi="Arial" w:cs="Arial"/>
          <w:sz w:val="18"/>
          <w:szCs w:val="18"/>
          <w:lang w:val="el-GR" w:eastAsia="en-US"/>
        </w:rPr>
        <w:t>ο ποσοστό της Συνδυασμένης Απαίτησης Αποθέματος Ασφαλείας (CBR) αναμένεται να αυξηθεί περαιτέρ</w:t>
      </w:r>
      <w:r w:rsidR="00282860" w:rsidRPr="007246A9">
        <w:rPr>
          <w:rFonts w:ascii="Arial" w:eastAsia="Times New Roman" w:hAnsi="Arial" w:cs="Arial"/>
          <w:sz w:val="18"/>
          <w:szCs w:val="18"/>
          <w:lang w:val="el-GR" w:eastAsia="en-US"/>
        </w:rPr>
        <w:t xml:space="preserve">ω </w:t>
      </w:r>
      <w:r w:rsidR="007F5B28" w:rsidRPr="007246A9">
        <w:rPr>
          <w:rFonts w:ascii="Arial" w:eastAsia="Times New Roman" w:hAnsi="Arial" w:cs="Arial"/>
          <w:sz w:val="18"/>
          <w:szCs w:val="18"/>
          <w:lang w:val="el-GR" w:eastAsia="en-US"/>
        </w:rPr>
        <w:t>ως αποτέλεσμα</w:t>
      </w:r>
      <w:r w:rsidR="00282860" w:rsidRPr="007246A9">
        <w:rPr>
          <w:rFonts w:ascii="Arial" w:eastAsia="Times New Roman" w:hAnsi="Arial" w:cs="Arial"/>
          <w:sz w:val="18"/>
          <w:szCs w:val="18"/>
          <w:lang w:val="el-GR" w:eastAsia="en-US"/>
        </w:rPr>
        <w:t xml:space="preserve"> </w:t>
      </w:r>
      <w:r w:rsidR="007F5B28" w:rsidRPr="007246A9">
        <w:rPr>
          <w:rFonts w:ascii="Arial" w:eastAsia="Times New Roman" w:hAnsi="Arial" w:cs="Arial"/>
          <w:sz w:val="18"/>
          <w:szCs w:val="18"/>
          <w:lang w:val="el-GR" w:eastAsia="en-US"/>
        </w:rPr>
        <w:t>της σταδιακής εφαρμογής του ποσοστού Αποθέματος Ασφαλείας O-SII από 1.875% σε 1.9375% την 1 Ιανουαρίου 2025 και σε 2.00% την 1 Ιανουαρίου 2026.</w:t>
      </w:r>
      <w:r w:rsidR="00C04176" w:rsidRPr="007246A9">
        <w:rPr>
          <w:rFonts w:ascii="Arial" w:eastAsia="Times New Roman" w:hAnsi="Arial" w:cs="Arial"/>
          <w:sz w:val="18"/>
          <w:szCs w:val="18"/>
          <w:lang w:val="el-GR" w:eastAsia="en-US"/>
        </w:rPr>
        <w:t xml:space="preserve"> </w:t>
      </w:r>
    </w:p>
    <w:p w14:paraId="30271059" w14:textId="77777777" w:rsidR="00721BCE" w:rsidRPr="007246A9" w:rsidRDefault="00721BCE" w:rsidP="00C04176">
      <w:pPr>
        <w:spacing w:after="0" w:line="240" w:lineRule="auto"/>
        <w:jc w:val="both"/>
        <w:rPr>
          <w:rFonts w:ascii="Arial" w:eastAsia="Times New Roman" w:hAnsi="Arial" w:cs="Arial"/>
          <w:sz w:val="16"/>
          <w:szCs w:val="16"/>
          <w:lang w:val="el-GR" w:eastAsia="en-US"/>
        </w:rPr>
      </w:pPr>
    </w:p>
    <w:p w14:paraId="0FF9381B" w14:textId="77777777" w:rsidR="004964ED" w:rsidRDefault="00C04176" w:rsidP="00C04176">
      <w:pPr>
        <w:spacing w:after="0" w:line="240" w:lineRule="auto"/>
        <w:jc w:val="both"/>
        <w:rPr>
          <w:rFonts w:ascii="Arial" w:hAnsi="Arial" w:cs="Arial"/>
          <w:sz w:val="18"/>
          <w:szCs w:val="18"/>
          <w:lang w:val="el-GR"/>
        </w:rPr>
      </w:pPr>
      <w:r w:rsidRPr="007246A9">
        <w:rPr>
          <w:rFonts w:ascii="Arial" w:hAnsi="Arial" w:cs="Arial"/>
          <w:sz w:val="18"/>
          <w:szCs w:val="18"/>
          <w:lang w:val="el-GR"/>
        </w:rPr>
        <w:t xml:space="preserve">Σε αυτή την ανακοίνωση, </w:t>
      </w:r>
      <w:r w:rsidRPr="007246A9">
        <w:rPr>
          <w:rFonts w:ascii="Arial" w:eastAsia="Times New Roman" w:hAnsi="Arial" w:cs="Arial"/>
          <w:sz w:val="18"/>
          <w:szCs w:val="18"/>
          <w:lang w:val="el-GR" w:eastAsia="en-US"/>
        </w:rPr>
        <w:t xml:space="preserve">οι δείκτες Ελάχιστης Απαίτησης Ιδίων Κεφαλαίων και Επιλέξιμων Υποχρεώσεων (MREL) κατά τις 30 </w:t>
      </w:r>
      <w:r w:rsidR="00B54774" w:rsidRPr="007246A9">
        <w:rPr>
          <w:rFonts w:ascii="Arial" w:eastAsia="Times New Roman" w:hAnsi="Arial" w:cs="Arial"/>
          <w:sz w:val="18"/>
          <w:szCs w:val="18"/>
          <w:lang w:val="el-GR" w:eastAsia="en-US"/>
        </w:rPr>
        <w:t xml:space="preserve">Σεπτεμβρίου </w:t>
      </w:r>
      <w:r w:rsidRPr="007246A9">
        <w:rPr>
          <w:rFonts w:ascii="Arial" w:eastAsia="Times New Roman" w:hAnsi="Arial" w:cs="Arial"/>
          <w:sz w:val="18"/>
          <w:szCs w:val="18"/>
          <w:lang w:val="el-GR" w:eastAsia="en-US"/>
        </w:rPr>
        <w:t>2024</w:t>
      </w:r>
      <w:r w:rsidRPr="007246A9">
        <w:rPr>
          <w:rFonts w:ascii="Arial" w:hAnsi="Arial" w:cs="Arial"/>
          <w:sz w:val="18"/>
          <w:szCs w:val="18"/>
          <w:lang w:val="el-GR"/>
        </w:rPr>
        <w:t xml:space="preserve"> </w:t>
      </w:r>
      <w:r w:rsidR="00721BCE" w:rsidRPr="007246A9">
        <w:rPr>
          <w:rFonts w:ascii="Arial" w:hAnsi="Arial" w:cs="Arial"/>
          <w:sz w:val="18"/>
          <w:szCs w:val="18"/>
          <w:lang w:val="el-GR"/>
        </w:rPr>
        <w:t>περιλαμβάνουν κέρδη για το α΄ εξάμηνο 2024, βάσει της απόφασης (ΕΕ) (2015/656) της Ευρωπαϊκής Κεντρικής Τράπεζας (‘ΕΚΤ’) όπου επιτρέπεται η αναγνώριση της ενδιάμεσης</w:t>
      </w:r>
      <w:r w:rsidR="00F9693F" w:rsidRPr="007246A9">
        <w:rPr>
          <w:rFonts w:ascii="Arial" w:hAnsi="Arial" w:cs="Arial"/>
          <w:sz w:val="18"/>
          <w:szCs w:val="18"/>
          <w:lang w:val="el-GR"/>
        </w:rPr>
        <w:t xml:space="preserve"> ή τελικής</w:t>
      </w:r>
      <w:r w:rsidR="00721BCE" w:rsidRPr="007246A9">
        <w:rPr>
          <w:rFonts w:ascii="Arial" w:hAnsi="Arial" w:cs="Arial"/>
          <w:sz w:val="18"/>
          <w:szCs w:val="18"/>
          <w:lang w:val="el-GR"/>
        </w:rPr>
        <w:t xml:space="preserve"> κερδοφορίας στο δείκτη Κεφαλαίου Κοινών Μετοχών Κατηγορίας 1 (</w:t>
      </w:r>
      <w:r w:rsidR="00721BCE" w:rsidRPr="007246A9">
        <w:rPr>
          <w:rFonts w:ascii="Arial" w:hAnsi="Arial" w:cs="Arial"/>
          <w:sz w:val="18"/>
          <w:szCs w:val="18"/>
        </w:rPr>
        <w:t>CET</w:t>
      </w:r>
      <w:r w:rsidR="00721BCE" w:rsidRPr="007246A9">
        <w:rPr>
          <w:rFonts w:ascii="Arial" w:hAnsi="Arial" w:cs="Arial"/>
          <w:sz w:val="18"/>
          <w:szCs w:val="18"/>
          <w:lang w:val="el-GR"/>
        </w:rPr>
        <w:t>1) σύμφωνα με το άρθρο 26(2) του Κανονισμού Κεφαλαιακών Απαιτήσεων (</w:t>
      </w:r>
      <w:r w:rsidR="00721BCE" w:rsidRPr="007246A9">
        <w:rPr>
          <w:rFonts w:ascii="Arial" w:hAnsi="Arial" w:cs="Arial"/>
          <w:sz w:val="18"/>
          <w:szCs w:val="18"/>
        </w:rPr>
        <w:t>CRR</w:t>
      </w:r>
      <w:r w:rsidR="00721BCE" w:rsidRPr="007246A9">
        <w:rPr>
          <w:rFonts w:ascii="Arial" w:hAnsi="Arial" w:cs="Arial"/>
          <w:sz w:val="18"/>
          <w:szCs w:val="18"/>
          <w:lang w:val="el-GR"/>
        </w:rPr>
        <w:t>), μειωμένα για σχετική πρόβλεψη για διανομή στο υψηλότερο ποσοστό (‘</w:t>
      </w:r>
      <w:proofErr w:type="spellStart"/>
      <w:r w:rsidR="00721BCE" w:rsidRPr="007246A9">
        <w:rPr>
          <w:rFonts w:ascii="Arial" w:hAnsi="Arial" w:cs="Arial"/>
          <w:sz w:val="18"/>
          <w:szCs w:val="18"/>
          <w:lang w:val="el-GR"/>
        </w:rPr>
        <w:t>payout</w:t>
      </w:r>
      <w:proofErr w:type="spellEnd"/>
      <w:r w:rsidR="00721BCE" w:rsidRPr="007246A9">
        <w:rPr>
          <w:rFonts w:ascii="Arial" w:hAnsi="Arial" w:cs="Arial"/>
          <w:sz w:val="18"/>
          <w:szCs w:val="18"/>
          <w:lang w:val="el-GR"/>
        </w:rPr>
        <w:t xml:space="preserve"> </w:t>
      </w:r>
      <w:proofErr w:type="spellStart"/>
      <w:r w:rsidR="00721BCE" w:rsidRPr="007246A9">
        <w:rPr>
          <w:rFonts w:ascii="Arial" w:hAnsi="Arial" w:cs="Arial"/>
          <w:sz w:val="18"/>
          <w:szCs w:val="18"/>
          <w:lang w:val="el-GR"/>
        </w:rPr>
        <w:t>ratio</w:t>
      </w:r>
      <w:proofErr w:type="spellEnd"/>
      <w:r w:rsidR="00721BCE" w:rsidRPr="007246A9">
        <w:rPr>
          <w:rFonts w:ascii="Arial" w:hAnsi="Arial" w:cs="Arial"/>
          <w:sz w:val="18"/>
          <w:szCs w:val="18"/>
          <w:lang w:val="el-GR"/>
        </w:rPr>
        <w:t>’) της εγκεκριμένης πολιτικής διανομής του Συγκροτήματος, σύμφωνα με τις αρχές του κατ’ εξουσιοδότηση Κανονισμού της (ΕΕ) αριθ. 241/2014</w:t>
      </w:r>
      <w:r w:rsidR="00B54774" w:rsidRPr="007246A9">
        <w:rPr>
          <w:rFonts w:ascii="Arial" w:hAnsi="Arial" w:cs="Arial"/>
          <w:sz w:val="18"/>
          <w:szCs w:val="18"/>
          <w:lang w:val="el-GR"/>
        </w:rPr>
        <w:t>.</w:t>
      </w:r>
    </w:p>
    <w:p w14:paraId="3E2D15F3" w14:textId="77777777" w:rsidR="004964ED" w:rsidRDefault="004964ED" w:rsidP="00C04176">
      <w:pPr>
        <w:spacing w:after="0" w:line="240" w:lineRule="auto"/>
        <w:jc w:val="both"/>
        <w:rPr>
          <w:rFonts w:ascii="Arial" w:hAnsi="Arial" w:cs="Arial"/>
          <w:sz w:val="18"/>
          <w:szCs w:val="18"/>
          <w:lang w:val="el-GR"/>
        </w:rPr>
      </w:pPr>
    </w:p>
    <w:p w14:paraId="62AFE411" w14:textId="77777777" w:rsidR="004964ED" w:rsidRPr="00B54774" w:rsidRDefault="004964ED" w:rsidP="004964ED">
      <w:pPr>
        <w:rPr>
          <w:rFonts w:ascii="Arial" w:eastAsia="Times New Roman" w:hAnsi="Arial" w:cs="Arial"/>
          <w:sz w:val="18"/>
          <w:szCs w:val="18"/>
          <w:lang w:val="el-GR"/>
        </w:rPr>
      </w:pPr>
      <w:r w:rsidRPr="00B54774">
        <w:rPr>
          <w:rFonts w:ascii="Arial" w:hAnsi="Arial" w:cs="Arial"/>
          <w:b/>
          <w:bCs/>
          <w:color w:val="FF9900"/>
          <w:sz w:val="24"/>
          <w:lang w:val="el-GR"/>
        </w:rPr>
        <w:lastRenderedPageBreak/>
        <w:t xml:space="preserve">Α. Οικονομικά Αποτελέσματα Συγκροτήματος – Υποκείμενη Βάση </w:t>
      </w:r>
      <w:r w:rsidRPr="00B54774">
        <w:rPr>
          <w:rFonts w:ascii="Arial" w:hAnsi="Arial" w:cs="Arial"/>
          <w:color w:val="FF9900"/>
          <w:sz w:val="24"/>
          <w:lang w:val="el-GR"/>
        </w:rPr>
        <w:t>(συνέχεια)</w:t>
      </w:r>
    </w:p>
    <w:p w14:paraId="10CD4362" w14:textId="77777777" w:rsidR="004964ED" w:rsidRDefault="004964ED" w:rsidP="004964ED">
      <w:pPr>
        <w:rPr>
          <w:rFonts w:ascii="Arial" w:hAnsi="Arial" w:cs="Arial"/>
          <w:color w:val="FF9900"/>
          <w:sz w:val="23"/>
          <w:szCs w:val="23"/>
          <w:lang w:val="el-GR"/>
        </w:rPr>
      </w:pPr>
      <w:r w:rsidRPr="00B54774">
        <w:rPr>
          <w:rFonts w:ascii="Arial" w:hAnsi="Arial" w:cs="Arial"/>
          <w:b/>
          <w:bCs/>
          <w:color w:val="FF9900"/>
          <w:sz w:val="23"/>
          <w:szCs w:val="23"/>
          <w:lang w:val="el-GR"/>
        </w:rPr>
        <w:t xml:space="preserve">Α.1 Ανάλυση Ισολογισμού </w:t>
      </w:r>
      <w:r w:rsidRPr="00B54774">
        <w:rPr>
          <w:rFonts w:ascii="Arial" w:hAnsi="Arial" w:cs="Arial"/>
          <w:color w:val="FF9900"/>
          <w:sz w:val="23"/>
          <w:szCs w:val="23"/>
          <w:lang w:val="el-GR"/>
        </w:rPr>
        <w:t>(συνέχεια)</w:t>
      </w:r>
    </w:p>
    <w:p w14:paraId="49417116" w14:textId="77777777" w:rsidR="004964ED" w:rsidRDefault="004964ED" w:rsidP="004964ED">
      <w:pPr>
        <w:spacing w:after="120" w:line="240" w:lineRule="auto"/>
        <w:ind w:left="851" w:hanging="851"/>
        <w:jc w:val="both"/>
        <w:rPr>
          <w:rFonts w:ascii="Arial" w:hAnsi="Arial" w:cs="Arial"/>
          <w:color w:val="FF9900"/>
          <w:lang w:val="el-GR"/>
        </w:rPr>
      </w:pPr>
      <w:r w:rsidRPr="004E699B">
        <w:rPr>
          <w:rFonts w:ascii="Arial" w:eastAsia="Times New Roman" w:hAnsi="Arial" w:cs="Arial"/>
          <w:b/>
          <w:bCs/>
          <w:color w:val="FF9900"/>
          <w:lang w:val="el-GR" w:eastAsia="el-GR"/>
        </w:rPr>
        <w:t>Α.1.2. Κανονισμοί και Οδηγίες</w:t>
      </w:r>
      <w:r>
        <w:rPr>
          <w:rFonts w:ascii="Arial" w:eastAsia="Times New Roman" w:hAnsi="Arial" w:cs="Arial"/>
          <w:b/>
          <w:bCs/>
          <w:color w:val="FF9900"/>
          <w:lang w:val="el-GR" w:eastAsia="el-GR"/>
        </w:rPr>
        <w:t xml:space="preserve"> </w:t>
      </w:r>
      <w:r w:rsidRPr="00FE6D3F">
        <w:rPr>
          <w:rFonts w:ascii="Arial" w:hAnsi="Arial" w:cs="Arial"/>
          <w:color w:val="FF9900"/>
          <w:lang w:val="el-GR"/>
        </w:rPr>
        <w:t>(συνέχεια)</w:t>
      </w:r>
    </w:p>
    <w:p w14:paraId="34D5957C" w14:textId="5D67AFEC" w:rsidR="004964ED" w:rsidRPr="004964ED" w:rsidRDefault="004964ED" w:rsidP="004964ED">
      <w:pPr>
        <w:spacing w:after="0" w:line="240" w:lineRule="auto"/>
        <w:jc w:val="both"/>
        <w:rPr>
          <w:rFonts w:ascii="Arial" w:eastAsia="Times New Roman" w:hAnsi="Arial" w:cs="Arial"/>
          <w:color w:val="FF9900"/>
          <w:lang w:val="el-GR" w:eastAsia="el-GR"/>
        </w:rPr>
      </w:pPr>
      <w:r w:rsidRPr="007246A9">
        <w:rPr>
          <w:rFonts w:ascii="Arial" w:eastAsia="Times New Roman" w:hAnsi="Arial" w:cs="Arial"/>
          <w:b/>
          <w:bCs/>
          <w:color w:val="FF9900"/>
          <w:lang w:val="en-US" w:eastAsia="el-GR"/>
        </w:rPr>
        <w:t>A</w:t>
      </w:r>
      <w:r w:rsidRPr="007246A9">
        <w:rPr>
          <w:rFonts w:ascii="Arial" w:eastAsia="Times New Roman" w:hAnsi="Arial" w:cs="Arial"/>
          <w:b/>
          <w:bCs/>
          <w:color w:val="FF9900"/>
          <w:lang w:val="el-GR" w:eastAsia="el-GR"/>
        </w:rPr>
        <w:t>.1.2.2 Οδηγία για Ανάκαμψη και Εξυγίανση Πιστωτικών Ιδρυμάτων και Επιχειρήσεων Επενδύσεων (BRRD)</w:t>
      </w:r>
      <w:r>
        <w:rPr>
          <w:rFonts w:ascii="Arial" w:eastAsia="Times New Roman" w:hAnsi="Arial" w:cs="Arial"/>
          <w:b/>
          <w:bCs/>
          <w:color w:val="FF9900"/>
          <w:lang w:val="el-GR" w:eastAsia="el-GR"/>
        </w:rPr>
        <w:t xml:space="preserve"> </w:t>
      </w:r>
      <w:r w:rsidRPr="00FE6D3F">
        <w:rPr>
          <w:rFonts w:ascii="Arial" w:hAnsi="Arial" w:cs="Arial"/>
          <w:color w:val="FF9900"/>
          <w:lang w:val="el-GR"/>
        </w:rPr>
        <w:t>(συνέχεια)</w:t>
      </w:r>
    </w:p>
    <w:p w14:paraId="00D493B6" w14:textId="77777777" w:rsidR="004964ED" w:rsidRPr="00D41B36" w:rsidRDefault="004964ED" w:rsidP="004964ED">
      <w:pPr>
        <w:spacing w:after="0" w:line="240" w:lineRule="auto"/>
        <w:jc w:val="both"/>
        <w:rPr>
          <w:rFonts w:ascii="Arial" w:eastAsia="Times New Roman" w:hAnsi="Arial" w:cs="Arial"/>
          <w:b/>
          <w:bCs/>
          <w:color w:val="FF9900"/>
          <w:szCs w:val="24"/>
          <w:highlight w:val="yellow"/>
          <w:lang w:val="el-GR" w:eastAsia="el-GR"/>
        </w:rPr>
      </w:pPr>
    </w:p>
    <w:p w14:paraId="7633628A" w14:textId="6DD4E58C" w:rsidR="004964ED" w:rsidRPr="007246A9" w:rsidRDefault="004964ED" w:rsidP="004964ED">
      <w:pPr>
        <w:spacing w:after="0" w:line="360" w:lineRule="auto"/>
        <w:rPr>
          <w:rFonts w:ascii="Arial" w:eastAsia="Times New Roman" w:hAnsi="Arial" w:cs="Arial"/>
          <w:b/>
          <w:bCs/>
          <w:i/>
          <w:iCs/>
          <w:color w:val="FF9900"/>
          <w:sz w:val="20"/>
          <w:szCs w:val="20"/>
          <w:lang w:val="el-GR" w:eastAsia="el-GR"/>
        </w:rPr>
      </w:pPr>
      <w:r w:rsidRPr="007246A9">
        <w:rPr>
          <w:rFonts w:ascii="Arial" w:eastAsia="Times New Roman" w:hAnsi="Arial" w:cs="Arial"/>
          <w:b/>
          <w:bCs/>
          <w:i/>
          <w:iCs/>
          <w:color w:val="FF9900"/>
          <w:sz w:val="20"/>
          <w:szCs w:val="20"/>
          <w:lang w:val="el-GR" w:eastAsia="el-GR"/>
        </w:rPr>
        <w:t>Ελάχιστη Απαίτηση για Ίδια Κεφάλαια και Επιλέξιμες Υποχρεώσεις (</w:t>
      </w:r>
      <w:r w:rsidRPr="007246A9">
        <w:rPr>
          <w:rFonts w:ascii="Arial" w:eastAsia="Times New Roman" w:hAnsi="Arial" w:cs="Arial"/>
          <w:b/>
          <w:bCs/>
          <w:i/>
          <w:iCs/>
          <w:color w:val="FF9900"/>
          <w:sz w:val="20"/>
          <w:szCs w:val="20"/>
          <w:lang w:eastAsia="el-GR"/>
        </w:rPr>
        <w:t>MREL</w:t>
      </w:r>
      <w:r w:rsidRPr="007246A9">
        <w:rPr>
          <w:rFonts w:ascii="Arial" w:eastAsia="Times New Roman" w:hAnsi="Arial" w:cs="Arial"/>
          <w:b/>
          <w:bCs/>
          <w:i/>
          <w:iCs/>
          <w:color w:val="FF9900"/>
          <w:sz w:val="20"/>
          <w:szCs w:val="20"/>
          <w:lang w:val="el-GR" w:eastAsia="el-GR"/>
        </w:rPr>
        <w:t xml:space="preserve">) </w:t>
      </w:r>
      <w:r w:rsidRPr="00FE6D3F">
        <w:rPr>
          <w:rFonts w:ascii="Arial" w:hAnsi="Arial" w:cs="Arial"/>
          <w:color w:val="FF9900"/>
          <w:lang w:val="el-GR"/>
        </w:rPr>
        <w:t>(συνέχεια)</w:t>
      </w:r>
    </w:p>
    <w:p w14:paraId="7C2BEA2B" w14:textId="66EA1B7A" w:rsidR="00C04176" w:rsidRPr="007246A9" w:rsidRDefault="00B54774" w:rsidP="00C04176">
      <w:pPr>
        <w:spacing w:after="0" w:line="240" w:lineRule="auto"/>
        <w:jc w:val="both"/>
        <w:rPr>
          <w:rFonts w:ascii="Arial" w:hAnsi="Arial" w:cs="Arial"/>
          <w:sz w:val="18"/>
          <w:szCs w:val="18"/>
          <w:lang w:val="el-GR"/>
        </w:rPr>
      </w:pPr>
      <w:r>
        <w:rPr>
          <w:rFonts w:ascii="Arial" w:hAnsi="Arial" w:cs="Arial"/>
          <w:sz w:val="18"/>
          <w:szCs w:val="18"/>
          <w:lang w:val="el-GR"/>
        </w:rPr>
        <w:t xml:space="preserve"> </w:t>
      </w:r>
      <w:r w:rsidRPr="007246A9">
        <w:rPr>
          <w:rFonts w:ascii="Arial" w:hAnsi="Arial" w:cs="Arial"/>
          <w:sz w:val="18"/>
          <w:szCs w:val="18"/>
          <w:lang w:val="el-GR"/>
        </w:rPr>
        <w:t xml:space="preserve">Περιλαμβάνοντας τα κέρδη για το </w:t>
      </w:r>
      <w:r>
        <w:rPr>
          <w:rFonts w:ascii="Arial" w:hAnsi="Arial" w:cs="Arial"/>
          <w:sz w:val="18"/>
          <w:szCs w:val="18"/>
          <w:lang w:val="el-GR"/>
        </w:rPr>
        <w:t>γ’ τρίμηνο 2024</w:t>
      </w:r>
      <w:r w:rsidRPr="007246A9">
        <w:rPr>
          <w:rFonts w:ascii="Arial" w:hAnsi="Arial" w:cs="Arial"/>
          <w:sz w:val="18"/>
          <w:szCs w:val="18"/>
          <w:lang w:val="el-GR"/>
        </w:rPr>
        <w:t xml:space="preserve"> μειωμένα για σχετική πρόβλεψη για διανομή στο υψηλότερο ποσοστό (‘</w:t>
      </w:r>
      <w:r w:rsidRPr="00B54774">
        <w:rPr>
          <w:rFonts w:ascii="Arial" w:hAnsi="Arial" w:cs="Arial"/>
          <w:sz w:val="18"/>
          <w:szCs w:val="18"/>
        </w:rPr>
        <w:t>payout</w:t>
      </w:r>
      <w:r w:rsidRPr="007246A9">
        <w:rPr>
          <w:rFonts w:ascii="Arial" w:hAnsi="Arial" w:cs="Arial"/>
          <w:sz w:val="18"/>
          <w:szCs w:val="18"/>
          <w:lang w:val="el-GR"/>
        </w:rPr>
        <w:t xml:space="preserve"> </w:t>
      </w:r>
      <w:r w:rsidRPr="00B54774">
        <w:rPr>
          <w:rFonts w:ascii="Arial" w:hAnsi="Arial" w:cs="Arial"/>
          <w:sz w:val="18"/>
          <w:szCs w:val="18"/>
        </w:rPr>
        <w:t>ratio</w:t>
      </w:r>
      <w:r w:rsidRPr="007246A9">
        <w:rPr>
          <w:rFonts w:ascii="Arial" w:hAnsi="Arial" w:cs="Arial"/>
          <w:sz w:val="18"/>
          <w:szCs w:val="18"/>
          <w:lang w:val="el-GR"/>
        </w:rPr>
        <w:t>’) της εγκεκριμένης πολιτικής διανομής του Συγκροτήματος</w:t>
      </w:r>
      <w:r>
        <w:rPr>
          <w:rFonts w:ascii="Arial" w:hAnsi="Arial" w:cs="Arial"/>
          <w:sz w:val="18"/>
          <w:szCs w:val="18"/>
          <w:lang w:val="el-GR"/>
        </w:rPr>
        <w:t xml:space="preserve">, </w:t>
      </w:r>
      <w:r w:rsidRPr="007246A9">
        <w:rPr>
          <w:rFonts w:ascii="Arial" w:hAnsi="Arial" w:cs="Arial"/>
          <w:sz w:val="18"/>
          <w:szCs w:val="18"/>
          <w:lang w:val="el-GR"/>
        </w:rPr>
        <w:t xml:space="preserve">ο δείκτης Ελάχιστης Απαίτησης Ιδίων Κεφαλαίων </w:t>
      </w:r>
      <w:r w:rsidRPr="00E40FED">
        <w:rPr>
          <w:rFonts w:ascii="Arial" w:hAnsi="Arial" w:cs="Arial"/>
          <w:color w:val="000000" w:themeColor="text1"/>
          <w:sz w:val="18"/>
          <w:szCs w:val="18"/>
          <w:lang w:val="el-GR"/>
        </w:rPr>
        <w:t>και Επιλέξιμων Υποχρεώσεων (</w:t>
      </w:r>
      <w:r w:rsidRPr="00E40FED">
        <w:rPr>
          <w:rFonts w:ascii="Arial" w:hAnsi="Arial" w:cs="Arial"/>
          <w:color w:val="000000" w:themeColor="text1"/>
          <w:sz w:val="18"/>
          <w:szCs w:val="18"/>
        </w:rPr>
        <w:t>MREL</w:t>
      </w:r>
      <w:r w:rsidRPr="00E40FED">
        <w:rPr>
          <w:rFonts w:ascii="Arial" w:hAnsi="Arial" w:cs="Arial"/>
          <w:color w:val="000000" w:themeColor="text1"/>
          <w:sz w:val="18"/>
          <w:szCs w:val="18"/>
          <w:lang w:val="el-GR"/>
        </w:rPr>
        <w:t>) που εκφράζεται ως ποσοστό των σταθμισμένων ως προς τον κίνδυνο περιουσιακών στοιχείων (</w:t>
      </w:r>
      <w:r w:rsidRPr="00E40FED">
        <w:rPr>
          <w:rFonts w:ascii="Arial" w:hAnsi="Arial" w:cs="Arial"/>
          <w:color w:val="000000" w:themeColor="text1"/>
          <w:sz w:val="18"/>
          <w:szCs w:val="18"/>
        </w:rPr>
        <w:t>RWA</w:t>
      </w:r>
      <w:r w:rsidRPr="00E40FED">
        <w:rPr>
          <w:rFonts w:ascii="Arial" w:hAnsi="Arial" w:cs="Arial"/>
          <w:color w:val="000000" w:themeColor="text1"/>
          <w:sz w:val="18"/>
          <w:szCs w:val="18"/>
          <w:lang w:val="el-GR"/>
        </w:rPr>
        <w:t xml:space="preserve">) και ως ποσοστό του μέτρου συνολικού ανοίγματος του Δείκτη </w:t>
      </w:r>
      <w:proofErr w:type="spellStart"/>
      <w:r w:rsidRPr="00E40FED">
        <w:rPr>
          <w:rFonts w:ascii="Arial" w:hAnsi="Arial" w:cs="Arial"/>
          <w:color w:val="000000" w:themeColor="text1"/>
          <w:sz w:val="18"/>
          <w:szCs w:val="18"/>
          <w:lang w:val="el-GR"/>
        </w:rPr>
        <w:t>Μόχλευσης</w:t>
      </w:r>
      <w:proofErr w:type="spellEnd"/>
      <w:r w:rsidRPr="00E40FED">
        <w:rPr>
          <w:rFonts w:ascii="Arial" w:hAnsi="Arial" w:cs="Arial"/>
          <w:color w:val="000000" w:themeColor="text1"/>
          <w:sz w:val="18"/>
          <w:szCs w:val="18"/>
          <w:lang w:val="el-GR"/>
        </w:rPr>
        <w:t xml:space="preserve"> (</w:t>
      </w:r>
      <w:r w:rsidRPr="00E40FED">
        <w:rPr>
          <w:rFonts w:ascii="Arial" w:hAnsi="Arial" w:cs="Arial"/>
          <w:color w:val="000000" w:themeColor="text1"/>
          <w:sz w:val="18"/>
          <w:szCs w:val="18"/>
        </w:rPr>
        <w:t>LRE</w:t>
      </w:r>
      <w:r w:rsidRPr="00E40FED">
        <w:rPr>
          <w:rFonts w:ascii="Arial" w:hAnsi="Arial" w:cs="Arial"/>
          <w:color w:val="000000" w:themeColor="text1"/>
          <w:sz w:val="18"/>
          <w:szCs w:val="18"/>
          <w:lang w:val="el-GR"/>
        </w:rPr>
        <w:t xml:space="preserve">) ανέρχεται σε </w:t>
      </w:r>
      <w:r w:rsidR="00E40FED" w:rsidRPr="00E40FED">
        <w:rPr>
          <w:rFonts w:ascii="Arial" w:hAnsi="Arial" w:cs="Arial"/>
          <w:color w:val="000000" w:themeColor="text1"/>
          <w:sz w:val="18"/>
          <w:szCs w:val="18"/>
          <w:lang w:val="el-GR"/>
        </w:rPr>
        <w:t>34</w:t>
      </w:r>
      <w:r w:rsidRPr="00E40FED">
        <w:rPr>
          <w:rFonts w:ascii="Arial" w:hAnsi="Arial" w:cs="Arial"/>
          <w:color w:val="000000" w:themeColor="text1"/>
          <w:sz w:val="18"/>
          <w:szCs w:val="18"/>
          <w:lang w:val="el-GR"/>
        </w:rPr>
        <w:t>.</w:t>
      </w:r>
      <w:r w:rsidR="00E40FED" w:rsidRPr="00E40FED">
        <w:rPr>
          <w:rFonts w:ascii="Arial" w:hAnsi="Arial" w:cs="Arial"/>
          <w:color w:val="000000" w:themeColor="text1"/>
          <w:sz w:val="18"/>
          <w:szCs w:val="18"/>
          <w:lang w:val="el-GR"/>
        </w:rPr>
        <w:t>4</w:t>
      </w:r>
      <w:r w:rsidRPr="00E40FED">
        <w:rPr>
          <w:rFonts w:ascii="Arial" w:hAnsi="Arial" w:cs="Arial"/>
          <w:color w:val="000000" w:themeColor="text1"/>
          <w:sz w:val="18"/>
          <w:szCs w:val="18"/>
          <w:lang w:val="el-GR"/>
        </w:rPr>
        <w:t xml:space="preserve">% και </w:t>
      </w:r>
      <w:r w:rsidR="00E40FED" w:rsidRPr="00E40FED">
        <w:rPr>
          <w:rFonts w:ascii="Arial" w:hAnsi="Arial" w:cs="Arial"/>
          <w:color w:val="000000" w:themeColor="text1"/>
          <w:sz w:val="18"/>
          <w:szCs w:val="18"/>
          <w:lang w:val="el-GR"/>
        </w:rPr>
        <w:t>14</w:t>
      </w:r>
      <w:r w:rsidRPr="00E40FED">
        <w:rPr>
          <w:rFonts w:ascii="Arial" w:hAnsi="Arial" w:cs="Arial"/>
          <w:color w:val="000000" w:themeColor="text1"/>
          <w:sz w:val="18"/>
          <w:szCs w:val="18"/>
          <w:lang w:val="el-GR"/>
        </w:rPr>
        <w:t>.</w:t>
      </w:r>
      <w:r w:rsidR="00E40FED" w:rsidRPr="00E40FED">
        <w:rPr>
          <w:rFonts w:ascii="Arial" w:hAnsi="Arial" w:cs="Arial"/>
          <w:color w:val="000000" w:themeColor="text1"/>
          <w:sz w:val="18"/>
          <w:szCs w:val="18"/>
          <w:lang w:val="el-GR"/>
        </w:rPr>
        <w:t>1</w:t>
      </w:r>
      <w:r w:rsidRPr="00E40FED">
        <w:rPr>
          <w:rFonts w:ascii="Arial" w:hAnsi="Arial" w:cs="Arial"/>
          <w:color w:val="000000" w:themeColor="text1"/>
          <w:sz w:val="18"/>
          <w:szCs w:val="18"/>
          <w:lang w:val="el-GR"/>
        </w:rPr>
        <w:t>% αντίστοιχα.</w:t>
      </w:r>
    </w:p>
    <w:p w14:paraId="346DC9FC" w14:textId="3BC36B6F" w:rsidR="007F5B28" w:rsidRPr="00D41B36" w:rsidRDefault="007F5B28" w:rsidP="00555781">
      <w:pPr>
        <w:spacing w:after="0" w:line="240" w:lineRule="auto"/>
        <w:jc w:val="both"/>
        <w:rPr>
          <w:rFonts w:ascii="Arial" w:eastAsia="Times New Roman" w:hAnsi="Arial" w:cs="Arial"/>
          <w:sz w:val="16"/>
          <w:szCs w:val="16"/>
          <w:highlight w:val="yellow"/>
          <w:lang w:val="el-GR" w:eastAsia="en-US"/>
        </w:rPr>
      </w:pPr>
    </w:p>
    <w:p w14:paraId="4D98F3F7" w14:textId="144C5190" w:rsidR="00656BFA" w:rsidRPr="007246A9" w:rsidRDefault="00B54774" w:rsidP="00FA3A6D">
      <w:pPr>
        <w:spacing w:after="0" w:line="360" w:lineRule="auto"/>
        <w:jc w:val="both"/>
        <w:rPr>
          <w:rFonts w:ascii="Arial" w:eastAsia="Times New Roman" w:hAnsi="Arial" w:cs="Arial"/>
          <w:b/>
          <w:bCs/>
          <w:color w:val="FF9900"/>
          <w:lang w:val="el-GR" w:eastAsia="el-GR"/>
        </w:rPr>
      </w:pPr>
      <w:r w:rsidRPr="007246A9">
        <w:rPr>
          <w:rFonts w:ascii="Arial" w:eastAsia="Times New Roman" w:hAnsi="Arial" w:cs="Arial"/>
          <w:b/>
          <w:bCs/>
          <w:color w:val="FF9900"/>
          <w:lang w:val="el-GR" w:eastAsia="el-GR"/>
        </w:rPr>
        <w:t>Α</w:t>
      </w:r>
      <w:r w:rsidR="00F93680" w:rsidRPr="007246A9">
        <w:rPr>
          <w:rFonts w:ascii="Arial" w:eastAsia="Times New Roman" w:hAnsi="Arial" w:cs="Arial"/>
          <w:b/>
          <w:bCs/>
          <w:color w:val="FF9900"/>
          <w:lang w:val="el-GR" w:eastAsia="el-GR"/>
        </w:rPr>
        <w:t>.</w:t>
      </w:r>
      <w:r w:rsidRPr="007246A9">
        <w:rPr>
          <w:rFonts w:ascii="Arial" w:eastAsia="Times New Roman" w:hAnsi="Arial" w:cs="Arial"/>
          <w:b/>
          <w:bCs/>
          <w:color w:val="FF9900"/>
          <w:lang w:val="el-GR" w:eastAsia="el-GR"/>
        </w:rPr>
        <w:t>1</w:t>
      </w:r>
      <w:r w:rsidR="00C0224E" w:rsidRPr="007246A9">
        <w:rPr>
          <w:rFonts w:ascii="Arial" w:eastAsia="Times New Roman" w:hAnsi="Arial" w:cs="Arial"/>
          <w:b/>
          <w:bCs/>
          <w:color w:val="FF9900"/>
          <w:lang w:val="el-GR" w:eastAsia="el-GR"/>
        </w:rPr>
        <w:t>.3 Χρηματοδότηση και Ρευστότητα</w:t>
      </w:r>
    </w:p>
    <w:p w14:paraId="370317C9" w14:textId="640D147F" w:rsidR="00C0224E" w:rsidRPr="007246A9" w:rsidRDefault="00C0224E" w:rsidP="00C0224E">
      <w:pPr>
        <w:spacing w:after="0" w:line="360" w:lineRule="auto"/>
        <w:rPr>
          <w:rFonts w:ascii="Arial" w:eastAsia="Times New Roman" w:hAnsi="Arial" w:cs="Arial"/>
          <w:b/>
          <w:bCs/>
          <w:color w:val="FF9900"/>
          <w:sz w:val="20"/>
          <w:szCs w:val="24"/>
          <w:lang w:val="el-GR" w:eastAsia="el-GR"/>
        </w:rPr>
      </w:pPr>
      <w:r w:rsidRPr="007246A9">
        <w:rPr>
          <w:rFonts w:ascii="Arial" w:eastAsia="Times New Roman" w:hAnsi="Arial" w:cs="Arial"/>
          <w:b/>
          <w:bCs/>
          <w:color w:val="FF9900"/>
          <w:sz w:val="20"/>
          <w:szCs w:val="24"/>
          <w:lang w:val="el-GR" w:eastAsia="el-GR"/>
        </w:rPr>
        <w:t xml:space="preserve">Χρηματοδότηση </w:t>
      </w:r>
    </w:p>
    <w:p w14:paraId="0EE9FAA6" w14:textId="58C1B99B" w:rsidR="005049DE" w:rsidRPr="007246A9" w:rsidRDefault="00C0224E" w:rsidP="005049DE">
      <w:pPr>
        <w:spacing w:after="0" w:line="360" w:lineRule="auto"/>
        <w:rPr>
          <w:rFonts w:ascii="Arial" w:hAnsi="Arial" w:cs="Arial"/>
          <w:i/>
          <w:sz w:val="16"/>
          <w:lang w:val="el-GR" w:eastAsia="el-GR"/>
        </w:rPr>
      </w:pPr>
      <w:r w:rsidRPr="007246A9">
        <w:rPr>
          <w:rFonts w:ascii="Arial" w:eastAsia="Times New Roman" w:hAnsi="Arial" w:cs="Arial"/>
          <w:b/>
          <w:bCs/>
          <w:i/>
          <w:color w:val="FF9900"/>
          <w:sz w:val="20"/>
          <w:szCs w:val="24"/>
          <w:lang w:val="el-GR" w:eastAsia="el-GR"/>
        </w:rPr>
        <w:t xml:space="preserve">Χρηματοδότηση από Κεντρικές Τράπεζες </w:t>
      </w:r>
    </w:p>
    <w:bookmarkEnd w:id="10"/>
    <w:p w14:paraId="1677CFE4" w14:textId="7CEE2C66" w:rsidR="00E11BFD" w:rsidRPr="007246A9" w:rsidRDefault="00D464F3" w:rsidP="00496CDD">
      <w:pPr>
        <w:spacing w:after="0" w:line="240" w:lineRule="auto"/>
        <w:jc w:val="both"/>
        <w:rPr>
          <w:rFonts w:ascii="Arial" w:hAnsi="Arial" w:cs="Arial"/>
          <w:sz w:val="18"/>
          <w:szCs w:val="18"/>
          <w:lang w:val="el-GR" w:eastAsia="el-GR"/>
        </w:rPr>
      </w:pPr>
      <w:r w:rsidRPr="007246A9">
        <w:rPr>
          <w:rFonts w:ascii="Arial" w:hAnsi="Arial" w:cs="Arial"/>
          <w:sz w:val="18"/>
          <w:lang w:val="el-GR" w:eastAsia="el-GR"/>
        </w:rPr>
        <w:t xml:space="preserve">Μετά την </w:t>
      </w:r>
      <w:r w:rsidR="00E06043" w:rsidRPr="007246A9">
        <w:rPr>
          <w:rFonts w:ascii="Arial" w:hAnsi="Arial" w:cs="Arial"/>
          <w:sz w:val="18"/>
          <w:lang w:val="el-GR" w:eastAsia="el-GR"/>
        </w:rPr>
        <w:t>απο</w:t>
      </w:r>
      <w:r w:rsidRPr="007246A9">
        <w:rPr>
          <w:rFonts w:ascii="Arial" w:hAnsi="Arial" w:cs="Arial"/>
          <w:sz w:val="18"/>
          <w:lang w:val="el-GR" w:eastAsia="el-GR"/>
        </w:rPr>
        <w:t xml:space="preserve">πληρωμή </w:t>
      </w:r>
      <w:r w:rsidRPr="007246A9">
        <w:rPr>
          <w:rFonts w:ascii="Arial" w:hAnsi="Arial" w:cs="Arial"/>
          <w:sz w:val="18"/>
          <w:szCs w:val="18"/>
          <w:lang w:val="el-GR" w:eastAsia="el-GR"/>
        </w:rPr>
        <w:t xml:space="preserve">ποσού ύψους </w:t>
      </w:r>
      <w:r w:rsidR="00C11977" w:rsidRPr="007246A9">
        <w:rPr>
          <w:rFonts w:ascii="Arial" w:hAnsi="Arial" w:cs="Arial"/>
          <w:sz w:val="18"/>
          <w:szCs w:val="18"/>
          <w:lang w:val="el-GR" w:eastAsia="el-GR"/>
        </w:rPr>
        <w:t xml:space="preserve">€1.7 δις από την έβδομη πράξη ΣΠΠΜΑ ΙΙΙ τον Μάρτιο 2024 και </w:t>
      </w:r>
      <w:r w:rsidRPr="007246A9">
        <w:rPr>
          <w:rFonts w:ascii="Arial" w:hAnsi="Arial" w:cs="Arial"/>
          <w:sz w:val="18"/>
          <w:szCs w:val="18"/>
          <w:lang w:val="el-GR" w:eastAsia="el-GR"/>
        </w:rPr>
        <w:t xml:space="preserve">€0.3 δις από την όγδοη πράξη ΣΠΠΜΑ ΙΙΙ τον Ιούνιο 2024, η χρηματοδότηση της Τράπεζας από </w:t>
      </w:r>
      <w:r w:rsidRPr="007246A9">
        <w:rPr>
          <w:rFonts w:ascii="Arial" w:hAnsi="Arial" w:cs="Arial"/>
          <w:sz w:val="18"/>
          <w:lang w:val="el-GR" w:eastAsia="el-GR"/>
        </w:rPr>
        <w:t xml:space="preserve">κεντρικές τράπεζες </w:t>
      </w:r>
      <w:r w:rsidR="00E11BFD" w:rsidRPr="007246A9">
        <w:rPr>
          <w:rFonts w:ascii="Arial" w:hAnsi="Arial" w:cs="Arial"/>
          <w:sz w:val="18"/>
          <w:lang w:val="el-GR" w:eastAsia="el-GR"/>
        </w:rPr>
        <w:t xml:space="preserve">ανήλθε σε μηδέν στις 30 Ιουνίου 2024, σε σύγκριση με </w:t>
      </w:r>
      <w:r w:rsidR="00EB0563" w:rsidRPr="007246A9">
        <w:rPr>
          <w:rFonts w:ascii="Arial" w:hAnsi="Arial" w:cs="Arial"/>
          <w:sz w:val="18"/>
          <w:szCs w:val="18"/>
          <w:lang w:val="el-GR" w:eastAsia="el-GR"/>
        </w:rPr>
        <w:t xml:space="preserve">€2,044 </w:t>
      </w:r>
      <w:r w:rsidR="00EB0563" w:rsidRPr="007246A9">
        <w:rPr>
          <w:rFonts w:ascii="Arial" w:hAnsi="Arial" w:cs="Arial"/>
          <w:sz w:val="18"/>
          <w:lang w:val="el-GR" w:eastAsia="el-GR"/>
        </w:rPr>
        <w:t>εκατ. στις 31 Δεκεμβρίου 2023</w:t>
      </w:r>
      <w:r w:rsidR="00EB0563" w:rsidRPr="007246A9">
        <w:rPr>
          <w:rFonts w:ascii="Arial" w:hAnsi="Arial" w:cs="Arial"/>
          <w:sz w:val="18"/>
          <w:szCs w:val="18"/>
          <w:lang w:val="el-GR" w:eastAsia="el-GR"/>
        </w:rPr>
        <w:t xml:space="preserve">. Στις </w:t>
      </w:r>
      <w:r w:rsidR="00EB0563">
        <w:rPr>
          <w:rFonts w:ascii="Arial" w:hAnsi="Arial" w:cs="Arial"/>
          <w:sz w:val="18"/>
          <w:szCs w:val="18"/>
          <w:lang w:val="el-GR" w:eastAsia="el-GR"/>
        </w:rPr>
        <w:t>30</w:t>
      </w:r>
      <w:r w:rsidR="00EB0563" w:rsidRPr="007246A9">
        <w:rPr>
          <w:rFonts w:ascii="Arial" w:hAnsi="Arial" w:cs="Arial"/>
          <w:sz w:val="18"/>
          <w:szCs w:val="18"/>
          <w:lang w:val="el-GR" w:eastAsia="el-GR"/>
        </w:rPr>
        <w:t xml:space="preserve"> Σεπτεμβρίου 2024, η χρηματοδότηση από </w:t>
      </w:r>
      <w:r w:rsidR="00EB0563">
        <w:rPr>
          <w:rFonts w:ascii="Arial" w:hAnsi="Arial" w:cs="Arial"/>
          <w:sz w:val="18"/>
          <w:szCs w:val="18"/>
          <w:lang w:val="el-GR" w:eastAsia="el-GR"/>
        </w:rPr>
        <w:t>κ</w:t>
      </w:r>
      <w:r w:rsidR="00EB0563" w:rsidRPr="007246A9">
        <w:rPr>
          <w:rFonts w:ascii="Arial" w:hAnsi="Arial" w:cs="Arial"/>
          <w:sz w:val="18"/>
          <w:szCs w:val="18"/>
          <w:lang w:val="el-GR" w:eastAsia="el-GR"/>
        </w:rPr>
        <w:t xml:space="preserve">εντρικές </w:t>
      </w:r>
      <w:r w:rsidR="00EB0563">
        <w:rPr>
          <w:rFonts w:ascii="Arial" w:hAnsi="Arial" w:cs="Arial"/>
          <w:sz w:val="18"/>
          <w:szCs w:val="18"/>
          <w:lang w:val="el-GR" w:eastAsia="el-GR"/>
        </w:rPr>
        <w:t>τ</w:t>
      </w:r>
      <w:r w:rsidR="00EB0563" w:rsidRPr="007246A9">
        <w:rPr>
          <w:rFonts w:ascii="Arial" w:hAnsi="Arial" w:cs="Arial"/>
          <w:sz w:val="18"/>
          <w:szCs w:val="18"/>
          <w:lang w:val="el-GR" w:eastAsia="el-GR"/>
        </w:rPr>
        <w:t xml:space="preserve">ράπεζες ανήλθε σε </w:t>
      </w:r>
      <w:r w:rsidR="00EB0563" w:rsidRPr="00EB0563">
        <w:rPr>
          <w:rFonts w:ascii="Arial" w:hAnsi="Arial" w:cs="Arial"/>
          <w:sz w:val="18"/>
          <w:szCs w:val="18"/>
          <w:lang w:val="el-GR" w:eastAsia="el-GR"/>
        </w:rPr>
        <w:t>μηδέν</w:t>
      </w:r>
      <w:r w:rsidR="00EB0563" w:rsidRPr="007246A9">
        <w:rPr>
          <w:rFonts w:ascii="Arial" w:hAnsi="Arial" w:cs="Arial"/>
          <w:sz w:val="18"/>
          <w:szCs w:val="18"/>
          <w:lang w:val="el-GR" w:eastAsia="el-GR"/>
        </w:rPr>
        <w:t>.</w:t>
      </w:r>
      <w:r w:rsidR="00496CDD" w:rsidRPr="007246A9">
        <w:rPr>
          <w:rFonts w:ascii="Arial" w:hAnsi="Arial" w:cs="Arial"/>
          <w:sz w:val="18"/>
          <w:lang w:val="el-GR" w:eastAsia="el-GR"/>
        </w:rPr>
        <w:t xml:space="preserve"> </w:t>
      </w:r>
      <w:bookmarkStart w:id="11" w:name="_Hlk118275265"/>
    </w:p>
    <w:bookmarkEnd w:id="11"/>
    <w:p w14:paraId="119593A2" w14:textId="77777777" w:rsidR="00135591" w:rsidRPr="007246A9" w:rsidRDefault="00135591" w:rsidP="008E7DF6">
      <w:pPr>
        <w:spacing w:after="0" w:line="240" w:lineRule="auto"/>
        <w:jc w:val="both"/>
        <w:rPr>
          <w:rFonts w:ascii="Arial" w:hAnsi="Arial" w:cs="Arial"/>
          <w:b/>
          <w:bCs/>
          <w:i/>
          <w:color w:val="FF9900"/>
          <w:sz w:val="16"/>
          <w:szCs w:val="20"/>
          <w:lang w:val="el-GR" w:eastAsia="el-GR"/>
        </w:rPr>
      </w:pPr>
    </w:p>
    <w:p w14:paraId="00936621" w14:textId="69AFF405" w:rsidR="005B1FD5" w:rsidRPr="007246A9" w:rsidRDefault="005B1FD5" w:rsidP="00B043BD">
      <w:pPr>
        <w:spacing w:after="0" w:line="360" w:lineRule="auto"/>
        <w:rPr>
          <w:rFonts w:ascii="Arial" w:hAnsi="Arial" w:cs="Arial"/>
          <w:b/>
          <w:bCs/>
          <w:i/>
          <w:color w:val="FF9900"/>
          <w:sz w:val="20"/>
          <w:szCs w:val="24"/>
          <w:lang w:val="el-GR" w:eastAsia="el-GR"/>
        </w:rPr>
      </w:pPr>
      <w:r w:rsidRPr="007246A9">
        <w:rPr>
          <w:rFonts w:ascii="Arial" w:hAnsi="Arial" w:cs="Arial"/>
          <w:b/>
          <w:bCs/>
          <w:i/>
          <w:color w:val="FF9900"/>
          <w:sz w:val="20"/>
          <w:szCs w:val="24"/>
          <w:lang w:val="el-GR" w:eastAsia="el-GR"/>
        </w:rPr>
        <w:t xml:space="preserve">Καταθέσεις </w:t>
      </w:r>
    </w:p>
    <w:p w14:paraId="716413C8" w14:textId="3C35C5F8" w:rsidR="00352599" w:rsidRPr="007246A9" w:rsidRDefault="00352599" w:rsidP="00F70A02">
      <w:pPr>
        <w:spacing w:after="0" w:line="240" w:lineRule="auto"/>
        <w:jc w:val="both"/>
        <w:rPr>
          <w:rFonts w:ascii="Arial" w:hAnsi="Arial" w:cs="Arial"/>
          <w:sz w:val="18"/>
          <w:lang w:val="el-GR" w:eastAsia="el-GR"/>
        </w:rPr>
      </w:pPr>
      <w:r w:rsidRPr="007246A9">
        <w:rPr>
          <w:rFonts w:ascii="Arial" w:hAnsi="Arial" w:cs="Arial"/>
          <w:sz w:val="18"/>
          <w:lang w:val="el-GR" w:eastAsia="el-GR"/>
        </w:rPr>
        <w:t>Οι συνολικές καταθέσεις πελατών του Συγκροτήματος ανήλθαν σε</w:t>
      </w:r>
      <w:r w:rsidR="00BD4D2F" w:rsidRPr="007246A9">
        <w:rPr>
          <w:rFonts w:ascii="Arial" w:hAnsi="Arial" w:cs="Arial"/>
          <w:sz w:val="18"/>
          <w:lang w:val="el-GR" w:eastAsia="el-GR"/>
        </w:rPr>
        <w:t xml:space="preserve"> </w:t>
      </w:r>
      <w:bookmarkStart w:id="12" w:name="_Hlk149578233"/>
      <w:r w:rsidR="00173828" w:rsidRPr="007246A9">
        <w:rPr>
          <w:rFonts w:ascii="Arial" w:hAnsi="Arial" w:cs="Arial"/>
          <w:sz w:val="18"/>
          <w:lang w:val="el-GR" w:eastAsia="el-GR"/>
        </w:rPr>
        <w:t>€</w:t>
      </w:r>
      <w:r w:rsidR="00406868" w:rsidRPr="00502B4F">
        <w:rPr>
          <w:rFonts w:ascii="Arial" w:eastAsia="Times New Roman" w:hAnsi="Arial" w:cs="Arial"/>
          <w:sz w:val="18"/>
          <w:szCs w:val="18"/>
          <w:lang w:val="el-GR" w:eastAsia="el-GR"/>
        </w:rPr>
        <w:t>19,989</w:t>
      </w:r>
      <w:r w:rsidR="00406868">
        <w:rPr>
          <w:rFonts w:ascii="Arial" w:eastAsia="Times New Roman" w:hAnsi="Arial" w:cs="Arial"/>
          <w:sz w:val="18"/>
          <w:szCs w:val="18"/>
          <w:lang w:val="el-GR" w:eastAsia="el-GR"/>
        </w:rPr>
        <w:t xml:space="preserve"> </w:t>
      </w:r>
      <w:bookmarkEnd w:id="12"/>
      <w:r w:rsidR="00BD4D2F" w:rsidRPr="007246A9">
        <w:rPr>
          <w:rFonts w:ascii="Arial" w:hAnsi="Arial" w:cs="Arial"/>
          <w:sz w:val="18"/>
          <w:lang w:val="el-GR" w:eastAsia="el-GR"/>
        </w:rPr>
        <w:t xml:space="preserve">εκατ. στις </w:t>
      </w:r>
      <w:r w:rsidR="00AD5224" w:rsidRPr="007246A9">
        <w:rPr>
          <w:rFonts w:ascii="Arial" w:hAnsi="Arial" w:cs="Arial"/>
          <w:sz w:val="18"/>
          <w:lang w:val="el-GR" w:eastAsia="el-GR"/>
        </w:rPr>
        <w:t xml:space="preserve">30 </w:t>
      </w:r>
      <w:r w:rsidR="00EB0563" w:rsidRPr="00EB0563">
        <w:rPr>
          <w:rFonts w:ascii="Arial" w:hAnsi="Arial" w:cs="Arial"/>
          <w:sz w:val="18"/>
          <w:szCs w:val="18"/>
          <w:lang w:val="el-GR" w:eastAsia="el-GR"/>
        </w:rPr>
        <w:t xml:space="preserve">Σεπτεμβρίου </w:t>
      </w:r>
      <w:r w:rsidR="00496CDD" w:rsidRPr="007246A9">
        <w:rPr>
          <w:rFonts w:ascii="Arial" w:hAnsi="Arial" w:cs="Arial"/>
          <w:sz w:val="18"/>
          <w:lang w:val="el-GR" w:eastAsia="el-GR"/>
        </w:rPr>
        <w:t>2024</w:t>
      </w:r>
      <w:r w:rsidR="00952384" w:rsidRPr="007246A9">
        <w:rPr>
          <w:rFonts w:ascii="Arial" w:hAnsi="Arial" w:cs="Arial"/>
          <w:sz w:val="18"/>
          <w:lang w:val="el-GR" w:eastAsia="el-GR"/>
        </w:rPr>
        <w:t xml:space="preserve"> </w:t>
      </w:r>
      <w:r w:rsidRPr="007246A9">
        <w:rPr>
          <w:rFonts w:ascii="Arial" w:hAnsi="Arial" w:cs="Arial"/>
          <w:sz w:val="18"/>
          <w:lang w:val="el-GR" w:eastAsia="el-GR"/>
        </w:rPr>
        <w:t>(σε σύγκριση με</w:t>
      </w:r>
      <w:r w:rsidR="00BD4D2F" w:rsidRPr="007246A9">
        <w:rPr>
          <w:rFonts w:ascii="Arial" w:hAnsi="Arial" w:cs="Arial"/>
          <w:sz w:val="18"/>
          <w:lang w:val="el-GR" w:eastAsia="el-GR"/>
        </w:rPr>
        <w:t xml:space="preserve"> </w:t>
      </w:r>
      <w:r w:rsidR="00EB0563" w:rsidRPr="007246A9">
        <w:rPr>
          <w:rFonts w:ascii="Arial" w:hAnsi="Arial" w:cs="Arial"/>
          <w:sz w:val="18"/>
          <w:lang w:val="el-GR" w:eastAsia="el-GR"/>
        </w:rPr>
        <w:t>€</w:t>
      </w:r>
      <w:r w:rsidR="00EB0563" w:rsidRPr="007246A9">
        <w:rPr>
          <w:rFonts w:ascii="Arial" w:eastAsia="Times New Roman" w:hAnsi="Arial" w:cs="Arial"/>
          <w:sz w:val="18"/>
          <w:szCs w:val="18"/>
          <w:lang w:val="el-GR" w:eastAsia="el-GR"/>
        </w:rPr>
        <w:t xml:space="preserve">19,723 </w:t>
      </w:r>
      <w:r w:rsidR="00EB0563" w:rsidRPr="007246A9">
        <w:rPr>
          <w:rFonts w:ascii="Arial" w:hAnsi="Arial" w:cs="Arial"/>
          <w:sz w:val="18"/>
          <w:lang w:val="el-GR" w:eastAsia="el-GR"/>
        </w:rPr>
        <w:t xml:space="preserve">εκατ. στις 30 Ιουνίου 2024 </w:t>
      </w:r>
      <w:r w:rsidR="00AD5224" w:rsidRPr="007246A9">
        <w:rPr>
          <w:rFonts w:ascii="Arial" w:hAnsi="Arial" w:cs="Arial"/>
          <w:sz w:val="18"/>
          <w:lang w:val="el-GR" w:eastAsia="el-GR"/>
        </w:rPr>
        <w:t xml:space="preserve">και </w:t>
      </w:r>
      <w:r w:rsidR="00AD5224" w:rsidRPr="00406868">
        <w:rPr>
          <w:rFonts w:ascii="Arial" w:hAnsi="Arial" w:cs="Arial"/>
          <w:sz w:val="18"/>
          <w:lang w:val="el-GR" w:eastAsia="el-GR"/>
        </w:rPr>
        <w:t xml:space="preserve">με </w:t>
      </w:r>
      <w:r w:rsidR="004964ED">
        <w:rPr>
          <w:rFonts w:ascii="Arial" w:hAnsi="Arial" w:cs="Arial"/>
          <w:sz w:val="18"/>
          <w:lang w:val="el-GR" w:eastAsia="el-GR"/>
        </w:rPr>
        <w:t>€</w:t>
      </w:r>
      <w:r w:rsidR="00496CDD" w:rsidRPr="00406868">
        <w:rPr>
          <w:rFonts w:ascii="Arial" w:hAnsi="Arial" w:cs="Arial"/>
          <w:sz w:val="18"/>
          <w:lang w:val="el-GR" w:eastAsia="el-GR"/>
        </w:rPr>
        <w:t>19,337 εκατ. στις 31 Δεκεμβρίου 2023</w:t>
      </w:r>
      <w:r w:rsidRPr="00502B4F">
        <w:rPr>
          <w:rFonts w:ascii="Arial" w:hAnsi="Arial" w:cs="Arial"/>
          <w:sz w:val="18"/>
          <w:lang w:val="el-GR" w:eastAsia="el-GR"/>
        </w:rPr>
        <w:t>)</w:t>
      </w:r>
      <w:r w:rsidR="008350CB" w:rsidRPr="00502B4F">
        <w:rPr>
          <w:rFonts w:ascii="Arial" w:hAnsi="Arial" w:cs="Arial"/>
          <w:sz w:val="18"/>
          <w:lang w:val="el-GR" w:eastAsia="el-GR"/>
        </w:rPr>
        <w:t>,</w:t>
      </w:r>
      <w:r w:rsidR="00406868">
        <w:rPr>
          <w:rFonts w:ascii="Arial" w:hAnsi="Arial" w:cs="Arial"/>
          <w:sz w:val="18"/>
          <w:lang w:val="el-GR" w:eastAsia="el-GR"/>
        </w:rPr>
        <w:t xml:space="preserve"> </w:t>
      </w:r>
      <w:r w:rsidR="00496CDD" w:rsidRPr="00502B4F">
        <w:rPr>
          <w:rFonts w:ascii="Arial" w:hAnsi="Arial" w:cs="Arial"/>
          <w:sz w:val="18"/>
          <w:lang w:val="el-GR" w:eastAsia="el-GR"/>
        </w:rPr>
        <w:t xml:space="preserve">αυξημένες κατά </w:t>
      </w:r>
      <w:r w:rsidR="00406868" w:rsidRPr="00502B4F">
        <w:rPr>
          <w:rFonts w:ascii="Arial" w:hAnsi="Arial" w:cs="Arial"/>
          <w:sz w:val="18"/>
          <w:lang w:val="el-GR" w:eastAsia="el-GR"/>
        </w:rPr>
        <w:t>1</w:t>
      </w:r>
      <w:r w:rsidR="00496CDD" w:rsidRPr="00502B4F">
        <w:rPr>
          <w:rFonts w:ascii="Arial" w:hAnsi="Arial" w:cs="Arial"/>
          <w:sz w:val="18"/>
          <w:lang w:val="el-GR" w:eastAsia="el-GR"/>
        </w:rPr>
        <w:t xml:space="preserve">% </w:t>
      </w:r>
      <w:r w:rsidR="00AD5224" w:rsidRPr="00502B4F">
        <w:rPr>
          <w:rFonts w:ascii="Arial" w:hAnsi="Arial" w:cs="Arial"/>
          <w:sz w:val="18"/>
          <w:lang w:val="el-GR" w:eastAsia="el-GR"/>
        </w:rPr>
        <w:t>σε τριμηνιαία βάση</w:t>
      </w:r>
      <w:r w:rsidR="004D1327" w:rsidRPr="00502B4F">
        <w:rPr>
          <w:rFonts w:ascii="Arial" w:hAnsi="Arial" w:cs="Arial"/>
          <w:sz w:val="18"/>
          <w:lang w:val="el-GR" w:eastAsia="el-GR"/>
        </w:rPr>
        <w:t xml:space="preserve"> και </w:t>
      </w:r>
      <w:r w:rsidR="00406868" w:rsidRPr="00502B4F">
        <w:rPr>
          <w:rFonts w:ascii="Arial" w:hAnsi="Arial" w:cs="Arial"/>
          <w:sz w:val="18"/>
          <w:lang w:val="el-GR" w:eastAsia="el-GR"/>
        </w:rPr>
        <w:t xml:space="preserve">κατά 3% </w:t>
      </w:r>
      <w:r w:rsidR="004D1327" w:rsidRPr="00502B4F">
        <w:rPr>
          <w:rFonts w:ascii="Arial" w:hAnsi="Arial" w:cs="Arial"/>
          <w:sz w:val="18"/>
          <w:lang w:val="el-GR" w:eastAsia="el-GR"/>
        </w:rPr>
        <w:t>από την αρχή του έτους.</w:t>
      </w:r>
      <w:r w:rsidR="004D1327" w:rsidRPr="007246A9">
        <w:rPr>
          <w:rFonts w:ascii="Arial" w:hAnsi="Arial" w:cs="Arial"/>
          <w:sz w:val="18"/>
          <w:lang w:val="el-GR" w:eastAsia="el-GR"/>
        </w:rPr>
        <w:t xml:space="preserve"> </w:t>
      </w:r>
      <w:r w:rsidR="00135591" w:rsidRPr="007246A9">
        <w:rPr>
          <w:rFonts w:ascii="Arial" w:hAnsi="Arial" w:cs="Arial"/>
          <w:sz w:val="18"/>
          <w:lang w:val="el-GR" w:eastAsia="el-GR"/>
        </w:rPr>
        <w:t xml:space="preserve">Κατά τις </w:t>
      </w:r>
      <w:r w:rsidR="00AD5224" w:rsidRPr="007246A9">
        <w:rPr>
          <w:rFonts w:ascii="Arial" w:hAnsi="Arial" w:cs="Arial"/>
          <w:sz w:val="18"/>
          <w:lang w:val="el-GR" w:eastAsia="el-GR"/>
        </w:rPr>
        <w:t xml:space="preserve">30 </w:t>
      </w:r>
      <w:r w:rsidR="00EB0563" w:rsidRPr="00EB0563">
        <w:rPr>
          <w:rFonts w:ascii="Arial" w:hAnsi="Arial" w:cs="Arial"/>
          <w:sz w:val="18"/>
          <w:szCs w:val="18"/>
          <w:lang w:val="el-GR" w:eastAsia="el-GR"/>
        </w:rPr>
        <w:t xml:space="preserve">Σεπτεμβρίου </w:t>
      </w:r>
      <w:r w:rsidR="00496CDD" w:rsidRPr="007246A9">
        <w:rPr>
          <w:rFonts w:ascii="Arial" w:hAnsi="Arial" w:cs="Arial"/>
          <w:sz w:val="18"/>
          <w:lang w:val="el-GR" w:eastAsia="el-GR"/>
        </w:rPr>
        <w:t>2024</w:t>
      </w:r>
      <w:r w:rsidR="00135591" w:rsidRPr="007246A9">
        <w:rPr>
          <w:rFonts w:ascii="Arial" w:hAnsi="Arial" w:cs="Arial"/>
          <w:sz w:val="18"/>
          <w:lang w:val="el-GR" w:eastAsia="el-GR"/>
        </w:rPr>
        <w:t xml:space="preserve">, </w:t>
      </w:r>
      <w:r w:rsidR="004964ED">
        <w:rPr>
          <w:rFonts w:ascii="Arial" w:hAnsi="Arial" w:cs="Arial"/>
          <w:sz w:val="18"/>
          <w:lang w:val="el-GR" w:eastAsia="el-GR"/>
        </w:rPr>
        <w:t>η καταθετική βάση</w:t>
      </w:r>
      <w:r w:rsidR="00496CDD" w:rsidRPr="00406868">
        <w:rPr>
          <w:rFonts w:ascii="Arial" w:hAnsi="Arial" w:cs="Arial"/>
          <w:sz w:val="18"/>
          <w:lang w:val="el-GR" w:eastAsia="el-GR"/>
        </w:rPr>
        <w:t xml:space="preserve"> είναι</w:t>
      </w:r>
      <w:r w:rsidRPr="00406868">
        <w:rPr>
          <w:rFonts w:ascii="Arial" w:hAnsi="Arial" w:cs="Arial"/>
          <w:sz w:val="18"/>
          <w:lang w:val="el-GR" w:eastAsia="el-GR"/>
        </w:rPr>
        <w:t xml:space="preserve"> </w:t>
      </w:r>
      <w:r w:rsidR="00D80EB1" w:rsidRPr="00406868">
        <w:rPr>
          <w:rFonts w:ascii="Arial" w:hAnsi="Arial" w:cs="Arial"/>
          <w:sz w:val="18"/>
          <w:lang w:val="el-GR" w:eastAsia="el-GR"/>
        </w:rPr>
        <w:t xml:space="preserve">ως </w:t>
      </w:r>
      <w:r w:rsidRPr="00406868">
        <w:rPr>
          <w:rFonts w:ascii="Arial" w:hAnsi="Arial" w:cs="Arial"/>
          <w:sz w:val="18"/>
          <w:lang w:val="el-GR" w:eastAsia="el-GR"/>
        </w:rPr>
        <w:t xml:space="preserve">επί </w:t>
      </w:r>
      <w:r w:rsidR="00172962" w:rsidRPr="00406868">
        <w:rPr>
          <w:rFonts w:ascii="Arial" w:hAnsi="Arial" w:cs="Arial"/>
          <w:sz w:val="18"/>
          <w:lang w:val="el-GR" w:eastAsia="el-GR"/>
        </w:rPr>
        <w:t xml:space="preserve">το </w:t>
      </w:r>
      <w:r w:rsidR="00D80EB1" w:rsidRPr="00406868">
        <w:rPr>
          <w:rFonts w:ascii="Arial" w:hAnsi="Arial" w:cs="Arial"/>
          <w:sz w:val="18"/>
          <w:lang w:val="el-GR" w:eastAsia="el-GR"/>
        </w:rPr>
        <w:t xml:space="preserve">πλείστο </w:t>
      </w:r>
      <w:r w:rsidR="004964ED">
        <w:rPr>
          <w:rFonts w:ascii="Arial" w:hAnsi="Arial" w:cs="Arial"/>
          <w:sz w:val="18"/>
          <w:lang w:val="el-GR" w:eastAsia="el-GR"/>
        </w:rPr>
        <w:t xml:space="preserve">λιανική </w:t>
      </w:r>
      <w:r w:rsidRPr="00406868">
        <w:rPr>
          <w:rFonts w:ascii="Arial" w:hAnsi="Arial" w:cs="Arial"/>
          <w:sz w:val="18"/>
          <w:lang w:val="el-GR" w:eastAsia="el-GR"/>
        </w:rPr>
        <w:t xml:space="preserve">και </w:t>
      </w:r>
      <w:r w:rsidR="00406868" w:rsidRPr="00502B4F">
        <w:rPr>
          <w:rFonts w:ascii="Arial" w:hAnsi="Arial" w:cs="Arial"/>
          <w:sz w:val="18"/>
          <w:lang w:val="el-GR" w:eastAsia="el-GR"/>
        </w:rPr>
        <w:t>56</w:t>
      </w:r>
      <w:r w:rsidRPr="00406868">
        <w:rPr>
          <w:rFonts w:ascii="Arial" w:hAnsi="Arial" w:cs="Arial"/>
          <w:sz w:val="18"/>
          <w:lang w:val="el-GR" w:eastAsia="el-GR"/>
        </w:rPr>
        <w:t>% των καταθέσεων είναι προστατευμένες από το ταμείο εγγύησης καταθέσεων</w:t>
      </w:r>
      <w:r w:rsidR="00135591" w:rsidRPr="00406868">
        <w:rPr>
          <w:rFonts w:ascii="Arial" w:hAnsi="Arial" w:cs="Arial"/>
          <w:sz w:val="18"/>
          <w:lang w:val="el-GR" w:eastAsia="el-GR"/>
        </w:rPr>
        <w:t xml:space="preserve">. </w:t>
      </w:r>
    </w:p>
    <w:p w14:paraId="7A456082" w14:textId="77777777" w:rsidR="00F70A02" w:rsidRPr="007246A9" w:rsidRDefault="00F70A02" w:rsidP="004953BA">
      <w:pPr>
        <w:spacing w:after="0" w:line="240" w:lineRule="auto"/>
        <w:jc w:val="both"/>
        <w:rPr>
          <w:rFonts w:ascii="Arial" w:hAnsi="Arial" w:cs="Arial"/>
          <w:sz w:val="18"/>
          <w:lang w:val="el-GR" w:eastAsia="el-GR"/>
        </w:rPr>
      </w:pPr>
    </w:p>
    <w:p w14:paraId="64251D36" w14:textId="1FB5D82A" w:rsidR="00E70DFD" w:rsidRPr="00E40FED" w:rsidRDefault="00352599" w:rsidP="00E70DFD">
      <w:pPr>
        <w:tabs>
          <w:tab w:val="center" w:pos="4153"/>
          <w:tab w:val="right" w:pos="8306"/>
        </w:tabs>
        <w:spacing w:after="0" w:line="240" w:lineRule="auto"/>
        <w:jc w:val="both"/>
        <w:rPr>
          <w:rFonts w:ascii="Arial" w:hAnsi="Arial" w:cs="Arial"/>
          <w:color w:val="000000" w:themeColor="text1"/>
          <w:sz w:val="18"/>
          <w:szCs w:val="18"/>
          <w:lang w:val="el-GR" w:eastAsia="el-GR"/>
        </w:rPr>
      </w:pPr>
      <w:r w:rsidRPr="00E40FED">
        <w:rPr>
          <w:rFonts w:ascii="Arial" w:hAnsi="Arial" w:cs="Arial"/>
          <w:color w:val="000000" w:themeColor="text1"/>
          <w:sz w:val="18"/>
          <w:szCs w:val="18"/>
          <w:lang w:val="el-GR" w:eastAsia="el-GR"/>
        </w:rPr>
        <w:t>Το μερίδιο αγοράς της Τράπεζας στις καταθέσεις στην Κύπρο ανήλθε σε</w:t>
      </w:r>
      <w:r w:rsidR="00184DE4" w:rsidRPr="00E40FED">
        <w:rPr>
          <w:rFonts w:ascii="Arial" w:hAnsi="Arial" w:cs="Arial"/>
          <w:color w:val="000000" w:themeColor="text1"/>
          <w:sz w:val="18"/>
          <w:szCs w:val="18"/>
          <w:lang w:val="el-GR" w:eastAsia="el-GR"/>
        </w:rPr>
        <w:t xml:space="preserve"> </w:t>
      </w:r>
      <w:r w:rsidR="00406868" w:rsidRPr="00E40FED">
        <w:rPr>
          <w:rFonts w:ascii="Arial" w:hAnsi="Arial" w:cs="Arial"/>
          <w:color w:val="000000" w:themeColor="text1"/>
          <w:sz w:val="18"/>
          <w:szCs w:val="18"/>
          <w:lang w:val="el-GR"/>
        </w:rPr>
        <w:t>37.</w:t>
      </w:r>
      <w:r w:rsidR="00E40FED" w:rsidRPr="00E40FED">
        <w:rPr>
          <w:rFonts w:ascii="Arial" w:hAnsi="Arial" w:cs="Arial"/>
          <w:color w:val="000000" w:themeColor="text1"/>
          <w:sz w:val="18"/>
          <w:szCs w:val="18"/>
          <w:lang w:val="el-GR"/>
        </w:rPr>
        <w:t>6</w:t>
      </w:r>
      <w:r w:rsidR="00406868" w:rsidRPr="00E40FED">
        <w:rPr>
          <w:rFonts w:ascii="Arial" w:hAnsi="Arial" w:cs="Arial"/>
          <w:color w:val="000000" w:themeColor="text1"/>
          <w:sz w:val="18"/>
          <w:szCs w:val="18"/>
          <w:lang w:val="el-GR"/>
        </w:rPr>
        <w:t>%</w:t>
      </w:r>
      <w:r w:rsidR="005508D1" w:rsidRPr="00E40FED">
        <w:rPr>
          <w:rFonts w:ascii="Arial" w:hAnsi="Arial" w:cs="Arial"/>
          <w:color w:val="000000" w:themeColor="text1"/>
          <w:sz w:val="18"/>
          <w:szCs w:val="18"/>
          <w:lang w:val="el-GR" w:eastAsia="el-GR"/>
        </w:rPr>
        <w:t xml:space="preserve"> στις </w:t>
      </w:r>
      <w:r w:rsidR="00E40FED" w:rsidRPr="00E40FED">
        <w:rPr>
          <w:rFonts w:ascii="Arial" w:hAnsi="Arial" w:cs="Arial"/>
          <w:color w:val="000000" w:themeColor="text1"/>
          <w:sz w:val="18"/>
          <w:szCs w:val="18"/>
          <w:lang w:val="el-GR" w:eastAsia="el-GR"/>
        </w:rPr>
        <w:t>30</w:t>
      </w:r>
      <w:r w:rsidR="00406868" w:rsidRPr="00E40FED">
        <w:rPr>
          <w:rFonts w:ascii="Arial" w:hAnsi="Arial" w:cs="Arial"/>
          <w:color w:val="000000" w:themeColor="text1"/>
          <w:sz w:val="18"/>
          <w:szCs w:val="18"/>
          <w:lang w:val="el-GR" w:eastAsia="el-GR"/>
        </w:rPr>
        <w:t xml:space="preserve"> </w:t>
      </w:r>
      <w:r w:rsidR="00E40FED" w:rsidRPr="00E40FED">
        <w:rPr>
          <w:rFonts w:ascii="Arial" w:hAnsi="Arial" w:cs="Arial"/>
          <w:color w:val="000000" w:themeColor="text1"/>
          <w:sz w:val="18"/>
          <w:szCs w:val="18"/>
          <w:lang w:val="el-GR" w:eastAsia="el-GR"/>
        </w:rPr>
        <w:t>Σεπτεμβρίου</w:t>
      </w:r>
      <w:r w:rsidR="00406868" w:rsidRPr="00E40FED">
        <w:rPr>
          <w:rFonts w:ascii="Arial" w:hAnsi="Arial" w:cs="Arial"/>
          <w:color w:val="000000" w:themeColor="text1"/>
          <w:sz w:val="18"/>
          <w:szCs w:val="18"/>
          <w:lang w:val="el-GR" w:eastAsia="el-GR"/>
        </w:rPr>
        <w:t xml:space="preserve"> </w:t>
      </w:r>
      <w:r w:rsidR="005508D1" w:rsidRPr="00E40FED">
        <w:rPr>
          <w:rFonts w:ascii="Arial" w:hAnsi="Arial" w:cs="Arial"/>
          <w:color w:val="000000" w:themeColor="text1"/>
          <w:sz w:val="18"/>
          <w:szCs w:val="18"/>
          <w:lang w:val="el-GR" w:eastAsia="el-GR"/>
        </w:rPr>
        <w:t xml:space="preserve">2024, σε σύγκριση με </w:t>
      </w:r>
      <w:r w:rsidR="00EB0563" w:rsidRPr="00E40FED">
        <w:rPr>
          <w:rFonts w:ascii="Arial" w:hAnsi="Arial" w:cs="Arial"/>
          <w:color w:val="000000" w:themeColor="text1"/>
          <w:sz w:val="18"/>
          <w:szCs w:val="18"/>
          <w:lang w:val="el-GR"/>
        </w:rPr>
        <w:t>37.5</w:t>
      </w:r>
      <w:r w:rsidR="00EB0563" w:rsidRPr="00E40FED">
        <w:rPr>
          <w:rFonts w:ascii="Arial" w:hAnsi="Arial" w:cs="Arial"/>
          <w:color w:val="000000" w:themeColor="text1"/>
          <w:sz w:val="18"/>
          <w:szCs w:val="18"/>
          <w:lang w:val="el-GR" w:eastAsia="el-GR"/>
        </w:rPr>
        <w:t xml:space="preserve">% στις 30 Ιουνίου 2024 </w:t>
      </w:r>
      <w:r w:rsidR="00AD5224" w:rsidRPr="00E40FED">
        <w:rPr>
          <w:rFonts w:ascii="Arial" w:hAnsi="Arial" w:cs="Arial"/>
          <w:color w:val="000000" w:themeColor="text1"/>
          <w:sz w:val="18"/>
          <w:szCs w:val="18"/>
          <w:lang w:val="el-GR" w:eastAsia="el-GR"/>
        </w:rPr>
        <w:t xml:space="preserve">και με </w:t>
      </w:r>
      <w:r w:rsidR="003E40E7" w:rsidRPr="00E40FED">
        <w:rPr>
          <w:rFonts w:ascii="Arial" w:hAnsi="Arial" w:cs="Arial"/>
          <w:color w:val="000000" w:themeColor="text1"/>
          <w:sz w:val="18"/>
          <w:szCs w:val="18"/>
          <w:lang w:val="el-GR" w:eastAsia="el-GR"/>
        </w:rPr>
        <w:t>3</w:t>
      </w:r>
      <w:r w:rsidR="00D80EB1" w:rsidRPr="00E40FED">
        <w:rPr>
          <w:rFonts w:ascii="Arial" w:hAnsi="Arial" w:cs="Arial"/>
          <w:color w:val="000000" w:themeColor="text1"/>
          <w:sz w:val="18"/>
          <w:szCs w:val="18"/>
          <w:lang w:val="el-GR" w:eastAsia="el-GR"/>
        </w:rPr>
        <w:t>7.</w:t>
      </w:r>
      <w:r w:rsidR="003E40E7" w:rsidRPr="00E40FED">
        <w:rPr>
          <w:rFonts w:ascii="Arial" w:hAnsi="Arial" w:cs="Arial"/>
          <w:color w:val="000000" w:themeColor="text1"/>
          <w:sz w:val="18"/>
          <w:szCs w:val="18"/>
          <w:lang w:val="el-GR" w:eastAsia="el-GR"/>
        </w:rPr>
        <w:t>7</w:t>
      </w:r>
      <w:r w:rsidRPr="00E40FED">
        <w:rPr>
          <w:rFonts w:ascii="Arial" w:hAnsi="Arial" w:cs="Arial"/>
          <w:color w:val="000000" w:themeColor="text1"/>
          <w:sz w:val="18"/>
          <w:szCs w:val="18"/>
          <w:lang w:val="el-GR" w:eastAsia="el-GR"/>
        </w:rPr>
        <w:t xml:space="preserve">% στις </w:t>
      </w:r>
      <w:r w:rsidR="00952384" w:rsidRPr="00E40FED">
        <w:rPr>
          <w:rFonts w:ascii="Arial" w:hAnsi="Arial" w:cs="Arial"/>
          <w:color w:val="000000" w:themeColor="text1"/>
          <w:sz w:val="18"/>
          <w:szCs w:val="18"/>
          <w:lang w:val="el-GR" w:eastAsia="el-GR"/>
        </w:rPr>
        <w:t xml:space="preserve">31 </w:t>
      </w:r>
      <w:r w:rsidR="00952384" w:rsidRPr="00E40FED">
        <w:rPr>
          <w:rFonts w:ascii="Arial" w:hAnsi="Arial" w:cs="Arial"/>
          <w:color w:val="000000" w:themeColor="text1"/>
          <w:sz w:val="18"/>
          <w:lang w:val="el-GR" w:eastAsia="el-GR"/>
        </w:rPr>
        <w:t xml:space="preserve">Δεκεμβρίου </w:t>
      </w:r>
      <w:r w:rsidRPr="00E40FED">
        <w:rPr>
          <w:rFonts w:ascii="Arial" w:hAnsi="Arial" w:cs="Arial"/>
          <w:color w:val="000000" w:themeColor="text1"/>
          <w:sz w:val="18"/>
          <w:szCs w:val="18"/>
          <w:lang w:val="el-GR" w:eastAsia="el-GR"/>
        </w:rPr>
        <w:t>2023</w:t>
      </w:r>
      <w:r w:rsidR="005508D1" w:rsidRPr="00E40FED">
        <w:rPr>
          <w:rFonts w:ascii="Arial" w:hAnsi="Arial" w:cs="Arial"/>
          <w:color w:val="000000" w:themeColor="text1"/>
          <w:sz w:val="18"/>
          <w:szCs w:val="18"/>
          <w:lang w:val="el-GR" w:eastAsia="el-GR"/>
        </w:rPr>
        <w:t>.</w:t>
      </w:r>
      <w:r w:rsidR="004D1327" w:rsidRPr="00E40FED">
        <w:rPr>
          <w:rFonts w:ascii="Arial" w:hAnsi="Arial" w:cs="Arial"/>
          <w:color w:val="000000" w:themeColor="text1"/>
          <w:sz w:val="18"/>
          <w:szCs w:val="18"/>
          <w:lang w:val="el-GR" w:eastAsia="el-GR"/>
        </w:rPr>
        <w:t xml:space="preserve"> </w:t>
      </w:r>
      <w:r w:rsidRPr="00E40FED">
        <w:rPr>
          <w:rFonts w:ascii="Arial" w:hAnsi="Arial" w:cs="Arial"/>
          <w:color w:val="000000" w:themeColor="text1"/>
          <w:sz w:val="18"/>
          <w:szCs w:val="18"/>
          <w:lang w:val="el-GR" w:eastAsia="el-GR"/>
        </w:rPr>
        <w:t xml:space="preserve">Οι καταθέσεις πελατών αποτελούσαν το </w:t>
      </w:r>
      <w:r w:rsidR="00406868" w:rsidRPr="00E40FED">
        <w:rPr>
          <w:rFonts w:ascii="Arial" w:hAnsi="Arial" w:cs="Arial"/>
          <w:color w:val="000000" w:themeColor="text1"/>
          <w:sz w:val="18"/>
          <w:szCs w:val="18"/>
          <w:lang w:val="el-GR" w:eastAsia="el-GR"/>
        </w:rPr>
        <w:t>77</w:t>
      </w:r>
      <w:r w:rsidRPr="00E40FED">
        <w:rPr>
          <w:rFonts w:ascii="Arial" w:hAnsi="Arial" w:cs="Arial"/>
          <w:color w:val="000000" w:themeColor="text1"/>
          <w:sz w:val="18"/>
          <w:szCs w:val="18"/>
          <w:lang w:val="el-GR" w:eastAsia="el-GR"/>
        </w:rPr>
        <w:t xml:space="preserve">% του </w:t>
      </w:r>
      <w:r w:rsidR="00E70DFD" w:rsidRPr="00E40FED">
        <w:rPr>
          <w:rFonts w:ascii="Arial" w:hAnsi="Arial" w:cs="Arial"/>
          <w:color w:val="000000" w:themeColor="text1"/>
          <w:sz w:val="18"/>
          <w:szCs w:val="18"/>
          <w:lang w:val="el-GR" w:eastAsia="el-GR"/>
        </w:rPr>
        <w:t xml:space="preserve">συνόλου των περιουσιακών στοιχείων και το </w:t>
      </w:r>
      <w:r w:rsidR="00406868" w:rsidRPr="00E40FED">
        <w:rPr>
          <w:rFonts w:ascii="Arial" w:hAnsi="Arial" w:cs="Arial"/>
          <w:color w:val="000000" w:themeColor="text1"/>
          <w:sz w:val="18"/>
          <w:szCs w:val="18"/>
          <w:lang w:val="el-GR" w:eastAsia="el-GR"/>
        </w:rPr>
        <w:t>86</w:t>
      </w:r>
      <w:r w:rsidR="00E70DFD" w:rsidRPr="00E40FED">
        <w:rPr>
          <w:rFonts w:ascii="Arial" w:hAnsi="Arial" w:cs="Arial"/>
          <w:color w:val="000000" w:themeColor="text1"/>
          <w:sz w:val="18"/>
          <w:szCs w:val="18"/>
          <w:lang w:val="el-GR" w:eastAsia="el-GR"/>
        </w:rPr>
        <w:t xml:space="preserve">% του συνόλου των υποχρεώσεων στις </w:t>
      </w:r>
      <w:r w:rsidR="00AD5224" w:rsidRPr="00E40FED">
        <w:rPr>
          <w:rFonts w:ascii="Arial" w:hAnsi="Arial" w:cs="Arial"/>
          <w:color w:val="000000" w:themeColor="text1"/>
          <w:sz w:val="18"/>
          <w:szCs w:val="18"/>
          <w:lang w:val="el-GR" w:eastAsia="el-GR"/>
        </w:rPr>
        <w:t xml:space="preserve">30 </w:t>
      </w:r>
      <w:r w:rsidR="00EB0563" w:rsidRPr="00E40FED">
        <w:rPr>
          <w:rFonts w:ascii="Arial" w:hAnsi="Arial" w:cs="Arial"/>
          <w:color w:val="000000" w:themeColor="text1"/>
          <w:sz w:val="18"/>
          <w:szCs w:val="18"/>
          <w:lang w:val="el-GR" w:eastAsia="el-GR"/>
        </w:rPr>
        <w:t xml:space="preserve">Σεπτεμβρίου </w:t>
      </w:r>
      <w:r w:rsidR="005508D1" w:rsidRPr="00E40FED">
        <w:rPr>
          <w:rFonts w:ascii="Arial" w:hAnsi="Arial" w:cs="Arial"/>
          <w:color w:val="000000" w:themeColor="text1"/>
          <w:sz w:val="18"/>
          <w:szCs w:val="18"/>
          <w:lang w:val="el-GR" w:eastAsia="el-GR"/>
        </w:rPr>
        <w:t xml:space="preserve">2024 </w:t>
      </w:r>
      <w:r w:rsidR="00E70DFD" w:rsidRPr="00E40FED">
        <w:rPr>
          <w:rFonts w:ascii="Arial" w:hAnsi="Arial" w:cs="Arial"/>
          <w:color w:val="000000" w:themeColor="text1"/>
          <w:sz w:val="18"/>
          <w:szCs w:val="18"/>
          <w:lang w:val="el-GR" w:eastAsia="el-GR"/>
        </w:rPr>
        <w:t>(</w:t>
      </w:r>
      <w:r w:rsidR="00E422B4" w:rsidRPr="00E40FED">
        <w:rPr>
          <w:rFonts w:ascii="Arial" w:hAnsi="Arial" w:cs="Arial"/>
          <w:color w:val="000000" w:themeColor="text1"/>
          <w:sz w:val="18"/>
          <w:szCs w:val="18"/>
          <w:lang w:val="el-GR" w:eastAsia="el-GR"/>
        </w:rPr>
        <w:t>σε σύγκριση με 7</w:t>
      </w:r>
      <w:r w:rsidR="005508D1" w:rsidRPr="00E40FED">
        <w:rPr>
          <w:rFonts w:ascii="Arial" w:hAnsi="Arial" w:cs="Arial"/>
          <w:color w:val="000000" w:themeColor="text1"/>
          <w:sz w:val="18"/>
          <w:szCs w:val="18"/>
          <w:lang w:val="el-GR" w:eastAsia="el-GR"/>
        </w:rPr>
        <w:t>3</w:t>
      </w:r>
      <w:r w:rsidR="00E422B4" w:rsidRPr="00E40FED">
        <w:rPr>
          <w:rFonts w:ascii="Arial" w:hAnsi="Arial" w:cs="Arial"/>
          <w:color w:val="000000" w:themeColor="text1"/>
          <w:sz w:val="18"/>
          <w:szCs w:val="18"/>
          <w:lang w:val="el-GR" w:eastAsia="el-GR"/>
        </w:rPr>
        <w:t xml:space="preserve">% του συνόλου των περιουσιακών στοιχείων και </w:t>
      </w:r>
      <w:r w:rsidR="005508D1" w:rsidRPr="00E40FED">
        <w:rPr>
          <w:rFonts w:ascii="Arial" w:hAnsi="Arial" w:cs="Arial"/>
          <w:color w:val="000000" w:themeColor="text1"/>
          <w:sz w:val="18"/>
          <w:szCs w:val="18"/>
          <w:lang w:val="el-GR" w:eastAsia="el-GR"/>
        </w:rPr>
        <w:t>80</w:t>
      </w:r>
      <w:r w:rsidR="00E422B4" w:rsidRPr="00E40FED">
        <w:rPr>
          <w:rFonts w:ascii="Arial" w:hAnsi="Arial" w:cs="Arial"/>
          <w:color w:val="000000" w:themeColor="text1"/>
          <w:sz w:val="18"/>
          <w:szCs w:val="18"/>
          <w:lang w:val="el-GR" w:eastAsia="el-GR"/>
        </w:rPr>
        <w:t xml:space="preserve">% του συνόλου των υποχρεώσεων στις </w:t>
      </w:r>
      <w:r w:rsidR="00E70DFD" w:rsidRPr="00E40FED">
        <w:rPr>
          <w:rFonts w:ascii="Arial" w:hAnsi="Arial" w:cs="Arial"/>
          <w:color w:val="000000" w:themeColor="text1"/>
          <w:sz w:val="18"/>
          <w:szCs w:val="18"/>
          <w:lang w:val="el-GR" w:eastAsia="el-GR"/>
        </w:rPr>
        <w:t xml:space="preserve">31 Δεκεμβρίου </w:t>
      </w:r>
      <w:r w:rsidR="005508D1" w:rsidRPr="00E40FED">
        <w:rPr>
          <w:rFonts w:ascii="Arial" w:hAnsi="Arial" w:cs="Arial"/>
          <w:color w:val="000000" w:themeColor="text1"/>
          <w:sz w:val="18"/>
          <w:szCs w:val="18"/>
          <w:lang w:val="el-GR" w:eastAsia="el-GR"/>
        </w:rPr>
        <w:t>2023</w:t>
      </w:r>
      <w:r w:rsidR="00E70DFD" w:rsidRPr="00E40FED">
        <w:rPr>
          <w:rFonts w:ascii="Arial" w:hAnsi="Arial" w:cs="Arial"/>
          <w:color w:val="000000" w:themeColor="text1"/>
          <w:sz w:val="18"/>
          <w:szCs w:val="18"/>
          <w:lang w:val="el-GR" w:eastAsia="el-GR"/>
        </w:rPr>
        <w:t>).</w:t>
      </w:r>
      <w:r w:rsidR="003841C0" w:rsidRPr="00E40FED">
        <w:rPr>
          <w:rFonts w:ascii="Arial" w:hAnsi="Arial" w:cs="Arial"/>
          <w:color w:val="000000" w:themeColor="text1"/>
          <w:sz w:val="18"/>
          <w:szCs w:val="18"/>
          <w:lang w:val="el-GR" w:eastAsia="el-GR"/>
        </w:rPr>
        <w:t xml:space="preserve"> Η</w:t>
      </w:r>
      <w:r w:rsidR="004D1327" w:rsidRPr="00E40FED">
        <w:rPr>
          <w:rFonts w:ascii="Arial" w:hAnsi="Arial" w:cs="Arial"/>
          <w:color w:val="000000" w:themeColor="text1"/>
          <w:sz w:val="18"/>
          <w:szCs w:val="18"/>
          <w:lang w:val="el-GR" w:eastAsia="el-GR"/>
        </w:rPr>
        <w:t xml:space="preserve"> </w:t>
      </w:r>
      <w:r w:rsidR="003841C0" w:rsidRPr="00E40FED">
        <w:rPr>
          <w:rFonts w:ascii="Arial" w:hAnsi="Arial" w:cs="Arial"/>
          <w:color w:val="000000" w:themeColor="text1"/>
          <w:sz w:val="18"/>
          <w:szCs w:val="18"/>
          <w:lang w:val="el-GR" w:eastAsia="el-GR"/>
        </w:rPr>
        <w:t xml:space="preserve">αύξηση </w:t>
      </w:r>
      <w:r w:rsidR="004D1327" w:rsidRPr="00E40FED">
        <w:rPr>
          <w:rFonts w:ascii="Arial" w:hAnsi="Arial" w:cs="Arial"/>
          <w:color w:val="000000" w:themeColor="text1"/>
          <w:sz w:val="18"/>
          <w:szCs w:val="18"/>
          <w:lang w:val="el-GR" w:eastAsia="el-GR"/>
        </w:rPr>
        <w:t xml:space="preserve">από την αρχή του έτους </w:t>
      </w:r>
      <w:r w:rsidR="003841C0" w:rsidRPr="00E40FED">
        <w:rPr>
          <w:rFonts w:ascii="Arial" w:hAnsi="Arial" w:cs="Arial"/>
          <w:color w:val="000000" w:themeColor="text1"/>
          <w:sz w:val="18"/>
          <w:szCs w:val="18"/>
          <w:lang w:val="el-GR" w:eastAsia="el-GR"/>
        </w:rPr>
        <w:t>οφείλεται στην αποπληρωμή δανεισμού ΣΠΠΜΑ ύψους €</w:t>
      </w:r>
      <w:r w:rsidR="00AD5224" w:rsidRPr="00E40FED">
        <w:rPr>
          <w:rFonts w:ascii="Arial" w:hAnsi="Arial" w:cs="Arial"/>
          <w:color w:val="000000" w:themeColor="text1"/>
          <w:sz w:val="18"/>
          <w:szCs w:val="18"/>
          <w:lang w:val="el-GR" w:eastAsia="el-GR"/>
        </w:rPr>
        <w:t>2</w:t>
      </w:r>
      <w:r w:rsidR="003841C0" w:rsidRPr="00E40FED">
        <w:rPr>
          <w:rFonts w:ascii="Arial" w:hAnsi="Arial" w:cs="Arial"/>
          <w:color w:val="000000" w:themeColor="text1"/>
          <w:sz w:val="18"/>
          <w:szCs w:val="18"/>
          <w:lang w:val="el-GR" w:eastAsia="el-GR"/>
        </w:rPr>
        <w:t>.</w:t>
      </w:r>
      <w:r w:rsidR="004D1327" w:rsidRPr="00E40FED">
        <w:rPr>
          <w:rFonts w:ascii="Arial" w:hAnsi="Arial" w:cs="Arial"/>
          <w:color w:val="000000" w:themeColor="text1"/>
          <w:sz w:val="18"/>
          <w:szCs w:val="18"/>
          <w:lang w:val="el-GR" w:eastAsia="el-GR"/>
        </w:rPr>
        <w:t xml:space="preserve">0 </w:t>
      </w:r>
      <w:r w:rsidR="003841C0" w:rsidRPr="00E40FED">
        <w:rPr>
          <w:rFonts w:ascii="Arial" w:hAnsi="Arial" w:cs="Arial"/>
          <w:color w:val="000000" w:themeColor="text1"/>
          <w:sz w:val="18"/>
          <w:szCs w:val="18"/>
          <w:lang w:val="el-GR" w:eastAsia="el-GR"/>
        </w:rPr>
        <w:t>δις</w:t>
      </w:r>
      <w:r w:rsidR="00406868" w:rsidRPr="00E40FED">
        <w:rPr>
          <w:rFonts w:ascii="Arial" w:hAnsi="Arial" w:cs="Arial"/>
          <w:color w:val="000000" w:themeColor="text1"/>
          <w:sz w:val="18"/>
          <w:szCs w:val="18"/>
          <w:lang w:val="el-GR" w:eastAsia="el-GR"/>
        </w:rPr>
        <w:t xml:space="preserve">. </w:t>
      </w:r>
    </w:p>
    <w:p w14:paraId="614E086F" w14:textId="77777777" w:rsidR="001D4750" w:rsidRPr="007246A9" w:rsidRDefault="001D4750" w:rsidP="00F70A02">
      <w:pPr>
        <w:tabs>
          <w:tab w:val="center" w:pos="4153"/>
          <w:tab w:val="right" w:pos="8306"/>
        </w:tabs>
        <w:spacing w:after="0" w:line="240" w:lineRule="auto"/>
        <w:jc w:val="both"/>
        <w:rPr>
          <w:rFonts w:ascii="Arial" w:hAnsi="Arial" w:cs="Arial"/>
          <w:sz w:val="18"/>
          <w:szCs w:val="18"/>
          <w:lang w:val="el-GR" w:eastAsia="el-GR"/>
        </w:rPr>
      </w:pPr>
    </w:p>
    <w:p w14:paraId="4CCF7165" w14:textId="6EF93DB2" w:rsidR="001D4750" w:rsidRPr="007246A9" w:rsidRDefault="00352599" w:rsidP="00F70A02">
      <w:pPr>
        <w:tabs>
          <w:tab w:val="center" w:pos="4153"/>
          <w:tab w:val="right" w:pos="8306"/>
        </w:tabs>
        <w:spacing w:after="0" w:line="240" w:lineRule="auto"/>
        <w:jc w:val="both"/>
        <w:rPr>
          <w:rFonts w:ascii="Arial" w:hAnsi="Arial" w:cs="Arial"/>
          <w:sz w:val="18"/>
          <w:szCs w:val="18"/>
          <w:lang w:val="el-GR" w:eastAsia="el-GR"/>
        </w:rPr>
      </w:pPr>
      <w:r w:rsidRPr="007246A9">
        <w:rPr>
          <w:rFonts w:ascii="Arial" w:hAnsi="Arial" w:cs="Arial"/>
          <w:sz w:val="18"/>
          <w:szCs w:val="18"/>
          <w:lang w:val="el-GR" w:eastAsia="el-GR"/>
        </w:rPr>
        <w:t xml:space="preserve">Ο δείκτης δανείων (μετά τις προβλέψεις) προς καταθέσεις (Δ/Κ) ανήλθε </w:t>
      </w:r>
      <w:r w:rsidRPr="00406868">
        <w:rPr>
          <w:rFonts w:ascii="Arial" w:hAnsi="Arial" w:cs="Arial"/>
          <w:sz w:val="18"/>
          <w:szCs w:val="18"/>
          <w:lang w:val="el-GR" w:eastAsia="el-GR"/>
        </w:rPr>
        <w:t xml:space="preserve">σε </w:t>
      </w:r>
      <w:r w:rsidR="00406868" w:rsidRPr="00502B4F">
        <w:rPr>
          <w:rFonts w:ascii="Arial" w:hAnsi="Arial" w:cs="Arial"/>
          <w:sz w:val="18"/>
          <w:szCs w:val="18"/>
          <w:lang w:val="el-GR"/>
        </w:rPr>
        <w:t>50</w:t>
      </w:r>
      <w:r w:rsidRPr="00406868">
        <w:rPr>
          <w:rFonts w:ascii="Arial" w:hAnsi="Arial" w:cs="Arial"/>
          <w:sz w:val="18"/>
          <w:szCs w:val="18"/>
          <w:lang w:val="el-GR" w:eastAsia="el-GR"/>
        </w:rPr>
        <w:t xml:space="preserve">% στις </w:t>
      </w:r>
      <w:r w:rsidR="00AD5224" w:rsidRPr="007246A9">
        <w:rPr>
          <w:rFonts w:ascii="Arial" w:hAnsi="Arial" w:cs="Arial"/>
          <w:sz w:val="18"/>
          <w:szCs w:val="18"/>
          <w:lang w:val="el-GR" w:eastAsia="el-GR"/>
        </w:rPr>
        <w:t xml:space="preserve">30 </w:t>
      </w:r>
      <w:r w:rsidR="00EB0563" w:rsidRPr="00EB0563">
        <w:rPr>
          <w:rFonts w:ascii="Arial" w:hAnsi="Arial" w:cs="Arial"/>
          <w:sz w:val="18"/>
          <w:szCs w:val="18"/>
          <w:lang w:val="el-GR" w:eastAsia="el-GR"/>
        </w:rPr>
        <w:t xml:space="preserve">Σεπτεμβρίου </w:t>
      </w:r>
      <w:r w:rsidR="005508D1" w:rsidRPr="007246A9">
        <w:rPr>
          <w:rFonts w:ascii="Arial" w:hAnsi="Arial" w:cs="Arial"/>
          <w:sz w:val="18"/>
          <w:szCs w:val="18"/>
          <w:lang w:val="el-GR" w:eastAsia="el-GR"/>
        </w:rPr>
        <w:t xml:space="preserve">2024 </w:t>
      </w:r>
      <w:r w:rsidRPr="007246A9">
        <w:rPr>
          <w:rFonts w:ascii="Arial" w:hAnsi="Arial" w:cs="Arial"/>
          <w:sz w:val="18"/>
          <w:szCs w:val="18"/>
          <w:lang w:val="el-GR" w:eastAsia="el-GR"/>
        </w:rPr>
        <w:t>(σε σύγκριση με</w:t>
      </w:r>
      <w:r w:rsidR="00AD5224" w:rsidRPr="007246A9">
        <w:rPr>
          <w:rFonts w:ascii="Arial" w:hAnsi="Arial" w:cs="Arial"/>
          <w:sz w:val="18"/>
          <w:szCs w:val="18"/>
          <w:lang w:val="el-GR" w:eastAsia="el-GR"/>
        </w:rPr>
        <w:t xml:space="preserve"> </w:t>
      </w:r>
      <w:r w:rsidR="00EB0563" w:rsidRPr="007246A9">
        <w:rPr>
          <w:rFonts w:ascii="Arial" w:hAnsi="Arial" w:cs="Arial"/>
          <w:sz w:val="18"/>
          <w:szCs w:val="18"/>
          <w:lang w:val="el-GR"/>
        </w:rPr>
        <w:t>51</w:t>
      </w:r>
      <w:r w:rsidR="00EB0563" w:rsidRPr="00406868">
        <w:rPr>
          <w:rFonts w:ascii="Arial" w:hAnsi="Arial" w:cs="Arial"/>
          <w:sz w:val="18"/>
          <w:szCs w:val="18"/>
          <w:lang w:val="el-GR" w:eastAsia="el-GR"/>
        </w:rPr>
        <w:t xml:space="preserve">% στις 30 </w:t>
      </w:r>
      <w:r w:rsidR="00EB0563" w:rsidRPr="00406868">
        <w:rPr>
          <w:rFonts w:ascii="Arial" w:hAnsi="Arial" w:cs="Arial"/>
          <w:sz w:val="18"/>
          <w:lang w:val="el-GR" w:eastAsia="el-GR"/>
        </w:rPr>
        <w:t xml:space="preserve">Ιουνίου </w:t>
      </w:r>
      <w:r w:rsidR="00EB0563" w:rsidRPr="00406868">
        <w:rPr>
          <w:rFonts w:ascii="Arial" w:hAnsi="Arial" w:cs="Arial"/>
          <w:sz w:val="18"/>
          <w:szCs w:val="18"/>
          <w:lang w:val="el-GR" w:eastAsia="el-GR"/>
        </w:rPr>
        <w:t xml:space="preserve">2024 </w:t>
      </w:r>
      <w:r w:rsidR="00AD5224" w:rsidRPr="00406868">
        <w:rPr>
          <w:rFonts w:ascii="Arial" w:hAnsi="Arial" w:cs="Arial"/>
          <w:sz w:val="18"/>
          <w:szCs w:val="18"/>
          <w:lang w:val="el-GR" w:eastAsia="el-GR"/>
        </w:rPr>
        <w:t xml:space="preserve">και με </w:t>
      </w:r>
      <w:r w:rsidR="009A3414" w:rsidRPr="00406868">
        <w:rPr>
          <w:rFonts w:ascii="Arial" w:hAnsi="Arial" w:cs="Arial"/>
          <w:sz w:val="18"/>
          <w:szCs w:val="18"/>
          <w:lang w:val="el-GR"/>
        </w:rPr>
        <w:t>51</w:t>
      </w:r>
      <w:r w:rsidR="009A3414" w:rsidRPr="00406868">
        <w:rPr>
          <w:rFonts w:ascii="Arial" w:hAnsi="Arial" w:cs="Arial"/>
          <w:sz w:val="18"/>
          <w:szCs w:val="18"/>
          <w:lang w:val="el-GR" w:eastAsia="el-GR"/>
        </w:rPr>
        <w:t xml:space="preserve">% στις </w:t>
      </w:r>
      <w:r w:rsidR="005508D1" w:rsidRPr="00406868">
        <w:rPr>
          <w:rFonts w:ascii="Arial" w:hAnsi="Arial" w:cs="Arial"/>
          <w:sz w:val="18"/>
          <w:szCs w:val="18"/>
          <w:lang w:val="el-GR" w:eastAsia="el-GR"/>
        </w:rPr>
        <w:t xml:space="preserve">31 Δεκεμβρίου </w:t>
      </w:r>
      <w:r w:rsidR="009A3414" w:rsidRPr="00406868">
        <w:rPr>
          <w:rFonts w:ascii="Arial" w:hAnsi="Arial" w:cs="Arial"/>
          <w:sz w:val="18"/>
          <w:szCs w:val="18"/>
          <w:lang w:val="el-GR" w:eastAsia="el-GR"/>
        </w:rPr>
        <w:t>2023</w:t>
      </w:r>
      <w:r w:rsidR="005508D1" w:rsidRPr="00406868">
        <w:rPr>
          <w:rFonts w:ascii="Arial" w:hAnsi="Arial" w:cs="Arial"/>
          <w:sz w:val="18"/>
          <w:szCs w:val="18"/>
          <w:lang w:val="el-GR" w:eastAsia="el-GR"/>
        </w:rPr>
        <w:t xml:space="preserve"> στην ίδια βάση</w:t>
      </w:r>
      <w:r w:rsidRPr="00406868">
        <w:rPr>
          <w:rFonts w:ascii="Arial" w:hAnsi="Arial" w:cs="Arial"/>
          <w:sz w:val="18"/>
          <w:szCs w:val="18"/>
          <w:lang w:val="el-GR" w:eastAsia="el-GR"/>
        </w:rPr>
        <w:t>),</w:t>
      </w:r>
      <w:r w:rsidR="00695779" w:rsidRPr="00406868">
        <w:rPr>
          <w:rFonts w:ascii="Arial" w:hAnsi="Arial" w:cs="Arial"/>
          <w:sz w:val="18"/>
          <w:szCs w:val="18"/>
          <w:lang w:val="el-GR" w:eastAsia="el-GR"/>
        </w:rPr>
        <w:t xml:space="preserve"> </w:t>
      </w:r>
      <w:r w:rsidR="00406868" w:rsidRPr="00406868">
        <w:rPr>
          <w:rFonts w:ascii="Arial" w:hAnsi="Arial" w:cs="Arial"/>
          <w:sz w:val="18"/>
          <w:szCs w:val="18"/>
          <w:lang w:val="el-GR" w:eastAsia="el-GR"/>
        </w:rPr>
        <w:t xml:space="preserve">μειωμένος κατά 1 </w:t>
      </w:r>
      <w:proofErr w:type="spellStart"/>
      <w:r w:rsidR="00406868" w:rsidRPr="00406868">
        <w:rPr>
          <w:rFonts w:ascii="Arial" w:hAnsi="Arial" w:cs="Arial"/>
          <w:sz w:val="18"/>
          <w:szCs w:val="18"/>
          <w:lang w:val="el-GR" w:eastAsia="el-GR"/>
        </w:rPr>
        <w:t>ε.μ</w:t>
      </w:r>
      <w:proofErr w:type="spellEnd"/>
      <w:r w:rsidR="00406868" w:rsidRPr="00406868">
        <w:rPr>
          <w:rFonts w:ascii="Arial" w:hAnsi="Arial" w:cs="Arial"/>
          <w:sz w:val="18"/>
          <w:szCs w:val="18"/>
          <w:lang w:val="el-GR" w:eastAsia="el-GR"/>
        </w:rPr>
        <w:t xml:space="preserve">. </w:t>
      </w:r>
      <w:r w:rsidR="004D1327" w:rsidRPr="00502B4F">
        <w:rPr>
          <w:rFonts w:ascii="Arial" w:hAnsi="Arial" w:cs="Arial"/>
          <w:sz w:val="18"/>
          <w:szCs w:val="18"/>
          <w:lang w:val="el-GR" w:eastAsia="el-GR"/>
        </w:rPr>
        <w:t>από την αρχή του έτους</w:t>
      </w:r>
      <w:r w:rsidR="005508D1" w:rsidRPr="00502B4F">
        <w:rPr>
          <w:rFonts w:ascii="Arial" w:hAnsi="Arial" w:cs="Arial"/>
          <w:sz w:val="18"/>
          <w:szCs w:val="18"/>
          <w:lang w:val="el-GR" w:eastAsia="el-GR"/>
        </w:rPr>
        <w:t>.</w:t>
      </w:r>
      <w:r w:rsidR="005508D1" w:rsidRPr="007246A9">
        <w:rPr>
          <w:rFonts w:ascii="Arial" w:hAnsi="Arial" w:cs="Arial"/>
          <w:sz w:val="18"/>
          <w:szCs w:val="18"/>
          <w:lang w:val="el-GR" w:eastAsia="el-GR"/>
        </w:rPr>
        <w:t xml:space="preserve"> </w:t>
      </w:r>
    </w:p>
    <w:p w14:paraId="0CB6D993" w14:textId="77777777" w:rsidR="009A3414" w:rsidRPr="007246A9" w:rsidRDefault="009A3414" w:rsidP="00B043BD">
      <w:pPr>
        <w:tabs>
          <w:tab w:val="center" w:pos="4153"/>
          <w:tab w:val="right" w:pos="8306"/>
        </w:tabs>
        <w:spacing w:after="0" w:line="240" w:lineRule="auto"/>
        <w:jc w:val="both"/>
        <w:rPr>
          <w:sz w:val="16"/>
          <w:szCs w:val="16"/>
          <w:lang w:val="el-GR" w:eastAsia="el-GR"/>
        </w:rPr>
      </w:pPr>
    </w:p>
    <w:p w14:paraId="7C7AD026" w14:textId="6AA6667E" w:rsidR="00352599" w:rsidRPr="007246A9" w:rsidRDefault="00352599" w:rsidP="004953BA">
      <w:pPr>
        <w:pStyle w:val="Footer"/>
        <w:tabs>
          <w:tab w:val="clear" w:pos="4153"/>
          <w:tab w:val="clear" w:pos="8306"/>
        </w:tabs>
        <w:spacing w:line="360" w:lineRule="auto"/>
        <w:jc w:val="both"/>
        <w:rPr>
          <w:rFonts w:ascii="Arial" w:hAnsi="Arial" w:cs="Arial"/>
          <w:b/>
          <w:bCs/>
          <w:i/>
          <w:color w:val="FF9900"/>
          <w:sz w:val="20"/>
          <w:szCs w:val="24"/>
          <w:lang w:val="el-GR"/>
        </w:rPr>
      </w:pPr>
      <w:r w:rsidRPr="007246A9">
        <w:rPr>
          <w:rFonts w:ascii="Arial" w:hAnsi="Arial" w:cs="Arial"/>
          <w:b/>
          <w:bCs/>
          <w:i/>
          <w:color w:val="FF9900"/>
          <w:sz w:val="20"/>
          <w:szCs w:val="24"/>
          <w:lang w:val="el-GR" w:eastAsia="el-GR"/>
        </w:rPr>
        <w:t>Υποχρεώσεις Μειωμένης Εξασφάλισης</w:t>
      </w:r>
    </w:p>
    <w:p w14:paraId="50C52717" w14:textId="6AC0C049" w:rsidR="00352599" w:rsidRPr="007246A9" w:rsidRDefault="00352599" w:rsidP="00F70A02">
      <w:pPr>
        <w:spacing w:after="0" w:line="240" w:lineRule="auto"/>
        <w:jc w:val="both"/>
        <w:rPr>
          <w:rFonts w:ascii="Arial" w:hAnsi="Arial" w:cs="Arial"/>
          <w:sz w:val="18"/>
          <w:szCs w:val="18"/>
          <w:lang w:val="el-GR" w:eastAsia="el-GR"/>
        </w:rPr>
      </w:pPr>
      <w:r w:rsidRPr="007246A9">
        <w:rPr>
          <w:rFonts w:ascii="Arial" w:hAnsi="Arial" w:cs="Arial"/>
          <w:sz w:val="18"/>
          <w:szCs w:val="18"/>
          <w:lang w:val="el-GR" w:eastAsia="el-GR"/>
        </w:rPr>
        <w:t xml:space="preserve">Στις </w:t>
      </w:r>
      <w:r w:rsidR="00DE567E" w:rsidRPr="007246A9">
        <w:rPr>
          <w:rFonts w:ascii="Arial" w:hAnsi="Arial" w:cs="Arial"/>
          <w:sz w:val="18"/>
          <w:lang w:val="el-GR" w:eastAsia="el-GR"/>
        </w:rPr>
        <w:t xml:space="preserve">30 </w:t>
      </w:r>
      <w:r w:rsidR="00EB0563" w:rsidRPr="00EB0563">
        <w:rPr>
          <w:rFonts w:ascii="Arial" w:hAnsi="Arial" w:cs="Arial"/>
          <w:sz w:val="18"/>
          <w:szCs w:val="18"/>
          <w:lang w:val="el-GR" w:eastAsia="el-GR"/>
        </w:rPr>
        <w:t xml:space="preserve">Σεπτεμβρίου </w:t>
      </w:r>
      <w:r w:rsidR="005508D1" w:rsidRPr="007246A9">
        <w:rPr>
          <w:rFonts w:ascii="Arial" w:hAnsi="Arial" w:cs="Arial"/>
          <w:sz w:val="18"/>
          <w:szCs w:val="18"/>
          <w:lang w:val="el-GR" w:eastAsia="el-GR"/>
        </w:rPr>
        <w:t>2024</w:t>
      </w:r>
      <w:r w:rsidRPr="007246A9">
        <w:rPr>
          <w:rFonts w:ascii="Arial" w:hAnsi="Arial" w:cs="Arial"/>
          <w:sz w:val="18"/>
          <w:szCs w:val="18"/>
          <w:lang w:val="el-GR" w:eastAsia="el-GR"/>
        </w:rPr>
        <w:t>,</w:t>
      </w:r>
      <w:r w:rsidR="00135591" w:rsidRPr="007246A9">
        <w:rPr>
          <w:rFonts w:ascii="Arial" w:hAnsi="Arial" w:cs="Arial"/>
          <w:sz w:val="18"/>
          <w:szCs w:val="18"/>
          <w:lang w:val="el-GR" w:eastAsia="el-GR"/>
        </w:rPr>
        <w:t xml:space="preserve"> η λογιστική αξία των </w:t>
      </w:r>
      <w:r w:rsidRPr="007246A9">
        <w:rPr>
          <w:rFonts w:ascii="Arial" w:hAnsi="Arial" w:cs="Arial"/>
          <w:sz w:val="18"/>
          <w:szCs w:val="18"/>
          <w:lang w:val="el-GR" w:eastAsia="el-GR"/>
        </w:rPr>
        <w:t>υποχρεώσε</w:t>
      </w:r>
      <w:r w:rsidR="00135591" w:rsidRPr="007246A9">
        <w:rPr>
          <w:rFonts w:ascii="Arial" w:hAnsi="Arial" w:cs="Arial"/>
          <w:sz w:val="18"/>
          <w:szCs w:val="18"/>
          <w:lang w:val="el-GR" w:eastAsia="el-GR"/>
        </w:rPr>
        <w:t>ων</w:t>
      </w:r>
      <w:r w:rsidRPr="007246A9">
        <w:rPr>
          <w:rFonts w:ascii="Arial" w:hAnsi="Arial" w:cs="Arial"/>
          <w:sz w:val="18"/>
          <w:szCs w:val="18"/>
          <w:lang w:val="el-GR" w:eastAsia="el-GR"/>
        </w:rPr>
        <w:t xml:space="preserve"> μειωμένης εξασφάλισης του Συγκροτήματος</w:t>
      </w:r>
      <w:r w:rsidR="00695E49" w:rsidRPr="007246A9">
        <w:rPr>
          <w:rFonts w:ascii="Arial" w:hAnsi="Arial" w:cs="Arial"/>
          <w:sz w:val="18"/>
          <w:szCs w:val="18"/>
          <w:lang w:val="el-GR" w:eastAsia="el-GR"/>
        </w:rPr>
        <w:t xml:space="preserve"> </w:t>
      </w:r>
      <w:r w:rsidRPr="007246A9">
        <w:rPr>
          <w:rFonts w:ascii="Arial" w:hAnsi="Arial" w:cs="Arial"/>
          <w:sz w:val="18"/>
          <w:szCs w:val="18"/>
          <w:lang w:val="el-GR"/>
        </w:rPr>
        <w:t xml:space="preserve">ανήλθαν σε </w:t>
      </w:r>
      <w:r w:rsidR="00977246" w:rsidRPr="007246A9">
        <w:rPr>
          <w:rFonts w:ascii="Arial" w:hAnsi="Arial" w:cs="Arial"/>
          <w:sz w:val="18"/>
          <w:szCs w:val="18"/>
          <w:lang w:val="el-GR"/>
        </w:rPr>
        <w:t>€</w:t>
      </w:r>
      <w:r w:rsidR="0082005E" w:rsidRPr="00502B4F">
        <w:rPr>
          <w:rFonts w:ascii="Arial" w:hAnsi="Arial" w:cs="Arial"/>
          <w:sz w:val="18"/>
          <w:szCs w:val="18"/>
          <w:lang w:val="el-GR"/>
        </w:rPr>
        <w:t xml:space="preserve">322 </w:t>
      </w:r>
      <w:r w:rsidR="00E25C49" w:rsidRPr="00502B4F">
        <w:rPr>
          <w:rFonts w:ascii="Arial" w:hAnsi="Arial" w:cs="Arial"/>
          <w:sz w:val="18"/>
          <w:szCs w:val="18"/>
          <w:lang w:val="el-GR"/>
        </w:rPr>
        <w:t>ε</w:t>
      </w:r>
      <w:r w:rsidRPr="00502B4F">
        <w:rPr>
          <w:rFonts w:ascii="Arial" w:hAnsi="Arial" w:cs="Arial"/>
          <w:sz w:val="18"/>
          <w:szCs w:val="18"/>
          <w:lang w:val="el-GR"/>
        </w:rPr>
        <w:t>κατ</w:t>
      </w:r>
      <w:r w:rsidRPr="007246A9">
        <w:rPr>
          <w:rFonts w:ascii="Arial" w:hAnsi="Arial" w:cs="Arial"/>
          <w:color w:val="000000" w:themeColor="text1"/>
          <w:sz w:val="18"/>
          <w:szCs w:val="18"/>
          <w:lang w:val="el-GR"/>
        </w:rPr>
        <w:t>. (σε σύγκριση</w:t>
      </w:r>
      <w:r w:rsidRPr="007246A9">
        <w:rPr>
          <w:rFonts w:ascii="Arial" w:hAnsi="Arial" w:cs="Arial"/>
          <w:sz w:val="18"/>
          <w:szCs w:val="18"/>
          <w:lang w:val="el-GR" w:eastAsia="el-GR"/>
        </w:rPr>
        <w:t xml:space="preserve"> με</w:t>
      </w:r>
      <w:r w:rsidR="00E1300F" w:rsidRPr="007246A9">
        <w:rPr>
          <w:rFonts w:ascii="Arial" w:hAnsi="Arial" w:cs="Arial"/>
          <w:sz w:val="18"/>
          <w:szCs w:val="18"/>
          <w:lang w:val="el-GR" w:eastAsia="el-GR"/>
        </w:rPr>
        <w:t xml:space="preserve"> </w:t>
      </w:r>
      <w:r w:rsidR="00EB0563" w:rsidRPr="007246A9">
        <w:rPr>
          <w:rFonts w:ascii="Arial" w:hAnsi="Arial" w:cs="Arial"/>
          <w:sz w:val="18"/>
          <w:szCs w:val="18"/>
          <w:lang w:val="el-GR"/>
        </w:rPr>
        <w:t xml:space="preserve">€313 </w:t>
      </w:r>
      <w:r w:rsidR="00DE567E" w:rsidRPr="007246A9">
        <w:rPr>
          <w:rFonts w:ascii="Arial" w:hAnsi="Arial" w:cs="Arial"/>
          <w:color w:val="000000" w:themeColor="text1"/>
          <w:sz w:val="18"/>
          <w:szCs w:val="18"/>
          <w:lang w:val="el-GR"/>
        </w:rPr>
        <w:t>εκατ</w:t>
      </w:r>
      <w:r w:rsidR="004D1327" w:rsidRPr="007246A9">
        <w:rPr>
          <w:rFonts w:ascii="Arial" w:hAnsi="Arial" w:cs="Arial"/>
          <w:color w:val="000000" w:themeColor="text1"/>
          <w:sz w:val="18"/>
          <w:szCs w:val="18"/>
          <w:lang w:val="el-GR"/>
        </w:rPr>
        <w:t>.</w:t>
      </w:r>
      <w:r w:rsidR="00DE567E" w:rsidRPr="007246A9">
        <w:rPr>
          <w:rFonts w:ascii="Arial" w:hAnsi="Arial" w:cs="Arial"/>
          <w:sz w:val="18"/>
          <w:szCs w:val="18"/>
          <w:lang w:val="el-GR"/>
        </w:rPr>
        <w:t xml:space="preserve"> στις </w:t>
      </w:r>
      <w:r w:rsidR="00EB0563" w:rsidRPr="007246A9">
        <w:rPr>
          <w:rFonts w:ascii="Arial" w:hAnsi="Arial" w:cs="Arial"/>
          <w:sz w:val="18"/>
          <w:lang w:val="el-GR" w:eastAsia="el-GR"/>
        </w:rPr>
        <w:t xml:space="preserve">30 Ιουνίου </w:t>
      </w:r>
      <w:r w:rsidR="00EB0563" w:rsidRPr="007246A9">
        <w:rPr>
          <w:rFonts w:ascii="Arial" w:hAnsi="Arial" w:cs="Arial"/>
          <w:sz w:val="18"/>
          <w:szCs w:val="18"/>
          <w:lang w:val="el-GR" w:eastAsia="el-GR"/>
        </w:rPr>
        <w:t xml:space="preserve">2024 </w:t>
      </w:r>
      <w:r w:rsidR="00DE567E" w:rsidRPr="007246A9">
        <w:rPr>
          <w:rFonts w:ascii="Arial" w:hAnsi="Arial" w:cs="Arial"/>
          <w:sz w:val="18"/>
          <w:szCs w:val="18"/>
          <w:lang w:val="el-GR"/>
        </w:rPr>
        <w:t xml:space="preserve">και με </w:t>
      </w:r>
      <w:r w:rsidR="009A3414" w:rsidRPr="007246A9">
        <w:rPr>
          <w:rFonts w:ascii="Arial" w:hAnsi="Arial" w:cs="Arial"/>
          <w:sz w:val="18"/>
          <w:szCs w:val="18"/>
          <w:lang w:val="el-GR"/>
        </w:rPr>
        <w:t>€</w:t>
      </w:r>
      <w:r w:rsidR="005508D1" w:rsidRPr="007246A9">
        <w:rPr>
          <w:rFonts w:ascii="Arial" w:hAnsi="Arial" w:cs="Arial"/>
          <w:sz w:val="18"/>
          <w:szCs w:val="18"/>
          <w:lang w:val="el-GR"/>
        </w:rPr>
        <w:t>307</w:t>
      </w:r>
      <w:r w:rsidR="005508D1" w:rsidRPr="007246A9">
        <w:rPr>
          <w:rFonts w:ascii="Arial" w:hAnsi="Arial" w:cs="Arial"/>
          <w:color w:val="FF0000"/>
          <w:sz w:val="18"/>
          <w:szCs w:val="18"/>
          <w:lang w:val="el-GR"/>
        </w:rPr>
        <w:t xml:space="preserve"> </w:t>
      </w:r>
      <w:r w:rsidR="00E1300F" w:rsidRPr="007246A9">
        <w:rPr>
          <w:rFonts w:ascii="Arial" w:hAnsi="Arial" w:cs="Arial"/>
          <w:color w:val="000000" w:themeColor="text1"/>
          <w:sz w:val="18"/>
          <w:szCs w:val="18"/>
          <w:lang w:val="el-GR"/>
        </w:rPr>
        <w:t>εκατ. σ</w:t>
      </w:r>
      <w:r w:rsidR="00E1300F" w:rsidRPr="007246A9">
        <w:rPr>
          <w:rFonts w:ascii="Arial" w:hAnsi="Arial" w:cs="Arial"/>
          <w:sz w:val="18"/>
          <w:szCs w:val="18"/>
          <w:lang w:val="el-GR" w:eastAsia="el-GR"/>
        </w:rPr>
        <w:t xml:space="preserve">τις </w:t>
      </w:r>
      <w:r w:rsidR="005508D1" w:rsidRPr="007246A9">
        <w:rPr>
          <w:rFonts w:ascii="Arial" w:hAnsi="Arial" w:cs="Arial"/>
          <w:sz w:val="18"/>
          <w:szCs w:val="18"/>
          <w:lang w:val="el-GR" w:eastAsia="el-GR"/>
        </w:rPr>
        <w:t xml:space="preserve">31 Δεκεμβρίου </w:t>
      </w:r>
      <w:r w:rsidR="009A3414" w:rsidRPr="007246A9">
        <w:rPr>
          <w:rFonts w:ascii="Arial" w:hAnsi="Arial" w:cs="Arial"/>
          <w:sz w:val="18"/>
          <w:lang w:val="el-GR" w:eastAsia="el-GR"/>
        </w:rPr>
        <w:t>2023</w:t>
      </w:r>
      <w:r w:rsidRPr="007246A9">
        <w:rPr>
          <w:rFonts w:ascii="Arial" w:hAnsi="Arial" w:cs="Arial"/>
          <w:sz w:val="18"/>
          <w:szCs w:val="18"/>
          <w:lang w:val="el-GR" w:eastAsia="el-GR"/>
        </w:rPr>
        <w:t xml:space="preserve">) και αφορούν </w:t>
      </w:r>
      <w:r w:rsidRPr="007246A9">
        <w:rPr>
          <w:rFonts w:ascii="Arial" w:hAnsi="Arial" w:cs="Arial"/>
          <w:color w:val="000000" w:themeColor="text1"/>
          <w:sz w:val="18"/>
          <w:szCs w:val="18"/>
          <w:lang w:val="el-GR"/>
        </w:rPr>
        <w:t>ομόλογο δευτεροβάθμιου κεφαλαίου μειωμένης εξασφάλισης (</w:t>
      </w:r>
      <w:r w:rsidR="00590419" w:rsidRPr="007246A9">
        <w:rPr>
          <w:rFonts w:ascii="Arial" w:hAnsi="Arial" w:cs="Arial"/>
          <w:color w:val="000000" w:themeColor="text1"/>
          <w:sz w:val="18"/>
          <w:szCs w:val="18"/>
          <w:lang w:val="el-GR"/>
        </w:rPr>
        <w:t>‘</w:t>
      </w:r>
      <w:r w:rsidRPr="007246A9">
        <w:rPr>
          <w:rFonts w:ascii="Arial" w:hAnsi="Arial" w:cs="Arial"/>
          <w:color w:val="000000" w:themeColor="text1"/>
          <w:sz w:val="18"/>
          <w:szCs w:val="18"/>
          <w:lang w:val="el-GR"/>
        </w:rPr>
        <w:t>ομόλογο δευτεροβάθμιου κεφαλαίου</w:t>
      </w:r>
      <w:r w:rsidR="00590419" w:rsidRPr="007246A9">
        <w:rPr>
          <w:rFonts w:ascii="Arial" w:hAnsi="Arial" w:cs="Arial"/>
          <w:color w:val="000000" w:themeColor="text1"/>
          <w:sz w:val="18"/>
          <w:szCs w:val="18"/>
          <w:lang w:val="el-GR"/>
        </w:rPr>
        <w:t>’</w:t>
      </w:r>
      <w:r w:rsidRPr="007246A9">
        <w:rPr>
          <w:rFonts w:ascii="Arial" w:hAnsi="Arial" w:cs="Arial"/>
          <w:color w:val="000000" w:themeColor="text1"/>
          <w:sz w:val="18"/>
          <w:szCs w:val="18"/>
          <w:lang w:val="el-GR"/>
        </w:rPr>
        <w:t>)</w:t>
      </w:r>
      <w:r w:rsidRPr="007246A9">
        <w:rPr>
          <w:rFonts w:ascii="Arial" w:eastAsia="Times New Roman" w:hAnsi="Arial" w:cs="Arial"/>
          <w:sz w:val="18"/>
          <w:szCs w:val="18"/>
          <w:lang w:val="el-GR" w:eastAsia="en-US"/>
        </w:rPr>
        <w:t>.</w:t>
      </w:r>
      <w:r w:rsidRPr="007246A9">
        <w:rPr>
          <w:rFonts w:ascii="Arial" w:hAnsi="Arial" w:cs="Arial"/>
          <w:sz w:val="18"/>
          <w:szCs w:val="18"/>
          <w:lang w:val="el-GR" w:eastAsia="el-GR"/>
        </w:rPr>
        <w:t>  </w:t>
      </w:r>
    </w:p>
    <w:p w14:paraId="3679716D" w14:textId="77777777" w:rsidR="00352599" w:rsidRPr="007246A9" w:rsidRDefault="00352599" w:rsidP="00F70A02">
      <w:pPr>
        <w:pStyle w:val="BodyText3"/>
        <w:jc w:val="both"/>
        <w:rPr>
          <w:rFonts w:ascii="Arial" w:eastAsiaTheme="minorEastAsia" w:hAnsi="Arial" w:cs="Arial"/>
          <w:color w:val="000000" w:themeColor="text1"/>
          <w:sz w:val="18"/>
          <w:szCs w:val="18"/>
          <w:lang w:val="el-GR" w:eastAsia="en-GB"/>
        </w:rPr>
      </w:pPr>
    </w:p>
    <w:p w14:paraId="6C0134CB" w14:textId="2F3515D6" w:rsidR="00352599" w:rsidRPr="007246A9" w:rsidRDefault="00352599" w:rsidP="00F70A02">
      <w:pPr>
        <w:pStyle w:val="BodyText3"/>
        <w:jc w:val="both"/>
        <w:rPr>
          <w:rFonts w:ascii="Arial" w:eastAsiaTheme="minorEastAsia" w:hAnsi="Arial" w:cs="Arial"/>
          <w:color w:val="000000" w:themeColor="text1"/>
          <w:sz w:val="18"/>
          <w:szCs w:val="18"/>
          <w:lang w:val="el-GR" w:eastAsia="en-GB"/>
        </w:rPr>
      </w:pPr>
      <w:r w:rsidRPr="007246A9">
        <w:rPr>
          <w:rFonts w:ascii="Arial" w:eastAsiaTheme="minorEastAsia" w:hAnsi="Arial" w:cs="Arial"/>
          <w:color w:val="000000" w:themeColor="text1"/>
          <w:sz w:val="18"/>
          <w:szCs w:val="18"/>
          <w:lang w:val="el-GR" w:eastAsia="en-GB"/>
        </w:rPr>
        <w:t xml:space="preserve">Το ομόλογο δευτεροβάθμιου κεφαλαίου εκδόθηκε στην ονομαστική αξία και φέρει σταθερό ετήσιο επιτόκιο ύψους 6.625%. Ο τόκος επί του </w:t>
      </w:r>
      <w:r w:rsidRPr="007246A9">
        <w:rPr>
          <w:rFonts w:ascii="Arial" w:eastAsiaTheme="minorEastAsia" w:hAnsi="Arial" w:cs="Arial"/>
          <w:sz w:val="18"/>
          <w:szCs w:val="18"/>
          <w:lang w:val="el-GR" w:eastAsia="en-GB"/>
        </w:rPr>
        <w:t xml:space="preserve">ομολόγου </w:t>
      </w:r>
      <w:r w:rsidRPr="007246A9">
        <w:rPr>
          <w:rFonts w:ascii="Arial" w:eastAsiaTheme="minorEastAsia" w:hAnsi="Arial" w:cs="Arial"/>
          <w:color w:val="000000" w:themeColor="text1"/>
          <w:sz w:val="18"/>
          <w:szCs w:val="18"/>
          <w:lang w:val="el-GR" w:eastAsia="en-GB"/>
        </w:rPr>
        <w:t>δευτεροβάθμιου κεφαλαίου καταβάλλεται ετησίως αναδρομικά και θα επανακαθορισθεί στις 23 Οκτωβρίου 2026.</w:t>
      </w:r>
      <w:r w:rsidR="00EB0563" w:rsidRPr="007246A9">
        <w:rPr>
          <w:rFonts w:ascii="Arial" w:eastAsiaTheme="minorEastAsia" w:hAnsi="Arial" w:cs="Arial"/>
          <w:color w:val="000000" w:themeColor="text1"/>
          <w:sz w:val="18"/>
          <w:szCs w:val="18"/>
          <w:lang w:val="el-GR" w:eastAsia="en-GB"/>
        </w:rPr>
        <w:t xml:space="preserve"> </w:t>
      </w:r>
      <w:r w:rsidRPr="007246A9">
        <w:rPr>
          <w:rFonts w:ascii="Arial" w:eastAsiaTheme="minorEastAsia" w:hAnsi="Arial" w:cs="Arial"/>
          <w:color w:val="000000" w:themeColor="text1"/>
          <w:sz w:val="18"/>
          <w:szCs w:val="18"/>
          <w:lang w:val="el-GR" w:eastAsia="en-GB"/>
        </w:rPr>
        <w:t>Το ομόλογο δευτεροβάθμιου κεφαλαίου λήγει στις 23 Οκτωβρίου 2031.</w:t>
      </w:r>
      <w:r w:rsidR="00EB0563" w:rsidRPr="007246A9">
        <w:rPr>
          <w:rFonts w:ascii="Arial" w:eastAsiaTheme="minorEastAsia" w:hAnsi="Arial" w:cs="Arial"/>
          <w:color w:val="000000" w:themeColor="text1"/>
          <w:sz w:val="18"/>
          <w:szCs w:val="18"/>
          <w:lang w:val="el-GR" w:eastAsia="en-GB"/>
        </w:rPr>
        <w:t xml:space="preserve"> </w:t>
      </w:r>
      <w:r w:rsidRPr="007246A9">
        <w:rPr>
          <w:rFonts w:ascii="Arial" w:eastAsiaTheme="minorEastAsia" w:hAnsi="Arial" w:cs="Arial"/>
          <w:color w:val="000000" w:themeColor="text1"/>
          <w:sz w:val="18"/>
          <w:szCs w:val="18"/>
          <w:lang w:val="el-GR" w:eastAsia="en-GB"/>
        </w:rPr>
        <w:t>Η Εταιρία έχει το δικαίωμα πρόωρης εξόφλησης του ομολόγου δευτεροβάθμιου κεφαλαίου οποιαδήποτε μέρα κατά τη διάρκεια της περιόδου των έξι μηνών από τις 23 Απριλίου 2026 μέχρι τις 23 Οκτωβρίου 2026, υπό τη λήψη εποπτικών εγκρίσεων.</w:t>
      </w:r>
    </w:p>
    <w:p w14:paraId="6482B1A3" w14:textId="77777777" w:rsidR="00EB0563" w:rsidRPr="00D41B36" w:rsidRDefault="00EB0563" w:rsidP="00F70A02">
      <w:pPr>
        <w:pStyle w:val="BodyText3"/>
        <w:jc w:val="both"/>
        <w:rPr>
          <w:rFonts w:ascii="Arial" w:eastAsiaTheme="minorEastAsia" w:hAnsi="Arial" w:cs="Arial"/>
          <w:color w:val="000000" w:themeColor="text1"/>
          <w:sz w:val="18"/>
          <w:szCs w:val="18"/>
          <w:highlight w:val="yellow"/>
          <w:lang w:val="el-GR" w:eastAsia="en-GB"/>
        </w:rPr>
      </w:pPr>
    </w:p>
    <w:p w14:paraId="33FA5F78" w14:textId="08040B3E" w:rsidR="00870528" w:rsidRPr="007246A9" w:rsidRDefault="00870528" w:rsidP="00870528">
      <w:pPr>
        <w:spacing w:after="0" w:line="360" w:lineRule="auto"/>
        <w:rPr>
          <w:rFonts w:ascii="Arial" w:eastAsia="Times New Roman" w:hAnsi="Arial" w:cs="Arial"/>
          <w:b/>
          <w:bCs/>
          <w:i/>
          <w:color w:val="FF9900"/>
          <w:sz w:val="20"/>
          <w:szCs w:val="24"/>
          <w:lang w:val="el-GR" w:eastAsia="el-GR"/>
        </w:rPr>
      </w:pPr>
      <w:r w:rsidRPr="007246A9">
        <w:rPr>
          <w:rFonts w:ascii="Arial" w:eastAsia="Times New Roman" w:hAnsi="Arial" w:cs="Arial"/>
          <w:b/>
          <w:bCs/>
          <w:i/>
          <w:color w:val="FF9900"/>
          <w:sz w:val="20"/>
          <w:szCs w:val="24"/>
          <w:lang w:val="el-GR" w:eastAsia="el-GR"/>
        </w:rPr>
        <w:t>Ομολογιακά δάνεια</w:t>
      </w:r>
    </w:p>
    <w:p w14:paraId="4DD22F91" w14:textId="5C8F1D89" w:rsidR="00870528" w:rsidRPr="007246A9" w:rsidRDefault="00352599" w:rsidP="00F70A02">
      <w:pPr>
        <w:pStyle w:val="Footer"/>
        <w:tabs>
          <w:tab w:val="clear" w:pos="4153"/>
          <w:tab w:val="clear" w:pos="8306"/>
        </w:tabs>
        <w:jc w:val="both"/>
        <w:rPr>
          <w:rFonts w:ascii="Arial" w:eastAsiaTheme="minorEastAsia" w:hAnsi="Arial" w:cs="Arial"/>
          <w:color w:val="000000" w:themeColor="text1"/>
          <w:sz w:val="18"/>
          <w:szCs w:val="18"/>
          <w:lang w:val="el-GR"/>
        </w:rPr>
      </w:pPr>
      <w:r w:rsidRPr="007246A9">
        <w:rPr>
          <w:rFonts w:ascii="Arial" w:eastAsiaTheme="minorEastAsia" w:hAnsi="Arial" w:cs="Arial"/>
          <w:sz w:val="18"/>
          <w:szCs w:val="18"/>
          <w:lang w:val="el-GR" w:eastAsia="el-GR"/>
        </w:rPr>
        <w:t xml:space="preserve">Στις </w:t>
      </w:r>
      <w:r w:rsidR="00DE567E" w:rsidRPr="007246A9">
        <w:rPr>
          <w:rFonts w:ascii="Arial" w:hAnsi="Arial" w:cs="Arial"/>
          <w:sz w:val="18"/>
          <w:lang w:val="el-GR" w:eastAsia="el-GR"/>
        </w:rPr>
        <w:t xml:space="preserve">30 </w:t>
      </w:r>
      <w:r w:rsidR="002F2181" w:rsidRPr="002F2181">
        <w:rPr>
          <w:rFonts w:ascii="Arial" w:hAnsi="Arial" w:cs="Arial"/>
          <w:sz w:val="18"/>
          <w:szCs w:val="18"/>
          <w:lang w:val="el-GR" w:eastAsia="el-GR"/>
        </w:rPr>
        <w:t xml:space="preserve">Σεπτεμβρίου </w:t>
      </w:r>
      <w:r w:rsidR="005F5C6D" w:rsidRPr="007246A9">
        <w:rPr>
          <w:rFonts w:ascii="Arial" w:hAnsi="Arial" w:cs="Arial"/>
          <w:sz w:val="18"/>
          <w:szCs w:val="18"/>
          <w:lang w:val="el-GR" w:eastAsia="el-GR"/>
        </w:rPr>
        <w:t>2024</w:t>
      </w:r>
      <w:r w:rsidRPr="007246A9">
        <w:rPr>
          <w:rFonts w:ascii="Arial" w:eastAsiaTheme="minorEastAsia" w:hAnsi="Arial" w:cs="Arial"/>
          <w:sz w:val="18"/>
          <w:szCs w:val="18"/>
          <w:lang w:val="el-GR" w:eastAsia="el-GR"/>
        </w:rPr>
        <w:t>, η λογιστική αξία των ομολογιακών δανείων του Συγκροτήματος</w:t>
      </w:r>
      <w:r w:rsidR="007B1475" w:rsidRPr="007246A9">
        <w:rPr>
          <w:rFonts w:ascii="Arial" w:eastAsiaTheme="minorEastAsia" w:hAnsi="Arial" w:cs="Arial"/>
          <w:sz w:val="18"/>
          <w:szCs w:val="18"/>
          <w:lang w:val="el-GR" w:eastAsia="el-GR"/>
        </w:rPr>
        <w:t xml:space="preserve"> </w:t>
      </w:r>
      <w:r w:rsidRPr="007246A9">
        <w:rPr>
          <w:rFonts w:ascii="Arial" w:eastAsiaTheme="minorEastAsia" w:hAnsi="Arial" w:cs="Arial"/>
          <w:sz w:val="18"/>
          <w:szCs w:val="18"/>
          <w:lang w:val="el-GR" w:eastAsia="el-GR"/>
        </w:rPr>
        <w:t xml:space="preserve">ανήλθαν σε </w:t>
      </w:r>
      <w:r w:rsidR="00977246" w:rsidRPr="007246A9">
        <w:rPr>
          <w:rFonts w:ascii="Arial" w:hAnsi="Arial" w:cs="Arial"/>
          <w:sz w:val="18"/>
          <w:szCs w:val="18"/>
          <w:lang w:val="el-GR"/>
        </w:rPr>
        <w:t>€</w:t>
      </w:r>
      <w:r w:rsidR="0082005E" w:rsidRPr="00502B4F">
        <w:rPr>
          <w:rFonts w:ascii="Arial" w:hAnsi="Arial" w:cs="Arial"/>
          <w:sz w:val="18"/>
          <w:szCs w:val="18"/>
          <w:lang w:val="el-GR"/>
        </w:rPr>
        <w:t>976</w:t>
      </w:r>
      <w:r w:rsidR="0082005E">
        <w:rPr>
          <w:rFonts w:ascii="Arial" w:hAnsi="Arial" w:cs="Arial"/>
          <w:color w:val="FF0000"/>
          <w:sz w:val="18"/>
          <w:szCs w:val="18"/>
          <w:lang w:val="el-GR"/>
        </w:rPr>
        <w:t xml:space="preserve"> </w:t>
      </w:r>
      <w:r w:rsidRPr="007246A9">
        <w:rPr>
          <w:rFonts w:ascii="Arial" w:eastAsiaTheme="minorEastAsia" w:hAnsi="Arial" w:cs="Arial"/>
          <w:sz w:val="18"/>
          <w:szCs w:val="18"/>
          <w:lang w:val="el-GR" w:eastAsia="el-GR"/>
        </w:rPr>
        <w:t xml:space="preserve">εκατ. (σε σύγκριση με </w:t>
      </w:r>
      <w:r w:rsidR="002F2181" w:rsidRPr="007246A9">
        <w:rPr>
          <w:rFonts w:ascii="Arial" w:hAnsi="Arial" w:cs="Arial"/>
          <w:sz w:val="18"/>
          <w:szCs w:val="18"/>
          <w:lang w:val="el-GR"/>
        </w:rPr>
        <w:t xml:space="preserve">€971 </w:t>
      </w:r>
      <w:r w:rsidR="002F2181" w:rsidRPr="007246A9">
        <w:rPr>
          <w:rFonts w:ascii="Arial" w:eastAsiaTheme="minorEastAsia" w:hAnsi="Arial" w:cs="Arial"/>
          <w:sz w:val="18"/>
          <w:szCs w:val="18"/>
          <w:lang w:val="el-GR" w:eastAsia="el-GR"/>
        </w:rPr>
        <w:t xml:space="preserve">εκατ. </w:t>
      </w:r>
      <w:r w:rsidR="00DE567E" w:rsidRPr="007246A9">
        <w:rPr>
          <w:rFonts w:ascii="Arial" w:eastAsiaTheme="minorEastAsia" w:hAnsi="Arial" w:cs="Arial"/>
          <w:sz w:val="18"/>
          <w:szCs w:val="18"/>
          <w:lang w:val="el-GR" w:eastAsia="el-GR"/>
        </w:rPr>
        <w:t xml:space="preserve">στις </w:t>
      </w:r>
      <w:r w:rsidR="002F2181" w:rsidRPr="007246A9">
        <w:rPr>
          <w:rFonts w:ascii="Arial" w:hAnsi="Arial" w:cs="Arial"/>
          <w:sz w:val="18"/>
          <w:lang w:val="el-GR" w:eastAsia="el-GR"/>
        </w:rPr>
        <w:t xml:space="preserve">30 Ιουνίου </w:t>
      </w:r>
      <w:r w:rsidR="002F2181" w:rsidRPr="007246A9">
        <w:rPr>
          <w:rFonts w:ascii="Arial" w:hAnsi="Arial" w:cs="Arial"/>
          <w:sz w:val="18"/>
          <w:szCs w:val="18"/>
          <w:lang w:val="el-GR" w:eastAsia="el-GR"/>
        </w:rPr>
        <w:t xml:space="preserve">2024 </w:t>
      </w:r>
      <w:r w:rsidR="00DE567E" w:rsidRPr="007246A9">
        <w:rPr>
          <w:rFonts w:ascii="Arial" w:hAnsi="Arial" w:cs="Arial"/>
          <w:sz w:val="18"/>
          <w:szCs w:val="18"/>
          <w:lang w:val="el-GR" w:eastAsia="el-GR"/>
        </w:rPr>
        <w:t>και με</w:t>
      </w:r>
      <w:r w:rsidR="00DE567E" w:rsidRPr="007246A9">
        <w:rPr>
          <w:rFonts w:ascii="Arial" w:eastAsiaTheme="minorEastAsia" w:hAnsi="Arial" w:cs="Arial"/>
          <w:sz w:val="18"/>
          <w:szCs w:val="18"/>
          <w:lang w:val="el-GR" w:eastAsia="el-GR"/>
        </w:rPr>
        <w:t xml:space="preserve"> </w:t>
      </w:r>
      <w:r w:rsidR="002F12EA" w:rsidRPr="007246A9">
        <w:rPr>
          <w:rFonts w:ascii="Arial" w:eastAsiaTheme="minorEastAsia" w:hAnsi="Arial" w:cs="Arial"/>
          <w:sz w:val="18"/>
          <w:szCs w:val="18"/>
          <w:lang w:val="el-GR" w:eastAsia="el-GR"/>
        </w:rPr>
        <w:t>€</w:t>
      </w:r>
      <w:r w:rsidR="005F5C6D" w:rsidRPr="007246A9">
        <w:rPr>
          <w:rFonts w:ascii="Arial" w:eastAsiaTheme="minorEastAsia" w:hAnsi="Arial" w:cs="Arial"/>
          <w:color w:val="000000" w:themeColor="text1"/>
          <w:sz w:val="18"/>
          <w:szCs w:val="18"/>
          <w:lang w:val="el-GR"/>
        </w:rPr>
        <w:t xml:space="preserve">672 </w:t>
      </w:r>
      <w:r w:rsidR="002F12EA" w:rsidRPr="007246A9">
        <w:rPr>
          <w:rFonts w:ascii="Arial" w:eastAsiaTheme="minorEastAsia" w:hAnsi="Arial" w:cs="Arial"/>
          <w:color w:val="000000" w:themeColor="text1"/>
          <w:sz w:val="18"/>
          <w:szCs w:val="18"/>
          <w:lang w:val="el-GR"/>
        </w:rPr>
        <w:t xml:space="preserve">εκατ. στις </w:t>
      </w:r>
      <w:r w:rsidR="005F5C6D" w:rsidRPr="007246A9">
        <w:rPr>
          <w:rFonts w:ascii="Arial" w:eastAsiaTheme="minorEastAsia" w:hAnsi="Arial" w:cs="Arial"/>
          <w:color w:val="000000" w:themeColor="text1"/>
          <w:sz w:val="18"/>
          <w:szCs w:val="18"/>
          <w:lang w:val="el-GR"/>
        </w:rPr>
        <w:t xml:space="preserve">31 Δεκεμβρίου </w:t>
      </w:r>
      <w:r w:rsidR="009A3414" w:rsidRPr="007246A9">
        <w:rPr>
          <w:rFonts w:ascii="Arial" w:eastAsiaTheme="minorEastAsia" w:hAnsi="Arial" w:cs="Arial"/>
          <w:color w:val="000000" w:themeColor="text1"/>
          <w:sz w:val="18"/>
          <w:szCs w:val="18"/>
          <w:lang w:val="el-GR"/>
        </w:rPr>
        <w:t>2023</w:t>
      </w:r>
      <w:r w:rsidRPr="007246A9">
        <w:rPr>
          <w:rFonts w:ascii="Arial" w:eastAsiaTheme="minorEastAsia" w:hAnsi="Arial" w:cs="Arial"/>
          <w:color w:val="000000" w:themeColor="text1"/>
          <w:sz w:val="18"/>
          <w:szCs w:val="18"/>
          <w:lang w:val="el-GR"/>
        </w:rPr>
        <w:t>) και αφορούν ομόλογ</w:t>
      </w:r>
      <w:r w:rsidR="00F85534">
        <w:rPr>
          <w:rFonts w:ascii="Arial" w:eastAsiaTheme="minorEastAsia" w:hAnsi="Arial" w:cs="Arial"/>
          <w:color w:val="000000" w:themeColor="text1"/>
          <w:sz w:val="18"/>
          <w:szCs w:val="18"/>
          <w:lang w:val="el-GR"/>
        </w:rPr>
        <w:t>α</w:t>
      </w:r>
      <w:r w:rsidRPr="007246A9">
        <w:rPr>
          <w:rFonts w:ascii="Arial" w:eastAsiaTheme="minorEastAsia" w:hAnsi="Arial" w:cs="Arial"/>
          <w:color w:val="000000" w:themeColor="text1"/>
          <w:sz w:val="18"/>
          <w:szCs w:val="18"/>
          <w:lang w:val="el-GR"/>
        </w:rPr>
        <w:t xml:space="preserve"> υψηλής εξοφλητικής προτεραιότητας.</w:t>
      </w:r>
      <w:r w:rsidR="00977246" w:rsidRPr="007246A9">
        <w:rPr>
          <w:rFonts w:ascii="Arial" w:eastAsiaTheme="minorEastAsia" w:hAnsi="Arial" w:cs="Arial"/>
          <w:color w:val="000000" w:themeColor="text1"/>
          <w:sz w:val="18"/>
          <w:szCs w:val="18"/>
          <w:lang w:val="el-GR"/>
        </w:rPr>
        <w:t xml:space="preserve"> </w:t>
      </w:r>
      <w:r w:rsidR="00C36C7D" w:rsidRPr="00502B4F">
        <w:rPr>
          <w:rFonts w:ascii="Arial" w:eastAsiaTheme="minorEastAsia" w:hAnsi="Arial" w:cs="Arial"/>
          <w:sz w:val="18"/>
          <w:szCs w:val="18"/>
          <w:lang w:val="el-GR"/>
        </w:rPr>
        <w:t xml:space="preserve">Η αύξηση κατά </w:t>
      </w:r>
      <w:r w:rsidR="00B570CB" w:rsidRPr="00502B4F">
        <w:rPr>
          <w:rFonts w:ascii="Arial" w:eastAsiaTheme="minorEastAsia" w:hAnsi="Arial" w:cs="Arial"/>
          <w:sz w:val="18"/>
          <w:szCs w:val="18"/>
          <w:lang w:val="el-GR"/>
        </w:rPr>
        <w:t>45</w:t>
      </w:r>
      <w:r w:rsidR="00C36C7D" w:rsidRPr="00502B4F">
        <w:rPr>
          <w:rFonts w:ascii="Arial" w:eastAsiaTheme="minorEastAsia" w:hAnsi="Arial" w:cs="Arial"/>
          <w:sz w:val="18"/>
          <w:szCs w:val="18"/>
          <w:lang w:val="el-GR"/>
        </w:rPr>
        <w:t xml:space="preserve">% από </w:t>
      </w:r>
      <w:r w:rsidR="00C36C7D" w:rsidRPr="007246A9">
        <w:rPr>
          <w:rFonts w:ascii="Arial" w:eastAsiaTheme="minorEastAsia" w:hAnsi="Arial" w:cs="Arial"/>
          <w:color w:val="000000" w:themeColor="text1"/>
          <w:sz w:val="18"/>
          <w:szCs w:val="18"/>
          <w:lang w:val="el-GR"/>
        </w:rPr>
        <w:t xml:space="preserve">την αρχή του έτους αφορά την έκδοση </w:t>
      </w:r>
      <w:r w:rsidR="00C36C7D" w:rsidRPr="007246A9">
        <w:rPr>
          <w:rFonts w:ascii="Arial" w:hAnsi="Arial" w:cs="Arial"/>
          <w:color w:val="000000" w:themeColor="text1"/>
          <w:sz w:val="18"/>
          <w:szCs w:val="18"/>
          <w:lang w:val="el-GR"/>
        </w:rPr>
        <w:t xml:space="preserve">πράσινου ομολόγου υψηλής εξοφλητικής προτεραιότητας ύψους €300 εκατ. (το ‘Πράσινο Ομόλογο’) </w:t>
      </w:r>
      <w:r w:rsidR="00DD4F43" w:rsidRPr="007246A9">
        <w:rPr>
          <w:rFonts w:ascii="Arial" w:hAnsi="Arial" w:cs="Arial"/>
          <w:color w:val="000000" w:themeColor="text1"/>
          <w:sz w:val="18"/>
          <w:szCs w:val="18"/>
          <w:lang w:val="el-GR"/>
        </w:rPr>
        <w:t>τον Απρίλιο 2024</w:t>
      </w:r>
      <w:r w:rsidR="00C36C7D" w:rsidRPr="007246A9">
        <w:rPr>
          <w:rFonts w:ascii="Arial" w:hAnsi="Arial" w:cs="Arial"/>
          <w:color w:val="000000" w:themeColor="text1"/>
          <w:sz w:val="18"/>
          <w:szCs w:val="18"/>
          <w:lang w:val="el-GR"/>
        </w:rPr>
        <w:t xml:space="preserve">. </w:t>
      </w:r>
    </w:p>
    <w:p w14:paraId="2EADD331" w14:textId="77777777" w:rsidR="001A4264" w:rsidRPr="007246A9" w:rsidRDefault="001A4264" w:rsidP="00F70A02">
      <w:pPr>
        <w:pStyle w:val="Footer"/>
        <w:tabs>
          <w:tab w:val="clear" w:pos="4153"/>
          <w:tab w:val="clear" w:pos="8306"/>
        </w:tabs>
        <w:jc w:val="both"/>
        <w:rPr>
          <w:rFonts w:ascii="Arial" w:hAnsi="Arial" w:cs="Arial"/>
          <w:color w:val="000000" w:themeColor="text1"/>
          <w:sz w:val="18"/>
          <w:szCs w:val="18"/>
          <w:lang w:val="el-GR"/>
        </w:rPr>
      </w:pPr>
    </w:p>
    <w:p w14:paraId="7A3FDA97" w14:textId="636364C8" w:rsidR="0029296F" w:rsidRDefault="005F5C6D" w:rsidP="00F70A02">
      <w:pPr>
        <w:pStyle w:val="Footer"/>
        <w:tabs>
          <w:tab w:val="clear" w:pos="4153"/>
          <w:tab w:val="clear" w:pos="8306"/>
        </w:tabs>
        <w:jc w:val="both"/>
        <w:rPr>
          <w:rFonts w:ascii="Arial" w:hAnsi="Arial" w:cs="Arial"/>
          <w:sz w:val="18"/>
          <w:szCs w:val="18"/>
          <w:lang w:val="el-GR"/>
        </w:rPr>
      </w:pPr>
      <w:r w:rsidRPr="007246A9">
        <w:rPr>
          <w:rFonts w:ascii="Arial" w:hAnsi="Arial" w:cs="Arial"/>
          <w:color w:val="000000" w:themeColor="text1"/>
          <w:sz w:val="18"/>
          <w:szCs w:val="18"/>
          <w:lang w:val="el-GR"/>
        </w:rPr>
        <w:t>Τον Απρίλιο 2024, η Τράπεζα ολοκλήρωσε με επιτυχία την έκδοση και την τιμολόγηση πράσινου ομολόγου υψηλής εξοφλητικής προτεραιότητας ύψους €300 εκατ.</w:t>
      </w:r>
      <w:r w:rsidR="00C36C7D" w:rsidRPr="007246A9">
        <w:rPr>
          <w:rFonts w:ascii="Arial" w:hAnsi="Arial" w:cs="Arial"/>
          <w:color w:val="000000" w:themeColor="text1"/>
          <w:sz w:val="18"/>
          <w:szCs w:val="18"/>
          <w:lang w:val="el-GR"/>
        </w:rPr>
        <w:t xml:space="preserve"> </w:t>
      </w:r>
      <w:r w:rsidRPr="007246A9">
        <w:rPr>
          <w:rFonts w:ascii="Arial" w:hAnsi="Arial" w:cs="Arial"/>
          <w:color w:val="000000" w:themeColor="text1"/>
          <w:sz w:val="18"/>
          <w:szCs w:val="18"/>
          <w:lang w:val="el-GR"/>
        </w:rPr>
        <w:t xml:space="preserve">Το </w:t>
      </w:r>
      <w:r w:rsidR="00875179" w:rsidRPr="007246A9">
        <w:rPr>
          <w:rFonts w:ascii="Arial" w:hAnsi="Arial" w:cs="Arial"/>
          <w:color w:val="000000" w:themeColor="text1"/>
          <w:sz w:val="18"/>
          <w:szCs w:val="18"/>
          <w:lang w:val="el-GR"/>
        </w:rPr>
        <w:t>Πράσινο Ομόλογο εκδόθηκε</w:t>
      </w:r>
      <w:r w:rsidRPr="007246A9">
        <w:rPr>
          <w:rFonts w:ascii="Arial" w:hAnsi="Arial" w:cs="Arial"/>
          <w:color w:val="000000" w:themeColor="text1"/>
          <w:sz w:val="18"/>
          <w:szCs w:val="18"/>
          <w:lang w:val="el-GR"/>
        </w:rPr>
        <w:t xml:space="preserve"> στην ονομαστική του</w:t>
      </w:r>
      <w:r w:rsidRPr="007246A9">
        <w:rPr>
          <w:rFonts w:ascii="Arial" w:hAnsi="Arial" w:cs="Arial"/>
          <w:sz w:val="18"/>
          <w:szCs w:val="18"/>
          <w:lang w:val="el-GR"/>
        </w:rPr>
        <w:t xml:space="preserve"> αξία και </w:t>
      </w:r>
      <w:r w:rsidR="00875179" w:rsidRPr="007246A9">
        <w:rPr>
          <w:rFonts w:ascii="Arial" w:hAnsi="Arial" w:cs="Arial"/>
          <w:sz w:val="18"/>
          <w:szCs w:val="18"/>
          <w:lang w:val="el-GR"/>
        </w:rPr>
        <w:t>φέρει</w:t>
      </w:r>
      <w:r w:rsidRPr="007246A9">
        <w:rPr>
          <w:rFonts w:ascii="Arial" w:hAnsi="Arial" w:cs="Arial"/>
          <w:sz w:val="18"/>
          <w:szCs w:val="18"/>
          <w:lang w:val="el-GR"/>
        </w:rPr>
        <w:t xml:space="preserve"> ετήσιο σταθερό επιτόκιο ύψους 5% το οποίο θα καταβάλλεται ετησίως αναδρομικά μέχρι την Ημερομηνία</w:t>
      </w:r>
      <w:r w:rsidR="004F5CA6" w:rsidRPr="007246A9">
        <w:rPr>
          <w:rFonts w:ascii="Arial" w:hAnsi="Arial" w:cs="Arial"/>
          <w:sz w:val="18"/>
          <w:szCs w:val="18"/>
          <w:lang w:val="el-GR"/>
        </w:rPr>
        <w:t xml:space="preserve"> </w:t>
      </w:r>
      <w:r w:rsidRPr="007246A9">
        <w:rPr>
          <w:rFonts w:ascii="Arial" w:hAnsi="Arial" w:cs="Arial"/>
          <w:sz w:val="18"/>
          <w:szCs w:val="18"/>
          <w:lang w:val="el-GR"/>
        </w:rPr>
        <w:t xml:space="preserve">Πρόωρης Εξόφλησης στις 2 </w:t>
      </w:r>
      <w:r w:rsidR="0029296F" w:rsidRPr="007246A9">
        <w:rPr>
          <w:rFonts w:ascii="Arial" w:hAnsi="Arial" w:cs="Arial"/>
          <w:sz w:val="18"/>
          <w:szCs w:val="18"/>
          <w:lang w:val="el-GR"/>
        </w:rPr>
        <w:t>Μ</w:t>
      </w:r>
      <w:r w:rsidR="0029296F">
        <w:rPr>
          <w:rFonts w:ascii="Arial" w:hAnsi="Arial" w:cs="Arial"/>
          <w:sz w:val="18"/>
          <w:szCs w:val="18"/>
          <w:lang w:val="el-GR"/>
        </w:rPr>
        <w:t>αΐ</w:t>
      </w:r>
      <w:r w:rsidR="0029296F" w:rsidRPr="007246A9">
        <w:rPr>
          <w:rFonts w:ascii="Arial" w:hAnsi="Arial" w:cs="Arial"/>
          <w:sz w:val="18"/>
          <w:szCs w:val="18"/>
          <w:lang w:val="el-GR"/>
        </w:rPr>
        <w:t>ου</w:t>
      </w:r>
      <w:r w:rsidRPr="007246A9">
        <w:rPr>
          <w:rFonts w:ascii="Arial" w:hAnsi="Arial" w:cs="Arial"/>
          <w:sz w:val="18"/>
          <w:szCs w:val="18"/>
          <w:lang w:val="el-GR"/>
        </w:rPr>
        <w:t xml:space="preserve"> 2028. </w:t>
      </w:r>
      <w:r w:rsidR="00875179" w:rsidRPr="007246A9">
        <w:rPr>
          <w:rFonts w:ascii="Arial" w:hAnsi="Arial" w:cs="Arial"/>
          <w:sz w:val="18"/>
          <w:szCs w:val="18"/>
          <w:lang w:val="el-GR"/>
        </w:rPr>
        <w:t xml:space="preserve">Το </w:t>
      </w:r>
      <w:r w:rsidR="00875179" w:rsidRPr="007246A9">
        <w:rPr>
          <w:rFonts w:ascii="Arial" w:eastAsiaTheme="minorEastAsia" w:hAnsi="Arial" w:cs="Arial"/>
          <w:color w:val="000000" w:themeColor="text1"/>
          <w:sz w:val="18"/>
          <w:szCs w:val="18"/>
          <w:lang w:val="el-GR"/>
        </w:rPr>
        <w:t xml:space="preserve">Πράσινο Ομόλογο </w:t>
      </w:r>
      <w:r w:rsidR="00875179" w:rsidRPr="007246A9">
        <w:rPr>
          <w:rFonts w:ascii="Arial" w:hAnsi="Arial" w:cs="Arial"/>
          <w:sz w:val="18"/>
          <w:szCs w:val="18"/>
          <w:lang w:val="el-GR"/>
        </w:rPr>
        <w:t>λήγει</w:t>
      </w:r>
      <w:r w:rsidRPr="007246A9">
        <w:rPr>
          <w:rFonts w:ascii="Arial" w:hAnsi="Arial" w:cs="Arial"/>
          <w:sz w:val="18"/>
          <w:szCs w:val="18"/>
          <w:lang w:val="el-GR"/>
        </w:rPr>
        <w:t xml:space="preserve"> στις 2 </w:t>
      </w:r>
      <w:r w:rsidR="0029296F" w:rsidRPr="007246A9">
        <w:rPr>
          <w:rFonts w:ascii="Arial" w:hAnsi="Arial" w:cs="Arial"/>
          <w:sz w:val="18"/>
          <w:szCs w:val="18"/>
          <w:lang w:val="el-GR"/>
        </w:rPr>
        <w:t>Μ</w:t>
      </w:r>
      <w:r w:rsidR="0029296F">
        <w:rPr>
          <w:rFonts w:ascii="Arial" w:hAnsi="Arial" w:cs="Arial"/>
          <w:sz w:val="18"/>
          <w:szCs w:val="18"/>
          <w:lang w:val="el-GR"/>
        </w:rPr>
        <w:t>αΐ</w:t>
      </w:r>
      <w:r w:rsidR="0029296F" w:rsidRPr="007246A9">
        <w:rPr>
          <w:rFonts w:ascii="Arial" w:hAnsi="Arial" w:cs="Arial"/>
          <w:sz w:val="18"/>
          <w:szCs w:val="18"/>
          <w:lang w:val="el-GR"/>
        </w:rPr>
        <w:t>ου</w:t>
      </w:r>
      <w:r w:rsidRPr="007246A9">
        <w:rPr>
          <w:rFonts w:ascii="Arial" w:hAnsi="Arial" w:cs="Arial"/>
          <w:sz w:val="18"/>
          <w:szCs w:val="18"/>
          <w:lang w:val="el-GR"/>
        </w:rPr>
        <w:t xml:space="preserve"> 2029, ωστόσο η Τράπεζα έχει το δικαίωμα πρόωρης εξόφλησης κατά την Ημερομηνία Πρόωρης Εξόφλησης, νοουμένου ότι πληρούνται συγκεκριμένες προϋποθέσεις (περιλαμβανομένης της λήψης των απαραίτητων εποπτικών εγκρίσεων) όπως ορίζονται στους Όρους και Προϋποθέσεις.</w:t>
      </w:r>
      <w:r w:rsidR="002F2181">
        <w:rPr>
          <w:rFonts w:ascii="Arial" w:hAnsi="Arial" w:cs="Arial"/>
          <w:sz w:val="18"/>
          <w:szCs w:val="18"/>
          <w:lang w:val="el-GR"/>
        </w:rPr>
        <w:t xml:space="preserve"> </w:t>
      </w:r>
    </w:p>
    <w:p w14:paraId="0CA3542A" w14:textId="77777777" w:rsidR="0029296F" w:rsidRPr="00B54774" w:rsidRDefault="0029296F" w:rsidP="0029296F">
      <w:pPr>
        <w:rPr>
          <w:rFonts w:ascii="Arial" w:eastAsia="Times New Roman" w:hAnsi="Arial" w:cs="Arial"/>
          <w:sz w:val="18"/>
          <w:szCs w:val="18"/>
          <w:lang w:val="el-GR"/>
        </w:rPr>
      </w:pPr>
      <w:r w:rsidRPr="00B54774">
        <w:rPr>
          <w:rFonts w:ascii="Arial" w:hAnsi="Arial" w:cs="Arial"/>
          <w:b/>
          <w:bCs/>
          <w:color w:val="FF9900"/>
          <w:sz w:val="24"/>
          <w:lang w:val="el-GR"/>
        </w:rPr>
        <w:lastRenderedPageBreak/>
        <w:t xml:space="preserve">Α. Οικονομικά Αποτελέσματα Συγκροτήματος – Υποκείμενη Βάση </w:t>
      </w:r>
      <w:r w:rsidRPr="00B54774">
        <w:rPr>
          <w:rFonts w:ascii="Arial" w:hAnsi="Arial" w:cs="Arial"/>
          <w:color w:val="FF9900"/>
          <w:sz w:val="24"/>
          <w:lang w:val="el-GR"/>
        </w:rPr>
        <w:t>(συνέχεια)</w:t>
      </w:r>
    </w:p>
    <w:p w14:paraId="70E08E1F" w14:textId="77777777" w:rsidR="0029296F" w:rsidRPr="0034047F" w:rsidRDefault="0029296F" w:rsidP="0029296F">
      <w:pPr>
        <w:rPr>
          <w:rFonts w:ascii="Arial" w:hAnsi="Arial" w:cs="Arial"/>
          <w:b/>
          <w:bCs/>
          <w:color w:val="FF9900"/>
          <w:sz w:val="23"/>
          <w:szCs w:val="23"/>
          <w:lang w:val="el-GR"/>
        </w:rPr>
      </w:pPr>
      <w:r w:rsidRPr="00B54774">
        <w:rPr>
          <w:rFonts w:ascii="Arial" w:hAnsi="Arial" w:cs="Arial"/>
          <w:b/>
          <w:bCs/>
          <w:color w:val="FF9900"/>
          <w:sz w:val="23"/>
          <w:szCs w:val="23"/>
          <w:lang w:val="el-GR"/>
        </w:rPr>
        <w:t xml:space="preserve">Α.1 Ανάλυση Ισολογισμού </w:t>
      </w:r>
      <w:r w:rsidRPr="00B54774">
        <w:rPr>
          <w:rFonts w:ascii="Arial" w:hAnsi="Arial" w:cs="Arial"/>
          <w:color w:val="FF9900"/>
          <w:sz w:val="23"/>
          <w:szCs w:val="23"/>
          <w:lang w:val="el-GR"/>
        </w:rPr>
        <w:t>(συνέχεια)</w:t>
      </w:r>
    </w:p>
    <w:p w14:paraId="71B9244F" w14:textId="77777777" w:rsidR="0029296F" w:rsidRPr="0034047F" w:rsidRDefault="0029296F" w:rsidP="0029296F">
      <w:pPr>
        <w:spacing w:after="0" w:line="360" w:lineRule="auto"/>
        <w:jc w:val="both"/>
        <w:rPr>
          <w:rFonts w:ascii="Arial" w:eastAsia="Times New Roman" w:hAnsi="Arial" w:cs="Arial"/>
          <w:b/>
          <w:bCs/>
          <w:color w:val="FF9900"/>
          <w:lang w:val="el-GR" w:eastAsia="el-GR"/>
        </w:rPr>
      </w:pPr>
      <w:r w:rsidRPr="0034047F">
        <w:rPr>
          <w:rFonts w:ascii="Arial" w:eastAsia="Times New Roman" w:hAnsi="Arial" w:cs="Arial"/>
          <w:b/>
          <w:bCs/>
          <w:color w:val="FF9900"/>
          <w:lang w:val="el-GR" w:eastAsia="el-GR"/>
        </w:rPr>
        <w:t>Α.1.3 Χρηματοδότηση και Ρευστότη</w:t>
      </w:r>
      <w:r w:rsidRPr="002F2181">
        <w:rPr>
          <w:rFonts w:ascii="Arial" w:eastAsia="Times New Roman" w:hAnsi="Arial" w:cs="Arial"/>
          <w:b/>
          <w:bCs/>
          <w:color w:val="FF9900"/>
          <w:lang w:val="el-GR" w:eastAsia="el-GR"/>
        </w:rPr>
        <w:t xml:space="preserve">τα </w:t>
      </w:r>
      <w:r w:rsidRPr="007246A9">
        <w:rPr>
          <w:rFonts w:ascii="Arial" w:hAnsi="Arial" w:cs="Arial"/>
          <w:color w:val="FF9900"/>
          <w:lang w:val="el-GR"/>
        </w:rPr>
        <w:t>(συνέχεια)</w:t>
      </w:r>
    </w:p>
    <w:p w14:paraId="66B2DE03" w14:textId="77777777" w:rsidR="0029296F" w:rsidRPr="0034047F" w:rsidRDefault="0029296F" w:rsidP="0029296F">
      <w:pPr>
        <w:spacing w:after="0" w:line="360" w:lineRule="auto"/>
        <w:rPr>
          <w:rFonts w:ascii="Arial" w:eastAsia="Times New Roman" w:hAnsi="Arial" w:cs="Arial"/>
          <w:b/>
          <w:bCs/>
          <w:i/>
          <w:color w:val="FF9900"/>
          <w:sz w:val="20"/>
          <w:szCs w:val="24"/>
          <w:lang w:val="el-GR" w:eastAsia="el-GR"/>
        </w:rPr>
      </w:pPr>
      <w:r w:rsidRPr="0034047F">
        <w:rPr>
          <w:rFonts w:ascii="Arial" w:eastAsia="Times New Roman" w:hAnsi="Arial" w:cs="Arial"/>
          <w:b/>
          <w:bCs/>
          <w:i/>
          <w:color w:val="FF9900"/>
          <w:sz w:val="20"/>
          <w:szCs w:val="24"/>
          <w:lang w:val="el-GR" w:eastAsia="el-GR"/>
        </w:rPr>
        <w:t xml:space="preserve">Ομολογιακά </w:t>
      </w:r>
      <w:r w:rsidRPr="007246A9">
        <w:rPr>
          <w:rFonts w:ascii="Arial" w:eastAsia="Times New Roman" w:hAnsi="Arial" w:cs="Arial"/>
          <w:b/>
          <w:bCs/>
          <w:iCs/>
          <w:color w:val="FF9900"/>
          <w:sz w:val="20"/>
          <w:szCs w:val="20"/>
          <w:lang w:val="el-GR" w:eastAsia="el-GR"/>
        </w:rPr>
        <w:t xml:space="preserve">δάνεια </w:t>
      </w:r>
      <w:r w:rsidRPr="007246A9">
        <w:rPr>
          <w:rFonts w:ascii="Arial" w:hAnsi="Arial" w:cs="Arial"/>
          <w:iCs/>
          <w:color w:val="FF9900"/>
          <w:sz w:val="20"/>
          <w:szCs w:val="20"/>
          <w:lang w:val="el-GR"/>
        </w:rPr>
        <w:t>(συνέχεια)</w:t>
      </w:r>
    </w:p>
    <w:p w14:paraId="08146B87" w14:textId="77777777" w:rsidR="0029296F" w:rsidRDefault="0029296F" w:rsidP="00F70A02">
      <w:pPr>
        <w:pStyle w:val="Footer"/>
        <w:tabs>
          <w:tab w:val="clear" w:pos="4153"/>
          <w:tab w:val="clear" w:pos="8306"/>
        </w:tabs>
        <w:jc w:val="both"/>
        <w:rPr>
          <w:rFonts w:ascii="Arial" w:hAnsi="Arial" w:cs="Arial"/>
          <w:sz w:val="18"/>
          <w:szCs w:val="18"/>
          <w:lang w:val="el-GR"/>
        </w:rPr>
      </w:pPr>
    </w:p>
    <w:p w14:paraId="7DAE84E0" w14:textId="7EB1DA66" w:rsidR="005F5C6D" w:rsidRPr="00D41B36" w:rsidRDefault="005F5C6D" w:rsidP="00F70A02">
      <w:pPr>
        <w:pStyle w:val="Footer"/>
        <w:tabs>
          <w:tab w:val="clear" w:pos="4153"/>
          <w:tab w:val="clear" w:pos="8306"/>
        </w:tabs>
        <w:jc w:val="both"/>
        <w:rPr>
          <w:rFonts w:ascii="Arial" w:hAnsi="Arial" w:cs="Arial"/>
          <w:sz w:val="18"/>
          <w:szCs w:val="18"/>
          <w:highlight w:val="yellow"/>
          <w:lang w:val="el-GR"/>
        </w:rPr>
      </w:pPr>
      <w:r w:rsidRPr="007246A9">
        <w:rPr>
          <w:rFonts w:ascii="Arial" w:hAnsi="Arial" w:cs="Arial"/>
          <w:sz w:val="18"/>
          <w:szCs w:val="18"/>
          <w:lang w:val="el-GR"/>
        </w:rPr>
        <w:t xml:space="preserve">Εάν </w:t>
      </w:r>
      <w:r w:rsidR="00875179" w:rsidRPr="007246A9">
        <w:rPr>
          <w:rFonts w:ascii="Arial" w:hAnsi="Arial" w:cs="Arial"/>
          <w:sz w:val="18"/>
          <w:szCs w:val="18"/>
          <w:lang w:val="el-GR"/>
        </w:rPr>
        <w:t xml:space="preserve">το </w:t>
      </w:r>
      <w:r w:rsidR="00875179" w:rsidRPr="007246A9">
        <w:rPr>
          <w:rFonts w:ascii="Arial" w:eastAsiaTheme="minorEastAsia" w:hAnsi="Arial" w:cs="Arial"/>
          <w:color w:val="000000" w:themeColor="text1"/>
          <w:sz w:val="18"/>
          <w:szCs w:val="18"/>
          <w:lang w:val="el-GR"/>
        </w:rPr>
        <w:t xml:space="preserve">Πράσινο Ομόλογο </w:t>
      </w:r>
      <w:r w:rsidRPr="007246A9">
        <w:rPr>
          <w:rFonts w:ascii="Arial" w:hAnsi="Arial" w:cs="Arial"/>
          <w:sz w:val="18"/>
          <w:szCs w:val="18"/>
          <w:lang w:val="el-GR"/>
        </w:rPr>
        <w:t xml:space="preserve">δεν </w:t>
      </w:r>
      <w:r w:rsidR="00875179" w:rsidRPr="007246A9">
        <w:rPr>
          <w:rFonts w:ascii="Arial" w:hAnsi="Arial" w:cs="Arial"/>
          <w:sz w:val="18"/>
          <w:szCs w:val="18"/>
          <w:lang w:val="el-GR"/>
        </w:rPr>
        <w:t>εξοφληθεί</w:t>
      </w:r>
      <w:r w:rsidR="00E53092" w:rsidRPr="007246A9">
        <w:rPr>
          <w:rFonts w:ascii="Arial" w:hAnsi="Arial" w:cs="Arial"/>
          <w:sz w:val="18"/>
          <w:szCs w:val="18"/>
          <w:lang w:val="el-GR"/>
        </w:rPr>
        <w:t xml:space="preserve"> πρόωρα</w:t>
      </w:r>
      <w:r w:rsidRPr="007246A9">
        <w:rPr>
          <w:rFonts w:ascii="Arial" w:hAnsi="Arial" w:cs="Arial"/>
          <w:sz w:val="18"/>
          <w:szCs w:val="18"/>
          <w:lang w:val="el-GR"/>
        </w:rPr>
        <w:t xml:space="preserve"> από την Τράπεζα, το επιτόκιο από την Ημερομηνία Πρόωρης Εξόφλησης μέχρι την ημερομηνία λήξης θα είναι κυμαινόμενο, ίσο με 3 μηνών </w:t>
      </w:r>
      <w:proofErr w:type="spellStart"/>
      <w:r w:rsidRPr="007246A9">
        <w:rPr>
          <w:rFonts w:ascii="Arial" w:hAnsi="Arial" w:cs="Arial"/>
          <w:sz w:val="18"/>
          <w:szCs w:val="18"/>
          <w:lang w:val="el-GR"/>
        </w:rPr>
        <w:t>Euribor</w:t>
      </w:r>
      <w:proofErr w:type="spellEnd"/>
      <w:r w:rsidRPr="007246A9">
        <w:rPr>
          <w:rFonts w:ascii="Arial" w:hAnsi="Arial" w:cs="Arial"/>
          <w:sz w:val="18"/>
          <w:szCs w:val="18"/>
          <w:lang w:val="el-GR"/>
        </w:rPr>
        <w:t xml:space="preserve"> + 197.1 </w:t>
      </w:r>
      <w:proofErr w:type="spellStart"/>
      <w:r w:rsidRPr="007246A9">
        <w:rPr>
          <w:rFonts w:ascii="Arial" w:hAnsi="Arial" w:cs="Arial"/>
          <w:sz w:val="18"/>
          <w:szCs w:val="18"/>
          <w:lang w:val="el-GR"/>
        </w:rPr>
        <w:t>μ.β</w:t>
      </w:r>
      <w:proofErr w:type="spellEnd"/>
      <w:r w:rsidRPr="007246A9">
        <w:rPr>
          <w:rFonts w:ascii="Arial" w:hAnsi="Arial" w:cs="Arial"/>
          <w:sz w:val="18"/>
          <w:szCs w:val="18"/>
          <w:lang w:val="el-GR"/>
        </w:rPr>
        <w:t>., και θα καταβάλλεται κάθε τρίμηνο αναδρομικά.</w:t>
      </w:r>
    </w:p>
    <w:p w14:paraId="728DF321" w14:textId="77777777" w:rsidR="001A4264" w:rsidRPr="007246A9" w:rsidRDefault="001A4264" w:rsidP="00F70A02">
      <w:pPr>
        <w:pStyle w:val="Footer"/>
        <w:tabs>
          <w:tab w:val="clear" w:pos="4153"/>
          <w:tab w:val="clear" w:pos="8306"/>
        </w:tabs>
        <w:jc w:val="both"/>
        <w:rPr>
          <w:rFonts w:ascii="Arial" w:hAnsi="Arial" w:cs="Arial"/>
          <w:sz w:val="18"/>
          <w:lang w:val="el-GR" w:eastAsia="el-GR"/>
        </w:rPr>
      </w:pPr>
    </w:p>
    <w:p w14:paraId="03C6C618" w14:textId="3BB480E5" w:rsidR="005F5C6D" w:rsidRPr="007246A9" w:rsidRDefault="00E53092" w:rsidP="00F70A02">
      <w:pPr>
        <w:pStyle w:val="Footer"/>
        <w:tabs>
          <w:tab w:val="clear" w:pos="4153"/>
          <w:tab w:val="clear" w:pos="8306"/>
        </w:tabs>
        <w:jc w:val="both"/>
        <w:rPr>
          <w:rFonts w:ascii="Arial" w:hAnsi="Arial" w:cs="Arial"/>
          <w:sz w:val="18"/>
          <w:szCs w:val="18"/>
          <w:lang w:val="el-GR"/>
        </w:rPr>
      </w:pPr>
      <w:r w:rsidRPr="007246A9">
        <w:rPr>
          <w:rFonts w:ascii="Arial" w:hAnsi="Arial" w:cs="Arial"/>
          <w:sz w:val="18"/>
          <w:szCs w:val="18"/>
          <w:lang w:val="el-GR"/>
        </w:rPr>
        <w:t xml:space="preserve">Η συναλλαγή αντιπροσωπεύει την πρώτη έκδοση πράσινου ομολόγου της Τράπεζας ευθυγραμμισμένη με τη φιλοσοφία του Συγκροτήματος ‘Περισσότερο από Τράπεζα - </w:t>
      </w:r>
      <w:proofErr w:type="spellStart"/>
      <w:r w:rsidRPr="007246A9">
        <w:rPr>
          <w:rFonts w:ascii="Arial" w:hAnsi="Arial" w:cs="Arial"/>
          <w:sz w:val="18"/>
          <w:szCs w:val="18"/>
          <w:lang w:val="el-GR"/>
        </w:rPr>
        <w:t>Beyond</w:t>
      </w:r>
      <w:proofErr w:type="spellEnd"/>
      <w:r w:rsidRPr="007246A9">
        <w:rPr>
          <w:rFonts w:ascii="Arial" w:hAnsi="Arial" w:cs="Arial"/>
          <w:sz w:val="18"/>
          <w:szCs w:val="18"/>
          <w:lang w:val="el-GR"/>
        </w:rPr>
        <w:t xml:space="preserve"> Banking’ με στόχο να</w:t>
      </w:r>
      <w:r w:rsidR="00C36C7D" w:rsidRPr="007246A9">
        <w:rPr>
          <w:rFonts w:ascii="Arial" w:hAnsi="Arial" w:cs="Arial"/>
          <w:b/>
          <w:bCs/>
          <w:color w:val="FF9900"/>
          <w:lang w:val="el-GR"/>
        </w:rPr>
        <w:t xml:space="preserve"> </w:t>
      </w:r>
      <w:r w:rsidRPr="007246A9">
        <w:rPr>
          <w:rFonts w:ascii="Arial" w:hAnsi="Arial" w:cs="Arial"/>
          <w:sz w:val="18"/>
          <w:szCs w:val="18"/>
          <w:lang w:val="el-GR"/>
        </w:rPr>
        <w:t>δημιουργήσει μια ισχυρή, πιο ασφαλή Τράπεζα, επικεντρωμένη στο μέλλον καθώς και να ηγηθεί της μετάβασης της Κύπρου σε ένα βιώσιμο μέλλον.</w:t>
      </w:r>
      <w:r w:rsidR="004F5CA6" w:rsidRPr="007246A9">
        <w:rPr>
          <w:rFonts w:ascii="Arial" w:hAnsi="Arial" w:cs="Arial"/>
          <w:sz w:val="18"/>
          <w:szCs w:val="18"/>
          <w:lang w:val="el-GR"/>
        </w:rPr>
        <w:t xml:space="preserve"> </w:t>
      </w:r>
      <w:r w:rsidRPr="007246A9">
        <w:rPr>
          <w:rFonts w:ascii="Arial" w:hAnsi="Arial" w:cs="Arial"/>
          <w:sz w:val="18"/>
          <w:szCs w:val="18"/>
          <w:lang w:val="el-GR"/>
        </w:rPr>
        <w:t>Τα καθαρά έσοδα από την έκδοση του Ομολόγου θα διατεθούν σε Επιλέξιμα Έργα Πράσινης Χρηματοδότησης όπως περιγράφονται στο Πλαίσιο Βιώσιμης Χρηματοδότησης της Τράπεζας, τα οποία περιλαμβάνουν Πράσινα Κτίρια, Βελτίωση Ενεργειακής Απόδοσης, Συγκοινωνίες φιλικές προς το περιβάλλον και Ανανεώσιμες Πηγές Ενέργειας.</w:t>
      </w:r>
    </w:p>
    <w:p w14:paraId="4A9475B6" w14:textId="77777777" w:rsidR="00B570CB" w:rsidRPr="00B570CB" w:rsidRDefault="00B570CB" w:rsidP="001F151F">
      <w:pPr>
        <w:spacing w:after="0" w:line="240" w:lineRule="auto"/>
        <w:jc w:val="both"/>
        <w:rPr>
          <w:rFonts w:ascii="Arial" w:hAnsi="Arial" w:cs="Arial"/>
          <w:sz w:val="18"/>
          <w:szCs w:val="18"/>
          <w:highlight w:val="yellow"/>
          <w:lang w:val="el-GR"/>
        </w:rPr>
      </w:pPr>
    </w:p>
    <w:p w14:paraId="1AA9384D" w14:textId="07021C37" w:rsidR="00BC042D" w:rsidRPr="007246A9" w:rsidRDefault="00977246" w:rsidP="00BC042D">
      <w:pPr>
        <w:pStyle w:val="BodyText3"/>
        <w:jc w:val="both"/>
        <w:rPr>
          <w:rFonts w:ascii="Arial" w:hAnsi="Arial" w:cs="Arial"/>
          <w:sz w:val="18"/>
          <w:szCs w:val="18"/>
          <w:lang w:val="el-GR" w:eastAsia="en-US"/>
        </w:rPr>
      </w:pPr>
      <w:r w:rsidRPr="007246A9">
        <w:rPr>
          <w:rFonts w:ascii="Arial" w:hAnsi="Arial" w:cs="Arial"/>
          <w:sz w:val="18"/>
          <w:szCs w:val="18"/>
          <w:lang w:val="el-GR" w:eastAsia="en-US"/>
        </w:rPr>
        <w:t xml:space="preserve">Τον Ιούλιο 2023, η Τράπεζα ολοκλήρωσε με επιτυχία την έκδοση και την τιμολόγηση ομολόγου υψηλής εξοφλητικής προτεραιότητας ύψους €350 εκατ. (το «Ομόλογο»). Το Ομόλογο εκδόθηκε στην ονομαστική του αξία και φέρει ετήσιο σταθερό επιτόκιο ύψους 7.375% το οποίο θα καταβάλλεται ετησίως αναδρομικά μέχρι την Ημερομηνία Πρόωρης Εξόφλησης στις 25 Ιουλίου 2027. Το Ομόλογο λήγει στις 25 Ιουλίου 2028, ωστόσο η Τράπεζα έχει το δικαίωμα πρόωρης εξόφλησης κατά την Ημερομηνία Πρόωρης Εξόφλησης, νοουμένου ότι πληρούνται συγκεκριμένες προϋποθέσεις (περιλαμβανομένης της λήψης των απαραίτητων εποπτικών εγκρίσεων) όπως ορίζονται στους Όρους και Προϋποθέσεις. Εάν το Ομόλογο δεν εξοφληθεί από την Τράπεζα κατά την Ημερομηνία Πρόωρης Εξόφλησης, το επιτόκιο από την Ημερομηνία Πρόωρης Εξόφλησης μέχρι την ημερομηνία λήξης θα είναι κυμαινόμενο, ίσο με 3 μηνών </w:t>
      </w:r>
      <w:proofErr w:type="spellStart"/>
      <w:r w:rsidRPr="007246A9">
        <w:rPr>
          <w:rFonts w:ascii="Arial" w:hAnsi="Arial" w:cs="Arial"/>
          <w:sz w:val="18"/>
          <w:szCs w:val="18"/>
          <w:lang w:val="el-GR" w:eastAsia="en-US"/>
        </w:rPr>
        <w:t>Euribor</w:t>
      </w:r>
      <w:proofErr w:type="spellEnd"/>
      <w:r w:rsidRPr="007246A9">
        <w:rPr>
          <w:rFonts w:ascii="Arial" w:hAnsi="Arial" w:cs="Arial"/>
          <w:sz w:val="18"/>
          <w:szCs w:val="18"/>
          <w:lang w:val="el-GR" w:eastAsia="en-US"/>
        </w:rPr>
        <w:t xml:space="preserve"> + 409.5 </w:t>
      </w:r>
      <w:proofErr w:type="spellStart"/>
      <w:r w:rsidRPr="007246A9">
        <w:rPr>
          <w:rFonts w:ascii="Arial" w:hAnsi="Arial" w:cs="Arial"/>
          <w:sz w:val="18"/>
          <w:szCs w:val="18"/>
          <w:lang w:val="el-GR" w:eastAsia="en-US"/>
        </w:rPr>
        <w:t>μ.β</w:t>
      </w:r>
      <w:proofErr w:type="spellEnd"/>
      <w:r w:rsidRPr="007246A9">
        <w:rPr>
          <w:rFonts w:ascii="Arial" w:hAnsi="Arial" w:cs="Arial"/>
          <w:sz w:val="18"/>
          <w:szCs w:val="18"/>
          <w:lang w:val="el-GR" w:eastAsia="en-US"/>
        </w:rPr>
        <w:t>., και θα καταβάλλεται κάθε τρίμηνο αναδρομικά.</w:t>
      </w:r>
      <w:r w:rsidR="009A3414" w:rsidRPr="007246A9">
        <w:rPr>
          <w:rFonts w:ascii="Arial" w:hAnsi="Arial" w:cs="Arial"/>
          <w:sz w:val="18"/>
          <w:szCs w:val="18"/>
          <w:lang w:val="el-GR" w:eastAsia="en-US"/>
        </w:rPr>
        <w:t xml:space="preserve"> </w:t>
      </w:r>
    </w:p>
    <w:p w14:paraId="143E8452" w14:textId="68E1A854" w:rsidR="00977246" w:rsidRPr="007246A9" w:rsidRDefault="00977246" w:rsidP="00977246">
      <w:pPr>
        <w:pStyle w:val="BodyText3"/>
        <w:jc w:val="both"/>
        <w:rPr>
          <w:rFonts w:ascii="Arial" w:hAnsi="Arial" w:cs="Arial"/>
          <w:sz w:val="18"/>
          <w:szCs w:val="18"/>
          <w:lang w:val="el-GR" w:eastAsia="en-US"/>
        </w:rPr>
      </w:pPr>
    </w:p>
    <w:p w14:paraId="5867CFDB" w14:textId="770128B1" w:rsidR="002F2181" w:rsidRPr="007246A9" w:rsidRDefault="009A3414" w:rsidP="00977246">
      <w:pPr>
        <w:pStyle w:val="BodyText3"/>
        <w:jc w:val="both"/>
        <w:rPr>
          <w:rFonts w:ascii="Arial" w:hAnsi="Arial" w:cs="Arial"/>
          <w:sz w:val="18"/>
          <w:szCs w:val="18"/>
          <w:lang w:val="el-GR" w:eastAsia="en-US"/>
        </w:rPr>
      </w:pPr>
      <w:r w:rsidRPr="007246A9">
        <w:rPr>
          <w:rFonts w:ascii="Arial" w:hAnsi="Arial" w:cs="Arial"/>
          <w:sz w:val="18"/>
          <w:szCs w:val="18"/>
          <w:lang w:val="el-GR" w:eastAsia="en-US"/>
        </w:rPr>
        <w:t>Τον Ιούνιο 2021, η Τράπεζα</w:t>
      </w:r>
      <w:r w:rsidR="00630B4B">
        <w:rPr>
          <w:rFonts w:ascii="Arial" w:hAnsi="Arial" w:cs="Arial"/>
          <w:sz w:val="18"/>
          <w:szCs w:val="18"/>
          <w:lang w:val="el-GR" w:eastAsia="en-US"/>
        </w:rPr>
        <w:t xml:space="preserve"> </w:t>
      </w:r>
      <w:r w:rsidRPr="007246A9">
        <w:rPr>
          <w:rFonts w:ascii="Arial" w:hAnsi="Arial" w:cs="Arial"/>
          <w:sz w:val="18"/>
          <w:szCs w:val="18"/>
          <w:lang w:val="el-GR" w:eastAsia="en-US"/>
        </w:rPr>
        <w:t>προχώρησε στην πρώτη της συναλλαγή για σκοπούς ελάχιστης απαίτησης ιδίων κεφαλαίων και επιλέξιμων υποχρεώσεων (MREL) μέσω έκδοσης ομολόγου υψηλής εξοφλητικής προτεραιότητας ύψους €300 εκατ. (το ‘Ομόλογο Υψηλής Εξοφλητικής Προτεραιότητας’). Το Ομόλογο Υψηλής Εξοφλητικής Προτεραιότητας εκδόθηκε στην</w:t>
      </w:r>
      <w:r w:rsidR="006C6CF9" w:rsidRPr="007246A9">
        <w:rPr>
          <w:rFonts w:ascii="Arial" w:hAnsi="Arial" w:cs="Arial"/>
          <w:b/>
          <w:bCs/>
          <w:color w:val="FF9900"/>
          <w:sz w:val="24"/>
          <w:lang w:val="el-GR"/>
        </w:rPr>
        <w:t xml:space="preserve"> </w:t>
      </w:r>
      <w:r w:rsidRPr="007246A9">
        <w:rPr>
          <w:rFonts w:ascii="Arial" w:hAnsi="Arial" w:cs="Arial"/>
          <w:sz w:val="18"/>
          <w:szCs w:val="18"/>
          <w:lang w:val="el-GR" w:eastAsia="en-US"/>
        </w:rPr>
        <w:t xml:space="preserve">ονομαστική αξία και φέρει ετήσιο </w:t>
      </w:r>
      <w:r w:rsidR="00630B4B">
        <w:rPr>
          <w:rFonts w:ascii="Arial" w:hAnsi="Arial" w:cs="Arial"/>
          <w:sz w:val="18"/>
          <w:szCs w:val="18"/>
          <w:lang w:val="el-GR" w:eastAsia="en-US"/>
        </w:rPr>
        <w:t xml:space="preserve">σταθερό </w:t>
      </w:r>
      <w:r w:rsidRPr="007246A9">
        <w:rPr>
          <w:rFonts w:ascii="Arial" w:hAnsi="Arial" w:cs="Arial"/>
          <w:sz w:val="18"/>
          <w:szCs w:val="18"/>
          <w:lang w:val="el-GR" w:eastAsia="en-US"/>
        </w:rPr>
        <w:t xml:space="preserve">επιτόκιο ύψους 2.50%. Ο τόκος επί του Ομολόγου Υψηλής Εξοφλητικής Προτεραιότητας καταβάλλεται ετησίως αναδρομικά και θα επανακαθορισθεί στις 24 Ιουνίου 2026. Το Ομόλογο Υψηλής Εξοφλητικής Προτεραιότητας λήγει στις 24 Ιουνίου 2027. Η Τράπεζα έχει το δικαίωμα, κατά την απόλυτη της κρίση, για πρόωρη εξόφληση στις 24 Ιουνίου 2026, νοουμένου ότι πληρούνται συγκεκριμένες προϋποθέσεις όπως ορίζονται στους Όρους και Προϋποθέσεις, περιλαμβανομένης της λήψης των απαραίτητων εποπτικών εγκρίσεων. </w:t>
      </w:r>
    </w:p>
    <w:p w14:paraId="7C1F9E70" w14:textId="77777777" w:rsidR="002F2181" w:rsidRPr="007246A9" w:rsidRDefault="002F2181" w:rsidP="00977246">
      <w:pPr>
        <w:pStyle w:val="BodyText3"/>
        <w:jc w:val="both"/>
        <w:rPr>
          <w:rFonts w:ascii="Arial" w:hAnsi="Arial" w:cs="Arial"/>
          <w:sz w:val="18"/>
          <w:szCs w:val="18"/>
          <w:lang w:val="el-GR" w:eastAsia="en-US"/>
        </w:rPr>
      </w:pPr>
    </w:p>
    <w:p w14:paraId="0766079E" w14:textId="5F37C654" w:rsidR="00BC042D" w:rsidRPr="007246A9" w:rsidRDefault="002F2181" w:rsidP="00977246">
      <w:pPr>
        <w:pStyle w:val="BodyText3"/>
        <w:jc w:val="both"/>
        <w:rPr>
          <w:rFonts w:ascii="Arial" w:hAnsi="Arial" w:cs="Arial"/>
          <w:sz w:val="18"/>
          <w:szCs w:val="18"/>
          <w:lang w:val="el-GR" w:eastAsia="en-US"/>
        </w:rPr>
      </w:pPr>
      <w:r w:rsidRPr="007246A9">
        <w:rPr>
          <w:rFonts w:ascii="Arial" w:hAnsi="Arial" w:cs="Arial"/>
          <w:sz w:val="18"/>
          <w:szCs w:val="18"/>
          <w:lang w:val="el-GR" w:eastAsia="en-US"/>
        </w:rPr>
        <w:t>Όλες οι πιο πάνω εκδόσεις ο</w:t>
      </w:r>
      <w:r w:rsidR="009A3414" w:rsidRPr="007246A9">
        <w:rPr>
          <w:rFonts w:ascii="Arial" w:hAnsi="Arial" w:cs="Arial"/>
          <w:sz w:val="18"/>
          <w:szCs w:val="18"/>
          <w:lang w:val="el-GR" w:eastAsia="en-US"/>
        </w:rPr>
        <w:t>μόλογ</w:t>
      </w:r>
      <w:r w:rsidRPr="007246A9">
        <w:rPr>
          <w:rFonts w:ascii="Arial" w:hAnsi="Arial" w:cs="Arial"/>
          <w:sz w:val="18"/>
          <w:szCs w:val="18"/>
          <w:lang w:val="el-GR" w:eastAsia="en-US"/>
        </w:rPr>
        <w:t>ων</w:t>
      </w:r>
      <w:r w:rsidR="009A3414" w:rsidRPr="007246A9">
        <w:rPr>
          <w:rFonts w:ascii="Arial" w:hAnsi="Arial" w:cs="Arial"/>
          <w:sz w:val="18"/>
          <w:szCs w:val="18"/>
          <w:lang w:val="el-GR" w:eastAsia="en-US"/>
        </w:rPr>
        <w:t xml:space="preserve"> </w:t>
      </w:r>
      <w:r w:rsidRPr="007246A9">
        <w:rPr>
          <w:rFonts w:ascii="Arial" w:hAnsi="Arial" w:cs="Arial"/>
          <w:sz w:val="18"/>
          <w:szCs w:val="18"/>
          <w:lang w:val="el-GR" w:eastAsia="en-US"/>
        </w:rPr>
        <w:t>υ</w:t>
      </w:r>
      <w:r w:rsidR="009A3414" w:rsidRPr="007246A9">
        <w:rPr>
          <w:rFonts w:ascii="Arial" w:hAnsi="Arial" w:cs="Arial"/>
          <w:sz w:val="18"/>
          <w:szCs w:val="18"/>
          <w:lang w:val="el-GR" w:eastAsia="en-US"/>
        </w:rPr>
        <w:t xml:space="preserve">ψηλής </w:t>
      </w:r>
      <w:r w:rsidRPr="007246A9">
        <w:rPr>
          <w:rFonts w:ascii="Arial" w:hAnsi="Arial" w:cs="Arial"/>
          <w:sz w:val="18"/>
          <w:szCs w:val="18"/>
          <w:lang w:val="el-GR" w:eastAsia="en-US"/>
        </w:rPr>
        <w:t>ε</w:t>
      </w:r>
      <w:r w:rsidR="009A3414" w:rsidRPr="007246A9">
        <w:rPr>
          <w:rFonts w:ascii="Arial" w:hAnsi="Arial" w:cs="Arial"/>
          <w:sz w:val="18"/>
          <w:szCs w:val="18"/>
          <w:lang w:val="el-GR" w:eastAsia="en-US"/>
        </w:rPr>
        <w:t xml:space="preserve">ξοφλητικής </w:t>
      </w:r>
      <w:r w:rsidRPr="007246A9">
        <w:rPr>
          <w:rFonts w:ascii="Arial" w:hAnsi="Arial" w:cs="Arial"/>
          <w:sz w:val="18"/>
          <w:szCs w:val="18"/>
          <w:lang w:val="el-GR" w:eastAsia="en-US"/>
        </w:rPr>
        <w:t>π</w:t>
      </w:r>
      <w:r w:rsidR="009A3414" w:rsidRPr="007246A9">
        <w:rPr>
          <w:rFonts w:ascii="Arial" w:hAnsi="Arial" w:cs="Arial"/>
          <w:sz w:val="18"/>
          <w:szCs w:val="18"/>
          <w:lang w:val="el-GR" w:eastAsia="en-US"/>
        </w:rPr>
        <w:t xml:space="preserve">ροτεραιότητας </w:t>
      </w:r>
      <w:r w:rsidRPr="007246A9">
        <w:rPr>
          <w:rFonts w:ascii="Arial" w:hAnsi="Arial" w:cs="Arial"/>
          <w:sz w:val="18"/>
          <w:szCs w:val="18"/>
          <w:lang w:val="el-GR" w:eastAsia="en-US"/>
        </w:rPr>
        <w:t xml:space="preserve">πληρούν </w:t>
      </w:r>
      <w:r w:rsidR="009A3414" w:rsidRPr="007246A9">
        <w:rPr>
          <w:rFonts w:ascii="Arial" w:hAnsi="Arial" w:cs="Arial"/>
          <w:sz w:val="18"/>
          <w:szCs w:val="18"/>
          <w:lang w:val="el-GR" w:eastAsia="en-US"/>
        </w:rPr>
        <w:t>τα σχετικά κριτήρια και συνεισφέρ</w:t>
      </w:r>
      <w:r w:rsidRPr="007246A9">
        <w:rPr>
          <w:rFonts w:ascii="Arial" w:hAnsi="Arial" w:cs="Arial"/>
          <w:sz w:val="18"/>
          <w:szCs w:val="18"/>
          <w:lang w:val="el-GR" w:eastAsia="en-US"/>
        </w:rPr>
        <w:t xml:space="preserve">ουν </w:t>
      </w:r>
      <w:r w:rsidR="009A3414" w:rsidRPr="007246A9">
        <w:rPr>
          <w:rFonts w:ascii="Arial" w:hAnsi="Arial" w:cs="Arial"/>
          <w:sz w:val="18"/>
          <w:szCs w:val="18"/>
          <w:lang w:val="el-GR" w:eastAsia="en-US"/>
        </w:rPr>
        <w:t>στην ελάχιστη απαίτηση ιδίων κεφαλαίων και επιλέξιμων υποχρεώσεων (MREL) για την Τράπεζα.</w:t>
      </w:r>
    </w:p>
    <w:p w14:paraId="51B73472" w14:textId="77777777" w:rsidR="00870528" w:rsidRPr="00D41B36" w:rsidRDefault="00870528" w:rsidP="00977246">
      <w:pPr>
        <w:pStyle w:val="BodyText3"/>
        <w:jc w:val="both"/>
        <w:rPr>
          <w:rFonts w:ascii="Arial" w:hAnsi="Arial" w:cs="Arial"/>
          <w:sz w:val="18"/>
          <w:szCs w:val="18"/>
          <w:highlight w:val="yellow"/>
          <w:lang w:val="el-GR" w:eastAsia="en-US"/>
        </w:rPr>
      </w:pPr>
    </w:p>
    <w:p w14:paraId="5771CC83" w14:textId="3141DFE8" w:rsidR="00352599" w:rsidRPr="007246A9" w:rsidRDefault="00352599" w:rsidP="004953BA">
      <w:pPr>
        <w:spacing w:after="0" w:line="360" w:lineRule="auto"/>
        <w:rPr>
          <w:rFonts w:ascii="Arial" w:hAnsi="Arial" w:cs="Arial"/>
          <w:sz w:val="18"/>
          <w:szCs w:val="18"/>
          <w:lang w:val="el-GR" w:eastAsia="el-GR"/>
        </w:rPr>
      </w:pPr>
      <w:r w:rsidRPr="007246A9">
        <w:rPr>
          <w:rFonts w:ascii="Arial" w:eastAsia="Times New Roman" w:hAnsi="Arial" w:cs="Arial"/>
          <w:b/>
          <w:bCs/>
          <w:i/>
          <w:iCs/>
          <w:color w:val="FF9900"/>
          <w:sz w:val="20"/>
          <w:szCs w:val="24"/>
          <w:lang w:val="el-GR" w:eastAsia="el-GR"/>
        </w:rPr>
        <w:t xml:space="preserve">Ρευστότητα </w:t>
      </w:r>
    </w:p>
    <w:p w14:paraId="40FE8E62" w14:textId="74296668" w:rsidR="00B570CB" w:rsidRPr="00D41B36" w:rsidRDefault="00352599" w:rsidP="00EC34F0">
      <w:pPr>
        <w:widowControl w:val="0"/>
        <w:autoSpaceDE w:val="0"/>
        <w:autoSpaceDN w:val="0"/>
        <w:adjustRightInd w:val="0"/>
        <w:spacing w:after="0" w:line="240" w:lineRule="auto"/>
        <w:jc w:val="both"/>
        <w:rPr>
          <w:rFonts w:ascii="Arial" w:hAnsi="Arial" w:cs="Arial"/>
          <w:sz w:val="18"/>
          <w:szCs w:val="18"/>
          <w:highlight w:val="yellow"/>
          <w:lang w:val="el-GR" w:eastAsia="el-GR"/>
        </w:rPr>
      </w:pPr>
      <w:r w:rsidRPr="007246A9">
        <w:rPr>
          <w:rFonts w:ascii="Arial" w:hAnsi="Arial" w:cs="Arial"/>
          <w:sz w:val="18"/>
          <w:szCs w:val="18"/>
          <w:lang w:val="el-GR" w:eastAsia="el-GR"/>
        </w:rPr>
        <w:t xml:space="preserve">Στις </w:t>
      </w:r>
      <w:r w:rsidR="00FD3DD0" w:rsidRPr="007246A9">
        <w:rPr>
          <w:rFonts w:ascii="Arial" w:hAnsi="Arial" w:cs="Arial"/>
          <w:sz w:val="18"/>
          <w:szCs w:val="18"/>
          <w:lang w:val="el-GR" w:eastAsia="el-GR"/>
        </w:rPr>
        <w:t xml:space="preserve">30 </w:t>
      </w:r>
      <w:r w:rsidR="00610316" w:rsidRPr="007246A9">
        <w:rPr>
          <w:rFonts w:ascii="Arial" w:hAnsi="Arial" w:cs="Arial"/>
          <w:sz w:val="18"/>
          <w:szCs w:val="18"/>
          <w:lang w:val="el-GR" w:eastAsia="el-GR"/>
        </w:rPr>
        <w:t xml:space="preserve">Σεπτεμβρίου </w:t>
      </w:r>
      <w:r w:rsidR="006D6749" w:rsidRPr="007246A9">
        <w:rPr>
          <w:rFonts w:ascii="Arial" w:hAnsi="Arial" w:cs="Arial"/>
          <w:sz w:val="18"/>
          <w:szCs w:val="18"/>
          <w:lang w:val="el-GR" w:eastAsia="el-GR"/>
        </w:rPr>
        <w:t>2024</w:t>
      </w:r>
      <w:r w:rsidRPr="007246A9">
        <w:rPr>
          <w:rFonts w:ascii="Arial" w:hAnsi="Arial" w:cs="Arial"/>
          <w:sz w:val="18"/>
          <w:szCs w:val="18"/>
          <w:lang w:val="el-GR" w:eastAsia="el-GR"/>
        </w:rPr>
        <w:t>,</w:t>
      </w:r>
      <w:r w:rsidR="006D6749" w:rsidRPr="007246A9">
        <w:rPr>
          <w:rFonts w:ascii="Arial" w:hAnsi="Arial" w:cs="Arial"/>
          <w:sz w:val="18"/>
          <w:szCs w:val="18"/>
          <w:lang w:val="el-GR" w:eastAsia="el-GR"/>
        </w:rPr>
        <w:t xml:space="preserve"> </w:t>
      </w:r>
      <w:r w:rsidRPr="007246A9">
        <w:rPr>
          <w:rFonts w:ascii="Arial" w:hAnsi="Arial" w:cs="Arial"/>
          <w:sz w:val="18"/>
          <w:szCs w:val="18"/>
          <w:lang w:val="el-GR" w:eastAsia="el-GR"/>
        </w:rPr>
        <w:t xml:space="preserve">ο Δείκτης Κάλυψης Ρευστότητας του Συγκροτήματος (ΔΚΡ) ανήλθε σε </w:t>
      </w:r>
      <w:r w:rsidR="00B570CB" w:rsidRPr="00502B4F">
        <w:rPr>
          <w:rFonts w:ascii="Arial" w:hAnsi="Arial" w:cs="Arial"/>
          <w:sz w:val="18"/>
          <w:szCs w:val="18"/>
          <w:lang w:val="el-GR" w:eastAsia="el-GR"/>
        </w:rPr>
        <w:t>312</w:t>
      </w:r>
      <w:r w:rsidRPr="007246A9">
        <w:rPr>
          <w:rFonts w:ascii="Arial" w:hAnsi="Arial" w:cs="Arial"/>
          <w:sz w:val="18"/>
          <w:szCs w:val="18"/>
          <w:lang w:val="el-GR" w:eastAsia="el-GR"/>
        </w:rPr>
        <w:t>% (σε σύγκριση με</w:t>
      </w:r>
      <w:r w:rsidR="00FD3DD0" w:rsidRPr="007246A9">
        <w:rPr>
          <w:rFonts w:ascii="Arial" w:hAnsi="Arial" w:cs="Arial"/>
          <w:sz w:val="18"/>
          <w:szCs w:val="18"/>
          <w:lang w:val="el-GR" w:eastAsia="el-GR"/>
        </w:rPr>
        <w:t xml:space="preserve"> </w:t>
      </w:r>
      <w:r w:rsidR="002F2181" w:rsidRPr="007246A9">
        <w:rPr>
          <w:rFonts w:ascii="Arial" w:hAnsi="Arial" w:cs="Arial"/>
          <w:sz w:val="18"/>
          <w:szCs w:val="18"/>
          <w:lang w:val="el-GR" w:eastAsia="el-GR"/>
        </w:rPr>
        <w:t>304%</w:t>
      </w:r>
      <w:r w:rsidR="00FD3DD0" w:rsidRPr="007246A9">
        <w:rPr>
          <w:rFonts w:ascii="Arial" w:hAnsi="Arial" w:cs="Arial"/>
          <w:sz w:val="18"/>
          <w:szCs w:val="18"/>
          <w:lang w:val="el-GR" w:eastAsia="el-GR"/>
        </w:rPr>
        <w:t xml:space="preserve"> στις </w:t>
      </w:r>
      <w:r w:rsidR="002F2181" w:rsidRPr="007246A9">
        <w:rPr>
          <w:rFonts w:ascii="Arial" w:hAnsi="Arial" w:cs="Arial"/>
          <w:sz w:val="18"/>
          <w:szCs w:val="18"/>
          <w:lang w:val="el-GR" w:eastAsia="el-GR"/>
        </w:rPr>
        <w:t xml:space="preserve">30 Ιουνίου 2024 </w:t>
      </w:r>
      <w:r w:rsidR="00FD3DD0" w:rsidRPr="007246A9">
        <w:rPr>
          <w:rFonts w:ascii="Arial" w:hAnsi="Arial" w:cs="Arial"/>
          <w:sz w:val="18"/>
          <w:szCs w:val="18"/>
          <w:lang w:val="el-GR" w:eastAsia="el-GR"/>
        </w:rPr>
        <w:t>και με</w:t>
      </w:r>
      <w:r w:rsidR="00C538D0" w:rsidRPr="007246A9">
        <w:rPr>
          <w:rFonts w:ascii="Arial" w:hAnsi="Arial" w:cs="Arial"/>
          <w:sz w:val="18"/>
          <w:szCs w:val="18"/>
          <w:lang w:val="el-GR" w:eastAsia="el-GR"/>
        </w:rPr>
        <w:t xml:space="preserve"> </w:t>
      </w:r>
      <w:r w:rsidR="006D6749" w:rsidRPr="007246A9">
        <w:rPr>
          <w:rFonts w:ascii="Arial" w:hAnsi="Arial" w:cs="Arial"/>
          <w:sz w:val="18"/>
          <w:szCs w:val="18"/>
          <w:lang w:val="el-GR" w:eastAsia="el-GR"/>
        </w:rPr>
        <w:t>359</w:t>
      </w:r>
      <w:r w:rsidR="00EC6714" w:rsidRPr="007246A9">
        <w:rPr>
          <w:rFonts w:ascii="Arial" w:hAnsi="Arial" w:cs="Arial"/>
          <w:sz w:val="18"/>
          <w:szCs w:val="18"/>
          <w:lang w:val="el-GR" w:eastAsia="el-GR"/>
        </w:rPr>
        <w:t xml:space="preserve">% </w:t>
      </w:r>
      <w:r w:rsidR="00C538D0" w:rsidRPr="007246A9">
        <w:rPr>
          <w:rFonts w:ascii="Arial" w:hAnsi="Arial" w:cs="Arial"/>
          <w:sz w:val="18"/>
          <w:szCs w:val="18"/>
          <w:lang w:val="el-GR" w:eastAsia="el-GR"/>
        </w:rPr>
        <w:t xml:space="preserve">στις </w:t>
      </w:r>
      <w:r w:rsidR="006D6749" w:rsidRPr="007246A9">
        <w:rPr>
          <w:rFonts w:ascii="Arial" w:hAnsi="Arial" w:cs="Arial"/>
          <w:sz w:val="18"/>
          <w:szCs w:val="18"/>
          <w:lang w:val="el-GR" w:eastAsia="el-GR"/>
        </w:rPr>
        <w:t>31 Δεκεμβρίου 2023</w:t>
      </w:r>
      <w:r w:rsidRPr="007246A9">
        <w:rPr>
          <w:rFonts w:ascii="Arial" w:hAnsi="Arial" w:cs="Arial"/>
          <w:sz w:val="18"/>
          <w:szCs w:val="18"/>
          <w:lang w:val="el-GR" w:eastAsia="el-GR"/>
        </w:rPr>
        <w:t>),</w:t>
      </w:r>
      <w:r w:rsidR="00E64CFC" w:rsidRPr="007246A9">
        <w:rPr>
          <w:rFonts w:ascii="Arial" w:hAnsi="Arial" w:cs="Arial"/>
          <w:sz w:val="18"/>
          <w:szCs w:val="18"/>
          <w:lang w:val="el-GR" w:eastAsia="el-GR"/>
        </w:rPr>
        <w:t xml:space="preserve"> </w:t>
      </w:r>
      <w:r w:rsidRPr="007246A9">
        <w:rPr>
          <w:rFonts w:ascii="Arial" w:hAnsi="Arial" w:cs="Arial"/>
          <w:sz w:val="18"/>
          <w:szCs w:val="18"/>
          <w:lang w:val="el-GR" w:eastAsia="el-GR"/>
        </w:rPr>
        <w:t>πολύ πιο πάνω από τις ελάχιστες κανονιστικές απαιτήσεις ύψους 100%.</w:t>
      </w:r>
      <w:r w:rsidR="006D6749" w:rsidRPr="007246A9">
        <w:rPr>
          <w:rFonts w:ascii="Arial" w:hAnsi="Arial" w:cs="Arial"/>
          <w:sz w:val="18"/>
          <w:szCs w:val="18"/>
          <w:lang w:val="el-GR" w:eastAsia="el-GR"/>
        </w:rPr>
        <w:t xml:space="preserve"> </w:t>
      </w:r>
      <w:r w:rsidRPr="007246A9">
        <w:rPr>
          <w:rFonts w:ascii="Arial" w:hAnsi="Arial" w:cs="Arial"/>
          <w:sz w:val="18"/>
          <w:szCs w:val="18"/>
          <w:lang w:val="el-GR" w:eastAsia="el-GR"/>
        </w:rPr>
        <w:t xml:space="preserve">Το πλεόνασμα ρευστότητας στον ΔΚΡ στις </w:t>
      </w:r>
      <w:r w:rsidR="00FD3DD0" w:rsidRPr="007246A9">
        <w:rPr>
          <w:rFonts w:ascii="Arial" w:hAnsi="Arial" w:cs="Arial"/>
          <w:sz w:val="18"/>
          <w:szCs w:val="18"/>
          <w:lang w:val="el-GR" w:eastAsia="el-GR"/>
        </w:rPr>
        <w:t xml:space="preserve">30 </w:t>
      </w:r>
      <w:r w:rsidR="00610316" w:rsidRPr="00610316">
        <w:rPr>
          <w:rFonts w:ascii="Arial" w:hAnsi="Arial" w:cs="Arial"/>
          <w:sz w:val="18"/>
          <w:szCs w:val="18"/>
          <w:lang w:val="el-GR" w:eastAsia="el-GR"/>
        </w:rPr>
        <w:t xml:space="preserve">Σεπτεμβρίου </w:t>
      </w:r>
      <w:r w:rsidR="00FD3DD0" w:rsidRPr="007246A9">
        <w:rPr>
          <w:rFonts w:ascii="Arial" w:hAnsi="Arial" w:cs="Arial"/>
          <w:sz w:val="18"/>
          <w:szCs w:val="18"/>
          <w:lang w:val="el-GR" w:eastAsia="el-GR"/>
        </w:rPr>
        <w:t xml:space="preserve">2024 </w:t>
      </w:r>
      <w:r w:rsidRPr="007246A9">
        <w:rPr>
          <w:rFonts w:ascii="Arial" w:hAnsi="Arial" w:cs="Arial"/>
          <w:sz w:val="18"/>
          <w:szCs w:val="18"/>
          <w:lang w:val="el-GR" w:eastAsia="el-GR"/>
        </w:rPr>
        <w:t xml:space="preserve">ανήλθε σε </w:t>
      </w:r>
      <w:r w:rsidR="00B570CB" w:rsidRPr="00502B4F">
        <w:rPr>
          <w:rFonts w:ascii="Arial" w:hAnsi="Arial" w:cs="Arial"/>
          <w:sz w:val="18"/>
          <w:szCs w:val="18"/>
          <w:lang w:val="el-GR" w:eastAsia="el-GR"/>
        </w:rPr>
        <w:t xml:space="preserve">€8.0 </w:t>
      </w:r>
      <w:r w:rsidRPr="007246A9">
        <w:rPr>
          <w:rFonts w:ascii="Arial" w:hAnsi="Arial" w:cs="Arial"/>
          <w:sz w:val="18"/>
          <w:szCs w:val="18"/>
          <w:lang w:val="el-GR" w:eastAsia="el-GR"/>
        </w:rPr>
        <w:t>δις (σε σύγκριση με</w:t>
      </w:r>
      <w:r w:rsidR="00C538D0" w:rsidRPr="007246A9">
        <w:rPr>
          <w:rFonts w:ascii="Arial" w:hAnsi="Arial" w:cs="Arial"/>
          <w:sz w:val="18"/>
          <w:szCs w:val="18"/>
          <w:lang w:val="el-GR" w:eastAsia="el-GR"/>
        </w:rPr>
        <w:t xml:space="preserve"> </w:t>
      </w:r>
      <w:r w:rsidR="00610316" w:rsidRPr="00502B4F">
        <w:rPr>
          <w:rFonts w:ascii="Arial" w:hAnsi="Arial" w:cs="Arial"/>
          <w:sz w:val="18"/>
          <w:szCs w:val="18"/>
          <w:lang w:val="el-GR" w:eastAsia="el-GR"/>
        </w:rPr>
        <w:t xml:space="preserve">€7.5 </w:t>
      </w:r>
      <w:r w:rsidR="00610316" w:rsidRPr="007246A9">
        <w:rPr>
          <w:rFonts w:ascii="Arial" w:hAnsi="Arial" w:cs="Arial"/>
          <w:sz w:val="18"/>
          <w:szCs w:val="18"/>
          <w:lang w:val="el-GR" w:eastAsia="el-GR"/>
        </w:rPr>
        <w:t xml:space="preserve">δις </w:t>
      </w:r>
      <w:r w:rsidR="00FD3DD0" w:rsidRPr="007246A9">
        <w:rPr>
          <w:rFonts w:ascii="Arial" w:hAnsi="Arial" w:cs="Arial"/>
          <w:sz w:val="18"/>
          <w:szCs w:val="18"/>
          <w:lang w:val="el-GR" w:eastAsia="el-GR"/>
        </w:rPr>
        <w:t xml:space="preserve">στις </w:t>
      </w:r>
      <w:r w:rsidR="00610316" w:rsidRPr="007246A9">
        <w:rPr>
          <w:rFonts w:ascii="Arial" w:hAnsi="Arial" w:cs="Arial"/>
          <w:sz w:val="18"/>
          <w:szCs w:val="18"/>
          <w:lang w:val="el-GR" w:eastAsia="el-GR"/>
        </w:rPr>
        <w:t xml:space="preserve">30 Ιουνίου </w:t>
      </w:r>
      <w:r w:rsidR="00FD3DD0" w:rsidRPr="007246A9">
        <w:rPr>
          <w:rFonts w:ascii="Arial" w:hAnsi="Arial" w:cs="Arial"/>
          <w:sz w:val="18"/>
          <w:szCs w:val="18"/>
          <w:lang w:val="el-GR" w:eastAsia="el-GR"/>
        </w:rPr>
        <w:t xml:space="preserve">2024 και με </w:t>
      </w:r>
      <w:r w:rsidR="00EC6714" w:rsidRPr="007246A9">
        <w:rPr>
          <w:rFonts w:ascii="Arial" w:hAnsi="Arial" w:cs="Arial"/>
          <w:sz w:val="18"/>
          <w:szCs w:val="18"/>
          <w:lang w:val="el-GR" w:eastAsia="el-GR"/>
        </w:rPr>
        <w:t>€</w:t>
      </w:r>
      <w:r w:rsidR="006D6749" w:rsidRPr="007246A9">
        <w:rPr>
          <w:rFonts w:ascii="Arial" w:hAnsi="Arial" w:cs="Arial"/>
          <w:sz w:val="18"/>
          <w:szCs w:val="18"/>
          <w:lang w:val="el-GR" w:eastAsia="el-GR"/>
        </w:rPr>
        <w:t xml:space="preserve">9.1 </w:t>
      </w:r>
      <w:r w:rsidR="00C538D0" w:rsidRPr="007246A9">
        <w:rPr>
          <w:rFonts w:ascii="Arial" w:hAnsi="Arial" w:cs="Arial"/>
          <w:sz w:val="18"/>
          <w:szCs w:val="18"/>
          <w:lang w:val="el-GR" w:eastAsia="el-GR"/>
        </w:rPr>
        <w:t xml:space="preserve">δις στις </w:t>
      </w:r>
      <w:r w:rsidR="006D6749" w:rsidRPr="007246A9">
        <w:rPr>
          <w:rFonts w:ascii="Arial" w:hAnsi="Arial" w:cs="Arial"/>
          <w:sz w:val="18"/>
          <w:szCs w:val="18"/>
          <w:lang w:val="el-GR" w:eastAsia="el-GR"/>
        </w:rPr>
        <w:t>31 Δεκεμβρίου 2023)</w:t>
      </w:r>
      <w:r w:rsidR="00EC34F0" w:rsidRPr="007246A9">
        <w:rPr>
          <w:rFonts w:ascii="Arial" w:hAnsi="Arial" w:cs="Arial"/>
          <w:sz w:val="18"/>
          <w:szCs w:val="18"/>
          <w:lang w:val="el-GR" w:eastAsia="el-GR"/>
        </w:rPr>
        <w:t>,</w:t>
      </w:r>
      <w:r w:rsidR="00B570CB">
        <w:rPr>
          <w:rFonts w:ascii="Arial" w:hAnsi="Arial" w:cs="Arial"/>
          <w:sz w:val="18"/>
          <w:szCs w:val="18"/>
          <w:lang w:val="el-GR" w:eastAsia="el-GR"/>
        </w:rPr>
        <w:t xml:space="preserve"> </w:t>
      </w:r>
      <w:r w:rsidR="00307ACE" w:rsidRPr="00502B4F">
        <w:rPr>
          <w:rFonts w:ascii="Arial" w:hAnsi="Arial" w:cs="Arial"/>
          <w:sz w:val="18"/>
          <w:szCs w:val="18"/>
          <w:lang w:val="el-GR" w:eastAsia="el-GR"/>
        </w:rPr>
        <w:t xml:space="preserve">αυξημένο κατά </w:t>
      </w:r>
      <w:r w:rsidR="00B570CB" w:rsidRPr="00502B4F">
        <w:rPr>
          <w:rFonts w:ascii="Arial" w:hAnsi="Arial" w:cs="Arial"/>
          <w:sz w:val="18"/>
          <w:szCs w:val="18"/>
          <w:lang w:val="el-GR" w:eastAsia="el-GR"/>
        </w:rPr>
        <w:t>6</w:t>
      </w:r>
      <w:r w:rsidR="00307ACE" w:rsidRPr="00502B4F">
        <w:rPr>
          <w:rFonts w:ascii="Arial" w:hAnsi="Arial" w:cs="Arial"/>
          <w:sz w:val="18"/>
          <w:szCs w:val="18"/>
          <w:lang w:val="el-GR" w:eastAsia="el-GR"/>
        </w:rPr>
        <w:t>% σε τριμηνιαία βάση</w:t>
      </w:r>
      <w:r w:rsidR="00EC34F0" w:rsidRPr="00502B4F">
        <w:rPr>
          <w:rFonts w:ascii="Arial" w:hAnsi="Arial" w:cs="Arial"/>
          <w:sz w:val="18"/>
          <w:szCs w:val="18"/>
          <w:lang w:val="el-GR" w:eastAsia="el-GR"/>
        </w:rPr>
        <w:t>,</w:t>
      </w:r>
      <w:r w:rsidR="00B570CB" w:rsidRPr="00502B4F">
        <w:rPr>
          <w:rFonts w:ascii="Arial" w:hAnsi="Arial" w:cs="Arial"/>
          <w:sz w:val="18"/>
          <w:szCs w:val="18"/>
          <w:lang w:val="el-GR" w:eastAsia="el-GR"/>
        </w:rPr>
        <w:t xml:space="preserve"> </w:t>
      </w:r>
      <w:r w:rsidR="00B570CB" w:rsidRPr="00B570CB">
        <w:rPr>
          <w:rFonts w:ascii="Arial" w:hAnsi="Arial" w:cs="Arial"/>
          <w:sz w:val="18"/>
          <w:szCs w:val="18"/>
          <w:lang w:val="el-GR" w:eastAsia="el-GR"/>
        </w:rPr>
        <w:t>αντικατοπτρίζοντας</w:t>
      </w:r>
      <w:r w:rsidR="002C49D5">
        <w:rPr>
          <w:rFonts w:ascii="Arial" w:hAnsi="Arial" w:cs="Arial"/>
          <w:sz w:val="18"/>
          <w:szCs w:val="18"/>
          <w:lang w:val="el-GR" w:eastAsia="el-GR"/>
        </w:rPr>
        <w:t xml:space="preserve"> κυρίως</w:t>
      </w:r>
      <w:r w:rsidR="00B570CB" w:rsidRPr="00502B4F">
        <w:rPr>
          <w:rFonts w:ascii="Arial" w:hAnsi="Arial" w:cs="Arial"/>
          <w:sz w:val="18"/>
          <w:szCs w:val="18"/>
          <w:lang w:val="el-GR" w:eastAsia="el-GR"/>
        </w:rPr>
        <w:t xml:space="preserve"> την </w:t>
      </w:r>
      <w:r w:rsidR="00307ACE" w:rsidRPr="00502B4F">
        <w:rPr>
          <w:rFonts w:ascii="Arial" w:hAnsi="Arial" w:cs="Arial"/>
          <w:sz w:val="18"/>
          <w:szCs w:val="18"/>
          <w:lang w:val="el-GR" w:eastAsia="el-GR"/>
        </w:rPr>
        <w:t>αύξηση των καταθέσεων</w:t>
      </w:r>
      <w:r w:rsidR="00B570CB" w:rsidRPr="00502B4F">
        <w:rPr>
          <w:rFonts w:ascii="Arial" w:hAnsi="Arial" w:cs="Arial"/>
          <w:sz w:val="18"/>
          <w:szCs w:val="18"/>
          <w:lang w:val="el-GR" w:eastAsia="el-GR"/>
        </w:rPr>
        <w:t>.</w:t>
      </w:r>
    </w:p>
    <w:p w14:paraId="37D475F6" w14:textId="77777777" w:rsidR="00F70DD1" w:rsidRPr="007246A9" w:rsidRDefault="00F70DD1" w:rsidP="00CA36A6">
      <w:pPr>
        <w:widowControl w:val="0"/>
        <w:autoSpaceDE w:val="0"/>
        <w:autoSpaceDN w:val="0"/>
        <w:adjustRightInd w:val="0"/>
        <w:spacing w:after="0" w:line="240" w:lineRule="auto"/>
        <w:jc w:val="both"/>
        <w:rPr>
          <w:rFonts w:ascii="Arial" w:hAnsi="Arial" w:cs="Arial"/>
          <w:sz w:val="18"/>
          <w:szCs w:val="18"/>
          <w:lang w:val="el-GR"/>
        </w:rPr>
      </w:pPr>
    </w:p>
    <w:p w14:paraId="68CF1D4D" w14:textId="7A242BB4" w:rsidR="005B1FD5" w:rsidRPr="007246A9" w:rsidRDefault="00E70DFD" w:rsidP="00CA36A6">
      <w:pPr>
        <w:spacing w:after="0" w:line="240" w:lineRule="auto"/>
        <w:jc w:val="both"/>
        <w:rPr>
          <w:rFonts w:ascii="Arial" w:hAnsi="Arial" w:cs="Arial"/>
          <w:sz w:val="18"/>
          <w:szCs w:val="18"/>
          <w:lang w:val="el-GR"/>
        </w:rPr>
      </w:pPr>
      <w:r w:rsidRPr="007246A9">
        <w:rPr>
          <w:rFonts w:ascii="Arial" w:hAnsi="Arial" w:cs="Arial"/>
          <w:sz w:val="18"/>
          <w:szCs w:val="18"/>
          <w:lang w:val="el-GR"/>
        </w:rPr>
        <w:t xml:space="preserve">Στις </w:t>
      </w:r>
      <w:r w:rsidR="00333958" w:rsidRPr="007246A9">
        <w:rPr>
          <w:rFonts w:ascii="Arial" w:hAnsi="Arial" w:cs="Arial"/>
          <w:sz w:val="18"/>
          <w:szCs w:val="18"/>
          <w:lang w:val="el-GR" w:eastAsia="el-GR"/>
        </w:rPr>
        <w:t xml:space="preserve">30 </w:t>
      </w:r>
      <w:r w:rsidR="00610316" w:rsidRPr="00610316">
        <w:rPr>
          <w:rFonts w:ascii="Arial" w:hAnsi="Arial" w:cs="Arial"/>
          <w:sz w:val="18"/>
          <w:szCs w:val="18"/>
          <w:lang w:val="el-GR" w:eastAsia="el-GR"/>
        </w:rPr>
        <w:t xml:space="preserve">Σεπτεμβρίου </w:t>
      </w:r>
      <w:r w:rsidR="006D6749" w:rsidRPr="007246A9">
        <w:rPr>
          <w:rFonts w:ascii="Arial" w:hAnsi="Arial" w:cs="Arial"/>
          <w:sz w:val="18"/>
          <w:szCs w:val="18"/>
          <w:lang w:val="el-GR" w:eastAsia="el-GR"/>
        </w:rPr>
        <w:t>2024</w:t>
      </w:r>
      <w:r w:rsidRPr="007246A9">
        <w:rPr>
          <w:rFonts w:ascii="Arial" w:hAnsi="Arial" w:cs="Arial"/>
          <w:sz w:val="18"/>
          <w:szCs w:val="18"/>
          <w:lang w:val="el-GR"/>
        </w:rPr>
        <w:t>, ο Δείκτης Καθαρής Σταθερής Χρηματοδότησης (ΔΚΣΧ) του Συγκροτήματος ανήλθε</w:t>
      </w:r>
      <w:r w:rsidR="008A6070" w:rsidRPr="007246A9">
        <w:rPr>
          <w:rFonts w:ascii="Arial" w:hAnsi="Arial" w:cs="Arial"/>
          <w:sz w:val="18"/>
          <w:szCs w:val="18"/>
          <w:lang w:val="el-GR"/>
        </w:rPr>
        <w:t xml:space="preserve"> </w:t>
      </w:r>
      <w:r w:rsidRPr="00E40FED">
        <w:rPr>
          <w:rFonts w:ascii="Arial" w:hAnsi="Arial" w:cs="Arial"/>
          <w:color w:val="000000" w:themeColor="text1"/>
          <w:sz w:val="18"/>
          <w:szCs w:val="18"/>
          <w:lang w:val="el-GR"/>
        </w:rPr>
        <w:t>σ</w:t>
      </w:r>
      <w:r w:rsidR="00CD0BDC" w:rsidRPr="00E40FED">
        <w:rPr>
          <w:rFonts w:ascii="Arial" w:hAnsi="Arial" w:cs="Arial"/>
          <w:color w:val="000000" w:themeColor="text1"/>
          <w:sz w:val="18"/>
          <w:szCs w:val="18"/>
          <w:lang w:val="el-GR"/>
        </w:rPr>
        <w:t>ε</w:t>
      </w:r>
      <w:r w:rsidR="00307ACE" w:rsidRPr="00E40FED">
        <w:rPr>
          <w:rFonts w:ascii="Arial" w:hAnsi="Arial" w:cs="Arial"/>
          <w:color w:val="000000" w:themeColor="text1"/>
          <w:sz w:val="18"/>
          <w:szCs w:val="18"/>
          <w:lang w:val="el-GR"/>
        </w:rPr>
        <w:t xml:space="preserve"> </w:t>
      </w:r>
      <w:r w:rsidR="00E40FED" w:rsidRPr="00E40FED">
        <w:rPr>
          <w:rFonts w:ascii="Arial" w:hAnsi="Arial" w:cs="Arial"/>
          <w:color w:val="000000" w:themeColor="text1"/>
          <w:sz w:val="18"/>
          <w:szCs w:val="18"/>
          <w:lang w:val="el-GR"/>
        </w:rPr>
        <w:t>157</w:t>
      </w:r>
      <w:r w:rsidRPr="00E40FED">
        <w:rPr>
          <w:rFonts w:ascii="Arial" w:hAnsi="Arial" w:cs="Arial"/>
          <w:color w:val="000000" w:themeColor="text1"/>
          <w:sz w:val="18"/>
          <w:szCs w:val="18"/>
          <w:lang w:val="el-GR"/>
        </w:rPr>
        <w:t xml:space="preserve">% (σε σύγκριση με </w:t>
      </w:r>
      <w:r w:rsidR="00610316" w:rsidRPr="00E40FED">
        <w:rPr>
          <w:rFonts w:ascii="Arial" w:hAnsi="Arial" w:cs="Arial"/>
          <w:color w:val="000000" w:themeColor="text1"/>
          <w:sz w:val="18"/>
          <w:szCs w:val="18"/>
          <w:lang w:val="el-GR"/>
        </w:rPr>
        <w:t>156%</w:t>
      </w:r>
      <w:r w:rsidR="00333958" w:rsidRPr="00E40FED">
        <w:rPr>
          <w:rFonts w:ascii="Arial" w:hAnsi="Arial" w:cs="Arial"/>
          <w:color w:val="000000" w:themeColor="text1"/>
          <w:sz w:val="18"/>
          <w:szCs w:val="18"/>
          <w:lang w:val="el-GR"/>
        </w:rPr>
        <w:t xml:space="preserve"> στις </w:t>
      </w:r>
      <w:r w:rsidR="00610316" w:rsidRPr="00E40FED">
        <w:rPr>
          <w:rFonts w:ascii="Arial" w:hAnsi="Arial" w:cs="Arial"/>
          <w:color w:val="000000" w:themeColor="text1"/>
          <w:sz w:val="18"/>
          <w:szCs w:val="18"/>
          <w:lang w:val="el-GR" w:eastAsia="el-GR"/>
        </w:rPr>
        <w:t>30 Ιουνίου 2024</w:t>
      </w:r>
      <w:r w:rsidR="00333958" w:rsidRPr="00E40FED">
        <w:rPr>
          <w:rFonts w:ascii="Arial" w:hAnsi="Arial" w:cs="Arial"/>
          <w:color w:val="000000" w:themeColor="text1"/>
          <w:sz w:val="18"/>
          <w:szCs w:val="18"/>
          <w:lang w:val="el-GR" w:eastAsia="el-GR"/>
        </w:rPr>
        <w:t xml:space="preserve"> και με </w:t>
      </w:r>
      <w:r w:rsidR="006D6749" w:rsidRPr="00E40FED">
        <w:rPr>
          <w:rFonts w:ascii="Arial" w:hAnsi="Arial" w:cs="Arial"/>
          <w:color w:val="000000" w:themeColor="text1"/>
          <w:sz w:val="18"/>
          <w:szCs w:val="18"/>
          <w:lang w:val="el-GR"/>
        </w:rPr>
        <w:t>158</w:t>
      </w:r>
      <w:r w:rsidRPr="00E40FED">
        <w:rPr>
          <w:rFonts w:ascii="Arial" w:hAnsi="Arial" w:cs="Arial"/>
          <w:color w:val="000000" w:themeColor="text1"/>
          <w:sz w:val="18"/>
          <w:szCs w:val="18"/>
          <w:lang w:val="el-GR"/>
        </w:rPr>
        <w:t xml:space="preserve">% στις </w:t>
      </w:r>
      <w:r w:rsidR="006D6749" w:rsidRPr="00E40FED">
        <w:rPr>
          <w:rFonts w:ascii="Arial" w:hAnsi="Arial" w:cs="Arial"/>
          <w:color w:val="000000" w:themeColor="text1"/>
          <w:sz w:val="18"/>
          <w:szCs w:val="18"/>
          <w:lang w:val="el-GR" w:eastAsia="el-GR"/>
        </w:rPr>
        <w:t>31 Δεκεμβρίου 2023</w:t>
      </w:r>
      <w:r w:rsidRPr="00E40FED">
        <w:rPr>
          <w:rFonts w:ascii="Arial" w:hAnsi="Arial" w:cs="Arial"/>
          <w:color w:val="000000" w:themeColor="text1"/>
          <w:sz w:val="18"/>
          <w:szCs w:val="18"/>
          <w:lang w:val="el-GR"/>
        </w:rPr>
        <w:t xml:space="preserve">), πολύ πιο πάνω από τις ελάχιστες </w:t>
      </w:r>
      <w:r w:rsidRPr="007246A9">
        <w:rPr>
          <w:rFonts w:ascii="Arial" w:hAnsi="Arial" w:cs="Arial"/>
          <w:sz w:val="18"/>
          <w:szCs w:val="18"/>
          <w:lang w:val="el-GR"/>
        </w:rPr>
        <w:t>κανονιστικές απαιτήσεις ύψους 100%.</w:t>
      </w:r>
    </w:p>
    <w:p w14:paraId="08E60C5F" w14:textId="77777777" w:rsidR="001D4750" w:rsidRPr="007246A9" w:rsidRDefault="001D4750" w:rsidP="00B043BD">
      <w:pPr>
        <w:spacing w:after="0" w:line="240" w:lineRule="auto"/>
        <w:jc w:val="both"/>
        <w:rPr>
          <w:rFonts w:ascii="Arial" w:eastAsia="Times New Roman" w:hAnsi="Arial" w:cs="Arial"/>
          <w:b/>
          <w:bCs/>
          <w:color w:val="FF9900"/>
          <w:szCs w:val="24"/>
          <w:lang w:val="el-GR" w:eastAsia="el-GR"/>
        </w:rPr>
      </w:pPr>
    </w:p>
    <w:p w14:paraId="7EF35558" w14:textId="641D9569" w:rsidR="001D4750" w:rsidRPr="007246A9" w:rsidRDefault="00651DFE">
      <w:pPr>
        <w:spacing w:after="0" w:line="360" w:lineRule="auto"/>
        <w:ind w:left="851" w:hanging="851"/>
        <w:jc w:val="both"/>
        <w:rPr>
          <w:rFonts w:ascii="Arial" w:eastAsia="Times New Roman" w:hAnsi="Arial" w:cs="Arial"/>
          <w:b/>
          <w:bCs/>
          <w:color w:val="FF9900"/>
          <w:szCs w:val="24"/>
          <w:lang w:val="el-GR" w:eastAsia="el-GR"/>
        </w:rPr>
      </w:pPr>
      <w:r w:rsidRPr="007246A9">
        <w:rPr>
          <w:rFonts w:ascii="Arial" w:hAnsi="Arial" w:cs="Arial"/>
          <w:b/>
          <w:bCs/>
          <w:color w:val="FF9900"/>
          <w:lang w:val="el-GR"/>
        </w:rPr>
        <w:t>Α</w:t>
      </w:r>
      <w:r w:rsidR="001D4750" w:rsidRPr="007246A9">
        <w:rPr>
          <w:rFonts w:ascii="Arial" w:hAnsi="Arial" w:cs="Arial"/>
          <w:b/>
          <w:bCs/>
          <w:color w:val="FF9900"/>
          <w:lang w:val="el-GR"/>
        </w:rPr>
        <w:t>.</w:t>
      </w:r>
      <w:r w:rsidRPr="007246A9">
        <w:rPr>
          <w:rFonts w:ascii="Arial" w:hAnsi="Arial" w:cs="Arial"/>
          <w:b/>
          <w:bCs/>
          <w:color w:val="FF9900"/>
          <w:lang w:val="el-GR"/>
        </w:rPr>
        <w:t>1</w:t>
      </w:r>
      <w:r w:rsidR="001D4750" w:rsidRPr="007246A9">
        <w:rPr>
          <w:rFonts w:ascii="Arial" w:hAnsi="Arial" w:cs="Arial"/>
          <w:b/>
          <w:bCs/>
          <w:color w:val="FF9900"/>
          <w:lang w:val="el-GR"/>
        </w:rPr>
        <w:t xml:space="preserve">.4 Δάνεια </w:t>
      </w:r>
    </w:p>
    <w:p w14:paraId="4DA371E8" w14:textId="6DF88FD7" w:rsidR="00352599" w:rsidRPr="00D41B36" w:rsidRDefault="00352599" w:rsidP="00F70A02">
      <w:pPr>
        <w:spacing w:after="0" w:line="240" w:lineRule="auto"/>
        <w:jc w:val="both"/>
        <w:rPr>
          <w:rFonts w:ascii="Arial" w:hAnsi="Arial" w:cs="Arial"/>
          <w:sz w:val="18"/>
          <w:szCs w:val="18"/>
          <w:highlight w:val="yellow"/>
          <w:lang w:val="el-GR" w:eastAsia="el-GR"/>
        </w:rPr>
      </w:pPr>
      <w:r w:rsidRPr="007246A9">
        <w:rPr>
          <w:rFonts w:ascii="Arial" w:hAnsi="Arial" w:cs="Arial"/>
          <w:b/>
          <w:bCs/>
          <w:sz w:val="18"/>
          <w:szCs w:val="18"/>
          <w:lang w:val="el-GR" w:eastAsia="el-GR"/>
        </w:rPr>
        <w:t>Τα δάνεια του Συγκροτήματος</w:t>
      </w:r>
      <w:r w:rsidRPr="007246A9">
        <w:rPr>
          <w:rFonts w:ascii="Arial" w:hAnsi="Arial" w:cs="Arial"/>
          <w:sz w:val="18"/>
          <w:szCs w:val="18"/>
          <w:lang w:val="el-GR"/>
        </w:rPr>
        <w:t xml:space="preserve"> </w:t>
      </w:r>
      <w:r w:rsidRPr="007246A9">
        <w:rPr>
          <w:rFonts w:ascii="Arial" w:hAnsi="Arial" w:cs="Arial"/>
          <w:sz w:val="18"/>
          <w:szCs w:val="18"/>
          <w:lang w:val="el-GR" w:eastAsia="el-GR"/>
        </w:rPr>
        <w:t xml:space="preserve">ανήλθαν σε </w:t>
      </w:r>
      <w:r w:rsidR="00B570CB" w:rsidRPr="00502B4F">
        <w:rPr>
          <w:rFonts w:ascii="Arial" w:hAnsi="Arial" w:cs="Arial"/>
          <w:sz w:val="18"/>
          <w:szCs w:val="18"/>
          <w:lang w:val="el-GR"/>
        </w:rPr>
        <w:t>€10,27</w:t>
      </w:r>
      <w:r w:rsidR="00B570CB">
        <w:rPr>
          <w:rFonts w:ascii="Arial" w:hAnsi="Arial" w:cs="Arial"/>
          <w:sz w:val="18"/>
          <w:szCs w:val="18"/>
          <w:lang w:val="el-GR"/>
        </w:rPr>
        <w:t>7</w:t>
      </w:r>
      <w:r w:rsidR="00B570CB" w:rsidRPr="00502B4F">
        <w:rPr>
          <w:rFonts w:ascii="Arial" w:hAnsi="Arial" w:cs="Arial"/>
          <w:sz w:val="18"/>
          <w:szCs w:val="18"/>
          <w:lang w:val="el-GR"/>
        </w:rPr>
        <w:t xml:space="preserve"> </w:t>
      </w:r>
      <w:r w:rsidRPr="007246A9">
        <w:rPr>
          <w:rFonts w:ascii="Arial" w:hAnsi="Arial" w:cs="Arial"/>
          <w:sz w:val="18"/>
          <w:szCs w:val="18"/>
          <w:lang w:val="el-GR" w:eastAsia="el-GR"/>
        </w:rPr>
        <w:t xml:space="preserve">εκατ. </w:t>
      </w:r>
      <w:r w:rsidR="003A2A46" w:rsidRPr="007246A9">
        <w:rPr>
          <w:rFonts w:ascii="Arial" w:hAnsi="Arial" w:cs="Arial"/>
          <w:sz w:val="18"/>
          <w:szCs w:val="18"/>
          <w:lang w:val="el-GR" w:eastAsia="el-GR"/>
        </w:rPr>
        <w:t xml:space="preserve">στις </w:t>
      </w:r>
      <w:r w:rsidR="00F606F0" w:rsidRPr="007246A9">
        <w:rPr>
          <w:rFonts w:ascii="Arial" w:hAnsi="Arial" w:cs="Arial"/>
          <w:sz w:val="18"/>
          <w:szCs w:val="18"/>
          <w:lang w:val="el-GR" w:eastAsia="el-GR"/>
        </w:rPr>
        <w:t xml:space="preserve">30 </w:t>
      </w:r>
      <w:r w:rsidR="000B0442" w:rsidRPr="000B0442">
        <w:rPr>
          <w:rFonts w:ascii="Arial" w:hAnsi="Arial" w:cs="Arial"/>
          <w:sz w:val="18"/>
          <w:szCs w:val="18"/>
          <w:lang w:val="el-GR" w:eastAsia="el-GR"/>
        </w:rPr>
        <w:t xml:space="preserve">Σεπτεμβρίου </w:t>
      </w:r>
      <w:r w:rsidR="003676BC" w:rsidRPr="007246A9">
        <w:rPr>
          <w:rFonts w:ascii="Arial" w:hAnsi="Arial" w:cs="Arial"/>
          <w:sz w:val="18"/>
          <w:szCs w:val="18"/>
          <w:lang w:val="el-GR" w:eastAsia="el-GR"/>
        </w:rPr>
        <w:t>2024</w:t>
      </w:r>
      <w:r w:rsidRPr="007246A9">
        <w:rPr>
          <w:rFonts w:ascii="Arial" w:hAnsi="Arial" w:cs="Arial"/>
          <w:sz w:val="18"/>
          <w:szCs w:val="18"/>
          <w:lang w:val="el-GR" w:eastAsia="el-GR"/>
        </w:rPr>
        <w:t>, σε σύγκριση με</w:t>
      </w:r>
      <w:r w:rsidR="003A2A46" w:rsidRPr="007246A9">
        <w:rPr>
          <w:rFonts w:ascii="Arial" w:hAnsi="Arial" w:cs="Arial"/>
          <w:sz w:val="18"/>
          <w:szCs w:val="18"/>
          <w:lang w:val="el-GR" w:eastAsia="el-GR"/>
        </w:rPr>
        <w:t xml:space="preserve"> </w:t>
      </w:r>
      <w:r w:rsidR="00651DFE" w:rsidRPr="007246A9">
        <w:rPr>
          <w:rFonts w:ascii="Arial" w:hAnsi="Arial" w:cs="Arial"/>
          <w:sz w:val="18"/>
          <w:szCs w:val="18"/>
          <w:lang w:val="el-GR"/>
        </w:rPr>
        <w:t xml:space="preserve">€10,318 </w:t>
      </w:r>
      <w:r w:rsidR="00F606F0" w:rsidRPr="007246A9">
        <w:rPr>
          <w:rFonts w:ascii="Arial" w:hAnsi="Arial" w:cs="Arial"/>
          <w:sz w:val="18"/>
          <w:szCs w:val="18"/>
          <w:lang w:val="el-GR" w:eastAsia="el-GR"/>
        </w:rPr>
        <w:t xml:space="preserve">εκατ. </w:t>
      </w:r>
      <w:r w:rsidR="00651DFE" w:rsidRPr="007246A9">
        <w:rPr>
          <w:rFonts w:ascii="Arial" w:hAnsi="Arial" w:cs="Arial"/>
          <w:sz w:val="18"/>
          <w:szCs w:val="18"/>
          <w:lang w:val="el-GR" w:eastAsia="el-GR"/>
        </w:rPr>
        <w:t xml:space="preserve">στις 30 Ιουνίου 2024 </w:t>
      </w:r>
      <w:r w:rsidR="00F606F0" w:rsidRPr="007246A9">
        <w:rPr>
          <w:rFonts w:ascii="Arial" w:hAnsi="Arial" w:cs="Arial"/>
          <w:sz w:val="18"/>
          <w:szCs w:val="18"/>
          <w:lang w:val="el-GR" w:eastAsia="el-GR"/>
        </w:rPr>
        <w:t xml:space="preserve">και με </w:t>
      </w:r>
      <w:r w:rsidR="00307ACE" w:rsidRPr="007246A9">
        <w:rPr>
          <w:rFonts w:ascii="Arial" w:hAnsi="Arial" w:cs="Arial"/>
          <w:sz w:val="18"/>
          <w:szCs w:val="18"/>
          <w:lang w:val="el-GR"/>
        </w:rPr>
        <w:t>€</w:t>
      </w:r>
      <w:r w:rsidR="000B0442" w:rsidRPr="007246A9">
        <w:rPr>
          <w:rFonts w:ascii="Arial" w:hAnsi="Arial" w:cs="Arial"/>
          <w:sz w:val="18"/>
          <w:szCs w:val="18"/>
          <w:lang w:val="el-GR"/>
        </w:rPr>
        <w:t>10,</w:t>
      </w:r>
      <w:r w:rsidR="00F50936">
        <w:rPr>
          <w:rFonts w:ascii="Arial" w:hAnsi="Arial" w:cs="Arial"/>
          <w:sz w:val="18"/>
          <w:szCs w:val="18"/>
          <w:lang w:val="el-GR"/>
        </w:rPr>
        <w:t xml:space="preserve">070 </w:t>
      </w:r>
      <w:r w:rsidR="003676BC" w:rsidRPr="007246A9">
        <w:rPr>
          <w:rFonts w:ascii="Arial" w:hAnsi="Arial" w:cs="Arial"/>
          <w:sz w:val="18"/>
          <w:szCs w:val="18"/>
          <w:lang w:val="el-GR" w:eastAsia="el-GR"/>
        </w:rPr>
        <w:t xml:space="preserve">εκατ. στις </w:t>
      </w:r>
      <w:r w:rsidR="000B0442" w:rsidRPr="007246A9">
        <w:rPr>
          <w:rFonts w:ascii="Arial" w:hAnsi="Arial" w:cs="Arial"/>
          <w:sz w:val="18"/>
          <w:szCs w:val="18"/>
          <w:lang w:val="el-GR" w:eastAsia="el-GR"/>
        </w:rPr>
        <w:t>3</w:t>
      </w:r>
      <w:r w:rsidR="00F50936">
        <w:rPr>
          <w:rFonts w:ascii="Arial" w:hAnsi="Arial" w:cs="Arial"/>
          <w:sz w:val="18"/>
          <w:szCs w:val="18"/>
          <w:lang w:val="el-GR" w:eastAsia="el-GR"/>
        </w:rPr>
        <w:t>1</w:t>
      </w:r>
      <w:r w:rsidR="000B0442" w:rsidRPr="007246A9">
        <w:rPr>
          <w:rFonts w:ascii="Arial" w:hAnsi="Arial" w:cs="Arial"/>
          <w:sz w:val="18"/>
          <w:szCs w:val="18"/>
          <w:lang w:val="el-GR" w:eastAsia="el-GR"/>
        </w:rPr>
        <w:t xml:space="preserve"> </w:t>
      </w:r>
      <w:r w:rsidR="00F50936">
        <w:rPr>
          <w:rFonts w:ascii="Arial" w:hAnsi="Arial" w:cs="Arial"/>
          <w:sz w:val="18"/>
          <w:szCs w:val="18"/>
          <w:lang w:val="el-GR" w:eastAsia="el-GR"/>
        </w:rPr>
        <w:t xml:space="preserve">Δεκεμβρίου </w:t>
      </w:r>
      <w:r w:rsidR="003676BC" w:rsidRPr="007246A9">
        <w:rPr>
          <w:rFonts w:ascii="Arial" w:hAnsi="Arial" w:cs="Arial"/>
          <w:sz w:val="18"/>
          <w:szCs w:val="18"/>
          <w:lang w:val="el-GR" w:eastAsia="el-GR"/>
        </w:rPr>
        <w:t>2023</w:t>
      </w:r>
      <w:r w:rsidRPr="007246A9">
        <w:rPr>
          <w:rFonts w:ascii="Arial" w:hAnsi="Arial" w:cs="Arial"/>
          <w:sz w:val="18"/>
          <w:szCs w:val="18"/>
          <w:lang w:val="el-GR" w:eastAsia="el-GR"/>
        </w:rPr>
        <w:t>,</w:t>
      </w:r>
      <w:r w:rsidR="003676BC" w:rsidRPr="007246A9">
        <w:rPr>
          <w:rFonts w:ascii="Arial" w:hAnsi="Arial" w:cs="Arial"/>
          <w:sz w:val="18"/>
          <w:szCs w:val="18"/>
          <w:lang w:val="el-GR" w:eastAsia="el-GR"/>
        </w:rPr>
        <w:t xml:space="preserve"> </w:t>
      </w:r>
      <w:r w:rsidR="00B570CB">
        <w:rPr>
          <w:rFonts w:ascii="Arial" w:hAnsi="Arial" w:cs="Arial"/>
          <w:sz w:val="18"/>
          <w:szCs w:val="18"/>
          <w:lang w:val="el-GR" w:eastAsia="el-GR"/>
        </w:rPr>
        <w:t>αυξημένα κατά 2% από την αρχή του έτους.</w:t>
      </w:r>
    </w:p>
    <w:p w14:paraId="637A4663" w14:textId="77777777" w:rsidR="00EC6714" w:rsidRPr="007246A9" w:rsidRDefault="00EC6714" w:rsidP="00F70A02">
      <w:pPr>
        <w:spacing w:after="0" w:line="240" w:lineRule="auto"/>
        <w:jc w:val="both"/>
        <w:rPr>
          <w:rFonts w:ascii="Arial" w:hAnsi="Arial" w:cs="Arial"/>
          <w:sz w:val="18"/>
          <w:szCs w:val="18"/>
          <w:lang w:val="el-GR" w:eastAsia="el-GR"/>
        </w:rPr>
      </w:pPr>
    </w:p>
    <w:p w14:paraId="7E7554B1" w14:textId="3556803E" w:rsidR="00352599" w:rsidRPr="007246A9" w:rsidRDefault="00352599" w:rsidP="00F70A02">
      <w:pPr>
        <w:spacing w:after="0" w:line="240" w:lineRule="auto"/>
        <w:jc w:val="both"/>
        <w:rPr>
          <w:rFonts w:ascii="Arial" w:hAnsi="Arial" w:cs="Arial"/>
          <w:sz w:val="18"/>
          <w:szCs w:val="18"/>
          <w:lang w:val="el-GR" w:eastAsia="el-GR"/>
        </w:rPr>
      </w:pPr>
      <w:r w:rsidRPr="007246A9">
        <w:rPr>
          <w:rFonts w:ascii="Arial" w:hAnsi="Arial" w:cs="Arial"/>
          <w:sz w:val="18"/>
          <w:szCs w:val="18"/>
          <w:lang w:val="el-GR" w:eastAsia="el-GR"/>
        </w:rPr>
        <w:t xml:space="preserve">Ο νέος δανεισμός που δόθηκε στην Κύπρο κατά το </w:t>
      </w:r>
      <w:r w:rsidR="000B0442" w:rsidRPr="007246A9">
        <w:rPr>
          <w:rFonts w:ascii="Arial" w:hAnsi="Arial" w:cs="Arial"/>
          <w:sz w:val="18"/>
          <w:szCs w:val="18"/>
          <w:lang w:val="el-GR" w:eastAsia="el-GR"/>
        </w:rPr>
        <w:t xml:space="preserve">γ’ </w:t>
      </w:r>
      <w:r w:rsidRPr="007246A9">
        <w:rPr>
          <w:rFonts w:ascii="Arial" w:hAnsi="Arial" w:cs="Arial"/>
          <w:sz w:val="18"/>
          <w:szCs w:val="18"/>
          <w:lang w:val="el-GR" w:eastAsia="el-GR"/>
        </w:rPr>
        <w:t xml:space="preserve">τρίμηνο </w:t>
      </w:r>
      <w:r w:rsidR="003676BC" w:rsidRPr="007246A9">
        <w:rPr>
          <w:rFonts w:ascii="Arial" w:hAnsi="Arial" w:cs="Arial"/>
          <w:sz w:val="18"/>
          <w:szCs w:val="18"/>
          <w:lang w:val="el-GR" w:eastAsia="el-GR"/>
        </w:rPr>
        <w:t xml:space="preserve">2024 </w:t>
      </w:r>
      <w:r w:rsidRPr="007246A9">
        <w:rPr>
          <w:rFonts w:ascii="Arial" w:hAnsi="Arial" w:cs="Arial"/>
          <w:sz w:val="18"/>
          <w:szCs w:val="18"/>
          <w:lang w:val="el-GR" w:eastAsia="el-GR"/>
        </w:rPr>
        <w:t xml:space="preserve">ανήλθε σε </w:t>
      </w:r>
      <w:r w:rsidR="001B6471" w:rsidRPr="007246A9">
        <w:rPr>
          <w:rFonts w:ascii="Arial" w:hAnsi="Arial" w:cs="Arial"/>
          <w:sz w:val="18"/>
          <w:szCs w:val="18"/>
          <w:lang w:val="el-GR"/>
        </w:rPr>
        <w:t>€</w:t>
      </w:r>
      <w:r w:rsidR="00161C7D">
        <w:rPr>
          <w:rFonts w:ascii="Arial" w:hAnsi="Arial" w:cs="Arial"/>
          <w:sz w:val="18"/>
          <w:szCs w:val="18"/>
          <w:lang w:val="el-GR"/>
        </w:rPr>
        <w:t>481</w:t>
      </w:r>
      <w:r w:rsidR="000B0442" w:rsidRPr="007246A9">
        <w:rPr>
          <w:rFonts w:ascii="Arial" w:hAnsi="Arial" w:cs="Arial"/>
          <w:sz w:val="18"/>
          <w:szCs w:val="18"/>
          <w:lang w:val="el-GR"/>
        </w:rPr>
        <w:t xml:space="preserve"> </w:t>
      </w:r>
      <w:r w:rsidRPr="007246A9">
        <w:rPr>
          <w:rFonts w:ascii="Arial" w:hAnsi="Arial" w:cs="Arial"/>
          <w:sz w:val="18"/>
          <w:szCs w:val="18"/>
          <w:lang w:val="el-GR" w:eastAsia="el-GR"/>
        </w:rPr>
        <w:t>εκατ.</w:t>
      </w:r>
      <w:r w:rsidR="002D2D73" w:rsidRPr="007246A9">
        <w:rPr>
          <w:rFonts w:ascii="Arial" w:hAnsi="Arial" w:cs="Arial"/>
          <w:sz w:val="18"/>
          <w:szCs w:val="18"/>
          <w:lang w:val="el-GR" w:eastAsia="el-GR"/>
        </w:rPr>
        <w:t xml:space="preserve"> </w:t>
      </w:r>
      <w:r w:rsidRPr="007246A9">
        <w:rPr>
          <w:rFonts w:ascii="Arial" w:hAnsi="Arial" w:cs="Arial"/>
          <w:sz w:val="18"/>
          <w:szCs w:val="18"/>
          <w:lang w:val="el-GR" w:eastAsia="el-GR"/>
        </w:rPr>
        <w:t>(σε σύγκριση με</w:t>
      </w:r>
      <w:r w:rsidR="000B0442" w:rsidRPr="007246A9">
        <w:rPr>
          <w:rFonts w:ascii="Arial" w:hAnsi="Arial" w:cs="Arial"/>
          <w:sz w:val="18"/>
          <w:szCs w:val="18"/>
          <w:lang w:val="el-GR" w:eastAsia="el-GR"/>
        </w:rPr>
        <w:t xml:space="preserve"> </w:t>
      </w:r>
      <w:r w:rsidR="003A2A46" w:rsidRPr="007246A9">
        <w:rPr>
          <w:rFonts w:ascii="Arial" w:hAnsi="Arial" w:cs="Arial"/>
          <w:sz w:val="18"/>
          <w:szCs w:val="18"/>
          <w:lang w:val="el-GR" w:eastAsia="el-GR"/>
        </w:rPr>
        <w:t>νέο δανεισμό</w:t>
      </w:r>
      <w:r w:rsidR="00C26B1C" w:rsidRPr="007246A9">
        <w:rPr>
          <w:rFonts w:ascii="Arial" w:hAnsi="Arial" w:cs="Arial"/>
          <w:sz w:val="18"/>
          <w:szCs w:val="18"/>
          <w:lang w:val="el-GR" w:eastAsia="el-GR"/>
        </w:rPr>
        <w:t xml:space="preserve"> που ανήλθε σε </w:t>
      </w:r>
      <w:r w:rsidR="000B0442" w:rsidRPr="007246A9">
        <w:rPr>
          <w:rFonts w:ascii="Arial" w:hAnsi="Arial" w:cs="Arial"/>
          <w:sz w:val="18"/>
          <w:szCs w:val="18"/>
          <w:lang w:val="el-GR"/>
        </w:rPr>
        <w:t xml:space="preserve">€551 </w:t>
      </w:r>
      <w:r w:rsidR="000B0442" w:rsidRPr="007246A9">
        <w:rPr>
          <w:rFonts w:ascii="Arial" w:hAnsi="Arial" w:cs="Arial"/>
          <w:sz w:val="18"/>
          <w:szCs w:val="18"/>
          <w:lang w:val="el-GR" w:eastAsia="el-GR"/>
        </w:rPr>
        <w:t xml:space="preserve">εκατ. κατά το β’ τρίμηνο 2024 και με ισχυρό νέο δανεισμό ύψους </w:t>
      </w:r>
      <w:r w:rsidR="00D434A7" w:rsidRPr="007246A9">
        <w:rPr>
          <w:rFonts w:ascii="Arial" w:hAnsi="Arial" w:cs="Arial"/>
          <w:sz w:val="18"/>
          <w:szCs w:val="18"/>
          <w:lang w:val="el-GR"/>
        </w:rPr>
        <w:t xml:space="preserve">€676 </w:t>
      </w:r>
      <w:r w:rsidR="00D434A7" w:rsidRPr="007246A9">
        <w:rPr>
          <w:rFonts w:ascii="Arial" w:hAnsi="Arial" w:cs="Arial"/>
          <w:sz w:val="18"/>
          <w:szCs w:val="18"/>
          <w:lang w:val="el-GR" w:eastAsia="el-GR"/>
        </w:rPr>
        <w:t>εκατ</w:t>
      </w:r>
      <w:r w:rsidR="00D434A7" w:rsidRPr="007246A9">
        <w:rPr>
          <w:rFonts w:ascii="Arial" w:hAnsi="Arial" w:cs="Arial"/>
          <w:sz w:val="18"/>
          <w:szCs w:val="18"/>
          <w:lang w:val="el-GR"/>
        </w:rPr>
        <w:t xml:space="preserve">. </w:t>
      </w:r>
      <w:r w:rsidR="00D434A7" w:rsidRPr="007246A9">
        <w:rPr>
          <w:rFonts w:ascii="Arial" w:hAnsi="Arial" w:cs="Arial"/>
          <w:sz w:val="18"/>
          <w:szCs w:val="18"/>
          <w:lang w:val="el-GR" w:eastAsia="el-GR"/>
        </w:rPr>
        <w:t>για το α’ τρίμηνο 2024 θετικά επηρεασμένος από εποχικότητα</w:t>
      </w:r>
      <w:r w:rsidRPr="007246A9">
        <w:rPr>
          <w:rFonts w:ascii="Arial" w:hAnsi="Arial" w:cs="Arial"/>
          <w:sz w:val="18"/>
          <w:szCs w:val="18"/>
          <w:lang w:val="el-GR" w:eastAsia="el-GR"/>
        </w:rPr>
        <w:t xml:space="preserve">), </w:t>
      </w:r>
      <w:r w:rsidR="00D434A7" w:rsidRPr="007246A9">
        <w:rPr>
          <w:rFonts w:ascii="Arial" w:hAnsi="Arial" w:cs="Arial"/>
          <w:sz w:val="18"/>
          <w:szCs w:val="18"/>
          <w:lang w:val="el-GR" w:eastAsia="el-GR"/>
        </w:rPr>
        <w:t xml:space="preserve">μειωμένος </w:t>
      </w:r>
      <w:r w:rsidRPr="007246A9">
        <w:rPr>
          <w:rFonts w:ascii="Arial" w:hAnsi="Arial" w:cs="Arial"/>
          <w:sz w:val="18"/>
          <w:szCs w:val="18"/>
          <w:lang w:val="el-GR" w:eastAsia="el-GR"/>
        </w:rPr>
        <w:t xml:space="preserve">κατά </w:t>
      </w:r>
      <w:r w:rsidR="00161C7D">
        <w:rPr>
          <w:rFonts w:ascii="Arial" w:hAnsi="Arial" w:cs="Arial"/>
          <w:sz w:val="18"/>
          <w:szCs w:val="18"/>
          <w:lang w:val="el-GR" w:eastAsia="el-GR"/>
        </w:rPr>
        <w:t>13</w:t>
      </w:r>
      <w:r w:rsidRPr="007246A9">
        <w:rPr>
          <w:rFonts w:ascii="Arial" w:hAnsi="Arial" w:cs="Arial"/>
          <w:sz w:val="18"/>
          <w:szCs w:val="18"/>
          <w:lang w:val="el-GR" w:eastAsia="el-GR"/>
        </w:rPr>
        <w:t>% σε τριμηνιαία βάση</w:t>
      </w:r>
      <w:r w:rsidR="00F06A1B" w:rsidRPr="007246A9">
        <w:rPr>
          <w:rFonts w:ascii="Arial" w:hAnsi="Arial" w:cs="Arial"/>
          <w:sz w:val="18"/>
          <w:szCs w:val="18"/>
          <w:lang w:val="el-GR" w:eastAsia="el-GR"/>
        </w:rPr>
        <w:t>.</w:t>
      </w:r>
      <w:r w:rsidR="00BC538A" w:rsidRPr="007246A9">
        <w:rPr>
          <w:rFonts w:ascii="Arial" w:hAnsi="Arial" w:cs="Arial"/>
          <w:sz w:val="18"/>
          <w:szCs w:val="18"/>
          <w:lang w:val="el-GR" w:eastAsia="el-GR"/>
        </w:rPr>
        <w:t xml:space="preserve"> </w:t>
      </w:r>
      <w:r w:rsidRPr="007246A9">
        <w:rPr>
          <w:rFonts w:ascii="Arial" w:hAnsi="Arial" w:cs="Arial"/>
          <w:sz w:val="18"/>
          <w:szCs w:val="18"/>
          <w:lang w:val="el-GR"/>
        </w:rPr>
        <w:t xml:space="preserve">Ο νέος δανεισμός που δόθηκε κατά το </w:t>
      </w:r>
      <w:r w:rsidR="000B0442" w:rsidRPr="007246A9">
        <w:rPr>
          <w:rFonts w:ascii="Arial" w:hAnsi="Arial" w:cs="Arial"/>
          <w:sz w:val="18"/>
          <w:szCs w:val="18"/>
          <w:lang w:val="el-GR"/>
        </w:rPr>
        <w:t>γ</w:t>
      </w:r>
      <w:r w:rsidRPr="007246A9">
        <w:rPr>
          <w:rFonts w:ascii="Arial" w:hAnsi="Arial" w:cs="Arial"/>
          <w:sz w:val="18"/>
          <w:szCs w:val="18"/>
          <w:lang w:val="el-GR"/>
        </w:rPr>
        <w:t xml:space="preserve">’ τρίμηνο </w:t>
      </w:r>
      <w:r w:rsidR="003676BC" w:rsidRPr="007246A9">
        <w:rPr>
          <w:rFonts w:ascii="Arial" w:hAnsi="Arial" w:cs="Arial"/>
          <w:sz w:val="18"/>
          <w:szCs w:val="18"/>
          <w:lang w:val="el-GR"/>
        </w:rPr>
        <w:t xml:space="preserve">2024 </w:t>
      </w:r>
      <w:r w:rsidRPr="007246A9">
        <w:rPr>
          <w:rFonts w:ascii="Arial" w:hAnsi="Arial" w:cs="Arial"/>
          <w:sz w:val="18"/>
          <w:szCs w:val="18"/>
          <w:lang w:val="el-GR"/>
        </w:rPr>
        <w:t>αποτελείτο από δάνεια σε μεγάλες επιχειρήσεις ύψους €</w:t>
      </w:r>
      <w:r w:rsidR="00845776" w:rsidRPr="007246A9">
        <w:rPr>
          <w:rFonts w:ascii="Arial" w:hAnsi="Arial" w:cs="Arial"/>
          <w:sz w:val="18"/>
          <w:szCs w:val="18"/>
          <w:lang w:val="el-GR"/>
        </w:rPr>
        <w:t>180</w:t>
      </w:r>
      <w:r w:rsidR="000B0442" w:rsidRPr="007246A9">
        <w:rPr>
          <w:rFonts w:ascii="Arial" w:hAnsi="Arial" w:cs="Arial"/>
          <w:sz w:val="18"/>
          <w:szCs w:val="18"/>
          <w:lang w:val="el-GR"/>
        </w:rPr>
        <w:t xml:space="preserve"> </w:t>
      </w:r>
      <w:r w:rsidRPr="007246A9">
        <w:rPr>
          <w:rFonts w:ascii="Arial" w:hAnsi="Arial" w:cs="Arial"/>
          <w:sz w:val="18"/>
          <w:szCs w:val="18"/>
          <w:lang w:val="el-GR"/>
        </w:rPr>
        <w:t xml:space="preserve">εκατ., δάνεια </w:t>
      </w:r>
      <w:r w:rsidR="00172962" w:rsidRPr="007246A9">
        <w:rPr>
          <w:rFonts w:ascii="Arial" w:hAnsi="Arial" w:cs="Arial"/>
          <w:sz w:val="18"/>
          <w:szCs w:val="18"/>
          <w:lang w:val="el-GR"/>
        </w:rPr>
        <w:t xml:space="preserve">σε ιδιώτες </w:t>
      </w:r>
      <w:r w:rsidRPr="007246A9">
        <w:rPr>
          <w:rFonts w:ascii="Arial" w:hAnsi="Arial" w:cs="Arial"/>
          <w:sz w:val="18"/>
          <w:szCs w:val="18"/>
          <w:lang w:val="el-GR"/>
        </w:rPr>
        <w:t xml:space="preserve">(λιανικής τραπεζικής) ύψους </w:t>
      </w:r>
      <w:r w:rsidR="001B6471" w:rsidRPr="007246A9">
        <w:rPr>
          <w:rFonts w:ascii="Arial" w:hAnsi="Arial" w:cs="Arial"/>
          <w:sz w:val="18"/>
          <w:szCs w:val="18"/>
          <w:lang w:val="el-GR"/>
        </w:rPr>
        <w:t>€</w:t>
      </w:r>
      <w:r w:rsidR="00845776" w:rsidRPr="007246A9">
        <w:rPr>
          <w:rFonts w:ascii="Arial" w:hAnsi="Arial" w:cs="Arial"/>
          <w:sz w:val="18"/>
          <w:szCs w:val="18"/>
          <w:lang w:val="el-GR"/>
        </w:rPr>
        <w:t>188</w:t>
      </w:r>
      <w:r w:rsidR="000B0442" w:rsidRPr="007246A9">
        <w:rPr>
          <w:rFonts w:ascii="Arial" w:hAnsi="Arial" w:cs="Arial"/>
          <w:sz w:val="18"/>
          <w:szCs w:val="18"/>
          <w:lang w:val="el-GR"/>
        </w:rPr>
        <w:t xml:space="preserve"> </w:t>
      </w:r>
      <w:r w:rsidRPr="007246A9">
        <w:rPr>
          <w:rFonts w:ascii="Arial" w:hAnsi="Arial" w:cs="Arial"/>
          <w:sz w:val="18"/>
          <w:szCs w:val="18"/>
          <w:lang w:val="el-GR"/>
        </w:rPr>
        <w:t>εκατ. (εκ των οποίων στεγαστικά δάνεια ύψους €</w:t>
      </w:r>
      <w:r w:rsidR="00845776" w:rsidRPr="007246A9">
        <w:rPr>
          <w:rFonts w:ascii="Arial" w:hAnsi="Arial" w:cs="Arial"/>
          <w:sz w:val="18"/>
          <w:szCs w:val="18"/>
          <w:lang w:val="el-GR"/>
        </w:rPr>
        <w:t>117</w:t>
      </w:r>
      <w:r w:rsidR="000B0442" w:rsidRPr="007246A9">
        <w:rPr>
          <w:rFonts w:ascii="Arial" w:hAnsi="Arial" w:cs="Arial"/>
          <w:sz w:val="18"/>
          <w:szCs w:val="18"/>
          <w:lang w:val="el-GR"/>
        </w:rPr>
        <w:t xml:space="preserve"> </w:t>
      </w:r>
      <w:r w:rsidRPr="007246A9">
        <w:rPr>
          <w:rFonts w:ascii="Arial" w:hAnsi="Arial" w:cs="Arial"/>
          <w:sz w:val="18"/>
          <w:szCs w:val="18"/>
          <w:lang w:val="el-GR"/>
        </w:rPr>
        <w:t>εκατ.), δάνεια σε μικρομεσαίες επιχειρήσεις ύψους €</w:t>
      </w:r>
      <w:r w:rsidR="00161C7D">
        <w:rPr>
          <w:rFonts w:ascii="Arial" w:hAnsi="Arial" w:cs="Arial"/>
          <w:sz w:val="18"/>
          <w:szCs w:val="18"/>
          <w:lang w:val="el-GR"/>
        </w:rPr>
        <w:t>48</w:t>
      </w:r>
      <w:r w:rsidR="000B0442" w:rsidRPr="007246A9">
        <w:rPr>
          <w:rFonts w:ascii="Arial" w:hAnsi="Arial" w:cs="Arial"/>
          <w:sz w:val="18"/>
          <w:szCs w:val="18"/>
          <w:lang w:val="el-GR"/>
        </w:rPr>
        <w:t xml:space="preserve"> </w:t>
      </w:r>
      <w:r w:rsidRPr="007246A9">
        <w:rPr>
          <w:rFonts w:ascii="Arial" w:hAnsi="Arial" w:cs="Arial"/>
          <w:sz w:val="18"/>
          <w:szCs w:val="18"/>
          <w:lang w:val="el-GR"/>
        </w:rPr>
        <w:t xml:space="preserve">εκατ. και δάνεια στον τομέα της ναυτιλίας και </w:t>
      </w:r>
      <w:r w:rsidR="00172962" w:rsidRPr="007246A9">
        <w:rPr>
          <w:rFonts w:ascii="Arial" w:hAnsi="Arial" w:cs="Arial"/>
          <w:sz w:val="18"/>
          <w:szCs w:val="18"/>
          <w:lang w:val="el-GR"/>
        </w:rPr>
        <w:t xml:space="preserve">διεθνών </w:t>
      </w:r>
      <w:r w:rsidRPr="007246A9">
        <w:rPr>
          <w:rFonts w:ascii="Arial" w:hAnsi="Arial" w:cs="Arial"/>
          <w:sz w:val="18"/>
          <w:szCs w:val="18"/>
          <w:lang w:val="el-GR"/>
        </w:rPr>
        <w:t>εργασιών ύψους €</w:t>
      </w:r>
      <w:r w:rsidR="00161C7D">
        <w:rPr>
          <w:rFonts w:ascii="Arial" w:hAnsi="Arial" w:cs="Arial"/>
          <w:sz w:val="18"/>
          <w:szCs w:val="18"/>
          <w:lang w:val="el-GR"/>
        </w:rPr>
        <w:t>65</w:t>
      </w:r>
      <w:r w:rsidR="000B0442" w:rsidRPr="007246A9">
        <w:rPr>
          <w:rFonts w:ascii="Arial" w:hAnsi="Arial" w:cs="Arial"/>
          <w:sz w:val="18"/>
          <w:szCs w:val="18"/>
          <w:lang w:val="el-GR"/>
        </w:rPr>
        <w:t xml:space="preserve"> </w:t>
      </w:r>
      <w:r w:rsidRPr="007246A9">
        <w:rPr>
          <w:rFonts w:ascii="Arial" w:hAnsi="Arial" w:cs="Arial"/>
          <w:sz w:val="18"/>
          <w:szCs w:val="18"/>
          <w:lang w:val="el-GR"/>
        </w:rPr>
        <w:t>εκατ</w:t>
      </w:r>
      <w:r w:rsidR="00BC538A" w:rsidRPr="007246A9">
        <w:rPr>
          <w:rFonts w:ascii="Arial" w:hAnsi="Arial" w:cs="Arial"/>
          <w:sz w:val="18"/>
          <w:szCs w:val="18"/>
          <w:lang w:val="el-GR" w:eastAsia="el-GR"/>
        </w:rPr>
        <w:t xml:space="preserve">. </w:t>
      </w:r>
      <w:r w:rsidR="003676BC" w:rsidRPr="007246A9">
        <w:rPr>
          <w:rFonts w:ascii="Arial" w:hAnsi="Arial" w:cs="Arial"/>
          <w:sz w:val="18"/>
          <w:szCs w:val="18"/>
          <w:lang w:val="el-GR" w:eastAsia="el-GR"/>
        </w:rPr>
        <w:t xml:space="preserve">Ο </w:t>
      </w:r>
      <w:r w:rsidR="00BC538A" w:rsidRPr="007246A9">
        <w:rPr>
          <w:rFonts w:ascii="Arial" w:hAnsi="Arial" w:cs="Arial"/>
          <w:sz w:val="18"/>
          <w:szCs w:val="18"/>
          <w:lang w:val="el-GR" w:eastAsia="el-GR"/>
        </w:rPr>
        <w:t>νέος δανεισμός</w:t>
      </w:r>
      <w:r w:rsidR="003676BC" w:rsidRPr="007246A9">
        <w:rPr>
          <w:rFonts w:ascii="Arial" w:hAnsi="Arial" w:cs="Arial"/>
          <w:sz w:val="18"/>
          <w:szCs w:val="18"/>
          <w:lang w:val="el-GR" w:eastAsia="el-GR"/>
        </w:rPr>
        <w:t xml:space="preserve"> που δόθηκε κατά το </w:t>
      </w:r>
      <w:r w:rsidR="007A2F9B">
        <w:rPr>
          <w:rFonts w:ascii="Arial" w:hAnsi="Arial" w:cs="Arial"/>
          <w:sz w:val="18"/>
          <w:szCs w:val="18"/>
          <w:lang w:val="el-GR" w:eastAsia="el-GR"/>
        </w:rPr>
        <w:t>εννεάμηνο</w:t>
      </w:r>
      <w:r w:rsidR="000B0442" w:rsidRPr="007246A9">
        <w:rPr>
          <w:rFonts w:ascii="Arial" w:hAnsi="Arial" w:cs="Arial"/>
          <w:sz w:val="18"/>
          <w:szCs w:val="18"/>
          <w:lang w:val="el-GR" w:eastAsia="el-GR"/>
        </w:rPr>
        <w:t xml:space="preserve"> που έληξε στις 30 Σεπτεμβρίου 2024 </w:t>
      </w:r>
      <w:r w:rsidR="00162754" w:rsidRPr="007246A9">
        <w:rPr>
          <w:rFonts w:ascii="Arial" w:hAnsi="Arial" w:cs="Arial"/>
          <w:sz w:val="18"/>
          <w:szCs w:val="18"/>
          <w:lang w:val="el-GR" w:eastAsia="el-GR"/>
        </w:rPr>
        <w:t>ανήλθε σε €</w:t>
      </w:r>
      <w:r w:rsidR="00845776" w:rsidRPr="007246A9">
        <w:rPr>
          <w:rFonts w:ascii="Arial" w:hAnsi="Arial" w:cs="Arial"/>
          <w:sz w:val="18"/>
          <w:szCs w:val="18"/>
          <w:lang w:val="el-GR" w:eastAsia="el-GR"/>
        </w:rPr>
        <w:t>1</w:t>
      </w:r>
      <w:r w:rsidR="00845776">
        <w:rPr>
          <w:rFonts w:ascii="Arial" w:hAnsi="Arial" w:cs="Arial"/>
          <w:sz w:val="18"/>
          <w:szCs w:val="18"/>
          <w:lang w:val="el-GR" w:eastAsia="el-GR"/>
        </w:rPr>
        <w:t>,</w:t>
      </w:r>
      <w:r w:rsidR="00845776" w:rsidRPr="007246A9">
        <w:rPr>
          <w:rFonts w:ascii="Arial" w:hAnsi="Arial" w:cs="Arial"/>
          <w:sz w:val="18"/>
          <w:szCs w:val="18"/>
          <w:lang w:val="el-GR" w:eastAsia="el-GR"/>
        </w:rPr>
        <w:t>70</w:t>
      </w:r>
      <w:r w:rsidR="00161C7D">
        <w:rPr>
          <w:rFonts w:ascii="Arial" w:hAnsi="Arial" w:cs="Arial"/>
          <w:sz w:val="18"/>
          <w:szCs w:val="18"/>
          <w:lang w:val="el-GR" w:eastAsia="el-GR"/>
        </w:rPr>
        <w:t>8</w:t>
      </w:r>
      <w:r w:rsidR="00162754" w:rsidRPr="007246A9">
        <w:rPr>
          <w:rFonts w:ascii="Arial" w:hAnsi="Arial" w:cs="Arial"/>
          <w:sz w:val="18"/>
          <w:szCs w:val="18"/>
          <w:lang w:val="el-GR" w:eastAsia="el-GR"/>
        </w:rPr>
        <w:t xml:space="preserve"> εκατ.</w:t>
      </w:r>
      <w:r w:rsidR="007A0969" w:rsidRPr="007246A9">
        <w:rPr>
          <w:rFonts w:ascii="Arial" w:hAnsi="Arial" w:cs="Arial"/>
          <w:sz w:val="18"/>
          <w:szCs w:val="18"/>
          <w:lang w:val="el-GR" w:eastAsia="el-GR"/>
        </w:rPr>
        <w:t xml:space="preserve">, αυξημένος κατά </w:t>
      </w:r>
      <w:r w:rsidR="00845776" w:rsidRPr="007246A9">
        <w:rPr>
          <w:rFonts w:ascii="Arial" w:hAnsi="Arial" w:cs="Arial"/>
          <w:sz w:val="18"/>
          <w:szCs w:val="18"/>
          <w:lang w:val="el-GR" w:eastAsia="el-GR"/>
        </w:rPr>
        <w:t>9</w:t>
      </w:r>
      <w:r w:rsidR="007A0969" w:rsidRPr="007246A9">
        <w:rPr>
          <w:rFonts w:ascii="Arial" w:hAnsi="Arial" w:cs="Arial"/>
          <w:sz w:val="18"/>
          <w:szCs w:val="18"/>
          <w:lang w:val="el-GR" w:eastAsia="el-GR"/>
        </w:rPr>
        <w:t>% σε ετήσια βάση,</w:t>
      </w:r>
      <w:r w:rsidR="00162754" w:rsidRPr="007246A9">
        <w:rPr>
          <w:rFonts w:ascii="Arial" w:hAnsi="Arial" w:cs="Arial"/>
          <w:sz w:val="18"/>
          <w:szCs w:val="18"/>
          <w:lang w:val="el-GR" w:eastAsia="el-GR"/>
        </w:rPr>
        <w:t xml:space="preserve"> και</w:t>
      </w:r>
      <w:r w:rsidR="00FD191A" w:rsidRPr="007246A9">
        <w:rPr>
          <w:rFonts w:ascii="Arial" w:hAnsi="Arial" w:cs="Arial"/>
          <w:sz w:val="18"/>
          <w:szCs w:val="18"/>
          <w:lang w:val="el-GR" w:eastAsia="el-GR"/>
        </w:rPr>
        <w:t xml:space="preserve"> </w:t>
      </w:r>
      <w:r w:rsidR="003676BC" w:rsidRPr="007246A9">
        <w:rPr>
          <w:rFonts w:ascii="Arial" w:hAnsi="Arial" w:cs="Arial"/>
          <w:sz w:val="18"/>
          <w:szCs w:val="18"/>
          <w:lang w:val="el-GR" w:eastAsia="el-GR"/>
        </w:rPr>
        <w:t>προέρχεται κυρίως</w:t>
      </w:r>
      <w:r w:rsidR="008F73A3" w:rsidRPr="007246A9">
        <w:rPr>
          <w:rFonts w:ascii="Arial" w:hAnsi="Arial" w:cs="Arial"/>
          <w:sz w:val="18"/>
          <w:szCs w:val="18"/>
          <w:lang w:val="el-GR" w:eastAsia="el-GR"/>
        </w:rPr>
        <w:t xml:space="preserve"> λόγω</w:t>
      </w:r>
      <w:r w:rsidR="003676BC" w:rsidRPr="007246A9">
        <w:rPr>
          <w:rFonts w:ascii="Arial" w:hAnsi="Arial" w:cs="Arial"/>
          <w:sz w:val="18"/>
          <w:szCs w:val="18"/>
          <w:lang w:val="el-GR" w:eastAsia="el-GR"/>
        </w:rPr>
        <w:t xml:space="preserve"> </w:t>
      </w:r>
      <w:r w:rsidR="00F408BD" w:rsidRPr="007246A9">
        <w:rPr>
          <w:rFonts w:ascii="Arial" w:hAnsi="Arial" w:cs="Arial"/>
          <w:sz w:val="18"/>
          <w:szCs w:val="18"/>
          <w:lang w:val="el-GR" w:eastAsia="el-GR"/>
        </w:rPr>
        <w:t xml:space="preserve">της αυξημένης ζήτησης για δάνεια σε επιχειρήσεις. </w:t>
      </w:r>
    </w:p>
    <w:p w14:paraId="763F191C" w14:textId="77777777" w:rsidR="00352599" w:rsidRPr="007246A9" w:rsidRDefault="00352599" w:rsidP="00F70A02">
      <w:pPr>
        <w:spacing w:after="0" w:line="240" w:lineRule="auto"/>
        <w:jc w:val="both"/>
        <w:rPr>
          <w:rFonts w:ascii="Arial" w:hAnsi="Arial" w:cs="Arial"/>
          <w:sz w:val="18"/>
          <w:szCs w:val="18"/>
          <w:lang w:val="el-GR"/>
        </w:rPr>
      </w:pPr>
    </w:p>
    <w:p w14:paraId="55833898" w14:textId="77777777" w:rsidR="00162754" w:rsidRPr="00D41B36" w:rsidRDefault="00162754" w:rsidP="00162754">
      <w:pPr>
        <w:spacing w:after="0" w:line="240" w:lineRule="auto"/>
        <w:jc w:val="both"/>
        <w:rPr>
          <w:rFonts w:ascii="Arial" w:hAnsi="Arial" w:cs="Arial"/>
          <w:sz w:val="18"/>
          <w:szCs w:val="18"/>
          <w:highlight w:val="yellow"/>
          <w:lang w:val="el-GR" w:eastAsia="el-GR"/>
        </w:rPr>
      </w:pPr>
      <w:bookmarkStart w:id="13" w:name="_Hlk141892185"/>
    </w:p>
    <w:p w14:paraId="5AC6C21F" w14:textId="47B9B724" w:rsidR="000B0442" w:rsidRPr="00B54774" w:rsidRDefault="000B0442" w:rsidP="000B0442">
      <w:pPr>
        <w:rPr>
          <w:rFonts w:ascii="Arial" w:eastAsia="Times New Roman" w:hAnsi="Arial" w:cs="Arial"/>
          <w:sz w:val="18"/>
          <w:szCs w:val="18"/>
          <w:lang w:val="el-GR"/>
        </w:rPr>
      </w:pPr>
      <w:r w:rsidRPr="00B54774">
        <w:rPr>
          <w:rFonts w:ascii="Arial" w:hAnsi="Arial" w:cs="Arial"/>
          <w:b/>
          <w:bCs/>
          <w:color w:val="FF9900"/>
          <w:sz w:val="24"/>
          <w:lang w:val="el-GR"/>
        </w:rPr>
        <w:lastRenderedPageBreak/>
        <w:t xml:space="preserve">Α. Οικονομικά Αποτελέσματα Συγκροτήματος – Υποκείμενη Βάση </w:t>
      </w:r>
      <w:r w:rsidRPr="00B54774">
        <w:rPr>
          <w:rFonts w:ascii="Arial" w:hAnsi="Arial" w:cs="Arial"/>
          <w:color w:val="FF9900"/>
          <w:sz w:val="24"/>
          <w:lang w:val="el-GR"/>
        </w:rPr>
        <w:t>(συνέχεια)</w:t>
      </w:r>
    </w:p>
    <w:p w14:paraId="1611F761" w14:textId="77777777" w:rsidR="000B0442" w:rsidRPr="0034047F" w:rsidRDefault="000B0442" w:rsidP="000B0442">
      <w:pPr>
        <w:rPr>
          <w:rFonts w:ascii="Arial" w:hAnsi="Arial" w:cs="Arial"/>
          <w:b/>
          <w:bCs/>
          <w:color w:val="FF9900"/>
          <w:sz w:val="23"/>
          <w:szCs w:val="23"/>
          <w:lang w:val="el-GR"/>
        </w:rPr>
      </w:pPr>
      <w:r w:rsidRPr="00B54774">
        <w:rPr>
          <w:rFonts w:ascii="Arial" w:hAnsi="Arial" w:cs="Arial"/>
          <w:b/>
          <w:bCs/>
          <w:color w:val="FF9900"/>
          <w:sz w:val="23"/>
          <w:szCs w:val="23"/>
          <w:lang w:val="el-GR"/>
        </w:rPr>
        <w:t xml:space="preserve">Α.1 Ανάλυση Ισολογισμού </w:t>
      </w:r>
      <w:r w:rsidRPr="00B54774">
        <w:rPr>
          <w:rFonts w:ascii="Arial" w:hAnsi="Arial" w:cs="Arial"/>
          <w:color w:val="FF9900"/>
          <w:sz w:val="23"/>
          <w:szCs w:val="23"/>
          <w:lang w:val="el-GR"/>
        </w:rPr>
        <w:t>(συνέχεια)</w:t>
      </w:r>
    </w:p>
    <w:p w14:paraId="763D78AB" w14:textId="2F9B5B5D" w:rsidR="000B0442" w:rsidRPr="007246A9" w:rsidRDefault="000B0442" w:rsidP="007246A9">
      <w:pPr>
        <w:spacing w:after="0" w:line="360" w:lineRule="auto"/>
        <w:ind w:left="851" w:hanging="851"/>
        <w:jc w:val="both"/>
        <w:rPr>
          <w:rFonts w:ascii="Arial" w:eastAsia="Times New Roman" w:hAnsi="Arial" w:cs="Arial"/>
          <w:b/>
          <w:bCs/>
          <w:color w:val="FF9900"/>
          <w:szCs w:val="24"/>
          <w:lang w:val="el-GR" w:eastAsia="el-GR"/>
        </w:rPr>
      </w:pPr>
      <w:r w:rsidRPr="000B0442">
        <w:rPr>
          <w:rFonts w:ascii="Arial" w:hAnsi="Arial" w:cs="Arial"/>
          <w:b/>
          <w:bCs/>
          <w:color w:val="FF9900"/>
          <w:lang w:val="el-GR"/>
        </w:rPr>
        <w:t xml:space="preserve">Α.1.4 Δάνεια </w:t>
      </w:r>
      <w:r w:rsidRPr="000B0442">
        <w:rPr>
          <w:rFonts w:ascii="Arial" w:hAnsi="Arial" w:cs="Arial"/>
          <w:color w:val="FF9900"/>
          <w:lang w:val="el-GR"/>
        </w:rPr>
        <w:t>(συνέχεια)</w:t>
      </w:r>
    </w:p>
    <w:p w14:paraId="274C315B" w14:textId="77777777" w:rsidR="002C49D5" w:rsidRPr="00E40FED" w:rsidRDefault="002C49D5" w:rsidP="002C49D5">
      <w:pPr>
        <w:spacing w:after="0" w:line="240" w:lineRule="auto"/>
        <w:jc w:val="both"/>
        <w:rPr>
          <w:rFonts w:ascii="Arial" w:hAnsi="Arial" w:cs="Arial"/>
          <w:color w:val="000000" w:themeColor="text1"/>
          <w:sz w:val="18"/>
          <w:szCs w:val="18"/>
          <w:highlight w:val="yellow"/>
          <w:lang w:val="el-GR" w:eastAsia="el-GR"/>
        </w:rPr>
      </w:pPr>
      <w:r w:rsidRPr="007246A9">
        <w:rPr>
          <w:rFonts w:ascii="Arial" w:hAnsi="Arial" w:cs="Arial"/>
          <w:sz w:val="18"/>
          <w:szCs w:val="18"/>
          <w:lang w:val="el-GR" w:eastAsia="el-GR"/>
        </w:rPr>
        <w:t xml:space="preserve">Στις 30 </w:t>
      </w:r>
      <w:r w:rsidRPr="000B0442">
        <w:rPr>
          <w:rFonts w:ascii="Arial" w:hAnsi="Arial" w:cs="Arial"/>
          <w:sz w:val="18"/>
          <w:szCs w:val="18"/>
          <w:lang w:val="el-GR" w:eastAsia="el-GR"/>
        </w:rPr>
        <w:t xml:space="preserve">Σεπτεμβρίου </w:t>
      </w:r>
      <w:r w:rsidRPr="007246A9">
        <w:rPr>
          <w:rFonts w:ascii="Arial" w:hAnsi="Arial" w:cs="Arial"/>
          <w:sz w:val="18"/>
          <w:szCs w:val="18"/>
          <w:lang w:val="el-GR" w:eastAsia="el-GR"/>
        </w:rPr>
        <w:t xml:space="preserve">2024, τα καθαρά δάνεια και απαιτήσεις από πελάτες του Συγκροτήματος ανήλθαν σε </w:t>
      </w:r>
      <w:r w:rsidRPr="00502B4F">
        <w:rPr>
          <w:rFonts w:ascii="Arial" w:hAnsi="Arial" w:cs="Arial"/>
          <w:sz w:val="18"/>
          <w:szCs w:val="18"/>
          <w:lang w:val="el-GR"/>
        </w:rPr>
        <w:t>€10,031</w:t>
      </w:r>
      <w:r>
        <w:rPr>
          <w:rFonts w:ascii="Arial" w:hAnsi="Arial" w:cs="Arial"/>
          <w:sz w:val="18"/>
          <w:szCs w:val="18"/>
          <w:lang w:val="el-GR"/>
        </w:rPr>
        <w:t xml:space="preserve"> </w:t>
      </w:r>
      <w:r w:rsidRPr="007246A9">
        <w:rPr>
          <w:rFonts w:ascii="Arial" w:hAnsi="Arial" w:cs="Arial"/>
          <w:sz w:val="18"/>
          <w:szCs w:val="18"/>
          <w:lang w:val="el-GR" w:eastAsia="el-GR"/>
        </w:rPr>
        <w:t>εκ</w:t>
      </w:r>
      <w:r w:rsidRPr="00B570CB">
        <w:rPr>
          <w:rFonts w:ascii="Arial" w:hAnsi="Arial" w:cs="Arial"/>
          <w:sz w:val="18"/>
          <w:szCs w:val="18"/>
          <w:lang w:val="el-GR" w:eastAsia="el-GR"/>
        </w:rPr>
        <w:t>ατ. (σε σύγκριση με €</w:t>
      </w:r>
      <w:r w:rsidRPr="00B570CB">
        <w:rPr>
          <w:rFonts w:ascii="Arial" w:hAnsi="Arial" w:cs="Arial"/>
          <w:sz w:val="18"/>
          <w:szCs w:val="18"/>
          <w:lang w:val="el-GR"/>
        </w:rPr>
        <w:t>10,085</w:t>
      </w:r>
      <w:r w:rsidRPr="00B570CB">
        <w:rPr>
          <w:rFonts w:ascii="Arial" w:hAnsi="Arial" w:cs="Arial"/>
          <w:color w:val="FF0000"/>
          <w:sz w:val="18"/>
          <w:szCs w:val="18"/>
          <w:lang w:val="el-GR"/>
        </w:rPr>
        <w:t xml:space="preserve"> </w:t>
      </w:r>
      <w:r w:rsidRPr="00B570CB">
        <w:rPr>
          <w:rFonts w:ascii="Arial" w:hAnsi="Arial" w:cs="Arial"/>
          <w:sz w:val="18"/>
          <w:szCs w:val="18"/>
          <w:lang w:val="el-GR" w:eastAsia="el-GR"/>
        </w:rPr>
        <w:t xml:space="preserve">εκατ. στις 30 </w:t>
      </w:r>
      <w:r w:rsidRPr="00B570CB">
        <w:rPr>
          <w:rFonts w:ascii="Arial" w:hAnsi="Arial" w:cs="Arial"/>
          <w:sz w:val="18"/>
          <w:lang w:val="el-GR" w:eastAsia="el-GR"/>
        </w:rPr>
        <w:t xml:space="preserve">Ιουνίου </w:t>
      </w:r>
      <w:r w:rsidRPr="00B570CB">
        <w:rPr>
          <w:rFonts w:ascii="Arial" w:hAnsi="Arial" w:cs="Arial"/>
          <w:sz w:val="18"/>
          <w:szCs w:val="18"/>
          <w:lang w:val="el-GR" w:eastAsia="el-GR"/>
        </w:rPr>
        <w:t>2024 και με €</w:t>
      </w:r>
      <w:r w:rsidRPr="00B570CB">
        <w:rPr>
          <w:rFonts w:ascii="Arial" w:hAnsi="Arial" w:cs="Arial"/>
          <w:sz w:val="18"/>
          <w:szCs w:val="18"/>
          <w:lang w:val="el-GR"/>
        </w:rPr>
        <w:t>9,822</w:t>
      </w:r>
      <w:r w:rsidRPr="00B570CB">
        <w:rPr>
          <w:rFonts w:ascii="Arial" w:hAnsi="Arial" w:cs="Arial"/>
          <w:color w:val="FF0000"/>
          <w:sz w:val="18"/>
          <w:szCs w:val="18"/>
          <w:lang w:val="el-GR"/>
        </w:rPr>
        <w:t xml:space="preserve"> </w:t>
      </w:r>
      <w:r w:rsidRPr="00B570CB">
        <w:rPr>
          <w:rFonts w:ascii="Arial" w:hAnsi="Arial" w:cs="Arial"/>
          <w:sz w:val="18"/>
          <w:szCs w:val="18"/>
          <w:lang w:val="el-GR" w:eastAsia="el-GR"/>
        </w:rPr>
        <w:t xml:space="preserve">εκατ. στις 31 Δεκεμβρίου 2023), </w:t>
      </w:r>
      <w:r w:rsidRPr="00502B4F">
        <w:rPr>
          <w:rFonts w:ascii="Arial" w:hAnsi="Arial" w:cs="Arial"/>
          <w:sz w:val="18"/>
          <w:szCs w:val="18"/>
          <w:lang w:val="el-GR" w:eastAsia="el-GR"/>
        </w:rPr>
        <w:t xml:space="preserve">αυξημένα κατά </w:t>
      </w:r>
      <w:r w:rsidRPr="00502B4F">
        <w:rPr>
          <w:rFonts w:ascii="Arial" w:hAnsi="Arial" w:cs="Arial"/>
          <w:sz w:val="18"/>
          <w:szCs w:val="18"/>
          <w:lang w:val="el-GR"/>
        </w:rPr>
        <w:t>2</w:t>
      </w:r>
      <w:r w:rsidRPr="00502B4F">
        <w:rPr>
          <w:rFonts w:ascii="Arial" w:hAnsi="Arial" w:cs="Arial"/>
          <w:sz w:val="18"/>
          <w:szCs w:val="18"/>
          <w:lang w:val="el-GR" w:eastAsia="el-GR"/>
        </w:rPr>
        <w:t>% από την αρχή του έτ</w:t>
      </w:r>
      <w:r w:rsidRPr="00E40FED">
        <w:rPr>
          <w:rFonts w:ascii="Arial" w:hAnsi="Arial" w:cs="Arial"/>
          <w:color w:val="000000" w:themeColor="text1"/>
          <w:sz w:val="18"/>
          <w:szCs w:val="18"/>
          <w:lang w:val="el-GR" w:eastAsia="el-GR"/>
        </w:rPr>
        <w:t>ους.</w:t>
      </w:r>
    </w:p>
    <w:p w14:paraId="310E4853" w14:textId="77777777" w:rsidR="002C49D5" w:rsidRPr="00E40FED" w:rsidRDefault="002C49D5" w:rsidP="002C49D5">
      <w:pPr>
        <w:spacing w:after="0" w:line="240" w:lineRule="auto"/>
        <w:jc w:val="both"/>
        <w:rPr>
          <w:rFonts w:ascii="Arial" w:hAnsi="Arial" w:cs="Arial"/>
          <w:color w:val="000000" w:themeColor="text1"/>
          <w:sz w:val="18"/>
          <w:szCs w:val="18"/>
          <w:lang w:val="el-GR" w:eastAsia="el-GR"/>
        </w:rPr>
      </w:pPr>
    </w:p>
    <w:p w14:paraId="0BF970F2" w14:textId="77777777" w:rsidR="002C49D5" w:rsidRPr="007246A9" w:rsidRDefault="002C49D5" w:rsidP="002C49D5">
      <w:pPr>
        <w:spacing w:after="0" w:line="240" w:lineRule="auto"/>
        <w:jc w:val="both"/>
        <w:rPr>
          <w:rFonts w:ascii="Arial" w:hAnsi="Arial" w:cs="Arial"/>
          <w:sz w:val="18"/>
          <w:szCs w:val="18"/>
          <w:lang w:val="el-GR" w:eastAsia="el-GR"/>
        </w:rPr>
      </w:pPr>
      <w:r w:rsidRPr="00E40FED">
        <w:rPr>
          <w:rFonts w:ascii="Arial" w:hAnsi="Arial" w:cs="Arial"/>
          <w:color w:val="000000" w:themeColor="text1"/>
          <w:sz w:val="18"/>
          <w:szCs w:val="18"/>
          <w:lang w:val="el-GR" w:eastAsia="el-GR"/>
        </w:rPr>
        <w:t xml:space="preserve">Η Τράπεζα είναι ο μεγαλύτερος </w:t>
      </w:r>
      <w:proofErr w:type="spellStart"/>
      <w:r w:rsidRPr="00E40FED">
        <w:rPr>
          <w:rFonts w:ascii="Arial" w:hAnsi="Arial" w:cs="Arial"/>
          <w:color w:val="000000" w:themeColor="text1"/>
          <w:sz w:val="18"/>
          <w:szCs w:val="18"/>
          <w:lang w:val="el-GR" w:eastAsia="el-GR"/>
        </w:rPr>
        <w:t>παροχέας</w:t>
      </w:r>
      <w:proofErr w:type="spellEnd"/>
      <w:r w:rsidRPr="00E40FED">
        <w:rPr>
          <w:rFonts w:ascii="Arial" w:hAnsi="Arial" w:cs="Arial"/>
          <w:color w:val="000000" w:themeColor="text1"/>
          <w:sz w:val="18"/>
          <w:szCs w:val="18"/>
          <w:lang w:val="el-GR" w:eastAsia="el-GR"/>
        </w:rPr>
        <w:t xml:space="preserve"> δανείων στην Κύπρο με το μερίδιο αγοράς να ανέρχεται σε </w:t>
      </w:r>
      <w:r w:rsidRPr="00E40FED">
        <w:rPr>
          <w:rFonts w:ascii="Arial" w:hAnsi="Arial" w:cs="Arial"/>
          <w:color w:val="000000" w:themeColor="text1"/>
          <w:sz w:val="18"/>
          <w:szCs w:val="18"/>
          <w:lang w:val="el-GR"/>
        </w:rPr>
        <w:t>43.2</w:t>
      </w:r>
      <w:r w:rsidRPr="00E40FED">
        <w:rPr>
          <w:rFonts w:ascii="Arial" w:hAnsi="Arial" w:cs="Arial"/>
          <w:color w:val="000000" w:themeColor="text1"/>
          <w:sz w:val="18"/>
          <w:szCs w:val="18"/>
          <w:lang w:val="el-GR" w:eastAsia="el-GR"/>
        </w:rPr>
        <w:t xml:space="preserve">% στις 30 Σεπτεμβρίου 2024, </w:t>
      </w:r>
      <w:r w:rsidRPr="007246A9">
        <w:rPr>
          <w:rFonts w:ascii="Arial" w:hAnsi="Arial" w:cs="Arial"/>
          <w:sz w:val="18"/>
          <w:szCs w:val="18"/>
          <w:lang w:val="el-GR" w:eastAsia="el-GR"/>
        </w:rPr>
        <w:t xml:space="preserve">σε σύγκριση με </w:t>
      </w:r>
      <w:r w:rsidRPr="007246A9">
        <w:rPr>
          <w:rFonts w:ascii="Arial" w:hAnsi="Arial" w:cs="Arial"/>
          <w:sz w:val="18"/>
          <w:szCs w:val="18"/>
          <w:lang w:val="el-GR"/>
        </w:rPr>
        <w:t>43.2</w:t>
      </w:r>
      <w:r w:rsidRPr="007246A9">
        <w:rPr>
          <w:rFonts w:ascii="Arial" w:hAnsi="Arial" w:cs="Arial"/>
          <w:sz w:val="18"/>
          <w:szCs w:val="18"/>
          <w:lang w:val="el-GR" w:eastAsia="el-GR"/>
        </w:rPr>
        <w:t xml:space="preserve">% στις 30 Ιουνίου 2024 και με </w:t>
      </w:r>
      <w:r w:rsidRPr="007246A9">
        <w:rPr>
          <w:rFonts w:ascii="Arial" w:hAnsi="Arial" w:cs="Arial"/>
          <w:sz w:val="18"/>
          <w:szCs w:val="18"/>
          <w:lang w:val="el-GR"/>
        </w:rPr>
        <w:t>42.2</w:t>
      </w:r>
      <w:r w:rsidRPr="007246A9">
        <w:rPr>
          <w:rFonts w:ascii="Arial" w:hAnsi="Arial" w:cs="Arial"/>
          <w:sz w:val="18"/>
          <w:szCs w:val="18"/>
          <w:lang w:val="el-GR" w:eastAsia="el-GR"/>
        </w:rPr>
        <w:t>% στις 31 Δεκεμβρίου 2023.</w:t>
      </w:r>
    </w:p>
    <w:p w14:paraId="607FC8D5" w14:textId="77777777" w:rsidR="002C49D5" w:rsidRDefault="002C49D5" w:rsidP="00CB38F0">
      <w:pPr>
        <w:spacing w:after="0" w:line="240" w:lineRule="auto"/>
        <w:jc w:val="both"/>
        <w:rPr>
          <w:rFonts w:ascii="Arial" w:hAnsi="Arial" w:cs="Arial"/>
          <w:sz w:val="18"/>
          <w:szCs w:val="18"/>
          <w:lang w:val="el-GR" w:eastAsia="el-GR"/>
        </w:rPr>
      </w:pPr>
    </w:p>
    <w:p w14:paraId="21EB0538" w14:textId="7B6EB0C1" w:rsidR="00162754" w:rsidRPr="007246A9" w:rsidRDefault="00162754" w:rsidP="00CB38F0">
      <w:pPr>
        <w:spacing w:after="0" w:line="240" w:lineRule="auto"/>
        <w:jc w:val="both"/>
        <w:rPr>
          <w:rFonts w:ascii="Arial" w:hAnsi="Arial" w:cs="Arial"/>
          <w:sz w:val="18"/>
          <w:szCs w:val="18"/>
          <w:lang w:val="el-GR" w:eastAsia="el-GR"/>
        </w:rPr>
      </w:pPr>
      <w:r w:rsidRPr="007246A9">
        <w:rPr>
          <w:rFonts w:ascii="Arial" w:hAnsi="Arial" w:cs="Arial"/>
          <w:sz w:val="18"/>
          <w:szCs w:val="18"/>
          <w:lang w:val="el-GR" w:eastAsia="el-GR"/>
        </w:rPr>
        <w:t>Τον Δεκέμβριο 2023</w:t>
      </w:r>
      <w:r w:rsidR="00CB629A" w:rsidRPr="007246A9">
        <w:rPr>
          <w:rFonts w:ascii="Arial" w:hAnsi="Arial" w:cs="Arial"/>
          <w:sz w:val="18"/>
          <w:szCs w:val="18"/>
          <w:lang w:val="el-GR" w:eastAsia="el-GR"/>
        </w:rPr>
        <w:t>,</w:t>
      </w:r>
      <w:r w:rsidRPr="007246A9">
        <w:rPr>
          <w:rFonts w:ascii="Arial" w:hAnsi="Arial" w:cs="Arial"/>
          <w:sz w:val="18"/>
          <w:szCs w:val="18"/>
          <w:lang w:val="el-GR" w:eastAsia="el-GR"/>
        </w:rPr>
        <w:t xml:space="preserve"> η Τράπεζα σύναψε συμφωνία με την Κυπριακή Εταιρεία Διαχείρισης Περιουσιακών Στοιχείων (‘ΚΕΔΙΠΕΣ΄) για απόκτηση χαρτοφυλακίου εξυπηρετούμενων και αναδιαρθρωμένων δανείων ύψους περίπου €58 εκατ. με ημερομηνία αναφοράς 31 Δεκεμβρίου 2022 (η ‘Συναλλαγή’). Η Συναλλαγή δεν είχε επιπτώσεις στην κατάσταση λογαριασμού αποτελεσμάτων και στην κεφαλαιακή θέση της Τράπεζας.</w:t>
      </w:r>
      <w:r w:rsidRPr="007246A9">
        <w:rPr>
          <w:lang w:val="el-GR"/>
        </w:rPr>
        <w:t xml:space="preserve"> </w:t>
      </w:r>
      <w:r w:rsidRPr="007246A9">
        <w:rPr>
          <w:rFonts w:ascii="Arial" w:hAnsi="Arial" w:cs="Arial"/>
          <w:sz w:val="18"/>
          <w:szCs w:val="18"/>
          <w:lang w:val="el-GR" w:eastAsia="el-GR"/>
        </w:rPr>
        <w:t xml:space="preserve">Η Συναλλαγή ολοκληρώθηκε τον Μάρτιο 2024. </w:t>
      </w:r>
    </w:p>
    <w:bookmarkEnd w:id="13"/>
    <w:p w14:paraId="497787F3" w14:textId="77777777" w:rsidR="00B45230" w:rsidRPr="007246A9" w:rsidRDefault="00B45230" w:rsidP="00F70A02">
      <w:pPr>
        <w:spacing w:after="0" w:line="240" w:lineRule="auto"/>
        <w:jc w:val="both"/>
        <w:rPr>
          <w:rFonts w:ascii="Arial" w:hAnsi="Arial" w:cs="Arial"/>
          <w:sz w:val="18"/>
          <w:szCs w:val="18"/>
          <w:lang w:val="el-GR" w:eastAsia="el-GR"/>
        </w:rPr>
      </w:pPr>
    </w:p>
    <w:p w14:paraId="310BC023" w14:textId="23C308C0" w:rsidR="00352599" w:rsidRPr="007246A9" w:rsidRDefault="00583D4C" w:rsidP="00B043BD">
      <w:pPr>
        <w:spacing w:after="0" w:line="360" w:lineRule="auto"/>
        <w:jc w:val="both"/>
        <w:rPr>
          <w:rFonts w:ascii="Arial" w:eastAsia="Times New Roman" w:hAnsi="Arial" w:cs="Arial"/>
          <w:b/>
          <w:bCs/>
          <w:color w:val="FF9900"/>
          <w:szCs w:val="24"/>
          <w:lang w:val="el-GR" w:eastAsia="el-GR"/>
        </w:rPr>
      </w:pPr>
      <w:r w:rsidRPr="00583D4C">
        <w:rPr>
          <w:rFonts w:ascii="Arial" w:hAnsi="Arial" w:cs="Arial"/>
          <w:b/>
          <w:bCs/>
          <w:color w:val="FF9900"/>
          <w:lang w:val="el-GR"/>
        </w:rPr>
        <w:t>Α.1</w:t>
      </w:r>
      <w:r w:rsidR="00352599" w:rsidRPr="007246A9">
        <w:rPr>
          <w:rFonts w:ascii="Arial" w:eastAsia="Times New Roman" w:hAnsi="Arial" w:cs="Arial"/>
          <w:b/>
          <w:bCs/>
          <w:color w:val="FF9900"/>
          <w:szCs w:val="24"/>
          <w:lang w:val="el-GR" w:eastAsia="el-GR"/>
        </w:rPr>
        <w:t>.5</w:t>
      </w:r>
      <w:r w:rsidR="00A73FDA" w:rsidRPr="007246A9">
        <w:rPr>
          <w:rFonts w:ascii="Arial" w:eastAsia="Times New Roman" w:hAnsi="Arial" w:cs="Arial"/>
          <w:b/>
          <w:bCs/>
          <w:color w:val="FF9900"/>
          <w:szCs w:val="24"/>
          <w:lang w:val="el-GR" w:eastAsia="el-GR"/>
        </w:rPr>
        <w:t xml:space="preserve"> </w:t>
      </w:r>
      <w:r w:rsidR="00352599" w:rsidRPr="007246A9">
        <w:rPr>
          <w:rFonts w:ascii="Arial" w:hAnsi="Arial" w:cs="Arial"/>
          <w:b/>
          <w:bCs/>
          <w:color w:val="FF9900"/>
          <w:lang w:val="el-GR" w:eastAsia="el-GR"/>
        </w:rPr>
        <w:t>Ποιότητα δανειακού χαρτοφυλακίου</w:t>
      </w:r>
    </w:p>
    <w:p w14:paraId="2AD6CA2B" w14:textId="2D3C3C2E" w:rsidR="00352599" w:rsidRPr="007246A9" w:rsidRDefault="00352599" w:rsidP="001D77B6">
      <w:pPr>
        <w:autoSpaceDE w:val="0"/>
        <w:autoSpaceDN w:val="0"/>
        <w:spacing w:after="0" w:line="240" w:lineRule="auto"/>
        <w:jc w:val="both"/>
        <w:rPr>
          <w:rFonts w:ascii="Arial" w:hAnsi="Arial" w:cs="Arial"/>
          <w:sz w:val="18"/>
          <w:szCs w:val="18"/>
          <w:lang w:val="el-GR"/>
        </w:rPr>
      </w:pPr>
      <w:r w:rsidRPr="007246A9">
        <w:rPr>
          <w:rFonts w:ascii="Arial" w:hAnsi="Arial" w:cs="Arial"/>
          <w:sz w:val="18"/>
          <w:szCs w:val="18"/>
          <w:lang w:val="el-GR"/>
        </w:rPr>
        <w:t>Το Συγκρότημα συνέχισε να σημειώνει σταθερή πρόοδο σε όλες τις παραμέτρους επιμέτρησης της ποιότητας του δανειακού του χαρτοφυλακίου.</w:t>
      </w:r>
      <w:r w:rsidR="00583D4C" w:rsidRPr="007246A9">
        <w:rPr>
          <w:rFonts w:ascii="Arial" w:hAnsi="Arial" w:cs="Arial"/>
          <w:sz w:val="18"/>
          <w:szCs w:val="18"/>
          <w:lang w:val="el-GR"/>
        </w:rPr>
        <w:t xml:space="preserve"> </w:t>
      </w:r>
      <w:r w:rsidR="00630B4B">
        <w:rPr>
          <w:rFonts w:ascii="Arial" w:hAnsi="Arial" w:cs="Arial"/>
          <w:sz w:val="18"/>
          <w:szCs w:val="18"/>
          <w:lang w:val="el-GR"/>
        </w:rPr>
        <w:t>Οι</w:t>
      </w:r>
      <w:r w:rsidRPr="007246A9">
        <w:rPr>
          <w:rFonts w:ascii="Arial" w:hAnsi="Arial" w:cs="Arial"/>
          <w:sz w:val="18"/>
          <w:szCs w:val="18"/>
          <w:lang w:val="el-GR"/>
        </w:rPr>
        <w:t xml:space="preserve"> προτεραιότητες του Συγκροτήματος εστιάζουν κυρίως στη</w:t>
      </w:r>
      <w:r w:rsidR="005C44F2" w:rsidRPr="007246A9">
        <w:rPr>
          <w:rFonts w:ascii="Arial" w:hAnsi="Arial" w:cs="Arial"/>
          <w:sz w:val="18"/>
          <w:szCs w:val="18"/>
          <w:lang w:val="el-GR"/>
        </w:rPr>
        <w:t xml:space="preserve"> </w:t>
      </w:r>
      <w:r w:rsidRPr="007246A9">
        <w:rPr>
          <w:rFonts w:ascii="Arial" w:hAnsi="Arial" w:cs="Arial"/>
          <w:sz w:val="18"/>
          <w:szCs w:val="18"/>
          <w:lang w:val="el-GR"/>
        </w:rPr>
        <w:t>διατήρηση ποιοτικού νέου δανεισμού μέσω αυστηρών πρακτικών και αποφυγή της επιδείνωσης της ποιότητας του δανειακού χαρτοφυλακίου</w:t>
      </w:r>
      <w:r w:rsidR="002D2D73" w:rsidRPr="007246A9">
        <w:rPr>
          <w:rFonts w:ascii="Arial" w:hAnsi="Arial" w:cs="Arial"/>
          <w:sz w:val="18"/>
          <w:szCs w:val="18"/>
          <w:lang w:val="el-GR"/>
        </w:rPr>
        <w:t>.</w:t>
      </w:r>
    </w:p>
    <w:p w14:paraId="0EED48A7" w14:textId="77777777" w:rsidR="00FF36F2" w:rsidRPr="00B570CB" w:rsidRDefault="00FF36F2" w:rsidP="001D77B6">
      <w:pPr>
        <w:autoSpaceDE w:val="0"/>
        <w:autoSpaceDN w:val="0"/>
        <w:spacing w:after="0" w:line="240" w:lineRule="auto"/>
        <w:jc w:val="both"/>
        <w:rPr>
          <w:rFonts w:ascii="Arial" w:hAnsi="Arial" w:cs="Arial"/>
          <w:sz w:val="18"/>
          <w:szCs w:val="18"/>
          <w:lang w:val="el-GR"/>
        </w:rPr>
      </w:pPr>
    </w:p>
    <w:p w14:paraId="4CCBCCD5" w14:textId="750B81F1" w:rsidR="009D59F0" w:rsidRPr="00B570CB" w:rsidRDefault="009D59F0" w:rsidP="001D77B6">
      <w:pPr>
        <w:spacing w:after="0" w:line="240" w:lineRule="auto"/>
        <w:jc w:val="both"/>
        <w:rPr>
          <w:rFonts w:ascii="Arial" w:hAnsi="Arial" w:cs="Arial"/>
          <w:sz w:val="18"/>
          <w:szCs w:val="18"/>
          <w:lang w:val="el-GR"/>
        </w:rPr>
      </w:pPr>
      <w:r w:rsidRPr="00B570CB">
        <w:rPr>
          <w:rFonts w:ascii="Arial" w:hAnsi="Arial" w:cs="Arial"/>
          <w:sz w:val="18"/>
          <w:szCs w:val="18"/>
          <w:lang w:val="el-GR"/>
        </w:rPr>
        <w:t xml:space="preserve">Οι πιστωτικές ζημιές δανείων για το </w:t>
      </w:r>
      <w:r w:rsidR="00583D4C" w:rsidRPr="00B570CB">
        <w:rPr>
          <w:rFonts w:ascii="Arial" w:hAnsi="Arial" w:cs="Arial"/>
          <w:sz w:val="18"/>
          <w:szCs w:val="18"/>
          <w:lang w:val="el-GR"/>
        </w:rPr>
        <w:t>γ</w:t>
      </w:r>
      <w:r w:rsidR="00754150" w:rsidRPr="00B570CB">
        <w:rPr>
          <w:rFonts w:ascii="Arial" w:hAnsi="Arial" w:cs="Arial"/>
          <w:sz w:val="18"/>
          <w:szCs w:val="18"/>
          <w:lang w:val="el-GR"/>
        </w:rPr>
        <w:t xml:space="preserve">’ </w:t>
      </w:r>
      <w:r w:rsidRPr="00B570CB">
        <w:rPr>
          <w:rFonts w:ascii="Arial" w:hAnsi="Arial" w:cs="Arial"/>
          <w:sz w:val="18"/>
          <w:szCs w:val="18"/>
          <w:lang w:val="el-GR"/>
        </w:rPr>
        <w:t xml:space="preserve">τρίμηνο </w:t>
      </w:r>
      <w:r w:rsidR="00BF173A" w:rsidRPr="00B570CB">
        <w:rPr>
          <w:rFonts w:ascii="Arial" w:hAnsi="Arial" w:cs="Arial"/>
          <w:sz w:val="18"/>
          <w:szCs w:val="18"/>
          <w:lang w:val="el-GR"/>
        </w:rPr>
        <w:t xml:space="preserve">2024 </w:t>
      </w:r>
      <w:r w:rsidRPr="00B570CB">
        <w:rPr>
          <w:rFonts w:ascii="Arial" w:hAnsi="Arial" w:cs="Arial"/>
          <w:sz w:val="18"/>
          <w:szCs w:val="18"/>
          <w:lang w:val="el-GR"/>
        </w:rPr>
        <w:t>ανήλθαν σε €</w:t>
      </w:r>
      <w:r w:rsidR="00B570CB" w:rsidRPr="00502B4F">
        <w:rPr>
          <w:rFonts w:ascii="Arial" w:eastAsia="Times New Roman" w:hAnsi="Arial" w:cs="Arial"/>
          <w:sz w:val="18"/>
          <w:szCs w:val="20"/>
          <w:lang w:val="el-GR" w:eastAsia="el-GR"/>
        </w:rPr>
        <w:t>6</w:t>
      </w:r>
      <w:r w:rsidR="00583D4C" w:rsidRPr="00502B4F">
        <w:rPr>
          <w:rFonts w:ascii="Arial" w:hAnsi="Arial" w:cs="Arial"/>
          <w:sz w:val="18"/>
          <w:szCs w:val="18"/>
          <w:lang w:val="el-GR"/>
        </w:rPr>
        <w:t xml:space="preserve"> </w:t>
      </w:r>
      <w:r w:rsidRPr="00B570CB">
        <w:rPr>
          <w:rFonts w:ascii="Arial" w:hAnsi="Arial" w:cs="Arial"/>
          <w:sz w:val="18"/>
          <w:szCs w:val="18"/>
          <w:lang w:val="el-GR"/>
        </w:rPr>
        <w:t>εκατ.,</w:t>
      </w:r>
      <w:r w:rsidR="00F36250" w:rsidRPr="00B570CB">
        <w:rPr>
          <w:rFonts w:ascii="Arial" w:hAnsi="Arial" w:cs="Arial"/>
          <w:sz w:val="18"/>
          <w:szCs w:val="18"/>
          <w:lang w:val="el-GR"/>
        </w:rPr>
        <w:t xml:space="preserve"> </w:t>
      </w:r>
      <w:r w:rsidR="00BF173A" w:rsidRPr="00B570CB">
        <w:rPr>
          <w:rFonts w:ascii="Arial" w:hAnsi="Arial" w:cs="Arial"/>
          <w:sz w:val="18"/>
          <w:szCs w:val="18"/>
          <w:lang w:val="el-GR"/>
        </w:rPr>
        <w:t xml:space="preserve">σε σύγκριση με </w:t>
      </w:r>
      <w:r w:rsidR="00583D4C" w:rsidRPr="00B570CB">
        <w:rPr>
          <w:rFonts w:ascii="Arial" w:hAnsi="Arial" w:cs="Arial"/>
          <w:sz w:val="18"/>
          <w:szCs w:val="18"/>
          <w:lang w:val="el-GR"/>
        </w:rPr>
        <w:t>€</w:t>
      </w:r>
      <w:r w:rsidR="00583D4C" w:rsidRPr="00B570CB">
        <w:rPr>
          <w:rFonts w:ascii="Arial" w:eastAsia="Times New Roman" w:hAnsi="Arial" w:cs="Arial"/>
          <w:sz w:val="18"/>
          <w:szCs w:val="20"/>
          <w:lang w:val="el-GR" w:eastAsia="el-GR"/>
        </w:rPr>
        <w:t>9</w:t>
      </w:r>
      <w:r w:rsidR="00583D4C" w:rsidRPr="00502B4F">
        <w:rPr>
          <w:rFonts w:ascii="Arial" w:hAnsi="Arial" w:cs="Arial"/>
          <w:sz w:val="18"/>
          <w:szCs w:val="18"/>
          <w:lang w:val="el-GR"/>
        </w:rPr>
        <w:t xml:space="preserve"> </w:t>
      </w:r>
      <w:r w:rsidR="00583D4C" w:rsidRPr="00B570CB">
        <w:rPr>
          <w:rFonts w:ascii="Arial" w:hAnsi="Arial" w:cs="Arial"/>
          <w:sz w:val="18"/>
          <w:szCs w:val="18"/>
          <w:lang w:val="el-GR"/>
        </w:rPr>
        <w:t>εκατ</w:t>
      </w:r>
      <w:r w:rsidR="002D2D73" w:rsidRPr="00B570CB">
        <w:rPr>
          <w:rFonts w:ascii="Arial" w:hAnsi="Arial" w:cs="Arial"/>
          <w:sz w:val="18"/>
          <w:szCs w:val="18"/>
          <w:lang w:val="el-GR"/>
        </w:rPr>
        <w:t>.</w:t>
      </w:r>
      <w:r w:rsidR="00583D4C" w:rsidRPr="00B570CB">
        <w:rPr>
          <w:rFonts w:ascii="Arial" w:hAnsi="Arial" w:cs="Arial"/>
          <w:sz w:val="18"/>
          <w:szCs w:val="18"/>
          <w:lang w:val="el-GR"/>
        </w:rPr>
        <w:t xml:space="preserve"> </w:t>
      </w:r>
      <w:r w:rsidR="00BF173A" w:rsidRPr="00B570CB">
        <w:rPr>
          <w:rFonts w:ascii="Arial" w:hAnsi="Arial" w:cs="Arial"/>
          <w:sz w:val="18"/>
          <w:szCs w:val="18"/>
          <w:lang w:val="el-GR"/>
        </w:rPr>
        <w:t>το</w:t>
      </w:r>
      <w:r w:rsidR="00754150" w:rsidRPr="00B570CB">
        <w:rPr>
          <w:rFonts w:ascii="Arial" w:hAnsi="Arial" w:cs="Arial"/>
          <w:sz w:val="18"/>
          <w:szCs w:val="18"/>
          <w:lang w:val="el-GR"/>
        </w:rPr>
        <w:t xml:space="preserve"> </w:t>
      </w:r>
      <w:r w:rsidR="00583D4C" w:rsidRPr="00B570CB">
        <w:rPr>
          <w:rFonts w:ascii="Arial" w:hAnsi="Arial" w:cs="Arial"/>
          <w:sz w:val="18"/>
          <w:szCs w:val="18"/>
          <w:lang w:val="el-GR"/>
        </w:rPr>
        <w:t>β</w:t>
      </w:r>
      <w:r w:rsidR="00BF173A" w:rsidRPr="00B570CB">
        <w:rPr>
          <w:rFonts w:ascii="Arial" w:hAnsi="Arial" w:cs="Arial"/>
          <w:sz w:val="18"/>
          <w:szCs w:val="18"/>
          <w:lang w:val="el-GR"/>
        </w:rPr>
        <w:t xml:space="preserve">΄ τρίμηνο </w:t>
      </w:r>
      <w:r w:rsidR="00754150" w:rsidRPr="00B570CB">
        <w:rPr>
          <w:rFonts w:ascii="Arial" w:hAnsi="Arial" w:cs="Arial"/>
          <w:sz w:val="18"/>
          <w:szCs w:val="18"/>
          <w:lang w:val="el-GR"/>
        </w:rPr>
        <w:t xml:space="preserve">2024 </w:t>
      </w:r>
      <w:r w:rsidR="00583D4C" w:rsidRPr="00B570CB">
        <w:rPr>
          <w:rFonts w:ascii="Arial" w:hAnsi="Arial" w:cs="Arial"/>
          <w:sz w:val="18"/>
          <w:szCs w:val="18"/>
          <w:lang w:val="el-GR"/>
        </w:rPr>
        <w:t>και με €</w:t>
      </w:r>
      <w:r w:rsidR="00583D4C" w:rsidRPr="00B570CB">
        <w:rPr>
          <w:rFonts w:ascii="Arial" w:eastAsia="Times New Roman" w:hAnsi="Arial" w:cs="Arial"/>
          <w:sz w:val="18"/>
          <w:szCs w:val="20"/>
          <w:lang w:val="el-GR" w:eastAsia="el-GR"/>
        </w:rPr>
        <w:t>7</w:t>
      </w:r>
      <w:r w:rsidR="00583D4C" w:rsidRPr="00502B4F">
        <w:rPr>
          <w:rFonts w:ascii="Arial" w:hAnsi="Arial" w:cs="Arial"/>
          <w:sz w:val="18"/>
          <w:szCs w:val="18"/>
          <w:lang w:val="el-GR"/>
        </w:rPr>
        <w:t xml:space="preserve"> </w:t>
      </w:r>
      <w:r w:rsidR="00583D4C" w:rsidRPr="00B570CB">
        <w:rPr>
          <w:rFonts w:ascii="Arial" w:hAnsi="Arial" w:cs="Arial"/>
          <w:sz w:val="18"/>
          <w:szCs w:val="18"/>
          <w:lang w:val="el-GR"/>
        </w:rPr>
        <w:t xml:space="preserve">εκατ. το α΄ τρίμηνο 2024  </w:t>
      </w:r>
      <w:r w:rsidR="00BF173A" w:rsidRPr="00B570CB">
        <w:rPr>
          <w:rFonts w:ascii="Arial" w:hAnsi="Arial" w:cs="Arial"/>
          <w:sz w:val="18"/>
          <w:szCs w:val="18"/>
          <w:lang w:val="el-GR"/>
        </w:rPr>
        <w:t>και</w:t>
      </w:r>
      <w:r w:rsidR="00754150" w:rsidRPr="00B570CB">
        <w:rPr>
          <w:rFonts w:ascii="Arial" w:hAnsi="Arial" w:cs="Arial"/>
          <w:sz w:val="18"/>
          <w:szCs w:val="18"/>
          <w:lang w:val="el-GR"/>
        </w:rPr>
        <w:t xml:space="preserve"> ανέρχονται σε €</w:t>
      </w:r>
      <w:r w:rsidR="00B570CB" w:rsidRPr="00502B4F">
        <w:rPr>
          <w:rFonts w:ascii="Arial" w:eastAsia="Times New Roman" w:hAnsi="Arial" w:cs="Arial"/>
          <w:sz w:val="18"/>
          <w:szCs w:val="20"/>
          <w:lang w:val="el-GR" w:eastAsia="el-GR"/>
        </w:rPr>
        <w:t xml:space="preserve">22 </w:t>
      </w:r>
      <w:r w:rsidR="00754150" w:rsidRPr="00B570CB">
        <w:rPr>
          <w:rFonts w:ascii="Arial" w:hAnsi="Arial" w:cs="Arial"/>
          <w:sz w:val="18"/>
          <w:szCs w:val="18"/>
          <w:lang w:val="el-GR"/>
        </w:rPr>
        <w:t xml:space="preserve">εκατ. για </w:t>
      </w:r>
      <w:r w:rsidR="007A2F9B">
        <w:rPr>
          <w:rFonts w:ascii="Arial" w:hAnsi="Arial" w:cs="Arial"/>
          <w:sz w:val="18"/>
          <w:szCs w:val="18"/>
          <w:lang w:val="el-GR"/>
        </w:rPr>
        <w:t>εννεάμηνο</w:t>
      </w:r>
      <w:r w:rsidR="00583D4C" w:rsidRPr="00B570CB">
        <w:rPr>
          <w:rFonts w:ascii="Arial" w:hAnsi="Arial" w:cs="Arial"/>
          <w:sz w:val="18"/>
          <w:szCs w:val="18"/>
          <w:lang w:val="el-GR"/>
        </w:rPr>
        <w:t xml:space="preserve"> που έληξε στις 3</w:t>
      </w:r>
      <w:r w:rsidR="00805E9E">
        <w:rPr>
          <w:rFonts w:ascii="Arial" w:hAnsi="Arial" w:cs="Arial"/>
          <w:sz w:val="18"/>
          <w:szCs w:val="18"/>
          <w:lang w:val="el-GR"/>
        </w:rPr>
        <w:t>0</w:t>
      </w:r>
      <w:r w:rsidR="00583D4C" w:rsidRPr="00B570CB">
        <w:rPr>
          <w:rFonts w:ascii="Arial" w:hAnsi="Arial" w:cs="Arial"/>
          <w:sz w:val="18"/>
          <w:szCs w:val="18"/>
          <w:lang w:val="el-GR"/>
        </w:rPr>
        <w:t xml:space="preserve"> Σεπτεμβρίου</w:t>
      </w:r>
      <w:r w:rsidR="00754150" w:rsidRPr="00B570CB">
        <w:rPr>
          <w:rFonts w:ascii="Arial" w:hAnsi="Arial" w:cs="Arial"/>
          <w:sz w:val="18"/>
          <w:szCs w:val="18"/>
          <w:lang w:val="el-GR"/>
        </w:rPr>
        <w:t xml:space="preserve"> 2024.</w:t>
      </w:r>
      <w:r w:rsidR="00583D4C" w:rsidRPr="00B570CB">
        <w:rPr>
          <w:rFonts w:ascii="Arial" w:hAnsi="Arial" w:cs="Arial"/>
          <w:sz w:val="18"/>
          <w:szCs w:val="18"/>
          <w:lang w:val="el-GR"/>
        </w:rPr>
        <w:t xml:space="preserve"> </w:t>
      </w:r>
      <w:r w:rsidR="005E52E2" w:rsidRPr="00B570CB">
        <w:rPr>
          <w:rFonts w:ascii="Arial" w:hAnsi="Arial" w:cs="Arial"/>
          <w:sz w:val="18"/>
          <w:szCs w:val="18"/>
          <w:lang w:val="el-GR"/>
        </w:rPr>
        <w:t xml:space="preserve">Περισσότερες πληροφορίες σχετικά με τις πιστωτικές ζημιές δανείων παρέχονται στο Μέρος </w:t>
      </w:r>
      <w:r w:rsidR="00583D4C" w:rsidRPr="00B570CB">
        <w:rPr>
          <w:rFonts w:ascii="Arial" w:hAnsi="Arial" w:cs="Arial"/>
          <w:sz w:val="18"/>
          <w:szCs w:val="18"/>
          <w:lang w:val="el-GR"/>
        </w:rPr>
        <w:t>Α</w:t>
      </w:r>
      <w:r w:rsidR="005E52E2" w:rsidRPr="00B570CB">
        <w:rPr>
          <w:rFonts w:ascii="Arial" w:hAnsi="Arial" w:cs="Arial"/>
          <w:sz w:val="18"/>
          <w:szCs w:val="18"/>
          <w:lang w:val="el-GR"/>
        </w:rPr>
        <w:t>.</w:t>
      </w:r>
      <w:r w:rsidR="00583D4C" w:rsidRPr="00B570CB">
        <w:rPr>
          <w:rFonts w:ascii="Arial" w:hAnsi="Arial" w:cs="Arial"/>
          <w:sz w:val="18"/>
          <w:szCs w:val="18"/>
          <w:lang w:val="el-GR"/>
        </w:rPr>
        <w:t>2</w:t>
      </w:r>
      <w:r w:rsidR="005E52E2" w:rsidRPr="00B570CB">
        <w:rPr>
          <w:rFonts w:ascii="Arial" w:hAnsi="Arial" w:cs="Arial"/>
          <w:sz w:val="18"/>
          <w:szCs w:val="18"/>
          <w:lang w:val="el-GR"/>
        </w:rPr>
        <w:t>.3 'Κέρδη πριν τη φορολογία και μη-επαναλαμβανόμενα στοιχεία'.</w:t>
      </w:r>
    </w:p>
    <w:p w14:paraId="1DDCDD23" w14:textId="77777777" w:rsidR="009D59F0" w:rsidRPr="00D41B36" w:rsidRDefault="009D59F0" w:rsidP="001D77B6">
      <w:pPr>
        <w:spacing w:after="0" w:line="240" w:lineRule="auto"/>
        <w:jc w:val="both"/>
        <w:rPr>
          <w:rFonts w:ascii="Arial" w:hAnsi="Arial" w:cs="Arial"/>
          <w:sz w:val="18"/>
          <w:szCs w:val="18"/>
          <w:highlight w:val="yellow"/>
          <w:lang w:val="el-GR"/>
        </w:rPr>
      </w:pPr>
    </w:p>
    <w:p w14:paraId="463A09D8" w14:textId="6584A06D" w:rsidR="00D969F0" w:rsidRPr="007246A9" w:rsidRDefault="00D969F0" w:rsidP="00B043BD">
      <w:pPr>
        <w:autoSpaceDE w:val="0"/>
        <w:autoSpaceDN w:val="0"/>
        <w:spacing w:after="0" w:line="360" w:lineRule="auto"/>
        <w:jc w:val="both"/>
        <w:rPr>
          <w:rFonts w:ascii="Arial" w:eastAsia="Times New Roman" w:hAnsi="Arial" w:cs="Arial"/>
          <w:b/>
          <w:bCs/>
          <w:color w:val="FF9900"/>
          <w:sz w:val="20"/>
          <w:lang w:val="el-GR" w:eastAsia="el-GR"/>
        </w:rPr>
      </w:pPr>
      <w:bookmarkStart w:id="14" w:name="_Hlk158712978"/>
      <w:bookmarkStart w:id="15" w:name="_Hlk150500804"/>
      <w:r w:rsidRPr="007246A9">
        <w:rPr>
          <w:rFonts w:ascii="Arial" w:eastAsia="Times New Roman" w:hAnsi="Arial" w:cs="Arial"/>
          <w:b/>
          <w:bCs/>
          <w:color w:val="FF9900"/>
          <w:sz w:val="20"/>
          <w:lang w:val="el-GR" w:eastAsia="el-GR"/>
        </w:rPr>
        <w:t>Μη Εξυπηρετούμενα Δάνεια (ΜΕΔ)</w:t>
      </w:r>
    </w:p>
    <w:bookmarkEnd w:id="14"/>
    <w:p w14:paraId="7CE88501" w14:textId="5865A9E8" w:rsidR="005A5D01" w:rsidRPr="007246A9" w:rsidRDefault="005A5D01" w:rsidP="005A5D01">
      <w:pPr>
        <w:spacing w:after="0" w:line="240" w:lineRule="auto"/>
        <w:jc w:val="both"/>
        <w:rPr>
          <w:rFonts w:ascii="Arial" w:hAnsi="Arial" w:cs="Arial"/>
          <w:sz w:val="18"/>
          <w:szCs w:val="18"/>
          <w:lang w:val="el-GR"/>
        </w:rPr>
      </w:pPr>
      <w:r w:rsidRPr="007246A9">
        <w:rPr>
          <w:rFonts w:ascii="Arial" w:eastAsia="Times New Roman" w:hAnsi="Arial" w:cs="Arial"/>
          <w:sz w:val="18"/>
          <w:lang w:val="el-GR" w:eastAsia="el-GR"/>
        </w:rPr>
        <w:t xml:space="preserve">Το περιβάλλον υψηλών επιτοκίων καθώς και </w:t>
      </w:r>
      <w:r w:rsidR="00630B4B">
        <w:rPr>
          <w:rFonts w:ascii="Arial" w:eastAsia="Times New Roman" w:hAnsi="Arial" w:cs="Arial"/>
          <w:sz w:val="18"/>
          <w:lang w:val="el-GR" w:eastAsia="el-GR"/>
        </w:rPr>
        <w:t>οι πληθωριστικές πιέσεις</w:t>
      </w:r>
      <w:r w:rsidRPr="007246A9">
        <w:rPr>
          <w:rFonts w:ascii="Arial" w:eastAsia="Times New Roman" w:hAnsi="Arial" w:cs="Arial"/>
          <w:sz w:val="18"/>
          <w:lang w:val="el-GR" w:eastAsia="el-GR"/>
        </w:rPr>
        <w:t xml:space="preserve"> αναμένεται να </w:t>
      </w:r>
      <w:r w:rsidR="00630B4B">
        <w:rPr>
          <w:rFonts w:ascii="Arial" w:eastAsia="Times New Roman" w:hAnsi="Arial" w:cs="Arial"/>
          <w:sz w:val="18"/>
          <w:lang w:val="el-GR" w:eastAsia="el-GR"/>
        </w:rPr>
        <w:t>επηρεάσουν</w:t>
      </w:r>
      <w:r w:rsidR="00630B4B" w:rsidRPr="007246A9">
        <w:rPr>
          <w:rFonts w:ascii="Arial" w:eastAsia="Times New Roman" w:hAnsi="Arial" w:cs="Arial"/>
          <w:sz w:val="18"/>
          <w:lang w:val="el-GR" w:eastAsia="el-GR"/>
        </w:rPr>
        <w:t xml:space="preserve"> </w:t>
      </w:r>
      <w:r w:rsidRPr="007246A9">
        <w:rPr>
          <w:rFonts w:ascii="Arial" w:eastAsia="Times New Roman" w:hAnsi="Arial" w:cs="Arial"/>
          <w:sz w:val="18"/>
          <w:lang w:val="el-GR" w:eastAsia="el-GR"/>
        </w:rPr>
        <w:t>τη συμπεριφορά των πελατών.</w:t>
      </w:r>
      <w:r w:rsidRPr="007246A9">
        <w:rPr>
          <w:rFonts w:ascii="Arial" w:hAnsi="Arial" w:cs="Arial"/>
          <w:sz w:val="18"/>
          <w:szCs w:val="18"/>
          <w:lang w:val="el-GR"/>
        </w:rPr>
        <w:t xml:space="preserve"> Παρά</w:t>
      </w:r>
      <w:r w:rsidR="00AF447F" w:rsidRPr="007246A9">
        <w:rPr>
          <w:rFonts w:ascii="Arial" w:hAnsi="Arial" w:cs="Arial"/>
          <w:sz w:val="18"/>
          <w:szCs w:val="18"/>
          <w:lang w:val="el-GR"/>
        </w:rPr>
        <w:t xml:space="preserve"> τα πιο πάνω, δεν υπάρχουν μέχρι σήμερα σημαντικές ενδείξεις της επιδείνωσης της ποιότητας του δανειακού χαρτοφυλακίου.</w:t>
      </w:r>
      <w:r w:rsidR="00B570CB">
        <w:rPr>
          <w:rFonts w:ascii="Arial" w:hAnsi="Arial" w:cs="Arial"/>
          <w:sz w:val="18"/>
          <w:szCs w:val="18"/>
          <w:lang w:val="el-GR"/>
        </w:rPr>
        <w:t xml:space="preserve"> </w:t>
      </w:r>
      <w:r w:rsidR="00AF447F" w:rsidRPr="007246A9">
        <w:rPr>
          <w:rFonts w:ascii="Arial" w:hAnsi="Arial" w:cs="Arial"/>
          <w:sz w:val="18"/>
          <w:szCs w:val="18"/>
          <w:lang w:val="el-GR"/>
        </w:rPr>
        <w:t xml:space="preserve">Παρά </w:t>
      </w:r>
      <w:r w:rsidRPr="007246A9">
        <w:rPr>
          <w:rFonts w:ascii="Arial" w:hAnsi="Arial" w:cs="Arial"/>
          <w:sz w:val="18"/>
          <w:szCs w:val="18"/>
          <w:lang w:val="el-GR"/>
        </w:rPr>
        <w:t>την περιορισμένη αθέτηση των πελατειακών υποχρεώσεων, η επιπρόσθετη παρακολούθηση και οι προβλέψεις σε τομείς και άτομα που είναι ευάλωτοι στο μακροοικονομικό περιβάλλον παραμένουν,</w:t>
      </w:r>
      <w:r w:rsidR="0012468B" w:rsidRPr="007246A9">
        <w:rPr>
          <w:rFonts w:ascii="Arial" w:hAnsi="Arial" w:cs="Arial"/>
          <w:sz w:val="18"/>
          <w:szCs w:val="18"/>
          <w:lang w:val="el-GR"/>
        </w:rPr>
        <w:t xml:space="preserve"> </w:t>
      </w:r>
      <w:r w:rsidRPr="007246A9">
        <w:rPr>
          <w:rFonts w:ascii="Arial" w:hAnsi="Arial" w:cs="Arial"/>
          <w:sz w:val="18"/>
          <w:szCs w:val="18"/>
          <w:lang w:val="el-GR"/>
        </w:rPr>
        <w:t xml:space="preserve">ούτως ώστε να διασφαλιστεί ότι πιθανές δυσκολίες στην αποπληρωμή εντοπίζονται έγκαιρα, και παρέχονται κατάλληλες λύσεις σε βιώσιμους πελάτες. </w:t>
      </w:r>
    </w:p>
    <w:bookmarkEnd w:id="15"/>
    <w:p w14:paraId="740E6A76" w14:textId="77777777" w:rsidR="00D022B5" w:rsidRPr="007246A9" w:rsidRDefault="00D022B5" w:rsidP="004953BA">
      <w:pPr>
        <w:autoSpaceDE w:val="0"/>
        <w:autoSpaceDN w:val="0"/>
        <w:spacing w:after="0" w:line="240" w:lineRule="auto"/>
        <w:jc w:val="both"/>
        <w:rPr>
          <w:rFonts w:ascii="Arial" w:hAnsi="Arial" w:cs="Arial"/>
          <w:b/>
          <w:bCs/>
          <w:sz w:val="18"/>
          <w:szCs w:val="18"/>
          <w:lang w:val="el-GR"/>
        </w:rPr>
      </w:pPr>
    </w:p>
    <w:p w14:paraId="64760E5C" w14:textId="7CECA887" w:rsidR="00F60E3F" w:rsidRPr="007246A9" w:rsidRDefault="00352599" w:rsidP="004953BA">
      <w:pPr>
        <w:autoSpaceDE w:val="0"/>
        <w:autoSpaceDN w:val="0"/>
        <w:spacing w:after="0" w:line="240" w:lineRule="auto"/>
        <w:jc w:val="both"/>
        <w:rPr>
          <w:rFonts w:ascii="Arial" w:hAnsi="Arial" w:cs="Arial"/>
          <w:b/>
          <w:sz w:val="18"/>
          <w:szCs w:val="18"/>
          <w:lang w:val="el-GR"/>
        </w:rPr>
      </w:pPr>
      <w:r w:rsidRPr="007246A9">
        <w:rPr>
          <w:rFonts w:ascii="Arial" w:hAnsi="Arial" w:cs="Arial"/>
          <w:b/>
          <w:bCs/>
          <w:sz w:val="18"/>
          <w:szCs w:val="18"/>
          <w:lang w:val="el-GR"/>
        </w:rPr>
        <w:t xml:space="preserve">Τα μη εξυπηρετούμενα δάνεια με βάση την Ευρωπαϊκή Αρχή Τραπεζών (ΜΕΔ) </w:t>
      </w:r>
      <w:r w:rsidR="00F60E3F" w:rsidRPr="007246A9">
        <w:rPr>
          <w:rFonts w:ascii="Arial" w:hAnsi="Arial" w:cs="Arial"/>
          <w:sz w:val="18"/>
          <w:szCs w:val="18"/>
          <w:lang w:val="el-GR"/>
        </w:rPr>
        <w:t xml:space="preserve">μειώθηκαν </w:t>
      </w:r>
      <w:r w:rsidR="00EC685B">
        <w:rPr>
          <w:rFonts w:ascii="Arial" w:hAnsi="Arial" w:cs="Arial"/>
          <w:sz w:val="18"/>
          <w:szCs w:val="18"/>
          <w:lang w:val="el-GR"/>
        </w:rPr>
        <w:t xml:space="preserve">οργανικά </w:t>
      </w:r>
      <w:r w:rsidRPr="00850F8B">
        <w:rPr>
          <w:rFonts w:ascii="Arial" w:hAnsi="Arial" w:cs="Arial"/>
          <w:sz w:val="18"/>
          <w:szCs w:val="18"/>
          <w:lang w:val="el-GR"/>
        </w:rPr>
        <w:t>κατά €</w:t>
      </w:r>
      <w:r w:rsidR="00850F8B" w:rsidRPr="00502B4F">
        <w:rPr>
          <w:rFonts w:ascii="Arial" w:eastAsia="Times New Roman" w:hAnsi="Arial" w:cs="Arial"/>
          <w:bCs/>
          <w:sz w:val="18"/>
          <w:szCs w:val="20"/>
          <w:lang w:val="el-GR" w:eastAsia="el-GR"/>
        </w:rPr>
        <w:t>20</w:t>
      </w:r>
      <w:r w:rsidR="00850F8B" w:rsidRPr="00850F8B">
        <w:rPr>
          <w:rFonts w:ascii="Arial" w:eastAsia="Times New Roman" w:hAnsi="Arial" w:cs="Arial"/>
          <w:bCs/>
          <w:sz w:val="18"/>
          <w:szCs w:val="20"/>
          <w:lang w:val="el-GR" w:eastAsia="el-GR"/>
        </w:rPr>
        <w:t xml:space="preserve"> </w:t>
      </w:r>
      <w:r w:rsidRPr="00850F8B">
        <w:rPr>
          <w:rFonts w:ascii="Arial" w:hAnsi="Arial" w:cs="Arial"/>
          <w:sz w:val="18"/>
          <w:szCs w:val="18"/>
          <w:lang w:val="el-GR"/>
        </w:rPr>
        <w:t>εκατ.,</w:t>
      </w:r>
      <w:r w:rsidR="00B60BB8" w:rsidRPr="00850F8B">
        <w:rPr>
          <w:rFonts w:ascii="Arial" w:hAnsi="Arial" w:cs="Arial"/>
          <w:sz w:val="18"/>
          <w:szCs w:val="18"/>
          <w:lang w:val="el-GR"/>
        </w:rPr>
        <w:t xml:space="preserve"> </w:t>
      </w:r>
      <w:r w:rsidRPr="00850F8B">
        <w:rPr>
          <w:rFonts w:ascii="Arial" w:hAnsi="Arial" w:cs="Arial"/>
          <w:sz w:val="18"/>
          <w:szCs w:val="18"/>
          <w:lang w:val="el-GR"/>
        </w:rPr>
        <w:t xml:space="preserve">ή </w:t>
      </w:r>
      <w:r w:rsidR="00850F8B" w:rsidRPr="00502B4F">
        <w:rPr>
          <w:rFonts w:ascii="Arial" w:eastAsia="Times New Roman" w:hAnsi="Arial" w:cs="Arial"/>
          <w:bCs/>
          <w:sz w:val="18"/>
          <w:szCs w:val="20"/>
          <w:lang w:val="el-GR" w:eastAsia="el-GR"/>
        </w:rPr>
        <w:t>7</w:t>
      </w:r>
      <w:r w:rsidRPr="00850F8B">
        <w:rPr>
          <w:rFonts w:ascii="Arial" w:hAnsi="Arial" w:cs="Arial"/>
          <w:sz w:val="18"/>
          <w:szCs w:val="18"/>
          <w:lang w:val="el-GR"/>
        </w:rPr>
        <w:t>%</w:t>
      </w:r>
      <w:r w:rsidR="00296055" w:rsidRPr="00850F8B">
        <w:rPr>
          <w:rFonts w:ascii="Arial" w:hAnsi="Arial" w:cs="Arial"/>
          <w:sz w:val="18"/>
          <w:szCs w:val="18"/>
          <w:lang w:val="el-GR"/>
        </w:rPr>
        <w:t xml:space="preserve"> </w:t>
      </w:r>
      <w:r w:rsidRPr="00850F8B">
        <w:rPr>
          <w:rFonts w:ascii="Arial" w:hAnsi="Arial" w:cs="Arial"/>
          <w:sz w:val="18"/>
          <w:szCs w:val="18"/>
          <w:lang w:val="el-GR"/>
        </w:rPr>
        <w:t xml:space="preserve">κατά το </w:t>
      </w:r>
      <w:r w:rsidR="0012468B" w:rsidRPr="00850F8B">
        <w:rPr>
          <w:rFonts w:ascii="Arial" w:hAnsi="Arial" w:cs="Arial"/>
          <w:sz w:val="18"/>
          <w:szCs w:val="18"/>
          <w:lang w:val="el-GR"/>
        </w:rPr>
        <w:t xml:space="preserve">γ’ </w:t>
      </w:r>
      <w:r w:rsidRPr="00850F8B">
        <w:rPr>
          <w:rFonts w:ascii="Arial" w:hAnsi="Arial" w:cs="Arial"/>
          <w:sz w:val="18"/>
          <w:szCs w:val="18"/>
          <w:lang w:val="el-GR"/>
        </w:rPr>
        <w:t xml:space="preserve">τρίμηνο </w:t>
      </w:r>
      <w:r w:rsidR="00F60E3F" w:rsidRPr="00850F8B">
        <w:rPr>
          <w:rFonts w:ascii="Arial" w:hAnsi="Arial" w:cs="Arial"/>
          <w:sz w:val="18"/>
          <w:szCs w:val="18"/>
          <w:lang w:val="el-GR"/>
        </w:rPr>
        <w:t>2024</w:t>
      </w:r>
      <w:r w:rsidRPr="00850F8B">
        <w:rPr>
          <w:rFonts w:ascii="Arial" w:hAnsi="Arial" w:cs="Arial"/>
          <w:sz w:val="18"/>
          <w:szCs w:val="18"/>
          <w:lang w:val="el-GR"/>
        </w:rPr>
        <w:t xml:space="preserve">, σε σύγκριση με </w:t>
      </w:r>
      <w:r w:rsidR="000B2CEC" w:rsidRPr="00850F8B">
        <w:rPr>
          <w:rFonts w:ascii="Arial" w:eastAsia="Times New Roman" w:hAnsi="Arial" w:cs="Arial"/>
          <w:bCs/>
          <w:sz w:val="18"/>
          <w:szCs w:val="20"/>
          <w:lang w:val="el-GR" w:eastAsia="el-GR"/>
        </w:rPr>
        <w:t xml:space="preserve">καθαρή </w:t>
      </w:r>
      <w:r w:rsidR="00AF447F" w:rsidRPr="00850F8B">
        <w:rPr>
          <w:rFonts w:ascii="Arial" w:eastAsia="Times New Roman" w:hAnsi="Arial" w:cs="Arial"/>
          <w:bCs/>
          <w:sz w:val="18"/>
          <w:szCs w:val="20"/>
          <w:lang w:val="el-GR" w:eastAsia="el-GR"/>
        </w:rPr>
        <w:t xml:space="preserve">μείωση </w:t>
      </w:r>
      <w:r w:rsidR="000B2CEC" w:rsidRPr="00850F8B">
        <w:rPr>
          <w:rFonts w:ascii="Arial" w:eastAsia="Times New Roman" w:hAnsi="Arial" w:cs="Arial"/>
          <w:bCs/>
          <w:sz w:val="18"/>
          <w:szCs w:val="20"/>
          <w:lang w:val="el-GR" w:eastAsia="el-GR"/>
        </w:rPr>
        <w:t xml:space="preserve">ΜΕΔ ύψους </w:t>
      </w:r>
      <w:r w:rsidR="00AF447F" w:rsidRPr="00850F8B">
        <w:rPr>
          <w:rFonts w:ascii="Arial" w:hAnsi="Arial" w:cs="Arial"/>
          <w:sz w:val="18"/>
          <w:szCs w:val="18"/>
          <w:lang w:val="el-GR"/>
        </w:rPr>
        <w:t>€</w:t>
      </w:r>
      <w:r w:rsidR="0012468B" w:rsidRPr="00850F8B">
        <w:rPr>
          <w:rFonts w:ascii="Arial" w:eastAsia="Times New Roman" w:hAnsi="Arial" w:cs="Arial"/>
          <w:bCs/>
          <w:sz w:val="18"/>
          <w:szCs w:val="20"/>
          <w:lang w:val="el-GR" w:eastAsia="el-GR"/>
        </w:rPr>
        <w:t xml:space="preserve">53 </w:t>
      </w:r>
      <w:r w:rsidR="00AF447F" w:rsidRPr="00850F8B">
        <w:rPr>
          <w:rFonts w:ascii="Arial" w:hAnsi="Arial" w:cs="Arial"/>
          <w:sz w:val="18"/>
          <w:szCs w:val="18"/>
          <w:lang w:val="el-GR"/>
        </w:rPr>
        <w:t>εκατ</w:t>
      </w:r>
      <w:r w:rsidR="00AF447F" w:rsidRPr="00850F8B">
        <w:rPr>
          <w:rFonts w:ascii="Arial" w:eastAsia="Times New Roman" w:hAnsi="Arial" w:cs="Arial"/>
          <w:bCs/>
          <w:sz w:val="18"/>
          <w:szCs w:val="20"/>
          <w:lang w:val="el-GR" w:eastAsia="el-GR"/>
        </w:rPr>
        <w:t xml:space="preserve">. κατά το </w:t>
      </w:r>
      <w:r w:rsidR="0012468B" w:rsidRPr="00850F8B">
        <w:rPr>
          <w:rFonts w:ascii="Arial" w:eastAsia="Times New Roman" w:hAnsi="Arial" w:cs="Arial"/>
          <w:bCs/>
          <w:sz w:val="18"/>
          <w:szCs w:val="20"/>
          <w:lang w:val="el-GR" w:eastAsia="el-GR"/>
        </w:rPr>
        <w:t>β</w:t>
      </w:r>
      <w:r w:rsidR="00AF447F" w:rsidRPr="00850F8B">
        <w:rPr>
          <w:rFonts w:ascii="Arial" w:eastAsia="Times New Roman" w:hAnsi="Arial" w:cs="Arial"/>
          <w:bCs/>
          <w:sz w:val="18"/>
          <w:szCs w:val="20"/>
          <w:lang w:val="el-GR" w:eastAsia="el-GR"/>
        </w:rPr>
        <w:t>΄ τρίμηνο 2024</w:t>
      </w:r>
      <w:r w:rsidR="000E5BC5" w:rsidRPr="00850F8B">
        <w:rPr>
          <w:rFonts w:ascii="Arial" w:eastAsia="Times New Roman" w:hAnsi="Arial" w:cs="Arial"/>
          <w:bCs/>
          <w:sz w:val="18"/>
          <w:szCs w:val="20"/>
          <w:lang w:val="el-GR" w:eastAsia="el-GR"/>
        </w:rPr>
        <w:t xml:space="preserve">, </w:t>
      </w:r>
      <w:r w:rsidRPr="00850F8B">
        <w:rPr>
          <w:rFonts w:ascii="Arial" w:hAnsi="Arial" w:cs="Arial"/>
          <w:sz w:val="18"/>
          <w:szCs w:val="18"/>
          <w:lang w:val="el-GR"/>
        </w:rPr>
        <w:t>σε €</w:t>
      </w:r>
      <w:r w:rsidR="00850F8B" w:rsidRPr="00502B4F">
        <w:rPr>
          <w:rFonts w:ascii="Arial" w:eastAsia="Times New Roman" w:hAnsi="Arial" w:cs="Arial"/>
          <w:bCs/>
          <w:sz w:val="18"/>
          <w:szCs w:val="20"/>
          <w:lang w:val="el-GR" w:eastAsia="el-GR"/>
        </w:rPr>
        <w:t xml:space="preserve">274 </w:t>
      </w:r>
      <w:r w:rsidRPr="00850F8B">
        <w:rPr>
          <w:rFonts w:ascii="Arial" w:hAnsi="Arial" w:cs="Arial"/>
          <w:sz w:val="18"/>
          <w:szCs w:val="18"/>
          <w:lang w:val="el-GR"/>
        </w:rPr>
        <w:t xml:space="preserve">εκατ. στις </w:t>
      </w:r>
      <w:r w:rsidR="00AF447F" w:rsidRPr="00850F8B">
        <w:rPr>
          <w:rFonts w:ascii="Arial" w:hAnsi="Arial" w:cs="Arial"/>
          <w:sz w:val="18"/>
          <w:szCs w:val="18"/>
          <w:lang w:val="el-GR"/>
        </w:rPr>
        <w:t xml:space="preserve">30 </w:t>
      </w:r>
      <w:r w:rsidR="0012468B" w:rsidRPr="00850F8B">
        <w:rPr>
          <w:rFonts w:ascii="Arial" w:hAnsi="Arial" w:cs="Arial"/>
          <w:sz w:val="18"/>
          <w:lang w:val="el-GR" w:eastAsia="el-GR"/>
        </w:rPr>
        <w:t xml:space="preserve">Σεπτεμβρίου </w:t>
      </w:r>
      <w:r w:rsidR="00F60E3F" w:rsidRPr="00850F8B">
        <w:rPr>
          <w:rFonts w:ascii="Arial" w:hAnsi="Arial" w:cs="Arial"/>
          <w:sz w:val="18"/>
          <w:szCs w:val="18"/>
          <w:lang w:val="el-GR"/>
        </w:rPr>
        <w:t xml:space="preserve">2024 </w:t>
      </w:r>
      <w:r w:rsidRPr="00850F8B">
        <w:rPr>
          <w:rFonts w:ascii="Arial" w:hAnsi="Arial" w:cs="Arial"/>
          <w:sz w:val="18"/>
          <w:szCs w:val="18"/>
          <w:lang w:val="el-GR"/>
        </w:rPr>
        <w:t>(σε σύγκριση με</w:t>
      </w:r>
      <w:r w:rsidR="00AF447F" w:rsidRPr="00850F8B">
        <w:rPr>
          <w:rFonts w:ascii="Arial" w:hAnsi="Arial" w:cs="Arial"/>
          <w:sz w:val="18"/>
          <w:szCs w:val="18"/>
          <w:lang w:val="el-GR"/>
        </w:rPr>
        <w:t xml:space="preserve"> </w:t>
      </w:r>
      <w:r w:rsidR="00272164" w:rsidRPr="00850F8B">
        <w:rPr>
          <w:rFonts w:ascii="Arial" w:hAnsi="Arial" w:cs="Arial"/>
          <w:sz w:val="18"/>
          <w:szCs w:val="18"/>
          <w:lang w:val="el-GR"/>
        </w:rPr>
        <w:t>€</w:t>
      </w:r>
      <w:r w:rsidR="0012468B" w:rsidRPr="00850F8B">
        <w:rPr>
          <w:rFonts w:ascii="Arial" w:eastAsia="Times New Roman" w:hAnsi="Arial" w:cs="Arial"/>
          <w:bCs/>
          <w:sz w:val="18"/>
          <w:szCs w:val="20"/>
          <w:lang w:val="el-GR" w:eastAsia="el-GR"/>
        </w:rPr>
        <w:t xml:space="preserve">294 </w:t>
      </w:r>
      <w:r w:rsidR="00AF447F" w:rsidRPr="00850F8B">
        <w:rPr>
          <w:rFonts w:ascii="Arial" w:hAnsi="Arial" w:cs="Arial"/>
          <w:sz w:val="18"/>
          <w:szCs w:val="18"/>
          <w:lang w:val="el-GR"/>
        </w:rPr>
        <w:t xml:space="preserve">εκατ. στις </w:t>
      </w:r>
      <w:r w:rsidR="0012468B" w:rsidRPr="00850F8B">
        <w:rPr>
          <w:rFonts w:ascii="Arial" w:hAnsi="Arial" w:cs="Arial"/>
          <w:sz w:val="18"/>
          <w:szCs w:val="18"/>
          <w:lang w:val="el-GR"/>
        </w:rPr>
        <w:t xml:space="preserve">30 </w:t>
      </w:r>
      <w:r w:rsidR="0012468B" w:rsidRPr="00850F8B">
        <w:rPr>
          <w:rFonts w:ascii="Arial" w:hAnsi="Arial" w:cs="Arial"/>
          <w:sz w:val="18"/>
          <w:lang w:val="el-GR" w:eastAsia="el-GR"/>
        </w:rPr>
        <w:t xml:space="preserve">Ιουνίου </w:t>
      </w:r>
      <w:r w:rsidR="0012468B" w:rsidRPr="00850F8B">
        <w:rPr>
          <w:rFonts w:ascii="Arial" w:hAnsi="Arial" w:cs="Arial"/>
          <w:sz w:val="18"/>
          <w:szCs w:val="18"/>
          <w:lang w:val="el-GR"/>
        </w:rPr>
        <w:t xml:space="preserve">2024 </w:t>
      </w:r>
      <w:r w:rsidR="00AF447F" w:rsidRPr="00850F8B">
        <w:rPr>
          <w:rFonts w:ascii="Arial" w:hAnsi="Arial" w:cs="Arial"/>
          <w:sz w:val="18"/>
          <w:szCs w:val="18"/>
          <w:lang w:val="el-GR"/>
        </w:rPr>
        <w:t xml:space="preserve">και με </w:t>
      </w:r>
      <w:r w:rsidR="00B60BB8" w:rsidRPr="00850F8B">
        <w:rPr>
          <w:rFonts w:ascii="Arial" w:hAnsi="Arial" w:cs="Arial"/>
          <w:sz w:val="18"/>
          <w:szCs w:val="18"/>
          <w:lang w:val="el-GR"/>
        </w:rPr>
        <w:t>€</w:t>
      </w:r>
      <w:r w:rsidR="00F60E3F" w:rsidRPr="00850F8B">
        <w:rPr>
          <w:rFonts w:ascii="Arial" w:eastAsia="Times New Roman" w:hAnsi="Arial" w:cs="Arial"/>
          <w:bCs/>
          <w:sz w:val="18"/>
          <w:szCs w:val="20"/>
          <w:lang w:val="el-GR" w:eastAsia="el-GR"/>
        </w:rPr>
        <w:t xml:space="preserve">365 </w:t>
      </w:r>
      <w:r w:rsidR="00B60BB8" w:rsidRPr="00850F8B">
        <w:rPr>
          <w:rFonts w:ascii="Arial" w:hAnsi="Arial" w:cs="Arial"/>
          <w:sz w:val="18"/>
          <w:szCs w:val="18"/>
          <w:lang w:val="el-GR"/>
        </w:rPr>
        <w:t xml:space="preserve">εκατ. στις </w:t>
      </w:r>
      <w:r w:rsidR="00F60E3F" w:rsidRPr="00850F8B">
        <w:rPr>
          <w:rFonts w:ascii="Arial" w:hAnsi="Arial" w:cs="Arial"/>
          <w:sz w:val="18"/>
          <w:szCs w:val="18"/>
          <w:lang w:val="el-GR"/>
        </w:rPr>
        <w:t xml:space="preserve">31 Δεκεμβρίου </w:t>
      </w:r>
      <w:r w:rsidR="00475152" w:rsidRPr="00850F8B">
        <w:rPr>
          <w:rFonts w:ascii="Arial" w:hAnsi="Arial" w:cs="Arial"/>
          <w:sz w:val="18"/>
          <w:szCs w:val="18"/>
          <w:lang w:val="el-GR"/>
        </w:rPr>
        <w:t>2023</w:t>
      </w:r>
      <w:r w:rsidR="000E5BC5" w:rsidRPr="00850F8B">
        <w:rPr>
          <w:rFonts w:ascii="Arial" w:hAnsi="Arial" w:cs="Arial"/>
          <w:sz w:val="18"/>
          <w:szCs w:val="18"/>
          <w:lang w:val="el-GR"/>
        </w:rPr>
        <w:t>)</w:t>
      </w:r>
      <w:r w:rsidR="00F60E3F" w:rsidRPr="00850F8B">
        <w:rPr>
          <w:rFonts w:ascii="Arial" w:hAnsi="Arial" w:cs="Arial"/>
          <w:sz w:val="18"/>
          <w:szCs w:val="18"/>
          <w:lang w:val="el-GR"/>
        </w:rPr>
        <w:t>.</w:t>
      </w:r>
    </w:p>
    <w:p w14:paraId="0A66CA8D" w14:textId="77777777" w:rsidR="00E25C49" w:rsidRPr="007246A9" w:rsidRDefault="00E25C49" w:rsidP="001D77B6">
      <w:pPr>
        <w:autoSpaceDE w:val="0"/>
        <w:autoSpaceDN w:val="0"/>
        <w:spacing w:after="0" w:line="240" w:lineRule="auto"/>
        <w:jc w:val="both"/>
        <w:rPr>
          <w:rFonts w:ascii="Arial" w:hAnsi="Arial" w:cs="Arial"/>
          <w:sz w:val="18"/>
          <w:szCs w:val="18"/>
          <w:lang w:val="el-GR"/>
        </w:rPr>
      </w:pPr>
    </w:p>
    <w:p w14:paraId="6E944BEF" w14:textId="3477B4B3" w:rsidR="00E771D9" w:rsidRPr="007246A9" w:rsidRDefault="00352599" w:rsidP="001D77B6">
      <w:pPr>
        <w:autoSpaceDE w:val="0"/>
        <w:autoSpaceDN w:val="0"/>
        <w:spacing w:after="0" w:line="240" w:lineRule="auto"/>
        <w:jc w:val="both"/>
        <w:rPr>
          <w:rFonts w:ascii="Arial" w:hAnsi="Arial" w:cs="Arial"/>
          <w:sz w:val="18"/>
          <w:szCs w:val="18"/>
          <w:lang w:val="el-GR"/>
        </w:rPr>
      </w:pPr>
      <w:r w:rsidRPr="007246A9">
        <w:rPr>
          <w:rFonts w:ascii="Arial" w:hAnsi="Arial" w:cs="Arial"/>
          <w:sz w:val="18"/>
          <w:szCs w:val="18"/>
          <w:lang w:val="el-GR"/>
        </w:rPr>
        <w:t xml:space="preserve">Ως αποτέλεσμα, τα ΜΕΔ </w:t>
      </w:r>
      <w:r w:rsidR="0059202E" w:rsidRPr="00850F8B">
        <w:rPr>
          <w:rFonts w:ascii="Arial" w:hAnsi="Arial" w:cs="Arial"/>
          <w:sz w:val="18"/>
          <w:szCs w:val="18"/>
          <w:lang w:val="el-GR"/>
        </w:rPr>
        <w:t>μειώθηκαν στο</w:t>
      </w:r>
      <w:r w:rsidR="00F66142" w:rsidRPr="00850F8B">
        <w:rPr>
          <w:rFonts w:ascii="Arial" w:eastAsia="Times New Roman" w:hAnsi="Arial" w:cs="Arial"/>
          <w:sz w:val="18"/>
          <w:szCs w:val="20"/>
          <w:lang w:val="el-GR" w:eastAsia="el-GR"/>
        </w:rPr>
        <w:t xml:space="preserve"> </w:t>
      </w:r>
      <w:r w:rsidR="00850F8B" w:rsidRPr="00502B4F">
        <w:rPr>
          <w:rFonts w:ascii="Arial" w:eastAsia="Times New Roman" w:hAnsi="Arial" w:cs="Arial"/>
          <w:sz w:val="18"/>
          <w:szCs w:val="20"/>
          <w:lang w:val="el-GR" w:eastAsia="el-GR"/>
        </w:rPr>
        <w:t>2.7</w:t>
      </w:r>
      <w:r w:rsidRPr="00850F8B">
        <w:rPr>
          <w:rFonts w:ascii="Arial" w:hAnsi="Arial" w:cs="Arial"/>
          <w:sz w:val="18"/>
          <w:szCs w:val="18"/>
          <w:lang w:val="el-GR"/>
        </w:rPr>
        <w:t xml:space="preserve">% του συνόλου των δανείων στις </w:t>
      </w:r>
      <w:r w:rsidR="00AF447F" w:rsidRPr="00850F8B">
        <w:rPr>
          <w:rFonts w:ascii="Arial" w:hAnsi="Arial" w:cs="Arial"/>
          <w:sz w:val="18"/>
          <w:szCs w:val="18"/>
          <w:lang w:val="el-GR"/>
        </w:rPr>
        <w:t xml:space="preserve">30 </w:t>
      </w:r>
      <w:r w:rsidR="0012468B" w:rsidRPr="00850F8B">
        <w:rPr>
          <w:rFonts w:ascii="Arial" w:hAnsi="Arial" w:cs="Arial"/>
          <w:sz w:val="18"/>
          <w:lang w:val="el-GR" w:eastAsia="el-GR"/>
        </w:rPr>
        <w:t xml:space="preserve">Σεπτεμβρίου </w:t>
      </w:r>
      <w:r w:rsidR="00E771D9" w:rsidRPr="00850F8B">
        <w:rPr>
          <w:rFonts w:ascii="Arial" w:hAnsi="Arial" w:cs="Arial"/>
          <w:sz w:val="18"/>
          <w:szCs w:val="18"/>
          <w:lang w:val="el-GR"/>
        </w:rPr>
        <w:t>2024</w:t>
      </w:r>
      <w:r w:rsidRPr="00850F8B">
        <w:rPr>
          <w:rFonts w:ascii="Arial" w:hAnsi="Arial" w:cs="Arial"/>
          <w:sz w:val="18"/>
          <w:szCs w:val="18"/>
          <w:lang w:val="el-GR"/>
        </w:rPr>
        <w:t xml:space="preserve">, σε σύγκριση με </w:t>
      </w:r>
      <w:r w:rsidR="0012468B" w:rsidRPr="00850F8B">
        <w:rPr>
          <w:rFonts w:ascii="Arial" w:eastAsia="Times New Roman" w:hAnsi="Arial" w:cs="Arial"/>
          <w:sz w:val="18"/>
          <w:szCs w:val="20"/>
          <w:lang w:val="el-GR" w:eastAsia="el-GR"/>
        </w:rPr>
        <w:t xml:space="preserve">2.8% </w:t>
      </w:r>
      <w:r w:rsidR="00AF447F" w:rsidRPr="00850F8B">
        <w:rPr>
          <w:rFonts w:ascii="Arial" w:hAnsi="Arial" w:cs="Arial"/>
          <w:sz w:val="18"/>
          <w:szCs w:val="18"/>
          <w:lang w:val="el-GR"/>
        </w:rPr>
        <w:t xml:space="preserve">στις </w:t>
      </w:r>
      <w:r w:rsidR="0012468B" w:rsidRPr="00850F8B">
        <w:rPr>
          <w:rFonts w:ascii="Arial" w:hAnsi="Arial" w:cs="Arial"/>
          <w:sz w:val="18"/>
          <w:szCs w:val="18"/>
          <w:lang w:val="el-GR"/>
        </w:rPr>
        <w:t xml:space="preserve">30 </w:t>
      </w:r>
      <w:r w:rsidR="0012468B" w:rsidRPr="00850F8B">
        <w:rPr>
          <w:rFonts w:ascii="Arial" w:hAnsi="Arial" w:cs="Arial"/>
          <w:sz w:val="18"/>
          <w:lang w:val="el-GR" w:eastAsia="el-GR"/>
        </w:rPr>
        <w:t xml:space="preserve">Ιουνίου </w:t>
      </w:r>
      <w:r w:rsidR="0012468B" w:rsidRPr="00850F8B">
        <w:rPr>
          <w:rFonts w:ascii="Arial" w:hAnsi="Arial" w:cs="Arial"/>
          <w:sz w:val="18"/>
          <w:szCs w:val="18"/>
          <w:lang w:val="el-GR"/>
        </w:rPr>
        <w:t xml:space="preserve">2024 </w:t>
      </w:r>
      <w:r w:rsidR="00AF447F" w:rsidRPr="00850F8B">
        <w:rPr>
          <w:rFonts w:ascii="Arial" w:hAnsi="Arial" w:cs="Arial"/>
          <w:sz w:val="18"/>
          <w:szCs w:val="18"/>
          <w:lang w:val="el-GR"/>
        </w:rPr>
        <w:t xml:space="preserve">και με </w:t>
      </w:r>
      <w:r w:rsidR="00475152" w:rsidRPr="00850F8B">
        <w:rPr>
          <w:rFonts w:ascii="Arial" w:hAnsi="Arial" w:cs="Arial"/>
          <w:sz w:val="18"/>
          <w:szCs w:val="18"/>
          <w:lang w:val="el-GR"/>
        </w:rPr>
        <w:t>3.</w:t>
      </w:r>
      <w:r w:rsidR="00E771D9" w:rsidRPr="00850F8B">
        <w:rPr>
          <w:rFonts w:ascii="Arial" w:hAnsi="Arial" w:cs="Arial"/>
          <w:sz w:val="18"/>
          <w:szCs w:val="18"/>
          <w:lang w:val="el-GR"/>
        </w:rPr>
        <w:t>6</w:t>
      </w:r>
      <w:r w:rsidR="00475152" w:rsidRPr="00850F8B">
        <w:rPr>
          <w:rFonts w:ascii="Arial" w:hAnsi="Arial" w:cs="Arial"/>
          <w:sz w:val="18"/>
          <w:szCs w:val="18"/>
          <w:lang w:val="el-GR"/>
        </w:rPr>
        <w:t xml:space="preserve">% </w:t>
      </w:r>
      <w:r w:rsidR="000B2CEC" w:rsidRPr="00850F8B">
        <w:rPr>
          <w:rFonts w:ascii="Arial" w:hAnsi="Arial" w:cs="Arial"/>
          <w:sz w:val="18"/>
          <w:szCs w:val="18"/>
          <w:lang w:val="el-GR"/>
        </w:rPr>
        <w:t xml:space="preserve">στις </w:t>
      </w:r>
      <w:r w:rsidR="00E771D9" w:rsidRPr="00850F8B">
        <w:rPr>
          <w:rFonts w:ascii="Arial" w:hAnsi="Arial" w:cs="Arial"/>
          <w:sz w:val="18"/>
          <w:szCs w:val="18"/>
          <w:lang w:val="el-GR"/>
        </w:rPr>
        <w:t xml:space="preserve">31 Δεκεμβρίου </w:t>
      </w:r>
      <w:r w:rsidR="00D969F0" w:rsidRPr="00850F8B">
        <w:rPr>
          <w:rFonts w:ascii="Arial" w:hAnsi="Arial" w:cs="Arial"/>
          <w:sz w:val="18"/>
          <w:szCs w:val="18"/>
          <w:lang w:val="el-GR"/>
        </w:rPr>
        <w:t>2023</w:t>
      </w:r>
      <w:r w:rsidR="00E771D9" w:rsidRPr="00850F8B">
        <w:rPr>
          <w:rFonts w:ascii="Arial" w:hAnsi="Arial" w:cs="Arial"/>
          <w:sz w:val="18"/>
          <w:szCs w:val="18"/>
          <w:lang w:val="el-GR"/>
        </w:rPr>
        <w:t>.</w:t>
      </w:r>
    </w:p>
    <w:p w14:paraId="348604ED" w14:textId="77777777" w:rsidR="00352599" w:rsidRPr="007246A9" w:rsidRDefault="00352599" w:rsidP="001D77B6">
      <w:pPr>
        <w:autoSpaceDE w:val="0"/>
        <w:autoSpaceDN w:val="0"/>
        <w:spacing w:after="0" w:line="240" w:lineRule="auto"/>
        <w:jc w:val="both"/>
        <w:rPr>
          <w:rFonts w:ascii="Arial" w:hAnsi="Arial" w:cs="Arial"/>
          <w:sz w:val="18"/>
          <w:szCs w:val="18"/>
          <w:lang w:val="el-GR"/>
        </w:rPr>
      </w:pPr>
    </w:p>
    <w:p w14:paraId="736E29D0" w14:textId="6F5C1044" w:rsidR="001E1E65" w:rsidRPr="00850F8B" w:rsidRDefault="00352599" w:rsidP="001E1E65">
      <w:pPr>
        <w:spacing w:after="0" w:line="240" w:lineRule="auto"/>
        <w:jc w:val="both"/>
        <w:rPr>
          <w:rFonts w:ascii="Arial" w:hAnsi="Arial" w:cs="Arial"/>
          <w:sz w:val="18"/>
          <w:szCs w:val="18"/>
          <w:lang w:val="el-GR"/>
        </w:rPr>
      </w:pPr>
      <w:r w:rsidRPr="007246A9">
        <w:rPr>
          <w:rFonts w:ascii="Arial" w:hAnsi="Arial" w:cs="Arial"/>
          <w:sz w:val="18"/>
          <w:szCs w:val="18"/>
          <w:lang w:val="el-GR"/>
        </w:rPr>
        <w:t xml:space="preserve">Το ποσοστό </w:t>
      </w:r>
      <w:r w:rsidRPr="00850F8B">
        <w:rPr>
          <w:rFonts w:ascii="Arial" w:hAnsi="Arial" w:cs="Arial"/>
          <w:sz w:val="18"/>
          <w:szCs w:val="18"/>
          <w:lang w:val="el-GR"/>
        </w:rPr>
        <w:t xml:space="preserve">κάλυψης των ΜΕΔ ανέρχεται σε </w:t>
      </w:r>
      <w:r w:rsidR="00850F8B" w:rsidRPr="00502B4F">
        <w:rPr>
          <w:rFonts w:ascii="Arial" w:eastAsia="Times New Roman" w:hAnsi="Arial" w:cs="Arial"/>
          <w:sz w:val="18"/>
          <w:szCs w:val="20"/>
          <w:lang w:val="el-GR" w:eastAsia="el-GR"/>
        </w:rPr>
        <w:t>92</w:t>
      </w:r>
      <w:r w:rsidRPr="00850F8B">
        <w:rPr>
          <w:rFonts w:ascii="Arial" w:hAnsi="Arial" w:cs="Arial"/>
          <w:sz w:val="18"/>
          <w:szCs w:val="18"/>
          <w:lang w:val="el-GR"/>
        </w:rPr>
        <w:t xml:space="preserve">% στις </w:t>
      </w:r>
      <w:r w:rsidR="00AF447F" w:rsidRPr="00850F8B">
        <w:rPr>
          <w:rFonts w:ascii="Arial" w:hAnsi="Arial" w:cs="Arial"/>
          <w:sz w:val="18"/>
          <w:szCs w:val="18"/>
          <w:lang w:val="el-GR"/>
        </w:rPr>
        <w:t xml:space="preserve">30 </w:t>
      </w:r>
      <w:r w:rsidR="0012468B" w:rsidRPr="00850F8B">
        <w:rPr>
          <w:rFonts w:ascii="Arial" w:hAnsi="Arial" w:cs="Arial"/>
          <w:sz w:val="18"/>
          <w:lang w:val="el-GR" w:eastAsia="el-GR"/>
        </w:rPr>
        <w:t xml:space="preserve">Σεπτεμβρίου </w:t>
      </w:r>
      <w:r w:rsidR="00AF447F" w:rsidRPr="00850F8B">
        <w:rPr>
          <w:rFonts w:ascii="Arial" w:hAnsi="Arial" w:cs="Arial"/>
          <w:sz w:val="18"/>
          <w:szCs w:val="18"/>
          <w:lang w:val="el-GR"/>
        </w:rPr>
        <w:t>2024</w:t>
      </w:r>
      <w:r w:rsidRPr="00850F8B">
        <w:rPr>
          <w:rFonts w:ascii="Arial" w:hAnsi="Arial" w:cs="Arial"/>
          <w:sz w:val="18"/>
          <w:szCs w:val="18"/>
          <w:lang w:val="el-GR"/>
        </w:rPr>
        <w:t>, σε σύγκριση</w:t>
      </w:r>
      <w:r w:rsidR="000B2CEC" w:rsidRPr="00850F8B">
        <w:rPr>
          <w:rFonts w:ascii="Arial" w:hAnsi="Arial" w:cs="Arial"/>
          <w:sz w:val="18"/>
          <w:szCs w:val="18"/>
          <w:lang w:val="el-GR"/>
        </w:rPr>
        <w:t xml:space="preserve"> με</w:t>
      </w:r>
      <w:r w:rsidRPr="00850F8B">
        <w:rPr>
          <w:rFonts w:ascii="Arial" w:hAnsi="Arial" w:cs="Arial"/>
          <w:sz w:val="18"/>
          <w:szCs w:val="18"/>
          <w:lang w:val="el-GR"/>
        </w:rPr>
        <w:t xml:space="preserve"> </w:t>
      </w:r>
      <w:r w:rsidR="0012468B" w:rsidRPr="00850F8B">
        <w:rPr>
          <w:rFonts w:ascii="Arial" w:eastAsia="Times New Roman" w:hAnsi="Arial" w:cs="Arial"/>
          <w:sz w:val="18"/>
          <w:szCs w:val="20"/>
          <w:lang w:val="el-GR" w:eastAsia="el-GR"/>
        </w:rPr>
        <w:t>85</w:t>
      </w:r>
      <w:r w:rsidR="0012468B" w:rsidRPr="00850F8B">
        <w:rPr>
          <w:rFonts w:ascii="Arial" w:hAnsi="Arial" w:cs="Arial"/>
          <w:sz w:val="18"/>
          <w:szCs w:val="18"/>
          <w:lang w:val="el-GR"/>
        </w:rPr>
        <w:t xml:space="preserve">% στις 30 </w:t>
      </w:r>
      <w:r w:rsidR="0012468B" w:rsidRPr="00850F8B">
        <w:rPr>
          <w:rFonts w:ascii="Arial" w:hAnsi="Arial" w:cs="Arial"/>
          <w:sz w:val="18"/>
          <w:lang w:val="el-GR" w:eastAsia="el-GR"/>
        </w:rPr>
        <w:t xml:space="preserve">Ιουνίου </w:t>
      </w:r>
      <w:r w:rsidR="0012468B" w:rsidRPr="00850F8B">
        <w:rPr>
          <w:rFonts w:ascii="Arial" w:hAnsi="Arial" w:cs="Arial"/>
          <w:sz w:val="18"/>
          <w:szCs w:val="18"/>
          <w:lang w:val="el-GR"/>
        </w:rPr>
        <w:t xml:space="preserve">2024 </w:t>
      </w:r>
      <w:r w:rsidR="00AF447F" w:rsidRPr="00850F8B">
        <w:rPr>
          <w:rFonts w:ascii="Arial" w:hAnsi="Arial" w:cs="Arial"/>
          <w:sz w:val="18"/>
          <w:szCs w:val="18"/>
          <w:lang w:val="el-GR"/>
        </w:rPr>
        <w:t xml:space="preserve">και με </w:t>
      </w:r>
      <w:r w:rsidR="00E771D9" w:rsidRPr="00850F8B">
        <w:rPr>
          <w:rFonts w:ascii="Arial" w:hAnsi="Arial" w:cs="Arial"/>
          <w:sz w:val="18"/>
          <w:szCs w:val="18"/>
          <w:lang w:val="el-GR"/>
        </w:rPr>
        <w:t>73</w:t>
      </w:r>
      <w:r w:rsidR="00475152" w:rsidRPr="00850F8B">
        <w:rPr>
          <w:rFonts w:ascii="Arial" w:hAnsi="Arial" w:cs="Arial"/>
          <w:sz w:val="18"/>
          <w:szCs w:val="18"/>
          <w:lang w:val="el-GR"/>
        </w:rPr>
        <w:t xml:space="preserve">% στις </w:t>
      </w:r>
      <w:r w:rsidR="00E771D9" w:rsidRPr="00850F8B">
        <w:rPr>
          <w:rFonts w:ascii="Arial" w:hAnsi="Arial" w:cs="Arial"/>
          <w:sz w:val="18"/>
          <w:szCs w:val="18"/>
          <w:lang w:val="el-GR"/>
        </w:rPr>
        <w:t xml:space="preserve">31 Δεκεμβρίου </w:t>
      </w:r>
      <w:r w:rsidR="00475152" w:rsidRPr="00850F8B">
        <w:rPr>
          <w:rFonts w:ascii="Arial" w:hAnsi="Arial" w:cs="Arial"/>
          <w:sz w:val="18"/>
          <w:szCs w:val="18"/>
          <w:lang w:val="el-GR"/>
        </w:rPr>
        <w:t>2023</w:t>
      </w:r>
      <w:r w:rsidR="00E771D9" w:rsidRPr="00850F8B">
        <w:rPr>
          <w:rFonts w:ascii="Arial" w:hAnsi="Arial" w:cs="Arial"/>
          <w:sz w:val="18"/>
          <w:szCs w:val="18"/>
          <w:lang w:val="el-GR"/>
        </w:rPr>
        <w:t xml:space="preserve">. </w:t>
      </w:r>
      <w:r w:rsidRPr="00850F8B">
        <w:rPr>
          <w:rFonts w:ascii="Arial" w:hAnsi="Arial" w:cs="Arial"/>
          <w:sz w:val="18"/>
          <w:szCs w:val="18"/>
          <w:lang w:val="el-GR"/>
        </w:rPr>
        <w:t xml:space="preserve">Λαμβάνοντας υπόψη τις εμπράγματες εξασφαλίσεις σε εύλογη αξία, τα ΜΕΔ καλύπτονται πλήρως. </w:t>
      </w:r>
    </w:p>
    <w:p w14:paraId="46F3F853" w14:textId="77777777" w:rsidR="007F5B28" w:rsidRDefault="007F5B28" w:rsidP="00511684">
      <w:pPr>
        <w:autoSpaceDE w:val="0"/>
        <w:autoSpaceDN w:val="0"/>
        <w:spacing w:after="0" w:line="240" w:lineRule="auto"/>
        <w:jc w:val="both"/>
        <w:rPr>
          <w:rFonts w:ascii="Arial" w:hAnsi="Arial" w:cs="Arial"/>
          <w:b/>
          <w:bCs/>
          <w:sz w:val="18"/>
          <w:szCs w:val="18"/>
          <w:highlight w:val="yellow"/>
          <w:lang w:val="el-GR"/>
        </w:rPr>
      </w:pPr>
    </w:p>
    <w:p w14:paraId="716D877C" w14:textId="23CB94D6" w:rsidR="001B56CB" w:rsidRPr="00932D67" w:rsidRDefault="00EC61E2" w:rsidP="001B56CB">
      <w:pPr>
        <w:autoSpaceDE w:val="0"/>
        <w:autoSpaceDN w:val="0"/>
        <w:spacing w:after="0" w:line="360" w:lineRule="auto"/>
        <w:jc w:val="both"/>
        <w:rPr>
          <w:rFonts w:ascii="Arial" w:eastAsia="Times New Roman" w:hAnsi="Arial" w:cs="Arial"/>
          <w:b/>
          <w:bCs/>
          <w:color w:val="FF9900"/>
          <w:sz w:val="20"/>
          <w:lang w:val="el-GR" w:eastAsia="el-GR"/>
        </w:rPr>
      </w:pPr>
      <w:r>
        <w:rPr>
          <w:rFonts w:ascii="Arial" w:eastAsia="Times New Roman" w:hAnsi="Arial" w:cs="Arial"/>
          <w:b/>
          <w:bCs/>
          <w:color w:val="FF9900"/>
          <w:sz w:val="20"/>
          <w:lang w:val="el-GR" w:eastAsia="el-GR"/>
        </w:rPr>
        <w:t>Συμφωνία για π</w:t>
      </w:r>
      <w:r w:rsidR="00932D67">
        <w:rPr>
          <w:rFonts w:ascii="Arial" w:eastAsia="Times New Roman" w:hAnsi="Arial" w:cs="Arial"/>
          <w:b/>
          <w:bCs/>
          <w:color w:val="FF9900"/>
          <w:sz w:val="20"/>
          <w:lang w:val="el-GR" w:eastAsia="el-GR"/>
        </w:rPr>
        <w:t>ώληση μη εξυπηρετούμενων δανείων</w:t>
      </w:r>
    </w:p>
    <w:p w14:paraId="32BEC65B" w14:textId="235C6E17" w:rsidR="009B2399" w:rsidRDefault="001B56CB" w:rsidP="00511684">
      <w:pPr>
        <w:autoSpaceDE w:val="0"/>
        <w:autoSpaceDN w:val="0"/>
        <w:spacing w:after="0" w:line="240" w:lineRule="auto"/>
        <w:jc w:val="both"/>
        <w:rPr>
          <w:rFonts w:ascii="Arial" w:eastAsia="Times New Roman" w:hAnsi="Arial" w:cs="Arial"/>
          <w:b/>
          <w:sz w:val="18"/>
          <w:szCs w:val="20"/>
          <w:lang w:val="el-GR" w:eastAsia="el-GR"/>
        </w:rPr>
      </w:pPr>
      <w:r w:rsidRPr="007246A9">
        <w:rPr>
          <w:rFonts w:ascii="Arial" w:hAnsi="Arial" w:cs="Arial"/>
          <w:sz w:val="18"/>
          <w:szCs w:val="18"/>
          <w:lang w:val="el-GR"/>
        </w:rPr>
        <w:t xml:space="preserve">Τον Σεπτέμβριο 2024, η Τράπεζα κατέληξε σε συμφωνία με </w:t>
      </w:r>
      <w:r>
        <w:rPr>
          <w:rFonts w:ascii="Arial" w:hAnsi="Arial" w:cs="Arial"/>
          <w:sz w:val="18"/>
          <w:szCs w:val="18"/>
          <w:lang w:val="el-GR"/>
        </w:rPr>
        <w:t>επενδυτικά</w:t>
      </w:r>
      <w:r w:rsidRPr="007246A9">
        <w:rPr>
          <w:rFonts w:ascii="Arial" w:hAnsi="Arial" w:cs="Arial"/>
          <w:sz w:val="18"/>
          <w:szCs w:val="18"/>
          <w:lang w:val="el-GR"/>
        </w:rPr>
        <w:t xml:space="preserve"> ταμεία </w:t>
      </w:r>
      <w:r w:rsidR="00FC0113">
        <w:rPr>
          <w:rFonts w:ascii="Arial" w:hAnsi="Arial" w:cs="Arial"/>
          <w:sz w:val="18"/>
          <w:szCs w:val="18"/>
          <w:lang w:val="el-GR"/>
        </w:rPr>
        <w:t xml:space="preserve">συνδεδεμένα </w:t>
      </w:r>
      <w:r>
        <w:rPr>
          <w:rFonts w:ascii="Arial" w:hAnsi="Arial" w:cs="Arial"/>
          <w:sz w:val="18"/>
          <w:szCs w:val="18"/>
          <w:lang w:val="el-GR"/>
        </w:rPr>
        <w:t xml:space="preserve">με την </w:t>
      </w:r>
      <w:r w:rsidRPr="008C00C1">
        <w:rPr>
          <w:rFonts w:ascii="Arial" w:eastAsia="Times New Roman" w:hAnsi="Arial" w:cs="Arial"/>
          <w:bCs/>
          <w:sz w:val="18"/>
          <w:szCs w:val="20"/>
          <w:lang w:eastAsia="el-GR"/>
        </w:rPr>
        <w:t>Cerberus</w:t>
      </w:r>
      <w:r w:rsidRPr="007246A9">
        <w:rPr>
          <w:rFonts w:ascii="Arial" w:eastAsia="Times New Roman" w:hAnsi="Arial" w:cs="Arial"/>
          <w:bCs/>
          <w:sz w:val="18"/>
          <w:szCs w:val="20"/>
          <w:lang w:val="el-GR" w:eastAsia="el-GR"/>
        </w:rPr>
        <w:t xml:space="preserve"> </w:t>
      </w:r>
      <w:r w:rsidRPr="008C00C1">
        <w:rPr>
          <w:rFonts w:ascii="Arial" w:eastAsia="Times New Roman" w:hAnsi="Arial" w:cs="Arial"/>
          <w:bCs/>
          <w:sz w:val="18"/>
          <w:szCs w:val="20"/>
          <w:lang w:eastAsia="el-GR"/>
        </w:rPr>
        <w:t>Global</w:t>
      </w:r>
      <w:r w:rsidRPr="007246A9">
        <w:rPr>
          <w:rFonts w:ascii="Arial" w:eastAsia="Times New Roman" w:hAnsi="Arial" w:cs="Arial"/>
          <w:bCs/>
          <w:sz w:val="18"/>
          <w:szCs w:val="20"/>
          <w:lang w:val="el-GR" w:eastAsia="el-GR"/>
        </w:rPr>
        <w:t xml:space="preserve"> </w:t>
      </w:r>
      <w:r w:rsidR="00157757">
        <w:rPr>
          <w:rFonts w:ascii="Arial" w:eastAsia="Times New Roman" w:hAnsi="Arial" w:cs="Arial"/>
          <w:bCs/>
          <w:sz w:val="18"/>
          <w:szCs w:val="20"/>
          <w:lang w:eastAsia="el-GR"/>
        </w:rPr>
        <w:t>Investments</w:t>
      </w:r>
      <w:r w:rsidRPr="007246A9">
        <w:rPr>
          <w:rFonts w:ascii="Arial" w:eastAsia="Times New Roman" w:hAnsi="Arial" w:cs="Arial"/>
          <w:bCs/>
          <w:sz w:val="18"/>
          <w:szCs w:val="20"/>
          <w:lang w:val="el-GR" w:eastAsia="el-GR"/>
        </w:rPr>
        <w:t xml:space="preserve"> </w:t>
      </w:r>
      <w:r w:rsidRPr="008C00C1">
        <w:rPr>
          <w:rFonts w:ascii="Arial" w:eastAsia="Times New Roman" w:hAnsi="Arial" w:cs="Arial"/>
          <w:bCs/>
          <w:sz w:val="18"/>
          <w:szCs w:val="20"/>
          <w:lang w:eastAsia="el-GR"/>
        </w:rPr>
        <w:t>B</w:t>
      </w:r>
      <w:r w:rsidRPr="007246A9">
        <w:rPr>
          <w:rFonts w:ascii="Arial" w:eastAsia="Times New Roman" w:hAnsi="Arial" w:cs="Arial"/>
          <w:bCs/>
          <w:sz w:val="18"/>
          <w:szCs w:val="20"/>
          <w:lang w:val="el-GR" w:eastAsia="el-GR"/>
        </w:rPr>
        <w:t>.</w:t>
      </w:r>
      <w:r w:rsidRPr="008C00C1">
        <w:rPr>
          <w:rFonts w:ascii="Arial" w:eastAsia="Times New Roman" w:hAnsi="Arial" w:cs="Arial"/>
          <w:bCs/>
          <w:sz w:val="18"/>
          <w:szCs w:val="20"/>
          <w:lang w:eastAsia="el-GR"/>
        </w:rPr>
        <w:t>V</w:t>
      </w:r>
      <w:r w:rsidRPr="007246A9">
        <w:rPr>
          <w:rFonts w:ascii="Arial" w:eastAsia="Times New Roman" w:hAnsi="Arial" w:cs="Arial"/>
          <w:bCs/>
          <w:sz w:val="18"/>
          <w:szCs w:val="20"/>
          <w:lang w:val="el-GR" w:eastAsia="el-GR"/>
        </w:rPr>
        <w:t>.</w:t>
      </w:r>
      <w:r w:rsidR="00157757">
        <w:rPr>
          <w:rFonts w:ascii="Arial" w:eastAsia="Times New Roman" w:hAnsi="Arial" w:cs="Arial"/>
          <w:bCs/>
          <w:sz w:val="18"/>
          <w:szCs w:val="20"/>
          <w:lang w:val="el-GR" w:eastAsia="el-GR"/>
        </w:rPr>
        <w:t xml:space="preserve"> </w:t>
      </w:r>
      <w:r>
        <w:rPr>
          <w:rFonts w:ascii="Arial" w:eastAsia="Times New Roman" w:hAnsi="Arial" w:cs="Arial"/>
          <w:bCs/>
          <w:sz w:val="18"/>
          <w:szCs w:val="20"/>
          <w:lang w:val="el-GR" w:eastAsia="el-GR"/>
        </w:rPr>
        <w:t>για πώληση</w:t>
      </w:r>
      <w:r w:rsidR="00157757">
        <w:rPr>
          <w:rFonts w:ascii="Arial" w:eastAsia="Times New Roman" w:hAnsi="Arial" w:cs="Arial"/>
          <w:bCs/>
          <w:sz w:val="18"/>
          <w:szCs w:val="20"/>
          <w:lang w:val="el-GR" w:eastAsia="el-GR"/>
        </w:rPr>
        <w:t xml:space="preserve"> ενός χαρτοφυλακίου μη εξυπηρετούμενων δανείων, </w:t>
      </w:r>
      <w:r w:rsidR="00157757" w:rsidRPr="00157757">
        <w:rPr>
          <w:rFonts w:ascii="Arial" w:eastAsia="Times New Roman" w:hAnsi="Arial" w:cs="Arial"/>
          <w:bCs/>
          <w:sz w:val="18"/>
          <w:szCs w:val="20"/>
          <w:lang w:val="el-GR" w:eastAsia="el-GR"/>
        </w:rPr>
        <w:t xml:space="preserve">τα οποία </w:t>
      </w:r>
      <w:r w:rsidR="00157757">
        <w:rPr>
          <w:rFonts w:ascii="Arial" w:eastAsia="Times New Roman" w:hAnsi="Arial" w:cs="Arial"/>
          <w:bCs/>
          <w:sz w:val="18"/>
          <w:szCs w:val="20"/>
          <w:lang w:val="el-GR" w:eastAsia="el-GR"/>
        </w:rPr>
        <w:t>κυρίως αφορούν εξασφαλισμένα δάνεια</w:t>
      </w:r>
      <w:r w:rsidR="00E40FED">
        <w:rPr>
          <w:rFonts w:ascii="Arial" w:eastAsia="Times New Roman" w:hAnsi="Arial" w:cs="Arial"/>
          <w:bCs/>
          <w:sz w:val="18"/>
          <w:szCs w:val="20"/>
          <w:lang w:val="el-GR" w:eastAsia="el-GR"/>
        </w:rPr>
        <w:t xml:space="preserve"> σε επιχειρήσεις</w:t>
      </w:r>
      <w:r w:rsidR="00157757">
        <w:rPr>
          <w:rFonts w:ascii="Arial" w:eastAsia="Times New Roman" w:hAnsi="Arial" w:cs="Arial"/>
          <w:bCs/>
          <w:sz w:val="18"/>
          <w:szCs w:val="20"/>
          <w:lang w:val="el-GR" w:eastAsia="el-GR"/>
        </w:rPr>
        <w:t xml:space="preserve">, με συμβατικό υπόλοιπο ύψους περίπου €149 εκατ. και με μεικτή λογιστική αξία ύψους περίπου </w:t>
      </w:r>
      <w:r w:rsidR="00157757" w:rsidRPr="007246A9">
        <w:rPr>
          <w:rFonts w:ascii="Arial" w:eastAsia="Times New Roman" w:hAnsi="Arial" w:cs="Arial"/>
          <w:bCs/>
          <w:sz w:val="18"/>
          <w:szCs w:val="20"/>
          <w:lang w:val="el-GR" w:eastAsia="el-GR"/>
        </w:rPr>
        <w:t>€</w:t>
      </w:r>
      <w:r w:rsidR="00157757">
        <w:rPr>
          <w:rFonts w:ascii="Arial" w:eastAsia="Times New Roman" w:hAnsi="Arial" w:cs="Arial"/>
          <w:bCs/>
          <w:sz w:val="18"/>
          <w:szCs w:val="20"/>
          <w:lang w:val="el-GR" w:eastAsia="el-GR"/>
        </w:rPr>
        <w:t xml:space="preserve">27 εκατ. στις 30 Ιουνίου 2024 (γνωστή ως </w:t>
      </w:r>
      <w:r w:rsidR="00932D67">
        <w:rPr>
          <w:rFonts w:ascii="Arial" w:eastAsia="Times New Roman" w:hAnsi="Arial" w:cs="Arial"/>
          <w:bCs/>
          <w:sz w:val="18"/>
          <w:szCs w:val="20"/>
          <w:lang w:val="el-GR" w:eastAsia="el-GR"/>
        </w:rPr>
        <w:t>η</w:t>
      </w:r>
      <w:r w:rsidR="00157757">
        <w:rPr>
          <w:rFonts w:ascii="Arial" w:eastAsia="Times New Roman" w:hAnsi="Arial" w:cs="Arial"/>
          <w:bCs/>
          <w:sz w:val="18"/>
          <w:szCs w:val="20"/>
          <w:lang w:val="el-GR" w:eastAsia="el-GR"/>
        </w:rPr>
        <w:t xml:space="preserve"> ‘</w:t>
      </w:r>
      <w:r w:rsidR="00157757" w:rsidRPr="007246A9">
        <w:rPr>
          <w:rFonts w:ascii="Arial" w:eastAsia="Times New Roman" w:hAnsi="Arial" w:cs="Arial"/>
          <w:b/>
          <w:sz w:val="18"/>
          <w:szCs w:val="20"/>
          <w:lang w:val="el-GR" w:eastAsia="el-GR"/>
        </w:rPr>
        <w:t>Πώληση</w:t>
      </w:r>
      <w:r w:rsidR="00157757">
        <w:rPr>
          <w:rFonts w:ascii="Arial" w:eastAsia="Times New Roman" w:hAnsi="Arial" w:cs="Arial"/>
          <w:bCs/>
          <w:sz w:val="18"/>
          <w:szCs w:val="20"/>
          <w:lang w:val="el-GR" w:eastAsia="el-GR"/>
        </w:rPr>
        <w:t xml:space="preserve">’). </w:t>
      </w:r>
      <w:r w:rsidR="00850F8B" w:rsidRPr="007246A9">
        <w:rPr>
          <w:rFonts w:ascii="Arial" w:hAnsi="Arial" w:cs="Arial"/>
          <w:sz w:val="18"/>
          <w:szCs w:val="18"/>
          <w:lang w:val="el-GR" w:eastAsia="el-GR"/>
        </w:rPr>
        <w:t xml:space="preserve">Η </w:t>
      </w:r>
      <w:r w:rsidR="00850F8B">
        <w:rPr>
          <w:rFonts w:ascii="Arial" w:hAnsi="Arial" w:cs="Arial"/>
          <w:sz w:val="18"/>
          <w:szCs w:val="18"/>
          <w:lang w:val="el-GR" w:eastAsia="el-GR"/>
        </w:rPr>
        <w:t>Πώληση</w:t>
      </w:r>
      <w:r w:rsidR="00850F8B" w:rsidRPr="007246A9">
        <w:rPr>
          <w:rFonts w:ascii="Arial" w:hAnsi="Arial" w:cs="Arial"/>
          <w:sz w:val="18"/>
          <w:szCs w:val="18"/>
          <w:lang w:val="el-GR" w:eastAsia="el-GR"/>
        </w:rPr>
        <w:t xml:space="preserve"> </w:t>
      </w:r>
      <w:r w:rsidR="00850F8B">
        <w:rPr>
          <w:rFonts w:ascii="Arial" w:hAnsi="Arial" w:cs="Arial"/>
          <w:sz w:val="18"/>
          <w:szCs w:val="18"/>
          <w:lang w:val="el-GR" w:eastAsia="el-GR"/>
        </w:rPr>
        <w:t>αναμένεται να</w:t>
      </w:r>
      <w:r w:rsidR="00850F8B" w:rsidRPr="007246A9">
        <w:rPr>
          <w:rFonts w:ascii="Arial" w:hAnsi="Arial" w:cs="Arial"/>
          <w:sz w:val="18"/>
          <w:szCs w:val="18"/>
          <w:lang w:val="el-GR" w:eastAsia="el-GR"/>
        </w:rPr>
        <w:t xml:space="preserve"> </w:t>
      </w:r>
      <w:r w:rsidR="00850F8B">
        <w:rPr>
          <w:rFonts w:ascii="Arial" w:hAnsi="Arial" w:cs="Arial"/>
          <w:sz w:val="18"/>
          <w:szCs w:val="18"/>
          <w:lang w:val="el-GR" w:eastAsia="el-GR"/>
        </w:rPr>
        <w:t>έχει</w:t>
      </w:r>
      <w:r w:rsidR="00EC61E2">
        <w:rPr>
          <w:rFonts w:ascii="Arial" w:hAnsi="Arial" w:cs="Arial"/>
          <w:sz w:val="18"/>
          <w:szCs w:val="18"/>
          <w:lang w:val="el-GR" w:eastAsia="el-GR"/>
        </w:rPr>
        <w:t xml:space="preserve"> μικρή θετική</w:t>
      </w:r>
      <w:r w:rsidR="00850F8B" w:rsidRPr="007246A9">
        <w:rPr>
          <w:rFonts w:ascii="Arial" w:hAnsi="Arial" w:cs="Arial"/>
          <w:sz w:val="18"/>
          <w:szCs w:val="18"/>
          <w:lang w:val="el-GR" w:eastAsia="el-GR"/>
        </w:rPr>
        <w:t xml:space="preserve"> </w:t>
      </w:r>
      <w:r w:rsidR="00EC61E2">
        <w:rPr>
          <w:rFonts w:ascii="Arial" w:hAnsi="Arial" w:cs="Arial"/>
          <w:sz w:val="18"/>
          <w:szCs w:val="18"/>
          <w:lang w:val="el-GR" w:eastAsia="el-GR"/>
        </w:rPr>
        <w:t xml:space="preserve">επίπτωση </w:t>
      </w:r>
      <w:r w:rsidR="00850F8B" w:rsidRPr="007246A9">
        <w:rPr>
          <w:rFonts w:ascii="Arial" w:hAnsi="Arial" w:cs="Arial"/>
          <w:sz w:val="18"/>
          <w:szCs w:val="18"/>
          <w:lang w:val="el-GR" w:eastAsia="el-GR"/>
        </w:rPr>
        <w:t xml:space="preserve">στην κατάσταση λογαριασμού αποτελεσμάτων και στην κεφαλαιακή θέση </w:t>
      </w:r>
      <w:r w:rsidR="009B2399">
        <w:rPr>
          <w:rFonts w:ascii="Arial" w:hAnsi="Arial" w:cs="Arial"/>
          <w:sz w:val="18"/>
          <w:szCs w:val="18"/>
          <w:lang w:val="el-GR" w:eastAsia="el-GR"/>
        </w:rPr>
        <w:t>του</w:t>
      </w:r>
      <w:r w:rsidR="00850F8B" w:rsidRPr="007246A9">
        <w:rPr>
          <w:rFonts w:ascii="Arial" w:hAnsi="Arial" w:cs="Arial"/>
          <w:sz w:val="18"/>
          <w:szCs w:val="18"/>
          <w:lang w:val="el-GR" w:eastAsia="el-GR"/>
        </w:rPr>
        <w:t xml:space="preserve"> </w:t>
      </w:r>
      <w:r w:rsidR="009B2399">
        <w:rPr>
          <w:rFonts w:ascii="Arial" w:hAnsi="Arial" w:cs="Arial"/>
          <w:sz w:val="18"/>
          <w:szCs w:val="18"/>
          <w:lang w:val="el-GR" w:eastAsia="el-GR"/>
        </w:rPr>
        <w:t>Συγκροτήματος</w:t>
      </w:r>
      <w:r w:rsidR="00850F8B" w:rsidRPr="00502B4F">
        <w:rPr>
          <w:rFonts w:ascii="Arial" w:eastAsia="Times New Roman" w:hAnsi="Arial" w:cs="Arial"/>
          <w:bCs/>
          <w:sz w:val="18"/>
          <w:szCs w:val="20"/>
          <w:lang w:val="el-GR" w:eastAsia="el-GR"/>
        </w:rPr>
        <w:t>.</w:t>
      </w:r>
      <w:r w:rsidR="00850F8B">
        <w:rPr>
          <w:rFonts w:ascii="Arial" w:eastAsia="Times New Roman" w:hAnsi="Arial" w:cs="Arial"/>
          <w:bCs/>
          <w:sz w:val="18"/>
          <w:szCs w:val="20"/>
          <w:lang w:val="el-GR" w:eastAsia="el-GR"/>
        </w:rPr>
        <w:t xml:space="preserve"> </w:t>
      </w:r>
      <w:r w:rsidR="00157757">
        <w:rPr>
          <w:rFonts w:ascii="Arial" w:eastAsia="Times New Roman" w:hAnsi="Arial" w:cs="Arial"/>
          <w:bCs/>
          <w:sz w:val="18"/>
          <w:szCs w:val="20"/>
          <w:lang w:val="el-GR" w:eastAsia="el-GR"/>
        </w:rPr>
        <w:t>Η πώληση υπόκειται υπό τη λήψη των απαραίτητων εγκρίσεων και αναμένεται να ολοκληρωθεί εντός του α’ εξάμηνου 2025.</w:t>
      </w:r>
      <w:r w:rsidR="009B2399">
        <w:rPr>
          <w:rFonts w:ascii="Arial" w:eastAsia="Times New Roman" w:hAnsi="Arial" w:cs="Arial"/>
          <w:bCs/>
          <w:sz w:val="18"/>
          <w:szCs w:val="20"/>
          <w:lang w:val="el-GR" w:eastAsia="el-GR"/>
        </w:rPr>
        <w:t xml:space="preserve"> </w:t>
      </w:r>
      <w:r w:rsidR="009B2399" w:rsidRPr="00502B4F">
        <w:rPr>
          <w:rFonts w:ascii="Arial" w:eastAsia="Times New Roman" w:hAnsi="Arial" w:cs="Arial"/>
          <w:b/>
          <w:sz w:val="18"/>
          <w:szCs w:val="20"/>
          <w:lang w:val="el-GR" w:eastAsia="el-GR"/>
        </w:rPr>
        <w:t>Αναπροσαρμοσμένο για την συμφωνία πώλησης ενός χαρτοφυλακίου μη εξυπηρετούμενων δανείων, το ποσοστό ΜΕΔ προς δάνεια μειώνεται περαιτέρω στο 2.4%</w:t>
      </w:r>
      <w:r w:rsidR="00E40FED">
        <w:rPr>
          <w:rFonts w:ascii="Arial" w:eastAsia="Times New Roman" w:hAnsi="Arial" w:cs="Arial"/>
          <w:b/>
          <w:sz w:val="18"/>
          <w:szCs w:val="20"/>
          <w:lang w:val="el-GR" w:eastAsia="el-GR"/>
        </w:rPr>
        <w:t xml:space="preserve">, καθώς ο δείκτης κάλυψης ΜΕΔ </w:t>
      </w:r>
      <w:r w:rsidR="00575BD0">
        <w:rPr>
          <w:rFonts w:ascii="Arial" w:eastAsia="Times New Roman" w:hAnsi="Arial" w:cs="Arial"/>
          <w:b/>
          <w:sz w:val="18"/>
          <w:szCs w:val="20"/>
          <w:lang w:val="el-GR" w:eastAsia="el-GR"/>
        </w:rPr>
        <w:t xml:space="preserve">αυξήθηκε σε 96%. </w:t>
      </w:r>
    </w:p>
    <w:p w14:paraId="44CC782B" w14:textId="77777777" w:rsidR="00E40FED" w:rsidRDefault="00E40FED" w:rsidP="00511684">
      <w:pPr>
        <w:autoSpaceDE w:val="0"/>
        <w:autoSpaceDN w:val="0"/>
        <w:spacing w:after="0" w:line="240" w:lineRule="auto"/>
        <w:jc w:val="both"/>
        <w:rPr>
          <w:rFonts w:ascii="Arial" w:eastAsia="Times New Roman" w:hAnsi="Arial" w:cs="Arial"/>
          <w:b/>
          <w:sz w:val="18"/>
          <w:szCs w:val="20"/>
          <w:lang w:val="el-GR" w:eastAsia="el-GR"/>
        </w:rPr>
      </w:pPr>
    </w:p>
    <w:p w14:paraId="4C87F884" w14:textId="700EBAA0" w:rsidR="00E40FED" w:rsidRPr="00E40FED" w:rsidRDefault="00E40FED" w:rsidP="00511684">
      <w:pPr>
        <w:autoSpaceDE w:val="0"/>
        <w:autoSpaceDN w:val="0"/>
        <w:spacing w:after="0" w:line="240" w:lineRule="auto"/>
        <w:jc w:val="both"/>
        <w:rPr>
          <w:rFonts w:ascii="Arial" w:hAnsi="Arial" w:cs="Arial"/>
          <w:b/>
          <w:bCs/>
          <w:sz w:val="18"/>
          <w:szCs w:val="18"/>
          <w:lang w:val="el-GR"/>
        </w:rPr>
      </w:pPr>
      <w:r w:rsidRPr="007246A9">
        <w:rPr>
          <w:rFonts w:ascii="Arial" w:hAnsi="Arial" w:cs="Arial"/>
          <w:b/>
          <w:bCs/>
          <w:sz w:val="18"/>
          <w:szCs w:val="18"/>
          <w:lang w:val="el-GR"/>
        </w:rPr>
        <w:t xml:space="preserve">Συνολικά, </w:t>
      </w:r>
      <w:r w:rsidRPr="00850F8B">
        <w:rPr>
          <w:rFonts w:ascii="Arial" w:hAnsi="Arial" w:cs="Arial"/>
          <w:b/>
          <w:bCs/>
          <w:sz w:val="18"/>
          <w:szCs w:val="18"/>
          <w:lang w:val="el-GR"/>
        </w:rPr>
        <w:t xml:space="preserve">από το ανώτατό τους επίπεδο το 2014, τα ΜΕΔ έχουν μειωθεί κατά </w:t>
      </w:r>
      <w:r w:rsidRPr="00502B4F">
        <w:rPr>
          <w:rFonts w:ascii="Arial" w:hAnsi="Arial" w:cs="Arial"/>
          <w:b/>
          <w:bCs/>
          <w:sz w:val="18"/>
          <w:szCs w:val="18"/>
          <w:lang w:val="el-GR"/>
        </w:rPr>
        <w:t>€</w:t>
      </w:r>
      <w:r w:rsidRPr="00502B4F">
        <w:rPr>
          <w:rFonts w:ascii="Arial" w:eastAsia="Times New Roman" w:hAnsi="Arial" w:cs="Arial"/>
          <w:b/>
          <w:bCs/>
          <w:sz w:val="18"/>
          <w:szCs w:val="20"/>
          <w:lang w:val="el-GR" w:eastAsia="el-GR"/>
        </w:rPr>
        <w:t xml:space="preserve">14.7 </w:t>
      </w:r>
      <w:r w:rsidRPr="00502B4F">
        <w:rPr>
          <w:rFonts w:ascii="Arial" w:hAnsi="Arial" w:cs="Arial"/>
          <w:b/>
          <w:bCs/>
          <w:sz w:val="18"/>
          <w:szCs w:val="18"/>
          <w:lang w:val="el-GR"/>
        </w:rPr>
        <w:t xml:space="preserve">δις ή 98% σε επίπεδα πιο κάτω από €0.3 δις </w:t>
      </w:r>
      <w:r w:rsidRPr="00850F8B">
        <w:rPr>
          <w:rFonts w:ascii="Arial" w:hAnsi="Arial" w:cs="Arial"/>
          <w:b/>
          <w:bCs/>
          <w:sz w:val="18"/>
          <w:szCs w:val="18"/>
          <w:lang w:val="el-GR"/>
        </w:rPr>
        <w:t xml:space="preserve">και το ποσοστό ΜΕΔ προς δάνεια </w:t>
      </w:r>
      <w:r w:rsidRPr="00502B4F">
        <w:rPr>
          <w:rFonts w:ascii="Arial" w:hAnsi="Arial" w:cs="Arial"/>
          <w:b/>
          <w:bCs/>
          <w:sz w:val="18"/>
          <w:szCs w:val="18"/>
          <w:lang w:val="el-GR"/>
        </w:rPr>
        <w:t>κατά περίπου 60</w:t>
      </w:r>
      <w:r w:rsidR="00050877">
        <w:rPr>
          <w:rFonts w:ascii="Arial" w:hAnsi="Arial" w:cs="Arial"/>
          <w:b/>
          <w:bCs/>
          <w:sz w:val="18"/>
          <w:szCs w:val="18"/>
          <w:lang w:val="el-GR"/>
        </w:rPr>
        <w:t>.5</w:t>
      </w:r>
      <w:r w:rsidRPr="00502B4F">
        <w:rPr>
          <w:rFonts w:ascii="Arial" w:hAnsi="Arial" w:cs="Arial"/>
          <w:b/>
          <w:bCs/>
          <w:sz w:val="18"/>
          <w:szCs w:val="18"/>
          <w:lang w:val="el-GR"/>
        </w:rPr>
        <w:t xml:space="preserve"> εκατοστιαίες μονάδες, από 63% σε κάτω από </w:t>
      </w:r>
      <w:r w:rsidR="00050877">
        <w:rPr>
          <w:rFonts w:ascii="Arial" w:hAnsi="Arial" w:cs="Arial"/>
          <w:b/>
          <w:bCs/>
          <w:sz w:val="18"/>
          <w:szCs w:val="18"/>
          <w:lang w:val="el-GR"/>
        </w:rPr>
        <w:t>2.5</w:t>
      </w:r>
      <w:r w:rsidRPr="00502B4F">
        <w:rPr>
          <w:rFonts w:ascii="Arial" w:hAnsi="Arial" w:cs="Arial"/>
          <w:b/>
          <w:bCs/>
          <w:sz w:val="18"/>
          <w:szCs w:val="18"/>
          <w:lang w:val="el-GR"/>
        </w:rPr>
        <w:t>%.</w:t>
      </w:r>
    </w:p>
    <w:p w14:paraId="41E4B846" w14:textId="322CCF5F" w:rsidR="001B56CB" w:rsidRDefault="009B2399" w:rsidP="00511684">
      <w:pPr>
        <w:autoSpaceDE w:val="0"/>
        <w:autoSpaceDN w:val="0"/>
        <w:spacing w:after="0" w:line="240" w:lineRule="auto"/>
        <w:jc w:val="both"/>
        <w:rPr>
          <w:rFonts w:ascii="Arial" w:eastAsia="Times New Roman" w:hAnsi="Arial" w:cs="Arial"/>
          <w:bCs/>
          <w:sz w:val="18"/>
          <w:szCs w:val="20"/>
          <w:lang w:val="el-GR" w:eastAsia="el-GR"/>
        </w:rPr>
      </w:pPr>
      <w:r>
        <w:rPr>
          <w:rFonts w:ascii="Arial" w:eastAsia="Times New Roman" w:hAnsi="Arial" w:cs="Arial"/>
          <w:bCs/>
          <w:sz w:val="18"/>
          <w:szCs w:val="20"/>
          <w:lang w:val="el-GR" w:eastAsia="el-GR"/>
        </w:rPr>
        <w:t xml:space="preserve"> </w:t>
      </w:r>
    </w:p>
    <w:p w14:paraId="081C3828" w14:textId="77777777" w:rsidR="00EC685B" w:rsidRDefault="00EC685B" w:rsidP="00511684">
      <w:pPr>
        <w:autoSpaceDE w:val="0"/>
        <w:autoSpaceDN w:val="0"/>
        <w:spacing w:after="0" w:line="240" w:lineRule="auto"/>
        <w:jc w:val="both"/>
        <w:rPr>
          <w:rFonts w:ascii="Arial" w:eastAsia="Times New Roman" w:hAnsi="Arial" w:cs="Arial"/>
          <w:bCs/>
          <w:sz w:val="18"/>
          <w:szCs w:val="20"/>
          <w:lang w:val="el-GR" w:eastAsia="el-GR"/>
        </w:rPr>
      </w:pPr>
    </w:p>
    <w:p w14:paraId="35C33DDF" w14:textId="77777777" w:rsidR="00EC685B" w:rsidRDefault="00EC685B" w:rsidP="00511684">
      <w:pPr>
        <w:autoSpaceDE w:val="0"/>
        <w:autoSpaceDN w:val="0"/>
        <w:spacing w:after="0" w:line="240" w:lineRule="auto"/>
        <w:jc w:val="both"/>
        <w:rPr>
          <w:rFonts w:ascii="Arial" w:eastAsia="Times New Roman" w:hAnsi="Arial" w:cs="Arial"/>
          <w:bCs/>
          <w:sz w:val="18"/>
          <w:szCs w:val="20"/>
          <w:lang w:val="el-GR" w:eastAsia="el-GR"/>
        </w:rPr>
      </w:pPr>
    </w:p>
    <w:p w14:paraId="326BA3C7" w14:textId="77777777" w:rsidR="00EC685B" w:rsidRDefault="00EC685B" w:rsidP="00511684">
      <w:pPr>
        <w:autoSpaceDE w:val="0"/>
        <w:autoSpaceDN w:val="0"/>
        <w:spacing w:after="0" w:line="240" w:lineRule="auto"/>
        <w:jc w:val="both"/>
        <w:rPr>
          <w:rFonts w:ascii="Arial" w:eastAsia="Times New Roman" w:hAnsi="Arial" w:cs="Arial"/>
          <w:bCs/>
          <w:sz w:val="18"/>
          <w:szCs w:val="20"/>
          <w:lang w:val="el-GR" w:eastAsia="el-GR"/>
        </w:rPr>
      </w:pPr>
    </w:p>
    <w:p w14:paraId="7AA978DF" w14:textId="77777777" w:rsidR="00EC685B" w:rsidRPr="00D41B36" w:rsidRDefault="00EC685B" w:rsidP="00511684">
      <w:pPr>
        <w:autoSpaceDE w:val="0"/>
        <w:autoSpaceDN w:val="0"/>
        <w:spacing w:after="0" w:line="240" w:lineRule="auto"/>
        <w:jc w:val="both"/>
        <w:rPr>
          <w:rFonts w:ascii="Arial" w:hAnsi="Arial" w:cs="Arial"/>
          <w:b/>
          <w:bCs/>
          <w:sz w:val="18"/>
          <w:szCs w:val="18"/>
          <w:highlight w:val="yellow"/>
          <w:lang w:val="el-GR"/>
        </w:rPr>
      </w:pPr>
    </w:p>
    <w:p w14:paraId="5C7FAA96" w14:textId="77777777" w:rsidR="00EC685B" w:rsidRPr="0033500B" w:rsidRDefault="00EC685B" w:rsidP="00EC685B">
      <w:pPr>
        <w:rPr>
          <w:rFonts w:ascii="Arial" w:eastAsia="Times New Roman" w:hAnsi="Arial" w:cs="Arial"/>
          <w:sz w:val="18"/>
          <w:szCs w:val="18"/>
          <w:lang w:val="el-GR"/>
        </w:rPr>
      </w:pPr>
      <w:r w:rsidRPr="0033500B">
        <w:rPr>
          <w:rFonts w:ascii="Arial" w:hAnsi="Arial" w:cs="Arial"/>
          <w:b/>
          <w:bCs/>
          <w:color w:val="FF9900"/>
          <w:sz w:val="24"/>
          <w:lang w:val="el-GR"/>
        </w:rPr>
        <w:lastRenderedPageBreak/>
        <w:t xml:space="preserve">Α. Οικονομικά Αποτελέσματα Συγκροτήματος – Υποκείμενη Βάση </w:t>
      </w:r>
      <w:r w:rsidRPr="0033500B">
        <w:rPr>
          <w:rFonts w:ascii="Arial" w:hAnsi="Arial" w:cs="Arial"/>
          <w:color w:val="FF9900"/>
          <w:sz w:val="24"/>
          <w:lang w:val="el-GR"/>
        </w:rPr>
        <w:t>(συνέχεια)</w:t>
      </w:r>
    </w:p>
    <w:p w14:paraId="28C0204C" w14:textId="77777777" w:rsidR="00EC685B" w:rsidRPr="0033500B" w:rsidRDefault="00EC685B" w:rsidP="00EC685B">
      <w:pPr>
        <w:rPr>
          <w:rFonts w:ascii="Arial" w:hAnsi="Arial" w:cs="Arial"/>
          <w:b/>
          <w:bCs/>
          <w:color w:val="FF9900"/>
          <w:sz w:val="23"/>
          <w:szCs w:val="23"/>
          <w:lang w:val="el-GR"/>
        </w:rPr>
      </w:pPr>
      <w:r w:rsidRPr="0033500B">
        <w:rPr>
          <w:rFonts w:ascii="Arial" w:hAnsi="Arial" w:cs="Arial"/>
          <w:b/>
          <w:bCs/>
          <w:color w:val="FF9900"/>
          <w:sz w:val="23"/>
          <w:szCs w:val="23"/>
          <w:lang w:val="el-GR"/>
        </w:rPr>
        <w:t xml:space="preserve">Α.1 Ανάλυση Ισολογισμού </w:t>
      </w:r>
      <w:r w:rsidRPr="0033500B">
        <w:rPr>
          <w:rFonts w:ascii="Arial" w:hAnsi="Arial" w:cs="Arial"/>
          <w:color w:val="FF9900"/>
          <w:sz w:val="23"/>
          <w:szCs w:val="23"/>
          <w:lang w:val="el-GR"/>
        </w:rPr>
        <w:t>(συνέχεια)</w:t>
      </w:r>
    </w:p>
    <w:p w14:paraId="6DA3DB59" w14:textId="77777777" w:rsidR="00EC685B" w:rsidRPr="0033500B" w:rsidRDefault="00EC685B" w:rsidP="00EC685B">
      <w:pPr>
        <w:spacing w:after="0" w:line="360" w:lineRule="auto"/>
        <w:jc w:val="both"/>
        <w:rPr>
          <w:rFonts w:ascii="Arial" w:eastAsia="Times New Roman" w:hAnsi="Arial" w:cs="Arial"/>
          <w:b/>
          <w:bCs/>
          <w:color w:val="FF9900"/>
          <w:szCs w:val="24"/>
          <w:lang w:val="el-GR" w:eastAsia="el-GR"/>
        </w:rPr>
      </w:pPr>
      <w:r w:rsidRPr="0033500B">
        <w:rPr>
          <w:rFonts w:ascii="Arial" w:hAnsi="Arial" w:cs="Arial"/>
          <w:b/>
          <w:bCs/>
          <w:color w:val="FF9900"/>
          <w:lang w:val="el-GR"/>
        </w:rPr>
        <w:t>Α.1</w:t>
      </w:r>
      <w:r w:rsidRPr="0033500B">
        <w:rPr>
          <w:rFonts w:ascii="Arial" w:eastAsia="Times New Roman" w:hAnsi="Arial" w:cs="Arial"/>
          <w:b/>
          <w:bCs/>
          <w:color w:val="FF9900"/>
          <w:szCs w:val="24"/>
          <w:lang w:val="el-GR" w:eastAsia="el-GR"/>
        </w:rPr>
        <w:t xml:space="preserve">.5 </w:t>
      </w:r>
      <w:r w:rsidRPr="0033500B">
        <w:rPr>
          <w:rFonts w:ascii="Arial" w:hAnsi="Arial" w:cs="Arial"/>
          <w:b/>
          <w:bCs/>
          <w:color w:val="FF9900"/>
          <w:lang w:val="el-GR" w:eastAsia="el-GR"/>
        </w:rPr>
        <w:t xml:space="preserve">Ποιότητα δανειακού χαρτοφυλακίου </w:t>
      </w:r>
      <w:r w:rsidRPr="0033500B">
        <w:rPr>
          <w:rFonts w:ascii="Arial" w:hAnsi="Arial" w:cs="Arial"/>
          <w:color w:val="FF9900"/>
          <w:sz w:val="23"/>
          <w:szCs w:val="23"/>
          <w:lang w:val="el-GR"/>
        </w:rPr>
        <w:t>(συνέχεια)</w:t>
      </w:r>
    </w:p>
    <w:p w14:paraId="5676B902" w14:textId="7C1C49B9" w:rsidR="00D969F0" w:rsidRPr="00D41B36" w:rsidRDefault="001D4750" w:rsidP="00502B4F">
      <w:pPr>
        <w:spacing w:after="0" w:line="360" w:lineRule="auto"/>
        <w:jc w:val="both"/>
        <w:rPr>
          <w:rFonts w:ascii="Arial" w:hAnsi="Arial" w:cs="Arial"/>
          <w:b/>
          <w:bCs/>
          <w:sz w:val="18"/>
          <w:szCs w:val="18"/>
          <w:highlight w:val="yellow"/>
          <w:lang w:val="el-GR"/>
        </w:rPr>
      </w:pPr>
      <w:r w:rsidRPr="007246A9">
        <w:rPr>
          <w:rFonts w:ascii="Arial" w:eastAsia="Times New Roman" w:hAnsi="Arial" w:cs="Arial"/>
          <w:b/>
          <w:bCs/>
          <w:i/>
          <w:iCs/>
          <w:color w:val="FF9900"/>
          <w:sz w:val="20"/>
          <w:szCs w:val="24"/>
          <w:lang w:val="el-GR" w:eastAsia="el-GR"/>
        </w:rPr>
        <w:t xml:space="preserve">Σχέδιο Ενοίκιο Έναντι Δόσης (ΣΕΕΔ) </w:t>
      </w:r>
    </w:p>
    <w:p w14:paraId="6605C2D5" w14:textId="77777777" w:rsidR="00511684" w:rsidRPr="007246A9" w:rsidRDefault="00511684" w:rsidP="00511684">
      <w:pPr>
        <w:spacing w:after="0" w:line="240" w:lineRule="auto"/>
        <w:jc w:val="both"/>
        <w:rPr>
          <w:rFonts w:ascii="Arial" w:hAnsi="Arial" w:cs="Arial"/>
          <w:sz w:val="18"/>
          <w:szCs w:val="18"/>
          <w:lang w:val="el-GR"/>
        </w:rPr>
      </w:pPr>
      <w:r w:rsidRPr="007246A9">
        <w:rPr>
          <w:rFonts w:ascii="Arial" w:eastAsia="Times New Roman" w:hAnsi="Arial" w:cs="Arial"/>
          <w:sz w:val="18"/>
          <w:szCs w:val="18"/>
          <w:lang w:val="el-GR" w:eastAsia="en-US"/>
        </w:rPr>
        <w:t xml:space="preserve">Τον Ιούλιο 2023, το ΣΕΕΔ εγκρίθηκε από το Υπουργικό Συμβούλιο και στοχεύει στην μείωση των </w:t>
      </w:r>
      <w:r w:rsidRPr="007246A9">
        <w:rPr>
          <w:rFonts w:ascii="Arial" w:hAnsi="Arial" w:cs="Arial"/>
          <w:sz w:val="18"/>
          <w:szCs w:val="18"/>
          <w:lang w:val="el-GR"/>
        </w:rPr>
        <w:t xml:space="preserve">ΜΕΔ με υποθήκη κύρια κατοικία και ταυτόχρονα στην προστασία της κύριας κατοικίας των ευάλωτων δανειοληπτών. Τα επιλέξιμα κριτήρια περιλαμβάνουν: </w:t>
      </w:r>
    </w:p>
    <w:p w14:paraId="06105D0B" w14:textId="77777777" w:rsidR="00511684" w:rsidRPr="007246A9" w:rsidRDefault="00511684" w:rsidP="00511684">
      <w:pPr>
        <w:spacing w:after="0" w:line="240" w:lineRule="auto"/>
        <w:jc w:val="both"/>
        <w:rPr>
          <w:rFonts w:ascii="Arial" w:hAnsi="Arial" w:cs="Arial"/>
          <w:sz w:val="18"/>
          <w:szCs w:val="18"/>
          <w:lang w:val="el-GR"/>
        </w:rPr>
      </w:pPr>
    </w:p>
    <w:p w14:paraId="3CCE258B" w14:textId="715AA610" w:rsidR="00511684" w:rsidRPr="007246A9" w:rsidRDefault="00511684" w:rsidP="008D10DD">
      <w:pPr>
        <w:pStyle w:val="ListParagraph"/>
        <w:numPr>
          <w:ilvl w:val="0"/>
          <w:numId w:val="17"/>
        </w:numPr>
        <w:jc w:val="both"/>
        <w:rPr>
          <w:rFonts w:ascii="Arial" w:hAnsi="Arial" w:cs="Arial"/>
          <w:bCs/>
          <w:sz w:val="18"/>
          <w:szCs w:val="20"/>
          <w:lang w:val="el-GR" w:eastAsia="el-GR"/>
        </w:rPr>
      </w:pPr>
      <w:r w:rsidRPr="007246A9">
        <w:rPr>
          <w:rFonts w:ascii="Arial" w:hAnsi="Arial" w:cs="Arial"/>
          <w:bCs/>
          <w:sz w:val="18"/>
          <w:szCs w:val="20"/>
          <w:lang w:val="el-GR" w:eastAsia="el-GR"/>
        </w:rPr>
        <w:t xml:space="preserve">Δανειολήπτες με δάνεια με υποθήκη κύρια κατοικία που </w:t>
      </w:r>
      <w:r w:rsidR="00147F7F">
        <w:rPr>
          <w:rFonts w:ascii="Arial" w:hAnsi="Arial" w:cs="Arial"/>
          <w:bCs/>
          <w:sz w:val="18"/>
          <w:szCs w:val="20"/>
          <w:lang w:val="el-GR" w:eastAsia="el-GR"/>
        </w:rPr>
        <w:t>ήταν αξιολογημένα</w:t>
      </w:r>
      <w:r w:rsidR="00147F7F" w:rsidRPr="007246A9">
        <w:rPr>
          <w:rFonts w:ascii="Arial" w:hAnsi="Arial" w:cs="Arial"/>
          <w:bCs/>
          <w:sz w:val="18"/>
          <w:szCs w:val="20"/>
          <w:lang w:val="el-GR" w:eastAsia="el-GR"/>
        </w:rPr>
        <w:t xml:space="preserve"> </w:t>
      </w:r>
      <w:r w:rsidRPr="007246A9">
        <w:rPr>
          <w:rFonts w:ascii="Arial" w:hAnsi="Arial" w:cs="Arial"/>
          <w:bCs/>
          <w:sz w:val="18"/>
          <w:szCs w:val="20"/>
          <w:lang w:val="el-GR" w:eastAsia="el-GR"/>
        </w:rPr>
        <w:t>ως ΜΕΔ στις 31 Δεκεμβρίου 2021, παρέμειναν ως ΜΕΔ στις 31 Δεκεμβρίου 2022 και έλαβαν κυβερνητικά επιδόματα κατά την περίοδο από τον Ιανουάριο 2021 μέχρι τον Δεκέμβριο 2022, με την αγοραία αξία της κύριας κατοικίας να μην υπερβαίνει τις €250 χιλιάδες,</w:t>
      </w:r>
    </w:p>
    <w:p w14:paraId="4B832853" w14:textId="77777777" w:rsidR="00511684" w:rsidRPr="007246A9" w:rsidRDefault="00511684" w:rsidP="008D10DD">
      <w:pPr>
        <w:pStyle w:val="ListParagraph"/>
        <w:numPr>
          <w:ilvl w:val="0"/>
          <w:numId w:val="17"/>
        </w:numPr>
        <w:jc w:val="both"/>
        <w:rPr>
          <w:rFonts w:ascii="Arial" w:hAnsi="Arial" w:cs="Arial"/>
          <w:bCs/>
          <w:sz w:val="18"/>
          <w:szCs w:val="20"/>
          <w:lang w:val="el-GR" w:eastAsia="el-GR"/>
        </w:rPr>
      </w:pPr>
      <w:r w:rsidRPr="007246A9">
        <w:rPr>
          <w:rFonts w:ascii="Arial" w:hAnsi="Arial" w:cs="Arial"/>
          <w:bCs/>
          <w:sz w:val="18"/>
          <w:szCs w:val="20"/>
          <w:lang w:val="el-GR" w:eastAsia="el-GR"/>
        </w:rPr>
        <w:t>Δανειολήπτες που κατείχαν ολοκληρωμένη αίτησή στο σχέδιο ΕΣΤΙΑ και είχαν κριθεί επιλέξιμοι αλλά μη βιώσιμοι, με την αγοραία αξία της κύριας κατοικίας να μην υπερβαίνει τις €350 χιλιάδες, και</w:t>
      </w:r>
    </w:p>
    <w:p w14:paraId="164BA314" w14:textId="7E9819CD" w:rsidR="00AE7151" w:rsidRDefault="00511684" w:rsidP="007246A9">
      <w:pPr>
        <w:pStyle w:val="ListParagraph"/>
        <w:numPr>
          <w:ilvl w:val="0"/>
          <w:numId w:val="17"/>
        </w:numPr>
        <w:autoSpaceDE w:val="0"/>
        <w:autoSpaceDN w:val="0"/>
        <w:jc w:val="both"/>
        <w:rPr>
          <w:rFonts w:ascii="Arial" w:hAnsi="Arial" w:cs="Arial"/>
          <w:bCs/>
          <w:sz w:val="18"/>
          <w:szCs w:val="20"/>
          <w:lang w:val="el-GR" w:eastAsia="el-GR"/>
        </w:rPr>
      </w:pPr>
      <w:r w:rsidRPr="007246A9">
        <w:rPr>
          <w:rFonts w:ascii="Arial" w:hAnsi="Arial" w:cs="Arial"/>
          <w:bCs/>
          <w:sz w:val="18"/>
          <w:szCs w:val="20"/>
          <w:lang w:val="el-GR" w:eastAsia="el-GR"/>
        </w:rPr>
        <w:t>Όλοι οι αιτούντες που είχαν εγκριθεί για το σχέδιο ΕΣΤΙΑ αλλά η ένταξη τους στο σχέδιο είχε μετέπειτα τερματιστεί.</w:t>
      </w:r>
    </w:p>
    <w:p w14:paraId="640AA408" w14:textId="77777777" w:rsidR="00EC685B" w:rsidRPr="007246A9" w:rsidRDefault="00EC685B" w:rsidP="00EC685B">
      <w:pPr>
        <w:pStyle w:val="ListParagraph"/>
        <w:autoSpaceDE w:val="0"/>
        <w:autoSpaceDN w:val="0"/>
        <w:jc w:val="both"/>
        <w:rPr>
          <w:rFonts w:ascii="Arial" w:hAnsi="Arial" w:cs="Arial"/>
          <w:bCs/>
          <w:sz w:val="18"/>
          <w:szCs w:val="20"/>
          <w:lang w:val="el-GR" w:eastAsia="el-GR"/>
        </w:rPr>
      </w:pPr>
    </w:p>
    <w:p w14:paraId="6EFA91AF" w14:textId="4222DA12" w:rsidR="00FC5395" w:rsidRPr="007246A9" w:rsidRDefault="006C3AB0" w:rsidP="00F55BB3">
      <w:pPr>
        <w:spacing w:line="240" w:lineRule="auto"/>
        <w:jc w:val="both"/>
        <w:rPr>
          <w:rFonts w:ascii="Arial" w:hAnsi="Arial" w:cs="Arial"/>
          <w:bCs/>
          <w:sz w:val="18"/>
          <w:szCs w:val="20"/>
          <w:lang w:val="el-GR" w:eastAsia="el-GR"/>
        </w:rPr>
      </w:pPr>
      <w:r w:rsidRPr="007246A9">
        <w:rPr>
          <w:rFonts w:ascii="Arial" w:hAnsi="Arial" w:cs="Arial"/>
          <w:bCs/>
          <w:sz w:val="18"/>
          <w:szCs w:val="20"/>
          <w:lang w:val="el-GR" w:eastAsia="el-GR"/>
        </w:rPr>
        <w:t xml:space="preserve">Σύμφωνα με το ΣΕΕΔ, οι επιλέξιμοι ιδιοκτήτες ακινήτων θα παραδώσουν εθελοντικά την κυριότητα της κατοικίας τους στην Κυπριακή Εταιρεία Διαχείρισης Περιουσιακών Στοιχείων </w:t>
      </w:r>
      <w:r w:rsidR="00FC5395" w:rsidRPr="007246A9">
        <w:rPr>
          <w:rFonts w:ascii="Arial" w:hAnsi="Arial" w:cs="Arial"/>
          <w:bCs/>
          <w:sz w:val="18"/>
          <w:szCs w:val="20"/>
          <w:lang w:val="el-GR" w:eastAsia="el-GR"/>
        </w:rPr>
        <w:t>(‘</w:t>
      </w:r>
      <w:r w:rsidRPr="007246A9">
        <w:rPr>
          <w:rFonts w:ascii="Arial" w:hAnsi="Arial" w:cs="Arial"/>
          <w:bCs/>
          <w:sz w:val="18"/>
          <w:szCs w:val="20"/>
          <w:lang w:val="el-GR" w:eastAsia="el-GR"/>
        </w:rPr>
        <w:t>ΚΕΔΙΠΕΣ</w:t>
      </w:r>
      <w:r w:rsidR="00FC5395" w:rsidRPr="007246A9">
        <w:rPr>
          <w:rFonts w:ascii="Arial" w:hAnsi="Arial" w:cs="Arial"/>
          <w:bCs/>
          <w:sz w:val="18"/>
          <w:szCs w:val="20"/>
          <w:lang w:val="el-GR" w:eastAsia="el-GR"/>
        </w:rPr>
        <w:t>’</w:t>
      </w:r>
      <w:r w:rsidRPr="007246A9">
        <w:rPr>
          <w:rFonts w:ascii="Arial" w:hAnsi="Arial" w:cs="Arial"/>
          <w:bCs/>
          <w:sz w:val="18"/>
          <w:szCs w:val="20"/>
          <w:lang w:val="el-GR" w:eastAsia="el-GR"/>
        </w:rPr>
        <w:t xml:space="preserve">), η οποία έχει εγκριθεί από την κυβέρνηση για την παροχή και διαχείριση κοινωνικής στέγασης και θα </w:t>
      </w:r>
      <w:r w:rsidR="00FC5395" w:rsidRPr="007246A9">
        <w:rPr>
          <w:rFonts w:ascii="Arial" w:hAnsi="Arial" w:cs="Arial"/>
          <w:bCs/>
          <w:sz w:val="18"/>
          <w:szCs w:val="20"/>
          <w:lang w:val="el-GR" w:eastAsia="el-GR"/>
        </w:rPr>
        <w:t>εξαιρούνται</w:t>
      </w:r>
      <w:r w:rsidRPr="007246A9">
        <w:rPr>
          <w:rFonts w:ascii="Arial" w:hAnsi="Arial" w:cs="Arial"/>
          <w:bCs/>
          <w:sz w:val="18"/>
          <w:szCs w:val="20"/>
          <w:lang w:val="el-GR" w:eastAsia="el-GR"/>
        </w:rPr>
        <w:t xml:space="preserve"> από το στεγαστικό τους δάνειο, καθώς το κράτος θα καλύπτει πλήρως το απαιτούμενο </w:t>
      </w:r>
      <w:r w:rsidR="00361086" w:rsidRPr="007246A9">
        <w:rPr>
          <w:rFonts w:ascii="Arial" w:hAnsi="Arial" w:cs="Arial"/>
          <w:bCs/>
          <w:sz w:val="18"/>
          <w:szCs w:val="20"/>
          <w:lang w:val="el-GR" w:eastAsia="el-GR"/>
        </w:rPr>
        <w:t xml:space="preserve">ενοίκιο </w:t>
      </w:r>
      <w:r w:rsidR="00FC5395" w:rsidRPr="007246A9">
        <w:rPr>
          <w:rFonts w:ascii="Arial" w:hAnsi="Arial" w:cs="Arial"/>
          <w:bCs/>
          <w:sz w:val="18"/>
          <w:szCs w:val="20"/>
          <w:lang w:val="el-GR" w:eastAsia="el-GR"/>
        </w:rPr>
        <w:t>εκ μέρους τους. Η ΚΕΔΙΠΕΣ θα προβεί σε νέα εκτίμηση και τεχνικό έλε</w:t>
      </w:r>
      <w:r w:rsidR="00C22A56" w:rsidRPr="007246A9">
        <w:rPr>
          <w:rFonts w:ascii="Arial" w:hAnsi="Arial" w:cs="Arial"/>
          <w:bCs/>
          <w:sz w:val="18"/>
          <w:szCs w:val="20"/>
          <w:lang w:val="el-GR" w:eastAsia="el-GR"/>
        </w:rPr>
        <w:t>γχο</w:t>
      </w:r>
      <w:r w:rsidR="00361086" w:rsidRPr="007246A9">
        <w:rPr>
          <w:rFonts w:ascii="Arial" w:hAnsi="Arial" w:cs="Arial"/>
          <w:bCs/>
          <w:sz w:val="18"/>
          <w:szCs w:val="20"/>
          <w:lang w:val="el-GR" w:eastAsia="el-GR"/>
        </w:rPr>
        <w:t xml:space="preserve"> της κατοικίας των επιλέξιμων αιτούντων και, εφόσον το αποτέλεσμα είναι ικανοποιητικό, θα εγκρίνει την αίτηση και θα καταβάλει στις τράπεζες ποσό ίσο με το 65% της αγοραίας αξίας της κύριας κατοικίας με αντάλλαγμα την αποδέσμευση της υποθήκης, της διαγραφής του ΜΕΔ και της μεταβίβασης των τίτλων ιδιοκτησίας του ακινήτου. </w:t>
      </w:r>
    </w:p>
    <w:p w14:paraId="14A64794" w14:textId="110A9CAE" w:rsidR="00E465D3" w:rsidRPr="007246A9" w:rsidRDefault="00FC5395" w:rsidP="00F55BB3">
      <w:pPr>
        <w:spacing w:line="240" w:lineRule="auto"/>
        <w:jc w:val="both"/>
        <w:rPr>
          <w:rFonts w:ascii="Arial" w:hAnsi="Arial" w:cs="Arial"/>
          <w:bCs/>
          <w:sz w:val="18"/>
          <w:szCs w:val="20"/>
          <w:lang w:val="el-GR" w:eastAsia="el-GR"/>
        </w:rPr>
      </w:pPr>
      <w:r w:rsidRPr="007246A9">
        <w:rPr>
          <w:rFonts w:ascii="Arial" w:hAnsi="Arial" w:cs="Arial"/>
          <w:bCs/>
          <w:sz w:val="18"/>
          <w:szCs w:val="20"/>
          <w:lang w:val="el-GR" w:eastAsia="el-GR"/>
        </w:rPr>
        <w:t>Οι</w:t>
      </w:r>
      <w:r w:rsidR="00E465D3" w:rsidRPr="007246A9">
        <w:rPr>
          <w:rFonts w:ascii="Arial" w:hAnsi="Arial" w:cs="Arial"/>
          <w:bCs/>
          <w:sz w:val="18"/>
          <w:szCs w:val="20"/>
          <w:lang w:val="el-GR" w:eastAsia="el-GR"/>
        </w:rPr>
        <w:t xml:space="preserve"> επιλέξιμοι αιτούντες, μετά τα 5 χρόνια, θα έχουν τη δυνατότητα να αγοράσουν την κύρια κατοικία σε ευνοϊκή αξία, πιο χαμηλή από την αγοραία αξία της. </w:t>
      </w:r>
    </w:p>
    <w:p w14:paraId="098E9B6F" w14:textId="3C1C232B" w:rsidR="000F7768" w:rsidRPr="007246A9" w:rsidRDefault="006C3AB0" w:rsidP="00DD0AC7">
      <w:pPr>
        <w:spacing w:after="0" w:line="240" w:lineRule="auto"/>
        <w:jc w:val="both"/>
        <w:rPr>
          <w:rFonts w:ascii="Arial" w:eastAsia="Times New Roman" w:hAnsi="Arial" w:cs="Arial"/>
          <w:sz w:val="18"/>
          <w:szCs w:val="18"/>
          <w:lang w:val="el-GR" w:eastAsia="en-US"/>
        </w:rPr>
      </w:pPr>
      <w:r w:rsidRPr="007246A9">
        <w:rPr>
          <w:rFonts w:ascii="Arial" w:eastAsia="Times New Roman" w:hAnsi="Arial" w:cs="Arial"/>
          <w:sz w:val="18"/>
          <w:szCs w:val="18"/>
          <w:lang w:val="el-GR" w:eastAsia="en-US"/>
        </w:rPr>
        <w:t xml:space="preserve">Το </w:t>
      </w:r>
      <w:r w:rsidR="00130FB5" w:rsidRPr="007246A9">
        <w:rPr>
          <w:rFonts w:ascii="Arial" w:eastAsia="Times New Roman" w:hAnsi="Arial" w:cs="Arial"/>
          <w:sz w:val="18"/>
          <w:szCs w:val="18"/>
          <w:lang w:val="el-GR" w:eastAsia="en-US"/>
        </w:rPr>
        <w:t xml:space="preserve">σχέδιο </w:t>
      </w:r>
      <w:r w:rsidRPr="007246A9">
        <w:rPr>
          <w:rFonts w:ascii="Arial" w:eastAsia="Times New Roman" w:hAnsi="Arial" w:cs="Arial"/>
          <w:sz w:val="18"/>
          <w:szCs w:val="18"/>
          <w:lang w:val="el-GR" w:eastAsia="en-US"/>
        </w:rPr>
        <w:t>τέθηκε σε εφαρμογή τον Δεκέμβριο 2023</w:t>
      </w:r>
      <w:r w:rsidR="00130FB5" w:rsidRPr="007246A9">
        <w:rPr>
          <w:rFonts w:ascii="Arial" w:eastAsia="Times New Roman" w:hAnsi="Arial" w:cs="Arial"/>
          <w:sz w:val="18"/>
          <w:szCs w:val="18"/>
          <w:lang w:val="el-GR" w:eastAsia="en-US"/>
        </w:rPr>
        <w:t xml:space="preserve">. Στόχος του είναι </w:t>
      </w:r>
      <w:r w:rsidR="003F63E3" w:rsidRPr="007246A9">
        <w:rPr>
          <w:rFonts w:ascii="Arial" w:eastAsia="Times New Roman" w:hAnsi="Arial" w:cs="Arial"/>
          <w:sz w:val="18"/>
          <w:szCs w:val="18"/>
          <w:lang w:val="el-GR" w:eastAsia="en-US"/>
        </w:rPr>
        <w:t xml:space="preserve">να δράσει ως ακόμη ένα εργαλείο για την αντιμετώπιση των ΜΕΔ στον τομέα λιανικής τραπεζικής. </w:t>
      </w:r>
    </w:p>
    <w:p w14:paraId="0BE67D2E" w14:textId="77777777" w:rsidR="008C7AAA" w:rsidRPr="007246A9" w:rsidRDefault="008C7AAA" w:rsidP="00DD0AC7">
      <w:pPr>
        <w:spacing w:after="0" w:line="240" w:lineRule="auto"/>
        <w:jc w:val="both"/>
        <w:rPr>
          <w:rFonts w:ascii="Arial" w:eastAsia="Times New Roman" w:hAnsi="Arial" w:cs="Arial"/>
          <w:sz w:val="18"/>
          <w:szCs w:val="18"/>
          <w:lang w:val="el-GR" w:eastAsia="en-US"/>
        </w:rPr>
      </w:pPr>
    </w:p>
    <w:p w14:paraId="1A03D501" w14:textId="4E1998F1" w:rsidR="00DD0AC7" w:rsidRPr="007246A9" w:rsidRDefault="00AE7151" w:rsidP="002354D5">
      <w:pPr>
        <w:spacing w:after="0" w:line="360" w:lineRule="auto"/>
        <w:rPr>
          <w:rFonts w:ascii="Arial" w:hAnsi="Arial" w:cs="Arial"/>
          <w:lang w:val="el-GR"/>
        </w:rPr>
      </w:pPr>
      <w:r w:rsidRPr="007246A9">
        <w:rPr>
          <w:rFonts w:ascii="Arial" w:hAnsi="Arial" w:cs="Arial"/>
          <w:b/>
          <w:bCs/>
          <w:color w:val="FF9900"/>
          <w:lang w:val="el-GR"/>
        </w:rPr>
        <w:t>Α</w:t>
      </w:r>
      <w:r w:rsidR="00DD0AC7" w:rsidRPr="007246A9">
        <w:rPr>
          <w:rFonts w:ascii="Arial" w:hAnsi="Arial" w:cs="Arial"/>
          <w:b/>
          <w:bCs/>
          <w:color w:val="FF9900"/>
          <w:lang w:val="el-GR"/>
        </w:rPr>
        <w:t>.</w:t>
      </w:r>
      <w:r w:rsidRPr="007246A9">
        <w:rPr>
          <w:rFonts w:ascii="Arial" w:hAnsi="Arial" w:cs="Arial"/>
          <w:b/>
          <w:bCs/>
          <w:color w:val="FF9900"/>
          <w:lang w:val="el-GR"/>
        </w:rPr>
        <w:t>1</w:t>
      </w:r>
      <w:r w:rsidR="00DD0AC7" w:rsidRPr="007246A9">
        <w:rPr>
          <w:rFonts w:ascii="Arial" w:hAnsi="Arial" w:cs="Arial"/>
          <w:b/>
          <w:bCs/>
          <w:color w:val="FF9900"/>
          <w:lang w:val="el-GR"/>
        </w:rPr>
        <w:t xml:space="preserve">.6 </w:t>
      </w:r>
      <w:r w:rsidR="00DD0AC7" w:rsidRPr="007246A9">
        <w:rPr>
          <w:rFonts w:ascii="Arial" w:eastAsia="Times New Roman" w:hAnsi="Arial" w:cs="Arial"/>
          <w:b/>
          <w:bCs/>
          <w:color w:val="FF9900"/>
          <w:lang w:val="el-GR" w:eastAsia="el-GR"/>
        </w:rPr>
        <w:t>Χαρτοφυλάκιο Ομολόγων</w:t>
      </w:r>
    </w:p>
    <w:p w14:paraId="200F3765" w14:textId="79DEB393" w:rsidR="00DD0AC7" w:rsidRPr="007246A9" w:rsidRDefault="00DD0AC7" w:rsidP="00DD0AC7">
      <w:pPr>
        <w:tabs>
          <w:tab w:val="left" w:pos="0"/>
          <w:tab w:val="left" w:pos="282"/>
          <w:tab w:val="left" w:pos="720"/>
        </w:tabs>
        <w:suppressAutoHyphens/>
        <w:spacing w:after="0" w:line="240" w:lineRule="auto"/>
        <w:jc w:val="both"/>
        <w:rPr>
          <w:rFonts w:ascii="Arial" w:hAnsi="Arial" w:cs="Arial"/>
          <w:sz w:val="18"/>
          <w:szCs w:val="18"/>
          <w:lang w:val="el-GR"/>
        </w:rPr>
      </w:pPr>
      <w:r w:rsidRPr="007246A9">
        <w:rPr>
          <w:rFonts w:ascii="Arial" w:hAnsi="Arial" w:cs="Arial"/>
          <w:sz w:val="18"/>
          <w:szCs w:val="18"/>
          <w:lang w:val="el-GR"/>
        </w:rPr>
        <w:t xml:space="preserve">Το </w:t>
      </w:r>
      <w:r w:rsidRPr="009B2399">
        <w:rPr>
          <w:rFonts w:ascii="Arial" w:hAnsi="Arial" w:cs="Arial"/>
          <w:sz w:val="18"/>
          <w:szCs w:val="18"/>
          <w:lang w:val="el-GR"/>
        </w:rPr>
        <w:t xml:space="preserve">χαρτοφυλάκιο ομολόγων ανέρχεται σε </w:t>
      </w:r>
      <w:r w:rsidR="009B2399" w:rsidRPr="00502B4F">
        <w:rPr>
          <w:rFonts w:ascii="Arial" w:eastAsia="Times New Roman" w:hAnsi="Arial" w:cs="Arial"/>
          <w:sz w:val="18"/>
          <w:szCs w:val="18"/>
          <w:lang w:val="el-GR" w:eastAsia="el-GR"/>
        </w:rPr>
        <w:t>€4,061</w:t>
      </w:r>
      <w:r w:rsidR="00153CB3" w:rsidRPr="00502B4F">
        <w:rPr>
          <w:rFonts w:ascii="Arial" w:eastAsia="Times New Roman" w:hAnsi="Arial" w:cs="Arial"/>
          <w:sz w:val="18"/>
          <w:szCs w:val="18"/>
          <w:lang w:val="el-GR" w:eastAsia="el-GR"/>
        </w:rPr>
        <w:t xml:space="preserve"> </w:t>
      </w:r>
      <w:r w:rsidRPr="009B2399">
        <w:rPr>
          <w:rFonts w:ascii="Arial" w:hAnsi="Arial" w:cs="Arial"/>
          <w:sz w:val="18"/>
          <w:szCs w:val="18"/>
          <w:lang w:val="el-GR"/>
        </w:rPr>
        <w:t xml:space="preserve">εκατ. στις </w:t>
      </w:r>
      <w:r w:rsidR="00F37FE7" w:rsidRPr="009B2399">
        <w:rPr>
          <w:rFonts w:ascii="Arial" w:hAnsi="Arial" w:cs="Arial"/>
          <w:sz w:val="18"/>
          <w:szCs w:val="18"/>
          <w:lang w:val="el-GR"/>
        </w:rPr>
        <w:t xml:space="preserve">30 </w:t>
      </w:r>
      <w:r w:rsidR="00AE7151" w:rsidRPr="009B2399">
        <w:rPr>
          <w:rFonts w:ascii="Arial" w:hAnsi="Arial" w:cs="Arial"/>
          <w:sz w:val="18"/>
          <w:szCs w:val="18"/>
          <w:lang w:val="el-GR"/>
        </w:rPr>
        <w:t xml:space="preserve">Σεπτεμβρίου </w:t>
      </w:r>
      <w:r w:rsidR="00C60855" w:rsidRPr="009B2399">
        <w:rPr>
          <w:rFonts w:ascii="Arial" w:hAnsi="Arial" w:cs="Arial"/>
          <w:sz w:val="18"/>
          <w:szCs w:val="18"/>
          <w:lang w:val="el-GR"/>
        </w:rPr>
        <w:t>2024</w:t>
      </w:r>
      <w:r w:rsidRPr="009B2399">
        <w:rPr>
          <w:rFonts w:ascii="Arial" w:hAnsi="Arial" w:cs="Arial"/>
          <w:sz w:val="18"/>
          <w:szCs w:val="18"/>
          <w:lang w:val="el-GR"/>
        </w:rPr>
        <w:t>, σε σύγκριση με</w:t>
      </w:r>
      <w:r w:rsidR="00F4072A" w:rsidRPr="009B2399">
        <w:rPr>
          <w:rFonts w:ascii="Arial" w:hAnsi="Arial" w:cs="Arial"/>
          <w:sz w:val="18"/>
          <w:szCs w:val="18"/>
          <w:lang w:val="el-GR"/>
        </w:rPr>
        <w:t xml:space="preserve"> </w:t>
      </w:r>
      <w:r w:rsidR="00AE7151" w:rsidRPr="009B2399">
        <w:rPr>
          <w:rFonts w:ascii="Arial" w:hAnsi="Arial" w:cs="Arial"/>
          <w:sz w:val="18"/>
          <w:szCs w:val="18"/>
          <w:lang w:val="el-GR"/>
        </w:rPr>
        <w:t xml:space="preserve">€3,828 εκατ. στις 30 Ιουνίου 2024 </w:t>
      </w:r>
      <w:r w:rsidR="00F37FE7" w:rsidRPr="009B2399">
        <w:rPr>
          <w:rFonts w:ascii="Arial" w:hAnsi="Arial" w:cs="Arial"/>
          <w:sz w:val="18"/>
          <w:szCs w:val="18"/>
          <w:lang w:val="el-GR"/>
        </w:rPr>
        <w:t xml:space="preserve">και με </w:t>
      </w:r>
      <w:r w:rsidR="009B2399" w:rsidRPr="00502B4F">
        <w:rPr>
          <w:rFonts w:ascii="Arial" w:eastAsia="Times New Roman" w:hAnsi="Arial" w:cs="Arial"/>
          <w:sz w:val="18"/>
          <w:szCs w:val="18"/>
          <w:lang w:val="el-GR" w:eastAsia="el-GR"/>
        </w:rPr>
        <w:t xml:space="preserve">€3,489 </w:t>
      </w:r>
      <w:r w:rsidR="00031B72" w:rsidRPr="009B2399">
        <w:rPr>
          <w:rFonts w:ascii="Arial" w:hAnsi="Arial" w:cs="Arial"/>
          <w:sz w:val="18"/>
          <w:szCs w:val="18"/>
          <w:lang w:val="el-GR"/>
        </w:rPr>
        <w:t xml:space="preserve">εκατ. στις </w:t>
      </w:r>
      <w:r w:rsidR="000E5BC5" w:rsidRPr="009B2399">
        <w:rPr>
          <w:rFonts w:ascii="Arial" w:hAnsi="Arial" w:cs="Arial"/>
          <w:sz w:val="18"/>
          <w:szCs w:val="18"/>
          <w:lang w:val="el-GR"/>
        </w:rPr>
        <w:t xml:space="preserve">30 </w:t>
      </w:r>
      <w:r w:rsidR="009B2399" w:rsidRPr="009B2399">
        <w:rPr>
          <w:rFonts w:ascii="Arial" w:hAnsi="Arial" w:cs="Arial"/>
          <w:sz w:val="18"/>
          <w:szCs w:val="18"/>
          <w:lang w:val="el-GR"/>
        </w:rPr>
        <w:t xml:space="preserve">Σεπτεμβρίου </w:t>
      </w:r>
      <w:r w:rsidR="00031B72" w:rsidRPr="009B2399">
        <w:rPr>
          <w:rFonts w:ascii="Arial" w:hAnsi="Arial" w:cs="Arial"/>
          <w:sz w:val="18"/>
          <w:szCs w:val="18"/>
          <w:lang w:val="el-GR"/>
        </w:rPr>
        <w:t>2023</w:t>
      </w:r>
      <w:r w:rsidRPr="009B2399">
        <w:rPr>
          <w:rFonts w:ascii="Arial" w:hAnsi="Arial" w:cs="Arial"/>
          <w:sz w:val="18"/>
          <w:szCs w:val="18"/>
          <w:lang w:val="el-GR"/>
        </w:rPr>
        <w:t xml:space="preserve">, αυξημένο κατά </w:t>
      </w:r>
      <w:r w:rsidR="009B2399" w:rsidRPr="00502B4F">
        <w:rPr>
          <w:rFonts w:ascii="Arial" w:eastAsia="Times New Roman" w:hAnsi="Arial" w:cs="Arial"/>
          <w:sz w:val="18"/>
          <w:szCs w:val="18"/>
          <w:lang w:val="el-GR" w:eastAsia="el-GR"/>
        </w:rPr>
        <w:t>6</w:t>
      </w:r>
      <w:r w:rsidRPr="009B2399">
        <w:rPr>
          <w:rFonts w:ascii="Arial" w:hAnsi="Arial" w:cs="Arial"/>
          <w:sz w:val="18"/>
          <w:szCs w:val="18"/>
          <w:lang w:val="el-GR"/>
        </w:rPr>
        <w:t>%</w:t>
      </w:r>
      <w:r w:rsidR="00F4072A" w:rsidRPr="009B2399">
        <w:rPr>
          <w:rFonts w:ascii="Arial" w:hAnsi="Arial" w:cs="Arial"/>
          <w:sz w:val="18"/>
          <w:szCs w:val="18"/>
          <w:lang w:val="el-GR"/>
        </w:rPr>
        <w:t xml:space="preserve"> </w:t>
      </w:r>
      <w:r w:rsidR="00F4072A" w:rsidRPr="009B2399">
        <w:rPr>
          <w:rFonts w:ascii="Arial" w:hAnsi="Arial" w:cs="Arial"/>
          <w:sz w:val="18"/>
          <w:szCs w:val="18"/>
          <w:lang w:val="el-GR" w:eastAsia="el-GR"/>
        </w:rPr>
        <w:t>από το προηγούμενο τρίμηνο</w:t>
      </w:r>
      <w:r w:rsidR="00031B72" w:rsidRPr="009B2399">
        <w:rPr>
          <w:rFonts w:ascii="Arial" w:hAnsi="Arial" w:cs="Arial"/>
          <w:sz w:val="18"/>
          <w:szCs w:val="18"/>
          <w:lang w:val="el-GR" w:eastAsia="el-GR"/>
        </w:rPr>
        <w:t xml:space="preserve"> και κατά </w:t>
      </w:r>
      <w:r w:rsidR="009B2399" w:rsidRPr="00502B4F">
        <w:rPr>
          <w:rFonts w:ascii="Arial" w:eastAsia="Times New Roman" w:hAnsi="Arial" w:cs="Arial"/>
          <w:sz w:val="18"/>
          <w:szCs w:val="18"/>
          <w:lang w:val="el-GR" w:eastAsia="el-GR"/>
        </w:rPr>
        <w:t>16</w:t>
      </w:r>
      <w:r w:rsidR="00031B72" w:rsidRPr="009B2399">
        <w:rPr>
          <w:rFonts w:ascii="Arial" w:hAnsi="Arial" w:cs="Arial"/>
          <w:sz w:val="18"/>
          <w:szCs w:val="18"/>
          <w:lang w:val="el-GR" w:eastAsia="el-GR"/>
        </w:rPr>
        <w:t>% σε ετήσια βάση</w:t>
      </w:r>
      <w:r w:rsidR="00031B72" w:rsidRPr="009B2399">
        <w:rPr>
          <w:rFonts w:ascii="Arial" w:hAnsi="Arial" w:cs="Arial"/>
          <w:sz w:val="18"/>
          <w:szCs w:val="18"/>
          <w:lang w:val="el-GR"/>
        </w:rPr>
        <w:t>.</w:t>
      </w:r>
      <w:r w:rsidR="00AE7151" w:rsidRPr="009B2399">
        <w:rPr>
          <w:rFonts w:ascii="Arial" w:hAnsi="Arial" w:cs="Arial"/>
          <w:sz w:val="18"/>
          <w:szCs w:val="18"/>
          <w:lang w:val="el-GR"/>
        </w:rPr>
        <w:t xml:space="preserve"> </w:t>
      </w:r>
      <w:r w:rsidR="003D7061" w:rsidRPr="007246A9">
        <w:rPr>
          <w:rFonts w:ascii="Arial" w:hAnsi="Arial" w:cs="Arial"/>
          <w:sz w:val="18"/>
          <w:szCs w:val="18"/>
          <w:lang w:val="el-GR"/>
        </w:rPr>
        <w:t xml:space="preserve">Στις </w:t>
      </w:r>
      <w:r w:rsidR="00F37FE7" w:rsidRPr="007246A9">
        <w:rPr>
          <w:rFonts w:ascii="Arial" w:hAnsi="Arial" w:cs="Arial"/>
          <w:sz w:val="18"/>
          <w:szCs w:val="18"/>
          <w:lang w:val="el-GR"/>
        </w:rPr>
        <w:t xml:space="preserve">30 </w:t>
      </w:r>
      <w:r w:rsidR="00AE7151" w:rsidRPr="00AE7151">
        <w:rPr>
          <w:rFonts w:ascii="Arial" w:hAnsi="Arial" w:cs="Arial"/>
          <w:sz w:val="18"/>
          <w:szCs w:val="18"/>
          <w:lang w:val="el-GR"/>
        </w:rPr>
        <w:t xml:space="preserve">Σεπτεμβρίου </w:t>
      </w:r>
      <w:r w:rsidR="006A0ADF" w:rsidRPr="00153CB3">
        <w:rPr>
          <w:rFonts w:ascii="Arial" w:hAnsi="Arial" w:cs="Arial"/>
          <w:sz w:val="18"/>
          <w:szCs w:val="18"/>
          <w:lang w:val="el-GR"/>
        </w:rPr>
        <w:t>2024</w:t>
      </w:r>
      <w:r w:rsidR="003D7061" w:rsidRPr="00153CB3">
        <w:rPr>
          <w:rFonts w:ascii="Arial" w:hAnsi="Arial" w:cs="Arial"/>
          <w:sz w:val="18"/>
          <w:szCs w:val="18"/>
          <w:lang w:val="el-GR"/>
        </w:rPr>
        <w:t>,</w:t>
      </w:r>
      <w:r w:rsidR="000E5BC5" w:rsidRPr="00153CB3">
        <w:rPr>
          <w:rFonts w:ascii="Arial" w:hAnsi="Arial" w:cs="Arial"/>
          <w:sz w:val="18"/>
          <w:szCs w:val="18"/>
          <w:lang w:val="el-GR"/>
        </w:rPr>
        <w:t xml:space="preserve"> </w:t>
      </w:r>
      <w:r w:rsidR="003D7061" w:rsidRPr="00153CB3">
        <w:rPr>
          <w:rFonts w:ascii="Arial" w:hAnsi="Arial" w:cs="Arial"/>
          <w:sz w:val="18"/>
          <w:szCs w:val="18"/>
          <w:lang w:val="el-GR"/>
        </w:rPr>
        <w:t>τ</w:t>
      </w:r>
      <w:r w:rsidRPr="00153CB3">
        <w:rPr>
          <w:rFonts w:ascii="Arial" w:hAnsi="Arial" w:cs="Arial"/>
          <w:sz w:val="18"/>
          <w:szCs w:val="18"/>
          <w:lang w:val="el-GR"/>
        </w:rPr>
        <w:t>ο χαρτοφυλάκιο αντιπροσωπεύει το</w:t>
      </w:r>
      <w:r w:rsidR="009B2399" w:rsidRPr="00153CB3">
        <w:rPr>
          <w:rFonts w:ascii="Arial" w:hAnsi="Arial" w:cs="Arial"/>
          <w:sz w:val="18"/>
          <w:szCs w:val="18"/>
          <w:lang w:val="el-GR"/>
        </w:rPr>
        <w:t xml:space="preserve"> </w:t>
      </w:r>
      <w:r w:rsidR="009B2399" w:rsidRPr="00502B4F">
        <w:rPr>
          <w:rFonts w:ascii="Arial" w:eastAsia="Times New Roman" w:hAnsi="Arial" w:cs="Arial"/>
          <w:sz w:val="18"/>
          <w:szCs w:val="18"/>
          <w:lang w:val="el-GR" w:eastAsia="el-GR"/>
        </w:rPr>
        <w:t>16</w:t>
      </w:r>
      <w:r w:rsidRPr="00153CB3">
        <w:rPr>
          <w:rFonts w:ascii="Arial" w:hAnsi="Arial" w:cs="Arial"/>
          <w:sz w:val="18"/>
          <w:szCs w:val="18"/>
          <w:lang w:val="el-GR"/>
        </w:rPr>
        <w:t>% του συνόλου των περιουσιακών στοιχείων</w:t>
      </w:r>
      <w:r w:rsidR="000E5BC5" w:rsidRPr="00153CB3">
        <w:rPr>
          <w:rFonts w:ascii="Arial" w:hAnsi="Arial" w:cs="Arial"/>
          <w:sz w:val="18"/>
          <w:szCs w:val="18"/>
          <w:lang w:val="el-GR"/>
        </w:rPr>
        <w:t xml:space="preserve"> </w:t>
      </w:r>
      <w:r w:rsidRPr="00153CB3">
        <w:rPr>
          <w:rFonts w:ascii="Arial" w:hAnsi="Arial" w:cs="Arial"/>
          <w:sz w:val="18"/>
          <w:szCs w:val="18"/>
          <w:lang w:val="el-GR"/>
        </w:rPr>
        <w:t>και αποτελείται από επενδύσεις</w:t>
      </w:r>
      <w:r w:rsidR="00BF63CD" w:rsidRPr="00153CB3">
        <w:rPr>
          <w:rFonts w:ascii="Arial" w:hAnsi="Arial" w:cs="Arial"/>
          <w:sz w:val="18"/>
          <w:szCs w:val="18"/>
          <w:lang w:val="el-GR"/>
        </w:rPr>
        <w:t xml:space="preserve"> </w:t>
      </w:r>
      <w:r w:rsidRPr="00153CB3">
        <w:rPr>
          <w:rFonts w:ascii="Arial" w:hAnsi="Arial" w:cs="Arial"/>
          <w:sz w:val="18"/>
          <w:szCs w:val="18"/>
          <w:lang w:val="el-GR"/>
        </w:rPr>
        <w:t>ύψους €</w:t>
      </w:r>
      <w:r w:rsidR="009B2399" w:rsidRPr="00502B4F">
        <w:rPr>
          <w:rFonts w:ascii="Arial" w:eastAsia="Times New Roman" w:hAnsi="Arial" w:cs="Arial"/>
          <w:sz w:val="18"/>
          <w:szCs w:val="18"/>
          <w:lang w:val="el-GR" w:eastAsia="el-GR"/>
        </w:rPr>
        <w:t>3,655</w:t>
      </w:r>
      <w:r w:rsidR="009B2399" w:rsidRPr="00153CB3">
        <w:rPr>
          <w:rFonts w:ascii="Arial" w:eastAsia="Times New Roman" w:hAnsi="Arial" w:cs="Arial"/>
          <w:sz w:val="18"/>
          <w:szCs w:val="18"/>
          <w:lang w:val="el-GR" w:eastAsia="el-GR"/>
        </w:rPr>
        <w:t xml:space="preserve"> </w:t>
      </w:r>
      <w:r w:rsidRPr="00153CB3">
        <w:rPr>
          <w:rFonts w:ascii="Arial" w:hAnsi="Arial" w:cs="Arial"/>
          <w:sz w:val="18"/>
          <w:szCs w:val="18"/>
          <w:lang w:val="el-GR"/>
        </w:rPr>
        <w:t>εκατ. (</w:t>
      </w:r>
      <w:r w:rsidR="009B2399" w:rsidRPr="00502B4F">
        <w:rPr>
          <w:rFonts w:ascii="Arial" w:eastAsia="Times New Roman" w:hAnsi="Arial" w:cs="Arial"/>
          <w:sz w:val="18"/>
          <w:szCs w:val="18"/>
          <w:lang w:val="el-GR" w:eastAsia="el-GR"/>
        </w:rPr>
        <w:t>90</w:t>
      </w:r>
      <w:r w:rsidRPr="00153CB3">
        <w:rPr>
          <w:rFonts w:ascii="Arial" w:hAnsi="Arial" w:cs="Arial"/>
          <w:sz w:val="18"/>
          <w:szCs w:val="18"/>
          <w:lang w:val="el-GR"/>
        </w:rPr>
        <w:t>%) που επιμετρούνται σε αποσβεσμένο κόστος και επενδύσεις</w:t>
      </w:r>
      <w:r w:rsidR="00BF63CD" w:rsidRPr="00153CB3">
        <w:rPr>
          <w:rFonts w:ascii="Arial" w:hAnsi="Arial" w:cs="Arial"/>
          <w:sz w:val="18"/>
          <w:szCs w:val="18"/>
          <w:lang w:val="el-GR"/>
        </w:rPr>
        <w:t xml:space="preserve"> </w:t>
      </w:r>
      <w:r w:rsidRPr="00153CB3">
        <w:rPr>
          <w:rFonts w:ascii="Arial" w:hAnsi="Arial" w:cs="Arial"/>
          <w:sz w:val="18"/>
          <w:szCs w:val="18"/>
          <w:lang w:val="el-GR"/>
        </w:rPr>
        <w:t>ύψους €</w:t>
      </w:r>
      <w:r w:rsidR="00153CB3" w:rsidRPr="00502B4F">
        <w:rPr>
          <w:rFonts w:ascii="Arial" w:eastAsia="Times New Roman" w:hAnsi="Arial" w:cs="Arial"/>
          <w:sz w:val="18"/>
          <w:szCs w:val="18"/>
          <w:lang w:val="el-GR" w:eastAsia="el-GR"/>
        </w:rPr>
        <w:t xml:space="preserve">406 </w:t>
      </w:r>
      <w:r w:rsidRPr="00153CB3">
        <w:rPr>
          <w:rFonts w:ascii="Arial" w:hAnsi="Arial" w:cs="Arial"/>
          <w:sz w:val="18"/>
          <w:szCs w:val="18"/>
          <w:lang w:val="el-GR"/>
        </w:rPr>
        <w:t>εκατ. (</w:t>
      </w:r>
      <w:r w:rsidR="00153CB3" w:rsidRPr="00502B4F">
        <w:rPr>
          <w:rFonts w:ascii="Arial" w:eastAsia="Times New Roman" w:hAnsi="Arial" w:cs="Arial"/>
          <w:sz w:val="18"/>
          <w:szCs w:val="18"/>
          <w:lang w:val="el-GR" w:eastAsia="el-GR"/>
        </w:rPr>
        <w:t>10</w:t>
      </w:r>
      <w:r w:rsidRPr="00153CB3">
        <w:rPr>
          <w:rFonts w:ascii="Arial" w:hAnsi="Arial" w:cs="Arial"/>
          <w:sz w:val="18"/>
          <w:szCs w:val="18"/>
          <w:lang w:val="el-GR"/>
        </w:rPr>
        <w:t xml:space="preserve">%) που επιμετρούνται </w:t>
      </w:r>
      <w:r w:rsidRPr="007246A9">
        <w:rPr>
          <w:rFonts w:ascii="Arial" w:hAnsi="Arial" w:cs="Arial"/>
          <w:sz w:val="18"/>
          <w:szCs w:val="18"/>
          <w:lang w:val="el-GR"/>
        </w:rPr>
        <w:t>στην εύλογη αξία μέσω των λοιπών συνολικών εισοδημάτων.</w:t>
      </w:r>
    </w:p>
    <w:p w14:paraId="49D92D57" w14:textId="77777777" w:rsidR="00343F85" w:rsidRPr="007246A9" w:rsidRDefault="00343F85" w:rsidP="00343F85">
      <w:pPr>
        <w:tabs>
          <w:tab w:val="left" w:pos="0"/>
          <w:tab w:val="left" w:pos="3251"/>
        </w:tabs>
        <w:suppressAutoHyphens/>
        <w:spacing w:after="0" w:line="240" w:lineRule="auto"/>
        <w:jc w:val="both"/>
        <w:rPr>
          <w:rFonts w:ascii="Arial" w:eastAsia="Batang" w:hAnsi="Arial" w:cs="Arial"/>
          <w:sz w:val="18"/>
          <w:szCs w:val="18"/>
          <w:lang w:val="el-GR" w:eastAsia="en-US"/>
        </w:rPr>
      </w:pPr>
    </w:p>
    <w:p w14:paraId="2D4A1E79" w14:textId="037A1DD3" w:rsidR="00845776" w:rsidRPr="00D41B36" w:rsidRDefault="005E52E2" w:rsidP="00502B4F">
      <w:pPr>
        <w:tabs>
          <w:tab w:val="left" w:pos="0"/>
          <w:tab w:val="left" w:pos="3251"/>
          <w:tab w:val="left" w:pos="6946"/>
        </w:tabs>
        <w:suppressAutoHyphens/>
        <w:spacing w:after="0" w:line="240" w:lineRule="auto"/>
        <w:jc w:val="both"/>
        <w:rPr>
          <w:rFonts w:ascii="Arial" w:hAnsi="Arial" w:cs="Arial"/>
          <w:sz w:val="18"/>
          <w:szCs w:val="18"/>
          <w:highlight w:val="yellow"/>
          <w:lang w:val="el-GR"/>
        </w:rPr>
      </w:pPr>
      <w:r w:rsidRPr="007246A9">
        <w:rPr>
          <w:rFonts w:ascii="Arial" w:hAnsi="Arial" w:cs="Arial"/>
          <w:sz w:val="18"/>
          <w:szCs w:val="18"/>
          <w:lang w:val="el-GR"/>
        </w:rPr>
        <w:t xml:space="preserve">Το χαρτοφυλάκιο ομολόγων που επιμετρείται σε αποσβεσμένο κόστος κρατείται μέχρι τη λήξη του και ως εκ τούτου τα κέρδη/ζημίες από μεταβολές στην εύλογη αξία δεν αναγνωρίζονται στην κατάσταση λογαριασμού αποτελεσμάτων ή στα </w:t>
      </w:r>
      <w:r w:rsidR="00147F7F">
        <w:rPr>
          <w:rFonts w:ascii="Arial" w:hAnsi="Arial" w:cs="Arial"/>
          <w:sz w:val="18"/>
          <w:szCs w:val="18"/>
          <w:lang w:val="el-GR"/>
        </w:rPr>
        <w:t xml:space="preserve">ίδια </w:t>
      </w:r>
      <w:r w:rsidRPr="007246A9">
        <w:rPr>
          <w:rFonts w:ascii="Arial" w:hAnsi="Arial" w:cs="Arial"/>
          <w:sz w:val="18"/>
          <w:szCs w:val="18"/>
          <w:lang w:val="el-GR"/>
        </w:rPr>
        <w:t xml:space="preserve">κεφάλαια του Συγκροτήματος. Αυτό το χαρτοφυλάκιο ομολόγων έχει υψηλή μέση πιστοληπτική αξιολόγηση σε </w:t>
      </w:r>
      <w:r w:rsidR="00BD10F8" w:rsidRPr="00502B4F">
        <w:rPr>
          <w:rFonts w:ascii="Arial" w:hAnsi="Arial" w:cs="Arial"/>
          <w:sz w:val="18"/>
          <w:szCs w:val="18"/>
          <w:lang w:val="el-GR"/>
        </w:rPr>
        <w:t>Aa3</w:t>
      </w:r>
      <w:r w:rsidR="00BC042D" w:rsidRPr="007246A9">
        <w:rPr>
          <w:rFonts w:ascii="Arial" w:hAnsi="Arial" w:cs="Arial"/>
          <w:sz w:val="18"/>
          <w:szCs w:val="18"/>
          <w:lang w:val="el-GR"/>
        </w:rPr>
        <w:t>.</w:t>
      </w:r>
      <w:r w:rsidR="00153CB3">
        <w:rPr>
          <w:rFonts w:ascii="Arial" w:hAnsi="Arial" w:cs="Arial"/>
          <w:sz w:val="18"/>
          <w:szCs w:val="18"/>
          <w:lang w:val="el-GR"/>
        </w:rPr>
        <w:t xml:space="preserve"> </w:t>
      </w:r>
      <w:r w:rsidR="00BD10F8" w:rsidRPr="007246A9">
        <w:rPr>
          <w:rFonts w:ascii="Arial" w:hAnsi="Arial" w:cs="Arial"/>
          <w:sz w:val="18"/>
          <w:szCs w:val="18"/>
          <w:lang w:val="el-GR"/>
        </w:rPr>
        <w:t xml:space="preserve">Το χαρτοφυλάκιο ομολόγων που επιμετρείται σε αποσβεσμένο κόστος στις </w:t>
      </w:r>
      <w:r w:rsidR="00AD3389" w:rsidRPr="007246A9">
        <w:rPr>
          <w:rFonts w:ascii="Arial" w:hAnsi="Arial" w:cs="Arial"/>
          <w:sz w:val="18"/>
          <w:szCs w:val="18"/>
          <w:lang w:val="el-GR"/>
        </w:rPr>
        <w:t xml:space="preserve">30 </w:t>
      </w:r>
      <w:r w:rsidR="00AE7151" w:rsidRPr="00153CB3">
        <w:rPr>
          <w:rFonts w:ascii="Arial" w:hAnsi="Arial" w:cs="Arial"/>
          <w:sz w:val="18"/>
          <w:szCs w:val="18"/>
          <w:lang w:val="el-GR"/>
        </w:rPr>
        <w:t xml:space="preserve">Σεπτεμβρίου </w:t>
      </w:r>
      <w:r w:rsidR="000F29EB" w:rsidRPr="00153CB3">
        <w:rPr>
          <w:rFonts w:ascii="Arial" w:hAnsi="Arial" w:cs="Arial"/>
          <w:sz w:val="18"/>
          <w:szCs w:val="18"/>
          <w:lang w:val="el-GR"/>
        </w:rPr>
        <w:t>2024</w:t>
      </w:r>
      <w:r w:rsidR="00153CB3" w:rsidRPr="00153CB3">
        <w:rPr>
          <w:rFonts w:ascii="Arial" w:hAnsi="Arial" w:cs="Arial"/>
          <w:sz w:val="18"/>
          <w:szCs w:val="18"/>
          <w:lang w:val="el-GR"/>
        </w:rPr>
        <w:t xml:space="preserve"> </w:t>
      </w:r>
      <w:r w:rsidR="00153CB3" w:rsidRPr="00502B4F">
        <w:rPr>
          <w:rFonts w:ascii="Arial" w:hAnsi="Arial" w:cs="Arial"/>
          <w:sz w:val="18"/>
          <w:szCs w:val="18"/>
          <w:lang w:val="el-GR"/>
        </w:rPr>
        <w:t xml:space="preserve">δημιουργεί μη </w:t>
      </w:r>
      <w:proofErr w:type="spellStart"/>
      <w:r w:rsidR="00153CB3" w:rsidRPr="00502B4F">
        <w:rPr>
          <w:rFonts w:ascii="Arial" w:hAnsi="Arial" w:cs="Arial"/>
          <w:sz w:val="18"/>
          <w:szCs w:val="18"/>
          <w:lang w:val="el-GR"/>
        </w:rPr>
        <w:t>πραγματοποιηθέν</w:t>
      </w:r>
      <w:proofErr w:type="spellEnd"/>
      <w:r w:rsidR="00153CB3" w:rsidRPr="00502B4F">
        <w:rPr>
          <w:rFonts w:ascii="Arial" w:hAnsi="Arial" w:cs="Arial"/>
          <w:sz w:val="18"/>
          <w:szCs w:val="18"/>
          <w:lang w:val="el-GR"/>
        </w:rPr>
        <w:t xml:space="preserve"> κέρδος εύλογης αξίας ύψους €</w:t>
      </w:r>
      <w:r w:rsidR="00153CB3" w:rsidRPr="00153CB3">
        <w:rPr>
          <w:rFonts w:ascii="Arial" w:hAnsi="Arial" w:cs="Arial"/>
          <w:sz w:val="18"/>
          <w:szCs w:val="18"/>
          <w:lang w:val="el-GR"/>
        </w:rPr>
        <w:t>44</w:t>
      </w:r>
      <w:r w:rsidR="00153CB3" w:rsidRPr="00502B4F">
        <w:rPr>
          <w:rFonts w:ascii="Arial" w:hAnsi="Arial" w:cs="Arial"/>
          <w:sz w:val="18"/>
          <w:szCs w:val="18"/>
          <w:lang w:val="el-GR"/>
        </w:rPr>
        <w:t xml:space="preserve"> εκατ.,</w:t>
      </w:r>
      <w:r w:rsidR="00153CB3" w:rsidRPr="00153CB3">
        <w:rPr>
          <w:rFonts w:ascii="Arial" w:hAnsi="Arial" w:cs="Arial"/>
          <w:sz w:val="18"/>
          <w:szCs w:val="18"/>
          <w:lang w:val="el-GR"/>
        </w:rPr>
        <w:t xml:space="preserve"> </w:t>
      </w:r>
      <w:r w:rsidR="000F29EB" w:rsidRPr="00153CB3">
        <w:rPr>
          <w:rFonts w:ascii="Arial" w:hAnsi="Arial" w:cs="Arial"/>
          <w:sz w:val="18"/>
          <w:szCs w:val="18"/>
          <w:lang w:val="el-GR"/>
        </w:rPr>
        <w:t xml:space="preserve">που ισοδυναμεί με περίπου </w:t>
      </w:r>
      <w:r w:rsidR="00153CB3" w:rsidRPr="00502B4F">
        <w:rPr>
          <w:rFonts w:ascii="Arial" w:hAnsi="Arial" w:cs="Arial"/>
          <w:sz w:val="18"/>
          <w:szCs w:val="18"/>
          <w:lang w:val="el-GR"/>
        </w:rPr>
        <w:t>4</w:t>
      </w:r>
      <w:r w:rsidR="00153CB3">
        <w:rPr>
          <w:rFonts w:ascii="Arial" w:hAnsi="Arial" w:cs="Arial"/>
          <w:sz w:val="18"/>
          <w:szCs w:val="18"/>
          <w:lang w:val="el-GR"/>
        </w:rPr>
        <w:t>0</w:t>
      </w:r>
      <w:r w:rsidR="00153CB3" w:rsidRPr="00502B4F">
        <w:rPr>
          <w:rFonts w:ascii="Arial" w:hAnsi="Arial" w:cs="Arial"/>
          <w:sz w:val="18"/>
          <w:szCs w:val="18"/>
          <w:lang w:val="el-GR"/>
        </w:rPr>
        <w:t xml:space="preserve"> </w:t>
      </w:r>
      <w:proofErr w:type="spellStart"/>
      <w:r w:rsidR="000F29EB" w:rsidRPr="00153CB3">
        <w:rPr>
          <w:rFonts w:ascii="Arial" w:hAnsi="Arial" w:cs="Arial"/>
          <w:sz w:val="18"/>
          <w:szCs w:val="18"/>
          <w:lang w:val="el-GR"/>
        </w:rPr>
        <w:t>μ.β</w:t>
      </w:r>
      <w:proofErr w:type="spellEnd"/>
      <w:r w:rsidR="000F29EB" w:rsidRPr="00153CB3">
        <w:rPr>
          <w:rFonts w:ascii="Arial" w:hAnsi="Arial" w:cs="Arial"/>
          <w:sz w:val="18"/>
          <w:szCs w:val="18"/>
          <w:lang w:val="el-GR"/>
        </w:rPr>
        <w:t xml:space="preserve">. του δείκτη </w:t>
      </w:r>
      <w:r w:rsidR="000F29EB" w:rsidRPr="00153CB3">
        <w:rPr>
          <w:rFonts w:ascii="Arial" w:hAnsi="Arial" w:cs="Arial"/>
          <w:sz w:val="18"/>
          <w:szCs w:val="18"/>
          <w:lang w:val="en-US"/>
        </w:rPr>
        <w:t>CET</w:t>
      </w:r>
      <w:r w:rsidR="000F29EB" w:rsidRPr="00153CB3">
        <w:rPr>
          <w:rFonts w:ascii="Arial" w:hAnsi="Arial" w:cs="Arial"/>
          <w:sz w:val="18"/>
          <w:szCs w:val="18"/>
          <w:lang w:val="el-GR"/>
        </w:rPr>
        <w:t>1</w:t>
      </w:r>
      <w:r w:rsidR="00153CB3">
        <w:rPr>
          <w:rFonts w:ascii="Arial" w:hAnsi="Arial" w:cs="Arial"/>
          <w:sz w:val="18"/>
          <w:szCs w:val="18"/>
          <w:lang w:val="el-GR"/>
        </w:rPr>
        <w:t xml:space="preserve"> </w:t>
      </w:r>
      <w:r w:rsidR="00912FCD" w:rsidRPr="00153CB3">
        <w:rPr>
          <w:rFonts w:ascii="Arial" w:hAnsi="Arial" w:cs="Arial"/>
          <w:sz w:val="18"/>
          <w:szCs w:val="18"/>
          <w:lang w:val="el-GR"/>
        </w:rPr>
        <w:t>(σε σύγκριση με</w:t>
      </w:r>
      <w:r w:rsidR="00AD3389" w:rsidRPr="00153CB3">
        <w:rPr>
          <w:rFonts w:ascii="Arial" w:hAnsi="Arial" w:cs="Arial"/>
          <w:sz w:val="18"/>
          <w:szCs w:val="18"/>
          <w:lang w:val="el-GR"/>
        </w:rPr>
        <w:t xml:space="preserve"> μη </w:t>
      </w:r>
      <w:proofErr w:type="spellStart"/>
      <w:r w:rsidR="00AD3389" w:rsidRPr="00153CB3">
        <w:rPr>
          <w:rFonts w:ascii="Arial" w:hAnsi="Arial" w:cs="Arial"/>
          <w:sz w:val="18"/>
          <w:szCs w:val="18"/>
          <w:lang w:val="el-GR"/>
        </w:rPr>
        <w:t>πραγματοποιηθείσα</w:t>
      </w:r>
      <w:proofErr w:type="spellEnd"/>
      <w:r w:rsidR="00AD3389" w:rsidRPr="00153CB3">
        <w:rPr>
          <w:rFonts w:ascii="Arial" w:hAnsi="Arial" w:cs="Arial"/>
          <w:sz w:val="18"/>
          <w:szCs w:val="18"/>
          <w:lang w:val="el-GR"/>
        </w:rPr>
        <w:t xml:space="preserve"> ζημία εύλογης αξίας ύψους €</w:t>
      </w:r>
      <w:r w:rsidR="00AE7151" w:rsidRPr="00153CB3">
        <w:rPr>
          <w:rFonts w:ascii="Arial" w:hAnsi="Arial" w:cs="Arial"/>
          <w:sz w:val="18"/>
          <w:szCs w:val="18"/>
          <w:lang w:val="el-GR"/>
        </w:rPr>
        <w:t xml:space="preserve">29 </w:t>
      </w:r>
      <w:r w:rsidR="00AD3389" w:rsidRPr="00153CB3">
        <w:rPr>
          <w:rFonts w:ascii="Arial" w:hAnsi="Arial" w:cs="Arial"/>
          <w:sz w:val="18"/>
          <w:szCs w:val="18"/>
          <w:lang w:val="el-GR"/>
        </w:rPr>
        <w:t xml:space="preserve">εκατ. στις </w:t>
      </w:r>
      <w:r w:rsidR="00AE7151" w:rsidRPr="00153CB3">
        <w:rPr>
          <w:rFonts w:ascii="Arial" w:hAnsi="Arial" w:cs="Arial"/>
          <w:sz w:val="18"/>
          <w:szCs w:val="18"/>
          <w:lang w:val="el-GR"/>
        </w:rPr>
        <w:t>30 Ιουνίου</w:t>
      </w:r>
      <w:r w:rsidR="00AD3389" w:rsidRPr="00153CB3">
        <w:rPr>
          <w:rFonts w:ascii="Arial" w:hAnsi="Arial" w:cs="Arial"/>
          <w:sz w:val="18"/>
          <w:szCs w:val="18"/>
          <w:lang w:val="el-GR"/>
        </w:rPr>
        <w:t xml:space="preserve"> 2024</w:t>
      </w:r>
      <w:r w:rsidR="00912FCD" w:rsidRPr="00153CB3">
        <w:rPr>
          <w:rFonts w:ascii="Arial" w:hAnsi="Arial" w:cs="Arial"/>
          <w:sz w:val="18"/>
          <w:szCs w:val="18"/>
          <w:lang w:val="el-GR"/>
        </w:rPr>
        <w:t>)</w:t>
      </w:r>
      <w:r w:rsidR="006C2333" w:rsidRPr="00153CB3">
        <w:rPr>
          <w:rFonts w:ascii="Arial" w:hAnsi="Arial" w:cs="Arial"/>
          <w:sz w:val="18"/>
          <w:szCs w:val="18"/>
          <w:lang w:val="el-GR"/>
        </w:rPr>
        <w:t xml:space="preserve">, </w:t>
      </w:r>
      <w:r w:rsidR="006C2333" w:rsidRPr="00502B4F">
        <w:rPr>
          <w:rFonts w:ascii="Arial" w:hAnsi="Arial" w:cs="Arial"/>
          <w:sz w:val="18"/>
          <w:szCs w:val="18"/>
          <w:lang w:val="el-GR"/>
        </w:rPr>
        <w:t xml:space="preserve">λόγω της </w:t>
      </w:r>
      <w:r w:rsidR="00AE7151" w:rsidRPr="00502B4F">
        <w:rPr>
          <w:rFonts w:ascii="Arial" w:hAnsi="Arial" w:cs="Arial"/>
          <w:sz w:val="18"/>
          <w:szCs w:val="18"/>
          <w:lang w:val="el-GR"/>
        </w:rPr>
        <w:t xml:space="preserve">μείωσης </w:t>
      </w:r>
      <w:r w:rsidR="006C2333" w:rsidRPr="00502B4F">
        <w:rPr>
          <w:rFonts w:ascii="Arial" w:hAnsi="Arial" w:cs="Arial"/>
          <w:sz w:val="18"/>
          <w:szCs w:val="18"/>
          <w:lang w:val="el-GR"/>
        </w:rPr>
        <w:t xml:space="preserve">των </w:t>
      </w:r>
      <w:r w:rsidR="003732AA" w:rsidRPr="00502B4F">
        <w:rPr>
          <w:rFonts w:ascii="Arial" w:hAnsi="Arial" w:cs="Arial"/>
          <w:sz w:val="18"/>
          <w:szCs w:val="18"/>
          <w:lang w:val="el-GR"/>
        </w:rPr>
        <w:t xml:space="preserve">αποδόσεων </w:t>
      </w:r>
      <w:r w:rsidR="0074417B" w:rsidRPr="00502B4F">
        <w:rPr>
          <w:rFonts w:ascii="Arial" w:hAnsi="Arial" w:cs="Arial"/>
          <w:sz w:val="18"/>
          <w:szCs w:val="18"/>
          <w:lang w:val="el-GR"/>
        </w:rPr>
        <w:t>στα ομόλογα.</w:t>
      </w:r>
    </w:p>
    <w:p w14:paraId="0C5ADF4A" w14:textId="77777777" w:rsidR="00AE7151" w:rsidRPr="007246A9" w:rsidRDefault="00AE7151" w:rsidP="007246A9">
      <w:pPr>
        <w:tabs>
          <w:tab w:val="left" w:pos="0"/>
          <w:tab w:val="left" w:pos="3251"/>
        </w:tabs>
        <w:suppressAutoHyphens/>
        <w:spacing w:after="0" w:line="240" w:lineRule="auto"/>
        <w:jc w:val="both"/>
        <w:rPr>
          <w:rFonts w:ascii="Arial" w:hAnsi="Arial" w:cs="Arial"/>
          <w:b/>
          <w:bCs/>
          <w:color w:val="FF9900"/>
          <w:lang w:val="el-GR"/>
        </w:rPr>
      </w:pPr>
    </w:p>
    <w:p w14:paraId="0A81F442" w14:textId="4073CA36" w:rsidR="00D37EB2" w:rsidRPr="007246A9" w:rsidRDefault="00AE7151" w:rsidP="00D37EB2">
      <w:pPr>
        <w:spacing w:after="0" w:line="360" w:lineRule="auto"/>
        <w:rPr>
          <w:rFonts w:ascii="Arial" w:hAnsi="Arial" w:cs="Arial"/>
          <w:b/>
          <w:bCs/>
          <w:color w:val="FF9900"/>
          <w:lang w:val="el-GR"/>
        </w:rPr>
      </w:pPr>
      <w:r w:rsidRPr="00AE7151">
        <w:rPr>
          <w:rFonts w:ascii="Arial" w:hAnsi="Arial" w:cs="Arial"/>
          <w:b/>
          <w:bCs/>
          <w:color w:val="FF9900"/>
          <w:lang w:val="el-GR"/>
        </w:rPr>
        <w:t>Α.1.</w:t>
      </w:r>
      <w:r w:rsidR="00D37EB2" w:rsidRPr="007246A9">
        <w:rPr>
          <w:rFonts w:ascii="Arial" w:hAnsi="Arial" w:cs="Arial"/>
          <w:b/>
          <w:bCs/>
          <w:color w:val="FF9900"/>
          <w:lang w:val="el-GR"/>
        </w:rPr>
        <w:t xml:space="preserve">7 Συμφωνίες </w:t>
      </w:r>
      <w:proofErr w:type="spellStart"/>
      <w:r w:rsidR="00D37EB2" w:rsidRPr="007246A9">
        <w:rPr>
          <w:rFonts w:ascii="Arial" w:hAnsi="Arial" w:cs="Arial"/>
          <w:b/>
          <w:bCs/>
          <w:color w:val="FF9900"/>
          <w:lang w:val="el-GR"/>
        </w:rPr>
        <w:t>Επαναπώλησης</w:t>
      </w:r>
      <w:proofErr w:type="spellEnd"/>
      <w:r w:rsidR="00147F7F">
        <w:rPr>
          <w:rFonts w:ascii="Arial" w:hAnsi="Arial" w:cs="Arial"/>
          <w:b/>
          <w:bCs/>
          <w:color w:val="FF9900"/>
          <w:lang w:val="el-GR"/>
        </w:rPr>
        <w:t xml:space="preserve"> Τίτλων</w:t>
      </w:r>
    </w:p>
    <w:p w14:paraId="74C8A2CA" w14:textId="52602300" w:rsidR="00D37EB2" w:rsidRPr="007246A9" w:rsidRDefault="00D37EB2" w:rsidP="003D7967">
      <w:pPr>
        <w:tabs>
          <w:tab w:val="left" w:pos="0"/>
          <w:tab w:val="left" w:pos="282"/>
          <w:tab w:val="left" w:pos="720"/>
        </w:tabs>
        <w:suppressAutoHyphens/>
        <w:spacing w:after="0" w:line="240" w:lineRule="auto"/>
        <w:jc w:val="both"/>
        <w:rPr>
          <w:rFonts w:ascii="Arial" w:hAnsi="Arial" w:cs="Arial"/>
          <w:sz w:val="18"/>
          <w:szCs w:val="18"/>
          <w:lang w:val="el-GR"/>
        </w:rPr>
      </w:pPr>
      <w:r w:rsidRPr="007246A9">
        <w:rPr>
          <w:rFonts w:ascii="Arial" w:hAnsi="Arial" w:cs="Arial"/>
          <w:sz w:val="18"/>
          <w:szCs w:val="18"/>
          <w:lang w:val="el-GR"/>
        </w:rPr>
        <w:t xml:space="preserve">Οι συμφωνίες </w:t>
      </w:r>
      <w:proofErr w:type="spellStart"/>
      <w:r w:rsidRPr="007246A9">
        <w:rPr>
          <w:rFonts w:ascii="Arial" w:hAnsi="Arial" w:cs="Arial"/>
          <w:sz w:val="18"/>
          <w:szCs w:val="18"/>
          <w:lang w:val="el-GR"/>
        </w:rPr>
        <w:t>επαναπώλησης</w:t>
      </w:r>
      <w:proofErr w:type="spellEnd"/>
      <w:r w:rsidRPr="007246A9">
        <w:rPr>
          <w:rFonts w:ascii="Arial" w:hAnsi="Arial" w:cs="Arial"/>
          <w:sz w:val="18"/>
          <w:szCs w:val="18"/>
          <w:lang w:val="el-GR"/>
        </w:rPr>
        <w:t xml:space="preserve"> </w:t>
      </w:r>
      <w:r w:rsidR="00134353">
        <w:rPr>
          <w:rFonts w:ascii="Arial" w:hAnsi="Arial" w:cs="Arial"/>
          <w:sz w:val="18"/>
          <w:szCs w:val="18"/>
          <w:lang w:val="el-GR"/>
        </w:rPr>
        <w:t xml:space="preserve">τίτλων </w:t>
      </w:r>
      <w:r w:rsidRPr="007246A9">
        <w:rPr>
          <w:rFonts w:ascii="Arial" w:hAnsi="Arial" w:cs="Arial"/>
          <w:sz w:val="18"/>
          <w:szCs w:val="18"/>
          <w:lang w:val="el-GR"/>
        </w:rPr>
        <w:t xml:space="preserve">ανήλθαν σε </w:t>
      </w:r>
      <w:r w:rsidR="000E5BC5" w:rsidRPr="007246A9">
        <w:rPr>
          <w:rFonts w:ascii="Arial" w:eastAsia="Times New Roman" w:hAnsi="Arial" w:cs="Arial"/>
          <w:sz w:val="18"/>
          <w:szCs w:val="18"/>
          <w:lang w:val="el-GR" w:eastAsia="el-GR"/>
        </w:rPr>
        <w:t>€</w:t>
      </w:r>
      <w:r w:rsidR="00153CB3" w:rsidRPr="00502B4F">
        <w:rPr>
          <w:rFonts w:ascii="Arial" w:eastAsia="Times New Roman" w:hAnsi="Arial" w:cs="Arial"/>
          <w:sz w:val="18"/>
          <w:szCs w:val="18"/>
          <w:lang w:val="el-GR" w:eastAsia="el-GR"/>
        </w:rPr>
        <w:t>1,023</w:t>
      </w:r>
      <w:r w:rsidR="00153CB3">
        <w:rPr>
          <w:rFonts w:ascii="Arial" w:eastAsia="Times New Roman" w:hAnsi="Arial" w:cs="Arial"/>
          <w:sz w:val="18"/>
          <w:szCs w:val="18"/>
          <w:lang w:val="el-GR" w:eastAsia="el-GR"/>
        </w:rPr>
        <w:t xml:space="preserve"> </w:t>
      </w:r>
      <w:r w:rsidRPr="007246A9">
        <w:rPr>
          <w:rFonts w:ascii="Arial" w:hAnsi="Arial" w:cs="Arial"/>
          <w:sz w:val="18"/>
          <w:szCs w:val="18"/>
          <w:lang w:val="el-GR"/>
        </w:rPr>
        <w:t xml:space="preserve">εκατ. στις 30 </w:t>
      </w:r>
      <w:r w:rsidR="00AE7151" w:rsidRPr="00AE7151">
        <w:rPr>
          <w:rFonts w:ascii="Arial" w:hAnsi="Arial" w:cs="Arial"/>
          <w:sz w:val="18"/>
          <w:szCs w:val="18"/>
          <w:lang w:val="el-GR"/>
        </w:rPr>
        <w:t xml:space="preserve">Σεπτεμβρίου </w:t>
      </w:r>
      <w:r w:rsidRPr="007246A9">
        <w:rPr>
          <w:rFonts w:ascii="Arial" w:hAnsi="Arial" w:cs="Arial"/>
          <w:sz w:val="18"/>
          <w:szCs w:val="18"/>
          <w:lang w:val="el-GR"/>
        </w:rPr>
        <w:t xml:space="preserve">2024, σε σύγκριση με </w:t>
      </w:r>
      <w:r w:rsidR="00AE7151" w:rsidRPr="007246A9">
        <w:rPr>
          <w:rFonts w:ascii="Arial" w:eastAsia="Times New Roman" w:hAnsi="Arial" w:cs="Arial"/>
          <w:sz w:val="18"/>
          <w:szCs w:val="18"/>
          <w:lang w:val="el-GR" w:eastAsia="el-GR"/>
        </w:rPr>
        <w:t xml:space="preserve">€1,015 </w:t>
      </w:r>
      <w:r w:rsidR="00AE7151" w:rsidRPr="007246A9">
        <w:rPr>
          <w:rFonts w:ascii="Arial" w:hAnsi="Arial" w:cs="Arial"/>
          <w:sz w:val="18"/>
          <w:szCs w:val="18"/>
          <w:lang w:val="el-GR"/>
        </w:rPr>
        <w:t>εκατ. στις 30</w:t>
      </w:r>
      <w:r w:rsidR="00153CB3">
        <w:rPr>
          <w:rFonts w:ascii="Arial" w:hAnsi="Arial" w:cs="Arial"/>
          <w:sz w:val="18"/>
          <w:szCs w:val="18"/>
          <w:lang w:val="el-GR"/>
        </w:rPr>
        <w:t xml:space="preserve"> </w:t>
      </w:r>
      <w:r w:rsidR="00AE7151" w:rsidRPr="007246A9">
        <w:rPr>
          <w:rFonts w:ascii="Arial" w:hAnsi="Arial" w:cs="Arial"/>
          <w:sz w:val="18"/>
          <w:szCs w:val="18"/>
          <w:lang w:val="el-GR"/>
        </w:rPr>
        <w:t xml:space="preserve">Ιουνίου 2024 </w:t>
      </w:r>
      <w:r w:rsidRPr="007246A9">
        <w:rPr>
          <w:rFonts w:ascii="Arial" w:hAnsi="Arial" w:cs="Arial"/>
          <w:sz w:val="18"/>
          <w:szCs w:val="18"/>
          <w:lang w:val="el-GR"/>
        </w:rPr>
        <w:t>και με €</w:t>
      </w:r>
      <w:r w:rsidRPr="007246A9">
        <w:rPr>
          <w:rFonts w:ascii="Arial" w:eastAsia="Times New Roman" w:hAnsi="Arial" w:cs="Arial"/>
          <w:sz w:val="18"/>
          <w:szCs w:val="18"/>
          <w:lang w:val="el-GR" w:eastAsia="el-GR"/>
        </w:rPr>
        <w:t xml:space="preserve">403 </w:t>
      </w:r>
      <w:r w:rsidRPr="007246A9">
        <w:rPr>
          <w:rFonts w:ascii="Arial" w:hAnsi="Arial" w:cs="Arial"/>
          <w:sz w:val="18"/>
          <w:szCs w:val="18"/>
          <w:lang w:val="el-GR"/>
        </w:rPr>
        <w:t>εκατ. στις 31 Δεκεμβρίου 2023.</w:t>
      </w:r>
      <w:r w:rsidR="00AE7151" w:rsidRPr="007246A9">
        <w:rPr>
          <w:rFonts w:ascii="Arial" w:hAnsi="Arial" w:cs="Arial"/>
          <w:sz w:val="18"/>
          <w:szCs w:val="18"/>
          <w:lang w:val="el-GR"/>
        </w:rPr>
        <w:t xml:space="preserve"> </w:t>
      </w:r>
      <w:r w:rsidRPr="007246A9">
        <w:rPr>
          <w:rFonts w:ascii="Arial" w:hAnsi="Arial" w:cs="Arial"/>
          <w:sz w:val="18"/>
          <w:szCs w:val="18"/>
          <w:lang w:val="el-GR"/>
        </w:rPr>
        <w:t xml:space="preserve">Η αύξηση από την αρχή του έτους αντικατοπτρίζει τις επιπρόσθετες ενέργειες αντιστάθμισης </w:t>
      </w:r>
      <w:r w:rsidR="008A1530" w:rsidRPr="007246A9">
        <w:rPr>
          <w:rFonts w:ascii="Arial" w:hAnsi="Arial" w:cs="Arial"/>
          <w:sz w:val="18"/>
          <w:szCs w:val="18"/>
          <w:lang w:val="el-GR"/>
        </w:rPr>
        <w:t>(‘</w:t>
      </w:r>
      <w:r w:rsidR="008A1530" w:rsidRPr="007246A9">
        <w:rPr>
          <w:rFonts w:ascii="Arial" w:hAnsi="Arial" w:cs="Arial"/>
          <w:sz w:val="18"/>
          <w:szCs w:val="18"/>
          <w:lang w:val="en-US"/>
        </w:rPr>
        <w:t>Hed</w:t>
      </w:r>
      <w:r w:rsidR="00FD00F2" w:rsidRPr="007246A9">
        <w:rPr>
          <w:rFonts w:ascii="Arial" w:hAnsi="Arial" w:cs="Arial"/>
          <w:sz w:val="18"/>
          <w:szCs w:val="18"/>
          <w:lang w:val="en-US"/>
        </w:rPr>
        <w:t>ging</w:t>
      </w:r>
      <w:r w:rsidR="008A1530" w:rsidRPr="007246A9">
        <w:rPr>
          <w:rFonts w:ascii="Arial" w:hAnsi="Arial" w:cs="Arial"/>
          <w:sz w:val="18"/>
          <w:szCs w:val="18"/>
          <w:lang w:val="el-GR"/>
        </w:rPr>
        <w:t>’)</w:t>
      </w:r>
      <w:r w:rsidR="00FD00F2" w:rsidRPr="007246A9">
        <w:rPr>
          <w:rFonts w:ascii="Arial" w:hAnsi="Arial" w:cs="Arial"/>
          <w:sz w:val="18"/>
          <w:szCs w:val="18"/>
          <w:lang w:val="el-GR"/>
        </w:rPr>
        <w:t xml:space="preserve"> που πραγματοποιεί το Συγκρότημα, με σκοπό τη μείωση της μεταβολής των καθαρών εσόδων από τόκους λόγω της διακύμανσης των επιτοκίων (‘</w:t>
      </w:r>
      <w:proofErr w:type="spellStart"/>
      <w:r w:rsidR="00FD00F2" w:rsidRPr="007246A9">
        <w:rPr>
          <w:rFonts w:ascii="Arial" w:hAnsi="Arial" w:cs="Arial"/>
          <w:sz w:val="18"/>
          <w:szCs w:val="18"/>
          <w:lang w:val="el-GR"/>
        </w:rPr>
        <w:t>sensitivity</w:t>
      </w:r>
      <w:proofErr w:type="spellEnd"/>
      <w:r w:rsidR="00FD00F2" w:rsidRPr="007246A9">
        <w:rPr>
          <w:rFonts w:ascii="Arial" w:hAnsi="Arial" w:cs="Arial"/>
          <w:sz w:val="18"/>
          <w:szCs w:val="18"/>
          <w:lang w:val="el-GR"/>
        </w:rPr>
        <w:t>’).</w:t>
      </w:r>
      <w:r w:rsidR="00AE7151" w:rsidRPr="00AE7151">
        <w:rPr>
          <w:rFonts w:ascii="Arial" w:hAnsi="Arial" w:cs="Arial"/>
          <w:sz w:val="18"/>
          <w:szCs w:val="18"/>
          <w:lang w:val="el-GR"/>
        </w:rPr>
        <w:t xml:space="preserve"> </w:t>
      </w:r>
      <w:r w:rsidR="003D7967" w:rsidRPr="007246A9">
        <w:rPr>
          <w:rFonts w:ascii="Arial" w:hAnsi="Arial" w:cs="Arial"/>
          <w:sz w:val="18"/>
          <w:szCs w:val="18"/>
          <w:lang w:val="el-GR"/>
        </w:rPr>
        <w:t xml:space="preserve">Οι συμφωνίες </w:t>
      </w:r>
      <w:proofErr w:type="spellStart"/>
      <w:r w:rsidR="003D7967" w:rsidRPr="007246A9">
        <w:rPr>
          <w:rFonts w:ascii="Arial" w:hAnsi="Arial" w:cs="Arial"/>
          <w:sz w:val="18"/>
          <w:szCs w:val="18"/>
          <w:lang w:val="el-GR"/>
        </w:rPr>
        <w:t>επαναπώλησης</w:t>
      </w:r>
      <w:proofErr w:type="spellEnd"/>
      <w:r w:rsidR="003D7967" w:rsidRPr="007246A9">
        <w:rPr>
          <w:rFonts w:ascii="Arial" w:hAnsi="Arial" w:cs="Arial"/>
          <w:sz w:val="18"/>
          <w:szCs w:val="18"/>
          <w:lang w:val="el-GR"/>
        </w:rPr>
        <w:t xml:space="preserve"> </w:t>
      </w:r>
      <w:r w:rsidR="00134353">
        <w:rPr>
          <w:rFonts w:ascii="Arial" w:hAnsi="Arial" w:cs="Arial"/>
          <w:sz w:val="18"/>
          <w:szCs w:val="18"/>
          <w:lang w:val="el-GR"/>
        </w:rPr>
        <w:t xml:space="preserve">τίτλων </w:t>
      </w:r>
      <w:r w:rsidR="003D7967" w:rsidRPr="007246A9">
        <w:rPr>
          <w:rFonts w:ascii="Arial" w:hAnsi="Arial" w:cs="Arial"/>
          <w:sz w:val="18"/>
          <w:szCs w:val="18"/>
          <w:lang w:val="el-GR"/>
        </w:rPr>
        <w:t xml:space="preserve">φέρουν </w:t>
      </w:r>
      <w:r w:rsidR="0059202E" w:rsidRPr="007246A9">
        <w:rPr>
          <w:rFonts w:ascii="Arial" w:hAnsi="Arial" w:cs="Arial"/>
          <w:sz w:val="18"/>
          <w:szCs w:val="18"/>
          <w:lang w:val="el-GR"/>
        </w:rPr>
        <w:t xml:space="preserve">μέσο </w:t>
      </w:r>
      <w:r w:rsidR="003D7967" w:rsidRPr="007246A9">
        <w:rPr>
          <w:rFonts w:ascii="Arial" w:hAnsi="Arial" w:cs="Arial"/>
          <w:sz w:val="18"/>
          <w:szCs w:val="18"/>
          <w:lang w:val="el-GR"/>
        </w:rPr>
        <w:t>ετήσιο επιτόκιο ύψους περίπου 3.0% και η μέση διάρκεια τους εκτιμάται σε περίπου 2.</w:t>
      </w:r>
      <w:r w:rsidR="0033500B" w:rsidRPr="007246A9">
        <w:rPr>
          <w:rFonts w:ascii="Arial" w:hAnsi="Arial" w:cs="Arial"/>
          <w:sz w:val="18"/>
          <w:szCs w:val="18"/>
          <w:lang w:val="el-GR"/>
        </w:rPr>
        <w:t xml:space="preserve">3 </w:t>
      </w:r>
      <w:r w:rsidR="003D7967" w:rsidRPr="007246A9">
        <w:rPr>
          <w:rFonts w:ascii="Arial" w:hAnsi="Arial" w:cs="Arial"/>
          <w:sz w:val="18"/>
          <w:szCs w:val="18"/>
          <w:lang w:val="el-GR"/>
        </w:rPr>
        <w:t xml:space="preserve">έτη. </w:t>
      </w:r>
    </w:p>
    <w:p w14:paraId="7A48277B" w14:textId="77777777" w:rsidR="003D7967" w:rsidRPr="00E35581" w:rsidRDefault="003D7967" w:rsidP="00CB38F0">
      <w:pPr>
        <w:tabs>
          <w:tab w:val="left" w:pos="0"/>
          <w:tab w:val="left" w:pos="282"/>
          <w:tab w:val="left" w:pos="720"/>
        </w:tabs>
        <w:suppressAutoHyphens/>
        <w:spacing w:after="0" w:line="240" w:lineRule="auto"/>
        <w:jc w:val="both"/>
        <w:rPr>
          <w:rFonts w:ascii="Arial" w:hAnsi="Arial" w:cs="Arial"/>
          <w:sz w:val="18"/>
          <w:szCs w:val="18"/>
          <w:highlight w:val="yellow"/>
          <w:lang w:val="el-GR"/>
        </w:rPr>
      </w:pPr>
    </w:p>
    <w:p w14:paraId="11DDA455" w14:textId="77777777" w:rsidR="00541A89" w:rsidRPr="00E35581" w:rsidRDefault="00541A89" w:rsidP="00CB38F0">
      <w:pPr>
        <w:tabs>
          <w:tab w:val="left" w:pos="0"/>
          <w:tab w:val="left" w:pos="282"/>
          <w:tab w:val="left" w:pos="720"/>
        </w:tabs>
        <w:suppressAutoHyphens/>
        <w:spacing w:after="0" w:line="240" w:lineRule="auto"/>
        <w:jc w:val="both"/>
        <w:rPr>
          <w:rFonts w:ascii="Arial" w:hAnsi="Arial" w:cs="Arial"/>
          <w:sz w:val="18"/>
          <w:szCs w:val="18"/>
          <w:highlight w:val="yellow"/>
          <w:lang w:val="el-GR"/>
        </w:rPr>
      </w:pPr>
    </w:p>
    <w:p w14:paraId="3FA76201" w14:textId="77777777" w:rsidR="00541A89" w:rsidRPr="00E35581" w:rsidRDefault="00541A89" w:rsidP="00CB38F0">
      <w:pPr>
        <w:tabs>
          <w:tab w:val="left" w:pos="0"/>
          <w:tab w:val="left" w:pos="282"/>
          <w:tab w:val="left" w:pos="720"/>
        </w:tabs>
        <w:suppressAutoHyphens/>
        <w:spacing w:after="0" w:line="240" w:lineRule="auto"/>
        <w:jc w:val="both"/>
        <w:rPr>
          <w:rFonts w:ascii="Arial" w:hAnsi="Arial" w:cs="Arial"/>
          <w:sz w:val="18"/>
          <w:szCs w:val="18"/>
          <w:highlight w:val="yellow"/>
          <w:lang w:val="el-GR"/>
        </w:rPr>
      </w:pPr>
    </w:p>
    <w:p w14:paraId="0AE973AB" w14:textId="77777777" w:rsidR="00541A89" w:rsidRPr="00E35581" w:rsidRDefault="00541A89" w:rsidP="00CB38F0">
      <w:pPr>
        <w:tabs>
          <w:tab w:val="left" w:pos="0"/>
          <w:tab w:val="left" w:pos="282"/>
          <w:tab w:val="left" w:pos="720"/>
        </w:tabs>
        <w:suppressAutoHyphens/>
        <w:spacing w:after="0" w:line="240" w:lineRule="auto"/>
        <w:jc w:val="both"/>
        <w:rPr>
          <w:rFonts w:ascii="Arial" w:hAnsi="Arial" w:cs="Arial"/>
          <w:sz w:val="18"/>
          <w:szCs w:val="18"/>
          <w:highlight w:val="yellow"/>
          <w:lang w:val="el-GR"/>
        </w:rPr>
      </w:pPr>
    </w:p>
    <w:p w14:paraId="5E8908CA" w14:textId="77777777" w:rsidR="00541A89" w:rsidRPr="00E35581" w:rsidRDefault="00541A89" w:rsidP="00CB38F0">
      <w:pPr>
        <w:tabs>
          <w:tab w:val="left" w:pos="0"/>
          <w:tab w:val="left" w:pos="282"/>
          <w:tab w:val="left" w:pos="720"/>
        </w:tabs>
        <w:suppressAutoHyphens/>
        <w:spacing w:after="0" w:line="240" w:lineRule="auto"/>
        <w:jc w:val="both"/>
        <w:rPr>
          <w:rFonts w:ascii="Arial" w:hAnsi="Arial" w:cs="Arial"/>
          <w:sz w:val="18"/>
          <w:szCs w:val="18"/>
          <w:highlight w:val="yellow"/>
          <w:lang w:val="el-GR"/>
        </w:rPr>
      </w:pPr>
    </w:p>
    <w:p w14:paraId="3FF243AF" w14:textId="77777777" w:rsidR="00541A89" w:rsidRPr="00E35581" w:rsidRDefault="00541A89" w:rsidP="00CB38F0">
      <w:pPr>
        <w:tabs>
          <w:tab w:val="left" w:pos="0"/>
          <w:tab w:val="left" w:pos="282"/>
          <w:tab w:val="left" w:pos="720"/>
        </w:tabs>
        <w:suppressAutoHyphens/>
        <w:spacing w:after="0" w:line="240" w:lineRule="auto"/>
        <w:jc w:val="both"/>
        <w:rPr>
          <w:rFonts w:ascii="Arial" w:hAnsi="Arial" w:cs="Arial"/>
          <w:sz w:val="18"/>
          <w:szCs w:val="18"/>
          <w:highlight w:val="yellow"/>
          <w:lang w:val="el-GR"/>
        </w:rPr>
      </w:pPr>
    </w:p>
    <w:p w14:paraId="54C25FAD" w14:textId="77777777" w:rsidR="00541A89" w:rsidRPr="00E35581" w:rsidRDefault="00541A89" w:rsidP="00CB38F0">
      <w:pPr>
        <w:tabs>
          <w:tab w:val="left" w:pos="0"/>
          <w:tab w:val="left" w:pos="282"/>
          <w:tab w:val="left" w:pos="720"/>
        </w:tabs>
        <w:suppressAutoHyphens/>
        <w:spacing w:after="0" w:line="240" w:lineRule="auto"/>
        <w:jc w:val="both"/>
        <w:rPr>
          <w:rFonts w:ascii="Arial" w:hAnsi="Arial" w:cs="Arial"/>
          <w:sz w:val="18"/>
          <w:szCs w:val="18"/>
          <w:highlight w:val="yellow"/>
          <w:lang w:val="el-GR"/>
        </w:rPr>
      </w:pPr>
    </w:p>
    <w:p w14:paraId="2915A2F4" w14:textId="77777777" w:rsidR="00541A89" w:rsidRPr="00E35581" w:rsidRDefault="00541A89" w:rsidP="00CB38F0">
      <w:pPr>
        <w:tabs>
          <w:tab w:val="left" w:pos="0"/>
          <w:tab w:val="left" w:pos="282"/>
          <w:tab w:val="left" w:pos="720"/>
        </w:tabs>
        <w:suppressAutoHyphens/>
        <w:spacing w:after="0" w:line="240" w:lineRule="auto"/>
        <w:jc w:val="both"/>
        <w:rPr>
          <w:rFonts w:ascii="Arial" w:hAnsi="Arial" w:cs="Arial"/>
          <w:sz w:val="18"/>
          <w:szCs w:val="18"/>
          <w:highlight w:val="yellow"/>
          <w:lang w:val="el-GR"/>
        </w:rPr>
      </w:pPr>
    </w:p>
    <w:p w14:paraId="6870CADB" w14:textId="77777777" w:rsidR="00541A89" w:rsidRPr="00E35581" w:rsidRDefault="00541A89" w:rsidP="00CB38F0">
      <w:pPr>
        <w:tabs>
          <w:tab w:val="left" w:pos="0"/>
          <w:tab w:val="left" w:pos="282"/>
          <w:tab w:val="left" w:pos="720"/>
        </w:tabs>
        <w:suppressAutoHyphens/>
        <w:spacing w:after="0" w:line="240" w:lineRule="auto"/>
        <w:jc w:val="both"/>
        <w:rPr>
          <w:rFonts w:ascii="Arial" w:hAnsi="Arial" w:cs="Arial"/>
          <w:sz w:val="18"/>
          <w:szCs w:val="18"/>
          <w:highlight w:val="yellow"/>
          <w:lang w:val="el-GR"/>
        </w:rPr>
      </w:pPr>
    </w:p>
    <w:p w14:paraId="41AE26B9" w14:textId="77777777" w:rsidR="00541A89" w:rsidRPr="00E35581" w:rsidRDefault="00541A89" w:rsidP="00CB38F0">
      <w:pPr>
        <w:tabs>
          <w:tab w:val="left" w:pos="0"/>
          <w:tab w:val="left" w:pos="282"/>
          <w:tab w:val="left" w:pos="720"/>
        </w:tabs>
        <w:suppressAutoHyphens/>
        <w:spacing w:after="0" w:line="240" w:lineRule="auto"/>
        <w:jc w:val="both"/>
        <w:rPr>
          <w:rFonts w:ascii="Arial" w:hAnsi="Arial" w:cs="Arial"/>
          <w:sz w:val="18"/>
          <w:szCs w:val="18"/>
          <w:highlight w:val="yellow"/>
          <w:lang w:val="el-GR"/>
        </w:rPr>
      </w:pPr>
    </w:p>
    <w:p w14:paraId="7A233527" w14:textId="77777777" w:rsidR="00541A89" w:rsidRPr="00E35581" w:rsidRDefault="00541A89" w:rsidP="00CB38F0">
      <w:pPr>
        <w:tabs>
          <w:tab w:val="left" w:pos="0"/>
          <w:tab w:val="left" w:pos="282"/>
          <w:tab w:val="left" w:pos="720"/>
        </w:tabs>
        <w:suppressAutoHyphens/>
        <w:spacing w:after="0" w:line="240" w:lineRule="auto"/>
        <w:jc w:val="both"/>
        <w:rPr>
          <w:rFonts w:ascii="Arial" w:hAnsi="Arial" w:cs="Arial"/>
          <w:sz w:val="18"/>
          <w:szCs w:val="18"/>
          <w:highlight w:val="yellow"/>
          <w:lang w:val="el-GR"/>
        </w:rPr>
      </w:pPr>
    </w:p>
    <w:p w14:paraId="69C5469B" w14:textId="77777777" w:rsidR="00541A89" w:rsidRPr="0033500B" w:rsidRDefault="00541A89" w:rsidP="00541A89">
      <w:pPr>
        <w:rPr>
          <w:rFonts w:ascii="Arial" w:eastAsia="Times New Roman" w:hAnsi="Arial" w:cs="Arial"/>
          <w:sz w:val="18"/>
          <w:szCs w:val="18"/>
          <w:lang w:val="el-GR"/>
        </w:rPr>
      </w:pPr>
      <w:r w:rsidRPr="0033500B">
        <w:rPr>
          <w:rFonts w:ascii="Arial" w:hAnsi="Arial" w:cs="Arial"/>
          <w:b/>
          <w:bCs/>
          <w:color w:val="FF9900"/>
          <w:sz w:val="24"/>
          <w:lang w:val="el-GR"/>
        </w:rPr>
        <w:lastRenderedPageBreak/>
        <w:t xml:space="preserve">Α. Οικονομικά Αποτελέσματα Συγκροτήματος – Υποκείμενη Βάση </w:t>
      </w:r>
      <w:r w:rsidRPr="0033500B">
        <w:rPr>
          <w:rFonts w:ascii="Arial" w:hAnsi="Arial" w:cs="Arial"/>
          <w:color w:val="FF9900"/>
          <w:sz w:val="24"/>
          <w:lang w:val="el-GR"/>
        </w:rPr>
        <w:t>(συνέχεια)</w:t>
      </w:r>
    </w:p>
    <w:p w14:paraId="50328FDC" w14:textId="77777777" w:rsidR="00541A89" w:rsidRPr="0033500B" w:rsidRDefault="00541A89" w:rsidP="00541A89">
      <w:pPr>
        <w:rPr>
          <w:rFonts w:ascii="Arial" w:hAnsi="Arial" w:cs="Arial"/>
          <w:b/>
          <w:bCs/>
          <w:color w:val="FF9900"/>
          <w:sz w:val="23"/>
          <w:szCs w:val="23"/>
          <w:lang w:val="el-GR"/>
        </w:rPr>
      </w:pPr>
      <w:r w:rsidRPr="0033500B">
        <w:rPr>
          <w:rFonts w:ascii="Arial" w:hAnsi="Arial" w:cs="Arial"/>
          <w:b/>
          <w:bCs/>
          <w:color w:val="FF9900"/>
          <w:sz w:val="23"/>
          <w:szCs w:val="23"/>
          <w:lang w:val="el-GR"/>
        </w:rPr>
        <w:t xml:space="preserve">Α.1 Ανάλυση Ισολογισμού </w:t>
      </w:r>
      <w:r w:rsidRPr="0033500B">
        <w:rPr>
          <w:rFonts w:ascii="Arial" w:hAnsi="Arial" w:cs="Arial"/>
          <w:color w:val="FF9900"/>
          <w:sz w:val="23"/>
          <w:szCs w:val="23"/>
          <w:lang w:val="el-GR"/>
        </w:rPr>
        <w:t>(συνέχεια)</w:t>
      </w:r>
    </w:p>
    <w:p w14:paraId="7A2272F9" w14:textId="525DDC54" w:rsidR="005B1FD5" w:rsidRPr="00541A89" w:rsidRDefault="00AE7151" w:rsidP="005B1FD5">
      <w:pPr>
        <w:spacing w:after="0" w:line="360" w:lineRule="auto"/>
        <w:jc w:val="both"/>
        <w:rPr>
          <w:rFonts w:ascii="Arial" w:eastAsia="Times New Roman" w:hAnsi="Arial" w:cs="Arial"/>
          <w:b/>
          <w:bCs/>
          <w:color w:val="FF9900"/>
          <w:lang w:val="el-GR" w:eastAsia="el-GR"/>
        </w:rPr>
      </w:pPr>
      <w:r w:rsidRPr="007246A9">
        <w:rPr>
          <w:rFonts w:ascii="Arial" w:eastAsia="Times New Roman" w:hAnsi="Arial" w:cs="Arial"/>
          <w:b/>
          <w:bCs/>
          <w:color w:val="FF9900"/>
          <w:lang w:val="el-GR" w:eastAsia="el-GR"/>
        </w:rPr>
        <w:t>Α</w:t>
      </w:r>
      <w:r w:rsidR="005B1FD5" w:rsidRPr="00541A89">
        <w:rPr>
          <w:rFonts w:ascii="Arial" w:eastAsia="Times New Roman" w:hAnsi="Arial" w:cs="Arial"/>
          <w:b/>
          <w:bCs/>
          <w:color w:val="FF9900"/>
          <w:lang w:val="el-GR" w:eastAsia="el-GR"/>
        </w:rPr>
        <w:t>.</w:t>
      </w:r>
      <w:r w:rsidRPr="00541A89">
        <w:rPr>
          <w:rFonts w:ascii="Arial" w:eastAsia="Times New Roman" w:hAnsi="Arial" w:cs="Arial"/>
          <w:b/>
          <w:bCs/>
          <w:color w:val="FF9900"/>
          <w:lang w:val="el-GR" w:eastAsia="el-GR"/>
        </w:rPr>
        <w:t>1</w:t>
      </w:r>
      <w:r w:rsidR="005B1FD5" w:rsidRPr="00541A89">
        <w:rPr>
          <w:rFonts w:ascii="Arial" w:eastAsia="Times New Roman" w:hAnsi="Arial" w:cs="Arial"/>
          <w:b/>
          <w:bCs/>
          <w:color w:val="FF9900"/>
          <w:lang w:val="el-GR" w:eastAsia="el-GR"/>
        </w:rPr>
        <w:t>.</w:t>
      </w:r>
      <w:r w:rsidR="00D37EB2" w:rsidRPr="00541A89">
        <w:rPr>
          <w:rFonts w:ascii="Arial" w:eastAsia="Times New Roman" w:hAnsi="Arial" w:cs="Arial"/>
          <w:b/>
          <w:bCs/>
          <w:color w:val="FF9900"/>
          <w:lang w:val="el-GR" w:eastAsia="el-GR"/>
        </w:rPr>
        <w:t xml:space="preserve">8 </w:t>
      </w:r>
      <w:r w:rsidR="005B1FD5" w:rsidRPr="007246A9">
        <w:rPr>
          <w:rFonts w:ascii="Arial" w:eastAsia="Times New Roman" w:hAnsi="Arial" w:cs="Arial"/>
          <w:b/>
          <w:bCs/>
          <w:color w:val="FF9900"/>
          <w:lang w:val="el-GR" w:eastAsia="el-GR"/>
        </w:rPr>
        <w:t>Διεύθυνση</w:t>
      </w:r>
      <w:r w:rsidR="005B1FD5" w:rsidRPr="00541A89">
        <w:rPr>
          <w:rFonts w:ascii="Arial" w:eastAsia="Times New Roman" w:hAnsi="Arial" w:cs="Arial"/>
          <w:b/>
          <w:bCs/>
          <w:color w:val="FF9900"/>
          <w:lang w:val="el-GR" w:eastAsia="el-GR"/>
        </w:rPr>
        <w:t xml:space="preserve"> </w:t>
      </w:r>
      <w:r w:rsidR="005B1FD5" w:rsidRPr="007246A9">
        <w:rPr>
          <w:rFonts w:ascii="Arial" w:eastAsia="Times New Roman" w:hAnsi="Arial" w:cs="Arial"/>
          <w:b/>
          <w:bCs/>
          <w:color w:val="FF9900"/>
          <w:lang w:val="el-GR" w:eastAsia="el-GR"/>
        </w:rPr>
        <w:t>Διαχείρισης</w:t>
      </w:r>
      <w:r w:rsidR="005B1FD5" w:rsidRPr="00541A89">
        <w:rPr>
          <w:rFonts w:ascii="Arial" w:eastAsia="Times New Roman" w:hAnsi="Arial" w:cs="Arial"/>
          <w:b/>
          <w:bCs/>
          <w:color w:val="FF9900"/>
          <w:lang w:val="el-GR" w:eastAsia="el-GR"/>
        </w:rPr>
        <w:t xml:space="preserve"> </w:t>
      </w:r>
      <w:r w:rsidR="005B1FD5" w:rsidRPr="007246A9">
        <w:rPr>
          <w:rFonts w:ascii="Arial" w:eastAsia="Times New Roman" w:hAnsi="Arial" w:cs="Arial"/>
          <w:b/>
          <w:bCs/>
          <w:color w:val="FF9900"/>
          <w:lang w:val="el-GR" w:eastAsia="el-GR"/>
        </w:rPr>
        <w:t>Ακινήτων</w:t>
      </w:r>
      <w:r w:rsidR="005B1FD5" w:rsidRPr="00541A89">
        <w:rPr>
          <w:rFonts w:ascii="Arial" w:eastAsia="Times New Roman" w:hAnsi="Arial" w:cs="Arial"/>
          <w:b/>
          <w:bCs/>
          <w:color w:val="FF9900"/>
          <w:lang w:val="el-GR" w:eastAsia="el-GR"/>
        </w:rPr>
        <w:t xml:space="preserve"> (</w:t>
      </w:r>
      <w:r w:rsidR="005B1FD5" w:rsidRPr="007246A9">
        <w:rPr>
          <w:rFonts w:ascii="Arial" w:eastAsia="Times New Roman" w:hAnsi="Arial" w:cs="Arial"/>
          <w:b/>
          <w:bCs/>
          <w:color w:val="FF9900"/>
          <w:lang w:eastAsia="el-GR"/>
        </w:rPr>
        <w:t>Real</w:t>
      </w:r>
      <w:r w:rsidR="005B1FD5" w:rsidRPr="00541A89">
        <w:rPr>
          <w:rFonts w:ascii="Arial" w:eastAsia="Times New Roman" w:hAnsi="Arial" w:cs="Arial"/>
          <w:b/>
          <w:bCs/>
          <w:color w:val="FF9900"/>
          <w:lang w:val="el-GR" w:eastAsia="el-GR"/>
        </w:rPr>
        <w:t xml:space="preserve"> </w:t>
      </w:r>
      <w:r w:rsidR="005B1FD5" w:rsidRPr="007246A9">
        <w:rPr>
          <w:rFonts w:ascii="Arial" w:eastAsia="Times New Roman" w:hAnsi="Arial" w:cs="Arial"/>
          <w:b/>
          <w:bCs/>
          <w:color w:val="FF9900"/>
          <w:lang w:eastAsia="el-GR"/>
        </w:rPr>
        <w:t>Estate</w:t>
      </w:r>
      <w:r w:rsidR="005B1FD5" w:rsidRPr="00541A89">
        <w:rPr>
          <w:rFonts w:ascii="Arial" w:eastAsia="Times New Roman" w:hAnsi="Arial" w:cs="Arial"/>
          <w:b/>
          <w:bCs/>
          <w:color w:val="FF9900"/>
          <w:lang w:val="el-GR" w:eastAsia="el-GR"/>
        </w:rPr>
        <w:t xml:space="preserve"> </w:t>
      </w:r>
      <w:r w:rsidR="005B1FD5" w:rsidRPr="007246A9">
        <w:rPr>
          <w:rFonts w:ascii="Arial" w:eastAsia="Times New Roman" w:hAnsi="Arial" w:cs="Arial"/>
          <w:b/>
          <w:bCs/>
          <w:color w:val="FF9900"/>
          <w:lang w:eastAsia="el-GR"/>
        </w:rPr>
        <w:t>Management</w:t>
      </w:r>
      <w:r w:rsidR="005B1FD5" w:rsidRPr="00541A89">
        <w:rPr>
          <w:rFonts w:ascii="Arial" w:eastAsia="Times New Roman" w:hAnsi="Arial" w:cs="Arial"/>
          <w:b/>
          <w:bCs/>
          <w:color w:val="FF9900"/>
          <w:lang w:val="el-GR" w:eastAsia="el-GR"/>
        </w:rPr>
        <w:t xml:space="preserve"> </w:t>
      </w:r>
      <w:r w:rsidR="005B1FD5" w:rsidRPr="007246A9">
        <w:rPr>
          <w:rFonts w:ascii="Arial" w:eastAsia="Times New Roman" w:hAnsi="Arial" w:cs="Arial"/>
          <w:b/>
          <w:bCs/>
          <w:color w:val="FF9900"/>
          <w:lang w:eastAsia="el-GR"/>
        </w:rPr>
        <w:t>Unit</w:t>
      </w:r>
      <w:r w:rsidR="005B1FD5" w:rsidRPr="00541A89">
        <w:rPr>
          <w:rFonts w:ascii="Arial" w:eastAsia="Times New Roman" w:hAnsi="Arial" w:cs="Arial"/>
          <w:b/>
          <w:bCs/>
          <w:color w:val="FF9900"/>
          <w:lang w:val="el-GR" w:eastAsia="el-GR"/>
        </w:rPr>
        <w:t xml:space="preserve">, </w:t>
      </w:r>
      <w:r w:rsidR="005B1FD5" w:rsidRPr="007246A9">
        <w:rPr>
          <w:rFonts w:ascii="Arial" w:eastAsia="Times New Roman" w:hAnsi="Arial" w:cs="Arial"/>
          <w:b/>
          <w:bCs/>
          <w:color w:val="FF9900"/>
          <w:lang w:eastAsia="el-GR"/>
        </w:rPr>
        <w:t>REMU</w:t>
      </w:r>
      <w:r w:rsidR="005B1FD5" w:rsidRPr="00541A89">
        <w:rPr>
          <w:rFonts w:ascii="Arial" w:eastAsia="Times New Roman" w:hAnsi="Arial" w:cs="Arial"/>
          <w:b/>
          <w:bCs/>
          <w:color w:val="FF9900"/>
          <w:lang w:val="el-GR" w:eastAsia="el-GR"/>
        </w:rPr>
        <w:t xml:space="preserve">) </w:t>
      </w:r>
    </w:p>
    <w:p w14:paraId="628A9200" w14:textId="4D7681CA" w:rsidR="009E01FF" w:rsidRPr="007246A9" w:rsidRDefault="009E01FF" w:rsidP="009E01FF">
      <w:pPr>
        <w:spacing w:after="0" w:line="240" w:lineRule="auto"/>
        <w:jc w:val="both"/>
        <w:rPr>
          <w:rFonts w:ascii="Arial" w:hAnsi="Arial" w:cs="Arial"/>
          <w:sz w:val="18"/>
          <w:szCs w:val="18"/>
          <w:lang w:val="el-GR"/>
        </w:rPr>
      </w:pPr>
      <w:r w:rsidRPr="007246A9">
        <w:rPr>
          <w:rFonts w:ascii="Arial" w:hAnsi="Arial" w:cs="Arial"/>
          <w:sz w:val="18"/>
          <w:szCs w:val="18"/>
          <w:lang w:val="el-GR"/>
        </w:rPr>
        <w:t xml:space="preserve">Η </w:t>
      </w:r>
      <w:r w:rsidRPr="007246A9">
        <w:rPr>
          <w:rFonts w:ascii="Arial" w:hAnsi="Arial" w:cs="Arial"/>
          <w:b/>
          <w:bCs/>
          <w:sz w:val="18"/>
          <w:szCs w:val="18"/>
          <w:lang w:val="el-GR"/>
        </w:rPr>
        <w:t>Διεύθυνση Διαχείρισης Ακινήτων (ΔΔΑ)</w:t>
      </w:r>
      <w:r w:rsidRPr="007246A9">
        <w:rPr>
          <w:rFonts w:ascii="Arial" w:hAnsi="Arial" w:cs="Arial"/>
          <w:sz w:val="18"/>
          <w:szCs w:val="18"/>
          <w:lang w:val="el-GR"/>
        </w:rPr>
        <w:t xml:space="preserve"> επικεντρώνει την προσοχή της στην πώληση των ακινήτων που προκύπτουν από τις συμφωνίες ανταλλαγής χρέους με ακίνητα. Συνολικά, οι πωλήσεις</w:t>
      </w:r>
      <w:r w:rsidR="009A3909" w:rsidRPr="007246A9">
        <w:rPr>
          <w:rFonts w:ascii="Arial" w:hAnsi="Arial" w:cs="Arial"/>
          <w:sz w:val="18"/>
          <w:szCs w:val="18"/>
          <w:lang w:val="el-GR"/>
        </w:rPr>
        <w:t xml:space="preserve"> των ανακτηθέντων ακινήτων</w:t>
      </w:r>
      <w:r w:rsidRPr="007246A9">
        <w:rPr>
          <w:rFonts w:ascii="Arial" w:hAnsi="Arial" w:cs="Arial"/>
          <w:sz w:val="18"/>
          <w:szCs w:val="18"/>
          <w:lang w:val="el-GR"/>
        </w:rPr>
        <w:t xml:space="preserve"> από την αρχή του </w:t>
      </w:r>
      <w:r w:rsidR="001F22D1" w:rsidRPr="007246A9">
        <w:rPr>
          <w:rFonts w:ascii="Arial" w:hAnsi="Arial" w:cs="Arial"/>
          <w:sz w:val="18"/>
          <w:szCs w:val="18"/>
          <w:lang w:val="el-GR"/>
        </w:rPr>
        <w:t>2019</w:t>
      </w:r>
      <w:r w:rsidRPr="007246A9">
        <w:rPr>
          <w:rFonts w:ascii="Arial" w:hAnsi="Arial" w:cs="Arial"/>
          <w:sz w:val="18"/>
          <w:szCs w:val="18"/>
          <w:lang w:val="el-GR"/>
        </w:rPr>
        <w:t xml:space="preserve"> ανέρχονται σε </w:t>
      </w:r>
      <w:r w:rsidR="00B81624" w:rsidRPr="00E65333">
        <w:rPr>
          <w:rFonts w:ascii="Arial" w:hAnsi="Arial" w:cs="Arial"/>
          <w:sz w:val="18"/>
          <w:szCs w:val="18"/>
          <w:lang w:val="el-GR"/>
        </w:rPr>
        <w:t xml:space="preserve">περίπου </w:t>
      </w:r>
      <w:r w:rsidR="00516A65" w:rsidRPr="00502B4F">
        <w:rPr>
          <w:rFonts w:ascii="Arial" w:hAnsi="Arial" w:cs="Arial"/>
          <w:sz w:val="18"/>
          <w:szCs w:val="18"/>
          <w:lang w:val="el-GR"/>
        </w:rPr>
        <w:t>€</w:t>
      </w:r>
      <w:r w:rsidR="00B81624" w:rsidRPr="00502B4F">
        <w:rPr>
          <w:rFonts w:ascii="Arial" w:hAnsi="Arial" w:cs="Arial"/>
          <w:sz w:val="18"/>
          <w:szCs w:val="18"/>
          <w:lang w:val="el-GR"/>
        </w:rPr>
        <w:t>1.0</w:t>
      </w:r>
      <w:r w:rsidR="00516A65" w:rsidRPr="00502B4F">
        <w:rPr>
          <w:rFonts w:ascii="Arial" w:hAnsi="Arial" w:cs="Arial"/>
          <w:sz w:val="18"/>
          <w:szCs w:val="18"/>
          <w:lang w:val="el-GR"/>
        </w:rPr>
        <w:t xml:space="preserve"> </w:t>
      </w:r>
      <w:r w:rsidRPr="00502B4F">
        <w:rPr>
          <w:rFonts w:ascii="Arial" w:hAnsi="Arial" w:cs="Arial"/>
          <w:sz w:val="18"/>
          <w:szCs w:val="18"/>
          <w:lang w:val="el-GR"/>
        </w:rPr>
        <w:t xml:space="preserve">δις </w:t>
      </w:r>
      <w:r w:rsidRPr="007246A9">
        <w:rPr>
          <w:rFonts w:ascii="Arial" w:hAnsi="Arial" w:cs="Arial"/>
          <w:sz w:val="18"/>
          <w:szCs w:val="18"/>
          <w:lang w:val="el-GR"/>
        </w:rPr>
        <w:t xml:space="preserve">και υπερβαίνουν τα ακίνητα που ανέλαβε κατά την ίδια περίοδο </w:t>
      </w:r>
      <w:r w:rsidRPr="00E65333">
        <w:rPr>
          <w:rFonts w:ascii="Arial" w:hAnsi="Arial" w:cs="Arial"/>
          <w:sz w:val="18"/>
          <w:szCs w:val="18"/>
          <w:lang w:val="el-GR"/>
        </w:rPr>
        <w:t xml:space="preserve">ύψους </w:t>
      </w:r>
      <w:r w:rsidRPr="00502B4F">
        <w:rPr>
          <w:rFonts w:ascii="Arial" w:hAnsi="Arial" w:cs="Arial"/>
          <w:sz w:val="18"/>
          <w:szCs w:val="18"/>
          <w:lang w:val="el-GR"/>
        </w:rPr>
        <w:t>€</w:t>
      </w:r>
      <w:r w:rsidR="001F22D1" w:rsidRPr="00502B4F">
        <w:rPr>
          <w:rFonts w:ascii="Arial" w:hAnsi="Arial" w:cs="Arial"/>
          <w:sz w:val="18"/>
          <w:szCs w:val="18"/>
          <w:lang w:val="el-GR"/>
        </w:rPr>
        <w:t>0.5</w:t>
      </w:r>
      <w:r w:rsidRPr="00502B4F">
        <w:rPr>
          <w:rFonts w:ascii="Arial" w:hAnsi="Arial" w:cs="Arial"/>
          <w:sz w:val="18"/>
          <w:szCs w:val="18"/>
          <w:lang w:val="el-GR"/>
        </w:rPr>
        <w:t xml:space="preserve"> δις</w:t>
      </w:r>
      <w:r w:rsidRPr="00E65333">
        <w:rPr>
          <w:rFonts w:ascii="Arial" w:hAnsi="Arial" w:cs="Arial"/>
          <w:sz w:val="18"/>
          <w:szCs w:val="18"/>
          <w:lang w:val="el-GR"/>
        </w:rPr>
        <w:t>.</w:t>
      </w:r>
    </w:p>
    <w:p w14:paraId="790FEC01" w14:textId="77777777" w:rsidR="009E01FF" w:rsidRPr="007246A9" w:rsidRDefault="009E01FF" w:rsidP="009E01FF">
      <w:pPr>
        <w:spacing w:after="0" w:line="240" w:lineRule="auto"/>
        <w:jc w:val="both"/>
        <w:rPr>
          <w:rFonts w:ascii="Arial" w:hAnsi="Arial" w:cs="Arial"/>
          <w:sz w:val="18"/>
          <w:szCs w:val="18"/>
          <w:lang w:val="el-GR"/>
        </w:rPr>
      </w:pPr>
    </w:p>
    <w:p w14:paraId="72DDD2AE" w14:textId="1CE19CA8" w:rsidR="009E01FF" w:rsidRPr="00502B4F" w:rsidRDefault="009E01FF" w:rsidP="0001370B">
      <w:pPr>
        <w:spacing w:after="0" w:line="240" w:lineRule="auto"/>
        <w:jc w:val="both"/>
        <w:rPr>
          <w:rFonts w:ascii="Arial" w:hAnsi="Arial" w:cs="Arial"/>
          <w:sz w:val="18"/>
          <w:szCs w:val="18"/>
          <w:lang w:val="el-GR"/>
        </w:rPr>
      </w:pPr>
      <w:r w:rsidRPr="007246A9">
        <w:rPr>
          <w:rFonts w:ascii="Arial" w:hAnsi="Arial" w:cs="Arial"/>
          <w:sz w:val="18"/>
          <w:szCs w:val="18"/>
          <w:lang w:val="el-GR"/>
        </w:rPr>
        <w:t>Κατά το</w:t>
      </w:r>
      <w:r w:rsidR="00BD7885" w:rsidRPr="007246A9">
        <w:rPr>
          <w:rFonts w:ascii="Arial" w:hAnsi="Arial" w:cs="Arial"/>
          <w:sz w:val="18"/>
          <w:szCs w:val="18"/>
          <w:lang w:val="el-GR"/>
        </w:rPr>
        <w:t xml:space="preserve"> </w:t>
      </w:r>
      <w:r w:rsidR="007A2F9B">
        <w:rPr>
          <w:rFonts w:ascii="Arial" w:hAnsi="Arial" w:cs="Arial"/>
          <w:sz w:val="18"/>
          <w:szCs w:val="18"/>
          <w:lang w:val="el-GR"/>
        </w:rPr>
        <w:t>εννεάμηνο</w:t>
      </w:r>
      <w:r w:rsidR="00D25546" w:rsidRPr="007246A9">
        <w:rPr>
          <w:rFonts w:ascii="Arial" w:hAnsi="Arial" w:cs="Arial"/>
          <w:sz w:val="18"/>
          <w:szCs w:val="18"/>
          <w:lang w:val="el-GR"/>
        </w:rPr>
        <w:t xml:space="preserve"> που έληξε στις 30 Σεπτεμβρίου</w:t>
      </w:r>
      <w:r w:rsidR="0001370B" w:rsidRPr="007246A9">
        <w:rPr>
          <w:rFonts w:ascii="Arial" w:hAnsi="Arial" w:cs="Arial"/>
          <w:sz w:val="18"/>
          <w:szCs w:val="18"/>
          <w:lang w:val="el-GR"/>
        </w:rPr>
        <w:t xml:space="preserve"> </w:t>
      </w:r>
      <w:r w:rsidR="00BD7885" w:rsidRPr="007246A9">
        <w:rPr>
          <w:rFonts w:ascii="Arial" w:hAnsi="Arial" w:cs="Arial"/>
          <w:sz w:val="18"/>
          <w:szCs w:val="18"/>
          <w:lang w:val="el-GR"/>
        </w:rPr>
        <w:t>2024</w:t>
      </w:r>
      <w:r w:rsidRPr="007246A9">
        <w:rPr>
          <w:rFonts w:ascii="Arial" w:hAnsi="Arial" w:cs="Arial"/>
          <w:sz w:val="18"/>
          <w:szCs w:val="18"/>
          <w:lang w:val="el-GR"/>
        </w:rPr>
        <w:t xml:space="preserve">, </w:t>
      </w:r>
      <w:r w:rsidR="00680989" w:rsidRPr="007246A9">
        <w:rPr>
          <w:rFonts w:ascii="Arial" w:hAnsi="Arial" w:cs="Arial"/>
          <w:sz w:val="18"/>
          <w:szCs w:val="18"/>
          <w:lang w:val="el-GR"/>
        </w:rPr>
        <w:t xml:space="preserve">η ΔΔΑ </w:t>
      </w:r>
      <w:r w:rsidRPr="007246A9">
        <w:rPr>
          <w:rFonts w:ascii="Arial" w:hAnsi="Arial" w:cs="Arial"/>
          <w:sz w:val="18"/>
          <w:szCs w:val="18"/>
          <w:lang w:val="el-GR"/>
        </w:rPr>
        <w:t>ολοκλήρωσε πωλήσεις</w:t>
      </w:r>
      <w:r w:rsidR="00D97ADF" w:rsidRPr="007246A9">
        <w:rPr>
          <w:rFonts w:ascii="Arial" w:hAnsi="Arial" w:cs="Arial"/>
          <w:sz w:val="18"/>
          <w:szCs w:val="18"/>
          <w:lang w:val="el-GR"/>
        </w:rPr>
        <w:t xml:space="preserve"> (και μεταφορές)</w:t>
      </w:r>
      <w:r w:rsidRPr="007246A9">
        <w:rPr>
          <w:rFonts w:ascii="Arial" w:hAnsi="Arial" w:cs="Arial"/>
          <w:sz w:val="18"/>
          <w:szCs w:val="18"/>
          <w:lang w:val="el-GR"/>
        </w:rPr>
        <w:t xml:space="preserve"> ακινήτων ύψους €</w:t>
      </w:r>
      <w:r w:rsidR="00E65333" w:rsidRPr="00502B4F">
        <w:rPr>
          <w:rFonts w:ascii="Arial" w:hAnsi="Arial" w:cs="Arial"/>
          <w:sz w:val="18"/>
          <w:szCs w:val="18"/>
          <w:lang w:val="el-GR"/>
        </w:rPr>
        <w:t>82</w:t>
      </w:r>
      <w:r w:rsidR="00E65333" w:rsidRPr="0060141A">
        <w:rPr>
          <w:rFonts w:ascii="Arial" w:hAnsi="Arial" w:cs="Arial"/>
          <w:sz w:val="18"/>
          <w:szCs w:val="18"/>
          <w:lang w:val="el-GR"/>
        </w:rPr>
        <w:t xml:space="preserve"> </w:t>
      </w:r>
      <w:r w:rsidRPr="007246A9">
        <w:rPr>
          <w:rFonts w:ascii="Arial" w:hAnsi="Arial" w:cs="Arial"/>
          <w:sz w:val="18"/>
          <w:szCs w:val="18"/>
          <w:lang w:val="el-GR"/>
        </w:rPr>
        <w:t>εκατ. (σε σύγκριση με €</w:t>
      </w:r>
      <w:r w:rsidR="00D25546" w:rsidRPr="007246A9">
        <w:rPr>
          <w:rFonts w:ascii="Arial" w:hAnsi="Arial" w:cs="Arial"/>
          <w:sz w:val="18"/>
          <w:szCs w:val="18"/>
          <w:lang w:val="el-GR"/>
        </w:rPr>
        <w:t xml:space="preserve">98 </w:t>
      </w:r>
      <w:r w:rsidRPr="007246A9">
        <w:rPr>
          <w:rFonts w:ascii="Arial" w:hAnsi="Arial" w:cs="Arial"/>
          <w:sz w:val="18"/>
          <w:szCs w:val="18"/>
          <w:lang w:val="el-GR"/>
        </w:rPr>
        <w:t xml:space="preserve">εκατ. κατά </w:t>
      </w:r>
      <w:r w:rsidR="00BD7885" w:rsidRPr="007246A9">
        <w:rPr>
          <w:rFonts w:ascii="Arial" w:hAnsi="Arial" w:cs="Arial"/>
          <w:sz w:val="18"/>
          <w:szCs w:val="18"/>
          <w:lang w:val="el-GR"/>
        </w:rPr>
        <w:t xml:space="preserve">το </w:t>
      </w:r>
      <w:r w:rsidR="00D25546">
        <w:rPr>
          <w:rFonts w:ascii="Arial" w:hAnsi="Arial" w:cs="Arial"/>
          <w:sz w:val="18"/>
          <w:szCs w:val="18"/>
          <w:lang w:val="el-GR"/>
        </w:rPr>
        <w:t xml:space="preserve">αντίστοιχο </w:t>
      </w:r>
      <w:r w:rsidR="007A2F9B">
        <w:rPr>
          <w:rFonts w:ascii="Arial" w:hAnsi="Arial" w:cs="Arial"/>
          <w:sz w:val="18"/>
          <w:szCs w:val="18"/>
          <w:lang w:val="el-GR"/>
        </w:rPr>
        <w:t>εννεάμηνο</w:t>
      </w:r>
      <w:r w:rsidR="00D25546">
        <w:rPr>
          <w:rFonts w:ascii="Arial" w:hAnsi="Arial" w:cs="Arial"/>
          <w:sz w:val="18"/>
          <w:szCs w:val="18"/>
          <w:lang w:val="el-GR"/>
        </w:rPr>
        <w:t xml:space="preserve"> </w:t>
      </w:r>
      <w:r w:rsidR="00BD7885" w:rsidRPr="007246A9">
        <w:rPr>
          <w:rFonts w:ascii="Arial" w:hAnsi="Arial" w:cs="Arial"/>
          <w:sz w:val="18"/>
          <w:szCs w:val="18"/>
          <w:lang w:val="el-GR"/>
        </w:rPr>
        <w:t>2023</w:t>
      </w:r>
      <w:r w:rsidRPr="007246A9">
        <w:rPr>
          <w:rFonts w:ascii="Arial" w:hAnsi="Arial" w:cs="Arial"/>
          <w:sz w:val="18"/>
          <w:szCs w:val="18"/>
          <w:lang w:val="el-GR"/>
        </w:rPr>
        <w:t>), με κέρδη από πωλήσεις ακινήτων ύψους</w:t>
      </w:r>
      <w:r w:rsidR="002B266E" w:rsidRPr="007246A9">
        <w:rPr>
          <w:rFonts w:ascii="Arial" w:hAnsi="Arial" w:cs="Arial"/>
          <w:sz w:val="18"/>
          <w:szCs w:val="18"/>
          <w:lang w:val="el-GR"/>
        </w:rPr>
        <w:t xml:space="preserve"> περίπου</w:t>
      </w:r>
      <w:r w:rsidRPr="007246A9">
        <w:rPr>
          <w:rFonts w:ascii="Arial" w:hAnsi="Arial" w:cs="Arial"/>
          <w:sz w:val="18"/>
          <w:szCs w:val="18"/>
          <w:lang w:val="el-GR"/>
        </w:rPr>
        <w:t xml:space="preserve"> €</w:t>
      </w:r>
      <w:r w:rsidR="00E65333" w:rsidRPr="00502B4F">
        <w:rPr>
          <w:rFonts w:ascii="Arial" w:hAnsi="Arial" w:cs="Arial"/>
          <w:sz w:val="18"/>
          <w:szCs w:val="18"/>
          <w:lang w:val="el-GR"/>
        </w:rPr>
        <w:t>5</w:t>
      </w:r>
      <w:r w:rsidR="00E65333" w:rsidRPr="007246A9">
        <w:rPr>
          <w:rFonts w:ascii="Arial" w:hAnsi="Arial" w:cs="Arial"/>
          <w:color w:val="FF0000"/>
          <w:sz w:val="18"/>
          <w:szCs w:val="18"/>
          <w:lang w:val="el-GR"/>
        </w:rPr>
        <w:t xml:space="preserve"> </w:t>
      </w:r>
      <w:r w:rsidRPr="007246A9">
        <w:rPr>
          <w:rFonts w:ascii="Arial" w:hAnsi="Arial" w:cs="Arial"/>
          <w:sz w:val="18"/>
          <w:szCs w:val="18"/>
          <w:lang w:val="el-GR"/>
        </w:rPr>
        <w:t xml:space="preserve">εκατ. </w:t>
      </w:r>
      <w:r w:rsidR="00BD7885" w:rsidRPr="007246A9">
        <w:rPr>
          <w:rFonts w:ascii="Arial" w:hAnsi="Arial" w:cs="Arial"/>
          <w:sz w:val="18"/>
          <w:szCs w:val="18"/>
          <w:lang w:val="el-GR"/>
        </w:rPr>
        <w:t>κατά</w:t>
      </w:r>
      <w:r w:rsidR="00D25546" w:rsidRPr="007246A9">
        <w:rPr>
          <w:rFonts w:ascii="Arial" w:hAnsi="Arial" w:cs="Arial"/>
          <w:sz w:val="18"/>
          <w:szCs w:val="18"/>
          <w:lang w:val="el-GR"/>
        </w:rPr>
        <w:t xml:space="preserve"> </w:t>
      </w:r>
      <w:r w:rsidR="00D25546" w:rsidRPr="00D25546">
        <w:rPr>
          <w:rFonts w:ascii="Arial" w:hAnsi="Arial" w:cs="Arial"/>
          <w:sz w:val="18"/>
          <w:szCs w:val="18"/>
          <w:lang w:val="el-GR"/>
        </w:rPr>
        <w:t xml:space="preserve">το </w:t>
      </w:r>
      <w:r w:rsidR="007A2F9B">
        <w:rPr>
          <w:rFonts w:ascii="Arial" w:hAnsi="Arial" w:cs="Arial"/>
          <w:sz w:val="18"/>
          <w:szCs w:val="18"/>
          <w:lang w:val="el-GR"/>
        </w:rPr>
        <w:t>εννεάμηνο</w:t>
      </w:r>
      <w:r w:rsidR="00D25546" w:rsidRPr="00D25546">
        <w:rPr>
          <w:rFonts w:ascii="Arial" w:hAnsi="Arial" w:cs="Arial"/>
          <w:sz w:val="18"/>
          <w:szCs w:val="18"/>
          <w:lang w:val="el-GR"/>
        </w:rPr>
        <w:t xml:space="preserve"> που έληξε στις 30 Σεπτεμβρίου </w:t>
      </w:r>
      <w:r w:rsidR="00BD7885" w:rsidRPr="007246A9">
        <w:rPr>
          <w:rFonts w:ascii="Arial" w:hAnsi="Arial" w:cs="Arial"/>
          <w:sz w:val="18"/>
          <w:szCs w:val="18"/>
          <w:lang w:val="el-GR"/>
        </w:rPr>
        <w:t>2024</w:t>
      </w:r>
      <w:r w:rsidR="008F67C5">
        <w:rPr>
          <w:rFonts w:ascii="Arial" w:hAnsi="Arial" w:cs="Arial"/>
          <w:sz w:val="18"/>
          <w:szCs w:val="18"/>
          <w:lang w:val="el-GR"/>
        </w:rPr>
        <w:t xml:space="preserve"> </w:t>
      </w:r>
      <w:r w:rsidRPr="007246A9">
        <w:rPr>
          <w:rFonts w:ascii="Arial" w:hAnsi="Arial" w:cs="Arial"/>
          <w:sz w:val="18"/>
          <w:szCs w:val="18"/>
          <w:lang w:val="el-GR"/>
        </w:rPr>
        <w:t xml:space="preserve">(σε σύγκριση με κέρδη </w:t>
      </w:r>
      <w:r w:rsidRPr="00E65333">
        <w:rPr>
          <w:rFonts w:ascii="Arial" w:hAnsi="Arial" w:cs="Arial"/>
          <w:sz w:val="18"/>
          <w:szCs w:val="18"/>
          <w:lang w:val="el-GR"/>
        </w:rPr>
        <w:t>ύψους περίπου €</w:t>
      </w:r>
      <w:r w:rsidR="00D25546" w:rsidRPr="00E65333">
        <w:rPr>
          <w:rFonts w:ascii="Arial" w:hAnsi="Arial" w:cs="Arial"/>
          <w:sz w:val="18"/>
          <w:szCs w:val="18"/>
          <w:lang w:val="el-GR"/>
        </w:rPr>
        <w:t xml:space="preserve">8 </w:t>
      </w:r>
      <w:r w:rsidRPr="00E65333">
        <w:rPr>
          <w:rFonts w:ascii="Arial" w:hAnsi="Arial" w:cs="Arial"/>
          <w:sz w:val="18"/>
          <w:szCs w:val="18"/>
          <w:lang w:val="el-GR"/>
        </w:rPr>
        <w:t xml:space="preserve">εκατ. </w:t>
      </w:r>
      <w:r w:rsidR="008F67C5" w:rsidRPr="00E65333">
        <w:rPr>
          <w:rFonts w:ascii="Arial" w:hAnsi="Arial" w:cs="Arial"/>
          <w:sz w:val="18"/>
          <w:szCs w:val="18"/>
          <w:lang w:val="el-GR"/>
        </w:rPr>
        <w:t xml:space="preserve">κατά το αντίστοιχο </w:t>
      </w:r>
      <w:r w:rsidR="007A2F9B">
        <w:rPr>
          <w:rFonts w:ascii="Arial" w:hAnsi="Arial" w:cs="Arial"/>
          <w:sz w:val="18"/>
          <w:szCs w:val="18"/>
          <w:lang w:val="el-GR"/>
        </w:rPr>
        <w:t>εννεάμηνο</w:t>
      </w:r>
      <w:r w:rsidR="008F67C5" w:rsidRPr="00E65333">
        <w:rPr>
          <w:rFonts w:ascii="Arial" w:hAnsi="Arial" w:cs="Arial"/>
          <w:sz w:val="18"/>
          <w:szCs w:val="18"/>
          <w:lang w:val="el-GR"/>
        </w:rPr>
        <w:t xml:space="preserve"> 2023</w:t>
      </w:r>
      <w:r w:rsidR="00BD7885" w:rsidRPr="00E65333">
        <w:rPr>
          <w:rFonts w:ascii="Arial" w:hAnsi="Arial" w:cs="Arial"/>
          <w:sz w:val="18"/>
          <w:szCs w:val="18"/>
          <w:lang w:val="el-GR"/>
        </w:rPr>
        <w:t>).</w:t>
      </w:r>
      <w:r w:rsidR="008F67C5" w:rsidRPr="00E65333">
        <w:rPr>
          <w:rFonts w:ascii="Arial" w:hAnsi="Arial" w:cs="Arial"/>
          <w:sz w:val="18"/>
          <w:szCs w:val="18"/>
          <w:lang w:val="el-GR"/>
        </w:rPr>
        <w:t xml:space="preserve"> </w:t>
      </w:r>
      <w:r w:rsidRPr="00502B4F">
        <w:rPr>
          <w:rFonts w:ascii="Arial" w:hAnsi="Arial" w:cs="Arial"/>
          <w:sz w:val="18"/>
          <w:szCs w:val="18"/>
          <w:lang w:val="el-GR"/>
        </w:rPr>
        <w:t>Οι πωλήσεις περιουσιακών στοιχείων αφορούν όλες τις κατηγορίες ακινήτων, με</w:t>
      </w:r>
      <w:r w:rsidR="00BD7885" w:rsidRPr="00502B4F">
        <w:rPr>
          <w:rFonts w:ascii="Arial" w:hAnsi="Arial" w:cs="Arial"/>
          <w:sz w:val="18"/>
          <w:szCs w:val="18"/>
          <w:lang w:val="el-GR"/>
        </w:rPr>
        <w:t xml:space="preserve"> </w:t>
      </w:r>
      <w:r w:rsidR="00B81624" w:rsidRPr="00502B4F">
        <w:rPr>
          <w:rFonts w:ascii="Arial" w:hAnsi="Arial" w:cs="Arial"/>
          <w:sz w:val="18"/>
          <w:szCs w:val="18"/>
          <w:lang w:val="el-GR"/>
        </w:rPr>
        <w:t>περίπου τ</w:t>
      </w:r>
      <w:r w:rsidR="0043259E" w:rsidRPr="00502B4F">
        <w:rPr>
          <w:rFonts w:ascii="Arial" w:hAnsi="Arial" w:cs="Arial"/>
          <w:sz w:val="18"/>
          <w:szCs w:val="18"/>
          <w:lang w:val="el-GR"/>
        </w:rPr>
        <w:t xml:space="preserve">ο 50% </w:t>
      </w:r>
      <w:r w:rsidRPr="00502B4F">
        <w:rPr>
          <w:rFonts w:ascii="Arial" w:hAnsi="Arial" w:cs="Arial"/>
          <w:sz w:val="18"/>
          <w:szCs w:val="18"/>
          <w:lang w:val="el-GR"/>
        </w:rPr>
        <w:t xml:space="preserve">των πωλήσεων σε </w:t>
      </w:r>
      <w:r w:rsidR="00926E34" w:rsidRPr="00502B4F">
        <w:rPr>
          <w:rFonts w:ascii="Arial" w:hAnsi="Arial" w:cs="Arial"/>
          <w:sz w:val="18"/>
          <w:szCs w:val="18"/>
          <w:lang w:val="el-GR"/>
        </w:rPr>
        <w:t xml:space="preserve">μεικτή </w:t>
      </w:r>
      <w:r w:rsidRPr="00502B4F">
        <w:rPr>
          <w:rFonts w:ascii="Arial" w:hAnsi="Arial" w:cs="Arial"/>
          <w:sz w:val="18"/>
          <w:szCs w:val="18"/>
          <w:lang w:val="el-GR"/>
        </w:rPr>
        <w:t xml:space="preserve">αξία κατά </w:t>
      </w:r>
      <w:r w:rsidR="00BD7885" w:rsidRPr="00502B4F">
        <w:rPr>
          <w:rFonts w:ascii="Arial" w:hAnsi="Arial" w:cs="Arial"/>
          <w:sz w:val="18"/>
          <w:szCs w:val="18"/>
          <w:lang w:val="el-GR"/>
        </w:rPr>
        <w:t>το</w:t>
      </w:r>
      <w:r w:rsidR="00D25546" w:rsidRPr="00502B4F">
        <w:rPr>
          <w:rFonts w:ascii="Arial" w:hAnsi="Arial" w:cs="Arial"/>
          <w:sz w:val="18"/>
          <w:szCs w:val="18"/>
          <w:lang w:val="el-GR"/>
        </w:rPr>
        <w:t xml:space="preserve"> </w:t>
      </w:r>
      <w:r w:rsidR="007A2F9B">
        <w:rPr>
          <w:rFonts w:ascii="Arial" w:hAnsi="Arial" w:cs="Arial"/>
          <w:sz w:val="18"/>
          <w:szCs w:val="18"/>
          <w:lang w:val="el-GR"/>
        </w:rPr>
        <w:t>εννεάμηνο</w:t>
      </w:r>
      <w:r w:rsidR="00D25546" w:rsidRPr="00502B4F">
        <w:rPr>
          <w:rFonts w:ascii="Arial" w:hAnsi="Arial" w:cs="Arial"/>
          <w:sz w:val="18"/>
          <w:szCs w:val="18"/>
          <w:lang w:val="el-GR"/>
        </w:rPr>
        <w:t xml:space="preserve"> που έληξε στις 30 Σεπτεμβρίου </w:t>
      </w:r>
      <w:r w:rsidR="00BD7885" w:rsidRPr="00502B4F">
        <w:rPr>
          <w:rFonts w:ascii="Arial" w:hAnsi="Arial" w:cs="Arial"/>
          <w:sz w:val="18"/>
          <w:szCs w:val="18"/>
          <w:lang w:val="el-GR"/>
        </w:rPr>
        <w:t>2024</w:t>
      </w:r>
      <w:r w:rsidR="00031B72" w:rsidRPr="00502B4F">
        <w:rPr>
          <w:rFonts w:ascii="Arial" w:hAnsi="Arial" w:cs="Arial"/>
          <w:sz w:val="18"/>
          <w:szCs w:val="18"/>
          <w:lang w:val="el-GR"/>
        </w:rPr>
        <w:t xml:space="preserve"> </w:t>
      </w:r>
      <w:r w:rsidRPr="00502B4F">
        <w:rPr>
          <w:rFonts w:ascii="Arial" w:hAnsi="Arial" w:cs="Arial"/>
          <w:sz w:val="18"/>
          <w:szCs w:val="18"/>
          <w:lang w:val="el-GR"/>
        </w:rPr>
        <w:t xml:space="preserve">να αφορούν γη. </w:t>
      </w:r>
    </w:p>
    <w:p w14:paraId="42E841D7" w14:textId="77777777" w:rsidR="009E01FF" w:rsidRPr="007246A9" w:rsidRDefault="009E01FF" w:rsidP="009E01FF">
      <w:pPr>
        <w:spacing w:after="0" w:line="240" w:lineRule="auto"/>
        <w:jc w:val="both"/>
        <w:rPr>
          <w:rFonts w:ascii="Arial" w:hAnsi="Arial" w:cs="Arial"/>
          <w:sz w:val="18"/>
          <w:szCs w:val="18"/>
          <w:lang w:val="el-GR"/>
        </w:rPr>
      </w:pPr>
    </w:p>
    <w:p w14:paraId="6332ACD8" w14:textId="79032A8B" w:rsidR="009E01FF" w:rsidRPr="007246A9" w:rsidRDefault="00A936ED" w:rsidP="009E01FF">
      <w:pPr>
        <w:spacing w:after="0" w:line="240" w:lineRule="auto"/>
        <w:jc w:val="both"/>
        <w:rPr>
          <w:rFonts w:ascii="Arial" w:hAnsi="Arial" w:cs="Arial"/>
          <w:sz w:val="18"/>
          <w:szCs w:val="18"/>
          <w:lang w:val="el-GR"/>
        </w:rPr>
      </w:pPr>
      <w:r w:rsidRPr="007246A9">
        <w:rPr>
          <w:rFonts w:ascii="Arial" w:hAnsi="Arial" w:cs="Arial"/>
          <w:sz w:val="18"/>
          <w:szCs w:val="18"/>
          <w:lang w:val="el-GR"/>
        </w:rPr>
        <w:t xml:space="preserve">Κατά </w:t>
      </w:r>
      <w:r w:rsidR="004F1980" w:rsidRPr="004F1980">
        <w:rPr>
          <w:rFonts w:ascii="Arial" w:hAnsi="Arial" w:cs="Arial"/>
          <w:sz w:val="18"/>
          <w:szCs w:val="18"/>
          <w:lang w:val="el-GR"/>
        </w:rPr>
        <w:t xml:space="preserve">το </w:t>
      </w:r>
      <w:r w:rsidR="007A2F9B">
        <w:rPr>
          <w:rFonts w:ascii="Arial" w:hAnsi="Arial" w:cs="Arial"/>
          <w:sz w:val="18"/>
          <w:szCs w:val="18"/>
          <w:lang w:val="el-GR"/>
        </w:rPr>
        <w:t>εννεάμηνο</w:t>
      </w:r>
      <w:r w:rsidR="004F1980" w:rsidRPr="004F1980">
        <w:rPr>
          <w:rFonts w:ascii="Arial" w:hAnsi="Arial" w:cs="Arial"/>
          <w:sz w:val="18"/>
          <w:szCs w:val="18"/>
          <w:lang w:val="el-GR"/>
        </w:rPr>
        <w:t xml:space="preserve"> που έληξε στις 30 Σεπτεμβρίου </w:t>
      </w:r>
      <w:r w:rsidR="005C0640" w:rsidRPr="007246A9">
        <w:rPr>
          <w:rFonts w:ascii="Arial" w:hAnsi="Arial" w:cs="Arial"/>
          <w:sz w:val="18"/>
          <w:szCs w:val="18"/>
          <w:lang w:val="el-GR"/>
        </w:rPr>
        <w:t>2024</w:t>
      </w:r>
      <w:r w:rsidR="009E01FF" w:rsidRPr="007246A9">
        <w:rPr>
          <w:rFonts w:ascii="Arial" w:hAnsi="Arial" w:cs="Arial"/>
          <w:sz w:val="18"/>
          <w:szCs w:val="18"/>
          <w:lang w:val="el-GR"/>
        </w:rPr>
        <w:t xml:space="preserve">, </w:t>
      </w:r>
      <w:r w:rsidR="00680989" w:rsidRPr="007246A9">
        <w:rPr>
          <w:rFonts w:ascii="Arial" w:hAnsi="Arial" w:cs="Arial"/>
          <w:sz w:val="18"/>
          <w:szCs w:val="18"/>
          <w:lang w:val="el-GR"/>
        </w:rPr>
        <w:t xml:space="preserve">η ΔΔΑ </w:t>
      </w:r>
      <w:r w:rsidR="009E01FF" w:rsidRPr="007246A9">
        <w:rPr>
          <w:rFonts w:ascii="Arial" w:hAnsi="Arial" w:cs="Arial"/>
          <w:sz w:val="18"/>
          <w:szCs w:val="18"/>
          <w:lang w:val="el-GR"/>
        </w:rPr>
        <w:t xml:space="preserve">προχώρησε σε εκτέλεση </w:t>
      </w:r>
      <w:proofErr w:type="spellStart"/>
      <w:r w:rsidR="009E01FF" w:rsidRPr="007246A9">
        <w:rPr>
          <w:rFonts w:ascii="Arial" w:hAnsi="Arial" w:cs="Arial"/>
          <w:sz w:val="18"/>
          <w:szCs w:val="18"/>
          <w:lang w:val="el-GR"/>
        </w:rPr>
        <w:t>αγοραπωλητήριων</w:t>
      </w:r>
      <w:proofErr w:type="spellEnd"/>
      <w:r w:rsidR="009E01FF" w:rsidRPr="007246A9">
        <w:rPr>
          <w:rFonts w:ascii="Arial" w:hAnsi="Arial" w:cs="Arial"/>
          <w:sz w:val="18"/>
          <w:szCs w:val="18"/>
          <w:lang w:val="el-GR"/>
        </w:rPr>
        <w:t xml:space="preserve"> συμφωνιών για </w:t>
      </w:r>
      <w:r w:rsidR="0060141A" w:rsidRPr="00502B4F">
        <w:rPr>
          <w:rFonts w:ascii="Arial" w:hAnsi="Arial" w:cs="Arial"/>
          <w:sz w:val="18"/>
          <w:szCs w:val="18"/>
          <w:lang w:val="el-GR"/>
        </w:rPr>
        <w:t xml:space="preserve">367 </w:t>
      </w:r>
      <w:r w:rsidR="009E01FF" w:rsidRPr="007246A9">
        <w:rPr>
          <w:rFonts w:ascii="Arial" w:hAnsi="Arial" w:cs="Arial"/>
          <w:sz w:val="18"/>
          <w:szCs w:val="18"/>
          <w:lang w:val="el-GR"/>
        </w:rPr>
        <w:t>ακίνητα με τιμή συμβολαίου ύψους €</w:t>
      </w:r>
      <w:r w:rsidR="0060141A" w:rsidRPr="00502B4F">
        <w:rPr>
          <w:rFonts w:ascii="Arial" w:hAnsi="Arial" w:cs="Arial"/>
          <w:sz w:val="18"/>
          <w:szCs w:val="18"/>
          <w:lang w:val="el-GR"/>
        </w:rPr>
        <w:t>94</w:t>
      </w:r>
      <w:r w:rsidR="0060141A" w:rsidRPr="007246A9">
        <w:rPr>
          <w:rFonts w:ascii="Arial" w:hAnsi="Arial" w:cs="Arial"/>
          <w:sz w:val="18"/>
          <w:szCs w:val="18"/>
          <w:lang w:val="el-GR"/>
        </w:rPr>
        <w:t xml:space="preserve"> </w:t>
      </w:r>
      <w:r w:rsidR="009E01FF" w:rsidRPr="007246A9">
        <w:rPr>
          <w:rFonts w:ascii="Arial" w:hAnsi="Arial" w:cs="Arial"/>
          <w:sz w:val="18"/>
          <w:szCs w:val="18"/>
          <w:lang w:val="el-GR"/>
        </w:rPr>
        <w:t>εκατ.</w:t>
      </w:r>
      <w:r w:rsidR="00BD7885" w:rsidRPr="007246A9">
        <w:rPr>
          <w:rFonts w:ascii="Arial" w:hAnsi="Arial" w:cs="Arial"/>
          <w:sz w:val="18"/>
          <w:szCs w:val="18"/>
          <w:lang w:val="el-GR"/>
        </w:rPr>
        <w:t xml:space="preserve"> (</w:t>
      </w:r>
      <w:r w:rsidR="00134353">
        <w:rPr>
          <w:rFonts w:ascii="Arial" w:hAnsi="Arial" w:cs="Arial"/>
          <w:sz w:val="18"/>
          <w:szCs w:val="18"/>
          <w:lang w:val="el-GR"/>
        </w:rPr>
        <w:t>περιλαμβανομένων</w:t>
      </w:r>
      <w:r w:rsidR="00134353" w:rsidRPr="007246A9">
        <w:rPr>
          <w:rFonts w:ascii="Arial" w:hAnsi="Arial" w:cs="Arial"/>
          <w:sz w:val="18"/>
          <w:szCs w:val="18"/>
          <w:lang w:val="el-GR"/>
        </w:rPr>
        <w:t xml:space="preserve"> </w:t>
      </w:r>
      <w:r w:rsidR="00134353">
        <w:rPr>
          <w:rFonts w:ascii="Arial" w:hAnsi="Arial" w:cs="Arial"/>
          <w:sz w:val="18"/>
          <w:szCs w:val="18"/>
          <w:lang w:val="el-GR"/>
        </w:rPr>
        <w:t>μεταφορών</w:t>
      </w:r>
      <w:r w:rsidR="00134353" w:rsidRPr="007246A9">
        <w:rPr>
          <w:rFonts w:ascii="Arial" w:hAnsi="Arial" w:cs="Arial"/>
          <w:sz w:val="18"/>
          <w:szCs w:val="18"/>
          <w:lang w:val="el-GR"/>
        </w:rPr>
        <w:t xml:space="preserve"> </w:t>
      </w:r>
      <w:r w:rsidR="00680989" w:rsidRPr="007246A9">
        <w:rPr>
          <w:rFonts w:ascii="Arial" w:hAnsi="Arial" w:cs="Arial"/>
          <w:sz w:val="18"/>
          <w:szCs w:val="18"/>
          <w:lang w:val="el-GR"/>
        </w:rPr>
        <w:t>ύψους</w:t>
      </w:r>
      <w:r w:rsidR="00680989" w:rsidRPr="0060141A">
        <w:rPr>
          <w:rFonts w:ascii="Arial" w:hAnsi="Arial" w:cs="Arial"/>
          <w:sz w:val="18"/>
          <w:szCs w:val="18"/>
          <w:lang w:val="el-GR"/>
        </w:rPr>
        <w:t xml:space="preserve"> €</w:t>
      </w:r>
      <w:r w:rsidR="00AB1F61" w:rsidRPr="00502B4F">
        <w:rPr>
          <w:rFonts w:ascii="Arial" w:hAnsi="Arial" w:cs="Arial"/>
          <w:sz w:val="18"/>
          <w:szCs w:val="18"/>
          <w:lang w:val="el-GR"/>
        </w:rPr>
        <w:t>3</w:t>
      </w:r>
      <w:r w:rsidR="0001370B" w:rsidRPr="00502B4F">
        <w:rPr>
          <w:rFonts w:ascii="Arial" w:hAnsi="Arial" w:cs="Arial"/>
          <w:sz w:val="18"/>
          <w:szCs w:val="18"/>
          <w:lang w:val="el-GR"/>
        </w:rPr>
        <w:t xml:space="preserve"> </w:t>
      </w:r>
      <w:r w:rsidR="00680989" w:rsidRPr="0060141A">
        <w:rPr>
          <w:rFonts w:ascii="Arial" w:hAnsi="Arial" w:cs="Arial"/>
          <w:sz w:val="18"/>
          <w:szCs w:val="18"/>
          <w:lang w:val="el-GR"/>
        </w:rPr>
        <w:t>εκατ</w:t>
      </w:r>
      <w:r w:rsidR="00680989" w:rsidRPr="007246A9">
        <w:rPr>
          <w:rFonts w:ascii="Arial" w:hAnsi="Arial" w:cs="Arial"/>
          <w:sz w:val="18"/>
          <w:szCs w:val="18"/>
          <w:lang w:val="el-GR"/>
        </w:rPr>
        <w:t>.</w:t>
      </w:r>
      <w:r w:rsidR="00BD7885" w:rsidRPr="007246A9">
        <w:rPr>
          <w:rFonts w:ascii="Arial" w:hAnsi="Arial" w:cs="Arial"/>
          <w:sz w:val="18"/>
          <w:szCs w:val="18"/>
          <w:lang w:val="el-GR"/>
        </w:rPr>
        <w:t>)</w:t>
      </w:r>
      <w:r w:rsidR="009E01FF" w:rsidRPr="007246A9">
        <w:rPr>
          <w:rFonts w:ascii="Arial" w:hAnsi="Arial" w:cs="Arial"/>
          <w:sz w:val="18"/>
          <w:szCs w:val="18"/>
          <w:lang w:val="el-GR"/>
        </w:rPr>
        <w:t xml:space="preserve">, σε σύγκριση με </w:t>
      </w:r>
      <w:proofErr w:type="spellStart"/>
      <w:r w:rsidR="009E01FF" w:rsidRPr="007246A9">
        <w:rPr>
          <w:rFonts w:ascii="Arial" w:hAnsi="Arial" w:cs="Arial"/>
          <w:sz w:val="18"/>
          <w:szCs w:val="18"/>
          <w:lang w:val="el-GR"/>
        </w:rPr>
        <w:t>αγοραπωλητήριες</w:t>
      </w:r>
      <w:proofErr w:type="spellEnd"/>
      <w:r w:rsidR="009E01FF" w:rsidRPr="007246A9">
        <w:rPr>
          <w:rFonts w:ascii="Arial" w:hAnsi="Arial" w:cs="Arial"/>
          <w:sz w:val="18"/>
          <w:szCs w:val="18"/>
          <w:lang w:val="el-GR"/>
        </w:rPr>
        <w:t xml:space="preserve"> συμφωνίες για </w:t>
      </w:r>
      <w:r w:rsidR="004F1980" w:rsidRPr="007246A9">
        <w:rPr>
          <w:rFonts w:ascii="Arial" w:hAnsi="Arial" w:cs="Arial"/>
          <w:sz w:val="18"/>
          <w:szCs w:val="18"/>
          <w:lang w:val="el-GR"/>
        </w:rPr>
        <w:t xml:space="preserve">399 </w:t>
      </w:r>
      <w:r w:rsidR="009E01FF" w:rsidRPr="007246A9">
        <w:rPr>
          <w:rFonts w:ascii="Arial" w:hAnsi="Arial" w:cs="Arial"/>
          <w:sz w:val="18"/>
          <w:szCs w:val="18"/>
          <w:lang w:val="el-GR"/>
        </w:rPr>
        <w:t>ακίνητα,</w:t>
      </w:r>
      <w:r w:rsidR="009E01FF" w:rsidRPr="007246A9" w:rsidDel="00270DAE">
        <w:rPr>
          <w:rFonts w:ascii="Arial" w:hAnsi="Arial" w:cs="Arial"/>
          <w:sz w:val="18"/>
          <w:szCs w:val="18"/>
          <w:lang w:val="el-GR"/>
        </w:rPr>
        <w:t xml:space="preserve"> </w:t>
      </w:r>
      <w:r w:rsidR="009E01FF" w:rsidRPr="007246A9">
        <w:rPr>
          <w:rFonts w:ascii="Arial" w:hAnsi="Arial" w:cs="Arial"/>
          <w:sz w:val="18"/>
          <w:szCs w:val="18"/>
          <w:lang w:val="el-GR"/>
        </w:rPr>
        <w:t>με τιμή συμβολαί</w:t>
      </w:r>
      <w:r w:rsidR="00134353">
        <w:rPr>
          <w:rFonts w:ascii="Arial" w:hAnsi="Arial" w:cs="Arial"/>
          <w:sz w:val="18"/>
          <w:szCs w:val="18"/>
          <w:lang w:val="el-GR"/>
        </w:rPr>
        <w:t>ων</w:t>
      </w:r>
      <w:r w:rsidR="009E01FF" w:rsidRPr="007246A9">
        <w:rPr>
          <w:rFonts w:ascii="Arial" w:hAnsi="Arial" w:cs="Arial"/>
          <w:sz w:val="18"/>
          <w:szCs w:val="18"/>
          <w:lang w:val="el-GR"/>
        </w:rPr>
        <w:t xml:space="preserve"> </w:t>
      </w:r>
      <w:r w:rsidR="009E01FF" w:rsidRPr="0060141A">
        <w:rPr>
          <w:rFonts w:ascii="Arial" w:hAnsi="Arial" w:cs="Arial"/>
          <w:sz w:val="18"/>
          <w:szCs w:val="18"/>
          <w:lang w:val="el-GR"/>
        </w:rPr>
        <w:t>ύψους €</w:t>
      </w:r>
      <w:r w:rsidR="004F1980" w:rsidRPr="00502B4F">
        <w:rPr>
          <w:rFonts w:ascii="Arial" w:hAnsi="Arial" w:cs="Arial"/>
          <w:sz w:val="18"/>
          <w:szCs w:val="18"/>
          <w:lang w:val="el-GR"/>
        </w:rPr>
        <w:t xml:space="preserve">111 </w:t>
      </w:r>
      <w:r w:rsidR="009E01FF" w:rsidRPr="007246A9">
        <w:rPr>
          <w:rFonts w:ascii="Arial" w:hAnsi="Arial" w:cs="Arial"/>
          <w:sz w:val="18"/>
          <w:szCs w:val="18"/>
          <w:lang w:val="el-GR"/>
        </w:rPr>
        <w:t xml:space="preserve">εκατ. κατά </w:t>
      </w:r>
      <w:r w:rsidR="00986C54" w:rsidRPr="007246A9">
        <w:rPr>
          <w:rFonts w:ascii="Arial" w:hAnsi="Arial" w:cs="Arial"/>
          <w:sz w:val="18"/>
          <w:szCs w:val="18"/>
          <w:lang w:val="el-GR"/>
        </w:rPr>
        <w:t>το</w:t>
      </w:r>
      <w:r w:rsidR="004F1980" w:rsidRPr="007246A9">
        <w:rPr>
          <w:rFonts w:ascii="Arial" w:hAnsi="Arial" w:cs="Arial"/>
          <w:sz w:val="18"/>
          <w:szCs w:val="18"/>
          <w:lang w:val="el-GR"/>
        </w:rPr>
        <w:t xml:space="preserve"> </w:t>
      </w:r>
      <w:r w:rsidR="007A2F9B">
        <w:rPr>
          <w:rFonts w:ascii="Arial" w:hAnsi="Arial" w:cs="Arial"/>
          <w:sz w:val="18"/>
          <w:szCs w:val="18"/>
          <w:lang w:val="el-GR"/>
        </w:rPr>
        <w:t>εννεάμηνο</w:t>
      </w:r>
      <w:r w:rsidR="004F1980" w:rsidRPr="004F1980">
        <w:rPr>
          <w:rFonts w:ascii="Arial" w:hAnsi="Arial" w:cs="Arial"/>
          <w:sz w:val="18"/>
          <w:szCs w:val="18"/>
          <w:lang w:val="el-GR"/>
        </w:rPr>
        <w:t xml:space="preserve"> που έληξε στις 30 Σεπτεμβρίου </w:t>
      </w:r>
      <w:r w:rsidR="00BD7885" w:rsidRPr="007246A9">
        <w:rPr>
          <w:rFonts w:ascii="Arial" w:hAnsi="Arial" w:cs="Arial"/>
          <w:sz w:val="18"/>
          <w:szCs w:val="18"/>
          <w:lang w:val="el-GR"/>
        </w:rPr>
        <w:t>2023</w:t>
      </w:r>
      <w:r w:rsidR="009E01FF" w:rsidRPr="007246A9">
        <w:rPr>
          <w:rFonts w:ascii="Arial" w:hAnsi="Arial" w:cs="Arial"/>
          <w:sz w:val="18"/>
          <w:szCs w:val="18"/>
          <w:lang w:val="el-GR"/>
        </w:rPr>
        <w:t>.</w:t>
      </w:r>
    </w:p>
    <w:p w14:paraId="2A1DCF35" w14:textId="77777777" w:rsidR="009E01FF" w:rsidRPr="007246A9" w:rsidRDefault="009E01FF" w:rsidP="009E01FF">
      <w:pPr>
        <w:spacing w:after="0" w:line="240" w:lineRule="auto"/>
        <w:jc w:val="both"/>
        <w:rPr>
          <w:rFonts w:ascii="Arial" w:hAnsi="Arial" w:cs="Arial"/>
          <w:sz w:val="18"/>
          <w:szCs w:val="18"/>
          <w:lang w:val="el-GR"/>
        </w:rPr>
      </w:pPr>
    </w:p>
    <w:p w14:paraId="51C9CCDA" w14:textId="313F6D27" w:rsidR="005B1FD5" w:rsidRPr="007246A9" w:rsidRDefault="009E01FF" w:rsidP="009F52BE">
      <w:pPr>
        <w:spacing w:after="0" w:line="240" w:lineRule="auto"/>
        <w:jc w:val="both"/>
        <w:rPr>
          <w:rFonts w:ascii="Arial" w:hAnsi="Arial" w:cs="Arial"/>
          <w:sz w:val="18"/>
          <w:szCs w:val="18"/>
          <w:lang w:val="el-GR"/>
        </w:rPr>
      </w:pPr>
      <w:r w:rsidRPr="007246A9">
        <w:rPr>
          <w:rFonts w:ascii="Arial" w:hAnsi="Arial" w:cs="Arial"/>
          <w:sz w:val="18"/>
          <w:szCs w:val="18"/>
          <w:lang w:val="el-GR"/>
        </w:rPr>
        <w:t xml:space="preserve">Επιπρόσθετα, </w:t>
      </w:r>
      <w:r w:rsidR="00887CD4" w:rsidRPr="007246A9">
        <w:rPr>
          <w:rFonts w:ascii="Arial" w:hAnsi="Arial" w:cs="Arial"/>
          <w:sz w:val="18"/>
          <w:szCs w:val="18"/>
          <w:lang w:val="el-GR"/>
        </w:rPr>
        <w:t xml:space="preserve">η ΔΔΑ </w:t>
      </w:r>
      <w:r w:rsidRPr="007246A9">
        <w:rPr>
          <w:rFonts w:ascii="Arial" w:hAnsi="Arial" w:cs="Arial"/>
          <w:sz w:val="18"/>
          <w:szCs w:val="18"/>
          <w:lang w:val="el-GR"/>
        </w:rPr>
        <w:t>βρισκόταν σε διαδικασίες για πωλήσεις ακινήτων ύψους €</w:t>
      </w:r>
      <w:r w:rsidR="0060141A" w:rsidRPr="00502B4F">
        <w:rPr>
          <w:rFonts w:ascii="Arial" w:hAnsi="Arial" w:cs="Arial"/>
          <w:sz w:val="18"/>
          <w:szCs w:val="18"/>
          <w:lang w:val="el-GR"/>
        </w:rPr>
        <w:t xml:space="preserve">53 </w:t>
      </w:r>
      <w:r w:rsidRPr="007246A9">
        <w:rPr>
          <w:rFonts w:ascii="Arial" w:hAnsi="Arial" w:cs="Arial"/>
          <w:sz w:val="18"/>
          <w:szCs w:val="18"/>
          <w:lang w:val="el-GR"/>
        </w:rPr>
        <w:t xml:space="preserve">εκατ. (τιμή συμβολαίου) στις </w:t>
      </w:r>
      <w:r w:rsidR="004D08B1" w:rsidRPr="007246A9">
        <w:rPr>
          <w:rFonts w:ascii="Arial" w:hAnsi="Arial" w:cs="Arial"/>
          <w:sz w:val="18"/>
          <w:szCs w:val="18"/>
          <w:lang w:val="el-GR"/>
        </w:rPr>
        <w:t xml:space="preserve">30 </w:t>
      </w:r>
      <w:r w:rsidR="004F1980" w:rsidRPr="004F1980">
        <w:rPr>
          <w:rFonts w:ascii="Arial" w:hAnsi="Arial" w:cs="Arial"/>
          <w:sz w:val="18"/>
          <w:szCs w:val="18"/>
          <w:lang w:val="el-GR"/>
        </w:rPr>
        <w:t>Σεπτεμβρίου</w:t>
      </w:r>
      <w:r w:rsidR="004F1980" w:rsidRPr="007246A9">
        <w:rPr>
          <w:rFonts w:ascii="Arial" w:hAnsi="Arial" w:cs="Arial"/>
          <w:sz w:val="18"/>
          <w:szCs w:val="18"/>
          <w:lang w:val="el-GR"/>
        </w:rPr>
        <w:t xml:space="preserve"> </w:t>
      </w:r>
      <w:r w:rsidR="00D05C81" w:rsidRPr="007246A9">
        <w:rPr>
          <w:rFonts w:ascii="Arial" w:hAnsi="Arial" w:cs="Arial"/>
          <w:sz w:val="18"/>
          <w:szCs w:val="18"/>
          <w:lang w:val="el-GR"/>
        </w:rPr>
        <w:t>2024</w:t>
      </w:r>
      <w:r w:rsidRPr="007246A9">
        <w:rPr>
          <w:rFonts w:ascii="Arial" w:hAnsi="Arial" w:cs="Arial"/>
          <w:sz w:val="18"/>
          <w:szCs w:val="18"/>
          <w:lang w:val="el-GR"/>
        </w:rPr>
        <w:t>, εκ των οποίων τα €</w:t>
      </w:r>
      <w:r w:rsidR="0060141A" w:rsidRPr="00502B4F">
        <w:rPr>
          <w:rFonts w:ascii="Arial" w:hAnsi="Arial" w:cs="Arial"/>
          <w:sz w:val="18"/>
          <w:szCs w:val="18"/>
          <w:lang w:val="el-GR"/>
        </w:rPr>
        <w:t xml:space="preserve">27 </w:t>
      </w:r>
      <w:r w:rsidRPr="007246A9">
        <w:rPr>
          <w:rFonts w:ascii="Arial" w:hAnsi="Arial" w:cs="Arial"/>
          <w:sz w:val="18"/>
          <w:szCs w:val="18"/>
          <w:lang w:val="el-GR"/>
        </w:rPr>
        <w:t xml:space="preserve">εκατ. αφορούσαν υπογεγραμμένες </w:t>
      </w:r>
      <w:proofErr w:type="spellStart"/>
      <w:r w:rsidRPr="007246A9">
        <w:rPr>
          <w:rFonts w:ascii="Arial" w:hAnsi="Arial" w:cs="Arial"/>
          <w:sz w:val="18"/>
          <w:szCs w:val="18"/>
          <w:lang w:val="el-GR"/>
        </w:rPr>
        <w:t>αγοραπωλητήριες</w:t>
      </w:r>
      <w:proofErr w:type="spellEnd"/>
      <w:r w:rsidRPr="007246A9">
        <w:rPr>
          <w:rFonts w:ascii="Arial" w:hAnsi="Arial" w:cs="Arial"/>
          <w:sz w:val="18"/>
          <w:szCs w:val="18"/>
          <w:lang w:val="el-GR"/>
        </w:rPr>
        <w:t xml:space="preserve"> συμφωνίες</w:t>
      </w:r>
      <w:r w:rsidR="003451B9" w:rsidRPr="007246A9">
        <w:rPr>
          <w:rFonts w:ascii="Arial" w:hAnsi="Arial" w:cs="Arial"/>
          <w:sz w:val="18"/>
          <w:szCs w:val="18"/>
          <w:lang w:val="el-GR"/>
        </w:rPr>
        <w:t xml:space="preserve"> </w:t>
      </w:r>
      <w:r w:rsidR="002043BC" w:rsidRPr="007246A9">
        <w:rPr>
          <w:rFonts w:ascii="Arial" w:hAnsi="Arial" w:cs="Arial"/>
          <w:sz w:val="18"/>
          <w:szCs w:val="18"/>
          <w:lang w:val="el-GR"/>
        </w:rPr>
        <w:t>(σε σύγκριση με €</w:t>
      </w:r>
      <w:r w:rsidR="004F1980" w:rsidRPr="007246A9">
        <w:rPr>
          <w:rFonts w:ascii="Arial" w:hAnsi="Arial" w:cs="Arial"/>
          <w:sz w:val="18"/>
          <w:szCs w:val="18"/>
          <w:lang w:val="el-GR"/>
        </w:rPr>
        <w:t xml:space="preserve">64 </w:t>
      </w:r>
      <w:r w:rsidR="002043BC" w:rsidRPr="007246A9">
        <w:rPr>
          <w:rFonts w:ascii="Arial" w:hAnsi="Arial" w:cs="Arial"/>
          <w:sz w:val="18"/>
          <w:szCs w:val="18"/>
          <w:lang w:val="el-GR"/>
        </w:rPr>
        <w:t xml:space="preserve">εκατ. στις </w:t>
      </w:r>
      <w:r w:rsidR="004D08B1" w:rsidRPr="007246A9">
        <w:rPr>
          <w:rFonts w:ascii="Arial" w:hAnsi="Arial" w:cs="Arial"/>
          <w:sz w:val="18"/>
          <w:szCs w:val="18"/>
          <w:lang w:val="el-GR"/>
        </w:rPr>
        <w:t xml:space="preserve">30 </w:t>
      </w:r>
      <w:r w:rsidR="004F1980" w:rsidRPr="004F1980">
        <w:rPr>
          <w:rFonts w:ascii="Arial" w:hAnsi="Arial" w:cs="Arial"/>
          <w:sz w:val="18"/>
          <w:szCs w:val="18"/>
          <w:lang w:val="el-GR"/>
        </w:rPr>
        <w:t>Σεπτεμβρίου</w:t>
      </w:r>
      <w:r w:rsidR="004F1980" w:rsidRPr="007246A9">
        <w:rPr>
          <w:rFonts w:ascii="Arial" w:hAnsi="Arial" w:cs="Arial"/>
          <w:sz w:val="18"/>
          <w:szCs w:val="18"/>
          <w:lang w:val="el-GR"/>
        </w:rPr>
        <w:t xml:space="preserve"> </w:t>
      </w:r>
      <w:r w:rsidR="004D08B1" w:rsidRPr="007246A9">
        <w:rPr>
          <w:rFonts w:ascii="Arial" w:hAnsi="Arial" w:cs="Arial"/>
          <w:sz w:val="18"/>
          <w:szCs w:val="18"/>
          <w:lang w:val="el-GR"/>
        </w:rPr>
        <w:t>2023</w:t>
      </w:r>
      <w:r w:rsidR="002043BC" w:rsidRPr="007246A9">
        <w:rPr>
          <w:rFonts w:ascii="Arial" w:hAnsi="Arial" w:cs="Arial"/>
          <w:sz w:val="18"/>
          <w:szCs w:val="18"/>
          <w:lang w:val="el-GR"/>
        </w:rPr>
        <w:t>, εκ των οποίων τα €</w:t>
      </w:r>
      <w:r w:rsidR="004F1980" w:rsidRPr="007246A9">
        <w:rPr>
          <w:rFonts w:ascii="Arial" w:hAnsi="Arial" w:cs="Arial"/>
          <w:sz w:val="18"/>
          <w:szCs w:val="18"/>
          <w:lang w:val="el-GR"/>
        </w:rPr>
        <w:t xml:space="preserve">49 </w:t>
      </w:r>
      <w:r w:rsidR="002043BC" w:rsidRPr="007246A9">
        <w:rPr>
          <w:rFonts w:ascii="Arial" w:hAnsi="Arial" w:cs="Arial"/>
          <w:sz w:val="18"/>
          <w:szCs w:val="18"/>
          <w:lang w:val="el-GR"/>
        </w:rPr>
        <w:t xml:space="preserve">εκατ. αφορούσαν υπογεγραμμένες </w:t>
      </w:r>
      <w:proofErr w:type="spellStart"/>
      <w:r w:rsidR="002043BC" w:rsidRPr="007246A9">
        <w:rPr>
          <w:rFonts w:ascii="Arial" w:hAnsi="Arial" w:cs="Arial"/>
          <w:sz w:val="18"/>
          <w:szCs w:val="18"/>
          <w:lang w:val="el-GR"/>
        </w:rPr>
        <w:t>αγοραπωλητήριες</w:t>
      </w:r>
      <w:proofErr w:type="spellEnd"/>
      <w:r w:rsidR="002043BC" w:rsidRPr="007246A9">
        <w:rPr>
          <w:rFonts w:ascii="Arial" w:hAnsi="Arial" w:cs="Arial"/>
          <w:sz w:val="18"/>
          <w:szCs w:val="18"/>
          <w:lang w:val="el-GR"/>
        </w:rPr>
        <w:t xml:space="preserve"> συμφωνίες).</w:t>
      </w:r>
      <w:r w:rsidR="002043BC" w:rsidRPr="007246A9">
        <w:rPr>
          <w:rFonts w:ascii="Arial" w:hAnsi="Arial" w:cs="Arial"/>
          <w:sz w:val="18"/>
          <w:szCs w:val="18"/>
          <w:lang w:val="el-GR"/>
        </w:rPr>
        <w:tab/>
      </w:r>
    </w:p>
    <w:p w14:paraId="22511E1E" w14:textId="77777777" w:rsidR="009F52BE" w:rsidRPr="00D41B36" w:rsidRDefault="009F52BE" w:rsidP="009F52BE">
      <w:pPr>
        <w:spacing w:after="0" w:line="240" w:lineRule="auto"/>
        <w:jc w:val="both"/>
        <w:rPr>
          <w:rFonts w:ascii="Arial" w:hAnsi="Arial" w:cs="Arial"/>
          <w:sz w:val="18"/>
          <w:szCs w:val="18"/>
          <w:highlight w:val="yellow"/>
          <w:lang w:val="el-GR"/>
        </w:rPr>
      </w:pPr>
    </w:p>
    <w:p w14:paraId="54A2FDF1" w14:textId="23D53637" w:rsidR="009E01FF" w:rsidRPr="007246A9" w:rsidRDefault="002043BC" w:rsidP="009E01FF">
      <w:pPr>
        <w:spacing w:after="0" w:line="240" w:lineRule="auto"/>
        <w:jc w:val="both"/>
        <w:rPr>
          <w:rFonts w:ascii="Arial" w:hAnsi="Arial" w:cs="Arial"/>
          <w:sz w:val="18"/>
          <w:szCs w:val="18"/>
          <w:lang w:val="el-GR"/>
        </w:rPr>
      </w:pPr>
      <w:r w:rsidRPr="007246A9">
        <w:rPr>
          <w:rFonts w:ascii="Arial" w:hAnsi="Arial" w:cs="Arial"/>
          <w:sz w:val="18"/>
          <w:szCs w:val="18"/>
          <w:lang w:val="el-GR"/>
        </w:rPr>
        <w:t>Η ΔΔΑ ανέλαβε ακίνητα ύψους €</w:t>
      </w:r>
      <w:r w:rsidR="0060141A" w:rsidRPr="00502B4F">
        <w:rPr>
          <w:rFonts w:ascii="Arial" w:hAnsi="Arial" w:cs="Arial"/>
          <w:sz w:val="18"/>
          <w:szCs w:val="18"/>
          <w:lang w:val="el-GR"/>
        </w:rPr>
        <w:t xml:space="preserve">28 </w:t>
      </w:r>
      <w:r w:rsidRPr="007246A9">
        <w:rPr>
          <w:rFonts w:ascii="Arial" w:hAnsi="Arial" w:cs="Arial"/>
          <w:sz w:val="18"/>
          <w:szCs w:val="18"/>
          <w:lang w:val="el-GR"/>
        </w:rPr>
        <w:t xml:space="preserve">εκατ. κατά </w:t>
      </w:r>
      <w:r w:rsidR="00986C54" w:rsidRPr="007246A9">
        <w:rPr>
          <w:rFonts w:ascii="Arial" w:hAnsi="Arial" w:cs="Arial"/>
          <w:sz w:val="18"/>
          <w:szCs w:val="18"/>
          <w:lang w:val="el-GR"/>
        </w:rPr>
        <w:t xml:space="preserve">το </w:t>
      </w:r>
      <w:r w:rsidR="007A2F9B">
        <w:rPr>
          <w:rFonts w:ascii="Arial" w:hAnsi="Arial" w:cs="Arial"/>
          <w:sz w:val="18"/>
          <w:szCs w:val="18"/>
          <w:lang w:val="el-GR"/>
        </w:rPr>
        <w:t>εννεάμηνο</w:t>
      </w:r>
      <w:r w:rsidR="004F1980" w:rsidRPr="004F1980">
        <w:rPr>
          <w:rFonts w:ascii="Arial" w:hAnsi="Arial" w:cs="Arial"/>
          <w:sz w:val="18"/>
          <w:szCs w:val="18"/>
          <w:lang w:val="el-GR"/>
        </w:rPr>
        <w:t xml:space="preserve"> που έληξε στις 30 Σεπτεμβρίου</w:t>
      </w:r>
      <w:r w:rsidR="004F1980" w:rsidRPr="007246A9">
        <w:rPr>
          <w:rFonts w:ascii="Arial" w:hAnsi="Arial" w:cs="Arial"/>
          <w:sz w:val="18"/>
          <w:szCs w:val="18"/>
          <w:lang w:val="el-GR"/>
        </w:rPr>
        <w:t xml:space="preserve"> </w:t>
      </w:r>
      <w:r w:rsidR="00D05C81" w:rsidRPr="007246A9">
        <w:rPr>
          <w:rFonts w:ascii="Arial" w:hAnsi="Arial" w:cs="Arial"/>
          <w:sz w:val="18"/>
          <w:szCs w:val="18"/>
          <w:lang w:val="el-GR"/>
        </w:rPr>
        <w:t>2024</w:t>
      </w:r>
      <w:r w:rsidR="00986C54" w:rsidRPr="007246A9">
        <w:rPr>
          <w:rFonts w:ascii="Arial" w:hAnsi="Arial" w:cs="Arial"/>
          <w:sz w:val="18"/>
          <w:szCs w:val="18"/>
          <w:lang w:val="el-GR"/>
        </w:rPr>
        <w:t xml:space="preserve"> </w:t>
      </w:r>
      <w:r w:rsidRPr="007246A9">
        <w:rPr>
          <w:rFonts w:ascii="Arial" w:hAnsi="Arial" w:cs="Arial"/>
          <w:sz w:val="18"/>
          <w:szCs w:val="18"/>
          <w:lang w:val="el-GR"/>
        </w:rPr>
        <w:t>(σε σύγκριση με προσθήκες ύψους €</w:t>
      </w:r>
      <w:r w:rsidR="004F1980" w:rsidRPr="007246A9">
        <w:rPr>
          <w:rFonts w:ascii="Arial" w:hAnsi="Arial" w:cs="Arial"/>
          <w:sz w:val="18"/>
          <w:szCs w:val="18"/>
          <w:lang w:val="el-GR"/>
        </w:rPr>
        <w:t xml:space="preserve">18 </w:t>
      </w:r>
      <w:r w:rsidRPr="007246A9">
        <w:rPr>
          <w:rFonts w:ascii="Arial" w:hAnsi="Arial" w:cs="Arial"/>
          <w:sz w:val="18"/>
          <w:szCs w:val="18"/>
          <w:lang w:val="el-GR"/>
        </w:rPr>
        <w:t xml:space="preserve">εκατ. </w:t>
      </w:r>
      <w:r w:rsidR="00986C54" w:rsidRPr="007246A9">
        <w:rPr>
          <w:rFonts w:ascii="Arial" w:hAnsi="Arial" w:cs="Arial"/>
          <w:sz w:val="18"/>
          <w:szCs w:val="18"/>
          <w:lang w:val="el-GR"/>
        </w:rPr>
        <w:t xml:space="preserve">κατά </w:t>
      </w:r>
      <w:r w:rsidR="004F1980" w:rsidRPr="007246A9">
        <w:rPr>
          <w:rFonts w:ascii="Arial" w:hAnsi="Arial" w:cs="Arial"/>
          <w:sz w:val="18"/>
          <w:szCs w:val="18"/>
          <w:lang w:val="el-GR"/>
        </w:rPr>
        <w:t xml:space="preserve">το </w:t>
      </w:r>
      <w:r w:rsidR="007A2F9B">
        <w:rPr>
          <w:rFonts w:ascii="Arial" w:hAnsi="Arial" w:cs="Arial"/>
          <w:sz w:val="18"/>
          <w:szCs w:val="18"/>
          <w:lang w:val="el-GR"/>
        </w:rPr>
        <w:t>εννεάμηνο</w:t>
      </w:r>
      <w:r w:rsidR="004F1980" w:rsidRPr="004F1980">
        <w:rPr>
          <w:rFonts w:ascii="Arial" w:hAnsi="Arial" w:cs="Arial"/>
          <w:sz w:val="18"/>
          <w:szCs w:val="18"/>
          <w:lang w:val="el-GR"/>
        </w:rPr>
        <w:t xml:space="preserve"> που έληξε στις 30 Σεπτεμβρίου</w:t>
      </w:r>
      <w:r w:rsidR="004F1980" w:rsidRPr="007246A9">
        <w:rPr>
          <w:rFonts w:ascii="Arial" w:hAnsi="Arial" w:cs="Arial"/>
          <w:sz w:val="18"/>
          <w:szCs w:val="18"/>
          <w:lang w:val="el-GR"/>
        </w:rPr>
        <w:t xml:space="preserve"> </w:t>
      </w:r>
      <w:r w:rsidR="00D05C81" w:rsidRPr="007246A9">
        <w:rPr>
          <w:rFonts w:ascii="Arial" w:hAnsi="Arial" w:cs="Arial"/>
          <w:sz w:val="18"/>
          <w:szCs w:val="18"/>
          <w:lang w:val="el-GR"/>
        </w:rPr>
        <w:t>2023)</w:t>
      </w:r>
      <w:r w:rsidRPr="007246A9">
        <w:rPr>
          <w:rFonts w:ascii="Arial" w:hAnsi="Arial" w:cs="Arial"/>
          <w:sz w:val="18"/>
          <w:szCs w:val="18"/>
          <w:lang w:val="el-GR"/>
        </w:rPr>
        <w:t>, μέσω συμφωνιών ανταλλαγής χρέους με ακίνητα και ανακτηθέντων ακινήτων.</w:t>
      </w:r>
      <w:r w:rsidR="009E01FF" w:rsidRPr="007246A9">
        <w:rPr>
          <w:rFonts w:ascii="Arial" w:hAnsi="Arial" w:cs="Arial"/>
          <w:sz w:val="18"/>
          <w:szCs w:val="18"/>
          <w:lang w:val="el-GR"/>
        </w:rPr>
        <w:t xml:space="preserve">  </w:t>
      </w:r>
    </w:p>
    <w:p w14:paraId="167F575B" w14:textId="77777777" w:rsidR="00264AF7" w:rsidRPr="007246A9" w:rsidRDefault="00264AF7" w:rsidP="00CB38F0">
      <w:pPr>
        <w:spacing w:after="0" w:line="240" w:lineRule="auto"/>
        <w:jc w:val="both"/>
        <w:rPr>
          <w:rFonts w:ascii="Arial" w:hAnsi="Arial" w:cs="Arial"/>
          <w:sz w:val="18"/>
          <w:szCs w:val="18"/>
          <w:lang w:val="el-GR"/>
        </w:rPr>
      </w:pPr>
    </w:p>
    <w:p w14:paraId="1DEB008A" w14:textId="54296640" w:rsidR="007E47A1" w:rsidRPr="007246A9" w:rsidRDefault="00516A65" w:rsidP="006A1797">
      <w:pPr>
        <w:pStyle w:val="Footer"/>
        <w:rPr>
          <w:rFonts w:ascii="Arial" w:hAnsi="Arial" w:cs="Arial"/>
          <w:sz w:val="18"/>
          <w:szCs w:val="18"/>
          <w:lang w:val="el-GR"/>
        </w:rPr>
      </w:pPr>
      <w:r w:rsidRPr="007246A9">
        <w:rPr>
          <w:rFonts w:ascii="Arial" w:hAnsi="Arial" w:cs="Arial"/>
          <w:sz w:val="18"/>
          <w:szCs w:val="18"/>
          <w:lang w:val="el-GR"/>
        </w:rPr>
        <w:t xml:space="preserve">Στις </w:t>
      </w:r>
      <w:r w:rsidR="007A58A3" w:rsidRPr="007246A9">
        <w:rPr>
          <w:rFonts w:ascii="Arial" w:hAnsi="Arial" w:cs="Arial"/>
          <w:sz w:val="18"/>
          <w:szCs w:val="18"/>
          <w:lang w:val="el-GR"/>
        </w:rPr>
        <w:t xml:space="preserve">30 </w:t>
      </w:r>
      <w:r w:rsidR="004F1980" w:rsidRPr="004F1980">
        <w:rPr>
          <w:rFonts w:ascii="Arial" w:hAnsi="Arial" w:cs="Arial"/>
          <w:sz w:val="18"/>
          <w:szCs w:val="18"/>
          <w:lang w:val="el-GR"/>
        </w:rPr>
        <w:t>Σεπτεμβρίου</w:t>
      </w:r>
      <w:r w:rsidR="004F1980" w:rsidRPr="007246A9">
        <w:rPr>
          <w:rFonts w:ascii="Arial" w:hAnsi="Arial" w:cs="Arial"/>
          <w:sz w:val="18"/>
          <w:szCs w:val="18"/>
          <w:lang w:val="el-GR"/>
        </w:rPr>
        <w:t xml:space="preserve"> </w:t>
      </w:r>
      <w:r w:rsidR="003C2240" w:rsidRPr="007246A9">
        <w:rPr>
          <w:rFonts w:ascii="Arial" w:hAnsi="Arial" w:cs="Arial"/>
          <w:sz w:val="18"/>
          <w:szCs w:val="18"/>
          <w:lang w:val="el-GR"/>
        </w:rPr>
        <w:t>2024</w:t>
      </w:r>
      <w:r w:rsidRPr="007246A9">
        <w:rPr>
          <w:rFonts w:ascii="Arial" w:hAnsi="Arial" w:cs="Arial"/>
          <w:sz w:val="18"/>
          <w:szCs w:val="18"/>
          <w:lang w:val="el-GR"/>
        </w:rPr>
        <w:t xml:space="preserve">, η ΔΔΑ διαχειριζόταν </w:t>
      </w:r>
      <w:r w:rsidR="00887CD4" w:rsidRPr="007246A9">
        <w:rPr>
          <w:rFonts w:ascii="Arial" w:hAnsi="Arial" w:cs="Arial"/>
          <w:sz w:val="18"/>
          <w:szCs w:val="18"/>
          <w:lang w:val="el-GR"/>
        </w:rPr>
        <w:t xml:space="preserve">ανακτηθέντα </w:t>
      </w:r>
      <w:r w:rsidRPr="007246A9">
        <w:rPr>
          <w:rFonts w:ascii="Arial" w:hAnsi="Arial" w:cs="Arial"/>
          <w:sz w:val="18"/>
          <w:szCs w:val="18"/>
          <w:lang w:val="el-GR"/>
        </w:rPr>
        <w:t>ακίνητα λογιστικής αξίας ύψους €</w:t>
      </w:r>
      <w:r w:rsidR="0060141A" w:rsidRPr="00502B4F">
        <w:rPr>
          <w:rFonts w:ascii="Arial" w:hAnsi="Arial" w:cs="Arial"/>
          <w:sz w:val="18"/>
          <w:szCs w:val="18"/>
          <w:lang w:val="el-GR"/>
        </w:rPr>
        <w:t xml:space="preserve">764 </w:t>
      </w:r>
      <w:r w:rsidRPr="007246A9">
        <w:rPr>
          <w:rFonts w:ascii="Arial" w:hAnsi="Arial" w:cs="Arial"/>
          <w:sz w:val="18"/>
          <w:szCs w:val="18"/>
          <w:lang w:val="el-GR"/>
        </w:rPr>
        <w:t>εκατ</w:t>
      </w:r>
      <w:r w:rsidR="009F52BE" w:rsidRPr="007246A9">
        <w:rPr>
          <w:rFonts w:ascii="Arial" w:hAnsi="Arial" w:cs="Arial"/>
          <w:sz w:val="18"/>
          <w:szCs w:val="18"/>
          <w:lang w:val="el-GR"/>
        </w:rPr>
        <w:t>.</w:t>
      </w:r>
      <w:r w:rsidR="00887CD4" w:rsidRPr="007246A9">
        <w:rPr>
          <w:rFonts w:ascii="Arial" w:hAnsi="Arial" w:cs="Arial"/>
          <w:sz w:val="18"/>
          <w:szCs w:val="18"/>
          <w:lang w:val="el-GR"/>
        </w:rPr>
        <w:t xml:space="preserve">, </w:t>
      </w:r>
      <w:r w:rsidRPr="007246A9">
        <w:rPr>
          <w:rFonts w:ascii="Arial" w:hAnsi="Arial" w:cs="Arial"/>
          <w:sz w:val="18"/>
          <w:szCs w:val="18"/>
          <w:lang w:val="el-GR"/>
        </w:rPr>
        <w:t>σε σύγκριση με</w:t>
      </w:r>
      <w:r w:rsidR="007A58A3" w:rsidRPr="007246A9">
        <w:rPr>
          <w:rFonts w:ascii="Arial" w:hAnsi="Arial" w:cs="Arial"/>
          <w:sz w:val="18"/>
          <w:szCs w:val="18"/>
          <w:lang w:val="el-GR"/>
        </w:rPr>
        <w:t xml:space="preserve"> €</w:t>
      </w:r>
      <w:r w:rsidR="004F1980" w:rsidRPr="007246A9">
        <w:rPr>
          <w:rFonts w:ascii="Arial" w:hAnsi="Arial" w:cs="Arial"/>
          <w:sz w:val="18"/>
          <w:szCs w:val="18"/>
          <w:lang w:val="el-GR"/>
        </w:rPr>
        <w:t xml:space="preserve">790 εκατ. </w:t>
      </w:r>
      <w:r w:rsidR="007A58A3" w:rsidRPr="007246A9">
        <w:rPr>
          <w:rFonts w:ascii="Arial" w:hAnsi="Arial" w:cs="Arial"/>
          <w:sz w:val="18"/>
          <w:szCs w:val="18"/>
          <w:lang w:val="el-GR"/>
        </w:rPr>
        <w:t xml:space="preserve">στις </w:t>
      </w:r>
      <w:r w:rsidR="004F1980" w:rsidRPr="007246A9">
        <w:rPr>
          <w:rFonts w:ascii="Arial" w:hAnsi="Arial" w:cs="Arial"/>
          <w:sz w:val="18"/>
          <w:szCs w:val="18"/>
          <w:lang w:val="el-GR"/>
        </w:rPr>
        <w:t xml:space="preserve">30 Ιουνίου 2024 </w:t>
      </w:r>
      <w:r w:rsidR="007A58A3" w:rsidRPr="007246A9">
        <w:rPr>
          <w:rFonts w:ascii="Arial" w:hAnsi="Arial" w:cs="Arial"/>
          <w:sz w:val="18"/>
          <w:szCs w:val="18"/>
          <w:lang w:val="el-GR"/>
        </w:rPr>
        <w:t>και με</w:t>
      </w:r>
      <w:r w:rsidRPr="007246A9">
        <w:rPr>
          <w:rFonts w:ascii="Arial" w:hAnsi="Arial" w:cs="Arial"/>
          <w:sz w:val="18"/>
          <w:szCs w:val="18"/>
          <w:lang w:val="el-GR"/>
        </w:rPr>
        <w:t xml:space="preserve"> €</w:t>
      </w:r>
      <w:r w:rsidR="004F1980" w:rsidRPr="007246A9">
        <w:rPr>
          <w:rFonts w:ascii="Arial" w:hAnsi="Arial" w:cs="Arial"/>
          <w:sz w:val="18"/>
          <w:szCs w:val="18"/>
          <w:lang w:val="el-GR"/>
        </w:rPr>
        <w:t xml:space="preserve">947 </w:t>
      </w:r>
      <w:r w:rsidRPr="007246A9">
        <w:rPr>
          <w:rFonts w:ascii="Arial" w:hAnsi="Arial" w:cs="Arial"/>
          <w:sz w:val="18"/>
          <w:szCs w:val="18"/>
          <w:lang w:val="el-GR"/>
        </w:rPr>
        <w:t>εκατ.</w:t>
      </w:r>
      <w:r w:rsidR="007A58A3" w:rsidRPr="007246A9">
        <w:rPr>
          <w:rFonts w:ascii="Arial" w:hAnsi="Arial" w:cs="Arial"/>
          <w:sz w:val="18"/>
          <w:szCs w:val="18"/>
          <w:lang w:val="el-GR"/>
        </w:rPr>
        <w:t xml:space="preserve"> </w:t>
      </w:r>
      <w:r w:rsidRPr="007246A9">
        <w:rPr>
          <w:rFonts w:ascii="Arial" w:hAnsi="Arial" w:cs="Arial"/>
          <w:sz w:val="18"/>
          <w:szCs w:val="18"/>
          <w:lang w:val="el-GR"/>
        </w:rPr>
        <w:t xml:space="preserve">στις </w:t>
      </w:r>
      <w:r w:rsidR="007A58A3" w:rsidRPr="007246A9">
        <w:rPr>
          <w:rFonts w:ascii="Arial" w:hAnsi="Arial" w:cs="Arial"/>
          <w:sz w:val="18"/>
          <w:szCs w:val="18"/>
          <w:lang w:val="el-GR"/>
        </w:rPr>
        <w:t>30</w:t>
      </w:r>
      <w:r w:rsidR="004F1980" w:rsidRPr="007246A9">
        <w:rPr>
          <w:rFonts w:ascii="Arial" w:hAnsi="Arial" w:cs="Arial"/>
          <w:sz w:val="18"/>
          <w:szCs w:val="18"/>
          <w:lang w:val="el-GR"/>
        </w:rPr>
        <w:t xml:space="preserve"> </w:t>
      </w:r>
      <w:r w:rsidR="004F1980" w:rsidRPr="004F1980">
        <w:rPr>
          <w:rFonts w:ascii="Arial" w:hAnsi="Arial" w:cs="Arial"/>
          <w:sz w:val="18"/>
          <w:szCs w:val="18"/>
          <w:lang w:val="el-GR"/>
        </w:rPr>
        <w:t>Σεπτεμβρίου</w:t>
      </w:r>
      <w:r w:rsidR="004F1980" w:rsidRPr="007246A9">
        <w:rPr>
          <w:rFonts w:ascii="Arial" w:hAnsi="Arial" w:cs="Arial"/>
          <w:sz w:val="18"/>
          <w:szCs w:val="18"/>
          <w:lang w:val="el-GR"/>
        </w:rPr>
        <w:t xml:space="preserve"> </w:t>
      </w:r>
      <w:r w:rsidR="003C2240" w:rsidRPr="007246A9">
        <w:rPr>
          <w:rFonts w:ascii="Arial" w:hAnsi="Arial" w:cs="Arial"/>
          <w:sz w:val="18"/>
          <w:szCs w:val="18"/>
          <w:lang w:val="el-GR"/>
        </w:rPr>
        <w:t>2023</w:t>
      </w:r>
      <w:r w:rsidR="000F7370" w:rsidRPr="007246A9">
        <w:rPr>
          <w:rFonts w:ascii="Arial" w:hAnsi="Arial" w:cs="Arial"/>
          <w:sz w:val="18"/>
          <w:szCs w:val="18"/>
          <w:lang w:val="el-GR"/>
        </w:rPr>
        <w:t xml:space="preserve"> και</w:t>
      </w:r>
      <w:r w:rsidR="002873C3" w:rsidRPr="007246A9">
        <w:rPr>
          <w:rFonts w:ascii="Arial" w:hAnsi="Arial" w:cs="Arial"/>
          <w:sz w:val="18"/>
          <w:szCs w:val="18"/>
          <w:lang w:val="el-GR"/>
        </w:rPr>
        <w:t xml:space="preserve"> </w:t>
      </w:r>
      <w:r w:rsidR="002873C3" w:rsidRPr="007246A9">
        <w:rPr>
          <w:rFonts w:ascii="Arial" w:hAnsi="Arial" w:cs="Arial"/>
          <w:sz w:val="18"/>
          <w:szCs w:val="16"/>
          <w:lang w:val="el-GR"/>
        </w:rPr>
        <w:t xml:space="preserve">παραμένει σε καλή πορεία ως προς την επίτευξη του στόχου που έθεσε για μείωση </w:t>
      </w:r>
      <w:r w:rsidR="002873C3" w:rsidRPr="007246A9">
        <w:rPr>
          <w:rFonts w:ascii="Arial" w:hAnsi="Arial" w:cs="Arial"/>
          <w:sz w:val="18"/>
          <w:szCs w:val="18"/>
          <w:lang w:val="el-GR" w:eastAsia="el-GR"/>
        </w:rPr>
        <w:t xml:space="preserve">αυτού του χαρτοφυλακίου </w:t>
      </w:r>
      <w:r w:rsidR="002873C3" w:rsidRPr="007246A9">
        <w:rPr>
          <w:rFonts w:ascii="Arial" w:eastAsiaTheme="minorEastAsia" w:hAnsi="Arial" w:cs="Arial"/>
          <w:sz w:val="18"/>
          <w:szCs w:val="18"/>
          <w:lang w:val="el-GR" w:eastAsia="el-GR"/>
        </w:rPr>
        <w:t>σε περίπου €0.5 δις μέχρι τις 31 Δεκεμβρίου 2025.</w:t>
      </w:r>
    </w:p>
    <w:p w14:paraId="50E5702E" w14:textId="77777777" w:rsidR="004F1980" w:rsidRPr="00D41B36" w:rsidRDefault="004F1980" w:rsidP="00482903">
      <w:pPr>
        <w:rPr>
          <w:rFonts w:ascii="Arial" w:hAnsi="Arial" w:cs="Arial"/>
          <w:b/>
          <w:bCs/>
          <w:color w:val="FF9900"/>
          <w:sz w:val="23"/>
          <w:szCs w:val="23"/>
          <w:highlight w:val="yellow"/>
          <w:lang w:val="el-GR"/>
        </w:rPr>
      </w:pPr>
    </w:p>
    <w:p w14:paraId="29DD5987" w14:textId="2BC069CF" w:rsidR="00482903" w:rsidRPr="007246A9" w:rsidRDefault="00482903" w:rsidP="00482903">
      <w:pPr>
        <w:tabs>
          <w:tab w:val="left" w:pos="426"/>
          <w:tab w:val="center" w:pos="4847"/>
        </w:tabs>
        <w:spacing w:after="0" w:line="240" w:lineRule="auto"/>
        <w:rPr>
          <w:rFonts w:ascii="Arial" w:hAnsi="Arial" w:cs="Arial"/>
          <w:color w:val="FF9900"/>
          <w:sz w:val="20"/>
          <w:szCs w:val="20"/>
          <w:lang w:val="el-GR"/>
        </w:rPr>
      </w:pPr>
      <w:r w:rsidRPr="007246A9">
        <w:rPr>
          <w:rFonts w:ascii="Arial" w:hAnsi="Arial" w:cs="Arial"/>
          <w:b/>
          <w:bCs/>
          <w:color w:val="FF9900"/>
          <w:sz w:val="20"/>
          <w:szCs w:val="20"/>
          <w:lang w:val="el-GR"/>
        </w:rPr>
        <w:t xml:space="preserve">Ακίνητα που διαχειρίζεται η ΔΔΑ </w:t>
      </w:r>
    </w:p>
    <w:p w14:paraId="6242AAAC" w14:textId="77777777" w:rsidR="007E47A1" w:rsidRPr="007246A9" w:rsidRDefault="007E47A1" w:rsidP="007E47A1">
      <w:pPr>
        <w:tabs>
          <w:tab w:val="left" w:pos="426"/>
          <w:tab w:val="center" w:pos="4847"/>
        </w:tabs>
        <w:spacing w:after="0" w:line="240" w:lineRule="auto"/>
        <w:rPr>
          <w:rFonts w:ascii="Arial" w:hAnsi="Arial" w:cs="Arial"/>
          <w:color w:val="FF9900"/>
          <w:sz w:val="20"/>
          <w:szCs w:val="20"/>
          <w:highlight w:val="yellow"/>
          <w:lang w:val="en-US"/>
        </w:rPr>
      </w:pPr>
    </w:p>
    <w:tbl>
      <w:tblPr>
        <w:tblW w:w="10599" w:type="dxa"/>
        <w:jc w:val="center"/>
        <w:tblLayout w:type="fixed"/>
        <w:tblCellMar>
          <w:left w:w="40" w:type="dxa"/>
          <w:right w:w="40" w:type="dxa"/>
        </w:tblCellMar>
        <w:tblLook w:val="0000" w:firstRow="0" w:lastRow="0" w:firstColumn="0" w:lastColumn="0" w:noHBand="0" w:noVBand="0"/>
      </w:tblPr>
      <w:tblGrid>
        <w:gridCol w:w="3744"/>
        <w:gridCol w:w="103"/>
        <w:gridCol w:w="964"/>
        <w:gridCol w:w="965"/>
        <w:gridCol w:w="965"/>
        <w:gridCol w:w="964"/>
        <w:gridCol w:w="964"/>
        <w:gridCol w:w="965"/>
        <w:gridCol w:w="965"/>
      </w:tblGrid>
      <w:tr w:rsidR="0067262E" w:rsidRPr="00D41B36" w14:paraId="1A0C73CE" w14:textId="77777777" w:rsidTr="00502B4F">
        <w:trPr>
          <w:trHeight w:val="423"/>
          <w:jc w:val="center"/>
        </w:trPr>
        <w:tc>
          <w:tcPr>
            <w:tcW w:w="374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48CC8A6" w14:textId="2E462B1C" w:rsidR="0067262E" w:rsidRPr="007246A9" w:rsidRDefault="0067262E" w:rsidP="0067262E">
            <w:pPr>
              <w:spacing w:before="40" w:after="40" w:line="240" w:lineRule="auto"/>
              <w:rPr>
                <w:rFonts w:ascii="Arial" w:hAnsi="Arial" w:cs="Arial"/>
                <w:b/>
                <w:sz w:val="16"/>
                <w:szCs w:val="16"/>
                <w:lang w:val="el-GR"/>
              </w:rPr>
            </w:pPr>
            <w:r w:rsidRPr="007246A9">
              <w:rPr>
                <w:rFonts w:ascii="Arial" w:hAnsi="Arial" w:cs="Arial"/>
                <w:b/>
                <w:sz w:val="16"/>
                <w:szCs w:val="16"/>
                <w:lang w:val="el-GR"/>
              </w:rPr>
              <w:t xml:space="preserve">Ανακτηθέντα ακίνητα που διαχειρίζεται η ΔΔΑ (Συγκρότημα) </w:t>
            </w:r>
          </w:p>
          <w:p w14:paraId="37FA6E0F" w14:textId="77777777" w:rsidR="0067262E" w:rsidRPr="007246A9" w:rsidRDefault="0067262E" w:rsidP="0067262E">
            <w:pPr>
              <w:tabs>
                <w:tab w:val="left" w:pos="974"/>
                <w:tab w:val="left" w:pos="1416"/>
                <w:tab w:val="decimal" w:pos="4962"/>
                <w:tab w:val="decimal" w:pos="6521"/>
                <w:tab w:val="right" w:pos="7560"/>
                <w:tab w:val="decimal" w:pos="8220"/>
                <w:tab w:val="left" w:pos="8640"/>
                <w:tab w:val="right" w:pos="9000"/>
              </w:tabs>
              <w:suppressAutoHyphens/>
              <w:spacing w:after="0" w:line="240" w:lineRule="auto"/>
              <w:ind w:left="10"/>
              <w:rPr>
                <w:rFonts w:ascii="Arial" w:eastAsia="Times New Roman" w:hAnsi="Arial" w:cs="Arial"/>
                <w:b/>
                <w:sz w:val="16"/>
                <w:szCs w:val="16"/>
                <w:lang w:eastAsia="el-GR"/>
              </w:rPr>
            </w:pPr>
            <w:r w:rsidRPr="007246A9">
              <w:rPr>
                <w:rFonts w:ascii="Arial" w:eastAsia="Times New Roman" w:hAnsi="Arial" w:cs="Arial"/>
                <w:b/>
                <w:sz w:val="16"/>
                <w:szCs w:val="16"/>
                <w:lang w:eastAsia="el-GR"/>
              </w:rPr>
              <w:t xml:space="preserve">€ </w:t>
            </w:r>
            <w:r w:rsidRPr="007246A9">
              <w:rPr>
                <w:rFonts w:ascii="Arial" w:eastAsia="Times New Roman" w:hAnsi="Arial" w:cs="Arial"/>
                <w:b/>
                <w:sz w:val="16"/>
                <w:szCs w:val="16"/>
                <w:lang w:val="el-GR" w:eastAsia="el-GR"/>
              </w:rPr>
              <w:t>εκατ.</w:t>
            </w:r>
          </w:p>
        </w:tc>
        <w:tc>
          <w:tcPr>
            <w:tcW w:w="103" w:type="dxa"/>
            <w:tcBorders>
              <w:top w:val="single" w:sz="4" w:space="0" w:color="808080" w:themeColor="background1" w:themeShade="80"/>
              <w:bottom w:val="single" w:sz="4" w:space="0" w:color="808080" w:themeColor="background1" w:themeShade="80"/>
            </w:tcBorders>
            <w:vAlign w:val="center"/>
          </w:tcPr>
          <w:p w14:paraId="1D5D028E" w14:textId="77777777" w:rsidR="0067262E" w:rsidRPr="00D41B36" w:rsidRDefault="0067262E" w:rsidP="0067262E">
            <w:pPr>
              <w:pStyle w:val="BodyText3"/>
              <w:spacing w:line="276" w:lineRule="auto"/>
              <w:ind w:right="23"/>
              <w:rPr>
                <w:rFonts w:ascii="Arial" w:hAnsi="Arial" w:cs="Arial"/>
                <w:b/>
                <w:bCs/>
                <w:sz w:val="16"/>
                <w:szCs w:val="16"/>
                <w:highlight w:val="yellow"/>
              </w:rPr>
            </w:pPr>
          </w:p>
        </w:tc>
        <w:tc>
          <w:tcPr>
            <w:tcW w:w="964" w:type="dxa"/>
            <w:tcBorders>
              <w:top w:val="single" w:sz="4" w:space="0" w:color="808080" w:themeColor="background1" w:themeShade="80"/>
              <w:bottom w:val="single" w:sz="4" w:space="0" w:color="808080" w:themeColor="background1" w:themeShade="80"/>
            </w:tcBorders>
            <w:vAlign w:val="center"/>
          </w:tcPr>
          <w:p w14:paraId="1437B18B" w14:textId="77777777" w:rsidR="0067262E" w:rsidRPr="00D41B36" w:rsidRDefault="0067262E" w:rsidP="0067262E">
            <w:pPr>
              <w:pStyle w:val="BodyText3"/>
              <w:spacing w:line="276" w:lineRule="auto"/>
              <w:ind w:right="23"/>
              <w:rPr>
                <w:rFonts w:ascii="Arial" w:hAnsi="Arial" w:cs="Arial"/>
                <w:b/>
                <w:bCs/>
                <w:sz w:val="16"/>
                <w:szCs w:val="16"/>
                <w:highlight w:val="yellow"/>
              </w:rPr>
            </w:pPr>
          </w:p>
        </w:tc>
        <w:tc>
          <w:tcPr>
            <w:tcW w:w="965" w:type="dxa"/>
            <w:tcBorders>
              <w:top w:val="single" w:sz="4" w:space="0" w:color="808080" w:themeColor="background1" w:themeShade="80"/>
              <w:bottom w:val="single" w:sz="4" w:space="0" w:color="808080" w:themeColor="background1" w:themeShade="80"/>
            </w:tcBorders>
            <w:shd w:val="clear" w:color="auto" w:fill="FFFFFF" w:themeFill="background1"/>
          </w:tcPr>
          <w:p w14:paraId="35C31F32" w14:textId="64C21648" w:rsidR="0067262E" w:rsidRPr="0067262E" w:rsidRDefault="007A2F9B" w:rsidP="0067262E">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lang w:val="el-GR" w:eastAsia="el-GR"/>
              </w:rPr>
            </w:pPr>
            <w:r>
              <w:rPr>
                <w:rFonts w:ascii="Arial" w:hAnsi="Arial" w:cs="Arial"/>
                <w:b/>
                <w:bCs/>
                <w:sz w:val="16"/>
                <w:szCs w:val="16"/>
                <w:lang w:val="el-GR"/>
              </w:rPr>
              <w:t>Εννεάμηνο</w:t>
            </w:r>
            <w:r w:rsidR="0067262E" w:rsidRPr="00502B4F">
              <w:rPr>
                <w:rFonts w:ascii="Arial" w:hAnsi="Arial" w:cs="Arial"/>
                <w:b/>
                <w:bCs/>
                <w:sz w:val="16"/>
                <w:szCs w:val="16"/>
                <w:lang w:val="el-GR"/>
              </w:rPr>
              <w:t xml:space="preserve"> 2024</w:t>
            </w:r>
          </w:p>
        </w:tc>
        <w:tc>
          <w:tcPr>
            <w:tcW w:w="965" w:type="dxa"/>
            <w:tcBorders>
              <w:top w:val="single" w:sz="4" w:space="0" w:color="808080" w:themeColor="background1" w:themeShade="80"/>
              <w:bottom w:val="single" w:sz="4" w:space="0" w:color="808080" w:themeColor="background1" w:themeShade="80"/>
            </w:tcBorders>
            <w:shd w:val="clear" w:color="auto" w:fill="FFFFFF" w:themeFill="background1"/>
          </w:tcPr>
          <w:p w14:paraId="7E411592" w14:textId="4B36E4C6" w:rsidR="0067262E" w:rsidRPr="00502B4F" w:rsidRDefault="007A2F9B" w:rsidP="0067262E">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hAnsi="Arial" w:cs="Arial"/>
                <w:sz w:val="16"/>
                <w:szCs w:val="16"/>
                <w:lang w:val="el-GR"/>
              </w:rPr>
            </w:pPr>
            <w:r>
              <w:rPr>
                <w:rFonts w:ascii="Arial" w:hAnsi="Arial" w:cs="Arial"/>
                <w:b/>
                <w:bCs/>
                <w:sz w:val="16"/>
                <w:szCs w:val="16"/>
                <w:lang w:val="el-GR"/>
              </w:rPr>
              <w:t>Εννεάμηνο</w:t>
            </w:r>
            <w:r w:rsidR="0067262E" w:rsidRPr="00502B4F">
              <w:rPr>
                <w:rFonts w:ascii="Arial" w:hAnsi="Arial" w:cs="Arial"/>
                <w:b/>
                <w:bCs/>
                <w:sz w:val="16"/>
                <w:szCs w:val="16"/>
                <w:lang w:val="el-GR"/>
              </w:rPr>
              <w:t xml:space="preserve"> 2023</w:t>
            </w:r>
          </w:p>
        </w:tc>
        <w:tc>
          <w:tcPr>
            <w:tcW w:w="964" w:type="dxa"/>
            <w:tcBorders>
              <w:top w:val="single" w:sz="4" w:space="0" w:color="808080" w:themeColor="background1" w:themeShade="80"/>
              <w:bottom w:val="single" w:sz="4" w:space="0" w:color="808080" w:themeColor="background1" w:themeShade="80"/>
            </w:tcBorders>
            <w:shd w:val="clear" w:color="auto" w:fill="FFFFFF" w:themeFill="background1"/>
          </w:tcPr>
          <w:p w14:paraId="72D49B43" w14:textId="77777777" w:rsidR="0067262E" w:rsidRPr="00502B4F"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lang w:val="el-GR" w:eastAsia="el-GR"/>
              </w:rPr>
            </w:pPr>
            <w:r w:rsidRPr="00502B4F">
              <w:rPr>
                <w:rFonts w:ascii="Arial" w:eastAsia="Times New Roman" w:hAnsi="Arial" w:cs="Arial"/>
                <w:bCs/>
                <w:sz w:val="16"/>
                <w:szCs w:val="16"/>
                <w:lang w:val="el-GR" w:eastAsia="el-GR"/>
              </w:rPr>
              <w:t>Ετήσια μεταβολή</w:t>
            </w:r>
          </w:p>
          <w:p w14:paraId="06CD888A" w14:textId="2C92F4FD" w:rsidR="0067262E" w:rsidRPr="0067262E"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lang w:val="el-GR" w:eastAsia="el-GR"/>
              </w:rPr>
            </w:pPr>
            <w:r w:rsidRPr="00502B4F">
              <w:rPr>
                <w:rFonts w:ascii="Arial" w:hAnsi="Arial" w:cs="Arial"/>
                <w:bCs/>
                <w:sz w:val="16"/>
                <w:szCs w:val="16"/>
                <w:u w:val="single"/>
              </w:rPr>
              <w:t>+</w:t>
            </w:r>
            <w:r w:rsidRPr="00502B4F">
              <w:rPr>
                <w:rFonts w:ascii="Arial" w:hAnsi="Arial" w:cs="Arial"/>
                <w:bCs/>
                <w:sz w:val="16"/>
                <w:szCs w:val="16"/>
              </w:rPr>
              <w:t>%</w:t>
            </w:r>
          </w:p>
        </w:tc>
        <w:tc>
          <w:tcPr>
            <w:tcW w:w="964" w:type="dxa"/>
            <w:tcBorders>
              <w:top w:val="single" w:sz="4" w:space="0" w:color="808080" w:themeColor="background1" w:themeShade="80"/>
              <w:bottom w:val="single" w:sz="4" w:space="0" w:color="808080" w:themeColor="background1" w:themeShade="80"/>
            </w:tcBorders>
            <w:shd w:val="clear" w:color="auto" w:fill="FFFFFF" w:themeFill="background1"/>
          </w:tcPr>
          <w:p w14:paraId="42822744" w14:textId="31BCA21D" w:rsidR="0067262E" w:rsidRPr="00502B4F"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hAnsi="Arial" w:cs="Arial"/>
                <w:sz w:val="16"/>
                <w:szCs w:val="16"/>
                <w:lang w:val="en-US"/>
              </w:rPr>
            </w:pPr>
            <w:r w:rsidRPr="00502B4F">
              <w:rPr>
                <w:rFonts w:ascii="Arial" w:eastAsia="Times New Roman" w:hAnsi="Arial" w:cs="Arial"/>
                <w:b/>
                <w:bCs/>
                <w:sz w:val="16"/>
                <w:szCs w:val="16"/>
                <w:lang w:val="el-GR" w:eastAsia="el-GR"/>
              </w:rPr>
              <w:t>Γ’ τρίμηνο 2024</w:t>
            </w:r>
          </w:p>
        </w:tc>
        <w:tc>
          <w:tcPr>
            <w:tcW w:w="965" w:type="dxa"/>
            <w:tcBorders>
              <w:top w:val="single" w:sz="4" w:space="0" w:color="808080" w:themeColor="background1" w:themeShade="80"/>
              <w:bottom w:val="single" w:sz="4" w:space="0" w:color="808080" w:themeColor="background1" w:themeShade="80"/>
            </w:tcBorders>
            <w:shd w:val="clear" w:color="auto" w:fill="auto"/>
          </w:tcPr>
          <w:p w14:paraId="44CCF49E" w14:textId="4F95FD83" w:rsidR="0067262E" w:rsidRPr="0067262E"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lang w:val="el-GR" w:eastAsia="el-GR"/>
              </w:rPr>
            </w:pPr>
            <w:r w:rsidRPr="00502B4F">
              <w:rPr>
                <w:rFonts w:ascii="Arial" w:eastAsia="Times New Roman" w:hAnsi="Arial" w:cs="Arial"/>
                <w:b/>
                <w:bCs/>
                <w:sz w:val="16"/>
                <w:szCs w:val="16"/>
                <w:lang w:val="el-GR" w:eastAsia="el-GR"/>
              </w:rPr>
              <w:t>Β’ τρίμηνο 2024</w:t>
            </w:r>
          </w:p>
        </w:tc>
        <w:tc>
          <w:tcPr>
            <w:tcW w:w="96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2370FED" w14:textId="77777777" w:rsidR="0067262E" w:rsidRPr="00502B4F"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lang w:val="el-GR" w:eastAsia="el-GR"/>
              </w:rPr>
            </w:pPr>
            <w:r w:rsidRPr="00502B4F">
              <w:rPr>
                <w:rFonts w:ascii="Arial" w:eastAsia="Times New Roman" w:hAnsi="Arial" w:cs="Arial"/>
                <w:bCs/>
                <w:sz w:val="16"/>
                <w:szCs w:val="16"/>
                <w:lang w:val="el-GR" w:eastAsia="el-GR"/>
              </w:rPr>
              <w:t>Τριμηνιαία μεταβολή</w:t>
            </w:r>
          </w:p>
          <w:p w14:paraId="45604A3A" w14:textId="6699F6D1" w:rsidR="0067262E" w:rsidRPr="0067262E"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lang w:eastAsia="el-GR"/>
              </w:rPr>
            </w:pPr>
            <w:r w:rsidRPr="00502B4F">
              <w:rPr>
                <w:rFonts w:ascii="Arial" w:eastAsia="Times New Roman" w:hAnsi="Arial" w:cs="Arial"/>
                <w:bCs/>
                <w:sz w:val="16"/>
                <w:szCs w:val="16"/>
                <w:u w:val="single"/>
                <w:lang w:val="el-GR" w:eastAsia="el-GR"/>
              </w:rPr>
              <w:t>+</w:t>
            </w:r>
            <w:r w:rsidRPr="00502B4F">
              <w:rPr>
                <w:rFonts w:ascii="Arial" w:eastAsia="Times New Roman" w:hAnsi="Arial" w:cs="Arial"/>
                <w:bCs/>
                <w:sz w:val="16"/>
                <w:szCs w:val="16"/>
                <w:lang w:val="el-GR" w:eastAsia="el-GR"/>
              </w:rPr>
              <w:t>%</w:t>
            </w:r>
          </w:p>
        </w:tc>
      </w:tr>
      <w:tr w:rsidR="0067262E" w:rsidRPr="00D41B36" w14:paraId="6F4F60DF" w14:textId="77777777" w:rsidTr="00CB38F0">
        <w:trPr>
          <w:trHeight w:val="389"/>
          <w:jc w:val="center"/>
        </w:trPr>
        <w:tc>
          <w:tcPr>
            <w:tcW w:w="3744" w:type="dxa"/>
            <w:tcBorders>
              <w:top w:val="single" w:sz="4" w:space="0" w:color="808080" w:themeColor="background1" w:themeShade="80"/>
              <w:bottom w:val="single" w:sz="4" w:space="0" w:color="808080" w:themeColor="background1" w:themeShade="80"/>
            </w:tcBorders>
            <w:vAlign w:val="center"/>
          </w:tcPr>
          <w:p w14:paraId="6AC36C6B" w14:textId="77777777" w:rsidR="0067262E" w:rsidRPr="007246A9" w:rsidRDefault="0067262E" w:rsidP="0067262E">
            <w:pPr>
              <w:tabs>
                <w:tab w:val="left" w:pos="974"/>
                <w:tab w:val="left" w:pos="1416"/>
                <w:tab w:val="decimal" w:pos="4962"/>
                <w:tab w:val="decimal" w:pos="6521"/>
                <w:tab w:val="right" w:pos="7560"/>
                <w:tab w:val="decimal" w:pos="8220"/>
                <w:tab w:val="left" w:pos="8640"/>
                <w:tab w:val="right" w:pos="9000"/>
              </w:tabs>
              <w:suppressAutoHyphens/>
              <w:spacing w:after="0" w:line="240" w:lineRule="auto"/>
              <w:ind w:left="10"/>
              <w:rPr>
                <w:rFonts w:ascii="Arial" w:eastAsia="Times New Roman" w:hAnsi="Arial" w:cs="Arial"/>
                <w:sz w:val="16"/>
                <w:szCs w:val="16"/>
                <w:lang w:eastAsia="el-GR"/>
              </w:rPr>
            </w:pPr>
            <w:proofErr w:type="spellStart"/>
            <w:r w:rsidRPr="007246A9">
              <w:rPr>
                <w:rFonts w:ascii="Arial" w:hAnsi="Arial" w:cs="Arial"/>
                <w:sz w:val="16"/>
                <w:szCs w:val="16"/>
              </w:rPr>
              <w:t>Αρχικό</w:t>
            </w:r>
            <w:proofErr w:type="spellEnd"/>
            <w:r w:rsidRPr="007246A9">
              <w:rPr>
                <w:rFonts w:ascii="Arial" w:hAnsi="Arial" w:cs="Arial"/>
                <w:sz w:val="16"/>
                <w:szCs w:val="16"/>
              </w:rPr>
              <w:t xml:space="preserve"> Υπ</w:t>
            </w:r>
            <w:proofErr w:type="spellStart"/>
            <w:r w:rsidRPr="007246A9">
              <w:rPr>
                <w:rFonts w:ascii="Arial" w:hAnsi="Arial" w:cs="Arial"/>
                <w:sz w:val="16"/>
                <w:szCs w:val="16"/>
              </w:rPr>
              <w:t>όλοι</w:t>
            </w:r>
            <w:proofErr w:type="spellEnd"/>
            <w:r w:rsidRPr="007246A9">
              <w:rPr>
                <w:rFonts w:ascii="Arial" w:hAnsi="Arial" w:cs="Arial"/>
                <w:sz w:val="16"/>
                <w:szCs w:val="16"/>
              </w:rPr>
              <w:t>πο</w:t>
            </w:r>
          </w:p>
        </w:tc>
        <w:tc>
          <w:tcPr>
            <w:tcW w:w="103" w:type="dxa"/>
            <w:tcBorders>
              <w:top w:val="single" w:sz="4" w:space="0" w:color="808080" w:themeColor="background1" w:themeShade="80"/>
              <w:bottom w:val="single" w:sz="4" w:space="0" w:color="808080" w:themeColor="background1" w:themeShade="80"/>
            </w:tcBorders>
            <w:vAlign w:val="center"/>
          </w:tcPr>
          <w:p w14:paraId="662322C1" w14:textId="77777777"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p>
        </w:tc>
        <w:tc>
          <w:tcPr>
            <w:tcW w:w="964" w:type="dxa"/>
            <w:tcBorders>
              <w:top w:val="single" w:sz="4" w:space="0" w:color="808080" w:themeColor="background1" w:themeShade="80"/>
              <w:bottom w:val="single" w:sz="4" w:space="0" w:color="808080" w:themeColor="background1" w:themeShade="80"/>
            </w:tcBorders>
            <w:vAlign w:val="center"/>
          </w:tcPr>
          <w:p w14:paraId="6CF936CE" w14:textId="77777777"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sz w:val="16"/>
                <w:szCs w:val="16"/>
                <w:highlight w:val="yellow"/>
                <w:vertAlign w:val="superscript"/>
                <w:lang w:val="el-GR" w:eastAsia="el-GR"/>
              </w:rPr>
            </w:pPr>
          </w:p>
        </w:tc>
        <w:tc>
          <w:tcPr>
            <w:tcW w:w="965" w:type="dxa"/>
            <w:tcBorders>
              <w:top w:val="single" w:sz="4" w:space="0" w:color="808080" w:themeColor="background1" w:themeShade="80"/>
              <w:bottom w:val="single" w:sz="4" w:space="0" w:color="808080" w:themeColor="background1" w:themeShade="80"/>
            </w:tcBorders>
            <w:vAlign w:val="center"/>
          </w:tcPr>
          <w:p w14:paraId="5C15C158" w14:textId="3B9E96BA"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7834D7">
              <w:rPr>
                <w:rFonts w:ascii="Arial" w:eastAsia="Times New Roman" w:hAnsi="Arial" w:cs="Arial"/>
                <w:b/>
                <w:sz w:val="16"/>
                <w:szCs w:val="16"/>
                <w:lang w:eastAsia="el-GR"/>
              </w:rPr>
              <w:t>862</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2FB85DDF" w14:textId="4E093F80"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572379">
              <w:rPr>
                <w:rFonts w:ascii="Arial" w:eastAsia="Times New Roman" w:hAnsi="Arial" w:cs="Arial"/>
                <w:b/>
                <w:bCs/>
                <w:sz w:val="16"/>
                <w:szCs w:val="16"/>
                <w:lang w:eastAsia="el-GR"/>
              </w:rPr>
              <w:t>1,079</w:t>
            </w:r>
          </w:p>
        </w:tc>
        <w:tc>
          <w:tcPr>
            <w:tcW w:w="964"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4C0BE914" w14:textId="53D5FAD9"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sz w:val="16"/>
                <w:szCs w:val="16"/>
                <w:highlight w:val="yellow"/>
                <w:lang w:eastAsia="el-GR"/>
              </w:rPr>
            </w:pPr>
            <w:r w:rsidRPr="000971AC">
              <w:rPr>
                <w:rFonts w:ascii="Arial" w:eastAsia="Times New Roman" w:hAnsi="Arial" w:cs="Arial"/>
                <w:sz w:val="16"/>
                <w:szCs w:val="16"/>
                <w:lang w:eastAsia="el-GR"/>
              </w:rPr>
              <w:t>-20%</w:t>
            </w:r>
          </w:p>
        </w:tc>
        <w:tc>
          <w:tcPr>
            <w:tcW w:w="964" w:type="dxa"/>
            <w:tcBorders>
              <w:top w:val="single" w:sz="4" w:space="0" w:color="808080" w:themeColor="background1" w:themeShade="80"/>
              <w:bottom w:val="single" w:sz="4" w:space="0" w:color="808080" w:themeColor="background1" w:themeShade="80"/>
            </w:tcBorders>
            <w:vAlign w:val="center"/>
          </w:tcPr>
          <w:p w14:paraId="7FF99255" w14:textId="53053F82" w:rsidR="0067262E" w:rsidRPr="007246A9"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Cs/>
                <w:sz w:val="16"/>
                <w:szCs w:val="16"/>
                <w:lang w:eastAsia="el-GR"/>
              </w:rPr>
            </w:pPr>
            <w:r w:rsidRPr="008626F3">
              <w:rPr>
                <w:rFonts w:ascii="Arial" w:eastAsia="Times New Roman" w:hAnsi="Arial" w:cs="Arial"/>
                <w:bCs/>
                <w:sz w:val="16"/>
                <w:szCs w:val="16"/>
                <w:lang w:eastAsia="el-GR"/>
              </w:rPr>
              <w:t>790</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246FC091" w14:textId="0B622E8E"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8626F3">
              <w:rPr>
                <w:rFonts w:ascii="Arial" w:eastAsia="Times New Roman" w:hAnsi="Arial" w:cs="Arial"/>
                <w:bCs/>
                <w:sz w:val="16"/>
                <w:szCs w:val="16"/>
                <w:lang w:eastAsia="el-GR"/>
              </w:rPr>
              <w:t>836</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6E3B2D8D" w14:textId="50A0A645"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0971AC">
              <w:rPr>
                <w:rFonts w:ascii="Arial" w:eastAsia="Times New Roman" w:hAnsi="Arial" w:cs="Arial"/>
                <w:sz w:val="16"/>
                <w:szCs w:val="16"/>
                <w:lang w:eastAsia="el-GR"/>
              </w:rPr>
              <w:t>-6%</w:t>
            </w:r>
          </w:p>
        </w:tc>
      </w:tr>
      <w:tr w:rsidR="0067262E" w:rsidRPr="00D41B36" w14:paraId="30054874" w14:textId="77777777" w:rsidTr="00CB38F0">
        <w:trPr>
          <w:trHeight w:val="389"/>
          <w:jc w:val="center"/>
        </w:trPr>
        <w:tc>
          <w:tcPr>
            <w:tcW w:w="3744" w:type="dxa"/>
            <w:tcBorders>
              <w:top w:val="single" w:sz="4" w:space="0" w:color="808080" w:themeColor="background1" w:themeShade="80"/>
              <w:bottom w:val="single" w:sz="4" w:space="0" w:color="808080" w:themeColor="background1" w:themeShade="80"/>
            </w:tcBorders>
            <w:vAlign w:val="center"/>
          </w:tcPr>
          <w:p w14:paraId="53444585" w14:textId="394D85FA" w:rsidR="0067262E" w:rsidRPr="007246A9" w:rsidRDefault="0067262E" w:rsidP="0067262E">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sz w:val="16"/>
                <w:szCs w:val="16"/>
                <w:lang w:eastAsia="el-GR"/>
              </w:rPr>
            </w:pPr>
            <w:proofErr w:type="spellStart"/>
            <w:r w:rsidRPr="007246A9">
              <w:rPr>
                <w:rFonts w:ascii="Arial" w:hAnsi="Arial" w:cs="Arial"/>
                <w:sz w:val="16"/>
                <w:szCs w:val="16"/>
              </w:rPr>
              <w:t>Προσθήκες</w:t>
            </w:r>
            <w:proofErr w:type="spellEnd"/>
            <w:r w:rsidRPr="007246A9">
              <w:rPr>
                <w:rFonts w:ascii="Arial" w:hAnsi="Arial" w:cs="Arial"/>
                <w:sz w:val="16"/>
                <w:szCs w:val="16"/>
                <w:lang w:val="el-GR"/>
              </w:rPr>
              <w:t xml:space="preserve"> </w:t>
            </w:r>
          </w:p>
        </w:tc>
        <w:tc>
          <w:tcPr>
            <w:tcW w:w="103" w:type="dxa"/>
            <w:tcBorders>
              <w:top w:val="single" w:sz="4" w:space="0" w:color="808080" w:themeColor="background1" w:themeShade="80"/>
              <w:bottom w:val="single" w:sz="4" w:space="0" w:color="808080" w:themeColor="background1" w:themeShade="80"/>
            </w:tcBorders>
            <w:vAlign w:val="center"/>
          </w:tcPr>
          <w:p w14:paraId="7D2BD88D" w14:textId="77777777"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p>
        </w:tc>
        <w:tc>
          <w:tcPr>
            <w:tcW w:w="964" w:type="dxa"/>
            <w:tcBorders>
              <w:top w:val="single" w:sz="4" w:space="0" w:color="808080" w:themeColor="background1" w:themeShade="80"/>
              <w:bottom w:val="single" w:sz="4" w:space="0" w:color="808080" w:themeColor="background1" w:themeShade="80"/>
            </w:tcBorders>
            <w:shd w:val="clear" w:color="auto" w:fill="auto"/>
            <w:vAlign w:val="center"/>
          </w:tcPr>
          <w:p w14:paraId="161FA63E" w14:textId="77777777"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sz w:val="16"/>
                <w:szCs w:val="16"/>
                <w:highlight w:val="yellow"/>
                <w:lang w:eastAsia="el-GR"/>
              </w:rPr>
            </w:pPr>
          </w:p>
        </w:tc>
        <w:tc>
          <w:tcPr>
            <w:tcW w:w="965" w:type="dxa"/>
            <w:tcBorders>
              <w:top w:val="single" w:sz="4" w:space="0" w:color="808080" w:themeColor="background1" w:themeShade="80"/>
              <w:bottom w:val="single" w:sz="4" w:space="0" w:color="808080" w:themeColor="background1" w:themeShade="80"/>
            </w:tcBorders>
            <w:vAlign w:val="center"/>
          </w:tcPr>
          <w:p w14:paraId="2E09D38B" w14:textId="3E17971C"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B4199A">
              <w:rPr>
                <w:rFonts w:ascii="Arial" w:eastAsia="Times New Roman" w:hAnsi="Arial" w:cs="Arial"/>
                <w:b/>
                <w:sz w:val="16"/>
                <w:szCs w:val="16"/>
                <w:lang w:eastAsia="el-GR"/>
              </w:rPr>
              <w:t>2</w:t>
            </w:r>
            <w:r>
              <w:rPr>
                <w:rFonts w:ascii="Arial" w:eastAsia="Times New Roman" w:hAnsi="Arial" w:cs="Arial"/>
                <w:b/>
                <w:sz w:val="16"/>
                <w:szCs w:val="16"/>
                <w:lang w:eastAsia="el-GR"/>
              </w:rPr>
              <w:t>8</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5739464E" w14:textId="2A0CD22F"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8626F3">
              <w:rPr>
                <w:rFonts w:ascii="Arial" w:eastAsia="Times New Roman" w:hAnsi="Arial" w:cs="Arial"/>
                <w:b/>
                <w:bCs/>
                <w:sz w:val="16"/>
                <w:szCs w:val="16"/>
                <w:lang w:eastAsia="el-GR"/>
              </w:rPr>
              <w:t>18</w:t>
            </w:r>
          </w:p>
        </w:tc>
        <w:tc>
          <w:tcPr>
            <w:tcW w:w="964" w:type="dxa"/>
            <w:tcBorders>
              <w:top w:val="single" w:sz="4" w:space="0" w:color="808080" w:themeColor="background1" w:themeShade="80"/>
              <w:bottom w:val="single" w:sz="4" w:space="0" w:color="808080" w:themeColor="background1" w:themeShade="80"/>
            </w:tcBorders>
            <w:vAlign w:val="center"/>
          </w:tcPr>
          <w:p w14:paraId="1605C930" w14:textId="1F4B1442"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sz w:val="16"/>
                <w:szCs w:val="16"/>
                <w:highlight w:val="yellow"/>
                <w:lang w:eastAsia="el-GR"/>
              </w:rPr>
            </w:pPr>
            <w:r w:rsidRPr="000971AC">
              <w:rPr>
                <w:rFonts w:ascii="Arial" w:eastAsia="Times New Roman" w:hAnsi="Arial" w:cs="Arial"/>
                <w:sz w:val="16"/>
                <w:szCs w:val="16"/>
                <w:lang w:eastAsia="el-GR"/>
              </w:rPr>
              <w:t>56%</w:t>
            </w:r>
          </w:p>
        </w:tc>
        <w:tc>
          <w:tcPr>
            <w:tcW w:w="964" w:type="dxa"/>
            <w:tcBorders>
              <w:top w:val="single" w:sz="4" w:space="0" w:color="808080" w:themeColor="background1" w:themeShade="80"/>
              <w:bottom w:val="single" w:sz="4" w:space="0" w:color="808080" w:themeColor="background1" w:themeShade="80"/>
            </w:tcBorders>
            <w:vAlign w:val="center"/>
          </w:tcPr>
          <w:p w14:paraId="7703E830" w14:textId="140CE0DE" w:rsidR="0067262E" w:rsidRPr="00575BD0" w:rsidRDefault="00575BD0"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Cs/>
                <w:sz w:val="16"/>
                <w:szCs w:val="16"/>
                <w:lang w:val="el-GR" w:eastAsia="el-GR"/>
              </w:rPr>
            </w:pPr>
            <w:r>
              <w:rPr>
                <w:rFonts w:ascii="Arial" w:eastAsia="Times New Roman" w:hAnsi="Arial" w:cs="Arial"/>
                <w:bCs/>
                <w:sz w:val="16"/>
                <w:szCs w:val="16"/>
                <w:lang w:val="el-GR" w:eastAsia="el-GR"/>
              </w:rPr>
              <w:t>14</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6BEF6AA7" w14:textId="0A4927A1"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8626F3">
              <w:rPr>
                <w:rFonts w:ascii="Arial" w:eastAsia="Times New Roman" w:hAnsi="Arial" w:cs="Arial"/>
                <w:bCs/>
                <w:sz w:val="16"/>
                <w:szCs w:val="16"/>
                <w:lang w:eastAsia="el-GR"/>
              </w:rPr>
              <w:t>9</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5ADB7430" w14:textId="3381FE4A"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val="el-GR" w:eastAsia="el-GR"/>
              </w:rPr>
            </w:pPr>
            <w:r w:rsidRPr="000971AC">
              <w:rPr>
                <w:rFonts w:ascii="Arial" w:eastAsia="Times New Roman" w:hAnsi="Arial" w:cs="Arial"/>
                <w:sz w:val="16"/>
                <w:szCs w:val="16"/>
                <w:lang w:eastAsia="el-GR"/>
              </w:rPr>
              <w:t>39%</w:t>
            </w:r>
          </w:p>
        </w:tc>
      </w:tr>
      <w:tr w:rsidR="0067262E" w:rsidRPr="00D41B36" w14:paraId="099728EE" w14:textId="77777777" w:rsidTr="00CB38F0">
        <w:trPr>
          <w:trHeight w:val="389"/>
          <w:jc w:val="center"/>
        </w:trPr>
        <w:tc>
          <w:tcPr>
            <w:tcW w:w="3744" w:type="dxa"/>
            <w:tcBorders>
              <w:top w:val="single" w:sz="4" w:space="0" w:color="808080" w:themeColor="background1" w:themeShade="80"/>
              <w:bottom w:val="single" w:sz="4" w:space="0" w:color="808080" w:themeColor="background1" w:themeShade="80"/>
            </w:tcBorders>
            <w:vAlign w:val="center"/>
          </w:tcPr>
          <w:p w14:paraId="55B95D03" w14:textId="77777777" w:rsidR="0067262E" w:rsidRPr="007246A9" w:rsidRDefault="0067262E" w:rsidP="0067262E">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sz w:val="16"/>
                <w:szCs w:val="16"/>
                <w:lang w:eastAsia="el-GR"/>
              </w:rPr>
            </w:pPr>
            <w:r w:rsidRPr="007246A9">
              <w:rPr>
                <w:rFonts w:ascii="Arial" w:eastAsia="Times New Roman" w:hAnsi="Arial" w:cs="Arial"/>
                <w:sz w:val="16"/>
                <w:szCs w:val="16"/>
                <w:lang w:val="el-GR" w:eastAsia="el-GR"/>
              </w:rPr>
              <w:t>Πωλήσεις</w:t>
            </w:r>
          </w:p>
        </w:tc>
        <w:tc>
          <w:tcPr>
            <w:tcW w:w="103" w:type="dxa"/>
            <w:tcBorders>
              <w:top w:val="single" w:sz="4" w:space="0" w:color="808080" w:themeColor="background1" w:themeShade="80"/>
              <w:bottom w:val="single" w:sz="4" w:space="0" w:color="808080" w:themeColor="background1" w:themeShade="80"/>
            </w:tcBorders>
            <w:vAlign w:val="center"/>
          </w:tcPr>
          <w:p w14:paraId="433211E2" w14:textId="77777777"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eastAsia="el-GR"/>
              </w:rPr>
            </w:pPr>
          </w:p>
        </w:tc>
        <w:tc>
          <w:tcPr>
            <w:tcW w:w="964" w:type="dxa"/>
            <w:tcBorders>
              <w:top w:val="single" w:sz="4" w:space="0" w:color="808080" w:themeColor="background1" w:themeShade="80"/>
              <w:bottom w:val="single" w:sz="4" w:space="0" w:color="808080" w:themeColor="background1" w:themeShade="80"/>
            </w:tcBorders>
            <w:vAlign w:val="center"/>
          </w:tcPr>
          <w:p w14:paraId="72E4E41D" w14:textId="77777777"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sz w:val="16"/>
                <w:szCs w:val="16"/>
                <w:highlight w:val="yellow"/>
                <w:lang w:eastAsia="el-GR"/>
              </w:rPr>
            </w:pPr>
          </w:p>
        </w:tc>
        <w:tc>
          <w:tcPr>
            <w:tcW w:w="965" w:type="dxa"/>
            <w:tcBorders>
              <w:top w:val="single" w:sz="4" w:space="0" w:color="808080" w:themeColor="background1" w:themeShade="80"/>
              <w:bottom w:val="single" w:sz="4" w:space="0" w:color="808080" w:themeColor="background1" w:themeShade="80"/>
            </w:tcBorders>
            <w:vAlign w:val="center"/>
          </w:tcPr>
          <w:p w14:paraId="4751B0D0" w14:textId="1D053C92"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eastAsia="el-GR"/>
              </w:rPr>
            </w:pPr>
            <w:r w:rsidRPr="00B4199A">
              <w:rPr>
                <w:rFonts w:ascii="Arial" w:eastAsia="Times New Roman" w:hAnsi="Arial" w:cs="Arial"/>
                <w:b/>
                <w:sz w:val="16"/>
                <w:szCs w:val="16"/>
                <w:lang w:eastAsia="el-GR"/>
              </w:rPr>
              <w:t>(8</w:t>
            </w:r>
            <w:r>
              <w:rPr>
                <w:rFonts w:ascii="Arial" w:eastAsia="Times New Roman" w:hAnsi="Arial" w:cs="Arial"/>
                <w:b/>
                <w:sz w:val="16"/>
                <w:szCs w:val="16"/>
                <w:lang w:eastAsia="el-GR"/>
              </w:rPr>
              <w:t>2</w:t>
            </w:r>
            <w:r w:rsidRPr="00B4199A">
              <w:rPr>
                <w:rFonts w:ascii="Arial" w:eastAsia="Times New Roman" w:hAnsi="Arial" w:cs="Arial"/>
                <w:b/>
                <w:sz w:val="16"/>
                <w:szCs w:val="16"/>
                <w:lang w:eastAsia="el-GR"/>
              </w:rPr>
              <w:t>)</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521024A5" w14:textId="41C3451B"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eastAsia="el-GR"/>
              </w:rPr>
            </w:pPr>
            <w:r w:rsidRPr="00572379">
              <w:rPr>
                <w:rFonts w:ascii="Arial" w:eastAsia="Times New Roman" w:hAnsi="Arial" w:cs="Arial"/>
                <w:b/>
                <w:bCs/>
                <w:sz w:val="16"/>
                <w:szCs w:val="16"/>
                <w:lang w:eastAsia="el-GR"/>
              </w:rPr>
              <w:t>(</w:t>
            </w:r>
            <w:r w:rsidRPr="008626F3">
              <w:rPr>
                <w:rFonts w:ascii="Arial" w:eastAsia="Times New Roman" w:hAnsi="Arial" w:cs="Arial"/>
                <w:b/>
                <w:bCs/>
                <w:sz w:val="16"/>
                <w:szCs w:val="16"/>
                <w:lang w:eastAsia="el-GR"/>
              </w:rPr>
              <w:t>98</w:t>
            </w:r>
            <w:r w:rsidRPr="00572379">
              <w:rPr>
                <w:rFonts w:ascii="Arial" w:eastAsia="Times New Roman" w:hAnsi="Arial" w:cs="Arial"/>
                <w:b/>
                <w:bCs/>
                <w:sz w:val="16"/>
                <w:szCs w:val="16"/>
                <w:lang w:eastAsia="el-GR"/>
              </w:rPr>
              <w:t>)</w:t>
            </w:r>
          </w:p>
        </w:tc>
        <w:tc>
          <w:tcPr>
            <w:tcW w:w="964"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41E069F3" w14:textId="41CD4D12"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sz w:val="16"/>
                <w:szCs w:val="16"/>
                <w:highlight w:val="yellow"/>
                <w:lang w:eastAsia="el-GR"/>
              </w:rPr>
            </w:pPr>
            <w:r w:rsidRPr="000971AC">
              <w:rPr>
                <w:rFonts w:ascii="Arial" w:eastAsia="Times New Roman" w:hAnsi="Arial" w:cs="Arial"/>
                <w:sz w:val="16"/>
                <w:szCs w:val="16"/>
                <w:lang w:eastAsia="el-GR"/>
              </w:rPr>
              <w:t>-17%</w:t>
            </w:r>
          </w:p>
        </w:tc>
        <w:tc>
          <w:tcPr>
            <w:tcW w:w="964" w:type="dxa"/>
            <w:tcBorders>
              <w:top w:val="single" w:sz="4" w:space="0" w:color="808080" w:themeColor="background1" w:themeShade="80"/>
              <w:bottom w:val="single" w:sz="4" w:space="0" w:color="808080" w:themeColor="background1" w:themeShade="80"/>
            </w:tcBorders>
            <w:vAlign w:val="center"/>
          </w:tcPr>
          <w:p w14:paraId="594D5748" w14:textId="0F271374" w:rsidR="0067262E" w:rsidRPr="007246A9"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Cs/>
                <w:sz w:val="16"/>
                <w:szCs w:val="16"/>
                <w:lang w:eastAsia="el-GR"/>
              </w:rPr>
            </w:pPr>
            <w:r w:rsidRPr="000971AC">
              <w:rPr>
                <w:rFonts w:ascii="Arial" w:eastAsia="Times New Roman" w:hAnsi="Arial" w:cs="Arial"/>
                <w:bCs/>
                <w:sz w:val="16"/>
                <w:szCs w:val="16"/>
                <w:lang w:eastAsia="el-GR"/>
              </w:rPr>
              <w:t>(</w:t>
            </w:r>
            <w:r w:rsidR="00575BD0">
              <w:rPr>
                <w:rFonts w:ascii="Arial" w:eastAsia="Times New Roman" w:hAnsi="Arial" w:cs="Arial"/>
                <w:bCs/>
                <w:sz w:val="16"/>
                <w:szCs w:val="16"/>
                <w:lang w:val="el-GR" w:eastAsia="el-GR"/>
              </w:rPr>
              <w:t>26</w:t>
            </w:r>
            <w:r w:rsidRPr="000971AC">
              <w:rPr>
                <w:rFonts w:ascii="Arial" w:eastAsia="Times New Roman" w:hAnsi="Arial" w:cs="Arial"/>
                <w:bCs/>
                <w:sz w:val="16"/>
                <w:szCs w:val="16"/>
                <w:lang w:eastAsia="el-GR"/>
              </w:rPr>
              <w:t>)</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071A545B" w14:textId="378C5DDF"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eastAsia="el-GR"/>
              </w:rPr>
            </w:pPr>
            <w:r w:rsidRPr="008626F3">
              <w:rPr>
                <w:rFonts w:ascii="Arial" w:eastAsia="Times New Roman" w:hAnsi="Arial" w:cs="Arial"/>
                <w:bCs/>
                <w:sz w:val="16"/>
                <w:szCs w:val="16"/>
                <w:lang w:eastAsia="el-GR"/>
              </w:rPr>
              <w:t>(39)</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1822C974" w14:textId="1EFA04DD"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eastAsia="el-GR"/>
              </w:rPr>
            </w:pPr>
            <w:r w:rsidRPr="000971AC">
              <w:rPr>
                <w:rFonts w:ascii="Arial" w:eastAsia="Times New Roman" w:hAnsi="Arial" w:cs="Arial"/>
                <w:sz w:val="16"/>
                <w:szCs w:val="16"/>
                <w:lang w:eastAsia="el-GR"/>
              </w:rPr>
              <w:t>-37%</w:t>
            </w:r>
          </w:p>
        </w:tc>
      </w:tr>
      <w:tr w:rsidR="0067262E" w:rsidRPr="00D41B36" w14:paraId="274701B5" w14:textId="77777777" w:rsidTr="00CB38F0">
        <w:trPr>
          <w:trHeight w:val="389"/>
          <w:jc w:val="center"/>
        </w:trPr>
        <w:tc>
          <w:tcPr>
            <w:tcW w:w="3744" w:type="dxa"/>
            <w:tcBorders>
              <w:top w:val="single" w:sz="4" w:space="0" w:color="808080" w:themeColor="background1" w:themeShade="80"/>
              <w:bottom w:val="single" w:sz="4" w:space="0" w:color="808080" w:themeColor="background1" w:themeShade="80"/>
            </w:tcBorders>
            <w:vAlign w:val="center"/>
          </w:tcPr>
          <w:p w14:paraId="0709F85F" w14:textId="77777777" w:rsidR="0067262E" w:rsidRPr="007246A9" w:rsidRDefault="0067262E" w:rsidP="0067262E">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sz w:val="16"/>
                <w:szCs w:val="16"/>
                <w:lang w:val="en-US" w:eastAsia="el-GR"/>
              </w:rPr>
            </w:pPr>
            <w:r w:rsidRPr="007246A9">
              <w:rPr>
                <w:rFonts w:ascii="Arial" w:eastAsia="Times New Roman" w:hAnsi="Arial" w:cs="Arial"/>
                <w:sz w:val="16"/>
                <w:szCs w:val="16"/>
                <w:lang w:val="el-GR" w:eastAsia="el-GR"/>
              </w:rPr>
              <w:t xml:space="preserve">Καθαρή </w:t>
            </w:r>
            <w:proofErr w:type="spellStart"/>
            <w:r w:rsidRPr="007246A9">
              <w:rPr>
                <w:rFonts w:ascii="Arial" w:eastAsia="Times New Roman" w:hAnsi="Arial" w:cs="Arial"/>
                <w:sz w:val="16"/>
                <w:szCs w:val="16"/>
                <w:lang w:val="el-GR" w:eastAsia="el-GR"/>
              </w:rPr>
              <w:t>απομείωση</w:t>
            </w:r>
            <w:proofErr w:type="spellEnd"/>
          </w:p>
        </w:tc>
        <w:tc>
          <w:tcPr>
            <w:tcW w:w="103" w:type="dxa"/>
            <w:tcBorders>
              <w:top w:val="single" w:sz="4" w:space="0" w:color="808080" w:themeColor="background1" w:themeShade="80"/>
              <w:bottom w:val="single" w:sz="4" w:space="0" w:color="808080" w:themeColor="background1" w:themeShade="80"/>
            </w:tcBorders>
            <w:vAlign w:val="center"/>
          </w:tcPr>
          <w:p w14:paraId="248A1A0C" w14:textId="77777777"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eastAsia="el-GR"/>
              </w:rPr>
            </w:pPr>
          </w:p>
        </w:tc>
        <w:tc>
          <w:tcPr>
            <w:tcW w:w="964" w:type="dxa"/>
            <w:tcBorders>
              <w:top w:val="single" w:sz="4" w:space="0" w:color="808080" w:themeColor="background1" w:themeShade="80"/>
              <w:bottom w:val="single" w:sz="4" w:space="0" w:color="808080" w:themeColor="background1" w:themeShade="80"/>
            </w:tcBorders>
            <w:vAlign w:val="center"/>
          </w:tcPr>
          <w:p w14:paraId="6116076A" w14:textId="77777777"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sz w:val="16"/>
                <w:szCs w:val="16"/>
                <w:highlight w:val="yellow"/>
                <w:lang w:eastAsia="el-GR"/>
              </w:rPr>
            </w:pPr>
          </w:p>
        </w:tc>
        <w:tc>
          <w:tcPr>
            <w:tcW w:w="965" w:type="dxa"/>
            <w:tcBorders>
              <w:top w:val="single" w:sz="4" w:space="0" w:color="808080" w:themeColor="background1" w:themeShade="80"/>
              <w:bottom w:val="single" w:sz="4" w:space="0" w:color="808080" w:themeColor="background1" w:themeShade="80"/>
            </w:tcBorders>
            <w:vAlign w:val="center"/>
          </w:tcPr>
          <w:p w14:paraId="22D3EC1B" w14:textId="78994562"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eastAsia="el-GR"/>
              </w:rPr>
            </w:pPr>
            <w:r w:rsidRPr="00B4199A">
              <w:rPr>
                <w:rFonts w:ascii="Arial" w:eastAsia="Times New Roman" w:hAnsi="Arial" w:cs="Arial"/>
                <w:b/>
                <w:sz w:val="16"/>
                <w:szCs w:val="16"/>
                <w:lang w:eastAsia="el-GR"/>
              </w:rPr>
              <w:t>(41)</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25274B2C" w14:textId="30CC993F"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eastAsia="el-GR"/>
              </w:rPr>
            </w:pPr>
            <w:r w:rsidRPr="00572379">
              <w:rPr>
                <w:rFonts w:ascii="Arial" w:eastAsia="Times New Roman" w:hAnsi="Arial" w:cs="Arial"/>
                <w:b/>
                <w:bCs/>
                <w:sz w:val="16"/>
                <w:szCs w:val="16"/>
                <w:lang w:eastAsia="el-GR"/>
              </w:rPr>
              <w:t>(</w:t>
            </w:r>
            <w:r w:rsidR="00575BD0">
              <w:rPr>
                <w:rFonts w:ascii="Arial" w:eastAsia="Times New Roman" w:hAnsi="Arial" w:cs="Arial"/>
                <w:b/>
                <w:bCs/>
                <w:sz w:val="16"/>
                <w:szCs w:val="16"/>
                <w:lang w:val="el-GR" w:eastAsia="el-GR"/>
              </w:rPr>
              <w:t>30</w:t>
            </w:r>
            <w:r w:rsidRPr="00572379">
              <w:rPr>
                <w:rFonts w:ascii="Arial" w:eastAsia="Times New Roman" w:hAnsi="Arial" w:cs="Arial"/>
                <w:b/>
                <w:bCs/>
                <w:sz w:val="16"/>
                <w:szCs w:val="16"/>
                <w:lang w:eastAsia="el-GR"/>
              </w:rPr>
              <w:t>)</w:t>
            </w:r>
          </w:p>
        </w:tc>
        <w:tc>
          <w:tcPr>
            <w:tcW w:w="964"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71C65F2D" w14:textId="1DA2D89A"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sz w:val="16"/>
                <w:szCs w:val="16"/>
                <w:highlight w:val="yellow"/>
                <w:lang w:eastAsia="el-GR"/>
              </w:rPr>
            </w:pPr>
            <w:r w:rsidRPr="000971AC">
              <w:rPr>
                <w:rFonts w:ascii="Arial" w:eastAsia="Times New Roman" w:hAnsi="Arial" w:cs="Arial"/>
                <w:sz w:val="16"/>
                <w:szCs w:val="16"/>
                <w:lang w:eastAsia="el-GR"/>
              </w:rPr>
              <w:t>35%</w:t>
            </w:r>
          </w:p>
        </w:tc>
        <w:tc>
          <w:tcPr>
            <w:tcW w:w="964" w:type="dxa"/>
            <w:tcBorders>
              <w:top w:val="single" w:sz="4" w:space="0" w:color="808080" w:themeColor="background1" w:themeShade="80"/>
              <w:bottom w:val="single" w:sz="4" w:space="0" w:color="808080" w:themeColor="background1" w:themeShade="80"/>
            </w:tcBorders>
            <w:vAlign w:val="center"/>
          </w:tcPr>
          <w:p w14:paraId="623E22AE" w14:textId="6F89ECF1" w:rsidR="0067262E" w:rsidRPr="007246A9"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Cs/>
                <w:sz w:val="16"/>
                <w:szCs w:val="16"/>
                <w:lang w:eastAsia="el-GR"/>
              </w:rPr>
            </w:pPr>
            <w:r w:rsidRPr="000971AC">
              <w:rPr>
                <w:rFonts w:ascii="Arial" w:eastAsia="Times New Roman" w:hAnsi="Arial" w:cs="Arial"/>
                <w:bCs/>
                <w:sz w:val="16"/>
                <w:szCs w:val="16"/>
                <w:lang w:eastAsia="el-GR"/>
              </w:rPr>
              <w:t>(15)</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04C54541" w14:textId="1953C035"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val="el-GR" w:eastAsia="el-GR"/>
              </w:rPr>
            </w:pPr>
            <w:r w:rsidRPr="008626F3">
              <w:rPr>
                <w:rFonts w:ascii="Arial" w:eastAsia="Times New Roman" w:hAnsi="Arial" w:cs="Arial"/>
                <w:bCs/>
                <w:sz w:val="16"/>
                <w:szCs w:val="16"/>
                <w:lang w:eastAsia="el-GR"/>
              </w:rPr>
              <w:t>(16)</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1EFE9280" w14:textId="3D0175F7"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eastAsia="el-GR"/>
              </w:rPr>
            </w:pPr>
            <w:r w:rsidRPr="000971AC">
              <w:rPr>
                <w:rFonts w:ascii="Arial" w:eastAsia="Times New Roman" w:hAnsi="Arial" w:cs="Arial"/>
                <w:sz w:val="16"/>
                <w:szCs w:val="16"/>
                <w:lang w:val="en-US" w:eastAsia="el-GR"/>
              </w:rPr>
              <w:t>-8%</w:t>
            </w:r>
          </w:p>
        </w:tc>
      </w:tr>
      <w:tr w:rsidR="0067262E" w:rsidRPr="00D41B36" w14:paraId="4DBF38CE" w14:textId="77777777" w:rsidTr="00CB38F0">
        <w:trPr>
          <w:trHeight w:val="389"/>
          <w:jc w:val="center"/>
        </w:trPr>
        <w:tc>
          <w:tcPr>
            <w:tcW w:w="3744" w:type="dxa"/>
            <w:tcBorders>
              <w:top w:val="single" w:sz="4" w:space="0" w:color="808080" w:themeColor="background1" w:themeShade="80"/>
              <w:bottom w:val="single" w:sz="4" w:space="0" w:color="808080" w:themeColor="background1" w:themeShade="80"/>
            </w:tcBorders>
            <w:vAlign w:val="center"/>
          </w:tcPr>
          <w:p w14:paraId="6A1941FC" w14:textId="0982F806" w:rsidR="0067262E" w:rsidRPr="007246A9" w:rsidDel="00DA6D8C" w:rsidRDefault="0067262E" w:rsidP="0067262E">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sz w:val="16"/>
                <w:szCs w:val="16"/>
                <w:lang w:val="el-GR" w:eastAsia="el-GR"/>
              </w:rPr>
            </w:pPr>
            <w:r w:rsidRPr="007246A9">
              <w:rPr>
                <w:rFonts w:ascii="Arial" w:hAnsi="Arial" w:cs="Arial"/>
                <w:sz w:val="16"/>
                <w:szCs w:val="16"/>
                <w:lang w:val="el-GR"/>
              </w:rPr>
              <w:t>Μεταφορές</w:t>
            </w:r>
          </w:p>
        </w:tc>
        <w:tc>
          <w:tcPr>
            <w:tcW w:w="103" w:type="dxa"/>
            <w:tcBorders>
              <w:top w:val="single" w:sz="4" w:space="0" w:color="808080" w:themeColor="background1" w:themeShade="80"/>
              <w:bottom w:val="single" w:sz="4" w:space="0" w:color="808080" w:themeColor="background1" w:themeShade="80"/>
            </w:tcBorders>
            <w:vAlign w:val="center"/>
          </w:tcPr>
          <w:p w14:paraId="66055A74" w14:textId="77777777"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val="el-GR" w:eastAsia="el-GR"/>
              </w:rPr>
            </w:pPr>
          </w:p>
        </w:tc>
        <w:tc>
          <w:tcPr>
            <w:tcW w:w="964" w:type="dxa"/>
            <w:tcBorders>
              <w:top w:val="single" w:sz="4" w:space="0" w:color="808080" w:themeColor="background1" w:themeShade="80"/>
              <w:bottom w:val="single" w:sz="4" w:space="0" w:color="808080" w:themeColor="background1" w:themeShade="80"/>
            </w:tcBorders>
            <w:vAlign w:val="center"/>
          </w:tcPr>
          <w:p w14:paraId="766C0248" w14:textId="77777777"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sz w:val="16"/>
                <w:szCs w:val="16"/>
                <w:highlight w:val="yellow"/>
                <w:lang w:val="el-GR" w:eastAsia="el-GR"/>
              </w:rPr>
            </w:pPr>
          </w:p>
        </w:tc>
        <w:tc>
          <w:tcPr>
            <w:tcW w:w="965" w:type="dxa"/>
            <w:tcBorders>
              <w:top w:val="single" w:sz="4" w:space="0" w:color="808080" w:themeColor="background1" w:themeShade="80"/>
              <w:bottom w:val="single" w:sz="4" w:space="0" w:color="808080" w:themeColor="background1" w:themeShade="80"/>
            </w:tcBorders>
            <w:vAlign w:val="center"/>
          </w:tcPr>
          <w:p w14:paraId="5254C115" w14:textId="7C174DDB"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eastAsia="el-GR"/>
              </w:rPr>
            </w:pPr>
            <w:r w:rsidRPr="00B4199A">
              <w:rPr>
                <w:rFonts w:ascii="Arial" w:eastAsia="Times New Roman" w:hAnsi="Arial" w:cs="Arial"/>
                <w:b/>
                <w:sz w:val="16"/>
                <w:szCs w:val="16"/>
                <w:lang w:eastAsia="el-GR"/>
              </w:rPr>
              <w:t>(3)</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28A084CF" w14:textId="3D726061"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val="el-GR" w:eastAsia="el-GR"/>
              </w:rPr>
            </w:pPr>
            <w:r w:rsidRPr="00572379">
              <w:rPr>
                <w:rFonts w:ascii="Arial" w:eastAsia="Times New Roman" w:hAnsi="Arial" w:cs="Arial"/>
                <w:b/>
                <w:bCs/>
                <w:sz w:val="16"/>
                <w:szCs w:val="16"/>
                <w:lang w:eastAsia="el-GR"/>
              </w:rPr>
              <w:t>(</w:t>
            </w:r>
            <w:r w:rsidR="00575BD0">
              <w:rPr>
                <w:rFonts w:ascii="Arial" w:eastAsia="Times New Roman" w:hAnsi="Arial" w:cs="Arial"/>
                <w:b/>
                <w:bCs/>
                <w:sz w:val="16"/>
                <w:szCs w:val="16"/>
                <w:lang w:val="el-GR" w:eastAsia="el-GR"/>
              </w:rPr>
              <w:t>22</w:t>
            </w:r>
            <w:r w:rsidRPr="00572379">
              <w:rPr>
                <w:rFonts w:ascii="Arial" w:eastAsia="Times New Roman" w:hAnsi="Arial" w:cs="Arial"/>
                <w:b/>
                <w:bCs/>
                <w:sz w:val="16"/>
                <w:szCs w:val="16"/>
                <w:lang w:eastAsia="el-GR"/>
              </w:rPr>
              <w:t>)</w:t>
            </w:r>
          </w:p>
        </w:tc>
        <w:tc>
          <w:tcPr>
            <w:tcW w:w="964"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5FE1C052" w14:textId="630FB2CD"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sz w:val="16"/>
                <w:szCs w:val="16"/>
                <w:highlight w:val="yellow"/>
                <w:lang w:eastAsia="el-GR"/>
              </w:rPr>
            </w:pPr>
            <w:r w:rsidRPr="000971AC">
              <w:rPr>
                <w:rFonts w:ascii="Arial" w:eastAsia="Times New Roman" w:hAnsi="Arial" w:cs="Arial"/>
                <w:sz w:val="16"/>
                <w:szCs w:val="16"/>
                <w:lang w:eastAsia="el-GR"/>
              </w:rPr>
              <w:t>-86%</w:t>
            </w:r>
          </w:p>
        </w:tc>
        <w:tc>
          <w:tcPr>
            <w:tcW w:w="964" w:type="dxa"/>
            <w:tcBorders>
              <w:top w:val="single" w:sz="4" w:space="0" w:color="808080" w:themeColor="background1" w:themeShade="80"/>
              <w:bottom w:val="single" w:sz="4" w:space="0" w:color="808080" w:themeColor="background1" w:themeShade="80"/>
            </w:tcBorders>
            <w:vAlign w:val="center"/>
          </w:tcPr>
          <w:p w14:paraId="729BFC80" w14:textId="49E0107F" w:rsidR="0067262E" w:rsidRPr="007246A9"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Cs/>
                <w:sz w:val="16"/>
                <w:szCs w:val="16"/>
                <w:lang w:eastAsia="el-GR"/>
              </w:rPr>
            </w:pPr>
            <w:r w:rsidRPr="000971AC">
              <w:rPr>
                <w:rFonts w:ascii="Arial" w:eastAsia="Times New Roman" w:hAnsi="Arial" w:cs="Arial"/>
                <w:bCs/>
                <w:sz w:val="16"/>
                <w:szCs w:val="16"/>
                <w:lang w:eastAsia="el-GR"/>
              </w:rPr>
              <w:t>-</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6532BE39" w14:textId="33E5C250"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val="el-GR" w:eastAsia="el-GR"/>
              </w:rPr>
            </w:pPr>
            <w:r w:rsidRPr="008626F3">
              <w:rPr>
                <w:rFonts w:ascii="Arial" w:eastAsia="Times New Roman" w:hAnsi="Arial" w:cs="Arial"/>
                <w:bCs/>
                <w:sz w:val="16"/>
                <w:szCs w:val="16"/>
                <w:lang w:eastAsia="el-GR"/>
              </w:rPr>
              <w:t>-</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66B87722" w14:textId="105C394D"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val="el-GR" w:eastAsia="el-GR"/>
              </w:rPr>
            </w:pPr>
            <w:r w:rsidRPr="000971AC">
              <w:rPr>
                <w:rFonts w:ascii="Arial" w:eastAsia="Times New Roman" w:hAnsi="Arial" w:cs="Arial"/>
                <w:sz w:val="16"/>
                <w:szCs w:val="16"/>
                <w:lang w:eastAsia="el-GR"/>
              </w:rPr>
              <w:t>-</w:t>
            </w:r>
          </w:p>
        </w:tc>
      </w:tr>
      <w:tr w:rsidR="0067262E" w:rsidRPr="00D41B36" w14:paraId="4B35FB0A" w14:textId="77777777" w:rsidTr="00CB38F0">
        <w:trPr>
          <w:trHeight w:val="389"/>
          <w:jc w:val="center"/>
        </w:trPr>
        <w:tc>
          <w:tcPr>
            <w:tcW w:w="374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3BF30E6D" w14:textId="77777777" w:rsidR="0067262E" w:rsidRPr="007246A9" w:rsidRDefault="0067262E" w:rsidP="0067262E">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sz w:val="16"/>
                <w:szCs w:val="16"/>
                <w:lang w:eastAsia="el-GR"/>
              </w:rPr>
            </w:pPr>
            <w:r w:rsidRPr="007246A9">
              <w:rPr>
                <w:rFonts w:ascii="Arial" w:eastAsia="Times New Roman" w:hAnsi="Arial" w:cs="Arial"/>
                <w:b/>
                <w:sz w:val="16"/>
                <w:szCs w:val="16"/>
                <w:lang w:val="el-GR" w:eastAsia="el-GR"/>
              </w:rPr>
              <w:t>Τελικό υπόλοιπο</w:t>
            </w:r>
          </w:p>
        </w:tc>
        <w:tc>
          <w:tcPr>
            <w:tcW w:w="103" w:type="dxa"/>
            <w:tcBorders>
              <w:top w:val="single" w:sz="4" w:space="0" w:color="808080" w:themeColor="background1" w:themeShade="80"/>
              <w:bottom w:val="single" w:sz="4" w:space="0" w:color="808080" w:themeColor="background1" w:themeShade="80"/>
            </w:tcBorders>
            <w:vAlign w:val="center"/>
          </w:tcPr>
          <w:p w14:paraId="767D5265" w14:textId="77777777"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p>
        </w:tc>
        <w:tc>
          <w:tcPr>
            <w:tcW w:w="964" w:type="dxa"/>
            <w:tcBorders>
              <w:top w:val="single" w:sz="4" w:space="0" w:color="808080" w:themeColor="background1" w:themeShade="80"/>
              <w:bottom w:val="single" w:sz="4" w:space="0" w:color="808080" w:themeColor="background1" w:themeShade="80"/>
            </w:tcBorders>
            <w:vAlign w:val="center"/>
          </w:tcPr>
          <w:p w14:paraId="40CEF4FC" w14:textId="77777777"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sz w:val="16"/>
                <w:szCs w:val="16"/>
                <w:highlight w:val="yellow"/>
                <w:lang w:eastAsia="el-GR"/>
              </w:rPr>
            </w:pPr>
          </w:p>
        </w:tc>
        <w:tc>
          <w:tcPr>
            <w:tcW w:w="965" w:type="dxa"/>
            <w:tcBorders>
              <w:top w:val="single" w:sz="4" w:space="0" w:color="808080" w:themeColor="background1" w:themeShade="80"/>
              <w:bottom w:val="single" w:sz="4" w:space="0" w:color="808080" w:themeColor="background1" w:themeShade="80"/>
            </w:tcBorders>
            <w:vAlign w:val="center"/>
          </w:tcPr>
          <w:p w14:paraId="05F93775" w14:textId="3D0F0854"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B4199A">
              <w:rPr>
                <w:rFonts w:ascii="Arial" w:eastAsia="Times New Roman" w:hAnsi="Arial" w:cs="Arial"/>
                <w:b/>
                <w:sz w:val="16"/>
                <w:szCs w:val="16"/>
                <w:lang w:eastAsia="el-GR"/>
              </w:rPr>
              <w:t>764</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5E9950F8" w14:textId="3AAD983E"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572379">
              <w:rPr>
                <w:rFonts w:ascii="Arial" w:eastAsia="Times New Roman" w:hAnsi="Arial" w:cs="Arial"/>
                <w:b/>
                <w:bCs/>
                <w:sz w:val="16"/>
                <w:szCs w:val="16"/>
                <w:lang w:eastAsia="el-GR"/>
              </w:rPr>
              <w:t>9</w:t>
            </w:r>
            <w:r w:rsidRPr="008626F3">
              <w:rPr>
                <w:rFonts w:ascii="Arial" w:eastAsia="Times New Roman" w:hAnsi="Arial" w:cs="Arial"/>
                <w:b/>
                <w:bCs/>
                <w:sz w:val="16"/>
                <w:szCs w:val="16"/>
                <w:lang w:eastAsia="el-GR"/>
              </w:rPr>
              <w:t>47</w:t>
            </w:r>
          </w:p>
        </w:tc>
        <w:tc>
          <w:tcPr>
            <w:tcW w:w="964"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128203DE" w14:textId="414066FE"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Cs/>
                <w:sz w:val="16"/>
                <w:szCs w:val="16"/>
                <w:highlight w:val="yellow"/>
                <w:lang w:eastAsia="el-GR"/>
              </w:rPr>
            </w:pPr>
            <w:r w:rsidRPr="000971AC">
              <w:rPr>
                <w:rFonts w:ascii="Arial" w:eastAsia="Times New Roman" w:hAnsi="Arial" w:cs="Arial"/>
                <w:sz w:val="16"/>
                <w:szCs w:val="16"/>
                <w:lang w:eastAsia="el-GR"/>
              </w:rPr>
              <w:t>-19%</w:t>
            </w:r>
          </w:p>
        </w:tc>
        <w:tc>
          <w:tcPr>
            <w:tcW w:w="964" w:type="dxa"/>
            <w:tcBorders>
              <w:top w:val="single" w:sz="4" w:space="0" w:color="808080" w:themeColor="background1" w:themeShade="80"/>
              <w:bottom w:val="single" w:sz="4" w:space="0" w:color="808080" w:themeColor="background1" w:themeShade="80"/>
            </w:tcBorders>
            <w:vAlign w:val="center"/>
          </w:tcPr>
          <w:p w14:paraId="20DB04B6" w14:textId="30B64B0E" w:rsidR="0067262E" w:rsidRPr="007246A9"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Cs/>
                <w:sz w:val="16"/>
                <w:szCs w:val="16"/>
                <w:lang w:eastAsia="el-GR"/>
              </w:rPr>
            </w:pPr>
            <w:r w:rsidRPr="000971AC">
              <w:rPr>
                <w:rFonts w:ascii="Arial" w:eastAsia="Times New Roman" w:hAnsi="Arial" w:cs="Arial"/>
                <w:b/>
                <w:bCs/>
                <w:sz w:val="16"/>
                <w:szCs w:val="16"/>
                <w:lang w:eastAsia="el-GR"/>
              </w:rPr>
              <w:t>764</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0D508247" w14:textId="5C6A2B54"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8626F3">
              <w:rPr>
                <w:rFonts w:ascii="Arial" w:eastAsia="Times New Roman" w:hAnsi="Arial" w:cs="Arial"/>
                <w:b/>
                <w:bCs/>
                <w:sz w:val="16"/>
                <w:szCs w:val="16"/>
                <w:lang w:eastAsia="el-GR"/>
              </w:rPr>
              <w:t>790</w:t>
            </w:r>
          </w:p>
        </w:tc>
        <w:tc>
          <w:tcPr>
            <w:tcW w:w="96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A28E32" w14:textId="700D2E26" w:rsidR="0067262E" w:rsidRPr="00D41B36" w:rsidRDefault="0067262E" w:rsidP="0067262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val="en-US" w:eastAsia="el-GR"/>
              </w:rPr>
            </w:pPr>
            <w:r w:rsidRPr="000971AC">
              <w:rPr>
                <w:rFonts w:ascii="Arial" w:eastAsia="Times New Roman" w:hAnsi="Arial" w:cs="Arial"/>
                <w:sz w:val="16"/>
                <w:szCs w:val="16"/>
                <w:lang w:eastAsia="el-GR"/>
              </w:rPr>
              <w:t>-3%</w:t>
            </w:r>
          </w:p>
        </w:tc>
      </w:tr>
    </w:tbl>
    <w:p w14:paraId="5D0598A5" w14:textId="77777777" w:rsidR="005B1FD5" w:rsidRDefault="005B1FD5">
      <w:pPr>
        <w:tabs>
          <w:tab w:val="center" w:pos="4847"/>
        </w:tabs>
        <w:spacing w:after="0" w:line="240" w:lineRule="auto"/>
        <w:rPr>
          <w:rFonts w:ascii="Arial" w:hAnsi="Arial" w:cs="Arial"/>
          <w:color w:val="FF9900"/>
          <w:sz w:val="20"/>
          <w:szCs w:val="20"/>
          <w:highlight w:val="yellow"/>
          <w:lang w:val="en-US"/>
        </w:rPr>
      </w:pPr>
    </w:p>
    <w:p w14:paraId="3F3CF367" w14:textId="77777777" w:rsidR="00541A89" w:rsidRDefault="00541A89">
      <w:pPr>
        <w:tabs>
          <w:tab w:val="center" w:pos="4847"/>
        </w:tabs>
        <w:spacing w:after="0" w:line="240" w:lineRule="auto"/>
        <w:rPr>
          <w:rFonts w:ascii="Arial" w:hAnsi="Arial" w:cs="Arial"/>
          <w:color w:val="FF9900"/>
          <w:sz w:val="20"/>
          <w:szCs w:val="20"/>
          <w:highlight w:val="yellow"/>
          <w:lang w:val="en-US"/>
        </w:rPr>
      </w:pPr>
    </w:p>
    <w:p w14:paraId="176FC871" w14:textId="77777777" w:rsidR="00541A89" w:rsidRDefault="00541A89">
      <w:pPr>
        <w:tabs>
          <w:tab w:val="center" w:pos="4847"/>
        </w:tabs>
        <w:spacing w:after="0" w:line="240" w:lineRule="auto"/>
        <w:rPr>
          <w:rFonts w:ascii="Arial" w:hAnsi="Arial" w:cs="Arial"/>
          <w:color w:val="FF9900"/>
          <w:sz w:val="20"/>
          <w:szCs w:val="20"/>
          <w:highlight w:val="yellow"/>
          <w:lang w:val="en-US"/>
        </w:rPr>
      </w:pPr>
    </w:p>
    <w:p w14:paraId="7FB35657" w14:textId="77777777" w:rsidR="00541A89" w:rsidRDefault="00541A89">
      <w:pPr>
        <w:tabs>
          <w:tab w:val="center" w:pos="4847"/>
        </w:tabs>
        <w:spacing w:after="0" w:line="240" w:lineRule="auto"/>
        <w:rPr>
          <w:rFonts w:ascii="Arial" w:hAnsi="Arial" w:cs="Arial"/>
          <w:color w:val="FF9900"/>
          <w:sz w:val="20"/>
          <w:szCs w:val="20"/>
          <w:highlight w:val="yellow"/>
          <w:lang w:val="en-US"/>
        </w:rPr>
      </w:pPr>
    </w:p>
    <w:p w14:paraId="2723AC6D" w14:textId="77777777" w:rsidR="00541A89" w:rsidRDefault="00541A89">
      <w:pPr>
        <w:tabs>
          <w:tab w:val="center" w:pos="4847"/>
        </w:tabs>
        <w:spacing w:after="0" w:line="240" w:lineRule="auto"/>
        <w:rPr>
          <w:rFonts w:ascii="Arial" w:hAnsi="Arial" w:cs="Arial"/>
          <w:color w:val="FF9900"/>
          <w:sz w:val="20"/>
          <w:szCs w:val="20"/>
          <w:highlight w:val="yellow"/>
          <w:lang w:val="en-US"/>
        </w:rPr>
      </w:pPr>
    </w:p>
    <w:p w14:paraId="2B4E804A" w14:textId="77777777" w:rsidR="00541A89" w:rsidRDefault="00541A89">
      <w:pPr>
        <w:tabs>
          <w:tab w:val="center" w:pos="4847"/>
        </w:tabs>
        <w:spacing w:after="0" w:line="240" w:lineRule="auto"/>
        <w:rPr>
          <w:rFonts w:ascii="Arial" w:hAnsi="Arial" w:cs="Arial"/>
          <w:color w:val="FF9900"/>
          <w:sz w:val="20"/>
          <w:szCs w:val="20"/>
          <w:highlight w:val="yellow"/>
          <w:lang w:val="en-US"/>
        </w:rPr>
      </w:pPr>
    </w:p>
    <w:p w14:paraId="71B7C7C1" w14:textId="77777777" w:rsidR="00541A89" w:rsidRDefault="00541A89">
      <w:pPr>
        <w:tabs>
          <w:tab w:val="center" w:pos="4847"/>
        </w:tabs>
        <w:spacing w:after="0" w:line="240" w:lineRule="auto"/>
        <w:rPr>
          <w:rFonts w:ascii="Arial" w:hAnsi="Arial" w:cs="Arial"/>
          <w:color w:val="FF9900"/>
          <w:sz w:val="20"/>
          <w:szCs w:val="20"/>
          <w:highlight w:val="yellow"/>
          <w:lang w:val="en-US"/>
        </w:rPr>
      </w:pPr>
    </w:p>
    <w:p w14:paraId="1E5920CD" w14:textId="77777777" w:rsidR="00541A89" w:rsidRDefault="00541A89">
      <w:pPr>
        <w:tabs>
          <w:tab w:val="center" w:pos="4847"/>
        </w:tabs>
        <w:spacing w:after="0" w:line="240" w:lineRule="auto"/>
        <w:rPr>
          <w:rFonts w:ascii="Arial" w:hAnsi="Arial" w:cs="Arial"/>
          <w:color w:val="FF9900"/>
          <w:sz w:val="20"/>
          <w:szCs w:val="20"/>
          <w:highlight w:val="yellow"/>
          <w:lang w:val="en-US"/>
        </w:rPr>
      </w:pPr>
    </w:p>
    <w:p w14:paraId="6FAC35D4" w14:textId="77777777" w:rsidR="00541A89" w:rsidRDefault="00541A89">
      <w:pPr>
        <w:tabs>
          <w:tab w:val="center" w:pos="4847"/>
        </w:tabs>
        <w:spacing w:after="0" w:line="240" w:lineRule="auto"/>
        <w:rPr>
          <w:rFonts w:ascii="Arial" w:hAnsi="Arial" w:cs="Arial"/>
          <w:color w:val="FF9900"/>
          <w:sz w:val="20"/>
          <w:szCs w:val="20"/>
          <w:highlight w:val="yellow"/>
          <w:lang w:val="en-US"/>
        </w:rPr>
      </w:pPr>
    </w:p>
    <w:p w14:paraId="7CD63989" w14:textId="77777777" w:rsidR="00541A89" w:rsidRDefault="00541A89">
      <w:pPr>
        <w:tabs>
          <w:tab w:val="center" w:pos="4847"/>
        </w:tabs>
        <w:spacing w:after="0" w:line="240" w:lineRule="auto"/>
        <w:rPr>
          <w:rFonts w:ascii="Arial" w:hAnsi="Arial" w:cs="Arial"/>
          <w:color w:val="FF9900"/>
          <w:sz w:val="20"/>
          <w:szCs w:val="20"/>
          <w:highlight w:val="yellow"/>
          <w:lang w:val="en-US"/>
        </w:rPr>
      </w:pPr>
    </w:p>
    <w:p w14:paraId="25587B45" w14:textId="77777777" w:rsidR="00541A89" w:rsidRDefault="00541A89">
      <w:pPr>
        <w:tabs>
          <w:tab w:val="center" w:pos="4847"/>
        </w:tabs>
        <w:spacing w:after="0" w:line="240" w:lineRule="auto"/>
        <w:rPr>
          <w:rFonts w:ascii="Arial" w:hAnsi="Arial" w:cs="Arial"/>
          <w:color w:val="FF9900"/>
          <w:sz w:val="20"/>
          <w:szCs w:val="20"/>
          <w:highlight w:val="yellow"/>
          <w:lang w:val="en-US"/>
        </w:rPr>
      </w:pPr>
    </w:p>
    <w:p w14:paraId="4B7CD60D" w14:textId="77777777" w:rsidR="00541A89" w:rsidRDefault="00541A89">
      <w:pPr>
        <w:tabs>
          <w:tab w:val="center" w:pos="4847"/>
        </w:tabs>
        <w:spacing w:after="0" w:line="240" w:lineRule="auto"/>
        <w:rPr>
          <w:rFonts w:ascii="Arial" w:hAnsi="Arial" w:cs="Arial"/>
          <w:color w:val="FF9900"/>
          <w:sz w:val="20"/>
          <w:szCs w:val="20"/>
          <w:highlight w:val="yellow"/>
          <w:lang w:val="en-US"/>
        </w:rPr>
      </w:pPr>
    </w:p>
    <w:p w14:paraId="3BB55D82" w14:textId="77777777" w:rsidR="00541A89" w:rsidRDefault="00541A89">
      <w:pPr>
        <w:tabs>
          <w:tab w:val="center" w:pos="4847"/>
        </w:tabs>
        <w:spacing w:after="0" w:line="240" w:lineRule="auto"/>
        <w:rPr>
          <w:rFonts w:ascii="Arial" w:hAnsi="Arial" w:cs="Arial"/>
          <w:color w:val="FF9900"/>
          <w:sz w:val="20"/>
          <w:szCs w:val="20"/>
          <w:highlight w:val="yellow"/>
          <w:lang w:val="en-US"/>
        </w:rPr>
      </w:pPr>
    </w:p>
    <w:p w14:paraId="6E21D0D6" w14:textId="77777777" w:rsidR="00541A89" w:rsidRPr="00541A89" w:rsidRDefault="00541A89">
      <w:pPr>
        <w:tabs>
          <w:tab w:val="center" w:pos="4847"/>
        </w:tabs>
        <w:spacing w:after="0" w:line="240" w:lineRule="auto"/>
        <w:rPr>
          <w:rFonts w:ascii="Arial" w:hAnsi="Arial" w:cs="Arial"/>
          <w:color w:val="FF9900"/>
          <w:sz w:val="20"/>
          <w:szCs w:val="20"/>
          <w:highlight w:val="yellow"/>
          <w:lang w:val="en-US"/>
        </w:rPr>
      </w:pPr>
    </w:p>
    <w:p w14:paraId="10A7CE40" w14:textId="77777777" w:rsidR="00541A89" w:rsidRPr="0033500B" w:rsidRDefault="00541A89" w:rsidP="00541A89">
      <w:pPr>
        <w:rPr>
          <w:rFonts w:ascii="Arial" w:eastAsia="Times New Roman" w:hAnsi="Arial" w:cs="Arial"/>
          <w:sz w:val="18"/>
          <w:szCs w:val="18"/>
          <w:lang w:val="el-GR"/>
        </w:rPr>
      </w:pPr>
      <w:r w:rsidRPr="0033500B">
        <w:rPr>
          <w:rFonts w:ascii="Arial" w:hAnsi="Arial" w:cs="Arial"/>
          <w:b/>
          <w:bCs/>
          <w:color w:val="FF9900"/>
          <w:sz w:val="24"/>
          <w:lang w:val="el-GR"/>
        </w:rPr>
        <w:lastRenderedPageBreak/>
        <w:t xml:space="preserve">Α. Οικονομικά Αποτελέσματα Συγκροτήματος – Υποκείμενη Βάση </w:t>
      </w:r>
      <w:r w:rsidRPr="0033500B">
        <w:rPr>
          <w:rFonts w:ascii="Arial" w:hAnsi="Arial" w:cs="Arial"/>
          <w:color w:val="FF9900"/>
          <w:sz w:val="24"/>
          <w:lang w:val="el-GR"/>
        </w:rPr>
        <w:t>(συνέχεια)</w:t>
      </w:r>
    </w:p>
    <w:p w14:paraId="10A02E11" w14:textId="77777777" w:rsidR="00541A89" w:rsidRPr="007246A9" w:rsidRDefault="00541A89" w:rsidP="00541A89">
      <w:pPr>
        <w:rPr>
          <w:rFonts w:ascii="Arial" w:hAnsi="Arial" w:cs="Arial"/>
          <w:color w:val="FF9900"/>
          <w:sz w:val="23"/>
          <w:szCs w:val="23"/>
          <w:lang w:val="el-GR"/>
        </w:rPr>
      </w:pPr>
      <w:r w:rsidRPr="0033500B">
        <w:rPr>
          <w:rFonts w:ascii="Arial" w:hAnsi="Arial" w:cs="Arial"/>
          <w:b/>
          <w:bCs/>
          <w:color w:val="FF9900"/>
          <w:sz w:val="23"/>
          <w:szCs w:val="23"/>
          <w:lang w:val="el-GR"/>
        </w:rPr>
        <w:t xml:space="preserve">Α.1 Ανάλυση Ισολογισμού </w:t>
      </w:r>
      <w:r w:rsidRPr="0033500B">
        <w:rPr>
          <w:rFonts w:ascii="Arial" w:hAnsi="Arial" w:cs="Arial"/>
          <w:color w:val="FF9900"/>
          <w:sz w:val="23"/>
          <w:szCs w:val="23"/>
          <w:lang w:val="el-GR"/>
        </w:rPr>
        <w:t>(συνέχεια)</w:t>
      </w:r>
    </w:p>
    <w:p w14:paraId="6C13FA38" w14:textId="77777777" w:rsidR="00541A89" w:rsidRPr="007246A9" w:rsidRDefault="00541A89" w:rsidP="00541A89">
      <w:pPr>
        <w:spacing w:after="0" w:line="360" w:lineRule="auto"/>
        <w:jc w:val="both"/>
        <w:rPr>
          <w:rFonts w:ascii="Arial" w:eastAsia="Times New Roman" w:hAnsi="Arial" w:cs="Arial"/>
          <w:b/>
          <w:bCs/>
          <w:color w:val="FF9900"/>
          <w:lang w:val="el-GR" w:eastAsia="el-GR"/>
        </w:rPr>
      </w:pPr>
      <w:r w:rsidRPr="00AB5505">
        <w:rPr>
          <w:rFonts w:ascii="Arial" w:eastAsia="Times New Roman" w:hAnsi="Arial" w:cs="Arial"/>
          <w:b/>
          <w:bCs/>
          <w:color w:val="FF9900"/>
          <w:lang w:val="el-GR" w:eastAsia="el-GR"/>
        </w:rPr>
        <w:t>Α</w:t>
      </w:r>
      <w:r w:rsidRPr="004F1980">
        <w:rPr>
          <w:rFonts w:ascii="Arial" w:eastAsia="Times New Roman" w:hAnsi="Arial" w:cs="Arial"/>
          <w:b/>
          <w:bCs/>
          <w:color w:val="FF9900"/>
          <w:lang w:val="el-GR" w:eastAsia="el-GR"/>
        </w:rPr>
        <w:t xml:space="preserve">.1.8 </w:t>
      </w:r>
      <w:r w:rsidRPr="00AB5505">
        <w:rPr>
          <w:rFonts w:ascii="Arial" w:eastAsia="Times New Roman" w:hAnsi="Arial" w:cs="Arial"/>
          <w:b/>
          <w:bCs/>
          <w:color w:val="FF9900"/>
          <w:lang w:val="el-GR" w:eastAsia="el-GR"/>
        </w:rPr>
        <w:t>Διεύθυνση</w:t>
      </w:r>
      <w:r w:rsidRPr="004F1980">
        <w:rPr>
          <w:rFonts w:ascii="Arial" w:eastAsia="Times New Roman" w:hAnsi="Arial" w:cs="Arial"/>
          <w:b/>
          <w:bCs/>
          <w:color w:val="FF9900"/>
          <w:lang w:val="el-GR" w:eastAsia="el-GR"/>
        </w:rPr>
        <w:t xml:space="preserve"> </w:t>
      </w:r>
      <w:r w:rsidRPr="00AB5505">
        <w:rPr>
          <w:rFonts w:ascii="Arial" w:eastAsia="Times New Roman" w:hAnsi="Arial" w:cs="Arial"/>
          <w:b/>
          <w:bCs/>
          <w:color w:val="FF9900"/>
          <w:lang w:val="el-GR" w:eastAsia="el-GR"/>
        </w:rPr>
        <w:t>Διαχείρισης</w:t>
      </w:r>
      <w:r w:rsidRPr="004F1980">
        <w:rPr>
          <w:rFonts w:ascii="Arial" w:eastAsia="Times New Roman" w:hAnsi="Arial" w:cs="Arial"/>
          <w:b/>
          <w:bCs/>
          <w:color w:val="FF9900"/>
          <w:lang w:val="el-GR" w:eastAsia="el-GR"/>
        </w:rPr>
        <w:t xml:space="preserve"> </w:t>
      </w:r>
      <w:r w:rsidRPr="00AB5505">
        <w:rPr>
          <w:rFonts w:ascii="Arial" w:eastAsia="Times New Roman" w:hAnsi="Arial" w:cs="Arial"/>
          <w:b/>
          <w:bCs/>
          <w:color w:val="FF9900"/>
          <w:lang w:val="el-GR" w:eastAsia="el-GR"/>
        </w:rPr>
        <w:t>Ακινήτων</w:t>
      </w:r>
      <w:r w:rsidRPr="004F1980">
        <w:rPr>
          <w:rFonts w:ascii="Arial" w:eastAsia="Times New Roman" w:hAnsi="Arial" w:cs="Arial"/>
          <w:b/>
          <w:bCs/>
          <w:color w:val="FF9900"/>
          <w:lang w:val="el-GR" w:eastAsia="el-GR"/>
        </w:rPr>
        <w:t xml:space="preserve"> (</w:t>
      </w:r>
      <w:r w:rsidRPr="00AB5505">
        <w:rPr>
          <w:rFonts w:ascii="Arial" w:eastAsia="Times New Roman" w:hAnsi="Arial" w:cs="Arial"/>
          <w:b/>
          <w:bCs/>
          <w:color w:val="FF9900"/>
          <w:lang w:eastAsia="el-GR"/>
        </w:rPr>
        <w:t>Real</w:t>
      </w:r>
      <w:r w:rsidRPr="004F1980">
        <w:rPr>
          <w:rFonts w:ascii="Arial" w:eastAsia="Times New Roman" w:hAnsi="Arial" w:cs="Arial"/>
          <w:b/>
          <w:bCs/>
          <w:color w:val="FF9900"/>
          <w:lang w:val="el-GR" w:eastAsia="el-GR"/>
        </w:rPr>
        <w:t xml:space="preserve"> </w:t>
      </w:r>
      <w:r w:rsidRPr="00AB5505">
        <w:rPr>
          <w:rFonts w:ascii="Arial" w:eastAsia="Times New Roman" w:hAnsi="Arial" w:cs="Arial"/>
          <w:b/>
          <w:bCs/>
          <w:color w:val="FF9900"/>
          <w:lang w:eastAsia="el-GR"/>
        </w:rPr>
        <w:t>Estate</w:t>
      </w:r>
      <w:r w:rsidRPr="004F1980">
        <w:rPr>
          <w:rFonts w:ascii="Arial" w:eastAsia="Times New Roman" w:hAnsi="Arial" w:cs="Arial"/>
          <w:b/>
          <w:bCs/>
          <w:color w:val="FF9900"/>
          <w:lang w:val="el-GR" w:eastAsia="el-GR"/>
        </w:rPr>
        <w:t xml:space="preserve"> </w:t>
      </w:r>
      <w:r w:rsidRPr="00AB5505">
        <w:rPr>
          <w:rFonts w:ascii="Arial" w:eastAsia="Times New Roman" w:hAnsi="Arial" w:cs="Arial"/>
          <w:b/>
          <w:bCs/>
          <w:color w:val="FF9900"/>
          <w:lang w:eastAsia="el-GR"/>
        </w:rPr>
        <w:t>Management</w:t>
      </w:r>
      <w:r w:rsidRPr="004F1980">
        <w:rPr>
          <w:rFonts w:ascii="Arial" w:eastAsia="Times New Roman" w:hAnsi="Arial" w:cs="Arial"/>
          <w:b/>
          <w:bCs/>
          <w:color w:val="FF9900"/>
          <w:lang w:val="el-GR" w:eastAsia="el-GR"/>
        </w:rPr>
        <w:t xml:space="preserve"> </w:t>
      </w:r>
      <w:r w:rsidRPr="00AB5505">
        <w:rPr>
          <w:rFonts w:ascii="Arial" w:eastAsia="Times New Roman" w:hAnsi="Arial" w:cs="Arial"/>
          <w:b/>
          <w:bCs/>
          <w:color w:val="FF9900"/>
          <w:lang w:eastAsia="el-GR"/>
        </w:rPr>
        <w:t>Unit</w:t>
      </w:r>
      <w:r w:rsidRPr="004F1980">
        <w:rPr>
          <w:rFonts w:ascii="Arial" w:eastAsia="Times New Roman" w:hAnsi="Arial" w:cs="Arial"/>
          <w:b/>
          <w:bCs/>
          <w:color w:val="FF9900"/>
          <w:lang w:val="el-GR" w:eastAsia="el-GR"/>
        </w:rPr>
        <w:t xml:space="preserve">, </w:t>
      </w:r>
      <w:r w:rsidRPr="00AB5505">
        <w:rPr>
          <w:rFonts w:ascii="Arial" w:eastAsia="Times New Roman" w:hAnsi="Arial" w:cs="Arial"/>
          <w:b/>
          <w:bCs/>
          <w:color w:val="FF9900"/>
          <w:lang w:eastAsia="el-GR"/>
        </w:rPr>
        <w:t>REMU</w:t>
      </w:r>
      <w:r w:rsidRPr="004F1980">
        <w:rPr>
          <w:rFonts w:ascii="Arial" w:eastAsia="Times New Roman" w:hAnsi="Arial" w:cs="Arial"/>
          <w:b/>
          <w:bCs/>
          <w:color w:val="FF9900"/>
          <w:lang w:val="el-GR" w:eastAsia="el-GR"/>
        </w:rPr>
        <w:t>)</w:t>
      </w:r>
      <w:r w:rsidRPr="007246A9">
        <w:rPr>
          <w:rFonts w:ascii="Arial" w:eastAsia="Times New Roman" w:hAnsi="Arial" w:cs="Arial"/>
          <w:b/>
          <w:bCs/>
          <w:color w:val="FF9900"/>
          <w:lang w:val="el-GR" w:eastAsia="el-GR"/>
        </w:rPr>
        <w:t xml:space="preserve"> </w:t>
      </w:r>
      <w:r w:rsidRPr="007246A9">
        <w:rPr>
          <w:rFonts w:ascii="Arial" w:hAnsi="Arial" w:cs="Arial"/>
          <w:color w:val="FF9900"/>
          <w:lang w:val="el-GR"/>
        </w:rPr>
        <w:t>(συνέχεια)</w:t>
      </w:r>
    </w:p>
    <w:p w14:paraId="55105C71" w14:textId="66E13FA5" w:rsidR="00C22B8E" w:rsidRPr="00D41B36" w:rsidRDefault="00C22B8E" w:rsidP="00B043BD">
      <w:pPr>
        <w:tabs>
          <w:tab w:val="center" w:pos="4847"/>
        </w:tabs>
        <w:spacing w:after="0" w:line="240" w:lineRule="auto"/>
        <w:rPr>
          <w:rFonts w:ascii="Arial" w:hAnsi="Arial" w:cs="Arial"/>
          <w:color w:val="FF9900"/>
          <w:sz w:val="20"/>
          <w:szCs w:val="20"/>
          <w:highlight w:val="yellow"/>
          <w:lang w:val="el-GR"/>
        </w:rPr>
      </w:pPr>
    </w:p>
    <w:tbl>
      <w:tblPr>
        <w:tblW w:w="105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16"/>
        <w:gridCol w:w="1830"/>
        <w:gridCol w:w="1830"/>
        <w:gridCol w:w="1830"/>
      </w:tblGrid>
      <w:tr w:rsidR="000C7701" w:rsidRPr="00D41B36" w14:paraId="6315B394" w14:textId="77777777" w:rsidTr="00CB38F0">
        <w:trPr>
          <w:trHeight w:val="292"/>
          <w:jc w:val="center"/>
        </w:trPr>
        <w:tc>
          <w:tcPr>
            <w:tcW w:w="5016" w:type="dxa"/>
            <w:tcBorders>
              <w:top w:val="single" w:sz="4" w:space="0" w:color="808080" w:themeColor="background1" w:themeShade="80"/>
              <w:left w:val="single" w:sz="4" w:space="0" w:color="808080" w:themeColor="background1" w:themeShade="80"/>
              <w:bottom w:val="nil"/>
            </w:tcBorders>
            <w:vAlign w:val="center"/>
          </w:tcPr>
          <w:p w14:paraId="10E9CB2A" w14:textId="083385A6" w:rsidR="000C7701" w:rsidRPr="007246A9" w:rsidRDefault="000C7701" w:rsidP="00A21CB9">
            <w:pPr>
              <w:spacing w:before="40" w:after="40" w:line="240" w:lineRule="auto"/>
              <w:rPr>
                <w:rFonts w:ascii="Arial" w:eastAsia="Batang" w:hAnsi="Arial" w:cs="Arial"/>
                <w:b/>
                <w:sz w:val="16"/>
                <w:szCs w:val="18"/>
                <w:lang w:val="el-GR" w:eastAsia="en-US"/>
              </w:rPr>
            </w:pPr>
            <w:r w:rsidRPr="007246A9">
              <w:rPr>
                <w:rFonts w:ascii="Arial" w:hAnsi="Arial" w:cs="Arial"/>
                <w:b/>
                <w:bCs/>
                <w:color w:val="FF9900"/>
                <w:sz w:val="24"/>
                <w:szCs w:val="24"/>
                <w:lang w:val="el-GR"/>
              </w:rPr>
              <w:br w:type="page"/>
            </w:r>
            <w:r w:rsidRPr="007246A9">
              <w:rPr>
                <w:rFonts w:ascii="Arial" w:eastAsia="Batang" w:hAnsi="Arial" w:cs="Arial"/>
                <w:b/>
                <w:sz w:val="16"/>
                <w:szCs w:val="16"/>
                <w:lang w:val="el-GR" w:eastAsia="en-US"/>
              </w:rPr>
              <w:t>Ανάλυση ανά είδος και χώρα</w:t>
            </w:r>
            <w:r w:rsidR="00655FE1" w:rsidRPr="007246A9">
              <w:rPr>
                <w:rFonts w:ascii="Arial" w:eastAsia="Batang" w:hAnsi="Arial" w:cs="Arial"/>
                <w:b/>
                <w:sz w:val="16"/>
                <w:szCs w:val="16"/>
                <w:lang w:val="el-GR" w:eastAsia="en-US"/>
              </w:rPr>
              <w:t xml:space="preserve"> των ανακτηθέντων ακινήτων</w:t>
            </w:r>
          </w:p>
        </w:tc>
        <w:tc>
          <w:tcPr>
            <w:tcW w:w="1830" w:type="dxa"/>
            <w:tcBorders>
              <w:top w:val="single" w:sz="4" w:space="0" w:color="808080" w:themeColor="background1" w:themeShade="80"/>
              <w:bottom w:val="nil"/>
            </w:tcBorders>
            <w:shd w:val="clear" w:color="auto" w:fill="FFFFFF"/>
            <w:vAlign w:val="center"/>
          </w:tcPr>
          <w:p w14:paraId="7423BA5C" w14:textId="77777777" w:rsidR="000C7701" w:rsidRPr="007246A9" w:rsidRDefault="000C7701" w:rsidP="00A21CB9">
            <w:pPr>
              <w:tabs>
                <w:tab w:val="left" w:pos="1584"/>
              </w:tabs>
              <w:spacing w:before="40" w:after="40" w:line="240" w:lineRule="auto"/>
              <w:ind w:right="-61"/>
              <w:jc w:val="right"/>
              <w:rPr>
                <w:rFonts w:ascii="Arial" w:eastAsia="Batang" w:hAnsi="Arial" w:cs="Arial"/>
                <w:b/>
                <w:bCs/>
                <w:sz w:val="16"/>
                <w:szCs w:val="18"/>
                <w:lang w:val="el-GR" w:eastAsia="en-US"/>
              </w:rPr>
            </w:pPr>
            <w:r w:rsidRPr="007246A9">
              <w:rPr>
                <w:rFonts w:ascii="Arial" w:eastAsia="Batang" w:hAnsi="Arial" w:cs="Arial"/>
                <w:b/>
                <w:bCs/>
                <w:sz w:val="16"/>
                <w:szCs w:val="18"/>
                <w:lang w:val="el-GR" w:eastAsia="en-US"/>
              </w:rPr>
              <w:t>Κύπρος</w:t>
            </w:r>
          </w:p>
        </w:tc>
        <w:tc>
          <w:tcPr>
            <w:tcW w:w="1830" w:type="dxa"/>
            <w:tcBorders>
              <w:top w:val="single" w:sz="4" w:space="0" w:color="808080" w:themeColor="background1" w:themeShade="80"/>
              <w:bottom w:val="nil"/>
            </w:tcBorders>
            <w:shd w:val="clear" w:color="auto" w:fill="FFFFFF"/>
            <w:vAlign w:val="center"/>
          </w:tcPr>
          <w:p w14:paraId="19B163CB" w14:textId="77777777" w:rsidR="000C7701" w:rsidRPr="007246A9" w:rsidRDefault="000C7701" w:rsidP="00A21CB9">
            <w:pPr>
              <w:tabs>
                <w:tab w:val="left" w:pos="1584"/>
              </w:tabs>
              <w:spacing w:before="40" w:after="40" w:line="240" w:lineRule="auto"/>
              <w:ind w:right="-61"/>
              <w:jc w:val="right"/>
              <w:rPr>
                <w:rFonts w:ascii="Arial" w:eastAsia="Batang" w:hAnsi="Arial" w:cs="Arial"/>
                <w:b/>
                <w:bCs/>
                <w:sz w:val="16"/>
                <w:szCs w:val="18"/>
                <w:lang w:val="el-GR" w:eastAsia="en-US"/>
              </w:rPr>
            </w:pPr>
            <w:r w:rsidRPr="007246A9">
              <w:rPr>
                <w:rFonts w:ascii="Arial" w:eastAsia="Batang" w:hAnsi="Arial" w:cs="Arial"/>
                <w:b/>
                <w:bCs/>
                <w:sz w:val="16"/>
                <w:szCs w:val="18"/>
                <w:lang w:val="el-GR" w:eastAsia="en-US"/>
              </w:rPr>
              <w:t>Ελλάδα</w:t>
            </w:r>
          </w:p>
        </w:tc>
        <w:tc>
          <w:tcPr>
            <w:tcW w:w="1830" w:type="dxa"/>
            <w:tcBorders>
              <w:top w:val="single" w:sz="4" w:space="0" w:color="808080" w:themeColor="background1" w:themeShade="80"/>
              <w:bottom w:val="nil"/>
              <w:right w:val="single" w:sz="4" w:space="0" w:color="808080" w:themeColor="background1" w:themeShade="80"/>
            </w:tcBorders>
            <w:shd w:val="clear" w:color="auto" w:fill="FFFFFF"/>
            <w:vAlign w:val="center"/>
          </w:tcPr>
          <w:p w14:paraId="454E2CB3" w14:textId="77777777" w:rsidR="000C7701" w:rsidRPr="007246A9" w:rsidRDefault="000C7701" w:rsidP="00A21CB9">
            <w:pPr>
              <w:tabs>
                <w:tab w:val="left" w:pos="1584"/>
              </w:tabs>
              <w:spacing w:before="40" w:after="40" w:line="240" w:lineRule="auto"/>
              <w:ind w:right="-61"/>
              <w:jc w:val="right"/>
              <w:rPr>
                <w:rFonts w:ascii="Arial" w:eastAsia="Batang" w:hAnsi="Arial" w:cs="Arial"/>
                <w:b/>
                <w:sz w:val="16"/>
                <w:szCs w:val="18"/>
                <w:lang w:val="el-GR" w:eastAsia="en-US"/>
              </w:rPr>
            </w:pPr>
            <w:r w:rsidRPr="007246A9">
              <w:rPr>
                <w:rFonts w:ascii="Arial" w:eastAsia="Batang" w:hAnsi="Arial" w:cs="Arial"/>
                <w:b/>
                <w:sz w:val="16"/>
                <w:szCs w:val="18"/>
                <w:lang w:val="el-GR" w:eastAsia="en-US"/>
              </w:rPr>
              <w:t>Σύνολο</w:t>
            </w:r>
          </w:p>
        </w:tc>
      </w:tr>
      <w:tr w:rsidR="000C7701" w:rsidRPr="00D41B36" w14:paraId="166FB227" w14:textId="77777777" w:rsidTr="00CB38F0">
        <w:trPr>
          <w:trHeight w:val="292"/>
          <w:jc w:val="center"/>
        </w:trPr>
        <w:tc>
          <w:tcPr>
            <w:tcW w:w="5016" w:type="dxa"/>
            <w:tcBorders>
              <w:top w:val="nil"/>
              <w:left w:val="single" w:sz="4" w:space="0" w:color="808080" w:themeColor="background1" w:themeShade="80"/>
              <w:bottom w:val="single" w:sz="4" w:space="0" w:color="808080" w:themeColor="background1" w:themeShade="80"/>
            </w:tcBorders>
            <w:vAlign w:val="center"/>
          </w:tcPr>
          <w:p w14:paraId="52972BD3" w14:textId="62B1CCBF" w:rsidR="000C7701" w:rsidRPr="007246A9" w:rsidRDefault="007C3129" w:rsidP="00A21CB9">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b/>
                <w:sz w:val="16"/>
                <w:szCs w:val="18"/>
                <w:lang w:eastAsia="en-US"/>
              </w:rPr>
            </w:pPr>
            <w:r w:rsidRPr="007246A9">
              <w:rPr>
                <w:rFonts w:ascii="Arial" w:eastAsia="Batang" w:hAnsi="Arial" w:cs="Arial"/>
                <w:b/>
                <w:sz w:val="16"/>
                <w:szCs w:val="16"/>
                <w:lang w:val="el-GR" w:eastAsia="en-US"/>
              </w:rPr>
              <w:t>30</w:t>
            </w:r>
            <w:r w:rsidR="009B46B6" w:rsidRPr="007246A9">
              <w:rPr>
                <w:rFonts w:ascii="Arial" w:eastAsia="Batang" w:hAnsi="Arial" w:cs="Arial"/>
                <w:b/>
                <w:sz w:val="16"/>
                <w:szCs w:val="16"/>
                <w:lang w:val="en-US" w:eastAsia="en-US"/>
              </w:rPr>
              <w:t xml:space="preserve"> </w:t>
            </w:r>
            <w:r w:rsidR="009B46B6" w:rsidRPr="007246A9">
              <w:rPr>
                <w:rFonts w:ascii="Arial" w:eastAsia="Batang" w:hAnsi="Arial" w:cs="Arial"/>
                <w:b/>
                <w:sz w:val="16"/>
                <w:szCs w:val="16"/>
                <w:lang w:val="el-GR" w:eastAsia="en-US"/>
              </w:rPr>
              <w:t xml:space="preserve">Σεπτεμβρίου </w:t>
            </w:r>
            <w:r w:rsidR="007F1E2E" w:rsidRPr="007246A9">
              <w:rPr>
                <w:rFonts w:ascii="Arial" w:eastAsia="Batang" w:hAnsi="Arial" w:cs="Arial"/>
                <w:b/>
                <w:sz w:val="16"/>
                <w:szCs w:val="16"/>
                <w:lang w:val="el-GR" w:eastAsia="en-US"/>
              </w:rPr>
              <w:t xml:space="preserve">2024 </w:t>
            </w:r>
            <w:r w:rsidR="000C7701" w:rsidRPr="007246A9">
              <w:rPr>
                <w:rFonts w:ascii="Arial" w:eastAsia="Batang" w:hAnsi="Arial" w:cs="Arial"/>
                <w:b/>
                <w:sz w:val="16"/>
                <w:szCs w:val="16"/>
                <w:lang w:val="el-GR" w:eastAsia="en-US"/>
              </w:rPr>
              <w:t>(€ εκατ.)</w:t>
            </w:r>
          </w:p>
        </w:tc>
        <w:tc>
          <w:tcPr>
            <w:tcW w:w="1830" w:type="dxa"/>
            <w:tcBorders>
              <w:top w:val="nil"/>
              <w:bottom w:val="single" w:sz="4" w:space="0" w:color="808080" w:themeColor="background1" w:themeShade="80"/>
            </w:tcBorders>
            <w:vAlign w:val="center"/>
          </w:tcPr>
          <w:p w14:paraId="0C792F8C" w14:textId="77777777" w:rsidR="000C7701" w:rsidRPr="00D41B36" w:rsidRDefault="000C7701" w:rsidP="00A21CB9">
            <w:pPr>
              <w:spacing w:before="40" w:after="40" w:line="240" w:lineRule="auto"/>
              <w:jc w:val="right"/>
              <w:rPr>
                <w:rFonts w:ascii="Arial" w:eastAsia="Batang" w:hAnsi="Arial" w:cs="Arial"/>
                <w:b/>
                <w:sz w:val="16"/>
                <w:szCs w:val="18"/>
                <w:highlight w:val="yellow"/>
                <w:lang w:eastAsia="en-US"/>
              </w:rPr>
            </w:pPr>
          </w:p>
        </w:tc>
        <w:tc>
          <w:tcPr>
            <w:tcW w:w="1830" w:type="dxa"/>
            <w:tcBorders>
              <w:top w:val="nil"/>
              <w:bottom w:val="single" w:sz="4" w:space="0" w:color="808080" w:themeColor="background1" w:themeShade="80"/>
            </w:tcBorders>
            <w:vAlign w:val="center"/>
          </w:tcPr>
          <w:p w14:paraId="2021C4EF" w14:textId="77777777" w:rsidR="000C7701" w:rsidRPr="00D41B36" w:rsidRDefault="000C7701" w:rsidP="00A21CB9">
            <w:pPr>
              <w:spacing w:before="40" w:after="40" w:line="240" w:lineRule="auto"/>
              <w:jc w:val="right"/>
              <w:rPr>
                <w:rFonts w:ascii="Arial" w:eastAsia="Batang" w:hAnsi="Arial" w:cs="Arial"/>
                <w:b/>
                <w:sz w:val="16"/>
                <w:szCs w:val="18"/>
                <w:highlight w:val="yellow"/>
                <w:lang w:eastAsia="en-US"/>
              </w:rPr>
            </w:pPr>
          </w:p>
        </w:tc>
        <w:tc>
          <w:tcPr>
            <w:tcW w:w="1830" w:type="dxa"/>
            <w:tcBorders>
              <w:top w:val="nil"/>
              <w:bottom w:val="single" w:sz="4" w:space="0" w:color="808080" w:themeColor="background1" w:themeShade="80"/>
              <w:right w:val="single" w:sz="4" w:space="0" w:color="808080" w:themeColor="background1" w:themeShade="80"/>
            </w:tcBorders>
            <w:shd w:val="clear" w:color="auto" w:fill="auto"/>
            <w:vAlign w:val="center"/>
          </w:tcPr>
          <w:p w14:paraId="4A8CCBB5" w14:textId="77777777" w:rsidR="000C7701" w:rsidRPr="00D41B36" w:rsidRDefault="000C7701" w:rsidP="00A21CB9">
            <w:pPr>
              <w:spacing w:before="40" w:after="40" w:line="240" w:lineRule="auto"/>
              <w:jc w:val="right"/>
              <w:rPr>
                <w:rFonts w:ascii="Arial" w:eastAsia="Batang" w:hAnsi="Arial" w:cs="Arial"/>
                <w:sz w:val="16"/>
                <w:szCs w:val="18"/>
                <w:highlight w:val="yellow"/>
                <w:lang w:eastAsia="en-US"/>
              </w:rPr>
            </w:pPr>
          </w:p>
        </w:tc>
      </w:tr>
      <w:tr w:rsidR="0067262E" w:rsidRPr="00D41B36" w14:paraId="6B4EFFC4" w14:textId="77777777" w:rsidTr="00CB38F0">
        <w:trPr>
          <w:trHeight w:val="292"/>
          <w:jc w:val="center"/>
        </w:trPr>
        <w:tc>
          <w:tcPr>
            <w:tcW w:w="5016" w:type="dxa"/>
            <w:tcBorders>
              <w:top w:val="single" w:sz="4" w:space="0" w:color="808080" w:themeColor="background1" w:themeShade="80"/>
              <w:left w:val="single" w:sz="4" w:space="0" w:color="808080" w:themeColor="background1" w:themeShade="80"/>
            </w:tcBorders>
            <w:vAlign w:val="center"/>
          </w:tcPr>
          <w:p w14:paraId="56123C03" w14:textId="77777777" w:rsidR="0067262E" w:rsidRPr="007246A9" w:rsidRDefault="0067262E" w:rsidP="0067262E">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eastAsia="en-US"/>
              </w:rPr>
            </w:pPr>
            <w:r w:rsidRPr="007246A9">
              <w:rPr>
                <w:rFonts w:ascii="Arial" w:hAnsi="Arial" w:cs="Arial"/>
                <w:sz w:val="16"/>
                <w:szCs w:val="16"/>
                <w:lang w:val="el-GR"/>
              </w:rPr>
              <w:t>Οικιστικά</w:t>
            </w:r>
          </w:p>
        </w:tc>
        <w:tc>
          <w:tcPr>
            <w:tcW w:w="1830" w:type="dxa"/>
            <w:tcBorders>
              <w:top w:val="single" w:sz="4" w:space="0" w:color="808080" w:themeColor="background1" w:themeShade="80"/>
            </w:tcBorders>
            <w:vAlign w:val="center"/>
          </w:tcPr>
          <w:p w14:paraId="149521A0" w14:textId="44B05294" w:rsidR="0067262E" w:rsidRPr="00D41B36" w:rsidRDefault="0067262E" w:rsidP="0067262E">
            <w:pPr>
              <w:spacing w:before="40" w:after="40" w:line="240" w:lineRule="auto"/>
              <w:jc w:val="right"/>
              <w:rPr>
                <w:rFonts w:ascii="Arial" w:eastAsia="Batang" w:hAnsi="Arial" w:cs="Arial"/>
                <w:b/>
                <w:sz w:val="16"/>
                <w:szCs w:val="18"/>
                <w:highlight w:val="yellow"/>
                <w:lang w:eastAsia="en-US"/>
              </w:rPr>
            </w:pPr>
            <w:r w:rsidRPr="00583C56">
              <w:rPr>
                <w:rFonts w:ascii="Arial" w:eastAsia="Batang" w:hAnsi="Arial" w:cs="Arial"/>
                <w:b/>
                <w:sz w:val="16"/>
                <w:szCs w:val="18"/>
                <w:lang w:eastAsia="en-US"/>
              </w:rPr>
              <w:t>48</w:t>
            </w:r>
          </w:p>
        </w:tc>
        <w:tc>
          <w:tcPr>
            <w:tcW w:w="1830" w:type="dxa"/>
            <w:tcBorders>
              <w:top w:val="single" w:sz="4" w:space="0" w:color="808080" w:themeColor="background1" w:themeShade="80"/>
            </w:tcBorders>
            <w:vAlign w:val="center"/>
          </w:tcPr>
          <w:p w14:paraId="3837A522" w14:textId="3B5CCB76" w:rsidR="0067262E" w:rsidRPr="00D41B36" w:rsidRDefault="0067262E" w:rsidP="0067262E">
            <w:pPr>
              <w:spacing w:before="40" w:after="40" w:line="240" w:lineRule="auto"/>
              <w:jc w:val="right"/>
              <w:rPr>
                <w:rFonts w:ascii="Arial" w:eastAsia="Batang" w:hAnsi="Arial" w:cs="Arial"/>
                <w:b/>
                <w:sz w:val="16"/>
                <w:szCs w:val="18"/>
                <w:highlight w:val="yellow"/>
                <w:lang w:eastAsia="en-US"/>
              </w:rPr>
            </w:pPr>
            <w:r w:rsidRPr="00583C56">
              <w:rPr>
                <w:rFonts w:ascii="Arial" w:eastAsia="Batang" w:hAnsi="Arial" w:cs="Arial"/>
                <w:b/>
                <w:sz w:val="16"/>
                <w:szCs w:val="18"/>
                <w:lang w:eastAsia="en-US"/>
              </w:rPr>
              <w:t>7</w:t>
            </w:r>
          </w:p>
        </w:tc>
        <w:tc>
          <w:tcPr>
            <w:tcW w:w="1830" w:type="dxa"/>
            <w:tcBorders>
              <w:top w:val="single" w:sz="4" w:space="0" w:color="808080" w:themeColor="background1" w:themeShade="80"/>
              <w:right w:val="single" w:sz="4" w:space="0" w:color="808080" w:themeColor="background1" w:themeShade="80"/>
            </w:tcBorders>
            <w:shd w:val="clear" w:color="auto" w:fill="auto"/>
            <w:vAlign w:val="center"/>
          </w:tcPr>
          <w:p w14:paraId="49C6D10F" w14:textId="71F64395" w:rsidR="0067262E" w:rsidRPr="00D41B36" w:rsidRDefault="0067262E" w:rsidP="0067262E">
            <w:pPr>
              <w:spacing w:before="40" w:after="40" w:line="240" w:lineRule="auto"/>
              <w:jc w:val="right"/>
              <w:rPr>
                <w:rFonts w:ascii="Arial" w:eastAsia="Batang" w:hAnsi="Arial" w:cs="Arial"/>
                <w:b/>
                <w:sz w:val="16"/>
                <w:szCs w:val="18"/>
                <w:highlight w:val="yellow"/>
                <w:lang w:eastAsia="en-US"/>
              </w:rPr>
            </w:pPr>
            <w:r w:rsidRPr="00583C56">
              <w:rPr>
                <w:rFonts w:ascii="Arial" w:eastAsia="Batang" w:hAnsi="Arial" w:cs="Arial"/>
                <w:b/>
                <w:sz w:val="16"/>
                <w:szCs w:val="18"/>
                <w:lang w:eastAsia="en-US"/>
              </w:rPr>
              <w:t>55</w:t>
            </w:r>
          </w:p>
        </w:tc>
      </w:tr>
      <w:tr w:rsidR="0067262E" w:rsidRPr="00D41B36" w14:paraId="36FAB2DB" w14:textId="77777777" w:rsidTr="00CB38F0">
        <w:trPr>
          <w:trHeight w:val="292"/>
          <w:jc w:val="center"/>
        </w:trPr>
        <w:tc>
          <w:tcPr>
            <w:tcW w:w="5016" w:type="dxa"/>
            <w:tcBorders>
              <w:left w:val="single" w:sz="4" w:space="0" w:color="808080" w:themeColor="background1" w:themeShade="80"/>
            </w:tcBorders>
            <w:vAlign w:val="center"/>
          </w:tcPr>
          <w:p w14:paraId="50B701CE" w14:textId="77777777" w:rsidR="0067262E" w:rsidRPr="007246A9" w:rsidRDefault="0067262E" w:rsidP="0067262E">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val="el-GR" w:eastAsia="en-US"/>
              </w:rPr>
            </w:pPr>
            <w:r w:rsidRPr="007246A9">
              <w:rPr>
                <w:rFonts w:ascii="Arial" w:hAnsi="Arial" w:cs="Arial"/>
                <w:sz w:val="16"/>
                <w:szCs w:val="16"/>
                <w:lang w:val="el-GR"/>
              </w:rPr>
              <w:t>Γραφεία και άλλα εμπορικά ακίνητα</w:t>
            </w:r>
          </w:p>
        </w:tc>
        <w:tc>
          <w:tcPr>
            <w:tcW w:w="1830" w:type="dxa"/>
            <w:vAlign w:val="center"/>
          </w:tcPr>
          <w:p w14:paraId="17CD2291" w14:textId="0F8BA38B" w:rsidR="0067262E" w:rsidRPr="00D41B36" w:rsidRDefault="0067262E" w:rsidP="0067262E">
            <w:pPr>
              <w:spacing w:before="40" w:after="40" w:line="240" w:lineRule="auto"/>
              <w:jc w:val="right"/>
              <w:rPr>
                <w:rFonts w:ascii="Arial" w:eastAsia="Batang" w:hAnsi="Arial" w:cs="Arial"/>
                <w:b/>
                <w:sz w:val="16"/>
                <w:szCs w:val="18"/>
                <w:highlight w:val="yellow"/>
                <w:lang w:val="el-GR" w:eastAsia="en-US"/>
              </w:rPr>
            </w:pPr>
            <w:r w:rsidRPr="00583C56">
              <w:rPr>
                <w:rFonts w:ascii="Arial" w:eastAsia="Batang" w:hAnsi="Arial" w:cs="Arial"/>
                <w:b/>
                <w:sz w:val="16"/>
                <w:szCs w:val="18"/>
                <w:lang w:eastAsia="en-US"/>
              </w:rPr>
              <w:t>114</w:t>
            </w:r>
          </w:p>
        </w:tc>
        <w:tc>
          <w:tcPr>
            <w:tcW w:w="1830" w:type="dxa"/>
            <w:vAlign w:val="center"/>
          </w:tcPr>
          <w:p w14:paraId="33B3C947" w14:textId="7B0DBB13" w:rsidR="0067262E" w:rsidRPr="00D41B36" w:rsidRDefault="0067262E" w:rsidP="0067262E">
            <w:pPr>
              <w:spacing w:before="40" w:after="40" w:line="240" w:lineRule="auto"/>
              <w:jc w:val="right"/>
              <w:rPr>
                <w:rFonts w:ascii="Arial" w:eastAsia="Batang" w:hAnsi="Arial" w:cs="Arial"/>
                <w:b/>
                <w:sz w:val="16"/>
                <w:szCs w:val="18"/>
                <w:highlight w:val="yellow"/>
                <w:lang w:val="el-GR" w:eastAsia="en-US"/>
              </w:rPr>
            </w:pPr>
            <w:r>
              <w:rPr>
                <w:rFonts w:ascii="Arial" w:eastAsia="Batang" w:hAnsi="Arial" w:cs="Arial"/>
                <w:b/>
                <w:sz w:val="16"/>
                <w:szCs w:val="18"/>
                <w:lang w:eastAsia="en-US"/>
              </w:rPr>
              <w:t>10</w:t>
            </w:r>
          </w:p>
        </w:tc>
        <w:tc>
          <w:tcPr>
            <w:tcW w:w="1830" w:type="dxa"/>
            <w:tcBorders>
              <w:right w:val="single" w:sz="4" w:space="0" w:color="808080" w:themeColor="background1" w:themeShade="80"/>
            </w:tcBorders>
            <w:shd w:val="clear" w:color="auto" w:fill="auto"/>
            <w:vAlign w:val="center"/>
          </w:tcPr>
          <w:p w14:paraId="133D6FE7" w14:textId="58CEAEDA" w:rsidR="0067262E" w:rsidRPr="00D41B36" w:rsidRDefault="0067262E" w:rsidP="0067262E">
            <w:pPr>
              <w:spacing w:before="40" w:after="40" w:line="240" w:lineRule="auto"/>
              <w:jc w:val="right"/>
              <w:rPr>
                <w:rFonts w:ascii="Arial" w:eastAsia="Batang" w:hAnsi="Arial" w:cs="Arial"/>
                <w:b/>
                <w:sz w:val="16"/>
                <w:szCs w:val="18"/>
                <w:highlight w:val="yellow"/>
                <w:lang w:val="el-GR" w:eastAsia="en-US"/>
              </w:rPr>
            </w:pPr>
            <w:r w:rsidRPr="00583C56">
              <w:rPr>
                <w:rFonts w:ascii="Arial" w:eastAsia="Batang" w:hAnsi="Arial" w:cs="Arial"/>
                <w:b/>
                <w:sz w:val="16"/>
                <w:szCs w:val="18"/>
                <w:lang w:eastAsia="en-US"/>
              </w:rPr>
              <w:t>124</w:t>
            </w:r>
          </w:p>
        </w:tc>
      </w:tr>
      <w:tr w:rsidR="0067262E" w:rsidRPr="00D41B36" w14:paraId="4ADEC374" w14:textId="77777777" w:rsidTr="00CB38F0">
        <w:trPr>
          <w:trHeight w:val="292"/>
          <w:jc w:val="center"/>
        </w:trPr>
        <w:tc>
          <w:tcPr>
            <w:tcW w:w="5016" w:type="dxa"/>
            <w:tcBorders>
              <w:left w:val="single" w:sz="4" w:space="0" w:color="808080" w:themeColor="background1" w:themeShade="80"/>
            </w:tcBorders>
            <w:vAlign w:val="center"/>
          </w:tcPr>
          <w:p w14:paraId="4AAC4F67" w14:textId="77777777" w:rsidR="0067262E" w:rsidRPr="007246A9" w:rsidRDefault="0067262E" w:rsidP="0067262E">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eastAsia="en-US"/>
              </w:rPr>
            </w:pPr>
            <w:r w:rsidRPr="007246A9">
              <w:rPr>
                <w:rFonts w:ascii="Arial" w:hAnsi="Arial" w:cs="Arial"/>
                <w:sz w:val="16"/>
                <w:szCs w:val="16"/>
                <w:lang w:val="el-GR"/>
              </w:rPr>
              <w:t xml:space="preserve">Βιοτεχνίες </w:t>
            </w:r>
            <w:r w:rsidRPr="007246A9">
              <w:rPr>
                <w:rFonts w:ascii="Arial" w:hAnsi="Arial" w:cs="Arial"/>
                <w:sz w:val="16"/>
                <w:szCs w:val="16"/>
              </w:rPr>
              <w:t>και β</w:t>
            </w:r>
            <w:proofErr w:type="spellStart"/>
            <w:r w:rsidRPr="007246A9">
              <w:rPr>
                <w:rFonts w:ascii="Arial" w:hAnsi="Arial" w:cs="Arial"/>
                <w:sz w:val="16"/>
                <w:szCs w:val="16"/>
              </w:rPr>
              <w:t>ιομηχ</w:t>
            </w:r>
            <w:proofErr w:type="spellEnd"/>
            <w:r w:rsidRPr="007246A9">
              <w:rPr>
                <w:rFonts w:ascii="Arial" w:hAnsi="Arial" w:cs="Arial"/>
                <w:sz w:val="16"/>
                <w:szCs w:val="16"/>
              </w:rPr>
              <w:t>ανίες</w:t>
            </w:r>
          </w:p>
        </w:tc>
        <w:tc>
          <w:tcPr>
            <w:tcW w:w="1830" w:type="dxa"/>
            <w:vAlign w:val="center"/>
          </w:tcPr>
          <w:p w14:paraId="4F6F0612" w14:textId="0C16D137" w:rsidR="0067262E" w:rsidRPr="00D41B36" w:rsidRDefault="0067262E" w:rsidP="0067262E">
            <w:pPr>
              <w:spacing w:before="40" w:after="40" w:line="240" w:lineRule="auto"/>
              <w:jc w:val="right"/>
              <w:rPr>
                <w:rFonts w:ascii="Arial" w:eastAsia="Batang" w:hAnsi="Arial" w:cs="Arial"/>
                <w:b/>
                <w:sz w:val="16"/>
                <w:szCs w:val="18"/>
                <w:highlight w:val="yellow"/>
                <w:lang w:eastAsia="en-US"/>
              </w:rPr>
            </w:pPr>
            <w:r w:rsidRPr="00583C56">
              <w:rPr>
                <w:rFonts w:ascii="Arial" w:eastAsia="Batang" w:hAnsi="Arial" w:cs="Arial"/>
                <w:b/>
                <w:sz w:val="16"/>
                <w:szCs w:val="18"/>
                <w:lang w:eastAsia="en-US"/>
              </w:rPr>
              <w:t>16</w:t>
            </w:r>
          </w:p>
        </w:tc>
        <w:tc>
          <w:tcPr>
            <w:tcW w:w="1830" w:type="dxa"/>
            <w:vAlign w:val="center"/>
          </w:tcPr>
          <w:p w14:paraId="7148D0B4" w14:textId="6264F3A9" w:rsidR="0067262E" w:rsidRPr="00D41B36" w:rsidRDefault="0067262E" w:rsidP="0067262E">
            <w:pPr>
              <w:spacing w:before="40" w:after="40" w:line="240" w:lineRule="auto"/>
              <w:jc w:val="right"/>
              <w:rPr>
                <w:rFonts w:ascii="Arial" w:eastAsia="Batang" w:hAnsi="Arial" w:cs="Arial"/>
                <w:b/>
                <w:sz w:val="16"/>
                <w:szCs w:val="18"/>
                <w:highlight w:val="yellow"/>
                <w:lang w:eastAsia="en-US"/>
              </w:rPr>
            </w:pPr>
            <w:r w:rsidRPr="00583C56">
              <w:rPr>
                <w:rFonts w:ascii="Arial" w:eastAsia="Batang" w:hAnsi="Arial" w:cs="Arial"/>
                <w:b/>
                <w:sz w:val="16"/>
                <w:szCs w:val="18"/>
                <w:lang w:eastAsia="en-US"/>
              </w:rPr>
              <w:t>11</w:t>
            </w:r>
          </w:p>
        </w:tc>
        <w:tc>
          <w:tcPr>
            <w:tcW w:w="1830" w:type="dxa"/>
            <w:tcBorders>
              <w:right w:val="single" w:sz="4" w:space="0" w:color="808080" w:themeColor="background1" w:themeShade="80"/>
            </w:tcBorders>
            <w:shd w:val="clear" w:color="auto" w:fill="auto"/>
            <w:vAlign w:val="center"/>
          </w:tcPr>
          <w:p w14:paraId="117B8660" w14:textId="55E47B93" w:rsidR="0067262E" w:rsidRPr="00D41B36" w:rsidRDefault="0067262E" w:rsidP="0067262E">
            <w:pPr>
              <w:spacing w:before="40" w:after="40" w:line="240" w:lineRule="auto"/>
              <w:jc w:val="right"/>
              <w:rPr>
                <w:rFonts w:ascii="Arial" w:eastAsia="Batang" w:hAnsi="Arial" w:cs="Arial"/>
                <w:b/>
                <w:sz w:val="16"/>
                <w:szCs w:val="18"/>
                <w:highlight w:val="yellow"/>
                <w:lang w:eastAsia="en-US"/>
              </w:rPr>
            </w:pPr>
            <w:r w:rsidRPr="00583C56">
              <w:rPr>
                <w:rFonts w:ascii="Arial" w:eastAsia="Batang" w:hAnsi="Arial" w:cs="Arial"/>
                <w:b/>
                <w:sz w:val="16"/>
                <w:szCs w:val="18"/>
                <w:lang w:eastAsia="en-US"/>
              </w:rPr>
              <w:t>27</w:t>
            </w:r>
          </w:p>
        </w:tc>
      </w:tr>
      <w:tr w:rsidR="0067262E" w:rsidRPr="00D41B36" w14:paraId="302AB173" w14:textId="77777777" w:rsidTr="00CB38F0">
        <w:trPr>
          <w:trHeight w:val="292"/>
          <w:jc w:val="center"/>
        </w:trPr>
        <w:tc>
          <w:tcPr>
            <w:tcW w:w="5016" w:type="dxa"/>
            <w:tcBorders>
              <w:left w:val="single" w:sz="4" w:space="0" w:color="808080" w:themeColor="background1" w:themeShade="80"/>
            </w:tcBorders>
            <w:vAlign w:val="center"/>
          </w:tcPr>
          <w:p w14:paraId="5EFD03EB" w14:textId="77777777" w:rsidR="0067262E" w:rsidRPr="007246A9" w:rsidRDefault="0067262E" w:rsidP="0067262E">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eastAsia="en-US"/>
              </w:rPr>
            </w:pPr>
            <w:proofErr w:type="spellStart"/>
            <w:r w:rsidRPr="007246A9">
              <w:rPr>
                <w:rFonts w:ascii="Arial" w:hAnsi="Arial" w:cs="Arial"/>
                <w:sz w:val="16"/>
                <w:szCs w:val="16"/>
              </w:rPr>
              <w:t>Ξενοδοχεί</w:t>
            </w:r>
            <w:proofErr w:type="spellEnd"/>
            <w:r w:rsidRPr="007246A9">
              <w:rPr>
                <w:rFonts w:ascii="Arial" w:hAnsi="Arial" w:cs="Arial"/>
                <w:sz w:val="16"/>
                <w:szCs w:val="16"/>
              </w:rPr>
              <w:t>α</w:t>
            </w:r>
          </w:p>
        </w:tc>
        <w:tc>
          <w:tcPr>
            <w:tcW w:w="1830" w:type="dxa"/>
            <w:vAlign w:val="center"/>
          </w:tcPr>
          <w:p w14:paraId="2B8C32DA" w14:textId="3965A6CC" w:rsidR="0067262E" w:rsidRPr="00D41B36" w:rsidRDefault="0067262E" w:rsidP="0067262E">
            <w:pPr>
              <w:spacing w:before="40" w:after="40" w:line="240" w:lineRule="auto"/>
              <w:jc w:val="right"/>
              <w:rPr>
                <w:rFonts w:ascii="Arial" w:eastAsia="Batang" w:hAnsi="Arial" w:cs="Arial"/>
                <w:b/>
                <w:sz w:val="16"/>
                <w:szCs w:val="18"/>
                <w:highlight w:val="yellow"/>
                <w:lang w:eastAsia="en-US"/>
              </w:rPr>
            </w:pPr>
            <w:r w:rsidRPr="00583C56">
              <w:rPr>
                <w:rFonts w:ascii="Arial" w:eastAsia="Batang" w:hAnsi="Arial" w:cs="Arial"/>
                <w:b/>
                <w:sz w:val="16"/>
                <w:szCs w:val="18"/>
                <w:lang w:eastAsia="en-US"/>
              </w:rPr>
              <w:t>13</w:t>
            </w:r>
          </w:p>
        </w:tc>
        <w:tc>
          <w:tcPr>
            <w:tcW w:w="1830" w:type="dxa"/>
            <w:vAlign w:val="center"/>
          </w:tcPr>
          <w:p w14:paraId="3C879EED" w14:textId="0BBCA546" w:rsidR="0067262E" w:rsidRPr="00D41B36" w:rsidRDefault="0067262E" w:rsidP="0067262E">
            <w:pPr>
              <w:spacing w:before="40" w:after="40" w:line="240" w:lineRule="auto"/>
              <w:jc w:val="right"/>
              <w:rPr>
                <w:rFonts w:ascii="Arial" w:eastAsia="Batang" w:hAnsi="Arial" w:cs="Arial"/>
                <w:b/>
                <w:sz w:val="16"/>
                <w:szCs w:val="18"/>
                <w:highlight w:val="yellow"/>
                <w:lang w:eastAsia="en-US"/>
              </w:rPr>
            </w:pPr>
            <w:r w:rsidRPr="00583C56">
              <w:rPr>
                <w:rFonts w:ascii="Arial" w:eastAsia="Batang" w:hAnsi="Arial" w:cs="Arial"/>
                <w:b/>
                <w:sz w:val="16"/>
                <w:szCs w:val="18"/>
                <w:lang w:eastAsia="en-US"/>
              </w:rPr>
              <w:t>0</w:t>
            </w:r>
          </w:p>
        </w:tc>
        <w:tc>
          <w:tcPr>
            <w:tcW w:w="1830" w:type="dxa"/>
            <w:tcBorders>
              <w:right w:val="single" w:sz="4" w:space="0" w:color="808080" w:themeColor="background1" w:themeShade="80"/>
            </w:tcBorders>
            <w:shd w:val="clear" w:color="auto" w:fill="auto"/>
            <w:vAlign w:val="center"/>
          </w:tcPr>
          <w:p w14:paraId="39E8B9BF" w14:textId="5F1D14A4" w:rsidR="0067262E" w:rsidRPr="00D41B36" w:rsidRDefault="0067262E" w:rsidP="0067262E">
            <w:pPr>
              <w:spacing w:before="40" w:after="40" w:line="240" w:lineRule="auto"/>
              <w:jc w:val="right"/>
              <w:rPr>
                <w:rFonts w:ascii="Arial" w:eastAsia="Batang" w:hAnsi="Arial" w:cs="Arial"/>
                <w:b/>
                <w:sz w:val="16"/>
                <w:szCs w:val="18"/>
                <w:highlight w:val="yellow"/>
                <w:lang w:eastAsia="en-US"/>
              </w:rPr>
            </w:pPr>
            <w:r w:rsidRPr="00583C56">
              <w:rPr>
                <w:rFonts w:ascii="Arial" w:eastAsia="Batang" w:hAnsi="Arial" w:cs="Arial"/>
                <w:b/>
                <w:sz w:val="16"/>
                <w:szCs w:val="18"/>
                <w:lang w:eastAsia="en-US"/>
              </w:rPr>
              <w:t>13</w:t>
            </w:r>
          </w:p>
        </w:tc>
      </w:tr>
      <w:tr w:rsidR="0067262E" w:rsidRPr="00D41B36" w14:paraId="1B6B15D4" w14:textId="77777777" w:rsidTr="00CB38F0">
        <w:trPr>
          <w:trHeight w:val="292"/>
          <w:jc w:val="center"/>
        </w:trPr>
        <w:tc>
          <w:tcPr>
            <w:tcW w:w="5016" w:type="dxa"/>
            <w:tcBorders>
              <w:left w:val="single" w:sz="4" w:space="0" w:color="808080" w:themeColor="background1" w:themeShade="80"/>
            </w:tcBorders>
            <w:vAlign w:val="center"/>
          </w:tcPr>
          <w:p w14:paraId="70E6532E" w14:textId="77777777" w:rsidR="0067262E" w:rsidRPr="007246A9" w:rsidRDefault="0067262E" w:rsidP="0067262E">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eastAsia="en-US"/>
              </w:rPr>
            </w:pPr>
            <w:proofErr w:type="spellStart"/>
            <w:r w:rsidRPr="007246A9">
              <w:rPr>
                <w:rFonts w:ascii="Arial" w:hAnsi="Arial" w:cs="Arial"/>
                <w:sz w:val="16"/>
                <w:szCs w:val="16"/>
              </w:rPr>
              <w:t>Γη</w:t>
            </w:r>
            <w:proofErr w:type="spellEnd"/>
            <w:r w:rsidRPr="007246A9">
              <w:rPr>
                <w:rFonts w:ascii="Arial" w:hAnsi="Arial" w:cs="Arial"/>
                <w:sz w:val="16"/>
                <w:szCs w:val="16"/>
              </w:rPr>
              <w:t xml:space="preserve"> (</w:t>
            </w:r>
            <w:proofErr w:type="spellStart"/>
            <w:r w:rsidRPr="007246A9">
              <w:rPr>
                <w:rFonts w:ascii="Arial" w:hAnsi="Arial" w:cs="Arial"/>
                <w:sz w:val="16"/>
                <w:szCs w:val="16"/>
              </w:rPr>
              <w:t>οικό</w:t>
            </w:r>
            <w:proofErr w:type="spellEnd"/>
            <w:r w:rsidRPr="007246A9">
              <w:rPr>
                <w:rFonts w:ascii="Arial" w:hAnsi="Arial" w:cs="Arial"/>
                <w:sz w:val="16"/>
                <w:szCs w:val="16"/>
              </w:rPr>
              <w:t>πεδα και α</w:t>
            </w:r>
            <w:proofErr w:type="spellStart"/>
            <w:r w:rsidRPr="007246A9">
              <w:rPr>
                <w:rFonts w:ascii="Arial" w:hAnsi="Arial" w:cs="Arial"/>
                <w:sz w:val="16"/>
                <w:szCs w:val="16"/>
              </w:rPr>
              <w:t>γροτεμάχι</w:t>
            </w:r>
            <w:proofErr w:type="spellEnd"/>
            <w:r w:rsidRPr="007246A9">
              <w:rPr>
                <w:rFonts w:ascii="Arial" w:hAnsi="Arial" w:cs="Arial"/>
                <w:sz w:val="16"/>
                <w:szCs w:val="16"/>
              </w:rPr>
              <w:t>α)</w:t>
            </w:r>
          </w:p>
        </w:tc>
        <w:tc>
          <w:tcPr>
            <w:tcW w:w="1830" w:type="dxa"/>
            <w:vAlign w:val="center"/>
          </w:tcPr>
          <w:p w14:paraId="4F11F3B6" w14:textId="79ADC9D7" w:rsidR="0067262E" w:rsidRPr="00D41B36" w:rsidRDefault="0067262E" w:rsidP="0067262E">
            <w:pPr>
              <w:spacing w:before="40" w:after="40" w:line="240" w:lineRule="auto"/>
              <w:jc w:val="right"/>
              <w:rPr>
                <w:rFonts w:ascii="Arial" w:eastAsia="Batang" w:hAnsi="Arial" w:cs="Arial"/>
                <w:b/>
                <w:sz w:val="16"/>
                <w:szCs w:val="18"/>
                <w:highlight w:val="yellow"/>
                <w:lang w:eastAsia="en-US"/>
              </w:rPr>
            </w:pPr>
            <w:r w:rsidRPr="00DA6EBC">
              <w:rPr>
                <w:rFonts w:ascii="Arial" w:eastAsia="Batang" w:hAnsi="Arial" w:cs="Arial"/>
                <w:b/>
                <w:sz w:val="16"/>
                <w:szCs w:val="18"/>
                <w:lang w:eastAsia="en-US"/>
              </w:rPr>
              <w:t>358</w:t>
            </w:r>
          </w:p>
        </w:tc>
        <w:tc>
          <w:tcPr>
            <w:tcW w:w="1830" w:type="dxa"/>
            <w:vAlign w:val="center"/>
          </w:tcPr>
          <w:p w14:paraId="7EBF6B73" w14:textId="1B253D63" w:rsidR="0067262E" w:rsidRPr="00D41B36" w:rsidRDefault="0067262E" w:rsidP="0067262E">
            <w:pPr>
              <w:spacing w:before="40" w:after="40" w:line="240" w:lineRule="auto"/>
              <w:jc w:val="right"/>
              <w:rPr>
                <w:rFonts w:ascii="Arial" w:eastAsia="Batang" w:hAnsi="Arial" w:cs="Arial"/>
                <w:b/>
                <w:sz w:val="16"/>
                <w:szCs w:val="18"/>
                <w:highlight w:val="yellow"/>
                <w:lang w:eastAsia="en-US"/>
              </w:rPr>
            </w:pPr>
            <w:r w:rsidRPr="00583C56">
              <w:rPr>
                <w:rFonts w:ascii="Arial" w:eastAsia="Batang" w:hAnsi="Arial" w:cs="Arial"/>
                <w:b/>
                <w:sz w:val="16"/>
                <w:szCs w:val="18"/>
                <w:lang w:eastAsia="en-US"/>
              </w:rPr>
              <w:t>3</w:t>
            </w:r>
          </w:p>
        </w:tc>
        <w:tc>
          <w:tcPr>
            <w:tcW w:w="1830" w:type="dxa"/>
            <w:tcBorders>
              <w:right w:val="single" w:sz="4" w:space="0" w:color="808080" w:themeColor="background1" w:themeShade="80"/>
            </w:tcBorders>
            <w:shd w:val="clear" w:color="auto" w:fill="auto"/>
            <w:vAlign w:val="center"/>
          </w:tcPr>
          <w:p w14:paraId="108A0EEB" w14:textId="7EB0B13D" w:rsidR="0067262E" w:rsidRPr="00D41B36" w:rsidRDefault="0067262E" w:rsidP="0067262E">
            <w:pPr>
              <w:spacing w:before="40" w:after="40" w:line="240" w:lineRule="auto"/>
              <w:jc w:val="right"/>
              <w:rPr>
                <w:rFonts w:ascii="Arial" w:eastAsia="Batang" w:hAnsi="Arial" w:cs="Arial"/>
                <w:b/>
                <w:sz w:val="16"/>
                <w:szCs w:val="18"/>
                <w:highlight w:val="yellow"/>
                <w:lang w:eastAsia="en-US"/>
              </w:rPr>
            </w:pPr>
            <w:r w:rsidRPr="00583C56">
              <w:rPr>
                <w:rFonts w:ascii="Arial" w:eastAsia="Batang" w:hAnsi="Arial" w:cs="Arial"/>
                <w:b/>
                <w:sz w:val="16"/>
                <w:szCs w:val="18"/>
                <w:lang w:eastAsia="en-US"/>
              </w:rPr>
              <w:t>3</w:t>
            </w:r>
            <w:r>
              <w:rPr>
                <w:rFonts w:ascii="Arial" w:eastAsia="Batang" w:hAnsi="Arial" w:cs="Arial"/>
                <w:b/>
                <w:sz w:val="16"/>
                <w:szCs w:val="18"/>
                <w:lang w:eastAsia="en-US"/>
              </w:rPr>
              <w:t>61</w:t>
            </w:r>
          </w:p>
        </w:tc>
      </w:tr>
      <w:tr w:rsidR="0067262E" w:rsidRPr="00D41B36" w14:paraId="1EA8B198" w14:textId="77777777" w:rsidTr="00CB38F0">
        <w:trPr>
          <w:trHeight w:val="292"/>
          <w:jc w:val="center"/>
        </w:trPr>
        <w:tc>
          <w:tcPr>
            <w:tcW w:w="5016" w:type="dxa"/>
            <w:tcBorders>
              <w:left w:val="single" w:sz="4" w:space="0" w:color="808080" w:themeColor="background1" w:themeShade="80"/>
            </w:tcBorders>
            <w:vAlign w:val="center"/>
          </w:tcPr>
          <w:p w14:paraId="7631324A" w14:textId="77777777" w:rsidR="0067262E" w:rsidRPr="007246A9" w:rsidRDefault="0067262E" w:rsidP="0067262E">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val="el-GR" w:eastAsia="en-US"/>
              </w:rPr>
            </w:pPr>
            <w:r w:rsidRPr="007246A9">
              <w:rPr>
                <w:rFonts w:ascii="Arial" w:hAnsi="Arial" w:cs="Arial"/>
                <w:sz w:val="16"/>
                <w:szCs w:val="16"/>
                <w:lang w:val="el-GR"/>
              </w:rPr>
              <w:t>Γήπεδα γκολφ και ακίνητα σχετικά με γκολφ</w:t>
            </w:r>
          </w:p>
        </w:tc>
        <w:tc>
          <w:tcPr>
            <w:tcW w:w="1830" w:type="dxa"/>
            <w:vAlign w:val="center"/>
          </w:tcPr>
          <w:p w14:paraId="58633DA3" w14:textId="5B8C6CCA" w:rsidR="0067262E" w:rsidRPr="00D41B36" w:rsidRDefault="0067262E" w:rsidP="0067262E">
            <w:pPr>
              <w:spacing w:before="40" w:after="40" w:line="240" w:lineRule="auto"/>
              <w:jc w:val="right"/>
              <w:rPr>
                <w:rFonts w:ascii="Arial" w:hAnsi="Arial" w:cs="Arial"/>
                <w:b/>
                <w:bCs/>
                <w:sz w:val="16"/>
                <w:szCs w:val="18"/>
                <w:highlight w:val="yellow"/>
                <w:lang w:val="el-GR"/>
              </w:rPr>
            </w:pPr>
            <w:r w:rsidRPr="00DA6EBC">
              <w:rPr>
                <w:rFonts w:ascii="Arial" w:hAnsi="Arial" w:cs="Arial"/>
                <w:b/>
                <w:bCs/>
                <w:sz w:val="16"/>
                <w:szCs w:val="18"/>
              </w:rPr>
              <w:t>184</w:t>
            </w:r>
          </w:p>
        </w:tc>
        <w:tc>
          <w:tcPr>
            <w:tcW w:w="1830" w:type="dxa"/>
            <w:vAlign w:val="center"/>
          </w:tcPr>
          <w:p w14:paraId="724080AF" w14:textId="3536767F" w:rsidR="0067262E" w:rsidRPr="00D41B36" w:rsidRDefault="0067262E" w:rsidP="0067262E">
            <w:pPr>
              <w:spacing w:before="40" w:after="40" w:line="240" w:lineRule="auto"/>
              <w:jc w:val="right"/>
              <w:rPr>
                <w:rFonts w:ascii="Arial" w:eastAsia="Batang" w:hAnsi="Arial" w:cs="Arial"/>
                <w:b/>
                <w:sz w:val="16"/>
                <w:szCs w:val="18"/>
                <w:highlight w:val="yellow"/>
                <w:lang w:val="el-GR" w:eastAsia="en-US"/>
              </w:rPr>
            </w:pPr>
            <w:r w:rsidRPr="00583C56">
              <w:rPr>
                <w:rFonts w:ascii="Arial" w:eastAsia="Batang" w:hAnsi="Arial" w:cs="Arial"/>
                <w:b/>
                <w:sz w:val="16"/>
                <w:szCs w:val="18"/>
                <w:lang w:eastAsia="en-US"/>
              </w:rPr>
              <w:t>0</w:t>
            </w:r>
          </w:p>
        </w:tc>
        <w:tc>
          <w:tcPr>
            <w:tcW w:w="1830" w:type="dxa"/>
            <w:tcBorders>
              <w:right w:val="single" w:sz="4" w:space="0" w:color="808080" w:themeColor="background1" w:themeShade="80"/>
            </w:tcBorders>
            <w:shd w:val="clear" w:color="auto" w:fill="auto"/>
            <w:vAlign w:val="center"/>
          </w:tcPr>
          <w:p w14:paraId="2F95BE0C" w14:textId="056CBC4F" w:rsidR="0067262E" w:rsidRPr="00D41B36" w:rsidRDefault="0067262E" w:rsidP="0067262E">
            <w:pPr>
              <w:spacing w:before="40" w:after="40" w:line="240" w:lineRule="auto"/>
              <w:jc w:val="right"/>
              <w:rPr>
                <w:rFonts w:ascii="Arial" w:eastAsia="Batang" w:hAnsi="Arial" w:cs="Arial"/>
                <w:b/>
                <w:sz w:val="16"/>
                <w:szCs w:val="18"/>
                <w:highlight w:val="yellow"/>
                <w:lang w:val="el-GR" w:eastAsia="en-US"/>
              </w:rPr>
            </w:pPr>
            <w:r w:rsidRPr="00583C56">
              <w:rPr>
                <w:rFonts w:ascii="Arial" w:eastAsia="Batang" w:hAnsi="Arial" w:cs="Arial"/>
                <w:b/>
                <w:sz w:val="16"/>
                <w:szCs w:val="18"/>
                <w:lang w:eastAsia="en-US"/>
              </w:rPr>
              <w:t>1</w:t>
            </w:r>
            <w:r>
              <w:rPr>
                <w:rFonts w:ascii="Arial" w:eastAsia="Batang" w:hAnsi="Arial" w:cs="Arial"/>
                <w:b/>
                <w:sz w:val="16"/>
                <w:szCs w:val="18"/>
                <w:lang w:eastAsia="en-US"/>
              </w:rPr>
              <w:t>84</w:t>
            </w:r>
          </w:p>
        </w:tc>
      </w:tr>
      <w:tr w:rsidR="0067262E" w:rsidRPr="00D41B36" w14:paraId="7865A58E" w14:textId="77777777" w:rsidTr="00CB38F0">
        <w:trPr>
          <w:trHeight w:val="292"/>
          <w:jc w:val="center"/>
        </w:trPr>
        <w:tc>
          <w:tcPr>
            <w:tcW w:w="501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8B1E8E3" w14:textId="77777777" w:rsidR="0067262E" w:rsidRPr="007246A9" w:rsidRDefault="0067262E" w:rsidP="0067262E">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b/>
                <w:sz w:val="16"/>
                <w:szCs w:val="18"/>
                <w:lang w:eastAsia="en-US"/>
              </w:rPr>
            </w:pPr>
            <w:r w:rsidRPr="007246A9">
              <w:rPr>
                <w:rFonts w:ascii="Arial" w:eastAsia="Batang" w:hAnsi="Arial" w:cs="Arial"/>
                <w:b/>
                <w:sz w:val="16"/>
                <w:szCs w:val="16"/>
                <w:lang w:val="el-GR" w:eastAsia="en-US"/>
              </w:rPr>
              <w:t>Σύνολο</w:t>
            </w:r>
            <w:r w:rsidRPr="007246A9">
              <w:rPr>
                <w:rFonts w:ascii="Arial" w:eastAsia="Batang" w:hAnsi="Arial" w:cs="Arial"/>
                <w:b/>
                <w:sz w:val="16"/>
                <w:szCs w:val="16"/>
                <w:lang w:eastAsia="en-US"/>
              </w:rPr>
              <w:t xml:space="preserve"> </w:t>
            </w:r>
          </w:p>
        </w:tc>
        <w:tc>
          <w:tcPr>
            <w:tcW w:w="1830" w:type="dxa"/>
            <w:tcBorders>
              <w:top w:val="single" w:sz="4" w:space="0" w:color="808080" w:themeColor="background1" w:themeShade="80"/>
              <w:bottom w:val="single" w:sz="4" w:space="0" w:color="808080" w:themeColor="background1" w:themeShade="80"/>
            </w:tcBorders>
            <w:vAlign w:val="center"/>
          </w:tcPr>
          <w:p w14:paraId="6C40300B" w14:textId="3780D1D4" w:rsidR="0067262E" w:rsidRPr="00D41B36" w:rsidRDefault="0067262E" w:rsidP="0067262E">
            <w:pPr>
              <w:spacing w:before="40" w:after="40" w:line="240" w:lineRule="auto"/>
              <w:jc w:val="right"/>
              <w:rPr>
                <w:rFonts w:ascii="Arial" w:eastAsia="Batang" w:hAnsi="Arial" w:cs="Arial"/>
                <w:b/>
                <w:sz w:val="16"/>
                <w:szCs w:val="18"/>
                <w:highlight w:val="yellow"/>
                <w:lang w:eastAsia="en-US"/>
              </w:rPr>
            </w:pPr>
            <w:r w:rsidRPr="00583C56">
              <w:rPr>
                <w:rFonts w:ascii="Arial" w:eastAsia="Batang" w:hAnsi="Arial" w:cs="Arial"/>
                <w:b/>
                <w:sz w:val="16"/>
                <w:szCs w:val="18"/>
                <w:lang w:eastAsia="en-US"/>
              </w:rPr>
              <w:t>733</w:t>
            </w:r>
          </w:p>
        </w:tc>
        <w:tc>
          <w:tcPr>
            <w:tcW w:w="1830" w:type="dxa"/>
            <w:tcBorders>
              <w:top w:val="single" w:sz="4" w:space="0" w:color="808080" w:themeColor="background1" w:themeShade="80"/>
              <w:bottom w:val="single" w:sz="4" w:space="0" w:color="808080" w:themeColor="background1" w:themeShade="80"/>
            </w:tcBorders>
            <w:vAlign w:val="center"/>
          </w:tcPr>
          <w:p w14:paraId="757FFF31" w14:textId="63FE9585" w:rsidR="0067262E" w:rsidRPr="00D41B36" w:rsidRDefault="0067262E" w:rsidP="0067262E">
            <w:pPr>
              <w:spacing w:before="40" w:after="40" w:line="240" w:lineRule="auto"/>
              <w:jc w:val="right"/>
              <w:rPr>
                <w:rFonts w:ascii="Arial" w:eastAsia="Batang" w:hAnsi="Arial" w:cs="Arial"/>
                <w:b/>
                <w:sz w:val="16"/>
                <w:szCs w:val="18"/>
                <w:highlight w:val="yellow"/>
                <w:lang w:eastAsia="en-US"/>
              </w:rPr>
            </w:pPr>
            <w:r w:rsidRPr="00583C56">
              <w:rPr>
                <w:rFonts w:ascii="Arial" w:eastAsia="Batang" w:hAnsi="Arial" w:cs="Arial"/>
                <w:b/>
                <w:sz w:val="16"/>
                <w:szCs w:val="18"/>
                <w:lang w:eastAsia="en-US"/>
              </w:rPr>
              <w:t>3</w:t>
            </w:r>
            <w:r>
              <w:rPr>
                <w:rFonts w:ascii="Arial" w:eastAsia="Batang" w:hAnsi="Arial" w:cs="Arial"/>
                <w:b/>
                <w:sz w:val="16"/>
                <w:szCs w:val="18"/>
                <w:lang w:eastAsia="en-US"/>
              </w:rPr>
              <w:t>1</w:t>
            </w:r>
          </w:p>
        </w:tc>
        <w:tc>
          <w:tcPr>
            <w:tcW w:w="1830"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6DFBE7" w14:textId="38BAF18C" w:rsidR="0067262E" w:rsidRPr="00D41B36" w:rsidRDefault="0067262E" w:rsidP="0067262E">
            <w:pPr>
              <w:spacing w:before="40" w:after="40" w:line="240" w:lineRule="auto"/>
              <w:jc w:val="right"/>
              <w:rPr>
                <w:rFonts w:ascii="Arial" w:eastAsia="Batang" w:hAnsi="Arial" w:cs="Arial"/>
                <w:b/>
                <w:sz w:val="16"/>
                <w:szCs w:val="18"/>
                <w:highlight w:val="yellow"/>
                <w:lang w:eastAsia="en-US"/>
              </w:rPr>
            </w:pPr>
            <w:r w:rsidRPr="00583C56">
              <w:rPr>
                <w:rFonts w:ascii="Arial" w:eastAsia="Batang" w:hAnsi="Arial" w:cs="Arial"/>
                <w:b/>
                <w:sz w:val="16"/>
                <w:szCs w:val="18"/>
                <w:lang w:eastAsia="en-US"/>
              </w:rPr>
              <w:t>764</w:t>
            </w:r>
          </w:p>
        </w:tc>
      </w:tr>
    </w:tbl>
    <w:p w14:paraId="6E8D3437" w14:textId="77777777" w:rsidR="000C7701" w:rsidRPr="00D41B36" w:rsidRDefault="000C7701" w:rsidP="000C7701">
      <w:pPr>
        <w:spacing w:after="0" w:line="240" w:lineRule="auto"/>
        <w:rPr>
          <w:rFonts w:ascii="Arial" w:hAnsi="Arial" w:cs="Arial"/>
          <w:color w:val="FF9900"/>
          <w:sz w:val="20"/>
          <w:szCs w:val="20"/>
          <w:highlight w:val="yellow"/>
          <w:lang w:val="el-GR"/>
        </w:rPr>
      </w:pPr>
    </w:p>
    <w:tbl>
      <w:tblPr>
        <w:tblW w:w="1053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5"/>
        <w:gridCol w:w="1816"/>
        <w:gridCol w:w="1815"/>
        <w:gridCol w:w="1815"/>
      </w:tblGrid>
      <w:tr w:rsidR="000C7701" w:rsidRPr="00D41B36" w14:paraId="1F4FAD67" w14:textId="77777777" w:rsidTr="00CB38F0">
        <w:trPr>
          <w:trHeight w:val="360"/>
          <w:jc w:val="center"/>
        </w:trPr>
        <w:tc>
          <w:tcPr>
            <w:tcW w:w="5085" w:type="dxa"/>
            <w:tcBorders>
              <w:top w:val="single" w:sz="4" w:space="0" w:color="808080" w:themeColor="background1" w:themeShade="80"/>
              <w:left w:val="single" w:sz="4" w:space="0" w:color="808080" w:themeColor="background1" w:themeShade="80"/>
              <w:bottom w:val="nil"/>
            </w:tcBorders>
            <w:vAlign w:val="center"/>
          </w:tcPr>
          <w:p w14:paraId="3A191718" w14:textId="77777777" w:rsidR="000C7701" w:rsidRPr="00D41B36" w:rsidRDefault="000C7701" w:rsidP="00A21CB9">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b/>
                <w:sz w:val="16"/>
                <w:szCs w:val="18"/>
                <w:highlight w:val="yellow"/>
                <w:lang w:eastAsia="en-US"/>
              </w:rPr>
            </w:pPr>
          </w:p>
        </w:tc>
        <w:tc>
          <w:tcPr>
            <w:tcW w:w="1816" w:type="dxa"/>
            <w:tcBorders>
              <w:top w:val="single" w:sz="4" w:space="0" w:color="808080" w:themeColor="background1" w:themeShade="80"/>
              <w:bottom w:val="nil"/>
            </w:tcBorders>
            <w:vAlign w:val="center"/>
          </w:tcPr>
          <w:p w14:paraId="6F97C9F5" w14:textId="77777777" w:rsidR="000C7701" w:rsidRPr="007246A9" w:rsidRDefault="000C7701" w:rsidP="00A21CB9">
            <w:pPr>
              <w:spacing w:before="40" w:after="40" w:line="240" w:lineRule="auto"/>
              <w:jc w:val="right"/>
              <w:rPr>
                <w:rFonts w:ascii="Arial" w:eastAsia="Batang" w:hAnsi="Arial" w:cs="Arial"/>
                <w:b/>
                <w:bCs/>
                <w:sz w:val="16"/>
                <w:szCs w:val="18"/>
                <w:lang w:eastAsia="en-US"/>
              </w:rPr>
            </w:pPr>
            <w:r w:rsidRPr="007246A9">
              <w:rPr>
                <w:rFonts w:ascii="Arial" w:eastAsia="Batang" w:hAnsi="Arial" w:cs="Arial"/>
                <w:b/>
                <w:bCs/>
                <w:sz w:val="16"/>
                <w:szCs w:val="18"/>
                <w:lang w:val="el-GR" w:eastAsia="en-US"/>
              </w:rPr>
              <w:t>Κύπρος</w:t>
            </w:r>
          </w:p>
        </w:tc>
        <w:tc>
          <w:tcPr>
            <w:tcW w:w="1815" w:type="dxa"/>
            <w:tcBorders>
              <w:top w:val="single" w:sz="4" w:space="0" w:color="808080" w:themeColor="background1" w:themeShade="80"/>
              <w:bottom w:val="nil"/>
            </w:tcBorders>
            <w:vAlign w:val="center"/>
          </w:tcPr>
          <w:p w14:paraId="2D2BBED5" w14:textId="77777777" w:rsidR="000C7701" w:rsidRPr="007246A9" w:rsidRDefault="000C7701" w:rsidP="00A21CB9">
            <w:pPr>
              <w:spacing w:before="40" w:after="40" w:line="240" w:lineRule="auto"/>
              <w:jc w:val="right"/>
              <w:rPr>
                <w:rFonts w:ascii="Arial" w:eastAsia="Batang" w:hAnsi="Arial" w:cs="Arial"/>
                <w:b/>
                <w:bCs/>
                <w:sz w:val="16"/>
                <w:szCs w:val="18"/>
                <w:lang w:eastAsia="en-US"/>
              </w:rPr>
            </w:pPr>
            <w:r w:rsidRPr="007246A9">
              <w:rPr>
                <w:rFonts w:ascii="Arial" w:eastAsia="Batang" w:hAnsi="Arial" w:cs="Arial"/>
                <w:b/>
                <w:bCs/>
                <w:sz w:val="16"/>
                <w:szCs w:val="18"/>
                <w:lang w:val="el-GR" w:eastAsia="en-US"/>
              </w:rPr>
              <w:t>Ελλάδα</w:t>
            </w:r>
          </w:p>
        </w:tc>
        <w:tc>
          <w:tcPr>
            <w:tcW w:w="1815" w:type="dxa"/>
            <w:tcBorders>
              <w:top w:val="single" w:sz="4" w:space="0" w:color="808080" w:themeColor="background1" w:themeShade="80"/>
              <w:bottom w:val="nil"/>
              <w:right w:val="single" w:sz="4" w:space="0" w:color="808080" w:themeColor="background1" w:themeShade="80"/>
            </w:tcBorders>
            <w:shd w:val="clear" w:color="auto" w:fill="auto"/>
            <w:vAlign w:val="center"/>
          </w:tcPr>
          <w:p w14:paraId="0244AA8E" w14:textId="77777777" w:rsidR="000C7701" w:rsidRPr="007246A9" w:rsidRDefault="000C7701" w:rsidP="00A21CB9">
            <w:pPr>
              <w:spacing w:before="40" w:after="40" w:line="240" w:lineRule="auto"/>
              <w:jc w:val="right"/>
              <w:rPr>
                <w:rFonts w:ascii="Arial" w:eastAsia="Batang" w:hAnsi="Arial" w:cs="Arial"/>
                <w:b/>
                <w:bCs/>
                <w:sz w:val="16"/>
                <w:szCs w:val="18"/>
                <w:lang w:eastAsia="en-US"/>
              </w:rPr>
            </w:pPr>
            <w:r w:rsidRPr="007246A9">
              <w:rPr>
                <w:rFonts w:ascii="Arial" w:eastAsia="Batang" w:hAnsi="Arial" w:cs="Arial"/>
                <w:b/>
                <w:bCs/>
                <w:sz w:val="16"/>
                <w:szCs w:val="18"/>
                <w:lang w:val="el-GR" w:eastAsia="en-US"/>
              </w:rPr>
              <w:t>Σύνολο</w:t>
            </w:r>
          </w:p>
        </w:tc>
      </w:tr>
      <w:tr w:rsidR="000C7701" w:rsidRPr="00D41B36" w14:paraId="52ED4B9F" w14:textId="77777777" w:rsidTr="00CB38F0">
        <w:trPr>
          <w:trHeight w:val="360"/>
          <w:jc w:val="center"/>
        </w:trPr>
        <w:tc>
          <w:tcPr>
            <w:tcW w:w="5085" w:type="dxa"/>
            <w:tcBorders>
              <w:top w:val="nil"/>
              <w:left w:val="single" w:sz="4" w:space="0" w:color="808080" w:themeColor="background1" w:themeShade="80"/>
              <w:bottom w:val="single" w:sz="4" w:space="0" w:color="808080" w:themeColor="background1" w:themeShade="80"/>
            </w:tcBorders>
            <w:vAlign w:val="center"/>
          </w:tcPr>
          <w:p w14:paraId="4EBC1B84" w14:textId="136A73F7" w:rsidR="000C7701" w:rsidRPr="007246A9" w:rsidRDefault="000C7701" w:rsidP="00A21CB9">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b/>
                <w:sz w:val="16"/>
                <w:szCs w:val="18"/>
                <w:lang w:eastAsia="en-US"/>
              </w:rPr>
            </w:pPr>
            <w:r w:rsidRPr="007246A9">
              <w:rPr>
                <w:rFonts w:ascii="Arial" w:eastAsia="Batang" w:hAnsi="Arial" w:cs="Arial"/>
                <w:b/>
                <w:sz w:val="16"/>
                <w:szCs w:val="16"/>
                <w:lang w:val="el-GR" w:eastAsia="en-US"/>
              </w:rPr>
              <w:t>31 Δεκεμβρίου</w:t>
            </w:r>
            <w:r w:rsidRPr="007246A9">
              <w:rPr>
                <w:rFonts w:ascii="Arial" w:eastAsia="Batang" w:hAnsi="Arial" w:cs="Arial"/>
                <w:b/>
                <w:sz w:val="16"/>
                <w:szCs w:val="16"/>
                <w:lang w:eastAsia="en-US"/>
              </w:rPr>
              <w:t xml:space="preserve"> </w:t>
            </w:r>
            <w:r w:rsidR="007F1E2E" w:rsidRPr="007246A9">
              <w:rPr>
                <w:rFonts w:ascii="Arial" w:eastAsia="Batang" w:hAnsi="Arial" w:cs="Arial"/>
                <w:b/>
                <w:sz w:val="16"/>
                <w:szCs w:val="16"/>
                <w:lang w:val="el-GR" w:eastAsia="en-US"/>
              </w:rPr>
              <w:t>2023</w:t>
            </w:r>
            <w:r w:rsidR="007F1E2E" w:rsidRPr="007246A9">
              <w:rPr>
                <w:rFonts w:ascii="Arial" w:eastAsia="Batang" w:hAnsi="Arial" w:cs="Arial"/>
                <w:b/>
                <w:sz w:val="16"/>
                <w:szCs w:val="16"/>
                <w:lang w:eastAsia="en-US"/>
              </w:rPr>
              <w:t xml:space="preserve"> </w:t>
            </w:r>
            <w:r w:rsidRPr="007246A9">
              <w:rPr>
                <w:rFonts w:ascii="Arial" w:eastAsia="Batang" w:hAnsi="Arial" w:cs="Arial"/>
                <w:b/>
                <w:sz w:val="16"/>
                <w:szCs w:val="16"/>
                <w:lang w:eastAsia="en-US"/>
              </w:rPr>
              <w:t xml:space="preserve">(€ </w:t>
            </w:r>
            <w:proofErr w:type="spellStart"/>
            <w:r w:rsidRPr="007246A9">
              <w:rPr>
                <w:rFonts w:ascii="Arial" w:eastAsia="Batang" w:hAnsi="Arial" w:cs="Arial"/>
                <w:b/>
                <w:sz w:val="16"/>
                <w:szCs w:val="16"/>
                <w:lang w:val="el-GR" w:eastAsia="en-US"/>
              </w:rPr>
              <w:t>εκατ</w:t>
            </w:r>
            <w:proofErr w:type="spellEnd"/>
            <w:r w:rsidRPr="007246A9">
              <w:rPr>
                <w:rFonts w:ascii="Arial" w:eastAsia="Batang" w:hAnsi="Arial" w:cs="Arial"/>
                <w:b/>
                <w:sz w:val="16"/>
                <w:szCs w:val="16"/>
                <w:lang w:eastAsia="en-US"/>
              </w:rPr>
              <w:t xml:space="preserve">.) </w:t>
            </w:r>
          </w:p>
        </w:tc>
        <w:tc>
          <w:tcPr>
            <w:tcW w:w="1816" w:type="dxa"/>
            <w:tcBorders>
              <w:top w:val="nil"/>
              <w:bottom w:val="single" w:sz="4" w:space="0" w:color="808080" w:themeColor="background1" w:themeShade="80"/>
            </w:tcBorders>
            <w:vAlign w:val="center"/>
          </w:tcPr>
          <w:p w14:paraId="2178724B" w14:textId="77777777" w:rsidR="000C7701" w:rsidRPr="007246A9" w:rsidRDefault="000C7701" w:rsidP="00A21CB9">
            <w:pPr>
              <w:spacing w:before="40" w:after="40" w:line="240" w:lineRule="auto"/>
              <w:rPr>
                <w:rFonts w:ascii="Arial" w:eastAsia="Batang" w:hAnsi="Arial" w:cs="Arial"/>
                <w:sz w:val="16"/>
                <w:szCs w:val="18"/>
                <w:lang w:eastAsia="en-US"/>
              </w:rPr>
            </w:pPr>
          </w:p>
        </w:tc>
        <w:tc>
          <w:tcPr>
            <w:tcW w:w="1815" w:type="dxa"/>
            <w:tcBorders>
              <w:top w:val="nil"/>
              <w:bottom w:val="single" w:sz="4" w:space="0" w:color="808080" w:themeColor="background1" w:themeShade="80"/>
            </w:tcBorders>
            <w:vAlign w:val="center"/>
          </w:tcPr>
          <w:p w14:paraId="24C56AD5" w14:textId="77777777" w:rsidR="000C7701" w:rsidRPr="007246A9" w:rsidRDefault="000C7701" w:rsidP="00A21CB9">
            <w:pPr>
              <w:spacing w:before="40" w:after="40" w:line="240" w:lineRule="auto"/>
              <w:jc w:val="right"/>
              <w:rPr>
                <w:rFonts w:ascii="Arial" w:eastAsia="Batang" w:hAnsi="Arial" w:cs="Arial"/>
                <w:sz w:val="16"/>
                <w:szCs w:val="18"/>
                <w:lang w:eastAsia="en-US"/>
              </w:rPr>
            </w:pPr>
          </w:p>
        </w:tc>
        <w:tc>
          <w:tcPr>
            <w:tcW w:w="1815" w:type="dxa"/>
            <w:tcBorders>
              <w:top w:val="nil"/>
              <w:bottom w:val="single" w:sz="4" w:space="0" w:color="808080" w:themeColor="background1" w:themeShade="80"/>
              <w:right w:val="single" w:sz="4" w:space="0" w:color="808080" w:themeColor="background1" w:themeShade="80"/>
            </w:tcBorders>
            <w:shd w:val="clear" w:color="auto" w:fill="auto"/>
            <w:vAlign w:val="center"/>
          </w:tcPr>
          <w:p w14:paraId="44A04113" w14:textId="77777777" w:rsidR="000C7701" w:rsidRPr="007246A9" w:rsidRDefault="000C7701" w:rsidP="00A21CB9">
            <w:pPr>
              <w:spacing w:before="40" w:after="40" w:line="240" w:lineRule="auto"/>
              <w:jc w:val="right"/>
              <w:rPr>
                <w:rFonts w:ascii="Arial" w:eastAsia="Batang" w:hAnsi="Arial" w:cs="Arial"/>
                <w:sz w:val="16"/>
                <w:szCs w:val="18"/>
                <w:lang w:eastAsia="en-US"/>
              </w:rPr>
            </w:pPr>
          </w:p>
        </w:tc>
      </w:tr>
      <w:tr w:rsidR="00AB1F61" w:rsidRPr="00D41B36" w14:paraId="2956C3D5" w14:textId="77777777" w:rsidTr="00CB38F0">
        <w:trPr>
          <w:trHeight w:val="360"/>
          <w:jc w:val="center"/>
        </w:trPr>
        <w:tc>
          <w:tcPr>
            <w:tcW w:w="5085" w:type="dxa"/>
            <w:tcBorders>
              <w:top w:val="single" w:sz="4" w:space="0" w:color="808080" w:themeColor="background1" w:themeShade="80"/>
              <w:left w:val="single" w:sz="4" w:space="0" w:color="808080" w:themeColor="background1" w:themeShade="80"/>
            </w:tcBorders>
            <w:vAlign w:val="center"/>
          </w:tcPr>
          <w:p w14:paraId="747AE4CE" w14:textId="77777777" w:rsidR="00AB1F61" w:rsidRPr="007246A9" w:rsidRDefault="00AB1F61" w:rsidP="00AB1F61">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eastAsia="en-US"/>
              </w:rPr>
            </w:pPr>
            <w:r w:rsidRPr="007246A9">
              <w:rPr>
                <w:rFonts w:ascii="Arial" w:hAnsi="Arial" w:cs="Arial"/>
                <w:sz w:val="16"/>
                <w:szCs w:val="16"/>
                <w:lang w:val="el-GR"/>
              </w:rPr>
              <w:t>Οικιστικά</w:t>
            </w:r>
          </w:p>
        </w:tc>
        <w:tc>
          <w:tcPr>
            <w:tcW w:w="1816" w:type="dxa"/>
            <w:tcBorders>
              <w:top w:val="single" w:sz="4" w:space="0" w:color="808080" w:themeColor="background1" w:themeShade="80"/>
            </w:tcBorders>
            <w:vAlign w:val="center"/>
          </w:tcPr>
          <w:p w14:paraId="29A8AF12" w14:textId="1C06FACD"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50</w:t>
            </w:r>
          </w:p>
        </w:tc>
        <w:tc>
          <w:tcPr>
            <w:tcW w:w="1815" w:type="dxa"/>
            <w:tcBorders>
              <w:top w:val="single" w:sz="4" w:space="0" w:color="808080" w:themeColor="background1" w:themeShade="80"/>
            </w:tcBorders>
            <w:vAlign w:val="center"/>
          </w:tcPr>
          <w:p w14:paraId="4750FF4F" w14:textId="52D046B7"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12</w:t>
            </w:r>
          </w:p>
        </w:tc>
        <w:tc>
          <w:tcPr>
            <w:tcW w:w="1815" w:type="dxa"/>
            <w:tcBorders>
              <w:top w:val="single" w:sz="4" w:space="0" w:color="808080" w:themeColor="background1" w:themeShade="80"/>
              <w:right w:val="single" w:sz="4" w:space="0" w:color="808080" w:themeColor="background1" w:themeShade="80"/>
            </w:tcBorders>
            <w:shd w:val="clear" w:color="auto" w:fill="auto"/>
            <w:vAlign w:val="center"/>
          </w:tcPr>
          <w:p w14:paraId="095F5544" w14:textId="1B35B5D2"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62</w:t>
            </w:r>
          </w:p>
        </w:tc>
      </w:tr>
      <w:tr w:rsidR="00AB1F61" w:rsidRPr="00D41B36" w14:paraId="794AD075" w14:textId="77777777" w:rsidTr="00CB38F0">
        <w:trPr>
          <w:trHeight w:val="360"/>
          <w:jc w:val="center"/>
        </w:trPr>
        <w:tc>
          <w:tcPr>
            <w:tcW w:w="5085" w:type="dxa"/>
            <w:tcBorders>
              <w:left w:val="single" w:sz="4" w:space="0" w:color="808080" w:themeColor="background1" w:themeShade="80"/>
            </w:tcBorders>
            <w:vAlign w:val="center"/>
          </w:tcPr>
          <w:p w14:paraId="00A389B7" w14:textId="77777777" w:rsidR="00AB1F61" w:rsidRPr="007246A9" w:rsidRDefault="00AB1F61" w:rsidP="00AB1F61">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val="el-GR" w:eastAsia="en-US"/>
              </w:rPr>
            </w:pPr>
            <w:r w:rsidRPr="007246A9">
              <w:rPr>
                <w:rFonts w:ascii="Arial" w:hAnsi="Arial" w:cs="Arial"/>
                <w:sz w:val="16"/>
                <w:szCs w:val="16"/>
                <w:lang w:val="el-GR"/>
              </w:rPr>
              <w:t>Γραφεία και άλλα εμπορικά ακίνητα</w:t>
            </w:r>
          </w:p>
        </w:tc>
        <w:tc>
          <w:tcPr>
            <w:tcW w:w="1816" w:type="dxa"/>
            <w:vAlign w:val="center"/>
          </w:tcPr>
          <w:p w14:paraId="1CE6E1F6" w14:textId="768CFCDF"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110</w:t>
            </w:r>
          </w:p>
        </w:tc>
        <w:tc>
          <w:tcPr>
            <w:tcW w:w="1815" w:type="dxa"/>
            <w:vAlign w:val="center"/>
          </w:tcPr>
          <w:p w14:paraId="607761D9" w14:textId="19CDF113"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13</w:t>
            </w:r>
          </w:p>
        </w:tc>
        <w:tc>
          <w:tcPr>
            <w:tcW w:w="1815" w:type="dxa"/>
            <w:tcBorders>
              <w:right w:val="single" w:sz="4" w:space="0" w:color="808080" w:themeColor="background1" w:themeShade="80"/>
            </w:tcBorders>
            <w:shd w:val="clear" w:color="auto" w:fill="auto"/>
            <w:vAlign w:val="center"/>
          </w:tcPr>
          <w:p w14:paraId="5EF1B21C" w14:textId="0CA61556"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123</w:t>
            </w:r>
          </w:p>
        </w:tc>
      </w:tr>
      <w:tr w:rsidR="00AB1F61" w:rsidRPr="00D41B36" w14:paraId="56893BF5" w14:textId="77777777" w:rsidTr="00CB38F0">
        <w:trPr>
          <w:trHeight w:val="360"/>
          <w:jc w:val="center"/>
        </w:trPr>
        <w:tc>
          <w:tcPr>
            <w:tcW w:w="5085" w:type="dxa"/>
            <w:tcBorders>
              <w:left w:val="single" w:sz="4" w:space="0" w:color="808080" w:themeColor="background1" w:themeShade="80"/>
            </w:tcBorders>
            <w:vAlign w:val="center"/>
          </w:tcPr>
          <w:p w14:paraId="462C151C" w14:textId="77777777" w:rsidR="00AB1F61" w:rsidRPr="007246A9" w:rsidRDefault="00AB1F61" w:rsidP="00AB1F61">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eastAsia="en-US"/>
              </w:rPr>
            </w:pPr>
            <w:r w:rsidRPr="007246A9">
              <w:rPr>
                <w:rFonts w:ascii="Arial" w:hAnsi="Arial" w:cs="Arial"/>
                <w:sz w:val="16"/>
                <w:szCs w:val="16"/>
                <w:lang w:val="el-GR"/>
              </w:rPr>
              <w:t xml:space="preserve">Βιοτεχνίες </w:t>
            </w:r>
            <w:r w:rsidRPr="007246A9">
              <w:rPr>
                <w:rFonts w:ascii="Arial" w:hAnsi="Arial" w:cs="Arial"/>
                <w:sz w:val="16"/>
                <w:szCs w:val="16"/>
              </w:rPr>
              <w:t>και β</w:t>
            </w:r>
            <w:proofErr w:type="spellStart"/>
            <w:r w:rsidRPr="007246A9">
              <w:rPr>
                <w:rFonts w:ascii="Arial" w:hAnsi="Arial" w:cs="Arial"/>
                <w:sz w:val="16"/>
                <w:szCs w:val="16"/>
              </w:rPr>
              <w:t>ιομηχ</w:t>
            </w:r>
            <w:proofErr w:type="spellEnd"/>
            <w:r w:rsidRPr="007246A9">
              <w:rPr>
                <w:rFonts w:ascii="Arial" w:hAnsi="Arial" w:cs="Arial"/>
                <w:sz w:val="16"/>
                <w:szCs w:val="16"/>
              </w:rPr>
              <w:t>ανίες</w:t>
            </w:r>
          </w:p>
        </w:tc>
        <w:tc>
          <w:tcPr>
            <w:tcW w:w="1816" w:type="dxa"/>
            <w:vAlign w:val="center"/>
          </w:tcPr>
          <w:p w14:paraId="2432AFB6" w14:textId="5A8D36E4"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36</w:t>
            </w:r>
          </w:p>
        </w:tc>
        <w:tc>
          <w:tcPr>
            <w:tcW w:w="1815" w:type="dxa"/>
            <w:vAlign w:val="center"/>
          </w:tcPr>
          <w:p w14:paraId="478B991B" w14:textId="767FC0EF"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16</w:t>
            </w:r>
          </w:p>
        </w:tc>
        <w:tc>
          <w:tcPr>
            <w:tcW w:w="1815" w:type="dxa"/>
            <w:tcBorders>
              <w:right w:val="single" w:sz="4" w:space="0" w:color="808080" w:themeColor="background1" w:themeShade="80"/>
            </w:tcBorders>
            <w:shd w:val="clear" w:color="auto" w:fill="auto"/>
            <w:vAlign w:val="center"/>
          </w:tcPr>
          <w:p w14:paraId="517D7F4B" w14:textId="1E19978C"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52</w:t>
            </w:r>
          </w:p>
        </w:tc>
      </w:tr>
      <w:tr w:rsidR="00AB1F61" w:rsidRPr="00D41B36" w14:paraId="63FF6C08" w14:textId="77777777" w:rsidTr="00CB38F0">
        <w:trPr>
          <w:trHeight w:val="360"/>
          <w:jc w:val="center"/>
        </w:trPr>
        <w:tc>
          <w:tcPr>
            <w:tcW w:w="5085" w:type="dxa"/>
            <w:tcBorders>
              <w:left w:val="single" w:sz="4" w:space="0" w:color="808080" w:themeColor="background1" w:themeShade="80"/>
            </w:tcBorders>
            <w:vAlign w:val="center"/>
          </w:tcPr>
          <w:p w14:paraId="69CE0C6E" w14:textId="77777777" w:rsidR="00AB1F61" w:rsidRPr="007246A9" w:rsidRDefault="00AB1F61" w:rsidP="00AB1F61">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eastAsia="en-US"/>
              </w:rPr>
            </w:pPr>
            <w:proofErr w:type="spellStart"/>
            <w:r w:rsidRPr="007246A9">
              <w:rPr>
                <w:rFonts w:ascii="Arial" w:hAnsi="Arial" w:cs="Arial"/>
                <w:sz w:val="16"/>
                <w:szCs w:val="16"/>
              </w:rPr>
              <w:t>Ξενοδοχεί</w:t>
            </w:r>
            <w:proofErr w:type="spellEnd"/>
            <w:r w:rsidRPr="007246A9">
              <w:rPr>
                <w:rFonts w:ascii="Arial" w:hAnsi="Arial" w:cs="Arial"/>
                <w:sz w:val="16"/>
                <w:szCs w:val="16"/>
              </w:rPr>
              <w:t>α</w:t>
            </w:r>
          </w:p>
        </w:tc>
        <w:tc>
          <w:tcPr>
            <w:tcW w:w="1816" w:type="dxa"/>
            <w:vAlign w:val="center"/>
          </w:tcPr>
          <w:p w14:paraId="20BFBD6B" w14:textId="56D7A01D"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17</w:t>
            </w:r>
          </w:p>
        </w:tc>
        <w:tc>
          <w:tcPr>
            <w:tcW w:w="1815" w:type="dxa"/>
            <w:vAlign w:val="center"/>
          </w:tcPr>
          <w:p w14:paraId="76D26319" w14:textId="2926529A"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0</w:t>
            </w:r>
          </w:p>
        </w:tc>
        <w:tc>
          <w:tcPr>
            <w:tcW w:w="1815" w:type="dxa"/>
            <w:tcBorders>
              <w:right w:val="single" w:sz="4" w:space="0" w:color="808080" w:themeColor="background1" w:themeShade="80"/>
            </w:tcBorders>
            <w:shd w:val="clear" w:color="auto" w:fill="auto"/>
            <w:vAlign w:val="center"/>
          </w:tcPr>
          <w:p w14:paraId="00309CE3" w14:textId="3E3B9E29"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17</w:t>
            </w:r>
          </w:p>
        </w:tc>
      </w:tr>
      <w:tr w:rsidR="00AB1F61" w:rsidRPr="00D41B36" w14:paraId="215ED7F2" w14:textId="77777777" w:rsidTr="00CB38F0">
        <w:trPr>
          <w:trHeight w:val="360"/>
          <w:jc w:val="center"/>
        </w:trPr>
        <w:tc>
          <w:tcPr>
            <w:tcW w:w="5085" w:type="dxa"/>
            <w:tcBorders>
              <w:left w:val="single" w:sz="4" w:space="0" w:color="808080" w:themeColor="background1" w:themeShade="80"/>
            </w:tcBorders>
            <w:vAlign w:val="center"/>
          </w:tcPr>
          <w:p w14:paraId="58E05841" w14:textId="77777777" w:rsidR="00AB1F61" w:rsidRPr="007246A9" w:rsidRDefault="00AB1F61" w:rsidP="00AB1F61">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eastAsia="en-US"/>
              </w:rPr>
            </w:pPr>
            <w:proofErr w:type="spellStart"/>
            <w:r w:rsidRPr="007246A9">
              <w:rPr>
                <w:rFonts w:ascii="Arial" w:hAnsi="Arial" w:cs="Arial"/>
                <w:sz w:val="16"/>
                <w:szCs w:val="16"/>
              </w:rPr>
              <w:t>Γη</w:t>
            </w:r>
            <w:proofErr w:type="spellEnd"/>
            <w:r w:rsidRPr="007246A9">
              <w:rPr>
                <w:rFonts w:ascii="Arial" w:hAnsi="Arial" w:cs="Arial"/>
                <w:sz w:val="16"/>
                <w:szCs w:val="16"/>
              </w:rPr>
              <w:t xml:space="preserve"> (</w:t>
            </w:r>
            <w:proofErr w:type="spellStart"/>
            <w:r w:rsidRPr="007246A9">
              <w:rPr>
                <w:rFonts w:ascii="Arial" w:hAnsi="Arial" w:cs="Arial"/>
                <w:sz w:val="16"/>
                <w:szCs w:val="16"/>
              </w:rPr>
              <w:t>οικό</w:t>
            </w:r>
            <w:proofErr w:type="spellEnd"/>
            <w:r w:rsidRPr="007246A9">
              <w:rPr>
                <w:rFonts w:ascii="Arial" w:hAnsi="Arial" w:cs="Arial"/>
                <w:sz w:val="16"/>
                <w:szCs w:val="16"/>
              </w:rPr>
              <w:t>πεδα και α</w:t>
            </w:r>
            <w:proofErr w:type="spellStart"/>
            <w:r w:rsidRPr="007246A9">
              <w:rPr>
                <w:rFonts w:ascii="Arial" w:hAnsi="Arial" w:cs="Arial"/>
                <w:sz w:val="16"/>
                <w:szCs w:val="16"/>
              </w:rPr>
              <w:t>γροτεμάχι</w:t>
            </w:r>
            <w:proofErr w:type="spellEnd"/>
            <w:r w:rsidRPr="007246A9">
              <w:rPr>
                <w:rFonts w:ascii="Arial" w:hAnsi="Arial" w:cs="Arial"/>
                <w:sz w:val="16"/>
                <w:szCs w:val="16"/>
              </w:rPr>
              <w:t>α)</w:t>
            </w:r>
          </w:p>
        </w:tc>
        <w:tc>
          <w:tcPr>
            <w:tcW w:w="1816" w:type="dxa"/>
            <w:vAlign w:val="center"/>
          </w:tcPr>
          <w:p w14:paraId="31A6ACAD" w14:textId="102F57ED"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405</w:t>
            </w:r>
          </w:p>
        </w:tc>
        <w:tc>
          <w:tcPr>
            <w:tcW w:w="1815" w:type="dxa"/>
            <w:vAlign w:val="center"/>
          </w:tcPr>
          <w:p w14:paraId="623B3460" w14:textId="034CC816"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4</w:t>
            </w:r>
          </w:p>
        </w:tc>
        <w:tc>
          <w:tcPr>
            <w:tcW w:w="1815" w:type="dxa"/>
            <w:tcBorders>
              <w:right w:val="single" w:sz="4" w:space="0" w:color="808080" w:themeColor="background1" w:themeShade="80"/>
            </w:tcBorders>
            <w:shd w:val="clear" w:color="auto" w:fill="auto"/>
            <w:vAlign w:val="center"/>
          </w:tcPr>
          <w:p w14:paraId="14552450" w14:textId="33A4B52E"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409</w:t>
            </w:r>
          </w:p>
        </w:tc>
      </w:tr>
      <w:tr w:rsidR="00AB1F61" w:rsidRPr="00D41B36" w14:paraId="39AEF188" w14:textId="77777777" w:rsidTr="00CB38F0">
        <w:trPr>
          <w:trHeight w:val="360"/>
          <w:jc w:val="center"/>
        </w:trPr>
        <w:tc>
          <w:tcPr>
            <w:tcW w:w="5085" w:type="dxa"/>
            <w:tcBorders>
              <w:left w:val="single" w:sz="4" w:space="0" w:color="808080" w:themeColor="background1" w:themeShade="80"/>
            </w:tcBorders>
            <w:vAlign w:val="center"/>
          </w:tcPr>
          <w:p w14:paraId="4E8F324F" w14:textId="77777777" w:rsidR="00AB1F61" w:rsidRPr="007246A9" w:rsidRDefault="00AB1F61" w:rsidP="00AB1F61">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val="el-GR" w:eastAsia="en-US"/>
              </w:rPr>
            </w:pPr>
            <w:r w:rsidRPr="007246A9">
              <w:rPr>
                <w:rFonts w:ascii="Arial" w:hAnsi="Arial" w:cs="Arial"/>
                <w:sz w:val="16"/>
                <w:szCs w:val="16"/>
                <w:lang w:val="el-GR"/>
              </w:rPr>
              <w:t>Γήπεδα γκολφ και ακίνητα σχετικά με γκολφ</w:t>
            </w:r>
          </w:p>
        </w:tc>
        <w:tc>
          <w:tcPr>
            <w:tcW w:w="1816" w:type="dxa"/>
            <w:vAlign w:val="center"/>
          </w:tcPr>
          <w:p w14:paraId="6689E0E8" w14:textId="50C7809A" w:rsidR="00AB1F61" w:rsidRPr="007246A9" w:rsidRDefault="00AB1F61" w:rsidP="00AB1F61">
            <w:pPr>
              <w:spacing w:before="40" w:after="40" w:line="240" w:lineRule="auto"/>
              <w:jc w:val="right"/>
              <w:rPr>
                <w:rFonts w:ascii="Arial" w:hAnsi="Arial" w:cs="Arial"/>
                <w:sz w:val="16"/>
                <w:szCs w:val="18"/>
              </w:rPr>
            </w:pPr>
            <w:r w:rsidRPr="007246A9">
              <w:rPr>
                <w:rFonts w:ascii="Arial" w:hAnsi="Arial" w:cs="Arial"/>
                <w:b/>
                <w:bCs/>
                <w:sz w:val="16"/>
                <w:szCs w:val="18"/>
              </w:rPr>
              <w:t>199</w:t>
            </w:r>
          </w:p>
        </w:tc>
        <w:tc>
          <w:tcPr>
            <w:tcW w:w="1815" w:type="dxa"/>
            <w:vAlign w:val="center"/>
          </w:tcPr>
          <w:p w14:paraId="528606D0" w14:textId="109D6B17" w:rsidR="00AB1F61" w:rsidRPr="007246A9" w:rsidRDefault="00AB1F61" w:rsidP="00AB1F61">
            <w:pPr>
              <w:spacing w:before="40" w:after="40" w:line="240" w:lineRule="auto"/>
              <w:jc w:val="right"/>
              <w:rPr>
                <w:rFonts w:ascii="Arial" w:hAnsi="Arial" w:cs="Arial"/>
                <w:sz w:val="16"/>
                <w:szCs w:val="18"/>
              </w:rPr>
            </w:pPr>
            <w:r w:rsidRPr="007246A9">
              <w:rPr>
                <w:rFonts w:ascii="Arial" w:eastAsia="Batang" w:hAnsi="Arial" w:cs="Arial"/>
                <w:b/>
                <w:sz w:val="16"/>
                <w:szCs w:val="18"/>
                <w:lang w:eastAsia="en-US"/>
              </w:rPr>
              <w:t>0</w:t>
            </w:r>
          </w:p>
        </w:tc>
        <w:tc>
          <w:tcPr>
            <w:tcW w:w="1815" w:type="dxa"/>
            <w:tcBorders>
              <w:right w:val="single" w:sz="4" w:space="0" w:color="808080" w:themeColor="background1" w:themeShade="80"/>
            </w:tcBorders>
            <w:shd w:val="clear" w:color="auto" w:fill="auto"/>
            <w:vAlign w:val="center"/>
          </w:tcPr>
          <w:p w14:paraId="7AC02DEE" w14:textId="02220E5A" w:rsidR="00AB1F61" w:rsidRPr="007246A9" w:rsidRDefault="00AB1F61" w:rsidP="00AB1F61">
            <w:pPr>
              <w:spacing w:before="40" w:after="40" w:line="240" w:lineRule="auto"/>
              <w:jc w:val="right"/>
              <w:rPr>
                <w:rFonts w:ascii="Arial" w:hAnsi="Arial" w:cs="Arial"/>
                <w:sz w:val="16"/>
                <w:szCs w:val="18"/>
              </w:rPr>
            </w:pPr>
            <w:r w:rsidRPr="007246A9">
              <w:rPr>
                <w:rFonts w:ascii="Arial" w:eastAsia="Batang" w:hAnsi="Arial" w:cs="Arial"/>
                <w:b/>
                <w:sz w:val="16"/>
                <w:szCs w:val="18"/>
                <w:lang w:eastAsia="en-US"/>
              </w:rPr>
              <w:t>199</w:t>
            </w:r>
          </w:p>
        </w:tc>
      </w:tr>
      <w:tr w:rsidR="00AB1F61" w:rsidRPr="00D41B36" w14:paraId="0894C98D" w14:textId="77777777" w:rsidTr="00CB38F0">
        <w:trPr>
          <w:trHeight w:val="360"/>
          <w:jc w:val="center"/>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774C1CE" w14:textId="77777777" w:rsidR="00AB1F61" w:rsidRPr="007246A9" w:rsidRDefault="00AB1F61" w:rsidP="00AB1F61">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b/>
                <w:sz w:val="16"/>
                <w:szCs w:val="18"/>
                <w:lang w:eastAsia="en-US"/>
              </w:rPr>
            </w:pPr>
            <w:r w:rsidRPr="007246A9">
              <w:rPr>
                <w:rFonts w:ascii="Arial" w:eastAsia="Batang" w:hAnsi="Arial" w:cs="Arial"/>
                <w:b/>
                <w:sz w:val="16"/>
                <w:szCs w:val="16"/>
                <w:lang w:val="el-GR" w:eastAsia="en-US"/>
              </w:rPr>
              <w:t>Σύνολο</w:t>
            </w:r>
            <w:r w:rsidRPr="007246A9">
              <w:rPr>
                <w:rFonts w:ascii="Arial" w:eastAsia="Batang" w:hAnsi="Arial" w:cs="Arial"/>
                <w:b/>
                <w:sz w:val="16"/>
                <w:szCs w:val="16"/>
                <w:lang w:eastAsia="en-US"/>
              </w:rPr>
              <w:t xml:space="preserve"> </w:t>
            </w:r>
          </w:p>
        </w:tc>
        <w:tc>
          <w:tcPr>
            <w:tcW w:w="1816" w:type="dxa"/>
            <w:tcBorders>
              <w:top w:val="single" w:sz="4" w:space="0" w:color="808080" w:themeColor="background1" w:themeShade="80"/>
              <w:bottom w:val="single" w:sz="4" w:space="0" w:color="808080" w:themeColor="background1" w:themeShade="80"/>
            </w:tcBorders>
            <w:vAlign w:val="center"/>
          </w:tcPr>
          <w:p w14:paraId="253BB5AF" w14:textId="6F8D40A0"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817</w:t>
            </w:r>
          </w:p>
        </w:tc>
        <w:tc>
          <w:tcPr>
            <w:tcW w:w="1815" w:type="dxa"/>
            <w:tcBorders>
              <w:top w:val="single" w:sz="4" w:space="0" w:color="808080" w:themeColor="background1" w:themeShade="80"/>
              <w:bottom w:val="single" w:sz="4" w:space="0" w:color="808080" w:themeColor="background1" w:themeShade="80"/>
            </w:tcBorders>
            <w:vAlign w:val="center"/>
          </w:tcPr>
          <w:p w14:paraId="7EB5B6BD" w14:textId="18F5213B"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45</w:t>
            </w:r>
          </w:p>
        </w:tc>
        <w:tc>
          <w:tcPr>
            <w:tcW w:w="181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306B65" w14:textId="0F089C98" w:rsidR="00AB1F61" w:rsidRPr="007246A9" w:rsidRDefault="00AB1F61" w:rsidP="00AB1F61">
            <w:pPr>
              <w:spacing w:before="40" w:after="40" w:line="240" w:lineRule="auto"/>
              <w:jc w:val="right"/>
              <w:rPr>
                <w:rFonts w:ascii="Arial" w:eastAsia="Batang" w:hAnsi="Arial" w:cs="Arial"/>
                <w:sz w:val="16"/>
                <w:szCs w:val="18"/>
                <w:lang w:eastAsia="en-US"/>
              </w:rPr>
            </w:pPr>
            <w:r w:rsidRPr="007246A9">
              <w:rPr>
                <w:rFonts w:ascii="Arial" w:eastAsia="Batang" w:hAnsi="Arial" w:cs="Arial"/>
                <w:b/>
                <w:sz w:val="16"/>
                <w:szCs w:val="18"/>
                <w:lang w:eastAsia="en-US"/>
              </w:rPr>
              <w:t>862</w:t>
            </w:r>
          </w:p>
        </w:tc>
      </w:tr>
    </w:tbl>
    <w:p w14:paraId="07C96F69" w14:textId="77777777" w:rsidR="00516A65" w:rsidRPr="00D41B36" w:rsidRDefault="00516A65" w:rsidP="000C7701">
      <w:pPr>
        <w:spacing w:line="240" w:lineRule="auto"/>
        <w:rPr>
          <w:rFonts w:ascii="Arial" w:hAnsi="Arial" w:cs="Arial"/>
          <w:color w:val="FF9900"/>
          <w:sz w:val="20"/>
          <w:szCs w:val="20"/>
          <w:highlight w:val="yellow"/>
          <w:lang w:val="en-US"/>
        </w:rPr>
      </w:pPr>
    </w:p>
    <w:bookmarkEnd w:id="7"/>
    <w:p w14:paraId="5433FC00" w14:textId="22558327" w:rsidR="00541A89" w:rsidRDefault="00541A89">
      <w:pPr>
        <w:rPr>
          <w:rFonts w:ascii="Arial" w:hAnsi="Arial" w:cs="Arial"/>
          <w:b/>
          <w:bCs/>
          <w:color w:val="FF9900"/>
          <w:sz w:val="24"/>
          <w:szCs w:val="24"/>
          <w:highlight w:val="yellow"/>
          <w:lang w:val="el-GR"/>
        </w:rPr>
      </w:pPr>
      <w:r>
        <w:rPr>
          <w:rFonts w:ascii="Arial" w:hAnsi="Arial" w:cs="Arial"/>
          <w:b/>
          <w:bCs/>
          <w:color w:val="FF9900"/>
          <w:sz w:val="24"/>
          <w:szCs w:val="24"/>
          <w:highlight w:val="yellow"/>
          <w:lang w:val="el-GR"/>
        </w:rPr>
        <w:br w:type="page"/>
      </w:r>
    </w:p>
    <w:p w14:paraId="6CBAE230" w14:textId="193AC603" w:rsidR="003867AC" w:rsidRPr="007246A9" w:rsidRDefault="00917B3B" w:rsidP="003B4E96">
      <w:pPr>
        <w:rPr>
          <w:rFonts w:ascii="Arial" w:hAnsi="Arial" w:cs="Arial"/>
          <w:b/>
          <w:bCs/>
          <w:color w:val="FF9900"/>
          <w:sz w:val="24"/>
          <w:lang w:val="el-GR"/>
        </w:rPr>
      </w:pPr>
      <w:r w:rsidRPr="007246A9">
        <w:rPr>
          <w:rFonts w:ascii="Arial" w:hAnsi="Arial" w:cs="Arial"/>
          <w:b/>
          <w:bCs/>
          <w:color w:val="FF9900"/>
          <w:sz w:val="24"/>
          <w:szCs w:val="24"/>
          <w:lang w:val="el-GR"/>
        </w:rPr>
        <w:lastRenderedPageBreak/>
        <w:t>Α</w:t>
      </w:r>
      <w:r w:rsidR="00352599" w:rsidRPr="007246A9">
        <w:rPr>
          <w:rFonts w:ascii="Arial" w:hAnsi="Arial" w:cs="Arial"/>
          <w:b/>
          <w:bCs/>
          <w:color w:val="FF9900"/>
          <w:sz w:val="24"/>
          <w:szCs w:val="24"/>
          <w:lang w:val="el-GR"/>
        </w:rPr>
        <w:t xml:space="preserve">.  Οικονομικά Αποτελέσματα Συγκροτήματος – Υποκείμενη Βάση </w:t>
      </w:r>
      <w:r w:rsidR="00352599" w:rsidRPr="007246A9">
        <w:rPr>
          <w:rFonts w:ascii="Arial" w:hAnsi="Arial" w:cs="Arial"/>
          <w:color w:val="FF9900"/>
          <w:sz w:val="24"/>
          <w:szCs w:val="24"/>
          <w:lang w:val="el-GR"/>
        </w:rPr>
        <w:t xml:space="preserve">(συνέχεια) </w:t>
      </w:r>
    </w:p>
    <w:p w14:paraId="79DFD71A" w14:textId="52F18D0A" w:rsidR="00352599" w:rsidRPr="007246A9" w:rsidRDefault="00917B3B" w:rsidP="00CB38F0">
      <w:pPr>
        <w:rPr>
          <w:rFonts w:ascii="Arial" w:hAnsi="Arial" w:cs="Arial"/>
          <w:b/>
          <w:bCs/>
          <w:color w:val="FF9900"/>
          <w:sz w:val="23"/>
          <w:szCs w:val="23"/>
          <w:lang w:val="el-GR"/>
        </w:rPr>
      </w:pPr>
      <w:r w:rsidRPr="007246A9">
        <w:rPr>
          <w:rFonts w:ascii="Arial" w:hAnsi="Arial" w:cs="Arial"/>
          <w:b/>
          <w:bCs/>
          <w:color w:val="FF9900"/>
          <w:sz w:val="23"/>
          <w:szCs w:val="23"/>
          <w:lang w:val="el-GR"/>
        </w:rPr>
        <w:t>Α</w:t>
      </w:r>
      <w:r w:rsidR="00352599" w:rsidRPr="007246A9">
        <w:rPr>
          <w:rFonts w:ascii="Arial" w:hAnsi="Arial" w:cs="Arial"/>
          <w:b/>
          <w:bCs/>
          <w:color w:val="FF9900"/>
          <w:sz w:val="23"/>
          <w:szCs w:val="23"/>
          <w:lang w:val="el-GR"/>
        </w:rPr>
        <w:t>.</w:t>
      </w:r>
      <w:r w:rsidRPr="007246A9">
        <w:rPr>
          <w:rFonts w:ascii="Arial" w:hAnsi="Arial" w:cs="Arial"/>
          <w:b/>
          <w:bCs/>
          <w:color w:val="FF9900"/>
          <w:sz w:val="23"/>
          <w:szCs w:val="23"/>
          <w:lang w:val="el-GR"/>
        </w:rPr>
        <w:t>2</w:t>
      </w:r>
      <w:r w:rsidR="00352599" w:rsidRPr="007246A9">
        <w:rPr>
          <w:rFonts w:ascii="Arial" w:hAnsi="Arial" w:cs="Arial"/>
          <w:b/>
          <w:bCs/>
          <w:color w:val="FF9900"/>
          <w:sz w:val="23"/>
          <w:szCs w:val="23"/>
          <w:lang w:val="el-GR"/>
        </w:rPr>
        <w:t xml:space="preserve">. Ανάλυση Κατάστασης Λογαριασμού Αποτελεσμάτων </w:t>
      </w:r>
    </w:p>
    <w:p w14:paraId="1B4BE7B3" w14:textId="3C1D51A9" w:rsidR="00352599" w:rsidRPr="007246A9" w:rsidRDefault="00917B3B" w:rsidP="004953BA">
      <w:pPr>
        <w:spacing w:after="0" w:line="360" w:lineRule="auto"/>
        <w:ind w:left="851" w:hanging="851"/>
        <w:rPr>
          <w:rFonts w:ascii="Arial" w:hAnsi="Arial" w:cs="Arial"/>
          <w:b/>
          <w:bCs/>
          <w:color w:val="FF9900"/>
          <w:lang w:val="el-GR"/>
        </w:rPr>
      </w:pPr>
      <w:r w:rsidRPr="007246A9">
        <w:rPr>
          <w:rFonts w:ascii="Arial" w:hAnsi="Arial" w:cs="Arial"/>
          <w:b/>
          <w:bCs/>
          <w:color w:val="FF9900"/>
          <w:lang w:val="el-GR"/>
        </w:rPr>
        <w:t>Α</w:t>
      </w:r>
      <w:r w:rsidR="00352599" w:rsidRPr="007246A9">
        <w:rPr>
          <w:rFonts w:ascii="Arial" w:hAnsi="Arial" w:cs="Arial"/>
          <w:b/>
          <w:bCs/>
          <w:color w:val="FF9900"/>
          <w:lang w:val="el-GR"/>
        </w:rPr>
        <w:t>.</w:t>
      </w:r>
      <w:r w:rsidRPr="007246A9">
        <w:rPr>
          <w:rFonts w:ascii="Arial" w:hAnsi="Arial" w:cs="Arial"/>
          <w:b/>
          <w:bCs/>
          <w:color w:val="FF9900"/>
          <w:lang w:val="el-GR"/>
        </w:rPr>
        <w:t>2</w:t>
      </w:r>
      <w:r w:rsidR="00352599" w:rsidRPr="007246A9">
        <w:rPr>
          <w:rFonts w:ascii="Arial" w:hAnsi="Arial" w:cs="Arial"/>
          <w:b/>
          <w:bCs/>
          <w:color w:val="FF9900"/>
          <w:lang w:val="el-GR"/>
        </w:rPr>
        <w:t>.1 Συνολικά Έσοδα</w:t>
      </w:r>
    </w:p>
    <w:tbl>
      <w:tblPr>
        <w:tblW w:w="5130" w:type="pct"/>
        <w:jc w:val="center"/>
        <w:tblLayout w:type="fixed"/>
        <w:tblCellMar>
          <w:left w:w="40" w:type="dxa"/>
          <w:right w:w="40" w:type="dxa"/>
        </w:tblCellMar>
        <w:tblLook w:val="0000" w:firstRow="0" w:lastRow="0" w:firstColumn="0" w:lastColumn="0" w:noHBand="0" w:noVBand="0"/>
      </w:tblPr>
      <w:tblGrid>
        <w:gridCol w:w="3972"/>
        <w:gridCol w:w="1136"/>
        <w:gridCol w:w="1136"/>
        <w:gridCol w:w="884"/>
        <w:gridCol w:w="888"/>
        <w:gridCol w:w="1049"/>
        <w:gridCol w:w="866"/>
      </w:tblGrid>
      <w:tr w:rsidR="004127DF" w:rsidRPr="00D41B36" w14:paraId="1670B562" w14:textId="77777777" w:rsidTr="00502B4F">
        <w:trPr>
          <w:trHeight w:val="272"/>
          <w:jc w:val="center"/>
        </w:trPr>
        <w:tc>
          <w:tcPr>
            <w:tcW w:w="2000"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70C0518" w14:textId="50369938" w:rsidR="004127DF" w:rsidRPr="007246A9" w:rsidRDefault="004127DF" w:rsidP="004127DF">
            <w:pPr>
              <w:tabs>
                <w:tab w:val="left" w:pos="974"/>
                <w:tab w:val="left" w:pos="1416"/>
                <w:tab w:val="decimal" w:pos="4962"/>
                <w:tab w:val="decimal" w:pos="6521"/>
                <w:tab w:val="right" w:pos="7560"/>
                <w:tab w:val="decimal" w:pos="8220"/>
                <w:tab w:val="left" w:pos="8640"/>
                <w:tab w:val="right" w:pos="9000"/>
              </w:tabs>
              <w:suppressAutoHyphens/>
              <w:spacing w:after="0" w:line="240" w:lineRule="auto"/>
              <w:ind w:left="10"/>
              <w:rPr>
                <w:rFonts w:ascii="Arial" w:eastAsia="Times New Roman" w:hAnsi="Arial" w:cs="Arial"/>
                <w:b/>
                <w:bCs/>
                <w:sz w:val="18"/>
                <w:szCs w:val="18"/>
                <w:lang w:val="el-GR" w:eastAsia="el-GR"/>
              </w:rPr>
            </w:pPr>
            <w:r w:rsidRPr="007246A9">
              <w:rPr>
                <w:rFonts w:ascii="Arial" w:eastAsia="Times New Roman" w:hAnsi="Arial" w:cs="Arial"/>
                <w:b/>
                <w:sz w:val="18"/>
                <w:szCs w:val="18"/>
                <w:lang w:eastAsia="el-GR"/>
              </w:rPr>
              <w:t xml:space="preserve">€ </w:t>
            </w:r>
            <w:r w:rsidRPr="007246A9">
              <w:rPr>
                <w:rFonts w:ascii="Arial" w:eastAsia="Times New Roman" w:hAnsi="Arial" w:cs="Arial"/>
                <w:b/>
                <w:sz w:val="18"/>
                <w:szCs w:val="18"/>
                <w:lang w:val="el-GR" w:eastAsia="el-GR"/>
              </w:rPr>
              <w:t>εκατ.</w:t>
            </w:r>
          </w:p>
          <w:p w14:paraId="5CC41AC0" w14:textId="096B0868" w:rsidR="004127DF" w:rsidRPr="00D41B36" w:rsidRDefault="004127DF" w:rsidP="004127DF">
            <w:pPr>
              <w:tabs>
                <w:tab w:val="left" w:pos="0"/>
                <w:tab w:val="left" w:pos="1416"/>
                <w:tab w:val="decimal" w:pos="4962"/>
                <w:tab w:val="decimal" w:pos="6521"/>
                <w:tab w:val="right" w:pos="7560"/>
                <w:tab w:val="decimal" w:pos="8220"/>
                <w:tab w:val="left" w:pos="8640"/>
                <w:tab w:val="right" w:pos="9000"/>
              </w:tabs>
              <w:suppressAutoHyphens/>
              <w:spacing w:before="60" w:after="0"/>
              <w:ind w:right="23"/>
              <w:rPr>
                <w:rFonts w:ascii="Arial" w:eastAsia="Times New Roman" w:hAnsi="Arial" w:cs="Arial"/>
                <w:b/>
                <w:bCs/>
                <w:sz w:val="18"/>
                <w:szCs w:val="18"/>
                <w:highlight w:val="yellow"/>
                <w:lang w:val="el-GR" w:eastAsia="el-GR"/>
              </w:rPr>
            </w:pPr>
          </w:p>
        </w:tc>
        <w:tc>
          <w:tcPr>
            <w:tcW w:w="572" w:type="pct"/>
            <w:tcBorders>
              <w:top w:val="single" w:sz="4" w:space="0" w:color="808080" w:themeColor="background1" w:themeShade="80"/>
              <w:bottom w:val="single" w:sz="4" w:space="0" w:color="808080" w:themeColor="background1" w:themeShade="80"/>
            </w:tcBorders>
          </w:tcPr>
          <w:p w14:paraId="21301875" w14:textId="000A56F8" w:rsidR="004127DF" w:rsidRPr="00502B4F" w:rsidRDefault="007A2F9B" w:rsidP="004127DF">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highlight w:val="yellow"/>
                <w:lang w:val="el-GR" w:eastAsia="el-GR"/>
              </w:rPr>
            </w:pPr>
            <w:r>
              <w:rPr>
                <w:rFonts w:ascii="Arial" w:hAnsi="Arial" w:cs="Arial"/>
                <w:b/>
                <w:bCs/>
                <w:sz w:val="16"/>
                <w:szCs w:val="16"/>
                <w:lang w:val="el-GR"/>
              </w:rPr>
              <w:t>Εννεάμηνο</w:t>
            </w:r>
            <w:r w:rsidR="004127DF" w:rsidRPr="004127DF">
              <w:rPr>
                <w:rFonts w:ascii="Arial" w:hAnsi="Arial" w:cs="Arial"/>
                <w:b/>
                <w:bCs/>
                <w:sz w:val="16"/>
                <w:szCs w:val="16"/>
                <w:lang w:val="el-GR"/>
              </w:rPr>
              <w:t xml:space="preserve"> 2024</w:t>
            </w:r>
          </w:p>
        </w:tc>
        <w:tc>
          <w:tcPr>
            <w:tcW w:w="572" w:type="pct"/>
            <w:tcBorders>
              <w:top w:val="single" w:sz="4" w:space="0" w:color="808080" w:themeColor="background1" w:themeShade="80"/>
              <w:bottom w:val="single" w:sz="4" w:space="0" w:color="808080" w:themeColor="background1" w:themeShade="80"/>
            </w:tcBorders>
          </w:tcPr>
          <w:p w14:paraId="6A431D93" w14:textId="34705B52" w:rsidR="004127DF" w:rsidRPr="00502B4F" w:rsidRDefault="007A2F9B"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right="23"/>
              <w:jc w:val="center"/>
              <w:rPr>
                <w:rFonts w:ascii="Arial" w:eastAsia="Times New Roman" w:hAnsi="Arial" w:cs="Arial"/>
                <w:b/>
                <w:bCs/>
                <w:sz w:val="16"/>
                <w:szCs w:val="16"/>
                <w:highlight w:val="yellow"/>
                <w:lang w:val="el-GR" w:eastAsia="el-GR"/>
              </w:rPr>
            </w:pPr>
            <w:r>
              <w:rPr>
                <w:rFonts w:ascii="Arial" w:hAnsi="Arial" w:cs="Arial"/>
                <w:b/>
                <w:bCs/>
                <w:sz w:val="16"/>
                <w:szCs w:val="16"/>
                <w:lang w:val="el-GR"/>
              </w:rPr>
              <w:t>Εννεάμηνο</w:t>
            </w:r>
            <w:r w:rsidR="004127DF" w:rsidRPr="004127DF">
              <w:rPr>
                <w:rFonts w:ascii="Arial" w:hAnsi="Arial" w:cs="Arial"/>
                <w:b/>
                <w:bCs/>
                <w:sz w:val="16"/>
                <w:szCs w:val="16"/>
                <w:lang w:val="el-GR"/>
              </w:rPr>
              <w:t xml:space="preserve"> 2023</w:t>
            </w:r>
          </w:p>
        </w:tc>
        <w:tc>
          <w:tcPr>
            <w:tcW w:w="445" w:type="pct"/>
            <w:tcBorders>
              <w:top w:val="single" w:sz="4" w:space="0" w:color="808080" w:themeColor="background1" w:themeShade="80"/>
              <w:bottom w:val="single" w:sz="4" w:space="0" w:color="808080" w:themeColor="background1" w:themeShade="80"/>
            </w:tcBorders>
          </w:tcPr>
          <w:p w14:paraId="4F5DEE70" w14:textId="77777777" w:rsidR="004127DF" w:rsidRPr="004127D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lang w:val="el-GR" w:eastAsia="el-GR"/>
              </w:rPr>
            </w:pPr>
            <w:r w:rsidRPr="004127DF">
              <w:rPr>
                <w:rFonts w:ascii="Arial" w:eastAsia="Times New Roman" w:hAnsi="Arial" w:cs="Arial"/>
                <w:bCs/>
                <w:sz w:val="16"/>
                <w:szCs w:val="16"/>
                <w:lang w:val="el-GR" w:eastAsia="el-GR"/>
              </w:rPr>
              <w:t>Ετήσια μεταβολή</w:t>
            </w:r>
          </w:p>
          <w:p w14:paraId="4F7C691A" w14:textId="2843F2EC"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highlight w:val="yellow"/>
                <w:lang w:val="el-GR" w:eastAsia="el-GR"/>
              </w:rPr>
            </w:pPr>
            <w:r w:rsidRPr="004127DF">
              <w:rPr>
                <w:rFonts w:ascii="Arial" w:hAnsi="Arial" w:cs="Arial"/>
                <w:bCs/>
                <w:sz w:val="16"/>
                <w:szCs w:val="16"/>
                <w:u w:val="single"/>
              </w:rPr>
              <w:t>+</w:t>
            </w:r>
            <w:r w:rsidRPr="004127DF">
              <w:rPr>
                <w:rFonts w:ascii="Arial" w:hAnsi="Arial" w:cs="Arial"/>
                <w:bCs/>
                <w:sz w:val="16"/>
                <w:szCs w:val="16"/>
              </w:rPr>
              <w:t>%</w:t>
            </w:r>
          </w:p>
        </w:tc>
        <w:tc>
          <w:tcPr>
            <w:tcW w:w="447" w:type="pct"/>
            <w:tcBorders>
              <w:top w:val="single" w:sz="4" w:space="0" w:color="808080" w:themeColor="background1" w:themeShade="80"/>
              <w:bottom w:val="single" w:sz="4" w:space="0" w:color="808080" w:themeColor="background1" w:themeShade="80"/>
            </w:tcBorders>
          </w:tcPr>
          <w:p w14:paraId="25558F61" w14:textId="2DA2C7AB"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highlight w:val="yellow"/>
                <w:lang w:val="el-GR" w:eastAsia="el-GR"/>
              </w:rPr>
            </w:pPr>
            <w:r w:rsidRPr="004127DF">
              <w:rPr>
                <w:rFonts w:ascii="Arial" w:eastAsia="Times New Roman" w:hAnsi="Arial" w:cs="Arial"/>
                <w:b/>
                <w:bCs/>
                <w:sz w:val="16"/>
                <w:szCs w:val="16"/>
                <w:lang w:val="el-GR" w:eastAsia="el-GR"/>
              </w:rPr>
              <w:t>Γ’ τρίμηνο 2024</w:t>
            </w:r>
          </w:p>
        </w:tc>
        <w:tc>
          <w:tcPr>
            <w:tcW w:w="528" w:type="pct"/>
            <w:tcBorders>
              <w:top w:val="single" w:sz="4" w:space="0" w:color="808080" w:themeColor="background1" w:themeShade="80"/>
              <w:bottom w:val="single" w:sz="4" w:space="0" w:color="808080" w:themeColor="background1" w:themeShade="80"/>
            </w:tcBorders>
          </w:tcPr>
          <w:p w14:paraId="28100704" w14:textId="4944DFE8"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right="23"/>
              <w:jc w:val="center"/>
              <w:rPr>
                <w:rFonts w:ascii="Arial" w:eastAsia="Times New Roman" w:hAnsi="Arial" w:cs="Arial"/>
                <w:sz w:val="16"/>
                <w:szCs w:val="16"/>
                <w:highlight w:val="yellow"/>
                <w:lang w:val="el-GR" w:eastAsia="el-GR"/>
              </w:rPr>
            </w:pPr>
            <w:r w:rsidRPr="004127DF">
              <w:rPr>
                <w:rFonts w:ascii="Arial" w:eastAsia="Times New Roman" w:hAnsi="Arial" w:cs="Arial"/>
                <w:b/>
                <w:bCs/>
                <w:sz w:val="16"/>
                <w:szCs w:val="16"/>
                <w:lang w:val="el-GR" w:eastAsia="el-GR"/>
              </w:rPr>
              <w:t>Β’ τρίμηνο 2024</w:t>
            </w:r>
          </w:p>
        </w:tc>
        <w:tc>
          <w:tcPr>
            <w:tcW w:w="436"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462DD6" w14:textId="77777777" w:rsidR="004127DF" w:rsidRPr="004127D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lang w:val="el-GR" w:eastAsia="el-GR"/>
              </w:rPr>
            </w:pPr>
            <w:r w:rsidRPr="004127DF">
              <w:rPr>
                <w:rFonts w:ascii="Arial" w:eastAsia="Times New Roman" w:hAnsi="Arial" w:cs="Arial"/>
                <w:bCs/>
                <w:sz w:val="16"/>
                <w:szCs w:val="16"/>
                <w:lang w:val="el-GR" w:eastAsia="el-GR"/>
              </w:rPr>
              <w:t>Τριμηνιαία μεταβολή</w:t>
            </w:r>
          </w:p>
          <w:p w14:paraId="6F186893" w14:textId="4802692B"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right="23"/>
              <w:jc w:val="center"/>
              <w:rPr>
                <w:rFonts w:ascii="Arial" w:eastAsia="Times New Roman" w:hAnsi="Arial" w:cs="Arial"/>
                <w:sz w:val="16"/>
                <w:szCs w:val="16"/>
                <w:highlight w:val="yellow"/>
                <w:lang w:val="el-GR" w:eastAsia="el-GR"/>
              </w:rPr>
            </w:pPr>
            <w:r w:rsidRPr="004127DF">
              <w:rPr>
                <w:rFonts w:ascii="Arial" w:eastAsia="Times New Roman" w:hAnsi="Arial" w:cs="Arial"/>
                <w:bCs/>
                <w:sz w:val="16"/>
                <w:szCs w:val="16"/>
                <w:u w:val="single"/>
                <w:lang w:val="el-GR" w:eastAsia="el-GR"/>
              </w:rPr>
              <w:t>+</w:t>
            </w:r>
            <w:r w:rsidRPr="004127DF">
              <w:rPr>
                <w:rFonts w:ascii="Arial" w:eastAsia="Times New Roman" w:hAnsi="Arial" w:cs="Arial"/>
                <w:bCs/>
                <w:sz w:val="16"/>
                <w:szCs w:val="16"/>
                <w:lang w:val="el-GR" w:eastAsia="el-GR"/>
              </w:rPr>
              <w:t>%</w:t>
            </w:r>
          </w:p>
        </w:tc>
      </w:tr>
      <w:tr w:rsidR="004127DF" w:rsidRPr="00D41B36" w14:paraId="42AE6E7A" w14:textId="77777777" w:rsidTr="004127DF">
        <w:trPr>
          <w:trHeight w:val="249"/>
          <w:jc w:val="center"/>
        </w:trPr>
        <w:tc>
          <w:tcPr>
            <w:tcW w:w="2000"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23B064C" w14:textId="42AE32D5" w:rsidR="004127DF" w:rsidRPr="007246A9" w:rsidRDefault="004127DF" w:rsidP="004127DF">
            <w:pPr>
              <w:tabs>
                <w:tab w:val="left" w:pos="974"/>
                <w:tab w:val="left" w:pos="1416"/>
                <w:tab w:val="decimal" w:pos="4962"/>
                <w:tab w:val="decimal" w:pos="6521"/>
                <w:tab w:val="right" w:pos="7560"/>
                <w:tab w:val="decimal" w:pos="8220"/>
                <w:tab w:val="left" w:pos="8640"/>
                <w:tab w:val="right" w:pos="9000"/>
              </w:tabs>
              <w:suppressAutoHyphens/>
              <w:spacing w:after="0" w:line="240" w:lineRule="auto"/>
              <w:ind w:left="10"/>
              <w:rPr>
                <w:rFonts w:ascii="Arial" w:eastAsia="Times New Roman" w:hAnsi="Arial" w:cs="Arial"/>
                <w:sz w:val="18"/>
                <w:szCs w:val="18"/>
                <w:lang w:eastAsia="el-GR"/>
              </w:rPr>
            </w:pPr>
            <w:r w:rsidRPr="007246A9">
              <w:rPr>
                <w:rFonts w:ascii="Arial" w:hAnsi="Arial" w:cs="Arial"/>
                <w:b/>
                <w:bCs/>
                <w:color w:val="000000" w:themeColor="text1"/>
                <w:sz w:val="18"/>
                <w:szCs w:val="18"/>
                <w:lang w:val="el-GR"/>
              </w:rPr>
              <w:t>Καθαρά έσοδα από τόκους</w:t>
            </w:r>
          </w:p>
        </w:tc>
        <w:tc>
          <w:tcPr>
            <w:tcW w:w="572" w:type="pct"/>
            <w:tcBorders>
              <w:top w:val="single" w:sz="4" w:space="0" w:color="808080" w:themeColor="background1" w:themeShade="80"/>
              <w:bottom w:val="single" w:sz="4" w:space="0" w:color="808080" w:themeColor="background1" w:themeShade="80"/>
            </w:tcBorders>
            <w:vAlign w:val="center"/>
          </w:tcPr>
          <w:p w14:paraId="6C8CDD48" w14:textId="2194EC11"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502B4F">
              <w:rPr>
                <w:rFonts w:ascii="Arial" w:eastAsia="Times New Roman" w:hAnsi="Arial" w:cs="Arial"/>
                <w:b/>
                <w:bCs/>
                <w:sz w:val="16"/>
                <w:szCs w:val="16"/>
                <w:lang w:eastAsia="el-GR"/>
              </w:rPr>
              <w:t>624</w:t>
            </w:r>
          </w:p>
        </w:tc>
        <w:tc>
          <w:tcPr>
            <w:tcW w:w="572" w:type="pct"/>
            <w:tcBorders>
              <w:top w:val="single" w:sz="4" w:space="0" w:color="808080" w:themeColor="background1" w:themeShade="80"/>
              <w:bottom w:val="single" w:sz="4" w:space="0" w:color="808080" w:themeColor="background1" w:themeShade="80"/>
            </w:tcBorders>
            <w:vAlign w:val="center"/>
          </w:tcPr>
          <w:p w14:paraId="7D6D599D" w14:textId="1F89734F"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b/>
                <w:bCs/>
                <w:sz w:val="16"/>
                <w:szCs w:val="16"/>
                <w:lang w:eastAsia="el-GR"/>
              </w:rPr>
              <w:t>572</w:t>
            </w:r>
          </w:p>
        </w:tc>
        <w:tc>
          <w:tcPr>
            <w:tcW w:w="445" w:type="pct"/>
            <w:tcBorders>
              <w:top w:val="single" w:sz="4" w:space="0" w:color="808080" w:themeColor="background1" w:themeShade="80"/>
              <w:bottom w:val="single" w:sz="4" w:space="0" w:color="808080" w:themeColor="background1" w:themeShade="80"/>
            </w:tcBorders>
            <w:vAlign w:val="center"/>
          </w:tcPr>
          <w:p w14:paraId="086C7728" w14:textId="7BC9CFB0"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502B4F">
              <w:rPr>
                <w:rFonts w:ascii="Arial" w:eastAsia="Times New Roman" w:hAnsi="Arial" w:cs="Arial"/>
                <w:b/>
                <w:bCs/>
                <w:sz w:val="16"/>
                <w:szCs w:val="16"/>
                <w:lang w:eastAsia="el-GR"/>
              </w:rPr>
              <w:t>9%</w:t>
            </w:r>
          </w:p>
        </w:tc>
        <w:tc>
          <w:tcPr>
            <w:tcW w:w="447" w:type="pct"/>
            <w:tcBorders>
              <w:top w:val="single" w:sz="4" w:space="0" w:color="808080" w:themeColor="background1" w:themeShade="80"/>
              <w:bottom w:val="single" w:sz="4" w:space="0" w:color="808080" w:themeColor="background1" w:themeShade="80"/>
            </w:tcBorders>
            <w:vAlign w:val="center"/>
          </w:tcPr>
          <w:p w14:paraId="2BB80584" w14:textId="77196B9F"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b/>
                <w:bCs/>
                <w:sz w:val="16"/>
                <w:szCs w:val="16"/>
                <w:lang w:eastAsia="el-GR"/>
              </w:rPr>
              <w:t>204</w:t>
            </w:r>
          </w:p>
        </w:tc>
        <w:tc>
          <w:tcPr>
            <w:tcW w:w="528" w:type="pct"/>
            <w:tcBorders>
              <w:top w:val="single" w:sz="4" w:space="0" w:color="808080" w:themeColor="background1" w:themeShade="80"/>
              <w:bottom w:val="single" w:sz="4" w:space="0" w:color="808080" w:themeColor="background1" w:themeShade="80"/>
            </w:tcBorders>
            <w:shd w:val="clear" w:color="auto" w:fill="auto"/>
            <w:vAlign w:val="center"/>
          </w:tcPr>
          <w:p w14:paraId="28189C97" w14:textId="2542AF5F"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b/>
                <w:bCs/>
                <w:sz w:val="16"/>
                <w:szCs w:val="16"/>
                <w:lang w:eastAsia="el-GR"/>
              </w:rPr>
              <w:t>207</w:t>
            </w:r>
          </w:p>
        </w:tc>
        <w:tc>
          <w:tcPr>
            <w:tcW w:w="436"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3C12EA" w14:textId="0A4E85B0"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val="el-GR" w:eastAsia="el-GR"/>
              </w:rPr>
            </w:pPr>
            <w:r w:rsidRPr="00502B4F">
              <w:rPr>
                <w:rFonts w:ascii="Arial" w:eastAsia="Times New Roman" w:hAnsi="Arial" w:cs="Arial"/>
                <w:b/>
                <w:bCs/>
                <w:sz w:val="16"/>
                <w:szCs w:val="16"/>
                <w:lang w:eastAsia="el-GR"/>
              </w:rPr>
              <w:t>-1%</w:t>
            </w:r>
          </w:p>
        </w:tc>
      </w:tr>
      <w:tr w:rsidR="004127DF" w:rsidRPr="00D41B36" w14:paraId="51877CB0" w14:textId="77777777" w:rsidTr="004127DF">
        <w:trPr>
          <w:trHeight w:val="249"/>
          <w:jc w:val="center"/>
        </w:trPr>
        <w:tc>
          <w:tcPr>
            <w:tcW w:w="2000" w:type="pct"/>
            <w:tcBorders>
              <w:top w:val="single" w:sz="4" w:space="0" w:color="808080" w:themeColor="background1" w:themeShade="80"/>
            </w:tcBorders>
            <w:vAlign w:val="center"/>
          </w:tcPr>
          <w:p w14:paraId="6DFD807E" w14:textId="68163A85" w:rsidR="004127DF" w:rsidRPr="007246A9" w:rsidRDefault="004127DF" w:rsidP="004127DF">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sz w:val="18"/>
                <w:szCs w:val="18"/>
                <w:lang w:val="el-GR" w:eastAsia="el-GR"/>
              </w:rPr>
            </w:pPr>
            <w:r w:rsidRPr="007246A9">
              <w:rPr>
                <w:rFonts w:ascii="Arial" w:hAnsi="Arial" w:cs="Arial"/>
                <w:color w:val="000000" w:themeColor="text1"/>
                <w:sz w:val="18"/>
                <w:szCs w:val="18"/>
                <w:lang w:val="el-GR"/>
              </w:rPr>
              <w:t>Καθαρά έσοδα από αμοιβές και προμήθειες</w:t>
            </w:r>
          </w:p>
        </w:tc>
        <w:tc>
          <w:tcPr>
            <w:tcW w:w="572" w:type="pct"/>
            <w:tcBorders>
              <w:top w:val="single" w:sz="4" w:space="0" w:color="808080" w:themeColor="background1" w:themeShade="80"/>
            </w:tcBorders>
            <w:vAlign w:val="center"/>
          </w:tcPr>
          <w:p w14:paraId="15109E1B" w14:textId="76A0EEAE"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val="el-GR" w:eastAsia="el-GR"/>
              </w:rPr>
            </w:pPr>
            <w:r w:rsidRPr="00502B4F">
              <w:rPr>
                <w:rFonts w:ascii="Arial" w:eastAsia="Times New Roman" w:hAnsi="Arial" w:cs="Arial"/>
                <w:sz w:val="16"/>
                <w:szCs w:val="16"/>
                <w:lang w:eastAsia="el-GR"/>
              </w:rPr>
              <w:t>131</w:t>
            </w:r>
          </w:p>
        </w:tc>
        <w:tc>
          <w:tcPr>
            <w:tcW w:w="572" w:type="pct"/>
            <w:tcBorders>
              <w:top w:val="single" w:sz="4" w:space="0" w:color="808080" w:themeColor="background1" w:themeShade="80"/>
            </w:tcBorders>
            <w:vAlign w:val="center"/>
          </w:tcPr>
          <w:p w14:paraId="313746DA" w14:textId="016B70EE"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val="el-GR" w:eastAsia="el-GR"/>
              </w:rPr>
            </w:pPr>
            <w:r w:rsidRPr="00502B4F">
              <w:rPr>
                <w:rFonts w:ascii="Arial" w:eastAsia="Times New Roman" w:hAnsi="Arial" w:cs="Arial"/>
                <w:sz w:val="16"/>
                <w:szCs w:val="16"/>
                <w:lang w:eastAsia="el-GR"/>
              </w:rPr>
              <w:t>135</w:t>
            </w:r>
          </w:p>
        </w:tc>
        <w:tc>
          <w:tcPr>
            <w:tcW w:w="445" w:type="pct"/>
            <w:tcBorders>
              <w:top w:val="single" w:sz="4" w:space="0" w:color="808080" w:themeColor="background1" w:themeShade="80"/>
            </w:tcBorders>
            <w:vAlign w:val="center"/>
          </w:tcPr>
          <w:p w14:paraId="327EA96F" w14:textId="032E5E2E"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-3%</w:t>
            </w:r>
          </w:p>
        </w:tc>
        <w:tc>
          <w:tcPr>
            <w:tcW w:w="447" w:type="pct"/>
            <w:tcBorders>
              <w:top w:val="single" w:sz="4" w:space="0" w:color="808080" w:themeColor="background1" w:themeShade="80"/>
            </w:tcBorders>
            <w:vAlign w:val="center"/>
          </w:tcPr>
          <w:p w14:paraId="3430546D" w14:textId="11D81296"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45</w:t>
            </w:r>
          </w:p>
        </w:tc>
        <w:tc>
          <w:tcPr>
            <w:tcW w:w="528" w:type="pct"/>
            <w:tcBorders>
              <w:top w:val="single" w:sz="4" w:space="0" w:color="808080" w:themeColor="background1" w:themeShade="80"/>
            </w:tcBorders>
            <w:shd w:val="clear" w:color="auto" w:fill="auto"/>
            <w:vAlign w:val="center"/>
          </w:tcPr>
          <w:p w14:paraId="4E3875F9" w14:textId="294DB9D8"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44</w:t>
            </w:r>
          </w:p>
        </w:tc>
        <w:tc>
          <w:tcPr>
            <w:tcW w:w="436" w:type="pct"/>
            <w:tcBorders>
              <w:top w:val="single" w:sz="4" w:space="0" w:color="808080" w:themeColor="background1" w:themeShade="80"/>
            </w:tcBorders>
            <w:vAlign w:val="center"/>
          </w:tcPr>
          <w:p w14:paraId="6712A66C" w14:textId="25DF5F09"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w:t>
            </w:r>
          </w:p>
        </w:tc>
      </w:tr>
      <w:tr w:rsidR="004127DF" w:rsidRPr="00D41B36" w14:paraId="6BC593B6" w14:textId="77777777" w:rsidTr="004127DF">
        <w:trPr>
          <w:trHeight w:val="249"/>
          <w:jc w:val="center"/>
        </w:trPr>
        <w:tc>
          <w:tcPr>
            <w:tcW w:w="2000" w:type="pct"/>
            <w:vAlign w:val="center"/>
          </w:tcPr>
          <w:p w14:paraId="57215D72" w14:textId="5F596E8A" w:rsidR="004127DF" w:rsidRPr="007246A9" w:rsidRDefault="004127DF" w:rsidP="004127DF">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sz w:val="18"/>
                <w:szCs w:val="18"/>
                <w:lang w:val="el-GR" w:eastAsia="el-GR"/>
              </w:rPr>
            </w:pPr>
            <w:r w:rsidRPr="007246A9">
              <w:rPr>
                <w:rFonts w:ascii="Arial" w:hAnsi="Arial" w:cs="Arial"/>
                <w:sz w:val="18"/>
                <w:szCs w:val="18"/>
                <w:lang w:val="el-GR"/>
              </w:rPr>
              <w:t>Καθαρά κέρδη</w:t>
            </w:r>
            <w:r>
              <w:rPr>
                <w:rFonts w:ascii="Arial" w:hAnsi="Arial" w:cs="Arial"/>
                <w:sz w:val="18"/>
                <w:szCs w:val="18"/>
                <w:lang w:val="el-GR"/>
              </w:rPr>
              <w:t xml:space="preserve">/ (ζημιές) </w:t>
            </w:r>
            <w:r w:rsidRPr="007246A9">
              <w:rPr>
                <w:rFonts w:ascii="Arial" w:hAnsi="Arial" w:cs="Arial"/>
                <w:sz w:val="18"/>
                <w:szCs w:val="18"/>
                <w:lang w:val="el-GR"/>
              </w:rPr>
              <w:t>από διαπραγμάτευση συναλλάγματος και καθαρά κέρδη</w:t>
            </w:r>
            <w:r>
              <w:rPr>
                <w:rFonts w:ascii="Arial" w:hAnsi="Arial" w:cs="Arial"/>
                <w:sz w:val="18"/>
                <w:szCs w:val="18"/>
                <w:lang w:val="el-GR"/>
              </w:rPr>
              <w:t>/ (ζημιές)</w:t>
            </w:r>
            <w:r w:rsidRPr="007246A9">
              <w:rPr>
                <w:rFonts w:ascii="Arial" w:hAnsi="Arial" w:cs="Arial"/>
                <w:sz w:val="18"/>
                <w:szCs w:val="18"/>
                <w:lang w:val="el-GR"/>
              </w:rPr>
              <w:t xml:space="preserve"> από </w:t>
            </w:r>
            <w:proofErr w:type="spellStart"/>
            <w:r w:rsidRPr="007246A9">
              <w:rPr>
                <w:rFonts w:ascii="Arial" w:hAnsi="Arial" w:cs="Arial"/>
                <w:sz w:val="18"/>
                <w:szCs w:val="18"/>
                <w:lang w:val="el-GR"/>
              </w:rPr>
              <w:t>χρηματοοικαονομικά</w:t>
            </w:r>
            <w:proofErr w:type="spellEnd"/>
            <w:r w:rsidRPr="007246A9">
              <w:rPr>
                <w:rFonts w:ascii="Arial" w:hAnsi="Arial" w:cs="Arial"/>
                <w:sz w:val="18"/>
                <w:szCs w:val="18"/>
                <w:lang w:val="el-GR"/>
              </w:rPr>
              <w:t xml:space="preserve"> μέσα</w:t>
            </w:r>
          </w:p>
        </w:tc>
        <w:tc>
          <w:tcPr>
            <w:tcW w:w="572" w:type="pct"/>
            <w:vAlign w:val="center"/>
          </w:tcPr>
          <w:p w14:paraId="1F611A5D" w14:textId="2F525842"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val="el-GR" w:eastAsia="el-GR"/>
              </w:rPr>
            </w:pPr>
            <w:r w:rsidRPr="00502B4F">
              <w:rPr>
                <w:rFonts w:ascii="Arial" w:eastAsia="Times New Roman" w:hAnsi="Arial" w:cs="Arial"/>
                <w:sz w:val="16"/>
                <w:szCs w:val="16"/>
                <w:lang w:eastAsia="el-GR"/>
              </w:rPr>
              <w:t>27</w:t>
            </w:r>
          </w:p>
        </w:tc>
        <w:tc>
          <w:tcPr>
            <w:tcW w:w="572" w:type="pct"/>
            <w:vAlign w:val="center"/>
          </w:tcPr>
          <w:p w14:paraId="360AB8A1" w14:textId="054DAA03"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val="el-GR" w:eastAsia="el-GR"/>
              </w:rPr>
            </w:pPr>
            <w:r w:rsidRPr="00502B4F">
              <w:rPr>
                <w:rFonts w:ascii="Arial" w:eastAsia="Times New Roman" w:hAnsi="Arial" w:cs="Arial"/>
                <w:sz w:val="16"/>
                <w:szCs w:val="16"/>
                <w:lang w:eastAsia="el-GR"/>
              </w:rPr>
              <w:t>29</w:t>
            </w:r>
          </w:p>
        </w:tc>
        <w:tc>
          <w:tcPr>
            <w:tcW w:w="445" w:type="pct"/>
            <w:vAlign w:val="center"/>
          </w:tcPr>
          <w:p w14:paraId="10E2428B" w14:textId="70354619"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-5%</w:t>
            </w:r>
          </w:p>
        </w:tc>
        <w:tc>
          <w:tcPr>
            <w:tcW w:w="447" w:type="pct"/>
            <w:vAlign w:val="center"/>
          </w:tcPr>
          <w:p w14:paraId="1A0A0B01" w14:textId="0F7FE6BC"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14</w:t>
            </w:r>
          </w:p>
        </w:tc>
        <w:tc>
          <w:tcPr>
            <w:tcW w:w="528" w:type="pct"/>
            <w:shd w:val="clear" w:color="auto" w:fill="auto"/>
            <w:vAlign w:val="center"/>
          </w:tcPr>
          <w:p w14:paraId="3E662DE2" w14:textId="38C36784"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6</w:t>
            </w:r>
          </w:p>
        </w:tc>
        <w:tc>
          <w:tcPr>
            <w:tcW w:w="436" w:type="pct"/>
            <w:vAlign w:val="center"/>
          </w:tcPr>
          <w:p w14:paraId="70FB179B" w14:textId="3B671167"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142%</w:t>
            </w:r>
          </w:p>
        </w:tc>
      </w:tr>
      <w:tr w:rsidR="004127DF" w:rsidRPr="00D41B36" w14:paraId="17C950B2" w14:textId="77777777" w:rsidTr="004127DF">
        <w:trPr>
          <w:trHeight w:val="249"/>
          <w:jc w:val="center"/>
        </w:trPr>
        <w:tc>
          <w:tcPr>
            <w:tcW w:w="2000" w:type="pct"/>
            <w:vAlign w:val="center"/>
          </w:tcPr>
          <w:p w14:paraId="28299CE3" w14:textId="02E98DB2" w:rsidR="004127DF" w:rsidRPr="007246A9" w:rsidRDefault="004127DF" w:rsidP="004127DF">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sz w:val="18"/>
                <w:szCs w:val="18"/>
                <w:lang w:val="el-GR" w:eastAsia="el-GR"/>
              </w:rPr>
            </w:pPr>
            <w:bookmarkStart w:id="16" w:name="_Hlk118375782"/>
            <w:r w:rsidRPr="007246A9">
              <w:rPr>
                <w:rFonts w:ascii="Arial" w:hAnsi="Arial" w:cs="Arial"/>
                <w:sz w:val="18"/>
                <w:szCs w:val="18"/>
                <w:lang w:val="el-GR"/>
              </w:rPr>
              <w:t>Καθαρό αποτέλεσμα από ασφαλιστικές εργασίες</w:t>
            </w:r>
            <w:bookmarkEnd w:id="16"/>
          </w:p>
        </w:tc>
        <w:tc>
          <w:tcPr>
            <w:tcW w:w="572" w:type="pct"/>
            <w:vAlign w:val="center"/>
          </w:tcPr>
          <w:p w14:paraId="237C24F6" w14:textId="3E9C007C"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val="el-GR" w:eastAsia="el-GR"/>
              </w:rPr>
            </w:pPr>
            <w:r w:rsidRPr="00502B4F">
              <w:rPr>
                <w:rFonts w:ascii="Arial" w:eastAsia="Times New Roman" w:hAnsi="Arial" w:cs="Arial"/>
                <w:sz w:val="16"/>
                <w:szCs w:val="16"/>
                <w:lang w:eastAsia="el-GR"/>
              </w:rPr>
              <w:t>35</w:t>
            </w:r>
          </w:p>
        </w:tc>
        <w:tc>
          <w:tcPr>
            <w:tcW w:w="572" w:type="pct"/>
            <w:vAlign w:val="center"/>
          </w:tcPr>
          <w:p w14:paraId="5F747519" w14:textId="7C136180"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val="el-GR" w:eastAsia="el-GR"/>
              </w:rPr>
            </w:pPr>
            <w:r w:rsidRPr="00502B4F">
              <w:rPr>
                <w:rFonts w:ascii="Arial" w:eastAsia="Times New Roman" w:hAnsi="Arial" w:cs="Arial"/>
                <w:sz w:val="16"/>
                <w:szCs w:val="16"/>
                <w:lang w:eastAsia="el-GR"/>
              </w:rPr>
              <w:t>38</w:t>
            </w:r>
          </w:p>
        </w:tc>
        <w:tc>
          <w:tcPr>
            <w:tcW w:w="445" w:type="pct"/>
            <w:vAlign w:val="center"/>
          </w:tcPr>
          <w:p w14:paraId="792C11C0" w14:textId="39305DFC"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-7%</w:t>
            </w:r>
          </w:p>
        </w:tc>
        <w:tc>
          <w:tcPr>
            <w:tcW w:w="447" w:type="pct"/>
            <w:vAlign w:val="center"/>
          </w:tcPr>
          <w:p w14:paraId="6B625B7F" w14:textId="0E90577A"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12</w:t>
            </w:r>
          </w:p>
        </w:tc>
        <w:tc>
          <w:tcPr>
            <w:tcW w:w="528" w:type="pct"/>
            <w:shd w:val="clear" w:color="auto" w:fill="auto"/>
            <w:vAlign w:val="center"/>
          </w:tcPr>
          <w:p w14:paraId="406E35BE" w14:textId="52788D0E"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13</w:t>
            </w:r>
          </w:p>
        </w:tc>
        <w:tc>
          <w:tcPr>
            <w:tcW w:w="436" w:type="pct"/>
            <w:vAlign w:val="center"/>
          </w:tcPr>
          <w:p w14:paraId="5F1084F3" w14:textId="75C83297"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-5%</w:t>
            </w:r>
          </w:p>
        </w:tc>
      </w:tr>
      <w:tr w:rsidR="004127DF" w:rsidRPr="00D41B36" w14:paraId="1C0CB307" w14:textId="77777777" w:rsidTr="004127DF">
        <w:trPr>
          <w:trHeight w:val="249"/>
          <w:jc w:val="center"/>
        </w:trPr>
        <w:tc>
          <w:tcPr>
            <w:tcW w:w="2000" w:type="pct"/>
            <w:vAlign w:val="center"/>
          </w:tcPr>
          <w:p w14:paraId="62032238" w14:textId="620B8376" w:rsidR="004127DF" w:rsidRPr="007246A9" w:rsidRDefault="004127DF" w:rsidP="004127DF">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sz w:val="18"/>
                <w:szCs w:val="18"/>
                <w:lang w:val="el-GR" w:eastAsia="el-GR"/>
              </w:rPr>
            </w:pPr>
            <w:r w:rsidRPr="007246A9">
              <w:rPr>
                <w:rFonts w:ascii="Arial" w:hAnsi="Arial" w:cs="Arial"/>
                <w:sz w:val="18"/>
                <w:szCs w:val="18"/>
                <w:lang w:val="el-GR"/>
              </w:rPr>
              <w:t>Καθαρά κέρδη/(ζημιές) από επανεκτίμηση και πώληση επενδύσεων σε ακίνητα και από πώληση αποθεμάτων ακινήτων</w:t>
            </w:r>
          </w:p>
        </w:tc>
        <w:tc>
          <w:tcPr>
            <w:tcW w:w="572" w:type="pct"/>
            <w:vAlign w:val="center"/>
          </w:tcPr>
          <w:p w14:paraId="36A643A0" w14:textId="4A00D832"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val="el-GR" w:eastAsia="el-GR"/>
              </w:rPr>
            </w:pPr>
            <w:r w:rsidRPr="00502B4F">
              <w:rPr>
                <w:rFonts w:ascii="Arial" w:eastAsia="Times New Roman" w:hAnsi="Arial" w:cs="Arial"/>
                <w:sz w:val="16"/>
                <w:szCs w:val="16"/>
                <w:lang w:eastAsia="el-GR"/>
              </w:rPr>
              <w:t>3</w:t>
            </w:r>
          </w:p>
        </w:tc>
        <w:tc>
          <w:tcPr>
            <w:tcW w:w="572" w:type="pct"/>
            <w:vAlign w:val="center"/>
          </w:tcPr>
          <w:p w14:paraId="2D44AA18" w14:textId="1C49C943"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val="el-GR" w:eastAsia="el-GR"/>
              </w:rPr>
            </w:pPr>
            <w:r w:rsidRPr="00502B4F">
              <w:rPr>
                <w:rFonts w:ascii="Arial" w:eastAsia="Times New Roman" w:hAnsi="Arial" w:cs="Arial"/>
                <w:sz w:val="16"/>
                <w:szCs w:val="16"/>
                <w:lang w:eastAsia="el-GR"/>
              </w:rPr>
              <w:t>7</w:t>
            </w:r>
          </w:p>
        </w:tc>
        <w:tc>
          <w:tcPr>
            <w:tcW w:w="445" w:type="pct"/>
            <w:vAlign w:val="center"/>
          </w:tcPr>
          <w:p w14:paraId="04A33058" w14:textId="5EB522D3"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-53%</w:t>
            </w:r>
          </w:p>
        </w:tc>
        <w:tc>
          <w:tcPr>
            <w:tcW w:w="447" w:type="pct"/>
            <w:vAlign w:val="center"/>
          </w:tcPr>
          <w:p w14:paraId="04AF2BE6" w14:textId="55BAD34C"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w:t>
            </w:r>
          </w:p>
        </w:tc>
        <w:tc>
          <w:tcPr>
            <w:tcW w:w="528" w:type="pct"/>
            <w:shd w:val="clear" w:color="auto" w:fill="auto"/>
            <w:vAlign w:val="center"/>
          </w:tcPr>
          <w:p w14:paraId="0664CCFC" w14:textId="7B490125"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w:t>
            </w:r>
          </w:p>
        </w:tc>
        <w:tc>
          <w:tcPr>
            <w:tcW w:w="436" w:type="pct"/>
            <w:vAlign w:val="center"/>
          </w:tcPr>
          <w:p w14:paraId="64188755" w14:textId="3ABDCFEB"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159%</w:t>
            </w:r>
          </w:p>
        </w:tc>
      </w:tr>
      <w:tr w:rsidR="004127DF" w:rsidRPr="00D41B36" w14:paraId="42FD57E1" w14:textId="77777777" w:rsidTr="004127DF">
        <w:trPr>
          <w:trHeight w:val="249"/>
          <w:jc w:val="center"/>
        </w:trPr>
        <w:tc>
          <w:tcPr>
            <w:tcW w:w="2000" w:type="pct"/>
            <w:tcBorders>
              <w:bottom w:val="single" w:sz="4" w:space="0" w:color="808080" w:themeColor="background1" w:themeShade="80"/>
            </w:tcBorders>
            <w:vAlign w:val="center"/>
          </w:tcPr>
          <w:p w14:paraId="69D7B43A" w14:textId="0B1A32CD" w:rsidR="004127DF" w:rsidRPr="007246A9" w:rsidRDefault="004127DF" w:rsidP="004127DF">
            <w:pPr>
              <w:tabs>
                <w:tab w:val="left" w:pos="-43"/>
                <w:tab w:val="left" w:pos="1416"/>
                <w:tab w:val="decimal" w:pos="4962"/>
                <w:tab w:val="decimal" w:pos="6521"/>
                <w:tab w:val="right" w:pos="7560"/>
                <w:tab w:val="decimal" w:pos="8220"/>
                <w:tab w:val="left" w:pos="8640"/>
                <w:tab w:val="right" w:pos="9000"/>
              </w:tabs>
              <w:suppressAutoHyphens/>
              <w:spacing w:after="0" w:line="240" w:lineRule="auto"/>
              <w:ind w:left="-93" w:right="20" w:firstLine="93"/>
              <w:rPr>
                <w:rFonts w:ascii="Arial" w:eastAsia="Times New Roman" w:hAnsi="Arial" w:cs="Arial"/>
                <w:sz w:val="18"/>
                <w:szCs w:val="18"/>
                <w:lang w:eastAsia="el-GR"/>
              </w:rPr>
            </w:pPr>
            <w:proofErr w:type="spellStart"/>
            <w:r w:rsidRPr="007246A9">
              <w:rPr>
                <w:rFonts w:ascii="Arial" w:hAnsi="Arial" w:cs="Arial"/>
                <w:color w:val="000000" w:themeColor="text1"/>
                <w:sz w:val="18"/>
                <w:szCs w:val="18"/>
              </w:rPr>
              <w:t>Λοι</w:t>
            </w:r>
            <w:proofErr w:type="spellEnd"/>
            <w:r w:rsidRPr="007246A9">
              <w:rPr>
                <w:rFonts w:ascii="Arial" w:hAnsi="Arial" w:cs="Arial"/>
                <w:color w:val="000000" w:themeColor="text1"/>
                <w:sz w:val="18"/>
                <w:szCs w:val="18"/>
              </w:rPr>
              <w:t xml:space="preserve">πά </w:t>
            </w:r>
            <w:proofErr w:type="spellStart"/>
            <w:r w:rsidRPr="007246A9">
              <w:rPr>
                <w:rFonts w:ascii="Arial" w:hAnsi="Arial" w:cs="Arial"/>
                <w:color w:val="000000" w:themeColor="text1"/>
                <w:sz w:val="18"/>
                <w:szCs w:val="18"/>
              </w:rPr>
              <w:t>έσοδ</w:t>
            </w:r>
            <w:proofErr w:type="spellEnd"/>
            <w:r w:rsidRPr="007246A9">
              <w:rPr>
                <w:rFonts w:ascii="Arial" w:hAnsi="Arial" w:cs="Arial"/>
                <w:color w:val="000000" w:themeColor="text1"/>
                <w:sz w:val="18"/>
                <w:szCs w:val="18"/>
              </w:rPr>
              <w:t>α</w:t>
            </w:r>
          </w:p>
        </w:tc>
        <w:tc>
          <w:tcPr>
            <w:tcW w:w="572" w:type="pct"/>
            <w:tcBorders>
              <w:bottom w:val="single" w:sz="4" w:space="0" w:color="808080" w:themeColor="background1" w:themeShade="80"/>
            </w:tcBorders>
            <w:vAlign w:val="center"/>
          </w:tcPr>
          <w:p w14:paraId="11623460" w14:textId="5DA314D2"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8</w:t>
            </w:r>
          </w:p>
        </w:tc>
        <w:tc>
          <w:tcPr>
            <w:tcW w:w="572" w:type="pct"/>
            <w:tcBorders>
              <w:bottom w:val="single" w:sz="4" w:space="0" w:color="808080" w:themeColor="background1" w:themeShade="80"/>
            </w:tcBorders>
            <w:vAlign w:val="center"/>
          </w:tcPr>
          <w:p w14:paraId="132A0B9C" w14:textId="1EDE3E5E"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15</w:t>
            </w:r>
          </w:p>
        </w:tc>
        <w:tc>
          <w:tcPr>
            <w:tcW w:w="445" w:type="pct"/>
            <w:tcBorders>
              <w:bottom w:val="single" w:sz="4" w:space="0" w:color="808080" w:themeColor="background1" w:themeShade="80"/>
            </w:tcBorders>
            <w:vAlign w:val="center"/>
          </w:tcPr>
          <w:p w14:paraId="39F8EBE3" w14:textId="6E12F3E7"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-50%</w:t>
            </w:r>
          </w:p>
        </w:tc>
        <w:tc>
          <w:tcPr>
            <w:tcW w:w="447" w:type="pct"/>
            <w:tcBorders>
              <w:bottom w:val="single" w:sz="4" w:space="0" w:color="808080" w:themeColor="background1" w:themeShade="80"/>
            </w:tcBorders>
            <w:vAlign w:val="center"/>
          </w:tcPr>
          <w:p w14:paraId="0ECC5E40" w14:textId="4F0B6760"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3</w:t>
            </w:r>
          </w:p>
        </w:tc>
        <w:tc>
          <w:tcPr>
            <w:tcW w:w="528" w:type="pct"/>
            <w:tcBorders>
              <w:bottom w:val="single" w:sz="4" w:space="0" w:color="808080" w:themeColor="background1" w:themeShade="80"/>
            </w:tcBorders>
            <w:shd w:val="clear" w:color="auto" w:fill="auto"/>
            <w:vAlign w:val="center"/>
          </w:tcPr>
          <w:p w14:paraId="3DDBEBD0" w14:textId="0389B5CE"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2</w:t>
            </w:r>
          </w:p>
        </w:tc>
        <w:tc>
          <w:tcPr>
            <w:tcW w:w="436" w:type="pct"/>
            <w:tcBorders>
              <w:bottom w:val="single" w:sz="4" w:space="0" w:color="808080" w:themeColor="background1" w:themeShade="80"/>
            </w:tcBorders>
            <w:vAlign w:val="center"/>
          </w:tcPr>
          <w:p w14:paraId="38F2503F" w14:textId="551050D7"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w:t>
            </w:r>
          </w:p>
        </w:tc>
      </w:tr>
      <w:tr w:rsidR="004127DF" w:rsidRPr="00D41B36" w14:paraId="5018D17F" w14:textId="77777777" w:rsidTr="004127DF">
        <w:trPr>
          <w:trHeight w:val="249"/>
          <w:jc w:val="center"/>
        </w:trPr>
        <w:tc>
          <w:tcPr>
            <w:tcW w:w="2000"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90C3EAD" w14:textId="1447F495" w:rsidR="004127DF" w:rsidRPr="007246A9" w:rsidRDefault="004127DF" w:rsidP="004127DF">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bCs/>
                <w:sz w:val="18"/>
                <w:szCs w:val="18"/>
                <w:lang w:eastAsia="el-GR"/>
              </w:rPr>
            </w:pPr>
            <w:proofErr w:type="spellStart"/>
            <w:r w:rsidRPr="007246A9">
              <w:rPr>
                <w:rFonts w:ascii="Arial" w:hAnsi="Arial" w:cs="Arial"/>
                <w:b/>
                <w:bCs/>
                <w:color w:val="000000" w:themeColor="text1"/>
                <w:sz w:val="18"/>
                <w:szCs w:val="18"/>
              </w:rPr>
              <w:t>Μη</w:t>
            </w:r>
            <w:proofErr w:type="spellEnd"/>
            <w:r w:rsidRPr="007246A9">
              <w:rPr>
                <w:rFonts w:ascii="Arial" w:hAnsi="Arial" w:cs="Arial"/>
                <w:b/>
                <w:bCs/>
                <w:color w:val="000000" w:themeColor="text1"/>
                <w:sz w:val="18"/>
                <w:szCs w:val="18"/>
              </w:rPr>
              <w:t xml:space="preserve"> επ</w:t>
            </w:r>
            <w:proofErr w:type="spellStart"/>
            <w:r w:rsidRPr="007246A9">
              <w:rPr>
                <w:rFonts w:ascii="Arial" w:hAnsi="Arial" w:cs="Arial"/>
                <w:b/>
                <w:bCs/>
                <w:color w:val="000000" w:themeColor="text1"/>
                <w:sz w:val="18"/>
                <w:szCs w:val="18"/>
              </w:rPr>
              <w:t>ιτοκι</w:t>
            </w:r>
            <w:proofErr w:type="spellEnd"/>
            <w:r w:rsidRPr="007246A9">
              <w:rPr>
                <w:rFonts w:ascii="Arial" w:hAnsi="Arial" w:cs="Arial"/>
                <w:b/>
                <w:bCs/>
                <w:color w:val="000000" w:themeColor="text1"/>
                <w:sz w:val="18"/>
                <w:szCs w:val="18"/>
              </w:rPr>
              <w:t xml:space="preserve">ακά </w:t>
            </w:r>
            <w:proofErr w:type="spellStart"/>
            <w:r w:rsidRPr="007246A9">
              <w:rPr>
                <w:rFonts w:ascii="Arial" w:hAnsi="Arial" w:cs="Arial"/>
                <w:b/>
                <w:bCs/>
                <w:color w:val="000000" w:themeColor="text1"/>
                <w:sz w:val="18"/>
                <w:szCs w:val="18"/>
              </w:rPr>
              <w:t>έσοδ</w:t>
            </w:r>
            <w:proofErr w:type="spellEnd"/>
            <w:r w:rsidRPr="007246A9">
              <w:rPr>
                <w:rFonts w:ascii="Arial" w:hAnsi="Arial" w:cs="Arial"/>
                <w:b/>
                <w:bCs/>
                <w:color w:val="000000" w:themeColor="text1"/>
                <w:sz w:val="18"/>
                <w:szCs w:val="18"/>
              </w:rPr>
              <w:t>α</w:t>
            </w:r>
          </w:p>
        </w:tc>
        <w:tc>
          <w:tcPr>
            <w:tcW w:w="572" w:type="pct"/>
            <w:tcBorders>
              <w:top w:val="single" w:sz="4" w:space="0" w:color="808080" w:themeColor="background1" w:themeShade="80"/>
              <w:bottom w:val="single" w:sz="4" w:space="0" w:color="808080" w:themeColor="background1" w:themeShade="80"/>
            </w:tcBorders>
            <w:vAlign w:val="center"/>
          </w:tcPr>
          <w:p w14:paraId="6BFEDD01" w14:textId="7BDE2B4B"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502B4F">
              <w:rPr>
                <w:rFonts w:ascii="Arial" w:eastAsia="Times New Roman" w:hAnsi="Arial" w:cs="Arial"/>
                <w:b/>
                <w:bCs/>
                <w:sz w:val="16"/>
                <w:szCs w:val="16"/>
                <w:lang w:eastAsia="el-GR"/>
              </w:rPr>
              <w:t>204</w:t>
            </w:r>
          </w:p>
        </w:tc>
        <w:tc>
          <w:tcPr>
            <w:tcW w:w="572" w:type="pct"/>
            <w:tcBorders>
              <w:top w:val="single" w:sz="4" w:space="0" w:color="808080" w:themeColor="background1" w:themeShade="80"/>
              <w:bottom w:val="single" w:sz="4" w:space="0" w:color="808080" w:themeColor="background1" w:themeShade="80"/>
            </w:tcBorders>
            <w:vAlign w:val="center"/>
          </w:tcPr>
          <w:p w14:paraId="15CD5C80" w14:textId="6DFA1A00"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502B4F">
              <w:rPr>
                <w:rFonts w:ascii="Arial" w:eastAsia="Times New Roman" w:hAnsi="Arial" w:cs="Arial"/>
                <w:b/>
                <w:bCs/>
                <w:sz w:val="16"/>
                <w:szCs w:val="16"/>
                <w:lang w:eastAsia="el-GR"/>
              </w:rPr>
              <w:t>224</w:t>
            </w:r>
          </w:p>
        </w:tc>
        <w:tc>
          <w:tcPr>
            <w:tcW w:w="445" w:type="pct"/>
            <w:tcBorders>
              <w:top w:val="single" w:sz="4" w:space="0" w:color="808080" w:themeColor="background1" w:themeShade="80"/>
              <w:bottom w:val="single" w:sz="4" w:space="0" w:color="808080" w:themeColor="background1" w:themeShade="80"/>
            </w:tcBorders>
            <w:vAlign w:val="center"/>
          </w:tcPr>
          <w:p w14:paraId="0FF14047" w14:textId="1A7AC71B"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502B4F">
              <w:rPr>
                <w:rFonts w:ascii="Arial" w:eastAsia="Times New Roman" w:hAnsi="Arial" w:cs="Arial"/>
                <w:b/>
                <w:bCs/>
                <w:sz w:val="16"/>
                <w:szCs w:val="16"/>
                <w:lang w:eastAsia="el-GR"/>
              </w:rPr>
              <w:t>-9%</w:t>
            </w:r>
          </w:p>
        </w:tc>
        <w:tc>
          <w:tcPr>
            <w:tcW w:w="447" w:type="pct"/>
            <w:tcBorders>
              <w:top w:val="single" w:sz="4" w:space="0" w:color="808080" w:themeColor="background1" w:themeShade="80"/>
              <w:bottom w:val="single" w:sz="4" w:space="0" w:color="808080" w:themeColor="background1" w:themeShade="80"/>
            </w:tcBorders>
            <w:vAlign w:val="center"/>
          </w:tcPr>
          <w:p w14:paraId="611118A6" w14:textId="2EC4604C"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502B4F">
              <w:rPr>
                <w:rFonts w:ascii="Arial" w:eastAsia="Times New Roman" w:hAnsi="Arial" w:cs="Arial"/>
                <w:b/>
                <w:bCs/>
                <w:sz w:val="16"/>
                <w:szCs w:val="16"/>
                <w:lang w:eastAsia="el-GR"/>
              </w:rPr>
              <w:t>75</w:t>
            </w:r>
          </w:p>
        </w:tc>
        <w:tc>
          <w:tcPr>
            <w:tcW w:w="528" w:type="pct"/>
            <w:tcBorders>
              <w:top w:val="single" w:sz="4" w:space="0" w:color="808080" w:themeColor="background1" w:themeShade="80"/>
              <w:bottom w:val="single" w:sz="4" w:space="0" w:color="808080" w:themeColor="background1" w:themeShade="80"/>
            </w:tcBorders>
            <w:shd w:val="clear" w:color="auto" w:fill="auto"/>
            <w:vAlign w:val="center"/>
          </w:tcPr>
          <w:p w14:paraId="540F55D3" w14:textId="3EAF0579"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b/>
                <w:bCs/>
                <w:sz w:val="16"/>
                <w:szCs w:val="16"/>
                <w:lang w:eastAsia="el-GR"/>
              </w:rPr>
              <w:t>66</w:t>
            </w:r>
          </w:p>
        </w:tc>
        <w:tc>
          <w:tcPr>
            <w:tcW w:w="436"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5C543E" w14:textId="5B71BFD5"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b/>
                <w:bCs/>
                <w:sz w:val="16"/>
                <w:szCs w:val="16"/>
                <w:lang w:eastAsia="el-GR"/>
              </w:rPr>
              <w:t>14%</w:t>
            </w:r>
          </w:p>
        </w:tc>
      </w:tr>
      <w:tr w:rsidR="004127DF" w:rsidRPr="00D41B36" w14:paraId="287F20C3" w14:textId="77777777" w:rsidTr="004127DF">
        <w:trPr>
          <w:trHeight w:val="249"/>
          <w:jc w:val="center"/>
        </w:trPr>
        <w:tc>
          <w:tcPr>
            <w:tcW w:w="2000"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9410B34" w14:textId="78A33796" w:rsidR="004127DF" w:rsidRPr="007246A9" w:rsidRDefault="004127DF" w:rsidP="004127DF">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bCs/>
                <w:sz w:val="18"/>
                <w:szCs w:val="18"/>
                <w:lang w:eastAsia="el-GR"/>
              </w:rPr>
            </w:pPr>
            <w:proofErr w:type="spellStart"/>
            <w:r w:rsidRPr="007246A9">
              <w:rPr>
                <w:rFonts w:ascii="Arial" w:hAnsi="Arial" w:cs="Arial"/>
                <w:b/>
                <w:bCs/>
                <w:color w:val="000000" w:themeColor="text1"/>
                <w:sz w:val="18"/>
                <w:szCs w:val="18"/>
              </w:rPr>
              <w:t>Σύνολο</w:t>
            </w:r>
            <w:proofErr w:type="spellEnd"/>
            <w:r w:rsidRPr="007246A9">
              <w:rPr>
                <w:rFonts w:ascii="Arial" w:hAnsi="Arial" w:cs="Arial"/>
                <w:b/>
                <w:bCs/>
                <w:color w:val="000000" w:themeColor="text1"/>
                <w:sz w:val="18"/>
                <w:szCs w:val="18"/>
              </w:rPr>
              <w:t xml:space="preserve"> </w:t>
            </w:r>
            <w:proofErr w:type="spellStart"/>
            <w:r w:rsidRPr="007246A9">
              <w:rPr>
                <w:rFonts w:ascii="Arial" w:hAnsi="Arial" w:cs="Arial"/>
                <w:b/>
                <w:bCs/>
                <w:color w:val="000000" w:themeColor="text1"/>
                <w:sz w:val="18"/>
                <w:szCs w:val="18"/>
              </w:rPr>
              <w:t>εσόδων</w:t>
            </w:r>
            <w:proofErr w:type="spellEnd"/>
          </w:p>
        </w:tc>
        <w:tc>
          <w:tcPr>
            <w:tcW w:w="572" w:type="pct"/>
            <w:tcBorders>
              <w:top w:val="single" w:sz="4" w:space="0" w:color="808080" w:themeColor="background1" w:themeShade="80"/>
              <w:bottom w:val="single" w:sz="4" w:space="0" w:color="808080" w:themeColor="background1" w:themeShade="80"/>
            </w:tcBorders>
            <w:vAlign w:val="center"/>
          </w:tcPr>
          <w:p w14:paraId="353194B5" w14:textId="5257D9F3"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502B4F">
              <w:rPr>
                <w:rFonts w:ascii="Arial" w:eastAsia="Times New Roman" w:hAnsi="Arial" w:cs="Arial"/>
                <w:b/>
                <w:bCs/>
                <w:sz w:val="16"/>
                <w:szCs w:val="16"/>
                <w:lang w:eastAsia="el-GR"/>
              </w:rPr>
              <w:t>828</w:t>
            </w:r>
          </w:p>
        </w:tc>
        <w:tc>
          <w:tcPr>
            <w:tcW w:w="572" w:type="pct"/>
            <w:tcBorders>
              <w:top w:val="single" w:sz="4" w:space="0" w:color="808080" w:themeColor="background1" w:themeShade="80"/>
              <w:bottom w:val="single" w:sz="4" w:space="0" w:color="808080" w:themeColor="background1" w:themeShade="80"/>
            </w:tcBorders>
            <w:vAlign w:val="center"/>
          </w:tcPr>
          <w:p w14:paraId="6F579ABC" w14:textId="35D93628"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502B4F">
              <w:rPr>
                <w:rFonts w:ascii="Arial" w:eastAsia="Times New Roman" w:hAnsi="Arial" w:cs="Arial"/>
                <w:b/>
                <w:bCs/>
                <w:sz w:val="16"/>
                <w:szCs w:val="16"/>
                <w:lang w:eastAsia="el-GR"/>
              </w:rPr>
              <w:t>796</w:t>
            </w:r>
          </w:p>
        </w:tc>
        <w:tc>
          <w:tcPr>
            <w:tcW w:w="445" w:type="pct"/>
            <w:tcBorders>
              <w:top w:val="single" w:sz="4" w:space="0" w:color="808080" w:themeColor="background1" w:themeShade="80"/>
              <w:bottom w:val="single" w:sz="4" w:space="0" w:color="808080" w:themeColor="background1" w:themeShade="80"/>
            </w:tcBorders>
            <w:vAlign w:val="center"/>
          </w:tcPr>
          <w:p w14:paraId="4A915EF4" w14:textId="05CCDA02"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502B4F">
              <w:rPr>
                <w:rFonts w:ascii="Arial" w:eastAsia="Times New Roman" w:hAnsi="Arial" w:cs="Arial"/>
                <w:b/>
                <w:bCs/>
                <w:sz w:val="16"/>
                <w:szCs w:val="16"/>
                <w:lang w:eastAsia="el-GR"/>
              </w:rPr>
              <w:t>4%</w:t>
            </w:r>
          </w:p>
        </w:tc>
        <w:tc>
          <w:tcPr>
            <w:tcW w:w="447" w:type="pct"/>
            <w:tcBorders>
              <w:top w:val="single" w:sz="4" w:space="0" w:color="808080" w:themeColor="background1" w:themeShade="80"/>
              <w:bottom w:val="single" w:sz="4" w:space="0" w:color="808080" w:themeColor="background1" w:themeShade="80"/>
            </w:tcBorders>
            <w:vAlign w:val="center"/>
          </w:tcPr>
          <w:p w14:paraId="51020A88" w14:textId="68FF65F5"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502B4F">
              <w:rPr>
                <w:rFonts w:ascii="Arial" w:eastAsia="Times New Roman" w:hAnsi="Arial" w:cs="Arial"/>
                <w:b/>
                <w:bCs/>
                <w:sz w:val="16"/>
                <w:szCs w:val="16"/>
                <w:lang w:eastAsia="el-GR"/>
              </w:rPr>
              <w:t>279</w:t>
            </w:r>
          </w:p>
        </w:tc>
        <w:tc>
          <w:tcPr>
            <w:tcW w:w="528" w:type="pct"/>
            <w:tcBorders>
              <w:top w:val="single" w:sz="4" w:space="0" w:color="808080" w:themeColor="background1" w:themeShade="80"/>
              <w:bottom w:val="single" w:sz="4" w:space="0" w:color="808080" w:themeColor="background1" w:themeShade="80"/>
            </w:tcBorders>
            <w:shd w:val="clear" w:color="auto" w:fill="auto"/>
            <w:vAlign w:val="center"/>
          </w:tcPr>
          <w:p w14:paraId="262EADAA" w14:textId="28F76882"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b/>
                <w:bCs/>
                <w:sz w:val="16"/>
                <w:szCs w:val="16"/>
                <w:lang w:eastAsia="el-GR"/>
              </w:rPr>
              <w:t>273</w:t>
            </w:r>
          </w:p>
        </w:tc>
        <w:tc>
          <w:tcPr>
            <w:tcW w:w="436"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C916DE" w14:textId="36710A69"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b/>
                <w:bCs/>
                <w:sz w:val="16"/>
                <w:szCs w:val="16"/>
                <w:lang w:eastAsia="el-GR"/>
              </w:rPr>
              <w:t>2%</w:t>
            </w:r>
          </w:p>
        </w:tc>
      </w:tr>
      <w:tr w:rsidR="004127DF" w:rsidRPr="00D41B36" w14:paraId="16A608F2" w14:textId="77777777" w:rsidTr="004127DF">
        <w:trPr>
          <w:trHeight w:val="249"/>
          <w:jc w:val="center"/>
        </w:trPr>
        <w:tc>
          <w:tcPr>
            <w:tcW w:w="2000"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480CFC8" w14:textId="152BAA63" w:rsidR="004127DF" w:rsidRPr="007246A9" w:rsidRDefault="004127DF" w:rsidP="004127DF">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bCs/>
                <w:sz w:val="18"/>
                <w:szCs w:val="18"/>
                <w:lang w:val="el-GR" w:eastAsia="el-GR"/>
              </w:rPr>
            </w:pPr>
            <w:r w:rsidRPr="007246A9">
              <w:rPr>
                <w:rFonts w:ascii="Arial" w:hAnsi="Arial" w:cs="Arial"/>
                <w:color w:val="000000" w:themeColor="text1"/>
                <w:sz w:val="18"/>
                <w:szCs w:val="18"/>
                <w:lang w:val="el-GR"/>
              </w:rPr>
              <w:t xml:space="preserve">Καθαρό </w:t>
            </w:r>
            <w:proofErr w:type="spellStart"/>
            <w:r w:rsidRPr="007246A9">
              <w:rPr>
                <w:rFonts w:ascii="Arial" w:hAnsi="Arial" w:cs="Arial"/>
                <w:color w:val="000000" w:themeColor="text1"/>
                <w:sz w:val="18"/>
                <w:szCs w:val="18"/>
                <w:lang w:val="el-GR"/>
              </w:rPr>
              <w:t>επιτοκιακό</w:t>
            </w:r>
            <w:proofErr w:type="spellEnd"/>
            <w:r w:rsidRPr="007246A9">
              <w:rPr>
                <w:rFonts w:ascii="Arial" w:hAnsi="Arial" w:cs="Arial"/>
                <w:color w:val="000000" w:themeColor="text1"/>
                <w:sz w:val="18"/>
                <w:szCs w:val="18"/>
                <w:lang w:val="el-GR"/>
              </w:rPr>
              <w:t xml:space="preserve"> περιθώριο (</w:t>
            </w:r>
            <w:proofErr w:type="spellStart"/>
            <w:r w:rsidRPr="007246A9">
              <w:rPr>
                <w:rFonts w:ascii="Arial" w:hAnsi="Arial" w:cs="Arial"/>
                <w:color w:val="000000" w:themeColor="text1"/>
                <w:sz w:val="18"/>
                <w:szCs w:val="18"/>
                <w:lang w:val="el-GR"/>
              </w:rPr>
              <w:t>ετησιοποιημένη</w:t>
            </w:r>
            <w:proofErr w:type="spellEnd"/>
            <w:r w:rsidRPr="007246A9">
              <w:rPr>
                <w:rFonts w:ascii="Arial" w:hAnsi="Arial" w:cs="Arial"/>
                <w:color w:val="000000" w:themeColor="text1"/>
                <w:sz w:val="18"/>
                <w:szCs w:val="18"/>
                <w:lang w:val="el-GR"/>
              </w:rPr>
              <w:t xml:space="preserve"> βάση)</w:t>
            </w:r>
          </w:p>
        </w:tc>
        <w:tc>
          <w:tcPr>
            <w:tcW w:w="572" w:type="pct"/>
            <w:tcBorders>
              <w:top w:val="single" w:sz="4" w:space="0" w:color="808080" w:themeColor="background1" w:themeShade="80"/>
              <w:bottom w:val="single" w:sz="4" w:space="0" w:color="808080" w:themeColor="background1" w:themeShade="80"/>
            </w:tcBorders>
            <w:vAlign w:val="center"/>
          </w:tcPr>
          <w:p w14:paraId="2E8607C9" w14:textId="4CAE8DA7"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val="el-GR" w:eastAsia="el-GR"/>
              </w:rPr>
            </w:pPr>
            <w:r w:rsidRPr="00502B4F">
              <w:rPr>
                <w:rFonts w:ascii="Arial" w:eastAsia="Times New Roman" w:hAnsi="Arial" w:cs="Arial"/>
                <w:sz w:val="16"/>
                <w:szCs w:val="16"/>
                <w:lang w:eastAsia="el-GR"/>
              </w:rPr>
              <w:t>3.60%</w:t>
            </w:r>
          </w:p>
        </w:tc>
        <w:tc>
          <w:tcPr>
            <w:tcW w:w="572" w:type="pct"/>
            <w:tcBorders>
              <w:top w:val="single" w:sz="4" w:space="0" w:color="808080" w:themeColor="background1" w:themeShade="80"/>
              <w:bottom w:val="single" w:sz="4" w:space="0" w:color="808080" w:themeColor="background1" w:themeShade="80"/>
            </w:tcBorders>
            <w:vAlign w:val="center"/>
          </w:tcPr>
          <w:p w14:paraId="6CB00665" w14:textId="29A9270D"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val="el-GR" w:eastAsia="el-GR"/>
              </w:rPr>
            </w:pPr>
            <w:r w:rsidRPr="00502B4F">
              <w:rPr>
                <w:rFonts w:ascii="Arial" w:hAnsi="Arial" w:cs="Arial"/>
                <w:sz w:val="16"/>
                <w:szCs w:val="16"/>
              </w:rPr>
              <w:t>3.32%</w:t>
            </w:r>
          </w:p>
        </w:tc>
        <w:tc>
          <w:tcPr>
            <w:tcW w:w="445" w:type="pct"/>
            <w:tcBorders>
              <w:top w:val="single" w:sz="4" w:space="0" w:color="808080" w:themeColor="background1" w:themeShade="80"/>
              <w:bottom w:val="single" w:sz="4" w:space="0" w:color="808080" w:themeColor="background1" w:themeShade="80"/>
            </w:tcBorders>
            <w:vAlign w:val="center"/>
          </w:tcPr>
          <w:p w14:paraId="526BAF73" w14:textId="1F3927A6"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hAnsi="Arial" w:cs="Arial"/>
                <w:sz w:val="16"/>
                <w:szCs w:val="16"/>
                <w:highlight w:val="yellow"/>
                <w:lang w:val="el-GR"/>
              </w:rPr>
            </w:pPr>
            <w:r w:rsidRPr="00502B4F">
              <w:rPr>
                <w:rFonts w:ascii="Arial" w:eastAsia="Times New Roman" w:hAnsi="Arial" w:cs="Arial"/>
                <w:sz w:val="16"/>
                <w:szCs w:val="16"/>
                <w:lang w:eastAsia="el-GR"/>
              </w:rPr>
              <w:t xml:space="preserve">28 </w:t>
            </w:r>
            <w:proofErr w:type="spellStart"/>
            <w:r>
              <w:rPr>
                <w:rFonts w:ascii="Arial" w:eastAsia="Times New Roman" w:hAnsi="Arial" w:cs="Arial"/>
                <w:sz w:val="16"/>
                <w:szCs w:val="16"/>
                <w:lang w:val="el-GR" w:eastAsia="el-GR"/>
              </w:rPr>
              <w:t>μ.β</w:t>
            </w:r>
            <w:proofErr w:type="spellEnd"/>
            <w:r>
              <w:rPr>
                <w:rFonts w:ascii="Arial" w:eastAsia="Times New Roman" w:hAnsi="Arial" w:cs="Arial"/>
                <w:sz w:val="16"/>
                <w:szCs w:val="16"/>
                <w:lang w:val="el-GR" w:eastAsia="el-GR"/>
              </w:rPr>
              <w:t>.</w:t>
            </w:r>
          </w:p>
        </w:tc>
        <w:tc>
          <w:tcPr>
            <w:tcW w:w="447" w:type="pct"/>
            <w:tcBorders>
              <w:top w:val="single" w:sz="4" w:space="0" w:color="808080" w:themeColor="background1" w:themeShade="80"/>
              <w:bottom w:val="single" w:sz="4" w:space="0" w:color="808080" w:themeColor="background1" w:themeShade="80"/>
            </w:tcBorders>
            <w:vAlign w:val="center"/>
          </w:tcPr>
          <w:p w14:paraId="78539B22" w14:textId="594BED72"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hAnsi="Arial" w:cs="Arial"/>
                <w:sz w:val="16"/>
                <w:szCs w:val="16"/>
                <w:highlight w:val="yellow"/>
              </w:rPr>
            </w:pPr>
            <w:r w:rsidRPr="00502B4F">
              <w:rPr>
                <w:rFonts w:ascii="Arial" w:eastAsia="Times New Roman" w:hAnsi="Arial" w:cs="Arial"/>
                <w:sz w:val="16"/>
                <w:szCs w:val="16"/>
                <w:lang w:eastAsia="el-GR"/>
              </w:rPr>
              <w:t>3.52%</w:t>
            </w:r>
          </w:p>
        </w:tc>
        <w:tc>
          <w:tcPr>
            <w:tcW w:w="528" w:type="pct"/>
            <w:tcBorders>
              <w:top w:val="single" w:sz="4" w:space="0" w:color="808080" w:themeColor="background1" w:themeShade="80"/>
              <w:bottom w:val="single" w:sz="4" w:space="0" w:color="808080" w:themeColor="background1" w:themeShade="80"/>
            </w:tcBorders>
            <w:shd w:val="clear" w:color="auto" w:fill="auto"/>
            <w:vAlign w:val="center"/>
          </w:tcPr>
          <w:p w14:paraId="5B9D2DD1" w14:textId="658D65B2"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val="el-GR" w:eastAsia="el-GR"/>
              </w:rPr>
            </w:pPr>
            <w:r w:rsidRPr="00502B4F">
              <w:rPr>
                <w:rFonts w:ascii="Arial" w:eastAsia="Times New Roman" w:hAnsi="Arial" w:cs="Arial"/>
                <w:sz w:val="16"/>
                <w:szCs w:val="16"/>
                <w:lang w:eastAsia="el-GR"/>
              </w:rPr>
              <w:t>3.68%</w:t>
            </w:r>
          </w:p>
        </w:tc>
        <w:tc>
          <w:tcPr>
            <w:tcW w:w="436"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F394F3" w14:textId="5322C872"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val="el-GR" w:eastAsia="el-GR"/>
              </w:rPr>
            </w:pPr>
            <w:r w:rsidRPr="00502B4F">
              <w:rPr>
                <w:rFonts w:ascii="Arial" w:eastAsia="Times New Roman" w:hAnsi="Arial" w:cs="Arial"/>
                <w:sz w:val="16"/>
                <w:szCs w:val="16"/>
                <w:lang w:eastAsia="el-GR"/>
              </w:rPr>
              <w:t xml:space="preserve">-16 </w:t>
            </w:r>
            <w:proofErr w:type="spellStart"/>
            <w:r>
              <w:rPr>
                <w:rFonts w:ascii="Arial" w:eastAsia="Times New Roman" w:hAnsi="Arial" w:cs="Arial"/>
                <w:sz w:val="16"/>
                <w:szCs w:val="16"/>
                <w:lang w:val="el-GR" w:eastAsia="el-GR"/>
              </w:rPr>
              <w:t>μ.β</w:t>
            </w:r>
            <w:proofErr w:type="spellEnd"/>
            <w:r>
              <w:rPr>
                <w:rFonts w:ascii="Arial" w:eastAsia="Times New Roman" w:hAnsi="Arial" w:cs="Arial"/>
                <w:sz w:val="16"/>
                <w:szCs w:val="16"/>
                <w:lang w:val="el-GR" w:eastAsia="el-GR"/>
              </w:rPr>
              <w:t>.</w:t>
            </w:r>
          </w:p>
        </w:tc>
      </w:tr>
      <w:tr w:rsidR="004127DF" w:rsidRPr="00D41B36" w14:paraId="4277C680" w14:textId="77777777" w:rsidTr="004127DF">
        <w:trPr>
          <w:trHeight w:val="31"/>
          <w:jc w:val="center"/>
        </w:trPr>
        <w:tc>
          <w:tcPr>
            <w:tcW w:w="2000"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594B368" w14:textId="77777777" w:rsidR="004127DF" w:rsidRPr="007246A9" w:rsidRDefault="004127DF" w:rsidP="004127DF">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7246A9">
              <w:rPr>
                <w:rFonts w:ascii="Arial" w:hAnsi="Arial" w:cs="Arial"/>
                <w:color w:val="000000" w:themeColor="text1"/>
                <w:sz w:val="18"/>
                <w:szCs w:val="18"/>
                <w:lang w:val="el-GR"/>
              </w:rPr>
              <w:t xml:space="preserve">Μέσος όρος </w:t>
            </w:r>
            <w:bookmarkStart w:id="17" w:name="_Hlk181293162"/>
            <w:r w:rsidRPr="007246A9">
              <w:rPr>
                <w:rFonts w:ascii="Arial" w:hAnsi="Arial" w:cs="Arial"/>
                <w:color w:val="000000" w:themeColor="text1"/>
                <w:sz w:val="18"/>
                <w:szCs w:val="18"/>
                <w:lang w:val="el-GR"/>
              </w:rPr>
              <w:t xml:space="preserve">των τοκοφόρων περιουσιακών στοιχείων </w:t>
            </w:r>
          </w:p>
          <w:bookmarkEnd w:id="17"/>
          <w:p w14:paraId="01D060C1" w14:textId="1B96A88A" w:rsidR="004127DF" w:rsidRPr="007246A9" w:rsidRDefault="004127DF" w:rsidP="004127DF">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bCs/>
                <w:sz w:val="18"/>
                <w:szCs w:val="18"/>
                <w:lang w:eastAsia="el-GR"/>
              </w:rPr>
            </w:pPr>
            <w:r w:rsidRPr="007246A9">
              <w:rPr>
                <w:rFonts w:ascii="Arial" w:hAnsi="Arial" w:cs="Arial"/>
                <w:color w:val="000000" w:themeColor="text1"/>
                <w:sz w:val="18"/>
                <w:szCs w:val="18"/>
                <w:lang w:val="el-GR"/>
              </w:rPr>
              <w:t>(€ εκατ.)</w:t>
            </w:r>
          </w:p>
        </w:tc>
        <w:tc>
          <w:tcPr>
            <w:tcW w:w="572" w:type="pct"/>
            <w:tcBorders>
              <w:top w:val="single" w:sz="4" w:space="0" w:color="808080" w:themeColor="background1" w:themeShade="80"/>
              <w:bottom w:val="single" w:sz="4" w:space="0" w:color="808080" w:themeColor="background1" w:themeShade="80"/>
            </w:tcBorders>
            <w:vAlign w:val="center"/>
          </w:tcPr>
          <w:p w14:paraId="0AE9E429" w14:textId="4DAA8DA1"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23,107</w:t>
            </w:r>
          </w:p>
        </w:tc>
        <w:tc>
          <w:tcPr>
            <w:tcW w:w="572" w:type="pct"/>
            <w:tcBorders>
              <w:top w:val="single" w:sz="4" w:space="0" w:color="808080" w:themeColor="background1" w:themeShade="80"/>
              <w:bottom w:val="single" w:sz="4" w:space="0" w:color="808080" w:themeColor="background1" w:themeShade="80"/>
            </w:tcBorders>
            <w:vAlign w:val="center"/>
          </w:tcPr>
          <w:p w14:paraId="321C74E0" w14:textId="78709CF2"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502B4F">
              <w:rPr>
                <w:rFonts w:ascii="Arial" w:eastAsia="Times New Roman" w:hAnsi="Arial" w:cs="Arial"/>
                <w:sz w:val="16"/>
                <w:szCs w:val="16"/>
                <w:lang w:eastAsia="el-GR"/>
              </w:rPr>
              <w:t>23,011</w:t>
            </w:r>
          </w:p>
        </w:tc>
        <w:tc>
          <w:tcPr>
            <w:tcW w:w="445" w:type="pct"/>
            <w:tcBorders>
              <w:top w:val="single" w:sz="4" w:space="0" w:color="808080" w:themeColor="background1" w:themeShade="80"/>
              <w:bottom w:val="single" w:sz="4" w:space="0" w:color="808080" w:themeColor="background1" w:themeShade="80"/>
            </w:tcBorders>
            <w:vAlign w:val="center"/>
          </w:tcPr>
          <w:p w14:paraId="354B576C" w14:textId="681900AD"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0%</w:t>
            </w:r>
          </w:p>
        </w:tc>
        <w:tc>
          <w:tcPr>
            <w:tcW w:w="447" w:type="pct"/>
            <w:tcBorders>
              <w:top w:val="single" w:sz="4" w:space="0" w:color="808080" w:themeColor="background1" w:themeShade="80"/>
              <w:bottom w:val="single" w:sz="4" w:space="0" w:color="808080" w:themeColor="background1" w:themeShade="80"/>
            </w:tcBorders>
            <w:vAlign w:val="center"/>
          </w:tcPr>
          <w:p w14:paraId="74958F94" w14:textId="1341E076"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23,044</w:t>
            </w:r>
          </w:p>
        </w:tc>
        <w:tc>
          <w:tcPr>
            <w:tcW w:w="528" w:type="pct"/>
            <w:tcBorders>
              <w:top w:val="single" w:sz="4" w:space="0" w:color="808080" w:themeColor="background1" w:themeShade="80"/>
              <w:bottom w:val="single" w:sz="4" w:space="0" w:color="808080" w:themeColor="background1" w:themeShade="80"/>
            </w:tcBorders>
            <w:shd w:val="clear" w:color="auto" w:fill="auto"/>
            <w:vAlign w:val="center"/>
          </w:tcPr>
          <w:p w14:paraId="7DB05CD9" w14:textId="614CBBBF"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22,588</w:t>
            </w:r>
          </w:p>
        </w:tc>
        <w:tc>
          <w:tcPr>
            <w:tcW w:w="436"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E6E8A4" w14:textId="57CB8705" w:rsidR="004127DF" w:rsidRPr="00502B4F" w:rsidRDefault="004127DF" w:rsidP="004127DF">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2%</w:t>
            </w:r>
          </w:p>
        </w:tc>
      </w:tr>
      <w:tr w:rsidR="004D4F4D" w:rsidRPr="00910A4E" w14:paraId="74C93437" w14:textId="77777777" w:rsidTr="007B262A">
        <w:trPr>
          <w:trHeight w:val="236"/>
          <w:jc w:val="center"/>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B52E97" w14:textId="49E2C0AD" w:rsidR="004D4F4D" w:rsidRPr="007246A9" w:rsidRDefault="004D4F4D" w:rsidP="004D4F4D">
            <w:pPr>
              <w:pStyle w:val="BodyText3"/>
              <w:tabs>
                <w:tab w:val="left" w:pos="142"/>
              </w:tabs>
              <w:ind w:right="20"/>
              <w:jc w:val="left"/>
              <w:rPr>
                <w:rFonts w:ascii="Arial" w:hAnsi="Arial" w:cs="Arial"/>
                <w:sz w:val="18"/>
                <w:szCs w:val="18"/>
                <w:lang w:val="el-GR"/>
              </w:rPr>
            </w:pPr>
            <w:proofErr w:type="spellStart"/>
            <w:r w:rsidRPr="007246A9">
              <w:rPr>
                <w:rFonts w:ascii="Arial" w:hAnsi="Arial" w:cs="Arial"/>
                <w:color w:val="000000" w:themeColor="text1"/>
                <w:sz w:val="14"/>
                <w:szCs w:val="14"/>
                <w:lang w:val="el-GR"/>
              </w:rPr>
              <w:t>Ε.μ</w:t>
            </w:r>
            <w:proofErr w:type="spellEnd"/>
            <w:r w:rsidRPr="007246A9">
              <w:rPr>
                <w:rFonts w:ascii="Arial" w:hAnsi="Arial" w:cs="Arial"/>
                <w:color w:val="000000" w:themeColor="text1"/>
                <w:sz w:val="14"/>
                <w:szCs w:val="14"/>
                <w:lang w:val="el-GR"/>
              </w:rPr>
              <w:t xml:space="preserve">. = εκατοστιαίες μονάδες, </w:t>
            </w:r>
            <w:proofErr w:type="spellStart"/>
            <w:r w:rsidRPr="007246A9">
              <w:rPr>
                <w:rFonts w:ascii="Arial" w:hAnsi="Arial" w:cs="Arial"/>
                <w:color w:val="000000" w:themeColor="text1"/>
                <w:sz w:val="14"/>
                <w:szCs w:val="14"/>
                <w:lang w:val="el-GR"/>
              </w:rPr>
              <w:t>μ.β</w:t>
            </w:r>
            <w:proofErr w:type="spellEnd"/>
            <w:r w:rsidRPr="007246A9">
              <w:rPr>
                <w:rFonts w:ascii="Arial" w:hAnsi="Arial" w:cs="Arial"/>
                <w:color w:val="000000" w:themeColor="text1"/>
                <w:sz w:val="14"/>
                <w:szCs w:val="14"/>
                <w:lang w:val="el-GR"/>
              </w:rPr>
              <w:t>.= μονάδες βάσης, 100 μονάδες βάσης = 1 εκατοστιαία μονάδα</w:t>
            </w:r>
          </w:p>
        </w:tc>
      </w:tr>
    </w:tbl>
    <w:p w14:paraId="2AD7CE38" w14:textId="77777777" w:rsidR="00942E68" w:rsidRPr="007246A9" w:rsidRDefault="00942E68" w:rsidP="00352599">
      <w:pPr>
        <w:pStyle w:val="BodyText3"/>
        <w:jc w:val="both"/>
        <w:rPr>
          <w:rFonts w:ascii="Arial" w:hAnsi="Arial" w:cs="Arial"/>
          <w:b/>
          <w:bCs/>
          <w:sz w:val="18"/>
          <w:szCs w:val="18"/>
          <w:lang w:val="el-GR"/>
        </w:rPr>
      </w:pPr>
    </w:p>
    <w:p w14:paraId="268F8803" w14:textId="4284F899" w:rsidR="00C15945" w:rsidRPr="00D41B36" w:rsidRDefault="00352599" w:rsidP="00A34C6F">
      <w:pPr>
        <w:pStyle w:val="BodyText3"/>
        <w:jc w:val="both"/>
        <w:rPr>
          <w:rFonts w:ascii="Arial" w:hAnsi="Arial" w:cs="Arial"/>
          <w:sz w:val="18"/>
          <w:szCs w:val="18"/>
          <w:highlight w:val="yellow"/>
          <w:lang w:val="el-GR"/>
        </w:rPr>
      </w:pPr>
      <w:r w:rsidRPr="007246A9">
        <w:rPr>
          <w:rFonts w:ascii="Arial" w:hAnsi="Arial" w:cs="Arial"/>
          <w:b/>
          <w:bCs/>
          <w:sz w:val="18"/>
          <w:szCs w:val="18"/>
          <w:lang w:val="el-GR"/>
        </w:rPr>
        <w:t>Τα καθαρά έσοδα από τόκους</w:t>
      </w:r>
      <w:r w:rsidRPr="007246A9">
        <w:rPr>
          <w:rFonts w:ascii="Arial" w:hAnsi="Arial" w:cs="Arial"/>
          <w:sz w:val="18"/>
          <w:szCs w:val="18"/>
          <w:lang w:val="el-GR"/>
        </w:rPr>
        <w:t xml:space="preserve"> για το</w:t>
      </w:r>
      <w:r w:rsidR="00C15945" w:rsidRPr="007246A9">
        <w:rPr>
          <w:rFonts w:ascii="Arial" w:hAnsi="Arial" w:cs="Arial"/>
          <w:sz w:val="18"/>
          <w:szCs w:val="18"/>
          <w:lang w:val="el-GR"/>
        </w:rPr>
        <w:t xml:space="preserve"> </w:t>
      </w:r>
      <w:r w:rsidR="007A2F9B">
        <w:rPr>
          <w:rFonts w:ascii="Arial" w:hAnsi="Arial" w:cs="Arial"/>
          <w:sz w:val="18"/>
          <w:szCs w:val="18"/>
          <w:lang w:val="el-GR"/>
        </w:rPr>
        <w:t>εννεάμηνο</w:t>
      </w:r>
      <w:r w:rsidR="00165495" w:rsidRPr="007246A9">
        <w:rPr>
          <w:rFonts w:ascii="Arial" w:hAnsi="Arial" w:cs="Arial"/>
          <w:sz w:val="18"/>
          <w:szCs w:val="18"/>
          <w:lang w:val="el-GR"/>
        </w:rPr>
        <w:t xml:space="preserve"> που έληξε στις 30 Σεπτεμβρίου </w:t>
      </w:r>
      <w:r w:rsidR="00C15945" w:rsidRPr="004127DF">
        <w:rPr>
          <w:rFonts w:ascii="Arial" w:hAnsi="Arial" w:cs="Arial"/>
          <w:sz w:val="18"/>
          <w:szCs w:val="18"/>
          <w:lang w:val="el-GR"/>
        </w:rPr>
        <w:t>2024 ανήλθαν σε €</w:t>
      </w:r>
      <w:r w:rsidR="004127DF" w:rsidRPr="00502B4F">
        <w:rPr>
          <w:rFonts w:ascii="Arial" w:hAnsi="Arial" w:cs="Arial"/>
          <w:sz w:val="18"/>
          <w:szCs w:val="18"/>
          <w:lang w:val="el-GR"/>
        </w:rPr>
        <w:t xml:space="preserve">624 </w:t>
      </w:r>
      <w:r w:rsidR="00C15945" w:rsidRPr="004127DF">
        <w:rPr>
          <w:rFonts w:ascii="Arial" w:hAnsi="Arial" w:cs="Arial"/>
          <w:sz w:val="18"/>
          <w:szCs w:val="18"/>
          <w:lang w:val="el-GR"/>
        </w:rPr>
        <w:t>εκατ</w:t>
      </w:r>
      <w:r w:rsidR="00D41198" w:rsidRPr="004127DF">
        <w:rPr>
          <w:rFonts w:ascii="Arial" w:hAnsi="Arial" w:cs="Arial"/>
          <w:sz w:val="18"/>
          <w:szCs w:val="18"/>
          <w:lang w:val="el-GR"/>
        </w:rPr>
        <w:t>.,</w:t>
      </w:r>
      <w:r w:rsidR="00C15945" w:rsidRPr="004127DF">
        <w:rPr>
          <w:rFonts w:ascii="Arial" w:hAnsi="Arial" w:cs="Arial"/>
          <w:sz w:val="18"/>
          <w:szCs w:val="18"/>
          <w:lang w:val="el-GR"/>
        </w:rPr>
        <w:t xml:space="preserve"> σε σύγκριση με €</w:t>
      </w:r>
      <w:r w:rsidR="00165495" w:rsidRPr="004127DF">
        <w:rPr>
          <w:rFonts w:ascii="Arial" w:hAnsi="Arial" w:cs="Arial"/>
          <w:sz w:val="18"/>
          <w:szCs w:val="18"/>
          <w:lang w:val="el-GR"/>
        </w:rPr>
        <w:t xml:space="preserve">572 </w:t>
      </w:r>
      <w:r w:rsidR="00C15945" w:rsidRPr="004127DF">
        <w:rPr>
          <w:rFonts w:ascii="Arial" w:hAnsi="Arial" w:cs="Arial"/>
          <w:sz w:val="18"/>
          <w:szCs w:val="18"/>
          <w:lang w:val="el-GR"/>
        </w:rPr>
        <w:t>εκατ.</w:t>
      </w:r>
      <w:r w:rsidR="00165495" w:rsidRPr="004127DF">
        <w:rPr>
          <w:rFonts w:ascii="Arial" w:hAnsi="Arial" w:cs="Arial"/>
          <w:sz w:val="18"/>
          <w:szCs w:val="18"/>
          <w:lang w:val="el-GR"/>
        </w:rPr>
        <w:t xml:space="preserve"> </w:t>
      </w:r>
      <w:r w:rsidR="00C15945" w:rsidRPr="004127DF">
        <w:rPr>
          <w:rFonts w:ascii="Arial" w:hAnsi="Arial" w:cs="Arial"/>
          <w:sz w:val="18"/>
          <w:szCs w:val="18"/>
          <w:lang w:val="el-GR"/>
        </w:rPr>
        <w:t xml:space="preserve">για </w:t>
      </w:r>
      <w:r w:rsidR="00165495" w:rsidRPr="004127DF">
        <w:rPr>
          <w:rFonts w:ascii="Arial" w:hAnsi="Arial" w:cs="Arial"/>
          <w:sz w:val="18"/>
          <w:szCs w:val="18"/>
          <w:lang w:val="el-GR"/>
        </w:rPr>
        <w:t xml:space="preserve">το αντίστοιχο </w:t>
      </w:r>
      <w:r w:rsidR="007A2F9B">
        <w:rPr>
          <w:rFonts w:ascii="Arial" w:hAnsi="Arial" w:cs="Arial"/>
          <w:sz w:val="18"/>
          <w:szCs w:val="18"/>
          <w:lang w:val="el-GR"/>
        </w:rPr>
        <w:t>εννεάμηνο</w:t>
      </w:r>
      <w:r w:rsidR="00165495" w:rsidRPr="004127DF">
        <w:rPr>
          <w:rFonts w:ascii="Arial" w:hAnsi="Arial" w:cs="Arial"/>
          <w:sz w:val="18"/>
          <w:szCs w:val="18"/>
          <w:lang w:val="el-GR"/>
        </w:rPr>
        <w:t xml:space="preserve"> </w:t>
      </w:r>
      <w:r w:rsidR="00C15945" w:rsidRPr="004127DF">
        <w:rPr>
          <w:rFonts w:ascii="Arial" w:hAnsi="Arial" w:cs="Arial"/>
          <w:sz w:val="18"/>
          <w:szCs w:val="18"/>
          <w:lang w:val="el-GR"/>
        </w:rPr>
        <w:t xml:space="preserve">2023, αυξημένα κατά </w:t>
      </w:r>
      <w:r w:rsidR="004127DF" w:rsidRPr="00502B4F">
        <w:rPr>
          <w:rFonts w:ascii="Arial" w:hAnsi="Arial" w:cs="Arial"/>
          <w:sz w:val="18"/>
          <w:szCs w:val="18"/>
          <w:lang w:val="el-GR"/>
        </w:rPr>
        <w:t>9</w:t>
      </w:r>
      <w:r w:rsidR="00C15945" w:rsidRPr="004127DF">
        <w:rPr>
          <w:rFonts w:ascii="Arial" w:hAnsi="Arial" w:cs="Arial"/>
          <w:sz w:val="18"/>
          <w:szCs w:val="18"/>
          <w:lang w:val="el-GR"/>
        </w:rPr>
        <w:t xml:space="preserve">% σε ετήσια βάση. </w:t>
      </w:r>
      <w:r w:rsidR="00C15945" w:rsidRPr="007246A9">
        <w:rPr>
          <w:rFonts w:ascii="Arial" w:hAnsi="Arial" w:cs="Arial"/>
          <w:sz w:val="18"/>
          <w:szCs w:val="18"/>
          <w:lang w:val="el-GR"/>
        </w:rPr>
        <w:t xml:space="preserve">Η </w:t>
      </w:r>
      <w:r w:rsidR="00316A30" w:rsidRPr="007246A9">
        <w:rPr>
          <w:rFonts w:ascii="Arial" w:hAnsi="Arial" w:cs="Arial"/>
          <w:sz w:val="18"/>
          <w:szCs w:val="18"/>
          <w:lang w:val="el-GR"/>
        </w:rPr>
        <w:t xml:space="preserve">ετήσια </w:t>
      </w:r>
      <w:r w:rsidR="00C15945" w:rsidRPr="007246A9">
        <w:rPr>
          <w:rFonts w:ascii="Arial" w:hAnsi="Arial" w:cs="Arial"/>
          <w:sz w:val="18"/>
          <w:szCs w:val="18"/>
          <w:lang w:val="el-GR"/>
        </w:rPr>
        <w:t>αύξηση οφείλεται κυρίως στην</w:t>
      </w:r>
      <w:r w:rsidR="00D41198" w:rsidRPr="007246A9">
        <w:rPr>
          <w:rFonts w:ascii="Arial" w:hAnsi="Arial" w:cs="Arial"/>
          <w:sz w:val="18"/>
          <w:szCs w:val="18"/>
          <w:lang w:val="el-GR"/>
        </w:rPr>
        <w:t xml:space="preserve"> </w:t>
      </w:r>
      <w:r w:rsidR="00C15945" w:rsidRPr="007246A9">
        <w:rPr>
          <w:rFonts w:ascii="Arial" w:hAnsi="Arial" w:cs="Arial"/>
          <w:sz w:val="18"/>
          <w:szCs w:val="18"/>
          <w:lang w:val="el-GR"/>
        </w:rPr>
        <w:t>αύξηση των επιτοκίων των ρευστών διαθέσιμων περιουσιακών στοιχείων και των δανείων</w:t>
      </w:r>
      <w:r w:rsidR="0041753F">
        <w:rPr>
          <w:rFonts w:ascii="Arial" w:hAnsi="Arial" w:cs="Arial"/>
          <w:sz w:val="18"/>
          <w:szCs w:val="18"/>
          <w:lang w:val="el-GR"/>
        </w:rPr>
        <w:t xml:space="preserve"> καθώς και στην</w:t>
      </w:r>
      <w:r w:rsidR="0041753F" w:rsidRPr="00502B4F">
        <w:rPr>
          <w:rFonts w:ascii="Arial" w:hAnsi="Arial" w:cs="Arial"/>
          <w:sz w:val="18"/>
          <w:szCs w:val="18"/>
          <w:lang w:val="el-GR"/>
        </w:rPr>
        <w:t xml:space="preserve"> </w:t>
      </w:r>
      <w:r w:rsidR="0041753F">
        <w:rPr>
          <w:rFonts w:ascii="Arial" w:hAnsi="Arial" w:cs="Arial"/>
          <w:sz w:val="18"/>
          <w:szCs w:val="18"/>
          <w:lang w:val="el-GR"/>
        </w:rPr>
        <w:t xml:space="preserve">άφθονη ρευστότητα, </w:t>
      </w:r>
      <w:r w:rsidR="00C15945" w:rsidRPr="007246A9">
        <w:rPr>
          <w:rFonts w:ascii="Arial" w:hAnsi="Arial" w:cs="Arial"/>
          <w:sz w:val="18"/>
          <w:szCs w:val="18"/>
          <w:lang w:val="el-GR"/>
        </w:rPr>
        <w:t>τα οποία αντισταθμίστηκαν</w:t>
      </w:r>
      <w:r w:rsidR="0031295D">
        <w:rPr>
          <w:rFonts w:ascii="Arial" w:hAnsi="Arial" w:cs="Arial"/>
          <w:sz w:val="18"/>
          <w:szCs w:val="18"/>
          <w:lang w:val="el-GR"/>
        </w:rPr>
        <w:t xml:space="preserve"> μερικώς</w:t>
      </w:r>
      <w:r w:rsidR="00C15945" w:rsidRPr="007246A9">
        <w:rPr>
          <w:rFonts w:ascii="Arial" w:hAnsi="Arial" w:cs="Arial"/>
          <w:sz w:val="18"/>
          <w:szCs w:val="18"/>
          <w:lang w:val="el-GR"/>
        </w:rPr>
        <w:t xml:space="preserve"> από την χαμηλή </w:t>
      </w:r>
      <w:r w:rsidR="00D41198" w:rsidRPr="007246A9">
        <w:rPr>
          <w:rFonts w:ascii="Arial" w:hAnsi="Arial" w:cs="Arial"/>
          <w:sz w:val="18"/>
          <w:szCs w:val="18"/>
          <w:lang w:val="el-GR"/>
        </w:rPr>
        <w:t>αύξηση στο κόστος των εμπρόθεσμων καταθέσεων</w:t>
      </w:r>
      <w:r w:rsidR="00195DBC" w:rsidRPr="007246A9">
        <w:rPr>
          <w:rFonts w:ascii="Arial" w:hAnsi="Arial" w:cs="Arial"/>
          <w:sz w:val="18"/>
          <w:szCs w:val="18"/>
          <w:lang w:val="el-GR"/>
        </w:rPr>
        <w:t xml:space="preserve"> και</w:t>
      </w:r>
      <w:r w:rsidR="00C15945" w:rsidRPr="007246A9">
        <w:rPr>
          <w:rFonts w:ascii="Arial" w:hAnsi="Arial" w:cs="Arial"/>
          <w:sz w:val="18"/>
          <w:szCs w:val="18"/>
          <w:lang w:val="el-GR"/>
        </w:rPr>
        <w:t xml:space="preserve"> </w:t>
      </w:r>
      <w:r w:rsidR="00195DBC" w:rsidRPr="007246A9">
        <w:rPr>
          <w:rFonts w:ascii="Arial" w:hAnsi="Arial" w:cs="Arial"/>
          <w:sz w:val="18"/>
          <w:szCs w:val="18"/>
          <w:lang w:val="el-GR"/>
        </w:rPr>
        <w:t>σ</w:t>
      </w:r>
      <w:r w:rsidR="00C15945" w:rsidRPr="007246A9">
        <w:rPr>
          <w:rFonts w:ascii="Arial" w:hAnsi="Arial" w:cs="Arial"/>
          <w:sz w:val="18"/>
          <w:szCs w:val="18"/>
          <w:lang w:val="el-GR"/>
        </w:rPr>
        <w:t>το κόστος χρηματοδότησης</w:t>
      </w:r>
      <w:r w:rsidR="0059202E" w:rsidRPr="007246A9">
        <w:rPr>
          <w:rFonts w:ascii="Arial" w:hAnsi="Arial" w:cs="Arial"/>
          <w:sz w:val="18"/>
          <w:szCs w:val="18"/>
          <w:lang w:val="el-GR"/>
        </w:rPr>
        <w:t xml:space="preserve"> καθώς και από το</w:t>
      </w:r>
      <w:r w:rsidR="00195DBC" w:rsidRPr="007246A9">
        <w:rPr>
          <w:rFonts w:ascii="Arial" w:hAnsi="Arial" w:cs="Arial"/>
          <w:sz w:val="18"/>
          <w:szCs w:val="18"/>
          <w:lang w:val="el-GR"/>
        </w:rPr>
        <w:t xml:space="preserve"> αυξημένο</w:t>
      </w:r>
      <w:r w:rsidR="0059202E" w:rsidRPr="007246A9">
        <w:rPr>
          <w:rFonts w:ascii="Arial" w:hAnsi="Arial" w:cs="Arial"/>
          <w:sz w:val="18"/>
          <w:szCs w:val="18"/>
          <w:lang w:val="el-GR"/>
        </w:rPr>
        <w:t xml:space="preserve"> κόστος που προκύπτει από τις ενέργει</w:t>
      </w:r>
      <w:r w:rsidR="00167D57">
        <w:rPr>
          <w:rFonts w:ascii="Arial" w:hAnsi="Arial" w:cs="Arial"/>
          <w:sz w:val="18"/>
          <w:szCs w:val="18"/>
          <w:lang w:val="el-GR"/>
        </w:rPr>
        <w:t>ε</w:t>
      </w:r>
      <w:r w:rsidR="0059202E" w:rsidRPr="007246A9">
        <w:rPr>
          <w:rFonts w:ascii="Arial" w:hAnsi="Arial" w:cs="Arial"/>
          <w:sz w:val="18"/>
          <w:szCs w:val="18"/>
          <w:lang w:val="el-GR"/>
        </w:rPr>
        <w:t>ς αντιστάθμισης (‘</w:t>
      </w:r>
      <w:proofErr w:type="spellStart"/>
      <w:r w:rsidR="0059202E" w:rsidRPr="007246A9">
        <w:rPr>
          <w:rFonts w:ascii="Arial" w:hAnsi="Arial" w:cs="Arial"/>
          <w:sz w:val="18"/>
          <w:szCs w:val="18"/>
          <w:lang w:val="el-GR"/>
        </w:rPr>
        <w:t>hedging</w:t>
      </w:r>
      <w:proofErr w:type="spellEnd"/>
      <w:r w:rsidR="0059202E" w:rsidRPr="007246A9">
        <w:rPr>
          <w:rFonts w:ascii="Arial" w:hAnsi="Arial" w:cs="Arial"/>
          <w:sz w:val="18"/>
          <w:szCs w:val="18"/>
          <w:lang w:val="el-GR"/>
        </w:rPr>
        <w:t>’).</w:t>
      </w:r>
    </w:p>
    <w:p w14:paraId="4DC9C0A9" w14:textId="77777777" w:rsidR="00C15945" w:rsidRPr="007246A9" w:rsidRDefault="00C15945" w:rsidP="00A34C6F">
      <w:pPr>
        <w:pStyle w:val="BodyText3"/>
        <w:jc w:val="both"/>
        <w:rPr>
          <w:rFonts w:ascii="Arial" w:hAnsi="Arial" w:cs="Arial"/>
          <w:sz w:val="18"/>
          <w:szCs w:val="18"/>
          <w:lang w:val="el-GR"/>
        </w:rPr>
      </w:pPr>
    </w:p>
    <w:p w14:paraId="0D765F23" w14:textId="2C48FA41" w:rsidR="0041753F" w:rsidRDefault="00D41198" w:rsidP="00D41198">
      <w:pPr>
        <w:pStyle w:val="BodyText3"/>
        <w:jc w:val="both"/>
        <w:rPr>
          <w:rFonts w:ascii="Arial" w:hAnsi="Arial" w:cs="Arial"/>
          <w:sz w:val="18"/>
          <w:szCs w:val="18"/>
          <w:lang w:val="el-GR"/>
        </w:rPr>
      </w:pPr>
      <w:r w:rsidRPr="007246A9">
        <w:rPr>
          <w:rFonts w:ascii="Arial" w:hAnsi="Arial" w:cs="Arial"/>
          <w:b/>
          <w:bCs/>
          <w:sz w:val="18"/>
          <w:szCs w:val="18"/>
          <w:lang w:val="el-GR"/>
        </w:rPr>
        <w:t xml:space="preserve">Τα καθαρά έσοδα από τόκους για το </w:t>
      </w:r>
      <w:r w:rsidR="00165495" w:rsidRPr="007246A9">
        <w:rPr>
          <w:rFonts w:ascii="Arial" w:hAnsi="Arial" w:cs="Arial"/>
          <w:b/>
          <w:bCs/>
          <w:sz w:val="18"/>
          <w:szCs w:val="18"/>
          <w:lang w:val="el-GR"/>
        </w:rPr>
        <w:t>γ</w:t>
      </w:r>
      <w:r w:rsidRPr="007246A9">
        <w:rPr>
          <w:rFonts w:ascii="Arial" w:hAnsi="Arial" w:cs="Arial"/>
          <w:b/>
          <w:bCs/>
          <w:sz w:val="18"/>
          <w:szCs w:val="18"/>
          <w:lang w:val="el-GR"/>
        </w:rPr>
        <w:t xml:space="preserve">’ τρίμηνο 2024 ανήλθαν σε </w:t>
      </w:r>
      <w:r w:rsidRPr="007246A9">
        <w:rPr>
          <w:rFonts w:ascii="Arial" w:hAnsi="Arial" w:cs="Arial"/>
          <w:sz w:val="18"/>
          <w:szCs w:val="18"/>
          <w:lang w:val="el-GR"/>
        </w:rPr>
        <w:t>€</w:t>
      </w:r>
      <w:r w:rsidR="0041753F" w:rsidRPr="00502B4F">
        <w:rPr>
          <w:rFonts w:ascii="Arial" w:hAnsi="Arial" w:cs="Arial"/>
          <w:sz w:val="18"/>
          <w:szCs w:val="18"/>
          <w:lang w:val="el-GR"/>
        </w:rPr>
        <w:t xml:space="preserve">204 </w:t>
      </w:r>
      <w:r w:rsidRPr="007246A9">
        <w:rPr>
          <w:rFonts w:ascii="Arial" w:hAnsi="Arial" w:cs="Arial"/>
          <w:sz w:val="18"/>
          <w:szCs w:val="18"/>
          <w:lang w:val="el-GR"/>
        </w:rPr>
        <w:t>εκατ., σε σύγκριση με €</w:t>
      </w:r>
      <w:r w:rsidR="00165495" w:rsidRPr="007246A9">
        <w:rPr>
          <w:rFonts w:ascii="Arial" w:hAnsi="Arial" w:cs="Arial"/>
          <w:sz w:val="18"/>
          <w:szCs w:val="18"/>
          <w:lang w:val="el-GR"/>
        </w:rPr>
        <w:t xml:space="preserve">207 </w:t>
      </w:r>
      <w:r w:rsidRPr="007246A9">
        <w:rPr>
          <w:rFonts w:ascii="Arial" w:hAnsi="Arial" w:cs="Arial"/>
          <w:sz w:val="18"/>
          <w:szCs w:val="18"/>
          <w:lang w:val="el-GR"/>
        </w:rPr>
        <w:t xml:space="preserve">εκατ. για το </w:t>
      </w:r>
      <w:r w:rsidR="00165495" w:rsidRPr="007246A9">
        <w:rPr>
          <w:rFonts w:ascii="Arial" w:hAnsi="Arial" w:cs="Arial"/>
          <w:sz w:val="18"/>
          <w:szCs w:val="18"/>
          <w:lang w:val="el-GR"/>
        </w:rPr>
        <w:t xml:space="preserve">β’ </w:t>
      </w:r>
      <w:r w:rsidRPr="007246A9">
        <w:rPr>
          <w:rFonts w:ascii="Arial" w:hAnsi="Arial" w:cs="Arial"/>
          <w:sz w:val="18"/>
          <w:szCs w:val="18"/>
          <w:lang w:val="el-GR"/>
        </w:rPr>
        <w:t xml:space="preserve">τρίμηνο </w:t>
      </w:r>
      <w:r w:rsidR="00165495" w:rsidRPr="007246A9">
        <w:rPr>
          <w:rFonts w:ascii="Arial" w:hAnsi="Arial" w:cs="Arial"/>
          <w:sz w:val="18"/>
          <w:szCs w:val="18"/>
          <w:lang w:val="el-GR"/>
        </w:rPr>
        <w:t>2024</w:t>
      </w:r>
      <w:r w:rsidRPr="007246A9">
        <w:rPr>
          <w:rFonts w:ascii="Arial" w:hAnsi="Arial" w:cs="Arial"/>
          <w:sz w:val="18"/>
          <w:szCs w:val="18"/>
          <w:lang w:val="el-GR"/>
        </w:rPr>
        <w:t xml:space="preserve">, μειωμένα κατά </w:t>
      </w:r>
      <w:r w:rsidR="0041753F">
        <w:rPr>
          <w:rFonts w:ascii="Arial" w:hAnsi="Arial" w:cs="Arial"/>
          <w:sz w:val="18"/>
          <w:szCs w:val="18"/>
          <w:lang w:val="el-GR"/>
        </w:rPr>
        <w:t>1</w:t>
      </w:r>
      <w:r w:rsidRPr="007246A9">
        <w:rPr>
          <w:rFonts w:ascii="Arial" w:hAnsi="Arial" w:cs="Arial"/>
          <w:sz w:val="18"/>
          <w:szCs w:val="18"/>
          <w:lang w:val="el-GR"/>
        </w:rPr>
        <w:t>% σε τριμηνιαία βάση</w:t>
      </w:r>
      <w:r w:rsidR="0059202E" w:rsidRPr="007246A9">
        <w:rPr>
          <w:rFonts w:ascii="Arial" w:hAnsi="Arial" w:cs="Arial"/>
          <w:sz w:val="18"/>
          <w:szCs w:val="18"/>
          <w:lang w:val="el-GR"/>
        </w:rPr>
        <w:t xml:space="preserve">. </w:t>
      </w:r>
      <w:r w:rsidRPr="007246A9">
        <w:rPr>
          <w:rFonts w:ascii="Arial" w:hAnsi="Arial" w:cs="Arial"/>
          <w:sz w:val="18"/>
          <w:szCs w:val="18"/>
          <w:lang w:val="el-GR"/>
        </w:rPr>
        <w:t xml:space="preserve">Η τριμηνιαία μείωση </w:t>
      </w:r>
      <w:r w:rsidR="004A7F78" w:rsidRPr="007246A9">
        <w:rPr>
          <w:rFonts w:ascii="Arial" w:hAnsi="Arial" w:cs="Arial"/>
          <w:sz w:val="18"/>
          <w:szCs w:val="18"/>
          <w:lang w:val="el-GR"/>
        </w:rPr>
        <w:t>αντικατοπτρίζει</w:t>
      </w:r>
      <w:r w:rsidR="0041753F">
        <w:rPr>
          <w:rFonts w:ascii="Arial" w:hAnsi="Arial" w:cs="Arial"/>
          <w:sz w:val="18"/>
          <w:szCs w:val="18"/>
          <w:lang w:val="el-GR"/>
        </w:rPr>
        <w:t xml:space="preserve"> κυρίως</w:t>
      </w:r>
      <w:r w:rsidR="004A7F78" w:rsidRPr="007246A9">
        <w:rPr>
          <w:rFonts w:ascii="Arial" w:hAnsi="Arial" w:cs="Arial"/>
          <w:sz w:val="18"/>
          <w:szCs w:val="18"/>
          <w:lang w:val="el-GR"/>
        </w:rPr>
        <w:t xml:space="preserve"> </w:t>
      </w:r>
      <w:r w:rsidR="0041753F">
        <w:rPr>
          <w:rFonts w:ascii="Arial" w:hAnsi="Arial" w:cs="Arial"/>
          <w:sz w:val="18"/>
          <w:szCs w:val="18"/>
          <w:lang w:val="el-GR"/>
        </w:rPr>
        <w:t xml:space="preserve">τη μείωση επιτοκίων, που εν μέρη αντισταθμίζεται από την συνεχιζόμενη αυξημένη ρευστότητα και τη μία επιπλέον μέρα σε σύγκριση με το προηγούμενο τρίμηνο.  </w:t>
      </w:r>
    </w:p>
    <w:p w14:paraId="4DF4DC71" w14:textId="582A2A70" w:rsidR="00D41198" w:rsidRPr="00D41B36" w:rsidRDefault="00D41198" w:rsidP="00D41198">
      <w:pPr>
        <w:pStyle w:val="BodyText3"/>
        <w:jc w:val="both"/>
        <w:rPr>
          <w:rFonts w:ascii="Arial" w:hAnsi="Arial" w:cs="Arial"/>
          <w:b/>
          <w:bCs/>
          <w:sz w:val="18"/>
          <w:szCs w:val="18"/>
          <w:highlight w:val="yellow"/>
          <w:lang w:val="el-GR"/>
        </w:rPr>
      </w:pPr>
    </w:p>
    <w:p w14:paraId="256B1578" w14:textId="330B5095" w:rsidR="00172910" w:rsidRPr="007246A9" w:rsidRDefault="00352599">
      <w:pPr>
        <w:spacing w:after="0" w:line="240" w:lineRule="auto"/>
        <w:jc w:val="both"/>
        <w:rPr>
          <w:rFonts w:ascii="Arial" w:eastAsia="Times New Roman" w:hAnsi="Arial" w:cs="Arial"/>
          <w:sz w:val="18"/>
          <w:szCs w:val="18"/>
          <w:lang w:val="el-GR" w:eastAsia="el-GR"/>
        </w:rPr>
      </w:pPr>
      <w:r w:rsidRPr="007246A9">
        <w:rPr>
          <w:rFonts w:ascii="Arial" w:eastAsia="Times New Roman" w:hAnsi="Arial" w:cs="Arial"/>
          <w:b/>
          <w:bCs/>
          <w:sz w:val="18"/>
          <w:szCs w:val="18"/>
          <w:lang w:val="el-GR" w:eastAsia="el-GR"/>
        </w:rPr>
        <w:t xml:space="preserve">Ο τριμηνιαίος μέσος όρος των τοκοφόρων περιουσιακών </w:t>
      </w:r>
      <w:r w:rsidRPr="0041753F">
        <w:rPr>
          <w:rFonts w:ascii="Arial" w:eastAsia="Times New Roman" w:hAnsi="Arial" w:cs="Arial"/>
          <w:b/>
          <w:bCs/>
          <w:sz w:val="18"/>
          <w:szCs w:val="18"/>
          <w:lang w:val="el-GR" w:eastAsia="el-GR"/>
        </w:rPr>
        <w:t>στοιχείων</w:t>
      </w:r>
      <w:r w:rsidRPr="0041753F">
        <w:rPr>
          <w:rFonts w:ascii="Arial" w:eastAsia="Times New Roman" w:hAnsi="Arial" w:cs="Arial"/>
          <w:sz w:val="18"/>
          <w:szCs w:val="18"/>
          <w:lang w:val="el-GR" w:eastAsia="el-GR"/>
        </w:rPr>
        <w:t xml:space="preserve"> για </w:t>
      </w:r>
      <w:r w:rsidR="00165495" w:rsidRPr="0041753F">
        <w:rPr>
          <w:rFonts w:ascii="Arial" w:hAnsi="Arial" w:cs="Arial"/>
          <w:sz w:val="18"/>
          <w:szCs w:val="18"/>
          <w:lang w:val="el-GR"/>
        </w:rPr>
        <w:t xml:space="preserve">το </w:t>
      </w:r>
      <w:r w:rsidR="007A2F9B">
        <w:rPr>
          <w:rFonts w:ascii="Arial" w:hAnsi="Arial" w:cs="Arial"/>
          <w:sz w:val="18"/>
          <w:szCs w:val="18"/>
          <w:lang w:val="el-GR"/>
        </w:rPr>
        <w:t>εννεάμηνο</w:t>
      </w:r>
      <w:r w:rsidR="00165495" w:rsidRPr="0041753F">
        <w:rPr>
          <w:rFonts w:ascii="Arial" w:hAnsi="Arial" w:cs="Arial"/>
          <w:sz w:val="18"/>
          <w:szCs w:val="18"/>
          <w:lang w:val="el-GR"/>
        </w:rPr>
        <w:t xml:space="preserve"> που έληξε στις 30 Σεπτεμβρίου </w:t>
      </w:r>
      <w:r w:rsidR="00172910" w:rsidRPr="0041753F">
        <w:rPr>
          <w:rFonts w:ascii="Arial" w:eastAsia="Times New Roman" w:hAnsi="Arial" w:cs="Arial"/>
          <w:sz w:val="18"/>
          <w:szCs w:val="18"/>
          <w:lang w:val="el-GR" w:eastAsia="el-GR"/>
        </w:rPr>
        <w:t xml:space="preserve">2024 </w:t>
      </w:r>
      <w:r w:rsidR="00172910" w:rsidRPr="0041753F">
        <w:rPr>
          <w:rFonts w:ascii="Arial" w:hAnsi="Arial" w:cs="Arial"/>
          <w:sz w:val="18"/>
          <w:szCs w:val="18"/>
          <w:lang w:val="el-GR"/>
        </w:rPr>
        <w:t>ανήλθε</w:t>
      </w:r>
      <w:r w:rsidR="00172910" w:rsidRPr="0041753F">
        <w:rPr>
          <w:rFonts w:ascii="Arial" w:eastAsia="Times New Roman" w:hAnsi="Arial" w:cs="Arial"/>
          <w:sz w:val="18"/>
          <w:szCs w:val="18"/>
          <w:lang w:val="el-GR" w:eastAsia="el-GR"/>
        </w:rPr>
        <w:t xml:space="preserve"> σε </w:t>
      </w:r>
      <w:r w:rsidR="00C11977" w:rsidRPr="0041753F">
        <w:rPr>
          <w:rFonts w:ascii="Arial" w:hAnsi="Arial" w:cs="Arial"/>
          <w:sz w:val="18"/>
          <w:szCs w:val="18"/>
          <w:lang w:val="el-GR"/>
        </w:rPr>
        <w:t>€</w:t>
      </w:r>
      <w:r w:rsidR="0041753F" w:rsidRPr="00502B4F">
        <w:rPr>
          <w:rFonts w:ascii="Arial" w:hAnsi="Arial" w:cs="Arial"/>
          <w:sz w:val="18"/>
          <w:szCs w:val="18"/>
          <w:lang w:val="el-GR"/>
        </w:rPr>
        <w:t>23,107</w:t>
      </w:r>
      <w:r w:rsidR="0041753F" w:rsidRPr="0041753F">
        <w:rPr>
          <w:rFonts w:ascii="Arial" w:hAnsi="Arial" w:cs="Arial"/>
          <w:sz w:val="18"/>
          <w:szCs w:val="24"/>
          <w:lang w:val="el-GR"/>
        </w:rPr>
        <w:t xml:space="preserve"> </w:t>
      </w:r>
      <w:r w:rsidR="00172910" w:rsidRPr="0041753F">
        <w:rPr>
          <w:rFonts w:ascii="Arial" w:eastAsia="Times New Roman" w:hAnsi="Arial" w:cs="Arial"/>
          <w:sz w:val="18"/>
          <w:szCs w:val="18"/>
          <w:lang w:val="el-GR" w:eastAsia="el-GR"/>
        </w:rPr>
        <w:t>εκατ.,</w:t>
      </w:r>
      <w:r w:rsidR="00DC0009" w:rsidRPr="0041753F">
        <w:rPr>
          <w:rFonts w:ascii="Arial" w:eastAsia="Times New Roman" w:hAnsi="Arial" w:cs="Arial"/>
          <w:sz w:val="18"/>
          <w:szCs w:val="18"/>
          <w:lang w:val="el-GR" w:eastAsia="el-GR"/>
        </w:rPr>
        <w:t xml:space="preserve"> </w:t>
      </w:r>
      <w:r w:rsidR="00DC0009" w:rsidRPr="00502B4F">
        <w:rPr>
          <w:rFonts w:ascii="Arial" w:eastAsia="Times New Roman" w:hAnsi="Arial" w:cs="Arial"/>
          <w:sz w:val="18"/>
          <w:szCs w:val="18"/>
          <w:lang w:val="el-GR" w:eastAsia="el-GR"/>
        </w:rPr>
        <w:t>περίπου στα ίδια επίπεδα σε ετήσια βάση</w:t>
      </w:r>
      <w:r w:rsidR="00DC0009" w:rsidRPr="0041753F">
        <w:rPr>
          <w:rFonts w:ascii="Arial" w:eastAsia="Times New Roman" w:hAnsi="Arial" w:cs="Arial"/>
          <w:sz w:val="18"/>
          <w:szCs w:val="18"/>
          <w:lang w:val="el-GR" w:eastAsia="el-GR"/>
        </w:rPr>
        <w:t>.</w:t>
      </w:r>
      <w:r w:rsidR="00DC0009" w:rsidRPr="007246A9">
        <w:rPr>
          <w:rFonts w:ascii="Arial" w:eastAsia="Times New Roman" w:hAnsi="Arial" w:cs="Arial"/>
          <w:sz w:val="18"/>
          <w:szCs w:val="18"/>
          <w:lang w:val="el-GR" w:eastAsia="el-GR"/>
        </w:rPr>
        <w:t xml:space="preserve"> </w:t>
      </w:r>
    </w:p>
    <w:p w14:paraId="2CE42C1E" w14:textId="77777777" w:rsidR="00172910" w:rsidRPr="00D41B36" w:rsidRDefault="00172910">
      <w:pPr>
        <w:spacing w:after="0" w:line="240" w:lineRule="auto"/>
        <w:jc w:val="both"/>
        <w:rPr>
          <w:rFonts w:ascii="Arial" w:eastAsia="Times New Roman" w:hAnsi="Arial" w:cs="Arial"/>
          <w:sz w:val="18"/>
          <w:szCs w:val="18"/>
          <w:highlight w:val="yellow"/>
          <w:lang w:val="el-GR" w:eastAsia="el-GR"/>
        </w:rPr>
      </w:pPr>
    </w:p>
    <w:p w14:paraId="3983CC82" w14:textId="42C24B18" w:rsidR="009129B7" w:rsidRPr="00D41B36" w:rsidRDefault="00172910" w:rsidP="009129B7">
      <w:pPr>
        <w:spacing w:after="0" w:line="240" w:lineRule="auto"/>
        <w:jc w:val="both"/>
        <w:rPr>
          <w:rFonts w:ascii="Arial" w:eastAsia="Times New Roman" w:hAnsi="Arial" w:cs="Arial"/>
          <w:sz w:val="18"/>
          <w:szCs w:val="18"/>
          <w:highlight w:val="yellow"/>
          <w:lang w:val="el-GR" w:eastAsia="el-GR"/>
        </w:rPr>
      </w:pPr>
      <w:r w:rsidRPr="007246A9">
        <w:rPr>
          <w:rFonts w:ascii="Arial" w:eastAsia="Times New Roman" w:hAnsi="Arial" w:cs="Arial"/>
          <w:b/>
          <w:bCs/>
          <w:sz w:val="18"/>
          <w:szCs w:val="18"/>
          <w:lang w:val="el-GR" w:eastAsia="el-GR"/>
        </w:rPr>
        <w:t>Ο τριμηνιαίος μ</w:t>
      </w:r>
      <w:r w:rsidRPr="0041753F">
        <w:rPr>
          <w:rFonts w:ascii="Arial" w:eastAsia="Times New Roman" w:hAnsi="Arial" w:cs="Arial"/>
          <w:b/>
          <w:bCs/>
          <w:sz w:val="18"/>
          <w:szCs w:val="18"/>
          <w:lang w:val="el-GR" w:eastAsia="el-GR"/>
        </w:rPr>
        <w:t>έσος όρος των τοκοφόρων περιουσιακών στοιχείων</w:t>
      </w:r>
      <w:r w:rsidR="00352599" w:rsidRPr="0041753F">
        <w:rPr>
          <w:rFonts w:ascii="Arial" w:eastAsia="Times New Roman" w:hAnsi="Arial" w:cs="Arial"/>
          <w:sz w:val="18"/>
          <w:szCs w:val="18"/>
          <w:lang w:val="el-GR" w:eastAsia="el-GR"/>
        </w:rPr>
        <w:t xml:space="preserve"> </w:t>
      </w:r>
      <w:r w:rsidRPr="0041753F">
        <w:rPr>
          <w:rFonts w:ascii="Arial" w:eastAsia="Times New Roman" w:hAnsi="Arial" w:cs="Arial"/>
          <w:sz w:val="18"/>
          <w:szCs w:val="18"/>
          <w:lang w:val="el-GR" w:eastAsia="el-GR"/>
        </w:rPr>
        <w:t xml:space="preserve">για το </w:t>
      </w:r>
      <w:r w:rsidR="00165495" w:rsidRPr="0041753F">
        <w:rPr>
          <w:rFonts w:ascii="Arial" w:eastAsia="Times New Roman" w:hAnsi="Arial" w:cs="Arial"/>
          <w:sz w:val="18"/>
          <w:szCs w:val="18"/>
          <w:lang w:val="el-GR" w:eastAsia="el-GR"/>
        </w:rPr>
        <w:t>γ</w:t>
      </w:r>
      <w:r w:rsidR="00195DBC" w:rsidRPr="0041753F">
        <w:rPr>
          <w:rFonts w:ascii="Arial" w:eastAsia="Times New Roman" w:hAnsi="Arial" w:cs="Arial"/>
          <w:sz w:val="18"/>
          <w:szCs w:val="18"/>
          <w:lang w:val="el-GR" w:eastAsia="el-GR"/>
        </w:rPr>
        <w:t xml:space="preserve">΄ </w:t>
      </w:r>
      <w:r w:rsidR="00675ED9" w:rsidRPr="0041753F">
        <w:rPr>
          <w:rFonts w:ascii="Arial" w:hAnsi="Arial" w:cs="Arial"/>
          <w:sz w:val="18"/>
          <w:szCs w:val="18"/>
          <w:lang w:val="el-GR"/>
        </w:rPr>
        <w:t>τρίμηνο</w:t>
      </w:r>
      <w:r w:rsidR="00195DBC" w:rsidRPr="0041753F">
        <w:rPr>
          <w:rFonts w:ascii="Arial" w:hAnsi="Arial" w:cs="Arial"/>
          <w:sz w:val="18"/>
          <w:szCs w:val="18"/>
          <w:lang w:val="el-GR"/>
        </w:rPr>
        <w:t xml:space="preserve"> 2024</w:t>
      </w:r>
      <w:r w:rsidR="00675ED9" w:rsidRPr="0041753F">
        <w:rPr>
          <w:rFonts w:ascii="Arial" w:hAnsi="Arial" w:cs="Arial"/>
          <w:sz w:val="18"/>
          <w:szCs w:val="18"/>
          <w:lang w:val="el-GR"/>
        </w:rPr>
        <w:t xml:space="preserve"> ανήλθε</w:t>
      </w:r>
      <w:r w:rsidR="00675ED9" w:rsidRPr="0041753F">
        <w:rPr>
          <w:rFonts w:ascii="Arial" w:eastAsia="Times New Roman" w:hAnsi="Arial" w:cs="Arial"/>
          <w:sz w:val="18"/>
          <w:szCs w:val="18"/>
          <w:lang w:val="el-GR" w:eastAsia="el-GR"/>
        </w:rPr>
        <w:t xml:space="preserve"> </w:t>
      </w:r>
      <w:r w:rsidR="00352599" w:rsidRPr="0041753F">
        <w:rPr>
          <w:rFonts w:ascii="Arial" w:eastAsia="Times New Roman" w:hAnsi="Arial" w:cs="Arial"/>
          <w:sz w:val="18"/>
          <w:szCs w:val="18"/>
          <w:lang w:val="el-GR" w:eastAsia="el-GR"/>
        </w:rPr>
        <w:t xml:space="preserve">σε </w:t>
      </w:r>
      <w:r w:rsidR="00DC0009" w:rsidRPr="0041753F">
        <w:rPr>
          <w:rFonts w:ascii="Arial" w:hAnsi="Arial" w:cs="Arial"/>
          <w:sz w:val="18"/>
          <w:szCs w:val="24"/>
          <w:lang w:val="el-GR"/>
        </w:rPr>
        <w:t>€</w:t>
      </w:r>
      <w:r w:rsidR="0041753F" w:rsidRPr="00502B4F">
        <w:rPr>
          <w:rFonts w:ascii="Arial" w:hAnsi="Arial" w:cs="Arial"/>
          <w:sz w:val="18"/>
          <w:szCs w:val="24"/>
          <w:lang w:val="el-GR"/>
        </w:rPr>
        <w:t>23,044</w:t>
      </w:r>
      <w:r w:rsidR="0041753F" w:rsidRPr="0041753F">
        <w:rPr>
          <w:rFonts w:ascii="Arial" w:hAnsi="Arial" w:cs="Arial"/>
          <w:sz w:val="18"/>
          <w:szCs w:val="24"/>
          <w:lang w:val="el-GR"/>
        </w:rPr>
        <w:t xml:space="preserve"> </w:t>
      </w:r>
      <w:r w:rsidR="00352599" w:rsidRPr="0041753F">
        <w:rPr>
          <w:rFonts w:ascii="Arial" w:eastAsia="Times New Roman" w:hAnsi="Arial" w:cs="Arial"/>
          <w:sz w:val="18"/>
          <w:szCs w:val="18"/>
          <w:lang w:val="el-GR" w:eastAsia="el-GR"/>
        </w:rPr>
        <w:t xml:space="preserve">εκατ., </w:t>
      </w:r>
      <w:r w:rsidR="0041753F" w:rsidRPr="00502B4F">
        <w:rPr>
          <w:rFonts w:ascii="Arial" w:eastAsia="Times New Roman" w:hAnsi="Arial" w:cs="Arial"/>
          <w:sz w:val="18"/>
          <w:szCs w:val="18"/>
          <w:lang w:val="el-GR" w:eastAsia="el-GR"/>
        </w:rPr>
        <w:t xml:space="preserve">αυξημένος </w:t>
      </w:r>
      <w:r w:rsidR="00352599" w:rsidRPr="00502B4F">
        <w:rPr>
          <w:rFonts w:ascii="Arial" w:eastAsia="Times New Roman" w:hAnsi="Arial" w:cs="Arial"/>
          <w:sz w:val="18"/>
          <w:szCs w:val="18"/>
          <w:lang w:val="el-GR" w:eastAsia="el-GR"/>
        </w:rPr>
        <w:t xml:space="preserve">κατά </w:t>
      </w:r>
      <w:r w:rsidR="0041753F" w:rsidRPr="00502B4F">
        <w:rPr>
          <w:rFonts w:ascii="Arial" w:hAnsi="Arial" w:cs="Arial"/>
          <w:sz w:val="18"/>
          <w:szCs w:val="24"/>
          <w:lang w:val="el-GR"/>
        </w:rPr>
        <w:t>2</w:t>
      </w:r>
      <w:r w:rsidR="00352599" w:rsidRPr="00502B4F">
        <w:rPr>
          <w:rFonts w:ascii="Arial" w:eastAsia="Times New Roman" w:hAnsi="Arial" w:cs="Arial"/>
          <w:sz w:val="18"/>
          <w:szCs w:val="18"/>
          <w:lang w:val="el-GR" w:eastAsia="el-GR"/>
        </w:rPr>
        <w:t xml:space="preserve">% σε </w:t>
      </w:r>
      <w:r w:rsidR="00675ED9" w:rsidRPr="00502B4F">
        <w:rPr>
          <w:rFonts w:ascii="Arial" w:eastAsia="Times New Roman" w:hAnsi="Arial" w:cs="Arial"/>
          <w:sz w:val="18"/>
          <w:szCs w:val="18"/>
          <w:lang w:val="el-GR" w:eastAsia="el-GR"/>
        </w:rPr>
        <w:t xml:space="preserve">τριμηνιαία </w:t>
      </w:r>
      <w:r w:rsidR="00352599" w:rsidRPr="00502B4F">
        <w:rPr>
          <w:rFonts w:ascii="Arial" w:eastAsia="Times New Roman" w:hAnsi="Arial" w:cs="Arial"/>
          <w:sz w:val="18"/>
          <w:szCs w:val="18"/>
          <w:lang w:val="el-GR" w:eastAsia="el-GR"/>
        </w:rPr>
        <w:t xml:space="preserve">βάση, </w:t>
      </w:r>
      <w:r w:rsidR="00675ED9" w:rsidRPr="00502B4F">
        <w:rPr>
          <w:rFonts w:ascii="Arial" w:eastAsia="Times New Roman" w:hAnsi="Arial" w:cs="Arial"/>
          <w:sz w:val="18"/>
          <w:szCs w:val="18"/>
          <w:lang w:val="el-GR" w:eastAsia="el-GR"/>
        </w:rPr>
        <w:t xml:space="preserve">λόγω </w:t>
      </w:r>
      <w:r w:rsidR="00DC0009" w:rsidRPr="00502B4F">
        <w:rPr>
          <w:rFonts w:ascii="Arial" w:eastAsia="Times New Roman" w:hAnsi="Arial" w:cs="Arial"/>
          <w:sz w:val="18"/>
          <w:szCs w:val="18"/>
          <w:lang w:val="el-GR" w:eastAsia="el-GR"/>
        </w:rPr>
        <w:t xml:space="preserve">κυρίως </w:t>
      </w:r>
      <w:r w:rsidR="00DC0009" w:rsidRPr="00502B4F">
        <w:rPr>
          <w:rFonts w:ascii="Arial" w:hAnsi="Arial" w:cs="Arial"/>
          <w:sz w:val="18"/>
          <w:szCs w:val="18"/>
          <w:lang w:val="el-GR"/>
        </w:rPr>
        <w:t>της</w:t>
      </w:r>
      <w:r w:rsidR="009129B7" w:rsidRPr="00502B4F">
        <w:rPr>
          <w:rFonts w:ascii="Arial" w:hAnsi="Arial" w:cs="Arial"/>
          <w:sz w:val="18"/>
          <w:szCs w:val="18"/>
          <w:lang w:val="el-GR"/>
        </w:rPr>
        <w:t xml:space="preserve"> </w:t>
      </w:r>
      <w:r w:rsidR="0041753F" w:rsidRPr="00502B4F">
        <w:rPr>
          <w:rFonts w:ascii="Arial" w:eastAsia="Times New Roman" w:hAnsi="Arial" w:cs="Arial"/>
          <w:sz w:val="18"/>
          <w:szCs w:val="18"/>
          <w:lang w:val="el-GR" w:eastAsia="el-GR"/>
        </w:rPr>
        <w:t xml:space="preserve">αύξησης </w:t>
      </w:r>
      <w:r w:rsidR="0041753F" w:rsidRPr="0041753F">
        <w:rPr>
          <w:rFonts w:ascii="Arial" w:hAnsi="Arial" w:cs="Arial"/>
          <w:sz w:val="18"/>
          <w:szCs w:val="18"/>
          <w:lang w:val="el-GR"/>
        </w:rPr>
        <w:t>των ρευστών διαθέσιμων περιουσιακών στοιχείων ως αποτέλεσμα της αύξησης στις καταθέσεις κατά €266 εκατ. σε τριμηνιαία βάση.</w:t>
      </w:r>
      <w:r w:rsidR="0041753F">
        <w:rPr>
          <w:rFonts w:ascii="Arial" w:hAnsi="Arial" w:cs="Arial"/>
          <w:sz w:val="18"/>
          <w:szCs w:val="18"/>
          <w:lang w:val="el-GR"/>
        </w:rPr>
        <w:t xml:space="preserve"> </w:t>
      </w:r>
    </w:p>
    <w:p w14:paraId="506F48CE" w14:textId="77777777" w:rsidR="00F26350" w:rsidRPr="007246A9" w:rsidRDefault="00F26350" w:rsidP="00FA3A6D">
      <w:pPr>
        <w:spacing w:after="0" w:line="240" w:lineRule="auto"/>
        <w:rPr>
          <w:rFonts w:ascii="Arial" w:eastAsia="Times New Roman" w:hAnsi="Arial" w:cs="Arial"/>
          <w:sz w:val="18"/>
          <w:szCs w:val="18"/>
          <w:lang w:val="el-GR" w:eastAsia="el-GR"/>
        </w:rPr>
      </w:pPr>
    </w:p>
    <w:p w14:paraId="07E24491" w14:textId="231E7B98" w:rsidR="00C11977" w:rsidRPr="00D41B36" w:rsidRDefault="009129B7" w:rsidP="009129B7">
      <w:pPr>
        <w:spacing w:after="0" w:line="240" w:lineRule="auto"/>
        <w:jc w:val="both"/>
        <w:rPr>
          <w:rFonts w:ascii="Arial" w:hAnsi="Arial" w:cs="Arial"/>
          <w:sz w:val="18"/>
          <w:szCs w:val="18"/>
          <w:highlight w:val="yellow"/>
          <w:lang w:val="el-GR"/>
        </w:rPr>
      </w:pPr>
      <w:r w:rsidRPr="007246A9">
        <w:rPr>
          <w:rFonts w:ascii="Arial" w:hAnsi="Arial" w:cs="Arial"/>
          <w:b/>
          <w:bCs/>
          <w:sz w:val="18"/>
          <w:szCs w:val="18"/>
          <w:lang w:val="el-GR" w:eastAsia="el-GR"/>
        </w:rPr>
        <w:t xml:space="preserve">Το καθαρό </w:t>
      </w:r>
      <w:proofErr w:type="spellStart"/>
      <w:r w:rsidRPr="007246A9">
        <w:rPr>
          <w:rFonts w:ascii="Arial" w:hAnsi="Arial" w:cs="Arial"/>
          <w:b/>
          <w:bCs/>
          <w:sz w:val="18"/>
          <w:szCs w:val="18"/>
          <w:lang w:val="el-GR" w:eastAsia="el-GR"/>
        </w:rPr>
        <w:t>επιτοκιακό</w:t>
      </w:r>
      <w:proofErr w:type="spellEnd"/>
      <w:r w:rsidRPr="007246A9">
        <w:rPr>
          <w:rFonts w:ascii="Arial" w:hAnsi="Arial" w:cs="Arial"/>
          <w:b/>
          <w:bCs/>
          <w:sz w:val="18"/>
          <w:szCs w:val="18"/>
          <w:lang w:val="el-GR" w:eastAsia="el-GR"/>
        </w:rPr>
        <w:t xml:space="preserve"> περιθώριο </w:t>
      </w:r>
      <w:r w:rsidRPr="007246A9">
        <w:rPr>
          <w:rFonts w:ascii="Arial" w:hAnsi="Arial" w:cs="Arial"/>
          <w:sz w:val="18"/>
          <w:szCs w:val="18"/>
          <w:lang w:val="el-GR" w:eastAsia="el-GR"/>
        </w:rPr>
        <w:t>για το</w:t>
      </w:r>
      <w:r w:rsidR="002D138E" w:rsidRPr="007246A9">
        <w:rPr>
          <w:rFonts w:ascii="Arial" w:hAnsi="Arial" w:cs="Arial"/>
          <w:sz w:val="18"/>
          <w:szCs w:val="18"/>
          <w:lang w:val="el-GR" w:eastAsia="el-GR"/>
        </w:rPr>
        <w:t xml:space="preserve"> </w:t>
      </w:r>
      <w:r w:rsidR="007A2F9B">
        <w:rPr>
          <w:rFonts w:ascii="Arial" w:hAnsi="Arial" w:cs="Arial"/>
          <w:sz w:val="18"/>
          <w:szCs w:val="18"/>
          <w:lang w:val="el-GR"/>
        </w:rPr>
        <w:t>εννεάμηνο</w:t>
      </w:r>
      <w:r w:rsidR="002D138E" w:rsidRPr="002D138E">
        <w:rPr>
          <w:rFonts w:ascii="Arial" w:hAnsi="Arial" w:cs="Arial"/>
          <w:sz w:val="18"/>
          <w:szCs w:val="18"/>
          <w:lang w:val="el-GR"/>
        </w:rPr>
        <w:t xml:space="preserve"> που έληξε στις 30 Σεπτεμβρίου</w:t>
      </w:r>
      <w:r w:rsidR="002D138E" w:rsidRPr="007246A9">
        <w:rPr>
          <w:rFonts w:ascii="Arial" w:hAnsi="Arial" w:cs="Arial"/>
          <w:sz w:val="18"/>
          <w:szCs w:val="18"/>
          <w:lang w:val="el-GR"/>
        </w:rPr>
        <w:t xml:space="preserve"> </w:t>
      </w:r>
      <w:r w:rsidRPr="007246A9">
        <w:rPr>
          <w:rFonts w:ascii="Arial" w:hAnsi="Arial" w:cs="Arial"/>
          <w:sz w:val="18"/>
          <w:szCs w:val="18"/>
          <w:lang w:val="el-GR" w:eastAsia="el-GR"/>
        </w:rPr>
        <w:t>2024 ανήλθε σε</w:t>
      </w:r>
      <w:r w:rsidRPr="007246A9">
        <w:rPr>
          <w:rFonts w:ascii="Arial" w:hAnsi="Arial" w:cs="Arial"/>
          <w:b/>
          <w:bCs/>
          <w:sz w:val="18"/>
          <w:szCs w:val="18"/>
          <w:lang w:val="el-GR" w:eastAsia="el-GR"/>
        </w:rPr>
        <w:t xml:space="preserve"> </w:t>
      </w:r>
      <w:r w:rsidR="0041753F" w:rsidRPr="00502B4F">
        <w:rPr>
          <w:rFonts w:ascii="Arial" w:hAnsi="Arial" w:cs="Arial"/>
          <w:sz w:val="18"/>
          <w:szCs w:val="18"/>
          <w:lang w:val="el-GR"/>
        </w:rPr>
        <w:t>3.60</w:t>
      </w:r>
      <w:r w:rsidRPr="007246A9">
        <w:rPr>
          <w:rFonts w:ascii="Arial" w:hAnsi="Arial" w:cs="Arial"/>
          <w:sz w:val="18"/>
          <w:szCs w:val="18"/>
          <w:lang w:val="el-GR"/>
        </w:rPr>
        <w:t xml:space="preserve">% (σε σύγκριση με </w:t>
      </w:r>
      <w:r w:rsidR="002D138E" w:rsidRPr="007246A9">
        <w:rPr>
          <w:rFonts w:ascii="Arial" w:hAnsi="Arial" w:cs="Arial"/>
          <w:sz w:val="18"/>
          <w:szCs w:val="18"/>
          <w:lang w:val="el-GR"/>
        </w:rPr>
        <w:t>3.32</w:t>
      </w:r>
      <w:r w:rsidRPr="007246A9">
        <w:rPr>
          <w:rFonts w:ascii="Arial" w:hAnsi="Arial" w:cs="Arial"/>
          <w:sz w:val="18"/>
          <w:szCs w:val="18"/>
          <w:lang w:val="el-GR"/>
        </w:rPr>
        <w:t xml:space="preserve">% για </w:t>
      </w:r>
      <w:r w:rsidR="002D138E" w:rsidRPr="007246A9">
        <w:rPr>
          <w:rFonts w:ascii="Arial" w:hAnsi="Arial" w:cs="Arial"/>
          <w:sz w:val="18"/>
          <w:szCs w:val="18"/>
          <w:lang w:val="el-GR"/>
        </w:rPr>
        <w:t xml:space="preserve">αντίστοιχο </w:t>
      </w:r>
      <w:r w:rsidR="007A2F9B">
        <w:rPr>
          <w:rFonts w:ascii="Arial" w:hAnsi="Arial" w:cs="Arial"/>
          <w:sz w:val="18"/>
          <w:szCs w:val="18"/>
          <w:lang w:val="el-GR"/>
        </w:rPr>
        <w:t>εννεάμηνο</w:t>
      </w:r>
      <w:r w:rsidRPr="007246A9">
        <w:rPr>
          <w:rFonts w:ascii="Arial" w:hAnsi="Arial" w:cs="Arial"/>
          <w:sz w:val="18"/>
          <w:szCs w:val="18"/>
          <w:lang w:val="el-GR"/>
        </w:rPr>
        <w:t xml:space="preserve"> 202</w:t>
      </w:r>
      <w:r w:rsidR="009D1C4B" w:rsidRPr="007246A9">
        <w:rPr>
          <w:rFonts w:ascii="Arial" w:hAnsi="Arial" w:cs="Arial"/>
          <w:sz w:val="18"/>
          <w:szCs w:val="18"/>
          <w:lang w:val="el-GR"/>
        </w:rPr>
        <w:t>3</w:t>
      </w:r>
      <w:r w:rsidRPr="007246A9">
        <w:rPr>
          <w:rFonts w:ascii="Arial" w:hAnsi="Arial" w:cs="Arial"/>
          <w:sz w:val="18"/>
          <w:szCs w:val="18"/>
          <w:lang w:val="el-GR"/>
        </w:rPr>
        <w:t>),</w:t>
      </w:r>
      <w:r w:rsidR="002D138E" w:rsidRPr="007246A9">
        <w:rPr>
          <w:rFonts w:ascii="Arial" w:hAnsi="Arial" w:cs="Arial"/>
          <w:sz w:val="18"/>
          <w:szCs w:val="18"/>
          <w:lang w:val="el-GR"/>
        </w:rPr>
        <w:t xml:space="preserve"> </w:t>
      </w:r>
      <w:r w:rsidRPr="007246A9">
        <w:rPr>
          <w:rFonts w:ascii="Arial" w:hAnsi="Arial" w:cs="Arial"/>
          <w:sz w:val="18"/>
          <w:szCs w:val="18"/>
          <w:lang w:val="el-GR"/>
        </w:rPr>
        <w:t xml:space="preserve">αυξημένο κατά </w:t>
      </w:r>
      <w:r w:rsidR="0041753F" w:rsidRPr="00502B4F">
        <w:rPr>
          <w:rFonts w:ascii="Arial" w:hAnsi="Arial" w:cs="Arial"/>
          <w:sz w:val="18"/>
          <w:szCs w:val="18"/>
          <w:lang w:val="el-GR"/>
        </w:rPr>
        <w:t>28</w:t>
      </w:r>
      <w:r w:rsidR="0041753F">
        <w:rPr>
          <w:rFonts w:ascii="Arial" w:hAnsi="Arial" w:cs="Arial"/>
          <w:sz w:val="18"/>
          <w:szCs w:val="18"/>
          <w:lang w:val="el-GR"/>
        </w:rPr>
        <w:t xml:space="preserve"> </w:t>
      </w:r>
      <w:proofErr w:type="spellStart"/>
      <w:r w:rsidRPr="007246A9">
        <w:rPr>
          <w:rFonts w:ascii="Arial" w:hAnsi="Arial" w:cs="Arial"/>
          <w:color w:val="000000" w:themeColor="text1"/>
          <w:sz w:val="18"/>
          <w:szCs w:val="18"/>
          <w:lang w:val="el-GR"/>
        </w:rPr>
        <w:t>μ.β</w:t>
      </w:r>
      <w:proofErr w:type="spellEnd"/>
      <w:r w:rsidRPr="007246A9">
        <w:rPr>
          <w:rFonts w:ascii="Arial" w:hAnsi="Arial" w:cs="Arial"/>
          <w:color w:val="000000" w:themeColor="text1"/>
          <w:sz w:val="18"/>
          <w:szCs w:val="18"/>
          <w:lang w:val="el-GR"/>
        </w:rPr>
        <w:t>.</w:t>
      </w:r>
      <w:r w:rsidR="0041753F">
        <w:rPr>
          <w:rFonts w:ascii="Arial" w:hAnsi="Arial" w:cs="Arial"/>
          <w:color w:val="000000" w:themeColor="text1"/>
          <w:sz w:val="18"/>
          <w:szCs w:val="18"/>
          <w:lang w:val="el-GR"/>
        </w:rPr>
        <w:t xml:space="preserve"> </w:t>
      </w:r>
      <w:r w:rsidRPr="007246A9">
        <w:rPr>
          <w:rFonts w:ascii="Arial" w:hAnsi="Arial" w:cs="Arial"/>
          <w:color w:val="000000" w:themeColor="text1"/>
          <w:sz w:val="18"/>
          <w:szCs w:val="18"/>
          <w:lang w:val="el-GR"/>
        </w:rPr>
        <w:t>σε ετήσια βάση</w:t>
      </w:r>
      <w:r w:rsidRPr="007246A9">
        <w:rPr>
          <w:rFonts w:ascii="Arial" w:hAnsi="Arial" w:cs="Arial"/>
          <w:sz w:val="18"/>
          <w:szCs w:val="18"/>
          <w:lang w:val="el-GR"/>
        </w:rPr>
        <w:t xml:space="preserve">, </w:t>
      </w:r>
      <w:r w:rsidR="00445AF1" w:rsidRPr="007246A9">
        <w:rPr>
          <w:rFonts w:ascii="Arial" w:hAnsi="Arial" w:cs="Arial"/>
          <w:sz w:val="18"/>
          <w:szCs w:val="18"/>
          <w:lang w:val="el-GR"/>
        </w:rPr>
        <w:t>υποστηριζόμενο</w:t>
      </w:r>
      <w:r w:rsidR="002D138E" w:rsidRPr="007246A9">
        <w:rPr>
          <w:rFonts w:ascii="Arial" w:hAnsi="Arial" w:cs="Arial"/>
          <w:sz w:val="18"/>
          <w:szCs w:val="18"/>
          <w:lang w:val="el-GR"/>
        </w:rPr>
        <w:t xml:space="preserve"> κυρίως </w:t>
      </w:r>
      <w:r w:rsidR="00445AF1" w:rsidRPr="007246A9">
        <w:rPr>
          <w:rFonts w:ascii="Arial" w:hAnsi="Arial" w:cs="Arial"/>
          <w:sz w:val="18"/>
          <w:szCs w:val="18"/>
          <w:lang w:val="el-GR"/>
        </w:rPr>
        <w:t>από το</w:t>
      </w:r>
      <w:r w:rsidR="0059202E" w:rsidRPr="007246A9">
        <w:rPr>
          <w:rFonts w:ascii="Arial" w:hAnsi="Arial" w:cs="Arial"/>
          <w:sz w:val="18"/>
          <w:szCs w:val="18"/>
          <w:lang w:val="el-GR"/>
        </w:rPr>
        <w:t xml:space="preserve"> </w:t>
      </w:r>
      <w:r w:rsidR="00445AF1" w:rsidRPr="007246A9">
        <w:rPr>
          <w:rFonts w:ascii="Arial" w:hAnsi="Arial" w:cs="Arial"/>
          <w:sz w:val="18"/>
          <w:szCs w:val="18"/>
          <w:lang w:val="el-GR"/>
        </w:rPr>
        <w:t>περιβάλλον</w:t>
      </w:r>
      <w:r w:rsidR="0059202E" w:rsidRPr="007246A9">
        <w:rPr>
          <w:rFonts w:ascii="Arial" w:hAnsi="Arial" w:cs="Arial"/>
          <w:sz w:val="18"/>
          <w:szCs w:val="18"/>
          <w:lang w:val="el-GR"/>
        </w:rPr>
        <w:t xml:space="preserve"> υψηλότερων</w:t>
      </w:r>
      <w:r w:rsidR="00445AF1" w:rsidRPr="007246A9">
        <w:rPr>
          <w:rFonts w:ascii="Arial" w:hAnsi="Arial" w:cs="Arial"/>
          <w:sz w:val="18"/>
          <w:szCs w:val="18"/>
          <w:lang w:val="el-GR"/>
        </w:rPr>
        <w:t xml:space="preserve"> επιτοκίων</w:t>
      </w:r>
      <w:r w:rsidR="0059202E" w:rsidRPr="007246A9">
        <w:rPr>
          <w:rFonts w:ascii="Arial" w:hAnsi="Arial" w:cs="Arial"/>
          <w:sz w:val="18"/>
          <w:szCs w:val="18"/>
          <w:lang w:val="el-GR"/>
        </w:rPr>
        <w:t xml:space="preserve"> σε σύγκριση με το προηγούμενο έτος. </w:t>
      </w:r>
    </w:p>
    <w:p w14:paraId="07731F00" w14:textId="77777777" w:rsidR="009129B7" w:rsidRPr="007246A9" w:rsidRDefault="009129B7" w:rsidP="009129B7">
      <w:pPr>
        <w:spacing w:after="0" w:line="240" w:lineRule="auto"/>
        <w:jc w:val="both"/>
        <w:rPr>
          <w:rFonts w:ascii="Arial" w:hAnsi="Arial" w:cs="Arial"/>
          <w:sz w:val="18"/>
          <w:szCs w:val="18"/>
          <w:lang w:val="el-GR"/>
        </w:rPr>
      </w:pPr>
    </w:p>
    <w:p w14:paraId="1647A75C" w14:textId="77560C3F" w:rsidR="0007077C" w:rsidRPr="007246A9" w:rsidRDefault="009129B7" w:rsidP="0007077C">
      <w:pPr>
        <w:spacing w:after="0" w:line="240" w:lineRule="auto"/>
        <w:jc w:val="both"/>
        <w:rPr>
          <w:rFonts w:ascii="Arial" w:eastAsia="Times New Roman" w:hAnsi="Arial" w:cs="Arial"/>
          <w:b/>
          <w:bCs/>
          <w:sz w:val="18"/>
          <w:szCs w:val="18"/>
          <w:lang w:val="el-GR" w:eastAsia="el-GR"/>
        </w:rPr>
      </w:pPr>
      <w:r w:rsidRPr="007246A9">
        <w:rPr>
          <w:rFonts w:ascii="Arial" w:hAnsi="Arial" w:cs="Arial"/>
          <w:b/>
          <w:bCs/>
          <w:sz w:val="18"/>
          <w:szCs w:val="18"/>
          <w:lang w:val="el-GR" w:eastAsia="el-GR"/>
        </w:rPr>
        <w:t xml:space="preserve">Το καθαρό </w:t>
      </w:r>
      <w:proofErr w:type="spellStart"/>
      <w:r w:rsidRPr="007246A9">
        <w:rPr>
          <w:rFonts w:ascii="Arial" w:hAnsi="Arial" w:cs="Arial"/>
          <w:b/>
          <w:bCs/>
          <w:sz w:val="18"/>
          <w:szCs w:val="18"/>
          <w:lang w:val="el-GR" w:eastAsia="el-GR"/>
        </w:rPr>
        <w:t>επιτοκιακό</w:t>
      </w:r>
      <w:proofErr w:type="spellEnd"/>
      <w:r w:rsidRPr="007246A9">
        <w:rPr>
          <w:rFonts w:ascii="Arial" w:hAnsi="Arial" w:cs="Arial"/>
          <w:b/>
          <w:bCs/>
          <w:sz w:val="18"/>
          <w:szCs w:val="18"/>
          <w:lang w:val="el-GR" w:eastAsia="el-GR"/>
        </w:rPr>
        <w:t xml:space="preserve"> περιθώριο </w:t>
      </w:r>
      <w:r w:rsidRPr="007246A9">
        <w:rPr>
          <w:rFonts w:ascii="Arial" w:hAnsi="Arial" w:cs="Arial"/>
          <w:sz w:val="18"/>
          <w:szCs w:val="18"/>
          <w:lang w:val="el-GR" w:eastAsia="el-GR"/>
        </w:rPr>
        <w:t xml:space="preserve">για το </w:t>
      </w:r>
      <w:r w:rsidR="002D138E" w:rsidRPr="007246A9">
        <w:rPr>
          <w:rFonts w:ascii="Arial" w:hAnsi="Arial" w:cs="Arial"/>
          <w:sz w:val="18"/>
          <w:szCs w:val="18"/>
          <w:lang w:val="el-GR" w:eastAsia="el-GR"/>
        </w:rPr>
        <w:t xml:space="preserve">γ’ </w:t>
      </w:r>
      <w:r w:rsidRPr="007246A9">
        <w:rPr>
          <w:rFonts w:ascii="Arial" w:hAnsi="Arial" w:cs="Arial"/>
          <w:sz w:val="18"/>
          <w:szCs w:val="18"/>
          <w:lang w:val="el-GR" w:eastAsia="el-GR"/>
        </w:rPr>
        <w:t>τρίμηνο 2024 ανήλθε σε</w:t>
      </w:r>
      <w:r w:rsidRPr="007246A9">
        <w:rPr>
          <w:rFonts w:ascii="Arial" w:hAnsi="Arial" w:cs="Arial"/>
          <w:b/>
          <w:bCs/>
          <w:sz w:val="18"/>
          <w:szCs w:val="18"/>
          <w:lang w:val="el-GR" w:eastAsia="el-GR"/>
        </w:rPr>
        <w:t xml:space="preserve"> </w:t>
      </w:r>
      <w:r w:rsidR="005D5CCC" w:rsidRPr="00502B4F">
        <w:rPr>
          <w:rFonts w:ascii="Arial" w:hAnsi="Arial" w:cs="Arial"/>
          <w:sz w:val="18"/>
          <w:szCs w:val="18"/>
          <w:lang w:val="el-GR"/>
        </w:rPr>
        <w:t>3.52</w:t>
      </w:r>
      <w:r w:rsidR="006C49BD" w:rsidRPr="007246A9">
        <w:rPr>
          <w:rFonts w:ascii="Arial" w:hAnsi="Arial" w:cs="Arial"/>
          <w:sz w:val="18"/>
          <w:szCs w:val="18"/>
          <w:lang w:val="el-GR"/>
        </w:rPr>
        <w:t>%</w:t>
      </w:r>
      <w:r w:rsidR="002D138E" w:rsidRPr="007246A9">
        <w:rPr>
          <w:rFonts w:ascii="Arial" w:hAnsi="Arial" w:cs="Arial"/>
          <w:sz w:val="18"/>
          <w:szCs w:val="18"/>
          <w:lang w:val="el-GR"/>
        </w:rPr>
        <w:t>, σε σύγκριση με 3.68% για το β’ τρίμηνο 2024,</w:t>
      </w:r>
      <w:r w:rsidR="006C49BD" w:rsidRPr="007246A9">
        <w:rPr>
          <w:rFonts w:ascii="Arial" w:hAnsi="Arial" w:cs="Arial"/>
          <w:sz w:val="18"/>
          <w:szCs w:val="18"/>
          <w:lang w:val="el-GR"/>
        </w:rPr>
        <w:t xml:space="preserve"> </w:t>
      </w:r>
      <w:r w:rsidR="005D5CCC">
        <w:rPr>
          <w:rFonts w:ascii="Arial" w:hAnsi="Arial" w:cs="Arial"/>
          <w:sz w:val="18"/>
          <w:szCs w:val="18"/>
          <w:lang w:val="el-GR"/>
        </w:rPr>
        <w:t xml:space="preserve">μειωμένο κατά 16 </w:t>
      </w:r>
      <w:proofErr w:type="spellStart"/>
      <w:r w:rsidR="005D5CCC">
        <w:rPr>
          <w:rFonts w:ascii="Arial" w:hAnsi="Arial" w:cs="Arial"/>
          <w:sz w:val="18"/>
          <w:szCs w:val="18"/>
          <w:lang w:val="el-GR"/>
        </w:rPr>
        <w:t>μ.β</w:t>
      </w:r>
      <w:proofErr w:type="spellEnd"/>
      <w:r w:rsidR="005D5CCC">
        <w:rPr>
          <w:rFonts w:ascii="Arial" w:hAnsi="Arial" w:cs="Arial"/>
          <w:sz w:val="18"/>
          <w:szCs w:val="18"/>
          <w:lang w:val="el-GR"/>
        </w:rPr>
        <w:t>. σε τριμηνιαία βάση, λόγω κυρίως της μείωσης των επιτοκίων κατά το γ’ τρίμηνο 2024.</w:t>
      </w:r>
      <w:r w:rsidR="006C49BD" w:rsidRPr="007246A9">
        <w:rPr>
          <w:rFonts w:ascii="Arial" w:hAnsi="Arial" w:cs="Arial"/>
          <w:sz w:val="18"/>
          <w:szCs w:val="18"/>
          <w:lang w:val="el-GR"/>
        </w:rPr>
        <w:t xml:space="preserve"> </w:t>
      </w:r>
    </w:p>
    <w:p w14:paraId="0310569A" w14:textId="77777777" w:rsidR="00352599" w:rsidRPr="00D41B36" w:rsidRDefault="00352599" w:rsidP="00F26350">
      <w:pPr>
        <w:spacing w:after="0" w:line="240" w:lineRule="auto"/>
        <w:jc w:val="both"/>
        <w:rPr>
          <w:rFonts w:ascii="Arial" w:hAnsi="Arial" w:cs="Arial"/>
          <w:sz w:val="18"/>
          <w:szCs w:val="18"/>
          <w:highlight w:val="yellow"/>
          <w:lang w:val="el-GR"/>
        </w:rPr>
      </w:pPr>
    </w:p>
    <w:p w14:paraId="44D9E4D6" w14:textId="7B52B53C" w:rsidR="008A3A78" w:rsidRPr="008A3A78" w:rsidRDefault="005D5CCC" w:rsidP="005D5CCC">
      <w:pPr>
        <w:pStyle w:val="Default"/>
        <w:jc w:val="both"/>
        <w:rPr>
          <w:color w:val="auto"/>
          <w:sz w:val="18"/>
          <w:szCs w:val="18"/>
          <w:lang w:val="el-GR" w:eastAsia="el-GR"/>
        </w:rPr>
      </w:pPr>
      <w:r w:rsidRPr="007246A9">
        <w:rPr>
          <w:b/>
          <w:bCs/>
          <w:sz w:val="18"/>
          <w:szCs w:val="18"/>
          <w:lang w:val="el-GR" w:eastAsia="el-GR"/>
        </w:rPr>
        <w:t xml:space="preserve">Τα μη επιτοκιακά έσοδα </w:t>
      </w:r>
      <w:r w:rsidRPr="007246A9">
        <w:rPr>
          <w:sz w:val="18"/>
          <w:szCs w:val="18"/>
          <w:lang w:val="el-GR" w:eastAsia="el-GR"/>
        </w:rPr>
        <w:t xml:space="preserve">για το </w:t>
      </w:r>
      <w:r w:rsidR="007A2F9B">
        <w:rPr>
          <w:sz w:val="18"/>
          <w:szCs w:val="18"/>
          <w:lang w:val="el-GR" w:eastAsia="el-GR"/>
        </w:rPr>
        <w:t>εννεάμηνο</w:t>
      </w:r>
      <w:r w:rsidRPr="007246A9">
        <w:rPr>
          <w:sz w:val="18"/>
          <w:szCs w:val="18"/>
          <w:lang w:val="el-GR" w:eastAsia="el-GR"/>
        </w:rPr>
        <w:t xml:space="preserve"> που έληξε στις 30 Σεπτεμβρίου 2024 ανήλθαν σε €</w:t>
      </w:r>
      <w:r w:rsidRPr="00502B4F">
        <w:rPr>
          <w:rFonts w:eastAsia="Times New Roman"/>
          <w:bCs/>
          <w:sz w:val="18"/>
          <w:szCs w:val="20"/>
          <w:lang w:val="el-GR" w:eastAsia="el-GR"/>
        </w:rPr>
        <w:t>204</w:t>
      </w:r>
      <w:r>
        <w:rPr>
          <w:rFonts w:eastAsia="Times New Roman"/>
          <w:bCs/>
          <w:sz w:val="18"/>
          <w:szCs w:val="20"/>
          <w:lang w:val="el-GR" w:eastAsia="el-GR"/>
        </w:rPr>
        <w:t xml:space="preserve"> </w:t>
      </w:r>
      <w:r w:rsidRPr="007246A9">
        <w:rPr>
          <w:sz w:val="18"/>
          <w:szCs w:val="18"/>
          <w:lang w:val="el-GR" w:eastAsia="el-GR"/>
        </w:rPr>
        <w:t>εκατ. (σε σύγκριση με €</w:t>
      </w:r>
      <w:r w:rsidRPr="007246A9">
        <w:rPr>
          <w:rFonts w:eastAsia="Times New Roman"/>
          <w:bCs/>
          <w:sz w:val="18"/>
          <w:szCs w:val="20"/>
          <w:lang w:val="el-GR" w:eastAsia="el-GR"/>
        </w:rPr>
        <w:t xml:space="preserve">224 </w:t>
      </w:r>
      <w:r w:rsidRPr="007246A9">
        <w:rPr>
          <w:sz w:val="18"/>
          <w:szCs w:val="18"/>
          <w:lang w:val="el-GR" w:eastAsia="el-GR"/>
        </w:rPr>
        <w:t xml:space="preserve">εκατ. για το αντίστοιχο </w:t>
      </w:r>
      <w:r w:rsidR="007A2F9B">
        <w:rPr>
          <w:sz w:val="18"/>
          <w:szCs w:val="18"/>
          <w:lang w:val="el-GR" w:eastAsia="el-GR"/>
        </w:rPr>
        <w:t>εννεάμηνο</w:t>
      </w:r>
      <w:r w:rsidRPr="007246A9">
        <w:rPr>
          <w:sz w:val="18"/>
          <w:szCs w:val="18"/>
          <w:lang w:val="el-GR" w:eastAsia="el-GR"/>
        </w:rPr>
        <w:t xml:space="preserve"> 2023, μειωμένα κατά </w:t>
      </w:r>
      <w:r w:rsidRPr="00502B4F">
        <w:rPr>
          <w:rFonts w:eastAsia="Times New Roman"/>
          <w:bCs/>
          <w:sz w:val="18"/>
          <w:szCs w:val="20"/>
          <w:lang w:val="el-GR" w:eastAsia="el-GR"/>
        </w:rPr>
        <w:t>9</w:t>
      </w:r>
      <w:r w:rsidRPr="007246A9">
        <w:rPr>
          <w:sz w:val="18"/>
          <w:szCs w:val="18"/>
          <w:lang w:val="el-GR" w:eastAsia="el-GR"/>
        </w:rPr>
        <w:t xml:space="preserve">% σε ετήσια βάση) και αποτελούνται από καθαρά έσοδα από αμοιβές και προμήθειες </w:t>
      </w:r>
      <w:r w:rsidRPr="00502B4F">
        <w:rPr>
          <w:color w:val="auto"/>
          <w:sz w:val="18"/>
          <w:szCs w:val="18"/>
          <w:lang w:val="el-GR" w:eastAsia="el-GR"/>
        </w:rPr>
        <w:t>ύψους €</w:t>
      </w:r>
      <w:r w:rsidRPr="00502B4F">
        <w:rPr>
          <w:rFonts w:eastAsia="Times New Roman"/>
          <w:color w:val="auto"/>
          <w:sz w:val="18"/>
          <w:szCs w:val="20"/>
          <w:lang w:val="el-GR" w:eastAsia="el-GR"/>
        </w:rPr>
        <w:t xml:space="preserve">131 </w:t>
      </w:r>
      <w:r w:rsidRPr="00502B4F">
        <w:rPr>
          <w:color w:val="auto"/>
          <w:sz w:val="18"/>
          <w:szCs w:val="18"/>
          <w:lang w:val="el-GR" w:eastAsia="el-GR"/>
        </w:rPr>
        <w:t>εκατ</w:t>
      </w:r>
      <w:r w:rsidRPr="007246A9">
        <w:rPr>
          <w:sz w:val="18"/>
          <w:szCs w:val="18"/>
          <w:lang w:val="el-GR" w:eastAsia="el-GR"/>
        </w:rPr>
        <w:t xml:space="preserve">., </w:t>
      </w:r>
      <w:r w:rsidRPr="00502B4F">
        <w:rPr>
          <w:color w:val="auto"/>
          <w:sz w:val="18"/>
          <w:szCs w:val="18"/>
          <w:lang w:val="el-GR" w:eastAsia="el-GR"/>
        </w:rPr>
        <w:t>καθαρά κέρδη από διαπραγμάτευση συναλλάγματος και καθαρά κέρδη/ (ζημιές) από χρηματοοικονομικά μέσα ύψους €</w:t>
      </w:r>
      <w:r w:rsidRPr="00502B4F">
        <w:rPr>
          <w:rFonts w:eastAsia="Times New Roman"/>
          <w:color w:val="auto"/>
          <w:sz w:val="18"/>
          <w:szCs w:val="20"/>
          <w:lang w:val="el-GR" w:eastAsia="el-GR"/>
        </w:rPr>
        <w:t xml:space="preserve">27 </w:t>
      </w:r>
      <w:r w:rsidRPr="00502B4F">
        <w:rPr>
          <w:color w:val="auto"/>
          <w:sz w:val="18"/>
          <w:szCs w:val="18"/>
          <w:lang w:val="el-GR" w:eastAsia="el-GR"/>
        </w:rPr>
        <w:t>εκατ., καθαρό αποτέλεσμα από ασφαλιστικές εργασίες ύψους €</w:t>
      </w:r>
      <w:r w:rsidRPr="00502B4F">
        <w:rPr>
          <w:rFonts w:eastAsia="Times New Roman"/>
          <w:color w:val="auto"/>
          <w:sz w:val="18"/>
          <w:szCs w:val="20"/>
          <w:lang w:val="el-GR" w:eastAsia="el-GR"/>
        </w:rPr>
        <w:t xml:space="preserve">35 </w:t>
      </w:r>
      <w:r w:rsidRPr="00502B4F">
        <w:rPr>
          <w:color w:val="auto"/>
          <w:sz w:val="18"/>
          <w:szCs w:val="18"/>
          <w:lang w:val="el-GR" w:eastAsia="el-GR"/>
        </w:rPr>
        <w:t>εκατ., καθαρά κέρδη/(ζημιές) από επανεκτίμηση και πώληση επενδύσεων σε ακίνητα και πώληση αποθεμάτων ακινήτων ύψους €</w:t>
      </w:r>
      <w:r w:rsidRPr="00502B4F">
        <w:rPr>
          <w:rFonts w:eastAsia="Times New Roman"/>
          <w:color w:val="auto"/>
          <w:sz w:val="18"/>
          <w:szCs w:val="20"/>
          <w:lang w:val="el-GR" w:eastAsia="el-GR"/>
        </w:rPr>
        <w:t xml:space="preserve">3 </w:t>
      </w:r>
      <w:r w:rsidRPr="00502B4F">
        <w:rPr>
          <w:color w:val="auto"/>
          <w:sz w:val="18"/>
          <w:szCs w:val="18"/>
          <w:lang w:val="el-GR" w:eastAsia="el-GR"/>
        </w:rPr>
        <w:t>εκατ. και λοιπά έσοδα ύψους €</w:t>
      </w:r>
      <w:r w:rsidRPr="00502B4F">
        <w:rPr>
          <w:rFonts w:eastAsia="Times New Roman"/>
          <w:color w:val="auto"/>
          <w:sz w:val="18"/>
          <w:szCs w:val="20"/>
          <w:lang w:val="el-GR" w:eastAsia="el-GR"/>
        </w:rPr>
        <w:t xml:space="preserve">8 </w:t>
      </w:r>
      <w:r w:rsidRPr="00502B4F">
        <w:rPr>
          <w:color w:val="auto"/>
          <w:sz w:val="18"/>
          <w:szCs w:val="18"/>
          <w:lang w:val="el-GR" w:eastAsia="el-GR"/>
        </w:rPr>
        <w:t>εκατ</w:t>
      </w:r>
      <w:r w:rsidRPr="008A3A78">
        <w:rPr>
          <w:sz w:val="18"/>
          <w:szCs w:val="18"/>
          <w:lang w:val="el-GR" w:eastAsia="el-GR"/>
        </w:rPr>
        <w:t>.</w:t>
      </w:r>
      <w:r w:rsidRPr="00502B4F">
        <w:rPr>
          <w:sz w:val="18"/>
          <w:szCs w:val="18"/>
          <w:lang w:val="el-GR" w:eastAsia="el-GR"/>
        </w:rPr>
        <w:t xml:space="preserve"> Η </w:t>
      </w:r>
      <w:r w:rsidRPr="00502B4F">
        <w:rPr>
          <w:color w:val="auto"/>
          <w:sz w:val="18"/>
          <w:szCs w:val="18"/>
          <w:lang w:val="el-GR" w:eastAsia="el-GR"/>
        </w:rPr>
        <w:t xml:space="preserve">μείωση σε ετήσια βάση οφείλεται κυρίως στα χαμηλότερα καθαρά έσοδα από αμοιβές και προμήθειες </w:t>
      </w:r>
      <w:r w:rsidRPr="008A3A78">
        <w:rPr>
          <w:color w:val="auto"/>
          <w:sz w:val="18"/>
          <w:szCs w:val="18"/>
          <w:lang w:val="el-GR" w:eastAsia="el-GR"/>
        </w:rPr>
        <w:t xml:space="preserve">καθώς </w:t>
      </w:r>
      <w:r w:rsidR="008A3A78" w:rsidRPr="008A3A78">
        <w:rPr>
          <w:color w:val="auto"/>
          <w:sz w:val="18"/>
          <w:szCs w:val="18"/>
          <w:lang w:val="el-GR" w:eastAsia="el-GR"/>
        </w:rPr>
        <w:t>και</w:t>
      </w:r>
      <w:r w:rsidR="008A3A78" w:rsidRPr="00502B4F">
        <w:rPr>
          <w:color w:val="auto"/>
          <w:sz w:val="18"/>
          <w:szCs w:val="18"/>
          <w:lang w:val="el-GR" w:eastAsia="el-GR"/>
        </w:rPr>
        <w:t xml:space="preserve"> </w:t>
      </w:r>
      <w:r w:rsidR="008A3A78" w:rsidRPr="008A3A78">
        <w:rPr>
          <w:color w:val="auto"/>
          <w:sz w:val="18"/>
          <w:szCs w:val="18"/>
          <w:lang w:val="el-GR" w:eastAsia="el-GR"/>
        </w:rPr>
        <w:t xml:space="preserve">από </w:t>
      </w:r>
      <w:r w:rsidR="008A3A78" w:rsidRPr="00502B4F">
        <w:rPr>
          <w:color w:val="auto"/>
          <w:sz w:val="18"/>
          <w:szCs w:val="18"/>
          <w:lang w:val="el-GR" w:eastAsia="el-GR"/>
        </w:rPr>
        <w:t xml:space="preserve">μη επαναλαμβανόμενο έσοδο από ασφαλιστική απαίτηση ύψους περίπου €5 εκατ. που περιλαμβανόταν στα λοιπά έσοδα και αναγνωρίστηκε κατά το προηγούμενο </w:t>
      </w:r>
      <w:r w:rsidR="008A3A78" w:rsidRPr="008A3A78">
        <w:rPr>
          <w:color w:val="auto"/>
          <w:sz w:val="18"/>
          <w:szCs w:val="18"/>
          <w:lang w:val="el-GR" w:eastAsia="el-GR"/>
        </w:rPr>
        <w:t>έτος.</w:t>
      </w:r>
    </w:p>
    <w:p w14:paraId="086E8E9F" w14:textId="3653B880" w:rsidR="005D5CCC" w:rsidRPr="007246A9" w:rsidRDefault="005D5CCC" w:rsidP="005D5CCC">
      <w:pPr>
        <w:pStyle w:val="Default"/>
        <w:jc w:val="both"/>
        <w:rPr>
          <w:color w:val="auto"/>
          <w:sz w:val="18"/>
          <w:szCs w:val="18"/>
          <w:lang w:val="el-GR" w:eastAsia="el-GR"/>
        </w:rPr>
      </w:pPr>
      <w:r>
        <w:rPr>
          <w:color w:val="auto"/>
          <w:sz w:val="18"/>
          <w:szCs w:val="18"/>
          <w:lang w:val="el-GR" w:eastAsia="el-GR"/>
        </w:rPr>
        <w:t xml:space="preserve"> </w:t>
      </w:r>
      <w:r w:rsidRPr="007246A9">
        <w:rPr>
          <w:color w:val="auto"/>
          <w:sz w:val="18"/>
          <w:szCs w:val="18"/>
          <w:lang w:val="el-GR" w:eastAsia="el-GR"/>
        </w:rPr>
        <w:t xml:space="preserve"> </w:t>
      </w:r>
    </w:p>
    <w:p w14:paraId="7C847A7C" w14:textId="7F5C1B7E" w:rsidR="005D5CCC" w:rsidRPr="007246A9" w:rsidRDefault="005D5CCC" w:rsidP="005D5CCC">
      <w:pPr>
        <w:pStyle w:val="Default"/>
        <w:jc w:val="both"/>
        <w:rPr>
          <w:color w:val="auto"/>
          <w:sz w:val="18"/>
          <w:szCs w:val="18"/>
          <w:lang w:val="el-GR" w:eastAsia="el-GR"/>
        </w:rPr>
      </w:pPr>
      <w:r w:rsidRPr="005E1066">
        <w:rPr>
          <w:color w:val="auto"/>
          <w:sz w:val="18"/>
          <w:szCs w:val="18"/>
          <w:highlight w:val="yellow"/>
          <w:lang w:val="el-GR" w:eastAsia="el-GR"/>
        </w:rPr>
        <w:t xml:space="preserve"> </w:t>
      </w:r>
    </w:p>
    <w:p w14:paraId="30166306" w14:textId="77777777" w:rsidR="003E6B24" w:rsidRPr="00D41B36" w:rsidRDefault="003E6B24" w:rsidP="00352599">
      <w:pPr>
        <w:pStyle w:val="Default"/>
        <w:jc w:val="both"/>
        <w:rPr>
          <w:b/>
          <w:bCs/>
          <w:color w:val="auto"/>
          <w:sz w:val="18"/>
          <w:szCs w:val="18"/>
          <w:highlight w:val="yellow"/>
          <w:lang w:val="el-GR" w:eastAsia="el-GR"/>
        </w:rPr>
      </w:pPr>
    </w:p>
    <w:p w14:paraId="29D5D056" w14:textId="77777777" w:rsidR="00E06043" w:rsidRPr="00D41B36" w:rsidRDefault="00E06043" w:rsidP="00352599">
      <w:pPr>
        <w:pStyle w:val="Default"/>
        <w:jc w:val="both"/>
        <w:rPr>
          <w:b/>
          <w:bCs/>
          <w:color w:val="auto"/>
          <w:sz w:val="18"/>
          <w:szCs w:val="18"/>
          <w:highlight w:val="yellow"/>
          <w:lang w:val="el-GR" w:eastAsia="el-GR"/>
        </w:rPr>
      </w:pPr>
    </w:p>
    <w:p w14:paraId="3B395487" w14:textId="2C469ED8" w:rsidR="00DF537B" w:rsidRPr="007246A9" w:rsidRDefault="002D138E" w:rsidP="00DF537B">
      <w:pPr>
        <w:rPr>
          <w:rFonts w:ascii="Arial" w:hAnsi="Arial" w:cs="Arial"/>
          <w:b/>
          <w:bCs/>
          <w:color w:val="FF9900"/>
          <w:sz w:val="24"/>
          <w:lang w:val="el-GR"/>
        </w:rPr>
      </w:pPr>
      <w:r w:rsidRPr="007246A9">
        <w:rPr>
          <w:rFonts w:ascii="Arial" w:hAnsi="Arial" w:cs="Arial"/>
          <w:b/>
          <w:bCs/>
          <w:color w:val="FF9900"/>
          <w:sz w:val="24"/>
          <w:szCs w:val="24"/>
          <w:lang w:val="el-GR"/>
        </w:rPr>
        <w:lastRenderedPageBreak/>
        <w:t>Α</w:t>
      </w:r>
      <w:r w:rsidR="00DF537B" w:rsidRPr="007246A9">
        <w:rPr>
          <w:rFonts w:ascii="Arial" w:hAnsi="Arial" w:cs="Arial"/>
          <w:b/>
          <w:bCs/>
          <w:color w:val="FF9900"/>
          <w:sz w:val="24"/>
          <w:szCs w:val="24"/>
          <w:lang w:val="el-GR"/>
        </w:rPr>
        <w:t xml:space="preserve">.  Οικονομικά Αποτελέσματα Συγκροτήματος – Υποκείμενη Βάση </w:t>
      </w:r>
      <w:r w:rsidR="00DF537B" w:rsidRPr="007246A9">
        <w:rPr>
          <w:rFonts w:ascii="Arial" w:hAnsi="Arial" w:cs="Arial"/>
          <w:color w:val="FF9900"/>
          <w:sz w:val="24"/>
          <w:szCs w:val="24"/>
          <w:lang w:val="el-GR"/>
        </w:rPr>
        <w:t xml:space="preserve">(συνέχεια) </w:t>
      </w:r>
    </w:p>
    <w:p w14:paraId="216C97D6" w14:textId="77EE39E1" w:rsidR="00DF537B" w:rsidRPr="007246A9" w:rsidRDefault="002D138E" w:rsidP="00DF537B">
      <w:pPr>
        <w:rPr>
          <w:rFonts w:ascii="Arial" w:hAnsi="Arial" w:cs="Arial"/>
          <w:b/>
          <w:bCs/>
          <w:color w:val="FF9900"/>
          <w:sz w:val="23"/>
          <w:szCs w:val="23"/>
          <w:lang w:val="el-GR"/>
        </w:rPr>
      </w:pPr>
      <w:r w:rsidRPr="007246A9">
        <w:rPr>
          <w:rFonts w:ascii="Arial" w:hAnsi="Arial" w:cs="Arial"/>
          <w:b/>
          <w:bCs/>
          <w:color w:val="FF9900"/>
          <w:sz w:val="23"/>
          <w:szCs w:val="23"/>
          <w:lang w:val="el-GR"/>
        </w:rPr>
        <w:t>Α</w:t>
      </w:r>
      <w:r w:rsidR="00DF537B" w:rsidRPr="007246A9">
        <w:rPr>
          <w:rFonts w:ascii="Arial" w:hAnsi="Arial" w:cs="Arial"/>
          <w:b/>
          <w:bCs/>
          <w:color w:val="FF9900"/>
          <w:sz w:val="23"/>
          <w:szCs w:val="23"/>
          <w:lang w:val="el-GR"/>
        </w:rPr>
        <w:t>.</w:t>
      </w:r>
      <w:r w:rsidRPr="007246A9">
        <w:rPr>
          <w:rFonts w:ascii="Arial" w:hAnsi="Arial" w:cs="Arial"/>
          <w:b/>
          <w:bCs/>
          <w:color w:val="FF9900"/>
          <w:sz w:val="23"/>
          <w:szCs w:val="23"/>
          <w:lang w:val="el-GR"/>
        </w:rPr>
        <w:t>2</w:t>
      </w:r>
      <w:r w:rsidR="00DF537B" w:rsidRPr="007246A9">
        <w:rPr>
          <w:rFonts w:ascii="Arial" w:hAnsi="Arial" w:cs="Arial"/>
          <w:b/>
          <w:bCs/>
          <w:color w:val="FF9900"/>
          <w:sz w:val="23"/>
          <w:szCs w:val="23"/>
          <w:lang w:val="el-GR"/>
        </w:rPr>
        <w:t xml:space="preserve">. Ανάλυση Κατάστασης Λογαριασμού Αποτελεσμάτων </w:t>
      </w:r>
      <w:r w:rsidR="00DF537B" w:rsidRPr="007246A9">
        <w:rPr>
          <w:rFonts w:ascii="Arial" w:hAnsi="Arial" w:cs="Arial"/>
          <w:color w:val="FF9900"/>
          <w:sz w:val="23"/>
          <w:szCs w:val="23"/>
          <w:lang w:val="el-GR"/>
        </w:rPr>
        <w:t>(συνέχεια)</w:t>
      </w:r>
    </w:p>
    <w:p w14:paraId="0061B17E" w14:textId="78DB2918" w:rsidR="00DF537B" w:rsidRPr="007246A9" w:rsidRDefault="002D138E" w:rsidP="00DF537B">
      <w:pPr>
        <w:pStyle w:val="Default"/>
        <w:jc w:val="both"/>
        <w:rPr>
          <w:color w:val="FF9900"/>
          <w:sz w:val="22"/>
          <w:szCs w:val="22"/>
          <w:lang w:val="el-GR"/>
        </w:rPr>
      </w:pPr>
      <w:r w:rsidRPr="007246A9">
        <w:rPr>
          <w:b/>
          <w:bCs/>
          <w:color w:val="FF9900"/>
          <w:sz w:val="22"/>
          <w:szCs w:val="22"/>
          <w:lang w:val="el-GR"/>
        </w:rPr>
        <w:t>Α</w:t>
      </w:r>
      <w:r w:rsidR="00DF537B" w:rsidRPr="007246A9">
        <w:rPr>
          <w:b/>
          <w:bCs/>
          <w:color w:val="FF9900"/>
          <w:sz w:val="22"/>
          <w:szCs w:val="22"/>
          <w:lang w:val="el-GR"/>
        </w:rPr>
        <w:t>.</w:t>
      </w:r>
      <w:r w:rsidRPr="007246A9">
        <w:rPr>
          <w:b/>
          <w:bCs/>
          <w:color w:val="FF9900"/>
          <w:sz w:val="22"/>
          <w:szCs w:val="22"/>
          <w:lang w:val="el-GR"/>
        </w:rPr>
        <w:t>2</w:t>
      </w:r>
      <w:r w:rsidR="00DF537B" w:rsidRPr="007246A9">
        <w:rPr>
          <w:b/>
          <w:bCs/>
          <w:color w:val="FF9900"/>
          <w:sz w:val="22"/>
          <w:szCs w:val="22"/>
          <w:lang w:val="el-GR"/>
        </w:rPr>
        <w:t xml:space="preserve">.1 Συνολικά Έσοδα </w:t>
      </w:r>
      <w:r w:rsidR="00DF537B" w:rsidRPr="007246A9">
        <w:rPr>
          <w:color w:val="FF9900"/>
          <w:sz w:val="22"/>
          <w:szCs w:val="22"/>
          <w:lang w:val="el-GR"/>
        </w:rPr>
        <w:t>(συνέχεια)</w:t>
      </w:r>
    </w:p>
    <w:p w14:paraId="6ACDDF17" w14:textId="77777777" w:rsidR="00DF537B" w:rsidRPr="007246A9" w:rsidRDefault="00DF537B" w:rsidP="00DF537B">
      <w:pPr>
        <w:pStyle w:val="Default"/>
        <w:jc w:val="both"/>
        <w:rPr>
          <w:color w:val="auto"/>
          <w:sz w:val="18"/>
          <w:szCs w:val="18"/>
          <w:lang w:val="el-GR" w:eastAsia="el-GR"/>
        </w:rPr>
      </w:pPr>
    </w:p>
    <w:p w14:paraId="02375B49" w14:textId="2BDBCB49" w:rsidR="008F521A" w:rsidRPr="00D41B36" w:rsidRDefault="003E6B24" w:rsidP="00352599">
      <w:pPr>
        <w:pStyle w:val="Default"/>
        <w:jc w:val="both"/>
        <w:rPr>
          <w:color w:val="auto"/>
          <w:sz w:val="18"/>
          <w:szCs w:val="18"/>
          <w:highlight w:val="yellow"/>
          <w:lang w:val="el-GR" w:eastAsia="el-GR"/>
        </w:rPr>
      </w:pPr>
      <w:r w:rsidRPr="007246A9">
        <w:rPr>
          <w:b/>
          <w:bCs/>
          <w:color w:val="auto"/>
          <w:sz w:val="18"/>
          <w:szCs w:val="18"/>
          <w:lang w:val="el-GR" w:eastAsia="el-GR"/>
        </w:rPr>
        <w:t>Τα μη επιτοκιακά έσοδα</w:t>
      </w:r>
      <w:r w:rsidRPr="007246A9">
        <w:rPr>
          <w:color w:val="auto"/>
          <w:sz w:val="18"/>
          <w:szCs w:val="18"/>
          <w:lang w:val="el-GR" w:eastAsia="el-GR"/>
        </w:rPr>
        <w:t xml:space="preserve"> για το </w:t>
      </w:r>
      <w:r w:rsidR="005E1066" w:rsidRPr="007246A9">
        <w:rPr>
          <w:sz w:val="18"/>
          <w:szCs w:val="18"/>
          <w:lang w:val="el-GR" w:eastAsia="el-GR"/>
        </w:rPr>
        <w:t>γ</w:t>
      </w:r>
      <w:r w:rsidRPr="007246A9">
        <w:rPr>
          <w:sz w:val="18"/>
          <w:szCs w:val="18"/>
          <w:lang w:val="el-GR" w:eastAsia="el-GR"/>
        </w:rPr>
        <w:t xml:space="preserve">΄ τρίμηνο </w:t>
      </w:r>
      <w:r w:rsidRPr="00502B4F">
        <w:rPr>
          <w:color w:val="auto"/>
          <w:sz w:val="18"/>
          <w:szCs w:val="18"/>
          <w:lang w:val="el-GR" w:eastAsia="el-GR"/>
        </w:rPr>
        <w:t>2024</w:t>
      </w:r>
      <w:r w:rsidRPr="00502B4F">
        <w:rPr>
          <w:color w:val="auto"/>
          <w:sz w:val="18"/>
          <w:szCs w:val="18"/>
          <w:lang w:val="el-GR"/>
        </w:rPr>
        <w:t xml:space="preserve"> </w:t>
      </w:r>
      <w:r w:rsidRPr="005F670E">
        <w:rPr>
          <w:color w:val="auto"/>
          <w:sz w:val="18"/>
          <w:szCs w:val="18"/>
          <w:lang w:val="el-GR" w:eastAsia="el-GR"/>
        </w:rPr>
        <w:t>ανήλθαν σε €</w:t>
      </w:r>
      <w:r w:rsidR="005F670E" w:rsidRPr="00502B4F">
        <w:rPr>
          <w:rFonts w:eastAsia="Times New Roman"/>
          <w:bCs/>
          <w:color w:val="auto"/>
          <w:sz w:val="18"/>
          <w:szCs w:val="20"/>
          <w:lang w:val="el-GR" w:eastAsia="el-GR"/>
        </w:rPr>
        <w:t xml:space="preserve">75 </w:t>
      </w:r>
      <w:r w:rsidRPr="005F670E">
        <w:rPr>
          <w:color w:val="auto"/>
          <w:sz w:val="18"/>
          <w:szCs w:val="18"/>
          <w:lang w:val="el-GR" w:eastAsia="el-GR"/>
        </w:rPr>
        <w:t xml:space="preserve">εκατ. </w:t>
      </w:r>
      <w:r w:rsidRPr="00502B4F">
        <w:rPr>
          <w:color w:val="auto"/>
          <w:sz w:val="18"/>
          <w:szCs w:val="18"/>
          <w:lang w:val="el-GR" w:eastAsia="el-GR"/>
        </w:rPr>
        <w:t>(σε σύγκριση με €</w:t>
      </w:r>
      <w:r w:rsidR="005E1066" w:rsidRPr="00502B4F">
        <w:rPr>
          <w:rFonts w:eastAsia="Times New Roman"/>
          <w:bCs/>
          <w:color w:val="auto"/>
          <w:sz w:val="18"/>
          <w:szCs w:val="20"/>
          <w:lang w:val="el-GR" w:eastAsia="el-GR"/>
        </w:rPr>
        <w:t xml:space="preserve">66 </w:t>
      </w:r>
      <w:r w:rsidRPr="00502B4F">
        <w:rPr>
          <w:color w:val="auto"/>
          <w:sz w:val="18"/>
          <w:szCs w:val="18"/>
          <w:lang w:val="el-GR" w:eastAsia="el-GR"/>
        </w:rPr>
        <w:t xml:space="preserve">εκατ. για το </w:t>
      </w:r>
      <w:r w:rsidR="005E1066" w:rsidRPr="00502B4F">
        <w:rPr>
          <w:color w:val="auto"/>
          <w:sz w:val="18"/>
          <w:szCs w:val="18"/>
          <w:lang w:val="el-GR" w:eastAsia="el-GR"/>
        </w:rPr>
        <w:t xml:space="preserve">β’ </w:t>
      </w:r>
      <w:r w:rsidRPr="00502B4F">
        <w:rPr>
          <w:color w:val="auto"/>
          <w:sz w:val="18"/>
          <w:szCs w:val="18"/>
          <w:lang w:val="el-GR" w:eastAsia="el-GR"/>
        </w:rPr>
        <w:t xml:space="preserve">τρίμηνο 2024, αυξημένα κατά </w:t>
      </w:r>
      <w:r w:rsidR="005F670E" w:rsidRPr="00502B4F">
        <w:rPr>
          <w:color w:val="auto"/>
          <w:sz w:val="18"/>
          <w:szCs w:val="18"/>
          <w:lang w:val="el-GR" w:eastAsia="el-GR"/>
        </w:rPr>
        <w:t>14</w:t>
      </w:r>
      <w:r w:rsidRPr="00502B4F">
        <w:rPr>
          <w:color w:val="auto"/>
          <w:sz w:val="18"/>
          <w:szCs w:val="18"/>
          <w:lang w:val="el-GR" w:eastAsia="el-GR"/>
        </w:rPr>
        <w:t>% σε τριμηνιαία βάση</w:t>
      </w:r>
      <w:r w:rsidRPr="005F670E">
        <w:rPr>
          <w:color w:val="auto"/>
          <w:sz w:val="18"/>
          <w:szCs w:val="18"/>
          <w:lang w:val="el-GR" w:eastAsia="el-GR"/>
        </w:rPr>
        <w:t>) και αποτελούνται από καθαρά έσοδα από αμοιβές και προμήθειες ύψους €</w:t>
      </w:r>
      <w:r w:rsidR="005F670E" w:rsidRPr="00502B4F">
        <w:rPr>
          <w:rFonts w:eastAsia="Times New Roman"/>
          <w:color w:val="auto"/>
          <w:sz w:val="18"/>
          <w:szCs w:val="20"/>
          <w:lang w:val="el-GR" w:eastAsia="el-GR"/>
        </w:rPr>
        <w:t xml:space="preserve">45 </w:t>
      </w:r>
      <w:r w:rsidRPr="005F670E">
        <w:rPr>
          <w:color w:val="auto"/>
          <w:sz w:val="18"/>
          <w:szCs w:val="18"/>
          <w:lang w:val="el-GR" w:eastAsia="el-GR"/>
        </w:rPr>
        <w:t>εκατ., καθαρά κέρδη</w:t>
      </w:r>
      <w:r w:rsidR="005F670E" w:rsidRPr="005F670E">
        <w:rPr>
          <w:color w:val="auto"/>
          <w:sz w:val="18"/>
          <w:szCs w:val="18"/>
          <w:lang w:val="el-GR" w:eastAsia="el-GR"/>
        </w:rPr>
        <w:t xml:space="preserve"> </w:t>
      </w:r>
      <w:r w:rsidRPr="005F670E">
        <w:rPr>
          <w:color w:val="auto"/>
          <w:sz w:val="18"/>
          <w:szCs w:val="18"/>
          <w:lang w:val="el-GR" w:eastAsia="el-GR"/>
        </w:rPr>
        <w:t>από διαπραγμάτευση συναλλάγματος και καθαρά κέρδη</w:t>
      </w:r>
      <w:r w:rsidR="005E1066" w:rsidRPr="005F670E">
        <w:rPr>
          <w:color w:val="auto"/>
          <w:sz w:val="18"/>
          <w:szCs w:val="18"/>
          <w:lang w:val="el-GR" w:eastAsia="el-GR"/>
        </w:rPr>
        <w:t>/ (ζημιές)</w:t>
      </w:r>
      <w:r w:rsidRPr="00502B4F">
        <w:rPr>
          <w:color w:val="auto"/>
          <w:sz w:val="18"/>
          <w:szCs w:val="18"/>
          <w:lang w:val="el-GR" w:eastAsia="el-GR"/>
        </w:rPr>
        <w:t xml:space="preserve"> </w:t>
      </w:r>
      <w:r w:rsidRPr="005F670E">
        <w:rPr>
          <w:color w:val="auto"/>
          <w:sz w:val="18"/>
          <w:szCs w:val="18"/>
          <w:lang w:val="el-GR" w:eastAsia="el-GR"/>
        </w:rPr>
        <w:t>από χρηματοοικονομικά μέσα ύψους €</w:t>
      </w:r>
      <w:r w:rsidR="005F670E" w:rsidRPr="00502B4F">
        <w:rPr>
          <w:rFonts w:eastAsia="Times New Roman"/>
          <w:color w:val="auto"/>
          <w:sz w:val="18"/>
          <w:szCs w:val="20"/>
          <w:lang w:val="el-GR" w:eastAsia="el-GR"/>
        </w:rPr>
        <w:t xml:space="preserve">14 </w:t>
      </w:r>
      <w:r w:rsidRPr="005F670E">
        <w:rPr>
          <w:color w:val="auto"/>
          <w:sz w:val="18"/>
          <w:szCs w:val="18"/>
          <w:lang w:val="el-GR" w:eastAsia="el-GR"/>
        </w:rPr>
        <w:t>εκατ., καθαρό αποτέλεσμα από ασφαλιστικές εργασίες ύψους €</w:t>
      </w:r>
      <w:r w:rsidR="005F670E" w:rsidRPr="00502B4F">
        <w:rPr>
          <w:rFonts w:eastAsia="Times New Roman"/>
          <w:color w:val="auto"/>
          <w:sz w:val="18"/>
          <w:szCs w:val="20"/>
          <w:lang w:val="el-GR" w:eastAsia="el-GR"/>
        </w:rPr>
        <w:t xml:space="preserve">12 </w:t>
      </w:r>
      <w:r w:rsidRPr="005F670E">
        <w:rPr>
          <w:color w:val="auto"/>
          <w:sz w:val="18"/>
          <w:szCs w:val="18"/>
          <w:lang w:val="el-GR" w:eastAsia="el-GR"/>
        </w:rPr>
        <w:t xml:space="preserve">εκατ., καθαρά κέρδη/(ζημιές) από επανεκτίμηση και πώληση επενδύσεων σε ακίνητα και </w:t>
      </w:r>
      <w:r w:rsidR="00352599" w:rsidRPr="005F670E">
        <w:rPr>
          <w:color w:val="auto"/>
          <w:sz w:val="18"/>
          <w:szCs w:val="18"/>
          <w:lang w:val="el-GR" w:eastAsia="el-GR"/>
        </w:rPr>
        <w:t>πώληση αποθεμάτων ακινήτων ύψους €</w:t>
      </w:r>
      <w:r w:rsidR="005F670E" w:rsidRPr="00502B4F">
        <w:rPr>
          <w:rFonts w:eastAsia="Times New Roman"/>
          <w:color w:val="auto"/>
          <w:sz w:val="18"/>
          <w:szCs w:val="20"/>
          <w:lang w:val="el-GR" w:eastAsia="el-GR"/>
        </w:rPr>
        <w:t xml:space="preserve">1 </w:t>
      </w:r>
      <w:r w:rsidR="00352599" w:rsidRPr="005F670E">
        <w:rPr>
          <w:color w:val="auto"/>
          <w:sz w:val="18"/>
          <w:szCs w:val="18"/>
          <w:lang w:val="el-GR" w:eastAsia="el-GR"/>
        </w:rPr>
        <w:t>εκατ. και λοιπά έσοδα ύψους €</w:t>
      </w:r>
      <w:r w:rsidR="005F670E" w:rsidRPr="00502B4F">
        <w:rPr>
          <w:rFonts w:eastAsia="Times New Roman"/>
          <w:color w:val="auto"/>
          <w:sz w:val="18"/>
          <w:szCs w:val="20"/>
          <w:lang w:val="el-GR" w:eastAsia="el-GR"/>
        </w:rPr>
        <w:t xml:space="preserve">3 </w:t>
      </w:r>
      <w:r w:rsidR="00352599" w:rsidRPr="005F670E">
        <w:rPr>
          <w:color w:val="auto"/>
          <w:sz w:val="18"/>
          <w:szCs w:val="18"/>
          <w:lang w:val="el-GR" w:eastAsia="el-GR"/>
        </w:rPr>
        <w:t>εκατ</w:t>
      </w:r>
      <w:r w:rsidR="008F521A" w:rsidRPr="005F670E">
        <w:rPr>
          <w:color w:val="auto"/>
          <w:sz w:val="18"/>
          <w:szCs w:val="18"/>
          <w:lang w:val="el-GR" w:eastAsia="el-GR"/>
        </w:rPr>
        <w:t>.</w:t>
      </w:r>
      <w:r w:rsidR="00821384" w:rsidRPr="005F670E">
        <w:rPr>
          <w:color w:val="auto"/>
          <w:sz w:val="18"/>
          <w:szCs w:val="18"/>
          <w:lang w:val="el-GR" w:eastAsia="el-GR"/>
        </w:rPr>
        <w:t xml:space="preserve"> </w:t>
      </w:r>
      <w:r w:rsidR="00821384" w:rsidRPr="00502B4F">
        <w:rPr>
          <w:color w:val="auto"/>
          <w:sz w:val="18"/>
          <w:szCs w:val="18"/>
          <w:lang w:val="el-GR" w:eastAsia="el-GR"/>
        </w:rPr>
        <w:t xml:space="preserve">Η </w:t>
      </w:r>
      <w:r w:rsidR="00DF537B" w:rsidRPr="00502B4F">
        <w:rPr>
          <w:color w:val="auto"/>
          <w:sz w:val="18"/>
          <w:szCs w:val="18"/>
          <w:lang w:val="el-GR" w:eastAsia="el-GR"/>
        </w:rPr>
        <w:t xml:space="preserve">αύξηση </w:t>
      </w:r>
      <w:r w:rsidR="00821384" w:rsidRPr="00502B4F">
        <w:rPr>
          <w:color w:val="auto"/>
          <w:sz w:val="18"/>
          <w:szCs w:val="18"/>
          <w:lang w:val="el-GR" w:eastAsia="el-GR"/>
        </w:rPr>
        <w:t xml:space="preserve">σε τριμηνιαία βάση οφείλεται κυρίως </w:t>
      </w:r>
      <w:r w:rsidR="005F670E" w:rsidRPr="00502B4F">
        <w:rPr>
          <w:color w:val="auto"/>
          <w:sz w:val="18"/>
          <w:szCs w:val="18"/>
          <w:lang w:val="el-GR" w:eastAsia="el-GR"/>
        </w:rPr>
        <w:t xml:space="preserve">στα </w:t>
      </w:r>
      <w:r w:rsidR="005F670E" w:rsidRPr="005F670E">
        <w:rPr>
          <w:color w:val="auto"/>
          <w:sz w:val="18"/>
          <w:szCs w:val="18"/>
          <w:lang w:val="el-GR" w:eastAsia="el-GR"/>
        </w:rPr>
        <w:t>καθαρά κέρδη από διαπραγμάτευση συναλλάγματος και καθαρά κέρδη/ (ζημιές)</w:t>
      </w:r>
      <w:r w:rsidR="005F670E" w:rsidRPr="00502B4F">
        <w:rPr>
          <w:color w:val="auto"/>
          <w:sz w:val="18"/>
          <w:szCs w:val="18"/>
          <w:lang w:val="el-GR" w:eastAsia="el-GR"/>
        </w:rPr>
        <w:t xml:space="preserve"> </w:t>
      </w:r>
      <w:r w:rsidR="005F670E" w:rsidRPr="005F670E">
        <w:rPr>
          <w:color w:val="auto"/>
          <w:sz w:val="18"/>
          <w:szCs w:val="18"/>
          <w:lang w:val="el-GR" w:eastAsia="el-GR"/>
        </w:rPr>
        <w:t>από χρηματοοικονομικά μέσα</w:t>
      </w:r>
      <w:r w:rsidR="0059202E" w:rsidRPr="00502B4F">
        <w:rPr>
          <w:color w:val="auto"/>
          <w:sz w:val="18"/>
          <w:szCs w:val="18"/>
          <w:lang w:val="el-GR" w:eastAsia="el-GR"/>
        </w:rPr>
        <w:t xml:space="preserve">. </w:t>
      </w:r>
      <w:bookmarkStart w:id="18" w:name="_Hlk109819749"/>
    </w:p>
    <w:p w14:paraId="748D5259" w14:textId="77777777" w:rsidR="00BB697F" w:rsidRPr="007246A9" w:rsidRDefault="00BB697F" w:rsidP="00352599">
      <w:pPr>
        <w:pStyle w:val="Default"/>
        <w:jc w:val="both"/>
        <w:rPr>
          <w:color w:val="FF0000"/>
          <w:sz w:val="18"/>
          <w:szCs w:val="18"/>
          <w:lang w:val="el-GR" w:eastAsia="el-GR"/>
        </w:rPr>
      </w:pPr>
    </w:p>
    <w:p w14:paraId="10894CE5" w14:textId="244C54F4" w:rsidR="004732AA" w:rsidRPr="00D41B36" w:rsidRDefault="004732AA" w:rsidP="004732AA">
      <w:pPr>
        <w:spacing w:after="0" w:line="240" w:lineRule="auto"/>
        <w:jc w:val="both"/>
        <w:rPr>
          <w:rFonts w:ascii="Arial" w:hAnsi="Arial" w:cs="Arial"/>
          <w:sz w:val="18"/>
          <w:szCs w:val="18"/>
          <w:highlight w:val="yellow"/>
          <w:lang w:val="el-GR" w:eastAsia="el-GR"/>
        </w:rPr>
      </w:pPr>
      <w:r w:rsidRPr="007246A9">
        <w:rPr>
          <w:rFonts w:ascii="Arial" w:hAnsi="Arial" w:cs="Arial"/>
          <w:b/>
          <w:bCs/>
          <w:sz w:val="18"/>
          <w:szCs w:val="18"/>
          <w:lang w:val="el-GR" w:eastAsia="el-GR"/>
        </w:rPr>
        <w:t>Τα καθαρά έσοδα από αμοιβές και προμήθειες</w:t>
      </w:r>
      <w:r w:rsidRPr="007246A9">
        <w:rPr>
          <w:rFonts w:ascii="Arial" w:hAnsi="Arial" w:cs="Arial"/>
          <w:sz w:val="18"/>
          <w:szCs w:val="18"/>
          <w:lang w:val="el-GR" w:eastAsia="el-GR"/>
        </w:rPr>
        <w:t xml:space="preserve"> για</w:t>
      </w:r>
      <w:r w:rsidRPr="005F670E">
        <w:rPr>
          <w:rFonts w:ascii="Arial" w:hAnsi="Arial" w:cs="Arial"/>
          <w:sz w:val="18"/>
          <w:szCs w:val="18"/>
          <w:lang w:val="el-GR" w:eastAsia="el-GR"/>
        </w:rPr>
        <w:t xml:space="preserve"> το</w:t>
      </w:r>
      <w:r w:rsidR="005E1066" w:rsidRPr="005F670E">
        <w:rPr>
          <w:rFonts w:ascii="Arial" w:hAnsi="Arial" w:cs="Arial"/>
          <w:sz w:val="18"/>
          <w:szCs w:val="18"/>
          <w:lang w:val="el-GR" w:eastAsia="el-GR"/>
        </w:rPr>
        <w:t xml:space="preserve"> </w:t>
      </w:r>
      <w:r w:rsidR="007A2F9B">
        <w:rPr>
          <w:rFonts w:ascii="Arial" w:hAnsi="Arial" w:cs="Arial"/>
          <w:sz w:val="18"/>
          <w:szCs w:val="18"/>
          <w:lang w:val="el-GR" w:eastAsia="el-GR"/>
        </w:rPr>
        <w:t>εννεάμηνο</w:t>
      </w:r>
      <w:r w:rsidR="005E1066" w:rsidRPr="005F670E">
        <w:rPr>
          <w:rFonts w:ascii="Arial" w:hAnsi="Arial" w:cs="Arial"/>
          <w:sz w:val="18"/>
          <w:szCs w:val="18"/>
          <w:lang w:val="el-GR" w:eastAsia="el-GR"/>
        </w:rPr>
        <w:t xml:space="preserve"> που έληξε στις 30 Σεπτεμβρίου </w:t>
      </w:r>
      <w:r w:rsidRPr="005F670E">
        <w:rPr>
          <w:rFonts w:ascii="Arial" w:hAnsi="Arial" w:cs="Arial"/>
          <w:sz w:val="18"/>
          <w:szCs w:val="18"/>
          <w:lang w:val="el-GR" w:eastAsia="el-GR"/>
        </w:rPr>
        <w:t>2024</w:t>
      </w:r>
      <w:r w:rsidR="005E1066" w:rsidRPr="005F670E">
        <w:rPr>
          <w:rFonts w:ascii="Arial" w:hAnsi="Arial" w:cs="Arial"/>
          <w:sz w:val="18"/>
          <w:szCs w:val="18"/>
          <w:lang w:val="el-GR" w:eastAsia="el-GR"/>
        </w:rPr>
        <w:t xml:space="preserve"> </w:t>
      </w:r>
      <w:r w:rsidRPr="005F670E">
        <w:rPr>
          <w:rFonts w:ascii="Arial" w:hAnsi="Arial" w:cs="Arial"/>
          <w:sz w:val="18"/>
          <w:szCs w:val="18"/>
          <w:lang w:val="el-GR" w:eastAsia="el-GR"/>
        </w:rPr>
        <w:t>ανήλθαν σε €</w:t>
      </w:r>
      <w:r w:rsidR="005F670E" w:rsidRPr="00502B4F">
        <w:rPr>
          <w:rFonts w:ascii="Arial" w:eastAsia="Times New Roman" w:hAnsi="Arial" w:cs="Arial"/>
          <w:sz w:val="18"/>
          <w:szCs w:val="20"/>
          <w:lang w:val="el-GR" w:eastAsia="el-GR"/>
        </w:rPr>
        <w:t xml:space="preserve">131 </w:t>
      </w:r>
      <w:r w:rsidRPr="005F670E">
        <w:rPr>
          <w:rFonts w:ascii="Arial" w:hAnsi="Arial" w:cs="Arial"/>
          <w:sz w:val="18"/>
          <w:szCs w:val="18"/>
          <w:lang w:val="el-GR" w:eastAsia="el-GR"/>
        </w:rPr>
        <w:t>εκατ., σε σύγκριση με €</w:t>
      </w:r>
      <w:r w:rsidR="005E1066" w:rsidRPr="005F670E">
        <w:rPr>
          <w:rFonts w:ascii="Arial" w:hAnsi="Arial" w:cs="Arial"/>
          <w:sz w:val="18"/>
          <w:szCs w:val="18"/>
          <w:lang w:val="el-GR" w:eastAsia="el-GR"/>
        </w:rPr>
        <w:t xml:space="preserve">135 </w:t>
      </w:r>
      <w:r w:rsidRPr="005F670E">
        <w:rPr>
          <w:rFonts w:ascii="Arial" w:hAnsi="Arial" w:cs="Arial"/>
          <w:sz w:val="18"/>
          <w:szCs w:val="18"/>
          <w:lang w:val="el-GR" w:eastAsia="el-GR"/>
        </w:rPr>
        <w:t xml:space="preserve">εκατ. το προηγούμενο έτος, </w:t>
      </w:r>
      <w:r w:rsidRPr="00502B4F">
        <w:rPr>
          <w:rFonts w:ascii="Arial" w:hAnsi="Arial" w:cs="Arial"/>
          <w:sz w:val="18"/>
          <w:szCs w:val="18"/>
          <w:lang w:val="el-GR" w:eastAsia="el-GR"/>
        </w:rPr>
        <w:t xml:space="preserve">μειωμένα κατά </w:t>
      </w:r>
      <w:r w:rsidR="005F670E" w:rsidRPr="00502B4F">
        <w:rPr>
          <w:rFonts w:ascii="Arial" w:eastAsia="Times New Roman" w:hAnsi="Arial" w:cs="Arial"/>
          <w:sz w:val="18"/>
          <w:szCs w:val="20"/>
          <w:lang w:val="el-GR" w:eastAsia="el-GR"/>
        </w:rPr>
        <w:t>3</w:t>
      </w:r>
      <w:r w:rsidRPr="00502B4F">
        <w:rPr>
          <w:rFonts w:ascii="Arial" w:hAnsi="Arial" w:cs="Arial"/>
          <w:sz w:val="18"/>
          <w:szCs w:val="18"/>
          <w:lang w:val="el-GR" w:eastAsia="el-GR"/>
        </w:rPr>
        <w:t xml:space="preserve">% σε ετήσια βάση, λόγω </w:t>
      </w:r>
      <w:r w:rsidR="005F670E">
        <w:rPr>
          <w:rFonts w:ascii="Arial" w:hAnsi="Arial" w:cs="Arial"/>
          <w:sz w:val="18"/>
          <w:szCs w:val="18"/>
          <w:lang w:val="el-GR" w:eastAsia="el-GR"/>
        </w:rPr>
        <w:t xml:space="preserve">κυρίως </w:t>
      </w:r>
      <w:r w:rsidRPr="00502B4F">
        <w:rPr>
          <w:rFonts w:ascii="Arial" w:hAnsi="Arial" w:cs="Arial"/>
          <w:sz w:val="18"/>
          <w:szCs w:val="18"/>
          <w:lang w:val="el-GR" w:eastAsia="el-GR"/>
        </w:rPr>
        <w:t xml:space="preserve">της μείωσης στις αμοιβές από </w:t>
      </w:r>
      <w:r w:rsidR="0031295D" w:rsidRPr="00502B4F">
        <w:rPr>
          <w:rFonts w:ascii="Arial" w:hAnsi="Arial" w:cs="Arial"/>
          <w:sz w:val="18"/>
          <w:szCs w:val="18"/>
          <w:lang w:val="el-GR" w:eastAsia="el-GR"/>
        </w:rPr>
        <w:t xml:space="preserve">υπηρεσίες </w:t>
      </w:r>
      <w:r w:rsidRPr="00502B4F">
        <w:rPr>
          <w:rFonts w:ascii="Arial" w:hAnsi="Arial" w:cs="Arial"/>
          <w:sz w:val="18"/>
          <w:szCs w:val="18"/>
          <w:lang w:val="el-GR" w:eastAsia="el-GR"/>
        </w:rPr>
        <w:t>που</w:t>
      </w:r>
      <w:r w:rsidR="003E6B24" w:rsidRPr="00502B4F">
        <w:rPr>
          <w:rFonts w:ascii="Arial" w:hAnsi="Arial" w:cs="Arial"/>
          <w:sz w:val="18"/>
          <w:szCs w:val="18"/>
          <w:lang w:val="el-GR" w:eastAsia="el-GR"/>
        </w:rPr>
        <w:t xml:space="preserve"> </w:t>
      </w:r>
      <w:r w:rsidRPr="00502B4F">
        <w:rPr>
          <w:rFonts w:ascii="Arial" w:hAnsi="Arial" w:cs="Arial"/>
          <w:sz w:val="18"/>
          <w:szCs w:val="18"/>
          <w:lang w:val="el-GR" w:eastAsia="el-GR"/>
        </w:rPr>
        <w:t>αφορούν συναλλαγές</w:t>
      </w:r>
      <w:r w:rsidR="003E6B24" w:rsidRPr="00502B4F">
        <w:rPr>
          <w:rFonts w:ascii="Arial" w:hAnsi="Arial" w:cs="Arial"/>
          <w:sz w:val="18"/>
          <w:szCs w:val="18"/>
          <w:lang w:val="el-GR" w:eastAsia="el-GR"/>
        </w:rPr>
        <w:t>.</w:t>
      </w:r>
      <w:r w:rsidRPr="00502B4F">
        <w:rPr>
          <w:rFonts w:ascii="Arial" w:hAnsi="Arial" w:cs="Arial"/>
          <w:sz w:val="18"/>
          <w:szCs w:val="18"/>
          <w:lang w:val="el-GR" w:eastAsia="el-GR"/>
        </w:rPr>
        <w:t xml:space="preserve">  </w:t>
      </w:r>
    </w:p>
    <w:p w14:paraId="1DDD6876" w14:textId="77777777" w:rsidR="004732AA" w:rsidRPr="005F670E" w:rsidRDefault="004732AA" w:rsidP="00450894">
      <w:pPr>
        <w:spacing w:after="0" w:line="240" w:lineRule="auto"/>
        <w:jc w:val="both"/>
        <w:rPr>
          <w:rFonts w:ascii="Arial" w:hAnsi="Arial" w:cs="Arial"/>
          <w:b/>
          <w:bCs/>
          <w:sz w:val="18"/>
          <w:szCs w:val="18"/>
          <w:highlight w:val="yellow"/>
          <w:lang w:val="el-GR" w:eastAsia="el-GR"/>
        </w:rPr>
      </w:pPr>
    </w:p>
    <w:p w14:paraId="5197C0E0" w14:textId="6B79FAE5" w:rsidR="003E6B24" w:rsidRPr="005F670E" w:rsidRDefault="00450894" w:rsidP="003E6B24">
      <w:pPr>
        <w:spacing w:after="0" w:line="240" w:lineRule="auto"/>
        <w:jc w:val="both"/>
        <w:rPr>
          <w:rFonts w:ascii="Arial" w:hAnsi="Arial" w:cs="Arial"/>
          <w:sz w:val="18"/>
          <w:szCs w:val="18"/>
          <w:highlight w:val="yellow"/>
          <w:lang w:val="el-GR" w:eastAsia="el-GR"/>
        </w:rPr>
      </w:pPr>
      <w:r w:rsidRPr="005F670E">
        <w:rPr>
          <w:rFonts w:ascii="Arial" w:hAnsi="Arial" w:cs="Arial"/>
          <w:b/>
          <w:bCs/>
          <w:sz w:val="18"/>
          <w:szCs w:val="18"/>
          <w:lang w:val="el-GR" w:eastAsia="el-GR"/>
        </w:rPr>
        <w:t>Τα καθαρά έσοδα από αμοιβές και προμήθειες</w:t>
      </w:r>
      <w:r w:rsidRPr="005F670E">
        <w:rPr>
          <w:rFonts w:ascii="Arial" w:hAnsi="Arial" w:cs="Arial"/>
          <w:sz w:val="18"/>
          <w:szCs w:val="18"/>
          <w:lang w:val="el-GR" w:eastAsia="el-GR"/>
        </w:rPr>
        <w:t xml:space="preserve"> για το </w:t>
      </w:r>
      <w:r w:rsidR="008D36C4" w:rsidRPr="005F670E">
        <w:rPr>
          <w:rFonts w:ascii="Arial" w:hAnsi="Arial" w:cs="Arial"/>
          <w:sz w:val="18"/>
          <w:szCs w:val="18"/>
          <w:lang w:val="el-GR" w:eastAsia="el-GR"/>
        </w:rPr>
        <w:t>γ</w:t>
      </w:r>
      <w:r w:rsidRPr="005F670E">
        <w:rPr>
          <w:rFonts w:ascii="Arial" w:hAnsi="Arial" w:cs="Arial"/>
          <w:sz w:val="18"/>
          <w:szCs w:val="18"/>
          <w:lang w:val="el-GR" w:eastAsia="el-GR"/>
        </w:rPr>
        <w:t>΄ τρίμηνο 2024 ανήλθαν σε €</w:t>
      </w:r>
      <w:r w:rsidR="005F670E" w:rsidRPr="00502B4F">
        <w:rPr>
          <w:rFonts w:ascii="Arial" w:eastAsia="Times New Roman" w:hAnsi="Arial" w:cs="Arial"/>
          <w:bCs/>
          <w:sz w:val="18"/>
          <w:szCs w:val="20"/>
          <w:lang w:val="el-GR" w:eastAsia="el-GR"/>
        </w:rPr>
        <w:t xml:space="preserve">45 </w:t>
      </w:r>
      <w:r w:rsidRPr="005F670E">
        <w:rPr>
          <w:rFonts w:ascii="Arial" w:hAnsi="Arial" w:cs="Arial"/>
          <w:sz w:val="18"/>
          <w:szCs w:val="18"/>
          <w:lang w:val="el-GR" w:eastAsia="el-GR"/>
        </w:rPr>
        <w:t>εκατ.,</w:t>
      </w:r>
      <w:r w:rsidR="005F670E" w:rsidRPr="005F670E">
        <w:rPr>
          <w:rFonts w:ascii="Arial" w:hAnsi="Arial" w:cs="Arial"/>
          <w:sz w:val="18"/>
          <w:szCs w:val="18"/>
          <w:lang w:val="el-GR" w:eastAsia="el-GR"/>
        </w:rPr>
        <w:t xml:space="preserve"> περίπου στα ίδια επίπεδα σε τριμηνιαία βάση. </w:t>
      </w:r>
      <w:r w:rsidR="003E6B24" w:rsidRPr="005F670E">
        <w:rPr>
          <w:rFonts w:ascii="Arial" w:hAnsi="Arial" w:cs="Arial"/>
          <w:sz w:val="18"/>
          <w:szCs w:val="18"/>
          <w:highlight w:val="yellow"/>
          <w:lang w:val="el-GR" w:eastAsia="el-GR"/>
        </w:rPr>
        <w:t xml:space="preserve"> </w:t>
      </w:r>
    </w:p>
    <w:p w14:paraId="59F1D5BB" w14:textId="77777777" w:rsidR="00450894" w:rsidRPr="007246A9" w:rsidRDefault="00450894" w:rsidP="00450894">
      <w:pPr>
        <w:spacing w:after="0" w:line="240" w:lineRule="auto"/>
        <w:jc w:val="both"/>
        <w:rPr>
          <w:rFonts w:ascii="Arial" w:hAnsi="Arial" w:cs="Arial"/>
          <w:sz w:val="18"/>
          <w:szCs w:val="18"/>
          <w:lang w:val="el-GR" w:eastAsia="el-GR"/>
        </w:rPr>
      </w:pPr>
    </w:p>
    <w:p w14:paraId="626E141D" w14:textId="54A47A2E" w:rsidR="00A37BFF" w:rsidRPr="007246A9" w:rsidRDefault="00A37BFF" w:rsidP="00A37BFF">
      <w:pPr>
        <w:pStyle w:val="Default"/>
        <w:jc w:val="both"/>
        <w:rPr>
          <w:color w:val="auto"/>
          <w:sz w:val="18"/>
          <w:szCs w:val="18"/>
          <w:lang w:val="el-GR" w:eastAsia="el-GR"/>
        </w:rPr>
      </w:pPr>
      <w:r w:rsidRPr="007246A9">
        <w:rPr>
          <w:b/>
          <w:bCs/>
          <w:color w:val="auto"/>
          <w:sz w:val="18"/>
          <w:szCs w:val="18"/>
          <w:lang w:val="el-GR" w:eastAsia="el-GR"/>
        </w:rPr>
        <w:t>Τα καθαρά κέρδη</w:t>
      </w:r>
      <w:r w:rsidR="005F670E">
        <w:rPr>
          <w:b/>
          <w:bCs/>
          <w:color w:val="auto"/>
          <w:sz w:val="18"/>
          <w:szCs w:val="18"/>
          <w:lang w:val="el-GR" w:eastAsia="el-GR"/>
        </w:rPr>
        <w:t xml:space="preserve"> </w:t>
      </w:r>
      <w:r w:rsidRPr="007246A9">
        <w:rPr>
          <w:b/>
          <w:bCs/>
          <w:color w:val="auto"/>
          <w:sz w:val="18"/>
          <w:szCs w:val="18"/>
          <w:lang w:val="el-GR" w:eastAsia="el-GR"/>
        </w:rPr>
        <w:t>από διαπραγμάτευση συναλλάγματος και καθαρά κέρδη</w:t>
      </w:r>
      <w:r w:rsidR="00504557" w:rsidRPr="007246A9">
        <w:rPr>
          <w:b/>
          <w:bCs/>
          <w:color w:val="auto"/>
          <w:sz w:val="18"/>
          <w:szCs w:val="18"/>
          <w:lang w:val="el-GR" w:eastAsia="el-GR"/>
        </w:rPr>
        <w:t>/ (ζημιές)</w:t>
      </w:r>
      <w:r w:rsidRPr="007246A9">
        <w:rPr>
          <w:b/>
          <w:bCs/>
          <w:color w:val="auto"/>
          <w:sz w:val="18"/>
          <w:szCs w:val="18"/>
          <w:lang w:val="el-GR" w:eastAsia="el-GR"/>
        </w:rPr>
        <w:t xml:space="preserve"> από χρηματοοικονομικά μέσα </w:t>
      </w:r>
      <w:r w:rsidRPr="007246A9">
        <w:rPr>
          <w:color w:val="auto"/>
          <w:sz w:val="18"/>
          <w:szCs w:val="18"/>
          <w:lang w:val="el-GR" w:eastAsia="el-GR"/>
        </w:rPr>
        <w:t xml:space="preserve">για </w:t>
      </w:r>
      <w:r w:rsidR="00504557" w:rsidRPr="007246A9">
        <w:rPr>
          <w:color w:val="auto"/>
          <w:sz w:val="18"/>
          <w:szCs w:val="18"/>
          <w:lang w:val="el-GR" w:eastAsia="el-GR"/>
        </w:rPr>
        <w:t xml:space="preserve">το </w:t>
      </w:r>
      <w:r w:rsidR="007A2F9B">
        <w:rPr>
          <w:color w:val="auto"/>
          <w:sz w:val="18"/>
          <w:szCs w:val="18"/>
          <w:lang w:val="el-GR" w:eastAsia="el-GR"/>
        </w:rPr>
        <w:t>εννεάμηνο</w:t>
      </w:r>
      <w:r w:rsidR="00504557" w:rsidRPr="00504557">
        <w:rPr>
          <w:color w:val="auto"/>
          <w:sz w:val="18"/>
          <w:szCs w:val="18"/>
          <w:lang w:val="el-GR" w:eastAsia="el-GR"/>
        </w:rPr>
        <w:t xml:space="preserve"> που έληξε στις 30 Σεπτεμβρίου </w:t>
      </w:r>
      <w:r w:rsidRPr="007246A9">
        <w:rPr>
          <w:color w:val="auto"/>
          <w:sz w:val="18"/>
          <w:szCs w:val="18"/>
          <w:lang w:val="el-GR" w:eastAsia="el-GR"/>
        </w:rPr>
        <w:t>2024</w:t>
      </w:r>
      <w:r w:rsidRPr="007246A9">
        <w:rPr>
          <w:sz w:val="18"/>
          <w:szCs w:val="18"/>
          <w:lang w:val="el-GR"/>
        </w:rPr>
        <w:t xml:space="preserve"> </w:t>
      </w:r>
      <w:r w:rsidRPr="007246A9">
        <w:rPr>
          <w:color w:val="auto"/>
          <w:sz w:val="18"/>
          <w:szCs w:val="18"/>
          <w:lang w:val="el-GR" w:eastAsia="el-GR"/>
        </w:rPr>
        <w:t xml:space="preserve">ανήλθαν σε </w:t>
      </w:r>
      <w:r w:rsidRPr="005F670E">
        <w:rPr>
          <w:color w:val="auto"/>
          <w:sz w:val="18"/>
          <w:szCs w:val="18"/>
          <w:lang w:val="el-GR" w:eastAsia="el-GR"/>
        </w:rPr>
        <w:t>€</w:t>
      </w:r>
      <w:r w:rsidR="005F670E" w:rsidRPr="00502B4F">
        <w:rPr>
          <w:rFonts w:eastAsia="Times New Roman"/>
          <w:color w:val="auto"/>
          <w:sz w:val="18"/>
          <w:szCs w:val="20"/>
          <w:lang w:val="el-GR" w:eastAsia="el-GR"/>
        </w:rPr>
        <w:t xml:space="preserve">27 </w:t>
      </w:r>
      <w:r w:rsidRPr="005F670E">
        <w:rPr>
          <w:color w:val="auto"/>
          <w:sz w:val="18"/>
          <w:szCs w:val="18"/>
          <w:lang w:val="el-GR" w:eastAsia="el-GR"/>
        </w:rPr>
        <w:t>εκατ</w:t>
      </w:r>
      <w:r w:rsidRPr="007246A9">
        <w:rPr>
          <w:color w:val="auto"/>
          <w:sz w:val="18"/>
          <w:szCs w:val="18"/>
          <w:lang w:val="el-GR" w:eastAsia="el-GR"/>
        </w:rPr>
        <w:t>.</w:t>
      </w:r>
      <w:r w:rsidR="005F670E">
        <w:rPr>
          <w:color w:val="auto"/>
          <w:sz w:val="18"/>
          <w:szCs w:val="18"/>
          <w:lang w:val="el-GR" w:eastAsia="el-GR"/>
        </w:rPr>
        <w:t xml:space="preserve">, μειωμένα κατά 5% σε ετήσια βάση, </w:t>
      </w:r>
      <w:r w:rsidR="005F670E" w:rsidRPr="007246A9">
        <w:rPr>
          <w:color w:val="auto"/>
          <w:sz w:val="18"/>
          <w:szCs w:val="18"/>
          <w:lang w:val="el-GR" w:eastAsia="el-GR"/>
        </w:rPr>
        <w:t>αποτελούμενα από καθαρά κέρδη από διαπραγμάτευση συναλλάγματος ύψους περίπου €</w:t>
      </w:r>
      <w:r w:rsidR="005F670E" w:rsidRPr="00502B4F">
        <w:rPr>
          <w:rFonts w:eastAsia="Times New Roman"/>
          <w:color w:val="auto"/>
          <w:sz w:val="18"/>
          <w:szCs w:val="20"/>
          <w:lang w:val="el-GR" w:eastAsia="el-GR"/>
        </w:rPr>
        <w:t xml:space="preserve">20 </w:t>
      </w:r>
      <w:r w:rsidR="005F670E" w:rsidRPr="007246A9">
        <w:rPr>
          <w:color w:val="auto"/>
          <w:sz w:val="18"/>
          <w:szCs w:val="18"/>
          <w:lang w:val="el-GR" w:eastAsia="el-GR"/>
        </w:rPr>
        <w:t>εκατ.</w:t>
      </w:r>
      <w:r w:rsidR="005F670E">
        <w:rPr>
          <w:color w:val="auto"/>
          <w:sz w:val="18"/>
          <w:szCs w:val="18"/>
          <w:lang w:val="el-GR" w:eastAsia="el-GR"/>
        </w:rPr>
        <w:t xml:space="preserve"> και </w:t>
      </w:r>
      <w:r w:rsidR="005F670E" w:rsidRPr="007246A9">
        <w:rPr>
          <w:color w:val="auto"/>
          <w:sz w:val="18"/>
          <w:szCs w:val="18"/>
          <w:lang w:val="el-GR" w:eastAsia="el-GR"/>
        </w:rPr>
        <w:t>καθαρά κέρδη</w:t>
      </w:r>
      <w:r w:rsidR="005F670E">
        <w:rPr>
          <w:color w:val="auto"/>
          <w:sz w:val="18"/>
          <w:szCs w:val="18"/>
          <w:lang w:val="el-GR" w:eastAsia="el-GR"/>
        </w:rPr>
        <w:t xml:space="preserve"> </w:t>
      </w:r>
      <w:r w:rsidR="005F670E" w:rsidRPr="007246A9">
        <w:rPr>
          <w:color w:val="auto"/>
          <w:sz w:val="18"/>
          <w:szCs w:val="18"/>
          <w:lang w:val="el-GR" w:eastAsia="el-GR"/>
        </w:rPr>
        <w:t xml:space="preserve">από χρηματοοικονομικά μέσα ύψους </w:t>
      </w:r>
      <w:r w:rsidR="005F670E" w:rsidRPr="005F670E">
        <w:rPr>
          <w:color w:val="auto"/>
          <w:sz w:val="18"/>
          <w:szCs w:val="18"/>
          <w:lang w:val="el-GR" w:eastAsia="el-GR"/>
        </w:rPr>
        <w:t>περίπου €</w:t>
      </w:r>
      <w:r w:rsidR="005F670E" w:rsidRPr="00502B4F">
        <w:rPr>
          <w:color w:val="auto"/>
          <w:sz w:val="18"/>
          <w:szCs w:val="18"/>
          <w:lang w:val="el-GR" w:eastAsia="el-GR"/>
        </w:rPr>
        <w:t>7</w:t>
      </w:r>
      <w:r w:rsidR="005F670E" w:rsidRPr="005F670E">
        <w:rPr>
          <w:color w:val="auto"/>
          <w:sz w:val="18"/>
          <w:szCs w:val="18"/>
          <w:lang w:val="el-GR" w:eastAsia="el-GR"/>
        </w:rPr>
        <w:t xml:space="preserve"> εκατ</w:t>
      </w:r>
      <w:r w:rsidR="005F670E">
        <w:rPr>
          <w:color w:val="auto"/>
          <w:sz w:val="18"/>
          <w:szCs w:val="18"/>
          <w:lang w:val="el-GR" w:eastAsia="el-GR"/>
        </w:rPr>
        <w:t xml:space="preserve">. Η μείωση σε ετήσια βάση αφορά κυρίως τη μείωση </w:t>
      </w:r>
      <w:r w:rsidR="00C255A4">
        <w:rPr>
          <w:color w:val="auto"/>
          <w:sz w:val="18"/>
          <w:szCs w:val="18"/>
          <w:lang w:val="el-GR" w:eastAsia="el-GR"/>
        </w:rPr>
        <w:t>στα</w:t>
      </w:r>
      <w:r w:rsidR="00504557">
        <w:rPr>
          <w:color w:val="auto"/>
          <w:sz w:val="18"/>
          <w:szCs w:val="18"/>
          <w:lang w:val="el-GR" w:eastAsia="el-GR"/>
        </w:rPr>
        <w:t xml:space="preserve"> </w:t>
      </w:r>
      <w:r w:rsidR="00504557" w:rsidRPr="007246A9">
        <w:rPr>
          <w:color w:val="auto"/>
          <w:sz w:val="18"/>
          <w:szCs w:val="18"/>
          <w:lang w:val="el-GR" w:eastAsia="el-GR"/>
        </w:rPr>
        <w:t xml:space="preserve">καθαρά κέρδη </w:t>
      </w:r>
      <w:r w:rsidRPr="007246A9">
        <w:rPr>
          <w:color w:val="auto"/>
          <w:sz w:val="18"/>
          <w:szCs w:val="18"/>
          <w:lang w:val="el-GR" w:eastAsia="el-GR"/>
        </w:rPr>
        <w:t xml:space="preserve">από διαπραγμάτευση συναλλάγματος, μέσω συμφωνιών ανταλλαγής νομισμάτων (FX </w:t>
      </w:r>
      <w:proofErr w:type="spellStart"/>
      <w:r w:rsidRPr="007246A9">
        <w:rPr>
          <w:color w:val="auto"/>
          <w:sz w:val="18"/>
          <w:szCs w:val="18"/>
          <w:lang w:val="el-GR" w:eastAsia="el-GR"/>
        </w:rPr>
        <w:t>swaps</w:t>
      </w:r>
      <w:proofErr w:type="spellEnd"/>
      <w:r w:rsidRPr="007246A9">
        <w:rPr>
          <w:color w:val="auto"/>
          <w:sz w:val="18"/>
          <w:szCs w:val="18"/>
          <w:lang w:val="el-GR" w:eastAsia="el-GR"/>
        </w:rPr>
        <w:t>)</w:t>
      </w:r>
      <w:r w:rsidR="00504557" w:rsidRPr="007246A9">
        <w:rPr>
          <w:color w:val="auto"/>
          <w:sz w:val="18"/>
          <w:szCs w:val="18"/>
          <w:lang w:val="el-GR" w:eastAsia="el-GR"/>
        </w:rPr>
        <w:t xml:space="preserve">. </w:t>
      </w:r>
    </w:p>
    <w:p w14:paraId="6208B39C" w14:textId="77777777" w:rsidR="00A37BFF" w:rsidRPr="00D41B36" w:rsidRDefault="00A37BFF" w:rsidP="004200FD">
      <w:pPr>
        <w:pStyle w:val="Default"/>
        <w:jc w:val="both"/>
        <w:rPr>
          <w:b/>
          <w:bCs/>
          <w:color w:val="auto"/>
          <w:sz w:val="18"/>
          <w:szCs w:val="18"/>
          <w:highlight w:val="yellow"/>
          <w:lang w:val="el-GR" w:eastAsia="el-GR"/>
        </w:rPr>
      </w:pPr>
    </w:p>
    <w:p w14:paraId="050D833C" w14:textId="4BDB7B4A" w:rsidR="004200FD" w:rsidRPr="00502B4F" w:rsidRDefault="004200FD" w:rsidP="004200FD">
      <w:pPr>
        <w:pStyle w:val="Default"/>
        <w:jc w:val="both"/>
        <w:rPr>
          <w:color w:val="auto"/>
          <w:sz w:val="18"/>
          <w:szCs w:val="18"/>
          <w:lang w:val="el-GR" w:eastAsia="el-GR"/>
        </w:rPr>
      </w:pPr>
      <w:r w:rsidRPr="007246A9">
        <w:rPr>
          <w:b/>
          <w:bCs/>
          <w:color w:val="auto"/>
          <w:sz w:val="18"/>
          <w:szCs w:val="18"/>
          <w:lang w:val="el-GR" w:eastAsia="el-GR"/>
        </w:rPr>
        <w:t>Τα καθαρά κέρδη από διαπραγμάτευση συναλλάγματος και καθαρά κέρδη</w:t>
      </w:r>
      <w:r w:rsidR="004B629C" w:rsidRPr="007246A9">
        <w:rPr>
          <w:b/>
          <w:bCs/>
          <w:color w:val="auto"/>
          <w:sz w:val="18"/>
          <w:szCs w:val="18"/>
          <w:lang w:val="el-GR" w:eastAsia="el-GR"/>
        </w:rPr>
        <w:t xml:space="preserve">/ (ζημιές) </w:t>
      </w:r>
      <w:r w:rsidRPr="007246A9">
        <w:rPr>
          <w:b/>
          <w:bCs/>
          <w:color w:val="auto"/>
          <w:sz w:val="18"/>
          <w:szCs w:val="18"/>
          <w:lang w:val="el-GR" w:eastAsia="el-GR"/>
        </w:rPr>
        <w:t xml:space="preserve">από χρηματοοικονομικά μέσα </w:t>
      </w:r>
      <w:r w:rsidRPr="007246A9">
        <w:rPr>
          <w:color w:val="auto"/>
          <w:sz w:val="18"/>
          <w:szCs w:val="18"/>
          <w:lang w:val="el-GR" w:eastAsia="el-GR"/>
        </w:rPr>
        <w:t xml:space="preserve">για </w:t>
      </w:r>
      <w:r w:rsidR="004B629C">
        <w:rPr>
          <w:color w:val="auto"/>
          <w:sz w:val="18"/>
          <w:szCs w:val="18"/>
          <w:lang w:val="el-GR" w:eastAsia="el-GR"/>
        </w:rPr>
        <w:t xml:space="preserve">το </w:t>
      </w:r>
      <w:r w:rsidR="00504557" w:rsidRPr="007246A9">
        <w:rPr>
          <w:color w:val="auto"/>
          <w:sz w:val="18"/>
          <w:szCs w:val="18"/>
          <w:lang w:val="el-GR" w:eastAsia="el-GR"/>
        </w:rPr>
        <w:t>γ</w:t>
      </w:r>
      <w:r w:rsidRPr="007246A9">
        <w:rPr>
          <w:color w:val="auto"/>
          <w:sz w:val="18"/>
          <w:szCs w:val="18"/>
          <w:lang w:val="el-GR" w:eastAsia="el-GR"/>
        </w:rPr>
        <w:t>’ τρίμηνο 2024</w:t>
      </w:r>
      <w:r w:rsidRPr="007246A9">
        <w:rPr>
          <w:sz w:val="18"/>
          <w:szCs w:val="18"/>
          <w:lang w:val="el-GR"/>
        </w:rPr>
        <w:t xml:space="preserve"> </w:t>
      </w:r>
      <w:r w:rsidRPr="007246A9">
        <w:rPr>
          <w:color w:val="auto"/>
          <w:sz w:val="18"/>
          <w:szCs w:val="18"/>
          <w:lang w:val="el-GR" w:eastAsia="el-GR"/>
        </w:rPr>
        <w:t>ανήλθαν σε €</w:t>
      </w:r>
      <w:r w:rsidR="00C255A4" w:rsidRPr="00502B4F">
        <w:rPr>
          <w:rFonts w:eastAsia="Times New Roman"/>
          <w:color w:val="auto"/>
          <w:sz w:val="18"/>
          <w:szCs w:val="20"/>
          <w:lang w:val="el-GR" w:eastAsia="el-GR"/>
        </w:rPr>
        <w:t xml:space="preserve">14 </w:t>
      </w:r>
      <w:r w:rsidRPr="00C255A4">
        <w:rPr>
          <w:color w:val="auto"/>
          <w:sz w:val="18"/>
          <w:szCs w:val="18"/>
          <w:lang w:val="el-GR" w:eastAsia="el-GR"/>
        </w:rPr>
        <w:t>εκατ</w:t>
      </w:r>
      <w:r w:rsidRPr="007246A9">
        <w:rPr>
          <w:color w:val="auto"/>
          <w:sz w:val="18"/>
          <w:szCs w:val="18"/>
          <w:lang w:val="el-GR" w:eastAsia="el-GR"/>
        </w:rPr>
        <w:t>.</w:t>
      </w:r>
      <w:r w:rsidR="00A37BFF" w:rsidRPr="007246A9">
        <w:rPr>
          <w:color w:val="auto"/>
          <w:sz w:val="18"/>
          <w:szCs w:val="18"/>
          <w:lang w:val="el-GR" w:eastAsia="el-GR"/>
        </w:rPr>
        <w:t>,</w:t>
      </w:r>
      <w:r w:rsidR="003F6728" w:rsidRPr="007246A9">
        <w:rPr>
          <w:color w:val="auto"/>
          <w:sz w:val="18"/>
          <w:szCs w:val="18"/>
          <w:lang w:val="el-GR" w:eastAsia="el-GR"/>
        </w:rPr>
        <w:t xml:space="preserve"> </w:t>
      </w:r>
      <w:r w:rsidR="00A37BFF" w:rsidRPr="007246A9">
        <w:rPr>
          <w:color w:val="auto"/>
          <w:sz w:val="18"/>
          <w:szCs w:val="18"/>
          <w:lang w:val="el-GR" w:eastAsia="el-GR"/>
        </w:rPr>
        <w:t>σε σύγκριση με €</w:t>
      </w:r>
      <w:r w:rsidR="00504557" w:rsidRPr="007246A9">
        <w:rPr>
          <w:color w:val="auto"/>
          <w:sz w:val="18"/>
          <w:szCs w:val="18"/>
          <w:lang w:val="el-GR" w:eastAsia="el-GR"/>
        </w:rPr>
        <w:t>6</w:t>
      </w:r>
      <w:r w:rsidR="003F6728" w:rsidRPr="007246A9">
        <w:rPr>
          <w:color w:val="auto"/>
          <w:sz w:val="18"/>
          <w:szCs w:val="18"/>
          <w:lang w:val="el-GR" w:eastAsia="el-GR"/>
        </w:rPr>
        <w:t xml:space="preserve"> </w:t>
      </w:r>
      <w:r w:rsidR="00A37BFF" w:rsidRPr="007246A9">
        <w:rPr>
          <w:color w:val="auto"/>
          <w:sz w:val="18"/>
          <w:szCs w:val="18"/>
          <w:lang w:val="el-GR" w:eastAsia="el-GR"/>
        </w:rPr>
        <w:t xml:space="preserve">εκατ. για το </w:t>
      </w:r>
      <w:r w:rsidR="00504557" w:rsidRPr="007246A9">
        <w:rPr>
          <w:color w:val="auto"/>
          <w:sz w:val="18"/>
          <w:szCs w:val="18"/>
          <w:lang w:val="el-GR" w:eastAsia="el-GR"/>
        </w:rPr>
        <w:t>β</w:t>
      </w:r>
      <w:r w:rsidR="00A37BFF" w:rsidRPr="007246A9">
        <w:rPr>
          <w:color w:val="auto"/>
          <w:sz w:val="18"/>
          <w:szCs w:val="18"/>
          <w:lang w:val="el-GR" w:eastAsia="el-GR"/>
        </w:rPr>
        <w:t>΄ τρίμηνο 2024,</w:t>
      </w:r>
      <w:r w:rsidR="003F6728" w:rsidRPr="007246A9">
        <w:rPr>
          <w:color w:val="auto"/>
          <w:sz w:val="18"/>
          <w:szCs w:val="18"/>
          <w:lang w:val="el-GR" w:eastAsia="el-GR"/>
        </w:rPr>
        <w:t xml:space="preserve"> αποτελούμενα από καθαρά κέρδη από διαπραγμάτευση συναλλάγματος ύψους περίπο</w:t>
      </w:r>
      <w:r w:rsidR="003F6728" w:rsidRPr="00C255A4">
        <w:rPr>
          <w:color w:val="auto"/>
          <w:sz w:val="18"/>
          <w:szCs w:val="18"/>
          <w:lang w:val="el-GR" w:eastAsia="el-GR"/>
        </w:rPr>
        <w:t>υ €</w:t>
      </w:r>
      <w:r w:rsidR="00C255A4" w:rsidRPr="00502B4F">
        <w:rPr>
          <w:rFonts w:eastAsia="Times New Roman"/>
          <w:color w:val="auto"/>
          <w:sz w:val="18"/>
          <w:szCs w:val="20"/>
          <w:lang w:val="el-GR" w:eastAsia="el-GR"/>
        </w:rPr>
        <w:t>7</w:t>
      </w:r>
      <w:r w:rsidR="00504557" w:rsidRPr="00502B4F">
        <w:rPr>
          <w:rFonts w:eastAsia="Times New Roman"/>
          <w:color w:val="auto"/>
          <w:sz w:val="18"/>
          <w:szCs w:val="20"/>
          <w:lang w:val="el-GR" w:eastAsia="el-GR"/>
        </w:rPr>
        <w:t xml:space="preserve"> </w:t>
      </w:r>
      <w:r w:rsidR="003F6728" w:rsidRPr="007246A9">
        <w:rPr>
          <w:color w:val="auto"/>
          <w:sz w:val="18"/>
          <w:szCs w:val="18"/>
          <w:lang w:val="el-GR" w:eastAsia="el-GR"/>
        </w:rPr>
        <w:t>εκατ. και καθαρ</w:t>
      </w:r>
      <w:r w:rsidR="004B629C">
        <w:rPr>
          <w:color w:val="auto"/>
          <w:sz w:val="18"/>
          <w:szCs w:val="18"/>
          <w:lang w:val="el-GR" w:eastAsia="el-GR"/>
        </w:rPr>
        <w:t xml:space="preserve">ά </w:t>
      </w:r>
      <w:r w:rsidR="00C255A4" w:rsidRPr="007246A9">
        <w:rPr>
          <w:color w:val="auto"/>
          <w:sz w:val="18"/>
          <w:szCs w:val="18"/>
          <w:lang w:val="el-GR" w:eastAsia="el-GR"/>
        </w:rPr>
        <w:t>κέρδη</w:t>
      </w:r>
      <w:r w:rsidR="00C255A4">
        <w:rPr>
          <w:color w:val="auto"/>
          <w:sz w:val="18"/>
          <w:szCs w:val="18"/>
          <w:lang w:val="el-GR" w:eastAsia="el-GR"/>
        </w:rPr>
        <w:t xml:space="preserve"> </w:t>
      </w:r>
      <w:r w:rsidR="003F6728" w:rsidRPr="007246A9">
        <w:rPr>
          <w:color w:val="auto"/>
          <w:sz w:val="18"/>
          <w:szCs w:val="18"/>
          <w:lang w:val="el-GR" w:eastAsia="el-GR"/>
        </w:rPr>
        <w:t>από χρηματοοικονομικά μέσα ύψους περίπου</w:t>
      </w:r>
      <w:r w:rsidR="003F6728" w:rsidRPr="00C255A4">
        <w:rPr>
          <w:color w:val="auto"/>
          <w:sz w:val="18"/>
          <w:szCs w:val="18"/>
          <w:lang w:val="el-GR" w:eastAsia="el-GR"/>
        </w:rPr>
        <w:t xml:space="preserve"> €</w:t>
      </w:r>
      <w:r w:rsidR="00C255A4" w:rsidRPr="00502B4F">
        <w:rPr>
          <w:color w:val="auto"/>
          <w:sz w:val="18"/>
          <w:szCs w:val="18"/>
          <w:lang w:val="el-GR" w:eastAsia="el-GR"/>
        </w:rPr>
        <w:t>7</w:t>
      </w:r>
      <w:r w:rsidR="003F6728" w:rsidRPr="00C255A4">
        <w:rPr>
          <w:color w:val="auto"/>
          <w:sz w:val="18"/>
          <w:szCs w:val="18"/>
          <w:lang w:val="el-GR" w:eastAsia="el-GR"/>
        </w:rPr>
        <w:t xml:space="preserve"> εκατ</w:t>
      </w:r>
      <w:r w:rsidR="003F6728" w:rsidRPr="007246A9">
        <w:rPr>
          <w:color w:val="auto"/>
          <w:sz w:val="18"/>
          <w:szCs w:val="18"/>
          <w:lang w:val="el-GR" w:eastAsia="el-GR"/>
        </w:rPr>
        <w:t>.</w:t>
      </w:r>
      <w:r w:rsidR="00C255A4">
        <w:rPr>
          <w:color w:val="auto"/>
          <w:sz w:val="18"/>
          <w:szCs w:val="18"/>
          <w:lang w:val="el-GR" w:eastAsia="el-GR"/>
        </w:rPr>
        <w:t xml:space="preserve"> Η αύξηση ύψους 142% σε τριμηνιαία </w:t>
      </w:r>
      <w:r w:rsidR="0030305A">
        <w:rPr>
          <w:color w:val="auto"/>
          <w:sz w:val="18"/>
          <w:szCs w:val="18"/>
          <w:lang w:val="el-GR" w:eastAsia="el-GR"/>
        </w:rPr>
        <w:t>β</w:t>
      </w:r>
      <w:r w:rsidR="00C255A4">
        <w:rPr>
          <w:color w:val="auto"/>
          <w:sz w:val="18"/>
          <w:szCs w:val="18"/>
          <w:lang w:val="el-GR" w:eastAsia="el-GR"/>
        </w:rPr>
        <w:t>άση αντικατοπτρίζει κυρίως μη-επαναλαμβανόμενα καθαρά κέρδη από επανεκτίμηση χρηματοοικονομικών μέσων</w:t>
      </w:r>
      <w:r w:rsidR="00473461">
        <w:rPr>
          <w:color w:val="auto"/>
          <w:sz w:val="18"/>
          <w:szCs w:val="18"/>
          <w:lang w:val="el-GR" w:eastAsia="el-GR"/>
        </w:rPr>
        <w:t xml:space="preserve"> </w:t>
      </w:r>
      <w:r w:rsidR="004B629C">
        <w:rPr>
          <w:color w:val="auto"/>
          <w:sz w:val="18"/>
          <w:szCs w:val="18"/>
          <w:lang w:val="el-GR" w:eastAsia="el-GR"/>
        </w:rPr>
        <w:t xml:space="preserve">ύψους </w:t>
      </w:r>
      <w:r w:rsidR="00473461">
        <w:rPr>
          <w:color w:val="auto"/>
          <w:sz w:val="18"/>
          <w:szCs w:val="18"/>
          <w:lang w:val="el-GR" w:eastAsia="el-GR"/>
        </w:rPr>
        <w:t xml:space="preserve">περίπου €5.5 εκατ. </w:t>
      </w:r>
      <w:r w:rsidRPr="007246A9">
        <w:rPr>
          <w:color w:val="auto"/>
          <w:sz w:val="18"/>
          <w:szCs w:val="18"/>
          <w:lang w:val="el-GR"/>
        </w:rPr>
        <w:t xml:space="preserve">Τα </w:t>
      </w:r>
      <w:r w:rsidRPr="007246A9">
        <w:rPr>
          <w:color w:val="auto"/>
          <w:sz w:val="18"/>
          <w:szCs w:val="18"/>
          <w:lang w:val="el-GR" w:eastAsia="el-GR"/>
        </w:rPr>
        <w:t>καθαρά κέρδη από διαπραγμάτευση συναλλάγματος και καθαρά κέρδη</w:t>
      </w:r>
      <w:r w:rsidR="004B629C" w:rsidRPr="004B629C">
        <w:rPr>
          <w:color w:val="auto"/>
          <w:sz w:val="18"/>
          <w:szCs w:val="18"/>
          <w:lang w:val="el-GR" w:eastAsia="el-GR"/>
        </w:rPr>
        <w:t>/(ζημιές)</w:t>
      </w:r>
      <w:r w:rsidR="004B629C" w:rsidRPr="007246A9">
        <w:rPr>
          <w:b/>
          <w:bCs/>
          <w:color w:val="auto"/>
          <w:sz w:val="18"/>
          <w:szCs w:val="18"/>
          <w:lang w:val="el-GR" w:eastAsia="el-GR"/>
        </w:rPr>
        <w:t xml:space="preserve"> </w:t>
      </w:r>
      <w:r w:rsidRPr="007246A9">
        <w:rPr>
          <w:color w:val="auto"/>
          <w:sz w:val="18"/>
          <w:szCs w:val="18"/>
          <w:lang w:val="el-GR" w:eastAsia="el-GR"/>
        </w:rPr>
        <w:t xml:space="preserve"> από χρηματοοικονομικά μέσα δύναται να παρουσιάζουν </w:t>
      </w:r>
      <w:r w:rsidRPr="007246A9">
        <w:rPr>
          <w:bCs/>
          <w:color w:val="auto"/>
          <w:sz w:val="18"/>
          <w:szCs w:val="18"/>
          <w:lang w:val="el-GR" w:eastAsia="el-GR"/>
        </w:rPr>
        <w:t>διακυμάνσεις.</w:t>
      </w:r>
    </w:p>
    <w:p w14:paraId="39B4C9B7" w14:textId="77777777" w:rsidR="00BB697F" w:rsidRPr="00502B4F" w:rsidRDefault="00BB697F" w:rsidP="00352599">
      <w:pPr>
        <w:pStyle w:val="Default"/>
        <w:jc w:val="both"/>
        <w:rPr>
          <w:color w:val="auto"/>
          <w:sz w:val="18"/>
          <w:szCs w:val="18"/>
          <w:lang w:val="el-GR" w:eastAsia="el-GR"/>
        </w:rPr>
      </w:pPr>
    </w:p>
    <w:p w14:paraId="7664CF2E" w14:textId="4BF5ABCB" w:rsidR="00252C99" w:rsidRPr="00D41B36" w:rsidRDefault="00252C99" w:rsidP="00252C99">
      <w:pPr>
        <w:pStyle w:val="Default"/>
        <w:jc w:val="both"/>
        <w:rPr>
          <w:color w:val="auto"/>
          <w:sz w:val="18"/>
          <w:szCs w:val="18"/>
          <w:highlight w:val="yellow"/>
          <w:lang w:val="el-GR"/>
        </w:rPr>
      </w:pPr>
      <w:bookmarkStart w:id="19" w:name="_Hlk118117658"/>
      <w:bookmarkEnd w:id="18"/>
      <w:r w:rsidRPr="00C255A4">
        <w:rPr>
          <w:b/>
          <w:bCs/>
          <w:color w:val="auto"/>
          <w:sz w:val="18"/>
          <w:szCs w:val="20"/>
          <w:lang w:val="el-GR"/>
        </w:rPr>
        <w:t xml:space="preserve">Το καθαρό αποτέλεσμα από ασφαλιστικές εργασίες </w:t>
      </w:r>
      <w:r w:rsidRPr="00C255A4">
        <w:rPr>
          <w:color w:val="auto"/>
          <w:sz w:val="18"/>
          <w:szCs w:val="20"/>
          <w:lang w:val="el-GR"/>
        </w:rPr>
        <w:t>ανήλθε σε €</w:t>
      </w:r>
      <w:r w:rsidR="00C255A4" w:rsidRPr="00502B4F">
        <w:rPr>
          <w:color w:val="auto"/>
          <w:sz w:val="18"/>
          <w:szCs w:val="20"/>
          <w:lang w:val="el-GR"/>
        </w:rPr>
        <w:t xml:space="preserve">35 </w:t>
      </w:r>
      <w:r w:rsidRPr="00C255A4">
        <w:rPr>
          <w:color w:val="auto"/>
          <w:sz w:val="18"/>
          <w:szCs w:val="20"/>
          <w:lang w:val="el-GR"/>
        </w:rPr>
        <w:t xml:space="preserve">εκατ. για </w:t>
      </w:r>
      <w:r w:rsidR="007A2F9B">
        <w:rPr>
          <w:color w:val="auto"/>
          <w:sz w:val="18"/>
          <w:szCs w:val="18"/>
          <w:lang w:val="el-GR" w:eastAsia="el-GR"/>
        </w:rPr>
        <w:t>εννεάμηνο</w:t>
      </w:r>
      <w:r w:rsidR="00504557" w:rsidRPr="00C255A4">
        <w:rPr>
          <w:color w:val="auto"/>
          <w:sz w:val="18"/>
          <w:szCs w:val="18"/>
          <w:lang w:val="el-GR" w:eastAsia="el-GR"/>
        </w:rPr>
        <w:t xml:space="preserve"> που έληξε στις 30 Σεπτεμβρίου </w:t>
      </w:r>
      <w:r w:rsidRPr="00C255A4">
        <w:rPr>
          <w:color w:val="auto"/>
          <w:sz w:val="18"/>
          <w:szCs w:val="18"/>
          <w:lang w:val="el-GR"/>
        </w:rPr>
        <w:t>2024</w:t>
      </w:r>
      <w:r w:rsidRPr="00C255A4">
        <w:rPr>
          <w:color w:val="auto"/>
          <w:sz w:val="18"/>
          <w:szCs w:val="20"/>
          <w:lang w:val="el-GR"/>
        </w:rPr>
        <w:t>, σε σύγκριση με €</w:t>
      </w:r>
      <w:r w:rsidR="00504557" w:rsidRPr="00C255A4">
        <w:rPr>
          <w:color w:val="auto"/>
          <w:sz w:val="18"/>
          <w:szCs w:val="20"/>
          <w:lang w:val="el-GR"/>
        </w:rPr>
        <w:t xml:space="preserve">38 </w:t>
      </w:r>
      <w:r w:rsidRPr="00C255A4">
        <w:rPr>
          <w:color w:val="auto"/>
          <w:sz w:val="18"/>
          <w:szCs w:val="20"/>
          <w:lang w:val="el-GR"/>
        </w:rPr>
        <w:t xml:space="preserve">εκατ. για </w:t>
      </w:r>
      <w:r w:rsidRPr="00C255A4">
        <w:rPr>
          <w:color w:val="auto"/>
          <w:sz w:val="18"/>
          <w:szCs w:val="18"/>
          <w:lang w:val="el-GR" w:eastAsia="el-GR"/>
        </w:rPr>
        <w:t xml:space="preserve">το </w:t>
      </w:r>
      <w:r w:rsidR="00504557" w:rsidRPr="00C255A4">
        <w:rPr>
          <w:color w:val="auto"/>
          <w:sz w:val="18"/>
          <w:szCs w:val="18"/>
          <w:lang w:val="el-GR" w:eastAsia="el-GR"/>
        </w:rPr>
        <w:t xml:space="preserve">αντίστοιχο </w:t>
      </w:r>
      <w:r w:rsidR="007A2F9B">
        <w:rPr>
          <w:color w:val="auto"/>
          <w:sz w:val="18"/>
          <w:szCs w:val="18"/>
          <w:lang w:val="el-GR" w:eastAsia="el-GR"/>
        </w:rPr>
        <w:t>εννεάμηνο</w:t>
      </w:r>
      <w:r w:rsidRPr="00C255A4">
        <w:rPr>
          <w:color w:val="auto"/>
          <w:sz w:val="18"/>
          <w:szCs w:val="18"/>
          <w:lang w:val="el-GR" w:eastAsia="el-GR"/>
        </w:rPr>
        <w:t xml:space="preserve"> 2023</w:t>
      </w:r>
      <w:r w:rsidRPr="00C255A4">
        <w:rPr>
          <w:color w:val="auto"/>
          <w:sz w:val="18"/>
          <w:szCs w:val="20"/>
          <w:lang w:val="el-GR"/>
        </w:rPr>
        <w:t>, μειωμένο</w:t>
      </w:r>
      <w:r w:rsidR="00480945" w:rsidRPr="00C255A4">
        <w:rPr>
          <w:color w:val="auto"/>
          <w:sz w:val="18"/>
          <w:szCs w:val="20"/>
          <w:lang w:val="el-GR"/>
        </w:rPr>
        <w:t xml:space="preserve"> </w:t>
      </w:r>
      <w:r w:rsidRPr="00C255A4">
        <w:rPr>
          <w:color w:val="auto"/>
          <w:sz w:val="18"/>
          <w:szCs w:val="20"/>
          <w:lang w:val="el-GR"/>
        </w:rPr>
        <w:t xml:space="preserve">κατά </w:t>
      </w:r>
      <w:r w:rsidR="001014D3">
        <w:rPr>
          <w:color w:val="auto"/>
          <w:sz w:val="18"/>
          <w:szCs w:val="20"/>
          <w:lang w:val="el-GR"/>
        </w:rPr>
        <w:t>7</w:t>
      </w:r>
      <w:r w:rsidRPr="00C255A4">
        <w:rPr>
          <w:color w:val="auto"/>
          <w:sz w:val="18"/>
          <w:szCs w:val="20"/>
          <w:lang w:val="el-GR"/>
        </w:rPr>
        <w:t xml:space="preserve">% σε </w:t>
      </w:r>
      <w:r w:rsidRPr="00C255A4">
        <w:rPr>
          <w:color w:val="auto"/>
          <w:sz w:val="18"/>
          <w:szCs w:val="18"/>
          <w:lang w:val="el-GR"/>
        </w:rPr>
        <w:t>ετήσια βάση</w:t>
      </w:r>
      <w:r w:rsidR="008F0AF1" w:rsidRPr="00C255A4">
        <w:rPr>
          <w:color w:val="auto"/>
          <w:sz w:val="18"/>
          <w:szCs w:val="18"/>
          <w:lang w:val="el-GR"/>
        </w:rPr>
        <w:t xml:space="preserve">, </w:t>
      </w:r>
      <w:r w:rsidR="008F0AF1" w:rsidRPr="00502B4F">
        <w:rPr>
          <w:color w:val="auto"/>
          <w:sz w:val="18"/>
          <w:szCs w:val="18"/>
          <w:lang w:val="el-GR"/>
        </w:rPr>
        <w:t xml:space="preserve">λόγω της αρνητικής εμπειρίας </w:t>
      </w:r>
      <w:r w:rsidR="00480945" w:rsidRPr="00502B4F">
        <w:rPr>
          <w:color w:val="auto"/>
          <w:sz w:val="18"/>
          <w:szCs w:val="18"/>
          <w:lang w:val="el-GR"/>
        </w:rPr>
        <w:t xml:space="preserve">απαιτήσεων στον γενικό κλάδο ασφάλισης που προέκυψε από τα έντονα καιρικά φαινόμενα που συνέβησαν κατά το α’ τρίμηνο 2024. </w:t>
      </w:r>
    </w:p>
    <w:p w14:paraId="4398CC6A" w14:textId="77777777" w:rsidR="00252C99" w:rsidRPr="007246A9" w:rsidRDefault="00252C99" w:rsidP="00F271FA">
      <w:pPr>
        <w:pStyle w:val="Default"/>
        <w:jc w:val="both"/>
        <w:rPr>
          <w:b/>
          <w:bCs/>
          <w:color w:val="auto"/>
          <w:sz w:val="18"/>
          <w:szCs w:val="20"/>
          <w:lang w:val="el-GR"/>
        </w:rPr>
      </w:pPr>
    </w:p>
    <w:p w14:paraId="6FF073A1" w14:textId="159C91DB" w:rsidR="00541133" w:rsidRPr="00D41B36" w:rsidRDefault="00352599" w:rsidP="00F271FA">
      <w:pPr>
        <w:pStyle w:val="Default"/>
        <w:jc w:val="both"/>
        <w:rPr>
          <w:color w:val="auto"/>
          <w:sz w:val="18"/>
          <w:szCs w:val="18"/>
          <w:highlight w:val="yellow"/>
          <w:lang w:val="el-GR"/>
        </w:rPr>
      </w:pPr>
      <w:r w:rsidRPr="007246A9">
        <w:rPr>
          <w:b/>
          <w:bCs/>
          <w:color w:val="auto"/>
          <w:sz w:val="18"/>
          <w:szCs w:val="20"/>
          <w:lang w:val="el-GR"/>
        </w:rPr>
        <w:t>Τ</w:t>
      </w:r>
      <w:r w:rsidR="001438A6" w:rsidRPr="007246A9">
        <w:rPr>
          <w:b/>
          <w:bCs/>
          <w:color w:val="auto"/>
          <w:sz w:val="18"/>
          <w:szCs w:val="20"/>
          <w:lang w:val="el-GR"/>
        </w:rPr>
        <w:t>ο</w:t>
      </w:r>
      <w:r w:rsidRPr="007246A9">
        <w:rPr>
          <w:b/>
          <w:bCs/>
          <w:color w:val="auto"/>
          <w:sz w:val="18"/>
          <w:szCs w:val="20"/>
          <w:lang w:val="el-GR"/>
        </w:rPr>
        <w:t xml:space="preserve"> καθαρ</w:t>
      </w:r>
      <w:r w:rsidR="001438A6" w:rsidRPr="007246A9">
        <w:rPr>
          <w:b/>
          <w:bCs/>
          <w:color w:val="auto"/>
          <w:sz w:val="18"/>
          <w:szCs w:val="20"/>
          <w:lang w:val="el-GR"/>
        </w:rPr>
        <w:t>ό</w:t>
      </w:r>
      <w:r w:rsidRPr="007246A9">
        <w:rPr>
          <w:b/>
          <w:bCs/>
          <w:color w:val="auto"/>
          <w:sz w:val="18"/>
          <w:szCs w:val="20"/>
          <w:lang w:val="el-GR"/>
        </w:rPr>
        <w:t xml:space="preserve"> </w:t>
      </w:r>
      <w:r w:rsidR="001438A6" w:rsidRPr="007246A9">
        <w:rPr>
          <w:b/>
          <w:bCs/>
          <w:color w:val="auto"/>
          <w:sz w:val="18"/>
          <w:szCs w:val="20"/>
          <w:lang w:val="el-GR"/>
        </w:rPr>
        <w:t xml:space="preserve">αποτέλεσμα </w:t>
      </w:r>
      <w:r w:rsidRPr="007246A9">
        <w:rPr>
          <w:b/>
          <w:bCs/>
          <w:color w:val="auto"/>
          <w:sz w:val="18"/>
          <w:szCs w:val="20"/>
          <w:lang w:val="el-GR"/>
        </w:rPr>
        <w:t xml:space="preserve">από ασφαλιστικές </w:t>
      </w:r>
      <w:bookmarkEnd w:id="19"/>
      <w:r w:rsidR="00913E38" w:rsidRPr="007246A9">
        <w:rPr>
          <w:b/>
          <w:bCs/>
          <w:color w:val="auto"/>
          <w:sz w:val="18"/>
          <w:szCs w:val="20"/>
          <w:lang w:val="el-GR"/>
        </w:rPr>
        <w:t xml:space="preserve">εργασίες </w:t>
      </w:r>
      <w:r w:rsidR="001438A6" w:rsidRPr="007246A9">
        <w:rPr>
          <w:color w:val="auto"/>
          <w:sz w:val="18"/>
          <w:szCs w:val="20"/>
          <w:lang w:val="el-GR"/>
        </w:rPr>
        <w:t xml:space="preserve">ανήλθε </w:t>
      </w:r>
      <w:r w:rsidRPr="007246A9">
        <w:rPr>
          <w:color w:val="auto"/>
          <w:sz w:val="18"/>
          <w:szCs w:val="20"/>
          <w:lang w:val="el-GR"/>
        </w:rPr>
        <w:t>σε €</w:t>
      </w:r>
      <w:r w:rsidR="00C255A4" w:rsidRPr="00502B4F">
        <w:rPr>
          <w:color w:val="auto"/>
          <w:sz w:val="18"/>
          <w:szCs w:val="20"/>
          <w:lang w:val="el-GR"/>
        </w:rPr>
        <w:t>12</w:t>
      </w:r>
      <w:r w:rsidR="00C255A4" w:rsidRPr="007246A9">
        <w:rPr>
          <w:color w:val="auto"/>
          <w:sz w:val="18"/>
          <w:szCs w:val="20"/>
          <w:lang w:val="el-GR"/>
        </w:rPr>
        <w:t xml:space="preserve"> </w:t>
      </w:r>
      <w:r w:rsidRPr="007246A9">
        <w:rPr>
          <w:color w:val="auto"/>
          <w:sz w:val="18"/>
          <w:szCs w:val="20"/>
          <w:lang w:val="el-GR"/>
        </w:rPr>
        <w:t xml:space="preserve">εκατ. για </w:t>
      </w:r>
      <w:r w:rsidR="00EC334E" w:rsidRPr="007246A9">
        <w:rPr>
          <w:color w:val="auto"/>
          <w:sz w:val="18"/>
          <w:szCs w:val="20"/>
          <w:lang w:val="el-GR"/>
        </w:rPr>
        <w:t xml:space="preserve">γ’ </w:t>
      </w:r>
      <w:r w:rsidR="00541133" w:rsidRPr="007246A9">
        <w:rPr>
          <w:color w:val="auto"/>
          <w:sz w:val="18"/>
          <w:szCs w:val="20"/>
          <w:lang w:val="el-GR"/>
        </w:rPr>
        <w:t>τρίμηνο</w:t>
      </w:r>
      <w:r w:rsidR="008A4B8C" w:rsidRPr="007246A9">
        <w:rPr>
          <w:sz w:val="18"/>
          <w:szCs w:val="18"/>
          <w:lang w:val="el-GR"/>
        </w:rPr>
        <w:t xml:space="preserve"> </w:t>
      </w:r>
      <w:r w:rsidR="00541133" w:rsidRPr="007246A9">
        <w:rPr>
          <w:color w:val="auto"/>
          <w:sz w:val="18"/>
          <w:szCs w:val="18"/>
          <w:lang w:val="el-GR"/>
        </w:rPr>
        <w:t>2024</w:t>
      </w:r>
      <w:r w:rsidRPr="007246A9">
        <w:rPr>
          <w:color w:val="auto"/>
          <w:sz w:val="18"/>
          <w:szCs w:val="20"/>
          <w:lang w:val="el-GR"/>
        </w:rPr>
        <w:t xml:space="preserve">, </w:t>
      </w:r>
      <w:r w:rsidR="00C255A4">
        <w:rPr>
          <w:color w:val="auto"/>
          <w:sz w:val="18"/>
          <w:szCs w:val="20"/>
          <w:lang w:val="el-GR"/>
        </w:rPr>
        <w:t xml:space="preserve">περίπου στα ίδια επίπεδα σε τριμηνιαία βάση. </w:t>
      </w:r>
    </w:p>
    <w:p w14:paraId="0B8BA40D" w14:textId="77777777" w:rsidR="00F26350" w:rsidRPr="00D41B36" w:rsidRDefault="00F26350" w:rsidP="00F26350">
      <w:pPr>
        <w:pStyle w:val="Default"/>
        <w:jc w:val="both"/>
        <w:rPr>
          <w:sz w:val="18"/>
          <w:szCs w:val="18"/>
          <w:highlight w:val="yellow"/>
          <w:lang w:val="el-GR"/>
        </w:rPr>
      </w:pPr>
    </w:p>
    <w:p w14:paraId="7618EE67" w14:textId="07206A2A" w:rsidR="00AD0C15" w:rsidRPr="000C593E" w:rsidRDefault="00AD0C15" w:rsidP="00AD0C15">
      <w:pPr>
        <w:spacing w:after="0" w:line="240" w:lineRule="auto"/>
        <w:jc w:val="both"/>
        <w:rPr>
          <w:rFonts w:ascii="Arial" w:eastAsia="Batang" w:hAnsi="Arial" w:cs="Arial"/>
          <w:sz w:val="18"/>
          <w:szCs w:val="18"/>
          <w:lang w:val="el-GR" w:eastAsia="en-US"/>
        </w:rPr>
      </w:pPr>
      <w:r w:rsidRPr="007246A9">
        <w:rPr>
          <w:rFonts w:ascii="Arial" w:hAnsi="Arial" w:cs="Arial"/>
          <w:b/>
          <w:sz w:val="18"/>
          <w:szCs w:val="18"/>
          <w:lang w:val="el-GR"/>
        </w:rPr>
        <w:t xml:space="preserve">Τα καθαρά κέρδη/(ζημιές) από </w:t>
      </w:r>
      <w:r w:rsidRPr="007246A9">
        <w:rPr>
          <w:rFonts w:ascii="Arial" w:hAnsi="Arial" w:cs="Arial"/>
          <w:b/>
          <w:color w:val="000000" w:themeColor="text1"/>
          <w:sz w:val="18"/>
          <w:szCs w:val="18"/>
          <w:lang w:val="el-GR"/>
        </w:rPr>
        <w:t xml:space="preserve">επανεκτίμηση και πώληση επενδύσεων </w:t>
      </w:r>
      <w:r w:rsidRPr="00502B4F">
        <w:rPr>
          <w:rFonts w:ascii="Arial" w:hAnsi="Arial" w:cs="Arial"/>
          <w:b/>
          <w:sz w:val="18"/>
          <w:szCs w:val="18"/>
          <w:lang w:val="el-GR"/>
        </w:rPr>
        <w:t xml:space="preserve">σε ακίνητα και από πώληση αποθεμάτων ακινήτων </w:t>
      </w:r>
      <w:r w:rsidRPr="00502B4F">
        <w:rPr>
          <w:rFonts w:ascii="Arial" w:hAnsi="Arial" w:cs="Arial"/>
          <w:bCs/>
          <w:sz w:val="18"/>
          <w:szCs w:val="18"/>
          <w:lang w:val="el-GR"/>
        </w:rPr>
        <w:t>για το</w:t>
      </w:r>
      <w:r w:rsidR="00EC334E" w:rsidRPr="00502B4F">
        <w:rPr>
          <w:rFonts w:ascii="Arial" w:hAnsi="Arial" w:cs="Arial"/>
          <w:bCs/>
          <w:sz w:val="18"/>
          <w:szCs w:val="18"/>
          <w:lang w:val="el-GR"/>
        </w:rPr>
        <w:t xml:space="preserve"> </w:t>
      </w:r>
      <w:r w:rsidR="007A2F9B">
        <w:rPr>
          <w:rFonts w:ascii="Arial" w:hAnsi="Arial" w:cs="Arial"/>
          <w:bCs/>
          <w:sz w:val="18"/>
          <w:szCs w:val="18"/>
          <w:lang w:val="el-GR"/>
        </w:rPr>
        <w:t>εννεάμηνο</w:t>
      </w:r>
      <w:r w:rsidR="00EC334E" w:rsidRPr="00502B4F">
        <w:rPr>
          <w:rFonts w:ascii="Arial" w:hAnsi="Arial" w:cs="Arial"/>
          <w:bCs/>
          <w:sz w:val="18"/>
          <w:szCs w:val="18"/>
          <w:lang w:val="el-GR"/>
        </w:rPr>
        <w:t xml:space="preserve"> που έληξε στις 30 Σεπτεμβρίου </w:t>
      </w:r>
      <w:r w:rsidRPr="00502B4F">
        <w:rPr>
          <w:rFonts w:ascii="Arial" w:hAnsi="Arial" w:cs="Arial"/>
          <w:bCs/>
          <w:sz w:val="18"/>
          <w:szCs w:val="18"/>
          <w:lang w:val="el-GR"/>
        </w:rPr>
        <w:t xml:space="preserve">2024 ανήλθαν σε </w:t>
      </w:r>
      <w:r w:rsidRPr="00502B4F">
        <w:rPr>
          <w:rFonts w:ascii="Arial" w:eastAsia="Batang" w:hAnsi="Arial" w:cs="Arial"/>
          <w:sz w:val="18"/>
          <w:szCs w:val="18"/>
          <w:lang w:val="el-GR" w:eastAsia="en-US"/>
        </w:rPr>
        <w:t>€</w:t>
      </w:r>
      <w:r w:rsidR="000C593E" w:rsidRPr="00502B4F">
        <w:rPr>
          <w:rFonts w:ascii="Arial" w:eastAsia="Batang" w:hAnsi="Arial" w:cs="Arial"/>
          <w:sz w:val="18"/>
          <w:szCs w:val="18"/>
          <w:lang w:val="el-GR" w:eastAsia="en-US"/>
        </w:rPr>
        <w:t xml:space="preserve">3 </w:t>
      </w:r>
      <w:r w:rsidRPr="00502B4F">
        <w:rPr>
          <w:rFonts w:ascii="Arial" w:eastAsia="Batang" w:hAnsi="Arial" w:cs="Arial"/>
          <w:sz w:val="18"/>
          <w:szCs w:val="18"/>
          <w:lang w:val="el-GR" w:eastAsia="en-US"/>
        </w:rPr>
        <w:t>εκατ.</w:t>
      </w:r>
      <w:r w:rsidRPr="00502B4F">
        <w:rPr>
          <w:rFonts w:ascii="Arial" w:hAnsi="Arial" w:cs="Arial"/>
          <w:bCs/>
          <w:sz w:val="18"/>
          <w:szCs w:val="18"/>
          <w:lang w:val="el-GR"/>
        </w:rPr>
        <w:t xml:space="preserve"> (αποτελούμενα </w:t>
      </w:r>
      <w:r w:rsidRPr="00502B4F">
        <w:rPr>
          <w:rFonts w:ascii="Arial" w:eastAsia="Batang" w:hAnsi="Arial" w:cs="Arial"/>
          <w:sz w:val="18"/>
          <w:szCs w:val="18"/>
          <w:lang w:val="el-GR" w:eastAsia="en-US"/>
        </w:rPr>
        <w:t xml:space="preserve">από καθαρά κέρδη από πώληση αποθεμάτων ακινήτων και </w:t>
      </w:r>
      <w:r w:rsidRPr="00502B4F">
        <w:rPr>
          <w:rFonts w:ascii="Arial" w:hAnsi="Arial" w:cs="Arial"/>
          <w:sz w:val="18"/>
          <w:szCs w:val="18"/>
          <w:lang w:val="el-GR"/>
        </w:rPr>
        <w:t xml:space="preserve">επενδύσεων σε ακίνητα </w:t>
      </w:r>
      <w:r w:rsidRPr="00502B4F">
        <w:rPr>
          <w:rFonts w:ascii="Arial" w:eastAsia="Batang" w:hAnsi="Arial" w:cs="Arial"/>
          <w:sz w:val="18"/>
          <w:szCs w:val="18"/>
          <w:lang w:val="el-GR" w:eastAsia="en-US"/>
        </w:rPr>
        <w:t>ύψους περίπου €</w:t>
      </w:r>
      <w:r w:rsidR="000C593E" w:rsidRPr="00502B4F">
        <w:rPr>
          <w:rFonts w:ascii="Arial" w:hAnsi="Arial" w:cs="Arial"/>
          <w:sz w:val="18"/>
          <w:szCs w:val="20"/>
          <w:lang w:val="el-GR"/>
        </w:rPr>
        <w:t xml:space="preserve">5 </w:t>
      </w:r>
      <w:r w:rsidRPr="00502B4F">
        <w:rPr>
          <w:rFonts w:ascii="Arial" w:eastAsia="Batang" w:hAnsi="Arial" w:cs="Arial"/>
          <w:sz w:val="18"/>
          <w:szCs w:val="18"/>
          <w:lang w:val="el-GR" w:eastAsia="en-US"/>
        </w:rPr>
        <w:t xml:space="preserve">εκατ., και καθαρές ζημιές από επανεκτίμηση επενδύσεων σε ακίνητα ύψους </w:t>
      </w:r>
      <w:r w:rsidR="008B1868" w:rsidRPr="00502B4F">
        <w:rPr>
          <w:rFonts w:ascii="Arial" w:eastAsia="Batang" w:hAnsi="Arial" w:cs="Arial"/>
          <w:sz w:val="18"/>
          <w:szCs w:val="18"/>
          <w:lang w:val="el-GR" w:eastAsia="en-US"/>
        </w:rPr>
        <w:t xml:space="preserve">περίπου </w:t>
      </w:r>
      <w:r w:rsidRPr="00502B4F">
        <w:rPr>
          <w:rFonts w:ascii="Arial" w:eastAsia="Batang" w:hAnsi="Arial" w:cs="Arial"/>
          <w:sz w:val="18"/>
          <w:szCs w:val="18"/>
          <w:lang w:val="el-GR" w:eastAsia="en-US"/>
        </w:rPr>
        <w:t>€</w:t>
      </w:r>
      <w:r w:rsidR="000C593E" w:rsidRPr="00502B4F">
        <w:rPr>
          <w:rFonts w:ascii="Arial" w:eastAsia="Batang" w:hAnsi="Arial" w:cs="Arial"/>
          <w:sz w:val="18"/>
          <w:szCs w:val="18"/>
          <w:lang w:val="el-GR" w:eastAsia="en-US"/>
        </w:rPr>
        <w:t xml:space="preserve">2 </w:t>
      </w:r>
      <w:r w:rsidRPr="00502B4F">
        <w:rPr>
          <w:rFonts w:ascii="Arial" w:eastAsia="Batang" w:hAnsi="Arial" w:cs="Arial"/>
          <w:sz w:val="18"/>
          <w:szCs w:val="18"/>
          <w:lang w:val="el-GR" w:eastAsia="en-US"/>
        </w:rPr>
        <w:t>εκατ.), σε σύγκριση με €</w:t>
      </w:r>
      <w:r w:rsidR="00EC334E" w:rsidRPr="00502B4F">
        <w:rPr>
          <w:rFonts w:ascii="Arial" w:eastAsia="Batang" w:hAnsi="Arial" w:cs="Arial"/>
          <w:sz w:val="18"/>
          <w:szCs w:val="18"/>
          <w:lang w:val="el-GR" w:eastAsia="en-US"/>
        </w:rPr>
        <w:t>7</w:t>
      </w:r>
      <w:r w:rsidRPr="00502B4F">
        <w:rPr>
          <w:rFonts w:ascii="Arial" w:eastAsia="Batang" w:hAnsi="Arial" w:cs="Arial"/>
          <w:sz w:val="18"/>
          <w:szCs w:val="18"/>
          <w:lang w:val="el-GR" w:eastAsia="en-US"/>
        </w:rPr>
        <w:t xml:space="preserve"> εκατ. για το </w:t>
      </w:r>
      <w:r w:rsidR="007A2F9B">
        <w:rPr>
          <w:rFonts w:ascii="Arial" w:hAnsi="Arial" w:cs="Arial"/>
          <w:bCs/>
          <w:sz w:val="18"/>
          <w:szCs w:val="18"/>
          <w:lang w:val="el-GR"/>
        </w:rPr>
        <w:t>εννεάμηνο</w:t>
      </w:r>
      <w:r w:rsidR="00EC334E" w:rsidRPr="00502B4F">
        <w:rPr>
          <w:rFonts w:ascii="Arial" w:hAnsi="Arial" w:cs="Arial"/>
          <w:bCs/>
          <w:sz w:val="18"/>
          <w:szCs w:val="18"/>
          <w:lang w:val="el-GR"/>
        </w:rPr>
        <w:t xml:space="preserve"> που έληξε στις 30 Σεπτεμβρίου</w:t>
      </w:r>
      <w:r w:rsidR="00EC334E" w:rsidRPr="00502B4F" w:rsidDel="00EC334E">
        <w:rPr>
          <w:rFonts w:ascii="Arial" w:eastAsia="Batang" w:hAnsi="Arial" w:cs="Arial"/>
          <w:sz w:val="18"/>
          <w:szCs w:val="18"/>
          <w:lang w:val="el-GR" w:eastAsia="en-US"/>
        </w:rPr>
        <w:t xml:space="preserve"> </w:t>
      </w:r>
      <w:r w:rsidRPr="00502B4F">
        <w:rPr>
          <w:rFonts w:ascii="Arial" w:eastAsia="Batang" w:hAnsi="Arial" w:cs="Arial"/>
          <w:sz w:val="18"/>
          <w:szCs w:val="18"/>
          <w:lang w:val="el-GR" w:eastAsia="en-US"/>
        </w:rPr>
        <w:t xml:space="preserve">2023. Τα </w:t>
      </w:r>
      <w:r w:rsidRPr="000C593E">
        <w:rPr>
          <w:rFonts w:ascii="Arial" w:eastAsia="Batang" w:hAnsi="Arial" w:cs="Arial"/>
          <w:sz w:val="18"/>
          <w:szCs w:val="18"/>
          <w:lang w:val="el-GR" w:eastAsia="en-US"/>
        </w:rPr>
        <w:t>κέρδη ΔΔΑ δύναται να παρουσιάζουν διακυμάνσεις.</w:t>
      </w:r>
    </w:p>
    <w:p w14:paraId="05FCCBA8" w14:textId="77777777" w:rsidR="00AD0C15" w:rsidRPr="007246A9" w:rsidRDefault="00AD0C15" w:rsidP="00F26350">
      <w:pPr>
        <w:spacing w:after="0" w:line="240" w:lineRule="auto"/>
        <w:jc w:val="both"/>
        <w:rPr>
          <w:rFonts w:ascii="Arial" w:hAnsi="Arial" w:cs="Arial"/>
          <w:b/>
          <w:sz w:val="18"/>
          <w:szCs w:val="18"/>
          <w:lang w:val="el-GR"/>
        </w:rPr>
      </w:pPr>
    </w:p>
    <w:p w14:paraId="3A5D9DD7" w14:textId="3EA7CA6C" w:rsidR="00352599" w:rsidRPr="000C593E" w:rsidRDefault="00352599" w:rsidP="00F26350">
      <w:pPr>
        <w:spacing w:after="0" w:line="240" w:lineRule="auto"/>
        <w:jc w:val="both"/>
        <w:rPr>
          <w:rFonts w:ascii="Arial" w:eastAsia="Batang" w:hAnsi="Arial" w:cs="Arial"/>
          <w:sz w:val="18"/>
          <w:szCs w:val="18"/>
          <w:lang w:val="el-GR" w:eastAsia="en-US"/>
        </w:rPr>
      </w:pPr>
      <w:r w:rsidRPr="007246A9">
        <w:rPr>
          <w:rFonts w:ascii="Arial" w:hAnsi="Arial" w:cs="Arial"/>
          <w:b/>
          <w:sz w:val="18"/>
          <w:szCs w:val="18"/>
          <w:lang w:val="el-GR"/>
        </w:rPr>
        <w:t xml:space="preserve">Τα καθαρά κέρδη/(ζημιές) από επανεκτίμηση και πώληση επενδύσεων σε </w:t>
      </w:r>
      <w:r w:rsidRPr="000C593E">
        <w:rPr>
          <w:rFonts w:ascii="Arial" w:hAnsi="Arial" w:cs="Arial"/>
          <w:b/>
          <w:sz w:val="18"/>
          <w:szCs w:val="18"/>
          <w:lang w:val="el-GR"/>
        </w:rPr>
        <w:t xml:space="preserve">ακίνητα και από πώληση αποθεμάτων ακινήτων </w:t>
      </w:r>
      <w:r w:rsidRPr="000C593E">
        <w:rPr>
          <w:rFonts w:ascii="Arial" w:hAnsi="Arial" w:cs="Arial"/>
          <w:bCs/>
          <w:sz w:val="18"/>
          <w:szCs w:val="18"/>
          <w:lang w:val="el-GR"/>
        </w:rPr>
        <w:t xml:space="preserve">για </w:t>
      </w:r>
      <w:r w:rsidR="00F469DB" w:rsidRPr="000C593E">
        <w:rPr>
          <w:rFonts w:ascii="Arial" w:hAnsi="Arial" w:cs="Arial"/>
          <w:bCs/>
          <w:sz w:val="18"/>
          <w:szCs w:val="18"/>
          <w:lang w:val="el-GR"/>
        </w:rPr>
        <w:t xml:space="preserve">το </w:t>
      </w:r>
      <w:r w:rsidR="00EC334E" w:rsidRPr="000C593E">
        <w:rPr>
          <w:rFonts w:ascii="Arial" w:hAnsi="Arial" w:cs="Arial"/>
          <w:bCs/>
          <w:sz w:val="18"/>
          <w:szCs w:val="18"/>
          <w:lang w:val="el-GR"/>
        </w:rPr>
        <w:t xml:space="preserve">γ’ </w:t>
      </w:r>
      <w:r w:rsidR="00812E58" w:rsidRPr="000C593E">
        <w:rPr>
          <w:rFonts w:ascii="Arial" w:hAnsi="Arial" w:cs="Arial"/>
          <w:bCs/>
          <w:sz w:val="18"/>
          <w:szCs w:val="18"/>
          <w:lang w:val="el-GR"/>
        </w:rPr>
        <w:t xml:space="preserve">τρίμηνο 2024 </w:t>
      </w:r>
      <w:r w:rsidRPr="000C593E">
        <w:rPr>
          <w:rFonts w:ascii="Arial" w:hAnsi="Arial" w:cs="Arial"/>
          <w:bCs/>
          <w:sz w:val="18"/>
          <w:szCs w:val="18"/>
          <w:lang w:val="el-GR"/>
        </w:rPr>
        <w:t>ανήλθαν σε €</w:t>
      </w:r>
      <w:r w:rsidR="000C593E" w:rsidRPr="00502B4F">
        <w:rPr>
          <w:rFonts w:ascii="Arial" w:hAnsi="Arial" w:cs="Arial"/>
          <w:bCs/>
          <w:sz w:val="18"/>
          <w:szCs w:val="18"/>
          <w:lang w:val="el-GR"/>
        </w:rPr>
        <w:t xml:space="preserve">1 </w:t>
      </w:r>
      <w:r w:rsidRPr="00502B4F">
        <w:rPr>
          <w:rFonts w:ascii="Arial" w:hAnsi="Arial" w:cs="Arial"/>
          <w:bCs/>
          <w:sz w:val="18"/>
          <w:szCs w:val="18"/>
          <w:lang w:val="el-GR"/>
        </w:rPr>
        <w:t>εκατ</w:t>
      </w:r>
      <w:r w:rsidRPr="000C593E">
        <w:rPr>
          <w:rFonts w:ascii="Arial" w:hAnsi="Arial" w:cs="Arial"/>
          <w:bCs/>
          <w:sz w:val="18"/>
          <w:szCs w:val="18"/>
          <w:lang w:val="el-GR"/>
        </w:rPr>
        <w:t>.</w:t>
      </w:r>
      <w:r w:rsidR="008B1868" w:rsidRPr="000C593E">
        <w:rPr>
          <w:rFonts w:ascii="Arial" w:hAnsi="Arial" w:cs="Arial"/>
          <w:bCs/>
          <w:sz w:val="18"/>
          <w:szCs w:val="18"/>
          <w:lang w:val="el-GR"/>
        </w:rPr>
        <w:t xml:space="preserve">, </w:t>
      </w:r>
      <w:r w:rsidR="00AD0C15" w:rsidRPr="00502B4F">
        <w:rPr>
          <w:rFonts w:ascii="Arial" w:eastAsia="Batang" w:hAnsi="Arial" w:cs="Arial"/>
          <w:sz w:val="18"/>
          <w:szCs w:val="18"/>
          <w:lang w:val="el-GR" w:eastAsia="en-US"/>
        </w:rPr>
        <w:t>στα ίδια επίπεδα σε τριμηνιαία βάση.</w:t>
      </w:r>
    </w:p>
    <w:p w14:paraId="5819114A" w14:textId="77777777" w:rsidR="00F26350" w:rsidRPr="007246A9" w:rsidRDefault="00F26350" w:rsidP="00F26350">
      <w:pPr>
        <w:spacing w:after="0" w:line="240" w:lineRule="auto"/>
        <w:jc w:val="both"/>
        <w:rPr>
          <w:rFonts w:ascii="Arial" w:eastAsia="Batang" w:hAnsi="Arial" w:cs="Arial"/>
          <w:sz w:val="18"/>
          <w:szCs w:val="18"/>
          <w:lang w:val="el-GR" w:eastAsia="en-US"/>
        </w:rPr>
      </w:pPr>
    </w:p>
    <w:p w14:paraId="56A5F96D" w14:textId="261D3BC0" w:rsidR="00575BD0" w:rsidRDefault="00B71EE6" w:rsidP="00F26350">
      <w:pPr>
        <w:pStyle w:val="Default"/>
        <w:jc w:val="both"/>
        <w:rPr>
          <w:rFonts w:eastAsia="Batang"/>
          <w:color w:val="auto"/>
          <w:sz w:val="18"/>
          <w:szCs w:val="18"/>
          <w:lang w:val="el-GR" w:eastAsia="en-US"/>
        </w:rPr>
      </w:pPr>
      <w:r w:rsidRPr="007246A9">
        <w:rPr>
          <w:rFonts w:eastAsia="Batang"/>
          <w:b/>
          <w:bCs/>
          <w:color w:val="auto"/>
          <w:sz w:val="18"/>
          <w:szCs w:val="18"/>
          <w:lang w:val="el-GR" w:eastAsia="en-US"/>
        </w:rPr>
        <w:t>Τα συνολικά έσοδα</w:t>
      </w:r>
      <w:r w:rsidRPr="007246A9">
        <w:rPr>
          <w:rFonts w:eastAsia="Batang"/>
          <w:color w:val="auto"/>
          <w:sz w:val="18"/>
          <w:szCs w:val="18"/>
          <w:lang w:val="el-GR" w:eastAsia="en-US"/>
        </w:rPr>
        <w:t xml:space="preserve"> </w:t>
      </w:r>
      <w:r w:rsidR="005F4F31" w:rsidRPr="007246A9">
        <w:rPr>
          <w:rFonts w:eastAsia="Batang"/>
          <w:color w:val="auto"/>
          <w:sz w:val="18"/>
          <w:szCs w:val="18"/>
          <w:lang w:val="el-GR" w:eastAsia="en-US"/>
        </w:rPr>
        <w:t xml:space="preserve">για </w:t>
      </w:r>
      <w:r w:rsidR="00821384" w:rsidRPr="000F5D28">
        <w:rPr>
          <w:rFonts w:eastAsia="Batang"/>
          <w:color w:val="auto"/>
          <w:sz w:val="18"/>
          <w:szCs w:val="18"/>
          <w:lang w:val="el-GR" w:eastAsia="en-US"/>
        </w:rPr>
        <w:t xml:space="preserve">το </w:t>
      </w:r>
      <w:r w:rsidR="007A2F9B">
        <w:rPr>
          <w:bCs/>
          <w:color w:val="auto"/>
          <w:sz w:val="18"/>
          <w:szCs w:val="18"/>
          <w:lang w:val="el-GR"/>
        </w:rPr>
        <w:t>εννεάμηνο</w:t>
      </w:r>
      <w:r w:rsidR="00EC334E" w:rsidRPr="00502B4F">
        <w:rPr>
          <w:bCs/>
          <w:color w:val="auto"/>
          <w:sz w:val="18"/>
          <w:szCs w:val="18"/>
          <w:lang w:val="el-GR"/>
        </w:rPr>
        <w:t xml:space="preserve"> που έληξε στις 30 Σεπτεμβρίου</w:t>
      </w:r>
      <w:r w:rsidR="00EC334E" w:rsidRPr="000F5D28">
        <w:rPr>
          <w:rFonts w:eastAsia="Batang"/>
          <w:color w:val="auto"/>
          <w:sz w:val="18"/>
          <w:szCs w:val="18"/>
          <w:lang w:val="el-GR" w:eastAsia="en-US"/>
        </w:rPr>
        <w:t xml:space="preserve"> </w:t>
      </w:r>
      <w:r w:rsidR="005C248D" w:rsidRPr="000F5D28">
        <w:rPr>
          <w:rFonts w:eastAsia="Batang"/>
          <w:color w:val="auto"/>
          <w:sz w:val="18"/>
          <w:szCs w:val="18"/>
          <w:lang w:val="el-GR" w:eastAsia="en-US"/>
        </w:rPr>
        <w:t xml:space="preserve">2024 </w:t>
      </w:r>
      <w:r w:rsidRPr="000F5D28">
        <w:rPr>
          <w:rFonts w:eastAsia="Batang"/>
          <w:color w:val="auto"/>
          <w:sz w:val="18"/>
          <w:szCs w:val="18"/>
          <w:lang w:val="el-GR" w:eastAsia="en-US"/>
        </w:rPr>
        <w:t>ανήλθαν σε €</w:t>
      </w:r>
      <w:r w:rsidR="000F5D28" w:rsidRPr="00502B4F">
        <w:rPr>
          <w:rFonts w:eastAsia="Times New Roman"/>
          <w:color w:val="auto"/>
          <w:sz w:val="18"/>
          <w:szCs w:val="20"/>
          <w:lang w:val="el-GR" w:eastAsia="el-GR"/>
        </w:rPr>
        <w:t>828</w:t>
      </w:r>
      <w:r w:rsidR="000F5D28" w:rsidRPr="000F5D28">
        <w:rPr>
          <w:rFonts w:eastAsia="Times New Roman"/>
          <w:color w:val="auto"/>
          <w:sz w:val="18"/>
          <w:szCs w:val="20"/>
          <w:lang w:val="el-GR" w:eastAsia="el-GR"/>
        </w:rPr>
        <w:t xml:space="preserve"> </w:t>
      </w:r>
      <w:r w:rsidRPr="000F5D28">
        <w:rPr>
          <w:rFonts w:eastAsia="Batang"/>
          <w:color w:val="auto"/>
          <w:sz w:val="18"/>
          <w:szCs w:val="18"/>
          <w:lang w:val="el-GR" w:eastAsia="en-US"/>
        </w:rPr>
        <w:t>εκατ.</w:t>
      </w:r>
      <w:r w:rsidR="000645C3" w:rsidRPr="000F5D28">
        <w:rPr>
          <w:rFonts w:eastAsia="Batang"/>
          <w:color w:val="auto"/>
          <w:sz w:val="18"/>
          <w:szCs w:val="18"/>
          <w:lang w:val="el-GR" w:eastAsia="en-US"/>
        </w:rPr>
        <w:t xml:space="preserve"> (</w:t>
      </w:r>
      <w:r w:rsidRPr="000F5D28">
        <w:rPr>
          <w:rFonts w:eastAsia="Batang"/>
          <w:color w:val="auto"/>
          <w:sz w:val="18"/>
          <w:szCs w:val="18"/>
          <w:lang w:val="el-GR" w:eastAsia="en-US"/>
        </w:rPr>
        <w:t>σε σύγκριση με €</w:t>
      </w:r>
      <w:r w:rsidR="00EC334E" w:rsidRPr="000F5D28">
        <w:rPr>
          <w:rFonts w:eastAsia="Times New Roman"/>
          <w:color w:val="auto"/>
          <w:sz w:val="18"/>
          <w:szCs w:val="20"/>
          <w:lang w:val="el-GR" w:eastAsia="el-GR"/>
        </w:rPr>
        <w:t xml:space="preserve">796 </w:t>
      </w:r>
      <w:r w:rsidRPr="000F5D28">
        <w:rPr>
          <w:rFonts w:eastAsia="Batang"/>
          <w:color w:val="auto"/>
          <w:sz w:val="18"/>
          <w:szCs w:val="18"/>
          <w:lang w:val="el-GR" w:eastAsia="en-US"/>
        </w:rPr>
        <w:t xml:space="preserve">εκατ. </w:t>
      </w:r>
      <w:r w:rsidR="00961B91" w:rsidRPr="000F5D28">
        <w:rPr>
          <w:rFonts w:eastAsia="Batang"/>
          <w:color w:val="auto"/>
          <w:sz w:val="18"/>
          <w:szCs w:val="18"/>
          <w:lang w:val="el-GR" w:eastAsia="en-US"/>
        </w:rPr>
        <w:t>για</w:t>
      </w:r>
      <w:r w:rsidR="008049C6">
        <w:rPr>
          <w:rFonts w:eastAsia="Batang"/>
          <w:color w:val="auto"/>
          <w:sz w:val="18"/>
          <w:szCs w:val="18"/>
          <w:lang w:val="el-GR" w:eastAsia="en-US"/>
        </w:rPr>
        <w:t xml:space="preserve"> το</w:t>
      </w:r>
      <w:r w:rsidR="00961B91" w:rsidRPr="000F5D28">
        <w:rPr>
          <w:rFonts w:eastAsia="Batang"/>
          <w:color w:val="auto"/>
          <w:sz w:val="18"/>
          <w:szCs w:val="18"/>
          <w:lang w:val="el-GR" w:eastAsia="en-US"/>
        </w:rPr>
        <w:t xml:space="preserve"> </w:t>
      </w:r>
      <w:r w:rsidR="00EC334E" w:rsidRPr="000F5D28">
        <w:rPr>
          <w:rFonts w:eastAsia="Batang"/>
          <w:color w:val="auto"/>
          <w:sz w:val="18"/>
          <w:szCs w:val="18"/>
          <w:lang w:val="el-GR" w:eastAsia="en-US"/>
        </w:rPr>
        <w:t xml:space="preserve">αντίστοιχο </w:t>
      </w:r>
      <w:r w:rsidR="007A2F9B">
        <w:rPr>
          <w:bCs/>
          <w:color w:val="auto"/>
          <w:sz w:val="18"/>
          <w:szCs w:val="18"/>
          <w:lang w:val="el-GR"/>
        </w:rPr>
        <w:t>εννεάμηνο</w:t>
      </w:r>
      <w:r w:rsidR="00EC334E" w:rsidRPr="00502B4F">
        <w:rPr>
          <w:bCs/>
          <w:color w:val="auto"/>
          <w:sz w:val="18"/>
          <w:szCs w:val="18"/>
          <w:lang w:val="el-GR"/>
        </w:rPr>
        <w:t xml:space="preserve"> </w:t>
      </w:r>
      <w:r w:rsidR="00812E58" w:rsidRPr="000F5D28">
        <w:rPr>
          <w:rFonts w:eastAsia="Batang"/>
          <w:color w:val="auto"/>
          <w:sz w:val="18"/>
          <w:szCs w:val="18"/>
          <w:lang w:val="el-GR" w:eastAsia="en-US"/>
        </w:rPr>
        <w:t xml:space="preserve">2023, </w:t>
      </w:r>
      <w:r w:rsidR="005C248D" w:rsidRPr="000F5D28">
        <w:rPr>
          <w:rFonts w:eastAsia="Batang"/>
          <w:color w:val="auto"/>
          <w:sz w:val="18"/>
          <w:szCs w:val="18"/>
          <w:lang w:val="el-GR" w:eastAsia="en-US"/>
        </w:rPr>
        <w:t xml:space="preserve">αυξημένα </w:t>
      </w:r>
      <w:r w:rsidR="00812E58" w:rsidRPr="000F5D28">
        <w:rPr>
          <w:rFonts w:eastAsia="Batang"/>
          <w:color w:val="auto"/>
          <w:sz w:val="18"/>
          <w:szCs w:val="18"/>
          <w:lang w:val="el-GR" w:eastAsia="en-US"/>
        </w:rPr>
        <w:t xml:space="preserve">κατά </w:t>
      </w:r>
      <w:r w:rsidR="000F5D28" w:rsidRPr="00502B4F">
        <w:rPr>
          <w:rFonts w:eastAsia="Times New Roman"/>
          <w:color w:val="auto"/>
          <w:sz w:val="18"/>
          <w:szCs w:val="20"/>
          <w:lang w:val="el-GR" w:eastAsia="el-GR"/>
        </w:rPr>
        <w:t>4</w:t>
      </w:r>
      <w:r w:rsidR="00812E58" w:rsidRPr="000F5D28">
        <w:rPr>
          <w:rFonts w:eastAsia="Batang"/>
          <w:color w:val="auto"/>
          <w:sz w:val="18"/>
          <w:szCs w:val="18"/>
          <w:lang w:val="el-GR" w:eastAsia="en-US"/>
        </w:rPr>
        <w:t xml:space="preserve">% σε </w:t>
      </w:r>
      <w:r w:rsidR="005C248D" w:rsidRPr="000F5D28">
        <w:rPr>
          <w:rFonts w:eastAsia="Batang"/>
          <w:color w:val="auto"/>
          <w:sz w:val="18"/>
          <w:szCs w:val="18"/>
          <w:lang w:val="el-GR" w:eastAsia="en-US"/>
        </w:rPr>
        <w:t xml:space="preserve">ετήσια </w:t>
      </w:r>
      <w:r w:rsidR="00812E58" w:rsidRPr="000F5D28">
        <w:rPr>
          <w:rFonts w:eastAsia="Batang"/>
          <w:color w:val="auto"/>
          <w:sz w:val="18"/>
          <w:szCs w:val="18"/>
          <w:lang w:val="el-GR" w:eastAsia="en-US"/>
        </w:rPr>
        <w:t>βάση), λ</w:t>
      </w:r>
      <w:r w:rsidRPr="000F5D28">
        <w:rPr>
          <w:rFonts w:eastAsia="Batang"/>
          <w:color w:val="auto"/>
          <w:sz w:val="18"/>
          <w:szCs w:val="18"/>
          <w:lang w:val="el-GR" w:eastAsia="en-US"/>
        </w:rPr>
        <w:t xml:space="preserve">όγω </w:t>
      </w:r>
      <w:r w:rsidR="00B7134D" w:rsidRPr="000F5D28">
        <w:rPr>
          <w:rFonts w:eastAsia="Batang"/>
          <w:color w:val="auto"/>
          <w:sz w:val="18"/>
          <w:szCs w:val="18"/>
          <w:lang w:val="el-GR" w:eastAsia="en-US"/>
        </w:rPr>
        <w:t>της</w:t>
      </w:r>
      <w:r w:rsidR="000539D2" w:rsidRPr="000F5D28">
        <w:rPr>
          <w:rFonts w:eastAsia="Batang"/>
          <w:color w:val="auto"/>
          <w:sz w:val="18"/>
          <w:szCs w:val="18"/>
          <w:lang w:val="el-GR" w:eastAsia="en-US"/>
        </w:rPr>
        <w:t xml:space="preserve"> </w:t>
      </w:r>
      <w:r w:rsidR="005C248D" w:rsidRPr="000F5D28">
        <w:rPr>
          <w:rFonts w:eastAsia="Batang"/>
          <w:color w:val="auto"/>
          <w:sz w:val="18"/>
          <w:szCs w:val="18"/>
          <w:lang w:val="el-GR" w:eastAsia="en-US"/>
        </w:rPr>
        <w:t xml:space="preserve">αύξησης </w:t>
      </w:r>
      <w:r w:rsidR="00812E58" w:rsidRPr="000F5D28">
        <w:rPr>
          <w:rFonts w:eastAsia="Batang"/>
          <w:color w:val="auto"/>
          <w:sz w:val="18"/>
          <w:szCs w:val="18"/>
          <w:lang w:val="el-GR" w:eastAsia="en-US"/>
        </w:rPr>
        <w:t>στα</w:t>
      </w:r>
      <w:r w:rsidR="0031295D" w:rsidRPr="000F5D28">
        <w:rPr>
          <w:rFonts w:eastAsia="Batang"/>
          <w:color w:val="auto"/>
          <w:sz w:val="18"/>
          <w:szCs w:val="18"/>
          <w:lang w:val="el-GR" w:eastAsia="en-US"/>
        </w:rPr>
        <w:t xml:space="preserve"> </w:t>
      </w:r>
      <w:r w:rsidR="00D57F6E" w:rsidRPr="000F5D28">
        <w:rPr>
          <w:rFonts w:eastAsia="Batang"/>
          <w:color w:val="auto"/>
          <w:sz w:val="18"/>
          <w:szCs w:val="18"/>
          <w:lang w:val="el-GR" w:eastAsia="en-US"/>
        </w:rPr>
        <w:t xml:space="preserve">καθαρά </w:t>
      </w:r>
      <w:r w:rsidRPr="000F5D28">
        <w:rPr>
          <w:rFonts w:eastAsia="Batang"/>
          <w:color w:val="auto"/>
          <w:sz w:val="18"/>
          <w:szCs w:val="18"/>
          <w:lang w:val="el-GR" w:eastAsia="en-US"/>
        </w:rPr>
        <w:t xml:space="preserve"> έσοδα</w:t>
      </w:r>
      <w:r w:rsidR="00D57F6E" w:rsidRPr="000F5D28">
        <w:rPr>
          <w:rFonts w:eastAsia="Batang"/>
          <w:color w:val="auto"/>
          <w:sz w:val="18"/>
          <w:szCs w:val="18"/>
          <w:lang w:val="el-GR" w:eastAsia="en-US"/>
        </w:rPr>
        <w:t xml:space="preserve"> από τόκους</w:t>
      </w:r>
      <w:r w:rsidR="005C248D" w:rsidRPr="000F5D28">
        <w:rPr>
          <w:rFonts w:eastAsia="Batang"/>
          <w:color w:val="auto"/>
          <w:sz w:val="18"/>
          <w:szCs w:val="18"/>
          <w:lang w:val="el-GR" w:eastAsia="en-US"/>
        </w:rPr>
        <w:t xml:space="preserve"> </w:t>
      </w:r>
      <w:r w:rsidRPr="000F5D28">
        <w:rPr>
          <w:rFonts w:eastAsia="Batang"/>
          <w:color w:val="auto"/>
          <w:sz w:val="18"/>
          <w:szCs w:val="18"/>
          <w:lang w:val="el-GR" w:eastAsia="en-US"/>
        </w:rPr>
        <w:t>όπως επεξηγείται πιο πάνω.</w:t>
      </w:r>
      <w:r w:rsidR="005C248D" w:rsidRPr="000F5D28">
        <w:rPr>
          <w:rFonts w:eastAsia="Batang"/>
          <w:color w:val="auto"/>
          <w:sz w:val="18"/>
          <w:szCs w:val="18"/>
          <w:lang w:val="el-GR" w:eastAsia="en-US"/>
        </w:rPr>
        <w:t xml:space="preserve"> </w:t>
      </w:r>
      <w:r w:rsidR="00812E58" w:rsidRPr="007246A9">
        <w:rPr>
          <w:rFonts w:eastAsia="Batang"/>
          <w:color w:val="auto"/>
          <w:sz w:val="18"/>
          <w:szCs w:val="18"/>
          <w:lang w:val="el-GR" w:eastAsia="en-US"/>
        </w:rPr>
        <w:t xml:space="preserve">Τα συνολικά έσοδα </w:t>
      </w:r>
      <w:r w:rsidR="005C248D" w:rsidRPr="007246A9">
        <w:rPr>
          <w:rFonts w:eastAsia="Batang"/>
          <w:color w:val="auto"/>
          <w:sz w:val="18"/>
          <w:szCs w:val="18"/>
          <w:lang w:val="el-GR" w:eastAsia="en-US"/>
        </w:rPr>
        <w:t xml:space="preserve">για το </w:t>
      </w:r>
      <w:r w:rsidR="00EC334E" w:rsidRPr="007246A9">
        <w:rPr>
          <w:rFonts w:eastAsia="Batang"/>
          <w:color w:val="auto"/>
          <w:sz w:val="18"/>
          <w:szCs w:val="18"/>
          <w:lang w:val="el-GR" w:eastAsia="en-US"/>
        </w:rPr>
        <w:t xml:space="preserve">γ’ </w:t>
      </w:r>
      <w:r w:rsidR="005C248D" w:rsidRPr="007246A9">
        <w:rPr>
          <w:rFonts w:eastAsia="Batang"/>
          <w:color w:val="auto"/>
          <w:sz w:val="18"/>
          <w:szCs w:val="18"/>
          <w:lang w:val="el-GR" w:eastAsia="en-US"/>
        </w:rPr>
        <w:t xml:space="preserve">τρίμηνο 2024 ανήλθαν σε </w:t>
      </w:r>
      <w:r w:rsidR="005C248D" w:rsidRPr="000F5D28">
        <w:rPr>
          <w:rFonts w:eastAsia="Batang"/>
          <w:color w:val="auto"/>
          <w:sz w:val="18"/>
          <w:szCs w:val="18"/>
          <w:lang w:val="el-GR" w:eastAsia="en-US"/>
        </w:rPr>
        <w:t>€</w:t>
      </w:r>
      <w:r w:rsidR="000F5D28" w:rsidRPr="00502B4F">
        <w:rPr>
          <w:rFonts w:eastAsia="Times New Roman"/>
          <w:color w:val="auto"/>
          <w:sz w:val="18"/>
          <w:szCs w:val="20"/>
          <w:lang w:val="el-GR" w:eastAsia="el-GR"/>
        </w:rPr>
        <w:t xml:space="preserve">279 </w:t>
      </w:r>
      <w:r w:rsidR="005C248D" w:rsidRPr="000F5D28">
        <w:rPr>
          <w:rFonts w:eastAsia="Batang"/>
          <w:color w:val="auto"/>
          <w:sz w:val="18"/>
          <w:szCs w:val="18"/>
          <w:lang w:val="el-GR" w:eastAsia="en-US"/>
        </w:rPr>
        <w:t>εκατ</w:t>
      </w:r>
      <w:r w:rsidR="005C248D" w:rsidRPr="007246A9">
        <w:rPr>
          <w:rFonts w:eastAsia="Batang"/>
          <w:color w:val="auto"/>
          <w:sz w:val="18"/>
          <w:szCs w:val="18"/>
          <w:lang w:val="el-GR" w:eastAsia="en-US"/>
        </w:rPr>
        <w:t>., σε σύγκριση με €</w:t>
      </w:r>
      <w:r w:rsidR="00EC334E" w:rsidRPr="007246A9">
        <w:rPr>
          <w:rFonts w:eastAsia="Times New Roman"/>
          <w:color w:val="auto"/>
          <w:sz w:val="18"/>
          <w:szCs w:val="20"/>
          <w:lang w:val="el-GR" w:eastAsia="el-GR"/>
        </w:rPr>
        <w:t xml:space="preserve">273 </w:t>
      </w:r>
      <w:r w:rsidR="005C248D" w:rsidRPr="007246A9">
        <w:rPr>
          <w:rFonts w:eastAsia="Batang"/>
          <w:color w:val="auto"/>
          <w:sz w:val="18"/>
          <w:szCs w:val="18"/>
          <w:lang w:val="el-GR" w:eastAsia="en-US"/>
        </w:rPr>
        <w:t xml:space="preserve">εκατ. για το </w:t>
      </w:r>
      <w:r w:rsidR="00EC334E" w:rsidRPr="007246A9">
        <w:rPr>
          <w:rFonts w:eastAsia="Batang"/>
          <w:color w:val="auto"/>
          <w:sz w:val="18"/>
          <w:szCs w:val="18"/>
          <w:lang w:val="el-GR" w:eastAsia="en-US"/>
        </w:rPr>
        <w:t xml:space="preserve">β’ </w:t>
      </w:r>
      <w:r w:rsidR="005C248D" w:rsidRPr="007246A9">
        <w:rPr>
          <w:rFonts w:eastAsia="Batang"/>
          <w:color w:val="auto"/>
          <w:sz w:val="18"/>
          <w:szCs w:val="18"/>
          <w:lang w:val="el-GR" w:eastAsia="en-US"/>
        </w:rPr>
        <w:t>τρίμηνο 2024</w:t>
      </w:r>
      <w:r w:rsidR="000F5D28">
        <w:rPr>
          <w:rFonts w:eastAsia="Batang"/>
          <w:color w:val="auto"/>
          <w:sz w:val="18"/>
          <w:szCs w:val="18"/>
          <w:lang w:val="el-GR" w:eastAsia="en-US"/>
        </w:rPr>
        <w:t xml:space="preserve">, καθώς </w:t>
      </w:r>
      <w:r w:rsidR="00575BD0" w:rsidRPr="00575BD0">
        <w:rPr>
          <w:rFonts w:eastAsia="Batang"/>
          <w:color w:val="auto"/>
          <w:sz w:val="18"/>
          <w:szCs w:val="18"/>
          <w:lang w:val="el-GR" w:eastAsia="en-US"/>
        </w:rPr>
        <w:t>τα μη επιτοκιακά έσοδα</w:t>
      </w:r>
      <w:r w:rsidR="00575BD0">
        <w:rPr>
          <w:rFonts w:eastAsia="Batang"/>
          <w:color w:val="auto"/>
          <w:sz w:val="18"/>
          <w:szCs w:val="18"/>
          <w:lang w:val="el-GR" w:eastAsia="en-US"/>
        </w:rPr>
        <w:t xml:space="preserve"> ήταν αυξημένα σε τριμηνιαία βάση, ενώ τα καθαρά έσοδα από τόκους παρέμειναν σε παρόμοια επίπεδα, παρά την μείωση των επιτοκίων.</w:t>
      </w:r>
    </w:p>
    <w:p w14:paraId="2155D42E" w14:textId="77777777" w:rsidR="00575BD0" w:rsidRDefault="00575BD0" w:rsidP="00F26350">
      <w:pPr>
        <w:pStyle w:val="Default"/>
        <w:jc w:val="both"/>
        <w:rPr>
          <w:rFonts w:eastAsia="Batang"/>
          <w:color w:val="auto"/>
          <w:sz w:val="18"/>
          <w:szCs w:val="18"/>
          <w:lang w:val="el-GR" w:eastAsia="en-US"/>
        </w:rPr>
      </w:pPr>
    </w:p>
    <w:p w14:paraId="2634A4C9" w14:textId="77777777" w:rsidR="005C248D" w:rsidRPr="00D41B36" w:rsidRDefault="005C248D" w:rsidP="00F26350">
      <w:pPr>
        <w:pStyle w:val="Default"/>
        <w:jc w:val="both"/>
        <w:rPr>
          <w:rFonts w:eastAsia="Batang"/>
          <w:color w:val="auto"/>
          <w:sz w:val="18"/>
          <w:szCs w:val="18"/>
          <w:highlight w:val="yellow"/>
          <w:lang w:val="el-GR" w:eastAsia="en-US"/>
        </w:rPr>
      </w:pPr>
    </w:p>
    <w:p w14:paraId="27181B07" w14:textId="2B9C9D72" w:rsidR="00F808E7" w:rsidRDefault="00F808E7" w:rsidP="004953BA">
      <w:pPr>
        <w:spacing w:after="0" w:line="240" w:lineRule="auto"/>
        <w:rPr>
          <w:rFonts w:ascii="Arial" w:eastAsia="Batang" w:hAnsi="Arial" w:cs="Arial"/>
          <w:sz w:val="18"/>
          <w:szCs w:val="18"/>
          <w:highlight w:val="yellow"/>
          <w:lang w:val="el-GR" w:eastAsia="en-US"/>
        </w:rPr>
      </w:pPr>
    </w:p>
    <w:p w14:paraId="29DB607F" w14:textId="77777777" w:rsidR="000C593E" w:rsidRDefault="000C593E" w:rsidP="004953BA">
      <w:pPr>
        <w:spacing w:after="0" w:line="240" w:lineRule="auto"/>
        <w:rPr>
          <w:rFonts w:ascii="Arial" w:eastAsia="Batang" w:hAnsi="Arial" w:cs="Arial"/>
          <w:sz w:val="18"/>
          <w:szCs w:val="18"/>
          <w:highlight w:val="yellow"/>
          <w:lang w:val="el-GR" w:eastAsia="en-US"/>
        </w:rPr>
      </w:pPr>
    </w:p>
    <w:p w14:paraId="04FAB562" w14:textId="77777777" w:rsidR="000C593E" w:rsidRDefault="000C593E" w:rsidP="004953BA">
      <w:pPr>
        <w:spacing w:after="0" w:line="240" w:lineRule="auto"/>
        <w:rPr>
          <w:rFonts w:ascii="Arial" w:eastAsia="Batang" w:hAnsi="Arial" w:cs="Arial"/>
          <w:sz w:val="18"/>
          <w:szCs w:val="18"/>
          <w:highlight w:val="yellow"/>
          <w:lang w:val="el-GR" w:eastAsia="en-US"/>
        </w:rPr>
      </w:pPr>
    </w:p>
    <w:p w14:paraId="6FEE8827" w14:textId="77777777" w:rsidR="000C593E" w:rsidRDefault="000C593E" w:rsidP="004953BA">
      <w:pPr>
        <w:spacing w:after="0" w:line="240" w:lineRule="auto"/>
        <w:rPr>
          <w:rFonts w:ascii="Arial" w:eastAsia="Batang" w:hAnsi="Arial" w:cs="Arial"/>
          <w:sz w:val="18"/>
          <w:szCs w:val="18"/>
          <w:highlight w:val="yellow"/>
          <w:lang w:val="el-GR" w:eastAsia="en-US"/>
        </w:rPr>
      </w:pPr>
    </w:p>
    <w:p w14:paraId="4BE2D79B" w14:textId="77777777" w:rsidR="000C593E" w:rsidRDefault="000C593E" w:rsidP="004953BA">
      <w:pPr>
        <w:spacing w:after="0" w:line="240" w:lineRule="auto"/>
        <w:rPr>
          <w:rFonts w:ascii="Arial" w:eastAsia="Batang" w:hAnsi="Arial" w:cs="Arial"/>
          <w:sz w:val="18"/>
          <w:szCs w:val="18"/>
          <w:highlight w:val="yellow"/>
          <w:lang w:val="el-GR" w:eastAsia="en-US"/>
        </w:rPr>
      </w:pPr>
    </w:p>
    <w:p w14:paraId="38222F94" w14:textId="77777777" w:rsidR="000C593E" w:rsidRDefault="000C593E" w:rsidP="004953BA">
      <w:pPr>
        <w:spacing w:after="0" w:line="240" w:lineRule="auto"/>
        <w:rPr>
          <w:rFonts w:ascii="Arial" w:eastAsia="Batang" w:hAnsi="Arial" w:cs="Arial"/>
          <w:sz w:val="18"/>
          <w:szCs w:val="18"/>
          <w:highlight w:val="yellow"/>
          <w:lang w:val="el-GR" w:eastAsia="en-US"/>
        </w:rPr>
      </w:pPr>
    </w:p>
    <w:p w14:paraId="0863FC78" w14:textId="77777777" w:rsidR="000C593E" w:rsidRDefault="000C593E" w:rsidP="004953BA">
      <w:pPr>
        <w:spacing w:after="0" w:line="240" w:lineRule="auto"/>
        <w:rPr>
          <w:rFonts w:ascii="Arial" w:eastAsia="Batang" w:hAnsi="Arial" w:cs="Arial"/>
          <w:sz w:val="18"/>
          <w:szCs w:val="18"/>
          <w:highlight w:val="yellow"/>
          <w:lang w:val="el-GR" w:eastAsia="en-US"/>
        </w:rPr>
      </w:pPr>
    </w:p>
    <w:p w14:paraId="74546165" w14:textId="77777777" w:rsidR="000C593E" w:rsidRDefault="000C593E" w:rsidP="004953BA">
      <w:pPr>
        <w:spacing w:after="0" w:line="240" w:lineRule="auto"/>
        <w:rPr>
          <w:rFonts w:ascii="Arial" w:eastAsia="Batang" w:hAnsi="Arial" w:cs="Arial"/>
          <w:sz w:val="18"/>
          <w:szCs w:val="18"/>
          <w:highlight w:val="yellow"/>
          <w:lang w:val="el-GR" w:eastAsia="en-US"/>
        </w:rPr>
      </w:pPr>
    </w:p>
    <w:p w14:paraId="6ECAC4D4" w14:textId="77777777" w:rsidR="000C593E" w:rsidRDefault="000C593E" w:rsidP="004953BA">
      <w:pPr>
        <w:spacing w:after="0" w:line="240" w:lineRule="auto"/>
        <w:rPr>
          <w:rFonts w:ascii="Arial" w:eastAsia="Batang" w:hAnsi="Arial" w:cs="Arial"/>
          <w:sz w:val="18"/>
          <w:szCs w:val="18"/>
          <w:highlight w:val="yellow"/>
          <w:lang w:val="el-GR" w:eastAsia="en-US"/>
        </w:rPr>
      </w:pPr>
    </w:p>
    <w:p w14:paraId="5E439728" w14:textId="77777777" w:rsidR="00C44847" w:rsidRPr="00D41B36" w:rsidRDefault="00C44847" w:rsidP="004953BA">
      <w:pPr>
        <w:spacing w:after="0" w:line="240" w:lineRule="auto"/>
        <w:rPr>
          <w:rFonts w:ascii="Arial" w:eastAsia="Batang" w:hAnsi="Arial" w:cs="Arial"/>
          <w:sz w:val="18"/>
          <w:szCs w:val="18"/>
          <w:highlight w:val="yellow"/>
          <w:lang w:val="el-GR" w:eastAsia="en-US"/>
        </w:rPr>
      </w:pPr>
    </w:p>
    <w:p w14:paraId="0D9B7FCC" w14:textId="267B7B2B" w:rsidR="002A4C13" w:rsidRPr="007246A9" w:rsidRDefault="008E5F7F" w:rsidP="00653EE4">
      <w:pPr>
        <w:spacing w:after="0" w:line="240" w:lineRule="auto"/>
        <w:rPr>
          <w:rFonts w:ascii="Arial" w:hAnsi="Arial" w:cs="Arial"/>
          <w:b/>
          <w:bCs/>
          <w:color w:val="FF9900"/>
          <w:sz w:val="24"/>
          <w:szCs w:val="24"/>
          <w:lang w:val="el-GR"/>
        </w:rPr>
      </w:pPr>
      <w:r w:rsidRPr="007246A9">
        <w:rPr>
          <w:rFonts w:ascii="Arial" w:hAnsi="Arial" w:cs="Arial"/>
          <w:b/>
          <w:bCs/>
          <w:color w:val="FF9900"/>
          <w:sz w:val="24"/>
          <w:szCs w:val="24"/>
          <w:lang w:val="el-GR"/>
        </w:rPr>
        <w:lastRenderedPageBreak/>
        <w:t>Α</w:t>
      </w:r>
      <w:r w:rsidR="002A4C13" w:rsidRPr="007246A9">
        <w:rPr>
          <w:rFonts w:ascii="Arial" w:hAnsi="Arial" w:cs="Arial"/>
          <w:b/>
          <w:bCs/>
          <w:color w:val="FF9900"/>
          <w:sz w:val="24"/>
          <w:szCs w:val="24"/>
          <w:lang w:val="el-GR"/>
        </w:rPr>
        <w:t xml:space="preserve">.  Οικονομικά Αποτελέσματα Συγκροτήματος – Υποκείμενη Βάση </w:t>
      </w:r>
      <w:r w:rsidR="002A4C13" w:rsidRPr="007246A9">
        <w:rPr>
          <w:rFonts w:ascii="Arial" w:hAnsi="Arial" w:cs="Arial"/>
          <w:color w:val="FF9900"/>
          <w:sz w:val="24"/>
          <w:szCs w:val="24"/>
          <w:lang w:val="el-GR"/>
        </w:rPr>
        <w:t>(συνέχεια)</w:t>
      </w:r>
      <w:r w:rsidR="002A4C13" w:rsidRPr="007246A9">
        <w:rPr>
          <w:rFonts w:ascii="Arial" w:hAnsi="Arial" w:cs="Arial"/>
          <w:b/>
          <w:bCs/>
          <w:color w:val="FF9900"/>
          <w:sz w:val="24"/>
          <w:szCs w:val="24"/>
          <w:lang w:val="el-GR"/>
        </w:rPr>
        <w:t xml:space="preserve"> </w:t>
      </w:r>
    </w:p>
    <w:p w14:paraId="46A87E6F" w14:textId="5502F682" w:rsidR="00653EE4" w:rsidRPr="007246A9" w:rsidRDefault="00653EE4" w:rsidP="00653EE4">
      <w:pPr>
        <w:spacing w:after="0" w:line="240" w:lineRule="auto"/>
        <w:rPr>
          <w:rFonts w:ascii="Arial" w:hAnsi="Arial" w:cs="Arial"/>
          <w:b/>
          <w:bCs/>
          <w:color w:val="FF9900"/>
          <w:sz w:val="10"/>
          <w:szCs w:val="10"/>
          <w:lang w:val="el-GR"/>
        </w:rPr>
      </w:pPr>
    </w:p>
    <w:p w14:paraId="3F9670E3" w14:textId="711CD408" w:rsidR="002A4C13" w:rsidRPr="007246A9" w:rsidRDefault="008E5F7F" w:rsidP="00DB30A6">
      <w:pPr>
        <w:spacing w:after="0" w:line="360" w:lineRule="auto"/>
        <w:ind w:left="851" w:hanging="851"/>
        <w:rPr>
          <w:rFonts w:ascii="Arial" w:hAnsi="Arial" w:cs="Arial"/>
          <w:b/>
          <w:bCs/>
          <w:color w:val="FF9900"/>
          <w:sz w:val="23"/>
          <w:szCs w:val="23"/>
          <w:lang w:val="el-GR"/>
        </w:rPr>
      </w:pPr>
      <w:r w:rsidRPr="007246A9">
        <w:rPr>
          <w:rFonts w:ascii="Arial" w:hAnsi="Arial" w:cs="Arial"/>
          <w:b/>
          <w:bCs/>
          <w:color w:val="FF9900"/>
          <w:sz w:val="23"/>
          <w:szCs w:val="23"/>
          <w:lang w:val="el-GR"/>
        </w:rPr>
        <w:t>Α</w:t>
      </w:r>
      <w:r w:rsidR="002A4C13" w:rsidRPr="007246A9">
        <w:rPr>
          <w:rFonts w:ascii="Arial" w:hAnsi="Arial" w:cs="Arial"/>
          <w:b/>
          <w:bCs/>
          <w:color w:val="FF9900"/>
          <w:sz w:val="23"/>
          <w:szCs w:val="23"/>
          <w:lang w:val="el-GR"/>
        </w:rPr>
        <w:t>.</w:t>
      </w:r>
      <w:r w:rsidRPr="007246A9">
        <w:rPr>
          <w:rFonts w:ascii="Arial" w:hAnsi="Arial" w:cs="Arial"/>
          <w:b/>
          <w:bCs/>
          <w:color w:val="FF9900"/>
          <w:sz w:val="23"/>
          <w:szCs w:val="23"/>
          <w:lang w:val="el-GR"/>
        </w:rPr>
        <w:t>2</w:t>
      </w:r>
      <w:r w:rsidR="002A4C13" w:rsidRPr="007246A9">
        <w:rPr>
          <w:rFonts w:ascii="Arial" w:hAnsi="Arial" w:cs="Arial"/>
          <w:b/>
          <w:bCs/>
          <w:color w:val="FF9900"/>
          <w:sz w:val="23"/>
          <w:szCs w:val="23"/>
          <w:lang w:val="el-GR"/>
        </w:rPr>
        <w:t xml:space="preserve">. Ανάλυση Κατάστασης Λογαριασμού Αποτελεσμάτων </w:t>
      </w:r>
      <w:r w:rsidR="002A4C13" w:rsidRPr="007246A9">
        <w:rPr>
          <w:rFonts w:ascii="Arial" w:hAnsi="Arial" w:cs="Arial"/>
          <w:color w:val="FF9900"/>
          <w:sz w:val="24"/>
          <w:szCs w:val="24"/>
          <w:lang w:val="el-GR"/>
        </w:rPr>
        <w:t>(συνέχεια)</w:t>
      </w:r>
    </w:p>
    <w:p w14:paraId="027A3E0C" w14:textId="4DDB2B8A" w:rsidR="0078727B" w:rsidRPr="007246A9" w:rsidRDefault="008E5F7F" w:rsidP="004953BA">
      <w:pPr>
        <w:spacing w:after="0" w:line="240" w:lineRule="auto"/>
        <w:ind w:left="851" w:hanging="851"/>
        <w:rPr>
          <w:rFonts w:ascii="Arial" w:hAnsi="Arial" w:cs="Arial"/>
          <w:b/>
          <w:bCs/>
          <w:color w:val="FF9900"/>
          <w:lang w:val="el-GR"/>
        </w:rPr>
      </w:pPr>
      <w:r w:rsidRPr="007246A9">
        <w:rPr>
          <w:rFonts w:ascii="Arial" w:hAnsi="Arial" w:cs="Arial"/>
          <w:b/>
          <w:bCs/>
          <w:color w:val="FF9900"/>
          <w:lang w:val="el-GR"/>
        </w:rPr>
        <w:t>Α</w:t>
      </w:r>
      <w:r w:rsidR="00662EEA" w:rsidRPr="007246A9">
        <w:rPr>
          <w:rFonts w:ascii="Arial" w:hAnsi="Arial" w:cs="Arial"/>
          <w:b/>
          <w:bCs/>
          <w:color w:val="FF9900"/>
          <w:lang w:val="el-GR"/>
        </w:rPr>
        <w:t>.</w:t>
      </w:r>
      <w:r w:rsidRPr="007246A9">
        <w:rPr>
          <w:rFonts w:ascii="Arial" w:hAnsi="Arial" w:cs="Arial"/>
          <w:b/>
          <w:bCs/>
          <w:color w:val="FF9900"/>
          <w:lang w:val="el-GR"/>
        </w:rPr>
        <w:t>2</w:t>
      </w:r>
      <w:r w:rsidR="008043E9" w:rsidRPr="007246A9">
        <w:rPr>
          <w:rFonts w:ascii="Arial" w:hAnsi="Arial" w:cs="Arial"/>
          <w:b/>
          <w:bCs/>
          <w:color w:val="FF9900"/>
          <w:lang w:val="el-GR"/>
        </w:rPr>
        <w:t>.2</w:t>
      </w:r>
      <w:r w:rsidR="0078727B" w:rsidRPr="007246A9">
        <w:rPr>
          <w:rFonts w:ascii="Arial" w:hAnsi="Arial" w:cs="Arial"/>
          <w:b/>
          <w:bCs/>
          <w:color w:val="FF9900"/>
          <w:lang w:val="el-GR"/>
        </w:rPr>
        <w:t xml:space="preserve"> </w:t>
      </w:r>
      <w:r w:rsidR="003A3FF0" w:rsidRPr="007246A9">
        <w:rPr>
          <w:rFonts w:ascii="Arial" w:hAnsi="Arial" w:cs="Arial"/>
          <w:b/>
          <w:bCs/>
          <w:color w:val="FF9900"/>
          <w:lang w:val="el-GR"/>
        </w:rPr>
        <w:tab/>
      </w:r>
      <w:r w:rsidR="0078727B" w:rsidRPr="007246A9">
        <w:rPr>
          <w:rFonts w:ascii="Arial" w:hAnsi="Arial" w:cs="Arial"/>
          <w:b/>
          <w:bCs/>
          <w:color w:val="FF9900"/>
          <w:lang w:val="el-GR"/>
        </w:rPr>
        <w:t>Συνολικά Έξοδα</w:t>
      </w:r>
    </w:p>
    <w:tbl>
      <w:tblPr>
        <w:tblpPr w:leftFromText="180" w:rightFromText="180" w:vertAnchor="text" w:horzAnchor="margin" w:tblpXSpec="center" w:tblpY="384"/>
        <w:tblW w:w="10972" w:type="dxa"/>
        <w:tblLayout w:type="fixed"/>
        <w:tblCellMar>
          <w:left w:w="40" w:type="dxa"/>
          <w:right w:w="40" w:type="dxa"/>
        </w:tblCellMar>
        <w:tblLook w:val="0000" w:firstRow="0" w:lastRow="0" w:firstColumn="0" w:lastColumn="0" w:noHBand="0" w:noVBand="0"/>
      </w:tblPr>
      <w:tblGrid>
        <w:gridCol w:w="4848"/>
        <w:gridCol w:w="1137"/>
        <w:gridCol w:w="1098"/>
        <w:gridCol w:w="978"/>
        <w:gridCol w:w="17"/>
        <w:gridCol w:w="794"/>
        <w:gridCol w:w="57"/>
        <w:gridCol w:w="937"/>
        <w:gridCol w:w="55"/>
        <w:gridCol w:w="992"/>
        <w:gridCol w:w="59"/>
      </w:tblGrid>
      <w:tr w:rsidR="00452163" w:rsidRPr="00D41B36" w14:paraId="7A873395" w14:textId="77777777" w:rsidTr="00502B4F">
        <w:trPr>
          <w:trHeight w:val="333"/>
        </w:trPr>
        <w:tc>
          <w:tcPr>
            <w:tcW w:w="484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7C7514F" w14:textId="40D7D712" w:rsidR="00452163" w:rsidRPr="007246A9" w:rsidRDefault="00452163" w:rsidP="00452163">
            <w:pPr>
              <w:tabs>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bCs/>
                <w:sz w:val="18"/>
                <w:szCs w:val="18"/>
                <w:lang w:eastAsia="el-GR"/>
              </w:rPr>
            </w:pPr>
            <w:r w:rsidRPr="007246A9">
              <w:rPr>
                <w:rFonts w:ascii="Arial" w:hAnsi="Arial" w:cs="Arial"/>
                <w:b/>
                <w:bCs/>
                <w:sz w:val="18"/>
                <w:szCs w:val="18"/>
              </w:rPr>
              <w:t xml:space="preserve">€ </w:t>
            </w:r>
            <w:proofErr w:type="spellStart"/>
            <w:r w:rsidRPr="007246A9">
              <w:rPr>
                <w:rFonts w:ascii="Arial" w:hAnsi="Arial" w:cs="Arial"/>
                <w:b/>
                <w:bCs/>
                <w:sz w:val="18"/>
                <w:szCs w:val="18"/>
              </w:rPr>
              <w:t>εκ</w:t>
            </w:r>
            <w:proofErr w:type="spellEnd"/>
            <w:r w:rsidRPr="007246A9">
              <w:rPr>
                <w:rFonts w:ascii="Arial" w:hAnsi="Arial" w:cs="Arial"/>
                <w:b/>
                <w:bCs/>
                <w:sz w:val="18"/>
                <w:szCs w:val="18"/>
              </w:rPr>
              <w:t>ατ.</w:t>
            </w:r>
          </w:p>
        </w:tc>
        <w:tc>
          <w:tcPr>
            <w:tcW w:w="1137" w:type="dxa"/>
            <w:tcBorders>
              <w:top w:val="single" w:sz="4" w:space="0" w:color="808080" w:themeColor="background1" w:themeShade="80"/>
              <w:bottom w:val="single" w:sz="4" w:space="0" w:color="808080" w:themeColor="background1" w:themeShade="80"/>
            </w:tcBorders>
          </w:tcPr>
          <w:p w14:paraId="675FDE03" w14:textId="2D2ACADB" w:rsidR="00452163" w:rsidRPr="00D41B36" w:rsidRDefault="007A2F9B" w:rsidP="0045216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highlight w:val="yellow"/>
                <w:lang w:val="el-GR" w:eastAsia="el-GR"/>
              </w:rPr>
            </w:pPr>
            <w:r>
              <w:rPr>
                <w:rFonts w:ascii="Arial" w:hAnsi="Arial" w:cs="Arial"/>
                <w:b/>
                <w:bCs/>
                <w:sz w:val="16"/>
                <w:szCs w:val="16"/>
                <w:lang w:val="el-GR"/>
              </w:rPr>
              <w:t>Εννεάμηνο</w:t>
            </w:r>
            <w:r w:rsidR="00452163" w:rsidRPr="004127DF">
              <w:rPr>
                <w:rFonts w:ascii="Arial" w:hAnsi="Arial" w:cs="Arial"/>
                <w:b/>
                <w:bCs/>
                <w:sz w:val="16"/>
                <w:szCs w:val="16"/>
                <w:lang w:val="el-GR"/>
              </w:rPr>
              <w:t xml:space="preserve"> 2024</w:t>
            </w:r>
          </w:p>
        </w:tc>
        <w:tc>
          <w:tcPr>
            <w:tcW w:w="1098" w:type="dxa"/>
            <w:tcBorders>
              <w:top w:val="single" w:sz="4" w:space="0" w:color="808080" w:themeColor="background1" w:themeShade="80"/>
              <w:bottom w:val="single" w:sz="4" w:space="0" w:color="808080" w:themeColor="background1" w:themeShade="80"/>
            </w:tcBorders>
          </w:tcPr>
          <w:p w14:paraId="34873EF5" w14:textId="055CD8E7" w:rsidR="00452163" w:rsidRPr="00D41B36" w:rsidRDefault="007A2F9B" w:rsidP="0045216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highlight w:val="yellow"/>
                <w:lang w:eastAsia="el-GR"/>
              </w:rPr>
            </w:pPr>
            <w:r>
              <w:rPr>
                <w:rFonts w:ascii="Arial" w:hAnsi="Arial" w:cs="Arial"/>
                <w:b/>
                <w:bCs/>
                <w:sz w:val="16"/>
                <w:szCs w:val="16"/>
                <w:lang w:val="el-GR"/>
              </w:rPr>
              <w:t>Εννεάμηνο</w:t>
            </w:r>
            <w:r w:rsidR="00452163" w:rsidRPr="004127DF">
              <w:rPr>
                <w:rFonts w:ascii="Arial" w:hAnsi="Arial" w:cs="Arial"/>
                <w:b/>
                <w:bCs/>
                <w:sz w:val="16"/>
                <w:szCs w:val="16"/>
                <w:lang w:val="el-GR"/>
              </w:rPr>
              <w:t xml:space="preserve"> 2023</w:t>
            </w:r>
          </w:p>
        </w:tc>
        <w:tc>
          <w:tcPr>
            <w:tcW w:w="978" w:type="dxa"/>
            <w:tcBorders>
              <w:top w:val="single" w:sz="4" w:space="0" w:color="808080" w:themeColor="background1" w:themeShade="80"/>
              <w:bottom w:val="single" w:sz="4" w:space="0" w:color="808080" w:themeColor="background1" w:themeShade="80"/>
            </w:tcBorders>
          </w:tcPr>
          <w:p w14:paraId="6C8FCD76" w14:textId="77777777" w:rsidR="00452163" w:rsidRPr="004127D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lang w:val="el-GR" w:eastAsia="el-GR"/>
              </w:rPr>
            </w:pPr>
            <w:r w:rsidRPr="004127DF">
              <w:rPr>
                <w:rFonts w:ascii="Arial" w:eastAsia="Times New Roman" w:hAnsi="Arial" w:cs="Arial"/>
                <w:bCs/>
                <w:sz w:val="16"/>
                <w:szCs w:val="16"/>
                <w:lang w:val="el-GR" w:eastAsia="el-GR"/>
              </w:rPr>
              <w:t>Ετήσια μεταβολή</w:t>
            </w:r>
          </w:p>
          <w:p w14:paraId="4601A1C5" w14:textId="14FD46BA" w:rsidR="00452163" w:rsidRPr="00D41B36"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highlight w:val="yellow"/>
                <w:lang w:val="el-GR" w:eastAsia="el-GR"/>
              </w:rPr>
            </w:pPr>
            <w:r w:rsidRPr="004127DF">
              <w:rPr>
                <w:rFonts w:ascii="Arial" w:hAnsi="Arial" w:cs="Arial"/>
                <w:bCs/>
                <w:sz w:val="16"/>
                <w:szCs w:val="16"/>
                <w:u w:val="single"/>
              </w:rPr>
              <w:t>+</w:t>
            </w:r>
            <w:r w:rsidRPr="004127DF">
              <w:rPr>
                <w:rFonts w:ascii="Arial" w:hAnsi="Arial" w:cs="Arial"/>
                <w:bCs/>
                <w:sz w:val="16"/>
                <w:szCs w:val="16"/>
              </w:rPr>
              <w:t>%</w:t>
            </w:r>
          </w:p>
        </w:tc>
        <w:tc>
          <w:tcPr>
            <w:tcW w:w="811" w:type="dxa"/>
            <w:gridSpan w:val="2"/>
            <w:tcBorders>
              <w:top w:val="single" w:sz="4" w:space="0" w:color="808080" w:themeColor="background1" w:themeShade="80"/>
              <w:bottom w:val="single" w:sz="4" w:space="0" w:color="808080" w:themeColor="background1" w:themeShade="80"/>
            </w:tcBorders>
          </w:tcPr>
          <w:p w14:paraId="663BDCEE" w14:textId="33E4F7C5" w:rsidR="00452163" w:rsidRPr="00D41B36"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Lines="20" w:after="48"/>
              <w:ind w:right="23"/>
              <w:jc w:val="center"/>
              <w:rPr>
                <w:rFonts w:ascii="Arial" w:eastAsia="Times New Roman" w:hAnsi="Arial" w:cs="Arial"/>
                <w:bCs/>
                <w:sz w:val="18"/>
                <w:szCs w:val="18"/>
                <w:highlight w:val="yellow"/>
                <w:lang w:val="el-GR" w:eastAsia="el-GR"/>
              </w:rPr>
            </w:pPr>
            <w:r w:rsidRPr="004127DF">
              <w:rPr>
                <w:rFonts w:ascii="Arial" w:eastAsia="Times New Roman" w:hAnsi="Arial" w:cs="Arial"/>
                <w:b/>
                <w:bCs/>
                <w:sz w:val="16"/>
                <w:szCs w:val="16"/>
                <w:lang w:val="el-GR" w:eastAsia="el-GR"/>
              </w:rPr>
              <w:t>Γ’ τρίμηνο 2024</w:t>
            </w:r>
          </w:p>
        </w:tc>
        <w:tc>
          <w:tcPr>
            <w:tcW w:w="994" w:type="dxa"/>
            <w:gridSpan w:val="2"/>
            <w:tcBorders>
              <w:top w:val="single" w:sz="4" w:space="0" w:color="808080" w:themeColor="background1" w:themeShade="80"/>
              <w:bottom w:val="single" w:sz="4" w:space="0" w:color="808080" w:themeColor="background1" w:themeShade="80"/>
            </w:tcBorders>
          </w:tcPr>
          <w:p w14:paraId="7EB90D67" w14:textId="66655838" w:rsidR="00452163" w:rsidRPr="00D41B36"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ind w:left="241" w:right="23"/>
              <w:jc w:val="center"/>
              <w:rPr>
                <w:rFonts w:ascii="Arial" w:eastAsia="Times New Roman" w:hAnsi="Arial" w:cs="Arial"/>
                <w:bCs/>
                <w:sz w:val="18"/>
                <w:szCs w:val="18"/>
                <w:highlight w:val="yellow"/>
                <w:lang w:val="el-GR" w:eastAsia="el-GR"/>
              </w:rPr>
            </w:pPr>
            <w:r w:rsidRPr="004127DF">
              <w:rPr>
                <w:rFonts w:ascii="Arial" w:eastAsia="Times New Roman" w:hAnsi="Arial" w:cs="Arial"/>
                <w:b/>
                <w:bCs/>
                <w:sz w:val="16"/>
                <w:szCs w:val="16"/>
                <w:lang w:val="el-GR" w:eastAsia="el-GR"/>
              </w:rPr>
              <w:t>Β’ τρίμηνο 2024</w:t>
            </w:r>
          </w:p>
        </w:tc>
        <w:tc>
          <w:tcPr>
            <w:tcW w:w="1106"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4506DD" w14:textId="77777777" w:rsidR="00452163" w:rsidRPr="004127D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lang w:val="el-GR" w:eastAsia="el-GR"/>
              </w:rPr>
            </w:pPr>
            <w:r w:rsidRPr="004127DF">
              <w:rPr>
                <w:rFonts w:ascii="Arial" w:eastAsia="Times New Roman" w:hAnsi="Arial" w:cs="Arial"/>
                <w:bCs/>
                <w:sz w:val="16"/>
                <w:szCs w:val="16"/>
                <w:lang w:val="el-GR" w:eastAsia="el-GR"/>
              </w:rPr>
              <w:t>Τριμηνιαία μεταβολή</w:t>
            </w:r>
          </w:p>
          <w:p w14:paraId="1C441285" w14:textId="1A4ABE9D" w:rsidR="00452163" w:rsidRPr="00D41B36"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ind w:left="241" w:right="23"/>
              <w:jc w:val="center"/>
              <w:rPr>
                <w:rFonts w:ascii="Arial" w:eastAsia="Times New Roman" w:hAnsi="Arial" w:cs="Arial"/>
                <w:bCs/>
                <w:sz w:val="18"/>
                <w:szCs w:val="18"/>
                <w:highlight w:val="yellow"/>
                <w:lang w:eastAsia="el-GR"/>
              </w:rPr>
            </w:pPr>
            <w:r w:rsidRPr="004127DF">
              <w:rPr>
                <w:rFonts w:ascii="Arial" w:eastAsia="Times New Roman" w:hAnsi="Arial" w:cs="Arial"/>
                <w:bCs/>
                <w:sz w:val="16"/>
                <w:szCs w:val="16"/>
                <w:u w:val="single"/>
                <w:lang w:val="el-GR" w:eastAsia="el-GR"/>
              </w:rPr>
              <w:t>+</w:t>
            </w:r>
            <w:r w:rsidRPr="004127DF">
              <w:rPr>
                <w:rFonts w:ascii="Arial" w:eastAsia="Times New Roman" w:hAnsi="Arial" w:cs="Arial"/>
                <w:bCs/>
                <w:sz w:val="16"/>
                <w:szCs w:val="16"/>
                <w:lang w:val="el-GR" w:eastAsia="el-GR"/>
              </w:rPr>
              <w:t>%</w:t>
            </w:r>
          </w:p>
        </w:tc>
      </w:tr>
      <w:tr w:rsidR="00452163" w:rsidRPr="00D41B36" w14:paraId="15353D84" w14:textId="77777777" w:rsidTr="007246A9">
        <w:trPr>
          <w:gridAfter w:val="1"/>
          <w:wAfter w:w="59" w:type="dxa"/>
          <w:trHeight w:val="305"/>
        </w:trPr>
        <w:tc>
          <w:tcPr>
            <w:tcW w:w="4848" w:type="dxa"/>
            <w:tcBorders>
              <w:top w:val="single" w:sz="4" w:space="0" w:color="808080" w:themeColor="background1" w:themeShade="80"/>
            </w:tcBorders>
            <w:vAlign w:val="center"/>
          </w:tcPr>
          <w:p w14:paraId="2FD2CEF8" w14:textId="52BF97AC" w:rsidR="00452163" w:rsidRPr="007246A9" w:rsidRDefault="00452163" w:rsidP="00452163">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Cs/>
                <w:sz w:val="18"/>
                <w:szCs w:val="18"/>
                <w:lang w:eastAsia="el-GR"/>
              </w:rPr>
            </w:pPr>
            <w:proofErr w:type="spellStart"/>
            <w:r w:rsidRPr="007246A9">
              <w:rPr>
                <w:rFonts w:ascii="Arial" w:hAnsi="Arial" w:cs="Arial"/>
                <w:sz w:val="18"/>
                <w:szCs w:val="18"/>
              </w:rPr>
              <w:t>Κόστος</w:t>
            </w:r>
            <w:proofErr w:type="spellEnd"/>
            <w:r w:rsidRPr="007246A9">
              <w:rPr>
                <w:rFonts w:ascii="Arial" w:hAnsi="Arial" w:cs="Arial"/>
                <w:sz w:val="18"/>
                <w:szCs w:val="18"/>
              </w:rPr>
              <w:t xml:space="preserve"> π</w:t>
            </w:r>
            <w:proofErr w:type="spellStart"/>
            <w:r w:rsidRPr="007246A9">
              <w:rPr>
                <w:rFonts w:ascii="Arial" w:hAnsi="Arial" w:cs="Arial"/>
                <w:sz w:val="18"/>
                <w:szCs w:val="18"/>
              </w:rPr>
              <w:t>ροσω</w:t>
            </w:r>
            <w:proofErr w:type="spellEnd"/>
            <w:r w:rsidRPr="007246A9">
              <w:rPr>
                <w:rFonts w:ascii="Arial" w:hAnsi="Arial" w:cs="Arial"/>
                <w:sz w:val="18"/>
                <w:szCs w:val="18"/>
              </w:rPr>
              <w:t>πικού</w:t>
            </w:r>
          </w:p>
        </w:tc>
        <w:tc>
          <w:tcPr>
            <w:tcW w:w="1137" w:type="dxa"/>
            <w:tcBorders>
              <w:top w:val="single" w:sz="4" w:space="0" w:color="808080" w:themeColor="background1" w:themeShade="80"/>
            </w:tcBorders>
            <w:vAlign w:val="center"/>
          </w:tcPr>
          <w:p w14:paraId="7C921975" w14:textId="407F592A"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(151)</w:t>
            </w:r>
          </w:p>
        </w:tc>
        <w:tc>
          <w:tcPr>
            <w:tcW w:w="1098" w:type="dxa"/>
            <w:tcBorders>
              <w:top w:val="single" w:sz="4" w:space="0" w:color="808080" w:themeColor="background1" w:themeShade="80"/>
            </w:tcBorders>
            <w:vAlign w:val="center"/>
          </w:tcPr>
          <w:p w14:paraId="455AD30A" w14:textId="708C68B6"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(141)</w:t>
            </w:r>
          </w:p>
        </w:tc>
        <w:tc>
          <w:tcPr>
            <w:tcW w:w="995" w:type="dxa"/>
            <w:gridSpan w:val="2"/>
            <w:tcBorders>
              <w:top w:val="single" w:sz="4" w:space="0" w:color="808080" w:themeColor="background1" w:themeShade="80"/>
            </w:tcBorders>
            <w:vAlign w:val="center"/>
          </w:tcPr>
          <w:p w14:paraId="0E3AEDE5" w14:textId="559A00C2"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7%</w:t>
            </w:r>
          </w:p>
        </w:tc>
        <w:tc>
          <w:tcPr>
            <w:tcW w:w="851" w:type="dxa"/>
            <w:gridSpan w:val="2"/>
            <w:tcBorders>
              <w:top w:val="single" w:sz="4" w:space="0" w:color="808080" w:themeColor="background1" w:themeShade="80"/>
            </w:tcBorders>
            <w:vAlign w:val="center"/>
          </w:tcPr>
          <w:p w14:paraId="4BB31503" w14:textId="101BE906"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lang w:eastAsia="el-GR"/>
              </w:rPr>
            </w:pPr>
            <w:r w:rsidRPr="00502B4F">
              <w:rPr>
                <w:rFonts w:ascii="Arial" w:eastAsia="Times New Roman" w:hAnsi="Arial" w:cs="Arial"/>
                <w:sz w:val="16"/>
                <w:szCs w:val="16"/>
                <w:lang w:eastAsia="el-GR"/>
              </w:rPr>
              <w:t>(55)</w:t>
            </w:r>
          </w:p>
        </w:tc>
        <w:tc>
          <w:tcPr>
            <w:tcW w:w="992" w:type="dxa"/>
            <w:gridSpan w:val="2"/>
            <w:tcBorders>
              <w:top w:val="single" w:sz="4" w:space="0" w:color="808080" w:themeColor="background1" w:themeShade="80"/>
            </w:tcBorders>
            <w:vAlign w:val="center"/>
          </w:tcPr>
          <w:p w14:paraId="4FC6629D" w14:textId="19C736CA"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(48)</w:t>
            </w:r>
          </w:p>
        </w:tc>
        <w:tc>
          <w:tcPr>
            <w:tcW w:w="992" w:type="dxa"/>
            <w:tcBorders>
              <w:top w:val="single" w:sz="4" w:space="0" w:color="808080" w:themeColor="background1" w:themeShade="80"/>
            </w:tcBorders>
            <w:shd w:val="clear" w:color="auto" w:fill="auto"/>
            <w:vAlign w:val="center"/>
          </w:tcPr>
          <w:p w14:paraId="08C1FDE0" w14:textId="0A8DB249"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14%</w:t>
            </w:r>
          </w:p>
        </w:tc>
      </w:tr>
      <w:tr w:rsidR="00452163" w:rsidRPr="00D41B36" w14:paraId="21532B4B" w14:textId="77777777" w:rsidTr="007246A9">
        <w:trPr>
          <w:gridAfter w:val="1"/>
          <w:wAfter w:w="59" w:type="dxa"/>
          <w:trHeight w:val="305"/>
        </w:trPr>
        <w:tc>
          <w:tcPr>
            <w:tcW w:w="4848" w:type="dxa"/>
            <w:tcBorders>
              <w:bottom w:val="single" w:sz="4" w:space="0" w:color="808080" w:themeColor="background1" w:themeShade="80"/>
            </w:tcBorders>
            <w:vAlign w:val="center"/>
          </w:tcPr>
          <w:p w14:paraId="36859AD7" w14:textId="7E5ED075" w:rsidR="00452163" w:rsidRPr="007246A9" w:rsidRDefault="00452163" w:rsidP="00452163">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Cs/>
                <w:sz w:val="18"/>
                <w:szCs w:val="18"/>
                <w:lang w:eastAsia="el-GR"/>
              </w:rPr>
            </w:pPr>
            <w:r>
              <w:rPr>
                <w:rFonts w:ascii="Arial" w:hAnsi="Arial" w:cs="Arial"/>
                <w:sz w:val="18"/>
                <w:szCs w:val="18"/>
                <w:lang w:val="el-GR"/>
              </w:rPr>
              <w:t>Λοιπά</w:t>
            </w:r>
            <w:r w:rsidRPr="007246A9">
              <w:rPr>
                <w:rFonts w:ascii="Arial" w:hAnsi="Arial" w:cs="Arial"/>
                <w:sz w:val="18"/>
                <w:szCs w:val="18"/>
              </w:rPr>
              <w:t xml:space="preserve"> </w:t>
            </w:r>
            <w:proofErr w:type="spellStart"/>
            <w:r w:rsidRPr="007246A9">
              <w:rPr>
                <w:rFonts w:ascii="Arial" w:hAnsi="Arial" w:cs="Arial"/>
                <w:sz w:val="18"/>
                <w:szCs w:val="18"/>
              </w:rPr>
              <w:t>λειτουργικά</w:t>
            </w:r>
            <w:proofErr w:type="spellEnd"/>
            <w:r w:rsidRPr="007246A9">
              <w:rPr>
                <w:rFonts w:ascii="Arial" w:hAnsi="Arial" w:cs="Arial"/>
                <w:sz w:val="18"/>
                <w:szCs w:val="18"/>
              </w:rPr>
              <w:t xml:space="preserve"> </w:t>
            </w:r>
            <w:proofErr w:type="spellStart"/>
            <w:r w:rsidRPr="007246A9">
              <w:rPr>
                <w:rFonts w:ascii="Arial" w:hAnsi="Arial" w:cs="Arial"/>
                <w:sz w:val="18"/>
                <w:szCs w:val="18"/>
              </w:rPr>
              <w:t>έξοδ</w:t>
            </w:r>
            <w:proofErr w:type="spellEnd"/>
            <w:r w:rsidRPr="007246A9">
              <w:rPr>
                <w:rFonts w:ascii="Arial" w:hAnsi="Arial" w:cs="Arial"/>
                <w:sz w:val="18"/>
                <w:szCs w:val="18"/>
              </w:rPr>
              <w:t>α</w:t>
            </w:r>
          </w:p>
        </w:tc>
        <w:tc>
          <w:tcPr>
            <w:tcW w:w="1137" w:type="dxa"/>
            <w:tcBorders>
              <w:bottom w:val="single" w:sz="4" w:space="0" w:color="808080" w:themeColor="background1" w:themeShade="80"/>
            </w:tcBorders>
            <w:vAlign w:val="center"/>
          </w:tcPr>
          <w:p w14:paraId="4C809E32" w14:textId="78FD5842"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(115)</w:t>
            </w:r>
          </w:p>
        </w:tc>
        <w:tc>
          <w:tcPr>
            <w:tcW w:w="1098" w:type="dxa"/>
            <w:tcBorders>
              <w:bottom w:val="single" w:sz="4" w:space="0" w:color="808080" w:themeColor="background1" w:themeShade="80"/>
            </w:tcBorders>
            <w:vAlign w:val="center"/>
          </w:tcPr>
          <w:p w14:paraId="3E91F230" w14:textId="2A2FCF98"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(107)</w:t>
            </w:r>
          </w:p>
        </w:tc>
        <w:tc>
          <w:tcPr>
            <w:tcW w:w="995" w:type="dxa"/>
            <w:gridSpan w:val="2"/>
            <w:tcBorders>
              <w:bottom w:val="single" w:sz="4" w:space="0" w:color="808080" w:themeColor="background1" w:themeShade="80"/>
            </w:tcBorders>
            <w:vAlign w:val="center"/>
          </w:tcPr>
          <w:p w14:paraId="782F4259" w14:textId="073BB830"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8%</w:t>
            </w:r>
          </w:p>
        </w:tc>
        <w:tc>
          <w:tcPr>
            <w:tcW w:w="851" w:type="dxa"/>
            <w:gridSpan w:val="2"/>
            <w:tcBorders>
              <w:bottom w:val="single" w:sz="4" w:space="0" w:color="808080" w:themeColor="background1" w:themeShade="80"/>
            </w:tcBorders>
            <w:vAlign w:val="center"/>
          </w:tcPr>
          <w:p w14:paraId="3A806897" w14:textId="1915C53C"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lang w:eastAsia="el-GR"/>
              </w:rPr>
            </w:pPr>
            <w:r w:rsidRPr="00502B4F">
              <w:rPr>
                <w:rFonts w:ascii="Arial" w:eastAsia="Times New Roman" w:hAnsi="Arial" w:cs="Arial"/>
                <w:sz w:val="16"/>
                <w:szCs w:val="16"/>
                <w:lang w:eastAsia="el-GR"/>
              </w:rPr>
              <w:t>(44)</w:t>
            </w:r>
          </w:p>
        </w:tc>
        <w:tc>
          <w:tcPr>
            <w:tcW w:w="992" w:type="dxa"/>
            <w:gridSpan w:val="2"/>
            <w:tcBorders>
              <w:bottom w:val="single" w:sz="4" w:space="0" w:color="808080" w:themeColor="background1" w:themeShade="80"/>
            </w:tcBorders>
            <w:vAlign w:val="center"/>
          </w:tcPr>
          <w:p w14:paraId="2CEC1F46" w14:textId="733C4052" w:rsidR="00452163" w:rsidRPr="00502B4F" w:rsidDel="00027A6E"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(38)</w:t>
            </w:r>
          </w:p>
        </w:tc>
        <w:tc>
          <w:tcPr>
            <w:tcW w:w="992" w:type="dxa"/>
            <w:tcBorders>
              <w:bottom w:val="single" w:sz="4" w:space="0" w:color="808080" w:themeColor="background1" w:themeShade="80"/>
            </w:tcBorders>
            <w:shd w:val="clear" w:color="auto" w:fill="auto"/>
            <w:vAlign w:val="center"/>
          </w:tcPr>
          <w:p w14:paraId="797890AD" w14:textId="697C8C76"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14%</w:t>
            </w:r>
          </w:p>
        </w:tc>
      </w:tr>
      <w:tr w:rsidR="00452163" w:rsidRPr="00D41B36" w14:paraId="59C19C01" w14:textId="77777777" w:rsidTr="007246A9">
        <w:trPr>
          <w:gridAfter w:val="1"/>
          <w:wAfter w:w="59" w:type="dxa"/>
          <w:trHeight w:val="305"/>
        </w:trPr>
        <w:tc>
          <w:tcPr>
            <w:tcW w:w="484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EB0AC33" w14:textId="313C3F96" w:rsidR="00452163" w:rsidRPr="007246A9" w:rsidRDefault="00452163" w:rsidP="00452163">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bCs/>
                <w:sz w:val="18"/>
                <w:szCs w:val="18"/>
                <w:lang w:eastAsia="el-GR"/>
              </w:rPr>
            </w:pPr>
            <w:proofErr w:type="spellStart"/>
            <w:r w:rsidRPr="007246A9">
              <w:rPr>
                <w:rFonts w:ascii="Arial" w:hAnsi="Arial" w:cs="Arial"/>
                <w:b/>
                <w:bCs/>
                <w:sz w:val="18"/>
                <w:szCs w:val="18"/>
              </w:rPr>
              <w:t>Σύνολο</w:t>
            </w:r>
            <w:proofErr w:type="spellEnd"/>
            <w:r w:rsidRPr="007246A9">
              <w:rPr>
                <w:rFonts w:ascii="Arial" w:hAnsi="Arial" w:cs="Arial"/>
                <w:b/>
                <w:bCs/>
                <w:sz w:val="18"/>
                <w:szCs w:val="18"/>
              </w:rPr>
              <w:t xml:space="preserve"> </w:t>
            </w:r>
            <w:proofErr w:type="spellStart"/>
            <w:r w:rsidRPr="007246A9">
              <w:rPr>
                <w:rFonts w:ascii="Arial" w:hAnsi="Arial" w:cs="Arial"/>
                <w:b/>
                <w:bCs/>
                <w:sz w:val="18"/>
                <w:szCs w:val="18"/>
              </w:rPr>
              <w:t>λειτουργικών</w:t>
            </w:r>
            <w:proofErr w:type="spellEnd"/>
            <w:r w:rsidRPr="007246A9">
              <w:rPr>
                <w:rFonts w:ascii="Arial" w:hAnsi="Arial" w:cs="Arial"/>
                <w:b/>
                <w:bCs/>
                <w:sz w:val="18"/>
                <w:szCs w:val="18"/>
              </w:rPr>
              <w:t xml:space="preserve"> </w:t>
            </w:r>
            <w:proofErr w:type="spellStart"/>
            <w:r w:rsidRPr="007246A9">
              <w:rPr>
                <w:rFonts w:ascii="Arial" w:hAnsi="Arial" w:cs="Arial"/>
                <w:b/>
                <w:bCs/>
                <w:sz w:val="18"/>
                <w:szCs w:val="18"/>
              </w:rPr>
              <w:t>εξόδων</w:t>
            </w:r>
            <w:proofErr w:type="spellEnd"/>
          </w:p>
        </w:tc>
        <w:tc>
          <w:tcPr>
            <w:tcW w:w="1137" w:type="dxa"/>
            <w:tcBorders>
              <w:top w:val="single" w:sz="4" w:space="0" w:color="808080" w:themeColor="background1" w:themeShade="80"/>
              <w:bottom w:val="single" w:sz="4" w:space="0" w:color="808080" w:themeColor="background1" w:themeShade="80"/>
            </w:tcBorders>
            <w:vAlign w:val="center"/>
          </w:tcPr>
          <w:p w14:paraId="5D17AA10" w14:textId="6A2582AD"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6"/>
                <w:szCs w:val="16"/>
                <w:highlight w:val="yellow"/>
                <w:lang w:eastAsia="el-GR"/>
              </w:rPr>
            </w:pPr>
            <w:r w:rsidRPr="00502B4F">
              <w:rPr>
                <w:rFonts w:ascii="Arial" w:eastAsia="Times New Roman" w:hAnsi="Arial" w:cs="Arial"/>
                <w:b/>
                <w:bCs/>
                <w:sz w:val="16"/>
                <w:szCs w:val="16"/>
                <w:lang w:eastAsia="el-GR"/>
              </w:rPr>
              <w:t>(266)</w:t>
            </w:r>
          </w:p>
        </w:tc>
        <w:tc>
          <w:tcPr>
            <w:tcW w:w="1098" w:type="dxa"/>
            <w:tcBorders>
              <w:top w:val="single" w:sz="4" w:space="0" w:color="808080" w:themeColor="background1" w:themeShade="80"/>
              <w:bottom w:val="single" w:sz="4" w:space="0" w:color="808080" w:themeColor="background1" w:themeShade="80"/>
            </w:tcBorders>
            <w:vAlign w:val="center"/>
          </w:tcPr>
          <w:p w14:paraId="2ACACCBD" w14:textId="3C1311B2"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6"/>
                <w:szCs w:val="16"/>
                <w:highlight w:val="yellow"/>
                <w:lang w:eastAsia="el-GR"/>
              </w:rPr>
            </w:pPr>
            <w:r w:rsidRPr="00502B4F">
              <w:rPr>
                <w:rFonts w:ascii="Arial" w:eastAsia="Times New Roman" w:hAnsi="Arial" w:cs="Arial"/>
                <w:b/>
                <w:bCs/>
                <w:sz w:val="16"/>
                <w:szCs w:val="16"/>
                <w:lang w:eastAsia="el-GR"/>
              </w:rPr>
              <w:t>(248)</w:t>
            </w:r>
          </w:p>
        </w:tc>
        <w:tc>
          <w:tcPr>
            <w:tcW w:w="995" w:type="dxa"/>
            <w:gridSpan w:val="2"/>
            <w:tcBorders>
              <w:top w:val="single" w:sz="4" w:space="0" w:color="808080" w:themeColor="background1" w:themeShade="80"/>
              <w:bottom w:val="single" w:sz="4" w:space="0" w:color="808080" w:themeColor="background1" w:themeShade="80"/>
            </w:tcBorders>
            <w:vAlign w:val="center"/>
          </w:tcPr>
          <w:p w14:paraId="597C9E69" w14:textId="59138E34" w:rsidR="00452163" w:rsidRPr="00502B4F" w:rsidRDefault="001014D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6"/>
                <w:szCs w:val="16"/>
                <w:highlight w:val="yellow"/>
                <w:lang w:eastAsia="el-GR"/>
              </w:rPr>
            </w:pPr>
            <w:r>
              <w:rPr>
                <w:rFonts w:ascii="Arial" w:eastAsia="Times New Roman" w:hAnsi="Arial" w:cs="Arial"/>
                <w:b/>
                <w:bCs/>
                <w:sz w:val="16"/>
                <w:szCs w:val="16"/>
                <w:lang w:val="el-GR" w:eastAsia="el-GR"/>
              </w:rPr>
              <w:t>7</w:t>
            </w:r>
            <w:r w:rsidR="00452163" w:rsidRPr="00502B4F">
              <w:rPr>
                <w:rFonts w:ascii="Arial" w:eastAsia="Times New Roman" w:hAnsi="Arial" w:cs="Arial"/>
                <w:b/>
                <w:bCs/>
                <w:sz w:val="16"/>
                <w:szCs w:val="16"/>
                <w:lang w:eastAsia="el-GR"/>
              </w:rPr>
              <w:t>%</w:t>
            </w:r>
          </w:p>
        </w:tc>
        <w:tc>
          <w:tcPr>
            <w:tcW w:w="851" w:type="dxa"/>
            <w:gridSpan w:val="2"/>
            <w:tcBorders>
              <w:top w:val="single" w:sz="4" w:space="0" w:color="808080" w:themeColor="background1" w:themeShade="80"/>
              <w:bottom w:val="single" w:sz="4" w:space="0" w:color="808080" w:themeColor="background1" w:themeShade="80"/>
            </w:tcBorders>
            <w:vAlign w:val="center"/>
          </w:tcPr>
          <w:p w14:paraId="0C4534EC" w14:textId="4401EC3E"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6"/>
                <w:szCs w:val="16"/>
                <w:lang w:eastAsia="el-GR"/>
              </w:rPr>
            </w:pPr>
            <w:r w:rsidRPr="00502B4F">
              <w:rPr>
                <w:rFonts w:ascii="Arial" w:eastAsia="Times New Roman" w:hAnsi="Arial" w:cs="Arial"/>
                <w:b/>
                <w:bCs/>
                <w:sz w:val="16"/>
                <w:szCs w:val="16"/>
                <w:lang w:eastAsia="el-GR"/>
              </w:rPr>
              <w:t>(99)</w:t>
            </w:r>
          </w:p>
        </w:tc>
        <w:tc>
          <w:tcPr>
            <w:tcW w:w="992" w:type="dxa"/>
            <w:gridSpan w:val="2"/>
            <w:tcBorders>
              <w:top w:val="single" w:sz="4" w:space="0" w:color="808080" w:themeColor="background1" w:themeShade="80"/>
              <w:bottom w:val="single" w:sz="4" w:space="0" w:color="808080" w:themeColor="background1" w:themeShade="80"/>
            </w:tcBorders>
            <w:vAlign w:val="center"/>
          </w:tcPr>
          <w:p w14:paraId="2AACC3F4" w14:textId="18D0DD11"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b/>
                <w:bCs/>
                <w:sz w:val="16"/>
                <w:szCs w:val="16"/>
                <w:lang w:eastAsia="el-GR"/>
              </w:rPr>
              <w:t>(86)</w:t>
            </w:r>
          </w:p>
        </w:tc>
        <w:tc>
          <w:tcPr>
            <w:tcW w:w="99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E62FB9" w14:textId="1FBDA726"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b/>
                <w:bCs/>
                <w:sz w:val="16"/>
                <w:szCs w:val="16"/>
                <w:lang w:eastAsia="el-GR"/>
              </w:rPr>
              <w:t>14%</w:t>
            </w:r>
          </w:p>
        </w:tc>
      </w:tr>
      <w:tr w:rsidR="00452163" w:rsidRPr="00D41B36" w14:paraId="277CD411" w14:textId="77777777" w:rsidTr="007246A9">
        <w:trPr>
          <w:gridAfter w:val="1"/>
          <w:wAfter w:w="59" w:type="dxa"/>
          <w:trHeight w:val="305"/>
        </w:trPr>
        <w:tc>
          <w:tcPr>
            <w:tcW w:w="4848" w:type="dxa"/>
            <w:tcBorders>
              <w:top w:val="single" w:sz="4" w:space="0" w:color="808080" w:themeColor="background1" w:themeShade="80"/>
            </w:tcBorders>
            <w:vAlign w:val="center"/>
          </w:tcPr>
          <w:p w14:paraId="738ABD5C" w14:textId="60032B88" w:rsidR="00452163" w:rsidRPr="007246A9" w:rsidRDefault="00452163" w:rsidP="00452163">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Cs/>
                <w:sz w:val="18"/>
                <w:szCs w:val="18"/>
                <w:lang w:val="el-GR" w:eastAsia="el-GR"/>
              </w:rPr>
            </w:pPr>
            <w:bookmarkStart w:id="20" w:name="_Hlk149746261"/>
            <w:r w:rsidRPr="007246A9">
              <w:rPr>
                <w:rFonts w:ascii="Arial" w:hAnsi="Arial" w:cs="Arial"/>
                <w:sz w:val="18"/>
                <w:szCs w:val="18"/>
                <w:lang w:val="el-GR"/>
              </w:rPr>
              <w:t>Ειδικός φόρος επί των καταθέσεων και άλλα τέλη/εισφορές</w:t>
            </w:r>
          </w:p>
        </w:tc>
        <w:tc>
          <w:tcPr>
            <w:tcW w:w="1137" w:type="dxa"/>
            <w:tcBorders>
              <w:top w:val="single" w:sz="4" w:space="0" w:color="808080" w:themeColor="background1" w:themeShade="80"/>
            </w:tcBorders>
            <w:vAlign w:val="center"/>
          </w:tcPr>
          <w:p w14:paraId="190376A3" w14:textId="49C22BB4"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val="el-GR" w:eastAsia="el-GR"/>
              </w:rPr>
            </w:pPr>
            <w:r w:rsidRPr="00502B4F">
              <w:rPr>
                <w:rFonts w:ascii="Arial" w:eastAsia="Times New Roman" w:hAnsi="Arial" w:cs="Arial"/>
                <w:sz w:val="16"/>
                <w:szCs w:val="16"/>
                <w:lang w:eastAsia="el-GR"/>
              </w:rPr>
              <w:t>(26)</w:t>
            </w:r>
          </w:p>
        </w:tc>
        <w:tc>
          <w:tcPr>
            <w:tcW w:w="1098" w:type="dxa"/>
            <w:tcBorders>
              <w:top w:val="single" w:sz="4" w:space="0" w:color="808080" w:themeColor="background1" w:themeShade="80"/>
            </w:tcBorders>
            <w:vAlign w:val="center"/>
          </w:tcPr>
          <w:p w14:paraId="2C8F5AF3" w14:textId="39137C7F"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(30)</w:t>
            </w:r>
          </w:p>
        </w:tc>
        <w:tc>
          <w:tcPr>
            <w:tcW w:w="995" w:type="dxa"/>
            <w:gridSpan w:val="2"/>
            <w:tcBorders>
              <w:top w:val="single" w:sz="4" w:space="0" w:color="808080" w:themeColor="background1" w:themeShade="80"/>
            </w:tcBorders>
            <w:vAlign w:val="center"/>
          </w:tcPr>
          <w:p w14:paraId="5BE83969" w14:textId="02C567B0" w:rsidR="00452163" w:rsidRPr="00502B4F" w:rsidRDefault="00575BD0"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Pr>
                <w:rFonts w:ascii="Arial" w:eastAsia="Times New Roman" w:hAnsi="Arial" w:cs="Arial"/>
                <w:sz w:val="16"/>
                <w:szCs w:val="16"/>
                <w:lang w:val="el-GR" w:eastAsia="el-GR"/>
              </w:rPr>
              <w:t>-12</w:t>
            </w:r>
            <w:r w:rsidR="00452163" w:rsidRPr="00502B4F">
              <w:rPr>
                <w:rFonts w:ascii="Arial" w:eastAsia="Times New Roman" w:hAnsi="Arial" w:cs="Arial"/>
                <w:sz w:val="16"/>
                <w:szCs w:val="16"/>
                <w:lang w:eastAsia="el-GR"/>
              </w:rPr>
              <w:t>%</w:t>
            </w:r>
          </w:p>
        </w:tc>
        <w:tc>
          <w:tcPr>
            <w:tcW w:w="851" w:type="dxa"/>
            <w:gridSpan w:val="2"/>
            <w:tcBorders>
              <w:top w:val="single" w:sz="4" w:space="0" w:color="808080" w:themeColor="background1" w:themeShade="80"/>
            </w:tcBorders>
            <w:vAlign w:val="center"/>
          </w:tcPr>
          <w:p w14:paraId="223E3C23" w14:textId="66227738"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lang w:eastAsia="el-GR"/>
              </w:rPr>
            </w:pPr>
            <w:r w:rsidRPr="00502B4F">
              <w:rPr>
                <w:rFonts w:ascii="Arial" w:eastAsia="Times New Roman" w:hAnsi="Arial" w:cs="Arial"/>
                <w:sz w:val="16"/>
                <w:szCs w:val="16"/>
                <w:lang w:eastAsia="el-GR"/>
              </w:rPr>
              <w:t>(7)</w:t>
            </w:r>
          </w:p>
        </w:tc>
        <w:tc>
          <w:tcPr>
            <w:tcW w:w="992" w:type="dxa"/>
            <w:gridSpan w:val="2"/>
            <w:tcBorders>
              <w:top w:val="single" w:sz="4" w:space="0" w:color="808080" w:themeColor="background1" w:themeShade="80"/>
            </w:tcBorders>
            <w:vAlign w:val="center"/>
          </w:tcPr>
          <w:p w14:paraId="1C7AE28B" w14:textId="53447A88"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(8)</w:t>
            </w:r>
          </w:p>
        </w:tc>
        <w:tc>
          <w:tcPr>
            <w:tcW w:w="992" w:type="dxa"/>
            <w:tcBorders>
              <w:top w:val="single" w:sz="4" w:space="0" w:color="808080" w:themeColor="background1" w:themeShade="80"/>
            </w:tcBorders>
            <w:shd w:val="clear" w:color="auto" w:fill="auto"/>
            <w:vAlign w:val="center"/>
          </w:tcPr>
          <w:p w14:paraId="3151BAED" w14:textId="051D8F6C"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w:t>
            </w:r>
          </w:p>
        </w:tc>
      </w:tr>
      <w:bookmarkEnd w:id="20"/>
      <w:tr w:rsidR="00452163" w:rsidRPr="00D41B36" w14:paraId="01175C05" w14:textId="77777777" w:rsidTr="007246A9">
        <w:trPr>
          <w:gridAfter w:val="1"/>
          <w:wAfter w:w="59" w:type="dxa"/>
          <w:trHeight w:val="305"/>
        </w:trPr>
        <w:tc>
          <w:tcPr>
            <w:tcW w:w="484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AE04BF7" w14:textId="4B2C4711" w:rsidR="00452163" w:rsidRPr="007246A9" w:rsidRDefault="00452163" w:rsidP="00452163">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bCs/>
                <w:sz w:val="18"/>
                <w:szCs w:val="18"/>
                <w:lang w:eastAsia="el-GR"/>
              </w:rPr>
            </w:pPr>
            <w:proofErr w:type="spellStart"/>
            <w:r w:rsidRPr="007246A9">
              <w:rPr>
                <w:rFonts w:ascii="Arial" w:hAnsi="Arial" w:cs="Arial"/>
                <w:b/>
                <w:bCs/>
                <w:sz w:val="18"/>
                <w:szCs w:val="18"/>
              </w:rPr>
              <w:t>Σύνολο</w:t>
            </w:r>
            <w:proofErr w:type="spellEnd"/>
            <w:r w:rsidRPr="007246A9">
              <w:rPr>
                <w:rFonts w:ascii="Arial" w:hAnsi="Arial" w:cs="Arial"/>
                <w:b/>
                <w:bCs/>
                <w:sz w:val="18"/>
                <w:szCs w:val="18"/>
              </w:rPr>
              <w:t xml:space="preserve"> </w:t>
            </w:r>
            <w:proofErr w:type="spellStart"/>
            <w:r w:rsidRPr="007246A9">
              <w:rPr>
                <w:rFonts w:ascii="Arial" w:hAnsi="Arial" w:cs="Arial"/>
                <w:b/>
                <w:bCs/>
                <w:sz w:val="18"/>
                <w:szCs w:val="18"/>
              </w:rPr>
              <w:t>εξόδων</w:t>
            </w:r>
            <w:proofErr w:type="spellEnd"/>
          </w:p>
        </w:tc>
        <w:tc>
          <w:tcPr>
            <w:tcW w:w="1137" w:type="dxa"/>
            <w:tcBorders>
              <w:top w:val="single" w:sz="4" w:space="0" w:color="808080" w:themeColor="background1" w:themeShade="80"/>
              <w:bottom w:val="single" w:sz="4" w:space="0" w:color="808080" w:themeColor="background1" w:themeShade="80"/>
            </w:tcBorders>
            <w:vAlign w:val="center"/>
          </w:tcPr>
          <w:p w14:paraId="369599D6" w14:textId="20E15DD6"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6"/>
                <w:szCs w:val="16"/>
                <w:highlight w:val="yellow"/>
                <w:lang w:eastAsia="el-GR"/>
              </w:rPr>
            </w:pPr>
            <w:r w:rsidRPr="00502B4F">
              <w:rPr>
                <w:rFonts w:ascii="Arial" w:eastAsia="Times New Roman" w:hAnsi="Arial" w:cs="Arial"/>
                <w:b/>
                <w:bCs/>
                <w:sz w:val="16"/>
                <w:szCs w:val="16"/>
                <w:lang w:eastAsia="el-GR"/>
              </w:rPr>
              <w:t>(292)</w:t>
            </w:r>
          </w:p>
        </w:tc>
        <w:tc>
          <w:tcPr>
            <w:tcW w:w="1098" w:type="dxa"/>
            <w:tcBorders>
              <w:top w:val="single" w:sz="4" w:space="0" w:color="808080" w:themeColor="background1" w:themeShade="80"/>
              <w:bottom w:val="single" w:sz="4" w:space="0" w:color="808080" w:themeColor="background1" w:themeShade="80"/>
            </w:tcBorders>
            <w:vAlign w:val="center"/>
          </w:tcPr>
          <w:p w14:paraId="09CF40FD" w14:textId="00D9909F"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6"/>
                <w:szCs w:val="16"/>
                <w:highlight w:val="yellow"/>
                <w:lang w:eastAsia="el-GR"/>
              </w:rPr>
            </w:pPr>
            <w:r w:rsidRPr="00502B4F">
              <w:rPr>
                <w:rFonts w:ascii="Arial" w:eastAsia="Times New Roman" w:hAnsi="Arial" w:cs="Arial"/>
                <w:b/>
                <w:bCs/>
                <w:sz w:val="16"/>
                <w:szCs w:val="16"/>
                <w:lang w:val="en-US" w:eastAsia="el-GR"/>
              </w:rPr>
              <w:t>(278)</w:t>
            </w:r>
          </w:p>
        </w:tc>
        <w:tc>
          <w:tcPr>
            <w:tcW w:w="995" w:type="dxa"/>
            <w:gridSpan w:val="2"/>
            <w:tcBorders>
              <w:top w:val="single" w:sz="4" w:space="0" w:color="808080" w:themeColor="background1" w:themeShade="80"/>
              <w:bottom w:val="single" w:sz="4" w:space="0" w:color="808080" w:themeColor="background1" w:themeShade="80"/>
            </w:tcBorders>
            <w:vAlign w:val="center"/>
          </w:tcPr>
          <w:p w14:paraId="5797BAA3" w14:textId="358DC7E1"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6"/>
                <w:szCs w:val="16"/>
                <w:highlight w:val="yellow"/>
                <w:lang w:val="en-US" w:eastAsia="el-GR"/>
              </w:rPr>
            </w:pPr>
            <w:r w:rsidRPr="00502B4F">
              <w:rPr>
                <w:rFonts w:ascii="Arial" w:eastAsia="Times New Roman" w:hAnsi="Arial" w:cs="Arial"/>
                <w:b/>
                <w:bCs/>
                <w:sz w:val="16"/>
                <w:szCs w:val="16"/>
                <w:lang w:eastAsia="el-GR"/>
              </w:rPr>
              <w:t>5%</w:t>
            </w:r>
          </w:p>
        </w:tc>
        <w:tc>
          <w:tcPr>
            <w:tcW w:w="851" w:type="dxa"/>
            <w:gridSpan w:val="2"/>
            <w:tcBorders>
              <w:top w:val="single" w:sz="4" w:space="0" w:color="808080" w:themeColor="background1" w:themeShade="80"/>
              <w:bottom w:val="single" w:sz="4" w:space="0" w:color="808080" w:themeColor="background1" w:themeShade="80"/>
            </w:tcBorders>
            <w:vAlign w:val="center"/>
          </w:tcPr>
          <w:p w14:paraId="3859F9AD" w14:textId="1B39CB59"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6"/>
                <w:szCs w:val="16"/>
                <w:lang w:eastAsia="el-GR"/>
              </w:rPr>
            </w:pPr>
            <w:r w:rsidRPr="00502B4F">
              <w:rPr>
                <w:rFonts w:ascii="Arial" w:eastAsia="Times New Roman" w:hAnsi="Arial" w:cs="Arial"/>
                <w:b/>
                <w:bCs/>
                <w:sz w:val="16"/>
                <w:szCs w:val="16"/>
                <w:lang w:eastAsia="el-GR"/>
              </w:rPr>
              <w:t>(106)</w:t>
            </w:r>
          </w:p>
        </w:tc>
        <w:tc>
          <w:tcPr>
            <w:tcW w:w="992" w:type="dxa"/>
            <w:gridSpan w:val="2"/>
            <w:tcBorders>
              <w:top w:val="single" w:sz="4" w:space="0" w:color="808080" w:themeColor="background1" w:themeShade="80"/>
              <w:bottom w:val="single" w:sz="4" w:space="0" w:color="808080" w:themeColor="background1" w:themeShade="80"/>
            </w:tcBorders>
            <w:vAlign w:val="center"/>
          </w:tcPr>
          <w:p w14:paraId="6B0786E2" w14:textId="133AD4A6"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b/>
                <w:bCs/>
                <w:sz w:val="16"/>
                <w:szCs w:val="16"/>
                <w:lang w:eastAsia="el-GR"/>
              </w:rPr>
              <w:t>(94)</w:t>
            </w:r>
          </w:p>
        </w:tc>
        <w:tc>
          <w:tcPr>
            <w:tcW w:w="99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CE8D81" w14:textId="52FCAA70"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b/>
                <w:bCs/>
                <w:sz w:val="16"/>
                <w:szCs w:val="16"/>
                <w:lang w:eastAsia="el-GR"/>
              </w:rPr>
              <w:t>13%</w:t>
            </w:r>
          </w:p>
        </w:tc>
      </w:tr>
      <w:tr w:rsidR="00452163" w:rsidRPr="00D41B36" w14:paraId="1DB1415D" w14:textId="77777777" w:rsidTr="007246A9">
        <w:trPr>
          <w:gridAfter w:val="1"/>
          <w:wAfter w:w="59" w:type="dxa"/>
          <w:trHeight w:val="305"/>
        </w:trPr>
        <w:tc>
          <w:tcPr>
            <w:tcW w:w="484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831CA3C" w14:textId="1CA17309" w:rsidR="00452163" w:rsidRPr="007246A9" w:rsidRDefault="00452163" w:rsidP="00452163">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sz w:val="18"/>
                <w:szCs w:val="18"/>
                <w:lang w:eastAsia="el-GR"/>
              </w:rPr>
            </w:pPr>
            <w:proofErr w:type="spellStart"/>
            <w:r w:rsidRPr="007246A9">
              <w:rPr>
                <w:rFonts w:ascii="Arial" w:hAnsi="Arial" w:cs="Arial"/>
                <w:sz w:val="18"/>
                <w:szCs w:val="18"/>
              </w:rPr>
              <w:t>Δείκτης</w:t>
            </w:r>
            <w:proofErr w:type="spellEnd"/>
            <w:r w:rsidRPr="007246A9">
              <w:rPr>
                <w:rFonts w:ascii="Arial" w:hAnsi="Arial" w:cs="Arial"/>
                <w:sz w:val="18"/>
                <w:szCs w:val="18"/>
              </w:rPr>
              <w:t xml:space="preserve"> </w:t>
            </w:r>
            <w:proofErr w:type="spellStart"/>
            <w:r w:rsidRPr="007246A9">
              <w:rPr>
                <w:rFonts w:ascii="Arial" w:hAnsi="Arial" w:cs="Arial"/>
                <w:sz w:val="18"/>
                <w:szCs w:val="18"/>
              </w:rPr>
              <w:t>κόστος</w:t>
            </w:r>
            <w:proofErr w:type="spellEnd"/>
            <w:r w:rsidRPr="007246A9">
              <w:rPr>
                <w:rFonts w:ascii="Arial" w:hAnsi="Arial" w:cs="Arial"/>
                <w:sz w:val="18"/>
                <w:szCs w:val="18"/>
              </w:rPr>
              <w:t xml:space="preserve"> π</w:t>
            </w:r>
            <w:proofErr w:type="spellStart"/>
            <w:r w:rsidRPr="007246A9">
              <w:rPr>
                <w:rFonts w:ascii="Arial" w:hAnsi="Arial" w:cs="Arial"/>
                <w:sz w:val="18"/>
                <w:szCs w:val="18"/>
              </w:rPr>
              <w:t>ρος</w:t>
            </w:r>
            <w:proofErr w:type="spellEnd"/>
            <w:r w:rsidRPr="007246A9">
              <w:rPr>
                <w:rFonts w:ascii="Arial" w:hAnsi="Arial" w:cs="Arial"/>
                <w:sz w:val="18"/>
                <w:szCs w:val="18"/>
              </w:rPr>
              <w:t xml:space="preserve"> </w:t>
            </w:r>
            <w:proofErr w:type="spellStart"/>
            <w:r w:rsidRPr="007246A9">
              <w:rPr>
                <w:rFonts w:ascii="Arial" w:hAnsi="Arial" w:cs="Arial"/>
                <w:sz w:val="18"/>
                <w:szCs w:val="18"/>
              </w:rPr>
              <w:t>έσοδ</w:t>
            </w:r>
            <w:proofErr w:type="spellEnd"/>
            <w:r w:rsidRPr="007246A9">
              <w:rPr>
                <w:rFonts w:ascii="Arial" w:hAnsi="Arial" w:cs="Arial"/>
                <w:sz w:val="18"/>
                <w:szCs w:val="18"/>
              </w:rPr>
              <w:t>α</w:t>
            </w:r>
          </w:p>
        </w:tc>
        <w:tc>
          <w:tcPr>
            <w:tcW w:w="1137" w:type="dxa"/>
            <w:tcBorders>
              <w:top w:val="single" w:sz="4" w:space="0" w:color="808080" w:themeColor="background1" w:themeShade="80"/>
              <w:bottom w:val="single" w:sz="4" w:space="0" w:color="808080" w:themeColor="background1" w:themeShade="80"/>
            </w:tcBorders>
            <w:vAlign w:val="center"/>
          </w:tcPr>
          <w:p w14:paraId="172B838C" w14:textId="42236520"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6"/>
                <w:szCs w:val="16"/>
                <w:highlight w:val="yellow"/>
                <w:lang w:eastAsia="el-GR"/>
              </w:rPr>
            </w:pPr>
            <w:r w:rsidRPr="00502B4F">
              <w:rPr>
                <w:rFonts w:ascii="Arial" w:eastAsia="Times New Roman" w:hAnsi="Arial" w:cs="Arial"/>
                <w:sz w:val="16"/>
                <w:szCs w:val="16"/>
                <w:lang w:eastAsia="el-GR"/>
              </w:rPr>
              <w:t>35%</w:t>
            </w:r>
          </w:p>
        </w:tc>
        <w:tc>
          <w:tcPr>
            <w:tcW w:w="1098" w:type="dxa"/>
            <w:tcBorders>
              <w:top w:val="single" w:sz="4" w:space="0" w:color="808080" w:themeColor="background1" w:themeShade="80"/>
              <w:bottom w:val="single" w:sz="4" w:space="0" w:color="808080" w:themeColor="background1" w:themeShade="80"/>
            </w:tcBorders>
            <w:vAlign w:val="center"/>
          </w:tcPr>
          <w:p w14:paraId="29285643" w14:textId="62EB5FAE"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6"/>
                <w:szCs w:val="16"/>
                <w:highlight w:val="yellow"/>
                <w:lang w:eastAsia="el-GR"/>
              </w:rPr>
            </w:pPr>
            <w:r w:rsidRPr="00502B4F">
              <w:rPr>
                <w:rFonts w:ascii="Arial" w:hAnsi="Arial" w:cs="Arial"/>
                <w:sz w:val="16"/>
                <w:szCs w:val="16"/>
              </w:rPr>
              <w:t>35%</w:t>
            </w:r>
          </w:p>
        </w:tc>
        <w:tc>
          <w:tcPr>
            <w:tcW w:w="995" w:type="dxa"/>
            <w:gridSpan w:val="2"/>
            <w:tcBorders>
              <w:top w:val="single" w:sz="4" w:space="0" w:color="808080" w:themeColor="background1" w:themeShade="80"/>
              <w:bottom w:val="single" w:sz="4" w:space="0" w:color="808080" w:themeColor="background1" w:themeShade="80"/>
            </w:tcBorders>
            <w:vAlign w:val="center"/>
          </w:tcPr>
          <w:p w14:paraId="1206AF35" w14:textId="7AC274FE"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hAnsi="Arial" w:cs="Arial"/>
                <w:sz w:val="16"/>
                <w:szCs w:val="16"/>
                <w:highlight w:val="yellow"/>
              </w:rPr>
            </w:pPr>
            <w:r w:rsidRPr="00502B4F">
              <w:rPr>
                <w:rFonts w:ascii="Arial" w:eastAsia="Times New Roman" w:hAnsi="Arial" w:cs="Arial"/>
                <w:sz w:val="16"/>
                <w:szCs w:val="16"/>
                <w:lang w:eastAsia="el-GR"/>
              </w:rPr>
              <w:t>-</w:t>
            </w:r>
          </w:p>
        </w:tc>
        <w:tc>
          <w:tcPr>
            <w:tcW w:w="851" w:type="dxa"/>
            <w:gridSpan w:val="2"/>
            <w:tcBorders>
              <w:top w:val="single" w:sz="4" w:space="0" w:color="808080" w:themeColor="background1" w:themeShade="80"/>
              <w:bottom w:val="single" w:sz="4" w:space="0" w:color="808080" w:themeColor="background1" w:themeShade="80"/>
            </w:tcBorders>
            <w:vAlign w:val="center"/>
          </w:tcPr>
          <w:p w14:paraId="28158EE9" w14:textId="110F2BDD"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hAnsi="Arial" w:cs="Arial"/>
                <w:sz w:val="16"/>
                <w:szCs w:val="16"/>
              </w:rPr>
            </w:pPr>
            <w:r w:rsidRPr="00502B4F">
              <w:rPr>
                <w:rFonts w:ascii="Arial" w:eastAsia="Times New Roman" w:hAnsi="Arial" w:cs="Arial"/>
                <w:sz w:val="16"/>
                <w:szCs w:val="16"/>
                <w:lang w:eastAsia="el-GR"/>
              </w:rPr>
              <w:t>38%</w:t>
            </w:r>
          </w:p>
        </w:tc>
        <w:tc>
          <w:tcPr>
            <w:tcW w:w="992" w:type="dxa"/>
            <w:gridSpan w:val="2"/>
            <w:tcBorders>
              <w:top w:val="single" w:sz="4" w:space="0" w:color="808080" w:themeColor="background1" w:themeShade="80"/>
              <w:bottom w:val="single" w:sz="4" w:space="0" w:color="808080" w:themeColor="background1" w:themeShade="80"/>
            </w:tcBorders>
            <w:vAlign w:val="center"/>
          </w:tcPr>
          <w:p w14:paraId="66D87E4B" w14:textId="0E126CDE"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34%</w:t>
            </w:r>
          </w:p>
        </w:tc>
        <w:tc>
          <w:tcPr>
            <w:tcW w:w="99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71E029" w14:textId="50486049"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 xml:space="preserve">4 </w:t>
            </w:r>
            <w:r w:rsidRPr="00502B4F">
              <w:rPr>
                <w:rFonts w:ascii="Arial" w:eastAsia="Times New Roman" w:hAnsi="Arial" w:cs="Arial"/>
                <w:sz w:val="16"/>
                <w:szCs w:val="16"/>
                <w:lang w:val="el-GR" w:eastAsia="el-GR"/>
              </w:rPr>
              <w:t>ε</w:t>
            </w:r>
            <w:r w:rsidRPr="00502B4F">
              <w:rPr>
                <w:rFonts w:ascii="Arial" w:eastAsia="Times New Roman" w:hAnsi="Arial" w:cs="Arial"/>
                <w:sz w:val="16"/>
                <w:szCs w:val="16"/>
                <w:lang w:eastAsia="el-GR"/>
              </w:rPr>
              <w:t>.</w:t>
            </w:r>
            <w:r w:rsidRPr="00502B4F">
              <w:rPr>
                <w:rFonts w:ascii="Arial" w:eastAsia="Times New Roman" w:hAnsi="Arial" w:cs="Arial"/>
                <w:sz w:val="16"/>
                <w:szCs w:val="16"/>
                <w:lang w:val="el-GR" w:eastAsia="el-GR"/>
              </w:rPr>
              <w:t>μ</w:t>
            </w:r>
            <w:r w:rsidRPr="00502B4F">
              <w:rPr>
                <w:rFonts w:ascii="Arial" w:eastAsia="Times New Roman" w:hAnsi="Arial" w:cs="Arial"/>
                <w:sz w:val="16"/>
                <w:szCs w:val="16"/>
                <w:lang w:eastAsia="el-GR"/>
              </w:rPr>
              <w:t>.</w:t>
            </w:r>
          </w:p>
        </w:tc>
      </w:tr>
      <w:tr w:rsidR="00452163" w:rsidRPr="00D41B36" w14:paraId="0FB82CF9" w14:textId="77777777" w:rsidTr="007246A9">
        <w:trPr>
          <w:gridAfter w:val="1"/>
          <w:wAfter w:w="59" w:type="dxa"/>
          <w:trHeight w:val="305"/>
        </w:trPr>
        <w:tc>
          <w:tcPr>
            <w:tcW w:w="484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342556AA" w14:textId="47D3C9BE" w:rsidR="00452163" w:rsidRPr="007246A9" w:rsidRDefault="00452163" w:rsidP="00452163">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sz w:val="18"/>
                <w:szCs w:val="18"/>
                <w:lang w:val="el-GR" w:eastAsia="el-GR"/>
              </w:rPr>
            </w:pPr>
            <w:r w:rsidRPr="007246A9">
              <w:rPr>
                <w:rFonts w:ascii="Arial" w:hAnsi="Arial" w:cs="Arial"/>
                <w:sz w:val="18"/>
                <w:szCs w:val="18"/>
                <w:lang w:val="el-GR"/>
              </w:rPr>
              <w:t>Δείκτης κόστος προς έσοδα αναπροσαρμοσμένος για τον ειδικό φόρο επί των καταθέσεων και άλλα τέλη/εισφορές</w:t>
            </w:r>
          </w:p>
        </w:tc>
        <w:tc>
          <w:tcPr>
            <w:tcW w:w="1137" w:type="dxa"/>
            <w:tcBorders>
              <w:top w:val="single" w:sz="4" w:space="0" w:color="808080" w:themeColor="background1" w:themeShade="80"/>
              <w:bottom w:val="single" w:sz="4" w:space="0" w:color="808080" w:themeColor="background1" w:themeShade="80"/>
            </w:tcBorders>
            <w:vAlign w:val="center"/>
          </w:tcPr>
          <w:p w14:paraId="080A17E1" w14:textId="03A2C38A"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6"/>
                <w:szCs w:val="16"/>
                <w:highlight w:val="yellow"/>
                <w:lang w:val="el-GR" w:eastAsia="el-GR"/>
              </w:rPr>
            </w:pPr>
            <w:r w:rsidRPr="00502B4F">
              <w:rPr>
                <w:rFonts w:ascii="Arial" w:eastAsia="Times New Roman" w:hAnsi="Arial" w:cs="Arial"/>
                <w:sz w:val="16"/>
                <w:szCs w:val="16"/>
                <w:lang w:eastAsia="el-GR"/>
              </w:rPr>
              <w:t>32%</w:t>
            </w:r>
          </w:p>
        </w:tc>
        <w:tc>
          <w:tcPr>
            <w:tcW w:w="1098" w:type="dxa"/>
            <w:tcBorders>
              <w:top w:val="single" w:sz="4" w:space="0" w:color="808080" w:themeColor="background1" w:themeShade="80"/>
              <w:bottom w:val="single" w:sz="4" w:space="0" w:color="808080" w:themeColor="background1" w:themeShade="80"/>
            </w:tcBorders>
            <w:vAlign w:val="center"/>
          </w:tcPr>
          <w:p w14:paraId="177A9559" w14:textId="163431A5"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6"/>
                <w:szCs w:val="16"/>
                <w:highlight w:val="yellow"/>
                <w:lang w:eastAsia="el-GR"/>
              </w:rPr>
            </w:pPr>
            <w:r w:rsidRPr="00502B4F">
              <w:rPr>
                <w:rFonts w:ascii="Arial" w:hAnsi="Arial" w:cs="Arial"/>
                <w:sz w:val="16"/>
                <w:szCs w:val="16"/>
              </w:rPr>
              <w:t>31%</w:t>
            </w:r>
          </w:p>
        </w:tc>
        <w:tc>
          <w:tcPr>
            <w:tcW w:w="995" w:type="dxa"/>
            <w:gridSpan w:val="2"/>
            <w:tcBorders>
              <w:top w:val="single" w:sz="4" w:space="0" w:color="808080" w:themeColor="background1" w:themeShade="80"/>
              <w:bottom w:val="single" w:sz="4" w:space="0" w:color="808080" w:themeColor="background1" w:themeShade="80"/>
            </w:tcBorders>
            <w:vAlign w:val="center"/>
          </w:tcPr>
          <w:p w14:paraId="2AD74292" w14:textId="6B61365E"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hAnsi="Arial" w:cs="Arial"/>
                <w:sz w:val="16"/>
                <w:szCs w:val="16"/>
                <w:highlight w:val="yellow"/>
              </w:rPr>
            </w:pPr>
            <w:r w:rsidRPr="00502B4F">
              <w:rPr>
                <w:rFonts w:ascii="Arial" w:eastAsia="Times New Roman" w:hAnsi="Arial" w:cs="Arial"/>
                <w:sz w:val="16"/>
                <w:szCs w:val="16"/>
                <w:lang w:eastAsia="el-GR"/>
              </w:rPr>
              <w:t xml:space="preserve">1 </w:t>
            </w:r>
            <w:r w:rsidRPr="00502B4F">
              <w:rPr>
                <w:rFonts w:ascii="Arial" w:eastAsia="Times New Roman" w:hAnsi="Arial" w:cs="Arial"/>
                <w:sz w:val="16"/>
                <w:szCs w:val="16"/>
                <w:lang w:val="el-GR" w:eastAsia="el-GR"/>
              </w:rPr>
              <w:t>ε</w:t>
            </w:r>
            <w:r w:rsidRPr="00502B4F">
              <w:rPr>
                <w:rFonts w:ascii="Arial" w:eastAsia="Times New Roman" w:hAnsi="Arial" w:cs="Arial"/>
                <w:sz w:val="16"/>
                <w:szCs w:val="16"/>
                <w:lang w:eastAsia="el-GR"/>
              </w:rPr>
              <w:t>.</w:t>
            </w:r>
            <w:r w:rsidRPr="00502B4F">
              <w:rPr>
                <w:rFonts w:ascii="Arial" w:eastAsia="Times New Roman" w:hAnsi="Arial" w:cs="Arial"/>
                <w:sz w:val="16"/>
                <w:szCs w:val="16"/>
                <w:lang w:val="el-GR" w:eastAsia="el-GR"/>
              </w:rPr>
              <w:t>μ</w:t>
            </w:r>
            <w:r w:rsidRPr="00502B4F">
              <w:rPr>
                <w:rFonts w:ascii="Arial" w:eastAsia="Times New Roman" w:hAnsi="Arial" w:cs="Arial"/>
                <w:sz w:val="16"/>
                <w:szCs w:val="16"/>
                <w:lang w:eastAsia="el-GR"/>
              </w:rPr>
              <w:t>.</w:t>
            </w:r>
          </w:p>
        </w:tc>
        <w:tc>
          <w:tcPr>
            <w:tcW w:w="851" w:type="dxa"/>
            <w:gridSpan w:val="2"/>
            <w:tcBorders>
              <w:top w:val="single" w:sz="4" w:space="0" w:color="808080" w:themeColor="background1" w:themeShade="80"/>
              <w:bottom w:val="single" w:sz="4" w:space="0" w:color="808080" w:themeColor="background1" w:themeShade="80"/>
            </w:tcBorders>
            <w:vAlign w:val="center"/>
          </w:tcPr>
          <w:p w14:paraId="6423BD72" w14:textId="0B6FB388"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hAnsi="Arial" w:cs="Arial"/>
                <w:sz w:val="16"/>
                <w:szCs w:val="16"/>
              </w:rPr>
            </w:pPr>
            <w:r w:rsidRPr="00502B4F">
              <w:rPr>
                <w:rFonts w:ascii="Arial" w:eastAsia="Times New Roman" w:hAnsi="Arial" w:cs="Arial"/>
                <w:sz w:val="16"/>
                <w:szCs w:val="16"/>
                <w:lang w:eastAsia="el-GR"/>
              </w:rPr>
              <w:t>35%</w:t>
            </w:r>
          </w:p>
        </w:tc>
        <w:tc>
          <w:tcPr>
            <w:tcW w:w="992" w:type="dxa"/>
            <w:gridSpan w:val="2"/>
            <w:tcBorders>
              <w:top w:val="single" w:sz="4" w:space="0" w:color="808080" w:themeColor="background1" w:themeShade="80"/>
              <w:bottom w:val="single" w:sz="4" w:space="0" w:color="808080" w:themeColor="background1" w:themeShade="80"/>
            </w:tcBorders>
            <w:vAlign w:val="center"/>
          </w:tcPr>
          <w:p w14:paraId="5F5445BA" w14:textId="574713CA"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32%</w:t>
            </w:r>
          </w:p>
        </w:tc>
        <w:tc>
          <w:tcPr>
            <w:tcW w:w="99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03CC0F" w14:textId="2D228356" w:rsidR="00452163" w:rsidRPr="00502B4F" w:rsidRDefault="00452163" w:rsidP="00452163">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 xml:space="preserve">3 </w:t>
            </w:r>
            <w:r w:rsidRPr="00502B4F">
              <w:rPr>
                <w:rFonts w:ascii="Arial" w:eastAsia="Times New Roman" w:hAnsi="Arial" w:cs="Arial"/>
                <w:sz w:val="16"/>
                <w:szCs w:val="16"/>
                <w:lang w:val="el-GR" w:eastAsia="el-GR"/>
              </w:rPr>
              <w:t>ε</w:t>
            </w:r>
            <w:r w:rsidRPr="00502B4F">
              <w:rPr>
                <w:rFonts w:ascii="Arial" w:eastAsia="Times New Roman" w:hAnsi="Arial" w:cs="Arial"/>
                <w:sz w:val="16"/>
                <w:szCs w:val="16"/>
                <w:lang w:eastAsia="el-GR"/>
              </w:rPr>
              <w:t>.</w:t>
            </w:r>
            <w:r w:rsidRPr="00502B4F">
              <w:rPr>
                <w:rFonts w:ascii="Arial" w:eastAsia="Times New Roman" w:hAnsi="Arial" w:cs="Arial"/>
                <w:sz w:val="16"/>
                <w:szCs w:val="16"/>
                <w:lang w:val="el-GR" w:eastAsia="el-GR"/>
              </w:rPr>
              <w:t>μ</w:t>
            </w:r>
            <w:r w:rsidRPr="00502B4F">
              <w:rPr>
                <w:rFonts w:ascii="Arial" w:eastAsia="Times New Roman" w:hAnsi="Arial" w:cs="Arial"/>
                <w:sz w:val="16"/>
                <w:szCs w:val="16"/>
                <w:lang w:eastAsia="el-GR"/>
              </w:rPr>
              <w:t>.</w:t>
            </w:r>
          </w:p>
        </w:tc>
      </w:tr>
      <w:tr w:rsidR="00D115A5" w:rsidRPr="00910A4E" w14:paraId="56109160" w14:textId="77777777" w:rsidTr="007246A9">
        <w:trPr>
          <w:gridAfter w:val="1"/>
          <w:wAfter w:w="59" w:type="dxa"/>
          <w:trHeight w:val="70"/>
        </w:trPr>
        <w:tc>
          <w:tcPr>
            <w:tcW w:w="1091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765110" w14:textId="0642BCA1" w:rsidR="00D115A5" w:rsidRPr="007246A9" w:rsidRDefault="00D115A5" w:rsidP="002354D5">
            <w:pPr>
              <w:tabs>
                <w:tab w:val="left" w:pos="0"/>
                <w:tab w:val="left" w:pos="1416"/>
                <w:tab w:val="decimal" w:pos="4962"/>
                <w:tab w:val="decimal" w:pos="6521"/>
                <w:tab w:val="right" w:pos="7560"/>
                <w:tab w:val="decimal" w:pos="8220"/>
                <w:tab w:val="left" w:pos="8640"/>
                <w:tab w:val="right" w:pos="9000"/>
              </w:tabs>
              <w:suppressAutoHyphens/>
              <w:spacing w:after="0" w:line="240" w:lineRule="auto"/>
              <w:ind w:right="20"/>
              <w:rPr>
                <w:rFonts w:ascii="Arial" w:eastAsia="Times New Roman" w:hAnsi="Arial" w:cs="Arial"/>
                <w:sz w:val="18"/>
                <w:szCs w:val="18"/>
                <w:lang w:val="el-GR" w:eastAsia="el-GR"/>
              </w:rPr>
            </w:pPr>
            <w:proofErr w:type="spellStart"/>
            <w:r w:rsidRPr="007246A9">
              <w:rPr>
                <w:rFonts w:ascii="Arial" w:hAnsi="Arial" w:cs="Arial"/>
                <w:color w:val="000000" w:themeColor="text1"/>
                <w:sz w:val="14"/>
                <w:szCs w:val="14"/>
                <w:lang w:val="el-GR"/>
              </w:rPr>
              <w:t>Ε.μ</w:t>
            </w:r>
            <w:proofErr w:type="spellEnd"/>
            <w:r w:rsidRPr="007246A9">
              <w:rPr>
                <w:rFonts w:ascii="Arial" w:hAnsi="Arial" w:cs="Arial"/>
                <w:color w:val="000000" w:themeColor="text1"/>
                <w:sz w:val="14"/>
                <w:szCs w:val="14"/>
                <w:lang w:val="el-GR"/>
              </w:rPr>
              <w:t xml:space="preserve">. = εκατοστιαίες μονάδες, </w:t>
            </w:r>
            <w:proofErr w:type="spellStart"/>
            <w:r w:rsidRPr="007246A9">
              <w:rPr>
                <w:rFonts w:ascii="Arial" w:hAnsi="Arial" w:cs="Arial"/>
                <w:color w:val="000000" w:themeColor="text1"/>
                <w:sz w:val="14"/>
                <w:szCs w:val="14"/>
                <w:lang w:val="el-GR"/>
              </w:rPr>
              <w:t>μ.β</w:t>
            </w:r>
            <w:proofErr w:type="spellEnd"/>
            <w:r w:rsidRPr="007246A9">
              <w:rPr>
                <w:rFonts w:ascii="Arial" w:hAnsi="Arial" w:cs="Arial"/>
                <w:color w:val="000000" w:themeColor="text1"/>
                <w:sz w:val="14"/>
                <w:szCs w:val="14"/>
                <w:lang w:val="el-GR"/>
              </w:rPr>
              <w:t>.= μονάδες βάσης, 100 μονάδες βάσης = 1 εκατοστιαία μονάδα</w:t>
            </w:r>
          </w:p>
        </w:tc>
      </w:tr>
    </w:tbl>
    <w:p w14:paraId="1C68A9A5" w14:textId="77777777" w:rsidR="00B8620D" w:rsidRPr="00D41B36" w:rsidRDefault="00B8620D" w:rsidP="000C4E0F">
      <w:pPr>
        <w:spacing w:after="0" w:line="240" w:lineRule="auto"/>
        <w:rPr>
          <w:rFonts w:ascii="Arial" w:hAnsi="Arial" w:cs="Arial"/>
          <w:b/>
          <w:bCs/>
          <w:sz w:val="20"/>
          <w:szCs w:val="20"/>
          <w:highlight w:val="yellow"/>
          <w:lang w:val="el-GR"/>
        </w:rPr>
      </w:pPr>
    </w:p>
    <w:p w14:paraId="35C10B2B" w14:textId="77777777" w:rsidR="003F626D" w:rsidRPr="00D41B36" w:rsidRDefault="003F626D" w:rsidP="00BC4C32">
      <w:pPr>
        <w:spacing w:after="0" w:line="240" w:lineRule="auto"/>
        <w:jc w:val="both"/>
        <w:rPr>
          <w:rFonts w:ascii="Arial" w:eastAsia="Times New Roman" w:hAnsi="Arial" w:cs="Arial"/>
          <w:b/>
          <w:sz w:val="16"/>
          <w:szCs w:val="16"/>
          <w:highlight w:val="yellow"/>
          <w:lang w:val="el-GR" w:eastAsia="el-GR"/>
        </w:rPr>
      </w:pPr>
    </w:p>
    <w:p w14:paraId="61304E8C" w14:textId="4529D040" w:rsidR="0023522D" w:rsidRPr="00502B4F" w:rsidRDefault="00B71EE6" w:rsidP="00C002AC">
      <w:pPr>
        <w:spacing w:after="0" w:line="240" w:lineRule="auto"/>
        <w:jc w:val="both"/>
        <w:rPr>
          <w:rFonts w:ascii="Arial" w:eastAsia="Times New Roman" w:hAnsi="Arial" w:cs="Arial"/>
          <w:sz w:val="18"/>
          <w:szCs w:val="18"/>
          <w:lang w:val="el-GR" w:eastAsia="el-GR"/>
        </w:rPr>
      </w:pPr>
      <w:r w:rsidRPr="007246A9">
        <w:rPr>
          <w:rFonts w:ascii="Arial" w:eastAsia="Times New Roman" w:hAnsi="Arial" w:cs="Arial"/>
          <w:b/>
          <w:sz w:val="18"/>
          <w:szCs w:val="18"/>
          <w:lang w:val="el-GR" w:eastAsia="el-GR"/>
        </w:rPr>
        <w:t>Τα συνολικά έξοδα</w:t>
      </w:r>
      <w:r w:rsidRPr="007246A9">
        <w:rPr>
          <w:rFonts w:ascii="Arial" w:eastAsia="Times New Roman" w:hAnsi="Arial" w:cs="Arial"/>
          <w:sz w:val="18"/>
          <w:szCs w:val="18"/>
          <w:lang w:val="el-GR" w:eastAsia="el-GR"/>
        </w:rPr>
        <w:t xml:space="preserve"> για </w:t>
      </w:r>
      <w:r w:rsidR="004369F4" w:rsidRPr="00A96D90">
        <w:rPr>
          <w:rFonts w:ascii="Arial" w:eastAsia="Times New Roman" w:hAnsi="Arial" w:cs="Arial"/>
          <w:sz w:val="18"/>
          <w:szCs w:val="18"/>
          <w:lang w:val="el-GR" w:eastAsia="el-GR"/>
        </w:rPr>
        <w:t xml:space="preserve">το </w:t>
      </w:r>
      <w:r w:rsidR="007A2F9B">
        <w:rPr>
          <w:rFonts w:ascii="Arial" w:hAnsi="Arial" w:cs="Arial"/>
          <w:bCs/>
          <w:sz w:val="18"/>
          <w:szCs w:val="18"/>
          <w:lang w:val="el-GR"/>
        </w:rPr>
        <w:t>εννεάμηνο</w:t>
      </w:r>
      <w:r w:rsidR="001808E1" w:rsidRPr="00502B4F">
        <w:rPr>
          <w:rFonts w:ascii="Arial" w:hAnsi="Arial" w:cs="Arial"/>
          <w:bCs/>
          <w:sz w:val="18"/>
          <w:szCs w:val="18"/>
          <w:lang w:val="el-GR"/>
        </w:rPr>
        <w:t xml:space="preserve"> που έληξε στις 30 Σεπτεμβρίου</w:t>
      </w:r>
      <w:r w:rsidR="001808E1" w:rsidRPr="00A96D90">
        <w:rPr>
          <w:rFonts w:eastAsia="Batang"/>
          <w:sz w:val="18"/>
          <w:szCs w:val="18"/>
          <w:lang w:val="el-GR" w:eastAsia="en-US"/>
        </w:rPr>
        <w:t xml:space="preserve"> </w:t>
      </w:r>
      <w:r w:rsidR="00A7541E" w:rsidRPr="00A96D90">
        <w:rPr>
          <w:rFonts w:ascii="Arial" w:eastAsia="Times New Roman" w:hAnsi="Arial" w:cs="Arial"/>
          <w:sz w:val="18"/>
          <w:szCs w:val="18"/>
          <w:lang w:val="el-GR" w:eastAsia="el-GR"/>
        </w:rPr>
        <w:t>2024</w:t>
      </w:r>
      <w:r w:rsidR="00A7541E" w:rsidRPr="00A96D90">
        <w:rPr>
          <w:rFonts w:ascii="Arial" w:hAnsi="Arial" w:cs="Arial"/>
          <w:sz w:val="18"/>
          <w:szCs w:val="18"/>
          <w:lang w:val="el-GR"/>
        </w:rPr>
        <w:t xml:space="preserve"> </w:t>
      </w:r>
      <w:r w:rsidR="00A7541E" w:rsidRPr="00A96D90">
        <w:rPr>
          <w:rFonts w:ascii="Arial" w:eastAsia="Times New Roman" w:hAnsi="Arial" w:cs="Arial"/>
          <w:sz w:val="18"/>
          <w:szCs w:val="18"/>
          <w:lang w:val="el-GR" w:eastAsia="el-GR"/>
        </w:rPr>
        <w:t xml:space="preserve">ανήλθαν σε </w:t>
      </w:r>
      <w:r w:rsidR="00A7541E" w:rsidRPr="00A96D90">
        <w:rPr>
          <w:rFonts w:ascii="Arial" w:hAnsi="Arial" w:cs="Arial"/>
          <w:sz w:val="18"/>
          <w:szCs w:val="18"/>
          <w:lang w:val="el-GR" w:eastAsia="el-GR"/>
        </w:rPr>
        <w:t>€</w:t>
      </w:r>
      <w:r w:rsidR="00A96D90" w:rsidRPr="00502B4F">
        <w:rPr>
          <w:rFonts w:ascii="Arial" w:eastAsia="Times New Roman" w:hAnsi="Arial" w:cs="Arial"/>
          <w:sz w:val="18"/>
          <w:szCs w:val="20"/>
          <w:lang w:val="el-GR" w:eastAsia="el-GR"/>
        </w:rPr>
        <w:t xml:space="preserve">292 </w:t>
      </w:r>
      <w:r w:rsidR="00A7541E" w:rsidRPr="00A96D90">
        <w:rPr>
          <w:rFonts w:ascii="Arial" w:hAnsi="Arial" w:cs="Arial"/>
          <w:sz w:val="18"/>
          <w:szCs w:val="18"/>
          <w:lang w:val="el-GR" w:eastAsia="el-GR"/>
        </w:rPr>
        <w:t>εκατ. (σε σύγκριση με €</w:t>
      </w:r>
      <w:r w:rsidR="001808E1" w:rsidRPr="00A96D90">
        <w:rPr>
          <w:rFonts w:ascii="Arial" w:eastAsia="Times New Roman" w:hAnsi="Arial" w:cs="Arial"/>
          <w:sz w:val="18"/>
          <w:szCs w:val="20"/>
          <w:lang w:val="el-GR" w:eastAsia="el-GR"/>
        </w:rPr>
        <w:t xml:space="preserve">278 </w:t>
      </w:r>
      <w:r w:rsidR="00A7541E" w:rsidRPr="00A96D90">
        <w:rPr>
          <w:rFonts w:ascii="Arial" w:hAnsi="Arial" w:cs="Arial"/>
          <w:sz w:val="18"/>
          <w:szCs w:val="18"/>
          <w:lang w:val="el-GR" w:eastAsia="el-GR"/>
        </w:rPr>
        <w:t xml:space="preserve">εκατ. για </w:t>
      </w:r>
      <w:r w:rsidR="00A7541E" w:rsidRPr="00A96D90">
        <w:rPr>
          <w:rFonts w:ascii="Arial" w:eastAsia="Batang" w:hAnsi="Arial" w:cs="Arial"/>
          <w:sz w:val="18"/>
          <w:szCs w:val="18"/>
          <w:lang w:val="el-GR" w:eastAsia="en-US"/>
        </w:rPr>
        <w:t xml:space="preserve">το </w:t>
      </w:r>
      <w:r w:rsidR="001808E1" w:rsidRPr="00A96D90">
        <w:rPr>
          <w:rFonts w:ascii="Arial" w:eastAsia="Times New Roman" w:hAnsi="Arial" w:cs="Arial"/>
          <w:sz w:val="18"/>
          <w:szCs w:val="18"/>
          <w:lang w:val="el-GR" w:eastAsia="el-GR"/>
        </w:rPr>
        <w:t xml:space="preserve">αντίστοιχο </w:t>
      </w:r>
      <w:r w:rsidR="007A2F9B">
        <w:rPr>
          <w:rFonts w:ascii="Arial" w:eastAsia="Times New Roman" w:hAnsi="Arial" w:cs="Arial"/>
          <w:sz w:val="18"/>
          <w:szCs w:val="18"/>
          <w:lang w:val="el-GR" w:eastAsia="el-GR"/>
        </w:rPr>
        <w:t>εννεάμηνο</w:t>
      </w:r>
      <w:r w:rsidR="00A7541E" w:rsidRPr="00A96D90">
        <w:rPr>
          <w:rFonts w:ascii="Arial" w:eastAsia="Times New Roman" w:hAnsi="Arial" w:cs="Arial"/>
          <w:sz w:val="18"/>
          <w:szCs w:val="18"/>
          <w:lang w:val="el-GR" w:eastAsia="el-GR"/>
        </w:rPr>
        <w:t xml:space="preserve"> 2023, αυξημένα κατά </w:t>
      </w:r>
      <w:r w:rsidR="00A96D90" w:rsidRPr="00502B4F">
        <w:rPr>
          <w:rFonts w:ascii="Arial" w:eastAsia="Times New Roman" w:hAnsi="Arial" w:cs="Arial"/>
          <w:sz w:val="18"/>
          <w:szCs w:val="20"/>
          <w:lang w:val="el-GR" w:eastAsia="el-GR"/>
        </w:rPr>
        <w:t>5</w:t>
      </w:r>
      <w:r w:rsidR="00A7541E" w:rsidRPr="00A96D90">
        <w:rPr>
          <w:rFonts w:ascii="Arial" w:eastAsia="Times New Roman" w:hAnsi="Arial" w:cs="Arial"/>
          <w:sz w:val="18"/>
          <w:szCs w:val="18"/>
          <w:lang w:val="el-GR" w:eastAsia="el-GR"/>
        </w:rPr>
        <w:t>% σε ετήσια βάση)</w:t>
      </w:r>
      <w:r w:rsidR="00A7541E" w:rsidRPr="00A96D90">
        <w:rPr>
          <w:rFonts w:ascii="Arial" w:hAnsi="Arial" w:cs="Arial"/>
          <w:sz w:val="18"/>
          <w:szCs w:val="18"/>
          <w:lang w:val="el-GR" w:eastAsia="el-GR"/>
        </w:rPr>
        <w:t xml:space="preserve">, εκ των οποίων </w:t>
      </w:r>
      <w:r w:rsidR="00A96D90" w:rsidRPr="00502B4F">
        <w:rPr>
          <w:rFonts w:ascii="Arial" w:eastAsia="Times New Roman" w:hAnsi="Arial" w:cs="Arial"/>
          <w:sz w:val="18"/>
          <w:szCs w:val="18"/>
          <w:lang w:val="el-GR" w:eastAsia="el-GR"/>
        </w:rPr>
        <w:t>52</w:t>
      </w:r>
      <w:r w:rsidR="00A7541E" w:rsidRPr="00A96D90">
        <w:rPr>
          <w:rFonts w:ascii="Arial" w:hAnsi="Arial" w:cs="Arial"/>
          <w:sz w:val="18"/>
          <w:szCs w:val="18"/>
          <w:lang w:val="el-GR" w:eastAsia="el-GR"/>
        </w:rPr>
        <w:t>% αφορά το κόστος προσωπικού (€</w:t>
      </w:r>
      <w:r w:rsidR="00A96D90" w:rsidRPr="00502B4F">
        <w:rPr>
          <w:rFonts w:ascii="Arial" w:eastAsia="Times New Roman" w:hAnsi="Arial" w:cs="Arial"/>
          <w:sz w:val="18"/>
          <w:szCs w:val="20"/>
          <w:lang w:val="el-GR" w:eastAsia="el-GR"/>
        </w:rPr>
        <w:t xml:space="preserve">151 </w:t>
      </w:r>
      <w:r w:rsidR="00A7541E" w:rsidRPr="00A96D90">
        <w:rPr>
          <w:rFonts w:ascii="Arial" w:hAnsi="Arial" w:cs="Arial"/>
          <w:sz w:val="18"/>
          <w:szCs w:val="18"/>
          <w:lang w:val="el-GR" w:eastAsia="el-GR"/>
        </w:rPr>
        <w:t xml:space="preserve">εκατ.), </w:t>
      </w:r>
      <w:r w:rsidR="00A96D90" w:rsidRPr="00502B4F">
        <w:rPr>
          <w:rFonts w:ascii="Arial" w:eastAsia="Times New Roman" w:hAnsi="Arial" w:cs="Arial"/>
          <w:sz w:val="18"/>
          <w:szCs w:val="20"/>
          <w:lang w:val="el-GR" w:eastAsia="el-GR"/>
        </w:rPr>
        <w:t>39</w:t>
      </w:r>
      <w:r w:rsidR="00A7541E" w:rsidRPr="00A96D90">
        <w:rPr>
          <w:rFonts w:ascii="Arial" w:hAnsi="Arial" w:cs="Arial"/>
          <w:sz w:val="18"/>
          <w:szCs w:val="18"/>
          <w:lang w:val="el-GR" w:eastAsia="el-GR"/>
        </w:rPr>
        <w:t xml:space="preserve">% αφορά τα </w:t>
      </w:r>
      <w:r w:rsidR="00A5040B" w:rsidRPr="00A96D90">
        <w:rPr>
          <w:rFonts w:ascii="Arial" w:hAnsi="Arial" w:cs="Arial"/>
          <w:sz w:val="18"/>
          <w:szCs w:val="18"/>
          <w:lang w:val="el-GR" w:eastAsia="el-GR"/>
        </w:rPr>
        <w:t xml:space="preserve">λοιπά </w:t>
      </w:r>
      <w:r w:rsidR="00A7541E" w:rsidRPr="00A96D90">
        <w:rPr>
          <w:rFonts w:ascii="Arial" w:hAnsi="Arial" w:cs="Arial"/>
          <w:sz w:val="18"/>
          <w:szCs w:val="18"/>
          <w:lang w:val="el-GR" w:eastAsia="el-GR"/>
        </w:rPr>
        <w:t>λειτουργικά έξοδα (€</w:t>
      </w:r>
      <w:r w:rsidR="00A96D90" w:rsidRPr="00502B4F">
        <w:rPr>
          <w:rFonts w:ascii="Arial" w:eastAsia="Times New Roman" w:hAnsi="Arial" w:cs="Arial"/>
          <w:sz w:val="18"/>
          <w:szCs w:val="20"/>
          <w:lang w:val="el-GR" w:eastAsia="el-GR"/>
        </w:rPr>
        <w:t xml:space="preserve">115 </w:t>
      </w:r>
      <w:r w:rsidR="00A7541E" w:rsidRPr="00A96D90">
        <w:rPr>
          <w:rFonts w:ascii="Arial" w:hAnsi="Arial" w:cs="Arial"/>
          <w:sz w:val="18"/>
          <w:szCs w:val="18"/>
          <w:lang w:val="el-GR" w:eastAsia="el-GR"/>
        </w:rPr>
        <w:t xml:space="preserve">εκατ.) και </w:t>
      </w:r>
      <w:r w:rsidR="00A96D90" w:rsidRPr="00502B4F">
        <w:rPr>
          <w:rFonts w:ascii="Arial" w:eastAsia="Times New Roman" w:hAnsi="Arial" w:cs="Arial"/>
          <w:sz w:val="18"/>
          <w:szCs w:val="20"/>
          <w:lang w:val="el-GR" w:eastAsia="el-GR"/>
        </w:rPr>
        <w:t>9</w:t>
      </w:r>
      <w:r w:rsidR="00A7541E" w:rsidRPr="00A96D90">
        <w:rPr>
          <w:rFonts w:ascii="Arial" w:hAnsi="Arial" w:cs="Arial"/>
          <w:sz w:val="18"/>
          <w:szCs w:val="18"/>
          <w:lang w:val="el-GR" w:eastAsia="el-GR"/>
        </w:rPr>
        <w:t>% αφορά τον ειδικό φόρο επί των καταθέσεων και άλλα τέλη/εισφορές (€</w:t>
      </w:r>
      <w:r w:rsidR="00A96D90" w:rsidRPr="00502B4F">
        <w:rPr>
          <w:rFonts w:ascii="Arial" w:eastAsia="Times New Roman" w:hAnsi="Arial" w:cs="Arial"/>
          <w:sz w:val="18"/>
          <w:szCs w:val="20"/>
          <w:lang w:val="el-GR" w:eastAsia="el-GR"/>
        </w:rPr>
        <w:t xml:space="preserve">26 </w:t>
      </w:r>
      <w:r w:rsidR="00A7541E" w:rsidRPr="00A96D90">
        <w:rPr>
          <w:rFonts w:ascii="Arial" w:hAnsi="Arial" w:cs="Arial"/>
          <w:sz w:val="18"/>
          <w:szCs w:val="18"/>
          <w:lang w:val="el-GR" w:eastAsia="el-GR"/>
        </w:rPr>
        <w:t>εκατ.)</w:t>
      </w:r>
      <w:r w:rsidR="00A96D90" w:rsidRPr="00502B4F">
        <w:rPr>
          <w:rFonts w:ascii="Arial" w:hAnsi="Arial" w:cs="Arial"/>
          <w:sz w:val="18"/>
          <w:szCs w:val="18"/>
          <w:lang w:val="el-GR" w:eastAsia="el-GR"/>
        </w:rPr>
        <w:t xml:space="preserve">. </w:t>
      </w:r>
      <w:r w:rsidR="00A7541E" w:rsidRPr="00A96D90">
        <w:rPr>
          <w:rFonts w:ascii="Arial" w:eastAsia="Times New Roman" w:hAnsi="Arial" w:cs="Arial"/>
          <w:bCs/>
          <w:sz w:val="18"/>
          <w:szCs w:val="18"/>
          <w:lang w:val="el-GR" w:eastAsia="el-GR"/>
        </w:rPr>
        <w:t xml:space="preserve">Τα συνολικά έξοδα για το </w:t>
      </w:r>
      <w:r w:rsidR="001808E1" w:rsidRPr="00A96D90">
        <w:rPr>
          <w:rFonts w:ascii="Arial" w:eastAsia="Times New Roman" w:hAnsi="Arial" w:cs="Arial"/>
          <w:bCs/>
          <w:sz w:val="18"/>
          <w:szCs w:val="18"/>
          <w:lang w:val="el-GR" w:eastAsia="el-GR"/>
        </w:rPr>
        <w:t>γ</w:t>
      </w:r>
      <w:r w:rsidR="0023522D" w:rsidRPr="00A96D90">
        <w:rPr>
          <w:rFonts w:ascii="Arial" w:eastAsia="Times New Roman" w:hAnsi="Arial" w:cs="Arial"/>
          <w:sz w:val="18"/>
          <w:szCs w:val="18"/>
          <w:lang w:val="el-GR" w:eastAsia="el-GR"/>
        </w:rPr>
        <w:t>΄ τρίμηνο 2024</w:t>
      </w:r>
      <w:r w:rsidR="00F8557E" w:rsidRPr="00A96D90">
        <w:rPr>
          <w:rFonts w:ascii="Arial" w:hAnsi="Arial" w:cs="Arial"/>
          <w:sz w:val="18"/>
          <w:szCs w:val="18"/>
          <w:lang w:val="el-GR"/>
        </w:rPr>
        <w:t xml:space="preserve"> </w:t>
      </w:r>
      <w:r w:rsidRPr="00A96D90">
        <w:rPr>
          <w:rFonts w:ascii="Arial" w:eastAsia="Times New Roman" w:hAnsi="Arial" w:cs="Arial"/>
          <w:sz w:val="18"/>
          <w:szCs w:val="18"/>
          <w:lang w:val="el-GR" w:eastAsia="el-GR"/>
        </w:rPr>
        <w:t xml:space="preserve">ανήλθαν σε </w:t>
      </w:r>
      <w:r w:rsidRPr="00A96D90">
        <w:rPr>
          <w:rFonts w:ascii="Arial" w:hAnsi="Arial" w:cs="Arial"/>
          <w:sz w:val="18"/>
          <w:szCs w:val="18"/>
          <w:lang w:val="el-GR" w:eastAsia="el-GR"/>
        </w:rPr>
        <w:t>€</w:t>
      </w:r>
      <w:r w:rsidR="00A96D90" w:rsidRPr="00502B4F">
        <w:rPr>
          <w:rFonts w:ascii="Arial" w:eastAsia="Times New Roman" w:hAnsi="Arial" w:cs="Arial"/>
          <w:bCs/>
          <w:sz w:val="18"/>
          <w:szCs w:val="20"/>
          <w:lang w:val="el-GR" w:eastAsia="el-GR"/>
        </w:rPr>
        <w:t xml:space="preserve">106 </w:t>
      </w:r>
      <w:r w:rsidRPr="00A96D90">
        <w:rPr>
          <w:rFonts w:ascii="Arial" w:hAnsi="Arial" w:cs="Arial"/>
          <w:sz w:val="18"/>
          <w:szCs w:val="18"/>
          <w:lang w:val="el-GR" w:eastAsia="el-GR"/>
        </w:rPr>
        <w:t>εκατ. (σε σύγκριση με €</w:t>
      </w:r>
      <w:r w:rsidR="001808E1" w:rsidRPr="00A96D90">
        <w:rPr>
          <w:rFonts w:ascii="Arial" w:eastAsia="Times New Roman" w:hAnsi="Arial" w:cs="Arial"/>
          <w:bCs/>
          <w:sz w:val="18"/>
          <w:szCs w:val="20"/>
          <w:lang w:val="el-GR" w:eastAsia="el-GR"/>
        </w:rPr>
        <w:t xml:space="preserve">94 </w:t>
      </w:r>
      <w:r w:rsidRPr="00A96D90">
        <w:rPr>
          <w:rFonts w:ascii="Arial" w:hAnsi="Arial" w:cs="Arial"/>
          <w:sz w:val="18"/>
          <w:szCs w:val="18"/>
          <w:lang w:val="el-GR" w:eastAsia="el-GR"/>
        </w:rPr>
        <w:t xml:space="preserve">εκατ. </w:t>
      </w:r>
      <w:r w:rsidR="00F8557E" w:rsidRPr="00A96D90">
        <w:rPr>
          <w:rFonts w:ascii="Arial" w:hAnsi="Arial" w:cs="Arial"/>
          <w:sz w:val="18"/>
          <w:szCs w:val="18"/>
          <w:lang w:val="el-GR" w:eastAsia="el-GR"/>
        </w:rPr>
        <w:t xml:space="preserve">για </w:t>
      </w:r>
      <w:r w:rsidR="00F8557E" w:rsidRPr="00A96D90">
        <w:rPr>
          <w:rFonts w:ascii="Arial" w:eastAsia="Batang" w:hAnsi="Arial" w:cs="Arial"/>
          <w:sz w:val="18"/>
          <w:szCs w:val="18"/>
          <w:lang w:val="el-GR" w:eastAsia="en-US"/>
        </w:rPr>
        <w:t xml:space="preserve">το </w:t>
      </w:r>
      <w:r w:rsidR="001808E1" w:rsidRPr="00A96D90">
        <w:rPr>
          <w:rFonts w:ascii="Arial" w:eastAsia="Times New Roman" w:hAnsi="Arial" w:cs="Arial"/>
          <w:sz w:val="18"/>
          <w:szCs w:val="18"/>
          <w:lang w:val="el-GR" w:eastAsia="el-GR"/>
        </w:rPr>
        <w:t xml:space="preserve">β’ </w:t>
      </w:r>
      <w:r w:rsidR="0023522D" w:rsidRPr="00A96D90">
        <w:rPr>
          <w:rFonts w:ascii="Arial" w:eastAsia="Times New Roman" w:hAnsi="Arial" w:cs="Arial"/>
          <w:sz w:val="18"/>
          <w:szCs w:val="18"/>
          <w:lang w:val="el-GR" w:eastAsia="el-GR"/>
        </w:rPr>
        <w:t xml:space="preserve">τρίμηνο </w:t>
      </w:r>
      <w:r w:rsidR="00A7541E" w:rsidRPr="00A96D90">
        <w:rPr>
          <w:rFonts w:ascii="Arial" w:eastAsia="Times New Roman" w:hAnsi="Arial" w:cs="Arial"/>
          <w:sz w:val="18"/>
          <w:szCs w:val="18"/>
          <w:lang w:val="el-GR" w:eastAsia="el-GR"/>
        </w:rPr>
        <w:t>2024</w:t>
      </w:r>
      <w:r w:rsidRPr="00A96D90">
        <w:rPr>
          <w:rFonts w:ascii="Arial" w:eastAsia="Times New Roman" w:hAnsi="Arial" w:cs="Arial"/>
          <w:sz w:val="18"/>
          <w:szCs w:val="18"/>
          <w:lang w:val="el-GR" w:eastAsia="el-GR"/>
        </w:rPr>
        <w:t>,</w:t>
      </w:r>
      <w:r w:rsidR="008B1868" w:rsidRPr="00A96D90">
        <w:rPr>
          <w:rFonts w:ascii="Arial" w:eastAsia="Times New Roman" w:hAnsi="Arial" w:cs="Arial"/>
          <w:sz w:val="18"/>
          <w:szCs w:val="18"/>
          <w:lang w:val="el-GR" w:eastAsia="el-GR"/>
        </w:rPr>
        <w:t xml:space="preserve"> </w:t>
      </w:r>
      <w:r w:rsidR="00A7541E" w:rsidRPr="00A96D90">
        <w:rPr>
          <w:rFonts w:ascii="Arial" w:eastAsia="Times New Roman" w:hAnsi="Arial" w:cs="Arial"/>
          <w:sz w:val="18"/>
          <w:szCs w:val="18"/>
          <w:lang w:val="el-GR" w:eastAsia="el-GR"/>
        </w:rPr>
        <w:t>αυξημένα</w:t>
      </w:r>
      <w:r w:rsidR="0023522D" w:rsidRPr="00A96D90">
        <w:rPr>
          <w:rFonts w:ascii="Arial" w:eastAsia="Times New Roman" w:hAnsi="Arial" w:cs="Arial"/>
          <w:sz w:val="18"/>
          <w:szCs w:val="18"/>
          <w:lang w:val="el-GR" w:eastAsia="el-GR"/>
        </w:rPr>
        <w:t xml:space="preserve"> </w:t>
      </w:r>
      <w:r w:rsidR="00A265CD" w:rsidRPr="00A96D90">
        <w:rPr>
          <w:rFonts w:ascii="Arial" w:eastAsia="Times New Roman" w:hAnsi="Arial" w:cs="Arial"/>
          <w:sz w:val="18"/>
          <w:szCs w:val="18"/>
          <w:lang w:val="el-GR" w:eastAsia="el-GR"/>
        </w:rPr>
        <w:t xml:space="preserve">κατά </w:t>
      </w:r>
      <w:r w:rsidR="00A96D90" w:rsidRPr="00502B4F">
        <w:rPr>
          <w:rFonts w:ascii="Arial" w:eastAsia="Times New Roman" w:hAnsi="Arial" w:cs="Arial"/>
          <w:bCs/>
          <w:sz w:val="18"/>
          <w:szCs w:val="20"/>
          <w:lang w:val="el-GR" w:eastAsia="el-GR"/>
        </w:rPr>
        <w:t>13</w:t>
      </w:r>
      <w:r w:rsidR="00A265CD" w:rsidRPr="00A96D90">
        <w:rPr>
          <w:rFonts w:ascii="Arial" w:eastAsia="Times New Roman" w:hAnsi="Arial" w:cs="Arial"/>
          <w:sz w:val="18"/>
          <w:szCs w:val="18"/>
          <w:lang w:val="el-GR" w:eastAsia="el-GR"/>
        </w:rPr>
        <w:t>%</w:t>
      </w:r>
      <w:r w:rsidR="006C0410" w:rsidRPr="00A96D90">
        <w:rPr>
          <w:rFonts w:ascii="Arial" w:eastAsia="Times New Roman" w:hAnsi="Arial" w:cs="Arial"/>
          <w:sz w:val="18"/>
          <w:szCs w:val="18"/>
          <w:lang w:val="el-GR" w:eastAsia="el-GR"/>
        </w:rPr>
        <w:t xml:space="preserve"> </w:t>
      </w:r>
      <w:r w:rsidR="0023522D" w:rsidRPr="00A96D90">
        <w:rPr>
          <w:rFonts w:ascii="Arial" w:eastAsia="Times New Roman" w:hAnsi="Arial" w:cs="Arial"/>
          <w:sz w:val="18"/>
          <w:szCs w:val="18"/>
          <w:lang w:val="el-GR" w:eastAsia="el-GR"/>
        </w:rPr>
        <w:t>σε τριμηνιαία βάση</w:t>
      </w:r>
      <w:r w:rsidR="008B1868" w:rsidRPr="00A96D90">
        <w:rPr>
          <w:rFonts w:ascii="Arial" w:eastAsia="Times New Roman" w:hAnsi="Arial" w:cs="Arial"/>
          <w:sz w:val="18"/>
          <w:szCs w:val="18"/>
          <w:lang w:val="el-GR" w:eastAsia="el-GR"/>
        </w:rPr>
        <w:t>)</w:t>
      </w:r>
      <w:r w:rsidR="00A96D90" w:rsidRPr="00502B4F">
        <w:rPr>
          <w:rFonts w:ascii="Arial" w:eastAsia="Times New Roman" w:hAnsi="Arial" w:cs="Arial"/>
          <w:sz w:val="18"/>
          <w:szCs w:val="18"/>
          <w:lang w:val="el-GR" w:eastAsia="el-GR"/>
        </w:rPr>
        <w:t>.</w:t>
      </w:r>
      <w:r w:rsidR="00A96D90">
        <w:rPr>
          <w:rFonts w:ascii="Arial" w:eastAsia="Times New Roman" w:hAnsi="Arial" w:cs="Arial"/>
          <w:sz w:val="18"/>
          <w:szCs w:val="18"/>
          <w:lang w:val="el-GR" w:eastAsia="el-GR"/>
        </w:rPr>
        <w:t xml:space="preserve"> Τόσο η ετήσια, όσο και η τριμηνιαία αύξηση, οφείλεται στα υψηλότερα συνολικά λειτουργικά έξοδα (υψηλότερο κόστος προσωπικού και υψηλότερα</w:t>
      </w:r>
      <w:r w:rsidR="00575BD0">
        <w:rPr>
          <w:rFonts w:ascii="Arial" w:eastAsia="Times New Roman" w:hAnsi="Arial" w:cs="Arial"/>
          <w:sz w:val="18"/>
          <w:szCs w:val="18"/>
          <w:lang w:val="el-GR" w:eastAsia="el-GR"/>
        </w:rPr>
        <w:t xml:space="preserve"> λοιπά</w:t>
      </w:r>
      <w:r w:rsidR="00A96D90">
        <w:rPr>
          <w:rFonts w:ascii="Arial" w:eastAsia="Times New Roman" w:hAnsi="Arial" w:cs="Arial"/>
          <w:sz w:val="18"/>
          <w:szCs w:val="18"/>
          <w:lang w:val="el-GR" w:eastAsia="el-GR"/>
        </w:rPr>
        <w:t xml:space="preserve"> λειτουργικά έξοδα)</w:t>
      </w:r>
      <w:r w:rsidR="00575BD0">
        <w:rPr>
          <w:rFonts w:ascii="Arial" w:eastAsia="Times New Roman" w:hAnsi="Arial" w:cs="Arial"/>
          <w:sz w:val="18"/>
          <w:szCs w:val="18"/>
          <w:lang w:val="el-GR" w:eastAsia="el-GR"/>
        </w:rPr>
        <w:t>, επηρεασμέν</w:t>
      </w:r>
      <w:r w:rsidR="00573F10">
        <w:rPr>
          <w:rFonts w:ascii="Arial" w:eastAsia="Times New Roman" w:hAnsi="Arial" w:cs="Arial"/>
          <w:sz w:val="18"/>
          <w:szCs w:val="18"/>
          <w:lang w:val="el-GR" w:eastAsia="el-GR"/>
        </w:rPr>
        <w:t>η</w:t>
      </w:r>
      <w:r w:rsidR="00575BD0">
        <w:rPr>
          <w:rFonts w:ascii="Arial" w:eastAsia="Times New Roman" w:hAnsi="Arial" w:cs="Arial"/>
          <w:sz w:val="18"/>
          <w:szCs w:val="18"/>
          <w:lang w:val="el-GR" w:eastAsia="el-GR"/>
        </w:rPr>
        <w:t xml:space="preserve"> από το</w:t>
      </w:r>
      <w:r w:rsidR="00573F10">
        <w:rPr>
          <w:rFonts w:ascii="Arial" w:eastAsia="Times New Roman" w:hAnsi="Arial" w:cs="Arial"/>
          <w:sz w:val="18"/>
          <w:szCs w:val="18"/>
          <w:lang w:val="el-GR" w:eastAsia="el-GR"/>
        </w:rPr>
        <w:t>ν</w:t>
      </w:r>
      <w:r w:rsidR="00575BD0">
        <w:rPr>
          <w:rFonts w:ascii="Arial" w:eastAsia="Times New Roman" w:hAnsi="Arial" w:cs="Arial"/>
          <w:sz w:val="18"/>
          <w:szCs w:val="18"/>
          <w:lang w:val="el-GR" w:eastAsia="el-GR"/>
        </w:rPr>
        <w:t xml:space="preserve"> πληθωρισμό. </w:t>
      </w:r>
    </w:p>
    <w:p w14:paraId="50E9639D" w14:textId="29D532A6" w:rsidR="00B71EE6" w:rsidRPr="007246A9" w:rsidRDefault="00B71EE6" w:rsidP="00F26350">
      <w:pPr>
        <w:spacing w:after="0" w:line="240" w:lineRule="auto"/>
        <w:jc w:val="both"/>
        <w:rPr>
          <w:rFonts w:ascii="Arial" w:hAnsi="Arial" w:cs="Arial"/>
          <w:sz w:val="12"/>
          <w:szCs w:val="12"/>
          <w:lang w:val="el-GR" w:eastAsia="el-GR"/>
        </w:rPr>
      </w:pPr>
    </w:p>
    <w:p w14:paraId="634D4801" w14:textId="31A833B4" w:rsidR="00A7541E" w:rsidRPr="007246A9" w:rsidRDefault="00B71EE6" w:rsidP="00885409">
      <w:pPr>
        <w:spacing w:after="0" w:line="240" w:lineRule="auto"/>
        <w:jc w:val="both"/>
        <w:rPr>
          <w:rFonts w:ascii="Arial" w:hAnsi="Arial" w:cs="Arial"/>
          <w:sz w:val="18"/>
          <w:szCs w:val="18"/>
          <w:vertAlign w:val="superscript"/>
          <w:lang w:val="el-GR" w:eastAsia="el-GR"/>
        </w:rPr>
      </w:pPr>
      <w:r w:rsidRPr="00FE5238">
        <w:rPr>
          <w:rFonts w:ascii="Arial" w:hAnsi="Arial" w:cs="Arial"/>
          <w:b/>
          <w:bCs/>
          <w:sz w:val="18"/>
          <w:szCs w:val="18"/>
          <w:lang w:val="el-GR" w:eastAsia="el-GR"/>
        </w:rPr>
        <w:t xml:space="preserve">Το </w:t>
      </w:r>
      <w:r w:rsidR="00EC74C1" w:rsidRPr="00FE5238">
        <w:rPr>
          <w:rFonts w:ascii="Arial" w:hAnsi="Arial" w:cs="Arial"/>
          <w:b/>
          <w:bCs/>
          <w:sz w:val="18"/>
          <w:szCs w:val="18"/>
          <w:lang w:val="el-GR" w:eastAsia="el-GR"/>
        </w:rPr>
        <w:t>σ</w:t>
      </w:r>
      <w:r w:rsidRPr="00FE5238">
        <w:rPr>
          <w:rFonts w:ascii="Arial" w:hAnsi="Arial" w:cs="Arial"/>
          <w:b/>
          <w:bCs/>
          <w:sz w:val="18"/>
          <w:szCs w:val="18"/>
          <w:lang w:val="el-GR" w:eastAsia="el-GR"/>
        </w:rPr>
        <w:t>ύνολο λειτουργικών εξόδων</w:t>
      </w:r>
      <w:r w:rsidRPr="00FE5238">
        <w:rPr>
          <w:rFonts w:ascii="Arial" w:hAnsi="Arial" w:cs="Arial"/>
          <w:sz w:val="18"/>
          <w:szCs w:val="18"/>
          <w:lang w:val="el-GR" w:eastAsia="el-GR"/>
        </w:rPr>
        <w:t xml:space="preserve"> για </w:t>
      </w:r>
      <w:r w:rsidRPr="00FE5238">
        <w:rPr>
          <w:rFonts w:ascii="Arial" w:eastAsia="Times New Roman" w:hAnsi="Arial" w:cs="Arial"/>
          <w:sz w:val="18"/>
          <w:szCs w:val="20"/>
          <w:lang w:val="el-GR" w:eastAsia="el-GR"/>
        </w:rPr>
        <w:t>το</w:t>
      </w:r>
      <w:r w:rsidR="00C22DBE" w:rsidRPr="00FE5238">
        <w:rPr>
          <w:rFonts w:ascii="Arial" w:hAnsi="Arial" w:cs="Arial"/>
          <w:sz w:val="18"/>
          <w:szCs w:val="18"/>
          <w:vertAlign w:val="superscript"/>
          <w:lang w:val="el-GR" w:eastAsia="el-GR"/>
        </w:rPr>
        <w:t xml:space="preserve"> </w:t>
      </w:r>
      <w:r w:rsidR="007A2F9B">
        <w:rPr>
          <w:rFonts w:ascii="Arial" w:hAnsi="Arial" w:cs="Arial"/>
          <w:bCs/>
          <w:color w:val="000000" w:themeColor="text1"/>
          <w:sz w:val="18"/>
          <w:szCs w:val="18"/>
          <w:lang w:val="el-GR"/>
        </w:rPr>
        <w:t>εννεάμηνο</w:t>
      </w:r>
      <w:r w:rsidR="001808E1" w:rsidRPr="00FE5238">
        <w:rPr>
          <w:rFonts w:ascii="Arial" w:hAnsi="Arial" w:cs="Arial"/>
          <w:bCs/>
          <w:color w:val="000000" w:themeColor="text1"/>
          <w:sz w:val="18"/>
          <w:szCs w:val="18"/>
          <w:lang w:val="el-GR"/>
        </w:rPr>
        <w:t xml:space="preserve"> που έληξε στις 30 Σεπτεμβρίου</w:t>
      </w:r>
      <w:r w:rsidR="001808E1" w:rsidRPr="00FE5238">
        <w:rPr>
          <w:rFonts w:ascii="Arial" w:eastAsia="Times New Roman" w:hAnsi="Arial" w:cs="Arial"/>
          <w:sz w:val="18"/>
          <w:szCs w:val="18"/>
          <w:lang w:val="el-GR" w:eastAsia="el-GR"/>
        </w:rPr>
        <w:t xml:space="preserve"> </w:t>
      </w:r>
      <w:r w:rsidR="00A7541E" w:rsidRPr="00FE5238">
        <w:rPr>
          <w:rFonts w:ascii="Arial" w:eastAsia="Times New Roman" w:hAnsi="Arial" w:cs="Arial"/>
          <w:sz w:val="18"/>
          <w:szCs w:val="18"/>
          <w:lang w:val="el-GR" w:eastAsia="el-GR"/>
        </w:rPr>
        <w:t>2024</w:t>
      </w:r>
      <w:r w:rsidR="00A7541E" w:rsidRPr="00FE5238">
        <w:rPr>
          <w:rFonts w:ascii="Arial" w:hAnsi="Arial" w:cs="Arial"/>
          <w:sz w:val="18"/>
          <w:szCs w:val="18"/>
          <w:lang w:val="el-GR"/>
        </w:rPr>
        <w:t xml:space="preserve"> </w:t>
      </w:r>
      <w:r w:rsidR="00AF09DF" w:rsidRPr="00FE5238">
        <w:rPr>
          <w:rFonts w:ascii="Arial" w:eastAsia="Times New Roman" w:hAnsi="Arial" w:cs="Arial"/>
          <w:sz w:val="18"/>
          <w:szCs w:val="18"/>
          <w:lang w:val="el-GR" w:eastAsia="el-GR"/>
        </w:rPr>
        <w:t xml:space="preserve">ανήλθε </w:t>
      </w:r>
      <w:r w:rsidR="00A7541E" w:rsidRPr="00FE5238">
        <w:rPr>
          <w:rFonts w:ascii="Arial" w:eastAsia="Times New Roman" w:hAnsi="Arial" w:cs="Arial"/>
          <w:sz w:val="18"/>
          <w:szCs w:val="18"/>
          <w:lang w:val="el-GR" w:eastAsia="el-GR"/>
        </w:rPr>
        <w:t xml:space="preserve">σε </w:t>
      </w:r>
      <w:r w:rsidR="00A7541E" w:rsidRPr="00FE5238">
        <w:rPr>
          <w:rFonts w:ascii="Arial" w:hAnsi="Arial" w:cs="Arial"/>
          <w:sz w:val="18"/>
          <w:szCs w:val="18"/>
          <w:lang w:val="el-GR" w:eastAsia="el-GR"/>
        </w:rPr>
        <w:t>€</w:t>
      </w:r>
      <w:r w:rsidR="00FE5238" w:rsidRPr="00502B4F">
        <w:rPr>
          <w:rFonts w:ascii="Arial" w:eastAsia="Times New Roman" w:hAnsi="Arial" w:cs="Arial"/>
          <w:sz w:val="18"/>
          <w:szCs w:val="20"/>
          <w:lang w:val="el-GR" w:eastAsia="el-GR"/>
        </w:rPr>
        <w:t>266</w:t>
      </w:r>
      <w:r w:rsidR="00FE5238" w:rsidRPr="00FE5238">
        <w:rPr>
          <w:rFonts w:ascii="Arial" w:eastAsia="Times New Roman" w:hAnsi="Arial" w:cs="Arial"/>
          <w:sz w:val="18"/>
          <w:szCs w:val="20"/>
          <w:lang w:val="el-GR" w:eastAsia="el-GR"/>
        </w:rPr>
        <w:t xml:space="preserve"> </w:t>
      </w:r>
      <w:r w:rsidR="00A7541E" w:rsidRPr="00FE5238">
        <w:rPr>
          <w:rFonts w:ascii="Arial" w:hAnsi="Arial" w:cs="Arial"/>
          <w:sz w:val="18"/>
          <w:szCs w:val="18"/>
          <w:lang w:val="el-GR" w:eastAsia="el-GR"/>
        </w:rPr>
        <w:t>εκατ.</w:t>
      </w:r>
      <w:r w:rsidR="00FE5238">
        <w:rPr>
          <w:rFonts w:ascii="Arial" w:hAnsi="Arial" w:cs="Arial"/>
          <w:sz w:val="18"/>
          <w:szCs w:val="18"/>
          <w:lang w:val="el-GR" w:eastAsia="el-GR"/>
        </w:rPr>
        <w:t xml:space="preserve"> </w:t>
      </w:r>
      <w:r w:rsidR="00A7541E" w:rsidRPr="00FE5238">
        <w:rPr>
          <w:rFonts w:ascii="Arial" w:hAnsi="Arial" w:cs="Arial"/>
          <w:sz w:val="18"/>
          <w:szCs w:val="18"/>
          <w:lang w:val="el-GR" w:eastAsia="el-GR"/>
        </w:rPr>
        <w:t>(σε σύγκριση με €</w:t>
      </w:r>
      <w:r w:rsidR="001808E1" w:rsidRPr="00FE5238">
        <w:rPr>
          <w:rFonts w:ascii="Arial" w:hAnsi="Arial" w:cs="Arial"/>
          <w:sz w:val="18"/>
          <w:szCs w:val="18"/>
          <w:lang w:val="el-GR" w:eastAsia="el-GR"/>
        </w:rPr>
        <w:t xml:space="preserve">248 </w:t>
      </w:r>
      <w:r w:rsidR="00A7541E" w:rsidRPr="00FE5238">
        <w:rPr>
          <w:rFonts w:ascii="Arial" w:hAnsi="Arial" w:cs="Arial"/>
          <w:sz w:val="18"/>
          <w:szCs w:val="18"/>
          <w:lang w:val="el-GR" w:eastAsia="el-GR"/>
        </w:rPr>
        <w:t xml:space="preserve">εκατ. για </w:t>
      </w:r>
      <w:r w:rsidR="00A7541E" w:rsidRPr="00FE5238">
        <w:rPr>
          <w:rFonts w:ascii="Arial" w:eastAsia="Batang" w:hAnsi="Arial" w:cs="Arial"/>
          <w:sz w:val="18"/>
          <w:szCs w:val="18"/>
          <w:lang w:val="el-GR" w:eastAsia="en-US"/>
        </w:rPr>
        <w:t xml:space="preserve">το </w:t>
      </w:r>
      <w:r w:rsidR="001808E1" w:rsidRPr="00FE5238">
        <w:rPr>
          <w:rFonts w:ascii="Arial" w:eastAsia="Times New Roman" w:hAnsi="Arial" w:cs="Arial"/>
          <w:sz w:val="18"/>
          <w:szCs w:val="18"/>
          <w:lang w:val="el-GR" w:eastAsia="el-GR"/>
        </w:rPr>
        <w:t xml:space="preserve">αντίστοιχο </w:t>
      </w:r>
      <w:r w:rsidR="007A2F9B">
        <w:rPr>
          <w:rFonts w:ascii="Arial" w:eastAsia="Times New Roman" w:hAnsi="Arial" w:cs="Arial"/>
          <w:sz w:val="18"/>
          <w:szCs w:val="18"/>
          <w:lang w:val="el-GR" w:eastAsia="el-GR"/>
        </w:rPr>
        <w:t>εννεάμηνο</w:t>
      </w:r>
      <w:r w:rsidR="001808E1" w:rsidRPr="00FE5238">
        <w:rPr>
          <w:rFonts w:ascii="Arial" w:eastAsia="Times New Roman" w:hAnsi="Arial" w:cs="Arial"/>
          <w:sz w:val="18"/>
          <w:szCs w:val="18"/>
          <w:lang w:val="el-GR" w:eastAsia="el-GR"/>
        </w:rPr>
        <w:t xml:space="preserve"> </w:t>
      </w:r>
      <w:r w:rsidR="00FE5238">
        <w:rPr>
          <w:rFonts w:ascii="Arial" w:eastAsia="Times New Roman" w:hAnsi="Arial" w:cs="Arial"/>
          <w:sz w:val="18"/>
          <w:szCs w:val="18"/>
          <w:lang w:val="el-GR" w:eastAsia="el-GR"/>
        </w:rPr>
        <w:t>2023</w:t>
      </w:r>
      <w:r w:rsidR="00A7541E" w:rsidRPr="00FE5238">
        <w:rPr>
          <w:rFonts w:ascii="Arial" w:eastAsia="Times New Roman" w:hAnsi="Arial" w:cs="Arial"/>
          <w:sz w:val="18"/>
          <w:szCs w:val="18"/>
          <w:lang w:val="el-GR" w:eastAsia="el-GR"/>
        </w:rPr>
        <w:t>, αυξημέν</w:t>
      </w:r>
      <w:r w:rsidR="008B1868" w:rsidRPr="00FE5238">
        <w:rPr>
          <w:rFonts w:ascii="Arial" w:eastAsia="Times New Roman" w:hAnsi="Arial" w:cs="Arial"/>
          <w:sz w:val="18"/>
          <w:szCs w:val="18"/>
          <w:lang w:val="el-GR" w:eastAsia="el-GR"/>
        </w:rPr>
        <w:t>ο</w:t>
      </w:r>
      <w:r w:rsidR="00A7541E" w:rsidRPr="00FE5238">
        <w:rPr>
          <w:rFonts w:ascii="Arial" w:eastAsia="Times New Roman" w:hAnsi="Arial" w:cs="Arial"/>
          <w:sz w:val="18"/>
          <w:szCs w:val="18"/>
          <w:lang w:val="el-GR" w:eastAsia="el-GR"/>
        </w:rPr>
        <w:t xml:space="preserve"> κατά </w:t>
      </w:r>
      <w:r w:rsidR="00575BD0">
        <w:rPr>
          <w:rFonts w:ascii="Arial" w:eastAsia="Times New Roman" w:hAnsi="Arial" w:cs="Arial"/>
          <w:sz w:val="18"/>
          <w:szCs w:val="20"/>
          <w:lang w:val="el-GR" w:eastAsia="el-GR"/>
        </w:rPr>
        <w:t>7</w:t>
      </w:r>
      <w:r w:rsidR="00A7541E" w:rsidRPr="00FE5238">
        <w:rPr>
          <w:rFonts w:ascii="Arial" w:eastAsia="Times New Roman" w:hAnsi="Arial" w:cs="Arial"/>
          <w:sz w:val="18"/>
          <w:szCs w:val="18"/>
          <w:lang w:val="el-GR" w:eastAsia="el-GR"/>
        </w:rPr>
        <w:t>% σε ετήσια βάση)</w:t>
      </w:r>
      <w:r w:rsidR="00231511" w:rsidRPr="00FE5238">
        <w:rPr>
          <w:rFonts w:ascii="Arial" w:eastAsia="Times New Roman" w:hAnsi="Arial" w:cs="Arial"/>
          <w:sz w:val="18"/>
          <w:szCs w:val="18"/>
          <w:lang w:val="el-GR" w:eastAsia="el-GR"/>
        </w:rPr>
        <w:t>,</w:t>
      </w:r>
      <w:r w:rsidR="00FE5238">
        <w:rPr>
          <w:rFonts w:ascii="Arial" w:eastAsia="Times New Roman" w:hAnsi="Arial" w:cs="Arial"/>
          <w:sz w:val="18"/>
          <w:szCs w:val="18"/>
          <w:lang w:val="el-GR" w:eastAsia="el-GR"/>
        </w:rPr>
        <w:t xml:space="preserve"> </w:t>
      </w:r>
      <w:r w:rsidR="00231511" w:rsidRPr="00502B4F">
        <w:rPr>
          <w:rFonts w:ascii="Arial" w:eastAsia="Times New Roman" w:hAnsi="Arial" w:cs="Arial"/>
          <w:sz w:val="18"/>
          <w:szCs w:val="18"/>
          <w:lang w:val="el-GR" w:eastAsia="el-GR"/>
        </w:rPr>
        <w:t xml:space="preserve">λόγω </w:t>
      </w:r>
      <w:r w:rsidR="00231511" w:rsidRPr="00502B4F">
        <w:rPr>
          <w:rFonts w:ascii="Arial" w:hAnsi="Arial" w:cs="Arial"/>
          <w:sz w:val="18"/>
          <w:szCs w:val="18"/>
          <w:lang w:val="el-GR" w:eastAsia="el-GR"/>
        </w:rPr>
        <w:t>του υψηλότερου κόστους προσωπικού</w:t>
      </w:r>
      <w:r w:rsidR="00FE5238" w:rsidRPr="00502B4F">
        <w:rPr>
          <w:rFonts w:ascii="Arial" w:hAnsi="Arial" w:cs="Arial"/>
          <w:sz w:val="18"/>
          <w:szCs w:val="18"/>
          <w:lang w:val="el-GR" w:eastAsia="el-GR"/>
        </w:rPr>
        <w:t xml:space="preserve"> και των</w:t>
      </w:r>
      <w:r w:rsidR="00FE5238">
        <w:rPr>
          <w:rFonts w:ascii="Arial" w:hAnsi="Arial" w:cs="Arial"/>
          <w:sz w:val="18"/>
          <w:szCs w:val="18"/>
          <w:lang w:val="el-GR" w:eastAsia="el-GR"/>
        </w:rPr>
        <w:t xml:space="preserve"> </w:t>
      </w:r>
      <w:r w:rsidR="00FE5238" w:rsidRPr="00502B4F">
        <w:rPr>
          <w:rFonts w:ascii="Arial" w:hAnsi="Arial" w:cs="Arial"/>
          <w:sz w:val="18"/>
          <w:szCs w:val="18"/>
          <w:lang w:val="el-GR" w:eastAsia="el-GR"/>
        </w:rPr>
        <w:t>υψηλότερων</w:t>
      </w:r>
      <w:r w:rsidR="00FE5238">
        <w:rPr>
          <w:rFonts w:ascii="Arial" w:hAnsi="Arial" w:cs="Arial"/>
          <w:sz w:val="18"/>
          <w:szCs w:val="18"/>
          <w:lang w:val="el-GR" w:eastAsia="el-GR"/>
        </w:rPr>
        <w:t xml:space="preserve"> λοιπών</w:t>
      </w:r>
      <w:r w:rsidR="00FE5238" w:rsidRPr="00502B4F">
        <w:rPr>
          <w:rFonts w:ascii="Arial" w:hAnsi="Arial" w:cs="Arial"/>
          <w:sz w:val="18"/>
          <w:szCs w:val="18"/>
          <w:lang w:val="el-GR" w:eastAsia="el-GR"/>
        </w:rPr>
        <w:t xml:space="preserve"> λειτουργικών εξόδων επηρεασμένα από τον πληθωρισμό</w:t>
      </w:r>
      <w:r w:rsidR="00231511" w:rsidRPr="00502B4F">
        <w:rPr>
          <w:rFonts w:ascii="Arial" w:hAnsi="Arial" w:cs="Arial"/>
          <w:sz w:val="18"/>
          <w:szCs w:val="18"/>
          <w:lang w:val="el-GR" w:eastAsia="el-GR"/>
        </w:rPr>
        <w:t>.</w:t>
      </w:r>
      <w:r w:rsidR="00231511" w:rsidRPr="007246A9">
        <w:rPr>
          <w:rFonts w:ascii="Arial" w:hAnsi="Arial" w:cs="Arial"/>
          <w:sz w:val="18"/>
          <w:szCs w:val="18"/>
          <w:lang w:val="el-GR" w:eastAsia="el-GR"/>
        </w:rPr>
        <w:t xml:space="preserve"> Το σύνολο λειτουργικών εξόδων για το </w:t>
      </w:r>
      <w:r w:rsidR="001808E1" w:rsidRPr="007246A9">
        <w:rPr>
          <w:rFonts w:ascii="Arial" w:hAnsi="Arial" w:cs="Arial"/>
          <w:sz w:val="18"/>
          <w:szCs w:val="18"/>
          <w:lang w:val="el-GR" w:eastAsia="el-GR"/>
        </w:rPr>
        <w:t xml:space="preserve">γ’ </w:t>
      </w:r>
      <w:r w:rsidR="00231511" w:rsidRPr="007246A9">
        <w:rPr>
          <w:rFonts w:ascii="Arial" w:hAnsi="Arial" w:cs="Arial"/>
          <w:sz w:val="18"/>
          <w:szCs w:val="18"/>
          <w:lang w:val="el-GR" w:eastAsia="el-GR"/>
        </w:rPr>
        <w:t>τρίμηνο 2024</w:t>
      </w:r>
      <w:r w:rsidR="008B1868" w:rsidRPr="007246A9">
        <w:rPr>
          <w:rFonts w:ascii="Arial" w:hAnsi="Arial" w:cs="Arial"/>
          <w:sz w:val="18"/>
          <w:szCs w:val="18"/>
          <w:lang w:val="el-GR" w:eastAsia="el-GR"/>
        </w:rPr>
        <w:t xml:space="preserve"> ανήλθε </w:t>
      </w:r>
      <w:r w:rsidR="008B1868" w:rsidRPr="00FE5238">
        <w:rPr>
          <w:rFonts w:ascii="Arial" w:hAnsi="Arial" w:cs="Arial"/>
          <w:sz w:val="18"/>
          <w:szCs w:val="18"/>
          <w:lang w:val="el-GR" w:eastAsia="el-GR"/>
        </w:rPr>
        <w:t>σε €</w:t>
      </w:r>
      <w:r w:rsidR="00FE5238" w:rsidRPr="00502B4F">
        <w:rPr>
          <w:rFonts w:ascii="Arial" w:hAnsi="Arial" w:cs="Arial"/>
          <w:sz w:val="18"/>
          <w:szCs w:val="18"/>
          <w:lang w:val="el-GR" w:eastAsia="el-GR"/>
        </w:rPr>
        <w:t xml:space="preserve">99 </w:t>
      </w:r>
      <w:r w:rsidR="008B1868" w:rsidRPr="00FE5238">
        <w:rPr>
          <w:rFonts w:ascii="Arial" w:hAnsi="Arial" w:cs="Arial"/>
          <w:sz w:val="18"/>
          <w:szCs w:val="18"/>
          <w:lang w:val="el-GR" w:eastAsia="el-GR"/>
        </w:rPr>
        <w:t>εκατ.,</w:t>
      </w:r>
      <w:r w:rsidR="00FE5238" w:rsidRPr="00FE5238">
        <w:rPr>
          <w:rFonts w:ascii="Arial" w:hAnsi="Arial" w:cs="Arial"/>
          <w:sz w:val="18"/>
          <w:szCs w:val="18"/>
          <w:lang w:val="el-GR" w:eastAsia="el-GR"/>
        </w:rPr>
        <w:t xml:space="preserve"> </w:t>
      </w:r>
      <w:r w:rsidR="008B1868" w:rsidRPr="00FE5238">
        <w:rPr>
          <w:rFonts w:ascii="Arial" w:hAnsi="Arial" w:cs="Arial"/>
          <w:sz w:val="18"/>
          <w:szCs w:val="18"/>
          <w:lang w:val="el-GR" w:eastAsia="el-GR"/>
        </w:rPr>
        <w:t>σε σύγκριση με €</w:t>
      </w:r>
      <w:r w:rsidR="001808E1" w:rsidRPr="00FE5238">
        <w:rPr>
          <w:rFonts w:ascii="Arial" w:hAnsi="Arial" w:cs="Arial"/>
          <w:sz w:val="18"/>
          <w:szCs w:val="18"/>
          <w:lang w:val="el-GR" w:eastAsia="el-GR"/>
        </w:rPr>
        <w:t xml:space="preserve">86 </w:t>
      </w:r>
      <w:r w:rsidR="008B1868" w:rsidRPr="00FE5238">
        <w:rPr>
          <w:rFonts w:ascii="Arial" w:hAnsi="Arial" w:cs="Arial"/>
          <w:sz w:val="18"/>
          <w:szCs w:val="18"/>
          <w:lang w:val="el-GR" w:eastAsia="el-GR"/>
        </w:rPr>
        <w:t xml:space="preserve">εκατ. κατά το </w:t>
      </w:r>
      <w:r w:rsidR="001808E1" w:rsidRPr="00FE5238">
        <w:rPr>
          <w:rFonts w:ascii="Arial" w:hAnsi="Arial" w:cs="Arial"/>
          <w:sz w:val="18"/>
          <w:szCs w:val="18"/>
          <w:lang w:val="el-GR" w:eastAsia="el-GR"/>
        </w:rPr>
        <w:t xml:space="preserve">β’ </w:t>
      </w:r>
      <w:r w:rsidR="008B1868" w:rsidRPr="00FE5238">
        <w:rPr>
          <w:rFonts w:ascii="Arial" w:hAnsi="Arial" w:cs="Arial"/>
          <w:sz w:val="18"/>
          <w:szCs w:val="18"/>
          <w:lang w:val="el-GR" w:eastAsia="el-GR"/>
        </w:rPr>
        <w:t>τρίμηνο 2024</w:t>
      </w:r>
      <w:r w:rsidR="00FE5238" w:rsidRPr="00FE5238">
        <w:rPr>
          <w:rFonts w:ascii="Arial" w:hAnsi="Arial" w:cs="Arial"/>
          <w:sz w:val="18"/>
          <w:szCs w:val="18"/>
          <w:lang w:val="el-GR" w:eastAsia="el-GR"/>
        </w:rPr>
        <w:t>, αυξημένο κατά 14% σε τριμηνιαία βάση</w:t>
      </w:r>
      <w:r w:rsidR="00FE5238">
        <w:rPr>
          <w:rFonts w:ascii="Arial" w:hAnsi="Arial" w:cs="Arial"/>
          <w:sz w:val="18"/>
          <w:szCs w:val="18"/>
          <w:lang w:val="el-GR" w:eastAsia="el-GR"/>
        </w:rPr>
        <w:t xml:space="preserve">, λόγω κυρίως της πλήρους αναγνώρισης κόστους </w:t>
      </w:r>
      <w:r w:rsidR="00FE5238" w:rsidRPr="00FE5238">
        <w:rPr>
          <w:rFonts w:ascii="Arial" w:hAnsi="Arial" w:cs="Arial"/>
          <w:sz w:val="18"/>
          <w:szCs w:val="18"/>
          <w:lang w:val="el-GR" w:eastAsia="el-GR"/>
        </w:rPr>
        <w:t>που αφορά Σχέδιο Εθελούσιας Αποχώρησης μικρής κλίμακας</w:t>
      </w:r>
      <w:r w:rsidR="00FE5238">
        <w:rPr>
          <w:rFonts w:ascii="Arial" w:hAnsi="Arial" w:cs="Arial"/>
          <w:sz w:val="18"/>
          <w:szCs w:val="18"/>
          <w:lang w:val="el-GR" w:eastAsia="el-GR"/>
        </w:rPr>
        <w:t xml:space="preserve"> κατά το γ’ τρίμηνο 2024. </w:t>
      </w:r>
    </w:p>
    <w:p w14:paraId="4413649C" w14:textId="77777777" w:rsidR="00A7541E" w:rsidRPr="00FE5238" w:rsidRDefault="00A7541E" w:rsidP="00885409">
      <w:pPr>
        <w:spacing w:after="0" w:line="240" w:lineRule="auto"/>
        <w:jc w:val="both"/>
        <w:rPr>
          <w:rFonts w:ascii="Arial" w:hAnsi="Arial" w:cs="Arial"/>
          <w:sz w:val="12"/>
          <w:szCs w:val="12"/>
          <w:vertAlign w:val="superscript"/>
          <w:lang w:val="el-GR" w:eastAsia="el-GR"/>
        </w:rPr>
      </w:pPr>
    </w:p>
    <w:p w14:paraId="628A3D24" w14:textId="6F45BA37" w:rsidR="00662068" w:rsidRPr="003914B1" w:rsidRDefault="008C092C" w:rsidP="008C092C">
      <w:pPr>
        <w:spacing w:after="0" w:line="240" w:lineRule="auto"/>
        <w:jc w:val="both"/>
        <w:rPr>
          <w:rFonts w:ascii="Arial" w:eastAsia="Times New Roman" w:hAnsi="Arial" w:cs="Arial"/>
          <w:sz w:val="18"/>
          <w:szCs w:val="18"/>
          <w:highlight w:val="yellow"/>
          <w:lang w:val="el-GR" w:eastAsia="el-GR"/>
        </w:rPr>
      </w:pPr>
      <w:r w:rsidRPr="00FE5238">
        <w:rPr>
          <w:rFonts w:ascii="Arial" w:hAnsi="Arial" w:cs="Arial"/>
          <w:b/>
          <w:bCs/>
          <w:sz w:val="18"/>
          <w:szCs w:val="18"/>
          <w:lang w:val="el-GR" w:eastAsia="el-GR"/>
        </w:rPr>
        <w:t>Το κόστος προσωπικού</w:t>
      </w:r>
      <w:r w:rsidR="0023522D" w:rsidRPr="00FE5238">
        <w:rPr>
          <w:rFonts w:ascii="Arial" w:hAnsi="Arial" w:cs="Arial"/>
          <w:sz w:val="18"/>
          <w:szCs w:val="18"/>
          <w:lang w:val="el-GR" w:eastAsia="el-GR"/>
        </w:rPr>
        <w:t xml:space="preserve"> για </w:t>
      </w:r>
      <w:r w:rsidR="0023522D" w:rsidRPr="00FE5238">
        <w:rPr>
          <w:rFonts w:ascii="Arial" w:eastAsia="Times New Roman" w:hAnsi="Arial" w:cs="Arial"/>
          <w:sz w:val="18"/>
          <w:szCs w:val="20"/>
          <w:lang w:val="el-GR" w:eastAsia="el-GR"/>
        </w:rPr>
        <w:t>το</w:t>
      </w:r>
      <w:r w:rsidR="00231511" w:rsidRPr="00FE5238">
        <w:rPr>
          <w:rFonts w:ascii="Arial" w:eastAsia="Times New Roman" w:hAnsi="Arial" w:cs="Arial"/>
          <w:sz w:val="18"/>
          <w:szCs w:val="18"/>
          <w:lang w:val="el-GR" w:eastAsia="el-GR"/>
        </w:rPr>
        <w:t xml:space="preserve"> </w:t>
      </w:r>
      <w:r w:rsidR="007A2F9B">
        <w:rPr>
          <w:rFonts w:ascii="Arial" w:hAnsi="Arial" w:cs="Arial"/>
          <w:bCs/>
          <w:sz w:val="18"/>
          <w:szCs w:val="18"/>
          <w:lang w:val="el-GR"/>
        </w:rPr>
        <w:t>εννεάμηνο</w:t>
      </w:r>
      <w:r w:rsidR="001808E1" w:rsidRPr="00502B4F">
        <w:rPr>
          <w:rFonts w:ascii="Arial" w:hAnsi="Arial" w:cs="Arial"/>
          <w:bCs/>
          <w:sz w:val="18"/>
          <w:szCs w:val="18"/>
          <w:lang w:val="el-GR"/>
        </w:rPr>
        <w:t xml:space="preserve"> που έληξε στις 30 Σεπτεμβρίου</w:t>
      </w:r>
      <w:r w:rsidR="001808E1" w:rsidRPr="00FE5238">
        <w:rPr>
          <w:rFonts w:ascii="Arial" w:eastAsia="Times New Roman" w:hAnsi="Arial" w:cs="Arial"/>
          <w:sz w:val="18"/>
          <w:szCs w:val="18"/>
          <w:lang w:val="el-GR" w:eastAsia="el-GR"/>
        </w:rPr>
        <w:t xml:space="preserve"> </w:t>
      </w:r>
      <w:r w:rsidR="00231511" w:rsidRPr="00FE5238">
        <w:rPr>
          <w:rFonts w:ascii="Arial" w:eastAsia="Times New Roman" w:hAnsi="Arial" w:cs="Arial"/>
          <w:sz w:val="18"/>
          <w:szCs w:val="18"/>
          <w:lang w:val="el-GR" w:eastAsia="el-GR"/>
        </w:rPr>
        <w:t>2024</w:t>
      </w:r>
      <w:r w:rsidR="00231511" w:rsidRPr="00FE5238">
        <w:rPr>
          <w:rFonts w:ascii="Arial" w:hAnsi="Arial" w:cs="Arial"/>
          <w:sz w:val="18"/>
          <w:szCs w:val="18"/>
          <w:lang w:val="el-GR"/>
        </w:rPr>
        <w:t xml:space="preserve"> </w:t>
      </w:r>
      <w:r w:rsidR="00E26717" w:rsidRPr="00FE5238">
        <w:rPr>
          <w:rFonts w:ascii="Arial" w:eastAsia="Times New Roman" w:hAnsi="Arial" w:cs="Arial"/>
          <w:sz w:val="18"/>
          <w:szCs w:val="18"/>
          <w:lang w:val="el-GR" w:eastAsia="el-GR"/>
        </w:rPr>
        <w:t>ανήλθε</w:t>
      </w:r>
      <w:r w:rsidR="00231511" w:rsidRPr="00FE5238">
        <w:rPr>
          <w:rFonts w:ascii="Arial" w:eastAsia="Times New Roman" w:hAnsi="Arial" w:cs="Arial"/>
          <w:sz w:val="18"/>
          <w:szCs w:val="18"/>
          <w:lang w:val="el-GR" w:eastAsia="el-GR"/>
        </w:rPr>
        <w:t xml:space="preserve"> σε </w:t>
      </w:r>
      <w:r w:rsidR="00231511" w:rsidRPr="00FE5238">
        <w:rPr>
          <w:rFonts w:ascii="Arial" w:hAnsi="Arial" w:cs="Arial"/>
          <w:sz w:val="18"/>
          <w:szCs w:val="18"/>
          <w:lang w:val="el-GR" w:eastAsia="el-GR"/>
        </w:rPr>
        <w:t>€</w:t>
      </w:r>
      <w:r w:rsidR="00FE5238" w:rsidRPr="00502B4F">
        <w:rPr>
          <w:rFonts w:ascii="Arial" w:eastAsia="Times New Roman" w:hAnsi="Arial" w:cs="Arial"/>
          <w:bCs/>
          <w:sz w:val="18"/>
          <w:szCs w:val="20"/>
          <w:lang w:val="el-GR" w:eastAsia="el-GR"/>
        </w:rPr>
        <w:t xml:space="preserve">151 </w:t>
      </w:r>
      <w:r w:rsidR="00231511" w:rsidRPr="00FE5238">
        <w:rPr>
          <w:rFonts w:ascii="Arial" w:hAnsi="Arial" w:cs="Arial"/>
          <w:sz w:val="18"/>
          <w:szCs w:val="18"/>
          <w:lang w:val="el-GR" w:eastAsia="el-GR"/>
        </w:rPr>
        <w:t>εκατ. (σε σύγκριση με €</w:t>
      </w:r>
      <w:r w:rsidR="001808E1" w:rsidRPr="00FE5238">
        <w:rPr>
          <w:rFonts w:ascii="Arial" w:eastAsia="Times New Roman" w:hAnsi="Arial" w:cs="Arial"/>
          <w:sz w:val="18"/>
          <w:szCs w:val="20"/>
          <w:lang w:val="el-GR" w:eastAsia="el-GR"/>
        </w:rPr>
        <w:t>141</w:t>
      </w:r>
      <w:r w:rsidR="00FE5238">
        <w:rPr>
          <w:rFonts w:ascii="Arial" w:eastAsia="Times New Roman" w:hAnsi="Arial" w:cs="Arial"/>
          <w:sz w:val="18"/>
          <w:szCs w:val="20"/>
          <w:lang w:val="el-GR" w:eastAsia="el-GR"/>
        </w:rPr>
        <w:t xml:space="preserve"> </w:t>
      </w:r>
      <w:r w:rsidR="00231511" w:rsidRPr="00FE5238">
        <w:rPr>
          <w:rFonts w:ascii="Arial" w:hAnsi="Arial" w:cs="Arial"/>
          <w:sz w:val="18"/>
          <w:szCs w:val="18"/>
          <w:lang w:val="el-GR" w:eastAsia="el-GR"/>
        </w:rPr>
        <w:t xml:space="preserve">εκατ. για </w:t>
      </w:r>
      <w:r w:rsidR="00231511" w:rsidRPr="00FE5238">
        <w:rPr>
          <w:rFonts w:ascii="Arial" w:eastAsia="Batang" w:hAnsi="Arial" w:cs="Arial"/>
          <w:sz w:val="18"/>
          <w:szCs w:val="18"/>
          <w:lang w:val="el-GR" w:eastAsia="en-US"/>
        </w:rPr>
        <w:t xml:space="preserve">το </w:t>
      </w:r>
      <w:r w:rsidR="001808E1" w:rsidRPr="00FE5238">
        <w:rPr>
          <w:rFonts w:ascii="Arial" w:eastAsia="Times New Roman" w:hAnsi="Arial" w:cs="Arial"/>
          <w:sz w:val="18"/>
          <w:szCs w:val="18"/>
          <w:lang w:val="el-GR" w:eastAsia="el-GR"/>
        </w:rPr>
        <w:t xml:space="preserve">αντίστοιχο </w:t>
      </w:r>
      <w:r w:rsidR="007A2F9B">
        <w:rPr>
          <w:rFonts w:ascii="Arial" w:eastAsia="Times New Roman" w:hAnsi="Arial" w:cs="Arial"/>
          <w:sz w:val="18"/>
          <w:szCs w:val="18"/>
          <w:lang w:val="el-GR" w:eastAsia="el-GR"/>
        </w:rPr>
        <w:t>εννεάμηνο</w:t>
      </w:r>
      <w:r w:rsidR="00231511" w:rsidRPr="00FE5238">
        <w:rPr>
          <w:rFonts w:ascii="Arial" w:eastAsia="Times New Roman" w:hAnsi="Arial" w:cs="Arial"/>
          <w:sz w:val="18"/>
          <w:szCs w:val="18"/>
          <w:lang w:val="el-GR" w:eastAsia="el-GR"/>
        </w:rPr>
        <w:t xml:space="preserve"> 2023, </w:t>
      </w:r>
      <w:r w:rsidR="00E26717" w:rsidRPr="00FE5238">
        <w:rPr>
          <w:rFonts w:ascii="Arial" w:eastAsia="Times New Roman" w:hAnsi="Arial" w:cs="Arial"/>
          <w:sz w:val="18"/>
          <w:szCs w:val="18"/>
          <w:lang w:val="el-GR" w:eastAsia="el-GR"/>
        </w:rPr>
        <w:t>αυξημένο</w:t>
      </w:r>
      <w:r w:rsidR="0077091A" w:rsidRPr="00FE5238">
        <w:rPr>
          <w:rFonts w:ascii="Arial" w:eastAsia="Times New Roman" w:hAnsi="Arial" w:cs="Arial"/>
          <w:sz w:val="18"/>
          <w:szCs w:val="18"/>
          <w:lang w:val="el-GR" w:eastAsia="el-GR"/>
        </w:rPr>
        <w:t xml:space="preserve"> </w:t>
      </w:r>
      <w:r w:rsidR="00231511" w:rsidRPr="00FE5238">
        <w:rPr>
          <w:rFonts w:ascii="Arial" w:eastAsia="Times New Roman" w:hAnsi="Arial" w:cs="Arial"/>
          <w:sz w:val="18"/>
          <w:szCs w:val="18"/>
          <w:lang w:val="el-GR" w:eastAsia="el-GR"/>
        </w:rPr>
        <w:t xml:space="preserve">κατά </w:t>
      </w:r>
      <w:r w:rsidR="00FE5238" w:rsidRPr="00502B4F">
        <w:rPr>
          <w:rFonts w:ascii="Arial" w:eastAsia="Times New Roman" w:hAnsi="Arial" w:cs="Arial"/>
          <w:sz w:val="18"/>
          <w:szCs w:val="18"/>
          <w:lang w:val="el-GR" w:eastAsia="el-GR"/>
        </w:rPr>
        <w:t>7</w:t>
      </w:r>
      <w:r w:rsidR="00231511" w:rsidRPr="00FE5238">
        <w:rPr>
          <w:rFonts w:ascii="Arial" w:eastAsia="Times New Roman" w:hAnsi="Arial" w:cs="Arial"/>
          <w:sz w:val="18"/>
          <w:szCs w:val="18"/>
          <w:lang w:val="el-GR" w:eastAsia="el-GR"/>
        </w:rPr>
        <w:t>% σε ετήσια βάση)</w:t>
      </w:r>
      <w:r w:rsidR="00FE1B92" w:rsidRPr="00FE5238">
        <w:rPr>
          <w:rFonts w:ascii="Arial" w:eastAsia="Times New Roman" w:hAnsi="Arial" w:cs="Arial"/>
          <w:sz w:val="18"/>
          <w:szCs w:val="18"/>
          <w:lang w:val="el-GR" w:eastAsia="el-GR"/>
        </w:rPr>
        <w:t xml:space="preserve"> </w:t>
      </w:r>
      <w:r w:rsidR="00FE1B92" w:rsidRPr="007246A9">
        <w:rPr>
          <w:rFonts w:ascii="Arial" w:eastAsia="Times New Roman" w:hAnsi="Arial" w:cs="Arial"/>
          <w:sz w:val="18"/>
          <w:szCs w:val="18"/>
          <w:lang w:val="el-GR" w:eastAsia="el-GR"/>
        </w:rPr>
        <w:t xml:space="preserve">και περιλαμβάνει πρόβλεψη για παροχές προσωπικού (μεταβλητές αποδοχές) βάσει </w:t>
      </w:r>
      <w:r w:rsidR="00FE1B92" w:rsidRPr="00FE5238">
        <w:rPr>
          <w:rFonts w:ascii="Arial" w:eastAsia="Times New Roman" w:hAnsi="Arial" w:cs="Arial"/>
          <w:sz w:val="18"/>
          <w:szCs w:val="18"/>
          <w:lang w:val="el-GR" w:eastAsia="el-GR"/>
        </w:rPr>
        <w:t>απόδοσης</w:t>
      </w:r>
      <w:r w:rsidR="00AF09DF" w:rsidRPr="00FE5238">
        <w:rPr>
          <w:rFonts w:ascii="Arial" w:eastAsia="Times New Roman" w:hAnsi="Arial" w:cs="Arial"/>
          <w:sz w:val="18"/>
          <w:szCs w:val="18"/>
          <w:lang w:val="el-GR" w:eastAsia="el-GR"/>
        </w:rPr>
        <w:t>,</w:t>
      </w:r>
      <w:r w:rsidR="00FE1B92" w:rsidRPr="00FE5238">
        <w:rPr>
          <w:rFonts w:ascii="Arial" w:eastAsia="Times New Roman" w:hAnsi="Arial" w:cs="Arial"/>
          <w:sz w:val="18"/>
          <w:szCs w:val="18"/>
          <w:lang w:val="el-GR" w:eastAsia="el-GR"/>
        </w:rPr>
        <w:t xml:space="preserve"> ύψους περίπου €</w:t>
      </w:r>
      <w:r w:rsidR="00FE5238" w:rsidRPr="00502B4F">
        <w:rPr>
          <w:rFonts w:ascii="Arial" w:eastAsia="Times New Roman" w:hAnsi="Arial" w:cs="Arial"/>
          <w:sz w:val="18"/>
          <w:szCs w:val="18"/>
          <w:lang w:val="el-GR" w:eastAsia="el-GR"/>
        </w:rPr>
        <w:t xml:space="preserve">7.6 </w:t>
      </w:r>
      <w:r w:rsidR="00FE1B92" w:rsidRPr="00FE5238">
        <w:rPr>
          <w:rFonts w:ascii="Arial" w:eastAsia="Times New Roman" w:hAnsi="Arial" w:cs="Arial"/>
          <w:sz w:val="18"/>
          <w:szCs w:val="18"/>
          <w:lang w:val="el-GR" w:eastAsia="el-GR"/>
        </w:rPr>
        <w:t>εκατ.</w:t>
      </w:r>
      <w:r w:rsidR="001808E1" w:rsidRPr="00FE5238">
        <w:rPr>
          <w:rFonts w:ascii="Arial" w:eastAsia="Times New Roman" w:hAnsi="Arial" w:cs="Arial"/>
          <w:sz w:val="18"/>
          <w:szCs w:val="18"/>
          <w:lang w:val="el-GR" w:eastAsia="el-GR"/>
        </w:rPr>
        <w:t xml:space="preserve"> και πρόβλεψη για παροχές τερματισμού προσωπικού ύψους περίπου €</w:t>
      </w:r>
      <w:r w:rsidR="00FE5238" w:rsidRPr="00502B4F">
        <w:rPr>
          <w:rFonts w:ascii="Arial" w:eastAsia="Times New Roman" w:hAnsi="Arial" w:cs="Arial"/>
          <w:sz w:val="18"/>
          <w:szCs w:val="18"/>
          <w:lang w:val="el-GR" w:eastAsia="el-GR"/>
        </w:rPr>
        <w:t xml:space="preserve">7.2 </w:t>
      </w:r>
      <w:r w:rsidR="001808E1" w:rsidRPr="00FE5238">
        <w:rPr>
          <w:rFonts w:ascii="Arial" w:eastAsia="Times New Roman" w:hAnsi="Arial" w:cs="Arial"/>
          <w:sz w:val="18"/>
          <w:szCs w:val="18"/>
          <w:lang w:val="el-GR" w:eastAsia="el-GR"/>
        </w:rPr>
        <w:t>εκατ.</w:t>
      </w:r>
      <w:r w:rsidR="00FE1B92" w:rsidRPr="00FE5238">
        <w:rPr>
          <w:rFonts w:ascii="Arial" w:eastAsia="Times New Roman" w:hAnsi="Arial" w:cs="Arial"/>
          <w:sz w:val="18"/>
          <w:szCs w:val="18"/>
          <w:lang w:val="el-GR" w:eastAsia="el-GR"/>
        </w:rPr>
        <w:t>(σε σύγκριση με πρόβλεψη για παροχές προσωπικού (μεταβλητές αποδοχές) βάσει απόδοσης ύψους περίπου €</w:t>
      </w:r>
      <w:r w:rsidR="00FE5238" w:rsidRPr="00FE5238">
        <w:rPr>
          <w:rFonts w:ascii="Arial" w:eastAsia="Times New Roman" w:hAnsi="Arial" w:cs="Arial"/>
          <w:sz w:val="18"/>
          <w:szCs w:val="18"/>
          <w:lang w:val="el-GR" w:eastAsia="el-GR"/>
        </w:rPr>
        <w:t xml:space="preserve">6.6 </w:t>
      </w:r>
      <w:r w:rsidR="00FE1B92" w:rsidRPr="00FE5238">
        <w:rPr>
          <w:rFonts w:ascii="Arial" w:eastAsia="Times New Roman" w:hAnsi="Arial" w:cs="Arial"/>
          <w:sz w:val="18"/>
          <w:szCs w:val="18"/>
          <w:lang w:val="el-GR" w:eastAsia="el-GR"/>
        </w:rPr>
        <w:t>εκατ. και για παροχές τερματισμού προσωπικού ύψους περίπου €</w:t>
      </w:r>
      <w:r w:rsidR="001808E1" w:rsidRPr="00FE5238">
        <w:rPr>
          <w:rFonts w:ascii="Arial" w:eastAsia="Times New Roman" w:hAnsi="Arial" w:cs="Arial"/>
          <w:sz w:val="18"/>
          <w:szCs w:val="18"/>
          <w:lang w:val="el-GR" w:eastAsia="el-GR"/>
        </w:rPr>
        <w:t>4.5</w:t>
      </w:r>
      <w:r w:rsidR="00FE1B92" w:rsidRPr="00FE5238">
        <w:rPr>
          <w:rFonts w:ascii="Arial" w:eastAsia="Times New Roman" w:hAnsi="Arial" w:cs="Arial"/>
          <w:sz w:val="18"/>
          <w:szCs w:val="18"/>
          <w:lang w:val="el-GR" w:eastAsia="el-GR"/>
        </w:rPr>
        <w:t xml:space="preserve"> εκατ. κατά </w:t>
      </w:r>
      <w:r w:rsidR="00985421" w:rsidRPr="00FE5238">
        <w:rPr>
          <w:rFonts w:ascii="Arial" w:eastAsia="Times New Roman" w:hAnsi="Arial" w:cs="Arial"/>
          <w:sz w:val="18"/>
          <w:szCs w:val="18"/>
          <w:lang w:val="el-GR" w:eastAsia="el-GR"/>
        </w:rPr>
        <w:t xml:space="preserve">το </w:t>
      </w:r>
      <w:r w:rsidR="007A2F9B">
        <w:rPr>
          <w:rFonts w:ascii="Arial" w:hAnsi="Arial" w:cs="Arial"/>
          <w:bCs/>
          <w:sz w:val="18"/>
          <w:szCs w:val="18"/>
          <w:lang w:val="el-GR"/>
        </w:rPr>
        <w:t>εννεάμηνο</w:t>
      </w:r>
      <w:r w:rsidR="001808E1" w:rsidRPr="00502B4F">
        <w:rPr>
          <w:rFonts w:ascii="Arial" w:hAnsi="Arial" w:cs="Arial"/>
          <w:bCs/>
          <w:sz w:val="18"/>
          <w:szCs w:val="18"/>
          <w:lang w:val="el-GR"/>
        </w:rPr>
        <w:t xml:space="preserve"> που έληξε στις 30 Σεπτεμβρίου</w:t>
      </w:r>
      <w:r w:rsidR="001808E1" w:rsidRPr="00FE5238" w:rsidDel="001808E1">
        <w:rPr>
          <w:rFonts w:ascii="Arial" w:eastAsia="Times New Roman" w:hAnsi="Arial" w:cs="Arial"/>
          <w:sz w:val="18"/>
          <w:szCs w:val="18"/>
          <w:lang w:val="el-GR" w:eastAsia="el-GR"/>
        </w:rPr>
        <w:t xml:space="preserve"> </w:t>
      </w:r>
      <w:r w:rsidR="00FE1B92" w:rsidRPr="00FE5238">
        <w:rPr>
          <w:rFonts w:ascii="Arial" w:eastAsia="Times New Roman" w:hAnsi="Arial" w:cs="Arial"/>
          <w:sz w:val="18"/>
          <w:szCs w:val="18"/>
          <w:lang w:val="el-GR" w:eastAsia="el-GR"/>
        </w:rPr>
        <w:t>2023).</w:t>
      </w:r>
      <w:r w:rsidR="003914B1" w:rsidRPr="00FE5238">
        <w:rPr>
          <w:rFonts w:ascii="Arial" w:eastAsia="Times New Roman" w:hAnsi="Arial" w:cs="Arial"/>
          <w:sz w:val="18"/>
          <w:szCs w:val="18"/>
          <w:lang w:val="el-GR" w:eastAsia="el-GR"/>
        </w:rPr>
        <w:t xml:space="preserve"> </w:t>
      </w:r>
      <w:r w:rsidR="00FE1B92" w:rsidRPr="007246A9">
        <w:rPr>
          <w:rFonts w:ascii="Arial" w:hAnsi="Arial" w:cs="Arial"/>
          <w:sz w:val="18"/>
          <w:szCs w:val="18"/>
          <w:lang w:val="el-GR"/>
        </w:rPr>
        <w:t xml:space="preserve">Εξαιρώντας </w:t>
      </w:r>
      <w:r w:rsidR="00333E1A" w:rsidRPr="007246A9">
        <w:rPr>
          <w:rFonts w:ascii="Arial" w:hAnsi="Arial" w:cs="Arial"/>
          <w:sz w:val="18"/>
          <w:szCs w:val="18"/>
          <w:lang w:val="el-GR"/>
        </w:rPr>
        <w:t>τις πιο πάνω</w:t>
      </w:r>
      <w:r w:rsidR="00FE1B92" w:rsidRPr="007246A9">
        <w:rPr>
          <w:rFonts w:ascii="Arial" w:hAnsi="Arial" w:cs="Arial"/>
          <w:sz w:val="18"/>
          <w:szCs w:val="18"/>
          <w:lang w:val="el-GR"/>
        </w:rPr>
        <w:t xml:space="preserve"> </w:t>
      </w:r>
      <w:r w:rsidR="00333E1A" w:rsidRPr="007246A9">
        <w:rPr>
          <w:rFonts w:ascii="Arial" w:eastAsia="Times New Roman" w:hAnsi="Arial" w:cs="Arial"/>
          <w:sz w:val="18"/>
          <w:szCs w:val="18"/>
          <w:lang w:val="el-GR" w:eastAsia="el-GR"/>
        </w:rPr>
        <w:t>προβλέψεις</w:t>
      </w:r>
      <w:r w:rsidR="00FE1B92" w:rsidRPr="007246A9">
        <w:rPr>
          <w:rFonts w:ascii="Arial" w:eastAsia="Times New Roman" w:hAnsi="Arial" w:cs="Arial"/>
          <w:sz w:val="18"/>
          <w:szCs w:val="18"/>
          <w:lang w:val="el-GR" w:eastAsia="el-GR"/>
        </w:rPr>
        <w:t xml:space="preserve">, το κόστος προσωπικού αυξήθηκε </w:t>
      </w:r>
      <w:r w:rsidR="00FE1B92" w:rsidRPr="00FE5238">
        <w:rPr>
          <w:rFonts w:ascii="Arial" w:eastAsia="Times New Roman" w:hAnsi="Arial" w:cs="Arial"/>
          <w:sz w:val="18"/>
          <w:szCs w:val="18"/>
          <w:lang w:val="el-GR" w:eastAsia="el-GR"/>
        </w:rPr>
        <w:t xml:space="preserve">κατά </w:t>
      </w:r>
      <w:r w:rsidR="00FE5238" w:rsidRPr="00502B4F">
        <w:rPr>
          <w:rFonts w:ascii="Arial" w:eastAsia="Times New Roman" w:hAnsi="Arial" w:cs="Arial"/>
          <w:sz w:val="18"/>
          <w:szCs w:val="18"/>
          <w:lang w:val="el-GR" w:eastAsia="el-GR"/>
        </w:rPr>
        <w:t>5</w:t>
      </w:r>
      <w:r w:rsidR="00FE1B92" w:rsidRPr="00FE5238">
        <w:rPr>
          <w:rFonts w:ascii="Arial" w:eastAsia="Times New Roman" w:hAnsi="Arial" w:cs="Arial"/>
          <w:sz w:val="18"/>
          <w:szCs w:val="18"/>
          <w:lang w:val="el-GR" w:eastAsia="el-GR"/>
        </w:rPr>
        <w:t>% σε</w:t>
      </w:r>
      <w:r w:rsidR="00FE1B92" w:rsidRPr="007246A9">
        <w:rPr>
          <w:rFonts w:ascii="Arial" w:eastAsia="Times New Roman" w:hAnsi="Arial" w:cs="Arial"/>
          <w:sz w:val="18"/>
          <w:szCs w:val="18"/>
          <w:lang w:val="el-GR" w:eastAsia="el-GR"/>
        </w:rPr>
        <w:t xml:space="preserve"> ετήσια βάση, </w:t>
      </w:r>
      <w:r w:rsidR="00662068" w:rsidRPr="007246A9">
        <w:rPr>
          <w:rFonts w:ascii="Arial" w:eastAsia="Times New Roman" w:hAnsi="Arial" w:cs="Arial"/>
          <w:sz w:val="18"/>
          <w:szCs w:val="18"/>
          <w:lang w:val="el-GR" w:eastAsia="el-GR"/>
        </w:rPr>
        <w:t>αντικατοπτρίζοντας</w:t>
      </w:r>
      <w:r w:rsidR="00FE1B92" w:rsidRPr="007246A9">
        <w:rPr>
          <w:rFonts w:ascii="Arial" w:eastAsia="Times New Roman" w:hAnsi="Arial" w:cs="Arial"/>
          <w:sz w:val="18"/>
          <w:szCs w:val="18"/>
          <w:lang w:val="el-GR" w:eastAsia="el-GR"/>
        </w:rPr>
        <w:t xml:space="preserve"> </w:t>
      </w:r>
      <w:r w:rsidR="00662068" w:rsidRPr="007246A9">
        <w:rPr>
          <w:rFonts w:ascii="Arial" w:eastAsia="Times New Roman" w:hAnsi="Arial" w:cs="Arial"/>
          <w:sz w:val="18"/>
          <w:szCs w:val="18"/>
          <w:lang w:val="el-GR" w:eastAsia="el-GR"/>
        </w:rPr>
        <w:t>τις μισθολογικές αυξήσεις, τις υψηλότερες αναπροσαρμογές για το κόστος διαβίωσης (αυτόματη τιμαριθμική αναπροσαρμογή (ΑΤΑ)) και τις υψηλότερες συνεισφορές του εργοδότη.</w:t>
      </w:r>
      <w:r w:rsidR="00FE5238">
        <w:rPr>
          <w:rFonts w:ascii="Arial" w:eastAsia="Times New Roman" w:hAnsi="Arial" w:cs="Arial"/>
          <w:sz w:val="18"/>
          <w:szCs w:val="18"/>
          <w:lang w:val="el-GR" w:eastAsia="el-GR"/>
        </w:rPr>
        <w:t xml:space="preserve"> </w:t>
      </w:r>
      <w:r w:rsidR="008A252B" w:rsidRPr="007246A9">
        <w:rPr>
          <w:rFonts w:ascii="Arial" w:eastAsia="Times New Roman" w:hAnsi="Arial" w:cs="Arial"/>
          <w:sz w:val="18"/>
          <w:szCs w:val="18"/>
          <w:lang w:val="el-GR" w:eastAsia="el-GR"/>
        </w:rPr>
        <w:t xml:space="preserve">Το κόστος προσωπικού για το </w:t>
      </w:r>
      <w:r w:rsidR="00985421" w:rsidRPr="007246A9">
        <w:rPr>
          <w:rFonts w:ascii="Arial" w:eastAsia="Times New Roman" w:hAnsi="Arial" w:cs="Arial"/>
          <w:sz w:val="18"/>
          <w:szCs w:val="18"/>
          <w:lang w:val="el-GR" w:eastAsia="el-GR"/>
        </w:rPr>
        <w:t xml:space="preserve">γ’ </w:t>
      </w:r>
      <w:r w:rsidR="008A252B" w:rsidRPr="007246A9">
        <w:rPr>
          <w:rFonts w:ascii="Arial" w:eastAsia="Times New Roman" w:hAnsi="Arial" w:cs="Arial"/>
          <w:sz w:val="18"/>
          <w:szCs w:val="18"/>
          <w:lang w:val="el-GR" w:eastAsia="el-GR"/>
        </w:rPr>
        <w:t xml:space="preserve">τρίμηνο 2024 ανήλθε </w:t>
      </w:r>
      <w:r w:rsidR="008A252B" w:rsidRPr="00FE5238">
        <w:rPr>
          <w:rFonts w:ascii="Arial" w:eastAsia="Times New Roman" w:hAnsi="Arial" w:cs="Arial"/>
          <w:sz w:val="18"/>
          <w:szCs w:val="18"/>
          <w:lang w:val="el-GR" w:eastAsia="el-GR"/>
        </w:rPr>
        <w:t>σε €</w:t>
      </w:r>
      <w:r w:rsidR="00FE5238" w:rsidRPr="00502B4F">
        <w:rPr>
          <w:rFonts w:ascii="Arial" w:eastAsia="Times New Roman" w:hAnsi="Arial" w:cs="Arial"/>
          <w:sz w:val="18"/>
          <w:szCs w:val="18"/>
          <w:lang w:val="el-GR" w:eastAsia="el-GR"/>
        </w:rPr>
        <w:t xml:space="preserve">55 </w:t>
      </w:r>
      <w:r w:rsidR="008A252B" w:rsidRPr="00FE5238">
        <w:rPr>
          <w:rFonts w:ascii="Arial" w:eastAsia="Times New Roman" w:hAnsi="Arial" w:cs="Arial"/>
          <w:sz w:val="18"/>
          <w:szCs w:val="18"/>
          <w:lang w:val="el-GR" w:eastAsia="el-GR"/>
        </w:rPr>
        <w:t>εκατ.</w:t>
      </w:r>
      <w:r w:rsidR="00985421" w:rsidRPr="00FE5238">
        <w:rPr>
          <w:rFonts w:ascii="Arial" w:eastAsia="Times New Roman" w:hAnsi="Arial" w:cs="Arial"/>
          <w:sz w:val="18"/>
          <w:szCs w:val="18"/>
          <w:lang w:val="el-GR" w:eastAsia="el-GR"/>
        </w:rPr>
        <w:t>,</w:t>
      </w:r>
      <w:r w:rsidR="00FD7832">
        <w:rPr>
          <w:rFonts w:ascii="Arial" w:eastAsia="Times New Roman" w:hAnsi="Arial" w:cs="Arial"/>
          <w:sz w:val="18"/>
          <w:szCs w:val="18"/>
          <w:lang w:val="el-GR" w:eastAsia="el-GR"/>
        </w:rPr>
        <w:t xml:space="preserve"> </w:t>
      </w:r>
      <w:r w:rsidR="00985421" w:rsidRPr="007246A9">
        <w:rPr>
          <w:rFonts w:ascii="Arial" w:eastAsia="Times New Roman" w:hAnsi="Arial" w:cs="Arial"/>
          <w:sz w:val="18"/>
          <w:szCs w:val="18"/>
          <w:lang w:val="el-GR" w:eastAsia="el-GR"/>
        </w:rPr>
        <w:t>σε σύγκριση με €</w:t>
      </w:r>
      <w:r w:rsidR="003914B1" w:rsidRPr="007246A9">
        <w:rPr>
          <w:rFonts w:ascii="Arial" w:eastAsia="Times New Roman" w:hAnsi="Arial" w:cs="Arial"/>
          <w:sz w:val="18"/>
          <w:szCs w:val="18"/>
          <w:lang w:val="el-GR" w:eastAsia="el-GR"/>
        </w:rPr>
        <w:t>48</w:t>
      </w:r>
      <w:r w:rsidR="00985421" w:rsidRPr="007246A9">
        <w:rPr>
          <w:rFonts w:ascii="Arial" w:eastAsia="Times New Roman" w:hAnsi="Arial" w:cs="Arial"/>
          <w:sz w:val="18"/>
          <w:szCs w:val="18"/>
          <w:lang w:val="el-GR" w:eastAsia="el-GR"/>
        </w:rPr>
        <w:t xml:space="preserve"> εκατ. για το β’ τρίμην</w:t>
      </w:r>
      <w:r w:rsidR="003914B1" w:rsidRPr="007246A9">
        <w:rPr>
          <w:rFonts w:ascii="Arial" w:eastAsia="Times New Roman" w:hAnsi="Arial" w:cs="Arial"/>
          <w:sz w:val="18"/>
          <w:szCs w:val="18"/>
          <w:lang w:val="el-GR" w:eastAsia="el-GR"/>
        </w:rPr>
        <w:t>ο 2024</w:t>
      </w:r>
      <w:r w:rsidR="00FE5238">
        <w:rPr>
          <w:rFonts w:ascii="Arial" w:eastAsia="Times New Roman" w:hAnsi="Arial" w:cs="Arial"/>
          <w:sz w:val="18"/>
          <w:szCs w:val="18"/>
          <w:lang w:val="el-GR" w:eastAsia="el-GR"/>
        </w:rPr>
        <w:t xml:space="preserve">, αυξημένο κατά 14% σε τριμηνιαία βάση, </w:t>
      </w:r>
      <w:r w:rsidR="00FE5238">
        <w:rPr>
          <w:rFonts w:ascii="Arial" w:hAnsi="Arial" w:cs="Arial"/>
          <w:sz w:val="18"/>
          <w:szCs w:val="18"/>
          <w:lang w:val="el-GR" w:eastAsia="el-GR"/>
        </w:rPr>
        <w:t xml:space="preserve">λόγω της πλήρους αναγνώρισης κόστους </w:t>
      </w:r>
      <w:r w:rsidR="00FE5238" w:rsidRPr="00FE5238">
        <w:rPr>
          <w:rFonts w:ascii="Arial" w:hAnsi="Arial" w:cs="Arial"/>
          <w:sz w:val="18"/>
          <w:szCs w:val="18"/>
          <w:lang w:val="el-GR" w:eastAsia="el-GR"/>
        </w:rPr>
        <w:t>που αφορά Σχέδιο Εθελούσιας Αποχώρησης μικρής κλίμακας</w:t>
      </w:r>
      <w:r w:rsidR="00FE5238">
        <w:rPr>
          <w:rFonts w:ascii="Arial" w:hAnsi="Arial" w:cs="Arial"/>
          <w:sz w:val="18"/>
          <w:szCs w:val="18"/>
          <w:lang w:val="el-GR" w:eastAsia="el-GR"/>
        </w:rPr>
        <w:t xml:space="preserve"> κατά το γ’ τρίμηνο 2024</w:t>
      </w:r>
      <w:r w:rsidR="00FD7832">
        <w:rPr>
          <w:rFonts w:ascii="Arial" w:hAnsi="Arial" w:cs="Arial"/>
          <w:sz w:val="18"/>
          <w:szCs w:val="18"/>
          <w:lang w:val="el-GR" w:eastAsia="el-GR"/>
        </w:rPr>
        <w:t>.</w:t>
      </w:r>
    </w:p>
    <w:p w14:paraId="401A1731" w14:textId="77777777" w:rsidR="008A252B" w:rsidRPr="00D41B36" w:rsidRDefault="008A252B" w:rsidP="008C092C">
      <w:pPr>
        <w:spacing w:after="0" w:line="240" w:lineRule="auto"/>
        <w:jc w:val="both"/>
        <w:rPr>
          <w:rFonts w:ascii="Arial" w:eastAsia="Times New Roman" w:hAnsi="Arial" w:cs="Arial"/>
          <w:sz w:val="12"/>
          <w:szCs w:val="12"/>
          <w:highlight w:val="yellow"/>
          <w:lang w:val="el-GR" w:eastAsia="el-GR"/>
        </w:rPr>
      </w:pPr>
    </w:p>
    <w:p w14:paraId="4BEC97DE" w14:textId="4AD24614" w:rsidR="008C092C" w:rsidRPr="007246A9" w:rsidRDefault="002403E1" w:rsidP="008C092C">
      <w:pPr>
        <w:spacing w:after="0" w:line="240" w:lineRule="auto"/>
        <w:jc w:val="both"/>
        <w:rPr>
          <w:rFonts w:ascii="Arial" w:hAnsi="Arial" w:cs="Arial"/>
          <w:sz w:val="18"/>
          <w:szCs w:val="18"/>
          <w:lang w:val="el-GR" w:eastAsia="el-GR"/>
        </w:rPr>
      </w:pPr>
      <w:r w:rsidRPr="007246A9">
        <w:rPr>
          <w:rFonts w:ascii="Arial" w:hAnsi="Arial" w:cs="Arial"/>
          <w:sz w:val="18"/>
          <w:szCs w:val="18"/>
          <w:lang w:val="el-GR" w:eastAsia="el-GR"/>
        </w:rPr>
        <w:t xml:space="preserve">Η πρόβλεψη για </w:t>
      </w:r>
      <w:r w:rsidR="0046100B" w:rsidRPr="007246A9">
        <w:rPr>
          <w:rFonts w:ascii="Arial" w:hAnsi="Arial" w:cs="Arial"/>
          <w:sz w:val="18"/>
          <w:szCs w:val="18"/>
          <w:lang w:val="el-GR" w:eastAsia="el-GR"/>
        </w:rPr>
        <w:t>παροχές προσωπικού</w:t>
      </w:r>
      <w:r w:rsidR="00A4763C" w:rsidRPr="007246A9">
        <w:rPr>
          <w:rFonts w:ascii="Arial" w:hAnsi="Arial" w:cs="Arial"/>
          <w:sz w:val="18"/>
          <w:szCs w:val="18"/>
          <w:lang w:val="el-GR" w:eastAsia="el-GR"/>
        </w:rPr>
        <w:t xml:space="preserve"> </w:t>
      </w:r>
      <w:r w:rsidRPr="007246A9">
        <w:rPr>
          <w:rFonts w:ascii="Arial" w:hAnsi="Arial" w:cs="Arial"/>
          <w:sz w:val="18"/>
          <w:szCs w:val="18"/>
          <w:lang w:val="el-GR" w:eastAsia="el-GR"/>
        </w:rPr>
        <w:t xml:space="preserve">βάσει απόδοσης, αφορά </w:t>
      </w:r>
      <w:r w:rsidR="0046100B" w:rsidRPr="007246A9">
        <w:rPr>
          <w:rFonts w:ascii="Arial" w:hAnsi="Arial" w:cs="Arial"/>
          <w:sz w:val="18"/>
          <w:szCs w:val="18"/>
          <w:lang w:val="el-GR" w:eastAsia="el-GR"/>
        </w:rPr>
        <w:t>το Βραχυπρόθεσμο Σχέδιο Παροχής Κινήτρων</w:t>
      </w:r>
      <w:r w:rsidR="00EA6F21" w:rsidRPr="007246A9">
        <w:rPr>
          <w:rFonts w:ascii="Arial" w:hAnsi="Arial" w:cs="Arial"/>
          <w:sz w:val="18"/>
          <w:szCs w:val="18"/>
          <w:lang w:val="el-GR" w:eastAsia="el-GR"/>
        </w:rPr>
        <w:t xml:space="preserve"> και το Μακροπρόθεσμο </w:t>
      </w:r>
      <w:proofErr w:type="spellStart"/>
      <w:r w:rsidR="00EA6F21" w:rsidRPr="007246A9">
        <w:rPr>
          <w:rFonts w:ascii="Arial" w:hAnsi="Arial" w:cs="Arial"/>
          <w:sz w:val="18"/>
          <w:szCs w:val="18"/>
          <w:lang w:val="el-GR" w:eastAsia="el-GR"/>
        </w:rPr>
        <w:t>Σχεδίο</w:t>
      </w:r>
      <w:proofErr w:type="spellEnd"/>
      <w:r w:rsidR="00EA6F21" w:rsidRPr="007246A9">
        <w:rPr>
          <w:rFonts w:ascii="Arial" w:hAnsi="Arial" w:cs="Arial"/>
          <w:sz w:val="18"/>
          <w:szCs w:val="18"/>
          <w:lang w:val="el-GR" w:eastAsia="el-GR"/>
        </w:rPr>
        <w:t xml:space="preserve"> Παροχής Κινήτρων.</w:t>
      </w:r>
      <w:r w:rsidRPr="007246A9">
        <w:rPr>
          <w:rFonts w:ascii="Arial" w:hAnsi="Arial" w:cs="Arial"/>
          <w:sz w:val="18"/>
          <w:szCs w:val="18"/>
          <w:lang w:val="el-GR" w:eastAsia="el-GR"/>
        </w:rPr>
        <w:t xml:space="preserve"> </w:t>
      </w:r>
      <w:r w:rsidR="00EA6F21" w:rsidRPr="007246A9">
        <w:rPr>
          <w:rFonts w:ascii="Arial" w:hAnsi="Arial" w:cs="Arial"/>
          <w:sz w:val="18"/>
          <w:szCs w:val="18"/>
          <w:lang w:val="el-GR" w:eastAsia="el-GR"/>
        </w:rPr>
        <w:t>Το Βραχυπρόθεσμο Σχέδιο Παροχής Κινήτρων αφορά μεταβλητή αμοιβή σε επιλέξιμα μέλη του προσωπικού βάσει απόδοσης, τόσο συνολικής απόδοσης ως προς την υλοποίηση της στρατηγικής του Συγκροτήματος όσο και ατομικής απόδοσης.</w:t>
      </w:r>
      <w:r w:rsidR="00625E7B" w:rsidRPr="007246A9">
        <w:rPr>
          <w:rFonts w:ascii="Arial" w:hAnsi="Arial" w:cs="Arial"/>
          <w:sz w:val="18"/>
          <w:szCs w:val="18"/>
          <w:lang w:val="el-GR" w:eastAsia="el-GR"/>
        </w:rPr>
        <w:t xml:space="preserve"> Το Μακροπρόθεσμο Σχέδιο Παροχής Κινήτρων προβλέπει παραχώρηση παροχών υπό τη μορφή συνήθων μετοχών της Εταιρίας στη βάση κριτηρίων κατοχύρωσης με όλους τους όρους απόδοσης να μην είναι όροι απόδοσης της αγοράς.</w:t>
      </w:r>
      <w:r w:rsidR="00625E7B" w:rsidRPr="007246A9" w:rsidDel="00B07E81">
        <w:rPr>
          <w:rFonts w:ascii="Arial" w:hAnsi="Arial" w:cs="Arial"/>
          <w:sz w:val="18"/>
          <w:szCs w:val="18"/>
          <w:lang w:val="el-GR" w:eastAsia="el-GR"/>
        </w:rPr>
        <w:t xml:space="preserve"> </w:t>
      </w:r>
    </w:p>
    <w:p w14:paraId="1C9EB46B" w14:textId="0F7C20E0" w:rsidR="003121AC" w:rsidRPr="007246A9" w:rsidRDefault="003121AC" w:rsidP="008C092C">
      <w:pPr>
        <w:spacing w:after="0" w:line="240" w:lineRule="auto"/>
        <w:jc w:val="both"/>
        <w:rPr>
          <w:rFonts w:ascii="Arial" w:hAnsi="Arial" w:cs="Arial"/>
          <w:sz w:val="12"/>
          <w:szCs w:val="12"/>
          <w:lang w:val="el-GR" w:eastAsia="el-GR"/>
        </w:rPr>
      </w:pPr>
    </w:p>
    <w:p w14:paraId="610A1880" w14:textId="0A327B6B" w:rsidR="00FD7832" w:rsidRDefault="00625E7B" w:rsidP="00D022B5">
      <w:pPr>
        <w:spacing w:after="0" w:line="240" w:lineRule="auto"/>
        <w:jc w:val="both"/>
        <w:rPr>
          <w:rFonts w:ascii="Arial" w:hAnsi="Arial" w:cs="Arial"/>
          <w:sz w:val="18"/>
          <w:szCs w:val="18"/>
          <w:lang w:val="el-GR" w:eastAsia="el-GR"/>
        </w:rPr>
      </w:pPr>
      <w:r w:rsidRPr="007246A9">
        <w:rPr>
          <w:rFonts w:ascii="Arial" w:hAnsi="Arial" w:cs="Arial"/>
          <w:sz w:val="18"/>
          <w:szCs w:val="18"/>
          <w:lang w:val="el-GR" w:eastAsia="el-GR"/>
        </w:rPr>
        <w:t>Το Μακροπρόθεσμο Σχέδιο Παροχής Κινήτρων</w:t>
      </w:r>
      <w:r w:rsidR="002977FF" w:rsidRPr="007246A9">
        <w:rPr>
          <w:rFonts w:ascii="Arial" w:hAnsi="Arial" w:cs="Arial"/>
          <w:sz w:val="18"/>
          <w:szCs w:val="18"/>
          <w:lang w:val="el-GR" w:eastAsia="el-GR"/>
        </w:rPr>
        <w:t xml:space="preserve"> (ΜΣΠΚ) </w:t>
      </w:r>
      <w:r w:rsidRPr="007246A9">
        <w:rPr>
          <w:rFonts w:ascii="Arial" w:hAnsi="Arial" w:cs="Arial"/>
          <w:sz w:val="18"/>
          <w:szCs w:val="18"/>
          <w:lang w:val="el-GR" w:eastAsia="el-GR"/>
        </w:rPr>
        <w:t>εγκρίθηκε κ</w:t>
      </w:r>
      <w:r w:rsidR="000E2993" w:rsidRPr="007246A9">
        <w:rPr>
          <w:rFonts w:ascii="Arial" w:hAnsi="Arial" w:cs="Arial"/>
          <w:sz w:val="18"/>
          <w:szCs w:val="18"/>
          <w:lang w:val="el-GR" w:eastAsia="el-GR"/>
        </w:rPr>
        <w:t xml:space="preserve">ατά </w:t>
      </w:r>
      <w:r w:rsidR="00F25614" w:rsidRPr="007246A9">
        <w:rPr>
          <w:rFonts w:ascii="Arial" w:hAnsi="Arial" w:cs="Arial"/>
          <w:sz w:val="18"/>
          <w:szCs w:val="18"/>
          <w:lang w:val="el-GR" w:eastAsia="el-GR"/>
        </w:rPr>
        <w:t xml:space="preserve">την </w:t>
      </w:r>
      <w:r w:rsidR="000E2993" w:rsidRPr="007246A9">
        <w:rPr>
          <w:rFonts w:ascii="Arial" w:hAnsi="Arial" w:cs="Arial"/>
          <w:sz w:val="18"/>
          <w:szCs w:val="18"/>
          <w:lang w:val="el-GR" w:eastAsia="el-GR"/>
        </w:rPr>
        <w:t xml:space="preserve">Ετήσια Γενική Συνέλευση που πραγματοποιήθηκε </w:t>
      </w:r>
      <w:r w:rsidR="00B37F6A">
        <w:rPr>
          <w:rFonts w:ascii="Arial" w:hAnsi="Arial" w:cs="Arial"/>
          <w:sz w:val="18"/>
          <w:szCs w:val="18"/>
          <w:lang w:val="el-GR" w:eastAsia="el-GR"/>
        </w:rPr>
        <w:t xml:space="preserve">στις 20 </w:t>
      </w:r>
      <w:r w:rsidR="00B37F6A" w:rsidRPr="007246A9">
        <w:rPr>
          <w:rFonts w:ascii="Arial" w:hAnsi="Arial" w:cs="Arial"/>
          <w:sz w:val="18"/>
          <w:szCs w:val="18"/>
          <w:lang w:val="el-GR" w:eastAsia="el-GR"/>
        </w:rPr>
        <w:t>Μ</w:t>
      </w:r>
      <w:r w:rsidR="00B37F6A">
        <w:rPr>
          <w:rFonts w:ascii="Arial" w:hAnsi="Arial" w:cs="Arial"/>
          <w:sz w:val="18"/>
          <w:szCs w:val="18"/>
          <w:lang w:val="el-GR" w:eastAsia="el-GR"/>
        </w:rPr>
        <w:t>α</w:t>
      </w:r>
      <w:r w:rsidR="00B37F6A" w:rsidRPr="007246A9">
        <w:rPr>
          <w:rFonts w:ascii="Arial" w:hAnsi="Arial" w:cs="Arial"/>
          <w:sz w:val="18"/>
          <w:szCs w:val="18"/>
          <w:lang w:val="el-GR" w:eastAsia="el-GR"/>
        </w:rPr>
        <w:t>ΐο</w:t>
      </w:r>
      <w:r w:rsidR="00B37F6A">
        <w:rPr>
          <w:rFonts w:ascii="Arial" w:hAnsi="Arial" w:cs="Arial"/>
          <w:sz w:val="18"/>
          <w:szCs w:val="18"/>
          <w:lang w:val="el-GR" w:eastAsia="el-GR"/>
        </w:rPr>
        <w:t>υ</w:t>
      </w:r>
      <w:r w:rsidR="000E2993" w:rsidRPr="007246A9">
        <w:rPr>
          <w:rFonts w:ascii="Arial" w:hAnsi="Arial" w:cs="Arial"/>
          <w:sz w:val="18"/>
          <w:szCs w:val="18"/>
          <w:lang w:val="el-GR" w:eastAsia="el-GR"/>
        </w:rPr>
        <w:t xml:space="preserve"> 2022</w:t>
      </w:r>
      <w:r w:rsidRPr="007246A9">
        <w:rPr>
          <w:rFonts w:ascii="Arial" w:hAnsi="Arial" w:cs="Arial"/>
          <w:sz w:val="18"/>
          <w:szCs w:val="18"/>
          <w:lang w:val="el-GR" w:eastAsia="el-GR"/>
        </w:rPr>
        <w:t>.</w:t>
      </w:r>
      <w:r w:rsidR="007F1C1C" w:rsidRPr="007246A9">
        <w:rPr>
          <w:rFonts w:ascii="Arial" w:hAnsi="Arial" w:cs="Arial"/>
          <w:sz w:val="18"/>
          <w:szCs w:val="18"/>
          <w:lang w:val="el-GR" w:eastAsia="el-GR"/>
        </w:rPr>
        <w:t xml:space="preserve"> </w:t>
      </w:r>
      <w:r w:rsidR="002977FF" w:rsidRPr="007246A9">
        <w:rPr>
          <w:rFonts w:ascii="Arial" w:hAnsi="Arial" w:cs="Arial"/>
          <w:sz w:val="18"/>
          <w:szCs w:val="18"/>
          <w:lang w:val="el-GR" w:eastAsia="el-GR"/>
        </w:rPr>
        <w:t>Το</w:t>
      </w:r>
      <w:r w:rsidR="007F1C1C" w:rsidRPr="007246A9">
        <w:rPr>
          <w:rFonts w:ascii="Arial" w:hAnsi="Arial" w:cs="Arial"/>
          <w:sz w:val="18"/>
          <w:szCs w:val="18"/>
          <w:lang w:val="el-GR" w:eastAsia="el-GR"/>
        </w:rPr>
        <w:t xml:space="preserve"> </w:t>
      </w:r>
      <w:r w:rsidR="002977FF" w:rsidRPr="007246A9">
        <w:rPr>
          <w:rFonts w:ascii="Arial" w:hAnsi="Arial" w:cs="Arial"/>
          <w:sz w:val="18"/>
          <w:szCs w:val="18"/>
          <w:lang w:val="el-GR" w:eastAsia="el-GR"/>
        </w:rPr>
        <w:t xml:space="preserve">ΜΣΠΚ περιλαμβάνει τη </w:t>
      </w:r>
      <w:r w:rsidR="00A67DD9">
        <w:rPr>
          <w:rFonts w:ascii="Arial" w:hAnsi="Arial" w:cs="Arial"/>
          <w:sz w:val="18"/>
          <w:szCs w:val="18"/>
          <w:lang w:val="el-GR" w:eastAsia="el-GR"/>
        </w:rPr>
        <w:t>παραχώρηση παροχών με τη μορφή συνήθων</w:t>
      </w:r>
      <w:r w:rsidR="00A67DD9" w:rsidRPr="007246A9">
        <w:rPr>
          <w:rFonts w:ascii="Arial" w:hAnsi="Arial" w:cs="Arial"/>
          <w:sz w:val="18"/>
          <w:szCs w:val="18"/>
          <w:lang w:val="el-GR" w:eastAsia="el-GR"/>
        </w:rPr>
        <w:t xml:space="preserve"> </w:t>
      </w:r>
      <w:r w:rsidR="002977FF" w:rsidRPr="007246A9">
        <w:rPr>
          <w:rFonts w:ascii="Arial" w:hAnsi="Arial" w:cs="Arial"/>
          <w:sz w:val="18"/>
          <w:szCs w:val="18"/>
          <w:lang w:val="el-GR" w:eastAsia="el-GR"/>
        </w:rPr>
        <w:t xml:space="preserve">μετοχών και βασίζεται στην επίτευξη </w:t>
      </w:r>
      <w:proofErr w:type="spellStart"/>
      <w:r w:rsidR="002977FF" w:rsidRPr="007246A9">
        <w:rPr>
          <w:rFonts w:ascii="Arial" w:hAnsi="Arial" w:cs="Arial"/>
          <w:sz w:val="18"/>
          <w:szCs w:val="18"/>
          <w:lang w:val="el-GR" w:eastAsia="el-GR"/>
        </w:rPr>
        <w:t>σκοροκάρτας</w:t>
      </w:r>
      <w:proofErr w:type="spellEnd"/>
      <w:r w:rsidR="002977FF" w:rsidRPr="007246A9">
        <w:rPr>
          <w:rFonts w:ascii="Arial" w:hAnsi="Arial" w:cs="Arial"/>
          <w:sz w:val="18"/>
          <w:szCs w:val="18"/>
          <w:lang w:val="el-GR" w:eastAsia="el-GR"/>
        </w:rPr>
        <w:t xml:space="preserve">, με μέτρα και στόχους που έχουν τεθεί για την ευθυγράμμιση των αποτελεσμάτων με την υλοποίηση της στρατηγικής του Συγκροτήματος. Επί του παρόντος, σύμφωνα με το σχέδιο, οι εργαζόμενοι που είναι επιλέξιμοι για απονομές ΜΣΠΚ είναι τα μέλη της Διευρυμένης Εκτελεστικής Επιτροπής, συμπεριλαμβανομένων των εκτελεστικών διοικητικών συμβούλων. Το ΜΣΠΚ ορίζει ότι η απόδοση θα </w:t>
      </w:r>
      <w:r w:rsidR="00A67DD9">
        <w:rPr>
          <w:rFonts w:ascii="Arial" w:hAnsi="Arial" w:cs="Arial"/>
          <w:sz w:val="18"/>
          <w:szCs w:val="18"/>
          <w:lang w:val="el-GR" w:eastAsia="el-GR"/>
        </w:rPr>
        <w:t>επιμετράτε για τριετή</w:t>
      </w:r>
      <w:r w:rsidR="002977FF" w:rsidRPr="007246A9">
        <w:rPr>
          <w:rFonts w:ascii="Arial" w:hAnsi="Arial" w:cs="Arial"/>
          <w:sz w:val="18"/>
          <w:szCs w:val="18"/>
          <w:lang w:val="el-GR" w:eastAsia="el-GR"/>
        </w:rPr>
        <w:t xml:space="preserve"> περίοδο</w:t>
      </w:r>
      <w:r w:rsidR="00A67DD9">
        <w:rPr>
          <w:rFonts w:ascii="Arial" w:hAnsi="Arial" w:cs="Arial"/>
          <w:sz w:val="18"/>
          <w:szCs w:val="18"/>
          <w:lang w:val="el-GR" w:eastAsia="el-GR"/>
        </w:rPr>
        <w:t xml:space="preserve"> </w:t>
      </w:r>
      <w:r w:rsidR="002977FF" w:rsidRPr="007246A9">
        <w:rPr>
          <w:rFonts w:ascii="Arial" w:hAnsi="Arial" w:cs="Arial"/>
          <w:sz w:val="18"/>
          <w:szCs w:val="18"/>
          <w:lang w:val="el-GR" w:eastAsia="el-GR"/>
        </w:rPr>
        <w:t xml:space="preserve">και θέτει οικονομικούς και μη οικονομικούς στόχους που πρέπει να επιτευχθούν. Στο τέλος της περιόδου απόδοσης, το αποτέλεσμα απόδοσης θα χρησιμοποιηθεί για την αξιολόγηση του ποσοστού των απονομών που θα απονεμηθούν. </w:t>
      </w:r>
      <w:r w:rsidR="000E2993" w:rsidRPr="007246A9">
        <w:rPr>
          <w:rFonts w:ascii="Arial" w:hAnsi="Arial" w:cs="Arial"/>
          <w:sz w:val="18"/>
          <w:szCs w:val="18"/>
          <w:lang w:val="el-GR" w:eastAsia="el-GR"/>
        </w:rPr>
        <w:t xml:space="preserve">Τον Δεκέμβριο 2022, το Συγκρότημα παραχώρησε 819,860 μετοχές, κάτω από το ΜΣΠΚ, σε 22 </w:t>
      </w:r>
      <w:r w:rsidR="007827C5" w:rsidRPr="007246A9">
        <w:rPr>
          <w:rFonts w:ascii="Arial" w:hAnsi="Arial" w:cs="Arial"/>
          <w:sz w:val="18"/>
          <w:szCs w:val="18"/>
          <w:lang w:val="el-GR" w:eastAsia="el-GR"/>
        </w:rPr>
        <w:t>επιλέξιμα μέλη του προσωπικού</w:t>
      </w:r>
      <w:r w:rsidR="000E2993" w:rsidRPr="007246A9">
        <w:rPr>
          <w:rFonts w:ascii="Arial" w:hAnsi="Arial" w:cs="Arial"/>
          <w:sz w:val="18"/>
          <w:szCs w:val="18"/>
          <w:lang w:val="el-GR" w:eastAsia="el-GR"/>
        </w:rPr>
        <w:t>, που αποτελούν τη Διευρυμένη Εκτελεστική Επιτροπή του Συγκροτήματος. Οι μετοχές που παραχωρήθηκαν τον Δεκέμβριο 2022 εξαρτώνται από την εκπλήρωση κριτηρίων απόδοσης για μία τριετή περίοδο (2022-2024) (με όλους τους όρους απόδοσης να μην είναι όροι απόδοσης</w:t>
      </w:r>
      <w:r w:rsidR="00A67DD9">
        <w:rPr>
          <w:rFonts w:ascii="Arial" w:hAnsi="Arial" w:cs="Arial"/>
          <w:sz w:val="18"/>
          <w:szCs w:val="18"/>
          <w:lang w:val="el-GR" w:eastAsia="el-GR"/>
        </w:rPr>
        <w:t xml:space="preserve"> </w:t>
      </w:r>
      <w:r w:rsidR="000E2993" w:rsidRPr="007246A9">
        <w:rPr>
          <w:rFonts w:ascii="Arial" w:hAnsi="Arial" w:cs="Arial"/>
          <w:sz w:val="18"/>
          <w:szCs w:val="18"/>
          <w:lang w:val="el-GR" w:eastAsia="el-GR"/>
        </w:rPr>
        <w:t>αγοράς)</w:t>
      </w:r>
      <w:r w:rsidR="007827C5" w:rsidRPr="007246A9">
        <w:rPr>
          <w:rFonts w:ascii="Arial" w:hAnsi="Arial" w:cs="Arial"/>
          <w:sz w:val="18"/>
          <w:szCs w:val="18"/>
          <w:lang w:val="el-GR" w:eastAsia="el-GR"/>
        </w:rPr>
        <w:t xml:space="preserve">. Τον Οκτώβριο 2023, το Συγκρότημα παραχώρησε 479,160 μετοχές σε 21 επιλέξιμα μέλη του προσωπικού που αποτελούν τη Διευρυμένη Εκτελεστική Επιτροπή του Συγκροτήματος. </w:t>
      </w:r>
      <w:r w:rsidR="007F1C1C" w:rsidRPr="007246A9">
        <w:rPr>
          <w:rFonts w:ascii="Arial" w:hAnsi="Arial" w:cs="Arial"/>
          <w:sz w:val="18"/>
          <w:szCs w:val="18"/>
          <w:lang w:val="el-GR" w:eastAsia="el-GR"/>
        </w:rPr>
        <w:t xml:space="preserve">Οι μετοχές που </w:t>
      </w:r>
    </w:p>
    <w:p w14:paraId="50E5EFAB" w14:textId="77777777" w:rsidR="00FD7832" w:rsidRPr="007246A9" w:rsidRDefault="00FD7832" w:rsidP="00FD7832">
      <w:pPr>
        <w:spacing w:after="0" w:line="240" w:lineRule="auto"/>
        <w:jc w:val="both"/>
        <w:rPr>
          <w:rFonts w:ascii="Arial" w:hAnsi="Arial" w:cs="Arial"/>
          <w:sz w:val="18"/>
          <w:szCs w:val="18"/>
          <w:lang w:val="el-GR" w:eastAsia="el-GR"/>
        </w:rPr>
      </w:pPr>
      <w:r w:rsidRPr="007246A9">
        <w:rPr>
          <w:rFonts w:ascii="Arial" w:hAnsi="Arial" w:cs="Arial"/>
          <w:b/>
          <w:bCs/>
          <w:color w:val="FF9900"/>
          <w:sz w:val="24"/>
          <w:szCs w:val="24"/>
          <w:lang w:val="el-GR"/>
        </w:rPr>
        <w:lastRenderedPageBreak/>
        <w:t xml:space="preserve">Α. Οικονομικά Αποτελέσματα Συγκροτήματος – Υποκείμενη Βάση </w:t>
      </w:r>
      <w:r w:rsidRPr="007246A9">
        <w:rPr>
          <w:rFonts w:ascii="Arial" w:hAnsi="Arial" w:cs="Arial"/>
          <w:color w:val="FF9900"/>
          <w:sz w:val="24"/>
          <w:szCs w:val="24"/>
          <w:lang w:val="el-GR"/>
        </w:rPr>
        <w:t xml:space="preserve">(συνέχεια) </w:t>
      </w:r>
    </w:p>
    <w:p w14:paraId="20284312" w14:textId="77777777" w:rsidR="00FD7832" w:rsidRPr="007246A9" w:rsidRDefault="00FD7832" w:rsidP="00FD7832">
      <w:pPr>
        <w:spacing w:after="0" w:line="240" w:lineRule="auto"/>
        <w:rPr>
          <w:rFonts w:ascii="Arial" w:hAnsi="Arial" w:cs="Arial"/>
          <w:b/>
          <w:bCs/>
          <w:color w:val="FF9900"/>
          <w:sz w:val="10"/>
          <w:szCs w:val="10"/>
          <w:lang w:val="el-GR"/>
        </w:rPr>
      </w:pPr>
    </w:p>
    <w:p w14:paraId="43A1DC1C" w14:textId="77777777" w:rsidR="00FD7832" w:rsidRPr="007246A9" w:rsidRDefault="00FD7832" w:rsidP="00FD7832">
      <w:pPr>
        <w:spacing w:after="0" w:line="360" w:lineRule="auto"/>
        <w:ind w:left="851" w:hanging="851"/>
        <w:rPr>
          <w:rFonts w:ascii="Arial" w:hAnsi="Arial" w:cs="Arial"/>
          <w:b/>
          <w:bCs/>
          <w:color w:val="FF9900"/>
          <w:sz w:val="23"/>
          <w:szCs w:val="23"/>
          <w:lang w:val="el-GR"/>
        </w:rPr>
      </w:pPr>
      <w:r w:rsidRPr="007246A9">
        <w:rPr>
          <w:rFonts w:ascii="Arial" w:hAnsi="Arial" w:cs="Arial"/>
          <w:b/>
          <w:bCs/>
          <w:color w:val="FF9900"/>
          <w:sz w:val="23"/>
          <w:szCs w:val="23"/>
          <w:lang w:val="el-GR"/>
        </w:rPr>
        <w:t xml:space="preserve">Α.2. Ανάλυση Κατάστασης Λογαριασμού Αποτελεσμάτων </w:t>
      </w:r>
      <w:r w:rsidRPr="007246A9">
        <w:rPr>
          <w:rFonts w:ascii="Arial" w:hAnsi="Arial" w:cs="Arial"/>
          <w:color w:val="FF9900"/>
          <w:sz w:val="23"/>
          <w:szCs w:val="23"/>
          <w:lang w:val="el-GR"/>
        </w:rPr>
        <w:t>(συνέχεια)</w:t>
      </w:r>
    </w:p>
    <w:p w14:paraId="4540C7E1" w14:textId="3A868E69" w:rsidR="00FD7832" w:rsidRDefault="00FD7832" w:rsidP="00502B4F">
      <w:pPr>
        <w:spacing w:after="0" w:line="360" w:lineRule="auto"/>
        <w:ind w:left="851" w:hanging="851"/>
        <w:rPr>
          <w:rFonts w:ascii="Arial" w:hAnsi="Arial" w:cs="Arial"/>
          <w:sz w:val="18"/>
          <w:szCs w:val="18"/>
          <w:lang w:val="el-GR" w:eastAsia="el-GR"/>
        </w:rPr>
      </w:pPr>
      <w:r w:rsidRPr="007246A9">
        <w:rPr>
          <w:rFonts w:ascii="Arial" w:hAnsi="Arial" w:cs="Arial"/>
          <w:b/>
          <w:bCs/>
          <w:color w:val="FF9900"/>
          <w:lang w:val="el-GR"/>
        </w:rPr>
        <w:t xml:space="preserve">Α.2.2 Συνολικά Έξοδα </w:t>
      </w:r>
      <w:r w:rsidRPr="007246A9">
        <w:rPr>
          <w:rFonts w:ascii="Arial" w:hAnsi="Arial" w:cs="Arial"/>
          <w:color w:val="FF9900"/>
          <w:lang w:val="el-GR"/>
        </w:rPr>
        <w:t>(συνέχεια)</w:t>
      </w:r>
    </w:p>
    <w:p w14:paraId="5552DF24" w14:textId="29CCB549" w:rsidR="00D022B5" w:rsidRPr="007246A9" w:rsidRDefault="007F1C1C" w:rsidP="00D022B5">
      <w:pPr>
        <w:spacing w:after="0" w:line="240" w:lineRule="auto"/>
        <w:jc w:val="both"/>
        <w:rPr>
          <w:rFonts w:ascii="Arial" w:hAnsi="Arial" w:cs="Arial"/>
          <w:sz w:val="18"/>
          <w:szCs w:val="18"/>
          <w:lang w:val="el-GR" w:eastAsia="el-GR"/>
        </w:rPr>
      </w:pPr>
      <w:r w:rsidRPr="007246A9">
        <w:rPr>
          <w:rFonts w:ascii="Arial" w:hAnsi="Arial" w:cs="Arial"/>
          <w:sz w:val="18"/>
          <w:szCs w:val="18"/>
          <w:lang w:val="el-GR" w:eastAsia="el-GR"/>
        </w:rPr>
        <w:t>παραχωρήθηκαν τον Οκτώβριο 2023 εξαρτώνται από την εκπλήρωση κριτηρίων απόδοσης για μία τριετή περίοδο (2023-2025) (με όλους τους όρους απόδοσης να μην είναι όροι απόδοσης</w:t>
      </w:r>
      <w:r w:rsidR="00A67DD9">
        <w:rPr>
          <w:rFonts w:ascii="Arial" w:hAnsi="Arial" w:cs="Arial"/>
          <w:sz w:val="18"/>
          <w:szCs w:val="18"/>
          <w:lang w:val="el-GR" w:eastAsia="el-GR"/>
        </w:rPr>
        <w:t xml:space="preserve"> </w:t>
      </w:r>
      <w:r w:rsidRPr="007246A9">
        <w:rPr>
          <w:rFonts w:ascii="Arial" w:hAnsi="Arial" w:cs="Arial"/>
          <w:sz w:val="18"/>
          <w:szCs w:val="18"/>
          <w:lang w:val="el-GR" w:eastAsia="el-GR"/>
        </w:rPr>
        <w:t>αγοράς). Τον Απρίλιο  2024, το Συγκρότημα παραχώρησε 403,990 μετοχές σε 21 επιλέξιμα μέλη του προσωπικού που αποτελούν τη Διευρυμένη Εκτελεστική Επιτροπή του Συγκροτήματος.</w:t>
      </w:r>
      <w:r w:rsidR="00FD7832">
        <w:rPr>
          <w:rFonts w:ascii="Arial" w:hAnsi="Arial" w:cs="Arial"/>
          <w:b/>
          <w:bCs/>
          <w:color w:val="FF9900"/>
          <w:sz w:val="24"/>
          <w:szCs w:val="24"/>
          <w:lang w:val="el-GR"/>
        </w:rPr>
        <w:t xml:space="preserve"> </w:t>
      </w:r>
      <w:r w:rsidRPr="007246A9">
        <w:rPr>
          <w:rFonts w:ascii="Arial" w:hAnsi="Arial" w:cs="Arial"/>
          <w:sz w:val="18"/>
          <w:szCs w:val="18"/>
          <w:lang w:val="el-GR" w:eastAsia="el-GR"/>
        </w:rPr>
        <w:t>Οι μετοχές που παραχωρήθηκαν τον Απρίλιο 2024 εξαρτώνται από την εκπλήρωση κριτηρίων απόδοσης για μία τριετή περίοδο (2024-2026) (με όλους τους όρους απόδοσης να μην είναι όροι απόδοσης</w:t>
      </w:r>
      <w:r w:rsidR="00A67DD9">
        <w:rPr>
          <w:rFonts w:ascii="Arial" w:hAnsi="Arial" w:cs="Arial"/>
          <w:sz w:val="18"/>
          <w:szCs w:val="18"/>
          <w:lang w:val="el-GR" w:eastAsia="el-GR"/>
        </w:rPr>
        <w:t xml:space="preserve"> </w:t>
      </w:r>
      <w:r w:rsidRPr="007246A9">
        <w:rPr>
          <w:rFonts w:ascii="Arial" w:hAnsi="Arial" w:cs="Arial"/>
          <w:sz w:val="18"/>
          <w:szCs w:val="18"/>
          <w:lang w:val="el-GR" w:eastAsia="el-GR"/>
        </w:rPr>
        <w:t>αγοράς).</w:t>
      </w:r>
    </w:p>
    <w:p w14:paraId="76519D1A" w14:textId="77777777" w:rsidR="00E06043" w:rsidRPr="00161C7D" w:rsidRDefault="00E06043" w:rsidP="00D022B5">
      <w:pPr>
        <w:spacing w:after="0" w:line="240" w:lineRule="auto"/>
        <w:jc w:val="both"/>
        <w:rPr>
          <w:rFonts w:ascii="Arial" w:hAnsi="Arial" w:cs="Arial"/>
          <w:sz w:val="18"/>
          <w:szCs w:val="18"/>
          <w:highlight w:val="yellow"/>
          <w:lang w:val="el-GR" w:eastAsia="el-GR"/>
        </w:rPr>
      </w:pPr>
    </w:p>
    <w:p w14:paraId="6677CDC7" w14:textId="0186A0B4" w:rsidR="008D10DD" w:rsidRPr="007246A9" w:rsidRDefault="007827C5" w:rsidP="006A1797">
      <w:pPr>
        <w:spacing w:after="0" w:line="240" w:lineRule="auto"/>
        <w:jc w:val="both"/>
        <w:rPr>
          <w:rFonts w:ascii="Arial" w:hAnsi="Arial" w:cs="Arial"/>
          <w:b/>
          <w:bCs/>
          <w:color w:val="FF9900"/>
          <w:sz w:val="24"/>
          <w:szCs w:val="24"/>
          <w:lang w:val="el-GR"/>
        </w:rPr>
      </w:pPr>
      <w:r w:rsidRPr="007246A9">
        <w:rPr>
          <w:rFonts w:ascii="Arial" w:hAnsi="Arial" w:cs="Arial"/>
          <w:sz w:val="18"/>
          <w:szCs w:val="18"/>
          <w:lang w:val="el-GR"/>
        </w:rPr>
        <w:t xml:space="preserve">Οι μετοχές θα κατοχυρωθούν σε έξι δόσεις, με την πρώτη δόση να κατοχυρώνεται μετά το τέλος της περιόδου αξιολόγησης και την τελευταία δόση κατά την πέμπτη επέτειο από την ημερομηνία κατοχύρωσης της πρώτης δόσης. </w:t>
      </w:r>
    </w:p>
    <w:p w14:paraId="06BD3928" w14:textId="77777777" w:rsidR="00B07E81" w:rsidRPr="00502B4F" w:rsidRDefault="00B07E81" w:rsidP="008C092C">
      <w:pPr>
        <w:spacing w:after="0" w:line="240" w:lineRule="auto"/>
        <w:jc w:val="both"/>
        <w:rPr>
          <w:rFonts w:ascii="Arial" w:hAnsi="Arial" w:cs="Arial"/>
          <w:sz w:val="18"/>
          <w:szCs w:val="18"/>
          <w:lang w:val="el-GR"/>
        </w:rPr>
      </w:pPr>
    </w:p>
    <w:p w14:paraId="70F73B07" w14:textId="754A85CE" w:rsidR="00D740B5" w:rsidRPr="007246A9" w:rsidRDefault="008C092C" w:rsidP="008C092C">
      <w:pPr>
        <w:spacing w:after="0" w:line="240" w:lineRule="auto"/>
        <w:jc w:val="both"/>
        <w:rPr>
          <w:rFonts w:ascii="Arial" w:hAnsi="Arial" w:cs="Arial"/>
          <w:sz w:val="18"/>
          <w:szCs w:val="18"/>
          <w:lang w:val="el-GR"/>
        </w:rPr>
      </w:pPr>
      <w:r w:rsidRPr="007246A9">
        <w:rPr>
          <w:rFonts w:ascii="Arial" w:hAnsi="Arial" w:cs="Arial"/>
          <w:sz w:val="18"/>
          <w:szCs w:val="18"/>
          <w:lang w:val="el-GR"/>
        </w:rPr>
        <w:t xml:space="preserve">Το Συγκρότημα </w:t>
      </w:r>
      <w:proofErr w:type="spellStart"/>
      <w:r w:rsidRPr="007246A9">
        <w:rPr>
          <w:rFonts w:ascii="Arial" w:hAnsi="Arial" w:cs="Arial"/>
          <w:sz w:val="18"/>
          <w:szCs w:val="18"/>
          <w:lang w:val="el-GR"/>
        </w:rPr>
        <w:t>εργοδοτούσε</w:t>
      </w:r>
      <w:proofErr w:type="spellEnd"/>
      <w:r w:rsidRPr="007246A9">
        <w:rPr>
          <w:rFonts w:ascii="Arial" w:hAnsi="Arial" w:cs="Arial"/>
          <w:sz w:val="18"/>
          <w:szCs w:val="18"/>
          <w:lang w:val="el-GR"/>
        </w:rPr>
        <w:t xml:space="preserve"> </w:t>
      </w:r>
      <w:r w:rsidR="00FD7832" w:rsidRPr="00502B4F">
        <w:rPr>
          <w:rFonts w:ascii="Arial" w:hAnsi="Arial" w:cs="Arial"/>
          <w:sz w:val="18"/>
          <w:szCs w:val="18"/>
          <w:lang w:val="el-GR"/>
        </w:rPr>
        <w:t xml:space="preserve">2,874 </w:t>
      </w:r>
      <w:r w:rsidRPr="007246A9">
        <w:rPr>
          <w:rFonts w:ascii="Arial" w:hAnsi="Arial" w:cs="Arial"/>
          <w:sz w:val="18"/>
          <w:szCs w:val="18"/>
          <w:lang w:val="el-GR"/>
        </w:rPr>
        <w:t xml:space="preserve">άτομα στις </w:t>
      </w:r>
      <w:r w:rsidR="00E26717" w:rsidRPr="007246A9">
        <w:rPr>
          <w:rFonts w:ascii="Arial" w:hAnsi="Arial" w:cs="Arial"/>
          <w:sz w:val="18"/>
          <w:szCs w:val="18"/>
          <w:lang w:val="el-GR"/>
        </w:rPr>
        <w:t xml:space="preserve">30 </w:t>
      </w:r>
      <w:r w:rsidR="00713F06" w:rsidRPr="007246A9">
        <w:rPr>
          <w:rFonts w:ascii="Arial" w:hAnsi="Arial" w:cs="Arial"/>
          <w:sz w:val="18"/>
          <w:szCs w:val="18"/>
          <w:lang w:val="el-GR"/>
        </w:rPr>
        <w:t xml:space="preserve">Σεπτεμβρίου </w:t>
      </w:r>
      <w:r w:rsidR="00B07E81" w:rsidRPr="007246A9">
        <w:rPr>
          <w:rFonts w:ascii="Arial" w:hAnsi="Arial" w:cs="Arial"/>
          <w:sz w:val="18"/>
          <w:szCs w:val="18"/>
          <w:lang w:val="el-GR"/>
        </w:rPr>
        <w:t xml:space="preserve">2024 </w:t>
      </w:r>
      <w:r w:rsidRPr="007246A9">
        <w:rPr>
          <w:rFonts w:ascii="Arial" w:hAnsi="Arial" w:cs="Arial"/>
          <w:sz w:val="18"/>
          <w:szCs w:val="18"/>
          <w:lang w:val="el-GR"/>
        </w:rPr>
        <w:t xml:space="preserve">σε σύγκριση με </w:t>
      </w:r>
      <w:r w:rsidR="00713F06" w:rsidRPr="007246A9">
        <w:rPr>
          <w:rFonts w:ascii="Arial" w:hAnsi="Arial" w:cs="Arial"/>
          <w:sz w:val="18"/>
          <w:szCs w:val="18"/>
          <w:lang w:val="el-GR"/>
        </w:rPr>
        <w:t xml:space="preserve">2,860 άτομα στις 30 Ιουνίου 2024 </w:t>
      </w:r>
      <w:r w:rsidR="00E26717" w:rsidRPr="007246A9">
        <w:rPr>
          <w:rFonts w:ascii="Arial" w:hAnsi="Arial" w:cs="Arial"/>
          <w:sz w:val="18"/>
          <w:szCs w:val="18"/>
          <w:lang w:val="el-GR"/>
        </w:rPr>
        <w:t xml:space="preserve">και με </w:t>
      </w:r>
      <w:r w:rsidR="00FD19EE" w:rsidRPr="007246A9">
        <w:rPr>
          <w:rFonts w:ascii="Arial" w:hAnsi="Arial" w:cs="Arial"/>
          <w:sz w:val="18"/>
          <w:szCs w:val="18"/>
          <w:lang w:val="el-GR"/>
        </w:rPr>
        <w:t>2,</w:t>
      </w:r>
      <w:r w:rsidR="00B07E81" w:rsidRPr="007246A9">
        <w:rPr>
          <w:rFonts w:ascii="Arial" w:hAnsi="Arial" w:cs="Arial"/>
          <w:sz w:val="18"/>
          <w:szCs w:val="18"/>
          <w:lang w:val="el-GR"/>
        </w:rPr>
        <w:t xml:space="preserve">830 </w:t>
      </w:r>
      <w:r w:rsidR="00FD19EE" w:rsidRPr="007246A9">
        <w:rPr>
          <w:rFonts w:ascii="Arial" w:hAnsi="Arial" w:cs="Arial"/>
          <w:sz w:val="18"/>
          <w:szCs w:val="18"/>
          <w:lang w:val="el-GR"/>
        </w:rPr>
        <w:t xml:space="preserve">άτομα </w:t>
      </w:r>
      <w:r w:rsidR="00B07E81" w:rsidRPr="007246A9">
        <w:rPr>
          <w:rFonts w:ascii="Arial" w:hAnsi="Arial" w:cs="Arial"/>
          <w:sz w:val="18"/>
          <w:szCs w:val="18"/>
          <w:lang w:val="el-GR"/>
        </w:rPr>
        <w:t xml:space="preserve">στις </w:t>
      </w:r>
      <w:r w:rsidRPr="007246A9">
        <w:rPr>
          <w:rFonts w:ascii="Arial" w:hAnsi="Arial" w:cs="Arial"/>
          <w:sz w:val="18"/>
          <w:szCs w:val="18"/>
          <w:lang w:val="el-GR"/>
        </w:rPr>
        <w:t xml:space="preserve">31 Δεκεμβρίου </w:t>
      </w:r>
      <w:r w:rsidR="00B07E81" w:rsidRPr="007246A9">
        <w:rPr>
          <w:rFonts w:ascii="Arial" w:hAnsi="Arial" w:cs="Arial"/>
          <w:sz w:val="18"/>
          <w:szCs w:val="18"/>
          <w:lang w:val="el-GR"/>
        </w:rPr>
        <w:t>2023</w:t>
      </w:r>
      <w:r w:rsidRPr="007246A9">
        <w:rPr>
          <w:rFonts w:ascii="Arial" w:hAnsi="Arial" w:cs="Arial"/>
          <w:sz w:val="18"/>
          <w:szCs w:val="18"/>
          <w:lang w:val="el-GR"/>
        </w:rPr>
        <w:t>.</w:t>
      </w:r>
    </w:p>
    <w:p w14:paraId="6A445F7B" w14:textId="1C013A8F" w:rsidR="005B7856" w:rsidRPr="007246A9" w:rsidRDefault="005B7856" w:rsidP="00F26350">
      <w:pPr>
        <w:spacing w:after="0" w:line="240" w:lineRule="auto"/>
        <w:jc w:val="both"/>
        <w:rPr>
          <w:rFonts w:ascii="Arial" w:hAnsi="Arial" w:cs="Arial"/>
          <w:sz w:val="18"/>
          <w:szCs w:val="18"/>
          <w:lang w:val="el-GR"/>
        </w:rPr>
      </w:pPr>
      <w:bookmarkStart w:id="21" w:name="_Hlk126683180"/>
      <w:bookmarkStart w:id="22" w:name="_Hlk126655011"/>
      <w:bookmarkStart w:id="23" w:name="_Hlk126654455"/>
    </w:p>
    <w:bookmarkEnd w:id="21"/>
    <w:bookmarkEnd w:id="22"/>
    <w:bookmarkEnd w:id="23"/>
    <w:p w14:paraId="251AA536" w14:textId="1F07FCAB" w:rsidR="00AC57C7" w:rsidRPr="00D41B36" w:rsidRDefault="005B7856">
      <w:pPr>
        <w:spacing w:after="0" w:line="240" w:lineRule="auto"/>
        <w:jc w:val="both"/>
        <w:rPr>
          <w:rFonts w:ascii="Arial" w:eastAsia="Times New Roman" w:hAnsi="Arial" w:cs="Arial"/>
          <w:sz w:val="18"/>
          <w:szCs w:val="18"/>
          <w:highlight w:val="yellow"/>
          <w:lang w:val="el-GR" w:eastAsia="el-GR"/>
        </w:rPr>
      </w:pPr>
      <w:r w:rsidRPr="007246A9">
        <w:rPr>
          <w:rFonts w:ascii="Arial" w:hAnsi="Arial" w:cs="Arial"/>
          <w:b/>
          <w:bCs/>
          <w:sz w:val="18"/>
          <w:szCs w:val="18"/>
          <w:lang w:val="el-GR" w:eastAsia="el-GR"/>
        </w:rPr>
        <w:t xml:space="preserve">Τα </w:t>
      </w:r>
      <w:r w:rsidR="00A67DD9">
        <w:rPr>
          <w:rFonts w:ascii="Arial" w:hAnsi="Arial" w:cs="Arial"/>
          <w:b/>
          <w:bCs/>
          <w:sz w:val="18"/>
          <w:szCs w:val="18"/>
          <w:lang w:val="el-GR" w:eastAsia="el-GR"/>
        </w:rPr>
        <w:t>λοιπά</w:t>
      </w:r>
      <w:r w:rsidR="00A67DD9" w:rsidRPr="007246A9">
        <w:rPr>
          <w:rFonts w:ascii="Arial" w:hAnsi="Arial" w:cs="Arial"/>
          <w:b/>
          <w:bCs/>
          <w:sz w:val="18"/>
          <w:szCs w:val="18"/>
          <w:lang w:val="el-GR" w:eastAsia="el-GR"/>
        </w:rPr>
        <w:t xml:space="preserve"> </w:t>
      </w:r>
      <w:r w:rsidRPr="007246A9">
        <w:rPr>
          <w:rFonts w:ascii="Arial" w:hAnsi="Arial" w:cs="Arial"/>
          <w:b/>
          <w:bCs/>
          <w:sz w:val="18"/>
          <w:szCs w:val="18"/>
          <w:lang w:val="el-GR" w:eastAsia="el-GR"/>
        </w:rPr>
        <w:t>λειτουργικά έξοδα</w:t>
      </w:r>
      <w:r w:rsidR="006A0961" w:rsidRPr="007246A9">
        <w:rPr>
          <w:rFonts w:ascii="Arial" w:hAnsi="Arial" w:cs="Arial"/>
          <w:sz w:val="18"/>
          <w:szCs w:val="18"/>
          <w:lang w:val="el-GR" w:eastAsia="el-GR"/>
        </w:rPr>
        <w:t xml:space="preserve"> για </w:t>
      </w:r>
      <w:r w:rsidR="00FD19EE" w:rsidRPr="007246A9">
        <w:rPr>
          <w:rFonts w:ascii="Arial" w:hAnsi="Arial" w:cs="Arial"/>
          <w:sz w:val="18"/>
          <w:szCs w:val="18"/>
          <w:lang w:val="el-GR" w:eastAsia="el-GR"/>
        </w:rPr>
        <w:t>το</w:t>
      </w:r>
      <w:r w:rsidR="00713F06" w:rsidRPr="007246A9">
        <w:rPr>
          <w:rFonts w:ascii="Arial" w:hAnsi="Arial" w:cs="Arial"/>
          <w:sz w:val="18"/>
          <w:szCs w:val="18"/>
          <w:lang w:val="el-GR" w:eastAsia="el-GR"/>
        </w:rPr>
        <w:t xml:space="preserve"> </w:t>
      </w:r>
      <w:r w:rsidR="007A2F9B">
        <w:rPr>
          <w:rFonts w:ascii="Arial" w:hAnsi="Arial" w:cs="Arial"/>
          <w:bCs/>
          <w:color w:val="000000" w:themeColor="text1"/>
          <w:sz w:val="18"/>
          <w:szCs w:val="18"/>
          <w:lang w:val="el-GR"/>
        </w:rPr>
        <w:t>εννεάμηνο</w:t>
      </w:r>
      <w:r w:rsidR="00713F06" w:rsidRPr="00713F06">
        <w:rPr>
          <w:rFonts w:ascii="Arial" w:hAnsi="Arial" w:cs="Arial"/>
          <w:bCs/>
          <w:color w:val="000000" w:themeColor="text1"/>
          <w:sz w:val="18"/>
          <w:szCs w:val="18"/>
          <w:lang w:val="el-GR"/>
        </w:rPr>
        <w:t xml:space="preserve"> που έληξε στις 30 Σεπτεμβρίου</w:t>
      </w:r>
      <w:r w:rsidR="00713F06" w:rsidRPr="007246A9">
        <w:rPr>
          <w:rFonts w:ascii="Arial" w:eastAsia="Times New Roman" w:hAnsi="Arial" w:cs="Arial"/>
          <w:sz w:val="18"/>
          <w:szCs w:val="18"/>
          <w:lang w:val="el-GR" w:eastAsia="el-GR"/>
        </w:rPr>
        <w:t xml:space="preserve"> </w:t>
      </w:r>
      <w:r w:rsidR="00AC57C7" w:rsidRPr="007246A9">
        <w:rPr>
          <w:rFonts w:ascii="Arial" w:eastAsia="Times New Roman" w:hAnsi="Arial" w:cs="Arial"/>
          <w:sz w:val="18"/>
          <w:szCs w:val="18"/>
          <w:lang w:val="el-GR" w:eastAsia="el-GR"/>
        </w:rPr>
        <w:t>2024</w:t>
      </w:r>
      <w:r w:rsidR="00AC57C7" w:rsidRPr="007246A9">
        <w:rPr>
          <w:rFonts w:ascii="Arial" w:hAnsi="Arial" w:cs="Arial"/>
          <w:sz w:val="18"/>
          <w:szCs w:val="18"/>
          <w:lang w:val="el-GR"/>
        </w:rPr>
        <w:t xml:space="preserve"> </w:t>
      </w:r>
      <w:r w:rsidR="00AC57C7" w:rsidRPr="007246A9">
        <w:rPr>
          <w:rFonts w:ascii="Arial" w:eastAsia="Times New Roman" w:hAnsi="Arial" w:cs="Arial"/>
          <w:sz w:val="18"/>
          <w:szCs w:val="18"/>
          <w:lang w:val="el-GR" w:eastAsia="el-GR"/>
        </w:rPr>
        <w:t>αν</w:t>
      </w:r>
      <w:r w:rsidR="00AC57C7" w:rsidRPr="00F4498C">
        <w:rPr>
          <w:rFonts w:ascii="Arial" w:eastAsia="Times New Roman" w:hAnsi="Arial" w:cs="Arial"/>
          <w:sz w:val="18"/>
          <w:szCs w:val="18"/>
          <w:lang w:val="el-GR" w:eastAsia="el-GR"/>
        </w:rPr>
        <w:t xml:space="preserve">ήλθαν σε </w:t>
      </w:r>
      <w:r w:rsidR="00AC57C7" w:rsidRPr="00F4498C">
        <w:rPr>
          <w:rFonts w:ascii="Arial" w:hAnsi="Arial" w:cs="Arial"/>
          <w:sz w:val="18"/>
          <w:szCs w:val="18"/>
          <w:lang w:val="el-GR" w:eastAsia="el-GR"/>
        </w:rPr>
        <w:t>€</w:t>
      </w:r>
      <w:r w:rsidR="00F4498C" w:rsidRPr="00502B4F">
        <w:rPr>
          <w:rFonts w:ascii="Arial" w:hAnsi="Arial" w:cs="Arial"/>
          <w:bCs/>
          <w:sz w:val="18"/>
          <w:szCs w:val="18"/>
          <w:lang w:val="el-GR" w:eastAsia="el-GR"/>
        </w:rPr>
        <w:t xml:space="preserve">115 </w:t>
      </w:r>
      <w:r w:rsidR="00AC57C7" w:rsidRPr="00F4498C">
        <w:rPr>
          <w:rFonts w:ascii="Arial" w:hAnsi="Arial" w:cs="Arial"/>
          <w:sz w:val="18"/>
          <w:szCs w:val="18"/>
          <w:lang w:val="el-GR" w:eastAsia="el-GR"/>
        </w:rPr>
        <w:t>εκατ., σε σύγκριση με €</w:t>
      </w:r>
      <w:r w:rsidR="00713F06" w:rsidRPr="00F4498C">
        <w:rPr>
          <w:rFonts w:ascii="Arial" w:hAnsi="Arial" w:cs="Arial"/>
          <w:bCs/>
          <w:sz w:val="18"/>
          <w:szCs w:val="18"/>
          <w:lang w:val="el-GR" w:eastAsia="el-GR"/>
        </w:rPr>
        <w:t xml:space="preserve">107 </w:t>
      </w:r>
      <w:r w:rsidR="00AC57C7" w:rsidRPr="00F4498C">
        <w:rPr>
          <w:rFonts w:ascii="Arial" w:hAnsi="Arial" w:cs="Arial"/>
          <w:sz w:val="18"/>
          <w:szCs w:val="18"/>
          <w:lang w:val="el-GR" w:eastAsia="el-GR"/>
        </w:rPr>
        <w:t xml:space="preserve">εκατ. για </w:t>
      </w:r>
      <w:r w:rsidR="00713F06" w:rsidRPr="00F4498C">
        <w:rPr>
          <w:rFonts w:ascii="Arial" w:eastAsia="Batang" w:hAnsi="Arial" w:cs="Arial"/>
          <w:sz w:val="18"/>
          <w:szCs w:val="18"/>
          <w:lang w:val="el-GR" w:eastAsia="en-US"/>
        </w:rPr>
        <w:t xml:space="preserve">αντίστοιχο </w:t>
      </w:r>
      <w:r w:rsidR="007A2F9B">
        <w:rPr>
          <w:rFonts w:ascii="Arial" w:eastAsia="Batang" w:hAnsi="Arial" w:cs="Arial"/>
          <w:sz w:val="18"/>
          <w:szCs w:val="18"/>
          <w:lang w:val="el-GR" w:eastAsia="en-US"/>
        </w:rPr>
        <w:t>εννεάμηνο</w:t>
      </w:r>
      <w:r w:rsidR="00AC57C7" w:rsidRPr="00F4498C">
        <w:rPr>
          <w:rFonts w:ascii="Arial" w:eastAsia="Times New Roman" w:hAnsi="Arial" w:cs="Arial"/>
          <w:sz w:val="18"/>
          <w:szCs w:val="18"/>
          <w:lang w:val="el-GR" w:eastAsia="el-GR"/>
        </w:rPr>
        <w:t xml:space="preserve"> 2023,</w:t>
      </w:r>
      <w:r w:rsidR="00662068" w:rsidRPr="00F4498C">
        <w:rPr>
          <w:rFonts w:ascii="Arial" w:eastAsia="Times New Roman" w:hAnsi="Arial" w:cs="Arial"/>
          <w:sz w:val="18"/>
          <w:szCs w:val="18"/>
          <w:lang w:val="el-GR" w:eastAsia="el-GR"/>
        </w:rPr>
        <w:t xml:space="preserve"> αυξημένα κατά </w:t>
      </w:r>
      <w:r w:rsidR="00F4498C" w:rsidRPr="00502B4F">
        <w:rPr>
          <w:rFonts w:ascii="Arial" w:eastAsia="Times New Roman" w:hAnsi="Arial" w:cs="Arial"/>
          <w:sz w:val="18"/>
          <w:szCs w:val="18"/>
          <w:lang w:val="el-GR" w:eastAsia="el-GR"/>
        </w:rPr>
        <w:t>8</w:t>
      </w:r>
      <w:r w:rsidR="00662068" w:rsidRPr="00F4498C">
        <w:rPr>
          <w:rFonts w:ascii="Arial" w:eastAsia="Times New Roman" w:hAnsi="Arial" w:cs="Arial"/>
          <w:sz w:val="18"/>
          <w:szCs w:val="18"/>
          <w:lang w:val="el-GR" w:eastAsia="el-GR"/>
        </w:rPr>
        <w:t>% σε ετήσια βάση,</w:t>
      </w:r>
      <w:r w:rsidR="00F4498C" w:rsidRPr="00F4498C">
        <w:rPr>
          <w:rFonts w:ascii="Arial" w:eastAsia="Times New Roman" w:hAnsi="Arial" w:cs="Arial"/>
          <w:sz w:val="18"/>
          <w:szCs w:val="18"/>
          <w:lang w:val="el-GR" w:eastAsia="el-GR"/>
        </w:rPr>
        <w:t xml:space="preserve"> </w:t>
      </w:r>
      <w:r w:rsidR="00662068" w:rsidRPr="00502B4F">
        <w:rPr>
          <w:rFonts w:ascii="Arial" w:eastAsia="Times New Roman" w:hAnsi="Arial" w:cs="Arial"/>
          <w:sz w:val="18"/>
          <w:szCs w:val="18"/>
          <w:lang w:val="el-GR" w:eastAsia="el-GR"/>
        </w:rPr>
        <w:t xml:space="preserve">επηρεασμένα </w:t>
      </w:r>
      <w:r w:rsidR="00713F06" w:rsidRPr="00502B4F">
        <w:rPr>
          <w:rFonts w:ascii="Arial" w:eastAsia="Times New Roman" w:hAnsi="Arial" w:cs="Arial"/>
          <w:sz w:val="18"/>
          <w:szCs w:val="18"/>
          <w:lang w:val="el-GR" w:eastAsia="el-GR"/>
        </w:rPr>
        <w:t xml:space="preserve">κυρίως </w:t>
      </w:r>
      <w:r w:rsidR="00662068" w:rsidRPr="00502B4F">
        <w:rPr>
          <w:rFonts w:ascii="Arial" w:eastAsia="Times New Roman" w:hAnsi="Arial" w:cs="Arial"/>
          <w:sz w:val="18"/>
          <w:szCs w:val="18"/>
          <w:lang w:val="el-GR" w:eastAsia="el-GR"/>
        </w:rPr>
        <w:t>από τις πληθωριστικές πιέσεις</w:t>
      </w:r>
      <w:r w:rsidR="00F4498C" w:rsidRPr="00502B4F">
        <w:rPr>
          <w:rFonts w:ascii="Arial" w:eastAsia="Times New Roman" w:hAnsi="Arial" w:cs="Arial"/>
          <w:sz w:val="18"/>
          <w:szCs w:val="18"/>
          <w:lang w:val="el-GR" w:eastAsia="el-GR"/>
        </w:rPr>
        <w:t xml:space="preserve">, </w:t>
      </w:r>
      <w:r w:rsidR="00662068" w:rsidRPr="00502B4F">
        <w:rPr>
          <w:rFonts w:ascii="Arial" w:eastAsia="Times New Roman" w:hAnsi="Arial" w:cs="Arial"/>
          <w:sz w:val="18"/>
          <w:szCs w:val="18"/>
          <w:lang w:val="el-GR" w:eastAsia="el-GR"/>
        </w:rPr>
        <w:t>τα</w:t>
      </w:r>
      <w:r w:rsidR="00C57006" w:rsidRPr="00502B4F">
        <w:rPr>
          <w:rFonts w:ascii="Arial" w:eastAsia="Times New Roman" w:hAnsi="Arial" w:cs="Arial"/>
          <w:sz w:val="18"/>
          <w:szCs w:val="18"/>
          <w:lang w:val="el-GR" w:eastAsia="el-GR"/>
        </w:rPr>
        <w:t xml:space="preserve"> υψηλότερα</w:t>
      </w:r>
      <w:r w:rsidR="00662068" w:rsidRPr="00502B4F">
        <w:rPr>
          <w:rFonts w:ascii="Arial" w:eastAsia="Times New Roman" w:hAnsi="Arial" w:cs="Arial"/>
          <w:sz w:val="18"/>
          <w:szCs w:val="18"/>
          <w:lang w:val="el-GR" w:eastAsia="el-GR"/>
        </w:rPr>
        <w:t xml:space="preserve"> έξοδα διαφήμισης</w:t>
      </w:r>
      <w:r w:rsidR="00F4498C" w:rsidRPr="00502B4F">
        <w:rPr>
          <w:rFonts w:ascii="Arial" w:eastAsia="Times New Roman" w:hAnsi="Arial" w:cs="Arial"/>
          <w:sz w:val="18"/>
          <w:szCs w:val="18"/>
          <w:lang w:val="el-GR" w:eastAsia="el-GR"/>
        </w:rPr>
        <w:t xml:space="preserve"> και τα υψηλότερα επαγγελματικά έξοδα σχετικά με την εισαγωγή στο Χρηματιστήριο Αθηνών</w:t>
      </w:r>
      <w:r w:rsidR="00C57006" w:rsidRPr="00502B4F">
        <w:rPr>
          <w:rFonts w:ascii="Arial" w:eastAsia="Times New Roman" w:hAnsi="Arial" w:cs="Arial"/>
          <w:sz w:val="18"/>
          <w:szCs w:val="18"/>
          <w:lang w:val="el-GR" w:eastAsia="el-GR"/>
        </w:rPr>
        <w:t>.</w:t>
      </w:r>
      <w:r w:rsidR="00713F06" w:rsidRPr="00713F06">
        <w:rPr>
          <w:rFonts w:ascii="Arial" w:eastAsia="Times New Roman" w:hAnsi="Arial" w:cs="Arial"/>
          <w:sz w:val="18"/>
          <w:szCs w:val="18"/>
          <w:lang w:val="el-GR" w:eastAsia="el-GR"/>
        </w:rPr>
        <w:t xml:space="preserve"> </w:t>
      </w:r>
      <w:r w:rsidR="00AC57C7" w:rsidRPr="00F4498C">
        <w:rPr>
          <w:rFonts w:ascii="Arial" w:hAnsi="Arial" w:cs="Arial"/>
          <w:sz w:val="18"/>
          <w:szCs w:val="18"/>
          <w:lang w:val="el-GR" w:eastAsia="el-GR"/>
        </w:rPr>
        <w:t xml:space="preserve">Τα </w:t>
      </w:r>
      <w:r w:rsidR="00A5040B" w:rsidRPr="00F4498C">
        <w:rPr>
          <w:rFonts w:ascii="Arial" w:hAnsi="Arial" w:cs="Arial"/>
          <w:sz w:val="18"/>
          <w:szCs w:val="18"/>
          <w:lang w:val="el-GR" w:eastAsia="el-GR"/>
        </w:rPr>
        <w:t xml:space="preserve">λοιπά </w:t>
      </w:r>
      <w:r w:rsidR="00AC57C7" w:rsidRPr="00F4498C">
        <w:rPr>
          <w:rFonts w:ascii="Arial" w:hAnsi="Arial" w:cs="Arial"/>
          <w:sz w:val="18"/>
          <w:szCs w:val="18"/>
          <w:lang w:val="el-GR" w:eastAsia="el-GR"/>
        </w:rPr>
        <w:t xml:space="preserve">λειτουργικά έξοδα για το </w:t>
      </w:r>
      <w:r w:rsidR="00713F06" w:rsidRPr="00F4498C">
        <w:rPr>
          <w:rFonts w:ascii="Arial" w:hAnsi="Arial" w:cs="Arial"/>
          <w:sz w:val="18"/>
          <w:szCs w:val="18"/>
          <w:lang w:val="el-GR" w:eastAsia="el-GR"/>
        </w:rPr>
        <w:t xml:space="preserve">γ’ </w:t>
      </w:r>
      <w:r w:rsidR="00AC57C7" w:rsidRPr="00F4498C">
        <w:rPr>
          <w:rFonts w:ascii="Arial" w:hAnsi="Arial" w:cs="Arial"/>
          <w:sz w:val="18"/>
          <w:szCs w:val="18"/>
          <w:lang w:val="el-GR" w:eastAsia="el-GR"/>
        </w:rPr>
        <w:t>τρίμηνο 2024 ανήλθαν σε €</w:t>
      </w:r>
      <w:r w:rsidR="00F4498C" w:rsidRPr="00502B4F">
        <w:rPr>
          <w:rFonts w:ascii="Arial" w:hAnsi="Arial" w:cs="Arial"/>
          <w:bCs/>
          <w:sz w:val="18"/>
          <w:szCs w:val="18"/>
          <w:lang w:val="el-GR" w:eastAsia="el-GR"/>
        </w:rPr>
        <w:t xml:space="preserve">44 </w:t>
      </w:r>
      <w:r w:rsidR="00AC57C7" w:rsidRPr="00F4498C">
        <w:rPr>
          <w:rFonts w:ascii="Arial" w:hAnsi="Arial" w:cs="Arial"/>
          <w:sz w:val="18"/>
          <w:szCs w:val="18"/>
          <w:lang w:val="el-GR" w:eastAsia="el-GR"/>
        </w:rPr>
        <w:t>εκατ., σε σύγκριση με €</w:t>
      </w:r>
      <w:r w:rsidR="00713F06" w:rsidRPr="00F4498C">
        <w:rPr>
          <w:rFonts w:ascii="Arial" w:hAnsi="Arial" w:cs="Arial"/>
          <w:bCs/>
          <w:sz w:val="18"/>
          <w:szCs w:val="18"/>
          <w:lang w:val="el-GR" w:eastAsia="el-GR"/>
        </w:rPr>
        <w:t xml:space="preserve">38 </w:t>
      </w:r>
      <w:r w:rsidR="00AC57C7" w:rsidRPr="00F4498C">
        <w:rPr>
          <w:rFonts w:ascii="Arial" w:hAnsi="Arial" w:cs="Arial"/>
          <w:sz w:val="18"/>
          <w:szCs w:val="18"/>
          <w:lang w:val="el-GR" w:eastAsia="el-GR"/>
        </w:rPr>
        <w:t xml:space="preserve">εκατ. για </w:t>
      </w:r>
      <w:r w:rsidR="00AC57C7" w:rsidRPr="00F4498C">
        <w:rPr>
          <w:rFonts w:ascii="Arial" w:eastAsia="Batang" w:hAnsi="Arial" w:cs="Arial"/>
          <w:sz w:val="18"/>
          <w:szCs w:val="18"/>
          <w:lang w:val="el-GR" w:eastAsia="en-US"/>
        </w:rPr>
        <w:t xml:space="preserve">το </w:t>
      </w:r>
      <w:r w:rsidR="00713F06" w:rsidRPr="00F4498C">
        <w:rPr>
          <w:rFonts w:ascii="Arial" w:eastAsia="Times New Roman" w:hAnsi="Arial" w:cs="Arial"/>
          <w:sz w:val="18"/>
          <w:szCs w:val="18"/>
          <w:lang w:val="el-GR" w:eastAsia="el-GR"/>
        </w:rPr>
        <w:t xml:space="preserve">β’ </w:t>
      </w:r>
      <w:r w:rsidR="00AC57C7" w:rsidRPr="00F4498C">
        <w:rPr>
          <w:rFonts w:ascii="Arial" w:eastAsia="Times New Roman" w:hAnsi="Arial" w:cs="Arial"/>
          <w:sz w:val="18"/>
          <w:szCs w:val="18"/>
          <w:lang w:val="el-GR" w:eastAsia="el-GR"/>
        </w:rPr>
        <w:t>τρίμηνο 2024,</w:t>
      </w:r>
      <w:r w:rsidR="00F4498C" w:rsidRPr="00F4498C">
        <w:rPr>
          <w:rFonts w:ascii="Arial" w:eastAsia="Times New Roman" w:hAnsi="Arial" w:cs="Arial"/>
          <w:sz w:val="18"/>
          <w:szCs w:val="18"/>
          <w:lang w:val="el-GR" w:eastAsia="el-GR"/>
        </w:rPr>
        <w:t xml:space="preserve"> </w:t>
      </w:r>
      <w:r w:rsidR="00767E3F" w:rsidRPr="00502B4F">
        <w:rPr>
          <w:rFonts w:ascii="Arial" w:eastAsia="Times New Roman" w:hAnsi="Arial" w:cs="Arial"/>
          <w:sz w:val="18"/>
          <w:szCs w:val="18"/>
          <w:lang w:val="el-GR" w:eastAsia="el-GR"/>
        </w:rPr>
        <w:t>λόγω των υψηλότερων επαγγελματικών εξόδων</w:t>
      </w:r>
      <w:r w:rsidR="00F4498C" w:rsidRPr="00F4498C">
        <w:rPr>
          <w:rFonts w:ascii="Arial" w:eastAsia="Times New Roman" w:hAnsi="Arial" w:cs="Arial"/>
          <w:sz w:val="18"/>
          <w:szCs w:val="18"/>
          <w:lang w:val="el-GR" w:eastAsia="el-GR"/>
        </w:rPr>
        <w:t xml:space="preserve"> σχετικά με την εισαγωγή στο Χρηματιστήριο Αθηνών</w:t>
      </w:r>
      <w:r w:rsidR="009B571C">
        <w:rPr>
          <w:rFonts w:ascii="Arial" w:eastAsia="Times New Roman" w:hAnsi="Arial" w:cs="Arial"/>
          <w:sz w:val="18"/>
          <w:szCs w:val="18"/>
          <w:lang w:val="el-GR" w:eastAsia="el-GR"/>
        </w:rPr>
        <w:t xml:space="preserve"> </w:t>
      </w:r>
      <w:r w:rsidR="00767E3F" w:rsidRPr="00502B4F">
        <w:rPr>
          <w:rFonts w:ascii="Arial" w:eastAsia="Times New Roman" w:hAnsi="Arial" w:cs="Arial"/>
          <w:sz w:val="18"/>
          <w:szCs w:val="18"/>
          <w:lang w:val="el-GR" w:eastAsia="el-GR"/>
        </w:rPr>
        <w:t xml:space="preserve">και </w:t>
      </w:r>
      <w:r w:rsidR="00F4498C" w:rsidRPr="00502B4F">
        <w:rPr>
          <w:rFonts w:ascii="Arial" w:eastAsia="Times New Roman" w:hAnsi="Arial" w:cs="Arial"/>
          <w:sz w:val="18"/>
          <w:szCs w:val="18"/>
          <w:lang w:val="el-GR" w:eastAsia="el-GR"/>
        </w:rPr>
        <w:t xml:space="preserve">των υψηλότερων </w:t>
      </w:r>
      <w:r w:rsidR="00767E3F" w:rsidRPr="00502B4F">
        <w:rPr>
          <w:rFonts w:ascii="Arial" w:eastAsia="Times New Roman" w:hAnsi="Arial" w:cs="Arial"/>
          <w:sz w:val="18"/>
          <w:szCs w:val="18"/>
          <w:lang w:val="el-GR" w:eastAsia="el-GR"/>
        </w:rPr>
        <w:t>εξόδων διαφήμισής</w:t>
      </w:r>
      <w:r w:rsidR="00F4498C" w:rsidRPr="00502B4F">
        <w:rPr>
          <w:rFonts w:ascii="Arial" w:eastAsia="Times New Roman" w:hAnsi="Arial" w:cs="Arial"/>
          <w:sz w:val="18"/>
          <w:szCs w:val="18"/>
          <w:lang w:val="el-GR" w:eastAsia="el-GR"/>
        </w:rPr>
        <w:t xml:space="preserve"> που αφορούν το </w:t>
      </w:r>
      <w:r w:rsidR="009B571C" w:rsidRPr="009B571C">
        <w:rPr>
          <w:rFonts w:ascii="Arial" w:eastAsia="Times New Roman" w:hAnsi="Arial" w:cs="Arial"/>
          <w:sz w:val="18"/>
          <w:szCs w:val="18"/>
          <w:lang w:val="el-GR" w:eastAsia="el-GR"/>
        </w:rPr>
        <w:t>Νέο</w:t>
      </w:r>
      <w:r w:rsidR="00F4498C" w:rsidRPr="00502B4F">
        <w:rPr>
          <w:rFonts w:ascii="Arial" w:eastAsia="Times New Roman" w:hAnsi="Arial" w:cs="Arial"/>
          <w:sz w:val="18"/>
          <w:szCs w:val="18"/>
          <w:lang w:val="el-GR" w:eastAsia="el-GR"/>
        </w:rPr>
        <w:t xml:space="preserve"> Πρόγραμμα Επιβράβευσης </w:t>
      </w:r>
      <w:r w:rsidR="00F4498C" w:rsidRPr="00F4498C">
        <w:rPr>
          <w:rFonts w:ascii="Arial" w:eastAsia="Times New Roman" w:hAnsi="Arial" w:cs="Arial"/>
          <w:sz w:val="18"/>
          <w:szCs w:val="18"/>
          <w:lang w:val="el-GR" w:eastAsia="el-GR"/>
        </w:rPr>
        <w:t>εξυπηρετούμενων δανειοληπτών που ξεκίνησε τον Αύγουστο 2024.</w:t>
      </w:r>
      <w:r w:rsidR="00F4498C">
        <w:rPr>
          <w:rFonts w:ascii="Arial" w:eastAsia="Times New Roman" w:hAnsi="Arial" w:cs="Arial"/>
          <w:sz w:val="18"/>
          <w:szCs w:val="18"/>
          <w:lang w:val="el-GR" w:eastAsia="el-GR"/>
        </w:rPr>
        <w:t xml:space="preserve"> </w:t>
      </w:r>
    </w:p>
    <w:p w14:paraId="08FA8A0D" w14:textId="77777777" w:rsidR="00784FEE" w:rsidRPr="007246A9" w:rsidRDefault="00784FEE" w:rsidP="00343E1D">
      <w:pPr>
        <w:spacing w:after="0" w:line="240" w:lineRule="auto"/>
        <w:jc w:val="both"/>
        <w:rPr>
          <w:rFonts w:ascii="Arial" w:hAnsi="Arial" w:cs="Arial"/>
          <w:sz w:val="18"/>
          <w:szCs w:val="18"/>
          <w:lang w:val="el-GR" w:eastAsia="el-GR"/>
        </w:rPr>
      </w:pPr>
    </w:p>
    <w:p w14:paraId="0E39C412" w14:textId="517B4E67" w:rsidR="009B571C" w:rsidRPr="00502B4F" w:rsidRDefault="005B7856" w:rsidP="002B37B5">
      <w:pPr>
        <w:spacing w:after="0" w:line="240" w:lineRule="auto"/>
        <w:jc w:val="both"/>
        <w:rPr>
          <w:rFonts w:ascii="Arial" w:hAnsi="Arial" w:cs="Arial"/>
          <w:sz w:val="18"/>
          <w:szCs w:val="18"/>
          <w:lang w:val="el-GR" w:eastAsia="el-GR"/>
        </w:rPr>
      </w:pPr>
      <w:r w:rsidRPr="007246A9">
        <w:rPr>
          <w:rFonts w:ascii="Arial" w:hAnsi="Arial" w:cs="Arial"/>
          <w:b/>
          <w:bCs/>
          <w:sz w:val="18"/>
          <w:szCs w:val="18"/>
          <w:lang w:val="el-GR" w:eastAsia="el-GR"/>
        </w:rPr>
        <w:t xml:space="preserve">Ο ειδικός φόρος επί των καταθέσεων και άλλα τέλη/εισφορές </w:t>
      </w:r>
      <w:r w:rsidR="00C8771A" w:rsidRPr="007246A9">
        <w:rPr>
          <w:rFonts w:ascii="Arial" w:hAnsi="Arial" w:cs="Arial"/>
          <w:sz w:val="18"/>
          <w:szCs w:val="18"/>
          <w:lang w:val="el-GR" w:eastAsia="el-GR"/>
        </w:rPr>
        <w:t>για το</w:t>
      </w:r>
      <w:r w:rsidR="00D16797" w:rsidRPr="007246A9">
        <w:rPr>
          <w:rFonts w:ascii="Arial" w:hAnsi="Arial" w:cs="Arial"/>
          <w:sz w:val="18"/>
          <w:szCs w:val="18"/>
          <w:lang w:val="el-GR" w:eastAsia="el-GR"/>
        </w:rPr>
        <w:t xml:space="preserve"> </w:t>
      </w:r>
      <w:r w:rsidR="007A2F9B">
        <w:rPr>
          <w:rFonts w:ascii="Arial" w:hAnsi="Arial" w:cs="Arial"/>
          <w:bCs/>
          <w:color w:val="000000" w:themeColor="text1"/>
          <w:sz w:val="18"/>
          <w:szCs w:val="18"/>
          <w:lang w:val="el-GR"/>
        </w:rPr>
        <w:t>εννεάμηνο</w:t>
      </w:r>
      <w:r w:rsidR="00713F06" w:rsidRPr="00713F06">
        <w:rPr>
          <w:rFonts w:ascii="Arial" w:hAnsi="Arial" w:cs="Arial"/>
          <w:bCs/>
          <w:color w:val="000000" w:themeColor="text1"/>
          <w:sz w:val="18"/>
          <w:szCs w:val="18"/>
          <w:lang w:val="el-GR"/>
        </w:rPr>
        <w:t xml:space="preserve"> που έληξε στις 30 Σεπτεμβρίου</w:t>
      </w:r>
      <w:r w:rsidR="00713F06" w:rsidRPr="007246A9">
        <w:rPr>
          <w:rFonts w:ascii="Arial" w:eastAsia="Times New Roman" w:hAnsi="Arial" w:cs="Arial"/>
          <w:sz w:val="18"/>
          <w:szCs w:val="18"/>
          <w:lang w:val="el-GR" w:eastAsia="el-GR"/>
        </w:rPr>
        <w:t xml:space="preserve"> </w:t>
      </w:r>
      <w:r w:rsidR="005D63B5" w:rsidRPr="007246A9">
        <w:rPr>
          <w:rFonts w:ascii="Arial" w:hAnsi="Arial" w:cs="Arial"/>
          <w:sz w:val="18"/>
          <w:szCs w:val="18"/>
          <w:lang w:val="el-GR" w:eastAsia="el-GR"/>
        </w:rPr>
        <w:t>2024 ανήλθαν σε €</w:t>
      </w:r>
      <w:r w:rsidR="009B571C" w:rsidRPr="00502B4F">
        <w:rPr>
          <w:rFonts w:ascii="Arial" w:hAnsi="Arial" w:cs="Arial"/>
          <w:sz w:val="18"/>
          <w:szCs w:val="18"/>
          <w:lang w:val="el-GR" w:eastAsia="el-GR"/>
        </w:rPr>
        <w:t xml:space="preserve">26 </w:t>
      </w:r>
      <w:r w:rsidR="005D63B5" w:rsidRPr="002B37B5">
        <w:rPr>
          <w:rFonts w:ascii="Arial" w:hAnsi="Arial" w:cs="Arial"/>
          <w:sz w:val="18"/>
          <w:szCs w:val="18"/>
          <w:lang w:val="el-GR" w:eastAsia="el-GR"/>
        </w:rPr>
        <w:t>εκατ</w:t>
      </w:r>
      <w:r w:rsidR="005D63B5" w:rsidRPr="007246A9">
        <w:rPr>
          <w:rFonts w:ascii="Arial" w:hAnsi="Arial" w:cs="Arial"/>
          <w:sz w:val="18"/>
          <w:szCs w:val="18"/>
          <w:lang w:val="el-GR" w:eastAsia="el-GR"/>
        </w:rPr>
        <w:t>., σε σύγκριση με €</w:t>
      </w:r>
      <w:r w:rsidR="00713F06" w:rsidRPr="007246A9">
        <w:rPr>
          <w:rFonts w:ascii="Arial" w:hAnsi="Arial" w:cs="Arial"/>
          <w:sz w:val="18"/>
          <w:szCs w:val="18"/>
          <w:lang w:val="el-GR" w:eastAsia="el-GR"/>
        </w:rPr>
        <w:t xml:space="preserve">30 </w:t>
      </w:r>
      <w:r w:rsidR="005D63B5" w:rsidRPr="007246A9">
        <w:rPr>
          <w:rFonts w:ascii="Arial" w:hAnsi="Arial" w:cs="Arial"/>
          <w:sz w:val="18"/>
          <w:szCs w:val="18"/>
          <w:lang w:val="el-GR" w:eastAsia="el-GR"/>
        </w:rPr>
        <w:t xml:space="preserve">εκατ. για το </w:t>
      </w:r>
      <w:r w:rsidR="00713F06" w:rsidRPr="007246A9">
        <w:rPr>
          <w:rFonts w:ascii="Arial" w:hAnsi="Arial" w:cs="Arial"/>
          <w:sz w:val="18"/>
          <w:szCs w:val="18"/>
          <w:lang w:val="el-GR" w:eastAsia="el-GR"/>
        </w:rPr>
        <w:t xml:space="preserve">αντίστοιχο </w:t>
      </w:r>
      <w:r w:rsidR="007A2F9B">
        <w:rPr>
          <w:rFonts w:ascii="Arial" w:hAnsi="Arial" w:cs="Arial"/>
          <w:sz w:val="18"/>
          <w:szCs w:val="18"/>
          <w:lang w:val="el-GR" w:eastAsia="el-GR"/>
        </w:rPr>
        <w:t>εννεάμηνο</w:t>
      </w:r>
      <w:r w:rsidR="005D63B5" w:rsidRPr="007246A9">
        <w:rPr>
          <w:rFonts w:ascii="Arial" w:hAnsi="Arial" w:cs="Arial"/>
          <w:color w:val="000000" w:themeColor="text1"/>
          <w:sz w:val="18"/>
          <w:szCs w:val="18"/>
          <w:lang w:val="el-GR" w:eastAsia="el-GR"/>
        </w:rPr>
        <w:t xml:space="preserve"> 2023, </w:t>
      </w:r>
      <w:r w:rsidR="009B571C">
        <w:rPr>
          <w:rFonts w:ascii="Arial" w:hAnsi="Arial" w:cs="Arial"/>
          <w:color w:val="000000" w:themeColor="text1"/>
          <w:sz w:val="18"/>
          <w:szCs w:val="18"/>
          <w:lang w:val="el-GR" w:eastAsia="el-GR"/>
        </w:rPr>
        <w:t>μειωμένα</w:t>
      </w:r>
      <w:r w:rsidR="009B571C" w:rsidRPr="007246A9">
        <w:rPr>
          <w:rFonts w:ascii="Arial" w:hAnsi="Arial" w:cs="Arial"/>
          <w:color w:val="000000" w:themeColor="text1"/>
          <w:sz w:val="18"/>
          <w:szCs w:val="18"/>
          <w:lang w:val="el-GR" w:eastAsia="el-GR"/>
        </w:rPr>
        <w:t xml:space="preserve"> </w:t>
      </w:r>
      <w:r w:rsidR="005D63B5" w:rsidRPr="007246A9">
        <w:rPr>
          <w:rFonts w:ascii="Arial" w:hAnsi="Arial" w:cs="Arial"/>
          <w:color w:val="000000" w:themeColor="text1"/>
          <w:sz w:val="18"/>
          <w:szCs w:val="18"/>
          <w:lang w:val="el-GR" w:eastAsia="el-GR"/>
        </w:rPr>
        <w:t xml:space="preserve">κατά </w:t>
      </w:r>
      <w:r w:rsidR="009B571C">
        <w:rPr>
          <w:rFonts w:ascii="Arial" w:hAnsi="Arial" w:cs="Arial"/>
          <w:color w:val="000000" w:themeColor="text1"/>
          <w:sz w:val="18"/>
          <w:szCs w:val="18"/>
          <w:lang w:val="el-GR" w:eastAsia="el-GR"/>
        </w:rPr>
        <w:t>12</w:t>
      </w:r>
      <w:r w:rsidR="005D63B5" w:rsidRPr="007246A9">
        <w:rPr>
          <w:rFonts w:ascii="Arial" w:hAnsi="Arial" w:cs="Arial"/>
          <w:color w:val="000000" w:themeColor="text1"/>
          <w:sz w:val="18"/>
          <w:szCs w:val="18"/>
          <w:lang w:val="el-GR" w:eastAsia="el-GR"/>
        </w:rPr>
        <w:t>%</w:t>
      </w:r>
      <w:r w:rsidR="00767E3F" w:rsidRPr="007246A9">
        <w:rPr>
          <w:rFonts w:ascii="Arial" w:hAnsi="Arial" w:cs="Arial"/>
          <w:color w:val="000000" w:themeColor="text1"/>
          <w:sz w:val="18"/>
          <w:szCs w:val="18"/>
          <w:lang w:val="el-GR" w:eastAsia="el-GR"/>
        </w:rPr>
        <w:t xml:space="preserve"> σε ετήσια βάση</w:t>
      </w:r>
      <w:r w:rsidR="005D63B5" w:rsidRPr="007246A9">
        <w:rPr>
          <w:rFonts w:ascii="Arial" w:hAnsi="Arial" w:cs="Arial"/>
          <w:color w:val="000000" w:themeColor="text1"/>
          <w:sz w:val="18"/>
          <w:szCs w:val="18"/>
          <w:lang w:val="el-GR" w:eastAsia="el-GR"/>
        </w:rPr>
        <w:t>,</w:t>
      </w:r>
      <w:r w:rsidR="009A4183" w:rsidRPr="007246A9">
        <w:rPr>
          <w:rFonts w:ascii="Arial" w:hAnsi="Arial" w:cs="Arial"/>
          <w:color w:val="000000" w:themeColor="text1"/>
          <w:sz w:val="18"/>
          <w:szCs w:val="18"/>
          <w:lang w:val="el-GR" w:eastAsia="el-GR"/>
        </w:rPr>
        <w:t xml:space="preserve"> ως </w:t>
      </w:r>
      <w:r w:rsidR="009B571C">
        <w:rPr>
          <w:rFonts w:ascii="Arial" w:hAnsi="Arial" w:cs="Arial"/>
          <w:color w:val="000000" w:themeColor="text1"/>
          <w:sz w:val="18"/>
          <w:szCs w:val="18"/>
          <w:lang w:val="el-GR" w:eastAsia="el-GR"/>
        </w:rPr>
        <w:t xml:space="preserve">αποτέλεσμα κυρίως της μείωσης της συνεισφοράς της Τράπεζας στο </w:t>
      </w:r>
      <w:r w:rsidR="009B571C" w:rsidRPr="007246A9">
        <w:rPr>
          <w:rFonts w:ascii="Arial" w:hAnsi="Arial" w:cs="Arial"/>
          <w:sz w:val="18"/>
          <w:szCs w:val="18"/>
          <w:lang w:val="el-GR" w:eastAsia="el-GR"/>
        </w:rPr>
        <w:t>Ταμείο Εγγύησης Καταθέσεων (ΤΕΚ)</w:t>
      </w:r>
      <w:r w:rsidR="009B571C">
        <w:rPr>
          <w:rFonts w:ascii="Arial" w:hAnsi="Arial" w:cs="Arial"/>
          <w:sz w:val="18"/>
          <w:szCs w:val="18"/>
          <w:lang w:val="el-GR" w:eastAsia="el-GR"/>
        </w:rPr>
        <w:t>.</w:t>
      </w:r>
      <w:r w:rsidR="002B37B5">
        <w:rPr>
          <w:rFonts w:ascii="Arial" w:hAnsi="Arial" w:cs="Arial"/>
          <w:sz w:val="18"/>
          <w:szCs w:val="18"/>
          <w:lang w:val="el-GR" w:eastAsia="el-GR"/>
        </w:rPr>
        <w:t xml:space="preserve"> </w:t>
      </w:r>
      <w:r w:rsidR="009B571C" w:rsidRPr="009B571C">
        <w:rPr>
          <w:rFonts w:ascii="Arial" w:hAnsi="Arial" w:cs="Arial"/>
          <w:sz w:val="18"/>
          <w:szCs w:val="18"/>
          <w:lang w:val="el-GR" w:eastAsia="el-GR"/>
        </w:rPr>
        <w:t xml:space="preserve">Από </w:t>
      </w:r>
      <w:r w:rsidR="009B571C">
        <w:rPr>
          <w:rFonts w:ascii="Arial" w:hAnsi="Arial" w:cs="Arial"/>
          <w:sz w:val="18"/>
          <w:szCs w:val="18"/>
          <w:lang w:val="el-GR" w:eastAsia="el-GR"/>
        </w:rPr>
        <w:t xml:space="preserve">το </w:t>
      </w:r>
      <w:r w:rsidR="009B571C" w:rsidRPr="009B571C">
        <w:rPr>
          <w:rFonts w:ascii="Arial" w:hAnsi="Arial" w:cs="Arial"/>
          <w:sz w:val="18"/>
          <w:szCs w:val="18"/>
          <w:lang w:val="el-GR" w:eastAsia="el-GR"/>
        </w:rPr>
        <w:t xml:space="preserve">2020 και μέχρι </w:t>
      </w:r>
      <w:r w:rsidR="009B571C">
        <w:rPr>
          <w:rFonts w:ascii="Arial" w:hAnsi="Arial" w:cs="Arial"/>
          <w:sz w:val="18"/>
          <w:szCs w:val="18"/>
          <w:lang w:val="el-GR" w:eastAsia="el-GR"/>
        </w:rPr>
        <w:t>το τέλος Ιουνίου 2024</w:t>
      </w:r>
      <w:r w:rsidR="009B571C" w:rsidRPr="009B571C">
        <w:rPr>
          <w:rFonts w:ascii="Arial" w:hAnsi="Arial" w:cs="Arial"/>
          <w:sz w:val="18"/>
          <w:szCs w:val="18"/>
          <w:lang w:val="el-GR" w:eastAsia="el-GR"/>
        </w:rPr>
        <w:t xml:space="preserve">, η </w:t>
      </w:r>
      <w:r w:rsidR="009B571C">
        <w:rPr>
          <w:rFonts w:ascii="Arial" w:hAnsi="Arial" w:cs="Arial"/>
          <w:sz w:val="18"/>
          <w:szCs w:val="18"/>
          <w:lang w:val="el-GR" w:eastAsia="el-GR"/>
        </w:rPr>
        <w:t>Τράπεζα</w:t>
      </w:r>
      <w:r w:rsidR="009B571C" w:rsidRPr="009B571C">
        <w:rPr>
          <w:rFonts w:ascii="Arial" w:hAnsi="Arial" w:cs="Arial"/>
          <w:sz w:val="18"/>
          <w:szCs w:val="18"/>
          <w:lang w:val="el-GR" w:eastAsia="el-GR"/>
        </w:rPr>
        <w:t xml:space="preserve"> υπόκειτ</w:t>
      </w:r>
      <w:r w:rsidR="009B571C">
        <w:rPr>
          <w:rFonts w:ascii="Arial" w:hAnsi="Arial" w:cs="Arial"/>
          <w:sz w:val="18"/>
          <w:szCs w:val="18"/>
          <w:lang w:val="el-GR" w:eastAsia="el-GR"/>
        </w:rPr>
        <w:t>ο</w:t>
      </w:r>
      <w:r w:rsidR="009B571C" w:rsidRPr="009B571C">
        <w:rPr>
          <w:rFonts w:ascii="Arial" w:hAnsi="Arial" w:cs="Arial"/>
          <w:sz w:val="18"/>
          <w:szCs w:val="18"/>
          <w:lang w:val="el-GR" w:eastAsia="el-GR"/>
        </w:rPr>
        <w:t xml:space="preserve"> σε εισφορά στο </w:t>
      </w:r>
      <w:r w:rsidR="009B571C" w:rsidRPr="007246A9">
        <w:rPr>
          <w:rFonts w:ascii="Arial" w:hAnsi="Arial" w:cs="Arial"/>
          <w:sz w:val="18"/>
          <w:szCs w:val="18"/>
          <w:lang w:val="el-GR" w:eastAsia="el-GR"/>
        </w:rPr>
        <w:t>ΤΕΚ</w:t>
      </w:r>
      <w:r w:rsidR="009B571C">
        <w:rPr>
          <w:rFonts w:ascii="Arial" w:hAnsi="Arial" w:cs="Arial"/>
          <w:sz w:val="18"/>
          <w:szCs w:val="18"/>
          <w:lang w:val="el-GR" w:eastAsia="el-GR"/>
        </w:rPr>
        <w:t xml:space="preserve"> </w:t>
      </w:r>
      <w:r w:rsidR="009B571C" w:rsidRPr="009B571C">
        <w:rPr>
          <w:rFonts w:ascii="Arial" w:hAnsi="Arial" w:cs="Arial"/>
          <w:sz w:val="18"/>
          <w:szCs w:val="18"/>
          <w:lang w:val="el-GR" w:eastAsia="el-GR"/>
        </w:rPr>
        <w:t>σε</w:t>
      </w:r>
      <w:r w:rsidR="009B571C">
        <w:rPr>
          <w:rFonts w:ascii="Arial" w:hAnsi="Arial" w:cs="Arial"/>
          <w:sz w:val="18"/>
          <w:szCs w:val="18"/>
          <w:lang w:val="el-GR" w:eastAsia="el-GR"/>
        </w:rPr>
        <w:t xml:space="preserve"> </w:t>
      </w:r>
      <w:r w:rsidR="009B571C" w:rsidRPr="009B571C">
        <w:rPr>
          <w:rFonts w:ascii="Arial" w:hAnsi="Arial" w:cs="Arial"/>
          <w:sz w:val="18"/>
          <w:szCs w:val="18"/>
          <w:lang w:val="el-GR" w:eastAsia="el-GR"/>
        </w:rPr>
        <w:t>εξαμηνιαία βάση</w:t>
      </w:r>
      <w:r w:rsidR="002B37B5">
        <w:rPr>
          <w:rFonts w:ascii="Arial" w:hAnsi="Arial" w:cs="Arial"/>
          <w:sz w:val="18"/>
          <w:szCs w:val="18"/>
          <w:lang w:val="el-GR" w:eastAsia="el-GR"/>
        </w:rPr>
        <w:t>, που υπολογιζόταν με βάση τις</w:t>
      </w:r>
      <w:r w:rsidR="009B571C" w:rsidRPr="009B571C">
        <w:rPr>
          <w:rFonts w:ascii="Arial" w:hAnsi="Arial" w:cs="Arial"/>
          <w:sz w:val="18"/>
          <w:szCs w:val="18"/>
          <w:lang w:val="el-GR" w:eastAsia="el-GR"/>
        </w:rPr>
        <w:t xml:space="preserve"> εγγυημένες καταθέσεις</w:t>
      </w:r>
      <w:r w:rsidR="009B571C">
        <w:rPr>
          <w:rFonts w:ascii="Arial" w:hAnsi="Arial" w:cs="Arial"/>
          <w:sz w:val="18"/>
          <w:szCs w:val="18"/>
          <w:lang w:val="el-GR" w:eastAsia="el-GR"/>
        </w:rPr>
        <w:t xml:space="preserve"> </w:t>
      </w:r>
      <w:r w:rsidR="009B571C" w:rsidRPr="009B571C">
        <w:rPr>
          <w:rFonts w:ascii="Arial" w:hAnsi="Arial" w:cs="Arial"/>
          <w:sz w:val="18"/>
          <w:szCs w:val="18"/>
          <w:lang w:val="el-GR" w:eastAsia="el-GR"/>
        </w:rPr>
        <w:t xml:space="preserve">όλων των εγκεκριμένων ιδρυμάτων και το επίπεδο-στόχος </w:t>
      </w:r>
      <w:r w:rsidR="002B37B5">
        <w:rPr>
          <w:rFonts w:ascii="Arial" w:hAnsi="Arial" w:cs="Arial"/>
          <w:sz w:val="18"/>
          <w:szCs w:val="18"/>
          <w:lang w:val="el-GR" w:eastAsia="el-GR"/>
        </w:rPr>
        <w:t>είχε καθοριστεί</w:t>
      </w:r>
      <w:r w:rsidR="009B571C" w:rsidRPr="009B571C">
        <w:rPr>
          <w:rFonts w:ascii="Arial" w:hAnsi="Arial" w:cs="Arial"/>
          <w:sz w:val="18"/>
          <w:szCs w:val="18"/>
          <w:lang w:val="el-GR" w:eastAsia="el-GR"/>
        </w:rPr>
        <w:t xml:space="preserve"> σε τουλάχιστον 0.8% επί του ύψους</w:t>
      </w:r>
      <w:r w:rsidR="009B571C">
        <w:rPr>
          <w:rFonts w:ascii="Arial" w:hAnsi="Arial" w:cs="Arial"/>
          <w:sz w:val="18"/>
          <w:szCs w:val="18"/>
          <w:lang w:val="el-GR" w:eastAsia="el-GR"/>
        </w:rPr>
        <w:t xml:space="preserve"> </w:t>
      </w:r>
      <w:r w:rsidR="009B571C" w:rsidRPr="009B571C">
        <w:rPr>
          <w:rFonts w:ascii="Arial" w:hAnsi="Arial" w:cs="Arial"/>
          <w:sz w:val="18"/>
          <w:szCs w:val="18"/>
          <w:lang w:val="el-GR" w:eastAsia="el-GR"/>
        </w:rPr>
        <w:t xml:space="preserve">αυτών των καταθέσεων έως </w:t>
      </w:r>
      <w:r w:rsidR="002B37B5">
        <w:rPr>
          <w:rFonts w:ascii="Arial" w:hAnsi="Arial" w:cs="Arial"/>
          <w:sz w:val="18"/>
          <w:szCs w:val="18"/>
          <w:lang w:val="el-GR" w:eastAsia="el-GR"/>
        </w:rPr>
        <w:t>το τέλος Ιουνίου</w:t>
      </w:r>
      <w:r w:rsidR="009B571C" w:rsidRPr="009B571C">
        <w:rPr>
          <w:rFonts w:ascii="Arial" w:hAnsi="Arial" w:cs="Arial"/>
          <w:sz w:val="18"/>
          <w:szCs w:val="18"/>
          <w:lang w:val="el-GR" w:eastAsia="el-GR"/>
        </w:rPr>
        <w:t xml:space="preserve"> 2024. Η Διαχειριστική Επιτροπή του</w:t>
      </w:r>
      <w:r w:rsidR="002B37B5">
        <w:rPr>
          <w:rFonts w:ascii="Arial" w:hAnsi="Arial" w:cs="Arial"/>
          <w:sz w:val="18"/>
          <w:szCs w:val="18"/>
          <w:lang w:val="el-GR" w:eastAsia="el-GR"/>
        </w:rPr>
        <w:t xml:space="preserve"> </w:t>
      </w:r>
      <w:r w:rsidR="002B37B5" w:rsidRPr="002B37B5">
        <w:rPr>
          <w:rFonts w:ascii="Arial" w:hAnsi="Arial" w:cs="Arial"/>
          <w:sz w:val="18"/>
          <w:szCs w:val="18"/>
          <w:lang w:val="el-GR" w:eastAsia="el-GR"/>
        </w:rPr>
        <w:t>Συστήματος Εγγύησης Καταθέσεων και Εξυγίανσης</w:t>
      </w:r>
      <w:r w:rsidR="002B37B5">
        <w:rPr>
          <w:rFonts w:ascii="Arial" w:hAnsi="Arial" w:cs="Arial"/>
          <w:sz w:val="18"/>
          <w:szCs w:val="18"/>
          <w:lang w:val="el-GR" w:eastAsia="el-GR"/>
        </w:rPr>
        <w:t xml:space="preserve"> </w:t>
      </w:r>
      <w:r w:rsidR="002B37B5" w:rsidRPr="002B37B5">
        <w:rPr>
          <w:rFonts w:ascii="Arial" w:hAnsi="Arial" w:cs="Arial"/>
          <w:sz w:val="18"/>
          <w:szCs w:val="18"/>
          <w:lang w:val="el-GR" w:eastAsia="el-GR"/>
        </w:rPr>
        <w:t xml:space="preserve">Πιστωτικών και Άλλων Ιδρυμάτων </w:t>
      </w:r>
      <w:r w:rsidR="009B571C" w:rsidRPr="009B571C">
        <w:rPr>
          <w:rFonts w:ascii="Arial" w:hAnsi="Arial" w:cs="Arial"/>
          <w:sz w:val="18"/>
          <w:szCs w:val="18"/>
          <w:lang w:val="el-GR" w:eastAsia="el-GR"/>
        </w:rPr>
        <w:t>μπορεί να αποφασίσει την</w:t>
      </w:r>
      <w:r w:rsidR="009B571C">
        <w:rPr>
          <w:rFonts w:ascii="Arial" w:hAnsi="Arial" w:cs="Arial"/>
          <w:sz w:val="18"/>
          <w:szCs w:val="18"/>
          <w:lang w:val="el-GR" w:eastAsia="el-GR"/>
        </w:rPr>
        <w:t xml:space="preserve"> </w:t>
      </w:r>
      <w:r w:rsidR="009B571C" w:rsidRPr="009B571C">
        <w:rPr>
          <w:rFonts w:ascii="Arial" w:hAnsi="Arial" w:cs="Arial"/>
          <w:sz w:val="18"/>
          <w:szCs w:val="18"/>
          <w:lang w:val="el-GR" w:eastAsia="el-GR"/>
        </w:rPr>
        <w:t>λήψη επιπρόσθετων εκ των προτέρων εισφορών, ώστε να επιτύχει υψηλότερο επίπεδο στόχο.</w:t>
      </w:r>
      <w:r w:rsidR="002B37B5">
        <w:rPr>
          <w:lang w:val="el-GR"/>
        </w:rPr>
        <w:t xml:space="preserve"> </w:t>
      </w:r>
      <w:r w:rsidR="002B37B5" w:rsidRPr="002B37B5">
        <w:rPr>
          <w:rFonts w:ascii="Arial" w:hAnsi="Arial" w:cs="Arial"/>
          <w:sz w:val="18"/>
          <w:szCs w:val="18"/>
          <w:lang w:val="el-GR" w:eastAsia="el-GR"/>
        </w:rPr>
        <w:t>Ο ειδικός φόρος επί των καταθέσεων και άλλα τέλη/εισφορές</w:t>
      </w:r>
      <w:r w:rsidR="002B37B5">
        <w:rPr>
          <w:rFonts w:ascii="Arial" w:hAnsi="Arial" w:cs="Arial"/>
          <w:sz w:val="18"/>
          <w:szCs w:val="18"/>
          <w:lang w:val="el-GR" w:eastAsia="el-GR"/>
        </w:rPr>
        <w:t xml:space="preserve"> για το γ’ τρίμηνο 2024 ανήλθε σε €7 εκατ., περίπου στα ίδια επίπεδα σε τριμηνιαία βάση. </w:t>
      </w:r>
    </w:p>
    <w:p w14:paraId="689311A9" w14:textId="741F6398" w:rsidR="00EB0039" w:rsidRPr="007246A9" w:rsidRDefault="00EB0039" w:rsidP="00F26350">
      <w:pPr>
        <w:spacing w:after="0" w:line="240" w:lineRule="auto"/>
        <w:jc w:val="both"/>
        <w:rPr>
          <w:rFonts w:ascii="Arial" w:hAnsi="Arial" w:cs="Arial"/>
          <w:sz w:val="18"/>
          <w:szCs w:val="18"/>
          <w:lang w:val="el-GR" w:eastAsia="el-GR"/>
        </w:rPr>
      </w:pPr>
    </w:p>
    <w:p w14:paraId="4861F4FB" w14:textId="1E44338F" w:rsidR="00787DEF" w:rsidRPr="007246A9" w:rsidRDefault="005B7856" w:rsidP="00F26350">
      <w:pPr>
        <w:spacing w:after="0" w:line="240" w:lineRule="auto"/>
        <w:jc w:val="both"/>
        <w:rPr>
          <w:rFonts w:ascii="Arial" w:hAnsi="Arial" w:cs="Arial"/>
          <w:sz w:val="18"/>
          <w:szCs w:val="18"/>
          <w:lang w:val="el-GR" w:eastAsia="el-GR"/>
        </w:rPr>
      </w:pPr>
      <w:r w:rsidRPr="007246A9">
        <w:rPr>
          <w:rFonts w:ascii="Arial" w:hAnsi="Arial" w:cs="Arial"/>
          <w:b/>
          <w:bCs/>
          <w:sz w:val="18"/>
          <w:szCs w:val="18"/>
          <w:lang w:val="el-GR" w:eastAsia="el-GR"/>
        </w:rPr>
        <w:t xml:space="preserve">Ο δείκτης κόστος προς έσοδα αναπροσαρμοσμένος για τον ειδικό φόρο επί των καταθέσεων και άλλα τέλη/εισφορές </w:t>
      </w:r>
      <w:r w:rsidRPr="007246A9">
        <w:rPr>
          <w:rFonts w:ascii="Arial" w:hAnsi="Arial" w:cs="Arial"/>
          <w:sz w:val="18"/>
          <w:szCs w:val="18"/>
          <w:lang w:val="el-GR" w:eastAsia="el-GR"/>
        </w:rPr>
        <w:t xml:space="preserve">για το </w:t>
      </w:r>
      <w:r w:rsidR="007A2F9B">
        <w:rPr>
          <w:rFonts w:ascii="Arial" w:hAnsi="Arial" w:cs="Arial"/>
          <w:bCs/>
          <w:color w:val="000000" w:themeColor="text1"/>
          <w:sz w:val="18"/>
          <w:szCs w:val="18"/>
          <w:lang w:val="el-GR"/>
        </w:rPr>
        <w:t>εννεάμηνο</w:t>
      </w:r>
      <w:r w:rsidR="001B0972" w:rsidRPr="001B0972">
        <w:rPr>
          <w:rFonts w:ascii="Arial" w:hAnsi="Arial" w:cs="Arial"/>
          <w:bCs/>
          <w:color w:val="000000" w:themeColor="text1"/>
          <w:sz w:val="18"/>
          <w:szCs w:val="18"/>
          <w:lang w:val="el-GR"/>
        </w:rPr>
        <w:t xml:space="preserve"> που έληξε στις 30 Σεπτεμβρίου</w:t>
      </w:r>
      <w:r w:rsidR="001B0972" w:rsidRPr="001B0972">
        <w:rPr>
          <w:rFonts w:ascii="Arial" w:eastAsia="Times New Roman" w:hAnsi="Arial" w:cs="Arial"/>
          <w:sz w:val="18"/>
          <w:szCs w:val="18"/>
          <w:lang w:val="el-GR" w:eastAsia="el-GR"/>
        </w:rPr>
        <w:t xml:space="preserve"> </w:t>
      </w:r>
      <w:r w:rsidR="008F063F" w:rsidRPr="007246A9">
        <w:rPr>
          <w:rFonts w:ascii="Arial" w:hAnsi="Arial" w:cs="Arial"/>
          <w:sz w:val="18"/>
          <w:szCs w:val="18"/>
          <w:lang w:val="el-GR" w:eastAsia="el-GR"/>
        </w:rPr>
        <w:t xml:space="preserve">2024 ανήλθε σε </w:t>
      </w:r>
      <w:r w:rsidR="002B37B5" w:rsidRPr="00502B4F">
        <w:rPr>
          <w:rFonts w:ascii="Arial" w:hAnsi="Arial" w:cs="Arial"/>
          <w:sz w:val="18"/>
          <w:szCs w:val="18"/>
          <w:lang w:val="el-GR"/>
        </w:rPr>
        <w:t>32</w:t>
      </w:r>
      <w:r w:rsidR="008F063F" w:rsidRPr="007246A9">
        <w:rPr>
          <w:rFonts w:ascii="Arial" w:hAnsi="Arial" w:cs="Arial"/>
          <w:sz w:val="18"/>
          <w:szCs w:val="18"/>
          <w:lang w:val="el-GR" w:eastAsia="el-GR"/>
        </w:rPr>
        <w:t>%, σε σύγκριση με 3</w:t>
      </w:r>
      <w:r w:rsidR="003F3D69">
        <w:rPr>
          <w:rFonts w:ascii="Arial" w:hAnsi="Arial" w:cs="Arial"/>
          <w:sz w:val="18"/>
          <w:szCs w:val="18"/>
          <w:lang w:val="el-GR" w:eastAsia="el-GR"/>
        </w:rPr>
        <w:t>1</w:t>
      </w:r>
      <w:r w:rsidR="008F063F" w:rsidRPr="007246A9">
        <w:rPr>
          <w:rFonts w:ascii="Arial" w:hAnsi="Arial" w:cs="Arial"/>
          <w:sz w:val="18"/>
          <w:szCs w:val="18"/>
          <w:lang w:val="el-GR" w:eastAsia="el-GR"/>
        </w:rPr>
        <w:t xml:space="preserve">% για το </w:t>
      </w:r>
      <w:r w:rsidR="007A2F9B">
        <w:rPr>
          <w:rFonts w:ascii="Arial" w:hAnsi="Arial" w:cs="Arial"/>
          <w:bCs/>
          <w:color w:val="000000" w:themeColor="text1"/>
          <w:sz w:val="18"/>
          <w:szCs w:val="18"/>
          <w:lang w:val="el-GR"/>
        </w:rPr>
        <w:t>εννεάμηνο</w:t>
      </w:r>
      <w:r w:rsidR="001B0972" w:rsidRPr="001B0972">
        <w:rPr>
          <w:rFonts w:ascii="Arial" w:hAnsi="Arial" w:cs="Arial"/>
          <w:bCs/>
          <w:color w:val="000000" w:themeColor="text1"/>
          <w:sz w:val="18"/>
          <w:szCs w:val="18"/>
          <w:lang w:val="el-GR"/>
        </w:rPr>
        <w:t xml:space="preserve"> που έληξε στις 30 Σεπτεμβρίου</w:t>
      </w:r>
      <w:r w:rsidR="001B0972" w:rsidRPr="001B0972">
        <w:rPr>
          <w:rFonts w:ascii="Arial" w:eastAsia="Times New Roman" w:hAnsi="Arial" w:cs="Arial"/>
          <w:sz w:val="18"/>
          <w:szCs w:val="18"/>
          <w:lang w:val="el-GR" w:eastAsia="el-GR"/>
        </w:rPr>
        <w:t xml:space="preserve"> </w:t>
      </w:r>
      <w:r w:rsidR="008F063F" w:rsidRPr="007246A9">
        <w:rPr>
          <w:rFonts w:ascii="Arial" w:hAnsi="Arial" w:cs="Arial"/>
          <w:sz w:val="18"/>
          <w:szCs w:val="18"/>
          <w:lang w:val="el-GR" w:eastAsia="el-GR"/>
        </w:rPr>
        <w:t>2023</w:t>
      </w:r>
      <w:r w:rsidR="002B37B5">
        <w:rPr>
          <w:rFonts w:ascii="Arial" w:hAnsi="Arial" w:cs="Arial"/>
          <w:sz w:val="18"/>
          <w:szCs w:val="18"/>
          <w:lang w:val="el-GR" w:eastAsia="el-GR"/>
        </w:rPr>
        <w:t xml:space="preserve">. </w:t>
      </w:r>
      <w:r w:rsidR="008F063F" w:rsidRPr="007246A9">
        <w:rPr>
          <w:rFonts w:ascii="Arial" w:hAnsi="Arial" w:cs="Arial"/>
          <w:sz w:val="18"/>
          <w:szCs w:val="18"/>
          <w:lang w:val="el-GR" w:eastAsia="el-GR"/>
        </w:rPr>
        <w:t xml:space="preserve">Ο δείκτης κόστος προς έσοδα αναπροσαρμοσμένος για τον ειδικό φόρο επί των καταθέσεων και άλλα τέλη/εισφορές για το </w:t>
      </w:r>
      <w:r w:rsidR="001B0972" w:rsidRPr="007246A9">
        <w:rPr>
          <w:rFonts w:ascii="Arial" w:hAnsi="Arial" w:cs="Arial"/>
          <w:sz w:val="18"/>
          <w:szCs w:val="18"/>
          <w:lang w:val="el-GR" w:eastAsia="el-GR"/>
        </w:rPr>
        <w:t xml:space="preserve">γ’ </w:t>
      </w:r>
      <w:r w:rsidR="008F063F" w:rsidRPr="007246A9">
        <w:rPr>
          <w:rFonts w:ascii="Arial" w:hAnsi="Arial" w:cs="Arial"/>
          <w:sz w:val="18"/>
          <w:szCs w:val="18"/>
          <w:lang w:val="el-GR" w:eastAsia="el-GR"/>
        </w:rPr>
        <w:t xml:space="preserve">τρίμηνο </w:t>
      </w:r>
      <w:r w:rsidR="008F063F" w:rsidRPr="002B37B5">
        <w:rPr>
          <w:rFonts w:ascii="Arial" w:hAnsi="Arial" w:cs="Arial"/>
          <w:sz w:val="18"/>
          <w:szCs w:val="18"/>
          <w:lang w:val="el-GR" w:eastAsia="el-GR"/>
        </w:rPr>
        <w:t xml:space="preserve">2024 ανήλθε σε </w:t>
      </w:r>
      <w:r w:rsidR="002B37B5" w:rsidRPr="00502B4F">
        <w:rPr>
          <w:rFonts w:ascii="Arial" w:hAnsi="Arial" w:cs="Arial"/>
          <w:bCs/>
          <w:sz w:val="18"/>
          <w:szCs w:val="18"/>
          <w:lang w:val="el-GR"/>
        </w:rPr>
        <w:t>35</w:t>
      </w:r>
      <w:r w:rsidR="008F063F" w:rsidRPr="002B37B5">
        <w:rPr>
          <w:rFonts w:ascii="Arial" w:hAnsi="Arial" w:cs="Arial"/>
          <w:sz w:val="18"/>
          <w:szCs w:val="18"/>
          <w:lang w:val="el-GR" w:eastAsia="el-GR"/>
        </w:rPr>
        <w:t xml:space="preserve">%, σε σύγκριση με </w:t>
      </w:r>
      <w:r w:rsidR="001B0972" w:rsidRPr="002B37B5">
        <w:rPr>
          <w:rFonts w:ascii="Arial" w:hAnsi="Arial" w:cs="Arial"/>
          <w:bCs/>
          <w:sz w:val="18"/>
          <w:szCs w:val="18"/>
          <w:lang w:val="el-GR"/>
        </w:rPr>
        <w:t>32</w:t>
      </w:r>
      <w:r w:rsidR="008F063F" w:rsidRPr="002B37B5">
        <w:rPr>
          <w:rFonts w:ascii="Arial" w:hAnsi="Arial" w:cs="Arial"/>
          <w:sz w:val="18"/>
          <w:szCs w:val="18"/>
          <w:lang w:val="el-GR" w:eastAsia="el-GR"/>
        </w:rPr>
        <w:t xml:space="preserve">% για το </w:t>
      </w:r>
      <w:r w:rsidR="001B0972" w:rsidRPr="002B37B5">
        <w:rPr>
          <w:rFonts w:ascii="Arial" w:hAnsi="Arial" w:cs="Arial"/>
          <w:sz w:val="18"/>
          <w:szCs w:val="18"/>
          <w:lang w:val="el-GR" w:eastAsia="el-GR"/>
        </w:rPr>
        <w:t xml:space="preserve">β’ </w:t>
      </w:r>
      <w:r w:rsidR="008F063F" w:rsidRPr="002B37B5">
        <w:rPr>
          <w:rFonts w:ascii="Arial" w:hAnsi="Arial" w:cs="Arial"/>
          <w:sz w:val="18"/>
          <w:szCs w:val="18"/>
          <w:lang w:val="el-GR" w:eastAsia="el-GR"/>
        </w:rPr>
        <w:t>τρίμηνο 2024.</w:t>
      </w:r>
    </w:p>
    <w:p w14:paraId="7F87EADD" w14:textId="77777777" w:rsidR="00B6033E" w:rsidRPr="00D41B36" w:rsidRDefault="00B6033E" w:rsidP="00F26350">
      <w:pPr>
        <w:spacing w:after="0" w:line="240" w:lineRule="auto"/>
        <w:jc w:val="both"/>
        <w:rPr>
          <w:rFonts w:ascii="Arial" w:hAnsi="Arial" w:cs="Arial"/>
          <w:sz w:val="18"/>
          <w:szCs w:val="18"/>
          <w:highlight w:val="yellow"/>
          <w:lang w:val="el-GR"/>
        </w:rPr>
      </w:pPr>
    </w:p>
    <w:p w14:paraId="611840D0" w14:textId="77777777" w:rsidR="00B6033E" w:rsidRPr="00D41B36" w:rsidRDefault="00B6033E" w:rsidP="00F26350">
      <w:pPr>
        <w:spacing w:after="0" w:line="240" w:lineRule="auto"/>
        <w:jc w:val="both"/>
        <w:rPr>
          <w:rFonts w:ascii="Arial" w:hAnsi="Arial" w:cs="Arial"/>
          <w:sz w:val="18"/>
          <w:szCs w:val="18"/>
          <w:highlight w:val="yellow"/>
          <w:lang w:val="el-GR"/>
        </w:rPr>
      </w:pPr>
    </w:p>
    <w:p w14:paraId="25BD5894" w14:textId="1E4B18EB" w:rsidR="005B7856" w:rsidRPr="00D41B36" w:rsidRDefault="005B7856" w:rsidP="00F26350">
      <w:pPr>
        <w:spacing w:after="0" w:line="240" w:lineRule="auto"/>
        <w:jc w:val="both"/>
        <w:rPr>
          <w:rFonts w:ascii="Arial" w:hAnsi="Arial" w:cs="Arial"/>
          <w:b/>
          <w:bCs/>
          <w:sz w:val="18"/>
          <w:szCs w:val="18"/>
          <w:highlight w:val="yellow"/>
          <w:lang w:val="el-GR" w:eastAsia="el-GR"/>
        </w:rPr>
      </w:pPr>
    </w:p>
    <w:p w14:paraId="4207BE6C" w14:textId="77777777" w:rsidR="004C4F85" w:rsidRPr="00D41B36" w:rsidRDefault="004C4F85" w:rsidP="00F26350">
      <w:pPr>
        <w:spacing w:after="0" w:line="240" w:lineRule="auto"/>
        <w:jc w:val="both"/>
        <w:rPr>
          <w:rFonts w:ascii="Arial" w:hAnsi="Arial" w:cs="Arial"/>
          <w:b/>
          <w:bCs/>
          <w:sz w:val="18"/>
          <w:szCs w:val="18"/>
          <w:highlight w:val="yellow"/>
          <w:lang w:val="el-GR" w:eastAsia="el-GR"/>
        </w:rPr>
      </w:pPr>
    </w:p>
    <w:p w14:paraId="3A85BF72" w14:textId="77777777" w:rsidR="004E58D6" w:rsidRPr="00D41B36" w:rsidRDefault="004E58D6" w:rsidP="00F57126">
      <w:pPr>
        <w:rPr>
          <w:rFonts w:ascii="Arial" w:hAnsi="Arial" w:cs="Arial"/>
          <w:bCs/>
          <w:sz w:val="14"/>
          <w:szCs w:val="14"/>
          <w:highlight w:val="yellow"/>
          <w:lang w:val="el-GR"/>
        </w:rPr>
      </w:pPr>
    </w:p>
    <w:p w14:paraId="602AF349" w14:textId="05D8352E" w:rsidR="00995AC9" w:rsidRPr="007246A9" w:rsidRDefault="00BC4C32" w:rsidP="00043074">
      <w:pPr>
        <w:spacing w:after="0" w:line="240" w:lineRule="auto"/>
        <w:rPr>
          <w:rFonts w:ascii="Arial" w:hAnsi="Arial" w:cs="Arial"/>
          <w:color w:val="FF9900"/>
          <w:sz w:val="24"/>
          <w:szCs w:val="24"/>
          <w:lang w:val="el-GR"/>
        </w:rPr>
      </w:pPr>
      <w:r w:rsidRPr="00D41B36">
        <w:rPr>
          <w:rFonts w:ascii="Arial" w:hAnsi="Arial" w:cs="Arial"/>
          <w:sz w:val="18"/>
          <w:szCs w:val="18"/>
          <w:highlight w:val="yellow"/>
          <w:lang w:val="el-GR" w:eastAsia="el-GR"/>
        </w:rPr>
        <w:br w:type="page"/>
      </w:r>
      <w:r w:rsidR="007B2785" w:rsidRPr="007246A9">
        <w:rPr>
          <w:rFonts w:ascii="Arial" w:hAnsi="Arial" w:cs="Arial"/>
          <w:b/>
          <w:bCs/>
          <w:color w:val="FF9900"/>
          <w:sz w:val="24"/>
          <w:szCs w:val="24"/>
          <w:lang w:val="el-GR"/>
        </w:rPr>
        <w:lastRenderedPageBreak/>
        <w:t>Α</w:t>
      </w:r>
      <w:r w:rsidR="00995AC9" w:rsidRPr="007246A9">
        <w:rPr>
          <w:rFonts w:ascii="Arial" w:hAnsi="Arial" w:cs="Arial"/>
          <w:b/>
          <w:bCs/>
          <w:color w:val="FF9900"/>
          <w:sz w:val="24"/>
          <w:szCs w:val="24"/>
          <w:lang w:val="el-GR"/>
        </w:rPr>
        <w:t>.</w:t>
      </w:r>
      <w:r w:rsidR="00CF75AC" w:rsidRPr="007246A9">
        <w:rPr>
          <w:rFonts w:ascii="Arial" w:hAnsi="Arial" w:cs="Arial"/>
          <w:b/>
          <w:bCs/>
          <w:color w:val="FF9900"/>
          <w:sz w:val="24"/>
          <w:szCs w:val="24"/>
          <w:lang w:val="el-GR"/>
        </w:rPr>
        <w:t xml:space="preserve"> </w:t>
      </w:r>
      <w:r w:rsidR="00995AC9" w:rsidRPr="007246A9">
        <w:rPr>
          <w:rFonts w:ascii="Arial" w:hAnsi="Arial" w:cs="Arial"/>
          <w:b/>
          <w:bCs/>
          <w:color w:val="FF9900"/>
          <w:sz w:val="24"/>
          <w:szCs w:val="24"/>
          <w:lang w:val="el-GR"/>
        </w:rPr>
        <w:t xml:space="preserve">Οικονομικά Αποτελέσματα Συγκροτήματος – Υποκείμενη Βάση </w:t>
      </w:r>
      <w:r w:rsidR="00995AC9" w:rsidRPr="007246A9">
        <w:rPr>
          <w:rFonts w:ascii="Arial" w:hAnsi="Arial" w:cs="Arial"/>
          <w:color w:val="FF9900"/>
          <w:sz w:val="24"/>
          <w:szCs w:val="24"/>
          <w:lang w:val="el-GR"/>
        </w:rPr>
        <w:t xml:space="preserve">(συνέχεια) </w:t>
      </w:r>
    </w:p>
    <w:p w14:paraId="26984530" w14:textId="77777777" w:rsidR="00043074" w:rsidRPr="007246A9" w:rsidRDefault="00043074" w:rsidP="00043074">
      <w:pPr>
        <w:spacing w:after="0" w:line="240" w:lineRule="auto"/>
        <w:rPr>
          <w:rFonts w:ascii="Arial" w:hAnsi="Arial" w:cs="Arial"/>
          <w:b/>
          <w:bCs/>
          <w:color w:val="FF9900"/>
          <w:sz w:val="10"/>
          <w:szCs w:val="10"/>
          <w:lang w:val="el-GR"/>
        </w:rPr>
      </w:pPr>
    </w:p>
    <w:p w14:paraId="6AC414BA" w14:textId="1AD2D60B" w:rsidR="00995AC9" w:rsidRPr="007246A9" w:rsidRDefault="007B2785" w:rsidP="004953BA">
      <w:pPr>
        <w:spacing w:after="0" w:line="360" w:lineRule="auto"/>
        <w:ind w:left="851" w:hanging="851"/>
        <w:rPr>
          <w:rFonts w:ascii="Arial" w:hAnsi="Arial" w:cs="Arial"/>
          <w:b/>
          <w:bCs/>
          <w:color w:val="FF9900"/>
          <w:sz w:val="23"/>
          <w:szCs w:val="23"/>
          <w:lang w:val="el-GR"/>
        </w:rPr>
      </w:pPr>
      <w:r w:rsidRPr="007246A9">
        <w:rPr>
          <w:rFonts w:ascii="Arial" w:hAnsi="Arial" w:cs="Arial"/>
          <w:b/>
          <w:bCs/>
          <w:color w:val="FF9900"/>
          <w:sz w:val="23"/>
          <w:szCs w:val="23"/>
          <w:lang w:val="el-GR"/>
        </w:rPr>
        <w:t>Α</w:t>
      </w:r>
      <w:r w:rsidR="00685DE5" w:rsidRPr="007246A9">
        <w:rPr>
          <w:rFonts w:ascii="Arial" w:hAnsi="Arial" w:cs="Arial"/>
          <w:b/>
          <w:bCs/>
          <w:color w:val="FF9900"/>
          <w:sz w:val="23"/>
          <w:szCs w:val="23"/>
          <w:lang w:val="el-GR"/>
        </w:rPr>
        <w:t>.</w:t>
      </w:r>
      <w:r w:rsidRPr="007246A9">
        <w:rPr>
          <w:rFonts w:ascii="Arial" w:hAnsi="Arial" w:cs="Arial"/>
          <w:b/>
          <w:bCs/>
          <w:color w:val="FF9900"/>
          <w:sz w:val="23"/>
          <w:szCs w:val="23"/>
          <w:lang w:val="el-GR"/>
        </w:rPr>
        <w:t>2</w:t>
      </w:r>
      <w:r w:rsidR="00CF75AC" w:rsidRPr="007246A9">
        <w:rPr>
          <w:rFonts w:ascii="Arial" w:hAnsi="Arial" w:cs="Arial"/>
          <w:b/>
          <w:bCs/>
          <w:color w:val="FF9900"/>
          <w:sz w:val="23"/>
          <w:szCs w:val="23"/>
          <w:lang w:val="el-GR"/>
        </w:rPr>
        <w:t xml:space="preserve">. </w:t>
      </w:r>
      <w:r w:rsidR="00995AC9" w:rsidRPr="007246A9">
        <w:rPr>
          <w:rFonts w:ascii="Arial" w:hAnsi="Arial" w:cs="Arial"/>
          <w:b/>
          <w:bCs/>
          <w:color w:val="FF9900"/>
          <w:sz w:val="23"/>
          <w:szCs w:val="23"/>
          <w:lang w:val="el-GR"/>
        </w:rPr>
        <w:t xml:space="preserve">Ανάλυση Κατάστασης Λογαριασμού Αποτελεσμάτων </w:t>
      </w:r>
      <w:r w:rsidR="00995AC9" w:rsidRPr="007246A9">
        <w:rPr>
          <w:rFonts w:ascii="Arial" w:hAnsi="Arial" w:cs="Arial"/>
          <w:color w:val="FF9900"/>
          <w:sz w:val="23"/>
          <w:szCs w:val="23"/>
          <w:lang w:val="el-GR"/>
        </w:rPr>
        <w:t>(συνέχεια)</w:t>
      </w:r>
    </w:p>
    <w:p w14:paraId="163882D3" w14:textId="739FFCC7" w:rsidR="00042BF4" w:rsidRPr="007246A9" w:rsidRDefault="007B2785" w:rsidP="004953BA">
      <w:pPr>
        <w:spacing w:after="0" w:line="360" w:lineRule="auto"/>
        <w:ind w:left="851" w:hanging="851"/>
        <w:rPr>
          <w:rFonts w:ascii="Arial" w:hAnsi="Arial" w:cs="Arial"/>
          <w:b/>
          <w:bCs/>
          <w:color w:val="FF9900"/>
          <w:szCs w:val="24"/>
          <w:lang w:val="el-GR" w:eastAsia="el-GR"/>
        </w:rPr>
      </w:pPr>
      <w:r w:rsidRPr="007246A9">
        <w:rPr>
          <w:rFonts w:ascii="Arial" w:hAnsi="Arial" w:cs="Arial"/>
          <w:b/>
          <w:bCs/>
          <w:color w:val="FF9900"/>
          <w:szCs w:val="24"/>
          <w:lang w:val="el-GR" w:eastAsia="el-GR"/>
        </w:rPr>
        <w:t>Α</w:t>
      </w:r>
      <w:r w:rsidR="00760FAD" w:rsidRPr="007246A9">
        <w:rPr>
          <w:rFonts w:ascii="Arial" w:hAnsi="Arial" w:cs="Arial"/>
          <w:b/>
          <w:bCs/>
          <w:color w:val="FF9900"/>
          <w:szCs w:val="24"/>
          <w:lang w:val="el-GR" w:eastAsia="el-GR"/>
        </w:rPr>
        <w:t>.</w:t>
      </w:r>
      <w:r w:rsidRPr="007246A9">
        <w:rPr>
          <w:rFonts w:ascii="Arial" w:hAnsi="Arial" w:cs="Arial"/>
          <w:b/>
          <w:bCs/>
          <w:color w:val="FF9900"/>
          <w:szCs w:val="24"/>
          <w:lang w:val="el-GR" w:eastAsia="el-GR"/>
        </w:rPr>
        <w:t>2</w:t>
      </w:r>
      <w:r w:rsidR="00760FAD" w:rsidRPr="007246A9">
        <w:rPr>
          <w:rFonts w:ascii="Arial" w:hAnsi="Arial" w:cs="Arial"/>
          <w:b/>
          <w:bCs/>
          <w:color w:val="FF9900"/>
          <w:szCs w:val="24"/>
          <w:lang w:val="el-GR" w:eastAsia="el-GR"/>
        </w:rPr>
        <w:t>.</w:t>
      </w:r>
      <w:r w:rsidR="00DD29FA" w:rsidRPr="007246A9">
        <w:rPr>
          <w:rFonts w:ascii="Arial" w:hAnsi="Arial" w:cs="Arial"/>
          <w:b/>
          <w:bCs/>
          <w:color w:val="FF9900"/>
          <w:szCs w:val="24"/>
          <w:lang w:val="el-GR" w:eastAsia="el-GR"/>
        </w:rPr>
        <w:t>3</w:t>
      </w:r>
      <w:r w:rsidR="00CF75AC" w:rsidRPr="007246A9">
        <w:rPr>
          <w:rFonts w:ascii="Arial" w:hAnsi="Arial" w:cs="Arial"/>
          <w:b/>
          <w:bCs/>
          <w:color w:val="FF9900"/>
          <w:szCs w:val="24"/>
          <w:lang w:val="el-GR" w:eastAsia="el-GR"/>
        </w:rPr>
        <w:t xml:space="preserve"> </w:t>
      </w:r>
      <w:r w:rsidR="00BC4C32" w:rsidRPr="007246A9">
        <w:rPr>
          <w:rFonts w:ascii="Arial" w:hAnsi="Arial" w:cs="Arial"/>
          <w:b/>
          <w:bCs/>
          <w:color w:val="FF9900"/>
          <w:szCs w:val="24"/>
          <w:lang w:val="el-GR" w:eastAsia="el-GR"/>
        </w:rPr>
        <w:t>Κέρδη πριν τη φορολογία και μη επαναλαμβανόμενα στοιχεία</w:t>
      </w:r>
      <w:r w:rsidR="00BC4C32" w:rsidRPr="007246A9" w:rsidDel="00B60973">
        <w:rPr>
          <w:rFonts w:ascii="Arial" w:hAnsi="Arial" w:cs="Arial"/>
          <w:b/>
          <w:bCs/>
          <w:color w:val="FF9900"/>
          <w:szCs w:val="24"/>
          <w:lang w:val="el-GR" w:eastAsia="el-GR"/>
        </w:rPr>
        <w:t xml:space="preserve"> </w:t>
      </w:r>
    </w:p>
    <w:p w14:paraId="373549FF" w14:textId="77777777" w:rsidR="00F75FBB" w:rsidRPr="00A00212" w:rsidRDefault="00F75FBB" w:rsidP="00BC4C32">
      <w:pPr>
        <w:spacing w:after="0" w:line="240" w:lineRule="auto"/>
        <w:jc w:val="both"/>
        <w:rPr>
          <w:rFonts w:ascii="Arial" w:hAnsi="Arial" w:cs="Arial"/>
          <w:b/>
          <w:bCs/>
          <w:sz w:val="2"/>
          <w:szCs w:val="2"/>
          <w:highlight w:val="yellow"/>
          <w:lang w:val="el-GR"/>
        </w:rPr>
      </w:pPr>
    </w:p>
    <w:tbl>
      <w:tblPr>
        <w:tblW w:w="5000" w:type="pct"/>
        <w:tblLayout w:type="fixed"/>
        <w:tblCellMar>
          <w:left w:w="40" w:type="dxa"/>
          <w:right w:w="40" w:type="dxa"/>
        </w:tblCellMar>
        <w:tblLook w:val="0000" w:firstRow="0" w:lastRow="0" w:firstColumn="0" w:lastColumn="0" w:noHBand="0" w:noVBand="0"/>
      </w:tblPr>
      <w:tblGrid>
        <w:gridCol w:w="2014"/>
        <w:gridCol w:w="452"/>
        <w:gridCol w:w="1012"/>
        <w:gridCol w:w="124"/>
        <w:gridCol w:w="325"/>
        <w:gridCol w:w="1016"/>
        <w:gridCol w:w="1016"/>
        <w:gridCol w:w="836"/>
        <w:gridCol w:w="811"/>
        <w:gridCol w:w="1014"/>
        <w:gridCol w:w="1059"/>
      </w:tblGrid>
      <w:tr w:rsidR="000C511F" w:rsidRPr="00D41B36" w14:paraId="332D770B" w14:textId="77777777" w:rsidTr="00502B4F">
        <w:trPr>
          <w:trHeight w:val="538"/>
        </w:trPr>
        <w:tc>
          <w:tcPr>
            <w:tcW w:w="1040"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C5E8B47" w14:textId="77777777" w:rsidR="000C511F" w:rsidRPr="007246A9" w:rsidRDefault="000C511F" w:rsidP="000C511F">
            <w:pPr>
              <w:spacing w:after="0" w:line="240" w:lineRule="auto"/>
              <w:jc w:val="both"/>
              <w:rPr>
                <w:rFonts w:ascii="Arial" w:hAnsi="Arial" w:cs="Arial"/>
                <w:b/>
                <w:bCs/>
                <w:sz w:val="18"/>
                <w:szCs w:val="18"/>
              </w:rPr>
            </w:pPr>
            <w:bookmarkStart w:id="24" w:name="_Hlk166499755"/>
            <w:r w:rsidRPr="007246A9">
              <w:rPr>
                <w:rFonts w:ascii="Arial" w:hAnsi="Arial" w:cs="Arial"/>
                <w:b/>
                <w:bCs/>
                <w:sz w:val="18"/>
                <w:szCs w:val="18"/>
              </w:rPr>
              <w:t xml:space="preserve">€ </w:t>
            </w:r>
            <w:r w:rsidRPr="007246A9">
              <w:rPr>
                <w:rFonts w:ascii="Arial" w:hAnsi="Arial" w:cs="Arial"/>
                <w:b/>
                <w:bCs/>
                <w:sz w:val="18"/>
                <w:szCs w:val="18"/>
                <w:lang w:val="el-GR"/>
              </w:rPr>
              <w:t>εκατ.</w:t>
            </w:r>
          </w:p>
        </w:tc>
        <w:tc>
          <w:tcPr>
            <w:tcW w:w="233" w:type="pct"/>
            <w:tcBorders>
              <w:top w:val="single" w:sz="4" w:space="0" w:color="808080" w:themeColor="background1" w:themeShade="80"/>
              <w:bottom w:val="single" w:sz="4" w:space="0" w:color="808080" w:themeColor="background1" w:themeShade="80"/>
            </w:tcBorders>
          </w:tcPr>
          <w:p w14:paraId="7211DD4F" w14:textId="77777777" w:rsidR="000C511F" w:rsidRPr="007246A9" w:rsidRDefault="000C511F" w:rsidP="000C511F">
            <w:pPr>
              <w:spacing w:after="0" w:line="240" w:lineRule="auto"/>
              <w:jc w:val="both"/>
              <w:rPr>
                <w:rFonts w:ascii="Arial" w:hAnsi="Arial" w:cs="Arial"/>
                <w:b/>
                <w:bCs/>
                <w:sz w:val="18"/>
                <w:szCs w:val="18"/>
                <w:lang w:val="en-US"/>
              </w:rPr>
            </w:pPr>
          </w:p>
        </w:tc>
        <w:tc>
          <w:tcPr>
            <w:tcW w:w="523" w:type="pct"/>
            <w:tcBorders>
              <w:top w:val="single" w:sz="4" w:space="0" w:color="808080" w:themeColor="background1" w:themeShade="80"/>
              <w:bottom w:val="single" w:sz="4" w:space="0" w:color="808080" w:themeColor="background1" w:themeShade="80"/>
            </w:tcBorders>
          </w:tcPr>
          <w:p w14:paraId="32641A95" w14:textId="77777777" w:rsidR="000C511F" w:rsidRPr="007246A9" w:rsidRDefault="000C511F" w:rsidP="000C511F">
            <w:pPr>
              <w:spacing w:after="0" w:line="240" w:lineRule="auto"/>
              <w:jc w:val="both"/>
              <w:rPr>
                <w:rFonts w:ascii="Arial" w:hAnsi="Arial" w:cs="Arial"/>
                <w:b/>
                <w:bCs/>
                <w:sz w:val="18"/>
                <w:szCs w:val="18"/>
                <w:lang w:val="el-GR"/>
              </w:rPr>
            </w:pPr>
          </w:p>
        </w:tc>
        <w:tc>
          <w:tcPr>
            <w:tcW w:w="64" w:type="pct"/>
            <w:tcBorders>
              <w:top w:val="single" w:sz="4" w:space="0" w:color="808080" w:themeColor="background1" w:themeShade="80"/>
              <w:bottom w:val="single" w:sz="4" w:space="0" w:color="808080" w:themeColor="background1" w:themeShade="80"/>
            </w:tcBorders>
          </w:tcPr>
          <w:p w14:paraId="455C9BC6" w14:textId="77777777" w:rsidR="000C511F" w:rsidRPr="007246A9" w:rsidRDefault="000C511F" w:rsidP="000C511F">
            <w:pPr>
              <w:spacing w:after="0" w:line="240" w:lineRule="auto"/>
              <w:jc w:val="both"/>
              <w:rPr>
                <w:rFonts w:ascii="Arial" w:hAnsi="Arial" w:cs="Arial"/>
                <w:b/>
                <w:bCs/>
                <w:sz w:val="18"/>
                <w:szCs w:val="18"/>
              </w:rPr>
            </w:pPr>
          </w:p>
        </w:tc>
        <w:tc>
          <w:tcPr>
            <w:tcW w:w="168" w:type="pct"/>
            <w:tcBorders>
              <w:top w:val="single" w:sz="4" w:space="0" w:color="808080" w:themeColor="background1" w:themeShade="80"/>
              <w:bottom w:val="single" w:sz="4" w:space="0" w:color="808080" w:themeColor="background1" w:themeShade="80"/>
            </w:tcBorders>
          </w:tcPr>
          <w:p w14:paraId="1F1CE853" w14:textId="77777777" w:rsidR="000C511F" w:rsidRPr="00D41B36" w:rsidRDefault="000C511F" w:rsidP="000C511F">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highlight w:val="yellow"/>
                <w:lang w:val="el-GR" w:eastAsia="el-GR"/>
              </w:rPr>
            </w:pPr>
          </w:p>
        </w:tc>
        <w:tc>
          <w:tcPr>
            <w:tcW w:w="525" w:type="pct"/>
            <w:tcBorders>
              <w:top w:val="single" w:sz="4" w:space="0" w:color="808080" w:themeColor="background1" w:themeShade="80"/>
              <w:bottom w:val="single" w:sz="4" w:space="0" w:color="808080" w:themeColor="background1" w:themeShade="80"/>
            </w:tcBorders>
          </w:tcPr>
          <w:p w14:paraId="5D985BBE" w14:textId="333FDC64" w:rsidR="000C511F" w:rsidRPr="00502B4F" w:rsidRDefault="007A2F9B" w:rsidP="000C511F">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highlight w:val="yellow"/>
                <w:lang w:val="el-GR" w:eastAsia="el-GR"/>
              </w:rPr>
            </w:pPr>
            <w:r>
              <w:rPr>
                <w:rFonts w:ascii="Arial" w:hAnsi="Arial" w:cs="Arial"/>
                <w:b/>
                <w:bCs/>
                <w:sz w:val="16"/>
                <w:szCs w:val="16"/>
                <w:lang w:val="el-GR"/>
              </w:rPr>
              <w:t>Εννεάμηνο</w:t>
            </w:r>
            <w:r w:rsidR="000C511F" w:rsidRPr="000C511F">
              <w:rPr>
                <w:rFonts w:ascii="Arial" w:hAnsi="Arial" w:cs="Arial"/>
                <w:b/>
                <w:bCs/>
                <w:sz w:val="16"/>
                <w:szCs w:val="16"/>
                <w:lang w:val="el-GR"/>
              </w:rPr>
              <w:t xml:space="preserve"> 2024</w:t>
            </w:r>
          </w:p>
        </w:tc>
        <w:tc>
          <w:tcPr>
            <w:tcW w:w="525" w:type="pct"/>
            <w:tcBorders>
              <w:top w:val="single" w:sz="4" w:space="0" w:color="808080" w:themeColor="background1" w:themeShade="80"/>
              <w:bottom w:val="single" w:sz="4" w:space="0" w:color="808080" w:themeColor="background1" w:themeShade="80"/>
            </w:tcBorders>
          </w:tcPr>
          <w:p w14:paraId="0CD0C603" w14:textId="18846B56" w:rsidR="000C511F" w:rsidRPr="00502B4F" w:rsidRDefault="007A2F9B" w:rsidP="000C511F">
            <w:pPr>
              <w:spacing w:after="0" w:line="240" w:lineRule="auto"/>
              <w:jc w:val="center"/>
              <w:rPr>
                <w:rFonts w:ascii="Arial" w:hAnsi="Arial" w:cs="Arial"/>
                <w:b/>
                <w:bCs/>
                <w:sz w:val="16"/>
                <w:szCs w:val="16"/>
                <w:highlight w:val="yellow"/>
                <w:lang w:val="el-GR"/>
              </w:rPr>
            </w:pPr>
            <w:r>
              <w:rPr>
                <w:rFonts w:ascii="Arial" w:hAnsi="Arial" w:cs="Arial"/>
                <w:b/>
                <w:bCs/>
                <w:sz w:val="16"/>
                <w:szCs w:val="16"/>
                <w:lang w:val="el-GR"/>
              </w:rPr>
              <w:t>Εννεάμηνο</w:t>
            </w:r>
            <w:r w:rsidR="000C511F" w:rsidRPr="000C511F">
              <w:rPr>
                <w:rFonts w:ascii="Arial" w:hAnsi="Arial" w:cs="Arial"/>
                <w:b/>
                <w:bCs/>
                <w:sz w:val="16"/>
                <w:szCs w:val="16"/>
                <w:lang w:val="el-GR"/>
              </w:rPr>
              <w:t xml:space="preserve"> 2023</w:t>
            </w:r>
          </w:p>
        </w:tc>
        <w:tc>
          <w:tcPr>
            <w:tcW w:w="432" w:type="pct"/>
            <w:tcBorders>
              <w:top w:val="single" w:sz="4" w:space="0" w:color="808080" w:themeColor="background1" w:themeShade="80"/>
              <w:bottom w:val="single" w:sz="4" w:space="0" w:color="808080" w:themeColor="background1" w:themeShade="80"/>
            </w:tcBorders>
          </w:tcPr>
          <w:p w14:paraId="273638BF" w14:textId="77777777" w:rsidR="000C511F" w:rsidRPr="000C511F" w:rsidRDefault="000C511F" w:rsidP="000C511F">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lang w:val="el-GR" w:eastAsia="el-GR"/>
              </w:rPr>
            </w:pPr>
            <w:r w:rsidRPr="000C511F">
              <w:rPr>
                <w:rFonts w:ascii="Arial" w:eastAsia="Times New Roman" w:hAnsi="Arial" w:cs="Arial"/>
                <w:bCs/>
                <w:sz w:val="16"/>
                <w:szCs w:val="16"/>
                <w:lang w:val="el-GR" w:eastAsia="el-GR"/>
              </w:rPr>
              <w:t>Ετήσια μεταβολή</w:t>
            </w:r>
          </w:p>
          <w:p w14:paraId="4EAC9017" w14:textId="7F0D8499" w:rsidR="000C511F" w:rsidRPr="00502B4F" w:rsidRDefault="000C511F" w:rsidP="000C511F">
            <w:pPr>
              <w:spacing w:after="0" w:line="240" w:lineRule="auto"/>
              <w:jc w:val="center"/>
              <w:rPr>
                <w:rFonts w:ascii="Arial" w:hAnsi="Arial" w:cs="Arial"/>
                <w:b/>
                <w:bCs/>
                <w:sz w:val="16"/>
                <w:szCs w:val="16"/>
                <w:highlight w:val="yellow"/>
                <w:lang w:val="el-GR"/>
              </w:rPr>
            </w:pPr>
            <w:r w:rsidRPr="000C511F">
              <w:rPr>
                <w:rFonts w:ascii="Arial" w:hAnsi="Arial" w:cs="Arial"/>
                <w:bCs/>
                <w:sz w:val="16"/>
                <w:szCs w:val="16"/>
                <w:u w:val="single"/>
              </w:rPr>
              <w:t>+</w:t>
            </w:r>
            <w:r w:rsidRPr="000C511F">
              <w:rPr>
                <w:rFonts w:ascii="Arial" w:hAnsi="Arial" w:cs="Arial"/>
                <w:bCs/>
                <w:sz w:val="16"/>
                <w:szCs w:val="16"/>
              </w:rPr>
              <w:t>%</w:t>
            </w:r>
          </w:p>
        </w:tc>
        <w:tc>
          <w:tcPr>
            <w:tcW w:w="419" w:type="pct"/>
            <w:tcBorders>
              <w:top w:val="single" w:sz="4" w:space="0" w:color="808080" w:themeColor="background1" w:themeShade="80"/>
              <w:bottom w:val="single" w:sz="4" w:space="0" w:color="808080" w:themeColor="background1" w:themeShade="80"/>
            </w:tcBorders>
          </w:tcPr>
          <w:p w14:paraId="75C78AD6" w14:textId="0F49D90A" w:rsidR="000C511F" w:rsidRPr="00502B4F" w:rsidRDefault="000C511F" w:rsidP="000C511F">
            <w:pPr>
              <w:spacing w:after="0" w:line="240" w:lineRule="auto"/>
              <w:jc w:val="center"/>
              <w:rPr>
                <w:rFonts w:ascii="Arial" w:hAnsi="Arial" w:cs="Arial"/>
                <w:b/>
                <w:bCs/>
                <w:sz w:val="16"/>
                <w:szCs w:val="16"/>
                <w:highlight w:val="yellow"/>
              </w:rPr>
            </w:pPr>
            <w:r w:rsidRPr="000C511F">
              <w:rPr>
                <w:rFonts w:ascii="Arial" w:eastAsia="Times New Roman" w:hAnsi="Arial" w:cs="Arial"/>
                <w:b/>
                <w:bCs/>
                <w:sz w:val="16"/>
                <w:szCs w:val="16"/>
                <w:lang w:val="el-GR" w:eastAsia="el-GR"/>
              </w:rPr>
              <w:t>Γ’ τρίμηνο 2024</w:t>
            </w:r>
          </w:p>
        </w:tc>
        <w:tc>
          <w:tcPr>
            <w:tcW w:w="524" w:type="pct"/>
            <w:tcBorders>
              <w:top w:val="single" w:sz="4" w:space="0" w:color="808080" w:themeColor="background1" w:themeShade="80"/>
              <w:bottom w:val="single" w:sz="4" w:space="0" w:color="808080" w:themeColor="background1" w:themeShade="80"/>
            </w:tcBorders>
          </w:tcPr>
          <w:p w14:paraId="03261ED2" w14:textId="3EBD1BC8" w:rsidR="000C511F" w:rsidRPr="00502B4F" w:rsidRDefault="000C511F" w:rsidP="000C511F">
            <w:pPr>
              <w:spacing w:after="0" w:line="240" w:lineRule="auto"/>
              <w:jc w:val="center"/>
              <w:rPr>
                <w:rFonts w:ascii="Arial" w:hAnsi="Arial" w:cs="Arial"/>
                <w:b/>
                <w:bCs/>
                <w:sz w:val="16"/>
                <w:szCs w:val="16"/>
                <w:highlight w:val="yellow"/>
                <w:u w:val="single"/>
                <w:lang w:val="el-GR"/>
              </w:rPr>
            </w:pPr>
            <w:r w:rsidRPr="000C511F">
              <w:rPr>
                <w:rFonts w:ascii="Arial" w:eastAsia="Times New Roman" w:hAnsi="Arial" w:cs="Arial"/>
                <w:b/>
                <w:bCs/>
                <w:sz w:val="16"/>
                <w:szCs w:val="16"/>
                <w:lang w:val="el-GR" w:eastAsia="el-GR"/>
              </w:rPr>
              <w:t>Β’ τρίμηνο 2024</w:t>
            </w:r>
          </w:p>
        </w:tc>
        <w:tc>
          <w:tcPr>
            <w:tcW w:w="547"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B4AA16" w14:textId="77777777" w:rsidR="000C511F" w:rsidRPr="000C511F" w:rsidRDefault="000C511F" w:rsidP="000C511F">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lang w:val="el-GR" w:eastAsia="el-GR"/>
              </w:rPr>
            </w:pPr>
            <w:r w:rsidRPr="000C511F">
              <w:rPr>
                <w:rFonts w:ascii="Arial" w:eastAsia="Times New Roman" w:hAnsi="Arial" w:cs="Arial"/>
                <w:bCs/>
                <w:sz w:val="16"/>
                <w:szCs w:val="16"/>
                <w:lang w:val="el-GR" w:eastAsia="el-GR"/>
              </w:rPr>
              <w:t>Τριμηνιαία μεταβολή</w:t>
            </w:r>
          </w:p>
          <w:p w14:paraId="052D3A97" w14:textId="38D447E0" w:rsidR="000C511F" w:rsidRPr="00502B4F" w:rsidRDefault="000C511F" w:rsidP="000C511F">
            <w:pPr>
              <w:spacing w:after="0" w:line="240" w:lineRule="auto"/>
              <w:jc w:val="center"/>
              <w:rPr>
                <w:rFonts w:ascii="Arial" w:hAnsi="Arial" w:cs="Arial"/>
                <w:b/>
                <w:bCs/>
                <w:sz w:val="16"/>
                <w:szCs w:val="16"/>
                <w:highlight w:val="yellow"/>
              </w:rPr>
            </w:pPr>
            <w:r w:rsidRPr="000C511F">
              <w:rPr>
                <w:rFonts w:ascii="Arial" w:eastAsia="Times New Roman" w:hAnsi="Arial" w:cs="Arial"/>
                <w:bCs/>
                <w:sz w:val="16"/>
                <w:szCs w:val="16"/>
                <w:u w:val="single"/>
                <w:lang w:val="el-GR" w:eastAsia="el-GR"/>
              </w:rPr>
              <w:t>+</w:t>
            </w:r>
            <w:r w:rsidRPr="000C511F">
              <w:rPr>
                <w:rFonts w:ascii="Arial" w:eastAsia="Times New Roman" w:hAnsi="Arial" w:cs="Arial"/>
                <w:bCs/>
                <w:sz w:val="16"/>
                <w:szCs w:val="16"/>
                <w:lang w:val="el-GR" w:eastAsia="el-GR"/>
              </w:rPr>
              <w:t>%</w:t>
            </w:r>
          </w:p>
        </w:tc>
      </w:tr>
      <w:tr w:rsidR="000C511F" w:rsidRPr="00D41B36" w14:paraId="3B1D3B72" w14:textId="77777777" w:rsidTr="00502B4F">
        <w:trPr>
          <w:trHeight w:val="257"/>
        </w:trPr>
        <w:tc>
          <w:tcPr>
            <w:tcW w:w="186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23C9FB5" w14:textId="77777777" w:rsidR="000C511F" w:rsidRPr="007246A9" w:rsidRDefault="000C511F" w:rsidP="000C511F">
            <w:pPr>
              <w:spacing w:after="0" w:line="240" w:lineRule="auto"/>
              <w:jc w:val="both"/>
              <w:rPr>
                <w:rFonts w:ascii="Arial" w:hAnsi="Arial" w:cs="Arial"/>
                <w:b/>
                <w:bCs/>
                <w:sz w:val="18"/>
                <w:szCs w:val="18"/>
                <w:lang w:val="el-GR"/>
              </w:rPr>
            </w:pPr>
            <w:r w:rsidRPr="007246A9">
              <w:rPr>
                <w:rFonts w:ascii="Arial" w:hAnsi="Arial" w:cs="Arial"/>
                <w:b/>
                <w:bCs/>
                <w:sz w:val="18"/>
                <w:szCs w:val="18"/>
                <w:lang w:val="el-GR"/>
              </w:rPr>
              <w:t>Λειτουργικά κέρδη</w:t>
            </w:r>
          </w:p>
        </w:tc>
        <w:tc>
          <w:tcPr>
            <w:tcW w:w="168" w:type="pct"/>
            <w:tcBorders>
              <w:top w:val="single" w:sz="4" w:space="0" w:color="808080" w:themeColor="background1" w:themeShade="80"/>
              <w:bottom w:val="single" w:sz="4" w:space="0" w:color="808080" w:themeColor="background1" w:themeShade="80"/>
            </w:tcBorders>
          </w:tcPr>
          <w:p w14:paraId="652210CD" w14:textId="77777777" w:rsidR="000C511F" w:rsidRPr="00D41B36" w:rsidRDefault="000C511F" w:rsidP="000C511F">
            <w:pPr>
              <w:spacing w:after="0" w:line="240" w:lineRule="auto"/>
              <w:jc w:val="center"/>
              <w:rPr>
                <w:rFonts w:ascii="Arial" w:hAnsi="Arial" w:cs="Arial"/>
                <w:b/>
                <w:bCs/>
                <w:sz w:val="18"/>
                <w:szCs w:val="18"/>
                <w:highlight w:val="yellow"/>
              </w:rPr>
            </w:pPr>
          </w:p>
        </w:tc>
        <w:tc>
          <w:tcPr>
            <w:tcW w:w="525" w:type="pct"/>
            <w:tcBorders>
              <w:top w:val="single" w:sz="4" w:space="0" w:color="808080" w:themeColor="background1" w:themeShade="80"/>
              <w:bottom w:val="single" w:sz="4" w:space="0" w:color="808080" w:themeColor="background1" w:themeShade="80"/>
            </w:tcBorders>
            <w:vAlign w:val="center"/>
          </w:tcPr>
          <w:p w14:paraId="7A1996B6" w14:textId="42D61F70" w:rsidR="000C511F" w:rsidRPr="00502B4F" w:rsidRDefault="000C511F" w:rsidP="000C511F">
            <w:pPr>
              <w:spacing w:after="0" w:line="240" w:lineRule="auto"/>
              <w:jc w:val="right"/>
              <w:rPr>
                <w:rFonts w:ascii="Arial" w:eastAsia="Times New Roman" w:hAnsi="Arial" w:cs="Arial"/>
                <w:b/>
                <w:bCs/>
                <w:sz w:val="16"/>
                <w:szCs w:val="16"/>
                <w:highlight w:val="yellow"/>
                <w:lang w:eastAsia="el-GR"/>
              </w:rPr>
            </w:pPr>
            <w:r w:rsidRPr="00502B4F">
              <w:rPr>
                <w:rFonts w:ascii="Arial" w:eastAsia="Times New Roman" w:hAnsi="Arial" w:cs="Arial"/>
                <w:b/>
                <w:bCs/>
                <w:sz w:val="16"/>
                <w:szCs w:val="16"/>
                <w:lang w:eastAsia="el-GR"/>
              </w:rPr>
              <w:t>536</w:t>
            </w:r>
          </w:p>
        </w:tc>
        <w:tc>
          <w:tcPr>
            <w:tcW w:w="525" w:type="pct"/>
            <w:tcBorders>
              <w:top w:val="single" w:sz="4" w:space="0" w:color="808080" w:themeColor="background1" w:themeShade="80"/>
              <w:bottom w:val="single" w:sz="4" w:space="0" w:color="808080" w:themeColor="background1" w:themeShade="80"/>
            </w:tcBorders>
            <w:vAlign w:val="center"/>
          </w:tcPr>
          <w:p w14:paraId="1AC7E43C" w14:textId="2B80EBF9" w:rsidR="000C511F" w:rsidRPr="00502B4F" w:rsidRDefault="000C511F" w:rsidP="000C511F">
            <w:pPr>
              <w:spacing w:after="0" w:line="240" w:lineRule="auto"/>
              <w:jc w:val="right"/>
              <w:rPr>
                <w:rFonts w:ascii="Arial" w:hAnsi="Arial" w:cs="Arial"/>
                <w:b/>
                <w:bCs/>
                <w:sz w:val="16"/>
                <w:szCs w:val="16"/>
                <w:highlight w:val="yellow"/>
              </w:rPr>
            </w:pPr>
            <w:r w:rsidRPr="00502B4F">
              <w:rPr>
                <w:rFonts w:ascii="Arial" w:eastAsia="Times New Roman" w:hAnsi="Arial" w:cs="Arial"/>
                <w:b/>
                <w:bCs/>
                <w:sz w:val="16"/>
                <w:szCs w:val="16"/>
                <w:lang w:eastAsia="el-GR"/>
              </w:rPr>
              <w:t>518</w:t>
            </w:r>
          </w:p>
        </w:tc>
        <w:tc>
          <w:tcPr>
            <w:tcW w:w="432" w:type="pct"/>
            <w:tcBorders>
              <w:top w:val="single" w:sz="4" w:space="0" w:color="808080" w:themeColor="background1" w:themeShade="80"/>
              <w:bottom w:val="single" w:sz="4" w:space="0" w:color="808080" w:themeColor="background1" w:themeShade="80"/>
            </w:tcBorders>
            <w:vAlign w:val="center"/>
          </w:tcPr>
          <w:p w14:paraId="018B807B" w14:textId="0BE97299" w:rsidR="000C511F" w:rsidRPr="00502B4F" w:rsidRDefault="000C511F" w:rsidP="000C511F">
            <w:pPr>
              <w:spacing w:after="0" w:line="240" w:lineRule="auto"/>
              <w:jc w:val="right"/>
              <w:rPr>
                <w:rFonts w:ascii="Arial" w:hAnsi="Arial" w:cs="Arial"/>
                <w:b/>
                <w:bCs/>
                <w:sz w:val="16"/>
                <w:szCs w:val="16"/>
                <w:highlight w:val="yellow"/>
              </w:rPr>
            </w:pPr>
            <w:r w:rsidRPr="00502B4F">
              <w:rPr>
                <w:rFonts w:ascii="Arial" w:eastAsia="Times New Roman" w:hAnsi="Arial" w:cs="Arial"/>
                <w:b/>
                <w:bCs/>
                <w:sz w:val="16"/>
                <w:szCs w:val="16"/>
                <w:lang w:eastAsia="el-GR"/>
              </w:rPr>
              <w:t>3%</w:t>
            </w:r>
          </w:p>
        </w:tc>
        <w:tc>
          <w:tcPr>
            <w:tcW w:w="419" w:type="pct"/>
            <w:tcBorders>
              <w:top w:val="single" w:sz="4" w:space="0" w:color="808080" w:themeColor="background1" w:themeShade="80"/>
              <w:bottom w:val="single" w:sz="4" w:space="0" w:color="808080" w:themeColor="background1" w:themeShade="80"/>
            </w:tcBorders>
            <w:vAlign w:val="center"/>
          </w:tcPr>
          <w:p w14:paraId="5FCCA860" w14:textId="15DE0178" w:rsidR="000C511F" w:rsidRPr="00502B4F" w:rsidRDefault="000C511F" w:rsidP="000C511F">
            <w:pPr>
              <w:spacing w:after="0" w:line="240" w:lineRule="auto"/>
              <w:jc w:val="right"/>
              <w:rPr>
                <w:rFonts w:ascii="Arial" w:hAnsi="Arial" w:cs="Arial"/>
                <w:b/>
                <w:bCs/>
                <w:sz w:val="16"/>
                <w:szCs w:val="16"/>
                <w:highlight w:val="yellow"/>
              </w:rPr>
            </w:pPr>
            <w:r w:rsidRPr="00502B4F">
              <w:rPr>
                <w:rFonts w:ascii="Arial" w:eastAsia="Times New Roman" w:hAnsi="Arial" w:cs="Arial"/>
                <w:b/>
                <w:bCs/>
                <w:sz w:val="16"/>
                <w:szCs w:val="16"/>
                <w:lang w:eastAsia="el-GR"/>
              </w:rPr>
              <w:t>173</w:t>
            </w:r>
          </w:p>
        </w:tc>
        <w:tc>
          <w:tcPr>
            <w:tcW w:w="524" w:type="pct"/>
            <w:tcBorders>
              <w:top w:val="single" w:sz="4" w:space="0" w:color="808080" w:themeColor="background1" w:themeShade="80"/>
              <w:bottom w:val="single" w:sz="4" w:space="0" w:color="808080" w:themeColor="background1" w:themeShade="80"/>
            </w:tcBorders>
            <w:vAlign w:val="center"/>
          </w:tcPr>
          <w:p w14:paraId="496465D5" w14:textId="00EB20AE"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b/>
                <w:bCs/>
                <w:sz w:val="16"/>
                <w:szCs w:val="16"/>
                <w:lang w:eastAsia="el-GR"/>
              </w:rPr>
              <w:t>179</w:t>
            </w:r>
          </w:p>
        </w:tc>
        <w:tc>
          <w:tcPr>
            <w:tcW w:w="547"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A38475" w14:textId="57515CA5"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b/>
                <w:bCs/>
                <w:sz w:val="16"/>
                <w:szCs w:val="16"/>
                <w:lang w:eastAsia="el-GR"/>
              </w:rPr>
              <w:t>-3%</w:t>
            </w:r>
          </w:p>
        </w:tc>
      </w:tr>
      <w:tr w:rsidR="000C511F" w:rsidRPr="00D41B36" w14:paraId="2545E014" w14:textId="77777777" w:rsidTr="00502B4F">
        <w:trPr>
          <w:trHeight w:val="347"/>
        </w:trPr>
        <w:tc>
          <w:tcPr>
            <w:tcW w:w="1860" w:type="pct"/>
            <w:gridSpan w:val="4"/>
            <w:tcBorders>
              <w:top w:val="single" w:sz="4" w:space="0" w:color="808080" w:themeColor="background1" w:themeShade="80"/>
            </w:tcBorders>
            <w:vAlign w:val="center"/>
          </w:tcPr>
          <w:p w14:paraId="6B7E4E11" w14:textId="77777777" w:rsidR="000C511F" w:rsidRPr="007246A9" w:rsidRDefault="000C511F" w:rsidP="000C511F">
            <w:pPr>
              <w:spacing w:after="0" w:line="240" w:lineRule="auto"/>
              <w:jc w:val="both"/>
              <w:rPr>
                <w:rFonts w:ascii="Arial" w:hAnsi="Arial" w:cs="Arial"/>
                <w:sz w:val="18"/>
                <w:szCs w:val="18"/>
              </w:rPr>
            </w:pPr>
            <w:r w:rsidRPr="007246A9">
              <w:rPr>
                <w:rFonts w:ascii="Arial" w:hAnsi="Arial" w:cs="Arial"/>
                <w:sz w:val="18"/>
                <w:szCs w:val="18"/>
                <w:lang w:val="el-GR"/>
              </w:rPr>
              <w:t>Πιστωτικές ζημιές</w:t>
            </w:r>
            <w:r w:rsidRPr="007246A9">
              <w:rPr>
                <w:rFonts w:ascii="Arial" w:hAnsi="Arial" w:cs="Arial"/>
                <w:sz w:val="18"/>
                <w:szCs w:val="18"/>
              </w:rPr>
              <w:t xml:space="preserve"> </w:t>
            </w:r>
            <w:r w:rsidRPr="007246A9">
              <w:rPr>
                <w:rFonts w:ascii="Arial" w:hAnsi="Arial" w:cs="Arial"/>
                <w:sz w:val="18"/>
                <w:szCs w:val="18"/>
                <w:lang w:val="el-GR"/>
              </w:rPr>
              <w:t>δανείων</w:t>
            </w:r>
          </w:p>
        </w:tc>
        <w:tc>
          <w:tcPr>
            <w:tcW w:w="168" w:type="pct"/>
            <w:tcBorders>
              <w:top w:val="single" w:sz="4" w:space="0" w:color="808080" w:themeColor="background1" w:themeShade="80"/>
            </w:tcBorders>
          </w:tcPr>
          <w:p w14:paraId="3B5F34FD" w14:textId="77777777" w:rsidR="000C511F" w:rsidRPr="00D41B36" w:rsidRDefault="000C511F" w:rsidP="000C511F">
            <w:pPr>
              <w:spacing w:after="0" w:line="240" w:lineRule="auto"/>
              <w:jc w:val="center"/>
              <w:rPr>
                <w:rFonts w:ascii="Arial" w:hAnsi="Arial" w:cs="Arial"/>
                <w:sz w:val="18"/>
                <w:szCs w:val="18"/>
                <w:highlight w:val="yellow"/>
              </w:rPr>
            </w:pPr>
          </w:p>
        </w:tc>
        <w:tc>
          <w:tcPr>
            <w:tcW w:w="525" w:type="pct"/>
            <w:tcBorders>
              <w:top w:val="single" w:sz="4" w:space="0" w:color="808080" w:themeColor="background1" w:themeShade="80"/>
            </w:tcBorders>
            <w:vAlign w:val="center"/>
          </w:tcPr>
          <w:p w14:paraId="1C24AFDF" w14:textId="675C10F0" w:rsidR="000C511F" w:rsidRPr="00502B4F" w:rsidRDefault="000C511F" w:rsidP="000C511F">
            <w:pPr>
              <w:spacing w:after="0" w:line="240" w:lineRule="auto"/>
              <w:jc w:val="right"/>
              <w:rPr>
                <w:rFonts w:ascii="Arial" w:eastAsia="Times New Roman" w:hAnsi="Arial" w:cs="Arial"/>
                <w:bCs/>
                <w:sz w:val="16"/>
                <w:szCs w:val="16"/>
                <w:highlight w:val="yellow"/>
                <w:lang w:eastAsia="el-GR"/>
              </w:rPr>
            </w:pPr>
            <w:r w:rsidRPr="00502B4F">
              <w:rPr>
                <w:rFonts w:ascii="Arial" w:eastAsia="Times New Roman" w:hAnsi="Arial" w:cs="Arial"/>
                <w:bCs/>
                <w:sz w:val="16"/>
                <w:szCs w:val="16"/>
                <w:lang w:eastAsia="el-GR"/>
              </w:rPr>
              <w:t>(22)</w:t>
            </w:r>
          </w:p>
        </w:tc>
        <w:tc>
          <w:tcPr>
            <w:tcW w:w="525" w:type="pct"/>
            <w:tcBorders>
              <w:top w:val="single" w:sz="4" w:space="0" w:color="808080" w:themeColor="background1" w:themeShade="80"/>
            </w:tcBorders>
            <w:vAlign w:val="center"/>
          </w:tcPr>
          <w:p w14:paraId="6785D138" w14:textId="5202BB2D"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bCs/>
                <w:sz w:val="16"/>
                <w:szCs w:val="16"/>
                <w:lang w:eastAsia="el-GR"/>
              </w:rPr>
              <w:t>(44)</w:t>
            </w:r>
          </w:p>
        </w:tc>
        <w:tc>
          <w:tcPr>
            <w:tcW w:w="432" w:type="pct"/>
            <w:tcBorders>
              <w:top w:val="single" w:sz="4" w:space="0" w:color="808080" w:themeColor="background1" w:themeShade="80"/>
            </w:tcBorders>
            <w:vAlign w:val="center"/>
          </w:tcPr>
          <w:p w14:paraId="13B832AE" w14:textId="4DD38E14"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sz w:val="16"/>
                <w:szCs w:val="16"/>
                <w:lang w:eastAsia="el-GR"/>
              </w:rPr>
              <w:t>-50%</w:t>
            </w:r>
          </w:p>
        </w:tc>
        <w:tc>
          <w:tcPr>
            <w:tcW w:w="419" w:type="pct"/>
            <w:tcBorders>
              <w:top w:val="single" w:sz="4" w:space="0" w:color="808080" w:themeColor="background1" w:themeShade="80"/>
            </w:tcBorders>
            <w:vAlign w:val="center"/>
          </w:tcPr>
          <w:p w14:paraId="1C7CEED1" w14:textId="47FE8236"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bCs/>
                <w:sz w:val="16"/>
                <w:szCs w:val="16"/>
                <w:lang w:eastAsia="el-GR"/>
              </w:rPr>
              <w:t>(6)</w:t>
            </w:r>
          </w:p>
        </w:tc>
        <w:tc>
          <w:tcPr>
            <w:tcW w:w="524" w:type="pct"/>
            <w:tcBorders>
              <w:top w:val="single" w:sz="4" w:space="0" w:color="808080" w:themeColor="background1" w:themeShade="80"/>
            </w:tcBorders>
            <w:vAlign w:val="center"/>
          </w:tcPr>
          <w:p w14:paraId="7FE284D7" w14:textId="09D62F82"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bCs/>
                <w:sz w:val="16"/>
                <w:szCs w:val="16"/>
                <w:lang w:eastAsia="el-GR"/>
              </w:rPr>
              <w:t>(9)</w:t>
            </w:r>
          </w:p>
        </w:tc>
        <w:tc>
          <w:tcPr>
            <w:tcW w:w="547" w:type="pct"/>
            <w:tcBorders>
              <w:top w:val="single" w:sz="4" w:space="0" w:color="808080" w:themeColor="background1" w:themeShade="80"/>
            </w:tcBorders>
            <w:shd w:val="clear" w:color="auto" w:fill="auto"/>
            <w:vAlign w:val="center"/>
          </w:tcPr>
          <w:p w14:paraId="300F1FCC" w14:textId="78E93230"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sz w:val="16"/>
                <w:szCs w:val="16"/>
                <w:lang w:eastAsia="el-GR"/>
              </w:rPr>
              <w:t>-23%</w:t>
            </w:r>
          </w:p>
        </w:tc>
      </w:tr>
      <w:tr w:rsidR="000C511F" w:rsidRPr="00D41B36" w14:paraId="22F37360" w14:textId="77777777" w:rsidTr="00502B4F">
        <w:trPr>
          <w:trHeight w:val="257"/>
        </w:trPr>
        <w:tc>
          <w:tcPr>
            <w:tcW w:w="1860" w:type="pct"/>
            <w:gridSpan w:val="4"/>
            <w:vAlign w:val="center"/>
          </w:tcPr>
          <w:p w14:paraId="5DDCFCC5" w14:textId="77777777" w:rsidR="000C511F" w:rsidRPr="007246A9" w:rsidRDefault="000C511F" w:rsidP="000C511F">
            <w:pPr>
              <w:spacing w:after="0" w:line="240" w:lineRule="auto"/>
              <w:jc w:val="both"/>
              <w:rPr>
                <w:rFonts w:ascii="Arial" w:hAnsi="Arial" w:cs="Arial"/>
                <w:sz w:val="18"/>
                <w:szCs w:val="18"/>
                <w:lang w:val="el-GR"/>
              </w:rPr>
            </w:pPr>
            <w:proofErr w:type="spellStart"/>
            <w:r w:rsidRPr="007246A9">
              <w:rPr>
                <w:rFonts w:ascii="Arial" w:hAnsi="Arial" w:cs="Arial"/>
                <w:sz w:val="18"/>
                <w:szCs w:val="18"/>
                <w:lang w:val="el-GR"/>
              </w:rPr>
              <w:t>Απομειώσεις</w:t>
            </w:r>
            <w:proofErr w:type="spellEnd"/>
            <w:r w:rsidRPr="007246A9">
              <w:rPr>
                <w:rFonts w:ascii="Arial" w:hAnsi="Arial" w:cs="Arial"/>
                <w:sz w:val="18"/>
                <w:szCs w:val="18"/>
                <w:lang w:val="el-GR"/>
              </w:rPr>
              <w:t xml:space="preserve"> άλλων χρηματοοικονομικών</w:t>
            </w:r>
          </w:p>
          <w:p w14:paraId="04B22D58" w14:textId="01D9F034" w:rsidR="000C511F" w:rsidRPr="007246A9" w:rsidRDefault="000C511F" w:rsidP="000C511F">
            <w:pPr>
              <w:spacing w:after="0" w:line="240" w:lineRule="auto"/>
              <w:jc w:val="both"/>
              <w:rPr>
                <w:rFonts w:ascii="Arial" w:hAnsi="Arial" w:cs="Arial"/>
                <w:sz w:val="18"/>
                <w:szCs w:val="18"/>
                <w:lang w:val="el-GR"/>
              </w:rPr>
            </w:pPr>
            <w:r w:rsidRPr="007246A9">
              <w:rPr>
                <w:rFonts w:ascii="Arial" w:hAnsi="Arial" w:cs="Arial"/>
                <w:sz w:val="18"/>
                <w:szCs w:val="18"/>
                <w:lang w:val="el-GR"/>
              </w:rPr>
              <w:t>και μη χρηματοοικονομικών περιουσιακών στοιχείων</w:t>
            </w:r>
          </w:p>
        </w:tc>
        <w:tc>
          <w:tcPr>
            <w:tcW w:w="168" w:type="pct"/>
          </w:tcPr>
          <w:p w14:paraId="72AD5516" w14:textId="77777777" w:rsidR="000C511F" w:rsidRPr="00D41B36" w:rsidRDefault="000C511F" w:rsidP="000C511F">
            <w:pPr>
              <w:spacing w:after="0" w:line="240" w:lineRule="auto"/>
              <w:jc w:val="center"/>
              <w:rPr>
                <w:rFonts w:ascii="Arial" w:hAnsi="Arial" w:cs="Arial"/>
                <w:sz w:val="18"/>
                <w:szCs w:val="18"/>
                <w:highlight w:val="yellow"/>
                <w:lang w:val="el-GR"/>
              </w:rPr>
            </w:pPr>
          </w:p>
        </w:tc>
        <w:tc>
          <w:tcPr>
            <w:tcW w:w="525" w:type="pct"/>
            <w:vAlign w:val="center"/>
          </w:tcPr>
          <w:p w14:paraId="127A3867" w14:textId="253762D6" w:rsidR="000C511F" w:rsidRPr="00502B4F" w:rsidRDefault="000C511F" w:rsidP="000C511F">
            <w:pPr>
              <w:spacing w:after="0" w:line="240" w:lineRule="auto"/>
              <w:jc w:val="right"/>
              <w:rPr>
                <w:rFonts w:ascii="Arial" w:eastAsia="Times New Roman" w:hAnsi="Arial" w:cs="Arial"/>
                <w:sz w:val="16"/>
                <w:szCs w:val="16"/>
                <w:highlight w:val="yellow"/>
                <w:lang w:val="el-GR" w:eastAsia="el-GR"/>
              </w:rPr>
            </w:pPr>
            <w:r w:rsidRPr="00502B4F">
              <w:rPr>
                <w:rFonts w:ascii="Arial" w:eastAsia="Times New Roman" w:hAnsi="Arial" w:cs="Arial"/>
                <w:sz w:val="16"/>
                <w:szCs w:val="16"/>
                <w:lang w:eastAsia="el-GR"/>
              </w:rPr>
              <w:t>(39)</w:t>
            </w:r>
          </w:p>
        </w:tc>
        <w:tc>
          <w:tcPr>
            <w:tcW w:w="525" w:type="pct"/>
            <w:vAlign w:val="center"/>
          </w:tcPr>
          <w:p w14:paraId="428246C9" w14:textId="58D767E9"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sz w:val="16"/>
                <w:szCs w:val="16"/>
                <w:lang w:eastAsia="el-GR"/>
              </w:rPr>
              <w:t>(38)</w:t>
            </w:r>
          </w:p>
        </w:tc>
        <w:tc>
          <w:tcPr>
            <w:tcW w:w="432" w:type="pct"/>
            <w:vAlign w:val="center"/>
          </w:tcPr>
          <w:p w14:paraId="1AE2613E" w14:textId="5ABA2A03"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sz w:val="16"/>
                <w:szCs w:val="16"/>
                <w:lang w:eastAsia="el-GR"/>
              </w:rPr>
              <w:t>5%</w:t>
            </w:r>
          </w:p>
        </w:tc>
        <w:tc>
          <w:tcPr>
            <w:tcW w:w="419" w:type="pct"/>
            <w:vAlign w:val="center"/>
          </w:tcPr>
          <w:p w14:paraId="79B9414A" w14:textId="32EAA329"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bCs/>
                <w:sz w:val="16"/>
                <w:szCs w:val="16"/>
                <w:lang w:eastAsia="el-GR"/>
              </w:rPr>
              <w:t>(14)</w:t>
            </w:r>
          </w:p>
        </w:tc>
        <w:tc>
          <w:tcPr>
            <w:tcW w:w="524" w:type="pct"/>
            <w:vAlign w:val="center"/>
          </w:tcPr>
          <w:p w14:paraId="530AB5CF" w14:textId="6E822F36"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bCs/>
                <w:sz w:val="16"/>
                <w:szCs w:val="16"/>
                <w:lang w:eastAsia="el-GR"/>
              </w:rPr>
              <w:t>(17)</w:t>
            </w:r>
          </w:p>
        </w:tc>
        <w:tc>
          <w:tcPr>
            <w:tcW w:w="547" w:type="pct"/>
            <w:shd w:val="clear" w:color="auto" w:fill="auto"/>
            <w:vAlign w:val="center"/>
          </w:tcPr>
          <w:p w14:paraId="5CED9ED7" w14:textId="135A2A39"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sz w:val="16"/>
                <w:szCs w:val="16"/>
                <w:lang w:eastAsia="el-GR"/>
              </w:rPr>
              <w:t>-12%</w:t>
            </w:r>
          </w:p>
        </w:tc>
      </w:tr>
      <w:tr w:rsidR="000C511F" w:rsidRPr="00D41B36" w14:paraId="357CCE27" w14:textId="77777777" w:rsidTr="00502B4F">
        <w:trPr>
          <w:trHeight w:val="257"/>
        </w:trPr>
        <w:tc>
          <w:tcPr>
            <w:tcW w:w="1860" w:type="pct"/>
            <w:gridSpan w:val="4"/>
            <w:tcBorders>
              <w:bottom w:val="single" w:sz="4" w:space="0" w:color="808080" w:themeColor="background1" w:themeShade="80"/>
            </w:tcBorders>
            <w:vAlign w:val="center"/>
          </w:tcPr>
          <w:p w14:paraId="709DF879" w14:textId="0493788A" w:rsidR="000C511F" w:rsidRPr="007246A9" w:rsidRDefault="000C511F" w:rsidP="000C511F">
            <w:pPr>
              <w:spacing w:after="0" w:line="240" w:lineRule="auto"/>
              <w:jc w:val="both"/>
              <w:rPr>
                <w:rFonts w:ascii="Arial" w:hAnsi="Arial" w:cs="Arial"/>
                <w:sz w:val="18"/>
                <w:szCs w:val="18"/>
                <w:lang w:val="el-GR"/>
              </w:rPr>
            </w:pPr>
            <w:r w:rsidRPr="007246A9">
              <w:rPr>
                <w:rFonts w:ascii="Arial" w:hAnsi="Arial" w:cs="Arial"/>
                <w:sz w:val="18"/>
                <w:szCs w:val="18"/>
                <w:lang w:val="el-GR"/>
              </w:rPr>
              <w:t>Προβλέψεις για επιδικίες, απαιτήσεις, κανονιστικά</w:t>
            </w:r>
            <w:r>
              <w:rPr>
                <w:rFonts w:ascii="Arial" w:hAnsi="Arial" w:cs="Arial"/>
                <w:sz w:val="18"/>
                <w:szCs w:val="18"/>
                <w:lang w:val="el-GR"/>
              </w:rPr>
              <w:t xml:space="preserve"> </w:t>
            </w:r>
            <w:r w:rsidRPr="007246A9">
              <w:rPr>
                <w:rFonts w:ascii="Arial" w:hAnsi="Arial" w:cs="Arial"/>
                <w:sz w:val="18"/>
                <w:szCs w:val="18"/>
                <w:lang w:val="el-GR"/>
              </w:rPr>
              <w:t>και άλλα θέματα (μετά από αναστροφές)</w:t>
            </w:r>
          </w:p>
        </w:tc>
        <w:tc>
          <w:tcPr>
            <w:tcW w:w="168" w:type="pct"/>
            <w:tcBorders>
              <w:bottom w:val="single" w:sz="4" w:space="0" w:color="808080" w:themeColor="background1" w:themeShade="80"/>
            </w:tcBorders>
          </w:tcPr>
          <w:p w14:paraId="7E84AA0F" w14:textId="77777777" w:rsidR="000C511F" w:rsidRPr="00D41B36" w:rsidRDefault="000C511F" w:rsidP="000C511F">
            <w:pPr>
              <w:spacing w:after="0" w:line="240" w:lineRule="auto"/>
              <w:jc w:val="center"/>
              <w:rPr>
                <w:rFonts w:ascii="Arial" w:hAnsi="Arial" w:cs="Arial"/>
                <w:sz w:val="18"/>
                <w:szCs w:val="18"/>
                <w:highlight w:val="yellow"/>
                <w:lang w:val="el-GR"/>
              </w:rPr>
            </w:pPr>
          </w:p>
        </w:tc>
        <w:tc>
          <w:tcPr>
            <w:tcW w:w="525" w:type="pct"/>
            <w:tcBorders>
              <w:bottom w:val="single" w:sz="4" w:space="0" w:color="808080" w:themeColor="background1" w:themeShade="80"/>
            </w:tcBorders>
            <w:vAlign w:val="center"/>
          </w:tcPr>
          <w:p w14:paraId="2A286DAE" w14:textId="05128D13" w:rsidR="000C511F" w:rsidRPr="00502B4F" w:rsidRDefault="000C511F" w:rsidP="000C511F">
            <w:pPr>
              <w:spacing w:after="0" w:line="240" w:lineRule="auto"/>
              <w:jc w:val="right"/>
              <w:rPr>
                <w:rFonts w:ascii="Arial" w:eastAsia="Times New Roman" w:hAnsi="Arial" w:cs="Arial"/>
                <w:sz w:val="16"/>
                <w:szCs w:val="16"/>
                <w:highlight w:val="yellow"/>
                <w:lang w:val="el-GR" w:eastAsia="el-GR"/>
              </w:rPr>
            </w:pPr>
            <w:r w:rsidRPr="00502B4F">
              <w:rPr>
                <w:rFonts w:ascii="Arial" w:eastAsia="Times New Roman" w:hAnsi="Arial" w:cs="Arial"/>
                <w:sz w:val="16"/>
                <w:szCs w:val="16"/>
                <w:lang w:eastAsia="el-GR"/>
              </w:rPr>
              <w:t>1</w:t>
            </w:r>
          </w:p>
        </w:tc>
        <w:tc>
          <w:tcPr>
            <w:tcW w:w="525" w:type="pct"/>
            <w:tcBorders>
              <w:bottom w:val="single" w:sz="4" w:space="0" w:color="808080" w:themeColor="background1" w:themeShade="80"/>
            </w:tcBorders>
            <w:vAlign w:val="center"/>
          </w:tcPr>
          <w:p w14:paraId="7752288C" w14:textId="33BAC681"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sz w:val="16"/>
                <w:szCs w:val="16"/>
                <w:lang w:eastAsia="el-GR"/>
              </w:rPr>
              <w:t>(20)</w:t>
            </w:r>
          </w:p>
        </w:tc>
        <w:tc>
          <w:tcPr>
            <w:tcW w:w="432" w:type="pct"/>
            <w:tcBorders>
              <w:bottom w:val="single" w:sz="4" w:space="0" w:color="808080" w:themeColor="background1" w:themeShade="80"/>
            </w:tcBorders>
            <w:vAlign w:val="center"/>
          </w:tcPr>
          <w:p w14:paraId="25EA86F6" w14:textId="1F5E09F9"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sz w:val="16"/>
                <w:szCs w:val="16"/>
                <w:lang w:eastAsia="el-GR"/>
              </w:rPr>
              <w:t>-105%</w:t>
            </w:r>
          </w:p>
        </w:tc>
        <w:tc>
          <w:tcPr>
            <w:tcW w:w="419" w:type="pct"/>
            <w:tcBorders>
              <w:bottom w:val="single" w:sz="4" w:space="0" w:color="808080" w:themeColor="background1" w:themeShade="80"/>
            </w:tcBorders>
            <w:vAlign w:val="center"/>
          </w:tcPr>
          <w:p w14:paraId="314847D6" w14:textId="75B15764"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bCs/>
                <w:sz w:val="16"/>
                <w:szCs w:val="16"/>
                <w:lang w:eastAsia="el-GR"/>
              </w:rPr>
              <w:t>4</w:t>
            </w:r>
          </w:p>
        </w:tc>
        <w:tc>
          <w:tcPr>
            <w:tcW w:w="524" w:type="pct"/>
            <w:tcBorders>
              <w:bottom w:val="single" w:sz="4" w:space="0" w:color="808080" w:themeColor="background1" w:themeShade="80"/>
            </w:tcBorders>
            <w:vAlign w:val="center"/>
          </w:tcPr>
          <w:p w14:paraId="3CF8A69F" w14:textId="2F72918A"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bCs/>
                <w:sz w:val="16"/>
                <w:szCs w:val="16"/>
                <w:lang w:eastAsia="el-GR"/>
              </w:rPr>
              <w:t>7</w:t>
            </w:r>
          </w:p>
        </w:tc>
        <w:tc>
          <w:tcPr>
            <w:tcW w:w="547" w:type="pct"/>
            <w:tcBorders>
              <w:bottom w:val="single" w:sz="4" w:space="0" w:color="808080" w:themeColor="background1" w:themeShade="80"/>
            </w:tcBorders>
            <w:shd w:val="clear" w:color="auto" w:fill="auto"/>
            <w:vAlign w:val="center"/>
          </w:tcPr>
          <w:p w14:paraId="2A1CFF59" w14:textId="5946187F"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sz w:val="16"/>
                <w:szCs w:val="16"/>
                <w:lang w:eastAsia="el-GR"/>
              </w:rPr>
              <w:t>-51%</w:t>
            </w:r>
          </w:p>
        </w:tc>
      </w:tr>
      <w:tr w:rsidR="000C511F" w:rsidRPr="00D41B36" w:rsidDel="00CB576F" w14:paraId="3F3DD22B" w14:textId="77777777" w:rsidTr="00502B4F">
        <w:trPr>
          <w:trHeight w:val="257"/>
        </w:trPr>
        <w:tc>
          <w:tcPr>
            <w:tcW w:w="186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FFD7953" w14:textId="493D7C08" w:rsidR="000C511F" w:rsidRPr="007246A9" w:rsidRDefault="000C511F" w:rsidP="000C511F">
            <w:pPr>
              <w:spacing w:after="0" w:line="240" w:lineRule="auto"/>
              <w:jc w:val="both"/>
              <w:rPr>
                <w:rFonts w:ascii="Arial" w:hAnsi="Arial" w:cs="Arial"/>
                <w:b/>
                <w:bCs/>
                <w:sz w:val="18"/>
                <w:szCs w:val="18"/>
                <w:lang w:val="el-GR"/>
              </w:rPr>
            </w:pPr>
            <w:r w:rsidRPr="007246A9">
              <w:rPr>
                <w:rFonts w:ascii="Arial" w:hAnsi="Arial" w:cs="Arial"/>
                <w:b/>
                <w:bCs/>
                <w:sz w:val="18"/>
                <w:szCs w:val="18"/>
                <w:lang w:val="el-GR"/>
              </w:rPr>
              <w:t xml:space="preserve">Σύνολο πιστωτικών ζημιών δανείων, </w:t>
            </w:r>
            <w:proofErr w:type="spellStart"/>
            <w:r w:rsidRPr="007246A9">
              <w:rPr>
                <w:rFonts w:ascii="Arial" w:hAnsi="Arial" w:cs="Arial"/>
                <w:b/>
                <w:bCs/>
                <w:sz w:val="18"/>
                <w:szCs w:val="18"/>
                <w:lang w:val="el-GR"/>
              </w:rPr>
              <w:t>απομειώσεων</w:t>
            </w:r>
            <w:proofErr w:type="spellEnd"/>
            <w:r w:rsidRPr="007246A9">
              <w:rPr>
                <w:rFonts w:ascii="Arial" w:hAnsi="Arial" w:cs="Arial"/>
                <w:b/>
                <w:bCs/>
                <w:sz w:val="18"/>
                <w:szCs w:val="18"/>
                <w:lang w:val="el-GR"/>
              </w:rPr>
              <w:t xml:space="preserve"> και προβλέψεων</w:t>
            </w:r>
          </w:p>
        </w:tc>
        <w:tc>
          <w:tcPr>
            <w:tcW w:w="168" w:type="pct"/>
            <w:tcBorders>
              <w:top w:val="single" w:sz="4" w:space="0" w:color="808080" w:themeColor="background1" w:themeShade="80"/>
              <w:bottom w:val="single" w:sz="4" w:space="0" w:color="808080" w:themeColor="background1" w:themeShade="80"/>
            </w:tcBorders>
          </w:tcPr>
          <w:p w14:paraId="1DFC307C" w14:textId="77777777" w:rsidR="000C511F" w:rsidRPr="00D41B36" w:rsidRDefault="000C511F" w:rsidP="000C511F">
            <w:pPr>
              <w:spacing w:after="0" w:line="240" w:lineRule="auto"/>
              <w:jc w:val="center"/>
              <w:rPr>
                <w:rFonts w:ascii="Arial" w:hAnsi="Arial" w:cs="Arial"/>
                <w:b/>
                <w:bCs/>
                <w:sz w:val="18"/>
                <w:szCs w:val="18"/>
                <w:highlight w:val="yellow"/>
                <w:lang w:val="el-GR"/>
              </w:rPr>
            </w:pPr>
          </w:p>
        </w:tc>
        <w:tc>
          <w:tcPr>
            <w:tcW w:w="525" w:type="pct"/>
            <w:tcBorders>
              <w:top w:val="single" w:sz="4" w:space="0" w:color="808080" w:themeColor="background1" w:themeShade="80"/>
              <w:bottom w:val="single" w:sz="4" w:space="0" w:color="808080" w:themeColor="background1" w:themeShade="80"/>
            </w:tcBorders>
            <w:vAlign w:val="center"/>
          </w:tcPr>
          <w:p w14:paraId="01615763" w14:textId="7126B745" w:rsidR="000C511F" w:rsidRPr="00502B4F" w:rsidRDefault="000C511F" w:rsidP="000C511F">
            <w:pPr>
              <w:spacing w:after="0" w:line="240" w:lineRule="auto"/>
              <w:jc w:val="right"/>
              <w:rPr>
                <w:rFonts w:ascii="Arial" w:eastAsia="Times New Roman" w:hAnsi="Arial" w:cs="Arial"/>
                <w:b/>
                <w:sz w:val="16"/>
                <w:szCs w:val="16"/>
                <w:highlight w:val="yellow"/>
                <w:lang w:val="el-GR" w:eastAsia="el-GR"/>
              </w:rPr>
            </w:pPr>
            <w:r w:rsidRPr="00502B4F">
              <w:rPr>
                <w:rFonts w:ascii="Arial" w:eastAsia="Times New Roman" w:hAnsi="Arial" w:cs="Arial"/>
                <w:b/>
                <w:sz w:val="16"/>
                <w:szCs w:val="16"/>
                <w:lang w:eastAsia="el-GR"/>
              </w:rPr>
              <w:t>(60)</w:t>
            </w:r>
          </w:p>
        </w:tc>
        <w:tc>
          <w:tcPr>
            <w:tcW w:w="525" w:type="pct"/>
            <w:tcBorders>
              <w:top w:val="single" w:sz="4" w:space="0" w:color="808080" w:themeColor="background1" w:themeShade="80"/>
              <w:bottom w:val="single" w:sz="4" w:space="0" w:color="808080" w:themeColor="background1" w:themeShade="80"/>
            </w:tcBorders>
            <w:vAlign w:val="center"/>
          </w:tcPr>
          <w:p w14:paraId="0A241FC0" w14:textId="7551CAEC" w:rsidR="000C511F" w:rsidRPr="00502B4F" w:rsidRDefault="000C511F" w:rsidP="000C511F">
            <w:pPr>
              <w:spacing w:after="0" w:line="240" w:lineRule="auto"/>
              <w:jc w:val="right"/>
              <w:rPr>
                <w:rFonts w:ascii="Arial" w:hAnsi="Arial" w:cs="Arial"/>
                <w:b/>
                <w:bCs/>
                <w:sz w:val="16"/>
                <w:szCs w:val="16"/>
                <w:highlight w:val="yellow"/>
              </w:rPr>
            </w:pPr>
            <w:r w:rsidRPr="00502B4F">
              <w:rPr>
                <w:rFonts w:ascii="Arial" w:eastAsia="Times New Roman" w:hAnsi="Arial" w:cs="Arial"/>
                <w:b/>
                <w:sz w:val="16"/>
                <w:szCs w:val="16"/>
                <w:lang w:eastAsia="el-GR"/>
              </w:rPr>
              <w:t>(102)</w:t>
            </w:r>
          </w:p>
        </w:tc>
        <w:tc>
          <w:tcPr>
            <w:tcW w:w="432" w:type="pct"/>
            <w:tcBorders>
              <w:top w:val="single" w:sz="4" w:space="0" w:color="808080" w:themeColor="background1" w:themeShade="80"/>
              <w:bottom w:val="single" w:sz="4" w:space="0" w:color="808080" w:themeColor="background1" w:themeShade="80"/>
            </w:tcBorders>
            <w:vAlign w:val="center"/>
          </w:tcPr>
          <w:p w14:paraId="26E2BDE0" w14:textId="5DE2BF7C" w:rsidR="000C511F" w:rsidRPr="00502B4F" w:rsidRDefault="000C511F" w:rsidP="000C511F">
            <w:pPr>
              <w:spacing w:after="0" w:line="240" w:lineRule="auto"/>
              <w:jc w:val="right"/>
              <w:rPr>
                <w:rFonts w:ascii="Arial" w:hAnsi="Arial" w:cs="Arial"/>
                <w:b/>
                <w:bCs/>
                <w:sz w:val="16"/>
                <w:szCs w:val="16"/>
                <w:highlight w:val="yellow"/>
              </w:rPr>
            </w:pPr>
            <w:r w:rsidRPr="00502B4F">
              <w:rPr>
                <w:rFonts w:ascii="Arial" w:eastAsia="Times New Roman" w:hAnsi="Arial" w:cs="Arial"/>
                <w:b/>
                <w:bCs/>
                <w:sz w:val="16"/>
                <w:szCs w:val="16"/>
                <w:lang w:eastAsia="el-GR"/>
              </w:rPr>
              <w:t>-41%</w:t>
            </w:r>
          </w:p>
        </w:tc>
        <w:tc>
          <w:tcPr>
            <w:tcW w:w="419" w:type="pct"/>
            <w:tcBorders>
              <w:top w:val="single" w:sz="4" w:space="0" w:color="808080" w:themeColor="background1" w:themeShade="80"/>
              <w:bottom w:val="single" w:sz="4" w:space="0" w:color="808080" w:themeColor="background1" w:themeShade="80"/>
            </w:tcBorders>
            <w:vAlign w:val="center"/>
          </w:tcPr>
          <w:p w14:paraId="639B0BE5" w14:textId="5ED8ECB5" w:rsidR="000C511F" w:rsidRPr="00502B4F" w:rsidRDefault="000C511F" w:rsidP="000C511F">
            <w:pPr>
              <w:spacing w:after="0" w:line="240" w:lineRule="auto"/>
              <w:jc w:val="right"/>
              <w:rPr>
                <w:rFonts w:ascii="Arial" w:hAnsi="Arial" w:cs="Arial"/>
                <w:b/>
                <w:bCs/>
                <w:sz w:val="16"/>
                <w:szCs w:val="16"/>
                <w:highlight w:val="yellow"/>
              </w:rPr>
            </w:pPr>
            <w:r w:rsidRPr="00502B4F">
              <w:rPr>
                <w:rFonts w:ascii="Arial" w:eastAsia="Times New Roman" w:hAnsi="Arial" w:cs="Arial"/>
                <w:b/>
                <w:sz w:val="16"/>
                <w:szCs w:val="16"/>
                <w:lang w:eastAsia="el-GR"/>
              </w:rPr>
              <w:t>(16)</w:t>
            </w:r>
          </w:p>
        </w:tc>
        <w:tc>
          <w:tcPr>
            <w:tcW w:w="524" w:type="pct"/>
            <w:tcBorders>
              <w:top w:val="single" w:sz="4" w:space="0" w:color="808080" w:themeColor="background1" w:themeShade="80"/>
              <w:bottom w:val="single" w:sz="4" w:space="0" w:color="808080" w:themeColor="background1" w:themeShade="80"/>
            </w:tcBorders>
            <w:vAlign w:val="center"/>
          </w:tcPr>
          <w:p w14:paraId="4E244202" w14:textId="42FDD4D7"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b/>
                <w:sz w:val="16"/>
                <w:szCs w:val="16"/>
                <w:lang w:eastAsia="el-GR"/>
              </w:rPr>
              <w:t>(19)</w:t>
            </w:r>
          </w:p>
        </w:tc>
        <w:tc>
          <w:tcPr>
            <w:tcW w:w="547"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051D31" w14:textId="1EDB03F7" w:rsidR="000C511F" w:rsidRPr="00502B4F" w:rsidDel="00CB576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b/>
                <w:bCs/>
                <w:sz w:val="16"/>
                <w:szCs w:val="16"/>
                <w:lang w:eastAsia="el-GR"/>
              </w:rPr>
              <w:t>-2%</w:t>
            </w:r>
          </w:p>
        </w:tc>
      </w:tr>
      <w:tr w:rsidR="000C511F" w:rsidRPr="00D41B36" w14:paraId="3DD332B7" w14:textId="77777777" w:rsidTr="00502B4F">
        <w:trPr>
          <w:trHeight w:val="257"/>
        </w:trPr>
        <w:tc>
          <w:tcPr>
            <w:tcW w:w="186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1B48EA4" w14:textId="013008D4" w:rsidR="000C511F" w:rsidRPr="007246A9" w:rsidRDefault="000C511F" w:rsidP="000C511F">
            <w:pPr>
              <w:spacing w:after="0" w:line="240" w:lineRule="auto"/>
              <w:jc w:val="both"/>
              <w:rPr>
                <w:rFonts w:ascii="Arial" w:hAnsi="Arial" w:cs="Arial"/>
                <w:b/>
                <w:bCs/>
                <w:sz w:val="18"/>
                <w:szCs w:val="18"/>
                <w:lang w:val="el-GR"/>
              </w:rPr>
            </w:pPr>
            <w:r w:rsidRPr="007246A9">
              <w:rPr>
                <w:rFonts w:ascii="Arial" w:hAnsi="Arial" w:cs="Arial"/>
                <w:b/>
                <w:bCs/>
                <w:sz w:val="18"/>
                <w:szCs w:val="18"/>
                <w:lang w:val="el-GR"/>
              </w:rPr>
              <w:t>Κέρδη πριν τη φορολογία και μη-επαναλαμβανόμενα στοιχεία</w:t>
            </w:r>
          </w:p>
        </w:tc>
        <w:tc>
          <w:tcPr>
            <w:tcW w:w="168" w:type="pct"/>
            <w:tcBorders>
              <w:top w:val="single" w:sz="4" w:space="0" w:color="808080" w:themeColor="background1" w:themeShade="80"/>
              <w:bottom w:val="single" w:sz="4" w:space="0" w:color="808080" w:themeColor="background1" w:themeShade="80"/>
            </w:tcBorders>
          </w:tcPr>
          <w:p w14:paraId="0C255473" w14:textId="77777777" w:rsidR="000C511F" w:rsidRPr="00D41B36" w:rsidRDefault="000C511F" w:rsidP="000C511F">
            <w:pPr>
              <w:spacing w:after="0" w:line="240" w:lineRule="auto"/>
              <w:jc w:val="center"/>
              <w:rPr>
                <w:rFonts w:ascii="Arial" w:hAnsi="Arial" w:cs="Arial"/>
                <w:b/>
                <w:bCs/>
                <w:sz w:val="18"/>
                <w:szCs w:val="18"/>
                <w:highlight w:val="yellow"/>
                <w:lang w:val="el-GR"/>
              </w:rPr>
            </w:pPr>
          </w:p>
        </w:tc>
        <w:tc>
          <w:tcPr>
            <w:tcW w:w="525" w:type="pct"/>
            <w:tcBorders>
              <w:top w:val="single" w:sz="4" w:space="0" w:color="808080" w:themeColor="background1" w:themeShade="80"/>
              <w:bottom w:val="single" w:sz="4" w:space="0" w:color="808080" w:themeColor="background1" w:themeShade="80"/>
            </w:tcBorders>
            <w:vAlign w:val="center"/>
          </w:tcPr>
          <w:p w14:paraId="647367DD" w14:textId="5333D5A0" w:rsidR="000C511F" w:rsidRPr="00502B4F" w:rsidRDefault="000C511F" w:rsidP="000C511F">
            <w:pPr>
              <w:spacing w:after="0" w:line="240" w:lineRule="auto"/>
              <w:jc w:val="right"/>
              <w:rPr>
                <w:rFonts w:ascii="Arial" w:eastAsia="Times New Roman" w:hAnsi="Arial" w:cs="Arial"/>
                <w:b/>
                <w:bCs/>
                <w:sz w:val="16"/>
                <w:szCs w:val="16"/>
                <w:highlight w:val="yellow"/>
                <w:lang w:val="el-GR" w:eastAsia="el-GR"/>
              </w:rPr>
            </w:pPr>
            <w:r w:rsidRPr="00502B4F">
              <w:rPr>
                <w:rFonts w:ascii="Arial" w:eastAsia="Times New Roman" w:hAnsi="Arial" w:cs="Arial"/>
                <w:b/>
                <w:bCs/>
                <w:sz w:val="16"/>
                <w:szCs w:val="16"/>
                <w:lang w:eastAsia="el-GR"/>
              </w:rPr>
              <w:t>476</w:t>
            </w:r>
          </w:p>
        </w:tc>
        <w:tc>
          <w:tcPr>
            <w:tcW w:w="525" w:type="pct"/>
            <w:tcBorders>
              <w:top w:val="single" w:sz="4" w:space="0" w:color="808080" w:themeColor="background1" w:themeShade="80"/>
              <w:bottom w:val="single" w:sz="4" w:space="0" w:color="808080" w:themeColor="background1" w:themeShade="80"/>
            </w:tcBorders>
            <w:vAlign w:val="center"/>
          </w:tcPr>
          <w:p w14:paraId="46D10D4F" w14:textId="06972C20" w:rsidR="000C511F" w:rsidRPr="00502B4F" w:rsidRDefault="000C511F" w:rsidP="000C511F">
            <w:pPr>
              <w:spacing w:after="0" w:line="240" w:lineRule="auto"/>
              <w:jc w:val="right"/>
              <w:rPr>
                <w:rFonts w:ascii="Arial" w:hAnsi="Arial" w:cs="Arial"/>
                <w:b/>
                <w:bCs/>
                <w:sz w:val="16"/>
                <w:szCs w:val="16"/>
                <w:highlight w:val="yellow"/>
              </w:rPr>
            </w:pPr>
            <w:r w:rsidRPr="00502B4F">
              <w:rPr>
                <w:rFonts w:ascii="Arial" w:eastAsia="Times New Roman" w:hAnsi="Arial" w:cs="Arial"/>
                <w:b/>
                <w:bCs/>
                <w:sz w:val="16"/>
                <w:szCs w:val="16"/>
                <w:lang w:eastAsia="el-GR"/>
              </w:rPr>
              <w:t>416</w:t>
            </w:r>
          </w:p>
        </w:tc>
        <w:tc>
          <w:tcPr>
            <w:tcW w:w="432" w:type="pct"/>
            <w:tcBorders>
              <w:top w:val="single" w:sz="4" w:space="0" w:color="808080" w:themeColor="background1" w:themeShade="80"/>
              <w:bottom w:val="single" w:sz="4" w:space="0" w:color="808080" w:themeColor="background1" w:themeShade="80"/>
            </w:tcBorders>
            <w:vAlign w:val="center"/>
          </w:tcPr>
          <w:p w14:paraId="5CF86078" w14:textId="708488A9" w:rsidR="000C511F" w:rsidRPr="00502B4F" w:rsidRDefault="000C511F" w:rsidP="000C511F">
            <w:pPr>
              <w:spacing w:after="0" w:line="240" w:lineRule="auto"/>
              <w:jc w:val="right"/>
              <w:rPr>
                <w:rFonts w:ascii="Arial" w:hAnsi="Arial" w:cs="Arial"/>
                <w:b/>
                <w:bCs/>
                <w:sz w:val="16"/>
                <w:szCs w:val="16"/>
                <w:highlight w:val="yellow"/>
              </w:rPr>
            </w:pPr>
            <w:r w:rsidRPr="00502B4F">
              <w:rPr>
                <w:rFonts w:ascii="Arial" w:eastAsia="Times New Roman" w:hAnsi="Arial" w:cs="Arial"/>
                <w:b/>
                <w:bCs/>
                <w:sz w:val="16"/>
                <w:szCs w:val="16"/>
                <w:lang w:eastAsia="el-GR"/>
              </w:rPr>
              <w:t>14%</w:t>
            </w:r>
          </w:p>
        </w:tc>
        <w:tc>
          <w:tcPr>
            <w:tcW w:w="419" w:type="pct"/>
            <w:tcBorders>
              <w:top w:val="single" w:sz="4" w:space="0" w:color="808080" w:themeColor="background1" w:themeShade="80"/>
              <w:bottom w:val="single" w:sz="4" w:space="0" w:color="808080" w:themeColor="background1" w:themeShade="80"/>
            </w:tcBorders>
            <w:vAlign w:val="center"/>
          </w:tcPr>
          <w:p w14:paraId="3F99D474" w14:textId="277BAEB6" w:rsidR="000C511F" w:rsidRPr="00502B4F" w:rsidRDefault="000C511F" w:rsidP="000C511F">
            <w:pPr>
              <w:spacing w:after="0" w:line="240" w:lineRule="auto"/>
              <w:jc w:val="right"/>
              <w:rPr>
                <w:rFonts w:ascii="Arial" w:hAnsi="Arial" w:cs="Arial"/>
                <w:b/>
                <w:bCs/>
                <w:sz w:val="16"/>
                <w:szCs w:val="16"/>
                <w:highlight w:val="yellow"/>
              </w:rPr>
            </w:pPr>
            <w:r w:rsidRPr="00502B4F">
              <w:rPr>
                <w:rFonts w:ascii="Arial" w:eastAsia="Times New Roman" w:hAnsi="Arial" w:cs="Arial"/>
                <w:b/>
                <w:bCs/>
                <w:sz w:val="16"/>
                <w:szCs w:val="16"/>
                <w:lang w:eastAsia="el-GR"/>
              </w:rPr>
              <w:t>157</w:t>
            </w:r>
          </w:p>
        </w:tc>
        <w:tc>
          <w:tcPr>
            <w:tcW w:w="524" w:type="pct"/>
            <w:tcBorders>
              <w:top w:val="single" w:sz="4" w:space="0" w:color="808080" w:themeColor="background1" w:themeShade="80"/>
              <w:bottom w:val="single" w:sz="4" w:space="0" w:color="808080" w:themeColor="background1" w:themeShade="80"/>
            </w:tcBorders>
            <w:vAlign w:val="center"/>
          </w:tcPr>
          <w:p w14:paraId="0B783F75" w14:textId="4EEA4492"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b/>
                <w:bCs/>
                <w:sz w:val="16"/>
                <w:szCs w:val="16"/>
                <w:lang w:eastAsia="el-GR"/>
              </w:rPr>
              <w:t>160</w:t>
            </w:r>
          </w:p>
        </w:tc>
        <w:tc>
          <w:tcPr>
            <w:tcW w:w="547"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2732C3" w14:textId="0C5587AF" w:rsidR="000C511F" w:rsidRPr="00502B4F" w:rsidRDefault="000C511F" w:rsidP="000C511F">
            <w:pPr>
              <w:spacing w:after="0" w:line="240" w:lineRule="auto"/>
              <w:jc w:val="right"/>
              <w:rPr>
                <w:rFonts w:ascii="Arial" w:hAnsi="Arial" w:cs="Arial"/>
                <w:sz w:val="16"/>
                <w:szCs w:val="16"/>
                <w:highlight w:val="yellow"/>
              </w:rPr>
            </w:pPr>
            <w:r w:rsidRPr="00502B4F">
              <w:rPr>
                <w:rFonts w:ascii="Arial" w:eastAsia="Times New Roman" w:hAnsi="Arial" w:cs="Arial"/>
                <w:b/>
                <w:bCs/>
                <w:sz w:val="16"/>
                <w:szCs w:val="16"/>
                <w:lang w:eastAsia="el-GR"/>
              </w:rPr>
              <w:t>-4%</w:t>
            </w:r>
          </w:p>
        </w:tc>
      </w:tr>
      <w:tr w:rsidR="000C511F" w:rsidRPr="00D41B36" w14:paraId="51D902E8" w14:textId="77777777" w:rsidTr="00502B4F">
        <w:trPr>
          <w:trHeight w:val="257"/>
        </w:trPr>
        <w:tc>
          <w:tcPr>
            <w:tcW w:w="186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A4D6215" w14:textId="53A2733E" w:rsidR="000C511F" w:rsidRPr="007246A9" w:rsidRDefault="000C511F" w:rsidP="000C511F">
            <w:pPr>
              <w:spacing w:after="0" w:line="240" w:lineRule="auto"/>
              <w:jc w:val="both"/>
              <w:rPr>
                <w:rFonts w:ascii="Arial" w:hAnsi="Arial" w:cs="Arial"/>
                <w:b/>
                <w:bCs/>
                <w:sz w:val="18"/>
                <w:szCs w:val="18"/>
                <w:lang w:val="el-GR"/>
              </w:rPr>
            </w:pPr>
            <w:r w:rsidRPr="007246A9">
              <w:rPr>
                <w:rFonts w:ascii="Arial" w:hAnsi="Arial" w:cs="Arial"/>
                <w:b/>
                <w:bCs/>
                <w:sz w:val="18"/>
                <w:szCs w:val="18"/>
                <w:lang w:val="el-GR"/>
              </w:rPr>
              <w:t>Χρέωση πιστωτικών ζημιών δανείων (</w:t>
            </w:r>
            <w:proofErr w:type="spellStart"/>
            <w:r w:rsidRPr="007246A9">
              <w:rPr>
                <w:rFonts w:ascii="Arial" w:hAnsi="Arial" w:cs="Arial"/>
                <w:b/>
                <w:bCs/>
                <w:sz w:val="18"/>
                <w:szCs w:val="18"/>
                <w:lang w:val="el-GR"/>
              </w:rPr>
              <w:t>cost</w:t>
            </w:r>
            <w:proofErr w:type="spellEnd"/>
            <w:r w:rsidRPr="007246A9">
              <w:rPr>
                <w:rFonts w:ascii="Arial" w:hAnsi="Arial" w:cs="Arial"/>
                <w:b/>
                <w:bCs/>
                <w:sz w:val="18"/>
                <w:szCs w:val="18"/>
                <w:lang w:val="el-GR"/>
              </w:rPr>
              <w:t xml:space="preserve"> of </w:t>
            </w:r>
            <w:proofErr w:type="spellStart"/>
            <w:r w:rsidRPr="007246A9">
              <w:rPr>
                <w:rFonts w:ascii="Arial" w:hAnsi="Arial" w:cs="Arial"/>
                <w:b/>
                <w:bCs/>
                <w:sz w:val="18"/>
                <w:szCs w:val="18"/>
                <w:lang w:val="el-GR"/>
              </w:rPr>
              <w:t>risk</w:t>
            </w:r>
            <w:proofErr w:type="spellEnd"/>
            <w:r w:rsidRPr="007246A9">
              <w:rPr>
                <w:rFonts w:ascii="Arial" w:hAnsi="Arial" w:cs="Arial"/>
                <w:b/>
                <w:bCs/>
                <w:sz w:val="18"/>
                <w:szCs w:val="18"/>
                <w:lang w:val="el-GR"/>
              </w:rPr>
              <w:t>)</w:t>
            </w:r>
          </w:p>
        </w:tc>
        <w:tc>
          <w:tcPr>
            <w:tcW w:w="168" w:type="pct"/>
            <w:tcBorders>
              <w:top w:val="single" w:sz="4" w:space="0" w:color="808080" w:themeColor="background1" w:themeShade="80"/>
              <w:bottom w:val="single" w:sz="4" w:space="0" w:color="808080" w:themeColor="background1" w:themeShade="80"/>
            </w:tcBorders>
          </w:tcPr>
          <w:p w14:paraId="7B03C7D4" w14:textId="77777777" w:rsidR="000C511F" w:rsidRPr="00D41B36" w:rsidRDefault="000C511F" w:rsidP="000C511F">
            <w:pPr>
              <w:spacing w:after="0" w:line="240" w:lineRule="auto"/>
              <w:jc w:val="center"/>
              <w:rPr>
                <w:rFonts w:ascii="Arial" w:hAnsi="Arial" w:cs="Arial"/>
                <w:b/>
                <w:bCs/>
                <w:sz w:val="18"/>
                <w:szCs w:val="18"/>
                <w:highlight w:val="yellow"/>
                <w:lang w:val="el-GR"/>
              </w:rPr>
            </w:pPr>
          </w:p>
        </w:tc>
        <w:tc>
          <w:tcPr>
            <w:tcW w:w="525" w:type="pct"/>
            <w:tcBorders>
              <w:top w:val="single" w:sz="4" w:space="0" w:color="808080" w:themeColor="background1" w:themeShade="80"/>
              <w:bottom w:val="single" w:sz="4" w:space="0" w:color="808080" w:themeColor="background1" w:themeShade="80"/>
            </w:tcBorders>
            <w:vAlign w:val="center"/>
          </w:tcPr>
          <w:p w14:paraId="394E17FC" w14:textId="4842F49A" w:rsidR="000C511F" w:rsidRPr="00502B4F" w:rsidRDefault="000C511F" w:rsidP="000C511F">
            <w:pPr>
              <w:spacing w:after="0" w:line="240" w:lineRule="auto"/>
              <w:jc w:val="right"/>
              <w:rPr>
                <w:rFonts w:ascii="Arial" w:eastAsia="Times New Roman" w:hAnsi="Arial" w:cs="Arial"/>
                <w:b/>
                <w:bCs/>
                <w:sz w:val="16"/>
                <w:szCs w:val="16"/>
                <w:highlight w:val="yellow"/>
                <w:lang w:val="el-GR" w:eastAsia="el-GR"/>
              </w:rPr>
            </w:pPr>
            <w:r w:rsidRPr="00502B4F">
              <w:rPr>
                <w:rFonts w:ascii="Arial" w:eastAsia="Times New Roman" w:hAnsi="Arial" w:cs="Arial"/>
                <w:b/>
                <w:bCs/>
                <w:sz w:val="16"/>
                <w:szCs w:val="16"/>
                <w:lang w:eastAsia="el-GR"/>
              </w:rPr>
              <w:t>0.29%</w:t>
            </w:r>
          </w:p>
        </w:tc>
        <w:tc>
          <w:tcPr>
            <w:tcW w:w="525" w:type="pct"/>
            <w:tcBorders>
              <w:top w:val="single" w:sz="4" w:space="0" w:color="808080" w:themeColor="background1" w:themeShade="80"/>
              <w:bottom w:val="single" w:sz="4" w:space="0" w:color="808080" w:themeColor="background1" w:themeShade="80"/>
            </w:tcBorders>
            <w:vAlign w:val="center"/>
          </w:tcPr>
          <w:p w14:paraId="35B8A409" w14:textId="4BAEA258" w:rsidR="000C511F" w:rsidRPr="00502B4F" w:rsidRDefault="000C511F" w:rsidP="000C511F">
            <w:pPr>
              <w:spacing w:after="0" w:line="240" w:lineRule="auto"/>
              <w:jc w:val="right"/>
              <w:rPr>
                <w:rFonts w:ascii="Arial" w:hAnsi="Arial" w:cs="Arial"/>
                <w:b/>
                <w:bCs/>
                <w:sz w:val="16"/>
                <w:szCs w:val="16"/>
                <w:highlight w:val="yellow"/>
              </w:rPr>
            </w:pPr>
            <w:r w:rsidRPr="00502B4F">
              <w:rPr>
                <w:rFonts w:ascii="Arial" w:eastAsia="Times New Roman" w:hAnsi="Arial" w:cs="Arial"/>
                <w:b/>
                <w:bCs/>
                <w:sz w:val="16"/>
                <w:szCs w:val="16"/>
                <w:lang w:eastAsia="el-GR"/>
              </w:rPr>
              <w:t>0.58%</w:t>
            </w:r>
          </w:p>
        </w:tc>
        <w:tc>
          <w:tcPr>
            <w:tcW w:w="432" w:type="pct"/>
            <w:tcBorders>
              <w:top w:val="single" w:sz="4" w:space="0" w:color="808080" w:themeColor="background1" w:themeShade="80"/>
              <w:bottom w:val="single" w:sz="4" w:space="0" w:color="808080" w:themeColor="background1" w:themeShade="80"/>
            </w:tcBorders>
            <w:vAlign w:val="center"/>
          </w:tcPr>
          <w:p w14:paraId="0779B009" w14:textId="0596E11D" w:rsidR="000C511F" w:rsidRPr="00502B4F" w:rsidRDefault="000C511F" w:rsidP="000C511F">
            <w:pPr>
              <w:spacing w:after="0" w:line="240" w:lineRule="auto"/>
              <w:jc w:val="right"/>
              <w:rPr>
                <w:rFonts w:ascii="Arial" w:hAnsi="Arial" w:cs="Arial"/>
                <w:b/>
                <w:bCs/>
                <w:sz w:val="16"/>
                <w:szCs w:val="16"/>
                <w:highlight w:val="yellow"/>
              </w:rPr>
            </w:pPr>
            <w:r w:rsidRPr="00502B4F">
              <w:rPr>
                <w:rFonts w:ascii="Arial" w:eastAsia="Times New Roman" w:hAnsi="Arial" w:cs="Arial"/>
                <w:b/>
                <w:bCs/>
                <w:sz w:val="16"/>
                <w:szCs w:val="16"/>
                <w:lang w:eastAsia="el-GR"/>
              </w:rPr>
              <w:t xml:space="preserve">-29 </w:t>
            </w:r>
            <w:proofErr w:type="spellStart"/>
            <w:r>
              <w:rPr>
                <w:rFonts w:ascii="Arial" w:eastAsia="Times New Roman" w:hAnsi="Arial" w:cs="Arial"/>
                <w:b/>
                <w:bCs/>
                <w:sz w:val="16"/>
                <w:szCs w:val="16"/>
                <w:lang w:val="el-GR" w:eastAsia="el-GR"/>
              </w:rPr>
              <w:t>μ.β</w:t>
            </w:r>
            <w:proofErr w:type="spellEnd"/>
            <w:r>
              <w:rPr>
                <w:rFonts w:ascii="Arial" w:eastAsia="Times New Roman" w:hAnsi="Arial" w:cs="Arial"/>
                <w:b/>
                <w:bCs/>
                <w:sz w:val="16"/>
                <w:szCs w:val="16"/>
                <w:lang w:val="el-GR" w:eastAsia="el-GR"/>
              </w:rPr>
              <w:t>.</w:t>
            </w:r>
          </w:p>
        </w:tc>
        <w:tc>
          <w:tcPr>
            <w:tcW w:w="419" w:type="pct"/>
            <w:tcBorders>
              <w:top w:val="single" w:sz="4" w:space="0" w:color="808080" w:themeColor="background1" w:themeShade="80"/>
              <w:bottom w:val="single" w:sz="4" w:space="0" w:color="808080" w:themeColor="background1" w:themeShade="80"/>
            </w:tcBorders>
            <w:vAlign w:val="center"/>
          </w:tcPr>
          <w:p w14:paraId="6262F6AD" w14:textId="0846D288" w:rsidR="000C511F" w:rsidRPr="00502B4F" w:rsidRDefault="000C511F" w:rsidP="000C511F">
            <w:pPr>
              <w:spacing w:after="0" w:line="240" w:lineRule="auto"/>
              <w:jc w:val="right"/>
              <w:rPr>
                <w:rFonts w:ascii="Arial" w:hAnsi="Arial" w:cs="Arial"/>
                <w:b/>
                <w:bCs/>
                <w:sz w:val="16"/>
                <w:szCs w:val="16"/>
                <w:highlight w:val="yellow"/>
              </w:rPr>
            </w:pPr>
            <w:r w:rsidRPr="00502B4F">
              <w:rPr>
                <w:rFonts w:ascii="Arial" w:eastAsia="Times New Roman" w:hAnsi="Arial" w:cs="Arial"/>
                <w:b/>
                <w:bCs/>
                <w:sz w:val="16"/>
                <w:szCs w:val="16"/>
                <w:lang w:eastAsia="el-GR"/>
              </w:rPr>
              <w:t>0.26%</w:t>
            </w:r>
          </w:p>
        </w:tc>
        <w:tc>
          <w:tcPr>
            <w:tcW w:w="524" w:type="pct"/>
            <w:tcBorders>
              <w:top w:val="single" w:sz="4" w:space="0" w:color="808080" w:themeColor="background1" w:themeShade="80"/>
              <w:bottom w:val="single" w:sz="4" w:space="0" w:color="808080" w:themeColor="background1" w:themeShade="80"/>
            </w:tcBorders>
            <w:vAlign w:val="center"/>
          </w:tcPr>
          <w:p w14:paraId="099E278A" w14:textId="54FB1F58" w:rsidR="000C511F" w:rsidRPr="00502B4F" w:rsidRDefault="000C511F" w:rsidP="000C511F">
            <w:pPr>
              <w:spacing w:after="0" w:line="240" w:lineRule="auto"/>
              <w:jc w:val="right"/>
              <w:rPr>
                <w:rFonts w:ascii="Arial" w:hAnsi="Arial" w:cs="Arial"/>
                <w:sz w:val="16"/>
                <w:szCs w:val="16"/>
                <w:highlight w:val="yellow"/>
                <w:lang w:val="el-GR"/>
              </w:rPr>
            </w:pPr>
            <w:r w:rsidRPr="00502B4F">
              <w:rPr>
                <w:rFonts w:ascii="Arial" w:eastAsia="Times New Roman" w:hAnsi="Arial" w:cs="Arial"/>
                <w:b/>
                <w:bCs/>
                <w:sz w:val="16"/>
                <w:szCs w:val="16"/>
                <w:lang w:eastAsia="el-GR"/>
              </w:rPr>
              <w:t>0.34%</w:t>
            </w:r>
          </w:p>
        </w:tc>
        <w:tc>
          <w:tcPr>
            <w:tcW w:w="547"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5F80B3" w14:textId="10A97703" w:rsidR="000C511F" w:rsidRPr="00502B4F" w:rsidRDefault="000C511F" w:rsidP="000C511F">
            <w:pPr>
              <w:spacing w:after="0" w:line="240" w:lineRule="auto"/>
              <w:jc w:val="right"/>
              <w:rPr>
                <w:rFonts w:ascii="Arial" w:hAnsi="Arial" w:cs="Arial"/>
                <w:sz w:val="16"/>
                <w:szCs w:val="16"/>
                <w:highlight w:val="yellow"/>
                <w:lang w:val="el-GR"/>
              </w:rPr>
            </w:pPr>
            <w:r w:rsidRPr="00502B4F">
              <w:rPr>
                <w:rFonts w:ascii="Arial" w:eastAsia="Times New Roman" w:hAnsi="Arial" w:cs="Arial"/>
                <w:b/>
                <w:bCs/>
                <w:sz w:val="16"/>
                <w:szCs w:val="16"/>
                <w:lang w:eastAsia="el-GR"/>
              </w:rPr>
              <w:t xml:space="preserve">-8 </w:t>
            </w:r>
            <w:proofErr w:type="spellStart"/>
            <w:r>
              <w:rPr>
                <w:rFonts w:ascii="Arial" w:eastAsia="Times New Roman" w:hAnsi="Arial" w:cs="Arial"/>
                <w:b/>
                <w:bCs/>
                <w:sz w:val="16"/>
                <w:szCs w:val="16"/>
                <w:lang w:val="el-GR" w:eastAsia="el-GR"/>
              </w:rPr>
              <w:t>μ.β</w:t>
            </w:r>
            <w:proofErr w:type="spellEnd"/>
            <w:r>
              <w:rPr>
                <w:rFonts w:ascii="Arial" w:eastAsia="Times New Roman" w:hAnsi="Arial" w:cs="Arial"/>
                <w:b/>
                <w:bCs/>
                <w:sz w:val="16"/>
                <w:szCs w:val="16"/>
                <w:lang w:val="el-GR" w:eastAsia="el-GR"/>
              </w:rPr>
              <w:t>.</w:t>
            </w:r>
          </w:p>
        </w:tc>
      </w:tr>
      <w:tr w:rsidR="00E074F3" w:rsidRPr="00910A4E" w14:paraId="0BD4B272" w14:textId="77777777" w:rsidTr="007246A9">
        <w:trPr>
          <w:trHeight w:val="257"/>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CBE31D" w14:textId="03FAF17F" w:rsidR="00E074F3" w:rsidRPr="007246A9" w:rsidRDefault="00E074F3" w:rsidP="00E074F3">
            <w:pPr>
              <w:spacing w:after="0" w:line="240" w:lineRule="auto"/>
              <w:rPr>
                <w:rFonts w:ascii="Arial" w:hAnsi="Arial" w:cs="Arial"/>
                <w:sz w:val="18"/>
                <w:szCs w:val="18"/>
                <w:lang w:val="el-GR"/>
              </w:rPr>
            </w:pPr>
            <w:proofErr w:type="spellStart"/>
            <w:r w:rsidRPr="007246A9">
              <w:rPr>
                <w:rFonts w:ascii="Arial" w:hAnsi="Arial" w:cs="Arial"/>
                <w:color w:val="000000" w:themeColor="text1"/>
                <w:sz w:val="14"/>
                <w:szCs w:val="14"/>
                <w:lang w:val="el-GR"/>
              </w:rPr>
              <w:t>Ε.μ</w:t>
            </w:r>
            <w:proofErr w:type="spellEnd"/>
            <w:r w:rsidRPr="007246A9">
              <w:rPr>
                <w:rFonts w:ascii="Arial" w:hAnsi="Arial" w:cs="Arial"/>
                <w:color w:val="000000" w:themeColor="text1"/>
                <w:sz w:val="14"/>
                <w:szCs w:val="14"/>
                <w:lang w:val="el-GR"/>
              </w:rPr>
              <w:t xml:space="preserve">. = εκατοστιαίες μονάδες, </w:t>
            </w:r>
            <w:proofErr w:type="spellStart"/>
            <w:r w:rsidRPr="007246A9">
              <w:rPr>
                <w:rFonts w:ascii="Arial" w:hAnsi="Arial" w:cs="Arial"/>
                <w:color w:val="000000" w:themeColor="text1"/>
                <w:sz w:val="14"/>
                <w:szCs w:val="14"/>
                <w:lang w:val="el-GR"/>
              </w:rPr>
              <w:t>μ.β</w:t>
            </w:r>
            <w:proofErr w:type="spellEnd"/>
            <w:r w:rsidRPr="007246A9">
              <w:rPr>
                <w:rFonts w:ascii="Arial" w:hAnsi="Arial" w:cs="Arial"/>
                <w:color w:val="000000" w:themeColor="text1"/>
                <w:sz w:val="14"/>
                <w:szCs w:val="14"/>
                <w:lang w:val="el-GR"/>
              </w:rPr>
              <w:t>.= μονάδες βάσης, 100 μονάδες βάσης = 1 εκατοστιαία μονάδα</w:t>
            </w:r>
          </w:p>
        </w:tc>
      </w:tr>
      <w:bookmarkEnd w:id="24"/>
    </w:tbl>
    <w:p w14:paraId="68B7F590" w14:textId="77777777" w:rsidR="00F75FBB" w:rsidRPr="00D41B36" w:rsidRDefault="00F75FBB" w:rsidP="00BC4C32">
      <w:pPr>
        <w:spacing w:after="0" w:line="240" w:lineRule="auto"/>
        <w:jc w:val="both"/>
        <w:rPr>
          <w:rFonts w:ascii="Arial" w:hAnsi="Arial" w:cs="Arial"/>
          <w:b/>
          <w:bCs/>
          <w:sz w:val="14"/>
          <w:szCs w:val="14"/>
          <w:highlight w:val="yellow"/>
          <w:lang w:val="el-GR"/>
        </w:rPr>
      </w:pPr>
    </w:p>
    <w:p w14:paraId="6BD07C6F" w14:textId="77777777" w:rsidR="00F75FBB" w:rsidRPr="00A00212" w:rsidRDefault="00F75FBB" w:rsidP="00BC4C32">
      <w:pPr>
        <w:spacing w:after="0" w:line="240" w:lineRule="auto"/>
        <w:jc w:val="both"/>
        <w:rPr>
          <w:rFonts w:ascii="Arial" w:hAnsi="Arial" w:cs="Arial"/>
          <w:b/>
          <w:bCs/>
          <w:sz w:val="2"/>
          <w:szCs w:val="2"/>
          <w:lang w:val="el-GR"/>
        </w:rPr>
      </w:pPr>
    </w:p>
    <w:p w14:paraId="67F05E33" w14:textId="26FA809D" w:rsidR="00970643" w:rsidRPr="00D41B36" w:rsidRDefault="00F26111" w:rsidP="00F26350">
      <w:pPr>
        <w:spacing w:after="0" w:line="240" w:lineRule="auto"/>
        <w:jc w:val="both"/>
        <w:rPr>
          <w:rFonts w:ascii="Arial" w:hAnsi="Arial" w:cs="Arial"/>
          <w:sz w:val="18"/>
          <w:szCs w:val="18"/>
          <w:highlight w:val="yellow"/>
          <w:lang w:val="el-GR"/>
        </w:rPr>
      </w:pPr>
      <w:r w:rsidRPr="007246A9">
        <w:rPr>
          <w:rFonts w:ascii="Arial" w:hAnsi="Arial" w:cs="Arial"/>
          <w:b/>
          <w:bCs/>
          <w:sz w:val="18"/>
          <w:szCs w:val="18"/>
          <w:lang w:val="el-GR"/>
        </w:rPr>
        <w:t xml:space="preserve">Τα λειτουργικά κέρδη </w:t>
      </w:r>
      <w:r w:rsidR="002A469F" w:rsidRPr="007246A9">
        <w:rPr>
          <w:rFonts w:ascii="Arial" w:hAnsi="Arial" w:cs="Arial"/>
          <w:sz w:val="18"/>
          <w:szCs w:val="18"/>
          <w:lang w:val="el-GR" w:eastAsia="el-GR"/>
        </w:rPr>
        <w:t xml:space="preserve">για το </w:t>
      </w:r>
      <w:r w:rsidR="007A2F9B">
        <w:rPr>
          <w:rFonts w:ascii="Arial" w:hAnsi="Arial" w:cs="Arial"/>
          <w:sz w:val="18"/>
          <w:szCs w:val="18"/>
          <w:lang w:val="el-GR" w:eastAsia="el-GR"/>
        </w:rPr>
        <w:t>εννεάμηνο</w:t>
      </w:r>
      <w:r w:rsidR="007B2785" w:rsidRPr="007246A9">
        <w:rPr>
          <w:rFonts w:ascii="Arial" w:hAnsi="Arial" w:cs="Arial"/>
          <w:sz w:val="18"/>
          <w:szCs w:val="18"/>
          <w:lang w:val="el-GR" w:eastAsia="el-GR"/>
        </w:rPr>
        <w:t xml:space="preserve"> που έληξε στις 30 Σεπτεμβρίου</w:t>
      </w:r>
      <w:r w:rsidR="00970643" w:rsidRPr="007246A9">
        <w:rPr>
          <w:rFonts w:ascii="Arial" w:hAnsi="Arial" w:cs="Arial"/>
          <w:sz w:val="18"/>
          <w:szCs w:val="18"/>
          <w:lang w:val="el-GR" w:eastAsia="el-GR"/>
        </w:rPr>
        <w:t xml:space="preserve"> 2024 ανήλθαν σ</w:t>
      </w:r>
      <w:r w:rsidR="00970643" w:rsidRPr="000C511F">
        <w:rPr>
          <w:rFonts w:ascii="Arial" w:hAnsi="Arial" w:cs="Arial"/>
          <w:sz w:val="18"/>
          <w:szCs w:val="18"/>
          <w:lang w:val="el-GR" w:eastAsia="el-GR"/>
        </w:rPr>
        <w:t>ε €</w:t>
      </w:r>
      <w:r w:rsidR="000C511F" w:rsidRPr="00502B4F">
        <w:rPr>
          <w:rFonts w:ascii="Arial" w:hAnsi="Arial" w:cs="Arial"/>
          <w:sz w:val="18"/>
          <w:lang w:val="el-GR"/>
        </w:rPr>
        <w:t xml:space="preserve">536 </w:t>
      </w:r>
      <w:r w:rsidR="00970643" w:rsidRPr="000C511F">
        <w:rPr>
          <w:rFonts w:ascii="Arial" w:hAnsi="Arial" w:cs="Arial"/>
          <w:sz w:val="18"/>
          <w:szCs w:val="18"/>
          <w:lang w:val="el-GR" w:eastAsia="el-GR"/>
        </w:rPr>
        <w:t>εκατ</w:t>
      </w:r>
      <w:r w:rsidR="00970643" w:rsidRPr="007246A9">
        <w:rPr>
          <w:rFonts w:ascii="Arial" w:hAnsi="Arial" w:cs="Arial"/>
          <w:sz w:val="18"/>
          <w:szCs w:val="18"/>
          <w:lang w:val="el-GR" w:eastAsia="el-GR"/>
        </w:rPr>
        <w:t>., σε σύγκριση με €</w:t>
      </w:r>
      <w:r w:rsidR="008425C3" w:rsidRPr="007246A9">
        <w:rPr>
          <w:rFonts w:ascii="Arial" w:hAnsi="Arial" w:cs="Arial"/>
          <w:sz w:val="18"/>
          <w:lang w:val="el-GR"/>
        </w:rPr>
        <w:t xml:space="preserve">518 </w:t>
      </w:r>
      <w:r w:rsidR="00970643" w:rsidRPr="007246A9">
        <w:rPr>
          <w:rFonts w:ascii="Arial" w:hAnsi="Arial" w:cs="Arial"/>
          <w:sz w:val="18"/>
          <w:szCs w:val="18"/>
          <w:lang w:val="el-GR" w:eastAsia="el-GR"/>
        </w:rPr>
        <w:t xml:space="preserve">εκατ. για το </w:t>
      </w:r>
      <w:r w:rsidR="008425C3" w:rsidRPr="007246A9">
        <w:rPr>
          <w:rFonts w:ascii="Arial" w:hAnsi="Arial" w:cs="Arial"/>
          <w:sz w:val="18"/>
          <w:szCs w:val="18"/>
          <w:lang w:val="el-GR" w:eastAsia="el-GR"/>
        </w:rPr>
        <w:t xml:space="preserve">αντίστοιχο </w:t>
      </w:r>
      <w:r w:rsidR="007A2F9B">
        <w:rPr>
          <w:rFonts w:ascii="Arial" w:hAnsi="Arial" w:cs="Arial"/>
          <w:sz w:val="18"/>
          <w:szCs w:val="18"/>
          <w:lang w:val="el-GR" w:eastAsia="el-GR"/>
        </w:rPr>
        <w:t>εννεάμηνο</w:t>
      </w:r>
      <w:r w:rsidR="008425C3" w:rsidRPr="007246A9">
        <w:rPr>
          <w:rFonts w:ascii="Arial" w:hAnsi="Arial" w:cs="Arial"/>
          <w:sz w:val="18"/>
          <w:szCs w:val="18"/>
          <w:lang w:val="el-GR" w:eastAsia="el-GR"/>
        </w:rPr>
        <w:t xml:space="preserve"> </w:t>
      </w:r>
      <w:r w:rsidR="00970643" w:rsidRPr="007246A9">
        <w:rPr>
          <w:rFonts w:ascii="Arial" w:hAnsi="Arial" w:cs="Arial"/>
          <w:sz w:val="18"/>
          <w:szCs w:val="18"/>
          <w:lang w:val="el-GR" w:eastAsia="el-GR"/>
        </w:rPr>
        <w:t>202</w:t>
      </w:r>
      <w:r w:rsidR="00970643" w:rsidRPr="000C511F">
        <w:rPr>
          <w:rFonts w:ascii="Arial" w:hAnsi="Arial" w:cs="Arial"/>
          <w:sz w:val="18"/>
          <w:szCs w:val="18"/>
          <w:lang w:val="el-GR" w:eastAsia="el-GR"/>
        </w:rPr>
        <w:t xml:space="preserve">3, </w:t>
      </w:r>
      <w:r w:rsidR="00970643" w:rsidRPr="00502B4F">
        <w:rPr>
          <w:rFonts w:ascii="Arial" w:hAnsi="Arial" w:cs="Arial"/>
          <w:sz w:val="18"/>
          <w:szCs w:val="18"/>
          <w:lang w:val="el-GR" w:eastAsia="el-GR"/>
        </w:rPr>
        <w:t xml:space="preserve">αυξημένα κατά </w:t>
      </w:r>
      <w:r w:rsidR="000C511F" w:rsidRPr="00502B4F">
        <w:rPr>
          <w:rFonts w:ascii="Arial" w:hAnsi="Arial" w:cs="Arial"/>
          <w:sz w:val="18"/>
          <w:lang w:val="el-GR"/>
        </w:rPr>
        <w:t>3</w:t>
      </w:r>
      <w:r w:rsidR="00970643" w:rsidRPr="00502B4F">
        <w:rPr>
          <w:rFonts w:ascii="Arial" w:hAnsi="Arial" w:cs="Arial"/>
          <w:sz w:val="18"/>
          <w:szCs w:val="18"/>
          <w:lang w:val="el-GR" w:eastAsia="el-GR"/>
        </w:rPr>
        <w:t xml:space="preserve">% σε ετήσια βάση, </w:t>
      </w:r>
      <w:r w:rsidR="00970643" w:rsidRPr="00502B4F">
        <w:rPr>
          <w:rFonts w:ascii="Arial" w:hAnsi="Arial" w:cs="Arial"/>
          <w:sz w:val="18"/>
          <w:szCs w:val="18"/>
          <w:lang w:val="el-GR"/>
        </w:rPr>
        <w:t xml:space="preserve">αντικατοπτρίζοντας κυρίως τη σημαντική αύξηση στα καθαρά έσοδα από τόκους. </w:t>
      </w:r>
      <w:r w:rsidR="00970643" w:rsidRPr="00002175">
        <w:rPr>
          <w:rFonts w:ascii="Arial" w:hAnsi="Arial" w:cs="Arial"/>
          <w:sz w:val="18"/>
          <w:szCs w:val="18"/>
          <w:lang w:val="el-GR"/>
        </w:rPr>
        <w:t xml:space="preserve">Τα λειτουργικά κέρδη για το </w:t>
      </w:r>
      <w:r w:rsidR="008425C3" w:rsidRPr="00002175">
        <w:rPr>
          <w:rFonts w:ascii="Arial" w:hAnsi="Arial" w:cs="Arial"/>
          <w:sz w:val="18"/>
          <w:szCs w:val="18"/>
          <w:lang w:val="el-GR"/>
        </w:rPr>
        <w:t xml:space="preserve">γ’ </w:t>
      </w:r>
      <w:r w:rsidR="00970643" w:rsidRPr="00002175">
        <w:rPr>
          <w:rFonts w:ascii="Arial" w:hAnsi="Arial" w:cs="Arial"/>
          <w:sz w:val="18"/>
          <w:szCs w:val="18"/>
          <w:lang w:val="el-GR"/>
        </w:rPr>
        <w:t>τρίμηνο 2024 ανήλθαν σε €</w:t>
      </w:r>
      <w:r w:rsidR="000C511F" w:rsidRPr="00502B4F">
        <w:rPr>
          <w:rFonts w:ascii="Arial" w:hAnsi="Arial" w:cs="Arial"/>
          <w:sz w:val="18"/>
          <w:lang w:val="el-GR"/>
        </w:rPr>
        <w:t xml:space="preserve">173 </w:t>
      </w:r>
      <w:r w:rsidR="00970643" w:rsidRPr="00002175">
        <w:rPr>
          <w:rFonts w:ascii="Arial" w:hAnsi="Arial" w:cs="Arial"/>
          <w:sz w:val="18"/>
          <w:szCs w:val="18"/>
          <w:lang w:val="el-GR"/>
        </w:rPr>
        <w:t xml:space="preserve">εκατ., μειωμένα κατά </w:t>
      </w:r>
      <w:r w:rsidR="000C511F" w:rsidRPr="00502B4F">
        <w:rPr>
          <w:rFonts w:ascii="Arial" w:hAnsi="Arial" w:cs="Arial"/>
          <w:sz w:val="18"/>
          <w:lang w:val="el-GR"/>
        </w:rPr>
        <w:t>3</w:t>
      </w:r>
      <w:r w:rsidR="00970643" w:rsidRPr="00002175">
        <w:rPr>
          <w:rFonts w:ascii="Arial" w:hAnsi="Arial" w:cs="Arial"/>
          <w:sz w:val="18"/>
          <w:szCs w:val="18"/>
          <w:lang w:val="el-GR"/>
        </w:rPr>
        <w:t>% σε τριμηνιαία βάση,</w:t>
      </w:r>
      <w:r w:rsidR="00970643" w:rsidRPr="00502B4F">
        <w:rPr>
          <w:rFonts w:ascii="Arial" w:hAnsi="Arial" w:cs="Arial"/>
          <w:sz w:val="18"/>
          <w:szCs w:val="18"/>
          <w:lang w:val="el-GR"/>
        </w:rPr>
        <w:t xml:space="preserve"> λόγω </w:t>
      </w:r>
      <w:r w:rsidR="00002175" w:rsidRPr="00502B4F">
        <w:rPr>
          <w:rFonts w:ascii="Arial" w:hAnsi="Arial" w:cs="Arial"/>
          <w:sz w:val="18"/>
          <w:szCs w:val="18"/>
          <w:lang w:val="el-GR"/>
        </w:rPr>
        <w:t xml:space="preserve">της </w:t>
      </w:r>
      <w:r w:rsidR="00767E3F" w:rsidRPr="00502B4F">
        <w:rPr>
          <w:rFonts w:ascii="Arial" w:hAnsi="Arial" w:cs="Arial"/>
          <w:sz w:val="18"/>
          <w:szCs w:val="18"/>
          <w:lang w:val="el-GR"/>
        </w:rPr>
        <w:t xml:space="preserve">αύξησης στα συνολικά έξοδα, </w:t>
      </w:r>
      <w:r w:rsidR="00970643" w:rsidRPr="00502B4F">
        <w:rPr>
          <w:rFonts w:ascii="Arial" w:hAnsi="Arial" w:cs="Arial"/>
          <w:sz w:val="18"/>
          <w:szCs w:val="18"/>
          <w:lang w:val="el-GR"/>
        </w:rPr>
        <w:t xml:space="preserve">όπως εξηγείται πιο πάνω. </w:t>
      </w:r>
    </w:p>
    <w:p w14:paraId="1D9F4AF2" w14:textId="77777777" w:rsidR="00F26111" w:rsidRPr="00A00212" w:rsidRDefault="00F26111" w:rsidP="00F26350">
      <w:pPr>
        <w:spacing w:after="0" w:line="240" w:lineRule="auto"/>
        <w:jc w:val="both"/>
        <w:rPr>
          <w:rFonts w:ascii="Arial" w:hAnsi="Arial" w:cs="Arial"/>
          <w:sz w:val="12"/>
          <w:szCs w:val="12"/>
          <w:highlight w:val="yellow"/>
          <w:lang w:val="el-GR"/>
        </w:rPr>
      </w:pPr>
    </w:p>
    <w:p w14:paraId="64DFBEF4" w14:textId="26374FF0" w:rsidR="001B16A6" w:rsidRPr="007246A9" w:rsidRDefault="00F26111" w:rsidP="005D4999">
      <w:pPr>
        <w:pStyle w:val="BodyText3"/>
        <w:jc w:val="both"/>
        <w:rPr>
          <w:rFonts w:ascii="Arial" w:hAnsi="Arial" w:cs="Arial"/>
          <w:sz w:val="18"/>
          <w:szCs w:val="18"/>
          <w:lang w:val="el-GR"/>
        </w:rPr>
      </w:pPr>
      <w:r w:rsidRPr="007246A9">
        <w:rPr>
          <w:rFonts w:ascii="Arial" w:hAnsi="Arial" w:cs="Arial"/>
          <w:b/>
          <w:bCs/>
          <w:sz w:val="18"/>
          <w:szCs w:val="18"/>
          <w:lang w:val="el-GR"/>
        </w:rPr>
        <w:t>Οι πιστωτικές ζημιές δανείων</w:t>
      </w:r>
      <w:r w:rsidRPr="007246A9">
        <w:rPr>
          <w:rFonts w:ascii="Arial" w:hAnsi="Arial" w:cs="Arial"/>
          <w:sz w:val="18"/>
          <w:szCs w:val="18"/>
          <w:lang w:val="el-GR"/>
        </w:rPr>
        <w:t xml:space="preserve"> </w:t>
      </w:r>
      <w:r w:rsidR="008D4948" w:rsidRPr="007246A9">
        <w:rPr>
          <w:rFonts w:ascii="Arial" w:hAnsi="Arial" w:cs="Arial"/>
          <w:sz w:val="18"/>
          <w:szCs w:val="18"/>
          <w:lang w:val="el-GR"/>
        </w:rPr>
        <w:t>για το</w:t>
      </w:r>
      <w:r w:rsidR="00970643" w:rsidRPr="007246A9">
        <w:rPr>
          <w:rFonts w:ascii="Arial" w:hAnsi="Arial" w:cs="Arial"/>
          <w:sz w:val="18"/>
          <w:szCs w:val="18"/>
          <w:lang w:val="el-GR"/>
        </w:rPr>
        <w:t xml:space="preserve"> </w:t>
      </w:r>
      <w:r w:rsidR="007A2F9B">
        <w:rPr>
          <w:rFonts w:ascii="Arial" w:hAnsi="Arial" w:cs="Arial"/>
          <w:sz w:val="18"/>
          <w:szCs w:val="18"/>
          <w:lang w:val="el-GR"/>
        </w:rPr>
        <w:t>εννεάμηνο</w:t>
      </w:r>
      <w:r w:rsidR="008425C3" w:rsidRPr="00D01B8A">
        <w:rPr>
          <w:rFonts w:ascii="Arial" w:hAnsi="Arial" w:cs="Arial"/>
          <w:sz w:val="18"/>
          <w:szCs w:val="18"/>
          <w:lang w:val="el-GR"/>
        </w:rPr>
        <w:t xml:space="preserve"> που έληξε στις 30 Σεπτεμβρίου</w:t>
      </w:r>
      <w:r w:rsidR="008425C3">
        <w:rPr>
          <w:rFonts w:ascii="Arial" w:hAnsi="Arial" w:cs="Arial"/>
          <w:sz w:val="18"/>
          <w:szCs w:val="18"/>
          <w:lang w:val="el-GR"/>
        </w:rPr>
        <w:t xml:space="preserve"> </w:t>
      </w:r>
      <w:r w:rsidR="00970643" w:rsidRPr="007246A9">
        <w:rPr>
          <w:rFonts w:ascii="Arial" w:hAnsi="Arial" w:cs="Arial"/>
          <w:sz w:val="18"/>
          <w:szCs w:val="18"/>
          <w:lang w:val="el-GR"/>
        </w:rPr>
        <w:t xml:space="preserve">2024 ανήλθαν σε </w:t>
      </w:r>
      <w:r w:rsidR="00970643" w:rsidRPr="00002175">
        <w:rPr>
          <w:rFonts w:ascii="Arial" w:hAnsi="Arial" w:cs="Arial"/>
          <w:sz w:val="18"/>
          <w:szCs w:val="18"/>
          <w:lang w:val="el-GR"/>
        </w:rPr>
        <w:t>€</w:t>
      </w:r>
      <w:r w:rsidR="00002175" w:rsidRPr="00502B4F">
        <w:rPr>
          <w:rFonts w:ascii="Arial" w:hAnsi="Arial" w:cs="Arial"/>
          <w:sz w:val="18"/>
          <w:lang w:val="el-GR"/>
        </w:rPr>
        <w:t xml:space="preserve">22 </w:t>
      </w:r>
      <w:r w:rsidR="00970643" w:rsidRPr="00002175">
        <w:rPr>
          <w:rFonts w:ascii="Arial" w:hAnsi="Arial" w:cs="Arial"/>
          <w:sz w:val="18"/>
          <w:szCs w:val="18"/>
          <w:lang w:val="el-GR"/>
        </w:rPr>
        <w:t>εκατ., σε σύγκριση με €</w:t>
      </w:r>
      <w:r w:rsidR="001B16A6" w:rsidRPr="00002175">
        <w:rPr>
          <w:rFonts w:ascii="Arial" w:hAnsi="Arial" w:cs="Arial"/>
          <w:sz w:val="18"/>
          <w:szCs w:val="18"/>
          <w:lang w:val="el-GR"/>
        </w:rPr>
        <w:t xml:space="preserve">44 </w:t>
      </w:r>
      <w:r w:rsidR="00970643" w:rsidRPr="00002175">
        <w:rPr>
          <w:rFonts w:ascii="Arial" w:hAnsi="Arial" w:cs="Arial"/>
          <w:sz w:val="18"/>
          <w:szCs w:val="18"/>
          <w:lang w:val="el-GR"/>
        </w:rPr>
        <w:t xml:space="preserve">εκατ. για το </w:t>
      </w:r>
      <w:r w:rsidR="008425C3" w:rsidRPr="00002175">
        <w:rPr>
          <w:rFonts w:ascii="Arial" w:hAnsi="Arial" w:cs="Arial"/>
          <w:sz w:val="18"/>
          <w:szCs w:val="18"/>
          <w:lang w:val="el-GR"/>
        </w:rPr>
        <w:t xml:space="preserve">αντίστοιχο </w:t>
      </w:r>
      <w:r w:rsidR="007A2F9B">
        <w:rPr>
          <w:rFonts w:ascii="Arial" w:hAnsi="Arial" w:cs="Arial"/>
          <w:sz w:val="18"/>
          <w:szCs w:val="18"/>
          <w:lang w:val="el-GR"/>
        </w:rPr>
        <w:t>εννεάμηνο</w:t>
      </w:r>
      <w:r w:rsidR="008425C3" w:rsidRPr="00002175">
        <w:rPr>
          <w:rFonts w:ascii="Arial" w:hAnsi="Arial" w:cs="Arial"/>
          <w:sz w:val="18"/>
          <w:szCs w:val="18"/>
          <w:lang w:val="el-GR"/>
        </w:rPr>
        <w:t xml:space="preserve"> </w:t>
      </w:r>
      <w:r w:rsidR="00970643" w:rsidRPr="00002175">
        <w:rPr>
          <w:rFonts w:ascii="Arial" w:hAnsi="Arial" w:cs="Arial"/>
          <w:sz w:val="18"/>
          <w:szCs w:val="18"/>
          <w:lang w:val="el-GR"/>
        </w:rPr>
        <w:t xml:space="preserve">2023, </w:t>
      </w:r>
      <w:r w:rsidR="00970643" w:rsidRPr="00502B4F">
        <w:rPr>
          <w:rFonts w:ascii="Arial" w:hAnsi="Arial" w:cs="Arial"/>
          <w:sz w:val="18"/>
          <w:szCs w:val="18"/>
          <w:lang w:val="el-GR"/>
        </w:rPr>
        <w:t>μειωμέν</w:t>
      </w:r>
      <w:r w:rsidR="001B16A6" w:rsidRPr="00502B4F">
        <w:rPr>
          <w:rFonts w:ascii="Arial" w:hAnsi="Arial" w:cs="Arial"/>
          <w:sz w:val="18"/>
          <w:szCs w:val="18"/>
          <w:lang w:val="el-GR"/>
        </w:rPr>
        <w:t xml:space="preserve">ες </w:t>
      </w:r>
      <w:r w:rsidR="00970643" w:rsidRPr="00502B4F">
        <w:rPr>
          <w:rFonts w:ascii="Arial" w:hAnsi="Arial" w:cs="Arial"/>
          <w:sz w:val="18"/>
          <w:szCs w:val="18"/>
          <w:lang w:val="el-GR"/>
        </w:rPr>
        <w:t xml:space="preserve">κατά </w:t>
      </w:r>
      <w:r w:rsidR="00002175" w:rsidRPr="00502B4F">
        <w:rPr>
          <w:rFonts w:ascii="Arial" w:hAnsi="Arial" w:cs="Arial"/>
          <w:sz w:val="18"/>
          <w:lang w:val="el-GR"/>
        </w:rPr>
        <w:t>50</w:t>
      </w:r>
      <w:r w:rsidR="00970643" w:rsidRPr="00502B4F">
        <w:rPr>
          <w:rFonts w:ascii="Arial" w:hAnsi="Arial" w:cs="Arial"/>
          <w:sz w:val="18"/>
          <w:szCs w:val="18"/>
          <w:lang w:val="el-GR"/>
        </w:rPr>
        <w:t>%</w:t>
      </w:r>
      <w:r w:rsidR="003B65F4" w:rsidRPr="00502B4F">
        <w:rPr>
          <w:rFonts w:ascii="Arial" w:hAnsi="Arial" w:cs="Arial"/>
          <w:sz w:val="18"/>
          <w:szCs w:val="18"/>
          <w:lang w:val="el-GR"/>
        </w:rPr>
        <w:t xml:space="preserve"> σε ετήσια βάση</w:t>
      </w:r>
      <w:r w:rsidR="00970643" w:rsidRPr="00502B4F">
        <w:rPr>
          <w:rFonts w:ascii="Arial" w:hAnsi="Arial" w:cs="Arial"/>
          <w:sz w:val="18"/>
          <w:szCs w:val="18"/>
          <w:lang w:val="el-GR"/>
        </w:rPr>
        <w:t>,</w:t>
      </w:r>
      <w:r w:rsidR="003B65F4" w:rsidRPr="00502B4F">
        <w:rPr>
          <w:rFonts w:ascii="Arial" w:hAnsi="Arial" w:cs="Arial"/>
          <w:sz w:val="18"/>
          <w:szCs w:val="18"/>
          <w:lang w:val="el-GR"/>
        </w:rPr>
        <w:t xml:space="preserve"> </w:t>
      </w:r>
      <w:r w:rsidR="00970643" w:rsidRPr="00502B4F">
        <w:rPr>
          <w:rFonts w:ascii="Arial" w:hAnsi="Arial" w:cs="Arial"/>
          <w:sz w:val="18"/>
          <w:szCs w:val="18"/>
          <w:lang w:val="el-GR"/>
        </w:rPr>
        <w:t>αντικατοπτρίζοντας τις</w:t>
      </w:r>
      <w:r w:rsidR="007E3AEA" w:rsidRPr="00502B4F">
        <w:rPr>
          <w:rFonts w:ascii="Arial" w:hAnsi="Arial" w:cs="Arial"/>
          <w:sz w:val="18"/>
          <w:szCs w:val="18"/>
          <w:lang w:val="el-GR"/>
        </w:rPr>
        <w:t xml:space="preserve"> συνεχείς</w:t>
      </w:r>
      <w:r w:rsidR="00970643" w:rsidRPr="00502B4F">
        <w:rPr>
          <w:rFonts w:ascii="Arial" w:hAnsi="Arial" w:cs="Arial"/>
          <w:sz w:val="18"/>
          <w:szCs w:val="18"/>
          <w:lang w:val="el-GR"/>
        </w:rPr>
        <w:t xml:space="preserve"> ισχυρές επιδόσεις του δανειακού χαρτοφυλακίου και </w:t>
      </w:r>
      <w:r w:rsidR="00002175" w:rsidRPr="00502B4F">
        <w:rPr>
          <w:rFonts w:ascii="Arial" w:hAnsi="Arial" w:cs="Arial"/>
          <w:sz w:val="18"/>
          <w:szCs w:val="18"/>
          <w:lang w:val="el-GR"/>
        </w:rPr>
        <w:t>το βελτιωμένο μακροοικονομικό περιβάλλον.</w:t>
      </w:r>
      <w:r w:rsidR="00002175">
        <w:rPr>
          <w:rFonts w:ascii="Arial" w:hAnsi="Arial" w:cs="Arial"/>
          <w:sz w:val="18"/>
          <w:szCs w:val="18"/>
          <w:lang w:val="el-GR"/>
        </w:rPr>
        <w:t xml:space="preserve"> </w:t>
      </w:r>
      <w:r w:rsidR="00970643" w:rsidRPr="007246A9">
        <w:rPr>
          <w:rFonts w:ascii="Arial" w:hAnsi="Arial" w:cs="Arial"/>
          <w:sz w:val="18"/>
          <w:szCs w:val="18"/>
          <w:lang w:val="el-GR"/>
        </w:rPr>
        <w:t xml:space="preserve">Οι πιστωτικές ζημιές δανείων για το </w:t>
      </w:r>
      <w:r w:rsidR="001B16A6">
        <w:rPr>
          <w:rFonts w:ascii="Arial" w:hAnsi="Arial" w:cs="Arial"/>
          <w:sz w:val="18"/>
          <w:szCs w:val="18"/>
          <w:lang w:val="el-GR"/>
        </w:rPr>
        <w:t>γ</w:t>
      </w:r>
      <w:r w:rsidR="001B16A6" w:rsidRPr="007246A9">
        <w:rPr>
          <w:rFonts w:ascii="Arial" w:hAnsi="Arial" w:cs="Arial"/>
          <w:sz w:val="18"/>
          <w:szCs w:val="18"/>
          <w:lang w:val="el-GR"/>
        </w:rPr>
        <w:t xml:space="preserve">’ </w:t>
      </w:r>
      <w:r w:rsidR="00970643" w:rsidRPr="007246A9">
        <w:rPr>
          <w:rFonts w:ascii="Arial" w:hAnsi="Arial" w:cs="Arial"/>
          <w:sz w:val="18"/>
          <w:szCs w:val="18"/>
          <w:lang w:val="el-GR"/>
        </w:rPr>
        <w:t xml:space="preserve">τρίμηνο 2024 ανήλθαν σε </w:t>
      </w:r>
      <w:r w:rsidR="00970643" w:rsidRPr="00002175">
        <w:rPr>
          <w:rFonts w:ascii="Arial" w:hAnsi="Arial" w:cs="Arial"/>
          <w:sz w:val="18"/>
          <w:szCs w:val="18"/>
          <w:lang w:val="el-GR"/>
        </w:rPr>
        <w:t>€</w:t>
      </w:r>
      <w:r w:rsidR="00002175" w:rsidRPr="00502B4F">
        <w:rPr>
          <w:rFonts w:ascii="Arial" w:hAnsi="Arial" w:cs="Arial"/>
          <w:sz w:val="18"/>
          <w:lang w:val="el-GR"/>
        </w:rPr>
        <w:t xml:space="preserve">6 </w:t>
      </w:r>
      <w:r w:rsidR="00970643" w:rsidRPr="00002175">
        <w:rPr>
          <w:rFonts w:ascii="Arial" w:hAnsi="Arial" w:cs="Arial"/>
          <w:sz w:val="18"/>
          <w:szCs w:val="18"/>
          <w:lang w:val="el-GR"/>
        </w:rPr>
        <w:t>εκατ</w:t>
      </w:r>
      <w:r w:rsidR="00970643" w:rsidRPr="007246A9">
        <w:rPr>
          <w:rFonts w:ascii="Arial" w:hAnsi="Arial" w:cs="Arial"/>
          <w:sz w:val="18"/>
          <w:szCs w:val="18"/>
          <w:lang w:val="el-GR"/>
        </w:rPr>
        <w:t>., σε σύγκριση με €</w:t>
      </w:r>
      <w:r w:rsidR="001B16A6">
        <w:rPr>
          <w:rFonts w:ascii="Arial" w:hAnsi="Arial" w:cs="Arial"/>
          <w:sz w:val="18"/>
          <w:lang w:val="el-GR"/>
        </w:rPr>
        <w:t>9</w:t>
      </w:r>
      <w:r w:rsidR="001B16A6" w:rsidRPr="007246A9">
        <w:rPr>
          <w:rFonts w:ascii="Arial" w:hAnsi="Arial" w:cs="Arial"/>
          <w:sz w:val="18"/>
          <w:lang w:val="el-GR"/>
        </w:rPr>
        <w:t xml:space="preserve"> </w:t>
      </w:r>
      <w:r w:rsidR="00970643" w:rsidRPr="007246A9">
        <w:rPr>
          <w:rFonts w:ascii="Arial" w:hAnsi="Arial" w:cs="Arial"/>
          <w:sz w:val="18"/>
          <w:szCs w:val="18"/>
          <w:lang w:val="el-GR"/>
        </w:rPr>
        <w:t xml:space="preserve">εκατ. για το </w:t>
      </w:r>
      <w:r w:rsidR="001B16A6">
        <w:rPr>
          <w:rFonts w:ascii="Arial" w:hAnsi="Arial" w:cs="Arial"/>
          <w:sz w:val="18"/>
          <w:szCs w:val="18"/>
          <w:lang w:val="el-GR"/>
        </w:rPr>
        <w:t>β</w:t>
      </w:r>
      <w:r w:rsidR="001B16A6" w:rsidRPr="007246A9">
        <w:rPr>
          <w:rFonts w:ascii="Arial" w:hAnsi="Arial" w:cs="Arial"/>
          <w:sz w:val="18"/>
          <w:szCs w:val="18"/>
          <w:lang w:val="el-GR"/>
        </w:rPr>
        <w:t xml:space="preserve">’ </w:t>
      </w:r>
      <w:r w:rsidR="00970643" w:rsidRPr="007246A9">
        <w:rPr>
          <w:rFonts w:ascii="Arial" w:hAnsi="Arial" w:cs="Arial"/>
          <w:sz w:val="18"/>
          <w:szCs w:val="18"/>
          <w:lang w:val="el-GR"/>
        </w:rPr>
        <w:t>τρίμηνο 2024</w:t>
      </w:r>
      <w:r w:rsidR="001B16A6">
        <w:rPr>
          <w:rFonts w:ascii="Arial" w:hAnsi="Arial" w:cs="Arial"/>
          <w:sz w:val="18"/>
          <w:szCs w:val="18"/>
          <w:lang w:val="el-GR"/>
        </w:rPr>
        <w:t xml:space="preserve">, μειωμένες </w:t>
      </w:r>
      <w:r w:rsidR="001B16A6" w:rsidRPr="00002175">
        <w:rPr>
          <w:rFonts w:ascii="Arial" w:hAnsi="Arial" w:cs="Arial"/>
          <w:sz w:val="18"/>
          <w:szCs w:val="18"/>
          <w:lang w:val="el-GR"/>
        </w:rPr>
        <w:t xml:space="preserve">κατά </w:t>
      </w:r>
      <w:r w:rsidR="00002175" w:rsidRPr="00502B4F">
        <w:rPr>
          <w:rFonts w:ascii="Arial" w:hAnsi="Arial" w:cs="Arial"/>
          <w:sz w:val="18"/>
          <w:szCs w:val="18"/>
          <w:lang w:val="el-GR"/>
        </w:rPr>
        <w:t>23</w:t>
      </w:r>
      <w:r w:rsidR="001B16A6" w:rsidRPr="00002175">
        <w:rPr>
          <w:rFonts w:ascii="Arial" w:hAnsi="Arial" w:cs="Arial"/>
          <w:sz w:val="18"/>
          <w:szCs w:val="18"/>
          <w:lang w:val="el-GR"/>
        </w:rPr>
        <w:t>%</w:t>
      </w:r>
      <w:r w:rsidR="001B16A6">
        <w:rPr>
          <w:rFonts w:ascii="Arial" w:hAnsi="Arial" w:cs="Arial"/>
          <w:sz w:val="18"/>
          <w:szCs w:val="18"/>
          <w:lang w:val="el-GR"/>
        </w:rPr>
        <w:t xml:space="preserve"> σε </w:t>
      </w:r>
      <w:r w:rsidR="00002175">
        <w:rPr>
          <w:rFonts w:ascii="Arial" w:hAnsi="Arial" w:cs="Arial"/>
          <w:sz w:val="18"/>
          <w:szCs w:val="18"/>
          <w:lang w:val="el-GR"/>
        </w:rPr>
        <w:t>τριμηνιαία</w:t>
      </w:r>
      <w:r w:rsidR="001B16A6">
        <w:rPr>
          <w:rFonts w:ascii="Arial" w:hAnsi="Arial" w:cs="Arial"/>
          <w:sz w:val="18"/>
          <w:szCs w:val="18"/>
          <w:lang w:val="el-GR"/>
        </w:rPr>
        <w:t xml:space="preserve"> βάση.</w:t>
      </w:r>
      <w:r w:rsidR="00310C56">
        <w:rPr>
          <w:rFonts w:ascii="Arial" w:hAnsi="Arial" w:cs="Arial"/>
          <w:sz w:val="18"/>
          <w:szCs w:val="18"/>
          <w:lang w:val="el-GR"/>
        </w:rPr>
        <w:t xml:space="preserve"> </w:t>
      </w:r>
    </w:p>
    <w:p w14:paraId="1B72C071" w14:textId="77777777" w:rsidR="00AD55E9" w:rsidRPr="00A00212" w:rsidRDefault="00AD55E9" w:rsidP="00F26350">
      <w:pPr>
        <w:pStyle w:val="BodyText3"/>
        <w:jc w:val="both"/>
        <w:rPr>
          <w:rFonts w:ascii="Arial" w:hAnsi="Arial" w:cs="Arial"/>
          <w:sz w:val="12"/>
          <w:szCs w:val="12"/>
          <w:lang w:val="el-GR"/>
        </w:rPr>
      </w:pPr>
    </w:p>
    <w:p w14:paraId="1B4E68E1" w14:textId="15CB8211" w:rsidR="00C31E76" w:rsidRPr="007246A9" w:rsidRDefault="00543B5E">
      <w:pPr>
        <w:pStyle w:val="BodyText3"/>
        <w:jc w:val="both"/>
        <w:rPr>
          <w:rFonts w:ascii="Arial" w:hAnsi="Arial" w:cs="Arial"/>
          <w:sz w:val="18"/>
          <w:szCs w:val="18"/>
          <w:lang w:val="el-GR"/>
        </w:rPr>
      </w:pPr>
      <w:r w:rsidRPr="007246A9">
        <w:rPr>
          <w:rFonts w:ascii="Arial" w:hAnsi="Arial" w:cs="Arial"/>
          <w:b/>
          <w:bCs/>
          <w:sz w:val="18"/>
          <w:szCs w:val="18"/>
          <w:lang w:val="el-GR"/>
        </w:rPr>
        <w:t>Η χρέωση πιστωτικών ζημιών δανείων (</w:t>
      </w:r>
      <w:proofErr w:type="spellStart"/>
      <w:r w:rsidRPr="007246A9">
        <w:rPr>
          <w:rFonts w:ascii="Arial" w:hAnsi="Arial" w:cs="Arial"/>
          <w:b/>
          <w:bCs/>
          <w:sz w:val="18"/>
          <w:szCs w:val="18"/>
          <w:lang w:val="el-GR"/>
        </w:rPr>
        <w:t>cost</w:t>
      </w:r>
      <w:proofErr w:type="spellEnd"/>
      <w:r w:rsidRPr="007246A9">
        <w:rPr>
          <w:rFonts w:ascii="Arial" w:hAnsi="Arial" w:cs="Arial"/>
          <w:b/>
          <w:bCs/>
          <w:sz w:val="18"/>
          <w:szCs w:val="18"/>
          <w:lang w:val="el-GR"/>
        </w:rPr>
        <w:t xml:space="preserve"> of </w:t>
      </w:r>
      <w:proofErr w:type="spellStart"/>
      <w:r w:rsidRPr="007246A9">
        <w:rPr>
          <w:rFonts w:ascii="Arial" w:hAnsi="Arial" w:cs="Arial"/>
          <w:b/>
          <w:bCs/>
          <w:sz w:val="18"/>
          <w:szCs w:val="18"/>
          <w:lang w:val="el-GR"/>
        </w:rPr>
        <w:t>risk</w:t>
      </w:r>
      <w:proofErr w:type="spellEnd"/>
      <w:r w:rsidRPr="007246A9">
        <w:rPr>
          <w:rFonts w:ascii="Arial" w:hAnsi="Arial" w:cs="Arial"/>
          <w:b/>
          <w:bCs/>
          <w:sz w:val="18"/>
          <w:szCs w:val="18"/>
          <w:lang w:val="el-GR"/>
        </w:rPr>
        <w:t>)</w:t>
      </w:r>
      <w:r w:rsidRPr="007246A9">
        <w:rPr>
          <w:rFonts w:ascii="Arial" w:hAnsi="Arial" w:cs="Arial"/>
          <w:sz w:val="18"/>
          <w:szCs w:val="18"/>
          <w:lang w:val="el-GR"/>
        </w:rPr>
        <w:t xml:space="preserve"> για το</w:t>
      </w:r>
      <w:r w:rsidR="00C31E76" w:rsidRPr="007246A9">
        <w:rPr>
          <w:rFonts w:ascii="Arial" w:hAnsi="Arial" w:cs="Arial"/>
          <w:sz w:val="18"/>
          <w:szCs w:val="18"/>
          <w:lang w:val="el-GR"/>
        </w:rPr>
        <w:t xml:space="preserve"> </w:t>
      </w:r>
      <w:r w:rsidR="007A2F9B">
        <w:rPr>
          <w:rFonts w:ascii="Arial" w:hAnsi="Arial" w:cs="Arial"/>
          <w:sz w:val="18"/>
          <w:szCs w:val="18"/>
          <w:lang w:val="el-GR"/>
        </w:rPr>
        <w:t>εννεάμηνο</w:t>
      </w:r>
      <w:r w:rsidR="0092339C" w:rsidRPr="0092339C">
        <w:rPr>
          <w:rFonts w:ascii="Arial" w:hAnsi="Arial" w:cs="Arial"/>
          <w:sz w:val="18"/>
          <w:szCs w:val="18"/>
          <w:lang w:val="el-GR"/>
        </w:rPr>
        <w:t xml:space="preserve"> που έληξε στις 30 Σεπτεμβρίου </w:t>
      </w:r>
      <w:r w:rsidR="00C31E76" w:rsidRPr="007246A9">
        <w:rPr>
          <w:rFonts w:ascii="Arial" w:hAnsi="Arial" w:cs="Arial"/>
          <w:sz w:val="18"/>
          <w:szCs w:val="18"/>
          <w:lang w:val="el-GR"/>
        </w:rPr>
        <w:t xml:space="preserve">2024 ανήλθε σε </w:t>
      </w:r>
      <w:r w:rsidR="00002175" w:rsidRPr="00502B4F">
        <w:rPr>
          <w:rFonts w:ascii="Arial" w:hAnsi="Arial" w:cs="Arial"/>
          <w:sz w:val="18"/>
          <w:lang w:val="el-GR"/>
        </w:rPr>
        <w:t xml:space="preserve">29 </w:t>
      </w:r>
      <w:proofErr w:type="spellStart"/>
      <w:r w:rsidR="00C31E76" w:rsidRPr="00002175">
        <w:rPr>
          <w:rFonts w:ascii="Arial" w:hAnsi="Arial" w:cs="Arial"/>
          <w:sz w:val="18"/>
          <w:szCs w:val="18"/>
          <w:lang w:val="el-GR"/>
        </w:rPr>
        <w:t>μ.β</w:t>
      </w:r>
      <w:proofErr w:type="spellEnd"/>
      <w:r w:rsidR="00C31E76" w:rsidRPr="00002175">
        <w:rPr>
          <w:rFonts w:ascii="Arial" w:hAnsi="Arial" w:cs="Arial"/>
          <w:sz w:val="18"/>
          <w:szCs w:val="18"/>
          <w:lang w:val="el-GR"/>
        </w:rPr>
        <w:t>., σε σύγκριση με χρέωση πιστωτικών ζημιών δανείων (</w:t>
      </w:r>
      <w:proofErr w:type="spellStart"/>
      <w:r w:rsidR="00C31E76" w:rsidRPr="00002175">
        <w:rPr>
          <w:rFonts w:ascii="Arial" w:hAnsi="Arial" w:cs="Arial"/>
          <w:sz w:val="18"/>
          <w:szCs w:val="18"/>
          <w:lang w:val="el-GR"/>
        </w:rPr>
        <w:t>cost</w:t>
      </w:r>
      <w:proofErr w:type="spellEnd"/>
      <w:r w:rsidR="00C31E76" w:rsidRPr="00002175">
        <w:rPr>
          <w:rFonts w:ascii="Arial" w:hAnsi="Arial" w:cs="Arial"/>
          <w:sz w:val="18"/>
          <w:szCs w:val="18"/>
          <w:lang w:val="el-GR"/>
        </w:rPr>
        <w:t xml:space="preserve"> of </w:t>
      </w:r>
      <w:proofErr w:type="spellStart"/>
      <w:r w:rsidR="00C31E76" w:rsidRPr="00002175">
        <w:rPr>
          <w:rFonts w:ascii="Arial" w:hAnsi="Arial" w:cs="Arial"/>
          <w:sz w:val="18"/>
          <w:szCs w:val="18"/>
          <w:lang w:val="el-GR"/>
        </w:rPr>
        <w:t>risk</w:t>
      </w:r>
      <w:proofErr w:type="spellEnd"/>
      <w:r w:rsidR="00C31E76" w:rsidRPr="00002175">
        <w:rPr>
          <w:rFonts w:ascii="Arial" w:hAnsi="Arial" w:cs="Arial"/>
          <w:sz w:val="18"/>
          <w:szCs w:val="18"/>
          <w:lang w:val="el-GR"/>
        </w:rPr>
        <w:t xml:space="preserve">) ύψους </w:t>
      </w:r>
      <w:r w:rsidR="0092339C" w:rsidRPr="00002175">
        <w:rPr>
          <w:rFonts w:ascii="Arial" w:hAnsi="Arial" w:cs="Arial"/>
          <w:sz w:val="18"/>
          <w:lang w:val="el-GR"/>
        </w:rPr>
        <w:t xml:space="preserve">58 </w:t>
      </w:r>
      <w:proofErr w:type="spellStart"/>
      <w:r w:rsidR="00C31E76" w:rsidRPr="00002175">
        <w:rPr>
          <w:rFonts w:ascii="Arial" w:hAnsi="Arial" w:cs="Arial"/>
          <w:sz w:val="18"/>
          <w:szCs w:val="18"/>
          <w:lang w:val="el-GR"/>
        </w:rPr>
        <w:t>μ.β</w:t>
      </w:r>
      <w:proofErr w:type="spellEnd"/>
      <w:r w:rsidR="00C31E76" w:rsidRPr="00002175">
        <w:rPr>
          <w:rFonts w:ascii="Arial" w:hAnsi="Arial" w:cs="Arial"/>
          <w:sz w:val="18"/>
          <w:szCs w:val="18"/>
          <w:lang w:val="el-GR"/>
        </w:rPr>
        <w:t xml:space="preserve">. για το </w:t>
      </w:r>
      <w:r w:rsidR="0092339C" w:rsidRPr="00002175">
        <w:rPr>
          <w:rFonts w:ascii="Arial" w:hAnsi="Arial" w:cs="Arial"/>
          <w:sz w:val="18"/>
          <w:szCs w:val="18"/>
          <w:lang w:val="el-GR"/>
        </w:rPr>
        <w:t xml:space="preserve">αντίστοιχο </w:t>
      </w:r>
      <w:r w:rsidR="007A2F9B">
        <w:rPr>
          <w:rFonts w:ascii="Arial" w:hAnsi="Arial" w:cs="Arial"/>
          <w:sz w:val="18"/>
          <w:szCs w:val="18"/>
          <w:lang w:val="el-GR"/>
        </w:rPr>
        <w:t>εννεάμηνο</w:t>
      </w:r>
      <w:r w:rsidR="00C31E76" w:rsidRPr="00002175">
        <w:rPr>
          <w:rFonts w:ascii="Arial" w:hAnsi="Arial" w:cs="Arial"/>
          <w:sz w:val="18"/>
          <w:szCs w:val="18"/>
          <w:lang w:val="el-GR"/>
        </w:rPr>
        <w:t xml:space="preserve"> 2023 (μειωμένη κατά </w:t>
      </w:r>
      <w:r w:rsidR="00002175" w:rsidRPr="00502B4F">
        <w:rPr>
          <w:rFonts w:ascii="Arial" w:hAnsi="Arial" w:cs="Arial"/>
          <w:sz w:val="18"/>
          <w:lang w:val="el-GR"/>
        </w:rPr>
        <w:t xml:space="preserve">29 </w:t>
      </w:r>
      <w:proofErr w:type="spellStart"/>
      <w:r w:rsidR="00C31E76" w:rsidRPr="00002175">
        <w:rPr>
          <w:rFonts w:ascii="Arial" w:hAnsi="Arial" w:cs="Arial"/>
          <w:sz w:val="18"/>
          <w:szCs w:val="18"/>
          <w:lang w:val="el-GR"/>
        </w:rPr>
        <w:t>μ.β</w:t>
      </w:r>
      <w:proofErr w:type="spellEnd"/>
      <w:r w:rsidR="00C31E76" w:rsidRPr="00002175">
        <w:rPr>
          <w:rFonts w:ascii="Arial" w:hAnsi="Arial" w:cs="Arial"/>
          <w:sz w:val="18"/>
          <w:szCs w:val="18"/>
          <w:lang w:val="el-GR"/>
        </w:rPr>
        <w:t>. σε ετήσια βάση)</w:t>
      </w:r>
      <w:r w:rsidR="007C6926" w:rsidRPr="00002175">
        <w:rPr>
          <w:rFonts w:ascii="Arial" w:hAnsi="Arial" w:cs="Arial"/>
          <w:sz w:val="18"/>
          <w:szCs w:val="18"/>
          <w:lang w:val="el-GR"/>
        </w:rPr>
        <w:t xml:space="preserve">, </w:t>
      </w:r>
      <w:r w:rsidR="0092339C">
        <w:rPr>
          <w:rFonts w:ascii="Arial" w:hAnsi="Arial" w:cs="Arial"/>
          <w:sz w:val="18"/>
          <w:szCs w:val="18"/>
          <w:lang w:val="el-GR"/>
        </w:rPr>
        <w:t xml:space="preserve">καθώς κατά το προηγούμενο έτος αναγνωρίστηκαν </w:t>
      </w:r>
      <w:r w:rsidR="007C6926">
        <w:rPr>
          <w:rFonts w:ascii="Arial" w:hAnsi="Arial" w:cs="Arial"/>
          <w:sz w:val="18"/>
          <w:szCs w:val="18"/>
          <w:lang w:val="el-GR"/>
        </w:rPr>
        <w:t>αυξημένες</w:t>
      </w:r>
      <w:r w:rsidR="0092339C">
        <w:rPr>
          <w:rFonts w:ascii="Arial" w:hAnsi="Arial" w:cs="Arial"/>
          <w:sz w:val="18"/>
          <w:szCs w:val="18"/>
          <w:lang w:val="el-GR"/>
        </w:rPr>
        <w:t xml:space="preserve"> πιστωτικές ζημιές δανείων </w:t>
      </w:r>
      <w:r w:rsidR="007C6926" w:rsidRPr="007246A9">
        <w:rPr>
          <w:rFonts w:ascii="Arial" w:hAnsi="Arial" w:cs="Arial"/>
          <w:sz w:val="18"/>
          <w:szCs w:val="18"/>
          <w:lang w:val="el-GR"/>
        </w:rPr>
        <w:t xml:space="preserve">σε συγκεκριμένους πελάτες με ιδιόμορφα </w:t>
      </w:r>
      <w:r w:rsidR="007C6926" w:rsidRPr="00002175">
        <w:rPr>
          <w:rFonts w:ascii="Arial" w:hAnsi="Arial" w:cs="Arial"/>
          <w:sz w:val="18"/>
          <w:szCs w:val="18"/>
          <w:lang w:val="el-GR"/>
        </w:rPr>
        <w:t>χαρακτηριστικά που αξιολογήθηκαν πως δεν είναι πιθανό να εκπληρώσουν πλήρως τις πιστωτικές τους υποχρεώσεις (‘</w:t>
      </w:r>
      <w:proofErr w:type="spellStart"/>
      <w:r w:rsidR="007C6926" w:rsidRPr="00002175">
        <w:rPr>
          <w:rFonts w:ascii="Arial" w:hAnsi="Arial" w:cs="Arial"/>
          <w:sz w:val="18"/>
          <w:szCs w:val="18"/>
          <w:lang w:val="el-GR"/>
        </w:rPr>
        <w:t>UTPs</w:t>
      </w:r>
      <w:proofErr w:type="spellEnd"/>
      <w:r w:rsidR="007C6926" w:rsidRPr="00002175">
        <w:rPr>
          <w:rFonts w:ascii="Arial" w:hAnsi="Arial" w:cs="Arial"/>
          <w:sz w:val="18"/>
          <w:szCs w:val="18"/>
          <w:lang w:val="el-GR"/>
        </w:rPr>
        <w:t xml:space="preserve">’). </w:t>
      </w:r>
      <w:r w:rsidR="00C31E76" w:rsidRPr="00002175">
        <w:rPr>
          <w:rFonts w:ascii="Arial" w:hAnsi="Arial" w:cs="Arial"/>
          <w:sz w:val="18"/>
          <w:szCs w:val="18"/>
          <w:lang w:val="el-GR"/>
        </w:rPr>
        <w:t>Η χρέωση πιστωτικών ζημιών δανείων (</w:t>
      </w:r>
      <w:proofErr w:type="spellStart"/>
      <w:r w:rsidR="00C31E76" w:rsidRPr="00002175">
        <w:rPr>
          <w:rFonts w:ascii="Arial" w:hAnsi="Arial" w:cs="Arial"/>
          <w:sz w:val="18"/>
          <w:szCs w:val="18"/>
          <w:lang w:val="el-GR"/>
        </w:rPr>
        <w:t>cost</w:t>
      </w:r>
      <w:proofErr w:type="spellEnd"/>
      <w:r w:rsidR="00C31E76" w:rsidRPr="00002175">
        <w:rPr>
          <w:rFonts w:ascii="Arial" w:hAnsi="Arial" w:cs="Arial"/>
          <w:sz w:val="18"/>
          <w:szCs w:val="18"/>
          <w:lang w:val="el-GR"/>
        </w:rPr>
        <w:t xml:space="preserve"> of </w:t>
      </w:r>
      <w:proofErr w:type="spellStart"/>
      <w:r w:rsidR="00C31E76" w:rsidRPr="00002175">
        <w:rPr>
          <w:rFonts w:ascii="Arial" w:hAnsi="Arial" w:cs="Arial"/>
          <w:sz w:val="18"/>
          <w:szCs w:val="18"/>
          <w:lang w:val="el-GR"/>
        </w:rPr>
        <w:t>risk</w:t>
      </w:r>
      <w:proofErr w:type="spellEnd"/>
      <w:r w:rsidR="00C31E76" w:rsidRPr="00002175">
        <w:rPr>
          <w:rFonts w:ascii="Arial" w:hAnsi="Arial" w:cs="Arial"/>
          <w:sz w:val="18"/>
          <w:szCs w:val="18"/>
          <w:lang w:val="el-GR"/>
        </w:rPr>
        <w:t xml:space="preserve">) για το </w:t>
      </w:r>
      <w:r w:rsidR="007C6926" w:rsidRPr="00002175">
        <w:rPr>
          <w:rFonts w:ascii="Arial" w:hAnsi="Arial" w:cs="Arial"/>
          <w:sz w:val="18"/>
          <w:szCs w:val="18"/>
          <w:lang w:val="el-GR"/>
        </w:rPr>
        <w:t xml:space="preserve">γ’ </w:t>
      </w:r>
      <w:r w:rsidR="00C31E76" w:rsidRPr="00002175">
        <w:rPr>
          <w:rFonts w:ascii="Arial" w:hAnsi="Arial" w:cs="Arial"/>
          <w:sz w:val="18"/>
          <w:szCs w:val="18"/>
          <w:lang w:val="el-GR"/>
        </w:rPr>
        <w:t xml:space="preserve">τρίμηνο 2024 ανήλθε σε </w:t>
      </w:r>
      <w:r w:rsidR="00002175" w:rsidRPr="00502B4F">
        <w:rPr>
          <w:rFonts w:ascii="Arial" w:hAnsi="Arial" w:cs="Arial"/>
          <w:sz w:val="18"/>
          <w:lang w:val="el-GR"/>
        </w:rPr>
        <w:t xml:space="preserve">26 </w:t>
      </w:r>
      <w:proofErr w:type="spellStart"/>
      <w:r w:rsidR="00C31E76" w:rsidRPr="00002175">
        <w:rPr>
          <w:rFonts w:ascii="Arial" w:hAnsi="Arial" w:cs="Arial"/>
          <w:sz w:val="18"/>
          <w:szCs w:val="18"/>
          <w:lang w:val="el-GR"/>
        </w:rPr>
        <w:t>μ.β</w:t>
      </w:r>
      <w:proofErr w:type="spellEnd"/>
      <w:r w:rsidR="00C31E76" w:rsidRPr="00002175">
        <w:rPr>
          <w:rFonts w:ascii="Arial" w:hAnsi="Arial" w:cs="Arial"/>
          <w:sz w:val="18"/>
          <w:szCs w:val="18"/>
          <w:lang w:val="el-GR"/>
        </w:rPr>
        <w:t>., σε σύγκριση με χρέωση πιστωτικών ζημιών δανείων (</w:t>
      </w:r>
      <w:proofErr w:type="spellStart"/>
      <w:r w:rsidR="00C31E76" w:rsidRPr="00002175">
        <w:rPr>
          <w:rFonts w:ascii="Arial" w:hAnsi="Arial" w:cs="Arial"/>
          <w:sz w:val="18"/>
          <w:szCs w:val="18"/>
          <w:lang w:val="el-GR"/>
        </w:rPr>
        <w:t>cost</w:t>
      </w:r>
      <w:proofErr w:type="spellEnd"/>
      <w:r w:rsidR="00C31E76" w:rsidRPr="00002175">
        <w:rPr>
          <w:rFonts w:ascii="Arial" w:hAnsi="Arial" w:cs="Arial"/>
          <w:sz w:val="18"/>
          <w:szCs w:val="18"/>
          <w:lang w:val="el-GR"/>
        </w:rPr>
        <w:t xml:space="preserve"> of </w:t>
      </w:r>
      <w:proofErr w:type="spellStart"/>
      <w:r w:rsidR="00C31E76" w:rsidRPr="00002175">
        <w:rPr>
          <w:rFonts w:ascii="Arial" w:hAnsi="Arial" w:cs="Arial"/>
          <w:sz w:val="18"/>
          <w:szCs w:val="18"/>
          <w:lang w:val="el-GR"/>
        </w:rPr>
        <w:t>risk</w:t>
      </w:r>
      <w:proofErr w:type="spellEnd"/>
      <w:r w:rsidR="00C31E76" w:rsidRPr="00002175">
        <w:rPr>
          <w:rFonts w:ascii="Arial" w:hAnsi="Arial" w:cs="Arial"/>
          <w:sz w:val="18"/>
          <w:szCs w:val="18"/>
          <w:lang w:val="el-GR"/>
        </w:rPr>
        <w:t xml:space="preserve">) ύψους </w:t>
      </w:r>
      <w:r w:rsidR="007C6926" w:rsidRPr="00002175">
        <w:rPr>
          <w:rFonts w:ascii="Arial" w:hAnsi="Arial" w:cs="Arial"/>
          <w:sz w:val="18"/>
          <w:lang w:val="el-GR"/>
        </w:rPr>
        <w:t xml:space="preserve">34 </w:t>
      </w:r>
      <w:proofErr w:type="spellStart"/>
      <w:r w:rsidR="00C31E76" w:rsidRPr="00002175">
        <w:rPr>
          <w:rFonts w:ascii="Arial" w:hAnsi="Arial" w:cs="Arial"/>
          <w:sz w:val="18"/>
          <w:szCs w:val="18"/>
          <w:lang w:val="el-GR"/>
        </w:rPr>
        <w:t>μ.β</w:t>
      </w:r>
      <w:proofErr w:type="spellEnd"/>
      <w:r w:rsidR="00C31E76" w:rsidRPr="00002175">
        <w:rPr>
          <w:rFonts w:ascii="Arial" w:hAnsi="Arial" w:cs="Arial"/>
          <w:sz w:val="18"/>
          <w:szCs w:val="18"/>
          <w:lang w:val="el-GR"/>
        </w:rPr>
        <w:t xml:space="preserve">. για το </w:t>
      </w:r>
      <w:r w:rsidR="007C6926" w:rsidRPr="00002175">
        <w:rPr>
          <w:rFonts w:ascii="Arial" w:hAnsi="Arial" w:cs="Arial"/>
          <w:sz w:val="18"/>
          <w:szCs w:val="18"/>
          <w:lang w:val="el-GR"/>
        </w:rPr>
        <w:t xml:space="preserve">β’ </w:t>
      </w:r>
      <w:r w:rsidR="00C31E76" w:rsidRPr="00002175">
        <w:rPr>
          <w:rFonts w:ascii="Arial" w:hAnsi="Arial" w:cs="Arial"/>
          <w:sz w:val="18"/>
          <w:szCs w:val="18"/>
          <w:lang w:val="el-GR"/>
        </w:rPr>
        <w:t>τρίμηνο 2024,</w:t>
      </w:r>
      <w:r w:rsidR="003B65F4" w:rsidRPr="00002175">
        <w:rPr>
          <w:rFonts w:ascii="Arial" w:hAnsi="Arial" w:cs="Arial"/>
          <w:sz w:val="18"/>
          <w:szCs w:val="18"/>
          <w:lang w:val="el-GR"/>
        </w:rPr>
        <w:t xml:space="preserve"> </w:t>
      </w:r>
      <w:r w:rsidR="00002175" w:rsidRPr="00002175">
        <w:rPr>
          <w:rFonts w:ascii="Arial" w:hAnsi="Arial" w:cs="Arial"/>
          <w:sz w:val="18"/>
          <w:szCs w:val="18"/>
          <w:lang w:val="el-GR"/>
        </w:rPr>
        <w:t xml:space="preserve">μειωμένη </w:t>
      </w:r>
      <w:r w:rsidR="00C31E76" w:rsidRPr="00002175">
        <w:rPr>
          <w:rFonts w:ascii="Arial" w:hAnsi="Arial" w:cs="Arial"/>
          <w:sz w:val="18"/>
          <w:szCs w:val="18"/>
          <w:lang w:val="el-GR"/>
        </w:rPr>
        <w:t xml:space="preserve">κατά </w:t>
      </w:r>
      <w:r w:rsidR="00002175" w:rsidRPr="00502B4F">
        <w:rPr>
          <w:rFonts w:ascii="Arial" w:hAnsi="Arial" w:cs="Arial"/>
          <w:sz w:val="18"/>
          <w:lang w:val="el-GR"/>
        </w:rPr>
        <w:t xml:space="preserve">8 </w:t>
      </w:r>
      <w:proofErr w:type="spellStart"/>
      <w:r w:rsidR="00C31E76" w:rsidRPr="00002175">
        <w:rPr>
          <w:rFonts w:ascii="Arial" w:hAnsi="Arial" w:cs="Arial"/>
          <w:sz w:val="18"/>
          <w:szCs w:val="18"/>
          <w:lang w:val="el-GR"/>
        </w:rPr>
        <w:t>μ.β</w:t>
      </w:r>
      <w:proofErr w:type="spellEnd"/>
      <w:r w:rsidR="00C31E76" w:rsidRPr="00002175">
        <w:rPr>
          <w:rFonts w:ascii="Arial" w:hAnsi="Arial" w:cs="Arial"/>
          <w:sz w:val="18"/>
          <w:szCs w:val="18"/>
          <w:lang w:val="el-GR"/>
        </w:rPr>
        <w:t>. σε τριμηνιαία βάση.</w:t>
      </w:r>
    </w:p>
    <w:p w14:paraId="4ED1E8F7" w14:textId="77777777" w:rsidR="00543B5E" w:rsidRPr="00A00212" w:rsidRDefault="00543B5E" w:rsidP="00543B5E">
      <w:pPr>
        <w:spacing w:after="0" w:line="240" w:lineRule="auto"/>
        <w:jc w:val="both"/>
        <w:rPr>
          <w:rFonts w:ascii="Arial" w:hAnsi="Arial" w:cs="Arial"/>
          <w:sz w:val="12"/>
          <w:szCs w:val="12"/>
          <w:lang w:val="el-GR"/>
        </w:rPr>
      </w:pPr>
    </w:p>
    <w:p w14:paraId="507B5B89" w14:textId="754128D9" w:rsidR="009B4868" w:rsidRPr="007246A9" w:rsidRDefault="009B4868" w:rsidP="00F26350">
      <w:pPr>
        <w:spacing w:after="0" w:line="240" w:lineRule="auto"/>
        <w:jc w:val="both"/>
        <w:rPr>
          <w:rFonts w:ascii="Arial" w:hAnsi="Arial" w:cs="Arial"/>
          <w:lang w:val="el-GR"/>
        </w:rPr>
      </w:pPr>
      <w:r w:rsidRPr="007246A9">
        <w:rPr>
          <w:rFonts w:ascii="Arial" w:eastAsia="Times New Roman" w:hAnsi="Arial" w:cs="Arial"/>
          <w:sz w:val="18"/>
          <w:szCs w:val="16"/>
          <w:lang w:val="el-GR" w:eastAsia="el-GR"/>
        </w:rPr>
        <w:t xml:space="preserve">Στις </w:t>
      </w:r>
      <w:r w:rsidR="00C31E76" w:rsidRPr="007246A9">
        <w:rPr>
          <w:rFonts w:ascii="Arial" w:eastAsia="Times New Roman" w:hAnsi="Arial" w:cs="Arial"/>
          <w:sz w:val="18"/>
          <w:szCs w:val="16"/>
          <w:lang w:val="el-GR" w:eastAsia="el-GR"/>
        </w:rPr>
        <w:t xml:space="preserve">30 </w:t>
      </w:r>
      <w:r w:rsidR="007C6926" w:rsidRPr="007246A9">
        <w:rPr>
          <w:rFonts w:ascii="Arial" w:eastAsia="Times New Roman" w:hAnsi="Arial" w:cs="Arial"/>
          <w:sz w:val="18"/>
          <w:szCs w:val="16"/>
          <w:lang w:val="el-GR" w:eastAsia="el-GR"/>
        </w:rPr>
        <w:t xml:space="preserve">Σεπτεμβρίου </w:t>
      </w:r>
      <w:r w:rsidR="007E4D94" w:rsidRPr="007246A9">
        <w:rPr>
          <w:rFonts w:ascii="Arial" w:eastAsia="Times New Roman" w:hAnsi="Arial" w:cs="Arial"/>
          <w:sz w:val="18"/>
          <w:szCs w:val="16"/>
          <w:lang w:val="el-GR" w:eastAsia="el-GR"/>
        </w:rPr>
        <w:t>2024</w:t>
      </w:r>
      <w:r w:rsidRPr="007246A9">
        <w:rPr>
          <w:rFonts w:ascii="Arial" w:eastAsia="Times New Roman" w:hAnsi="Arial" w:cs="Arial"/>
          <w:sz w:val="18"/>
          <w:szCs w:val="16"/>
          <w:lang w:val="el-GR" w:eastAsia="el-GR"/>
        </w:rPr>
        <w:t>,</w:t>
      </w:r>
      <w:r w:rsidR="0007097C" w:rsidRPr="007246A9">
        <w:rPr>
          <w:rFonts w:ascii="Arial" w:eastAsia="Times New Roman" w:hAnsi="Arial" w:cs="Arial"/>
          <w:sz w:val="18"/>
          <w:szCs w:val="16"/>
          <w:lang w:val="el-GR" w:eastAsia="el-GR"/>
        </w:rPr>
        <w:t xml:space="preserve"> </w:t>
      </w:r>
      <w:r w:rsidRPr="007246A9">
        <w:rPr>
          <w:rFonts w:ascii="Arial" w:eastAsia="Times New Roman" w:hAnsi="Arial" w:cs="Arial"/>
          <w:sz w:val="18"/>
          <w:szCs w:val="16"/>
          <w:lang w:val="el-GR" w:eastAsia="el-GR"/>
        </w:rPr>
        <w:t xml:space="preserve">οι συσσωρευμένες αναμενόμενες πιστωτικές ζημιές δανείων, περιλαμβανομένης της αναπροσαρμογής στην εύλογη αξία κατά την αρχική αναγνώριση και των πιστωτικών ζημιών για εκθέσεις εκτός ισολογισμού (βλέπε </w:t>
      </w:r>
      <w:r w:rsidR="00C36D38" w:rsidRPr="007246A9">
        <w:rPr>
          <w:rFonts w:ascii="Arial" w:eastAsia="Times New Roman" w:hAnsi="Arial" w:cs="Arial"/>
          <w:color w:val="000000" w:themeColor="text1"/>
          <w:sz w:val="18"/>
          <w:szCs w:val="16"/>
          <w:lang w:val="el-GR" w:eastAsia="el-GR"/>
        </w:rPr>
        <w:t xml:space="preserve">Μέρος </w:t>
      </w:r>
      <w:r w:rsidR="00DD555F">
        <w:rPr>
          <w:rFonts w:ascii="Arial" w:eastAsia="Times New Roman" w:hAnsi="Arial" w:cs="Arial"/>
          <w:sz w:val="18"/>
          <w:szCs w:val="16"/>
          <w:lang w:val="el-GR" w:eastAsia="el-GR"/>
        </w:rPr>
        <w:t>Θ</w:t>
      </w:r>
      <w:r w:rsidR="00C9443A" w:rsidRPr="007246A9">
        <w:rPr>
          <w:rFonts w:ascii="Arial" w:eastAsia="Times New Roman" w:hAnsi="Arial" w:cs="Arial"/>
          <w:sz w:val="18"/>
          <w:szCs w:val="16"/>
          <w:lang w:val="el-GR" w:eastAsia="el-GR"/>
        </w:rPr>
        <w:t>.</w:t>
      </w:r>
      <w:r w:rsidR="00D77842" w:rsidRPr="007246A9">
        <w:rPr>
          <w:rFonts w:ascii="Arial" w:eastAsia="Times New Roman" w:hAnsi="Arial" w:cs="Arial"/>
          <w:sz w:val="18"/>
          <w:szCs w:val="16"/>
          <w:lang w:val="el-GR" w:eastAsia="el-GR"/>
        </w:rPr>
        <w:t xml:space="preserve"> </w:t>
      </w:r>
      <w:r w:rsidRPr="007246A9">
        <w:rPr>
          <w:rFonts w:ascii="Arial" w:eastAsia="Times New Roman" w:hAnsi="Arial" w:cs="Arial"/>
          <w:sz w:val="18"/>
          <w:szCs w:val="16"/>
          <w:lang w:val="el-GR" w:eastAsia="el-GR"/>
        </w:rPr>
        <w:t>‘</w:t>
      </w:r>
      <w:r w:rsidR="008F48B4" w:rsidRPr="007246A9">
        <w:rPr>
          <w:rFonts w:ascii="Arial" w:eastAsia="Times New Roman" w:hAnsi="Arial" w:cs="Arial"/>
          <w:color w:val="000000" w:themeColor="text1"/>
          <w:sz w:val="18"/>
          <w:szCs w:val="16"/>
          <w:lang w:val="el-GR" w:eastAsia="el-GR"/>
        </w:rPr>
        <w:t>Όροι και Επεξηγήσεις’</w:t>
      </w:r>
      <w:r w:rsidRPr="007246A9">
        <w:rPr>
          <w:rFonts w:ascii="Arial" w:eastAsia="Times New Roman" w:hAnsi="Arial" w:cs="Arial"/>
          <w:color w:val="000000" w:themeColor="text1"/>
          <w:sz w:val="18"/>
          <w:szCs w:val="16"/>
          <w:lang w:val="el-GR" w:eastAsia="el-GR"/>
        </w:rPr>
        <w:t>),</w:t>
      </w:r>
      <w:r w:rsidR="007E4D94" w:rsidRPr="007246A9">
        <w:rPr>
          <w:rFonts w:ascii="Arial" w:eastAsia="Times New Roman" w:hAnsi="Arial" w:cs="Arial"/>
          <w:color w:val="000000" w:themeColor="text1"/>
          <w:sz w:val="18"/>
          <w:szCs w:val="16"/>
          <w:lang w:val="el-GR" w:eastAsia="el-GR"/>
        </w:rPr>
        <w:t xml:space="preserve"> </w:t>
      </w:r>
      <w:r w:rsidRPr="007246A9">
        <w:rPr>
          <w:rFonts w:ascii="Arial" w:eastAsia="Times New Roman" w:hAnsi="Arial" w:cs="Arial"/>
          <w:sz w:val="18"/>
          <w:szCs w:val="16"/>
          <w:lang w:val="el-GR" w:eastAsia="el-GR"/>
        </w:rPr>
        <w:t>ανήλθαν σε €</w:t>
      </w:r>
      <w:r w:rsidR="00002175" w:rsidRPr="00502B4F">
        <w:rPr>
          <w:rFonts w:ascii="Arial" w:hAnsi="Arial" w:cs="Arial"/>
          <w:sz w:val="18"/>
          <w:lang w:val="el-GR"/>
        </w:rPr>
        <w:t>252</w:t>
      </w:r>
      <w:r w:rsidR="00002175">
        <w:rPr>
          <w:rFonts w:ascii="Arial" w:hAnsi="Arial" w:cs="Arial"/>
          <w:sz w:val="18"/>
          <w:lang w:val="el-GR"/>
        </w:rPr>
        <w:t xml:space="preserve"> </w:t>
      </w:r>
      <w:r w:rsidRPr="007246A9">
        <w:rPr>
          <w:rFonts w:ascii="Arial" w:eastAsia="Times New Roman" w:hAnsi="Arial" w:cs="Arial"/>
          <w:sz w:val="18"/>
          <w:szCs w:val="16"/>
          <w:lang w:val="el-GR" w:eastAsia="el-GR"/>
        </w:rPr>
        <w:t>εκατ.</w:t>
      </w:r>
      <w:r w:rsidR="00575BD0">
        <w:rPr>
          <w:rFonts w:ascii="Arial" w:eastAsia="Times New Roman" w:hAnsi="Arial" w:cs="Arial"/>
          <w:sz w:val="18"/>
          <w:szCs w:val="16"/>
          <w:lang w:val="el-GR" w:eastAsia="el-GR"/>
        </w:rPr>
        <w:t xml:space="preserve">, συμπεριλαμβανομένων </w:t>
      </w:r>
      <w:r w:rsidR="00DD555F">
        <w:rPr>
          <w:rFonts w:ascii="Arial" w:eastAsia="Times New Roman" w:hAnsi="Arial" w:cs="Arial"/>
          <w:sz w:val="18"/>
          <w:szCs w:val="16"/>
          <w:lang w:val="el-GR" w:eastAsia="el-GR"/>
        </w:rPr>
        <w:t xml:space="preserve">του </w:t>
      </w:r>
      <w:r w:rsidR="00575BD0">
        <w:rPr>
          <w:rFonts w:ascii="Arial" w:eastAsia="Times New Roman" w:hAnsi="Arial" w:cs="Arial"/>
          <w:sz w:val="18"/>
          <w:szCs w:val="16"/>
          <w:lang w:val="el-GR" w:eastAsia="el-GR"/>
        </w:rPr>
        <w:t>χαρτοφυλακί</w:t>
      </w:r>
      <w:r w:rsidR="00DD555F">
        <w:rPr>
          <w:rFonts w:ascii="Arial" w:eastAsia="Times New Roman" w:hAnsi="Arial" w:cs="Arial"/>
          <w:sz w:val="18"/>
          <w:szCs w:val="16"/>
          <w:lang w:val="el-GR" w:eastAsia="el-GR"/>
        </w:rPr>
        <w:t>ου</w:t>
      </w:r>
      <w:r w:rsidR="00575BD0">
        <w:rPr>
          <w:rFonts w:ascii="Arial" w:eastAsia="Times New Roman" w:hAnsi="Arial" w:cs="Arial"/>
          <w:sz w:val="18"/>
          <w:szCs w:val="16"/>
          <w:lang w:val="el-GR" w:eastAsia="el-GR"/>
        </w:rPr>
        <w:t xml:space="preserve"> που κατέχ</w:t>
      </w:r>
      <w:r w:rsidR="00DD555F">
        <w:rPr>
          <w:rFonts w:ascii="Arial" w:eastAsia="Times New Roman" w:hAnsi="Arial" w:cs="Arial"/>
          <w:sz w:val="18"/>
          <w:szCs w:val="16"/>
          <w:lang w:val="el-GR" w:eastAsia="el-GR"/>
        </w:rPr>
        <w:t>ε</w:t>
      </w:r>
      <w:r w:rsidR="00575BD0">
        <w:rPr>
          <w:rFonts w:ascii="Arial" w:eastAsia="Times New Roman" w:hAnsi="Arial" w:cs="Arial"/>
          <w:sz w:val="18"/>
          <w:szCs w:val="16"/>
          <w:lang w:val="el-GR" w:eastAsia="el-GR"/>
        </w:rPr>
        <w:t xml:space="preserve">ται για πώληση </w:t>
      </w:r>
      <w:r w:rsidR="00D12B06">
        <w:rPr>
          <w:rFonts w:ascii="Arial" w:eastAsia="Times New Roman" w:hAnsi="Arial" w:cs="Arial"/>
          <w:sz w:val="18"/>
          <w:szCs w:val="16"/>
          <w:lang w:val="el-GR" w:eastAsia="el-GR"/>
        </w:rPr>
        <w:t xml:space="preserve"> </w:t>
      </w:r>
      <w:r w:rsidRPr="007246A9">
        <w:rPr>
          <w:rFonts w:ascii="Arial" w:eastAsia="Times New Roman" w:hAnsi="Arial" w:cs="Arial"/>
          <w:sz w:val="18"/>
          <w:szCs w:val="16"/>
          <w:lang w:val="el-GR" w:eastAsia="el-GR"/>
        </w:rPr>
        <w:t>(σε σύγκριση με</w:t>
      </w:r>
      <w:r w:rsidR="00DC0BC1" w:rsidRPr="007246A9">
        <w:rPr>
          <w:rFonts w:ascii="Arial" w:eastAsia="Times New Roman" w:hAnsi="Arial" w:cs="Arial"/>
          <w:sz w:val="18"/>
          <w:szCs w:val="16"/>
          <w:lang w:val="el-GR" w:eastAsia="el-GR"/>
        </w:rPr>
        <w:t xml:space="preserve"> </w:t>
      </w:r>
      <w:r w:rsidR="00C31E76" w:rsidRPr="007246A9">
        <w:rPr>
          <w:rFonts w:ascii="Arial" w:eastAsia="Times New Roman" w:hAnsi="Arial" w:cs="Arial"/>
          <w:sz w:val="18"/>
          <w:szCs w:val="16"/>
          <w:lang w:val="el-GR" w:eastAsia="el-GR"/>
        </w:rPr>
        <w:t>€</w:t>
      </w:r>
      <w:r w:rsidR="007C6926" w:rsidRPr="007246A9">
        <w:rPr>
          <w:rFonts w:ascii="Arial" w:hAnsi="Arial" w:cs="Arial"/>
          <w:sz w:val="18"/>
          <w:lang w:val="el-GR"/>
        </w:rPr>
        <w:t xml:space="preserve">251 </w:t>
      </w:r>
      <w:r w:rsidR="00C31E76" w:rsidRPr="007246A9">
        <w:rPr>
          <w:rFonts w:ascii="Arial" w:eastAsia="Times New Roman" w:hAnsi="Arial" w:cs="Arial"/>
          <w:sz w:val="18"/>
          <w:szCs w:val="16"/>
          <w:lang w:val="el-GR" w:eastAsia="el-GR"/>
        </w:rPr>
        <w:t xml:space="preserve">εκατ. στις </w:t>
      </w:r>
      <w:r w:rsidR="007C6926" w:rsidRPr="007246A9">
        <w:rPr>
          <w:rFonts w:ascii="Arial" w:eastAsia="Times New Roman" w:hAnsi="Arial" w:cs="Arial"/>
          <w:sz w:val="18"/>
          <w:szCs w:val="16"/>
          <w:lang w:val="el-GR" w:eastAsia="el-GR"/>
        </w:rPr>
        <w:t xml:space="preserve">30 Ιουνίου </w:t>
      </w:r>
      <w:r w:rsidR="00C31E76" w:rsidRPr="007246A9">
        <w:rPr>
          <w:rFonts w:ascii="Arial" w:eastAsia="Times New Roman" w:hAnsi="Arial" w:cs="Arial"/>
          <w:sz w:val="18"/>
          <w:szCs w:val="16"/>
          <w:lang w:val="el-GR" w:eastAsia="el-GR"/>
        </w:rPr>
        <w:t xml:space="preserve">2024 και με </w:t>
      </w:r>
      <w:r w:rsidR="00DC0BC1" w:rsidRPr="007246A9">
        <w:rPr>
          <w:rFonts w:ascii="Arial" w:eastAsia="Times New Roman" w:hAnsi="Arial" w:cs="Arial"/>
          <w:sz w:val="18"/>
          <w:szCs w:val="16"/>
          <w:lang w:val="el-GR" w:eastAsia="el-GR"/>
        </w:rPr>
        <w:t>€</w:t>
      </w:r>
      <w:r w:rsidR="007E4D94" w:rsidRPr="007246A9">
        <w:rPr>
          <w:rFonts w:ascii="Arial" w:hAnsi="Arial" w:cs="Arial"/>
          <w:sz w:val="18"/>
          <w:lang w:val="el-GR"/>
        </w:rPr>
        <w:t xml:space="preserve">267 </w:t>
      </w:r>
      <w:r w:rsidR="00DC0BC1" w:rsidRPr="007246A9">
        <w:rPr>
          <w:rFonts w:ascii="Arial" w:eastAsia="Times New Roman" w:hAnsi="Arial" w:cs="Arial"/>
          <w:sz w:val="18"/>
          <w:szCs w:val="16"/>
          <w:lang w:val="el-GR" w:eastAsia="el-GR"/>
        </w:rPr>
        <w:t xml:space="preserve">εκατ. στις </w:t>
      </w:r>
      <w:r w:rsidR="007E4D94" w:rsidRPr="007246A9">
        <w:rPr>
          <w:rFonts w:ascii="Arial" w:eastAsia="Times New Roman" w:hAnsi="Arial" w:cs="Arial"/>
          <w:sz w:val="18"/>
          <w:szCs w:val="16"/>
          <w:lang w:val="el-GR" w:eastAsia="el-GR"/>
        </w:rPr>
        <w:t xml:space="preserve">31 Δεκεμβρίου </w:t>
      </w:r>
      <w:r w:rsidR="00DC0BC1" w:rsidRPr="007246A9">
        <w:rPr>
          <w:rFonts w:ascii="Arial" w:eastAsia="Times New Roman" w:hAnsi="Arial" w:cs="Arial"/>
          <w:sz w:val="18"/>
          <w:szCs w:val="16"/>
          <w:lang w:val="el-GR" w:eastAsia="el-GR"/>
        </w:rPr>
        <w:t>2023</w:t>
      </w:r>
      <w:r w:rsidRPr="007246A9">
        <w:rPr>
          <w:rFonts w:ascii="Arial" w:eastAsia="Times New Roman" w:hAnsi="Arial" w:cs="Arial"/>
          <w:sz w:val="18"/>
          <w:szCs w:val="16"/>
          <w:lang w:val="el-GR" w:eastAsia="el-GR"/>
        </w:rPr>
        <w:t xml:space="preserve">) και αναλογούν σε </w:t>
      </w:r>
      <w:r w:rsidR="00002175" w:rsidRPr="00502B4F">
        <w:rPr>
          <w:rFonts w:ascii="Arial" w:hAnsi="Arial" w:cs="Arial"/>
          <w:sz w:val="18"/>
          <w:lang w:val="el-GR"/>
        </w:rPr>
        <w:t>2.4</w:t>
      </w:r>
      <w:r w:rsidR="00982313" w:rsidRPr="00002175">
        <w:rPr>
          <w:rFonts w:ascii="Arial" w:hAnsi="Arial" w:cs="Arial"/>
          <w:sz w:val="18"/>
          <w:lang w:val="el-GR"/>
        </w:rPr>
        <w:t>%</w:t>
      </w:r>
      <w:r w:rsidR="00982313" w:rsidRPr="00002175">
        <w:rPr>
          <w:rFonts w:ascii="Arial" w:eastAsia="Times New Roman" w:hAnsi="Arial" w:cs="Arial"/>
          <w:sz w:val="18"/>
          <w:szCs w:val="16"/>
          <w:lang w:val="el-GR" w:eastAsia="el-GR"/>
        </w:rPr>
        <w:t xml:space="preserve"> </w:t>
      </w:r>
      <w:r w:rsidR="001A0EC6" w:rsidRPr="007246A9">
        <w:rPr>
          <w:rFonts w:ascii="Arial" w:eastAsia="Times New Roman" w:hAnsi="Arial" w:cs="Arial"/>
          <w:sz w:val="18"/>
          <w:szCs w:val="16"/>
          <w:lang w:val="el-GR" w:eastAsia="el-GR"/>
        </w:rPr>
        <w:t xml:space="preserve">του συνόλου των </w:t>
      </w:r>
      <w:r w:rsidRPr="007246A9">
        <w:rPr>
          <w:rFonts w:ascii="Arial" w:eastAsia="Times New Roman" w:hAnsi="Arial" w:cs="Arial"/>
          <w:sz w:val="18"/>
          <w:szCs w:val="16"/>
          <w:lang w:val="el-GR" w:eastAsia="el-GR"/>
        </w:rPr>
        <w:t>δανείων (</w:t>
      </w:r>
      <w:r w:rsidR="003B65F4" w:rsidRPr="007246A9">
        <w:rPr>
          <w:rFonts w:ascii="Arial" w:eastAsia="Times New Roman" w:hAnsi="Arial" w:cs="Arial"/>
          <w:sz w:val="18"/>
          <w:szCs w:val="16"/>
          <w:lang w:val="el-GR" w:eastAsia="el-GR"/>
        </w:rPr>
        <w:t xml:space="preserve">σε σύγκριση με </w:t>
      </w:r>
      <w:r w:rsidR="007C6926" w:rsidRPr="007246A9">
        <w:rPr>
          <w:rFonts w:ascii="Arial" w:hAnsi="Arial" w:cs="Arial"/>
          <w:sz w:val="18"/>
          <w:lang w:val="el-GR"/>
        </w:rPr>
        <w:t>2.4</w:t>
      </w:r>
      <w:r w:rsidR="003B65F4" w:rsidRPr="007246A9">
        <w:rPr>
          <w:rFonts w:ascii="Arial" w:eastAsia="Times New Roman" w:hAnsi="Arial" w:cs="Arial"/>
          <w:sz w:val="18"/>
          <w:szCs w:val="16"/>
          <w:lang w:val="el-GR" w:eastAsia="el-GR"/>
        </w:rPr>
        <w:t xml:space="preserve">% στις </w:t>
      </w:r>
      <w:r w:rsidR="007C6926" w:rsidRPr="007246A9">
        <w:rPr>
          <w:rFonts w:ascii="Arial" w:eastAsia="Times New Roman" w:hAnsi="Arial" w:cs="Arial"/>
          <w:sz w:val="18"/>
          <w:szCs w:val="16"/>
          <w:lang w:val="el-GR" w:eastAsia="el-GR"/>
        </w:rPr>
        <w:t xml:space="preserve">30 Ιουνίου </w:t>
      </w:r>
      <w:r w:rsidR="003B65F4" w:rsidRPr="007246A9">
        <w:rPr>
          <w:rFonts w:ascii="Arial" w:eastAsia="Times New Roman" w:hAnsi="Arial" w:cs="Arial"/>
          <w:sz w:val="18"/>
          <w:szCs w:val="16"/>
          <w:lang w:val="el-GR" w:eastAsia="el-GR"/>
        </w:rPr>
        <w:t>2024 και με 2.7% στις 31 Δεκεμβρίου 2023</w:t>
      </w:r>
      <w:r w:rsidR="00D12B06">
        <w:rPr>
          <w:rFonts w:ascii="Arial" w:eastAsia="Times New Roman" w:hAnsi="Arial" w:cs="Arial"/>
          <w:sz w:val="18"/>
          <w:szCs w:val="16"/>
          <w:lang w:val="el-GR" w:eastAsia="el-GR"/>
        </w:rPr>
        <w:t>, υπολογισμένα στην ίδια βάση</w:t>
      </w:r>
      <w:r w:rsidR="0007097C" w:rsidRPr="007246A9">
        <w:rPr>
          <w:rFonts w:ascii="Arial" w:eastAsia="Times New Roman" w:hAnsi="Arial" w:cs="Arial"/>
          <w:sz w:val="18"/>
          <w:szCs w:val="16"/>
          <w:lang w:val="el-GR" w:eastAsia="el-GR"/>
        </w:rPr>
        <w:t>).</w:t>
      </w:r>
      <w:r w:rsidR="00D12B06" w:rsidRPr="00D12B06">
        <w:rPr>
          <w:rFonts w:ascii="Arial" w:eastAsia="Times New Roman" w:hAnsi="Arial" w:cs="Arial"/>
          <w:sz w:val="18"/>
          <w:szCs w:val="16"/>
          <w:lang w:val="el-GR" w:eastAsia="el-GR"/>
        </w:rPr>
        <w:t xml:space="preserve"> </w:t>
      </w:r>
      <w:r w:rsidR="00D12B06">
        <w:rPr>
          <w:rFonts w:ascii="Arial" w:eastAsia="Times New Roman" w:hAnsi="Arial" w:cs="Arial"/>
          <w:sz w:val="18"/>
          <w:szCs w:val="16"/>
          <w:lang w:val="el-GR" w:eastAsia="el-GR"/>
        </w:rPr>
        <w:t>Αναπροσαρμοσμένες για τ</w:t>
      </w:r>
      <w:r w:rsidR="00DD555F">
        <w:rPr>
          <w:rFonts w:ascii="Arial" w:eastAsia="Times New Roman" w:hAnsi="Arial" w:cs="Arial"/>
          <w:sz w:val="18"/>
          <w:szCs w:val="16"/>
          <w:lang w:val="el-GR" w:eastAsia="el-GR"/>
        </w:rPr>
        <w:t>ο</w:t>
      </w:r>
      <w:r w:rsidR="00D12B06">
        <w:rPr>
          <w:rFonts w:ascii="Arial" w:eastAsia="Times New Roman" w:hAnsi="Arial" w:cs="Arial"/>
          <w:sz w:val="18"/>
          <w:szCs w:val="16"/>
          <w:lang w:val="el-GR" w:eastAsia="el-GR"/>
        </w:rPr>
        <w:t xml:space="preserve"> χαρτοφυλάκι</w:t>
      </w:r>
      <w:r w:rsidR="00DD555F">
        <w:rPr>
          <w:rFonts w:ascii="Arial" w:eastAsia="Times New Roman" w:hAnsi="Arial" w:cs="Arial"/>
          <w:sz w:val="18"/>
          <w:szCs w:val="16"/>
          <w:lang w:val="el-GR" w:eastAsia="el-GR"/>
        </w:rPr>
        <w:t>ο</w:t>
      </w:r>
      <w:r w:rsidR="00D12B06">
        <w:rPr>
          <w:rFonts w:ascii="Arial" w:eastAsia="Times New Roman" w:hAnsi="Arial" w:cs="Arial"/>
          <w:sz w:val="18"/>
          <w:szCs w:val="16"/>
          <w:lang w:val="el-GR" w:eastAsia="el-GR"/>
        </w:rPr>
        <w:t xml:space="preserve"> που κατέχ</w:t>
      </w:r>
      <w:r w:rsidR="00DD555F">
        <w:rPr>
          <w:rFonts w:ascii="Arial" w:eastAsia="Times New Roman" w:hAnsi="Arial" w:cs="Arial"/>
          <w:sz w:val="18"/>
          <w:szCs w:val="16"/>
          <w:lang w:val="el-GR" w:eastAsia="el-GR"/>
        </w:rPr>
        <w:t>ε</w:t>
      </w:r>
      <w:r w:rsidR="00D12B06">
        <w:rPr>
          <w:rFonts w:ascii="Arial" w:eastAsia="Times New Roman" w:hAnsi="Arial" w:cs="Arial"/>
          <w:sz w:val="18"/>
          <w:szCs w:val="16"/>
          <w:lang w:val="el-GR" w:eastAsia="el-GR"/>
        </w:rPr>
        <w:t xml:space="preserve">ται προς πώληση, </w:t>
      </w:r>
      <w:r w:rsidR="00D12B06" w:rsidRPr="007246A9">
        <w:rPr>
          <w:rFonts w:ascii="Arial" w:eastAsia="Times New Roman" w:hAnsi="Arial" w:cs="Arial"/>
          <w:sz w:val="18"/>
          <w:szCs w:val="16"/>
          <w:lang w:val="el-GR" w:eastAsia="el-GR"/>
        </w:rPr>
        <w:t>οι συσσωρευμένες αναμενόμενες πιστωτικές ζημιές δανείων, περιλαμβανομένης της αναπροσαρμογής στην εύλογη αξία κατά την αρχική αναγνώριση και των πιστωτικών ζημιών για εκθέσεις εκτός ισολογισμού</w:t>
      </w:r>
      <w:r w:rsidR="00D12B06">
        <w:rPr>
          <w:rFonts w:ascii="Arial" w:eastAsia="Times New Roman" w:hAnsi="Arial" w:cs="Arial"/>
          <w:sz w:val="18"/>
          <w:szCs w:val="16"/>
          <w:lang w:val="el-GR" w:eastAsia="el-GR"/>
        </w:rPr>
        <w:t xml:space="preserve"> </w:t>
      </w:r>
      <w:r w:rsidR="00D12B06" w:rsidRPr="007246A9">
        <w:rPr>
          <w:rFonts w:ascii="Arial" w:eastAsia="Times New Roman" w:hAnsi="Arial" w:cs="Arial"/>
          <w:sz w:val="18"/>
          <w:szCs w:val="16"/>
          <w:lang w:val="el-GR" w:eastAsia="el-GR"/>
        </w:rPr>
        <w:t>ανήλθαν σε €</w:t>
      </w:r>
      <w:r w:rsidR="00D12B06">
        <w:rPr>
          <w:rFonts w:ascii="Arial" w:hAnsi="Arial" w:cs="Arial"/>
          <w:sz w:val="18"/>
          <w:lang w:val="el-GR"/>
        </w:rPr>
        <w:t xml:space="preserve">237 </w:t>
      </w:r>
      <w:r w:rsidR="00D12B06" w:rsidRPr="007246A9">
        <w:rPr>
          <w:rFonts w:ascii="Arial" w:eastAsia="Times New Roman" w:hAnsi="Arial" w:cs="Arial"/>
          <w:sz w:val="18"/>
          <w:szCs w:val="16"/>
          <w:lang w:val="el-GR" w:eastAsia="el-GR"/>
        </w:rPr>
        <w:t>εκατ</w:t>
      </w:r>
      <w:r w:rsidR="00D12B06">
        <w:rPr>
          <w:rFonts w:ascii="Arial" w:eastAsia="Times New Roman" w:hAnsi="Arial" w:cs="Arial"/>
          <w:sz w:val="18"/>
          <w:szCs w:val="16"/>
          <w:lang w:val="el-GR" w:eastAsia="el-GR"/>
        </w:rPr>
        <w:t xml:space="preserve">. </w:t>
      </w:r>
      <w:r w:rsidR="00D12B06" w:rsidRPr="007246A9">
        <w:rPr>
          <w:rFonts w:ascii="Arial" w:eastAsia="Times New Roman" w:hAnsi="Arial" w:cs="Arial"/>
          <w:sz w:val="18"/>
          <w:szCs w:val="16"/>
          <w:lang w:val="el-GR" w:eastAsia="el-GR"/>
        </w:rPr>
        <w:t xml:space="preserve">και αναλογούν σε </w:t>
      </w:r>
      <w:r w:rsidR="00D12B06" w:rsidRPr="00502B4F">
        <w:rPr>
          <w:rFonts w:ascii="Arial" w:hAnsi="Arial" w:cs="Arial"/>
          <w:sz w:val="18"/>
          <w:lang w:val="el-GR"/>
        </w:rPr>
        <w:t>2.</w:t>
      </w:r>
      <w:r w:rsidR="00D12B06">
        <w:rPr>
          <w:rFonts w:ascii="Arial" w:hAnsi="Arial" w:cs="Arial"/>
          <w:sz w:val="18"/>
          <w:lang w:val="el-GR"/>
        </w:rPr>
        <w:t>3</w:t>
      </w:r>
      <w:r w:rsidR="00D12B06" w:rsidRPr="00002175">
        <w:rPr>
          <w:rFonts w:ascii="Arial" w:hAnsi="Arial" w:cs="Arial"/>
          <w:sz w:val="18"/>
          <w:lang w:val="el-GR"/>
        </w:rPr>
        <w:t>%</w:t>
      </w:r>
      <w:r w:rsidR="00D12B06" w:rsidRPr="00002175">
        <w:rPr>
          <w:rFonts w:ascii="Arial" w:eastAsia="Times New Roman" w:hAnsi="Arial" w:cs="Arial"/>
          <w:sz w:val="18"/>
          <w:szCs w:val="16"/>
          <w:lang w:val="el-GR" w:eastAsia="el-GR"/>
        </w:rPr>
        <w:t xml:space="preserve"> </w:t>
      </w:r>
      <w:r w:rsidR="00D12B06" w:rsidRPr="007246A9">
        <w:rPr>
          <w:rFonts w:ascii="Arial" w:eastAsia="Times New Roman" w:hAnsi="Arial" w:cs="Arial"/>
          <w:sz w:val="18"/>
          <w:szCs w:val="16"/>
          <w:lang w:val="el-GR" w:eastAsia="el-GR"/>
        </w:rPr>
        <w:t>του συνόλου των δανείων</w:t>
      </w:r>
      <w:r w:rsidR="00D12B06">
        <w:rPr>
          <w:rFonts w:ascii="Arial" w:eastAsia="Times New Roman" w:hAnsi="Arial" w:cs="Arial"/>
          <w:sz w:val="18"/>
          <w:szCs w:val="16"/>
          <w:lang w:val="el-GR" w:eastAsia="el-GR"/>
        </w:rPr>
        <w:t>.</w:t>
      </w:r>
    </w:p>
    <w:p w14:paraId="15AFA896" w14:textId="77777777" w:rsidR="009B4868" w:rsidRPr="00A00212" w:rsidRDefault="009B4868" w:rsidP="00F26350">
      <w:pPr>
        <w:spacing w:after="0" w:line="240" w:lineRule="auto"/>
        <w:jc w:val="both"/>
        <w:rPr>
          <w:rFonts w:ascii="Arial" w:hAnsi="Arial" w:cs="Arial"/>
          <w:sz w:val="12"/>
          <w:szCs w:val="12"/>
          <w:lang w:val="el-GR"/>
        </w:rPr>
      </w:pPr>
    </w:p>
    <w:p w14:paraId="7BA80049" w14:textId="0BAA7A68" w:rsidR="00207425" w:rsidRPr="00D41B36" w:rsidRDefault="00F26111" w:rsidP="00247B5B">
      <w:pPr>
        <w:spacing w:after="0" w:line="240" w:lineRule="auto"/>
        <w:jc w:val="both"/>
        <w:rPr>
          <w:rFonts w:ascii="Arial" w:eastAsia="Times New Roman" w:hAnsi="Arial" w:cs="Arial"/>
          <w:sz w:val="18"/>
          <w:szCs w:val="16"/>
          <w:highlight w:val="yellow"/>
          <w:lang w:val="el-GR" w:eastAsia="el-GR"/>
        </w:rPr>
      </w:pPr>
      <w:r w:rsidRPr="007246A9">
        <w:rPr>
          <w:rFonts w:ascii="Arial" w:hAnsi="Arial" w:cs="Arial"/>
          <w:b/>
          <w:bCs/>
          <w:sz w:val="18"/>
          <w:szCs w:val="18"/>
          <w:lang w:val="el-GR"/>
        </w:rPr>
        <w:t xml:space="preserve">Οι </w:t>
      </w:r>
      <w:proofErr w:type="spellStart"/>
      <w:r w:rsidRPr="007246A9">
        <w:rPr>
          <w:rFonts w:ascii="Arial" w:hAnsi="Arial" w:cs="Arial"/>
          <w:b/>
          <w:bCs/>
          <w:sz w:val="18"/>
          <w:szCs w:val="18"/>
          <w:lang w:val="el-GR"/>
        </w:rPr>
        <w:t>απομειώσεις</w:t>
      </w:r>
      <w:proofErr w:type="spellEnd"/>
      <w:r w:rsidRPr="007246A9">
        <w:rPr>
          <w:rFonts w:ascii="Arial" w:hAnsi="Arial" w:cs="Arial"/>
          <w:b/>
          <w:bCs/>
          <w:sz w:val="18"/>
          <w:szCs w:val="18"/>
          <w:lang w:val="el-GR"/>
        </w:rPr>
        <w:t xml:space="preserve"> άλλων χρηματοοικονομικών και μη χρηματοοικονομικών περιουσιακών στοιχείων</w:t>
      </w:r>
      <w:r w:rsidRPr="007246A9">
        <w:rPr>
          <w:rFonts w:ascii="Arial" w:hAnsi="Arial" w:cs="Arial"/>
          <w:sz w:val="18"/>
          <w:szCs w:val="18"/>
          <w:lang w:val="el-GR"/>
        </w:rPr>
        <w:t xml:space="preserve"> </w:t>
      </w:r>
      <w:r w:rsidR="00F3264C" w:rsidRPr="007246A9">
        <w:rPr>
          <w:rFonts w:ascii="Arial" w:hAnsi="Arial" w:cs="Arial"/>
          <w:sz w:val="18"/>
          <w:szCs w:val="18"/>
          <w:lang w:val="el-GR"/>
        </w:rPr>
        <w:t>γ</w:t>
      </w:r>
      <w:r w:rsidR="00F3264C" w:rsidRPr="007246A9">
        <w:rPr>
          <w:rFonts w:ascii="Arial" w:eastAsia="Times New Roman" w:hAnsi="Arial" w:cs="Arial"/>
          <w:sz w:val="18"/>
          <w:szCs w:val="16"/>
          <w:lang w:val="el-GR" w:eastAsia="el-GR"/>
        </w:rPr>
        <w:t>ια το</w:t>
      </w:r>
      <w:r w:rsidR="007E4D94" w:rsidRPr="007246A9">
        <w:rPr>
          <w:rFonts w:ascii="Arial" w:eastAsia="Times New Roman" w:hAnsi="Arial" w:cs="Arial"/>
          <w:sz w:val="18"/>
          <w:szCs w:val="16"/>
          <w:lang w:val="el-GR" w:eastAsia="el-GR"/>
        </w:rPr>
        <w:t xml:space="preserve"> </w:t>
      </w:r>
      <w:r w:rsidR="007A2F9B">
        <w:rPr>
          <w:rFonts w:ascii="Arial" w:hAnsi="Arial" w:cs="Arial"/>
          <w:sz w:val="18"/>
          <w:szCs w:val="18"/>
          <w:lang w:val="el-GR" w:eastAsia="el-GR"/>
        </w:rPr>
        <w:t>εννεάμηνο</w:t>
      </w:r>
      <w:r w:rsidR="007C6926" w:rsidRPr="007C6926">
        <w:rPr>
          <w:rFonts w:ascii="Arial" w:hAnsi="Arial" w:cs="Arial"/>
          <w:sz w:val="18"/>
          <w:szCs w:val="18"/>
          <w:lang w:val="el-GR" w:eastAsia="el-GR"/>
        </w:rPr>
        <w:t xml:space="preserve"> που έληξε στις 30 Σεπτεμβρίου</w:t>
      </w:r>
      <w:r w:rsidR="007C6926" w:rsidRPr="007C6926">
        <w:rPr>
          <w:rFonts w:ascii="Arial" w:hAnsi="Arial" w:cs="Arial"/>
          <w:sz w:val="18"/>
          <w:szCs w:val="18"/>
          <w:lang w:val="el-GR"/>
        </w:rPr>
        <w:t xml:space="preserve"> </w:t>
      </w:r>
      <w:r w:rsidR="00C31E76" w:rsidRPr="007246A9">
        <w:rPr>
          <w:rFonts w:ascii="Arial" w:eastAsia="Times New Roman" w:hAnsi="Arial" w:cs="Arial"/>
          <w:sz w:val="18"/>
          <w:szCs w:val="16"/>
          <w:lang w:val="el-GR" w:eastAsia="el-GR"/>
        </w:rPr>
        <w:t xml:space="preserve">2024 ανήλθαν σε </w:t>
      </w:r>
      <w:r w:rsidR="00C31E76" w:rsidRPr="00002175">
        <w:rPr>
          <w:rFonts w:ascii="Arial" w:eastAsia="Times New Roman" w:hAnsi="Arial" w:cs="Arial"/>
          <w:sz w:val="18"/>
          <w:szCs w:val="16"/>
          <w:lang w:val="el-GR" w:eastAsia="el-GR"/>
        </w:rPr>
        <w:t>€</w:t>
      </w:r>
      <w:r w:rsidR="00002175" w:rsidRPr="00502B4F">
        <w:rPr>
          <w:rFonts w:ascii="Arial" w:hAnsi="Arial" w:cs="Arial"/>
          <w:sz w:val="18"/>
          <w:lang w:val="el-GR"/>
        </w:rPr>
        <w:t xml:space="preserve">39 </w:t>
      </w:r>
      <w:r w:rsidR="00C31E76" w:rsidRPr="00002175">
        <w:rPr>
          <w:rFonts w:ascii="Arial" w:eastAsia="Times New Roman" w:hAnsi="Arial" w:cs="Arial"/>
          <w:sz w:val="18"/>
          <w:szCs w:val="16"/>
          <w:lang w:val="el-GR" w:eastAsia="el-GR"/>
        </w:rPr>
        <w:t>εκατ.,</w:t>
      </w:r>
      <w:r w:rsidR="00002175" w:rsidRPr="00002175">
        <w:rPr>
          <w:rFonts w:ascii="Arial" w:eastAsia="Times New Roman" w:hAnsi="Arial" w:cs="Arial"/>
          <w:sz w:val="18"/>
          <w:szCs w:val="16"/>
          <w:lang w:val="el-GR" w:eastAsia="el-GR"/>
        </w:rPr>
        <w:t xml:space="preserve"> περίπου στα ίδια επίπεδα </w:t>
      </w:r>
      <w:r w:rsidR="00C31E76" w:rsidRPr="00002175">
        <w:rPr>
          <w:rFonts w:ascii="Arial" w:eastAsia="Times New Roman" w:hAnsi="Arial" w:cs="Arial"/>
          <w:sz w:val="18"/>
          <w:szCs w:val="16"/>
          <w:lang w:val="el-GR" w:eastAsia="el-GR"/>
        </w:rPr>
        <w:t>σε ετήσια βάση, και αφορούν κυρίως</w:t>
      </w:r>
      <w:r w:rsidR="003B65F4" w:rsidRPr="00002175">
        <w:rPr>
          <w:rFonts w:ascii="Arial" w:eastAsia="Times New Roman" w:hAnsi="Arial" w:cs="Arial"/>
          <w:sz w:val="18"/>
          <w:szCs w:val="16"/>
          <w:lang w:val="el-GR" w:eastAsia="el-GR"/>
        </w:rPr>
        <w:t xml:space="preserve"> τα </w:t>
      </w:r>
      <w:r w:rsidR="00247B5B" w:rsidRPr="00002175">
        <w:rPr>
          <w:rFonts w:ascii="Arial" w:eastAsia="Times New Roman" w:hAnsi="Arial" w:cs="Arial"/>
          <w:sz w:val="18"/>
          <w:szCs w:val="16"/>
          <w:lang w:val="el-GR" w:eastAsia="el-GR"/>
        </w:rPr>
        <w:t>ακίνητα</w:t>
      </w:r>
      <w:r w:rsidR="003B65F4" w:rsidRPr="00002175">
        <w:rPr>
          <w:rFonts w:ascii="Arial" w:eastAsia="Times New Roman" w:hAnsi="Arial" w:cs="Arial"/>
          <w:sz w:val="18"/>
          <w:szCs w:val="16"/>
          <w:lang w:val="el-GR" w:eastAsia="el-GR"/>
        </w:rPr>
        <w:t xml:space="preserve"> της ΔΔΑ. </w:t>
      </w:r>
      <w:r w:rsidR="003B65F4" w:rsidRPr="00002175">
        <w:rPr>
          <w:rFonts w:ascii="Arial" w:hAnsi="Arial" w:cs="Arial"/>
          <w:sz w:val="18"/>
          <w:szCs w:val="18"/>
          <w:lang w:val="el-GR"/>
        </w:rPr>
        <w:t xml:space="preserve">Οι </w:t>
      </w:r>
      <w:proofErr w:type="spellStart"/>
      <w:r w:rsidR="003B65F4" w:rsidRPr="00002175">
        <w:rPr>
          <w:rFonts w:ascii="Arial" w:hAnsi="Arial" w:cs="Arial"/>
          <w:sz w:val="18"/>
          <w:szCs w:val="18"/>
          <w:lang w:val="el-GR"/>
        </w:rPr>
        <w:t>απομειώσεις</w:t>
      </w:r>
      <w:proofErr w:type="spellEnd"/>
      <w:r w:rsidR="003B65F4" w:rsidRPr="00002175">
        <w:rPr>
          <w:rFonts w:ascii="Arial" w:hAnsi="Arial" w:cs="Arial"/>
          <w:sz w:val="18"/>
          <w:szCs w:val="18"/>
          <w:lang w:val="el-GR"/>
        </w:rPr>
        <w:t xml:space="preserve"> άλλων χρηματοοικονομικών και μη χρηματοοικονομικών περιουσιακών στοιχείων</w:t>
      </w:r>
      <w:r w:rsidR="003B65F4" w:rsidRPr="00002175">
        <w:rPr>
          <w:rFonts w:ascii="Arial" w:eastAsia="Times New Roman" w:hAnsi="Arial" w:cs="Arial"/>
          <w:sz w:val="18"/>
          <w:szCs w:val="16"/>
          <w:lang w:val="el-GR" w:eastAsia="el-GR"/>
        </w:rPr>
        <w:t xml:space="preserve"> για το </w:t>
      </w:r>
      <w:r w:rsidR="007C6926" w:rsidRPr="00002175">
        <w:rPr>
          <w:rFonts w:ascii="Arial" w:eastAsia="Times New Roman" w:hAnsi="Arial" w:cs="Arial"/>
          <w:sz w:val="18"/>
          <w:szCs w:val="16"/>
          <w:lang w:val="el-GR" w:eastAsia="el-GR"/>
        </w:rPr>
        <w:t xml:space="preserve">γ’ </w:t>
      </w:r>
      <w:r w:rsidR="003B65F4" w:rsidRPr="00002175">
        <w:rPr>
          <w:rFonts w:ascii="Arial" w:eastAsia="Times New Roman" w:hAnsi="Arial" w:cs="Arial"/>
          <w:sz w:val="18"/>
          <w:szCs w:val="16"/>
          <w:lang w:val="el-GR" w:eastAsia="el-GR"/>
        </w:rPr>
        <w:t>τρίμηνο 2024 ανήλθαν σε €</w:t>
      </w:r>
      <w:r w:rsidR="00002175" w:rsidRPr="00502B4F">
        <w:rPr>
          <w:rFonts w:ascii="Arial" w:hAnsi="Arial" w:cs="Arial"/>
          <w:sz w:val="18"/>
          <w:lang w:val="el-GR"/>
        </w:rPr>
        <w:t xml:space="preserve">14 </w:t>
      </w:r>
      <w:r w:rsidR="003B65F4" w:rsidRPr="00002175">
        <w:rPr>
          <w:rFonts w:ascii="Arial" w:eastAsia="Times New Roman" w:hAnsi="Arial" w:cs="Arial"/>
          <w:sz w:val="18"/>
          <w:szCs w:val="16"/>
          <w:lang w:val="el-GR" w:eastAsia="el-GR"/>
        </w:rPr>
        <w:t>εκατ., σε σύγκριση με €</w:t>
      </w:r>
      <w:r w:rsidR="007C6926" w:rsidRPr="00002175">
        <w:rPr>
          <w:rFonts w:ascii="Arial" w:hAnsi="Arial" w:cs="Arial"/>
          <w:sz w:val="18"/>
          <w:lang w:val="el-GR"/>
        </w:rPr>
        <w:t xml:space="preserve">17 </w:t>
      </w:r>
      <w:r w:rsidR="003B65F4" w:rsidRPr="00002175">
        <w:rPr>
          <w:rFonts w:ascii="Arial" w:eastAsia="Times New Roman" w:hAnsi="Arial" w:cs="Arial"/>
          <w:sz w:val="18"/>
          <w:szCs w:val="16"/>
          <w:lang w:val="el-GR" w:eastAsia="el-GR"/>
        </w:rPr>
        <w:t xml:space="preserve">εκατ. για το </w:t>
      </w:r>
      <w:r w:rsidR="007C6926" w:rsidRPr="00002175">
        <w:rPr>
          <w:rFonts w:ascii="Arial" w:eastAsia="Times New Roman" w:hAnsi="Arial" w:cs="Arial"/>
          <w:sz w:val="18"/>
          <w:szCs w:val="16"/>
          <w:lang w:val="el-GR" w:eastAsia="el-GR"/>
        </w:rPr>
        <w:t xml:space="preserve">β’ </w:t>
      </w:r>
      <w:r w:rsidR="003B65F4" w:rsidRPr="00002175">
        <w:rPr>
          <w:rFonts w:ascii="Arial" w:eastAsia="Times New Roman" w:hAnsi="Arial" w:cs="Arial"/>
          <w:sz w:val="18"/>
          <w:szCs w:val="16"/>
          <w:lang w:val="el-GR" w:eastAsia="el-GR"/>
        </w:rPr>
        <w:t xml:space="preserve">τρίμηνο 2024, </w:t>
      </w:r>
      <w:r w:rsidR="003B65F4" w:rsidRPr="00502B4F">
        <w:rPr>
          <w:rFonts w:ascii="Arial" w:eastAsia="Times New Roman" w:hAnsi="Arial" w:cs="Arial"/>
          <w:sz w:val="18"/>
          <w:szCs w:val="16"/>
          <w:lang w:val="el-GR" w:eastAsia="el-GR"/>
        </w:rPr>
        <w:t xml:space="preserve">και αφορούν κυρίως </w:t>
      </w:r>
      <w:proofErr w:type="spellStart"/>
      <w:r w:rsidR="00247B5B" w:rsidRPr="00502B4F">
        <w:rPr>
          <w:rFonts w:ascii="Arial" w:eastAsia="Times New Roman" w:hAnsi="Arial" w:cs="Arial"/>
          <w:sz w:val="18"/>
          <w:szCs w:val="16"/>
          <w:lang w:val="el-GR" w:eastAsia="el-GR"/>
        </w:rPr>
        <w:t>απομειώσεις</w:t>
      </w:r>
      <w:proofErr w:type="spellEnd"/>
      <w:r w:rsidR="00247B5B" w:rsidRPr="00502B4F">
        <w:rPr>
          <w:rFonts w:ascii="Arial" w:eastAsia="Times New Roman" w:hAnsi="Arial" w:cs="Arial"/>
          <w:sz w:val="18"/>
          <w:szCs w:val="16"/>
          <w:lang w:val="el-GR" w:eastAsia="el-GR"/>
        </w:rPr>
        <w:t xml:space="preserve"> σε συγκεκριμένα, μεγάλα, μη ρευστοποιήσιμα ακίνητα της ΔΔΑ.</w:t>
      </w:r>
    </w:p>
    <w:p w14:paraId="05F06AEF" w14:textId="77777777" w:rsidR="00162C18" w:rsidRPr="00A00212" w:rsidRDefault="00162C18" w:rsidP="00F26350">
      <w:pPr>
        <w:spacing w:after="0" w:line="240" w:lineRule="auto"/>
        <w:jc w:val="both"/>
        <w:rPr>
          <w:rFonts w:ascii="Arial" w:eastAsia="Times New Roman" w:hAnsi="Arial" w:cs="Arial"/>
          <w:sz w:val="12"/>
          <w:szCs w:val="12"/>
          <w:highlight w:val="yellow"/>
          <w:lang w:val="el-GR" w:eastAsia="en-US"/>
        </w:rPr>
      </w:pPr>
    </w:p>
    <w:p w14:paraId="09A0DCCF" w14:textId="3BE1D30F" w:rsidR="00BB4BD1" w:rsidRPr="00502B4F" w:rsidRDefault="00162C18" w:rsidP="00214588">
      <w:pPr>
        <w:spacing w:after="0" w:line="240" w:lineRule="auto"/>
        <w:jc w:val="both"/>
        <w:rPr>
          <w:rFonts w:ascii="Arial" w:hAnsi="Arial" w:cs="Arial"/>
          <w:sz w:val="18"/>
          <w:szCs w:val="18"/>
          <w:lang w:val="el-GR"/>
        </w:rPr>
      </w:pPr>
      <w:r w:rsidRPr="005B5CFC">
        <w:rPr>
          <w:rFonts w:ascii="Arial" w:hAnsi="Arial" w:cs="Arial"/>
          <w:b/>
          <w:bCs/>
          <w:sz w:val="18"/>
          <w:szCs w:val="18"/>
          <w:lang w:val="el-GR" w:eastAsia="el-GR"/>
        </w:rPr>
        <w:t xml:space="preserve">Οι </w:t>
      </w:r>
      <w:r w:rsidR="00CA3F6F" w:rsidRPr="005B5CFC">
        <w:rPr>
          <w:rFonts w:ascii="Arial" w:hAnsi="Arial" w:cs="Arial"/>
          <w:b/>
          <w:bCs/>
          <w:sz w:val="18"/>
          <w:szCs w:val="18"/>
          <w:lang w:val="el-GR" w:eastAsia="el-GR"/>
        </w:rPr>
        <w:t>προβλέψεις για επιδικίες, απαιτήσεις, κανονιστικά</w:t>
      </w:r>
      <w:r w:rsidR="00A5040B" w:rsidRPr="005B5CFC">
        <w:rPr>
          <w:rFonts w:ascii="Arial" w:hAnsi="Arial" w:cs="Arial"/>
          <w:b/>
          <w:bCs/>
          <w:sz w:val="18"/>
          <w:szCs w:val="18"/>
          <w:lang w:val="el-GR" w:eastAsia="el-GR"/>
        </w:rPr>
        <w:t xml:space="preserve"> </w:t>
      </w:r>
      <w:r w:rsidR="00CA3F6F" w:rsidRPr="005B5CFC">
        <w:rPr>
          <w:rFonts w:ascii="Arial" w:hAnsi="Arial" w:cs="Arial"/>
          <w:b/>
          <w:bCs/>
          <w:sz w:val="18"/>
          <w:szCs w:val="18"/>
          <w:lang w:val="el-GR" w:eastAsia="el-GR"/>
        </w:rPr>
        <w:t xml:space="preserve">και άλλα θέματα (μετά από αναστροφές) </w:t>
      </w:r>
      <w:r w:rsidRPr="005B5CFC">
        <w:rPr>
          <w:rFonts w:ascii="Arial" w:hAnsi="Arial" w:cs="Arial"/>
          <w:sz w:val="18"/>
          <w:szCs w:val="18"/>
          <w:lang w:val="el-GR"/>
        </w:rPr>
        <w:t>για το</w:t>
      </w:r>
      <w:r w:rsidR="00DA6014" w:rsidRPr="005B5CFC">
        <w:rPr>
          <w:rFonts w:ascii="Arial" w:hAnsi="Arial" w:cs="Arial"/>
          <w:sz w:val="18"/>
          <w:szCs w:val="18"/>
          <w:lang w:val="el-GR"/>
        </w:rPr>
        <w:t xml:space="preserve"> </w:t>
      </w:r>
      <w:r w:rsidR="007A2F9B">
        <w:rPr>
          <w:rFonts w:ascii="Arial" w:hAnsi="Arial" w:cs="Arial"/>
          <w:sz w:val="18"/>
          <w:szCs w:val="18"/>
          <w:lang w:val="el-GR" w:eastAsia="el-GR"/>
        </w:rPr>
        <w:t>εννεάμηνο</w:t>
      </w:r>
      <w:r w:rsidR="007C6926" w:rsidRPr="005B5CFC">
        <w:rPr>
          <w:rFonts w:ascii="Arial" w:hAnsi="Arial" w:cs="Arial"/>
          <w:sz w:val="18"/>
          <w:szCs w:val="18"/>
          <w:lang w:val="el-GR" w:eastAsia="el-GR"/>
        </w:rPr>
        <w:t xml:space="preserve"> που έληξε στις 30 Σεπτεμβρίου</w:t>
      </w:r>
      <w:r w:rsidR="007C6926" w:rsidRPr="005B5CFC">
        <w:rPr>
          <w:rFonts w:ascii="Arial" w:hAnsi="Arial" w:cs="Arial"/>
          <w:sz w:val="18"/>
          <w:szCs w:val="18"/>
          <w:lang w:val="el-GR"/>
        </w:rPr>
        <w:t xml:space="preserve"> </w:t>
      </w:r>
      <w:r w:rsidR="00C31E76" w:rsidRPr="005B5CFC">
        <w:rPr>
          <w:rFonts w:ascii="Arial" w:hAnsi="Arial" w:cs="Arial"/>
          <w:sz w:val="18"/>
          <w:szCs w:val="18"/>
          <w:lang w:val="el-GR"/>
        </w:rPr>
        <w:t xml:space="preserve">2024 ανήλθαν σε </w:t>
      </w:r>
      <w:r w:rsidR="00DD555F">
        <w:rPr>
          <w:rFonts w:ascii="Arial" w:hAnsi="Arial" w:cs="Arial"/>
          <w:sz w:val="18"/>
          <w:szCs w:val="18"/>
          <w:lang w:val="el-GR"/>
        </w:rPr>
        <w:t>καθαρή</w:t>
      </w:r>
      <w:r w:rsidR="00DD555F" w:rsidRPr="005B5CFC">
        <w:rPr>
          <w:rFonts w:ascii="Arial" w:hAnsi="Arial" w:cs="Arial"/>
          <w:sz w:val="18"/>
          <w:szCs w:val="18"/>
          <w:lang w:val="el-GR"/>
        </w:rPr>
        <w:t xml:space="preserve"> </w:t>
      </w:r>
      <w:r w:rsidR="005B5CFC" w:rsidRPr="005B5CFC">
        <w:rPr>
          <w:rFonts w:ascii="Arial" w:hAnsi="Arial" w:cs="Arial"/>
          <w:sz w:val="18"/>
          <w:szCs w:val="18"/>
          <w:lang w:val="el-GR"/>
        </w:rPr>
        <w:t xml:space="preserve">αναστροφή ύψους </w:t>
      </w:r>
      <w:r w:rsidR="00C31E76" w:rsidRPr="005B5CFC">
        <w:rPr>
          <w:rFonts w:ascii="Arial" w:hAnsi="Arial" w:cs="Arial"/>
          <w:sz w:val="18"/>
          <w:szCs w:val="18"/>
          <w:lang w:val="el-GR"/>
        </w:rPr>
        <w:t>€</w:t>
      </w:r>
      <w:r w:rsidR="005B5CFC" w:rsidRPr="00502B4F">
        <w:rPr>
          <w:rFonts w:ascii="Arial" w:hAnsi="Arial" w:cs="Arial"/>
          <w:sz w:val="18"/>
          <w:szCs w:val="18"/>
          <w:lang w:val="el-GR"/>
        </w:rPr>
        <w:t xml:space="preserve">1 </w:t>
      </w:r>
      <w:r w:rsidR="00C31E76" w:rsidRPr="005B5CFC">
        <w:rPr>
          <w:rFonts w:ascii="Arial" w:hAnsi="Arial" w:cs="Arial"/>
          <w:sz w:val="18"/>
          <w:szCs w:val="18"/>
          <w:lang w:val="el-GR"/>
        </w:rPr>
        <w:t xml:space="preserve">εκατ., σε σύγκριση με </w:t>
      </w:r>
      <w:r w:rsidR="005B5CFC" w:rsidRPr="005B5CFC">
        <w:rPr>
          <w:rFonts w:ascii="Arial" w:hAnsi="Arial" w:cs="Arial"/>
          <w:sz w:val="18"/>
          <w:szCs w:val="18"/>
          <w:lang w:val="el-GR"/>
        </w:rPr>
        <w:t xml:space="preserve">πρόβλεψη ύψους </w:t>
      </w:r>
      <w:r w:rsidR="00C31E76" w:rsidRPr="005B5CFC">
        <w:rPr>
          <w:rFonts w:ascii="Arial" w:hAnsi="Arial" w:cs="Arial"/>
          <w:sz w:val="18"/>
          <w:szCs w:val="18"/>
          <w:lang w:val="el-GR"/>
        </w:rPr>
        <w:t>€</w:t>
      </w:r>
      <w:r w:rsidR="007C6926" w:rsidRPr="005B5CFC">
        <w:rPr>
          <w:rFonts w:ascii="Arial" w:hAnsi="Arial" w:cs="Arial"/>
          <w:sz w:val="18"/>
          <w:szCs w:val="18"/>
          <w:lang w:val="el-GR"/>
        </w:rPr>
        <w:t xml:space="preserve">20 </w:t>
      </w:r>
      <w:r w:rsidR="00C31E76" w:rsidRPr="005B5CFC">
        <w:rPr>
          <w:rFonts w:ascii="Arial" w:hAnsi="Arial" w:cs="Arial"/>
          <w:sz w:val="18"/>
          <w:szCs w:val="18"/>
          <w:lang w:val="el-GR"/>
        </w:rPr>
        <w:t xml:space="preserve">εκατ. για το </w:t>
      </w:r>
      <w:r w:rsidR="007C6926" w:rsidRPr="005B5CFC">
        <w:rPr>
          <w:rFonts w:ascii="Arial" w:hAnsi="Arial" w:cs="Arial"/>
          <w:sz w:val="18"/>
          <w:szCs w:val="18"/>
          <w:lang w:val="el-GR"/>
        </w:rPr>
        <w:t xml:space="preserve">αντίστοιχο </w:t>
      </w:r>
      <w:r w:rsidR="007A2F9B">
        <w:rPr>
          <w:rFonts w:ascii="Arial" w:hAnsi="Arial" w:cs="Arial"/>
          <w:sz w:val="18"/>
          <w:szCs w:val="18"/>
          <w:lang w:val="el-GR" w:eastAsia="el-GR"/>
        </w:rPr>
        <w:t>εννεάμηνο</w:t>
      </w:r>
      <w:r w:rsidR="007C6926" w:rsidRPr="005B5CFC">
        <w:rPr>
          <w:rFonts w:ascii="Arial" w:hAnsi="Arial" w:cs="Arial"/>
          <w:sz w:val="18"/>
          <w:szCs w:val="18"/>
          <w:lang w:val="el-GR" w:eastAsia="el-GR"/>
        </w:rPr>
        <w:t xml:space="preserve"> </w:t>
      </w:r>
      <w:r w:rsidR="00C31E76" w:rsidRPr="005B5CFC">
        <w:rPr>
          <w:rFonts w:ascii="Arial" w:hAnsi="Arial" w:cs="Arial"/>
          <w:sz w:val="18"/>
          <w:szCs w:val="18"/>
          <w:lang w:val="el-GR"/>
        </w:rPr>
        <w:t>2023</w:t>
      </w:r>
      <w:r w:rsidR="00247B5B" w:rsidRPr="005B5CFC">
        <w:rPr>
          <w:rFonts w:ascii="Arial" w:hAnsi="Arial" w:cs="Arial"/>
          <w:sz w:val="18"/>
          <w:szCs w:val="18"/>
          <w:lang w:val="el-GR"/>
        </w:rPr>
        <w:t>.</w:t>
      </w:r>
      <w:r w:rsidR="005B5CFC" w:rsidRPr="005B5CFC">
        <w:rPr>
          <w:rFonts w:ascii="Arial" w:hAnsi="Arial" w:cs="Arial"/>
          <w:sz w:val="18"/>
          <w:szCs w:val="18"/>
          <w:lang w:val="el-GR"/>
        </w:rPr>
        <w:t xml:space="preserve"> </w:t>
      </w:r>
      <w:r w:rsidR="00247B5B" w:rsidRPr="005B5CFC">
        <w:rPr>
          <w:rFonts w:ascii="Arial" w:hAnsi="Arial" w:cs="Arial"/>
          <w:sz w:val="18"/>
          <w:szCs w:val="18"/>
          <w:lang w:val="el-GR"/>
        </w:rPr>
        <w:t xml:space="preserve">Οι </w:t>
      </w:r>
      <w:r w:rsidR="00214588" w:rsidRPr="005B5CFC">
        <w:rPr>
          <w:rFonts w:ascii="Arial" w:hAnsi="Arial" w:cs="Arial"/>
          <w:sz w:val="18"/>
          <w:szCs w:val="18"/>
          <w:lang w:val="el-GR"/>
        </w:rPr>
        <w:t>προβλέψεις για επιδικίες, απαιτήσεις, κανονιστικά</w:t>
      </w:r>
      <w:r w:rsidR="00A5040B" w:rsidRPr="005B5CFC">
        <w:rPr>
          <w:rFonts w:ascii="Arial" w:hAnsi="Arial" w:cs="Arial"/>
          <w:sz w:val="18"/>
          <w:szCs w:val="18"/>
          <w:lang w:val="el-GR"/>
        </w:rPr>
        <w:t xml:space="preserve"> </w:t>
      </w:r>
      <w:r w:rsidR="00214588" w:rsidRPr="005B5CFC">
        <w:rPr>
          <w:rFonts w:ascii="Arial" w:hAnsi="Arial" w:cs="Arial"/>
          <w:sz w:val="18"/>
          <w:szCs w:val="18"/>
          <w:lang w:val="el-GR"/>
        </w:rPr>
        <w:t>και άλλα θέματα (μετά από αναστροφές)</w:t>
      </w:r>
      <w:r w:rsidR="00BB4BD1" w:rsidRPr="005B5CFC">
        <w:rPr>
          <w:rFonts w:ascii="Arial" w:hAnsi="Arial" w:cs="Arial"/>
          <w:sz w:val="18"/>
          <w:szCs w:val="18"/>
          <w:lang w:val="el-GR"/>
        </w:rPr>
        <w:t xml:space="preserve"> ανήλθαν σε </w:t>
      </w:r>
      <w:r w:rsidR="00DD555F">
        <w:rPr>
          <w:rFonts w:ascii="Arial" w:hAnsi="Arial" w:cs="Arial"/>
          <w:sz w:val="18"/>
          <w:szCs w:val="18"/>
          <w:lang w:val="el-GR"/>
        </w:rPr>
        <w:t>καθαρή</w:t>
      </w:r>
      <w:r w:rsidR="00DD555F" w:rsidRPr="005B5CFC">
        <w:rPr>
          <w:rFonts w:ascii="Arial" w:hAnsi="Arial" w:cs="Arial"/>
          <w:sz w:val="18"/>
          <w:szCs w:val="18"/>
          <w:lang w:val="el-GR"/>
        </w:rPr>
        <w:t xml:space="preserve"> </w:t>
      </w:r>
      <w:r w:rsidR="005B5CFC" w:rsidRPr="005B5CFC">
        <w:rPr>
          <w:rFonts w:ascii="Arial" w:hAnsi="Arial" w:cs="Arial"/>
          <w:sz w:val="18"/>
          <w:szCs w:val="18"/>
          <w:lang w:val="el-GR"/>
        </w:rPr>
        <w:t xml:space="preserve">αναστροφή </w:t>
      </w:r>
      <w:r w:rsidR="00BB4BD1" w:rsidRPr="005B5CFC">
        <w:rPr>
          <w:rFonts w:ascii="Arial" w:hAnsi="Arial" w:cs="Arial"/>
          <w:sz w:val="18"/>
          <w:szCs w:val="18"/>
          <w:lang w:val="el-GR"/>
        </w:rPr>
        <w:t>ύψους €</w:t>
      </w:r>
      <w:r w:rsidR="005B5CFC" w:rsidRPr="00502B4F">
        <w:rPr>
          <w:rFonts w:ascii="Arial" w:hAnsi="Arial" w:cs="Arial"/>
          <w:sz w:val="18"/>
          <w:szCs w:val="18"/>
          <w:lang w:val="el-GR"/>
        </w:rPr>
        <w:t>4</w:t>
      </w:r>
      <w:r w:rsidR="007C6926" w:rsidRPr="00502B4F">
        <w:rPr>
          <w:rFonts w:ascii="Arial" w:hAnsi="Arial" w:cs="Arial"/>
          <w:sz w:val="18"/>
          <w:szCs w:val="18"/>
          <w:lang w:val="el-GR"/>
        </w:rPr>
        <w:t xml:space="preserve"> </w:t>
      </w:r>
      <w:r w:rsidR="00BB4BD1" w:rsidRPr="005B5CFC">
        <w:rPr>
          <w:rFonts w:ascii="Arial" w:hAnsi="Arial" w:cs="Arial"/>
          <w:sz w:val="18"/>
          <w:szCs w:val="18"/>
          <w:lang w:val="el-GR"/>
        </w:rPr>
        <w:t>εκατ.</w:t>
      </w:r>
      <w:r w:rsidR="00214588" w:rsidRPr="005B5CFC">
        <w:rPr>
          <w:rFonts w:ascii="Arial" w:hAnsi="Arial" w:cs="Arial"/>
          <w:sz w:val="18"/>
          <w:szCs w:val="18"/>
          <w:lang w:val="el-GR"/>
        </w:rPr>
        <w:t xml:space="preserve"> για το </w:t>
      </w:r>
      <w:r w:rsidR="007C6926" w:rsidRPr="005B5CFC">
        <w:rPr>
          <w:rFonts w:ascii="Arial" w:hAnsi="Arial" w:cs="Arial"/>
          <w:sz w:val="18"/>
          <w:szCs w:val="18"/>
          <w:lang w:val="el-GR"/>
        </w:rPr>
        <w:t xml:space="preserve">γ’ </w:t>
      </w:r>
      <w:r w:rsidR="00DA6014" w:rsidRPr="005B5CFC">
        <w:rPr>
          <w:rFonts w:ascii="Arial" w:hAnsi="Arial" w:cs="Arial"/>
          <w:sz w:val="18"/>
          <w:szCs w:val="18"/>
          <w:lang w:val="el-GR"/>
        </w:rPr>
        <w:t>τρίμηνο 2024</w:t>
      </w:r>
      <w:r w:rsidR="00BB4BD1" w:rsidRPr="005B5CFC">
        <w:rPr>
          <w:rFonts w:ascii="Arial" w:hAnsi="Arial" w:cs="Arial"/>
          <w:sz w:val="18"/>
          <w:szCs w:val="18"/>
          <w:lang w:val="el-GR"/>
        </w:rPr>
        <w:t xml:space="preserve">, </w:t>
      </w:r>
      <w:r w:rsidRPr="005B5CFC">
        <w:rPr>
          <w:rFonts w:ascii="Arial" w:hAnsi="Arial" w:cs="Arial"/>
          <w:sz w:val="18"/>
          <w:szCs w:val="18"/>
          <w:lang w:val="el-GR"/>
        </w:rPr>
        <w:t xml:space="preserve">σε σύγκριση με </w:t>
      </w:r>
      <w:r w:rsidR="00D12B06">
        <w:rPr>
          <w:rFonts w:ascii="Arial" w:hAnsi="Arial" w:cs="Arial"/>
          <w:sz w:val="18"/>
          <w:szCs w:val="18"/>
          <w:lang w:val="el-GR"/>
        </w:rPr>
        <w:t xml:space="preserve">καθαρή </w:t>
      </w:r>
      <w:r w:rsidR="007C6926" w:rsidRPr="005B5CFC">
        <w:rPr>
          <w:rFonts w:ascii="Arial" w:hAnsi="Arial" w:cs="Arial"/>
          <w:sz w:val="18"/>
          <w:szCs w:val="18"/>
          <w:lang w:val="el-GR"/>
        </w:rPr>
        <w:t xml:space="preserve">αναστροφή </w:t>
      </w:r>
      <w:r w:rsidR="00BB4BD1" w:rsidRPr="005B5CFC">
        <w:rPr>
          <w:rFonts w:ascii="Arial" w:hAnsi="Arial" w:cs="Arial"/>
          <w:sz w:val="18"/>
          <w:szCs w:val="18"/>
          <w:lang w:val="el-GR"/>
        </w:rPr>
        <w:t xml:space="preserve">ύψους </w:t>
      </w:r>
      <w:r w:rsidRPr="005B5CFC">
        <w:rPr>
          <w:rFonts w:ascii="Arial" w:hAnsi="Arial" w:cs="Arial"/>
          <w:sz w:val="18"/>
          <w:szCs w:val="18"/>
          <w:lang w:val="el-GR"/>
        </w:rPr>
        <w:t>€</w:t>
      </w:r>
      <w:r w:rsidR="007C6926" w:rsidRPr="005B5CFC">
        <w:rPr>
          <w:rFonts w:ascii="Arial" w:hAnsi="Arial" w:cs="Arial"/>
          <w:sz w:val="18"/>
          <w:szCs w:val="18"/>
          <w:lang w:val="el-GR"/>
        </w:rPr>
        <w:t xml:space="preserve">7 </w:t>
      </w:r>
      <w:r w:rsidRPr="005B5CFC">
        <w:rPr>
          <w:rFonts w:ascii="Arial" w:hAnsi="Arial" w:cs="Arial"/>
          <w:sz w:val="18"/>
          <w:szCs w:val="18"/>
          <w:lang w:val="el-GR"/>
        </w:rPr>
        <w:t xml:space="preserve">εκατ. </w:t>
      </w:r>
      <w:r w:rsidR="00553362" w:rsidRPr="005B5CFC">
        <w:rPr>
          <w:rFonts w:ascii="Arial" w:hAnsi="Arial" w:cs="Arial"/>
          <w:sz w:val="18"/>
          <w:szCs w:val="18"/>
          <w:lang w:val="el-GR"/>
        </w:rPr>
        <w:t>για το</w:t>
      </w:r>
      <w:r w:rsidR="00DA6014" w:rsidRPr="005B5CFC">
        <w:rPr>
          <w:rFonts w:ascii="Arial" w:hAnsi="Arial" w:cs="Arial"/>
          <w:sz w:val="18"/>
          <w:szCs w:val="18"/>
          <w:lang w:val="el-GR"/>
        </w:rPr>
        <w:t xml:space="preserve"> </w:t>
      </w:r>
      <w:r w:rsidR="007C6926" w:rsidRPr="005B5CFC">
        <w:rPr>
          <w:rFonts w:ascii="Arial" w:hAnsi="Arial" w:cs="Arial"/>
          <w:sz w:val="18"/>
          <w:szCs w:val="18"/>
          <w:lang w:val="el-GR"/>
        </w:rPr>
        <w:t xml:space="preserve">β’ </w:t>
      </w:r>
      <w:r w:rsidR="00DA6014" w:rsidRPr="005B5CFC">
        <w:rPr>
          <w:rFonts w:ascii="Arial" w:hAnsi="Arial" w:cs="Arial"/>
          <w:sz w:val="18"/>
          <w:szCs w:val="18"/>
          <w:lang w:val="el-GR"/>
        </w:rPr>
        <w:t xml:space="preserve">τρίμηνο </w:t>
      </w:r>
      <w:r w:rsidR="00214588" w:rsidRPr="005B5CFC">
        <w:rPr>
          <w:rFonts w:ascii="Arial" w:hAnsi="Arial" w:cs="Arial"/>
          <w:sz w:val="18"/>
          <w:szCs w:val="18"/>
          <w:lang w:val="el-GR"/>
        </w:rPr>
        <w:t>2024,</w:t>
      </w:r>
      <w:r w:rsidR="00BB4BD1" w:rsidRPr="005B5CFC">
        <w:rPr>
          <w:rFonts w:ascii="Arial" w:hAnsi="Arial" w:cs="Arial"/>
          <w:sz w:val="18"/>
          <w:szCs w:val="18"/>
          <w:lang w:val="el-GR"/>
        </w:rPr>
        <w:t xml:space="preserve"> </w:t>
      </w:r>
      <w:r w:rsidR="00BB4BD1" w:rsidRPr="00502B4F">
        <w:rPr>
          <w:rFonts w:ascii="Arial" w:hAnsi="Arial" w:cs="Arial"/>
          <w:sz w:val="18"/>
          <w:szCs w:val="18"/>
          <w:lang w:val="el-GR"/>
        </w:rPr>
        <w:t xml:space="preserve">και αφορούν κυρίως </w:t>
      </w:r>
      <w:r w:rsidR="005B5CFC" w:rsidRPr="00502B4F">
        <w:rPr>
          <w:rFonts w:ascii="Arial" w:hAnsi="Arial" w:cs="Arial"/>
          <w:sz w:val="18"/>
          <w:szCs w:val="18"/>
          <w:lang w:val="el-GR"/>
        </w:rPr>
        <w:t>την πρόοδο</w:t>
      </w:r>
      <w:r w:rsidR="00DD555F">
        <w:rPr>
          <w:rFonts w:ascii="Arial" w:hAnsi="Arial" w:cs="Arial"/>
          <w:sz w:val="18"/>
          <w:szCs w:val="18"/>
          <w:lang w:val="el-GR"/>
        </w:rPr>
        <w:t>9</w:t>
      </w:r>
      <w:r w:rsidR="005B5CFC" w:rsidRPr="00502B4F">
        <w:rPr>
          <w:rFonts w:ascii="Arial" w:hAnsi="Arial" w:cs="Arial"/>
          <w:sz w:val="18"/>
          <w:szCs w:val="18"/>
          <w:lang w:val="el-GR"/>
        </w:rPr>
        <w:t xml:space="preserve"> των υφιστάμενων επιδικιών. </w:t>
      </w:r>
      <w:r w:rsidR="00BB4BD1" w:rsidRPr="00502B4F">
        <w:rPr>
          <w:rFonts w:ascii="Arial" w:hAnsi="Arial" w:cs="Arial"/>
          <w:sz w:val="18"/>
          <w:szCs w:val="18"/>
          <w:lang w:val="el-GR"/>
        </w:rPr>
        <w:t xml:space="preserve"> </w:t>
      </w:r>
    </w:p>
    <w:p w14:paraId="29E0982B" w14:textId="77777777" w:rsidR="00DB7B93" w:rsidRPr="00A00212" w:rsidRDefault="00DB7B93" w:rsidP="007C6926">
      <w:pPr>
        <w:spacing w:after="0" w:line="240" w:lineRule="auto"/>
        <w:rPr>
          <w:rFonts w:ascii="Arial" w:hAnsi="Arial" w:cs="Arial"/>
          <w:b/>
          <w:bCs/>
          <w:color w:val="FF9900"/>
          <w:sz w:val="12"/>
          <w:szCs w:val="12"/>
          <w:lang w:val="el-GR"/>
        </w:rPr>
      </w:pPr>
    </w:p>
    <w:p w14:paraId="4AC8F23E" w14:textId="41EF3734" w:rsidR="005B5CFC" w:rsidRPr="007246A9" w:rsidRDefault="005B5CFC" w:rsidP="005B5CFC">
      <w:pPr>
        <w:spacing w:after="0" w:line="240" w:lineRule="auto"/>
        <w:jc w:val="both"/>
        <w:rPr>
          <w:rFonts w:ascii="Arial" w:eastAsia="Times New Roman" w:hAnsi="Arial" w:cs="Arial"/>
          <w:bCs/>
          <w:sz w:val="18"/>
          <w:szCs w:val="20"/>
          <w:lang w:val="el-GR" w:eastAsia="el-GR"/>
        </w:rPr>
      </w:pPr>
      <w:r w:rsidRPr="007246A9">
        <w:rPr>
          <w:rFonts w:ascii="Arial" w:eastAsia="Times New Roman" w:hAnsi="Arial" w:cs="Arial"/>
          <w:b/>
          <w:sz w:val="18"/>
          <w:szCs w:val="20"/>
          <w:lang w:val="el-GR" w:eastAsia="el-GR"/>
        </w:rPr>
        <w:t>Τα κέρδη πριν τη φορολογία και μη-επαναλαμβανόμενα στοιχεία</w:t>
      </w:r>
      <w:r w:rsidRPr="007246A9">
        <w:rPr>
          <w:rFonts w:ascii="Arial" w:eastAsia="Times New Roman" w:hAnsi="Arial" w:cs="Arial"/>
          <w:bCs/>
          <w:sz w:val="18"/>
          <w:szCs w:val="20"/>
          <w:lang w:val="el-GR" w:eastAsia="el-GR"/>
        </w:rPr>
        <w:t xml:space="preserve"> για </w:t>
      </w:r>
      <w:r w:rsidRPr="00D22152">
        <w:rPr>
          <w:rFonts w:ascii="Arial" w:hAnsi="Arial" w:cs="Arial"/>
          <w:sz w:val="18"/>
          <w:szCs w:val="18"/>
          <w:lang w:val="el-GR" w:eastAsia="el-GR"/>
        </w:rPr>
        <w:t xml:space="preserve">το </w:t>
      </w:r>
      <w:r w:rsidR="007A2F9B">
        <w:rPr>
          <w:rFonts w:ascii="Arial" w:hAnsi="Arial" w:cs="Arial"/>
          <w:sz w:val="18"/>
          <w:szCs w:val="18"/>
          <w:lang w:val="el-GR" w:eastAsia="el-GR"/>
        </w:rPr>
        <w:t>εννεάμηνο</w:t>
      </w:r>
      <w:r w:rsidRPr="00D22152">
        <w:rPr>
          <w:rFonts w:ascii="Arial" w:hAnsi="Arial" w:cs="Arial"/>
          <w:sz w:val="18"/>
          <w:szCs w:val="18"/>
          <w:lang w:val="el-GR" w:eastAsia="el-GR"/>
        </w:rPr>
        <w:t xml:space="preserve"> που έληξε στις 30 Σεπτεμβρίου </w:t>
      </w:r>
      <w:r w:rsidRPr="007246A9">
        <w:rPr>
          <w:rFonts w:ascii="Arial" w:eastAsia="Times New Roman" w:hAnsi="Arial" w:cs="Arial"/>
          <w:bCs/>
          <w:sz w:val="18"/>
          <w:szCs w:val="20"/>
          <w:lang w:val="el-GR" w:eastAsia="el-GR"/>
        </w:rPr>
        <w:t>2024 ανήλθαν σε €</w:t>
      </w:r>
      <w:r w:rsidRPr="00502B4F">
        <w:rPr>
          <w:rFonts w:ascii="Arial" w:eastAsia="Times New Roman" w:hAnsi="Arial" w:cs="Arial"/>
          <w:bCs/>
          <w:sz w:val="18"/>
          <w:szCs w:val="20"/>
          <w:lang w:val="el-GR" w:eastAsia="el-GR"/>
        </w:rPr>
        <w:t>476</w:t>
      </w:r>
      <w:r>
        <w:rPr>
          <w:rFonts w:ascii="Arial" w:eastAsia="Times New Roman" w:hAnsi="Arial" w:cs="Arial"/>
          <w:bCs/>
          <w:sz w:val="18"/>
          <w:szCs w:val="20"/>
          <w:lang w:val="el-GR" w:eastAsia="el-GR"/>
        </w:rPr>
        <w:t xml:space="preserve"> </w:t>
      </w:r>
      <w:r w:rsidRPr="007246A9">
        <w:rPr>
          <w:rFonts w:ascii="Arial" w:eastAsia="Times New Roman" w:hAnsi="Arial" w:cs="Arial"/>
          <w:bCs/>
          <w:sz w:val="18"/>
          <w:szCs w:val="20"/>
          <w:lang w:val="el-GR" w:eastAsia="el-GR"/>
        </w:rPr>
        <w:t>εκατ., σε σύγκριση με €</w:t>
      </w:r>
      <w:r w:rsidRPr="00D22152">
        <w:rPr>
          <w:rFonts w:ascii="Arial" w:eastAsia="Times New Roman" w:hAnsi="Arial" w:cs="Arial"/>
          <w:bCs/>
          <w:sz w:val="18"/>
          <w:szCs w:val="20"/>
          <w:lang w:val="el-GR" w:eastAsia="el-GR"/>
        </w:rPr>
        <w:t xml:space="preserve">416 </w:t>
      </w:r>
      <w:r w:rsidRPr="007246A9">
        <w:rPr>
          <w:rFonts w:ascii="Arial" w:eastAsia="Times New Roman" w:hAnsi="Arial" w:cs="Arial"/>
          <w:bCs/>
          <w:sz w:val="18"/>
          <w:szCs w:val="20"/>
          <w:lang w:val="el-GR" w:eastAsia="el-GR"/>
        </w:rPr>
        <w:t xml:space="preserve">εκατ. για το αντίστοιχο </w:t>
      </w:r>
      <w:r w:rsidR="007A2F9B">
        <w:rPr>
          <w:rFonts w:ascii="Arial" w:eastAsia="Times New Roman" w:hAnsi="Arial" w:cs="Arial"/>
          <w:bCs/>
          <w:sz w:val="18"/>
          <w:szCs w:val="20"/>
          <w:lang w:val="el-GR" w:eastAsia="el-GR"/>
        </w:rPr>
        <w:t>εννεάμηνο</w:t>
      </w:r>
      <w:r w:rsidRPr="007246A9">
        <w:rPr>
          <w:rFonts w:ascii="Arial" w:eastAsia="Times New Roman" w:hAnsi="Arial" w:cs="Arial"/>
          <w:bCs/>
          <w:sz w:val="18"/>
          <w:szCs w:val="20"/>
          <w:lang w:val="el-GR" w:eastAsia="el-GR"/>
        </w:rPr>
        <w:t xml:space="preserve"> 2023.</w:t>
      </w:r>
      <w:r>
        <w:rPr>
          <w:rFonts w:ascii="Arial" w:eastAsia="Times New Roman" w:hAnsi="Arial" w:cs="Arial"/>
          <w:bCs/>
          <w:sz w:val="18"/>
          <w:szCs w:val="20"/>
          <w:lang w:val="el-GR" w:eastAsia="el-GR"/>
        </w:rPr>
        <w:t xml:space="preserve"> </w:t>
      </w:r>
      <w:r w:rsidRPr="007246A9">
        <w:rPr>
          <w:rFonts w:ascii="Arial" w:eastAsia="Times New Roman" w:hAnsi="Arial" w:cs="Arial"/>
          <w:bCs/>
          <w:sz w:val="18"/>
          <w:szCs w:val="20"/>
          <w:lang w:val="el-GR" w:eastAsia="el-GR"/>
        </w:rPr>
        <w:t>Τα κέρδη πριν τη φορολογία και μη-επαναλαμβανόμενα στοιχεία για το γ’ τρίμηνο 2024 ανήλθαν σε €</w:t>
      </w:r>
      <w:r w:rsidRPr="00502B4F">
        <w:rPr>
          <w:rFonts w:ascii="Arial" w:eastAsia="Times New Roman" w:hAnsi="Arial" w:cs="Arial"/>
          <w:bCs/>
          <w:sz w:val="18"/>
          <w:szCs w:val="20"/>
          <w:lang w:val="el-GR" w:eastAsia="el-GR"/>
        </w:rPr>
        <w:t>157</w:t>
      </w:r>
      <w:r>
        <w:rPr>
          <w:rFonts w:ascii="Arial" w:eastAsia="Times New Roman" w:hAnsi="Arial" w:cs="Arial"/>
          <w:bCs/>
          <w:sz w:val="18"/>
          <w:szCs w:val="20"/>
          <w:lang w:val="el-GR" w:eastAsia="el-GR"/>
        </w:rPr>
        <w:t xml:space="preserve"> </w:t>
      </w:r>
      <w:r w:rsidRPr="007246A9">
        <w:rPr>
          <w:rFonts w:ascii="Arial" w:eastAsia="Times New Roman" w:hAnsi="Arial" w:cs="Arial"/>
          <w:bCs/>
          <w:sz w:val="18"/>
          <w:szCs w:val="20"/>
          <w:lang w:val="el-GR" w:eastAsia="el-GR"/>
        </w:rPr>
        <w:t xml:space="preserve">εκατ., </w:t>
      </w:r>
      <w:r w:rsidR="006A5E61">
        <w:rPr>
          <w:rFonts w:ascii="Arial" w:eastAsia="Times New Roman" w:hAnsi="Arial" w:cs="Arial"/>
          <w:bCs/>
          <w:sz w:val="18"/>
          <w:szCs w:val="20"/>
          <w:lang w:val="el-GR" w:eastAsia="el-GR"/>
        </w:rPr>
        <w:t xml:space="preserve">σε σύγκριση με </w:t>
      </w:r>
      <w:r w:rsidR="006A5E61" w:rsidRPr="006A5E61">
        <w:rPr>
          <w:rFonts w:ascii="Arial" w:eastAsia="Times New Roman" w:hAnsi="Arial" w:cs="Arial"/>
          <w:bCs/>
          <w:sz w:val="18"/>
          <w:szCs w:val="20"/>
          <w:lang w:val="el-GR" w:eastAsia="el-GR"/>
        </w:rPr>
        <w:t xml:space="preserve">€160 </w:t>
      </w:r>
      <w:r w:rsidR="006A5E61">
        <w:rPr>
          <w:rFonts w:ascii="Arial" w:eastAsia="Times New Roman" w:hAnsi="Arial" w:cs="Arial"/>
          <w:bCs/>
          <w:sz w:val="18"/>
          <w:szCs w:val="20"/>
          <w:lang w:val="el-GR" w:eastAsia="el-GR"/>
        </w:rPr>
        <w:t>εκατ. για το β’ τρίμηνο 2024</w:t>
      </w:r>
      <w:r w:rsidRPr="007246A9">
        <w:rPr>
          <w:rFonts w:ascii="Arial" w:eastAsia="Times New Roman" w:hAnsi="Arial" w:cs="Arial"/>
          <w:bCs/>
          <w:sz w:val="18"/>
          <w:szCs w:val="20"/>
          <w:lang w:val="el-GR" w:eastAsia="el-GR"/>
        </w:rPr>
        <w:t xml:space="preserve">. </w:t>
      </w:r>
    </w:p>
    <w:p w14:paraId="58988D4A" w14:textId="6078A61E" w:rsidR="00262989" w:rsidRPr="00890873" w:rsidRDefault="007B2785" w:rsidP="00262989">
      <w:pPr>
        <w:spacing w:after="0" w:line="240" w:lineRule="auto"/>
        <w:rPr>
          <w:rFonts w:ascii="Arial" w:hAnsi="Arial" w:cs="Arial"/>
          <w:color w:val="FF9900"/>
          <w:sz w:val="24"/>
          <w:szCs w:val="24"/>
          <w:lang w:val="el-GR"/>
        </w:rPr>
      </w:pPr>
      <w:r w:rsidRPr="007246A9">
        <w:rPr>
          <w:rFonts w:ascii="Arial" w:hAnsi="Arial" w:cs="Arial"/>
          <w:b/>
          <w:bCs/>
          <w:color w:val="FF9900"/>
          <w:sz w:val="24"/>
          <w:szCs w:val="24"/>
          <w:lang w:val="el-GR"/>
        </w:rPr>
        <w:lastRenderedPageBreak/>
        <w:t>Α</w:t>
      </w:r>
      <w:r w:rsidR="00303CCC" w:rsidRPr="007246A9">
        <w:rPr>
          <w:rFonts w:ascii="Arial" w:hAnsi="Arial" w:cs="Arial"/>
          <w:b/>
          <w:bCs/>
          <w:color w:val="FF9900"/>
          <w:sz w:val="24"/>
          <w:szCs w:val="24"/>
          <w:lang w:val="el-GR"/>
        </w:rPr>
        <w:t>.</w:t>
      </w:r>
      <w:r w:rsidR="00C810D5" w:rsidRPr="007246A9">
        <w:rPr>
          <w:rFonts w:ascii="Arial" w:hAnsi="Arial" w:cs="Arial"/>
          <w:b/>
          <w:bCs/>
          <w:color w:val="FF9900"/>
          <w:sz w:val="24"/>
          <w:szCs w:val="24"/>
          <w:lang w:val="el-GR"/>
        </w:rPr>
        <w:t xml:space="preserve"> </w:t>
      </w:r>
      <w:r w:rsidR="00303CCC" w:rsidRPr="007246A9">
        <w:rPr>
          <w:rFonts w:ascii="Arial" w:hAnsi="Arial" w:cs="Arial"/>
          <w:b/>
          <w:bCs/>
          <w:color w:val="FF9900"/>
          <w:sz w:val="24"/>
          <w:szCs w:val="24"/>
          <w:lang w:val="el-GR"/>
        </w:rPr>
        <w:t xml:space="preserve">Οικονομικά Αποτελέσματα Συγκροτήματος – Υποκείμενη Βάση </w:t>
      </w:r>
      <w:r w:rsidR="00303CCC" w:rsidRPr="007246A9">
        <w:rPr>
          <w:rFonts w:ascii="Arial" w:hAnsi="Arial" w:cs="Arial"/>
          <w:color w:val="FF9900"/>
          <w:sz w:val="24"/>
          <w:szCs w:val="24"/>
          <w:lang w:val="el-GR"/>
        </w:rPr>
        <w:t>(συνέχεια)</w:t>
      </w:r>
    </w:p>
    <w:p w14:paraId="7A54D427" w14:textId="77777777" w:rsidR="005521C3" w:rsidRPr="00890873" w:rsidRDefault="005521C3" w:rsidP="00262989">
      <w:pPr>
        <w:spacing w:after="0" w:line="240" w:lineRule="auto"/>
        <w:rPr>
          <w:rFonts w:ascii="Arial" w:hAnsi="Arial" w:cs="Arial"/>
          <w:b/>
          <w:bCs/>
          <w:color w:val="FF9900"/>
          <w:sz w:val="14"/>
          <w:szCs w:val="14"/>
          <w:lang w:val="el-GR"/>
        </w:rPr>
      </w:pPr>
    </w:p>
    <w:p w14:paraId="047D8A3C" w14:textId="333DDF40" w:rsidR="00303CCC" w:rsidRPr="007246A9" w:rsidRDefault="007B2785">
      <w:pPr>
        <w:spacing w:after="0" w:line="360" w:lineRule="auto"/>
        <w:ind w:left="851" w:hanging="851"/>
        <w:rPr>
          <w:rFonts w:ascii="Arial" w:hAnsi="Arial" w:cs="Arial"/>
          <w:b/>
          <w:bCs/>
          <w:color w:val="FF9900"/>
          <w:sz w:val="24"/>
          <w:szCs w:val="24"/>
          <w:lang w:val="el-GR"/>
        </w:rPr>
      </w:pPr>
      <w:r w:rsidRPr="007246A9">
        <w:rPr>
          <w:rFonts w:ascii="Arial" w:hAnsi="Arial" w:cs="Arial"/>
          <w:b/>
          <w:bCs/>
          <w:color w:val="FF9900"/>
          <w:sz w:val="24"/>
          <w:szCs w:val="24"/>
          <w:lang w:val="el-GR"/>
        </w:rPr>
        <w:t>Α</w:t>
      </w:r>
      <w:r w:rsidR="008D11CA" w:rsidRPr="007246A9">
        <w:rPr>
          <w:rFonts w:ascii="Arial" w:hAnsi="Arial" w:cs="Arial"/>
          <w:b/>
          <w:bCs/>
          <w:color w:val="FF9900"/>
          <w:sz w:val="24"/>
          <w:szCs w:val="24"/>
          <w:lang w:val="el-GR"/>
        </w:rPr>
        <w:t>.</w:t>
      </w:r>
      <w:r w:rsidRPr="007246A9">
        <w:rPr>
          <w:rFonts w:ascii="Arial" w:hAnsi="Arial" w:cs="Arial"/>
          <w:b/>
          <w:bCs/>
          <w:color w:val="FF9900"/>
          <w:sz w:val="24"/>
          <w:szCs w:val="24"/>
          <w:lang w:val="el-GR"/>
        </w:rPr>
        <w:t>2</w:t>
      </w:r>
      <w:r w:rsidR="00B21AA4" w:rsidRPr="007246A9">
        <w:rPr>
          <w:rFonts w:ascii="Arial" w:hAnsi="Arial" w:cs="Arial"/>
          <w:b/>
          <w:bCs/>
          <w:color w:val="FF9900"/>
          <w:sz w:val="24"/>
          <w:szCs w:val="24"/>
          <w:lang w:val="el-GR"/>
        </w:rPr>
        <w:t>.</w:t>
      </w:r>
      <w:r w:rsidR="00303CCC" w:rsidRPr="007246A9">
        <w:rPr>
          <w:rFonts w:ascii="Arial" w:hAnsi="Arial" w:cs="Arial"/>
          <w:b/>
          <w:bCs/>
          <w:color w:val="FF9900"/>
          <w:sz w:val="24"/>
          <w:szCs w:val="24"/>
          <w:lang w:val="el-GR"/>
        </w:rPr>
        <w:t xml:space="preserve"> Ανάλυση Κατάστασης Λογαριασμού Αποτελεσμάτων </w:t>
      </w:r>
      <w:r w:rsidR="00303CCC" w:rsidRPr="007246A9">
        <w:rPr>
          <w:rFonts w:ascii="Arial" w:hAnsi="Arial" w:cs="Arial"/>
          <w:color w:val="FF9900"/>
          <w:sz w:val="24"/>
          <w:szCs w:val="24"/>
          <w:lang w:val="el-GR"/>
        </w:rPr>
        <w:t>(συνέχεια)</w:t>
      </w:r>
    </w:p>
    <w:p w14:paraId="592416D2" w14:textId="0EA7E563" w:rsidR="00BC4C32" w:rsidRPr="007246A9" w:rsidRDefault="007B2785">
      <w:pPr>
        <w:spacing w:after="0" w:line="360" w:lineRule="auto"/>
        <w:ind w:left="851" w:hanging="851"/>
        <w:rPr>
          <w:rFonts w:ascii="Arial" w:hAnsi="Arial" w:cs="Arial"/>
          <w:b/>
          <w:bCs/>
          <w:color w:val="FF9900"/>
          <w:sz w:val="24"/>
          <w:szCs w:val="24"/>
          <w:lang w:val="el-GR"/>
        </w:rPr>
      </w:pPr>
      <w:r w:rsidRPr="007246A9">
        <w:rPr>
          <w:rFonts w:ascii="Arial" w:hAnsi="Arial" w:cs="Arial"/>
          <w:b/>
          <w:bCs/>
          <w:color w:val="FF9900"/>
          <w:sz w:val="24"/>
          <w:szCs w:val="24"/>
          <w:lang w:val="el-GR"/>
        </w:rPr>
        <w:t>Α</w:t>
      </w:r>
      <w:r w:rsidR="008D11CA" w:rsidRPr="007246A9">
        <w:rPr>
          <w:rFonts w:ascii="Arial" w:hAnsi="Arial" w:cs="Arial"/>
          <w:b/>
          <w:bCs/>
          <w:color w:val="FF9900"/>
          <w:sz w:val="24"/>
          <w:szCs w:val="24"/>
          <w:lang w:val="el-GR"/>
        </w:rPr>
        <w:t>.</w:t>
      </w:r>
      <w:r w:rsidRPr="007246A9">
        <w:rPr>
          <w:rFonts w:ascii="Arial" w:hAnsi="Arial" w:cs="Arial"/>
          <w:b/>
          <w:bCs/>
          <w:color w:val="FF9900"/>
          <w:sz w:val="24"/>
          <w:szCs w:val="24"/>
          <w:lang w:val="el-GR"/>
        </w:rPr>
        <w:t>2</w:t>
      </w:r>
      <w:r w:rsidR="00B21AA4" w:rsidRPr="007246A9">
        <w:rPr>
          <w:rFonts w:ascii="Arial" w:hAnsi="Arial" w:cs="Arial"/>
          <w:b/>
          <w:bCs/>
          <w:color w:val="FF9900"/>
          <w:sz w:val="24"/>
          <w:szCs w:val="24"/>
          <w:lang w:val="el-GR"/>
        </w:rPr>
        <w:t>.4</w:t>
      </w:r>
      <w:r w:rsidR="00BC4C32" w:rsidRPr="007246A9">
        <w:rPr>
          <w:rFonts w:ascii="Arial" w:hAnsi="Arial" w:cs="Arial"/>
          <w:b/>
          <w:bCs/>
          <w:color w:val="FF9900"/>
          <w:sz w:val="24"/>
          <w:szCs w:val="24"/>
          <w:lang w:val="el-GR"/>
        </w:rPr>
        <w:t xml:space="preserve"> Κέρδη</w:t>
      </w:r>
      <w:r w:rsidR="00BC4C32" w:rsidRPr="007246A9" w:rsidDel="006331C1">
        <w:rPr>
          <w:rFonts w:ascii="Arial" w:hAnsi="Arial" w:cs="Arial"/>
          <w:b/>
          <w:bCs/>
          <w:color w:val="FF9900"/>
          <w:sz w:val="24"/>
          <w:szCs w:val="24"/>
          <w:lang w:val="el-GR"/>
        </w:rPr>
        <w:t xml:space="preserve"> </w:t>
      </w:r>
      <w:r w:rsidR="00BC4C32" w:rsidRPr="007246A9">
        <w:rPr>
          <w:rFonts w:ascii="Arial" w:hAnsi="Arial" w:cs="Arial"/>
          <w:b/>
          <w:bCs/>
          <w:color w:val="FF9900"/>
          <w:sz w:val="24"/>
          <w:szCs w:val="24"/>
          <w:lang w:val="el-GR"/>
        </w:rPr>
        <w:t xml:space="preserve">μετά τη φορολογία (που αναλογούν στους ιδιοκτήτες της Εταιρίας) </w:t>
      </w:r>
      <w:r w:rsidR="00BC4C32" w:rsidRPr="007246A9" w:rsidDel="00B60973">
        <w:rPr>
          <w:rFonts w:ascii="Arial" w:hAnsi="Arial" w:cs="Arial"/>
          <w:b/>
          <w:bCs/>
          <w:color w:val="FF9900"/>
          <w:sz w:val="24"/>
          <w:szCs w:val="24"/>
          <w:lang w:val="el-GR"/>
        </w:rPr>
        <w:t xml:space="preserve"> </w:t>
      </w:r>
    </w:p>
    <w:tbl>
      <w:tblPr>
        <w:tblW w:w="5188" w:type="pct"/>
        <w:jc w:val="center"/>
        <w:tblLayout w:type="fixed"/>
        <w:tblCellMar>
          <w:left w:w="40" w:type="dxa"/>
          <w:right w:w="40" w:type="dxa"/>
        </w:tblCellMar>
        <w:tblLook w:val="0000" w:firstRow="0" w:lastRow="0" w:firstColumn="0" w:lastColumn="0" w:noHBand="0" w:noVBand="0"/>
      </w:tblPr>
      <w:tblGrid>
        <w:gridCol w:w="3744"/>
        <w:gridCol w:w="1046"/>
        <w:gridCol w:w="1046"/>
        <w:gridCol w:w="1053"/>
        <w:gridCol w:w="1053"/>
        <w:gridCol w:w="1053"/>
        <w:gridCol w:w="1048"/>
      </w:tblGrid>
      <w:tr w:rsidR="005B5CFC" w:rsidRPr="00D41B36" w14:paraId="076F6AAF" w14:textId="77777777" w:rsidTr="00502B4F">
        <w:trPr>
          <w:trHeight w:val="330"/>
          <w:jc w:val="center"/>
        </w:trPr>
        <w:tc>
          <w:tcPr>
            <w:tcW w:w="1864" w:type="pct"/>
            <w:tcBorders>
              <w:top w:val="single" w:sz="4" w:space="0" w:color="BFBFBF" w:themeColor="background1" w:themeShade="BF"/>
              <w:left w:val="single" w:sz="4" w:space="0" w:color="808080" w:themeColor="background1" w:themeShade="80"/>
              <w:bottom w:val="single" w:sz="4" w:space="0" w:color="808080" w:themeColor="background1" w:themeShade="80"/>
            </w:tcBorders>
            <w:vAlign w:val="center"/>
          </w:tcPr>
          <w:p w14:paraId="45EE13E6" w14:textId="1E71086A" w:rsidR="005B5CFC" w:rsidRPr="007246A9" w:rsidRDefault="005B5CFC" w:rsidP="005B5CFC">
            <w:pPr>
              <w:tabs>
                <w:tab w:val="left" w:pos="0"/>
                <w:tab w:val="left" w:pos="1416"/>
                <w:tab w:val="decimal" w:pos="4962"/>
                <w:tab w:val="decimal" w:pos="6521"/>
                <w:tab w:val="right" w:pos="7560"/>
                <w:tab w:val="decimal" w:pos="8220"/>
                <w:tab w:val="left" w:pos="8640"/>
                <w:tab w:val="right" w:pos="9000"/>
              </w:tabs>
              <w:suppressAutoHyphens/>
              <w:spacing w:before="60" w:after="0"/>
              <w:ind w:right="23"/>
              <w:rPr>
                <w:rFonts w:ascii="Arial" w:eastAsia="Times New Roman" w:hAnsi="Arial" w:cs="Arial"/>
                <w:b/>
                <w:bCs/>
                <w:sz w:val="16"/>
                <w:szCs w:val="16"/>
                <w:lang w:eastAsia="el-GR"/>
              </w:rPr>
            </w:pPr>
            <w:r w:rsidRPr="007246A9">
              <w:rPr>
                <w:rFonts w:ascii="Arial" w:eastAsia="Times New Roman" w:hAnsi="Arial" w:cs="Arial"/>
                <w:b/>
                <w:sz w:val="16"/>
                <w:szCs w:val="16"/>
                <w:lang w:eastAsia="el-GR"/>
              </w:rPr>
              <w:t xml:space="preserve">€ </w:t>
            </w:r>
            <w:r w:rsidRPr="007246A9">
              <w:rPr>
                <w:rFonts w:ascii="Arial" w:eastAsia="Times New Roman" w:hAnsi="Arial" w:cs="Arial"/>
                <w:b/>
                <w:sz w:val="16"/>
                <w:szCs w:val="16"/>
                <w:lang w:val="el-GR" w:eastAsia="el-GR"/>
              </w:rPr>
              <w:t>εκατ.</w:t>
            </w:r>
          </w:p>
        </w:tc>
        <w:tc>
          <w:tcPr>
            <w:tcW w:w="521" w:type="pct"/>
            <w:tcBorders>
              <w:top w:val="single" w:sz="4" w:space="0" w:color="BFBFBF" w:themeColor="background1" w:themeShade="BF"/>
              <w:bottom w:val="single" w:sz="4" w:space="0" w:color="808080" w:themeColor="background1" w:themeShade="80"/>
            </w:tcBorders>
          </w:tcPr>
          <w:p w14:paraId="4E6EED9D" w14:textId="6A3A0871" w:rsidR="005B5CFC" w:rsidRPr="00D41B36" w:rsidRDefault="007A2F9B" w:rsidP="005B5CFC">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highlight w:val="yellow"/>
                <w:lang w:val="el-GR" w:eastAsia="el-GR"/>
              </w:rPr>
            </w:pPr>
            <w:r>
              <w:rPr>
                <w:rFonts w:ascii="Arial" w:hAnsi="Arial" w:cs="Arial"/>
                <w:b/>
                <w:bCs/>
                <w:sz w:val="16"/>
                <w:szCs w:val="16"/>
                <w:lang w:val="el-GR"/>
              </w:rPr>
              <w:t>Εννεάμηνο</w:t>
            </w:r>
            <w:r w:rsidR="005B5CFC" w:rsidRPr="000C511F">
              <w:rPr>
                <w:rFonts w:ascii="Arial" w:hAnsi="Arial" w:cs="Arial"/>
                <w:b/>
                <w:bCs/>
                <w:sz w:val="16"/>
                <w:szCs w:val="16"/>
                <w:lang w:val="el-GR"/>
              </w:rPr>
              <w:t xml:space="preserve"> 2024</w:t>
            </w:r>
          </w:p>
        </w:tc>
        <w:tc>
          <w:tcPr>
            <w:tcW w:w="521" w:type="pct"/>
            <w:tcBorders>
              <w:top w:val="single" w:sz="4" w:space="0" w:color="BFBFBF" w:themeColor="background1" w:themeShade="BF"/>
              <w:bottom w:val="single" w:sz="4" w:space="0" w:color="808080" w:themeColor="background1" w:themeShade="80"/>
            </w:tcBorders>
          </w:tcPr>
          <w:p w14:paraId="597E3DDD" w14:textId="1AEEEC8F" w:rsidR="005B5CFC" w:rsidRPr="00D41B36" w:rsidRDefault="007A2F9B" w:rsidP="005B5CFC">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highlight w:val="yellow"/>
                <w:lang w:val="el-GR" w:eastAsia="el-GR"/>
              </w:rPr>
            </w:pPr>
            <w:r>
              <w:rPr>
                <w:rFonts w:ascii="Arial" w:hAnsi="Arial" w:cs="Arial"/>
                <w:b/>
                <w:bCs/>
                <w:sz w:val="16"/>
                <w:szCs w:val="16"/>
                <w:lang w:val="el-GR"/>
              </w:rPr>
              <w:t>Εννεάμηνο</w:t>
            </w:r>
            <w:r w:rsidR="005B5CFC" w:rsidRPr="000C511F">
              <w:rPr>
                <w:rFonts w:ascii="Arial" w:hAnsi="Arial" w:cs="Arial"/>
                <w:b/>
                <w:bCs/>
                <w:sz w:val="16"/>
                <w:szCs w:val="16"/>
                <w:lang w:val="el-GR"/>
              </w:rPr>
              <w:t xml:space="preserve"> 2023</w:t>
            </w:r>
          </w:p>
        </w:tc>
        <w:tc>
          <w:tcPr>
            <w:tcW w:w="524" w:type="pct"/>
            <w:tcBorders>
              <w:top w:val="single" w:sz="4" w:space="0" w:color="BFBFBF" w:themeColor="background1" w:themeShade="BF"/>
              <w:bottom w:val="single" w:sz="4" w:space="0" w:color="808080" w:themeColor="background1" w:themeShade="80"/>
            </w:tcBorders>
          </w:tcPr>
          <w:p w14:paraId="25F8B6BC" w14:textId="77777777" w:rsidR="005B5CFC" w:rsidRPr="000C511F"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lang w:val="el-GR" w:eastAsia="el-GR"/>
              </w:rPr>
            </w:pPr>
            <w:r w:rsidRPr="000C511F">
              <w:rPr>
                <w:rFonts w:ascii="Arial" w:eastAsia="Times New Roman" w:hAnsi="Arial" w:cs="Arial"/>
                <w:bCs/>
                <w:sz w:val="16"/>
                <w:szCs w:val="16"/>
                <w:lang w:val="el-GR" w:eastAsia="el-GR"/>
              </w:rPr>
              <w:t>Ετήσια μεταβολή</w:t>
            </w:r>
          </w:p>
          <w:p w14:paraId="6F01B3EE" w14:textId="086923B2" w:rsidR="005B5CFC" w:rsidRPr="00D41B36"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highlight w:val="yellow"/>
                <w:lang w:val="el-GR" w:eastAsia="el-GR"/>
              </w:rPr>
            </w:pPr>
            <w:r w:rsidRPr="000C511F">
              <w:rPr>
                <w:rFonts w:ascii="Arial" w:hAnsi="Arial" w:cs="Arial"/>
                <w:bCs/>
                <w:sz w:val="16"/>
                <w:szCs w:val="16"/>
                <w:u w:val="single"/>
              </w:rPr>
              <w:t>+</w:t>
            </w:r>
            <w:r w:rsidRPr="000C511F">
              <w:rPr>
                <w:rFonts w:ascii="Arial" w:hAnsi="Arial" w:cs="Arial"/>
                <w:bCs/>
                <w:sz w:val="16"/>
                <w:szCs w:val="16"/>
              </w:rPr>
              <w:t>%</w:t>
            </w:r>
          </w:p>
        </w:tc>
        <w:tc>
          <w:tcPr>
            <w:tcW w:w="524" w:type="pct"/>
            <w:tcBorders>
              <w:top w:val="single" w:sz="4" w:space="0" w:color="BFBFBF" w:themeColor="background1" w:themeShade="BF"/>
              <w:bottom w:val="single" w:sz="4" w:space="0" w:color="808080" w:themeColor="background1" w:themeShade="80"/>
            </w:tcBorders>
          </w:tcPr>
          <w:p w14:paraId="23A88B26" w14:textId="372FB285" w:rsidR="005B5CFC" w:rsidRPr="00D41B36"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Lines="20" w:after="48"/>
              <w:ind w:right="23"/>
              <w:jc w:val="center"/>
              <w:rPr>
                <w:rFonts w:ascii="Arial" w:eastAsia="Times New Roman" w:hAnsi="Arial" w:cs="Arial"/>
                <w:bCs/>
                <w:sz w:val="16"/>
                <w:szCs w:val="16"/>
                <w:highlight w:val="yellow"/>
                <w:lang w:val="el-GR" w:eastAsia="el-GR"/>
              </w:rPr>
            </w:pPr>
            <w:r w:rsidRPr="000C511F">
              <w:rPr>
                <w:rFonts w:ascii="Arial" w:eastAsia="Times New Roman" w:hAnsi="Arial" w:cs="Arial"/>
                <w:b/>
                <w:bCs/>
                <w:sz w:val="16"/>
                <w:szCs w:val="16"/>
                <w:lang w:val="el-GR" w:eastAsia="el-GR"/>
              </w:rPr>
              <w:t>Γ’ τρίμηνο 2024</w:t>
            </w:r>
          </w:p>
        </w:tc>
        <w:tc>
          <w:tcPr>
            <w:tcW w:w="524" w:type="pct"/>
            <w:tcBorders>
              <w:top w:val="single" w:sz="4" w:space="0" w:color="BFBFBF" w:themeColor="background1" w:themeShade="BF"/>
              <w:bottom w:val="single" w:sz="4" w:space="0" w:color="808080" w:themeColor="background1" w:themeShade="80"/>
            </w:tcBorders>
          </w:tcPr>
          <w:p w14:paraId="59B51C60" w14:textId="650B985A" w:rsidR="005B5CFC" w:rsidRPr="00D41B36"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highlight w:val="yellow"/>
                <w:lang w:val="el-GR" w:eastAsia="el-GR"/>
              </w:rPr>
            </w:pPr>
            <w:r w:rsidRPr="000C511F">
              <w:rPr>
                <w:rFonts w:ascii="Arial" w:eastAsia="Times New Roman" w:hAnsi="Arial" w:cs="Arial"/>
                <w:b/>
                <w:bCs/>
                <w:sz w:val="16"/>
                <w:szCs w:val="16"/>
                <w:lang w:val="el-GR" w:eastAsia="el-GR"/>
              </w:rPr>
              <w:t>Β’ τρίμηνο 2024</w:t>
            </w:r>
          </w:p>
        </w:tc>
        <w:tc>
          <w:tcPr>
            <w:tcW w:w="522" w:type="pct"/>
            <w:tcBorders>
              <w:top w:val="single" w:sz="4" w:space="0" w:color="BFBFBF" w:themeColor="background1" w:themeShade="BF"/>
              <w:bottom w:val="single" w:sz="4" w:space="0" w:color="808080" w:themeColor="background1" w:themeShade="80"/>
              <w:right w:val="single" w:sz="4" w:space="0" w:color="808080" w:themeColor="background1" w:themeShade="80"/>
            </w:tcBorders>
            <w:shd w:val="clear" w:color="auto" w:fill="auto"/>
          </w:tcPr>
          <w:p w14:paraId="3E9125CC" w14:textId="77777777" w:rsidR="005B5CFC" w:rsidRPr="000C511F"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lang w:val="el-GR" w:eastAsia="el-GR"/>
              </w:rPr>
            </w:pPr>
            <w:r w:rsidRPr="000C511F">
              <w:rPr>
                <w:rFonts w:ascii="Arial" w:eastAsia="Times New Roman" w:hAnsi="Arial" w:cs="Arial"/>
                <w:bCs/>
                <w:sz w:val="16"/>
                <w:szCs w:val="16"/>
                <w:lang w:val="el-GR" w:eastAsia="el-GR"/>
              </w:rPr>
              <w:t>Τριμηνιαία μεταβολή</w:t>
            </w:r>
          </w:p>
          <w:p w14:paraId="140E6618" w14:textId="73AD8D24" w:rsidR="005B5CFC" w:rsidRPr="00D41B36"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highlight w:val="yellow"/>
                <w:lang w:eastAsia="el-GR"/>
              </w:rPr>
            </w:pPr>
            <w:r w:rsidRPr="000C511F">
              <w:rPr>
                <w:rFonts w:ascii="Arial" w:eastAsia="Times New Roman" w:hAnsi="Arial" w:cs="Arial"/>
                <w:bCs/>
                <w:sz w:val="16"/>
                <w:szCs w:val="16"/>
                <w:u w:val="single"/>
                <w:lang w:val="el-GR" w:eastAsia="el-GR"/>
              </w:rPr>
              <w:t>+</w:t>
            </w:r>
            <w:r w:rsidRPr="000C511F">
              <w:rPr>
                <w:rFonts w:ascii="Arial" w:eastAsia="Times New Roman" w:hAnsi="Arial" w:cs="Arial"/>
                <w:bCs/>
                <w:sz w:val="16"/>
                <w:szCs w:val="16"/>
                <w:lang w:val="el-GR" w:eastAsia="el-GR"/>
              </w:rPr>
              <w:t>%</w:t>
            </w:r>
          </w:p>
        </w:tc>
      </w:tr>
      <w:tr w:rsidR="005B5CFC" w:rsidRPr="00D41B36" w14:paraId="60237FAD" w14:textId="77777777" w:rsidTr="006A1797">
        <w:trPr>
          <w:trHeight w:val="302"/>
          <w:jc w:val="center"/>
        </w:trPr>
        <w:tc>
          <w:tcPr>
            <w:tcW w:w="1864"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10024B3" w14:textId="7721193A" w:rsidR="005B5CFC" w:rsidRPr="007246A9" w:rsidRDefault="005B5CFC" w:rsidP="005B5CFC">
            <w:pPr>
              <w:tabs>
                <w:tab w:val="left" w:pos="0"/>
                <w:tab w:val="left" w:pos="1416"/>
                <w:tab w:val="decimal" w:pos="4962"/>
                <w:tab w:val="decimal" w:pos="6521"/>
                <w:tab w:val="right" w:pos="7560"/>
                <w:tab w:val="decimal" w:pos="8220"/>
                <w:tab w:val="left" w:pos="8640"/>
                <w:tab w:val="right" w:pos="9000"/>
              </w:tabs>
              <w:suppressAutoHyphens/>
              <w:spacing w:before="60" w:after="0" w:line="240" w:lineRule="auto"/>
              <w:ind w:right="23"/>
              <w:rPr>
                <w:rFonts w:ascii="Arial" w:eastAsia="Times New Roman" w:hAnsi="Arial" w:cs="Arial"/>
                <w:b/>
                <w:bCs/>
                <w:sz w:val="16"/>
                <w:szCs w:val="16"/>
                <w:lang w:val="el-GR" w:eastAsia="el-GR"/>
              </w:rPr>
            </w:pPr>
            <w:r w:rsidRPr="007246A9">
              <w:rPr>
                <w:rFonts w:ascii="Arial" w:eastAsia="Times New Roman" w:hAnsi="Arial" w:cs="Arial"/>
                <w:b/>
                <w:sz w:val="16"/>
                <w:szCs w:val="16"/>
                <w:lang w:val="el-GR" w:eastAsia="el-GR"/>
              </w:rPr>
              <w:t>Κέρδη πριν τη φορολογία και μη-επαναλαμβανόμενα στοιχεία</w:t>
            </w:r>
          </w:p>
        </w:tc>
        <w:tc>
          <w:tcPr>
            <w:tcW w:w="521" w:type="pct"/>
            <w:tcBorders>
              <w:top w:val="single" w:sz="4" w:space="0" w:color="808080" w:themeColor="background1" w:themeShade="80"/>
              <w:bottom w:val="single" w:sz="4" w:space="0" w:color="808080" w:themeColor="background1" w:themeShade="80"/>
            </w:tcBorders>
            <w:vAlign w:val="center"/>
          </w:tcPr>
          <w:p w14:paraId="293DC8FE" w14:textId="640C8B8C" w:rsidR="005B5CFC" w:rsidRPr="00502B4F"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val="el-GR" w:eastAsia="el-GR"/>
              </w:rPr>
            </w:pPr>
            <w:r w:rsidRPr="00502B4F">
              <w:rPr>
                <w:rFonts w:ascii="Arial" w:eastAsia="Times New Roman" w:hAnsi="Arial" w:cs="Arial"/>
                <w:b/>
                <w:bCs/>
                <w:sz w:val="16"/>
                <w:szCs w:val="16"/>
                <w:lang w:eastAsia="el-GR"/>
              </w:rPr>
              <w:t>476</w:t>
            </w:r>
          </w:p>
        </w:tc>
        <w:tc>
          <w:tcPr>
            <w:tcW w:w="521" w:type="pct"/>
            <w:tcBorders>
              <w:top w:val="single" w:sz="4" w:space="0" w:color="808080" w:themeColor="background1" w:themeShade="80"/>
              <w:bottom w:val="single" w:sz="4" w:space="0" w:color="808080" w:themeColor="background1" w:themeShade="80"/>
            </w:tcBorders>
            <w:vAlign w:val="center"/>
          </w:tcPr>
          <w:p w14:paraId="3D8CACC9" w14:textId="5052623C"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val="el-GR" w:eastAsia="el-GR"/>
              </w:rPr>
            </w:pPr>
            <w:r w:rsidRPr="00502B4F">
              <w:rPr>
                <w:rFonts w:ascii="Arial" w:eastAsia="Times New Roman" w:hAnsi="Arial" w:cs="Arial"/>
                <w:b/>
                <w:bCs/>
                <w:sz w:val="16"/>
                <w:szCs w:val="16"/>
                <w:lang w:eastAsia="el-GR"/>
              </w:rPr>
              <w:t>416</w:t>
            </w:r>
          </w:p>
        </w:tc>
        <w:tc>
          <w:tcPr>
            <w:tcW w:w="524" w:type="pct"/>
            <w:tcBorders>
              <w:top w:val="single" w:sz="4" w:space="0" w:color="808080" w:themeColor="background1" w:themeShade="80"/>
              <w:bottom w:val="single" w:sz="4" w:space="0" w:color="808080" w:themeColor="background1" w:themeShade="80"/>
            </w:tcBorders>
            <w:vAlign w:val="center"/>
          </w:tcPr>
          <w:p w14:paraId="2722EB68" w14:textId="038F729D"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502B4F">
              <w:rPr>
                <w:rFonts w:ascii="Arial" w:eastAsia="Times New Roman" w:hAnsi="Arial" w:cs="Arial"/>
                <w:sz w:val="16"/>
                <w:szCs w:val="16"/>
                <w:lang w:eastAsia="el-GR"/>
              </w:rPr>
              <w:t>14%</w:t>
            </w:r>
          </w:p>
        </w:tc>
        <w:tc>
          <w:tcPr>
            <w:tcW w:w="524" w:type="pct"/>
            <w:tcBorders>
              <w:top w:val="single" w:sz="4" w:space="0" w:color="808080" w:themeColor="background1" w:themeShade="80"/>
              <w:bottom w:val="single" w:sz="4" w:space="0" w:color="808080" w:themeColor="background1" w:themeShade="80"/>
            </w:tcBorders>
            <w:vAlign w:val="center"/>
          </w:tcPr>
          <w:p w14:paraId="514D9215" w14:textId="312CAA35"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sz w:val="16"/>
                <w:szCs w:val="16"/>
                <w:lang w:eastAsia="el-GR"/>
              </w:rPr>
            </w:pPr>
            <w:r w:rsidRPr="00502B4F">
              <w:rPr>
                <w:rFonts w:ascii="Arial" w:eastAsia="Times New Roman" w:hAnsi="Arial" w:cs="Arial"/>
                <w:b/>
                <w:bCs/>
                <w:sz w:val="16"/>
                <w:szCs w:val="16"/>
                <w:lang w:eastAsia="el-GR"/>
              </w:rPr>
              <w:t>157</w:t>
            </w:r>
          </w:p>
        </w:tc>
        <w:tc>
          <w:tcPr>
            <w:tcW w:w="524" w:type="pct"/>
            <w:tcBorders>
              <w:top w:val="single" w:sz="4" w:space="0" w:color="808080" w:themeColor="background1" w:themeShade="80"/>
              <w:bottom w:val="single" w:sz="4" w:space="0" w:color="808080" w:themeColor="background1" w:themeShade="80"/>
            </w:tcBorders>
            <w:vAlign w:val="center"/>
          </w:tcPr>
          <w:p w14:paraId="6BB07998" w14:textId="198A7D70"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b/>
                <w:bCs/>
                <w:sz w:val="16"/>
                <w:szCs w:val="16"/>
                <w:lang w:eastAsia="el-GR"/>
              </w:rPr>
              <w:t>160</w:t>
            </w:r>
          </w:p>
        </w:tc>
        <w:tc>
          <w:tcPr>
            <w:tcW w:w="52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359F0C" w14:textId="70FADE6B"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-4%</w:t>
            </w:r>
          </w:p>
        </w:tc>
      </w:tr>
      <w:tr w:rsidR="005B5CFC" w:rsidRPr="00D41B36" w14:paraId="6754F412" w14:textId="77777777" w:rsidTr="006A1797">
        <w:trPr>
          <w:trHeight w:val="149"/>
          <w:jc w:val="center"/>
        </w:trPr>
        <w:tc>
          <w:tcPr>
            <w:tcW w:w="1864" w:type="pct"/>
            <w:vAlign w:val="center"/>
          </w:tcPr>
          <w:p w14:paraId="2C39693D" w14:textId="45164F94" w:rsidR="005B5CFC" w:rsidRPr="007246A9" w:rsidRDefault="005B5CFC" w:rsidP="005B5CFC">
            <w:pPr>
              <w:tabs>
                <w:tab w:val="left" w:pos="0"/>
                <w:tab w:val="left" w:pos="1416"/>
                <w:tab w:val="decimal" w:pos="4962"/>
                <w:tab w:val="decimal" w:pos="6521"/>
                <w:tab w:val="right" w:pos="7560"/>
                <w:tab w:val="decimal" w:pos="8220"/>
                <w:tab w:val="left" w:pos="8640"/>
                <w:tab w:val="right" w:pos="9000"/>
              </w:tabs>
              <w:suppressAutoHyphens/>
              <w:spacing w:before="60" w:after="0" w:line="240" w:lineRule="auto"/>
              <w:ind w:right="23"/>
              <w:rPr>
                <w:rFonts w:ascii="Arial" w:eastAsia="Times New Roman" w:hAnsi="Arial" w:cs="Arial"/>
                <w:bCs/>
                <w:sz w:val="16"/>
                <w:szCs w:val="16"/>
                <w:lang w:eastAsia="el-GR"/>
              </w:rPr>
            </w:pPr>
            <w:proofErr w:type="spellStart"/>
            <w:r w:rsidRPr="007246A9">
              <w:rPr>
                <w:rFonts w:ascii="Arial" w:eastAsia="Times New Roman" w:hAnsi="Arial" w:cs="Arial"/>
                <w:bCs/>
                <w:sz w:val="16"/>
                <w:szCs w:val="16"/>
                <w:lang w:eastAsia="el-GR"/>
              </w:rPr>
              <w:t>Φορολογί</w:t>
            </w:r>
            <w:proofErr w:type="spellEnd"/>
            <w:r w:rsidRPr="007246A9">
              <w:rPr>
                <w:rFonts w:ascii="Arial" w:eastAsia="Times New Roman" w:hAnsi="Arial" w:cs="Arial"/>
                <w:bCs/>
                <w:sz w:val="16"/>
                <w:szCs w:val="16"/>
                <w:lang w:eastAsia="el-GR"/>
              </w:rPr>
              <w:t>α</w:t>
            </w:r>
          </w:p>
        </w:tc>
        <w:tc>
          <w:tcPr>
            <w:tcW w:w="521" w:type="pct"/>
            <w:vAlign w:val="center"/>
          </w:tcPr>
          <w:p w14:paraId="3C0F926A" w14:textId="63339991" w:rsidR="005B5CFC" w:rsidRPr="00502B4F"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(73)</w:t>
            </w:r>
          </w:p>
        </w:tc>
        <w:tc>
          <w:tcPr>
            <w:tcW w:w="521" w:type="pct"/>
            <w:vAlign w:val="center"/>
          </w:tcPr>
          <w:p w14:paraId="31870C86" w14:textId="4D9742B1"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(63)</w:t>
            </w:r>
          </w:p>
        </w:tc>
        <w:tc>
          <w:tcPr>
            <w:tcW w:w="524" w:type="pct"/>
            <w:vAlign w:val="center"/>
          </w:tcPr>
          <w:p w14:paraId="01613805" w14:textId="3EE6532C"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16%</w:t>
            </w:r>
          </w:p>
        </w:tc>
        <w:tc>
          <w:tcPr>
            <w:tcW w:w="524" w:type="pct"/>
            <w:vAlign w:val="center"/>
          </w:tcPr>
          <w:p w14:paraId="5A17FFA4" w14:textId="251194C7"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lang w:eastAsia="el-GR"/>
              </w:rPr>
            </w:pPr>
            <w:r w:rsidRPr="00502B4F">
              <w:rPr>
                <w:rFonts w:ascii="Arial" w:eastAsia="Times New Roman" w:hAnsi="Arial" w:cs="Arial"/>
                <w:sz w:val="16"/>
                <w:szCs w:val="16"/>
                <w:lang w:eastAsia="el-GR"/>
              </w:rPr>
              <w:t>(25)</w:t>
            </w:r>
          </w:p>
        </w:tc>
        <w:tc>
          <w:tcPr>
            <w:tcW w:w="524" w:type="pct"/>
            <w:vAlign w:val="center"/>
          </w:tcPr>
          <w:p w14:paraId="5CBAEDC5" w14:textId="2E856F4F"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(23)</w:t>
            </w:r>
          </w:p>
        </w:tc>
        <w:tc>
          <w:tcPr>
            <w:tcW w:w="522" w:type="pct"/>
            <w:shd w:val="clear" w:color="auto" w:fill="auto"/>
            <w:vAlign w:val="center"/>
          </w:tcPr>
          <w:p w14:paraId="0A407F01" w14:textId="500BFB72"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6%</w:t>
            </w:r>
          </w:p>
        </w:tc>
      </w:tr>
      <w:tr w:rsidR="005B5CFC" w:rsidRPr="00D41B36" w14:paraId="50AF6660" w14:textId="77777777" w:rsidTr="006A1797">
        <w:trPr>
          <w:trHeight w:val="164"/>
          <w:jc w:val="center"/>
        </w:trPr>
        <w:tc>
          <w:tcPr>
            <w:tcW w:w="1864" w:type="pct"/>
            <w:vAlign w:val="center"/>
          </w:tcPr>
          <w:p w14:paraId="554ECD0D" w14:textId="40AB49EF" w:rsidR="005B5CFC" w:rsidRPr="007246A9" w:rsidRDefault="005B5CFC" w:rsidP="005B5CFC">
            <w:pPr>
              <w:tabs>
                <w:tab w:val="left" w:pos="0"/>
                <w:tab w:val="left" w:pos="1416"/>
                <w:tab w:val="decimal" w:pos="4962"/>
                <w:tab w:val="decimal" w:pos="6521"/>
                <w:tab w:val="right" w:pos="7560"/>
                <w:tab w:val="decimal" w:pos="8220"/>
                <w:tab w:val="left" w:pos="8640"/>
                <w:tab w:val="right" w:pos="9000"/>
              </w:tabs>
              <w:suppressAutoHyphens/>
              <w:spacing w:before="60" w:after="0" w:line="240" w:lineRule="auto"/>
              <w:ind w:right="23"/>
              <w:rPr>
                <w:rFonts w:ascii="Arial" w:eastAsia="Times New Roman" w:hAnsi="Arial" w:cs="Arial"/>
                <w:sz w:val="16"/>
                <w:szCs w:val="16"/>
                <w:lang w:val="el-GR" w:eastAsia="el-GR"/>
              </w:rPr>
            </w:pPr>
            <w:r w:rsidRPr="007246A9">
              <w:rPr>
                <w:rFonts w:ascii="Arial" w:eastAsia="Times New Roman" w:hAnsi="Arial" w:cs="Arial"/>
                <w:bCs/>
                <w:sz w:val="16"/>
                <w:szCs w:val="16"/>
                <w:lang w:val="el-GR" w:eastAsia="el-GR"/>
              </w:rPr>
              <w:t>Κέρδη που αναλογούν σε δικαιώματα μειοψηφίας</w:t>
            </w:r>
          </w:p>
        </w:tc>
        <w:tc>
          <w:tcPr>
            <w:tcW w:w="521" w:type="pct"/>
            <w:vAlign w:val="center"/>
          </w:tcPr>
          <w:p w14:paraId="4B7F0CA3" w14:textId="76BA24C5" w:rsidR="005B5CFC" w:rsidRPr="00502B4F"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60" w:line="240" w:lineRule="auto"/>
              <w:ind w:left="-93" w:right="20"/>
              <w:jc w:val="right"/>
              <w:rPr>
                <w:rFonts w:ascii="Arial" w:eastAsia="Times New Roman" w:hAnsi="Arial" w:cs="Arial"/>
                <w:sz w:val="16"/>
                <w:szCs w:val="16"/>
                <w:highlight w:val="yellow"/>
                <w:lang w:val="el-GR" w:eastAsia="el-GR"/>
              </w:rPr>
            </w:pPr>
            <w:r w:rsidRPr="00502B4F">
              <w:rPr>
                <w:rFonts w:ascii="Arial" w:eastAsia="Times New Roman" w:hAnsi="Arial" w:cs="Arial"/>
                <w:sz w:val="16"/>
                <w:szCs w:val="16"/>
                <w:lang w:eastAsia="el-GR"/>
              </w:rPr>
              <w:t>(2)</w:t>
            </w:r>
          </w:p>
        </w:tc>
        <w:tc>
          <w:tcPr>
            <w:tcW w:w="521" w:type="pct"/>
            <w:vAlign w:val="center"/>
          </w:tcPr>
          <w:p w14:paraId="4B1D57FE" w14:textId="5E218A08"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60" w:line="240" w:lineRule="auto"/>
              <w:ind w:left="-93" w:right="20"/>
              <w:jc w:val="right"/>
              <w:rPr>
                <w:rFonts w:ascii="Arial" w:eastAsia="Times New Roman" w:hAnsi="Arial" w:cs="Arial"/>
                <w:sz w:val="16"/>
                <w:szCs w:val="16"/>
                <w:highlight w:val="yellow"/>
                <w:lang w:val="el-GR" w:eastAsia="el-GR"/>
              </w:rPr>
            </w:pPr>
            <w:r w:rsidRPr="00502B4F">
              <w:rPr>
                <w:rFonts w:ascii="Arial" w:eastAsia="Times New Roman" w:hAnsi="Arial" w:cs="Arial"/>
                <w:sz w:val="16"/>
                <w:szCs w:val="16"/>
                <w:lang w:eastAsia="el-GR"/>
              </w:rPr>
              <w:t>(2)</w:t>
            </w:r>
          </w:p>
        </w:tc>
        <w:tc>
          <w:tcPr>
            <w:tcW w:w="524" w:type="pct"/>
            <w:vAlign w:val="center"/>
          </w:tcPr>
          <w:p w14:paraId="102A56E5" w14:textId="47B94779"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6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-7%</w:t>
            </w:r>
          </w:p>
        </w:tc>
        <w:tc>
          <w:tcPr>
            <w:tcW w:w="524" w:type="pct"/>
            <w:vAlign w:val="center"/>
          </w:tcPr>
          <w:p w14:paraId="3DFA4825" w14:textId="29F7BC62"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60" w:line="240" w:lineRule="auto"/>
              <w:ind w:left="-93" w:right="20"/>
              <w:jc w:val="right"/>
              <w:rPr>
                <w:rFonts w:ascii="Arial" w:eastAsia="Times New Roman" w:hAnsi="Arial" w:cs="Arial"/>
                <w:sz w:val="16"/>
                <w:szCs w:val="16"/>
                <w:lang w:eastAsia="el-GR"/>
              </w:rPr>
            </w:pPr>
            <w:r w:rsidRPr="00502B4F">
              <w:rPr>
                <w:rFonts w:ascii="Arial" w:eastAsia="Times New Roman" w:hAnsi="Arial" w:cs="Arial"/>
                <w:sz w:val="16"/>
                <w:szCs w:val="16"/>
                <w:lang w:eastAsia="el-GR"/>
              </w:rPr>
              <w:t>(1)</w:t>
            </w:r>
          </w:p>
        </w:tc>
        <w:tc>
          <w:tcPr>
            <w:tcW w:w="524" w:type="pct"/>
            <w:vAlign w:val="center"/>
          </w:tcPr>
          <w:p w14:paraId="6D1D294A" w14:textId="2002C3C3"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6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0</w:t>
            </w:r>
          </w:p>
        </w:tc>
        <w:tc>
          <w:tcPr>
            <w:tcW w:w="522" w:type="pct"/>
            <w:shd w:val="clear" w:color="auto" w:fill="auto"/>
            <w:vAlign w:val="center"/>
          </w:tcPr>
          <w:p w14:paraId="12C5FE09" w14:textId="251CC03F"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6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20%</w:t>
            </w:r>
          </w:p>
        </w:tc>
      </w:tr>
      <w:tr w:rsidR="005B5CFC" w:rsidRPr="00D41B36" w14:paraId="7C72BB99" w14:textId="77777777" w:rsidTr="006A1797">
        <w:trPr>
          <w:trHeight w:val="302"/>
          <w:jc w:val="center"/>
        </w:trPr>
        <w:tc>
          <w:tcPr>
            <w:tcW w:w="1864"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1C10040" w14:textId="18FC4421" w:rsidR="005B5CFC" w:rsidRPr="007246A9" w:rsidRDefault="005B5CFC" w:rsidP="005B5CFC">
            <w:pPr>
              <w:tabs>
                <w:tab w:val="left" w:pos="0"/>
                <w:tab w:val="left" w:pos="1416"/>
                <w:tab w:val="decimal" w:pos="4962"/>
                <w:tab w:val="decimal" w:pos="6521"/>
                <w:tab w:val="right" w:pos="7560"/>
                <w:tab w:val="decimal" w:pos="8220"/>
                <w:tab w:val="left" w:pos="8640"/>
                <w:tab w:val="right" w:pos="9000"/>
              </w:tabs>
              <w:suppressAutoHyphens/>
              <w:spacing w:before="60" w:after="0" w:line="240" w:lineRule="auto"/>
              <w:ind w:right="23"/>
              <w:rPr>
                <w:rFonts w:ascii="Arial" w:eastAsia="Times New Roman" w:hAnsi="Arial" w:cs="Arial"/>
                <w:b/>
                <w:bCs/>
                <w:sz w:val="16"/>
                <w:szCs w:val="16"/>
                <w:lang w:val="el-GR" w:eastAsia="el-GR"/>
              </w:rPr>
            </w:pPr>
            <w:r w:rsidRPr="007246A9">
              <w:rPr>
                <w:rFonts w:ascii="Arial" w:hAnsi="Arial" w:cs="Arial"/>
                <w:b/>
                <w:sz w:val="16"/>
                <w:szCs w:val="16"/>
                <w:lang w:val="el-GR"/>
              </w:rPr>
              <w:t>Κέρδη</w:t>
            </w:r>
            <w:r w:rsidRPr="007246A9">
              <w:rPr>
                <w:rFonts w:ascii="Arial" w:hAnsi="Arial" w:cs="Arial"/>
                <w:b/>
                <w:bCs/>
                <w:color w:val="FF0000"/>
                <w:sz w:val="16"/>
                <w:szCs w:val="16"/>
                <w:lang w:val="el-GR"/>
              </w:rPr>
              <w:t xml:space="preserve"> </w:t>
            </w:r>
            <w:r w:rsidRPr="007246A9">
              <w:rPr>
                <w:rFonts w:ascii="Arial" w:hAnsi="Arial" w:cs="Arial"/>
                <w:b/>
                <w:bCs/>
                <w:sz w:val="16"/>
                <w:szCs w:val="16"/>
                <w:lang w:val="el-GR"/>
              </w:rPr>
              <w:t>μετά τη φορολογία και πριν τα μη-επαναλαμβανόμενα στοιχεία (που αναλογούν της ιδιοκτήτες της Εταιρίας)</w:t>
            </w:r>
          </w:p>
        </w:tc>
        <w:tc>
          <w:tcPr>
            <w:tcW w:w="521" w:type="pct"/>
            <w:tcBorders>
              <w:top w:val="single" w:sz="4" w:space="0" w:color="808080" w:themeColor="background1" w:themeShade="80"/>
              <w:bottom w:val="single" w:sz="4" w:space="0" w:color="808080" w:themeColor="background1" w:themeShade="80"/>
            </w:tcBorders>
            <w:vAlign w:val="center"/>
          </w:tcPr>
          <w:p w14:paraId="0586CFDC" w14:textId="5B07F166" w:rsidR="005B5CFC" w:rsidRPr="00502B4F"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val="el-GR" w:eastAsia="el-GR"/>
              </w:rPr>
            </w:pPr>
            <w:r w:rsidRPr="00502B4F">
              <w:rPr>
                <w:rFonts w:ascii="Arial" w:eastAsia="Times New Roman" w:hAnsi="Arial" w:cs="Arial"/>
                <w:b/>
                <w:bCs/>
                <w:sz w:val="16"/>
                <w:szCs w:val="16"/>
                <w:lang w:eastAsia="el-GR"/>
              </w:rPr>
              <w:t>401</w:t>
            </w:r>
          </w:p>
        </w:tc>
        <w:tc>
          <w:tcPr>
            <w:tcW w:w="521" w:type="pct"/>
            <w:tcBorders>
              <w:top w:val="single" w:sz="4" w:space="0" w:color="808080" w:themeColor="background1" w:themeShade="80"/>
              <w:bottom w:val="single" w:sz="4" w:space="0" w:color="808080" w:themeColor="background1" w:themeShade="80"/>
            </w:tcBorders>
            <w:vAlign w:val="center"/>
          </w:tcPr>
          <w:p w14:paraId="14339715" w14:textId="5AC4BEF4"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val="el-GR" w:eastAsia="el-GR"/>
              </w:rPr>
            </w:pPr>
            <w:r w:rsidRPr="00502B4F">
              <w:rPr>
                <w:rFonts w:ascii="Arial" w:eastAsia="Times New Roman" w:hAnsi="Arial" w:cs="Arial"/>
                <w:b/>
                <w:bCs/>
                <w:sz w:val="16"/>
                <w:szCs w:val="16"/>
                <w:lang w:eastAsia="el-GR"/>
              </w:rPr>
              <w:t>351</w:t>
            </w:r>
          </w:p>
        </w:tc>
        <w:tc>
          <w:tcPr>
            <w:tcW w:w="524" w:type="pct"/>
            <w:tcBorders>
              <w:top w:val="single" w:sz="4" w:space="0" w:color="808080" w:themeColor="background1" w:themeShade="80"/>
              <w:bottom w:val="single" w:sz="4" w:space="0" w:color="808080" w:themeColor="background1" w:themeShade="80"/>
            </w:tcBorders>
            <w:vAlign w:val="center"/>
          </w:tcPr>
          <w:p w14:paraId="139EC78B" w14:textId="48DE7BDE"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502B4F">
              <w:rPr>
                <w:rFonts w:ascii="Arial" w:eastAsia="Times New Roman" w:hAnsi="Arial" w:cs="Arial"/>
                <w:sz w:val="16"/>
                <w:szCs w:val="16"/>
                <w:lang w:eastAsia="el-GR"/>
              </w:rPr>
              <w:t>14%</w:t>
            </w:r>
          </w:p>
        </w:tc>
        <w:tc>
          <w:tcPr>
            <w:tcW w:w="524" w:type="pct"/>
            <w:tcBorders>
              <w:top w:val="single" w:sz="4" w:space="0" w:color="808080" w:themeColor="background1" w:themeShade="80"/>
              <w:bottom w:val="single" w:sz="4" w:space="0" w:color="808080" w:themeColor="background1" w:themeShade="80"/>
            </w:tcBorders>
            <w:vAlign w:val="center"/>
          </w:tcPr>
          <w:p w14:paraId="51107BA0" w14:textId="1A42DCB3"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lang w:eastAsia="el-GR"/>
              </w:rPr>
            </w:pPr>
            <w:r w:rsidRPr="00502B4F">
              <w:rPr>
                <w:rFonts w:ascii="Arial" w:eastAsia="Times New Roman" w:hAnsi="Arial" w:cs="Arial"/>
                <w:b/>
                <w:bCs/>
                <w:sz w:val="16"/>
                <w:szCs w:val="16"/>
                <w:lang w:eastAsia="el-GR"/>
              </w:rPr>
              <w:t>131</w:t>
            </w:r>
          </w:p>
        </w:tc>
        <w:tc>
          <w:tcPr>
            <w:tcW w:w="524" w:type="pct"/>
            <w:tcBorders>
              <w:top w:val="single" w:sz="4" w:space="0" w:color="808080" w:themeColor="background1" w:themeShade="80"/>
              <w:bottom w:val="single" w:sz="4" w:space="0" w:color="808080" w:themeColor="background1" w:themeShade="80"/>
            </w:tcBorders>
            <w:vAlign w:val="center"/>
          </w:tcPr>
          <w:p w14:paraId="1A2D13A3" w14:textId="12198BD5"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b/>
                <w:bCs/>
                <w:sz w:val="16"/>
                <w:szCs w:val="16"/>
                <w:lang w:eastAsia="el-GR"/>
              </w:rPr>
              <w:t>137</w:t>
            </w:r>
          </w:p>
        </w:tc>
        <w:tc>
          <w:tcPr>
            <w:tcW w:w="52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570BF6" w14:textId="791624D2"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-5%</w:t>
            </w:r>
          </w:p>
        </w:tc>
      </w:tr>
      <w:tr w:rsidR="005B5CFC" w:rsidRPr="00D41B36" w14:paraId="21BF4053" w14:textId="77777777" w:rsidTr="006A1797">
        <w:trPr>
          <w:trHeight w:val="302"/>
          <w:jc w:val="center"/>
        </w:trPr>
        <w:tc>
          <w:tcPr>
            <w:tcW w:w="1864" w:type="pct"/>
            <w:tcBorders>
              <w:top w:val="single" w:sz="4" w:space="0" w:color="808080" w:themeColor="background1" w:themeShade="80"/>
              <w:bottom w:val="single" w:sz="4" w:space="0" w:color="808080" w:themeColor="background1" w:themeShade="80"/>
            </w:tcBorders>
            <w:vAlign w:val="center"/>
          </w:tcPr>
          <w:p w14:paraId="7433C950" w14:textId="128F0377" w:rsidR="005B5CFC" w:rsidRPr="007246A9" w:rsidRDefault="005B5CFC" w:rsidP="005B5CFC">
            <w:pPr>
              <w:tabs>
                <w:tab w:val="left" w:pos="0"/>
                <w:tab w:val="left" w:pos="1416"/>
                <w:tab w:val="decimal" w:pos="4962"/>
                <w:tab w:val="decimal" w:pos="6521"/>
                <w:tab w:val="right" w:pos="7560"/>
                <w:tab w:val="decimal" w:pos="8220"/>
                <w:tab w:val="left" w:pos="8640"/>
                <w:tab w:val="right" w:pos="9000"/>
              </w:tabs>
              <w:suppressAutoHyphens/>
              <w:spacing w:before="60" w:after="0" w:line="240" w:lineRule="auto"/>
              <w:ind w:right="23"/>
              <w:rPr>
                <w:rFonts w:ascii="Arial" w:eastAsia="Times New Roman" w:hAnsi="Arial" w:cs="Arial"/>
                <w:bCs/>
                <w:sz w:val="16"/>
                <w:szCs w:val="16"/>
                <w:lang w:val="el-GR" w:eastAsia="el-GR"/>
              </w:rPr>
            </w:pPr>
            <w:r w:rsidRPr="007246A9">
              <w:rPr>
                <w:rFonts w:ascii="Arial" w:eastAsia="Times New Roman" w:hAnsi="Arial" w:cs="Arial"/>
                <w:bCs/>
                <w:sz w:val="16"/>
                <w:szCs w:val="16"/>
                <w:lang w:val="el-GR" w:eastAsia="el-GR"/>
              </w:rPr>
              <w:t>Έξοδα</w:t>
            </w:r>
            <w:r w:rsidRPr="007246A9">
              <w:rPr>
                <w:rFonts w:ascii="Arial" w:hAnsi="Arial" w:cs="Arial"/>
                <w:sz w:val="16"/>
                <w:szCs w:val="16"/>
                <w:lang w:val="el-GR"/>
              </w:rPr>
              <w:t xml:space="preserve"> από συμβουλευτικές υπηρεσίες και άλλα έξοδα μετασχηματισμού – οργανικά</w:t>
            </w:r>
          </w:p>
        </w:tc>
        <w:tc>
          <w:tcPr>
            <w:tcW w:w="521" w:type="pct"/>
            <w:tcBorders>
              <w:top w:val="single" w:sz="4" w:space="0" w:color="808080" w:themeColor="background1" w:themeShade="80"/>
              <w:bottom w:val="single" w:sz="4" w:space="0" w:color="808080" w:themeColor="background1" w:themeShade="80"/>
            </w:tcBorders>
            <w:vAlign w:val="center"/>
          </w:tcPr>
          <w:p w14:paraId="0F0334C6" w14:textId="618F8034" w:rsidR="005B5CFC" w:rsidRPr="00502B4F"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Cs/>
                <w:sz w:val="16"/>
                <w:szCs w:val="16"/>
                <w:highlight w:val="yellow"/>
                <w:lang w:val="el-GR" w:eastAsia="el-GR"/>
              </w:rPr>
            </w:pPr>
            <w:r w:rsidRPr="00502B4F">
              <w:rPr>
                <w:rFonts w:ascii="Arial" w:eastAsia="Times New Roman" w:hAnsi="Arial" w:cs="Arial"/>
                <w:bCs/>
                <w:sz w:val="16"/>
                <w:szCs w:val="16"/>
                <w:lang w:eastAsia="el-GR"/>
              </w:rPr>
              <w:t>-</w:t>
            </w:r>
          </w:p>
        </w:tc>
        <w:tc>
          <w:tcPr>
            <w:tcW w:w="521" w:type="pct"/>
            <w:tcBorders>
              <w:top w:val="single" w:sz="4" w:space="0" w:color="808080" w:themeColor="background1" w:themeShade="80"/>
              <w:bottom w:val="single" w:sz="4" w:space="0" w:color="808080" w:themeColor="background1" w:themeShade="80"/>
            </w:tcBorders>
            <w:vAlign w:val="center"/>
          </w:tcPr>
          <w:p w14:paraId="01BF01D2" w14:textId="593624BA"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Cs/>
                <w:sz w:val="16"/>
                <w:szCs w:val="16"/>
                <w:highlight w:val="yellow"/>
                <w:lang w:val="el-GR" w:eastAsia="el-GR"/>
              </w:rPr>
            </w:pPr>
            <w:r w:rsidRPr="00502B4F">
              <w:rPr>
                <w:rFonts w:ascii="Arial" w:eastAsia="Times New Roman" w:hAnsi="Arial" w:cs="Arial"/>
                <w:bCs/>
                <w:sz w:val="16"/>
                <w:szCs w:val="16"/>
                <w:lang w:eastAsia="el-GR"/>
              </w:rPr>
              <w:t>(2)</w:t>
            </w:r>
          </w:p>
        </w:tc>
        <w:tc>
          <w:tcPr>
            <w:tcW w:w="524" w:type="pct"/>
            <w:tcBorders>
              <w:top w:val="single" w:sz="4" w:space="0" w:color="808080" w:themeColor="background1" w:themeShade="80"/>
              <w:bottom w:val="single" w:sz="4" w:space="0" w:color="808080" w:themeColor="background1" w:themeShade="80"/>
            </w:tcBorders>
            <w:vAlign w:val="center"/>
          </w:tcPr>
          <w:p w14:paraId="0A588820" w14:textId="0D2BEB9C"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Cs/>
                <w:sz w:val="16"/>
                <w:szCs w:val="16"/>
                <w:highlight w:val="yellow"/>
                <w:lang w:eastAsia="el-GR"/>
              </w:rPr>
            </w:pPr>
            <w:r w:rsidRPr="00502B4F">
              <w:rPr>
                <w:rFonts w:ascii="Arial" w:eastAsia="Times New Roman" w:hAnsi="Arial" w:cs="Arial"/>
                <w:sz w:val="16"/>
                <w:szCs w:val="16"/>
                <w:lang w:eastAsia="el-GR"/>
              </w:rPr>
              <w:t>-100%</w:t>
            </w:r>
          </w:p>
        </w:tc>
        <w:tc>
          <w:tcPr>
            <w:tcW w:w="524" w:type="pct"/>
            <w:tcBorders>
              <w:top w:val="single" w:sz="4" w:space="0" w:color="808080" w:themeColor="background1" w:themeShade="80"/>
              <w:bottom w:val="single" w:sz="4" w:space="0" w:color="808080" w:themeColor="background1" w:themeShade="80"/>
            </w:tcBorders>
            <w:vAlign w:val="center"/>
          </w:tcPr>
          <w:p w14:paraId="05E0412E" w14:textId="68FA72B2"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Cs/>
                <w:sz w:val="16"/>
                <w:szCs w:val="16"/>
                <w:lang w:eastAsia="el-GR"/>
              </w:rPr>
            </w:pPr>
            <w:r w:rsidRPr="00502B4F">
              <w:rPr>
                <w:rFonts w:ascii="Arial" w:eastAsia="Times New Roman" w:hAnsi="Arial" w:cs="Arial"/>
                <w:bCs/>
                <w:sz w:val="16"/>
                <w:szCs w:val="16"/>
                <w:lang w:eastAsia="el-GR"/>
              </w:rPr>
              <w:t>-</w:t>
            </w:r>
          </w:p>
        </w:tc>
        <w:tc>
          <w:tcPr>
            <w:tcW w:w="524" w:type="pct"/>
            <w:tcBorders>
              <w:top w:val="single" w:sz="4" w:space="0" w:color="808080" w:themeColor="background1" w:themeShade="80"/>
              <w:bottom w:val="single" w:sz="4" w:space="0" w:color="808080" w:themeColor="background1" w:themeShade="80"/>
            </w:tcBorders>
            <w:vAlign w:val="center"/>
          </w:tcPr>
          <w:p w14:paraId="0136069C" w14:textId="6B0F0B40"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bCs/>
                <w:sz w:val="16"/>
                <w:szCs w:val="16"/>
                <w:lang w:eastAsia="el-GR"/>
              </w:rPr>
              <w:t>-</w:t>
            </w:r>
          </w:p>
        </w:tc>
        <w:tc>
          <w:tcPr>
            <w:tcW w:w="522" w:type="pct"/>
            <w:tcBorders>
              <w:top w:val="single" w:sz="4" w:space="0" w:color="808080" w:themeColor="background1" w:themeShade="80"/>
              <w:bottom w:val="single" w:sz="4" w:space="0" w:color="808080" w:themeColor="background1" w:themeShade="80"/>
            </w:tcBorders>
            <w:shd w:val="clear" w:color="auto" w:fill="auto"/>
            <w:vAlign w:val="center"/>
          </w:tcPr>
          <w:p w14:paraId="10A84081" w14:textId="3B2F885E"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502B4F">
              <w:rPr>
                <w:rFonts w:ascii="Arial" w:eastAsia="Times New Roman" w:hAnsi="Arial" w:cs="Arial"/>
                <w:sz w:val="16"/>
                <w:szCs w:val="16"/>
                <w:lang w:eastAsia="el-GR"/>
              </w:rPr>
              <w:t>-</w:t>
            </w:r>
          </w:p>
        </w:tc>
      </w:tr>
      <w:tr w:rsidR="005B5CFC" w:rsidRPr="00D41B36" w14:paraId="3407397B" w14:textId="77777777" w:rsidTr="006A1797">
        <w:trPr>
          <w:trHeight w:val="49"/>
          <w:jc w:val="center"/>
        </w:trPr>
        <w:tc>
          <w:tcPr>
            <w:tcW w:w="1864"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394BC320" w14:textId="1BF73941" w:rsidR="005B5CFC" w:rsidRPr="007246A9" w:rsidRDefault="005B5CFC" w:rsidP="005B5CFC">
            <w:pPr>
              <w:tabs>
                <w:tab w:val="left" w:pos="0"/>
                <w:tab w:val="left" w:pos="1416"/>
                <w:tab w:val="decimal" w:pos="4962"/>
                <w:tab w:val="decimal" w:pos="6521"/>
                <w:tab w:val="right" w:pos="7560"/>
                <w:tab w:val="decimal" w:pos="8220"/>
                <w:tab w:val="left" w:pos="8640"/>
                <w:tab w:val="right" w:pos="9000"/>
              </w:tabs>
              <w:suppressAutoHyphens/>
              <w:spacing w:before="60" w:after="0" w:line="240" w:lineRule="auto"/>
              <w:ind w:right="23"/>
              <w:rPr>
                <w:rFonts w:ascii="Arial" w:eastAsia="Times New Roman" w:hAnsi="Arial" w:cs="Arial"/>
                <w:b/>
                <w:bCs/>
                <w:sz w:val="16"/>
                <w:szCs w:val="16"/>
                <w:lang w:val="el-GR" w:eastAsia="el-GR"/>
              </w:rPr>
            </w:pPr>
            <w:r w:rsidRPr="007246A9">
              <w:rPr>
                <w:rFonts w:ascii="Arial" w:hAnsi="Arial" w:cs="Arial"/>
                <w:b/>
                <w:sz w:val="16"/>
                <w:szCs w:val="16"/>
                <w:lang w:val="el-GR"/>
              </w:rPr>
              <w:t xml:space="preserve">Κέρδη </w:t>
            </w:r>
            <w:r w:rsidRPr="007246A9">
              <w:rPr>
                <w:rFonts w:ascii="Arial" w:hAnsi="Arial" w:cs="Arial"/>
                <w:b/>
                <w:bCs/>
                <w:sz w:val="16"/>
                <w:szCs w:val="16"/>
                <w:lang w:val="el-GR"/>
              </w:rPr>
              <w:t>μετά τη φορολογία (που αναλογούν στους ιδιοκτήτες της Εταιρίας)</w:t>
            </w:r>
          </w:p>
        </w:tc>
        <w:tc>
          <w:tcPr>
            <w:tcW w:w="521" w:type="pct"/>
            <w:tcBorders>
              <w:top w:val="single" w:sz="4" w:space="0" w:color="808080" w:themeColor="background1" w:themeShade="80"/>
              <w:bottom w:val="single" w:sz="4" w:space="0" w:color="808080" w:themeColor="background1" w:themeShade="80"/>
            </w:tcBorders>
            <w:vAlign w:val="center"/>
          </w:tcPr>
          <w:p w14:paraId="3A2EB42A" w14:textId="298F4A34" w:rsidR="005B5CFC" w:rsidRPr="00502B4F"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val="el-GR" w:eastAsia="el-GR"/>
              </w:rPr>
            </w:pPr>
            <w:r w:rsidRPr="00502B4F">
              <w:rPr>
                <w:rFonts w:ascii="Arial" w:eastAsia="Times New Roman" w:hAnsi="Arial" w:cs="Arial"/>
                <w:b/>
                <w:bCs/>
                <w:sz w:val="16"/>
                <w:szCs w:val="16"/>
                <w:lang w:eastAsia="el-GR"/>
              </w:rPr>
              <w:t>401</w:t>
            </w:r>
          </w:p>
        </w:tc>
        <w:tc>
          <w:tcPr>
            <w:tcW w:w="521" w:type="pct"/>
            <w:tcBorders>
              <w:top w:val="single" w:sz="4" w:space="0" w:color="808080" w:themeColor="background1" w:themeShade="80"/>
              <w:bottom w:val="single" w:sz="4" w:space="0" w:color="808080" w:themeColor="background1" w:themeShade="80"/>
            </w:tcBorders>
            <w:vAlign w:val="center"/>
          </w:tcPr>
          <w:p w14:paraId="2A896E9B" w14:textId="791E6E60"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val="el-GR" w:eastAsia="el-GR"/>
              </w:rPr>
            </w:pPr>
            <w:r w:rsidRPr="00502B4F">
              <w:rPr>
                <w:rFonts w:ascii="Arial" w:eastAsia="Times New Roman" w:hAnsi="Arial" w:cs="Arial"/>
                <w:b/>
                <w:bCs/>
                <w:sz w:val="16"/>
                <w:szCs w:val="16"/>
                <w:lang w:eastAsia="el-GR"/>
              </w:rPr>
              <w:t>349</w:t>
            </w:r>
          </w:p>
        </w:tc>
        <w:tc>
          <w:tcPr>
            <w:tcW w:w="524" w:type="pct"/>
            <w:tcBorders>
              <w:top w:val="single" w:sz="4" w:space="0" w:color="808080" w:themeColor="background1" w:themeShade="80"/>
              <w:bottom w:val="single" w:sz="4" w:space="0" w:color="808080" w:themeColor="background1" w:themeShade="80"/>
            </w:tcBorders>
            <w:vAlign w:val="center"/>
          </w:tcPr>
          <w:p w14:paraId="33C7AFDE" w14:textId="1F7D4FA3"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eastAsia="el-GR"/>
              </w:rPr>
            </w:pPr>
            <w:r w:rsidRPr="00502B4F">
              <w:rPr>
                <w:rFonts w:ascii="Arial" w:eastAsia="Times New Roman" w:hAnsi="Arial" w:cs="Arial"/>
                <w:bCs/>
                <w:sz w:val="16"/>
                <w:szCs w:val="16"/>
                <w:lang w:eastAsia="el-GR"/>
              </w:rPr>
              <w:t>15%</w:t>
            </w:r>
          </w:p>
        </w:tc>
        <w:tc>
          <w:tcPr>
            <w:tcW w:w="524" w:type="pct"/>
            <w:tcBorders>
              <w:top w:val="single" w:sz="4" w:space="0" w:color="808080" w:themeColor="background1" w:themeShade="80"/>
              <w:bottom w:val="single" w:sz="4" w:space="0" w:color="808080" w:themeColor="background1" w:themeShade="80"/>
            </w:tcBorders>
            <w:vAlign w:val="center"/>
          </w:tcPr>
          <w:p w14:paraId="51F52BD7" w14:textId="2564F64F"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lang w:eastAsia="el-GR"/>
              </w:rPr>
            </w:pPr>
            <w:r w:rsidRPr="00502B4F">
              <w:rPr>
                <w:rFonts w:ascii="Arial" w:eastAsia="Times New Roman" w:hAnsi="Arial" w:cs="Arial"/>
                <w:b/>
                <w:bCs/>
                <w:sz w:val="16"/>
                <w:szCs w:val="16"/>
                <w:lang w:eastAsia="el-GR"/>
              </w:rPr>
              <w:t>131</w:t>
            </w:r>
          </w:p>
        </w:tc>
        <w:tc>
          <w:tcPr>
            <w:tcW w:w="524" w:type="pct"/>
            <w:tcBorders>
              <w:top w:val="single" w:sz="4" w:space="0" w:color="808080" w:themeColor="background1" w:themeShade="80"/>
              <w:bottom w:val="single" w:sz="4" w:space="0" w:color="808080" w:themeColor="background1" w:themeShade="80"/>
            </w:tcBorders>
            <w:vAlign w:val="center"/>
          </w:tcPr>
          <w:p w14:paraId="5C08AC69" w14:textId="2D4A033A" w:rsidR="005B5CFC" w:rsidRPr="005B5CFC" w:rsidRDefault="005B5CFC"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
                <w:sz w:val="16"/>
                <w:szCs w:val="16"/>
                <w:highlight w:val="yellow"/>
              </w:rPr>
            </w:pPr>
            <w:r w:rsidRPr="00502B4F">
              <w:rPr>
                <w:rFonts w:ascii="Arial" w:eastAsia="Times New Roman" w:hAnsi="Arial" w:cs="Arial"/>
                <w:b/>
                <w:bCs/>
                <w:sz w:val="16"/>
                <w:szCs w:val="16"/>
                <w:lang w:eastAsia="el-GR"/>
              </w:rPr>
              <w:t>137</w:t>
            </w:r>
          </w:p>
        </w:tc>
        <w:tc>
          <w:tcPr>
            <w:tcW w:w="52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CB2996" w14:textId="4F7E6DFB" w:rsidR="005B5CFC" w:rsidRPr="005B5CFC" w:rsidRDefault="00341CE7" w:rsidP="005B5CFC">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Cs/>
                <w:sz w:val="16"/>
                <w:szCs w:val="16"/>
                <w:highlight w:val="yellow"/>
                <w:lang w:eastAsia="el-GR"/>
              </w:rPr>
            </w:pPr>
            <w:r>
              <w:rPr>
                <w:rFonts w:ascii="Arial" w:eastAsia="Times New Roman" w:hAnsi="Arial" w:cs="Arial"/>
                <w:b/>
                <w:bCs/>
                <w:sz w:val="16"/>
                <w:szCs w:val="16"/>
                <w:lang w:val="el-GR" w:eastAsia="el-GR"/>
              </w:rPr>
              <w:t>-</w:t>
            </w:r>
            <w:r w:rsidR="005B5CFC" w:rsidRPr="00502B4F">
              <w:rPr>
                <w:rFonts w:ascii="Arial" w:eastAsia="Times New Roman" w:hAnsi="Arial" w:cs="Arial"/>
                <w:b/>
                <w:bCs/>
                <w:sz w:val="16"/>
                <w:szCs w:val="16"/>
                <w:lang w:eastAsia="el-GR"/>
              </w:rPr>
              <w:t>5%</w:t>
            </w:r>
          </w:p>
        </w:tc>
      </w:tr>
      <w:tr w:rsidR="00A93643" w:rsidRPr="00910A4E" w14:paraId="63DE7DA0" w14:textId="77777777" w:rsidTr="00CB38F0">
        <w:trPr>
          <w:trHeight w:val="49"/>
          <w:jc w:val="center"/>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012468" w14:textId="2CC283C7" w:rsidR="00A93643" w:rsidRPr="007246A9" w:rsidRDefault="00A93643" w:rsidP="00A93643">
            <w:pPr>
              <w:tabs>
                <w:tab w:val="left" w:pos="0"/>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Cs/>
                <w:sz w:val="18"/>
                <w:szCs w:val="20"/>
                <w:lang w:val="el-GR" w:eastAsia="el-GR"/>
              </w:rPr>
            </w:pPr>
            <w:proofErr w:type="spellStart"/>
            <w:r w:rsidRPr="007246A9">
              <w:rPr>
                <w:rFonts w:ascii="Arial" w:hAnsi="Arial" w:cs="Arial"/>
                <w:color w:val="000000" w:themeColor="text1"/>
                <w:sz w:val="14"/>
                <w:szCs w:val="14"/>
                <w:lang w:val="el-GR"/>
              </w:rPr>
              <w:t>Ε.μ</w:t>
            </w:r>
            <w:proofErr w:type="spellEnd"/>
            <w:r w:rsidRPr="007246A9">
              <w:rPr>
                <w:rFonts w:ascii="Arial" w:hAnsi="Arial" w:cs="Arial"/>
                <w:color w:val="000000" w:themeColor="text1"/>
                <w:sz w:val="14"/>
                <w:szCs w:val="14"/>
                <w:lang w:val="el-GR"/>
              </w:rPr>
              <w:t xml:space="preserve">. = εκατοστιαίες μονάδες, </w:t>
            </w:r>
            <w:proofErr w:type="spellStart"/>
            <w:r w:rsidRPr="007246A9">
              <w:rPr>
                <w:rFonts w:ascii="Arial" w:hAnsi="Arial" w:cs="Arial"/>
                <w:color w:val="000000" w:themeColor="text1"/>
                <w:sz w:val="14"/>
                <w:szCs w:val="14"/>
                <w:lang w:val="el-GR"/>
              </w:rPr>
              <w:t>μ.β</w:t>
            </w:r>
            <w:proofErr w:type="spellEnd"/>
            <w:r w:rsidRPr="007246A9">
              <w:rPr>
                <w:rFonts w:ascii="Arial" w:hAnsi="Arial" w:cs="Arial"/>
                <w:color w:val="000000" w:themeColor="text1"/>
                <w:sz w:val="14"/>
                <w:szCs w:val="14"/>
                <w:lang w:val="el-GR"/>
              </w:rPr>
              <w:t>.= μονάδες βάσης, 100 μονάδες βάσης = 1 εκατοστιαία μονάδα</w:t>
            </w:r>
          </w:p>
        </w:tc>
      </w:tr>
    </w:tbl>
    <w:p w14:paraId="361AA37F" w14:textId="5EAB3495" w:rsidR="00F25D9C" w:rsidRPr="007246A9" w:rsidRDefault="00F25D9C" w:rsidP="00FD0147">
      <w:pPr>
        <w:spacing w:after="0" w:line="240" w:lineRule="auto"/>
        <w:jc w:val="both"/>
        <w:rPr>
          <w:rFonts w:ascii="Arial" w:hAnsi="Arial" w:cs="Arial"/>
          <w:sz w:val="18"/>
          <w:szCs w:val="18"/>
          <w:lang w:val="el-GR"/>
        </w:rPr>
      </w:pPr>
    </w:p>
    <w:p w14:paraId="4A303B09" w14:textId="4F43B5F9" w:rsidR="006A6DBB" w:rsidRPr="00D41B36" w:rsidRDefault="00F26111" w:rsidP="00F26350">
      <w:pPr>
        <w:spacing w:after="0" w:line="240" w:lineRule="auto"/>
        <w:jc w:val="both"/>
        <w:rPr>
          <w:rFonts w:ascii="Arial" w:hAnsi="Arial" w:cs="Arial"/>
          <w:sz w:val="18"/>
          <w:szCs w:val="18"/>
          <w:highlight w:val="yellow"/>
          <w:lang w:val="el-GR"/>
        </w:rPr>
      </w:pPr>
      <w:r w:rsidRPr="007246A9">
        <w:rPr>
          <w:rFonts w:ascii="Arial" w:hAnsi="Arial" w:cs="Arial"/>
          <w:sz w:val="18"/>
          <w:szCs w:val="18"/>
          <w:lang w:val="el-GR"/>
        </w:rPr>
        <w:t xml:space="preserve">Η </w:t>
      </w:r>
      <w:r w:rsidRPr="007246A9">
        <w:rPr>
          <w:rFonts w:ascii="Arial" w:hAnsi="Arial" w:cs="Arial"/>
          <w:b/>
          <w:bCs/>
          <w:sz w:val="18"/>
          <w:szCs w:val="18"/>
          <w:lang w:val="el-GR"/>
        </w:rPr>
        <w:t xml:space="preserve">χρέωση φορολογίας </w:t>
      </w:r>
      <w:r w:rsidRPr="007246A9">
        <w:rPr>
          <w:rFonts w:ascii="Arial" w:hAnsi="Arial" w:cs="Arial"/>
          <w:sz w:val="18"/>
          <w:szCs w:val="18"/>
          <w:lang w:val="el-GR"/>
        </w:rPr>
        <w:t>για το</w:t>
      </w:r>
      <w:r w:rsidR="00366644" w:rsidRPr="007246A9">
        <w:rPr>
          <w:rFonts w:ascii="Arial" w:hAnsi="Arial" w:cs="Arial"/>
          <w:sz w:val="18"/>
          <w:szCs w:val="18"/>
          <w:lang w:val="el-GR"/>
        </w:rPr>
        <w:t xml:space="preserve"> </w:t>
      </w:r>
      <w:r w:rsidR="007A2F9B">
        <w:rPr>
          <w:rFonts w:ascii="Arial" w:hAnsi="Arial" w:cs="Arial"/>
          <w:sz w:val="18"/>
          <w:szCs w:val="18"/>
          <w:lang w:val="el-GR" w:eastAsia="el-GR"/>
        </w:rPr>
        <w:t>εννεάμηνο</w:t>
      </w:r>
      <w:r w:rsidR="00366644" w:rsidRPr="00366644">
        <w:rPr>
          <w:rFonts w:ascii="Arial" w:hAnsi="Arial" w:cs="Arial"/>
          <w:sz w:val="18"/>
          <w:szCs w:val="18"/>
          <w:lang w:val="el-GR" w:eastAsia="el-GR"/>
        </w:rPr>
        <w:t xml:space="preserve"> που έληξε στις 30 Σεπτεμβρίου</w:t>
      </w:r>
      <w:r w:rsidR="00366644" w:rsidRPr="007246A9">
        <w:rPr>
          <w:rFonts w:ascii="Arial" w:hAnsi="Arial" w:cs="Arial"/>
          <w:sz w:val="18"/>
          <w:szCs w:val="18"/>
          <w:lang w:val="el-GR"/>
        </w:rPr>
        <w:t xml:space="preserve"> </w:t>
      </w:r>
      <w:r w:rsidR="00FD2876" w:rsidRPr="007246A9">
        <w:rPr>
          <w:rFonts w:ascii="Arial" w:hAnsi="Arial" w:cs="Arial"/>
          <w:sz w:val="18"/>
          <w:szCs w:val="18"/>
          <w:lang w:val="el-GR"/>
        </w:rPr>
        <w:t>2024 ανήλθε σε €</w:t>
      </w:r>
      <w:r w:rsidR="005B5CFC" w:rsidRPr="00502B4F">
        <w:rPr>
          <w:rFonts w:ascii="Arial" w:hAnsi="Arial" w:cs="Arial"/>
          <w:sz w:val="18"/>
          <w:lang w:val="el-GR"/>
        </w:rPr>
        <w:t>73</w:t>
      </w:r>
      <w:r w:rsidR="005B5CFC">
        <w:rPr>
          <w:rFonts w:ascii="Arial" w:hAnsi="Arial" w:cs="Arial"/>
          <w:sz w:val="18"/>
          <w:lang w:val="el-GR"/>
        </w:rPr>
        <w:t xml:space="preserve"> </w:t>
      </w:r>
      <w:r w:rsidR="00FD2876" w:rsidRPr="007246A9">
        <w:rPr>
          <w:rFonts w:ascii="Arial" w:hAnsi="Arial" w:cs="Arial"/>
          <w:sz w:val="18"/>
          <w:szCs w:val="18"/>
          <w:lang w:val="el-GR"/>
        </w:rPr>
        <w:t>εκατ., σε σύγκριση με €</w:t>
      </w:r>
      <w:r w:rsidR="00366644" w:rsidRPr="007246A9">
        <w:rPr>
          <w:rFonts w:ascii="Arial" w:hAnsi="Arial" w:cs="Arial"/>
          <w:sz w:val="18"/>
          <w:szCs w:val="18"/>
          <w:lang w:val="el-GR"/>
        </w:rPr>
        <w:t xml:space="preserve">63 </w:t>
      </w:r>
      <w:r w:rsidR="00FD2876" w:rsidRPr="007246A9">
        <w:rPr>
          <w:rFonts w:ascii="Arial" w:hAnsi="Arial" w:cs="Arial"/>
          <w:sz w:val="18"/>
          <w:szCs w:val="18"/>
          <w:lang w:val="el-GR"/>
        </w:rPr>
        <w:t>εκατ. για το</w:t>
      </w:r>
      <w:r w:rsidR="00366644" w:rsidRPr="007246A9">
        <w:rPr>
          <w:rFonts w:ascii="Arial" w:hAnsi="Arial" w:cs="Arial"/>
          <w:sz w:val="18"/>
          <w:szCs w:val="18"/>
          <w:lang w:val="el-GR"/>
        </w:rPr>
        <w:t xml:space="preserve"> αντίστοιχο </w:t>
      </w:r>
      <w:r w:rsidR="007A2F9B">
        <w:rPr>
          <w:rFonts w:ascii="Arial" w:hAnsi="Arial" w:cs="Arial"/>
          <w:sz w:val="18"/>
          <w:szCs w:val="18"/>
          <w:lang w:val="el-GR" w:eastAsia="el-GR"/>
        </w:rPr>
        <w:t>εννεάμηνο</w:t>
      </w:r>
      <w:r w:rsidR="00366644" w:rsidRPr="00366644">
        <w:rPr>
          <w:rFonts w:ascii="Arial" w:hAnsi="Arial" w:cs="Arial"/>
          <w:sz w:val="18"/>
          <w:szCs w:val="18"/>
          <w:lang w:val="el-GR" w:eastAsia="el-GR"/>
        </w:rPr>
        <w:t xml:space="preserve"> </w:t>
      </w:r>
      <w:r w:rsidR="00FD2876" w:rsidRPr="007246A9">
        <w:rPr>
          <w:rFonts w:ascii="Arial" w:hAnsi="Arial" w:cs="Arial"/>
          <w:sz w:val="18"/>
          <w:szCs w:val="18"/>
          <w:lang w:val="el-GR"/>
        </w:rPr>
        <w:t>2023.</w:t>
      </w:r>
      <w:r w:rsidR="00FD2876" w:rsidRPr="007246A9">
        <w:rPr>
          <w:lang w:val="el-GR"/>
        </w:rPr>
        <w:t xml:space="preserve"> </w:t>
      </w:r>
      <w:r w:rsidR="00FD2876" w:rsidRPr="007246A9">
        <w:rPr>
          <w:rFonts w:ascii="Arial" w:hAnsi="Arial" w:cs="Arial"/>
          <w:sz w:val="18"/>
          <w:szCs w:val="18"/>
          <w:lang w:val="el-GR"/>
        </w:rPr>
        <w:t xml:space="preserve">Η χρέωση φορολογίας για το </w:t>
      </w:r>
      <w:r w:rsidR="00366644" w:rsidRPr="007246A9">
        <w:rPr>
          <w:rFonts w:ascii="Arial" w:hAnsi="Arial" w:cs="Arial"/>
          <w:sz w:val="18"/>
          <w:szCs w:val="18"/>
          <w:lang w:val="el-GR"/>
        </w:rPr>
        <w:t xml:space="preserve">γ’ </w:t>
      </w:r>
      <w:r w:rsidRPr="007246A9">
        <w:rPr>
          <w:rFonts w:ascii="Arial" w:hAnsi="Arial" w:cs="Arial"/>
          <w:sz w:val="18"/>
          <w:szCs w:val="18"/>
          <w:lang w:val="el-GR"/>
        </w:rPr>
        <w:t xml:space="preserve">τρίμηνο </w:t>
      </w:r>
      <w:r w:rsidR="006A6DBB" w:rsidRPr="007246A9">
        <w:rPr>
          <w:rFonts w:ascii="Arial" w:hAnsi="Arial" w:cs="Arial"/>
          <w:sz w:val="18"/>
          <w:szCs w:val="18"/>
          <w:lang w:val="el-GR"/>
        </w:rPr>
        <w:t xml:space="preserve">2024 </w:t>
      </w:r>
      <w:r w:rsidRPr="007246A9">
        <w:rPr>
          <w:rFonts w:ascii="Arial" w:hAnsi="Arial" w:cs="Arial"/>
          <w:sz w:val="18"/>
          <w:szCs w:val="18"/>
          <w:lang w:val="el-GR"/>
        </w:rPr>
        <w:t>ανήλθε σε €</w:t>
      </w:r>
      <w:r w:rsidR="005B5CFC" w:rsidRPr="00502B4F">
        <w:rPr>
          <w:rFonts w:ascii="Arial" w:hAnsi="Arial" w:cs="Arial"/>
          <w:sz w:val="18"/>
          <w:lang w:val="el-GR"/>
        </w:rPr>
        <w:t>25</w:t>
      </w:r>
      <w:r w:rsidR="005B5CFC">
        <w:rPr>
          <w:rFonts w:ascii="Arial" w:hAnsi="Arial" w:cs="Arial"/>
          <w:sz w:val="18"/>
          <w:lang w:val="el-GR"/>
        </w:rPr>
        <w:t xml:space="preserve"> </w:t>
      </w:r>
      <w:r w:rsidRPr="007246A9">
        <w:rPr>
          <w:rFonts w:ascii="Arial" w:hAnsi="Arial" w:cs="Arial"/>
          <w:sz w:val="18"/>
          <w:szCs w:val="18"/>
          <w:lang w:val="el-GR"/>
        </w:rPr>
        <w:t>εκατ.</w:t>
      </w:r>
      <w:r w:rsidR="006A6DBB" w:rsidRPr="007246A9">
        <w:rPr>
          <w:rFonts w:ascii="Arial" w:hAnsi="Arial" w:cs="Arial"/>
          <w:sz w:val="18"/>
          <w:szCs w:val="18"/>
          <w:lang w:val="el-GR"/>
        </w:rPr>
        <w:t xml:space="preserve"> σε σύγκριση με €</w:t>
      </w:r>
      <w:r w:rsidR="005B5CFC" w:rsidRPr="00502B4F">
        <w:rPr>
          <w:rFonts w:ascii="Arial" w:hAnsi="Arial" w:cs="Arial"/>
          <w:sz w:val="18"/>
          <w:lang w:val="el-GR"/>
        </w:rPr>
        <w:t xml:space="preserve">23 </w:t>
      </w:r>
      <w:r w:rsidR="006A6DBB" w:rsidRPr="007246A9">
        <w:rPr>
          <w:rFonts w:ascii="Arial" w:hAnsi="Arial" w:cs="Arial"/>
          <w:sz w:val="18"/>
          <w:szCs w:val="18"/>
          <w:lang w:val="el-GR"/>
        </w:rPr>
        <w:t xml:space="preserve">εκατ. για το </w:t>
      </w:r>
      <w:r w:rsidR="00366644" w:rsidRPr="007246A9">
        <w:rPr>
          <w:rFonts w:ascii="Arial" w:hAnsi="Arial" w:cs="Arial"/>
          <w:sz w:val="18"/>
          <w:szCs w:val="18"/>
          <w:lang w:val="el-GR"/>
        </w:rPr>
        <w:t xml:space="preserve">β’ </w:t>
      </w:r>
      <w:r w:rsidR="006A6DBB" w:rsidRPr="007246A9">
        <w:rPr>
          <w:rFonts w:ascii="Arial" w:hAnsi="Arial" w:cs="Arial"/>
          <w:sz w:val="18"/>
          <w:szCs w:val="18"/>
          <w:lang w:val="el-GR"/>
        </w:rPr>
        <w:t xml:space="preserve">τρίμηνο </w:t>
      </w:r>
      <w:r w:rsidR="00FD2876" w:rsidRPr="007246A9">
        <w:rPr>
          <w:rFonts w:ascii="Arial" w:hAnsi="Arial" w:cs="Arial"/>
          <w:sz w:val="18"/>
          <w:szCs w:val="18"/>
          <w:lang w:val="el-GR"/>
        </w:rPr>
        <w:t xml:space="preserve">2024. </w:t>
      </w:r>
      <w:r w:rsidR="006A6DBB" w:rsidRPr="007246A9">
        <w:rPr>
          <w:rFonts w:ascii="Arial" w:hAnsi="Arial" w:cs="Arial"/>
          <w:sz w:val="18"/>
          <w:szCs w:val="18"/>
          <w:lang w:val="el-GR"/>
        </w:rPr>
        <w:t xml:space="preserve"> </w:t>
      </w:r>
    </w:p>
    <w:p w14:paraId="6B1CE2A8" w14:textId="77777777" w:rsidR="001F107D" w:rsidRPr="00D41B36" w:rsidRDefault="001F107D" w:rsidP="00F26350">
      <w:pPr>
        <w:spacing w:after="0" w:line="240" w:lineRule="auto"/>
        <w:jc w:val="both"/>
        <w:rPr>
          <w:rFonts w:ascii="Arial" w:hAnsi="Arial" w:cs="Arial"/>
          <w:sz w:val="18"/>
          <w:szCs w:val="18"/>
          <w:highlight w:val="yellow"/>
          <w:lang w:val="el-GR"/>
        </w:rPr>
      </w:pPr>
    </w:p>
    <w:p w14:paraId="796D2AA1" w14:textId="33C1C3FD" w:rsidR="00DC1916" w:rsidRPr="00A00212" w:rsidRDefault="001F107D" w:rsidP="00770F16">
      <w:pPr>
        <w:spacing w:after="0" w:line="240" w:lineRule="auto"/>
        <w:jc w:val="both"/>
        <w:rPr>
          <w:rFonts w:ascii="Arial" w:hAnsi="Arial" w:cs="Arial"/>
          <w:sz w:val="18"/>
          <w:szCs w:val="18"/>
          <w:lang w:val="el-GR"/>
        </w:rPr>
      </w:pPr>
      <w:r w:rsidRPr="00A00212">
        <w:rPr>
          <w:rFonts w:ascii="Arial" w:hAnsi="Arial" w:cs="Arial"/>
          <w:sz w:val="18"/>
          <w:szCs w:val="18"/>
          <w:lang w:val="el-GR"/>
        </w:rPr>
        <w:t xml:space="preserve">Στις 22 Δεκεμβρίου 2022, η Ευρωπαϊκή Επιτροπή ενέκρινε την Οδηγία 2022/2523 που προνοεί για ελάχιστο πραγματικό φορολογικό συντελεστή ύψους 15% για τις παγκόσμιες δραστηριότητες μεγάλων πολυεθνικών </w:t>
      </w:r>
      <w:r w:rsidR="00D00652" w:rsidRPr="00A00212">
        <w:rPr>
          <w:rFonts w:ascii="Arial" w:hAnsi="Arial" w:cs="Arial"/>
          <w:sz w:val="18"/>
          <w:szCs w:val="18"/>
          <w:lang w:val="el-GR"/>
        </w:rPr>
        <w:t xml:space="preserve">συγκροτημάτων </w:t>
      </w:r>
      <w:r w:rsidR="00FB0FE7" w:rsidRPr="00A00212">
        <w:rPr>
          <w:rFonts w:ascii="Arial" w:hAnsi="Arial" w:cs="Arial"/>
          <w:sz w:val="18"/>
          <w:szCs w:val="18"/>
          <w:lang w:val="el-GR"/>
        </w:rPr>
        <w:t>(φορολογία του Πυλώνα ΙΙ)</w:t>
      </w:r>
      <w:r w:rsidRPr="00A00212">
        <w:rPr>
          <w:rFonts w:ascii="Arial" w:hAnsi="Arial" w:cs="Arial"/>
          <w:sz w:val="18"/>
          <w:szCs w:val="18"/>
          <w:lang w:val="el-GR"/>
        </w:rPr>
        <w:t>. Η Οδηγία που ακολουθεί πιστά το Περιεκτικό Πλαίσιο του ΟΟΣΑ για τη διάβρωση φορολογικής βάσης και τη μετατόπιση κερδών (BEPS)</w:t>
      </w:r>
      <w:r w:rsidR="00302109" w:rsidRPr="00A00212">
        <w:rPr>
          <w:rFonts w:ascii="Arial" w:hAnsi="Arial" w:cs="Arial"/>
          <w:sz w:val="18"/>
          <w:szCs w:val="18"/>
          <w:lang w:val="el-GR"/>
        </w:rPr>
        <w:t xml:space="preserve"> </w:t>
      </w:r>
      <w:r w:rsidR="00C9519E" w:rsidRPr="00A00212">
        <w:rPr>
          <w:rFonts w:ascii="Arial" w:hAnsi="Arial" w:cs="Arial"/>
          <w:sz w:val="18"/>
          <w:szCs w:val="18"/>
          <w:lang w:val="el-GR"/>
        </w:rPr>
        <w:t xml:space="preserve">έπρεπε </w:t>
      </w:r>
      <w:r w:rsidRPr="00A00212">
        <w:rPr>
          <w:rFonts w:ascii="Arial" w:hAnsi="Arial" w:cs="Arial"/>
          <w:sz w:val="18"/>
          <w:szCs w:val="18"/>
          <w:lang w:val="el-GR"/>
        </w:rPr>
        <w:t xml:space="preserve">να ενσωματωθεί από τα κράτη μέλη το 2023 και </w:t>
      </w:r>
      <w:r w:rsidR="00C9519E" w:rsidRPr="00A00212">
        <w:rPr>
          <w:rFonts w:ascii="Arial" w:hAnsi="Arial" w:cs="Arial"/>
          <w:sz w:val="18"/>
          <w:szCs w:val="18"/>
          <w:lang w:val="el-GR"/>
        </w:rPr>
        <w:t>ν</w:t>
      </w:r>
      <w:r w:rsidRPr="00A00212">
        <w:rPr>
          <w:rFonts w:ascii="Arial" w:hAnsi="Arial" w:cs="Arial"/>
          <w:sz w:val="18"/>
          <w:szCs w:val="18"/>
          <w:lang w:val="el-GR"/>
        </w:rPr>
        <w:t xml:space="preserve">α τεθεί σε ισχύ την 1 Ιανουαρίου 2024. </w:t>
      </w:r>
      <w:r w:rsidR="00DC1916" w:rsidRPr="00A00212">
        <w:rPr>
          <w:rFonts w:ascii="Arial" w:hAnsi="Arial" w:cs="Arial"/>
          <w:sz w:val="18"/>
          <w:szCs w:val="18"/>
          <w:lang w:val="el-GR"/>
        </w:rPr>
        <w:t>Στην Κύπρο, η</w:t>
      </w:r>
      <w:r w:rsidRPr="00A00212">
        <w:rPr>
          <w:rFonts w:ascii="Arial" w:hAnsi="Arial" w:cs="Arial"/>
          <w:sz w:val="18"/>
          <w:szCs w:val="18"/>
          <w:lang w:val="el-GR"/>
        </w:rPr>
        <w:t xml:space="preserve"> νομοθεσία δεν έχει ουσιαστικά θεσπιστεί κατά την ημερομηνία του ισολογισμού</w:t>
      </w:r>
      <w:r w:rsidR="00DC1916" w:rsidRPr="00A00212">
        <w:rPr>
          <w:rFonts w:ascii="Arial" w:hAnsi="Arial" w:cs="Arial"/>
          <w:sz w:val="18"/>
          <w:szCs w:val="18"/>
          <w:lang w:val="el-GR"/>
        </w:rPr>
        <w:t>, ωστόσο αναμένεται να τεθεί σε ισχύ εντός του 2024. Το Σ</w:t>
      </w:r>
      <w:r w:rsidRPr="00A00212">
        <w:rPr>
          <w:rFonts w:ascii="Arial" w:hAnsi="Arial" w:cs="Arial"/>
          <w:sz w:val="18"/>
          <w:szCs w:val="18"/>
          <w:lang w:val="el-GR"/>
        </w:rPr>
        <w:t xml:space="preserve">υγκρότημα </w:t>
      </w:r>
      <w:r w:rsidR="00DC1916" w:rsidRPr="00A00212">
        <w:rPr>
          <w:rFonts w:ascii="Arial" w:hAnsi="Arial" w:cs="Arial"/>
          <w:sz w:val="18"/>
          <w:szCs w:val="18"/>
          <w:lang w:val="el-GR"/>
        </w:rPr>
        <w:t>αναμένει ότι θα εμπίπτει στο πεδίο εφαρμογής του νομοσχ</w:t>
      </w:r>
      <w:r w:rsidR="00841D3D" w:rsidRPr="00A00212">
        <w:rPr>
          <w:rFonts w:ascii="Arial" w:hAnsi="Arial" w:cs="Arial"/>
          <w:sz w:val="18"/>
          <w:szCs w:val="18"/>
          <w:lang w:val="el-GR"/>
        </w:rPr>
        <w:t>ε</w:t>
      </w:r>
      <w:r w:rsidR="00DC1916" w:rsidRPr="00A00212">
        <w:rPr>
          <w:rFonts w:ascii="Arial" w:hAnsi="Arial" w:cs="Arial"/>
          <w:sz w:val="18"/>
          <w:szCs w:val="18"/>
          <w:lang w:val="el-GR"/>
        </w:rPr>
        <w:t>δ</w:t>
      </w:r>
      <w:r w:rsidR="00841D3D" w:rsidRPr="00A00212">
        <w:rPr>
          <w:rFonts w:ascii="Arial" w:hAnsi="Arial" w:cs="Arial"/>
          <w:sz w:val="18"/>
          <w:szCs w:val="18"/>
          <w:lang w:val="el-GR"/>
        </w:rPr>
        <w:t>ί</w:t>
      </w:r>
      <w:r w:rsidR="00DC1916" w:rsidRPr="00A00212">
        <w:rPr>
          <w:rFonts w:ascii="Arial" w:hAnsi="Arial" w:cs="Arial"/>
          <w:sz w:val="18"/>
          <w:szCs w:val="18"/>
          <w:lang w:val="el-GR"/>
        </w:rPr>
        <w:t>ου και έχει προβεί σε εκτίμηση της έκθεσης σε φορολογία του Πυλώνα ΙΙ, η οποία</w:t>
      </w:r>
      <w:r w:rsidR="008C7AAA" w:rsidRPr="00A00212">
        <w:rPr>
          <w:rFonts w:ascii="Arial" w:hAnsi="Arial" w:cs="Arial"/>
          <w:sz w:val="18"/>
          <w:szCs w:val="18"/>
          <w:lang w:val="el-GR"/>
        </w:rPr>
        <w:t xml:space="preserve"> επί του παρόντος</w:t>
      </w:r>
      <w:r w:rsidR="00302109" w:rsidRPr="00A00212">
        <w:rPr>
          <w:rFonts w:ascii="Arial" w:hAnsi="Arial" w:cs="Arial"/>
          <w:sz w:val="18"/>
          <w:szCs w:val="18"/>
          <w:lang w:val="el-GR"/>
        </w:rPr>
        <w:t xml:space="preserve"> έχει εκτιμηθεί χρέωση ίση με </w:t>
      </w:r>
      <w:r w:rsidR="00CF2CF8" w:rsidRPr="00A00212">
        <w:rPr>
          <w:rFonts w:ascii="Arial" w:hAnsi="Arial" w:cs="Arial"/>
          <w:sz w:val="18"/>
          <w:szCs w:val="18"/>
          <w:lang w:val="el-GR"/>
        </w:rPr>
        <w:t>1.5</w:t>
      </w:r>
      <w:r w:rsidR="008C7AAA" w:rsidRPr="00A00212">
        <w:rPr>
          <w:rFonts w:ascii="Arial" w:hAnsi="Arial" w:cs="Arial"/>
          <w:sz w:val="18"/>
          <w:szCs w:val="18"/>
          <w:lang w:val="el-GR"/>
        </w:rPr>
        <w:t>% των κερδών πριν τη φορολογία</w:t>
      </w:r>
      <w:r w:rsidR="00CF2CF8" w:rsidRPr="00A00212">
        <w:rPr>
          <w:rFonts w:ascii="Arial" w:hAnsi="Arial" w:cs="Arial"/>
          <w:sz w:val="18"/>
          <w:szCs w:val="18"/>
          <w:lang w:val="el-GR"/>
        </w:rPr>
        <w:t xml:space="preserve"> για το </w:t>
      </w:r>
      <w:r w:rsidR="007A2F9B">
        <w:rPr>
          <w:rFonts w:ascii="Arial" w:hAnsi="Arial" w:cs="Arial"/>
          <w:sz w:val="18"/>
          <w:szCs w:val="18"/>
          <w:lang w:val="el-GR"/>
        </w:rPr>
        <w:t>εννεάμηνο</w:t>
      </w:r>
      <w:r w:rsidR="00473461">
        <w:rPr>
          <w:rFonts w:ascii="Arial" w:hAnsi="Arial" w:cs="Arial"/>
          <w:sz w:val="18"/>
          <w:szCs w:val="18"/>
          <w:lang w:val="el-GR"/>
        </w:rPr>
        <w:t xml:space="preserve"> που έληξε στις 30 Σεπτεμβρίου 2024</w:t>
      </w:r>
      <w:r w:rsidR="00A815F1" w:rsidRPr="00A00212">
        <w:rPr>
          <w:rFonts w:ascii="Arial" w:hAnsi="Arial" w:cs="Arial"/>
          <w:sz w:val="18"/>
          <w:szCs w:val="18"/>
          <w:lang w:val="el-GR"/>
        </w:rPr>
        <w:t>.</w:t>
      </w:r>
      <w:r w:rsidR="00473461">
        <w:rPr>
          <w:rFonts w:ascii="Arial" w:hAnsi="Arial" w:cs="Arial"/>
          <w:sz w:val="18"/>
          <w:szCs w:val="18"/>
          <w:lang w:val="el-GR"/>
        </w:rPr>
        <w:t xml:space="preserve"> </w:t>
      </w:r>
      <w:r w:rsidR="00770F16" w:rsidRPr="00A00212">
        <w:rPr>
          <w:rFonts w:ascii="Arial" w:hAnsi="Arial" w:cs="Arial"/>
          <w:sz w:val="18"/>
          <w:szCs w:val="18"/>
          <w:lang w:val="el-GR"/>
        </w:rPr>
        <w:t xml:space="preserve">Λόγω της πολυπλοκότητας του υπολογισμού που προκύπτει από αυτούς τους κανόνες και </w:t>
      </w:r>
      <w:r w:rsidR="00D00652" w:rsidRPr="00A00212">
        <w:rPr>
          <w:rFonts w:ascii="Arial" w:hAnsi="Arial" w:cs="Arial"/>
          <w:sz w:val="18"/>
          <w:szCs w:val="18"/>
          <w:lang w:val="el-GR"/>
        </w:rPr>
        <w:t xml:space="preserve">το γεγονός ότι </w:t>
      </w:r>
      <w:r w:rsidR="00770F16" w:rsidRPr="00A00212">
        <w:rPr>
          <w:rFonts w:ascii="Arial" w:hAnsi="Arial" w:cs="Arial"/>
          <w:sz w:val="18"/>
          <w:szCs w:val="18"/>
          <w:lang w:val="el-GR"/>
        </w:rPr>
        <w:t xml:space="preserve">η τελική νομοθεσία δεν έχει ακόμη </w:t>
      </w:r>
      <w:r w:rsidR="00F71437" w:rsidRPr="00A00212">
        <w:rPr>
          <w:rFonts w:ascii="Arial" w:hAnsi="Arial" w:cs="Arial"/>
          <w:sz w:val="18"/>
          <w:szCs w:val="18"/>
          <w:lang w:val="el-GR"/>
        </w:rPr>
        <w:t>εφαρμοστεί</w:t>
      </w:r>
      <w:r w:rsidR="00770F16" w:rsidRPr="00A00212">
        <w:rPr>
          <w:rFonts w:ascii="Arial" w:hAnsi="Arial" w:cs="Arial"/>
          <w:sz w:val="18"/>
          <w:szCs w:val="18"/>
          <w:lang w:val="el-GR"/>
        </w:rPr>
        <w:t xml:space="preserve">, </w:t>
      </w:r>
      <w:r w:rsidR="00A815F1" w:rsidRPr="00A00212">
        <w:rPr>
          <w:rFonts w:ascii="Arial" w:hAnsi="Arial" w:cs="Arial"/>
          <w:sz w:val="18"/>
          <w:szCs w:val="18"/>
          <w:lang w:val="el-GR"/>
        </w:rPr>
        <w:t>η επίπτωση</w:t>
      </w:r>
      <w:r w:rsidR="00770F16" w:rsidRPr="00A00212">
        <w:rPr>
          <w:rFonts w:ascii="Arial" w:hAnsi="Arial" w:cs="Arial"/>
          <w:sz w:val="18"/>
          <w:szCs w:val="18"/>
          <w:lang w:val="el-GR"/>
        </w:rPr>
        <w:t xml:space="preserve"> </w:t>
      </w:r>
      <w:r w:rsidR="00F71437" w:rsidRPr="00A00212">
        <w:rPr>
          <w:rFonts w:ascii="Arial" w:hAnsi="Arial" w:cs="Arial"/>
          <w:sz w:val="18"/>
          <w:szCs w:val="18"/>
          <w:lang w:val="el-GR"/>
        </w:rPr>
        <w:t>της</w:t>
      </w:r>
      <w:r w:rsidR="00770F16" w:rsidRPr="00A00212">
        <w:rPr>
          <w:rFonts w:ascii="Arial" w:hAnsi="Arial" w:cs="Arial"/>
          <w:sz w:val="18"/>
          <w:szCs w:val="18"/>
          <w:lang w:val="el-GR"/>
        </w:rPr>
        <w:t xml:space="preserve"> μεταρρύθμισης</w:t>
      </w:r>
      <w:r w:rsidR="00A815F1" w:rsidRPr="00A00212">
        <w:rPr>
          <w:rFonts w:ascii="Arial" w:hAnsi="Arial" w:cs="Arial"/>
          <w:sz w:val="18"/>
          <w:szCs w:val="18"/>
          <w:lang w:val="el-GR"/>
        </w:rPr>
        <w:t xml:space="preserve"> </w:t>
      </w:r>
      <w:r w:rsidR="002D299D" w:rsidRPr="00A00212">
        <w:rPr>
          <w:rFonts w:ascii="Arial" w:hAnsi="Arial" w:cs="Arial"/>
          <w:sz w:val="18"/>
          <w:szCs w:val="18"/>
          <w:lang w:val="el-GR"/>
        </w:rPr>
        <w:t xml:space="preserve">έχει εκτιμηθεί σε εύρος μέχρι </w:t>
      </w:r>
      <w:r w:rsidR="00A815F1" w:rsidRPr="00A00212">
        <w:rPr>
          <w:rFonts w:ascii="Arial" w:hAnsi="Arial" w:cs="Arial"/>
          <w:sz w:val="18"/>
          <w:szCs w:val="18"/>
          <w:lang w:val="el-GR"/>
        </w:rPr>
        <w:t xml:space="preserve">2% των κερδών πριν τη φορολογία, και </w:t>
      </w:r>
      <w:r w:rsidR="00302109" w:rsidRPr="00A00212">
        <w:rPr>
          <w:rFonts w:ascii="Arial" w:hAnsi="Arial" w:cs="Arial"/>
          <w:sz w:val="18"/>
          <w:szCs w:val="18"/>
          <w:lang w:val="el-GR"/>
        </w:rPr>
        <w:t xml:space="preserve">θα εξεταστεί </w:t>
      </w:r>
      <w:r w:rsidR="00A815F1" w:rsidRPr="00A00212">
        <w:rPr>
          <w:rFonts w:ascii="Arial" w:hAnsi="Arial" w:cs="Arial"/>
          <w:sz w:val="18"/>
          <w:szCs w:val="18"/>
          <w:lang w:val="el-GR"/>
        </w:rPr>
        <w:t>η περαιτέρω</w:t>
      </w:r>
      <w:r w:rsidR="00D00652" w:rsidRPr="00A00212">
        <w:rPr>
          <w:rFonts w:ascii="Arial" w:hAnsi="Arial" w:cs="Arial"/>
          <w:sz w:val="18"/>
          <w:szCs w:val="18"/>
          <w:lang w:val="el-GR"/>
        </w:rPr>
        <w:t xml:space="preserve"> βελτιστοποίηση</w:t>
      </w:r>
      <w:r w:rsidR="00F71437" w:rsidRPr="00A00212">
        <w:rPr>
          <w:rFonts w:ascii="Arial" w:hAnsi="Arial" w:cs="Arial"/>
          <w:sz w:val="18"/>
          <w:szCs w:val="18"/>
          <w:lang w:val="el-GR"/>
        </w:rPr>
        <w:t xml:space="preserve"> </w:t>
      </w:r>
      <w:r w:rsidR="00D00652" w:rsidRPr="00A00212">
        <w:rPr>
          <w:rFonts w:ascii="Arial" w:hAnsi="Arial" w:cs="Arial"/>
          <w:sz w:val="18"/>
          <w:szCs w:val="18"/>
          <w:lang w:val="el-GR"/>
        </w:rPr>
        <w:t>τ</w:t>
      </w:r>
      <w:r w:rsidR="00770F16" w:rsidRPr="00A00212">
        <w:rPr>
          <w:rFonts w:ascii="Arial" w:hAnsi="Arial" w:cs="Arial"/>
          <w:sz w:val="18"/>
          <w:szCs w:val="18"/>
          <w:lang w:val="el-GR"/>
        </w:rPr>
        <w:t>η</w:t>
      </w:r>
      <w:r w:rsidR="00D00652" w:rsidRPr="00A00212">
        <w:rPr>
          <w:rFonts w:ascii="Arial" w:hAnsi="Arial" w:cs="Arial"/>
          <w:sz w:val="18"/>
          <w:szCs w:val="18"/>
          <w:lang w:val="el-GR"/>
        </w:rPr>
        <w:t>ς</w:t>
      </w:r>
      <w:r w:rsidR="00770F16" w:rsidRPr="00A00212">
        <w:rPr>
          <w:rFonts w:ascii="Arial" w:hAnsi="Arial" w:cs="Arial"/>
          <w:sz w:val="18"/>
          <w:szCs w:val="18"/>
          <w:lang w:val="el-GR"/>
        </w:rPr>
        <w:t xml:space="preserve"> ποσοτικοποίηση</w:t>
      </w:r>
      <w:r w:rsidR="00D00652" w:rsidRPr="00A00212">
        <w:rPr>
          <w:rFonts w:ascii="Arial" w:hAnsi="Arial" w:cs="Arial"/>
          <w:sz w:val="18"/>
          <w:szCs w:val="18"/>
          <w:lang w:val="el-GR"/>
        </w:rPr>
        <w:t>ς</w:t>
      </w:r>
      <w:r w:rsidR="00A815F1" w:rsidRPr="00A00212">
        <w:rPr>
          <w:rFonts w:ascii="Arial" w:hAnsi="Arial" w:cs="Arial"/>
          <w:sz w:val="18"/>
          <w:szCs w:val="18"/>
          <w:lang w:val="el-GR"/>
        </w:rPr>
        <w:t xml:space="preserve"> </w:t>
      </w:r>
      <w:r w:rsidR="003B242E" w:rsidRPr="00A00212">
        <w:rPr>
          <w:rFonts w:ascii="Arial" w:hAnsi="Arial" w:cs="Arial"/>
          <w:sz w:val="18"/>
          <w:szCs w:val="18"/>
          <w:lang w:val="el-GR"/>
        </w:rPr>
        <w:t xml:space="preserve">μέχρι την </w:t>
      </w:r>
      <w:r w:rsidR="00A815F1" w:rsidRPr="00A00212">
        <w:rPr>
          <w:rFonts w:ascii="Arial" w:hAnsi="Arial" w:cs="Arial"/>
          <w:sz w:val="18"/>
          <w:szCs w:val="18"/>
          <w:lang w:val="el-GR"/>
        </w:rPr>
        <w:t xml:space="preserve">θέσπιση και </w:t>
      </w:r>
      <w:r w:rsidR="003B242E" w:rsidRPr="00A00212">
        <w:rPr>
          <w:rFonts w:ascii="Arial" w:hAnsi="Arial" w:cs="Arial"/>
          <w:sz w:val="18"/>
          <w:szCs w:val="18"/>
          <w:lang w:val="el-GR"/>
        </w:rPr>
        <w:t>εφαρμογή της σχετικής νομοθεσίας.</w:t>
      </w:r>
      <w:r w:rsidR="00770F16" w:rsidRPr="00A00212">
        <w:rPr>
          <w:rFonts w:ascii="Arial" w:hAnsi="Arial" w:cs="Arial"/>
          <w:sz w:val="18"/>
          <w:szCs w:val="18"/>
          <w:lang w:val="el-GR"/>
        </w:rPr>
        <w:t xml:space="preserve"> </w:t>
      </w:r>
    </w:p>
    <w:p w14:paraId="3023BEC1" w14:textId="77777777" w:rsidR="00FD0147" w:rsidRPr="007246A9" w:rsidRDefault="00FD0147" w:rsidP="00FD0147">
      <w:pPr>
        <w:spacing w:after="0" w:line="240" w:lineRule="auto"/>
        <w:jc w:val="both"/>
        <w:rPr>
          <w:rFonts w:ascii="Arial" w:hAnsi="Arial" w:cs="Arial"/>
          <w:sz w:val="18"/>
          <w:szCs w:val="18"/>
          <w:lang w:val="el-GR"/>
        </w:rPr>
      </w:pPr>
    </w:p>
    <w:p w14:paraId="2F02BE72" w14:textId="59868893" w:rsidR="001025CB" w:rsidRPr="00502B4F" w:rsidRDefault="00F26111" w:rsidP="00F26350">
      <w:pPr>
        <w:spacing w:after="0" w:line="240" w:lineRule="auto"/>
        <w:jc w:val="both"/>
        <w:rPr>
          <w:rFonts w:ascii="Arial" w:hAnsi="Arial" w:cs="Arial"/>
          <w:sz w:val="18"/>
          <w:szCs w:val="18"/>
          <w:lang w:val="el-GR"/>
        </w:rPr>
      </w:pPr>
      <w:r w:rsidRPr="007246A9">
        <w:rPr>
          <w:rFonts w:ascii="Arial" w:hAnsi="Arial" w:cs="Arial"/>
          <w:b/>
          <w:bCs/>
          <w:sz w:val="18"/>
          <w:szCs w:val="18"/>
          <w:lang w:val="el-GR"/>
        </w:rPr>
        <w:t>Τα κέρδη μετά τη φορολογία και πριν τα μη</w:t>
      </w:r>
      <w:r w:rsidR="00E71E97" w:rsidRPr="007246A9">
        <w:rPr>
          <w:rFonts w:ascii="Arial" w:hAnsi="Arial" w:cs="Arial"/>
          <w:b/>
          <w:bCs/>
          <w:sz w:val="18"/>
          <w:szCs w:val="18"/>
          <w:lang w:val="el-GR"/>
        </w:rPr>
        <w:t>-</w:t>
      </w:r>
      <w:r w:rsidRPr="007246A9">
        <w:rPr>
          <w:rFonts w:ascii="Arial" w:hAnsi="Arial" w:cs="Arial"/>
          <w:b/>
          <w:bCs/>
          <w:sz w:val="18"/>
          <w:szCs w:val="18"/>
          <w:lang w:val="el-GR"/>
        </w:rPr>
        <w:t>επαναλαμβανόμενα στοιχεία (που αναλογούν στους ιδιοκτήτες της Εταιρίας)</w:t>
      </w:r>
      <w:r w:rsidRPr="007246A9">
        <w:rPr>
          <w:rFonts w:ascii="Arial" w:hAnsi="Arial" w:cs="Arial"/>
          <w:sz w:val="18"/>
          <w:szCs w:val="18"/>
          <w:lang w:val="el-GR"/>
        </w:rPr>
        <w:t xml:space="preserve"> </w:t>
      </w:r>
      <w:r w:rsidR="006E6930" w:rsidRPr="007246A9">
        <w:rPr>
          <w:rFonts w:ascii="Arial" w:hAnsi="Arial" w:cs="Arial"/>
          <w:sz w:val="18"/>
          <w:szCs w:val="18"/>
          <w:lang w:val="el-GR"/>
        </w:rPr>
        <w:t xml:space="preserve">για </w:t>
      </w:r>
      <w:r w:rsidR="00711677" w:rsidRPr="007246A9">
        <w:rPr>
          <w:rFonts w:ascii="Arial" w:hAnsi="Arial" w:cs="Arial"/>
          <w:sz w:val="18"/>
          <w:szCs w:val="18"/>
          <w:lang w:val="el-GR"/>
        </w:rPr>
        <w:t>το</w:t>
      </w:r>
      <w:r w:rsidR="00F304EF" w:rsidRPr="007246A9">
        <w:rPr>
          <w:rFonts w:ascii="Arial" w:hAnsi="Arial" w:cs="Arial"/>
          <w:sz w:val="18"/>
          <w:szCs w:val="18"/>
          <w:lang w:val="el-GR"/>
        </w:rPr>
        <w:t xml:space="preserve"> </w:t>
      </w:r>
      <w:r w:rsidR="007A2F9B">
        <w:rPr>
          <w:rFonts w:ascii="Arial" w:hAnsi="Arial" w:cs="Arial"/>
          <w:sz w:val="18"/>
          <w:szCs w:val="18"/>
          <w:lang w:val="el-GR" w:eastAsia="el-GR"/>
        </w:rPr>
        <w:t>εννεάμηνο</w:t>
      </w:r>
      <w:r w:rsidR="00B5646E" w:rsidRPr="00B5646E">
        <w:rPr>
          <w:rFonts w:ascii="Arial" w:hAnsi="Arial" w:cs="Arial"/>
          <w:sz w:val="18"/>
          <w:szCs w:val="18"/>
          <w:lang w:val="el-GR" w:eastAsia="el-GR"/>
        </w:rPr>
        <w:t xml:space="preserve"> που έληξε στις 30 Σεπτεμβρίου</w:t>
      </w:r>
      <w:r w:rsidR="00B5646E" w:rsidRPr="007246A9">
        <w:rPr>
          <w:rFonts w:ascii="Arial" w:hAnsi="Arial" w:cs="Arial"/>
          <w:sz w:val="18"/>
          <w:szCs w:val="18"/>
          <w:lang w:val="el-GR"/>
        </w:rPr>
        <w:t xml:space="preserve"> </w:t>
      </w:r>
      <w:r w:rsidR="00F304EF" w:rsidRPr="007246A9">
        <w:rPr>
          <w:rFonts w:ascii="Arial" w:hAnsi="Arial" w:cs="Arial"/>
          <w:sz w:val="18"/>
          <w:szCs w:val="18"/>
          <w:lang w:val="el-GR"/>
        </w:rPr>
        <w:t>2024 ανήλθε σε €</w:t>
      </w:r>
      <w:r w:rsidR="005B5CFC" w:rsidRPr="00502B4F">
        <w:rPr>
          <w:rFonts w:ascii="Arial" w:hAnsi="Arial" w:cs="Arial"/>
          <w:bCs/>
          <w:sz w:val="18"/>
          <w:lang w:val="el-GR"/>
        </w:rPr>
        <w:t>401</w:t>
      </w:r>
      <w:r w:rsidR="005B5CFC">
        <w:rPr>
          <w:rFonts w:ascii="Arial" w:hAnsi="Arial" w:cs="Arial"/>
          <w:bCs/>
          <w:sz w:val="18"/>
          <w:lang w:val="el-GR"/>
        </w:rPr>
        <w:t xml:space="preserve"> </w:t>
      </w:r>
      <w:r w:rsidR="00F304EF" w:rsidRPr="007246A9">
        <w:rPr>
          <w:rFonts w:ascii="Arial" w:hAnsi="Arial" w:cs="Arial"/>
          <w:sz w:val="18"/>
          <w:szCs w:val="18"/>
          <w:lang w:val="el-GR"/>
        </w:rPr>
        <w:t>εκατ., σε σύγκριση με €</w:t>
      </w:r>
      <w:r w:rsidR="00B5646E" w:rsidRPr="007246A9">
        <w:rPr>
          <w:rFonts w:ascii="Arial" w:hAnsi="Arial" w:cs="Arial"/>
          <w:sz w:val="18"/>
          <w:szCs w:val="18"/>
          <w:lang w:val="el-GR"/>
        </w:rPr>
        <w:t>351</w:t>
      </w:r>
      <w:r w:rsidR="00B5646E" w:rsidRPr="00B5646E">
        <w:rPr>
          <w:rFonts w:ascii="Arial" w:eastAsia="Times New Roman" w:hAnsi="Arial" w:cs="Arial"/>
          <w:b/>
          <w:bCs/>
          <w:sz w:val="18"/>
          <w:szCs w:val="20"/>
          <w:lang w:val="el-GR" w:eastAsia="el-GR"/>
        </w:rPr>
        <w:t xml:space="preserve"> </w:t>
      </w:r>
      <w:r w:rsidR="00F304EF" w:rsidRPr="007246A9">
        <w:rPr>
          <w:rFonts w:ascii="Arial" w:hAnsi="Arial" w:cs="Arial"/>
          <w:sz w:val="18"/>
          <w:szCs w:val="18"/>
          <w:lang w:val="el-GR"/>
        </w:rPr>
        <w:t>εκατ. για το α</w:t>
      </w:r>
      <w:r w:rsidR="00B5646E" w:rsidRPr="007246A9">
        <w:rPr>
          <w:rFonts w:ascii="Arial" w:hAnsi="Arial" w:cs="Arial"/>
          <w:sz w:val="18"/>
          <w:szCs w:val="18"/>
          <w:lang w:val="el-GR"/>
        </w:rPr>
        <w:t xml:space="preserve">ντίστοιχο </w:t>
      </w:r>
      <w:r w:rsidR="007A2F9B">
        <w:rPr>
          <w:rFonts w:ascii="Arial" w:hAnsi="Arial" w:cs="Arial"/>
          <w:sz w:val="18"/>
          <w:szCs w:val="18"/>
          <w:lang w:val="el-GR"/>
        </w:rPr>
        <w:t>εννεάμηνο</w:t>
      </w:r>
      <w:r w:rsidR="00B5646E" w:rsidRPr="007246A9">
        <w:rPr>
          <w:rFonts w:ascii="Arial" w:hAnsi="Arial" w:cs="Arial"/>
          <w:sz w:val="18"/>
          <w:szCs w:val="18"/>
          <w:lang w:val="el-GR"/>
        </w:rPr>
        <w:t xml:space="preserve"> </w:t>
      </w:r>
      <w:r w:rsidR="00F304EF" w:rsidRPr="007246A9">
        <w:rPr>
          <w:rFonts w:ascii="Arial" w:hAnsi="Arial" w:cs="Arial"/>
          <w:sz w:val="18"/>
          <w:szCs w:val="18"/>
          <w:lang w:val="el-GR"/>
        </w:rPr>
        <w:t>2023.</w:t>
      </w:r>
      <w:r w:rsidR="00F304EF" w:rsidRPr="007246A9">
        <w:rPr>
          <w:rFonts w:ascii="Arial" w:hAnsi="Arial" w:cs="Arial"/>
          <w:b/>
          <w:bCs/>
          <w:sz w:val="18"/>
          <w:szCs w:val="18"/>
          <w:lang w:val="el-GR"/>
        </w:rPr>
        <w:t xml:space="preserve"> </w:t>
      </w:r>
      <w:r w:rsidR="00F304EF" w:rsidRPr="007246A9">
        <w:rPr>
          <w:rFonts w:ascii="Arial" w:hAnsi="Arial" w:cs="Arial"/>
          <w:sz w:val="18"/>
          <w:szCs w:val="18"/>
          <w:lang w:val="el-GR"/>
        </w:rPr>
        <w:t xml:space="preserve">Τα κέρδη μετά τη φορολογία και πριν τα μη-επαναλαμβανόμενα στοιχεία (που αναλογούν στους ιδιοκτήτες της Εταιρίας) για το </w:t>
      </w:r>
      <w:r w:rsidR="00B5646E" w:rsidRPr="007246A9">
        <w:rPr>
          <w:rFonts w:ascii="Arial" w:hAnsi="Arial" w:cs="Arial"/>
          <w:sz w:val="18"/>
          <w:szCs w:val="18"/>
          <w:lang w:val="el-GR"/>
        </w:rPr>
        <w:t xml:space="preserve">γ’ </w:t>
      </w:r>
      <w:r w:rsidR="001025CB" w:rsidRPr="007246A9">
        <w:rPr>
          <w:rFonts w:ascii="Arial" w:hAnsi="Arial" w:cs="Arial"/>
          <w:sz w:val="18"/>
          <w:szCs w:val="18"/>
          <w:lang w:val="el-GR"/>
        </w:rPr>
        <w:t xml:space="preserve">τρίμηνο 2024 </w:t>
      </w:r>
      <w:r w:rsidRPr="007246A9">
        <w:rPr>
          <w:rFonts w:ascii="Arial" w:hAnsi="Arial" w:cs="Arial"/>
          <w:sz w:val="18"/>
          <w:szCs w:val="18"/>
          <w:lang w:val="el-GR"/>
        </w:rPr>
        <w:t>ανήλθαν σε €</w:t>
      </w:r>
      <w:r w:rsidR="005B5CFC" w:rsidRPr="00A00212">
        <w:rPr>
          <w:rFonts w:ascii="Arial" w:hAnsi="Arial" w:cs="Arial"/>
          <w:bCs/>
          <w:color w:val="000000" w:themeColor="text1"/>
          <w:sz w:val="18"/>
          <w:lang w:val="el-GR"/>
        </w:rPr>
        <w:t xml:space="preserve">131 </w:t>
      </w:r>
      <w:r w:rsidRPr="005B5CFC">
        <w:rPr>
          <w:rFonts w:ascii="Arial" w:hAnsi="Arial" w:cs="Arial"/>
          <w:sz w:val="18"/>
          <w:szCs w:val="18"/>
          <w:lang w:val="el-GR"/>
        </w:rPr>
        <w:t>εκατ., σε σύγκριση με €</w:t>
      </w:r>
      <w:r w:rsidR="00B5646E" w:rsidRPr="005B5CFC">
        <w:rPr>
          <w:rFonts w:ascii="Arial" w:hAnsi="Arial" w:cs="Arial"/>
          <w:bCs/>
          <w:sz w:val="18"/>
          <w:szCs w:val="18"/>
          <w:lang w:val="el-GR"/>
        </w:rPr>
        <w:t xml:space="preserve">137 </w:t>
      </w:r>
      <w:r w:rsidRPr="005B5CFC">
        <w:rPr>
          <w:rFonts w:ascii="Arial" w:hAnsi="Arial" w:cs="Arial"/>
          <w:sz w:val="18"/>
          <w:szCs w:val="18"/>
          <w:lang w:val="el-GR"/>
        </w:rPr>
        <w:t xml:space="preserve">εκατ. </w:t>
      </w:r>
      <w:r w:rsidR="006E6930" w:rsidRPr="005B5CFC">
        <w:rPr>
          <w:rFonts w:ascii="Arial" w:hAnsi="Arial" w:cs="Arial"/>
          <w:sz w:val="18"/>
          <w:szCs w:val="18"/>
          <w:lang w:val="el-GR"/>
        </w:rPr>
        <w:t xml:space="preserve">για </w:t>
      </w:r>
      <w:r w:rsidR="00711677" w:rsidRPr="005B5CFC">
        <w:rPr>
          <w:rFonts w:ascii="Arial" w:hAnsi="Arial" w:cs="Arial"/>
          <w:sz w:val="18"/>
          <w:szCs w:val="18"/>
          <w:lang w:val="el-GR"/>
        </w:rPr>
        <w:t xml:space="preserve">το </w:t>
      </w:r>
      <w:r w:rsidR="00B5646E" w:rsidRPr="005B5CFC">
        <w:rPr>
          <w:rFonts w:ascii="Arial" w:hAnsi="Arial" w:cs="Arial"/>
          <w:sz w:val="18"/>
          <w:szCs w:val="18"/>
          <w:lang w:val="el-GR"/>
        </w:rPr>
        <w:t xml:space="preserve">β’ </w:t>
      </w:r>
      <w:r w:rsidR="001025CB" w:rsidRPr="005B5CFC">
        <w:rPr>
          <w:rFonts w:ascii="Arial" w:hAnsi="Arial" w:cs="Arial"/>
          <w:sz w:val="18"/>
          <w:szCs w:val="18"/>
          <w:lang w:val="el-GR"/>
        </w:rPr>
        <w:t xml:space="preserve">τρίμηνο </w:t>
      </w:r>
      <w:r w:rsidR="00F304EF" w:rsidRPr="005B5CFC">
        <w:rPr>
          <w:rFonts w:ascii="Arial" w:hAnsi="Arial" w:cs="Arial"/>
          <w:sz w:val="18"/>
          <w:szCs w:val="18"/>
          <w:lang w:val="el-GR"/>
        </w:rPr>
        <w:t>2024.</w:t>
      </w:r>
    </w:p>
    <w:p w14:paraId="488018DF" w14:textId="77777777" w:rsidR="00FD0147" w:rsidRPr="007246A9" w:rsidRDefault="00FD0147" w:rsidP="00FD0147">
      <w:pPr>
        <w:spacing w:after="0" w:line="240" w:lineRule="auto"/>
        <w:jc w:val="both"/>
        <w:rPr>
          <w:rFonts w:ascii="Arial" w:hAnsi="Arial" w:cs="Arial"/>
          <w:sz w:val="18"/>
          <w:szCs w:val="18"/>
          <w:lang w:val="el-GR"/>
        </w:rPr>
      </w:pPr>
    </w:p>
    <w:p w14:paraId="711DAB98" w14:textId="1AC0FCB1" w:rsidR="00976920" w:rsidRPr="00D41B36" w:rsidRDefault="00F26111" w:rsidP="005B0BAF">
      <w:pPr>
        <w:spacing w:after="0" w:line="240" w:lineRule="auto"/>
        <w:jc w:val="both"/>
        <w:rPr>
          <w:rFonts w:ascii="Arial" w:hAnsi="Arial" w:cs="Arial"/>
          <w:bCs/>
          <w:sz w:val="18"/>
          <w:szCs w:val="18"/>
          <w:highlight w:val="yellow"/>
          <w:lang w:val="el-GR"/>
        </w:rPr>
      </w:pPr>
      <w:r w:rsidRPr="007246A9">
        <w:rPr>
          <w:rFonts w:ascii="Arial" w:hAnsi="Arial" w:cs="Arial"/>
          <w:b/>
          <w:sz w:val="18"/>
          <w:szCs w:val="18"/>
          <w:lang w:val="el-GR"/>
        </w:rPr>
        <w:t xml:space="preserve">Τα έξοδα </w:t>
      </w:r>
      <w:r w:rsidR="00C36D38" w:rsidRPr="007246A9">
        <w:rPr>
          <w:rFonts w:ascii="Arial" w:hAnsi="Arial" w:cs="Arial"/>
          <w:b/>
          <w:sz w:val="18"/>
          <w:szCs w:val="18"/>
          <w:lang w:val="el-GR"/>
        </w:rPr>
        <w:t xml:space="preserve">από συμβουλευτικές υπηρεσίες </w:t>
      </w:r>
      <w:r w:rsidRPr="007246A9">
        <w:rPr>
          <w:rFonts w:ascii="Arial" w:hAnsi="Arial" w:cs="Arial"/>
          <w:b/>
          <w:sz w:val="18"/>
          <w:szCs w:val="18"/>
          <w:lang w:val="el-GR"/>
        </w:rPr>
        <w:t xml:space="preserve">και άλλα έξοδα </w:t>
      </w:r>
      <w:r w:rsidR="009E15EA" w:rsidRPr="007246A9">
        <w:rPr>
          <w:rFonts w:ascii="Arial" w:hAnsi="Arial" w:cs="Arial"/>
          <w:b/>
          <w:sz w:val="18"/>
          <w:szCs w:val="18"/>
          <w:lang w:val="el-GR"/>
        </w:rPr>
        <w:t>μετασχηματισμού</w:t>
      </w:r>
      <w:r w:rsidR="009E15EA" w:rsidRPr="007246A9">
        <w:rPr>
          <w:rFonts w:ascii="Arial" w:hAnsi="Arial" w:cs="Arial"/>
          <w:sz w:val="16"/>
          <w:szCs w:val="16"/>
          <w:lang w:val="el-GR"/>
        </w:rPr>
        <w:t xml:space="preserve"> </w:t>
      </w:r>
      <w:r w:rsidR="00E71E97" w:rsidRPr="007246A9">
        <w:rPr>
          <w:rFonts w:ascii="Arial" w:hAnsi="Arial" w:cs="Arial"/>
          <w:b/>
          <w:sz w:val="18"/>
          <w:szCs w:val="18"/>
          <w:lang w:val="el-GR"/>
        </w:rPr>
        <w:t xml:space="preserve">– </w:t>
      </w:r>
      <w:r w:rsidRPr="007246A9">
        <w:rPr>
          <w:rFonts w:ascii="Arial" w:hAnsi="Arial" w:cs="Arial"/>
          <w:b/>
          <w:sz w:val="18"/>
          <w:szCs w:val="18"/>
          <w:lang w:val="el-GR"/>
        </w:rPr>
        <w:t xml:space="preserve">οργανικά </w:t>
      </w:r>
      <w:r w:rsidR="00B256A4" w:rsidRPr="007246A9">
        <w:rPr>
          <w:rFonts w:ascii="Arial" w:hAnsi="Arial" w:cs="Arial"/>
          <w:sz w:val="18"/>
          <w:szCs w:val="18"/>
          <w:lang w:val="el-GR"/>
        </w:rPr>
        <w:t xml:space="preserve">για </w:t>
      </w:r>
      <w:r w:rsidR="00711677" w:rsidRPr="007246A9">
        <w:rPr>
          <w:rFonts w:ascii="Arial" w:hAnsi="Arial" w:cs="Arial"/>
          <w:sz w:val="18"/>
          <w:szCs w:val="18"/>
          <w:lang w:val="el-GR"/>
        </w:rPr>
        <w:t>το</w:t>
      </w:r>
      <w:r w:rsidR="00667818" w:rsidRPr="007246A9">
        <w:rPr>
          <w:rFonts w:ascii="Arial" w:hAnsi="Arial" w:cs="Arial"/>
          <w:sz w:val="18"/>
          <w:szCs w:val="18"/>
          <w:lang w:val="el-GR"/>
        </w:rPr>
        <w:t xml:space="preserve"> </w:t>
      </w:r>
      <w:r w:rsidR="007A2F9B">
        <w:rPr>
          <w:rFonts w:ascii="Arial" w:hAnsi="Arial" w:cs="Arial"/>
          <w:sz w:val="18"/>
          <w:szCs w:val="18"/>
          <w:lang w:val="el-GR" w:eastAsia="el-GR"/>
        </w:rPr>
        <w:t>εννεάμηνο</w:t>
      </w:r>
      <w:r w:rsidR="00667818" w:rsidRPr="00667818">
        <w:rPr>
          <w:rFonts w:ascii="Arial" w:hAnsi="Arial" w:cs="Arial"/>
          <w:sz w:val="18"/>
          <w:szCs w:val="18"/>
          <w:lang w:val="el-GR" w:eastAsia="el-GR"/>
        </w:rPr>
        <w:t xml:space="preserve"> που έληξε στις 30 Σεπτεμβρίου</w:t>
      </w:r>
      <w:r w:rsidR="00667818" w:rsidRPr="00667818">
        <w:rPr>
          <w:rFonts w:ascii="Arial" w:hAnsi="Arial" w:cs="Arial"/>
          <w:sz w:val="18"/>
          <w:szCs w:val="18"/>
          <w:lang w:val="el-GR"/>
        </w:rPr>
        <w:t xml:space="preserve"> </w:t>
      </w:r>
      <w:r w:rsidR="0017585D" w:rsidRPr="007246A9">
        <w:rPr>
          <w:rFonts w:ascii="Arial" w:hAnsi="Arial" w:cs="Arial"/>
          <w:sz w:val="18"/>
          <w:szCs w:val="18"/>
          <w:lang w:val="el-GR"/>
        </w:rPr>
        <w:t xml:space="preserve">2024 ήταν μηδενικά, σε σύγκριση με €2 εκατ. για </w:t>
      </w:r>
      <w:r w:rsidR="00667818" w:rsidRPr="007246A9">
        <w:rPr>
          <w:rFonts w:ascii="Arial" w:hAnsi="Arial" w:cs="Arial"/>
          <w:sz w:val="18"/>
          <w:szCs w:val="18"/>
          <w:lang w:val="el-GR"/>
        </w:rPr>
        <w:t xml:space="preserve">το αντίστοιχο </w:t>
      </w:r>
      <w:r w:rsidR="007A2F9B">
        <w:rPr>
          <w:rFonts w:ascii="Arial" w:hAnsi="Arial" w:cs="Arial"/>
          <w:sz w:val="18"/>
          <w:szCs w:val="18"/>
          <w:lang w:val="el-GR" w:eastAsia="el-GR"/>
        </w:rPr>
        <w:t>εννεάμηνο</w:t>
      </w:r>
      <w:r w:rsidR="00667818" w:rsidRPr="00667818">
        <w:rPr>
          <w:rFonts w:ascii="Arial" w:hAnsi="Arial" w:cs="Arial"/>
          <w:sz w:val="18"/>
          <w:szCs w:val="18"/>
          <w:lang w:val="el-GR" w:eastAsia="el-GR"/>
        </w:rPr>
        <w:t xml:space="preserve"> </w:t>
      </w:r>
      <w:r w:rsidR="0017585D" w:rsidRPr="007246A9">
        <w:rPr>
          <w:rFonts w:ascii="Arial" w:hAnsi="Arial" w:cs="Arial"/>
          <w:sz w:val="18"/>
          <w:szCs w:val="18"/>
          <w:lang w:val="el-GR"/>
        </w:rPr>
        <w:t xml:space="preserve">2023. </w:t>
      </w:r>
      <w:r w:rsidR="0017585D" w:rsidRPr="007246A9">
        <w:rPr>
          <w:rFonts w:ascii="Arial" w:hAnsi="Arial" w:cs="Arial"/>
          <w:bCs/>
          <w:sz w:val="18"/>
          <w:szCs w:val="18"/>
          <w:lang w:val="el-GR"/>
        </w:rPr>
        <w:t>Τα έξοδα από συμβουλευτικές υπηρεσίες και άλλα έξοδα μετασχηματισμού</w:t>
      </w:r>
      <w:r w:rsidR="0017585D" w:rsidRPr="007246A9">
        <w:rPr>
          <w:rFonts w:ascii="Arial" w:hAnsi="Arial" w:cs="Arial"/>
          <w:bCs/>
          <w:sz w:val="16"/>
          <w:szCs w:val="16"/>
          <w:lang w:val="el-GR"/>
        </w:rPr>
        <w:t xml:space="preserve"> </w:t>
      </w:r>
      <w:r w:rsidR="0017585D" w:rsidRPr="007246A9">
        <w:rPr>
          <w:rFonts w:ascii="Arial" w:hAnsi="Arial" w:cs="Arial"/>
          <w:bCs/>
          <w:sz w:val="18"/>
          <w:szCs w:val="18"/>
          <w:lang w:val="el-GR"/>
        </w:rPr>
        <w:t xml:space="preserve">– οργανικά για το </w:t>
      </w:r>
      <w:r w:rsidR="00667818" w:rsidRPr="007246A9">
        <w:rPr>
          <w:rFonts w:ascii="Arial" w:hAnsi="Arial" w:cs="Arial"/>
          <w:bCs/>
          <w:sz w:val="18"/>
          <w:szCs w:val="18"/>
          <w:lang w:val="el-GR"/>
        </w:rPr>
        <w:t xml:space="preserve">γ’ </w:t>
      </w:r>
      <w:r w:rsidR="0017585D" w:rsidRPr="007246A9">
        <w:rPr>
          <w:rFonts w:ascii="Arial" w:hAnsi="Arial" w:cs="Arial"/>
          <w:bCs/>
          <w:sz w:val="18"/>
          <w:szCs w:val="18"/>
          <w:lang w:val="el-GR"/>
        </w:rPr>
        <w:t xml:space="preserve">τρίμηνο 2024 </w:t>
      </w:r>
      <w:r w:rsidR="00976920" w:rsidRPr="007246A9">
        <w:rPr>
          <w:rFonts w:ascii="Arial" w:hAnsi="Arial" w:cs="Arial"/>
          <w:sz w:val="18"/>
          <w:szCs w:val="18"/>
          <w:lang w:val="el-GR"/>
        </w:rPr>
        <w:t>ήταν μηδενικά, στα ίδια επίπεδα σε τριμηνιαία βάση</w:t>
      </w:r>
      <w:r w:rsidR="0017585D" w:rsidRPr="007246A9">
        <w:rPr>
          <w:rFonts w:ascii="Arial" w:hAnsi="Arial" w:cs="Arial"/>
          <w:sz w:val="18"/>
          <w:szCs w:val="18"/>
          <w:lang w:val="el-GR"/>
        </w:rPr>
        <w:t xml:space="preserve">. </w:t>
      </w:r>
    </w:p>
    <w:p w14:paraId="0BE4BDFC" w14:textId="77777777" w:rsidR="00CC4020" w:rsidRPr="007246A9" w:rsidRDefault="00CC4020" w:rsidP="00F26350">
      <w:pPr>
        <w:pStyle w:val="BodyText3"/>
        <w:jc w:val="both"/>
        <w:rPr>
          <w:rFonts w:ascii="Arial" w:hAnsi="Arial" w:cs="Arial"/>
          <w:b/>
          <w:bCs/>
          <w:sz w:val="18"/>
          <w:szCs w:val="18"/>
          <w:lang w:val="el-GR"/>
        </w:rPr>
      </w:pPr>
    </w:p>
    <w:p w14:paraId="12A4520D" w14:textId="1B0620C7" w:rsidR="004A61DF" w:rsidRPr="00D41B36" w:rsidRDefault="00BC042D" w:rsidP="004065F4">
      <w:pPr>
        <w:pStyle w:val="BodyText3"/>
        <w:jc w:val="both"/>
        <w:rPr>
          <w:rFonts w:ascii="Arial" w:hAnsi="Arial" w:cs="Arial"/>
          <w:sz w:val="18"/>
          <w:highlight w:val="yellow"/>
          <w:lang w:val="el-GR"/>
        </w:rPr>
      </w:pPr>
      <w:r w:rsidRPr="007246A9">
        <w:rPr>
          <w:rFonts w:ascii="Arial" w:hAnsi="Arial" w:cs="Arial"/>
          <w:b/>
          <w:bCs/>
          <w:sz w:val="18"/>
          <w:szCs w:val="18"/>
          <w:lang w:val="el-GR"/>
        </w:rPr>
        <w:t>Τα κέρδη</w:t>
      </w:r>
      <w:r w:rsidR="00C250EC" w:rsidRPr="007246A9">
        <w:rPr>
          <w:rFonts w:ascii="Arial" w:hAnsi="Arial" w:cs="Arial"/>
          <w:b/>
          <w:bCs/>
          <w:sz w:val="18"/>
          <w:szCs w:val="18"/>
          <w:lang w:val="el-GR"/>
        </w:rPr>
        <w:t xml:space="preserve"> </w:t>
      </w:r>
      <w:r w:rsidRPr="007246A9">
        <w:rPr>
          <w:rFonts w:ascii="Arial" w:hAnsi="Arial" w:cs="Arial"/>
          <w:b/>
          <w:bCs/>
          <w:sz w:val="18"/>
          <w:szCs w:val="18"/>
          <w:lang w:val="el-GR"/>
        </w:rPr>
        <w:t xml:space="preserve">μετά τη φορολογία </w:t>
      </w:r>
      <w:r w:rsidRPr="007246A9">
        <w:rPr>
          <w:rFonts w:ascii="Arial" w:hAnsi="Arial" w:cs="Arial"/>
          <w:sz w:val="18"/>
          <w:szCs w:val="18"/>
          <w:lang w:val="el-GR"/>
        </w:rPr>
        <w:t xml:space="preserve">που αναλογούν στους ιδιοκτήτες της Εταιρίας για </w:t>
      </w:r>
      <w:r w:rsidR="00CC54A0" w:rsidRPr="007246A9">
        <w:rPr>
          <w:rFonts w:ascii="Arial" w:hAnsi="Arial" w:cs="Arial"/>
          <w:sz w:val="18"/>
          <w:szCs w:val="18"/>
          <w:lang w:val="el-GR"/>
        </w:rPr>
        <w:t xml:space="preserve">το </w:t>
      </w:r>
      <w:bookmarkStart w:id="25" w:name="_Hlk179803100"/>
      <w:r w:rsidR="007A2F9B">
        <w:rPr>
          <w:rFonts w:ascii="Arial" w:hAnsi="Arial" w:cs="Arial"/>
          <w:sz w:val="18"/>
          <w:szCs w:val="18"/>
          <w:lang w:val="el-GR"/>
        </w:rPr>
        <w:t>εννεάμηνο</w:t>
      </w:r>
      <w:r w:rsidR="00524E2B" w:rsidRPr="00524E2B">
        <w:rPr>
          <w:rFonts w:ascii="Arial" w:hAnsi="Arial" w:cs="Arial"/>
          <w:sz w:val="18"/>
          <w:szCs w:val="18"/>
          <w:lang w:val="el-GR"/>
        </w:rPr>
        <w:t xml:space="preserve"> που έληξε στις 30 Σεπτεμβρίου</w:t>
      </w:r>
      <w:r w:rsidR="00524E2B" w:rsidRPr="007246A9">
        <w:rPr>
          <w:rFonts w:ascii="Arial" w:hAnsi="Arial" w:cs="Arial"/>
          <w:sz w:val="18"/>
          <w:szCs w:val="18"/>
          <w:lang w:val="el-GR"/>
        </w:rPr>
        <w:t xml:space="preserve"> </w:t>
      </w:r>
      <w:bookmarkEnd w:id="25"/>
      <w:r w:rsidR="00CC54A0" w:rsidRPr="007246A9">
        <w:rPr>
          <w:rFonts w:ascii="Arial" w:hAnsi="Arial" w:cs="Arial"/>
          <w:sz w:val="18"/>
          <w:szCs w:val="18"/>
          <w:lang w:val="el-GR"/>
        </w:rPr>
        <w:t>2024 ανήλθαν σε €</w:t>
      </w:r>
      <w:r w:rsidR="005B5CFC" w:rsidRPr="00502B4F">
        <w:rPr>
          <w:rFonts w:ascii="Arial" w:hAnsi="Arial" w:cs="Arial"/>
          <w:sz w:val="18"/>
          <w:lang w:val="el-GR"/>
        </w:rPr>
        <w:t>401</w:t>
      </w:r>
      <w:r w:rsidR="005B5CFC">
        <w:rPr>
          <w:rFonts w:ascii="Arial" w:hAnsi="Arial" w:cs="Arial"/>
          <w:sz w:val="18"/>
          <w:lang w:val="el-GR"/>
        </w:rPr>
        <w:t xml:space="preserve"> </w:t>
      </w:r>
      <w:r w:rsidR="00CC54A0" w:rsidRPr="007246A9">
        <w:rPr>
          <w:rFonts w:ascii="Arial" w:hAnsi="Arial" w:cs="Arial"/>
          <w:sz w:val="18"/>
          <w:szCs w:val="18"/>
          <w:lang w:val="el-GR"/>
        </w:rPr>
        <w:t xml:space="preserve">εκατ., και αντιστοιχούν σε Απόδοση Ενσώματων Ιδίων Κεφαλαίων </w:t>
      </w:r>
      <w:r w:rsidR="00CC54A0" w:rsidRPr="007246A9">
        <w:rPr>
          <w:rFonts w:ascii="Arial" w:hAnsi="Arial" w:cs="Arial"/>
          <w:bCs/>
          <w:sz w:val="18"/>
          <w:lang w:val="el-GR"/>
        </w:rPr>
        <w:t>(</w:t>
      </w:r>
      <w:r w:rsidR="00CC54A0" w:rsidRPr="007246A9">
        <w:rPr>
          <w:rFonts w:ascii="Arial" w:hAnsi="Arial" w:cs="Arial"/>
          <w:bCs/>
          <w:sz w:val="18"/>
        </w:rPr>
        <w:t>ROTE</w:t>
      </w:r>
      <w:r w:rsidR="00CC54A0" w:rsidRPr="005B5CFC">
        <w:rPr>
          <w:rFonts w:ascii="Arial" w:hAnsi="Arial" w:cs="Arial"/>
          <w:bCs/>
          <w:sz w:val="18"/>
          <w:lang w:val="el-GR"/>
        </w:rPr>
        <w:t xml:space="preserve">) </w:t>
      </w:r>
      <w:r w:rsidR="005B5CFC" w:rsidRPr="00502B4F">
        <w:rPr>
          <w:rFonts w:ascii="Arial" w:hAnsi="Arial" w:cs="Arial"/>
          <w:bCs/>
          <w:sz w:val="18"/>
          <w:lang w:val="el-GR"/>
        </w:rPr>
        <w:t>22</w:t>
      </w:r>
      <w:r w:rsidR="00A815F1" w:rsidRPr="00502B4F">
        <w:rPr>
          <w:rFonts w:ascii="Arial" w:hAnsi="Arial" w:cs="Arial"/>
          <w:bCs/>
          <w:sz w:val="18"/>
          <w:lang w:val="el-GR"/>
        </w:rPr>
        <w:t>.</w:t>
      </w:r>
      <w:r w:rsidR="005B5CFC" w:rsidRPr="00502B4F">
        <w:rPr>
          <w:rFonts w:ascii="Arial" w:hAnsi="Arial" w:cs="Arial"/>
          <w:bCs/>
          <w:sz w:val="18"/>
          <w:lang w:val="el-GR"/>
        </w:rPr>
        <w:t>9</w:t>
      </w:r>
      <w:r w:rsidR="00CC54A0" w:rsidRPr="005B5CFC">
        <w:rPr>
          <w:rFonts w:ascii="Arial" w:hAnsi="Arial" w:cs="Arial"/>
          <w:bCs/>
          <w:sz w:val="18"/>
          <w:lang w:val="el-GR"/>
        </w:rPr>
        <w:t xml:space="preserve">%, </w:t>
      </w:r>
      <w:r w:rsidR="00CC54A0" w:rsidRPr="007246A9">
        <w:rPr>
          <w:rFonts w:ascii="Arial" w:hAnsi="Arial" w:cs="Arial"/>
          <w:bCs/>
          <w:sz w:val="18"/>
          <w:lang w:val="el-GR"/>
        </w:rPr>
        <w:t xml:space="preserve">σε σύγκριση με </w:t>
      </w:r>
      <w:r w:rsidR="00CC54A0" w:rsidRPr="007246A9">
        <w:rPr>
          <w:rFonts w:ascii="Arial" w:hAnsi="Arial" w:cs="Arial"/>
          <w:sz w:val="18"/>
          <w:szCs w:val="18"/>
          <w:lang w:val="el-GR"/>
        </w:rPr>
        <w:t>€</w:t>
      </w:r>
      <w:r w:rsidR="00524E2B" w:rsidRPr="007246A9">
        <w:rPr>
          <w:rFonts w:ascii="Arial" w:hAnsi="Arial" w:cs="Arial"/>
          <w:sz w:val="18"/>
          <w:szCs w:val="18"/>
          <w:lang w:val="el-GR"/>
        </w:rPr>
        <w:t xml:space="preserve">349 </w:t>
      </w:r>
      <w:r w:rsidR="00CC54A0" w:rsidRPr="007246A9">
        <w:rPr>
          <w:rFonts w:ascii="Arial" w:hAnsi="Arial" w:cs="Arial"/>
          <w:sz w:val="18"/>
          <w:szCs w:val="18"/>
          <w:lang w:val="el-GR"/>
        </w:rPr>
        <w:t>εκατ. για το</w:t>
      </w:r>
      <w:r w:rsidR="00524E2B" w:rsidRPr="007246A9">
        <w:rPr>
          <w:rFonts w:ascii="Arial" w:hAnsi="Arial" w:cs="Arial"/>
          <w:sz w:val="18"/>
          <w:szCs w:val="18"/>
          <w:lang w:val="el-GR"/>
        </w:rPr>
        <w:t xml:space="preserve"> αντίστοιχο </w:t>
      </w:r>
      <w:r w:rsidR="007A2F9B">
        <w:rPr>
          <w:rFonts w:ascii="Arial" w:hAnsi="Arial" w:cs="Arial"/>
          <w:sz w:val="18"/>
          <w:szCs w:val="18"/>
          <w:lang w:val="el-GR"/>
        </w:rPr>
        <w:t>εννεάμηνο</w:t>
      </w:r>
      <w:r w:rsidR="00524E2B" w:rsidRPr="007246A9">
        <w:rPr>
          <w:rFonts w:ascii="Arial" w:hAnsi="Arial" w:cs="Arial"/>
          <w:sz w:val="18"/>
          <w:szCs w:val="18"/>
          <w:lang w:val="el-GR"/>
        </w:rPr>
        <w:t xml:space="preserve"> </w:t>
      </w:r>
      <w:r w:rsidR="00CC54A0" w:rsidRPr="007246A9">
        <w:rPr>
          <w:rFonts w:ascii="Arial" w:hAnsi="Arial" w:cs="Arial"/>
          <w:sz w:val="18"/>
          <w:szCs w:val="18"/>
          <w:lang w:val="el-GR"/>
        </w:rPr>
        <w:t>2023 (</w:t>
      </w:r>
      <w:r w:rsidR="00CC54A0" w:rsidRPr="007246A9">
        <w:rPr>
          <w:rFonts w:ascii="Arial" w:eastAsia="Batang" w:hAnsi="Arial" w:cs="Arial"/>
          <w:sz w:val="18"/>
          <w:szCs w:val="18"/>
          <w:lang w:val="el-GR" w:eastAsia="en-US"/>
        </w:rPr>
        <w:t xml:space="preserve">με </w:t>
      </w:r>
      <w:r w:rsidR="00CC54A0" w:rsidRPr="007246A9">
        <w:rPr>
          <w:rFonts w:ascii="Arial" w:hAnsi="Arial" w:cs="Arial"/>
          <w:sz w:val="18"/>
          <w:szCs w:val="18"/>
          <w:lang w:val="el-GR"/>
        </w:rPr>
        <w:t xml:space="preserve">Απόδοση Ενσώματων Ιδίων Κεφαλαίων </w:t>
      </w:r>
      <w:r w:rsidR="00CC54A0" w:rsidRPr="007246A9">
        <w:rPr>
          <w:rFonts w:ascii="Arial" w:hAnsi="Arial" w:cs="Arial"/>
          <w:bCs/>
          <w:sz w:val="18"/>
          <w:lang w:val="el-GR"/>
        </w:rPr>
        <w:t>(</w:t>
      </w:r>
      <w:r w:rsidR="00CC54A0" w:rsidRPr="007246A9">
        <w:rPr>
          <w:rFonts w:ascii="Arial" w:hAnsi="Arial" w:cs="Arial"/>
          <w:bCs/>
          <w:sz w:val="18"/>
        </w:rPr>
        <w:t>ROTE</w:t>
      </w:r>
      <w:r w:rsidR="00CC54A0" w:rsidRPr="007246A9">
        <w:rPr>
          <w:rFonts w:ascii="Arial" w:hAnsi="Arial" w:cs="Arial"/>
          <w:bCs/>
          <w:sz w:val="18"/>
          <w:lang w:val="el-GR"/>
        </w:rPr>
        <w:t xml:space="preserve">) </w:t>
      </w:r>
      <w:r w:rsidR="00CC54A0" w:rsidRPr="007246A9">
        <w:rPr>
          <w:rFonts w:ascii="Arial" w:hAnsi="Arial" w:cs="Arial"/>
          <w:sz w:val="18"/>
          <w:lang w:val="el-GR"/>
        </w:rPr>
        <w:t>24.</w:t>
      </w:r>
      <w:r w:rsidR="00524E2B" w:rsidRPr="007246A9">
        <w:rPr>
          <w:rFonts w:ascii="Arial" w:hAnsi="Arial" w:cs="Arial"/>
          <w:sz w:val="18"/>
          <w:lang w:val="el-GR"/>
        </w:rPr>
        <w:t>6</w:t>
      </w:r>
      <w:r w:rsidR="00CC54A0" w:rsidRPr="007246A9">
        <w:rPr>
          <w:rFonts w:ascii="Arial" w:hAnsi="Arial" w:cs="Arial"/>
          <w:bCs/>
          <w:sz w:val="18"/>
          <w:lang w:val="el-GR"/>
        </w:rPr>
        <w:t>%)</w:t>
      </w:r>
      <w:r w:rsidR="00CC54A0" w:rsidRPr="007246A9">
        <w:rPr>
          <w:rFonts w:ascii="Arial" w:hAnsi="Arial" w:cs="Arial"/>
          <w:sz w:val="18"/>
          <w:szCs w:val="18"/>
          <w:lang w:val="el-GR"/>
        </w:rPr>
        <w:t xml:space="preserve">. Η </w:t>
      </w:r>
      <w:r w:rsidR="00CC54A0" w:rsidRPr="007246A9">
        <w:rPr>
          <w:rFonts w:ascii="Arial" w:hAnsi="Arial" w:cs="Arial"/>
          <w:color w:val="000000" w:themeColor="text1"/>
          <w:sz w:val="18"/>
          <w:szCs w:val="18"/>
          <w:lang w:val="el-GR"/>
        </w:rPr>
        <w:t>Απόδοση Ενσώματων Ιδίων Κεφαλαίων (</w:t>
      </w:r>
      <w:r w:rsidR="00CC54A0" w:rsidRPr="007246A9">
        <w:rPr>
          <w:rFonts w:ascii="Arial" w:hAnsi="Arial" w:cs="Arial"/>
          <w:color w:val="000000" w:themeColor="text1"/>
          <w:sz w:val="18"/>
          <w:szCs w:val="18"/>
        </w:rPr>
        <w:t>ROTE</w:t>
      </w:r>
      <w:r w:rsidR="00CC54A0" w:rsidRPr="007246A9">
        <w:rPr>
          <w:rFonts w:ascii="Arial" w:hAnsi="Arial" w:cs="Arial"/>
          <w:color w:val="000000" w:themeColor="text1"/>
          <w:sz w:val="18"/>
          <w:szCs w:val="18"/>
          <w:lang w:val="el-GR"/>
        </w:rPr>
        <w:t>) υπολογισμένη σε Δείκτη Κεφαλαίου Κοινών Μετόχων Κατηγορίας 1 (</w:t>
      </w:r>
      <w:r w:rsidR="00CC54A0" w:rsidRPr="007246A9">
        <w:rPr>
          <w:rFonts w:ascii="Arial" w:hAnsi="Arial" w:cs="Arial"/>
          <w:color w:val="000000" w:themeColor="text1"/>
          <w:sz w:val="18"/>
          <w:szCs w:val="18"/>
          <w:lang w:val="en-US"/>
        </w:rPr>
        <w:t>CET</w:t>
      </w:r>
      <w:r w:rsidR="00CC54A0" w:rsidRPr="007246A9">
        <w:rPr>
          <w:rFonts w:ascii="Arial" w:hAnsi="Arial" w:cs="Arial"/>
          <w:color w:val="000000" w:themeColor="text1"/>
          <w:sz w:val="18"/>
          <w:szCs w:val="18"/>
          <w:lang w:val="el-GR"/>
        </w:rPr>
        <w:t xml:space="preserve">1) ύψους 15% για το </w:t>
      </w:r>
      <w:r w:rsidR="007A2F9B">
        <w:rPr>
          <w:rFonts w:ascii="Arial" w:hAnsi="Arial" w:cs="Arial"/>
          <w:sz w:val="18"/>
          <w:szCs w:val="18"/>
          <w:lang w:val="el-GR"/>
        </w:rPr>
        <w:t>εννεάμηνο</w:t>
      </w:r>
      <w:r w:rsidR="00524E2B" w:rsidRPr="00524E2B">
        <w:rPr>
          <w:rFonts w:ascii="Arial" w:hAnsi="Arial" w:cs="Arial"/>
          <w:sz w:val="18"/>
          <w:szCs w:val="18"/>
          <w:lang w:val="el-GR"/>
        </w:rPr>
        <w:t xml:space="preserve"> που έληξε στις 30 Σεπτεμβρίου </w:t>
      </w:r>
      <w:r w:rsidR="00CC54A0" w:rsidRPr="007246A9">
        <w:rPr>
          <w:rFonts w:ascii="Arial" w:hAnsi="Arial" w:cs="Arial"/>
          <w:color w:val="000000" w:themeColor="text1"/>
          <w:sz w:val="18"/>
          <w:szCs w:val="18"/>
          <w:lang w:val="el-GR"/>
        </w:rPr>
        <w:t>2024 αυξάνετα</w:t>
      </w:r>
      <w:r w:rsidR="00CC54A0" w:rsidRPr="00A00212">
        <w:rPr>
          <w:rFonts w:ascii="Arial" w:hAnsi="Arial" w:cs="Arial"/>
          <w:color w:val="000000" w:themeColor="text1"/>
          <w:sz w:val="18"/>
          <w:szCs w:val="18"/>
          <w:lang w:val="el-GR"/>
        </w:rPr>
        <w:t xml:space="preserve">ι σε </w:t>
      </w:r>
      <w:r w:rsidR="00A00212" w:rsidRPr="00A00212">
        <w:rPr>
          <w:rFonts w:ascii="Arial" w:hAnsi="Arial" w:cs="Arial"/>
          <w:color w:val="000000" w:themeColor="text1"/>
          <w:sz w:val="18"/>
          <w:szCs w:val="18"/>
          <w:lang w:val="el-GR"/>
        </w:rPr>
        <w:t>29</w:t>
      </w:r>
      <w:r w:rsidR="00524E2B" w:rsidRPr="00A00212">
        <w:rPr>
          <w:rFonts w:ascii="Arial" w:hAnsi="Arial" w:cs="Arial"/>
          <w:color w:val="000000" w:themeColor="text1"/>
          <w:sz w:val="18"/>
          <w:szCs w:val="18"/>
          <w:lang w:val="el-GR"/>
        </w:rPr>
        <w:t>.</w:t>
      </w:r>
      <w:r w:rsidR="00A00212" w:rsidRPr="00A00212">
        <w:rPr>
          <w:rFonts w:ascii="Arial" w:hAnsi="Arial" w:cs="Arial"/>
          <w:color w:val="000000" w:themeColor="text1"/>
          <w:sz w:val="18"/>
          <w:szCs w:val="18"/>
          <w:lang w:val="el-GR"/>
        </w:rPr>
        <w:t>1</w:t>
      </w:r>
      <w:r w:rsidR="00CC54A0" w:rsidRPr="00A00212">
        <w:rPr>
          <w:rFonts w:ascii="Arial" w:hAnsi="Arial" w:cs="Arial"/>
          <w:color w:val="000000" w:themeColor="text1"/>
          <w:sz w:val="18"/>
          <w:szCs w:val="18"/>
          <w:lang w:val="el-GR"/>
        </w:rPr>
        <w:t xml:space="preserve">%, σε </w:t>
      </w:r>
      <w:r w:rsidR="00CC54A0" w:rsidRPr="007246A9">
        <w:rPr>
          <w:rFonts w:ascii="Arial" w:hAnsi="Arial" w:cs="Arial"/>
          <w:color w:val="000000" w:themeColor="text1"/>
          <w:sz w:val="18"/>
          <w:szCs w:val="18"/>
          <w:lang w:val="el-GR"/>
        </w:rPr>
        <w:t xml:space="preserve">σύγκριση με </w:t>
      </w:r>
      <w:r w:rsidR="00A815F1" w:rsidRPr="007246A9">
        <w:rPr>
          <w:rFonts w:ascii="Arial" w:hAnsi="Arial" w:cs="Arial"/>
          <w:color w:val="000000" w:themeColor="text1"/>
          <w:sz w:val="18"/>
          <w:szCs w:val="18"/>
          <w:lang w:val="el-GR"/>
        </w:rPr>
        <w:t>2</w:t>
      </w:r>
      <w:r w:rsidR="00524E2B" w:rsidRPr="007246A9">
        <w:rPr>
          <w:rFonts w:ascii="Arial" w:hAnsi="Arial" w:cs="Arial"/>
          <w:color w:val="000000" w:themeColor="text1"/>
          <w:sz w:val="18"/>
          <w:szCs w:val="18"/>
          <w:lang w:val="el-GR"/>
        </w:rPr>
        <w:t>6</w:t>
      </w:r>
      <w:r w:rsidR="00A815F1" w:rsidRPr="007246A9">
        <w:rPr>
          <w:rFonts w:ascii="Arial" w:hAnsi="Arial" w:cs="Arial"/>
          <w:color w:val="000000" w:themeColor="text1"/>
          <w:sz w:val="18"/>
          <w:szCs w:val="18"/>
          <w:lang w:val="el-GR"/>
        </w:rPr>
        <w:t>.</w:t>
      </w:r>
      <w:r w:rsidR="00A00212">
        <w:rPr>
          <w:rFonts w:ascii="Arial" w:hAnsi="Arial" w:cs="Arial"/>
          <w:color w:val="000000" w:themeColor="text1"/>
          <w:sz w:val="18"/>
          <w:szCs w:val="18"/>
          <w:lang w:val="el-GR"/>
        </w:rPr>
        <w:t>4</w:t>
      </w:r>
      <w:r w:rsidR="00CC54A0" w:rsidRPr="007246A9">
        <w:rPr>
          <w:rFonts w:ascii="Arial" w:hAnsi="Arial" w:cs="Arial"/>
          <w:color w:val="000000" w:themeColor="text1"/>
          <w:sz w:val="18"/>
          <w:szCs w:val="18"/>
          <w:lang w:val="el-GR"/>
        </w:rPr>
        <w:t xml:space="preserve">% για το </w:t>
      </w:r>
      <w:r w:rsidR="00524E2B" w:rsidRPr="007246A9">
        <w:rPr>
          <w:rFonts w:ascii="Arial" w:hAnsi="Arial" w:cs="Arial"/>
          <w:sz w:val="18"/>
          <w:szCs w:val="18"/>
          <w:lang w:val="el-GR"/>
        </w:rPr>
        <w:t xml:space="preserve">αντίστοιχο </w:t>
      </w:r>
      <w:r w:rsidR="007A2F9B">
        <w:rPr>
          <w:rFonts w:ascii="Arial" w:hAnsi="Arial" w:cs="Arial"/>
          <w:sz w:val="18"/>
          <w:szCs w:val="18"/>
          <w:lang w:val="el-GR"/>
        </w:rPr>
        <w:t>εννεάμηνο</w:t>
      </w:r>
      <w:r w:rsidR="00CC54A0" w:rsidRPr="007246A9">
        <w:rPr>
          <w:rFonts w:ascii="Arial" w:hAnsi="Arial" w:cs="Arial"/>
          <w:sz w:val="18"/>
          <w:szCs w:val="18"/>
          <w:lang w:val="el-GR"/>
        </w:rPr>
        <w:t xml:space="preserve"> </w:t>
      </w:r>
      <w:r w:rsidR="00CC54A0" w:rsidRPr="007246A9">
        <w:rPr>
          <w:rFonts w:ascii="Arial" w:hAnsi="Arial" w:cs="Arial"/>
          <w:color w:val="000000" w:themeColor="text1"/>
          <w:sz w:val="18"/>
          <w:szCs w:val="18"/>
          <w:lang w:val="el-GR"/>
        </w:rPr>
        <w:t xml:space="preserve">2023, υπολογισμένη </w:t>
      </w:r>
      <w:r w:rsidR="00CC54A0" w:rsidRPr="00502B4F">
        <w:rPr>
          <w:rFonts w:ascii="Arial" w:hAnsi="Arial" w:cs="Arial"/>
          <w:sz w:val="18"/>
          <w:szCs w:val="18"/>
          <w:lang w:val="el-GR"/>
        </w:rPr>
        <w:t xml:space="preserve">στην ίδια βάση. </w:t>
      </w:r>
      <w:r w:rsidR="00CC54A0" w:rsidRPr="00147C42">
        <w:rPr>
          <w:rFonts w:ascii="Arial" w:hAnsi="Arial" w:cs="Arial"/>
          <w:sz w:val="18"/>
          <w:szCs w:val="18"/>
          <w:lang w:val="el-GR"/>
        </w:rPr>
        <w:t>Τα κέρδη μετά τη φορολογία που αναλογούν στους ιδιοκτήτες της Εταιρίας</w:t>
      </w:r>
      <w:r w:rsidR="009422A7" w:rsidRPr="00147C42">
        <w:rPr>
          <w:rFonts w:ascii="Arial" w:hAnsi="Arial" w:cs="Arial"/>
          <w:sz w:val="18"/>
          <w:szCs w:val="18"/>
          <w:lang w:val="el-GR"/>
        </w:rPr>
        <w:t xml:space="preserve"> για το </w:t>
      </w:r>
      <w:r w:rsidR="00524E2B" w:rsidRPr="00147C42">
        <w:rPr>
          <w:rFonts w:ascii="Arial" w:hAnsi="Arial" w:cs="Arial"/>
          <w:sz w:val="18"/>
          <w:szCs w:val="18"/>
          <w:lang w:val="el-GR"/>
        </w:rPr>
        <w:t>γ</w:t>
      </w:r>
      <w:r w:rsidR="004A61DF" w:rsidRPr="00147C42">
        <w:rPr>
          <w:rFonts w:ascii="Arial" w:hAnsi="Arial" w:cs="Arial"/>
          <w:sz w:val="18"/>
          <w:szCs w:val="18"/>
          <w:lang w:val="el-GR"/>
        </w:rPr>
        <w:t>΄ τρίμηνο 2024 ανήλθαν σε €</w:t>
      </w:r>
      <w:r w:rsidR="005B5CFC" w:rsidRPr="00502B4F">
        <w:rPr>
          <w:rFonts w:ascii="Arial" w:hAnsi="Arial" w:cs="Arial"/>
          <w:sz w:val="18"/>
          <w:szCs w:val="18"/>
          <w:lang w:val="el-GR"/>
        </w:rPr>
        <w:t xml:space="preserve">131 </w:t>
      </w:r>
      <w:r w:rsidR="004A61DF" w:rsidRPr="00147C42">
        <w:rPr>
          <w:rFonts w:ascii="Arial" w:hAnsi="Arial" w:cs="Arial"/>
          <w:sz w:val="18"/>
          <w:szCs w:val="18"/>
          <w:lang w:val="el-GR"/>
        </w:rPr>
        <w:t xml:space="preserve">εκατ., και </w:t>
      </w:r>
      <w:r w:rsidRPr="00147C42">
        <w:rPr>
          <w:rFonts w:ascii="Arial" w:hAnsi="Arial" w:cs="Arial"/>
          <w:sz w:val="18"/>
          <w:szCs w:val="18"/>
          <w:lang w:val="el-GR"/>
        </w:rPr>
        <w:t xml:space="preserve">αντιστοιχούν σε Απόδοση Ενσώματων Ιδίων Κεφαλαίων </w:t>
      </w:r>
      <w:r w:rsidRPr="00147C42">
        <w:rPr>
          <w:rFonts w:ascii="Arial" w:hAnsi="Arial" w:cs="Arial"/>
          <w:bCs/>
          <w:sz w:val="18"/>
          <w:lang w:val="el-GR"/>
        </w:rPr>
        <w:t>(</w:t>
      </w:r>
      <w:r w:rsidRPr="00147C42">
        <w:rPr>
          <w:rFonts w:ascii="Arial" w:hAnsi="Arial" w:cs="Arial"/>
          <w:bCs/>
          <w:sz w:val="18"/>
        </w:rPr>
        <w:t>ROTE</w:t>
      </w:r>
      <w:r w:rsidRPr="00147C42">
        <w:rPr>
          <w:rFonts w:ascii="Arial" w:hAnsi="Arial" w:cs="Arial"/>
          <w:bCs/>
          <w:sz w:val="18"/>
          <w:lang w:val="el-GR"/>
        </w:rPr>
        <w:t xml:space="preserve">) </w:t>
      </w:r>
      <w:r w:rsidR="005B5CFC" w:rsidRPr="00502B4F">
        <w:rPr>
          <w:rFonts w:ascii="Arial" w:hAnsi="Arial" w:cs="Arial"/>
          <w:bCs/>
          <w:sz w:val="18"/>
          <w:lang w:val="el-GR"/>
        </w:rPr>
        <w:t>21</w:t>
      </w:r>
      <w:r w:rsidR="00A815F1" w:rsidRPr="00502B4F">
        <w:rPr>
          <w:rFonts w:ascii="Arial" w:hAnsi="Arial" w:cs="Arial"/>
          <w:bCs/>
          <w:sz w:val="18"/>
          <w:lang w:val="el-GR"/>
        </w:rPr>
        <w:t>.</w:t>
      </w:r>
      <w:r w:rsidR="005B5CFC" w:rsidRPr="00502B4F">
        <w:rPr>
          <w:rFonts w:ascii="Arial" w:hAnsi="Arial" w:cs="Arial"/>
          <w:bCs/>
          <w:sz w:val="18"/>
          <w:lang w:val="el-GR"/>
        </w:rPr>
        <w:t>6</w:t>
      </w:r>
      <w:r w:rsidRPr="00147C42">
        <w:rPr>
          <w:rFonts w:ascii="Arial" w:hAnsi="Arial" w:cs="Arial"/>
          <w:bCs/>
          <w:sz w:val="18"/>
          <w:lang w:val="el-GR"/>
        </w:rPr>
        <w:t xml:space="preserve">%, σε σύγκριση με </w:t>
      </w:r>
      <w:r w:rsidRPr="00147C42">
        <w:rPr>
          <w:rFonts w:ascii="Arial" w:hAnsi="Arial" w:cs="Arial"/>
          <w:sz w:val="18"/>
          <w:szCs w:val="18"/>
          <w:lang w:val="el-GR"/>
        </w:rPr>
        <w:t>€</w:t>
      </w:r>
      <w:r w:rsidR="00524E2B" w:rsidRPr="00147C42">
        <w:rPr>
          <w:rFonts w:ascii="Arial" w:hAnsi="Arial" w:cs="Arial"/>
          <w:sz w:val="18"/>
          <w:szCs w:val="18"/>
          <w:lang w:val="el-GR"/>
        </w:rPr>
        <w:t xml:space="preserve">137 </w:t>
      </w:r>
      <w:r w:rsidRPr="00147C42">
        <w:rPr>
          <w:rFonts w:ascii="Arial" w:hAnsi="Arial" w:cs="Arial"/>
          <w:sz w:val="18"/>
          <w:szCs w:val="18"/>
          <w:lang w:val="el-GR"/>
        </w:rPr>
        <w:t xml:space="preserve">εκατ. </w:t>
      </w:r>
      <w:r w:rsidR="00C250EC" w:rsidRPr="00147C42">
        <w:rPr>
          <w:rFonts w:ascii="Arial" w:hAnsi="Arial" w:cs="Arial"/>
          <w:sz w:val="18"/>
          <w:szCs w:val="18"/>
          <w:lang w:val="el-GR"/>
        </w:rPr>
        <w:t xml:space="preserve">για </w:t>
      </w:r>
      <w:r w:rsidRPr="00147C42">
        <w:rPr>
          <w:rFonts w:ascii="Arial" w:hAnsi="Arial" w:cs="Arial"/>
          <w:sz w:val="18"/>
          <w:szCs w:val="18"/>
          <w:lang w:val="el-GR"/>
        </w:rPr>
        <w:t>το</w:t>
      </w:r>
      <w:r w:rsidR="004A61DF" w:rsidRPr="00147C42">
        <w:rPr>
          <w:rFonts w:ascii="Arial" w:hAnsi="Arial" w:cs="Arial"/>
          <w:sz w:val="18"/>
          <w:szCs w:val="18"/>
          <w:lang w:val="el-GR"/>
        </w:rPr>
        <w:t xml:space="preserve"> </w:t>
      </w:r>
      <w:r w:rsidR="00524E2B" w:rsidRPr="00147C42">
        <w:rPr>
          <w:rFonts w:ascii="Arial" w:hAnsi="Arial" w:cs="Arial"/>
          <w:sz w:val="18"/>
          <w:szCs w:val="18"/>
          <w:lang w:val="el-GR"/>
        </w:rPr>
        <w:t xml:space="preserve">β’ </w:t>
      </w:r>
      <w:r w:rsidR="004A61DF" w:rsidRPr="00147C42">
        <w:rPr>
          <w:rFonts w:ascii="Arial" w:hAnsi="Arial" w:cs="Arial"/>
          <w:sz w:val="18"/>
          <w:szCs w:val="18"/>
          <w:lang w:val="el-GR"/>
        </w:rPr>
        <w:t xml:space="preserve">τρίμηνο </w:t>
      </w:r>
      <w:r w:rsidR="009422A7" w:rsidRPr="00147C42">
        <w:rPr>
          <w:rFonts w:ascii="Arial" w:hAnsi="Arial" w:cs="Arial"/>
          <w:sz w:val="18"/>
          <w:szCs w:val="18"/>
          <w:lang w:val="el-GR"/>
        </w:rPr>
        <w:t>2024 (</w:t>
      </w:r>
      <w:r w:rsidR="00B043BD" w:rsidRPr="00147C42">
        <w:rPr>
          <w:rFonts w:ascii="Arial" w:eastAsia="Batang" w:hAnsi="Arial" w:cs="Arial"/>
          <w:sz w:val="18"/>
          <w:szCs w:val="18"/>
          <w:lang w:val="el-GR" w:eastAsia="en-US"/>
        </w:rPr>
        <w:t xml:space="preserve">με </w:t>
      </w:r>
      <w:r w:rsidR="00B043BD" w:rsidRPr="00147C42">
        <w:rPr>
          <w:rFonts w:ascii="Arial" w:hAnsi="Arial" w:cs="Arial"/>
          <w:sz w:val="18"/>
          <w:szCs w:val="18"/>
          <w:lang w:val="el-GR"/>
        </w:rPr>
        <w:t xml:space="preserve">Απόδοση Ενσώματων Ιδίων Κεφαλαίων </w:t>
      </w:r>
      <w:r w:rsidR="00B043BD" w:rsidRPr="00147C42">
        <w:rPr>
          <w:rFonts w:ascii="Arial" w:hAnsi="Arial" w:cs="Arial"/>
          <w:bCs/>
          <w:sz w:val="18"/>
          <w:lang w:val="el-GR"/>
        </w:rPr>
        <w:t>(</w:t>
      </w:r>
      <w:r w:rsidR="00B043BD" w:rsidRPr="00147C42">
        <w:rPr>
          <w:rFonts w:ascii="Arial" w:hAnsi="Arial" w:cs="Arial"/>
          <w:bCs/>
          <w:sz w:val="18"/>
        </w:rPr>
        <w:t>ROTE</w:t>
      </w:r>
      <w:r w:rsidR="00B043BD" w:rsidRPr="00147C42">
        <w:rPr>
          <w:rFonts w:ascii="Arial" w:hAnsi="Arial" w:cs="Arial"/>
          <w:bCs/>
          <w:sz w:val="18"/>
          <w:lang w:val="el-GR"/>
        </w:rPr>
        <w:t xml:space="preserve">) </w:t>
      </w:r>
      <w:r w:rsidR="009422A7" w:rsidRPr="00147C42">
        <w:rPr>
          <w:rFonts w:ascii="Arial" w:hAnsi="Arial" w:cs="Arial"/>
          <w:sz w:val="18"/>
          <w:lang w:val="el-GR"/>
        </w:rPr>
        <w:t>23</w:t>
      </w:r>
      <w:r w:rsidR="00B043BD" w:rsidRPr="00147C42">
        <w:rPr>
          <w:rFonts w:ascii="Arial" w:hAnsi="Arial" w:cs="Arial"/>
          <w:sz w:val="18"/>
          <w:lang w:val="el-GR"/>
        </w:rPr>
        <w:t>.</w:t>
      </w:r>
      <w:r w:rsidR="00524E2B" w:rsidRPr="00147C42">
        <w:rPr>
          <w:rFonts w:ascii="Arial" w:hAnsi="Arial" w:cs="Arial"/>
          <w:sz w:val="18"/>
          <w:lang w:val="el-GR"/>
        </w:rPr>
        <w:t>7</w:t>
      </w:r>
      <w:r w:rsidR="00B043BD" w:rsidRPr="00147C42">
        <w:rPr>
          <w:rFonts w:ascii="Arial" w:hAnsi="Arial" w:cs="Arial"/>
          <w:bCs/>
          <w:sz w:val="18"/>
          <w:lang w:val="el-GR"/>
        </w:rPr>
        <w:t>%)</w:t>
      </w:r>
      <w:r w:rsidR="00B043BD" w:rsidRPr="00147C42">
        <w:rPr>
          <w:rFonts w:ascii="Arial" w:hAnsi="Arial" w:cs="Arial"/>
          <w:sz w:val="18"/>
          <w:szCs w:val="18"/>
          <w:lang w:val="el-GR"/>
        </w:rPr>
        <w:t>.</w:t>
      </w:r>
      <w:r w:rsidR="00A815F1" w:rsidRPr="00147C42">
        <w:rPr>
          <w:rFonts w:ascii="Arial" w:hAnsi="Arial" w:cs="Arial"/>
          <w:sz w:val="18"/>
          <w:szCs w:val="18"/>
          <w:lang w:val="el-GR"/>
        </w:rPr>
        <w:t xml:space="preserve"> </w:t>
      </w:r>
      <w:r w:rsidR="00033502" w:rsidRPr="00147C42">
        <w:rPr>
          <w:rFonts w:ascii="Arial" w:hAnsi="Arial" w:cs="Arial"/>
          <w:sz w:val="18"/>
          <w:szCs w:val="18"/>
          <w:lang w:val="el-GR"/>
        </w:rPr>
        <w:t xml:space="preserve">Η </w:t>
      </w:r>
      <w:r w:rsidR="00033502" w:rsidRPr="00502B4F">
        <w:rPr>
          <w:rFonts w:ascii="Arial" w:hAnsi="Arial" w:cs="Arial"/>
          <w:sz w:val="18"/>
          <w:szCs w:val="18"/>
          <w:lang w:val="el-GR"/>
        </w:rPr>
        <w:t xml:space="preserve">Απόδοση Ενσώματων Ιδίων Κεφαλαίων </w:t>
      </w:r>
      <w:r w:rsidR="00033502" w:rsidRPr="007246A9">
        <w:rPr>
          <w:rFonts w:ascii="Arial" w:hAnsi="Arial" w:cs="Arial"/>
          <w:color w:val="000000" w:themeColor="text1"/>
          <w:sz w:val="18"/>
          <w:szCs w:val="18"/>
          <w:lang w:val="el-GR"/>
        </w:rPr>
        <w:t>(</w:t>
      </w:r>
      <w:r w:rsidR="00033502" w:rsidRPr="007246A9">
        <w:rPr>
          <w:rFonts w:ascii="Arial" w:hAnsi="Arial" w:cs="Arial"/>
          <w:color w:val="000000" w:themeColor="text1"/>
          <w:sz w:val="18"/>
          <w:szCs w:val="18"/>
        </w:rPr>
        <w:t>ROTE</w:t>
      </w:r>
      <w:r w:rsidR="00033502" w:rsidRPr="007246A9">
        <w:rPr>
          <w:rFonts w:ascii="Arial" w:hAnsi="Arial" w:cs="Arial"/>
          <w:color w:val="000000" w:themeColor="text1"/>
          <w:sz w:val="18"/>
          <w:szCs w:val="18"/>
          <w:lang w:val="el-GR"/>
        </w:rPr>
        <w:t>)</w:t>
      </w:r>
      <w:r w:rsidR="004A61DF" w:rsidRPr="007246A9">
        <w:rPr>
          <w:rFonts w:ascii="Arial" w:hAnsi="Arial" w:cs="Arial"/>
          <w:color w:val="000000" w:themeColor="text1"/>
          <w:sz w:val="18"/>
          <w:szCs w:val="18"/>
          <w:lang w:val="el-GR"/>
        </w:rPr>
        <w:t xml:space="preserve"> υπολογισμένη σε Δείκτη Κεφαλαίου Κοινών Μετόχων Κατηγορίας 1 (</w:t>
      </w:r>
      <w:r w:rsidR="004A61DF" w:rsidRPr="007246A9">
        <w:rPr>
          <w:rFonts w:ascii="Arial" w:hAnsi="Arial" w:cs="Arial"/>
          <w:color w:val="000000" w:themeColor="text1"/>
          <w:sz w:val="18"/>
          <w:szCs w:val="18"/>
          <w:lang w:val="en-US"/>
        </w:rPr>
        <w:t>CET</w:t>
      </w:r>
      <w:r w:rsidR="004A61DF" w:rsidRPr="007246A9">
        <w:rPr>
          <w:rFonts w:ascii="Arial" w:hAnsi="Arial" w:cs="Arial"/>
          <w:color w:val="000000" w:themeColor="text1"/>
          <w:sz w:val="18"/>
          <w:szCs w:val="18"/>
          <w:lang w:val="el-GR"/>
        </w:rPr>
        <w:t xml:space="preserve">1) ύψους 15% για το </w:t>
      </w:r>
      <w:r w:rsidR="006C61D9" w:rsidRPr="007246A9">
        <w:rPr>
          <w:rFonts w:ascii="Arial" w:hAnsi="Arial" w:cs="Arial"/>
          <w:color w:val="000000" w:themeColor="text1"/>
          <w:sz w:val="18"/>
          <w:szCs w:val="18"/>
          <w:lang w:val="el-GR"/>
        </w:rPr>
        <w:t>γ</w:t>
      </w:r>
      <w:r w:rsidR="009422A7" w:rsidRPr="007246A9">
        <w:rPr>
          <w:rFonts w:ascii="Arial" w:hAnsi="Arial" w:cs="Arial"/>
          <w:color w:val="000000" w:themeColor="text1"/>
          <w:sz w:val="18"/>
          <w:szCs w:val="18"/>
          <w:lang w:val="el-GR"/>
        </w:rPr>
        <w:t xml:space="preserve">’ </w:t>
      </w:r>
      <w:r w:rsidR="004A61DF" w:rsidRPr="007246A9">
        <w:rPr>
          <w:rFonts w:ascii="Arial" w:hAnsi="Arial" w:cs="Arial"/>
          <w:color w:val="000000" w:themeColor="text1"/>
          <w:sz w:val="18"/>
          <w:szCs w:val="18"/>
          <w:lang w:val="el-GR"/>
        </w:rPr>
        <w:t xml:space="preserve">τρίμηνο 2024 </w:t>
      </w:r>
      <w:r w:rsidR="004A61DF" w:rsidRPr="00A00212">
        <w:rPr>
          <w:rFonts w:ascii="Arial" w:hAnsi="Arial" w:cs="Arial"/>
          <w:color w:val="000000" w:themeColor="text1"/>
          <w:sz w:val="18"/>
          <w:szCs w:val="18"/>
          <w:lang w:val="el-GR"/>
        </w:rPr>
        <w:t xml:space="preserve">αυξάνεται σε </w:t>
      </w:r>
      <w:r w:rsidR="00A00212" w:rsidRPr="00A00212">
        <w:rPr>
          <w:rFonts w:ascii="Arial" w:hAnsi="Arial" w:cs="Arial"/>
          <w:color w:val="000000" w:themeColor="text1"/>
          <w:sz w:val="18"/>
          <w:szCs w:val="18"/>
          <w:lang w:val="el-GR"/>
        </w:rPr>
        <w:t>28</w:t>
      </w:r>
      <w:r w:rsidR="00A815F1" w:rsidRPr="00A00212">
        <w:rPr>
          <w:rFonts w:ascii="Arial" w:hAnsi="Arial" w:cs="Arial"/>
          <w:color w:val="000000" w:themeColor="text1"/>
          <w:sz w:val="18"/>
          <w:szCs w:val="18"/>
          <w:lang w:val="el-GR"/>
        </w:rPr>
        <w:t>.</w:t>
      </w:r>
      <w:r w:rsidR="00A00212" w:rsidRPr="00A00212">
        <w:rPr>
          <w:rFonts w:ascii="Arial" w:hAnsi="Arial" w:cs="Arial"/>
          <w:color w:val="000000" w:themeColor="text1"/>
          <w:sz w:val="18"/>
          <w:szCs w:val="18"/>
          <w:lang w:val="el-GR"/>
        </w:rPr>
        <w:t>2</w:t>
      </w:r>
      <w:r w:rsidR="004A61DF" w:rsidRPr="00A00212">
        <w:rPr>
          <w:rFonts w:ascii="Arial" w:hAnsi="Arial" w:cs="Arial"/>
          <w:color w:val="000000" w:themeColor="text1"/>
          <w:sz w:val="18"/>
          <w:szCs w:val="18"/>
          <w:lang w:val="el-GR"/>
        </w:rPr>
        <w:t xml:space="preserve">%, </w:t>
      </w:r>
      <w:r w:rsidR="004A61DF" w:rsidRPr="007246A9">
        <w:rPr>
          <w:rFonts w:ascii="Arial" w:hAnsi="Arial" w:cs="Arial"/>
          <w:color w:val="000000" w:themeColor="text1"/>
          <w:sz w:val="18"/>
          <w:szCs w:val="18"/>
          <w:lang w:val="el-GR"/>
        </w:rPr>
        <w:t>σε σύγκριση με Απόδοση Ενσώματων Ιδίων Κεφαλαίων (</w:t>
      </w:r>
      <w:r w:rsidR="004A61DF" w:rsidRPr="007246A9">
        <w:rPr>
          <w:rFonts w:ascii="Arial" w:hAnsi="Arial" w:cs="Arial"/>
          <w:color w:val="000000" w:themeColor="text1"/>
          <w:sz w:val="18"/>
          <w:szCs w:val="18"/>
        </w:rPr>
        <w:t>ROTE</w:t>
      </w:r>
      <w:r w:rsidR="004A61DF" w:rsidRPr="007246A9">
        <w:rPr>
          <w:rFonts w:ascii="Arial" w:hAnsi="Arial" w:cs="Arial"/>
          <w:color w:val="000000" w:themeColor="text1"/>
          <w:sz w:val="18"/>
          <w:szCs w:val="18"/>
          <w:lang w:val="el-GR"/>
        </w:rPr>
        <w:t xml:space="preserve">) ύψους </w:t>
      </w:r>
      <w:r w:rsidR="009422A7" w:rsidRPr="007246A9">
        <w:rPr>
          <w:rFonts w:ascii="Arial" w:hAnsi="Arial" w:cs="Arial"/>
          <w:color w:val="000000" w:themeColor="text1"/>
          <w:sz w:val="18"/>
          <w:szCs w:val="18"/>
          <w:lang w:val="el-GR"/>
        </w:rPr>
        <w:t>29.</w:t>
      </w:r>
      <w:r w:rsidR="00524E2B" w:rsidRPr="007246A9">
        <w:rPr>
          <w:rFonts w:ascii="Arial" w:hAnsi="Arial" w:cs="Arial"/>
          <w:color w:val="000000" w:themeColor="text1"/>
          <w:sz w:val="18"/>
          <w:szCs w:val="18"/>
          <w:lang w:val="el-GR"/>
        </w:rPr>
        <w:t>9</w:t>
      </w:r>
      <w:r w:rsidR="004A61DF" w:rsidRPr="007246A9">
        <w:rPr>
          <w:rFonts w:ascii="Arial" w:hAnsi="Arial" w:cs="Arial"/>
          <w:color w:val="000000" w:themeColor="text1"/>
          <w:sz w:val="18"/>
          <w:szCs w:val="18"/>
          <w:lang w:val="el-GR"/>
        </w:rPr>
        <w:t xml:space="preserve">% για το </w:t>
      </w:r>
      <w:r w:rsidR="006C61D9" w:rsidRPr="007246A9">
        <w:rPr>
          <w:rFonts w:ascii="Arial" w:hAnsi="Arial" w:cs="Arial"/>
          <w:color w:val="000000" w:themeColor="text1"/>
          <w:sz w:val="18"/>
          <w:szCs w:val="18"/>
          <w:lang w:val="el-GR"/>
        </w:rPr>
        <w:t>β</w:t>
      </w:r>
      <w:r w:rsidR="009422A7" w:rsidRPr="007246A9">
        <w:rPr>
          <w:rFonts w:ascii="Arial" w:hAnsi="Arial" w:cs="Arial"/>
          <w:color w:val="000000" w:themeColor="text1"/>
          <w:sz w:val="18"/>
          <w:szCs w:val="18"/>
          <w:lang w:val="el-GR"/>
        </w:rPr>
        <w:t xml:space="preserve">’ </w:t>
      </w:r>
      <w:r w:rsidR="004A61DF" w:rsidRPr="007246A9">
        <w:rPr>
          <w:rFonts w:ascii="Arial" w:hAnsi="Arial" w:cs="Arial"/>
          <w:color w:val="000000" w:themeColor="text1"/>
          <w:sz w:val="18"/>
          <w:szCs w:val="18"/>
          <w:lang w:val="el-GR"/>
        </w:rPr>
        <w:t xml:space="preserve">τρίμηνο </w:t>
      </w:r>
      <w:r w:rsidR="009422A7" w:rsidRPr="007246A9">
        <w:rPr>
          <w:rFonts w:ascii="Arial" w:hAnsi="Arial" w:cs="Arial"/>
          <w:color w:val="000000" w:themeColor="text1"/>
          <w:sz w:val="18"/>
          <w:szCs w:val="18"/>
          <w:lang w:val="el-GR"/>
        </w:rPr>
        <w:t xml:space="preserve">2024, </w:t>
      </w:r>
      <w:r w:rsidR="004A61DF" w:rsidRPr="007246A9">
        <w:rPr>
          <w:rFonts w:ascii="Arial" w:hAnsi="Arial" w:cs="Arial"/>
          <w:color w:val="000000" w:themeColor="text1"/>
          <w:sz w:val="18"/>
          <w:szCs w:val="18"/>
          <w:lang w:val="el-GR"/>
        </w:rPr>
        <w:t>υπολογισμένη στην ίδια βάση.</w:t>
      </w:r>
      <w:r w:rsidR="009422A7" w:rsidRPr="007246A9">
        <w:rPr>
          <w:rFonts w:ascii="Arial" w:hAnsi="Arial" w:cs="Arial"/>
          <w:color w:val="000000" w:themeColor="text1"/>
          <w:sz w:val="18"/>
          <w:szCs w:val="18"/>
          <w:lang w:val="el-GR"/>
        </w:rPr>
        <w:t xml:space="preserve"> </w:t>
      </w:r>
      <w:r w:rsidR="002C3095" w:rsidRPr="007246A9">
        <w:rPr>
          <w:rFonts w:ascii="Arial" w:hAnsi="Arial" w:cs="Arial"/>
          <w:sz w:val="18"/>
          <w:lang w:val="el-GR"/>
        </w:rPr>
        <w:t>Η</w:t>
      </w:r>
      <w:r w:rsidR="004A61DF" w:rsidRPr="007246A9">
        <w:rPr>
          <w:rFonts w:ascii="Arial" w:hAnsi="Arial" w:cs="Arial"/>
          <w:sz w:val="18"/>
          <w:lang w:val="el-GR"/>
        </w:rPr>
        <w:t xml:space="preserve"> </w:t>
      </w:r>
      <w:r w:rsidR="002C3095" w:rsidRPr="007246A9">
        <w:rPr>
          <w:rFonts w:ascii="Arial" w:hAnsi="Arial" w:cs="Arial"/>
          <w:sz w:val="18"/>
          <w:lang w:val="el-GR"/>
        </w:rPr>
        <w:t>προσαρμοσμένη κερδοφορία</w:t>
      </w:r>
      <w:r w:rsidR="004A61DF" w:rsidRPr="007246A9">
        <w:rPr>
          <w:rFonts w:ascii="Arial" w:hAnsi="Arial" w:cs="Arial"/>
          <w:sz w:val="18"/>
          <w:lang w:val="el-GR"/>
        </w:rPr>
        <w:t xml:space="preserve"> πριν τα μη- επαναλαμβανόμενα στοιχεία που χρησιμοποιείται στην πολιτική διανομής του Συγκροτήματος (δηλαδή, που ορίζεται ως τα </w:t>
      </w:r>
      <w:r w:rsidR="004A61DF" w:rsidRPr="007246A9">
        <w:rPr>
          <w:rFonts w:ascii="Arial" w:hAnsi="Arial" w:cs="Arial"/>
          <w:bCs/>
          <w:sz w:val="18"/>
          <w:szCs w:val="28"/>
          <w:lang w:val="el-GR"/>
        </w:rPr>
        <w:t xml:space="preserve">κέρδη μετά τη φορολογία και πριν τα μη-επαναλαμβανόμενα στοιχεία που αναλογούν στους ιδιοκτήτες του Συγκροτήματος, λαμβάνοντας υπόψιν τις διανομές από τους λοιπούς συμμετοχικούς </w:t>
      </w:r>
      <w:r w:rsidR="004A61DF" w:rsidRPr="00147C42">
        <w:rPr>
          <w:rFonts w:ascii="Arial" w:hAnsi="Arial" w:cs="Arial"/>
          <w:bCs/>
          <w:sz w:val="18"/>
          <w:szCs w:val="28"/>
          <w:lang w:val="el-GR"/>
        </w:rPr>
        <w:t>τίτλους όπως την πληρωμή κουπονιού στους κατόχους Χρεογράφων Κατηγορίας 1</w:t>
      </w:r>
      <w:r w:rsidR="00BA506B" w:rsidRPr="00147C42">
        <w:rPr>
          <w:rFonts w:ascii="Arial" w:hAnsi="Arial" w:cs="Arial"/>
          <w:bCs/>
          <w:sz w:val="18"/>
          <w:szCs w:val="28"/>
          <w:lang w:val="el-GR"/>
        </w:rPr>
        <w:t xml:space="preserve"> που καταβάλλεται ανά εξάμηνο), ανήλθε σε</w:t>
      </w:r>
      <w:r w:rsidR="00085FB2" w:rsidRPr="00147C42">
        <w:rPr>
          <w:rFonts w:ascii="Arial" w:hAnsi="Arial" w:cs="Arial"/>
          <w:bCs/>
          <w:sz w:val="18"/>
          <w:szCs w:val="28"/>
          <w:lang w:val="el-GR"/>
        </w:rPr>
        <w:t xml:space="preserve"> €</w:t>
      </w:r>
      <w:r w:rsidR="00147C42" w:rsidRPr="00502B4F">
        <w:rPr>
          <w:rFonts w:ascii="Arial" w:hAnsi="Arial" w:cs="Arial"/>
          <w:bCs/>
          <w:sz w:val="18"/>
          <w:szCs w:val="28"/>
          <w:lang w:val="el-GR"/>
        </w:rPr>
        <w:t xml:space="preserve">131 </w:t>
      </w:r>
      <w:r w:rsidR="00085FB2" w:rsidRPr="00147C42">
        <w:rPr>
          <w:rFonts w:ascii="Arial" w:hAnsi="Arial" w:cs="Arial"/>
          <w:bCs/>
          <w:sz w:val="18"/>
          <w:szCs w:val="28"/>
          <w:lang w:val="el-GR"/>
        </w:rPr>
        <w:t xml:space="preserve">εκατ. για το </w:t>
      </w:r>
      <w:r w:rsidR="00D050A3" w:rsidRPr="00147C42">
        <w:rPr>
          <w:rFonts w:ascii="Arial" w:hAnsi="Arial" w:cs="Arial"/>
          <w:bCs/>
          <w:sz w:val="18"/>
          <w:szCs w:val="28"/>
          <w:lang w:val="el-GR"/>
        </w:rPr>
        <w:t xml:space="preserve">γ’ </w:t>
      </w:r>
      <w:r w:rsidR="00085FB2" w:rsidRPr="00147C42">
        <w:rPr>
          <w:rFonts w:ascii="Arial" w:hAnsi="Arial" w:cs="Arial"/>
          <w:bCs/>
          <w:sz w:val="18"/>
          <w:szCs w:val="28"/>
          <w:lang w:val="el-GR"/>
        </w:rPr>
        <w:t>τρίμηνο 2024 σε σύγκριση με</w:t>
      </w:r>
      <w:r w:rsidR="00BA506B" w:rsidRPr="00147C42">
        <w:rPr>
          <w:rFonts w:ascii="Arial" w:hAnsi="Arial" w:cs="Arial"/>
          <w:bCs/>
          <w:sz w:val="18"/>
          <w:szCs w:val="28"/>
          <w:lang w:val="el-GR"/>
        </w:rPr>
        <w:t xml:space="preserve"> €</w:t>
      </w:r>
      <w:r w:rsidR="00D050A3" w:rsidRPr="00147C42">
        <w:rPr>
          <w:rFonts w:ascii="Arial" w:hAnsi="Arial" w:cs="Arial"/>
          <w:bCs/>
          <w:sz w:val="18"/>
          <w:szCs w:val="28"/>
          <w:lang w:val="el-GR"/>
        </w:rPr>
        <w:t xml:space="preserve">124 </w:t>
      </w:r>
      <w:r w:rsidR="00BA506B" w:rsidRPr="00147C42">
        <w:rPr>
          <w:rFonts w:ascii="Arial" w:hAnsi="Arial" w:cs="Arial"/>
          <w:bCs/>
          <w:sz w:val="18"/>
          <w:szCs w:val="28"/>
          <w:lang w:val="el-GR"/>
        </w:rPr>
        <w:t xml:space="preserve">εκατ. για το </w:t>
      </w:r>
      <w:r w:rsidR="00D050A3" w:rsidRPr="00147C42">
        <w:rPr>
          <w:rFonts w:ascii="Arial" w:hAnsi="Arial" w:cs="Arial"/>
          <w:bCs/>
          <w:sz w:val="18"/>
          <w:szCs w:val="28"/>
          <w:lang w:val="el-GR"/>
        </w:rPr>
        <w:t>β</w:t>
      </w:r>
      <w:r w:rsidR="00BA506B" w:rsidRPr="00147C42">
        <w:rPr>
          <w:rFonts w:ascii="Arial" w:hAnsi="Arial" w:cs="Arial"/>
          <w:bCs/>
          <w:sz w:val="18"/>
          <w:szCs w:val="28"/>
          <w:lang w:val="el-GR"/>
        </w:rPr>
        <w:t xml:space="preserve">΄ τρίμηνο 2024, </w:t>
      </w:r>
      <w:r w:rsidR="00085FB2" w:rsidRPr="00147C42">
        <w:rPr>
          <w:rFonts w:ascii="Arial" w:hAnsi="Arial" w:cs="Arial"/>
          <w:bCs/>
          <w:sz w:val="18"/>
          <w:szCs w:val="28"/>
          <w:lang w:val="el-GR"/>
        </w:rPr>
        <w:t>και ανέρχεται σε €</w:t>
      </w:r>
      <w:r w:rsidR="00147C42" w:rsidRPr="00502B4F">
        <w:rPr>
          <w:rFonts w:ascii="Arial" w:hAnsi="Arial" w:cs="Arial"/>
          <w:bCs/>
          <w:sz w:val="18"/>
          <w:szCs w:val="28"/>
          <w:lang w:val="el-GR"/>
        </w:rPr>
        <w:t xml:space="preserve">388 </w:t>
      </w:r>
      <w:r w:rsidR="00085FB2" w:rsidRPr="00147C42">
        <w:rPr>
          <w:rFonts w:ascii="Arial" w:hAnsi="Arial" w:cs="Arial"/>
          <w:bCs/>
          <w:sz w:val="18"/>
          <w:szCs w:val="28"/>
          <w:lang w:val="el-GR"/>
        </w:rPr>
        <w:t xml:space="preserve">εκατ. για το </w:t>
      </w:r>
      <w:r w:rsidR="007A2F9B">
        <w:rPr>
          <w:rFonts w:ascii="Arial" w:hAnsi="Arial" w:cs="Arial"/>
          <w:sz w:val="18"/>
          <w:szCs w:val="18"/>
          <w:lang w:val="el-GR"/>
        </w:rPr>
        <w:t>εννεάμηνο</w:t>
      </w:r>
      <w:r w:rsidR="00D050A3" w:rsidRPr="00147C42">
        <w:rPr>
          <w:rFonts w:ascii="Arial" w:hAnsi="Arial" w:cs="Arial"/>
          <w:sz w:val="18"/>
          <w:szCs w:val="18"/>
          <w:lang w:val="el-GR"/>
        </w:rPr>
        <w:t xml:space="preserve"> που έληξε στις 30 Σεπτεμβρίου </w:t>
      </w:r>
      <w:r w:rsidR="00085FB2" w:rsidRPr="00147C42">
        <w:rPr>
          <w:rFonts w:ascii="Arial" w:hAnsi="Arial" w:cs="Arial"/>
          <w:bCs/>
          <w:sz w:val="18"/>
          <w:szCs w:val="28"/>
          <w:lang w:val="el-GR"/>
        </w:rPr>
        <w:t xml:space="preserve">2024, </w:t>
      </w:r>
      <w:r w:rsidR="00BA506B" w:rsidRPr="00147C42">
        <w:rPr>
          <w:rFonts w:ascii="Arial" w:hAnsi="Arial" w:cs="Arial"/>
          <w:bCs/>
          <w:sz w:val="18"/>
          <w:szCs w:val="28"/>
          <w:lang w:val="el-GR"/>
        </w:rPr>
        <w:t>σε σύγκριση με €</w:t>
      </w:r>
      <w:r w:rsidR="00A00212">
        <w:rPr>
          <w:rFonts w:ascii="Arial" w:hAnsi="Arial" w:cs="Arial"/>
          <w:bCs/>
          <w:sz w:val="18"/>
          <w:szCs w:val="28"/>
          <w:lang w:val="el-GR"/>
        </w:rPr>
        <w:t>331</w:t>
      </w:r>
      <w:r w:rsidR="00D050A3" w:rsidRPr="00147C42">
        <w:rPr>
          <w:rFonts w:ascii="Arial" w:hAnsi="Arial" w:cs="Arial"/>
          <w:bCs/>
          <w:sz w:val="18"/>
          <w:szCs w:val="28"/>
          <w:lang w:val="el-GR"/>
        </w:rPr>
        <w:t xml:space="preserve"> </w:t>
      </w:r>
      <w:r w:rsidR="00BA506B" w:rsidRPr="00147C42">
        <w:rPr>
          <w:rFonts w:ascii="Arial" w:hAnsi="Arial" w:cs="Arial"/>
          <w:bCs/>
          <w:sz w:val="18"/>
          <w:szCs w:val="28"/>
          <w:lang w:val="el-GR"/>
        </w:rPr>
        <w:t>εκατ. για το</w:t>
      </w:r>
      <w:r w:rsidR="00D050A3" w:rsidRPr="00147C42">
        <w:rPr>
          <w:rFonts w:ascii="Arial" w:hAnsi="Arial" w:cs="Arial"/>
          <w:bCs/>
          <w:sz w:val="18"/>
          <w:szCs w:val="28"/>
          <w:lang w:val="el-GR"/>
        </w:rPr>
        <w:t xml:space="preserve"> αντίστοιχο </w:t>
      </w:r>
      <w:r w:rsidR="007A2F9B">
        <w:rPr>
          <w:rFonts w:ascii="Arial" w:hAnsi="Arial" w:cs="Arial"/>
          <w:bCs/>
          <w:sz w:val="18"/>
          <w:szCs w:val="28"/>
          <w:lang w:val="el-GR"/>
        </w:rPr>
        <w:t>εννεάμηνο</w:t>
      </w:r>
      <w:r w:rsidR="00D050A3" w:rsidRPr="00147C42">
        <w:rPr>
          <w:rFonts w:ascii="Arial" w:hAnsi="Arial" w:cs="Arial"/>
          <w:bCs/>
          <w:sz w:val="18"/>
          <w:szCs w:val="28"/>
          <w:lang w:val="el-GR"/>
        </w:rPr>
        <w:t xml:space="preserve"> </w:t>
      </w:r>
      <w:r w:rsidR="00BA506B" w:rsidRPr="00147C42">
        <w:rPr>
          <w:rFonts w:ascii="Arial" w:hAnsi="Arial" w:cs="Arial"/>
          <w:bCs/>
          <w:sz w:val="18"/>
          <w:szCs w:val="28"/>
          <w:lang w:val="el-GR"/>
        </w:rPr>
        <w:t>2023</w:t>
      </w:r>
      <w:r w:rsidR="00085FB2" w:rsidRPr="00147C42">
        <w:rPr>
          <w:rFonts w:ascii="Arial" w:hAnsi="Arial" w:cs="Arial"/>
          <w:bCs/>
          <w:sz w:val="18"/>
          <w:szCs w:val="28"/>
          <w:lang w:val="el-GR"/>
        </w:rPr>
        <w:t xml:space="preserve">. </w:t>
      </w:r>
    </w:p>
    <w:p w14:paraId="0D72A693" w14:textId="47B90D91" w:rsidR="00733365" w:rsidRPr="00D41B36" w:rsidRDefault="002C3095" w:rsidP="002354D5">
      <w:pPr>
        <w:pStyle w:val="BodyText3"/>
        <w:jc w:val="both"/>
        <w:rPr>
          <w:highlight w:val="yellow"/>
          <w:lang w:val="el-GR"/>
        </w:rPr>
      </w:pPr>
      <w:r w:rsidRPr="00D41B36">
        <w:rPr>
          <w:rFonts w:ascii="Arial" w:hAnsi="Arial" w:cs="Arial"/>
          <w:sz w:val="18"/>
          <w:highlight w:val="yellow"/>
          <w:lang w:val="el-GR"/>
        </w:rPr>
        <w:t xml:space="preserve"> </w:t>
      </w:r>
      <w:bookmarkStart w:id="26" w:name="_Hlk80873594"/>
      <w:bookmarkStart w:id="27" w:name="_Hlk112060245"/>
      <w:bookmarkStart w:id="28" w:name="_Hlk112068458"/>
    </w:p>
    <w:p w14:paraId="7FF71338" w14:textId="5D8EC108" w:rsidR="001853B8" w:rsidRPr="007246A9" w:rsidRDefault="00125455" w:rsidP="00DB30A6">
      <w:pPr>
        <w:spacing w:after="0" w:line="360" w:lineRule="auto"/>
        <w:rPr>
          <w:rFonts w:ascii="Arial" w:hAnsi="Arial" w:cs="Arial"/>
          <w:b/>
          <w:color w:val="FF9900"/>
          <w:sz w:val="24"/>
          <w:lang w:val="el-GR"/>
        </w:rPr>
      </w:pPr>
      <w:r>
        <w:rPr>
          <w:rFonts w:ascii="Arial" w:hAnsi="Arial" w:cs="Arial"/>
          <w:b/>
          <w:color w:val="FF9900"/>
          <w:sz w:val="24"/>
          <w:lang w:val="el-GR"/>
        </w:rPr>
        <w:lastRenderedPageBreak/>
        <w:t>Β</w:t>
      </w:r>
      <w:r w:rsidR="001853B8" w:rsidRPr="007246A9">
        <w:rPr>
          <w:rFonts w:ascii="Arial" w:hAnsi="Arial" w:cs="Arial"/>
          <w:b/>
          <w:color w:val="FF9900"/>
          <w:sz w:val="24"/>
          <w:lang w:val="el-GR"/>
        </w:rPr>
        <w:t>. Λειτουργικό Περιβάλλον</w:t>
      </w:r>
    </w:p>
    <w:p w14:paraId="59995F89" w14:textId="7544579C" w:rsidR="00A6549A" w:rsidRPr="00BD67FD" w:rsidRDefault="00191733" w:rsidP="001E5D64">
      <w:pPr>
        <w:spacing w:after="0" w:line="240" w:lineRule="auto"/>
        <w:jc w:val="both"/>
        <w:rPr>
          <w:rFonts w:ascii="Arial" w:hAnsi="Arial" w:cs="Arial"/>
          <w:sz w:val="18"/>
          <w:lang w:val="el-GR"/>
        </w:rPr>
      </w:pPr>
      <w:bookmarkStart w:id="29" w:name="_Hlk99027934"/>
      <w:bookmarkStart w:id="30" w:name="_Hlk72772468"/>
      <w:bookmarkStart w:id="31" w:name="_Hlk72149976"/>
      <w:r w:rsidRPr="00191733">
        <w:rPr>
          <w:rFonts w:ascii="Arial" w:hAnsi="Arial" w:cs="Arial"/>
          <w:sz w:val="18"/>
          <w:lang w:val="el-GR"/>
        </w:rPr>
        <w:t>Η οικονομική δραστηριότητα ανέκαμψε το πρώτο εξάμηνο του 2024, με το πραγματικό ΑΕΠ να αυξάνεται κατά 3.8%</w:t>
      </w:r>
      <w:r w:rsidR="00BD67FD" w:rsidRPr="00BD67FD">
        <w:rPr>
          <w:rFonts w:ascii="Arial" w:hAnsi="Arial" w:cs="Arial"/>
          <w:sz w:val="18"/>
          <w:lang w:val="el-GR"/>
        </w:rPr>
        <w:t xml:space="preserve">, </w:t>
      </w:r>
      <w:r w:rsidRPr="00191733">
        <w:rPr>
          <w:rFonts w:ascii="Arial" w:hAnsi="Arial" w:cs="Arial"/>
          <w:sz w:val="18"/>
          <w:lang w:val="el-GR"/>
        </w:rPr>
        <w:t xml:space="preserve">εποχικά προσαρμοσμένο το </w:t>
      </w:r>
      <w:r w:rsidR="005C5105">
        <w:rPr>
          <w:rFonts w:ascii="Arial" w:hAnsi="Arial" w:cs="Arial"/>
          <w:sz w:val="18"/>
          <w:lang w:val="el-GR"/>
        </w:rPr>
        <w:t xml:space="preserve">α’ </w:t>
      </w:r>
      <w:r w:rsidRPr="00191733">
        <w:rPr>
          <w:rFonts w:ascii="Arial" w:hAnsi="Arial" w:cs="Arial"/>
          <w:sz w:val="18"/>
          <w:lang w:val="el-GR"/>
        </w:rPr>
        <w:t xml:space="preserve">τρίμηνο </w:t>
      </w:r>
      <w:r w:rsidR="005C5105">
        <w:rPr>
          <w:rFonts w:ascii="Arial" w:hAnsi="Arial" w:cs="Arial"/>
          <w:sz w:val="18"/>
          <w:lang w:val="el-GR"/>
        </w:rPr>
        <w:t>2024</w:t>
      </w:r>
      <w:r w:rsidRPr="00191733">
        <w:rPr>
          <w:rFonts w:ascii="Arial" w:hAnsi="Arial" w:cs="Arial"/>
          <w:sz w:val="18"/>
          <w:lang w:val="el-GR"/>
        </w:rPr>
        <w:t xml:space="preserve">και κατά 3.4% το </w:t>
      </w:r>
      <w:r w:rsidR="005C5105">
        <w:rPr>
          <w:rFonts w:ascii="Arial" w:hAnsi="Arial" w:cs="Arial"/>
          <w:sz w:val="18"/>
          <w:lang w:val="el-GR"/>
        </w:rPr>
        <w:t xml:space="preserve">β’ </w:t>
      </w:r>
      <w:r w:rsidRPr="00191733">
        <w:rPr>
          <w:rFonts w:ascii="Arial" w:hAnsi="Arial" w:cs="Arial"/>
          <w:sz w:val="18"/>
          <w:lang w:val="el-GR"/>
        </w:rPr>
        <w:t>τρίμηνο</w:t>
      </w:r>
      <w:r w:rsidR="005C5105">
        <w:rPr>
          <w:rFonts w:ascii="Arial" w:hAnsi="Arial" w:cs="Arial"/>
          <w:sz w:val="18"/>
          <w:lang w:val="el-GR"/>
        </w:rPr>
        <w:t xml:space="preserve"> 2024</w:t>
      </w:r>
      <w:r w:rsidRPr="00191733">
        <w:rPr>
          <w:rFonts w:ascii="Arial" w:hAnsi="Arial" w:cs="Arial"/>
          <w:sz w:val="18"/>
          <w:lang w:val="el-GR"/>
        </w:rPr>
        <w:t>. Η ανάπτυξη για το έτος εκτιμάται πλέον σε 3.7%, σύμφωνα με τις τελευταίες αναθεωρήσεις του Υπουργείου Οικονομικών</w:t>
      </w:r>
      <w:r w:rsidR="00BD67FD">
        <w:rPr>
          <w:rFonts w:ascii="Arial" w:hAnsi="Arial" w:cs="Arial"/>
          <w:sz w:val="18"/>
          <w:lang w:val="el-GR"/>
        </w:rPr>
        <w:t>,</w:t>
      </w:r>
      <w:r w:rsidRPr="00191733">
        <w:rPr>
          <w:rFonts w:ascii="Arial" w:hAnsi="Arial" w:cs="Arial"/>
          <w:sz w:val="18"/>
          <w:lang w:val="el-GR"/>
        </w:rPr>
        <w:t xml:space="preserve"> και προβλέπεται να αυξηθεί κατά 3.1% το 2025</w:t>
      </w:r>
      <w:r w:rsidR="00BD67FD">
        <w:rPr>
          <w:rFonts w:ascii="Arial" w:hAnsi="Arial" w:cs="Arial"/>
          <w:sz w:val="18"/>
          <w:lang w:val="el-GR"/>
        </w:rPr>
        <w:t xml:space="preserve">, αποδεικνύοντας την ανθεκτικότητα και τα χαρακτηριστικά της </w:t>
      </w:r>
      <w:r w:rsidR="00DB4D27">
        <w:rPr>
          <w:rFonts w:ascii="Arial" w:hAnsi="Arial" w:cs="Arial"/>
          <w:sz w:val="18"/>
          <w:lang w:val="el-GR"/>
        </w:rPr>
        <w:t>κ</w:t>
      </w:r>
      <w:r w:rsidR="00BD67FD">
        <w:rPr>
          <w:rFonts w:ascii="Arial" w:hAnsi="Arial" w:cs="Arial"/>
          <w:sz w:val="18"/>
          <w:lang w:val="el-GR"/>
        </w:rPr>
        <w:t xml:space="preserve">υπριακής οικονομίας παρά τις γεωπολιτικές εξελίξεις γύρω από την περιοχή. </w:t>
      </w:r>
    </w:p>
    <w:p w14:paraId="5D544EE9" w14:textId="77777777" w:rsidR="00191733" w:rsidRPr="00BD67FD" w:rsidRDefault="00191733" w:rsidP="001E5D64">
      <w:pPr>
        <w:spacing w:after="0" w:line="240" w:lineRule="auto"/>
        <w:jc w:val="both"/>
        <w:rPr>
          <w:rFonts w:ascii="Arial" w:hAnsi="Arial" w:cs="Arial"/>
          <w:bCs/>
          <w:color w:val="000000" w:themeColor="text1"/>
          <w:sz w:val="18"/>
          <w:szCs w:val="18"/>
          <w:highlight w:val="yellow"/>
          <w:lang w:val="el-GR"/>
        </w:rPr>
      </w:pPr>
    </w:p>
    <w:p w14:paraId="0AAD0795" w14:textId="21E6364B" w:rsidR="00A6549A" w:rsidRPr="00840206" w:rsidRDefault="00191733" w:rsidP="001E5D64">
      <w:pPr>
        <w:spacing w:after="0" w:line="240" w:lineRule="auto"/>
        <w:jc w:val="both"/>
        <w:rPr>
          <w:rFonts w:ascii="Arial" w:hAnsi="Arial" w:cs="Arial"/>
          <w:sz w:val="18"/>
          <w:lang w:val="el-GR"/>
        </w:rPr>
      </w:pPr>
      <w:r w:rsidRPr="00191733">
        <w:rPr>
          <w:rFonts w:ascii="Arial" w:hAnsi="Arial" w:cs="Arial"/>
          <w:sz w:val="18"/>
          <w:lang w:val="el-GR"/>
        </w:rPr>
        <w:t xml:space="preserve">Οι υψηλές επιδόσεις της οικονομίας κατά την περίοδο μετά την πανδημία </w:t>
      </w:r>
      <w:r w:rsidR="00BD67FD">
        <w:rPr>
          <w:rFonts w:ascii="Arial" w:hAnsi="Arial" w:cs="Arial"/>
          <w:sz w:val="18"/>
          <w:lang w:val="en-US"/>
        </w:rPr>
        <w:t>Covid</w:t>
      </w:r>
      <w:r w:rsidRPr="00191733">
        <w:rPr>
          <w:rFonts w:ascii="Arial" w:hAnsi="Arial" w:cs="Arial"/>
          <w:sz w:val="18"/>
          <w:lang w:val="el-GR"/>
        </w:rPr>
        <w:t xml:space="preserve">-19, προήλθαν από βασικούς τομείς όπως οι χρηματοπιστωτικές υπηρεσίες, οι επαγγελματικές και διοικητικές υπηρεσίες, ο τουρισμός και οι κατασκευές, καθώς και από την αυξημένη οικονομική διεύρυνση μέσω της επέκτασης του τομέα της τεχνολογίας, πληροφοριών και επικοινωνιών (ΤΠΕ). Από την πλευρά της ζήτησης, η ανάπτυξη προήλθε από την </w:t>
      </w:r>
      <w:r w:rsidR="00F5685A">
        <w:rPr>
          <w:rFonts w:ascii="Arial" w:hAnsi="Arial" w:cs="Arial"/>
          <w:sz w:val="18"/>
          <w:lang w:val="el-GR"/>
        </w:rPr>
        <w:t>ισχυρή</w:t>
      </w:r>
      <w:r w:rsidRPr="00191733">
        <w:rPr>
          <w:rFonts w:ascii="Arial" w:hAnsi="Arial" w:cs="Arial"/>
          <w:sz w:val="18"/>
          <w:lang w:val="el-GR"/>
        </w:rPr>
        <w:t xml:space="preserve"> ιδιωτική κατανάλωση, η οποία υποστηρίχθηκε από τη μείωση του πληθωρισμού</w:t>
      </w:r>
      <w:r w:rsidR="00BD67FD">
        <w:rPr>
          <w:rFonts w:ascii="Arial" w:hAnsi="Arial" w:cs="Arial"/>
          <w:sz w:val="18"/>
          <w:lang w:val="el-GR"/>
        </w:rPr>
        <w:t xml:space="preserve"> και του ποσοστού </w:t>
      </w:r>
      <w:r w:rsidR="00F5685A">
        <w:rPr>
          <w:rFonts w:ascii="Arial" w:hAnsi="Arial" w:cs="Arial"/>
          <w:sz w:val="18"/>
          <w:lang w:val="el-GR"/>
        </w:rPr>
        <w:t>ανεργίας, το οποίο</w:t>
      </w:r>
      <w:r w:rsidRPr="00191733">
        <w:rPr>
          <w:rFonts w:ascii="Arial" w:hAnsi="Arial" w:cs="Arial"/>
          <w:sz w:val="18"/>
          <w:lang w:val="el-GR"/>
        </w:rPr>
        <w:t xml:space="preserve"> μειώθηκε στο 4</w:t>
      </w:r>
      <w:r w:rsidR="00F5685A">
        <w:rPr>
          <w:rFonts w:ascii="Arial" w:hAnsi="Arial" w:cs="Arial"/>
          <w:sz w:val="18"/>
          <w:lang w:val="el-GR"/>
        </w:rPr>
        <w:t>.</w:t>
      </w:r>
      <w:r w:rsidRPr="00191733">
        <w:rPr>
          <w:rFonts w:ascii="Arial" w:hAnsi="Arial" w:cs="Arial"/>
          <w:sz w:val="18"/>
          <w:lang w:val="el-GR"/>
        </w:rPr>
        <w:t xml:space="preserve">8% το </w:t>
      </w:r>
      <w:r w:rsidR="005C5105">
        <w:rPr>
          <w:rFonts w:ascii="Arial" w:hAnsi="Arial" w:cs="Arial"/>
          <w:sz w:val="18"/>
          <w:lang w:val="el-GR"/>
        </w:rPr>
        <w:t xml:space="preserve">β’ </w:t>
      </w:r>
      <w:r w:rsidRPr="00191733">
        <w:rPr>
          <w:rFonts w:ascii="Arial" w:hAnsi="Arial" w:cs="Arial"/>
          <w:sz w:val="18"/>
          <w:lang w:val="el-GR"/>
        </w:rPr>
        <w:t>τρίμηνο του 2024.</w:t>
      </w:r>
      <w:r w:rsidR="00F5685A">
        <w:rPr>
          <w:rFonts w:ascii="Arial" w:hAnsi="Arial" w:cs="Arial"/>
          <w:sz w:val="18"/>
          <w:lang w:val="el-GR"/>
        </w:rPr>
        <w:t xml:space="preserve"> </w:t>
      </w:r>
      <w:r w:rsidRPr="00191733">
        <w:rPr>
          <w:rFonts w:ascii="Arial" w:hAnsi="Arial" w:cs="Arial"/>
          <w:sz w:val="18"/>
          <w:lang w:val="el-GR"/>
        </w:rPr>
        <w:t>Επιπλέον, οι εξαγωγές υπηρεσιών έδωσαν σημαντική ώθηση κατά το πρώτο εξάμηνο του έτους. Οι δημόσιες επενδύσεις αναμένεται να υποστηριχθούν από το σχέδιο ανάκαμψης και ανθεκτικότητας της ΕΕ, το οποίο λήγει το 2026.</w:t>
      </w:r>
      <w:r w:rsidR="00840206" w:rsidRPr="00840206">
        <w:rPr>
          <w:rFonts w:ascii="Arial" w:hAnsi="Arial" w:cs="Arial"/>
          <w:sz w:val="18"/>
          <w:lang w:val="el-GR"/>
        </w:rPr>
        <w:t xml:space="preserve"> </w:t>
      </w:r>
      <w:r w:rsidRPr="00840206">
        <w:rPr>
          <w:rFonts w:ascii="Arial" w:hAnsi="Arial" w:cs="Arial"/>
          <w:sz w:val="18"/>
          <w:lang w:val="el-GR"/>
        </w:rPr>
        <w:t xml:space="preserve">Αυτό θα μπορούσε να αυξήσει περαιτέρω το δυνητικό ρυθμό ανάπτυξης της </w:t>
      </w:r>
      <w:r w:rsidR="00DB4D27">
        <w:rPr>
          <w:rFonts w:ascii="Arial" w:hAnsi="Arial" w:cs="Arial"/>
          <w:sz w:val="18"/>
          <w:lang w:val="el-GR"/>
        </w:rPr>
        <w:t>κ</w:t>
      </w:r>
      <w:r w:rsidRPr="00840206">
        <w:rPr>
          <w:rFonts w:ascii="Arial" w:hAnsi="Arial" w:cs="Arial"/>
          <w:sz w:val="18"/>
          <w:lang w:val="el-GR"/>
        </w:rPr>
        <w:t>υπριακής οικονομίας</w:t>
      </w:r>
      <w:r w:rsidR="00840206" w:rsidRPr="00840206">
        <w:rPr>
          <w:rFonts w:ascii="Arial" w:hAnsi="Arial" w:cs="Arial"/>
          <w:sz w:val="18"/>
          <w:lang w:val="el-GR"/>
        </w:rPr>
        <w:t xml:space="preserve">. </w:t>
      </w:r>
    </w:p>
    <w:p w14:paraId="22932304" w14:textId="77777777" w:rsidR="00191733" w:rsidRPr="00840206" w:rsidRDefault="00191733" w:rsidP="001E5D64">
      <w:pPr>
        <w:spacing w:after="0" w:line="240" w:lineRule="auto"/>
        <w:jc w:val="both"/>
        <w:rPr>
          <w:rFonts w:ascii="Arial" w:hAnsi="Arial" w:cs="Arial"/>
          <w:bCs/>
          <w:color w:val="000000" w:themeColor="text1"/>
          <w:sz w:val="18"/>
          <w:szCs w:val="18"/>
          <w:highlight w:val="yellow"/>
          <w:lang w:val="el-GR"/>
        </w:rPr>
      </w:pPr>
    </w:p>
    <w:p w14:paraId="26DC4261" w14:textId="2D97EEDB" w:rsidR="00A6549A" w:rsidRPr="00CC53EC" w:rsidRDefault="00191733" w:rsidP="001E5D64">
      <w:pPr>
        <w:spacing w:after="0" w:line="240" w:lineRule="auto"/>
        <w:jc w:val="both"/>
        <w:rPr>
          <w:rFonts w:ascii="Arial" w:hAnsi="Arial" w:cs="Arial"/>
          <w:sz w:val="18"/>
          <w:lang w:val="el-GR"/>
        </w:rPr>
      </w:pPr>
      <w:r w:rsidRPr="00191733">
        <w:rPr>
          <w:rFonts w:ascii="Arial" w:hAnsi="Arial" w:cs="Arial"/>
          <w:sz w:val="18"/>
          <w:lang w:val="el-GR"/>
        </w:rPr>
        <w:t>Ο πληθωρισμός, όπως υπολογίζεται από τον εναρμονισμένο δείκτη τιμών καταναλωτή, παρουσιάζει καθοδική πορεία από την κορύφωσή του τον Ιούλιο-Αύγουστο του 2022 στο</w:t>
      </w:r>
      <w:r w:rsidR="00F5685A">
        <w:rPr>
          <w:rFonts w:ascii="Arial" w:hAnsi="Arial" w:cs="Arial"/>
          <w:sz w:val="18"/>
          <w:lang w:val="el-GR"/>
        </w:rPr>
        <w:t xml:space="preserve"> </w:t>
      </w:r>
      <w:r w:rsidRPr="00191733">
        <w:rPr>
          <w:rFonts w:ascii="Arial" w:hAnsi="Arial" w:cs="Arial"/>
          <w:sz w:val="18"/>
          <w:lang w:val="el-GR"/>
        </w:rPr>
        <w:t>10.6%, και στο 7.2% ο βασικός πληθωρισμός, εξαιρουμένων της ενέργειας και των τροφίμων.</w:t>
      </w:r>
      <w:r w:rsidR="00F5685A">
        <w:rPr>
          <w:rFonts w:ascii="Arial" w:hAnsi="Arial" w:cs="Arial"/>
          <w:sz w:val="18"/>
          <w:lang w:val="el-GR"/>
        </w:rPr>
        <w:t xml:space="preserve"> </w:t>
      </w:r>
      <w:r w:rsidRPr="00191733">
        <w:rPr>
          <w:rFonts w:ascii="Arial" w:hAnsi="Arial" w:cs="Arial"/>
          <w:sz w:val="18"/>
          <w:lang w:val="el-GR"/>
        </w:rPr>
        <w:t>Ο πληθωρισμός μειώθηκε σε 3.9% το 2023 και περαιτέρω σε 2.3% τον Ιανουάριο-Σεπτέμβριο του 2024.</w:t>
      </w:r>
      <w:r w:rsidR="00F5685A">
        <w:rPr>
          <w:rFonts w:ascii="Arial" w:hAnsi="Arial" w:cs="Arial"/>
          <w:sz w:val="18"/>
          <w:lang w:val="el-GR"/>
        </w:rPr>
        <w:t xml:space="preserve"> </w:t>
      </w:r>
      <w:r w:rsidRPr="00191733">
        <w:rPr>
          <w:rFonts w:ascii="Arial" w:hAnsi="Arial" w:cs="Arial"/>
          <w:sz w:val="18"/>
          <w:lang w:val="el-GR"/>
        </w:rPr>
        <w:t>Ο βασικός πληθωρισμός ήταν πιο επίμονος στο 2.6% κατά την ίδια περίοδο.</w:t>
      </w:r>
      <w:r w:rsidR="00F5685A">
        <w:rPr>
          <w:rFonts w:ascii="Arial" w:hAnsi="Arial" w:cs="Arial"/>
          <w:sz w:val="18"/>
          <w:lang w:val="el-GR"/>
        </w:rPr>
        <w:t xml:space="preserve"> </w:t>
      </w:r>
      <w:r w:rsidRPr="00191733">
        <w:rPr>
          <w:rFonts w:ascii="Arial" w:hAnsi="Arial" w:cs="Arial"/>
          <w:sz w:val="18"/>
          <w:lang w:val="el-GR"/>
        </w:rPr>
        <w:t xml:space="preserve">Ο πληθωρισμός των υπηρεσιών (δηλ. γενικού δείκτη εξαιρουμένων των αγαθών) </w:t>
      </w:r>
      <w:r w:rsidR="00F5685A">
        <w:rPr>
          <w:rFonts w:ascii="Arial" w:hAnsi="Arial" w:cs="Arial"/>
          <w:sz w:val="18"/>
          <w:lang w:val="el-GR"/>
        </w:rPr>
        <w:t>ανήλθε</w:t>
      </w:r>
      <w:r w:rsidRPr="00191733">
        <w:rPr>
          <w:rFonts w:ascii="Arial" w:hAnsi="Arial" w:cs="Arial"/>
          <w:sz w:val="18"/>
          <w:lang w:val="el-GR"/>
        </w:rPr>
        <w:t xml:space="preserve"> στο 4</w:t>
      </w:r>
      <w:r w:rsidR="00F5685A">
        <w:rPr>
          <w:rFonts w:ascii="Arial" w:hAnsi="Arial" w:cs="Arial"/>
          <w:sz w:val="18"/>
          <w:lang w:val="el-GR"/>
        </w:rPr>
        <w:t>.</w:t>
      </w:r>
      <w:r w:rsidRPr="00191733">
        <w:rPr>
          <w:rFonts w:ascii="Arial" w:hAnsi="Arial" w:cs="Arial"/>
          <w:sz w:val="18"/>
          <w:lang w:val="el-GR"/>
        </w:rPr>
        <w:t>1%, έναντι 3.6% το 2023. Αν και ο γενικός πληθωρισμός έχει μειωθεί σημαντικά από την κορύφωση του το 2022, εξακολουθούν να υπάρχουν πληθωριστικές πιέσεις στην οικονομία, ιδίως στις κατηγορίες των υπηρεσιών. Αυτό ισχύει και για την Ευρώπη γενικότερα.</w:t>
      </w:r>
    </w:p>
    <w:p w14:paraId="44F2E7B4" w14:textId="77777777" w:rsidR="00191733" w:rsidRPr="00CC53EC" w:rsidRDefault="00191733" w:rsidP="001E5D64">
      <w:pPr>
        <w:spacing w:after="0" w:line="240" w:lineRule="auto"/>
        <w:jc w:val="both"/>
        <w:rPr>
          <w:rFonts w:ascii="Arial" w:hAnsi="Arial" w:cs="Arial"/>
          <w:bCs/>
          <w:color w:val="000000" w:themeColor="text1"/>
          <w:sz w:val="18"/>
          <w:szCs w:val="18"/>
          <w:highlight w:val="yellow"/>
          <w:lang w:val="el-GR"/>
        </w:rPr>
      </w:pPr>
    </w:p>
    <w:p w14:paraId="3010C6E7" w14:textId="625F3833" w:rsidR="00191733" w:rsidRPr="00EE5F78" w:rsidRDefault="00191733" w:rsidP="00191733">
      <w:pPr>
        <w:spacing w:line="240" w:lineRule="auto"/>
        <w:contextualSpacing/>
        <w:jc w:val="both"/>
        <w:rPr>
          <w:rFonts w:ascii="Arial" w:hAnsi="Arial" w:cs="Arial"/>
          <w:sz w:val="18"/>
          <w:lang w:val="el-GR"/>
        </w:rPr>
      </w:pPr>
      <w:r w:rsidRPr="00EE5F78">
        <w:rPr>
          <w:rFonts w:ascii="Arial" w:hAnsi="Arial" w:cs="Arial"/>
          <w:sz w:val="18"/>
          <w:lang w:val="el-GR"/>
        </w:rPr>
        <w:t xml:space="preserve">Το δημοσιονομικό περιβάλλον είναι ευνοϊκό, με διατηρούμενα πλεονάσματα και με </w:t>
      </w:r>
      <w:r w:rsidR="000C71E7">
        <w:rPr>
          <w:rFonts w:ascii="Arial" w:hAnsi="Arial" w:cs="Arial"/>
          <w:sz w:val="18"/>
          <w:lang w:val="el-GR"/>
        </w:rPr>
        <w:t>το</w:t>
      </w:r>
      <w:r w:rsidRPr="00EE5F78">
        <w:rPr>
          <w:rFonts w:ascii="Arial" w:hAnsi="Arial" w:cs="Arial"/>
          <w:sz w:val="18"/>
          <w:lang w:val="el-GR"/>
        </w:rPr>
        <w:t xml:space="preserve"> </w:t>
      </w:r>
      <w:r w:rsidR="000C71E7">
        <w:rPr>
          <w:rFonts w:ascii="Arial" w:hAnsi="Arial" w:cs="Arial"/>
          <w:sz w:val="18"/>
          <w:lang w:val="el-GR"/>
        </w:rPr>
        <w:t>δημόσιο</w:t>
      </w:r>
      <w:r w:rsidRPr="00EE5F78">
        <w:rPr>
          <w:rFonts w:ascii="Arial" w:hAnsi="Arial" w:cs="Arial"/>
          <w:sz w:val="18"/>
          <w:lang w:val="el-GR"/>
        </w:rPr>
        <w:t xml:space="preserve"> χρέος προς το ΑΕΠ να βρίσκεται σταθερά σε πτωτική πορεία. Σύμφωνα με το Υπουργείο Οικονομικών, το πλεόνασμα του προϋπολογισμού της γενικής κυβέρνησης αναμένεται να αυξηθεί από 2</w:t>
      </w:r>
      <w:r w:rsidR="000C71E7">
        <w:rPr>
          <w:rFonts w:ascii="Arial" w:hAnsi="Arial" w:cs="Arial"/>
          <w:sz w:val="18"/>
          <w:lang w:val="el-GR"/>
        </w:rPr>
        <w:t>.0</w:t>
      </w:r>
      <w:r w:rsidRPr="00EE5F78">
        <w:rPr>
          <w:rFonts w:ascii="Arial" w:hAnsi="Arial" w:cs="Arial"/>
          <w:sz w:val="18"/>
          <w:lang w:val="el-GR"/>
        </w:rPr>
        <w:t>% του ΑΕΠ το 2023 σε 3</w:t>
      </w:r>
      <w:r>
        <w:rPr>
          <w:rFonts w:ascii="Arial" w:hAnsi="Arial" w:cs="Arial"/>
          <w:sz w:val="18"/>
          <w:lang w:val="el-GR"/>
        </w:rPr>
        <w:t>.</w:t>
      </w:r>
      <w:r w:rsidRPr="00EE5F78">
        <w:rPr>
          <w:rFonts w:ascii="Arial" w:hAnsi="Arial" w:cs="Arial"/>
          <w:sz w:val="18"/>
          <w:lang w:val="el-GR"/>
        </w:rPr>
        <w:t>9% του ΑΕΠ το 2024, λόγω της ισχυρής οικονομικής ανάπτυξης και της ισχυρής αγοράς εργασίας που οδηγεί σε υψηλά έσοδα από φόρους εισοδήματος και υψηλότερες εισφορές κοινωνικής ασφάλισης. Το πλεόνασμα του προϋπολογισμού θα παραμείνει σημαντικό το 2025-2027, ξεπερνώντας το 2% του ΑΕΠ, σύμφωνα με το Υπουργείο Οικονομικών.</w:t>
      </w:r>
    </w:p>
    <w:p w14:paraId="27A4607D" w14:textId="77777777" w:rsidR="00B921C5" w:rsidRPr="00D41B36" w:rsidRDefault="00B921C5" w:rsidP="001E5D64">
      <w:pPr>
        <w:spacing w:after="0" w:line="240" w:lineRule="auto"/>
        <w:jc w:val="both"/>
        <w:rPr>
          <w:rFonts w:ascii="Arial" w:hAnsi="Arial" w:cs="Arial"/>
          <w:bCs/>
          <w:color w:val="000000" w:themeColor="text1"/>
          <w:sz w:val="18"/>
          <w:szCs w:val="18"/>
          <w:highlight w:val="yellow"/>
          <w:lang w:val="el-GR"/>
        </w:rPr>
      </w:pPr>
    </w:p>
    <w:p w14:paraId="7837C453" w14:textId="7C1AF867" w:rsidR="00191733" w:rsidRPr="00EE5F78" w:rsidRDefault="00191733" w:rsidP="00191733">
      <w:pPr>
        <w:spacing w:line="240" w:lineRule="auto"/>
        <w:contextualSpacing/>
        <w:jc w:val="both"/>
        <w:rPr>
          <w:rFonts w:ascii="Arial" w:hAnsi="Arial" w:cs="Arial"/>
          <w:sz w:val="18"/>
          <w:lang w:val="el-GR"/>
        </w:rPr>
      </w:pPr>
      <w:r w:rsidRPr="00EE5F78">
        <w:rPr>
          <w:rFonts w:ascii="Arial" w:hAnsi="Arial" w:cs="Arial"/>
          <w:sz w:val="18"/>
          <w:lang w:val="el-GR"/>
        </w:rPr>
        <w:t xml:space="preserve">Επιπλέον, οι ισχυρές δημοσιονομικές επιδόσεις και οι </w:t>
      </w:r>
      <w:r w:rsidR="000C71E7">
        <w:rPr>
          <w:rFonts w:ascii="Arial" w:hAnsi="Arial" w:cs="Arial"/>
          <w:sz w:val="18"/>
          <w:lang w:val="el-GR"/>
        </w:rPr>
        <w:t>ισχυρές</w:t>
      </w:r>
      <w:r w:rsidRPr="00EE5F78">
        <w:rPr>
          <w:rFonts w:ascii="Arial" w:hAnsi="Arial" w:cs="Arial"/>
          <w:sz w:val="18"/>
          <w:lang w:val="el-GR"/>
        </w:rPr>
        <w:t xml:space="preserve"> προοπτικές ανάπτυξης υποστηρίζουν μια σταθερή πορεία </w:t>
      </w:r>
      <w:proofErr w:type="spellStart"/>
      <w:r w:rsidRPr="00EE5F78">
        <w:rPr>
          <w:rFonts w:ascii="Arial" w:hAnsi="Arial" w:cs="Arial"/>
          <w:sz w:val="18"/>
          <w:lang w:val="el-GR"/>
        </w:rPr>
        <w:t>απομόχλευσης</w:t>
      </w:r>
      <w:proofErr w:type="spellEnd"/>
      <w:r w:rsidRPr="00EE5F78">
        <w:rPr>
          <w:rFonts w:ascii="Arial" w:hAnsi="Arial" w:cs="Arial"/>
          <w:sz w:val="18"/>
          <w:lang w:val="el-GR"/>
        </w:rPr>
        <w:t>.</w:t>
      </w:r>
      <w:r w:rsidR="000C71E7">
        <w:rPr>
          <w:rFonts w:ascii="Arial" w:hAnsi="Arial" w:cs="Arial"/>
          <w:sz w:val="18"/>
          <w:lang w:val="el-GR"/>
        </w:rPr>
        <w:t xml:space="preserve"> Το </w:t>
      </w:r>
      <w:r w:rsidRPr="00EE5F78">
        <w:rPr>
          <w:rFonts w:ascii="Arial" w:hAnsi="Arial" w:cs="Arial"/>
          <w:sz w:val="18"/>
          <w:lang w:val="el-GR"/>
        </w:rPr>
        <w:t>χρέος της γενικής κυβέρνησης προς το ΑΕΠ μειώθηκε από 113</w:t>
      </w:r>
      <w:r>
        <w:rPr>
          <w:rFonts w:ascii="Arial" w:hAnsi="Arial" w:cs="Arial"/>
          <w:sz w:val="18"/>
          <w:lang w:val="el-GR"/>
        </w:rPr>
        <w:t>.</w:t>
      </w:r>
      <w:r w:rsidRPr="00EE5F78">
        <w:rPr>
          <w:rFonts w:ascii="Arial" w:hAnsi="Arial" w:cs="Arial"/>
          <w:sz w:val="18"/>
          <w:lang w:val="el-GR"/>
        </w:rPr>
        <w:t>6% του ΑΕΠ το 2020</w:t>
      </w:r>
      <w:r>
        <w:rPr>
          <w:rFonts w:ascii="Arial" w:hAnsi="Arial" w:cs="Arial"/>
          <w:sz w:val="18"/>
          <w:lang w:val="el-GR"/>
        </w:rPr>
        <w:t>,</w:t>
      </w:r>
      <w:r w:rsidRPr="00EE5F78">
        <w:rPr>
          <w:rFonts w:ascii="Arial" w:hAnsi="Arial" w:cs="Arial"/>
          <w:sz w:val="18"/>
          <w:lang w:val="el-GR"/>
        </w:rPr>
        <w:t xml:space="preserve"> σε 70</w:t>
      </w:r>
      <w:r>
        <w:rPr>
          <w:rFonts w:ascii="Arial" w:hAnsi="Arial" w:cs="Arial"/>
          <w:sz w:val="18"/>
          <w:lang w:val="el-GR"/>
        </w:rPr>
        <w:t>.</w:t>
      </w:r>
      <w:r w:rsidRPr="00EE5F78">
        <w:rPr>
          <w:rFonts w:ascii="Arial" w:hAnsi="Arial" w:cs="Arial"/>
          <w:sz w:val="18"/>
          <w:lang w:val="el-GR"/>
        </w:rPr>
        <w:t xml:space="preserve">5% του ΑΕΠ στις 30 Ιουνίου 2024 και αναμένεται να μειωθεί περαιτέρω σε επίπεδα κάτω του 60% </w:t>
      </w:r>
      <w:r>
        <w:rPr>
          <w:rFonts w:ascii="Arial" w:hAnsi="Arial" w:cs="Arial"/>
          <w:sz w:val="18"/>
          <w:lang w:val="el-GR"/>
        </w:rPr>
        <w:t xml:space="preserve">του ΑΕΠ </w:t>
      </w:r>
      <w:r w:rsidRPr="00EE5F78">
        <w:rPr>
          <w:rFonts w:ascii="Arial" w:hAnsi="Arial" w:cs="Arial"/>
          <w:sz w:val="18"/>
          <w:lang w:val="el-GR"/>
        </w:rPr>
        <w:t xml:space="preserve">το 2026. Πρόκειται για μία από τις ισχυρότερες δημοσιονομικές επιδόσεις σε σχέση με τη ζώνη του ευρώ. Οι δείκτες οικονομικής βιωσιμότητας του χρέους είναι ευνοϊκοί και αναμένεται να παραμείνουν σταθεροί μεσοπρόθεσμα, καθώς οι ακαθάριστες χρηματοδοτικές ανάγκες είναι </w:t>
      </w:r>
      <w:r>
        <w:rPr>
          <w:rFonts w:ascii="Arial" w:hAnsi="Arial" w:cs="Arial"/>
          <w:sz w:val="18"/>
          <w:lang w:val="el-GR"/>
        </w:rPr>
        <w:t xml:space="preserve">περιορισμένες </w:t>
      </w:r>
      <w:r w:rsidRPr="00EE5F78">
        <w:rPr>
          <w:rFonts w:ascii="Arial" w:hAnsi="Arial" w:cs="Arial"/>
          <w:sz w:val="18"/>
          <w:lang w:val="el-GR"/>
        </w:rPr>
        <w:t>και το ταμειακό απόθεμα ασφαλείας παρέχει στην κυβέρνηση υψηλό βαθμό ευελιξίας στη χρηματοδότηση.</w:t>
      </w:r>
    </w:p>
    <w:p w14:paraId="6997597A" w14:textId="77777777" w:rsidR="00B921C5" w:rsidRPr="00D41B36" w:rsidRDefault="00B921C5" w:rsidP="001E5D64">
      <w:pPr>
        <w:spacing w:after="0" w:line="240" w:lineRule="auto"/>
        <w:jc w:val="both"/>
        <w:rPr>
          <w:rFonts w:ascii="Arial" w:hAnsi="Arial" w:cs="Arial"/>
          <w:bCs/>
          <w:color w:val="000000" w:themeColor="text1"/>
          <w:sz w:val="18"/>
          <w:szCs w:val="18"/>
          <w:highlight w:val="yellow"/>
          <w:lang w:val="el-GR"/>
        </w:rPr>
      </w:pPr>
    </w:p>
    <w:p w14:paraId="1E3CF723" w14:textId="789C7588" w:rsidR="00191733" w:rsidRDefault="00191733" w:rsidP="00191733">
      <w:pPr>
        <w:spacing w:line="240" w:lineRule="auto"/>
        <w:contextualSpacing/>
        <w:jc w:val="both"/>
        <w:rPr>
          <w:rFonts w:ascii="Arial" w:hAnsi="Arial" w:cs="Arial"/>
          <w:sz w:val="18"/>
          <w:lang w:val="el-GR"/>
        </w:rPr>
      </w:pPr>
      <w:r w:rsidRPr="00EE5F78">
        <w:rPr>
          <w:rFonts w:ascii="Arial" w:hAnsi="Arial" w:cs="Arial"/>
          <w:sz w:val="18"/>
          <w:lang w:val="el-GR"/>
        </w:rPr>
        <w:t xml:space="preserve">Μετά την τραπεζική κρίση του 2012-2013, οι κυπριακές τράπεζες </w:t>
      </w:r>
      <w:r>
        <w:rPr>
          <w:rFonts w:ascii="Arial" w:hAnsi="Arial" w:cs="Arial"/>
          <w:sz w:val="18"/>
          <w:lang w:val="el-GR"/>
        </w:rPr>
        <w:t xml:space="preserve">πέτυχαν </w:t>
      </w:r>
      <w:r w:rsidRPr="00EE5F78">
        <w:rPr>
          <w:rFonts w:ascii="Arial" w:hAnsi="Arial" w:cs="Arial"/>
          <w:sz w:val="18"/>
          <w:lang w:val="el-GR"/>
        </w:rPr>
        <w:t xml:space="preserve">σημαντική πρόοδο στην αναδιάρθρωση των ισολογισμών τους και στον </w:t>
      </w:r>
      <w:proofErr w:type="spellStart"/>
      <w:r w:rsidRPr="00EE5F78">
        <w:rPr>
          <w:rFonts w:ascii="Arial" w:hAnsi="Arial" w:cs="Arial"/>
          <w:sz w:val="18"/>
          <w:lang w:val="el-GR"/>
        </w:rPr>
        <w:t>επαναπροσανατολισμό</w:t>
      </w:r>
      <w:proofErr w:type="spellEnd"/>
      <w:r w:rsidRPr="00EE5F78">
        <w:rPr>
          <w:rFonts w:ascii="Arial" w:hAnsi="Arial" w:cs="Arial"/>
          <w:sz w:val="18"/>
          <w:lang w:val="el-GR"/>
        </w:rPr>
        <w:t xml:space="preserve"> των δραστηριοτήτων τους. Οι τράπεζες </w:t>
      </w:r>
      <w:proofErr w:type="spellStart"/>
      <w:r w:rsidRPr="00EE5F78">
        <w:rPr>
          <w:rFonts w:ascii="Arial" w:hAnsi="Arial" w:cs="Arial"/>
          <w:sz w:val="18"/>
          <w:lang w:val="el-GR"/>
        </w:rPr>
        <w:t>απομόχλευσαν</w:t>
      </w:r>
      <w:proofErr w:type="spellEnd"/>
      <w:r w:rsidRPr="00EE5F78">
        <w:rPr>
          <w:rFonts w:ascii="Arial" w:hAnsi="Arial" w:cs="Arial"/>
          <w:sz w:val="18"/>
          <w:lang w:val="el-GR"/>
        </w:rPr>
        <w:t xml:space="preserve"> το προφίλ του δανειακού τους χαρτοφυλακίου, μείωσαν τα μη εξυπηρετούμενα δάνεια και την εξάρτησή τους από τις καταθέσεις </w:t>
      </w:r>
      <w:r w:rsidR="00036612">
        <w:rPr>
          <w:rFonts w:ascii="Arial" w:hAnsi="Arial" w:cs="Arial"/>
          <w:sz w:val="18"/>
          <w:lang w:val="el-GR"/>
        </w:rPr>
        <w:t>κατοίκων του εξωτερικού</w:t>
      </w:r>
      <w:r w:rsidRPr="00EE5F78">
        <w:rPr>
          <w:rFonts w:ascii="Arial" w:hAnsi="Arial" w:cs="Arial"/>
          <w:sz w:val="18"/>
          <w:lang w:val="el-GR"/>
        </w:rPr>
        <w:t>, μείωσαν το λειτουργικό τους κόστος και ενίσχυσαν τα κεφαλαιακά τους αποθέματα. Ως αποτέλεσμα, η κερδοφορία αυξήθηκε, επωφελούμενη επίσης από το περιβάλλον υψηλότερων επιτοκίων.</w:t>
      </w:r>
    </w:p>
    <w:p w14:paraId="42AF130D" w14:textId="77777777" w:rsidR="00B367BB" w:rsidRPr="00D41B36" w:rsidRDefault="00B367BB" w:rsidP="00B367BB">
      <w:pPr>
        <w:spacing w:line="240" w:lineRule="auto"/>
        <w:contextualSpacing/>
        <w:jc w:val="both"/>
        <w:rPr>
          <w:rFonts w:ascii="Arial" w:hAnsi="Arial" w:cs="Arial"/>
          <w:sz w:val="18"/>
          <w:highlight w:val="yellow"/>
          <w:lang w:val="el-GR"/>
        </w:rPr>
      </w:pPr>
    </w:p>
    <w:p w14:paraId="490E54CF" w14:textId="4A8D1CA3" w:rsidR="00191733" w:rsidRDefault="00191733" w:rsidP="00191733">
      <w:pPr>
        <w:spacing w:line="240" w:lineRule="auto"/>
        <w:contextualSpacing/>
        <w:jc w:val="both"/>
        <w:rPr>
          <w:rFonts w:ascii="Arial" w:hAnsi="Arial" w:cs="Arial"/>
          <w:sz w:val="18"/>
          <w:lang w:val="el-GR"/>
        </w:rPr>
      </w:pPr>
      <w:r w:rsidRPr="00EE5F78">
        <w:rPr>
          <w:rFonts w:ascii="Arial" w:hAnsi="Arial" w:cs="Arial"/>
          <w:sz w:val="18"/>
          <w:lang w:val="el-GR"/>
        </w:rPr>
        <w:t>Ο ιδιωτικός δανεισμός, όπως αποτυπώνεται στους ενεργούς ισολογισμούς των τραπεζών, έχει μειωθεί περισσότερο από το μισό την τελευταία δεκαετία και είναι πλέον από τους χαμηλότερους στην Ευρώπη. Το σύνολο των τραπεζικών δανείων προς τις μη χρηματοπιστωτικές επιχειρήσεις και τα νοικοκυριά ανήλθε στο 62</w:t>
      </w:r>
      <w:r>
        <w:rPr>
          <w:rFonts w:ascii="Arial" w:hAnsi="Arial" w:cs="Arial"/>
          <w:sz w:val="18"/>
          <w:lang w:val="el-GR"/>
        </w:rPr>
        <w:t>.</w:t>
      </w:r>
      <w:r w:rsidRPr="00EE5F78">
        <w:rPr>
          <w:rFonts w:ascii="Arial" w:hAnsi="Arial" w:cs="Arial"/>
          <w:sz w:val="18"/>
          <w:lang w:val="el-GR"/>
        </w:rPr>
        <w:t>5% του ΑΕΠ το 2023, σε σύγκριση με πάνω από 250% στο τέλος του 2013. Ο δείκτης των μη εξυπηρετούμενων δανείων ήταν</w:t>
      </w:r>
      <w:r>
        <w:rPr>
          <w:rFonts w:ascii="Arial" w:hAnsi="Arial" w:cs="Arial"/>
          <w:sz w:val="18"/>
          <w:lang w:val="el-GR"/>
        </w:rPr>
        <w:t xml:space="preserve"> στο</w:t>
      </w:r>
      <w:r w:rsidRPr="00EE5F78">
        <w:rPr>
          <w:rFonts w:ascii="Arial" w:hAnsi="Arial" w:cs="Arial"/>
          <w:sz w:val="18"/>
          <w:lang w:val="el-GR"/>
        </w:rPr>
        <w:t xml:space="preserve"> 6</w:t>
      </w:r>
      <w:r>
        <w:rPr>
          <w:rFonts w:ascii="Arial" w:hAnsi="Arial" w:cs="Arial"/>
          <w:sz w:val="18"/>
          <w:lang w:val="el-GR"/>
        </w:rPr>
        <w:t>.</w:t>
      </w:r>
      <w:r w:rsidRPr="00EE5F78">
        <w:rPr>
          <w:rFonts w:ascii="Arial" w:hAnsi="Arial" w:cs="Arial"/>
          <w:sz w:val="18"/>
          <w:lang w:val="el-GR"/>
        </w:rPr>
        <w:t>8% στο τέλος Ιουλίου 2024. Ο αντίστοιχος δείκτης μη εξυπηρετούμενων δανείων για τις μη χρηματοπιστωτικές επιχειρήσεις ήταν 5</w:t>
      </w:r>
      <w:r>
        <w:rPr>
          <w:rFonts w:ascii="Arial" w:hAnsi="Arial" w:cs="Arial"/>
          <w:sz w:val="18"/>
          <w:lang w:val="el-GR"/>
        </w:rPr>
        <w:t>.</w:t>
      </w:r>
      <w:r w:rsidRPr="00EE5F78">
        <w:rPr>
          <w:rFonts w:ascii="Arial" w:hAnsi="Arial" w:cs="Arial"/>
          <w:sz w:val="18"/>
          <w:lang w:val="el-GR"/>
        </w:rPr>
        <w:t xml:space="preserve">8% και για τα νοικοκυριά </w:t>
      </w:r>
      <w:r w:rsidR="00036612">
        <w:rPr>
          <w:rFonts w:ascii="Arial" w:hAnsi="Arial" w:cs="Arial"/>
          <w:sz w:val="18"/>
          <w:lang w:val="el-GR"/>
        </w:rPr>
        <w:t xml:space="preserve">στο </w:t>
      </w:r>
      <w:r w:rsidRPr="00EE5F78">
        <w:rPr>
          <w:rFonts w:ascii="Arial" w:hAnsi="Arial" w:cs="Arial"/>
          <w:sz w:val="18"/>
          <w:lang w:val="el-GR"/>
        </w:rPr>
        <w:t>8</w:t>
      </w:r>
      <w:r>
        <w:rPr>
          <w:rFonts w:ascii="Arial" w:hAnsi="Arial" w:cs="Arial"/>
          <w:sz w:val="18"/>
          <w:lang w:val="el-GR"/>
        </w:rPr>
        <w:t>.</w:t>
      </w:r>
      <w:r w:rsidRPr="00EE5F78">
        <w:rPr>
          <w:rFonts w:ascii="Arial" w:hAnsi="Arial" w:cs="Arial"/>
          <w:sz w:val="18"/>
          <w:lang w:val="el-GR"/>
        </w:rPr>
        <w:t>7%.</w:t>
      </w:r>
    </w:p>
    <w:p w14:paraId="062E58FB" w14:textId="77777777" w:rsidR="00B367BB" w:rsidRPr="00D41B36" w:rsidRDefault="00B367BB" w:rsidP="00B367BB">
      <w:pPr>
        <w:spacing w:line="240" w:lineRule="auto"/>
        <w:contextualSpacing/>
        <w:jc w:val="both"/>
        <w:rPr>
          <w:rFonts w:ascii="Arial" w:hAnsi="Arial" w:cs="Arial"/>
          <w:sz w:val="18"/>
          <w:highlight w:val="yellow"/>
          <w:lang w:val="el-GR"/>
        </w:rPr>
      </w:pPr>
    </w:p>
    <w:p w14:paraId="51ED7B49" w14:textId="77777777" w:rsidR="00191733" w:rsidRPr="00EE5F78" w:rsidRDefault="00191733" w:rsidP="00191733">
      <w:pPr>
        <w:spacing w:line="240" w:lineRule="auto"/>
        <w:contextualSpacing/>
        <w:jc w:val="both"/>
        <w:rPr>
          <w:rFonts w:ascii="Arial" w:hAnsi="Arial" w:cs="Arial"/>
          <w:sz w:val="18"/>
          <w:lang w:val="el-GR"/>
        </w:rPr>
      </w:pPr>
      <w:r w:rsidRPr="00EE5F78">
        <w:rPr>
          <w:rFonts w:ascii="Arial" w:hAnsi="Arial" w:cs="Arial"/>
          <w:sz w:val="18"/>
          <w:lang w:val="el-GR"/>
        </w:rPr>
        <w:t xml:space="preserve">Η κυπριακή οικονομία επιβαρύνεται σε μεγάλο βαθμό από διαρθρωτικά μεγάλα ελλείμματα στο ισοζύγιο τρεχουσών συναλλαγών, που αντανακλούν τις υψηλές εισαγωγές και τις χαμηλές αποταμιεύσεις σε σχέση με τις εγχώριες επενδύσεις. Τα μεγάλα ελλείμματα του ισοζυγίου τρεχουσών συναλλαγών οφείλονται σε ανισορροπίες πρωτογενών εισοδημάτων, που αντανακλούν τον υψηλό επαναπατρισμό κερδών από επιχειρήσεις </w:t>
      </w:r>
      <w:r>
        <w:rPr>
          <w:rFonts w:ascii="Arial" w:hAnsi="Arial" w:cs="Arial"/>
          <w:sz w:val="18"/>
          <w:lang w:val="el-GR"/>
        </w:rPr>
        <w:t xml:space="preserve">και επενδύσεις </w:t>
      </w:r>
      <w:r w:rsidRPr="00EE5F78">
        <w:rPr>
          <w:rFonts w:ascii="Arial" w:hAnsi="Arial" w:cs="Arial"/>
          <w:sz w:val="18"/>
          <w:lang w:val="el-GR"/>
        </w:rPr>
        <w:t>από το εξωτερικό.</w:t>
      </w:r>
    </w:p>
    <w:p w14:paraId="482075F0" w14:textId="77777777" w:rsidR="006B2C9A" w:rsidRPr="00D41B36" w:rsidRDefault="006B2C9A" w:rsidP="001E5D64">
      <w:pPr>
        <w:spacing w:after="0" w:line="240" w:lineRule="auto"/>
        <w:jc w:val="both"/>
        <w:rPr>
          <w:rFonts w:ascii="Arial" w:hAnsi="Arial" w:cs="Arial"/>
          <w:bCs/>
          <w:color w:val="000000" w:themeColor="text1"/>
          <w:sz w:val="18"/>
          <w:szCs w:val="18"/>
          <w:highlight w:val="yellow"/>
          <w:lang w:val="el-GR"/>
        </w:rPr>
      </w:pPr>
    </w:p>
    <w:p w14:paraId="66A195C8" w14:textId="77777777" w:rsidR="00191733" w:rsidRPr="00EE5F78" w:rsidRDefault="00191733" w:rsidP="00191733">
      <w:pPr>
        <w:spacing w:line="240" w:lineRule="auto"/>
        <w:contextualSpacing/>
        <w:jc w:val="both"/>
        <w:rPr>
          <w:rFonts w:ascii="Arial" w:hAnsi="Arial" w:cs="Arial"/>
          <w:sz w:val="18"/>
          <w:lang w:val="el-GR"/>
        </w:rPr>
      </w:pPr>
      <w:r w:rsidRPr="00EE5F78">
        <w:rPr>
          <w:rFonts w:ascii="Arial" w:hAnsi="Arial" w:cs="Arial"/>
          <w:sz w:val="18"/>
          <w:lang w:val="el-GR"/>
        </w:rPr>
        <w:t>Οι βραχυπρόθεσμοι κίνδυνοι είναι ως επί το πλείστο εξωτερικοί και έχουν αρνητική κατεύθυνση, συμπεριλαμβανομένης μιας</w:t>
      </w:r>
      <w:r>
        <w:rPr>
          <w:rFonts w:ascii="Arial" w:hAnsi="Arial" w:cs="Arial"/>
          <w:sz w:val="18"/>
          <w:lang w:val="el-GR"/>
        </w:rPr>
        <w:t xml:space="preserve"> ενδεχόμενης</w:t>
      </w:r>
      <w:r w:rsidRPr="00EE5F78">
        <w:rPr>
          <w:rFonts w:ascii="Arial" w:hAnsi="Arial" w:cs="Arial"/>
          <w:sz w:val="18"/>
          <w:lang w:val="el-GR"/>
        </w:rPr>
        <w:t xml:space="preserve"> ύφεσης στις βασικές τουριστικές αγορές, μιας κλιμάκωσης των περιφερειακών συγκρούσεων και καθυστερήσεων στην εφαρμογή του σχεδίου ανάκαμψης και ανθεκτικότητας. Οι μεσοπρόθεσμοι κίνδυνοι προέρχονται από την κλιματική αλλαγή και μια πιθανή περαιτέρω επιδείνωση των παγκόσμιων γεωπολιτικών προοπτικών. Η ψηφιακή και η πράσινη μετάβαση παραμένουν βασικές προκλήσεις.</w:t>
      </w:r>
    </w:p>
    <w:p w14:paraId="05DC2575" w14:textId="77777777" w:rsidR="00BF5DA5" w:rsidRPr="00D41B36" w:rsidRDefault="00BF5DA5" w:rsidP="001E5D64">
      <w:pPr>
        <w:spacing w:after="0" w:line="360" w:lineRule="auto"/>
        <w:jc w:val="both"/>
        <w:rPr>
          <w:rFonts w:ascii="Arial" w:hAnsi="Arial" w:cs="Arial"/>
          <w:b/>
          <w:color w:val="FF9900"/>
          <w:highlight w:val="yellow"/>
          <w:lang w:val="el-GR"/>
        </w:rPr>
      </w:pPr>
    </w:p>
    <w:p w14:paraId="306A1037" w14:textId="77777777" w:rsidR="00BF5DA5" w:rsidRPr="00910A4E" w:rsidRDefault="00BF5DA5" w:rsidP="001E5D64">
      <w:pPr>
        <w:spacing w:after="0" w:line="360" w:lineRule="auto"/>
        <w:jc w:val="both"/>
        <w:rPr>
          <w:rFonts w:ascii="Arial" w:hAnsi="Arial" w:cs="Arial"/>
          <w:b/>
          <w:color w:val="FF9900"/>
          <w:highlight w:val="yellow"/>
          <w:lang w:val="el-GR"/>
        </w:rPr>
      </w:pPr>
    </w:p>
    <w:p w14:paraId="12FFCE88" w14:textId="77777777" w:rsidR="0056738E" w:rsidRPr="00910A4E" w:rsidRDefault="0056738E" w:rsidP="001E5D64">
      <w:pPr>
        <w:spacing w:after="0" w:line="360" w:lineRule="auto"/>
        <w:jc w:val="both"/>
        <w:rPr>
          <w:rFonts w:ascii="Arial" w:hAnsi="Arial" w:cs="Arial"/>
          <w:b/>
          <w:color w:val="FF9900"/>
          <w:highlight w:val="yellow"/>
          <w:lang w:val="el-GR"/>
        </w:rPr>
      </w:pPr>
    </w:p>
    <w:p w14:paraId="21F27C0F" w14:textId="4890386E" w:rsidR="00BF5DA5" w:rsidRPr="007246A9" w:rsidRDefault="00D41B71" w:rsidP="00BF5DA5">
      <w:pPr>
        <w:spacing w:after="0" w:line="360" w:lineRule="auto"/>
        <w:rPr>
          <w:rFonts w:ascii="Arial" w:hAnsi="Arial" w:cs="Arial"/>
          <w:b/>
          <w:color w:val="FF9900"/>
          <w:sz w:val="24"/>
          <w:lang w:val="el-GR"/>
        </w:rPr>
      </w:pPr>
      <w:r w:rsidRPr="007246A9">
        <w:rPr>
          <w:rFonts w:ascii="Arial" w:hAnsi="Arial" w:cs="Arial"/>
          <w:b/>
          <w:color w:val="FF9900"/>
          <w:sz w:val="24"/>
          <w:lang w:val="en-US"/>
        </w:rPr>
        <w:lastRenderedPageBreak/>
        <w:t>B</w:t>
      </w:r>
      <w:r w:rsidR="00BF5DA5" w:rsidRPr="007246A9">
        <w:rPr>
          <w:rFonts w:ascii="Arial" w:hAnsi="Arial" w:cs="Arial"/>
          <w:b/>
          <w:color w:val="FF9900"/>
          <w:sz w:val="24"/>
          <w:lang w:val="el-GR"/>
        </w:rPr>
        <w:t xml:space="preserve">. Λειτουργικό Περιβάλλον </w:t>
      </w:r>
      <w:r w:rsidR="00BF5DA5" w:rsidRPr="007246A9">
        <w:rPr>
          <w:rFonts w:ascii="Arial" w:hAnsi="Arial" w:cs="Arial"/>
          <w:bCs/>
          <w:color w:val="FF9900"/>
          <w:sz w:val="24"/>
          <w:lang w:val="el-GR"/>
        </w:rPr>
        <w:t>(συνέχεια)</w:t>
      </w:r>
    </w:p>
    <w:p w14:paraId="6E8E0E6F" w14:textId="1085EEEB" w:rsidR="00BF5DA5" w:rsidRPr="007246A9" w:rsidRDefault="00BF5DA5" w:rsidP="00BF5DA5">
      <w:pPr>
        <w:spacing w:after="0" w:line="360" w:lineRule="auto"/>
        <w:jc w:val="both"/>
        <w:rPr>
          <w:rFonts w:ascii="Arial" w:hAnsi="Arial" w:cs="Arial"/>
          <w:b/>
          <w:color w:val="FF9900"/>
          <w:lang w:val="el-GR"/>
        </w:rPr>
      </w:pPr>
      <w:r w:rsidRPr="007246A9">
        <w:rPr>
          <w:rFonts w:ascii="Arial" w:hAnsi="Arial" w:cs="Arial"/>
          <w:b/>
          <w:color w:val="FF9900"/>
          <w:lang w:val="el-GR"/>
        </w:rPr>
        <w:t xml:space="preserve">Πιστοληπτικές αξιολογήσεις </w:t>
      </w:r>
    </w:p>
    <w:p w14:paraId="0C384D43" w14:textId="5FD1BCB6" w:rsidR="0082651E" w:rsidRPr="007246A9" w:rsidRDefault="00C440EF" w:rsidP="00E71B33">
      <w:pPr>
        <w:spacing w:after="0" w:line="240" w:lineRule="auto"/>
        <w:jc w:val="both"/>
        <w:rPr>
          <w:rFonts w:ascii="Arial" w:eastAsia="Times New Roman" w:hAnsi="Arial" w:cs="Arial"/>
          <w:sz w:val="18"/>
          <w:szCs w:val="18"/>
          <w:lang w:val="el-GR" w:eastAsia="en-US"/>
        </w:rPr>
      </w:pPr>
      <w:r w:rsidRPr="007246A9">
        <w:rPr>
          <w:rFonts w:ascii="Arial" w:eastAsia="Times New Roman" w:hAnsi="Arial" w:cs="Arial"/>
          <w:sz w:val="18"/>
          <w:szCs w:val="18"/>
          <w:lang w:val="el-GR" w:eastAsia="en-US"/>
        </w:rPr>
        <w:t xml:space="preserve">Οι αξιολογήσεις πιστοληπτικής ικανότητας της </w:t>
      </w:r>
      <w:r w:rsidR="00CB7530">
        <w:rPr>
          <w:rFonts w:ascii="Arial" w:eastAsia="Times New Roman" w:hAnsi="Arial" w:cs="Arial"/>
          <w:sz w:val="18"/>
          <w:szCs w:val="18"/>
          <w:lang w:val="el-GR" w:eastAsia="en-US"/>
        </w:rPr>
        <w:t>Κ</w:t>
      </w:r>
      <w:r w:rsidRPr="007246A9">
        <w:rPr>
          <w:rFonts w:ascii="Arial" w:eastAsia="Times New Roman" w:hAnsi="Arial" w:cs="Arial"/>
          <w:sz w:val="18"/>
          <w:szCs w:val="18"/>
          <w:lang w:val="el-GR" w:eastAsia="en-US"/>
        </w:rPr>
        <w:t xml:space="preserve">υπριακής κυβέρνησης έχουν βελτιωθεί σημαντικά τα τελευταία χρόνια, αντανακλώντας τους μειωμένους κινδύνους του τραπεζικού τομέα, τη </w:t>
      </w:r>
      <w:r w:rsidR="00D30851" w:rsidRPr="007246A9">
        <w:rPr>
          <w:rFonts w:ascii="Arial" w:eastAsia="Times New Roman" w:hAnsi="Arial" w:cs="Arial"/>
          <w:sz w:val="18"/>
          <w:szCs w:val="18"/>
          <w:lang w:val="el-GR" w:eastAsia="en-US"/>
        </w:rPr>
        <w:t xml:space="preserve">βελτιωμένη </w:t>
      </w:r>
      <w:r w:rsidRPr="007246A9">
        <w:rPr>
          <w:rFonts w:ascii="Arial" w:eastAsia="Times New Roman" w:hAnsi="Arial" w:cs="Arial"/>
          <w:sz w:val="18"/>
          <w:szCs w:val="18"/>
          <w:lang w:val="el-GR" w:eastAsia="en-US"/>
        </w:rPr>
        <w:t xml:space="preserve">οικονομική ανθεκτικότητα και τη συνεχή βελτίωση των δημοσίων οικονομικών. Η Κύπρος έχει επιδείξει πολιτική δέσμευση για τη διόρθωση των δημοσιονομικών </w:t>
      </w:r>
      <w:r w:rsidR="00DB240F" w:rsidRPr="007246A9">
        <w:rPr>
          <w:rFonts w:ascii="Arial" w:eastAsia="Times New Roman" w:hAnsi="Arial" w:cs="Arial"/>
          <w:sz w:val="18"/>
          <w:szCs w:val="18"/>
          <w:lang w:val="el-GR" w:eastAsia="en-US"/>
        </w:rPr>
        <w:t>ανισορροπιών</w:t>
      </w:r>
      <w:r w:rsidRPr="007246A9">
        <w:rPr>
          <w:rFonts w:ascii="Arial" w:eastAsia="Times New Roman" w:hAnsi="Arial" w:cs="Arial"/>
          <w:sz w:val="18"/>
          <w:szCs w:val="18"/>
          <w:lang w:val="el-GR" w:eastAsia="en-US"/>
        </w:rPr>
        <w:t xml:space="preserve"> μέσω μεταρρυθμίσεων, και για την αναδιάρθρωση του τραπεζικού της συστήματος.</w:t>
      </w:r>
      <w:r w:rsidR="00DB240F" w:rsidRPr="007246A9">
        <w:rPr>
          <w:rFonts w:ascii="Arial" w:eastAsia="Times New Roman" w:hAnsi="Arial" w:cs="Arial"/>
          <w:sz w:val="18"/>
          <w:szCs w:val="18"/>
          <w:lang w:val="el-GR" w:eastAsia="en-US"/>
        </w:rPr>
        <w:t xml:space="preserve"> </w:t>
      </w:r>
    </w:p>
    <w:p w14:paraId="7072EB9C" w14:textId="77777777" w:rsidR="0082651E" w:rsidRPr="00CC53EC" w:rsidRDefault="0082651E" w:rsidP="00E71B33">
      <w:pPr>
        <w:spacing w:after="0" w:line="240" w:lineRule="auto"/>
        <w:jc w:val="both"/>
        <w:rPr>
          <w:rFonts w:ascii="Arial" w:eastAsia="Times New Roman" w:hAnsi="Arial" w:cs="Arial"/>
          <w:sz w:val="18"/>
          <w:szCs w:val="18"/>
          <w:lang w:val="el-GR" w:eastAsia="en-US"/>
        </w:rPr>
      </w:pPr>
    </w:p>
    <w:p w14:paraId="078ADE91" w14:textId="37A7C18C" w:rsidR="00D70D05" w:rsidRPr="00AF5BE3" w:rsidRDefault="00D70D05" w:rsidP="00D70D05">
      <w:pPr>
        <w:spacing w:line="240" w:lineRule="auto"/>
        <w:contextualSpacing/>
        <w:jc w:val="both"/>
        <w:rPr>
          <w:rFonts w:ascii="Arial" w:hAnsi="Arial" w:cs="Arial"/>
          <w:sz w:val="18"/>
          <w:lang w:val="el-GR"/>
        </w:rPr>
      </w:pPr>
      <w:r w:rsidRPr="00AF5BE3">
        <w:rPr>
          <w:rFonts w:ascii="Arial" w:hAnsi="Arial" w:cs="Arial"/>
          <w:sz w:val="18"/>
          <w:lang w:val="el-GR"/>
        </w:rPr>
        <w:t>Τον Οκτώβριο του 202</w:t>
      </w:r>
      <w:r w:rsidR="00E35581" w:rsidRPr="00E35581">
        <w:rPr>
          <w:rFonts w:ascii="Arial" w:hAnsi="Arial" w:cs="Arial"/>
          <w:sz w:val="18"/>
          <w:lang w:val="el-GR"/>
        </w:rPr>
        <w:t>4</w:t>
      </w:r>
      <w:r w:rsidRPr="00AF5BE3">
        <w:rPr>
          <w:rFonts w:ascii="Arial" w:hAnsi="Arial" w:cs="Arial"/>
          <w:sz w:val="18"/>
          <w:lang w:val="el-GR"/>
        </w:rPr>
        <w:t xml:space="preserve">, η </w:t>
      </w:r>
      <w:r w:rsidRPr="00AF5BE3">
        <w:rPr>
          <w:rFonts w:ascii="Arial" w:hAnsi="Arial" w:cs="Arial"/>
          <w:b/>
          <w:bCs/>
          <w:sz w:val="18"/>
        </w:rPr>
        <w:t>Scope</w:t>
      </w:r>
      <w:r w:rsidRPr="00AF5BE3">
        <w:rPr>
          <w:rFonts w:ascii="Arial" w:hAnsi="Arial" w:cs="Arial"/>
          <w:b/>
          <w:bCs/>
          <w:sz w:val="18"/>
          <w:lang w:val="el-GR"/>
        </w:rPr>
        <w:t xml:space="preserve"> </w:t>
      </w:r>
      <w:r w:rsidRPr="00AF5BE3">
        <w:rPr>
          <w:rFonts w:ascii="Arial" w:hAnsi="Arial" w:cs="Arial"/>
          <w:b/>
          <w:bCs/>
          <w:sz w:val="18"/>
        </w:rPr>
        <w:t>Ratings</w:t>
      </w:r>
      <w:r w:rsidRPr="00AF5BE3">
        <w:rPr>
          <w:rFonts w:ascii="Arial" w:hAnsi="Arial" w:cs="Arial"/>
          <w:b/>
          <w:bCs/>
          <w:sz w:val="18"/>
          <w:lang w:val="el-GR"/>
        </w:rPr>
        <w:t xml:space="preserve"> </w:t>
      </w:r>
      <w:r w:rsidRPr="00AF5BE3">
        <w:rPr>
          <w:rFonts w:ascii="Arial" w:hAnsi="Arial" w:cs="Arial"/>
          <w:b/>
          <w:bCs/>
          <w:sz w:val="18"/>
        </w:rPr>
        <w:t>GmbH</w:t>
      </w:r>
      <w:r w:rsidRPr="00AF5BE3">
        <w:rPr>
          <w:rFonts w:ascii="Arial" w:hAnsi="Arial" w:cs="Arial"/>
          <w:sz w:val="18"/>
          <w:lang w:val="el-GR"/>
        </w:rPr>
        <w:t xml:space="preserve"> αναβάθμισε τις μακροπρόθεσμες αξιολογήσεις της Κύπρου </w:t>
      </w:r>
      <w:r w:rsidR="0061105C" w:rsidRPr="007246A9">
        <w:rPr>
          <w:rFonts w:ascii="Arial" w:eastAsia="Times New Roman" w:hAnsi="Arial" w:cs="Arial"/>
          <w:sz w:val="18"/>
          <w:szCs w:val="18"/>
          <w:lang w:val="el-GR" w:eastAsia="en-US"/>
        </w:rPr>
        <w:t>και του μη εξασφαλισμένου, με εξοφλητική προτεραιότητα ομολόγου</w:t>
      </w:r>
      <w:r w:rsidR="0061105C">
        <w:rPr>
          <w:rFonts w:ascii="Arial" w:eastAsia="Times New Roman" w:hAnsi="Arial" w:cs="Arial"/>
          <w:sz w:val="18"/>
          <w:szCs w:val="18"/>
          <w:lang w:val="el-GR" w:eastAsia="en-US"/>
        </w:rPr>
        <w:t xml:space="preserve"> </w:t>
      </w:r>
      <w:r w:rsidRPr="00AF5BE3">
        <w:rPr>
          <w:rFonts w:ascii="Arial" w:hAnsi="Arial" w:cs="Arial"/>
          <w:sz w:val="18"/>
          <w:lang w:val="el-GR"/>
        </w:rPr>
        <w:t xml:space="preserve">σε </w:t>
      </w:r>
      <w:r w:rsidRPr="00AF5BE3">
        <w:rPr>
          <w:rFonts w:ascii="Arial" w:hAnsi="Arial" w:cs="Arial"/>
          <w:sz w:val="18"/>
        </w:rPr>
        <w:t>A</w:t>
      </w:r>
      <w:r w:rsidRPr="00AF5BE3">
        <w:rPr>
          <w:rFonts w:ascii="Arial" w:hAnsi="Arial" w:cs="Arial"/>
          <w:sz w:val="18"/>
          <w:lang w:val="el-GR"/>
        </w:rPr>
        <w:t xml:space="preserve">- από </w:t>
      </w:r>
      <w:r w:rsidRPr="00AF5BE3">
        <w:rPr>
          <w:rFonts w:ascii="Arial" w:hAnsi="Arial" w:cs="Arial"/>
          <w:sz w:val="18"/>
        </w:rPr>
        <w:t>BBB</w:t>
      </w:r>
      <w:r w:rsidRPr="00AF5BE3">
        <w:rPr>
          <w:rFonts w:ascii="Arial" w:hAnsi="Arial" w:cs="Arial"/>
          <w:sz w:val="18"/>
          <w:lang w:val="el-GR"/>
        </w:rPr>
        <w:t xml:space="preserve">+ σε τοπικό και ξένο νόμισμα και διατήρησε σταθερές </w:t>
      </w:r>
      <w:r>
        <w:rPr>
          <w:rFonts w:ascii="Arial" w:hAnsi="Arial" w:cs="Arial"/>
          <w:sz w:val="18"/>
          <w:lang w:val="el-GR"/>
        </w:rPr>
        <w:t xml:space="preserve">τις </w:t>
      </w:r>
      <w:r w:rsidRPr="00AF5BE3">
        <w:rPr>
          <w:rFonts w:ascii="Arial" w:hAnsi="Arial" w:cs="Arial"/>
          <w:sz w:val="18"/>
          <w:lang w:val="el-GR"/>
        </w:rPr>
        <w:t>προοπτικές.</w:t>
      </w:r>
      <w:r w:rsidR="0061105C">
        <w:rPr>
          <w:rFonts w:ascii="Arial" w:hAnsi="Arial" w:cs="Arial"/>
          <w:sz w:val="18"/>
          <w:lang w:val="el-GR"/>
        </w:rPr>
        <w:t xml:space="preserve"> </w:t>
      </w:r>
      <w:r w:rsidRPr="00AF5BE3">
        <w:rPr>
          <w:rFonts w:ascii="Arial" w:hAnsi="Arial" w:cs="Arial"/>
          <w:sz w:val="18"/>
          <w:lang w:val="el-GR"/>
        </w:rPr>
        <w:t xml:space="preserve">Η αναβάθμιση οφείλεται στις ισχυρές δημοσιονομικές προοπτικές που χαρακτηρίζονται από συνεχή πρωτογενή πλεονάσματα και </w:t>
      </w:r>
      <w:r>
        <w:rPr>
          <w:rFonts w:ascii="Arial" w:hAnsi="Arial" w:cs="Arial"/>
          <w:sz w:val="18"/>
          <w:lang w:val="el-GR"/>
        </w:rPr>
        <w:t xml:space="preserve">σταθερή </w:t>
      </w:r>
      <w:r w:rsidRPr="00AF5BE3">
        <w:rPr>
          <w:rFonts w:ascii="Arial" w:hAnsi="Arial" w:cs="Arial"/>
          <w:sz w:val="18"/>
          <w:lang w:val="el-GR"/>
        </w:rPr>
        <w:t>μείωση του χρέους της γενικής κυβέρνησης.</w:t>
      </w:r>
    </w:p>
    <w:p w14:paraId="363E1A7C" w14:textId="77777777" w:rsidR="00D70D05" w:rsidRPr="00D70D05" w:rsidRDefault="00D70D05" w:rsidP="00E71B33">
      <w:pPr>
        <w:spacing w:after="0" w:line="240" w:lineRule="auto"/>
        <w:jc w:val="both"/>
        <w:rPr>
          <w:rFonts w:ascii="Arial" w:eastAsia="Times New Roman" w:hAnsi="Arial" w:cs="Arial"/>
          <w:sz w:val="18"/>
          <w:szCs w:val="18"/>
          <w:lang w:val="el-GR" w:eastAsia="en-US"/>
        </w:rPr>
      </w:pPr>
    </w:p>
    <w:p w14:paraId="70B59359" w14:textId="10409BAF" w:rsidR="00CF4E68" w:rsidRPr="007246A9" w:rsidRDefault="00CF4E68" w:rsidP="00CF4E68">
      <w:pPr>
        <w:spacing w:after="0" w:line="240" w:lineRule="auto"/>
        <w:jc w:val="both"/>
        <w:rPr>
          <w:rFonts w:ascii="Arial" w:eastAsia="Times New Roman" w:hAnsi="Arial" w:cs="Arial"/>
          <w:sz w:val="18"/>
          <w:szCs w:val="18"/>
          <w:lang w:val="el-GR" w:eastAsia="en-US"/>
        </w:rPr>
      </w:pPr>
      <w:r w:rsidRPr="007246A9">
        <w:rPr>
          <w:rFonts w:ascii="Arial" w:eastAsia="Times New Roman" w:hAnsi="Arial" w:cs="Arial"/>
          <w:sz w:val="18"/>
          <w:szCs w:val="18"/>
          <w:lang w:val="el-GR" w:eastAsia="en-US"/>
        </w:rPr>
        <w:t xml:space="preserve">Τον Ιούνιο του 2024, ο οίκος </w:t>
      </w:r>
      <w:r w:rsidRPr="007246A9">
        <w:rPr>
          <w:rFonts w:ascii="Arial" w:eastAsia="Times New Roman" w:hAnsi="Arial" w:cs="Arial"/>
          <w:b/>
          <w:bCs/>
          <w:sz w:val="18"/>
          <w:szCs w:val="18"/>
          <w:lang w:eastAsia="en-US"/>
        </w:rPr>
        <w:t>Fitch</w:t>
      </w:r>
      <w:r w:rsidRPr="007246A9">
        <w:rPr>
          <w:rFonts w:ascii="Arial" w:eastAsia="Times New Roman" w:hAnsi="Arial" w:cs="Arial"/>
          <w:b/>
          <w:bCs/>
          <w:sz w:val="18"/>
          <w:szCs w:val="18"/>
          <w:lang w:val="el-GR" w:eastAsia="en-US"/>
        </w:rPr>
        <w:t xml:space="preserve"> </w:t>
      </w:r>
      <w:r w:rsidRPr="007246A9">
        <w:rPr>
          <w:rFonts w:ascii="Arial" w:eastAsia="Times New Roman" w:hAnsi="Arial" w:cs="Arial"/>
          <w:b/>
          <w:bCs/>
          <w:sz w:val="18"/>
          <w:szCs w:val="18"/>
          <w:lang w:eastAsia="en-US"/>
        </w:rPr>
        <w:t>Ratings</w:t>
      </w:r>
      <w:r w:rsidRPr="007246A9">
        <w:rPr>
          <w:rFonts w:ascii="Arial" w:eastAsia="Times New Roman" w:hAnsi="Arial" w:cs="Arial"/>
          <w:sz w:val="18"/>
          <w:szCs w:val="18"/>
          <w:lang w:val="el-GR" w:eastAsia="en-US"/>
        </w:rPr>
        <w:t xml:space="preserve"> αναβάθμισε την μακροπρόθεσμη πιστοληπτική ικανότητα της Κύπρου σε ξένο νόμισμα σε ‘</w:t>
      </w:r>
      <w:r w:rsidRPr="007246A9">
        <w:rPr>
          <w:rFonts w:ascii="Arial" w:eastAsia="Times New Roman" w:hAnsi="Arial" w:cs="Arial"/>
          <w:sz w:val="18"/>
          <w:szCs w:val="18"/>
          <w:lang w:eastAsia="en-US"/>
        </w:rPr>
        <w:t>BBB</w:t>
      </w:r>
      <w:r w:rsidRPr="007246A9">
        <w:rPr>
          <w:rFonts w:ascii="Arial" w:eastAsia="Times New Roman" w:hAnsi="Arial" w:cs="Arial"/>
          <w:sz w:val="18"/>
          <w:szCs w:val="18"/>
          <w:lang w:val="el-GR" w:eastAsia="en-US"/>
        </w:rPr>
        <w:t>+’ από ‘</w:t>
      </w:r>
      <w:r w:rsidRPr="007246A9">
        <w:rPr>
          <w:rFonts w:ascii="Arial" w:eastAsia="Times New Roman" w:hAnsi="Arial" w:cs="Arial"/>
          <w:sz w:val="18"/>
          <w:szCs w:val="18"/>
          <w:lang w:eastAsia="en-US"/>
        </w:rPr>
        <w:t>BBB</w:t>
      </w:r>
      <w:r w:rsidRPr="007246A9">
        <w:rPr>
          <w:rFonts w:ascii="Arial" w:eastAsia="Times New Roman" w:hAnsi="Arial" w:cs="Arial"/>
          <w:sz w:val="18"/>
          <w:szCs w:val="18"/>
          <w:lang w:val="el-GR" w:eastAsia="en-US"/>
        </w:rPr>
        <w:t xml:space="preserve">’, διατηρώντας παράλληλα θετικές τις προοπτικές του για την Κύπρο. Η αναβάθμιση σχετίζεται κυρίως με τις μειωμένες </w:t>
      </w:r>
      <w:r w:rsidR="00286B90" w:rsidRPr="007246A9">
        <w:rPr>
          <w:rFonts w:ascii="Arial" w:eastAsia="Times New Roman" w:hAnsi="Arial" w:cs="Arial"/>
          <w:sz w:val="18"/>
          <w:szCs w:val="18"/>
          <w:lang w:val="el-GR" w:eastAsia="en-US"/>
        </w:rPr>
        <w:t xml:space="preserve">ευαισθησίες </w:t>
      </w:r>
      <w:r w:rsidRPr="007246A9">
        <w:rPr>
          <w:rFonts w:ascii="Arial" w:eastAsia="Times New Roman" w:hAnsi="Arial" w:cs="Arial"/>
          <w:sz w:val="18"/>
          <w:szCs w:val="18"/>
          <w:lang w:val="el-GR" w:eastAsia="en-US"/>
        </w:rPr>
        <w:t>σε χρηματοπιστωτικ</w:t>
      </w:r>
      <w:r w:rsidR="00286B90" w:rsidRPr="007246A9">
        <w:rPr>
          <w:rFonts w:ascii="Arial" w:eastAsia="Times New Roman" w:hAnsi="Arial" w:cs="Arial"/>
          <w:sz w:val="18"/>
          <w:szCs w:val="18"/>
          <w:lang w:val="el-GR" w:eastAsia="en-US"/>
        </w:rPr>
        <w:t>ούς</w:t>
      </w:r>
      <w:r w:rsidRPr="007246A9">
        <w:rPr>
          <w:rFonts w:ascii="Arial" w:eastAsia="Times New Roman" w:hAnsi="Arial" w:cs="Arial"/>
          <w:sz w:val="18"/>
          <w:szCs w:val="18"/>
          <w:lang w:val="el-GR" w:eastAsia="en-US"/>
        </w:rPr>
        <w:t xml:space="preserve"> </w:t>
      </w:r>
      <w:r w:rsidR="00286B90" w:rsidRPr="007246A9">
        <w:rPr>
          <w:rFonts w:ascii="Arial" w:eastAsia="Times New Roman" w:hAnsi="Arial" w:cs="Arial"/>
          <w:sz w:val="18"/>
          <w:szCs w:val="18"/>
          <w:lang w:val="el-GR" w:eastAsia="en-US"/>
        </w:rPr>
        <w:t>κραδασμούς</w:t>
      </w:r>
      <w:r w:rsidRPr="007246A9">
        <w:rPr>
          <w:rFonts w:ascii="Arial" w:eastAsia="Times New Roman" w:hAnsi="Arial" w:cs="Arial"/>
          <w:sz w:val="18"/>
          <w:szCs w:val="18"/>
          <w:lang w:val="el-GR" w:eastAsia="en-US"/>
        </w:rPr>
        <w:t xml:space="preserve">, τη συνεχή ενίσχυση του πιστωτικού προφίλ του τραπεζικού τομέα, την </w:t>
      </w:r>
      <w:proofErr w:type="spellStart"/>
      <w:r w:rsidRPr="007246A9">
        <w:rPr>
          <w:rFonts w:ascii="Arial" w:eastAsia="Times New Roman" w:hAnsi="Arial" w:cs="Arial"/>
          <w:sz w:val="18"/>
          <w:szCs w:val="18"/>
          <w:lang w:val="el-GR" w:eastAsia="en-US"/>
        </w:rPr>
        <w:t>απομόχλευση</w:t>
      </w:r>
      <w:proofErr w:type="spellEnd"/>
      <w:r w:rsidRPr="007246A9">
        <w:rPr>
          <w:rFonts w:ascii="Arial" w:eastAsia="Times New Roman" w:hAnsi="Arial" w:cs="Arial"/>
          <w:sz w:val="18"/>
          <w:szCs w:val="18"/>
          <w:lang w:val="el-GR" w:eastAsia="en-US"/>
        </w:rPr>
        <w:t xml:space="preserve"> του ιδιωτικού τομέα, τη μείωση του δημόσιου χρέους της Κύπρου καθώς και την ισχυρή αύξηση του ΑΕΠ.</w:t>
      </w:r>
    </w:p>
    <w:p w14:paraId="00E2A0B1" w14:textId="77777777" w:rsidR="00CF4E68" w:rsidRPr="007246A9" w:rsidRDefault="00CF4E68" w:rsidP="00CF4E68">
      <w:pPr>
        <w:spacing w:after="0" w:line="240" w:lineRule="auto"/>
        <w:jc w:val="both"/>
        <w:rPr>
          <w:rFonts w:ascii="Arial" w:eastAsia="Times New Roman" w:hAnsi="Arial" w:cs="Arial"/>
          <w:sz w:val="18"/>
          <w:szCs w:val="18"/>
          <w:lang w:val="el-GR" w:eastAsia="en-US"/>
        </w:rPr>
      </w:pPr>
    </w:p>
    <w:p w14:paraId="113B5463" w14:textId="4475AC13" w:rsidR="00CF4E68" w:rsidRPr="007246A9" w:rsidRDefault="00CF4E68" w:rsidP="00CF4E68">
      <w:pPr>
        <w:spacing w:after="0" w:line="240" w:lineRule="auto"/>
        <w:jc w:val="both"/>
        <w:rPr>
          <w:rFonts w:ascii="Arial" w:eastAsia="Times New Roman" w:hAnsi="Arial" w:cs="Arial"/>
          <w:sz w:val="18"/>
          <w:szCs w:val="18"/>
          <w:lang w:val="el-GR" w:eastAsia="en-US"/>
        </w:rPr>
      </w:pPr>
      <w:r w:rsidRPr="007246A9">
        <w:rPr>
          <w:rFonts w:ascii="Arial" w:eastAsia="Times New Roman" w:hAnsi="Arial" w:cs="Arial"/>
          <w:sz w:val="18"/>
          <w:szCs w:val="18"/>
          <w:lang w:val="el-GR" w:eastAsia="en-US"/>
        </w:rPr>
        <w:t xml:space="preserve">Επιπλέον, τον Ιούνιο του 2024, </w:t>
      </w:r>
      <w:r w:rsidR="00CB7530">
        <w:rPr>
          <w:rFonts w:ascii="Arial" w:eastAsia="Times New Roman" w:hAnsi="Arial" w:cs="Arial"/>
          <w:sz w:val="18"/>
          <w:szCs w:val="18"/>
          <w:lang w:val="el-GR" w:eastAsia="en-US"/>
        </w:rPr>
        <w:t xml:space="preserve"> ο </w:t>
      </w:r>
      <w:proofErr w:type="spellStart"/>
      <w:r w:rsidR="00CB7530">
        <w:rPr>
          <w:rFonts w:ascii="Arial" w:eastAsia="Times New Roman" w:hAnsi="Arial" w:cs="Arial"/>
          <w:sz w:val="18"/>
          <w:szCs w:val="18"/>
          <w:lang w:val="el-GR" w:eastAsia="en-US"/>
        </w:rPr>
        <w:t>οικος</w:t>
      </w:r>
      <w:proofErr w:type="spellEnd"/>
      <w:r w:rsidR="00CB7530">
        <w:rPr>
          <w:rFonts w:ascii="Arial" w:eastAsia="Times New Roman" w:hAnsi="Arial" w:cs="Arial"/>
          <w:sz w:val="18"/>
          <w:szCs w:val="18"/>
          <w:lang w:val="el-GR" w:eastAsia="en-US"/>
        </w:rPr>
        <w:t xml:space="preserve"> </w:t>
      </w:r>
      <w:r w:rsidRPr="007246A9">
        <w:rPr>
          <w:rFonts w:ascii="Arial" w:eastAsia="Times New Roman" w:hAnsi="Arial" w:cs="Arial"/>
          <w:b/>
          <w:bCs/>
          <w:sz w:val="18"/>
          <w:szCs w:val="18"/>
          <w:lang w:val="el-GR" w:eastAsia="en-US"/>
        </w:rPr>
        <w:t xml:space="preserve">S&amp;P </w:t>
      </w:r>
      <w:proofErr w:type="spellStart"/>
      <w:r w:rsidRPr="007246A9">
        <w:rPr>
          <w:rFonts w:ascii="Arial" w:eastAsia="Times New Roman" w:hAnsi="Arial" w:cs="Arial"/>
          <w:b/>
          <w:bCs/>
          <w:sz w:val="18"/>
          <w:szCs w:val="18"/>
          <w:lang w:val="el-GR" w:eastAsia="en-US"/>
        </w:rPr>
        <w:t>Global</w:t>
      </w:r>
      <w:proofErr w:type="spellEnd"/>
      <w:r w:rsidRPr="007246A9">
        <w:rPr>
          <w:rFonts w:ascii="Arial" w:eastAsia="Times New Roman" w:hAnsi="Arial" w:cs="Arial"/>
          <w:b/>
          <w:bCs/>
          <w:sz w:val="18"/>
          <w:szCs w:val="18"/>
          <w:lang w:val="el-GR" w:eastAsia="en-US"/>
        </w:rPr>
        <w:t xml:space="preserve"> Ratings</w:t>
      </w:r>
      <w:r w:rsidRPr="007246A9">
        <w:rPr>
          <w:rFonts w:ascii="Arial" w:eastAsia="Times New Roman" w:hAnsi="Arial" w:cs="Arial"/>
          <w:sz w:val="18"/>
          <w:szCs w:val="18"/>
          <w:lang w:val="el-GR" w:eastAsia="en-US"/>
        </w:rPr>
        <w:t xml:space="preserve"> αναβάθμισε τις μακροπρόθεσμες πιστοληπτικές αξιολογήσεις της Κύπρου σε τοπικό και ξένο νόμισμα σε BBB+ από BBB, διατηρώντας παράλληλα θετικές τις προοπτικές. Αυτή η αναβάθμιση της αξιολόγησης της Κύπρου κατά μία βαθμίδα αντανακλά την πρόοδο που έχει σημειώσει η Κύπρος τα τελευταία χρόνια για την αντιμετώπιση των δημοσιονομικών ανισορροπιών, εν μέσω ανθεκτικής ανάπτυξης, καθώς και την ενίσχυση της χρηματοοικονομικής θέσης των </w:t>
      </w:r>
      <w:r w:rsidR="00CB7530">
        <w:rPr>
          <w:rFonts w:ascii="Arial" w:eastAsia="Times New Roman" w:hAnsi="Arial" w:cs="Arial"/>
          <w:sz w:val="18"/>
          <w:szCs w:val="18"/>
          <w:lang w:val="el-GR" w:eastAsia="en-US"/>
        </w:rPr>
        <w:t>Κ</w:t>
      </w:r>
      <w:r w:rsidRPr="007246A9">
        <w:rPr>
          <w:rFonts w:ascii="Arial" w:eastAsia="Times New Roman" w:hAnsi="Arial" w:cs="Arial"/>
          <w:sz w:val="18"/>
          <w:szCs w:val="18"/>
          <w:lang w:val="el-GR" w:eastAsia="en-US"/>
        </w:rPr>
        <w:t>υπριακών τραπεζών.</w:t>
      </w:r>
    </w:p>
    <w:p w14:paraId="0F3D816F" w14:textId="5B721635" w:rsidR="00BF5DA5" w:rsidRPr="007246A9" w:rsidRDefault="00BF5DA5" w:rsidP="00CF4E68">
      <w:pPr>
        <w:spacing w:after="0" w:line="240" w:lineRule="auto"/>
        <w:jc w:val="both"/>
        <w:rPr>
          <w:rFonts w:ascii="Arial" w:eastAsia="Times New Roman" w:hAnsi="Arial" w:cs="Arial"/>
          <w:sz w:val="18"/>
          <w:szCs w:val="18"/>
          <w:lang w:val="el-GR" w:eastAsia="en-US"/>
        </w:rPr>
      </w:pPr>
    </w:p>
    <w:p w14:paraId="58B79FFC" w14:textId="3168832E" w:rsidR="004A6239" w:rsidRPr="004A6239" w:rsidRDefault="00CF4E68" w:rsidP="004A6239">
      <w:pPr>
        <w:spacing w:after="0" w:line="240" w:lineRule="auto"/>
        <w:jc w:val="both"/>
        <w:rPr>
          <w:rFonts w:ascii="Arial" w:eastAsia="Times New Roman" w:hAnsi="Arial" w:cs="Arial"/>
          <w:sz w:val="18"/>
          <w:szCs w:val="18"/>
          <w:lang w:val="el-GR" w:eastAsia="en-US"/>
        </w:rPr>
      </w:pPr>
      <w:r w:rsidRPr="007246A9">
        <w:rPr>
          <w:rFonts w:ascii="Arial" w:eastAsia="Times New Roman" w:hAnsi="Arial" w:cs="Arial"/>
          <w:sz w:val="18"/>
          <w:szCs w:val="18"/>
          <w:lang w:val="el-GR" w:eastAsia="en-US"/>
        </w:rPr>
        <w:t xml:space="preserve">Τον </w:t>
      </w:r>
      <w:r w:rsidR="00E776EE" w:rsidRPr="007246A9">
        <w:rPr>
          <w:rFonts w:ascii="Arial" w:eastAsia="Times New Roman" w:hAnsi="Arial" w:cs="Arial"/>
          <w:sz w:val="18"/>
          <w:szCs w:val="18"/>
          <w:lang w:val="el-GR" w:eastAsia="en-US"/>
        </w:rPr>
        <w:t>Μάιο</w:t>
      </w:r>
      <w:r w:rsidR="00EC0D5C" w:rsidRPr="007246A9">
        <w:rPr>
          <w:rFonts w:ascii="Arial" w:eastAsia="Times New Roman" w:hAnsi="Arial" w:cs="Arial"/>
          <w:sz w:val="18"/>
          <w:szCs w:val="18"/>
          <w:lang w:val="el-GR" w:eastAsia="en-US"/>
        </w:rPr>
        <w:t xml:space="preserve"> </w:t>
      </w:r>
      <w:r w:rsidR="00E776EE" w:rsidRPr="007246A9">
        <w:rPr>
          <w:rFonts w:ascii="Arial" w:eastAsia="Times New Roman" w:hAnsi="Arial" w:cs="Arial"/>
          <w:sz w:val="18"/>
          <w:szCs w:val="18"/>
          <w:lang w:val="el-GR" w:eastAsia="en-US"/>
        </w:rPr>
        <w:t>2024</w:t>
      </w:r>
      <w:r w:rsidRPr="007246A9">
        <w:rPr>
          <w:rFonts w:ascii="Arial" w:eastAsia="Times New Roman" w:hAnsi="Arial" w:cs="Arial"/>
          <w:sz w:val="18"/>
          <w:szCs w:val="18"/>
          <w:lang w:val="el-GR" w:eastAsia="en-US"/>
        </w:rPr>
        <w:t xml:space="preserve">, ο οίκος </w:t>
      </w:r>
      <w:r w:rsidRPr="007246A9">
        <w:rPr>
          <w:rFonts w:ascii="Arial" w:eastAsia="Times New Roman" w:hAnsi="Arial" w:cs="Arial"/>
          <w:b/>
          <w:bCs/>
          <w:sz w:val="18"/>
          <w:szCs w:val="18"/>
          <w:lang w:eastAsia="en-US"/>
        </w:rPr>
        <w:t>Moody</w:t>
      </w:r>
      <w:r w:rsidRPr="007246A9">
        <w:rPr>
          <w:rFonts w:ascii="Arial" w:eastAsia="Times New Roman" w:hAnsi="Arial" w:cs="Arial"/>
          <w:b/>
          <w:bCs/>
          <w:sz w:val="18"/>
          <w:szCs w:val="18"/>
          <w:lang w:val="el-GR" w:eastAsia="en-US"/>
        </w:rPr>
        <w:t>'</w:t>
      </w:r>
      <w:r w:rsidRPr="007246A9">
        <w:rPr>
          <w:rFonts w:ascii="Arial" w:eastAsia="Times New Roman" w:hAnsi="Arial" w:cs="Arial"/>
          <w:b/>
          <w:bCs/>
          <w:sz w:val="18"/>
          <w:szCs w:val="18"/>
          <w:lang w:eastAsia="en-US"/>
        </w:rPr>
        <w:t>s</w:t>
      </w:r>
      <w:r w:rsidRPr="007246A9">
        <w:rPr>
          <w:rFonts w:ascii="Arial" w:eastAsia="Times New Roman" w:hAnsi="Arial" w:cs="Arial"/>
          <w:b/>
          <w:bCs/>
          <w:sz w:val="18"/>
          <w:szCs w:val="18"/>
          <w:lang w:val="el-GR" w:eastAsia="en-US"/>
        </w:rPr>
        <w:t xml:space="preserve"> </w:t>
      </w:r>
      <w:r w:rsidRPr="007246A9">
        <w:rPr>
          <w:rFonts w:ascii="Arial" w:eastAsia="Times New Roman" w:hAnsi="Arial" w:cs="Arial"/>
          <w:b/>
          <w:bCs/>
          <w:sz w:val="18"/>
          <w:szCs w:val="18"/>
          <w:lang w:eastAsia="en-US"/>
        </w:rPr>
        <w:t>Investors</w:t>
      </w:r>
      <w:r w:rsidRPr="007246A9">
        <w:rPr>
          <w:rFonts w:ascii="Arial" w:eastAsia="Times New Roman" w:hAnsi="Arial" w:cs="Arial"/>
          <w:b/>
          <w:bCs/>
          <w:sz w:val="18"/>
          <w:szCs w:val="18"/>
          <w:lang w:val="el-GR" w:eastAsia="en-US"/>
        </w:rPr>
        <w:t xml:space="preserve"> </w:t>
      </w:r>
      <w:r w:rsidRPr="007246A9">
        <w:rPr>
          <w:rFonts w:ascii="Arial" w:eastAsia="Times New Roman" w:hAnsi="Arial" w:cs="Arial"/>
          <w:b/>
          <w:bCs/>
          <w:sz w:val="18"/>
          <w:szCs w:val="18"/>
          <w:lang w:eastAsia="en-US"/>
        </w:rPr>
        <w:t>Service</w:t>
      </w:r>
      <w:r w:rsidRPr="007246A9">
        <w:rPr>
          <w:rFonts w:ascii="Arial" w:eastAsia="Times New Roman" w:hAnsi="Arial" w:cs="Arial"/>
          <w:sz w:val="18"/>
          <w:szCs w:val="18"/>
          <w:lang w:val="el-GR" w:eastAsia="en-US"/>
        </w:rPr>
        <w:t xml:space="preserve"> </w:t>
      </w:r>
      <w:r w:rsidR="00EC0D5C" w:rsidRPr="007246A9">
        <w:rPr>
          <w:rFonts w:ascii="Arial" w:eastAsia="Times New Roman" w:hAnsi="Arial" w:cs="Arial"/>
          <w:sz w:val="18"/>
          <w:szCs w:val="18"/>
          <w:lang w:val="el-GR" w:eastAsia="en-US"/>
        </w:rPr>
        <w:t xml:space="preserve">επιβεβαίωσε </w:t>
      </w:r>
      <w:r w:rsidRPr="007246A9">
        <w:rPr>
          <w:rFonts w:ascii="Arial" w:eastAsia="Times New Roman" w:hAnsi="Arial" w:cs="Arial"/>
          <w:sz w:val="18"/>
          <w:szCs w:val="18"/>
          <w:lang w:val="el-GR" w:eastAsia="en-US"/>
        </w:rPr>
        <w:t>τις μακροπρόθεσμες αξιολογήσεις της Κυπριακής Κυβέρνησης</w:t>
      </w:r>
      <w:r w:rsidR="00AF596F" w:rsidRPr="007246A9">
        <w:rPr>
          <w:rFonts w:ascii="Arial" w:eastAsia="Times New Roman" w:hAnsi="Arial" w:cs="Arial"/>
          <w:sz w:val="18"/>
          <w:szCs w:val="18"/>
          <w:lang w:val="el-GR" w:eastAsia="en-US"/>
        </w:rPr>
        <w:t xml:space="preserve"> και του μη εξασφαλισμένου, με εξοφλητική προτεραιότητα ομολόγου </w:t>
      </w:r>
      <w:r w:rsidRPr="007246A9">
        <w:rPr>
          <w:rFonts w:ascii="Arial" w:eastAsia="Times New Roman" w:hAnsi="Arial" w:cs="Arial"/>
          <w:sz w:val="18"/>
          <w:szCs w:val="18"/>
          <w:lang w:val="el-GR" w:eastAsia="en-US"/>
        </w:rPr>
        <w:t xml:space="preserve">στη βαθμίδα </w:t>
      </w:r>
      <w:r w:rsidRPr="007246A9">
        <w:rPr>
          <w:rFonts w:ascii="Arial" w:eastAsia="Times New Roman" w:hAnsi="Arial" w:cs="Arial"/>
          <w:sz w:val="18"/>
          <w:szCs w:val="18"/>
          <w:lang w:eastAsia="en-US"/>
        </w:rPr>
        <w:t>Baa</w:t>
      </w:r>
      <w:r w:rsidRPr="007246A9">
        <w:rPr>
          <w:rFonts w:ascii="Arial" w:eastAsia="Times New Roman" w:hAnsi="Arial" w:cs="Arial"/>
          <w:sz w:val="18"/>
          <w:szCs w:val="18"/>
          <w:lang w:val="el-GR" w:eastAsia="en-US"/>
        </w:rPr>
        <w:t>2.</w:t>
      </w:r>
      <w:r w:rsidR="00A300E3" w:rsidRPr="007246A9">
        <w:rPr>
          <w:rFonts w:ascii="Arial" w:eastAsia="Times New Roman" w:hAnsi="Arial" w:cs="Arial"/>
          <w:sz w:val="18"/>
          <w:szCs w:val="18"/>
          <w:lang w:val="el-GR" w:eastAsia="en-US"/>
        </w:rPr>
        <w:t xml:space="preserve"> </w:t>
      </w:r>
      <w:r w:rsidRPr="007246A9">
        <w:rPr>
          <w:rFonts w:ascii="Arial" w:eastAsia="Times New Roman" w:hAnsi="Arial" w:cs="Arial"/>
          <w:sz w:val="18"/>
          <w:szCs w:val="18"/>
          <w:lang w:val="el-GR" w:eastAsia="en-US"/>
        </w:rPr>
        <w:t xml:space="preserve">Οι προοπτικές αναθεωρήθηκαν σε </w:t>
      </w:r>
      <w:r w:rsidR="00EC0D5C" w:rsidRPr="007246A9">
        <w:rPr>
          <w:rFonts w:ascii="Arial" w:eastAsia="Times New Roman" w:hAnsi="Arial" w:cs="Arial"/>
          <w:sz w:val="18"/>
          <w:szCs w:val="18"/>
          <w:lang w:val="el-GR" w:eastAsia="en-US"/>
        </w:rPr>
        <w:t>θετικές</w:t>
      </w:r>
      <w:r w:rsidR="00EC0D5C" w:rsidRPr="007246A9" w:rsidDel="00EC0D5C">
        <w:rPr>
          <w:rFonts w:ascii="Arial" w:eastAsia="Times New Roman" w:hAnsi="Arial" w:cs="Arial"/>
          <w:sz w:val="18"/>
          <w:szCs w:val="18"/>
          <w:lang w:val="el-GR" w:eastAsia="en-US"/>
        </w:rPr>
        <w:t xml:space="preserve"> </w:t>
      </w:r>
      <w:r w:rsidRPr="007246A9">
        <w:rPr>
          <w:rFonts w:ascii="Arial" w:eastAsia="Times New Roman" w:hAnsi="Arial" w:cs="Arial"/>
          <w:sz w:val="18"/>
          <w:szCs w:val="18"/>
          <w:lang w:val="el-GR" w:eastAsia="en-US"/>
        </w:rPr>
        <w:t xml:space="preserve">από </w:t>
      </w:r>
      <w:r w:rsidR="00EC0D5C" w:rsidRPr="007246A9">
        <w:rPr>
          <w:rFonts w:ascii="Arial" w:eastAsia="Times New Roman" w:hAnsi="Arial" w:cs="Arial"/>
          <w:sz w:val="18"/>
          <w:szCs w:val="18"/>
          <w:lang w:val="el-GR" w:eastAsia="en-US"/>
        </w:rPr>
        <w:t>σταθερές</w:t>
      </w:r>
      <w:r w:rsidRPr="007246A9">
        <w:rPr>
          <w:rFonts w:ascii="Arial" w:eastAsia="Times New Roman" w:hAnsi="Arial" w:cs="Arial"/>
          <w:sz w:val="18"/>
          <w:szCs w:val="18"/>
          <w:lang w:val="el-GR" w:eastAsia="en-US"/>
        </w:rPr>
        <w:t>.</w:t>
      </w:r>
      <w:r w:rsidR="004A6239" w:rsidRPr="007246A9">
        <w:rPr>
          <w:rFonts w:ascii="Arial" w:eastAsia="Times New Roman" w:hAnsi="Arial" w:cs="Arial"/>
          <w:sz w:val="18"/>
          <w:szCs w:val="18"/>
          <w:lang w:val="el-GR" w:eastAsia="en-US"/>
        </w:rPr>
        <w:t xml:space="preserve"> </w:t>
      </w:r>
      <w:r w:rsidR="004A6239" w:rsidRPr="004A6239">
        <w:rPr>
          <w:rFonts w:ascii="Arial" w:eastAsia="Times New Roman" w:hAnsi="Arial" w:cs="Arial"/>
          <w:sz w:val="18"/>
          <w:szCs w:val="18"/>
          <w:lang w:val="el-GR" w:eastAsia="en-US"/>
        </w:rPr>
        <w:t>Η επιβεβαίωση των αξιολογήσεων της Κύπρου εξισορροπεί την ισχυρή οικονομική ανάπτυξη σε συνδυασμό με την ισχυρή θεσμική ικανότητα και την αποτελεσματική διαμόρφωση πολιτικής έναντι του μικρού οικονομικού μεγέθους της, του σχετικά υψηλού δημόσιου χρέους και της μέτριας ευαισθησίας της σε κινδύνους που οφείλονται στον τραπεζικό τομέα και στους γεωπολιτικούς κινδύνους.</w:t>
      </w:r>
      <w:r w:rsidR="002035D3" w:rsidRPr="007246A9">
        <w:rPr>
          <w:rFonts w:ascii="Arial" w:eastAsia="Times New Roman" w:hAnsi="Arial" w:cs="Arial"/>
          <w:sz w:val="18"/>
          <w:szCs w:val="18"/>
          <w:lang w:val="el-GR" w:eastAsia="en-US"/>
        </w:rPr>
        <w:t xml:space="preserve"> </w:t>
      </w:r>
      <w:r w:rsidR="004A6239" w:rsidRPr="004A6239">
        <w:rPr>
          <w:rFonts w:ascii="Arial" w:eastAsia="Times New Roman" w:hAnsi="Arial" w:cs="Arial"/>
          <w:sz w:val="18"/>
          <w:szCs w:val="18"/>
          <w:lang w:val="el-GR" w:eastAsia="en-US"/>
        </w:rPr>
        <w:t xml:space="preserve">Οι θετικές προοπτικές αντανακλούν τη δυνατότητα σταθερής βελτίωσης της δημοσιονομικής ισχύος της Κύπρου. </w:t>
      </w:r>
    </w:p>
    <w:p w14:paraId="71C12209" w14:textId="77777777" w:rsidR="00CF4E68" w:rsidRPr="007246A9" w:rsidRDefault="00CF4E68" w:rsidP="00CF4E68">
      <w:pPr>
        <w:spacing w:after="0" w:line="240" w:lineRule="auto"/>
        <w:jc w:val="both"/>
        <w:rPr>
          <w:rFonts w:ascii="Arial" w:eastAsia="Times New Roman" w:hAnsi="Arial" w:cs="Arial"/>
          <w:sz w:val="18"/>
          <w:szCs w:val="18"/>
          <w:lang w:val="el-GR" w:eastAsia="en-US"/>
        </w:rPr>
      </w:pPr>
    </w:p>
    <w:p w14:paraId="1FF13FE4" w14:textId="46C1F60D" w:rsidR="008846D6" w:rsidRDefault="00CF4E68" w:rsidP="00CF4E68">
      <w:pPr>
        <w:spacing w:after="0" w:line="240" w:lineRule="auto"/>
        <w:jc w:val="both"/>
        <w:rPr>
          <w:rFonts w:ascii="Arial" w:eastAsia="Times New Roman" w:hAnsi="Arial" w:cs="Arial"/>
          <w:sz w:val="18"/>
          <w:szCs w:val="18"/>
          <w:lang w:val="el-GR" w:eastAsia="en-US"/>
        </w:rPr>
      </w:pPr>
      <w:r w:rsidRPr="007246A9">
        <w:rPr>
          <w:rFonts w:ascii="Arial" w:eastAsia="Times New Roman" w:hAnsi="Arial" w:cs="Arial"/>
          <w:sz w:val="18"/>
          <w:szCs w:val="18"/>
          <w:lang w:val="el-GR" w:eastAsia="en-US"/>
        </w:rPr>
        <w:t xml:space="preserve">Η </w:t>
      </w:r>
      <w:r w:rsidRPr="007246A9">
        <w:rPr>
          <w:rFonts w:ascii="Arial" w:eastAsia="Times New Roman" w:hAnsi="Arial" w:cs="Arial"/>
          <w:b/>
          <w:bCs/>
          <w:sz w:val="18"/>
          <w:szCs w:val="18"/>
          <w:lang w:eastAsia="en-US"/>
        </w:rPr>
        <w:t>DBRS</w:t>
      </w:r>
      <w:r w:rsidRPr="007246A9">
        <w:rPr>
          <w:rFonts w:ascii="Arial" w:eastAsia="Times New Roman" w:hAnsi="Arial" w:cs="Arial"/>
          <w:b/>
          <w:bCs/>
          <w:sz w:val="18"/>
          <w:szCs w:val="18"/>
          <w:lang w:val="el-GR" w:eastAsia="en-US"/>
        </w:rPr>
        <w:t xml:space="preserve"> </w:t>
      </w:r>
      <w:r w:rsidRPr="007246A9">
        <w:rPr>
          <w:rFonts w:ascii="Arial" w:eastAsia="Times New Roman" w:hAnsi="Arial" w:cs="Arial"/>
          <w:b/>
          <w:bCs/>
          <w:sz w:val="18"/>
          <w:szCs w:val="18"/>
          <w:lang w:eastAsia="en-US"/>
        </w:rPr>
        <w:t>Ratings</w:t>
      </w:r>
      <w:r w:rsidRPr="007246A9">
        <w:rPr>
          <w:rFonts w:ascii="Arial" w:eastAsia="Times New Roman" w:hAnsi="Arial" w:cs="Arial"/>
          <w:b/>
          <w:bCs/>
          <w:sz w:val="18"/>
          <w:szCs w:val="18"/>
          <w:lang w:val="el-GR" w:eastAsia="en-US"/>
        </w:rPr>
        <w:t xml:space="preserve"> </w:t>
      </w:r>
      <w:r w:rsidRPr="007246A9">
        <w:rPr>
          <w:rFonts w:ascii="Arial" w:eastAsia="Times New Roman" w:hAnsi="Arial" w:cs="Arial"/>
          <w:b/>
          <w:bCs/>
          <w:sz w:val="18"/>
          <w:szCs w:val="18"/>
          <w:lang w:eastAsia="en-US"/>
        </w:rPr>
        <w:t>GmbH</w:t>
      </w:r>
      <w:r w:rsidRPr="007246A9">
        <w:rPr>
          <w:rFonts w:ascii="Arial" w:eastAsia="Times New Roman" w:hAnsi="Arial" w:cs="Arial"/>
          <w:b/>
          <w:bCs/>
          <w:sz w:val="18"/>
          <w:szCs w:val="18"/>
          <w:lang w:val="el-GR" w:eastAsia="en-US"/>
        </w:rPr>
        <w:t xml:space="preserve"> (</w:t>
      </w:r>
      <w:r w:rsidRPr="007246A9">
        <w:rPr>
          <w:rFonts w:ascii="Arial" w:eastAsia="Times New Roman" w:hAnsi="Arial" w:cs="Arial"/>
          <w:b/>
          <w:bCs/>
          <w:sz w:val="18"/>
          <w:szCs w:val="18"/>
          <w:lang w:eastAsia="en-US"/>
        </w:rPr>
        <w:t>DBRS</w:t>
      </w:r>
      <w:r w:rsidRPr="007246A9">
        <w:rPr>
          <w:rFonts w:ascii="Arial" w:eastAsia="Times New Roman" w:hAnsi="Arial" w:cs="Arial"/>
          <w:b/>
          <w:bCs/>
          <w:sz w:val="18"/>
          <w:szCs w:val="18"/>
          <w:lang w:val="el-GR" w:eastAsia="en-US"/>
        </w:rPr>
        <w:t xml:space="preserve"> </w:t>
      </w:r>
      <w:r w:rsidRPr="007246A9">
        <w:rPr>
          <w:rFonts w:ascii="Arial" w:eastAsia="Times New Roman" w:hAnsi="Arial" w:cs="Arial"/>
          <w:b/>
          <w:bCs/>
          <w:sz w:val="18"/>
          <w:szCs w:val="18"/>
          <w:lang w:eastAsia="en-US"/>
        </w:rPr>
        <w:t>Morningstar</w:t>
      </w:r>
      <w:r w:rsidRPr="007246A9">
        <w:rPr>
          <w:rFonts w:ascii="Arial" w:eastAsia="Times New Roman" w:hAnsi="Arial" w:cs="Arial"/>
          <w:b/>
          <w:bCs/>
          <w:sz w:val="18"/>
          <w:szCs w:val="18"/>
          <w:lang w:val="el-GR" w:eastAsia="en-US"/>
        </w:rPr>
        <w:t>)</w:t>
      </w:r>
      <w:r w:rsidRPr="007246A9">
        <w:rPr>
          <w:rFonts w:ascii="Arial" w:eastAsia="Times New Roman" w:hAnsi="Arial" w:cs="Arial"/>
          <w:sz w:val="18"/>
          <w:szCs w:val="18"/>
          <w:lang w:val="el-GR" w:eastAsia="en-US"/>
        </w:rPr>
        <w:t xml:space="preserve"> επιβεβαίωσε τις μακροπρόθεσμες αξιολογήσεις της </w:t>
      </w:r>
      <w:r w:rsidR="00BF5DA5" w:rsidRPr="007246A9">
        <w:rPr>
          <w:rFonts w:ascii="Arial" w:eastAsia="Times New Roman" w:hAnsi="Arial" w:cs="Arial"/>
          <w:sz w:val="18"/>
          <w:szCs w:val="18"/>
          <w:lang w:val="el-GR" w:eastAsia="en-US"/>
        </w:rPr>
        <w:t>Κύπρου</w:t>
      </w:r>
      <w:r w:rsidRPr="007246A9">
        <w:rPr>
          <w:rFonts w:ascii="Arial" w:eastAsia="Times New Roman" w:hAnsi="Arial" w:cs="Arial"/>
          <w:sz w:val="18"/>
          <w:szCs w:val="18"/>
          <w:lang w:val="el-GR" w:eastAsia="en-US"/>
        </w:rPr>
        <w:t xml:space="preserve"> σε ξένο και τοπικό νόμισμα στο </w:t>
      </w:r>
      <w:r w:rsidRPr="007246A9">
        <w:rPr>
          <w:rFonts w:ascii="Arial" w:eastAsia="Times New Roman" w:hAnsi="Arial" w:cs="Arial"/>
          <w:sz w:val="18"/>
          <w:szCs w:val="18"/>
          <w:lang w:eastAsia="en-US"/>
        </w:rPr>
        <w:t>BBB</w:t>
      </w:r>
      <w:r w:rsidRPr="007246A9">
        <w:rPr>
          <w:rFonts w:ascii="Arial" w:eastAsia="Times New Roman" w:hAnsi="Arial" w:cs="Arial"/>
          <w:sz w:val="18"/>
          <w:szCs w:val="18"/>
          <w:lang w:val="el-GR" w:eastAsia="en-US"/>
        </w:rPr>
        <w:t xml:space="preserve"> (υψηλό) τον </w:t>
      </w:r>
      <w:r w:rsidR="002035D3" w:rsidRPr="007246A9">
        <w:rPr>
          <w:rFonts w:ascii="Arial" w:eastAsia="Times New Roman" w:hAnsi="Arial" w:cs="Arial"/>
          <w:sz w:val="18"/>
          <w:szCs w:val="18"/>
          <w:lang w:val="el-GR" w:eastAsia="en-US"/>
        </w:rPr>
        <w:t xml:space="preserve">Σεπτέμβριο </w:t>
      </w:r>
      <w:r w:rsidRPr="007246A9">
        <w:rPr>
          <w:rFonts w:ascii="Arial" w:eastAsia="Times New Roman" w:hAnsi="Arial" w:cs="Arial"/>
          <w:sz w:val="18"/>
          <w:szCs w:val="18"/>
          <w:lang w:val="el-GR" w:eastAsia="en-US"/>
        </w:rPr>
        <w:t>2024.</w:t>
      </w:r>
      <w:r w:rsidR="008846D6" w:rsidRPr="008846D6">
        <w:rPr>
          <w:rFonts w:ascii="Arial" w:eastAsia="Times New Roman" w:hAnsi="Arial" w:cs="Arial"/>
          <w:sz w:val="18"/>
          <w:szCs w:val="18"/>
          <w:lang w:val="el-GR" w:eastAsia="en-US"/>
        </w:rPr>
        <w:t xml:space="preserve"> </w:t>
      </w:r>
      <w:r w:rsidRPr="007246A9">
        <w:rPr>
          <w:rFonts w:ascii="Arial" w:eastAsia="Times New Roman" w:hAnsi="Arial" w:cs="Arial"/>
          <w:sz w:val="18"/>
          <w:szCs w:val="18"/>
          <w:lang w:val="el-GR" w:eastAsia="en-US"/>
        </w:rPr>
        <w:t xml:space="preserve">Η τάση της αξιολόγησης </w:t>
      </w:r>
      <w:r w:rsidR="008846D6" w:rsidRPr="007246A9">
        <w:rPr>
          <w:rFonts w:ascii="Arial" w:eastAsia="Times New Roman" w:hAnsi="Arial" w:cs="Arial"/>
          <w:sz w:val="18"/>
          <w:szCs w:val="18"/>
          <w:lang w:val="el-GR" w:eastAsia="en-US"/>
        </w:rPr>
        <w:t xml:space="preserve">αναβαθμίστηκε σε θετική από </w:t>
      </w:r>
      <w:r w:rsidRPr="007246A9">
        <w:rPr>
          <w:rFonts w:ascii="Arial" w:eastAsia="Times New Roman" w:hAnsi="Arial" w:cs="Arial"/>
          <w:sz w:val="18"/>
          <w:szCs w:val="18"/>
          <w:lang w:val="el-GR" w:eastAsia="en-US"/>
        </w:rPr>
        <w:t>σταθερή.</w:t>
      </w:r>
      <w:r w:rsidR="008846D6">
        <w:rPr>
          <w:rFonts w:ascii="Arial" w:eastAsia="Times New Roman" w:hAnsi="Arial" w:cs="Arial"/>
          <w:sz w:val="18"/>
          <w:szCs w:val="18"/>
          <w:lang w:val="el-GR" w:eastAsia="en-US"/>
        </w:rPr>
        <w:t xml:space="preserve"> </w:t>
      </w:r>
      <w:r w:rsidR="008846D6" w:rsidRPr="008846D6">
        <w:rPr>
          <w:rFonts w:ascii="Arial" w:eastAsia="Times New Roman" w:hAnsi="Arial" w:cs="Arial"/>
          <w:sz w:val="18"/>
          <w:szCs w:val="18"/>
          <w:lang w:val="el-GR" w:eastAsia="en-US"/>
        </w:rPr>
        <w:t xml:space="preserve">Η θετική τάση αντανακλά την εκτίμηση ότι οι δείκτες του δημόσιου χρέους είναι πιθανό να συνεχίσουν να βελτιώνονται και ότι η οικονομική ανάπτυξη είναι πιθανό να συνεχίσει να επωφελείται από την ισχυρή ιδιωτική κατανάλωση, την αύξηση των εξαγωγών υπηρεσιών και τις ισχυρές επενδύσεις στον τομέα των κατασκευών κατά τα επόμενα έτη. </w:t>
      </w:r>
    </w:p>
    <w:p w14:paraId="208AC450" w14:textId="77777777" w:rsidR="008846D6" w:rsidRDefault="008846D6" w:rsidP="00CF4E68">
      <w:pPr>
        <w:spacing w:after="0" w:line="240" w:lineRule="auto"/>
        <w:jc w:val="both"/>
        <w:rPr>
          <w:rFonts w:ascii="Arial" w:eastAsia="Times New Roman" w:hAnsi="Arial" w:cs="Arial"/>
          <w:sz w:val="18"/>
          <w:szCs w:val="18"/>
          <w:lang w:val="el-GR" w:eastAsia="en-US"/>
        </w:rPr>
      </w:pPr>
    </w:p>
    <w:p w14:paraId="347B60EB" w14:textId="77777777" w:rsidR="00E71B33" w:rsidRPr="00D41B36" w:rsidRDefault="00E71B33" w:rsidP="00CE36EC">
      <w:pPr>
        <w:spacing w:after="0" w:line="360" w:lineRule="auto"/>
        <w:rPr>
          <w:rFonts w:ascii="Arial" w:hAnsi="Arial" w:cs="Arial"/>
          <w:b/>
          <w:color w:val="FF9900"/>
          <w:sz w:val="24"/>
          <w:szCs w:val="24"/>
          <w:highlight w:val="yellow"/>
          <w:lang w:val="el-GR"/>
        </w:rPr>
      </w:pPr>
      <w:bookmarkStart w:id="32" w:name="_Hlk112433471"/>
      <w:bookmarkEnd w:id="26"/>
      <w:bookmarkEnd w:id="27"/>
      <w:bookmarkEnd w:id="28"/>
      <w:bookmarkEnd w:id="29"/>
      <w:bookmarkEnd w:id="30"/>
      <w:bookmarkEnd w:id="31"/>
    </w:p>
    <w:p w14:paraId="48F58D2F" w14:textId="77777777" w:rsidR="00E71B33" w:rsidRPr="00D41B36" w:rsidRDefault="00E71B33" w:rsidP="00CE36EC">
      <w:pPr>
        <w:spacing w:after="0" w:line="360" w:lineRule="auto"/>
        <w:rPr>
          <w:rFonts w:ascii="Arial" w:hAnsi="Arial" w:cs="Arial"/>
          <w:b/>
          <w:color w:val="FF9900"/>
          <w:sz w:val="24"/>
          <w:szCs w:val="24"/>
          <w:highlight w:val="yellow"/>
          <w:lang w:val="el-GR"/>
        </w:rPr>
      </w:pPr>
    </w:p>
    <w:p w14:paraId="2CDE0537" w14:textId="77777777" w:rsidR="001D36B0" w:rsidRPr="00D41B36" w:rsidRDefault="001D36B0" w:rsidP="00CE36EC">
      <w:pPr>
        <w:spacing w:after="0" w:line="360" w:lineRule="auto"/>
        <w:rPr>
          <w:rFonts w:ascii="Arial" w:hAnsi="Arial" w:cs="Arial"/>
          <w:b/>
          <w:color w:val="FF9900"/>
          <w:sz w:val="24"/>
          <w:szCs w:val="24"/>
          <w:highlight w:val="yellow"/>
          <w:lang w:val="el-GR"/>
        </w:rPr>
      </w:pPr>
    </w:p>
    <w:p w14:paraId="28A9E47A" w14:textId="77777777" w:rsidR="001D36B0" w:rsidRPr="00D41B36" w:rsidRDefault="001D36B0" w:rsidP="00CE36EC">
      <w:pPr>
        <w:spacing w:after="0" w:line="360" w:lineRule="auto"/>
        <w:rPr>
          <w:rFonts w:ascii="Arial" w:hAnsi="Arial" w:cs="Arial"/>
          <w:b/>
          <w:color w:val="FF9900"/>
          <w:sz w:val="24"/>
          <w:szCs w:val="24"/>
          <w:highlight w:val="yellow"/>
          <w:lang w:val="el-GR"/>
        </w:rPr>
      </w:pPr>
    </w:p>
    <w:p w14:paraId="1F742119" w14:textId="77777777" w:rsidR="001D36B0" w:rsidRPr="00D41B36" w:rsidRDefault="001D36B0" w:rsidP="00CE36EC">
      <w:pPr>
        <w:spacing w:after="0" w:line="360" w:lineRule="auto"/>
        <w:rPr>
          <w:rFonts w:ascii="Arial" w:hAnsi="Arial" w:cs="Arial"/>
          <w:b/>
          <w:color w:val="FF9900"/>
          <w:sz w:val="24"/>
          <w:szCs w:val="24"/>
          <w:highlight w:val="yellow"/>
          <w:lang w:val="el-GR"/>
        </w:rPr>
      </w:pPr>
    </w:p>
    <w:p w14:paraId="63738981" w14:textId="77777777" w:rsidR="001D36B0" w:rsidRPr="00D41B36" w:rsidRDefault="001D36B0" w:rsidP="00CE36EC">
      <w:pPr>
        <w:spacing w:after="0" w:line="360" w:lineRule="auto"/>
        <w:rPr>
          <w:rFonts w:ascii="Arial" w:hAnsi="Arial" w:cs="Arial"/>
          <w:b/>
          <w:color w:val="FF9900"/>
          <w:sz w:val="24"/>
          <w:szCs w:val="24"/>
          <w:highlight w:val="yellow"/>
          <w:lang w:val="el-GR"/>
        </w:rPr>
      </w:pPr>
    </w:p>
    <w:p w14:paraId="72C0BC5E" w14:textId="77777777" w:rsidR="001D36B0" w:rsidRPr="00D41B36" w:rsidRDefault="001D36B0" w:rsidP="00CE36EC">
      <w:pPr>
        <w:spacing w:after="0" w:line="360" w:lineRule="auto"/>
        <w:rPr>
          <w:rFonts w:ascii="Arial" w:hAnsi="Arial" w:cs="Arial"/>
          <w:b/>
          <w:color w:val="FF9900"/>
          <w:sz w:val="24"/>
          <w:szCs w:val="24"/>
          <w:highlight w:val="yellow"/>
          <w:lang w:val="el-GR"/>
        </w:rPr>
      </w:pPr>
    </w:p>
    <w:p w14:paraId="19AFBDD7" w14:textId="77777777" w:rsidR="001D36B0" w:rsidRPr="00D41B36" w:rsidRDefault="001D36B0" w:rsidP="00CE36EC">
      <w:pPr>
        <w:spacing w:after="0" w:line="360" w:lineRule="auto"/>
        <w:rPr>
          <w:rFonts w:ascii="Arial" w:hAnsi="Arial" w:cs="Arial"/>
          <w:b/>
          <w:color w:val="FF9900"/>
          <w:sz w:val="24"/>
          <w:szCs w:val="24"/>
          <w:highlight w:val="yellow"/>
          <w:lang w:val="el-GR"/>
        </w:rPr>
      </w:pPr>
    </w:p>
    <w:p w14:paraId="6362BD34" w14:textId="77777777" w:rsidR="001D36B0" w:rsidRPr="00D41B36" w:rsidRDefault="001D36B0" w:rsidP="00CE36EC">
      <w:pPr>
        <w:spacing w:after="0" w:line="360" w:lineRule="auto"/>
        <w:rPr>
          <w:rFonts w:ascii="Arial" w:hAnsi="Arial" w:cs="Arial"/>
          <w:b/>
          <w:color w:val="FF9900"/>
          <w:sz w:val="24"/>
          <w:szCs w:val="24"/>
          <w:highlight w:val="yellow"/>
          <w:lang w:val="el-GR"/>
        </w:rPr>
      </w:pPr>
    </w:p>
    <w:p w14:paraId="2A3D1673" w14:textId="77777777" w:rsidR="001D36B0" w:rsidRPr="00D41B36" w:rsidRDefault="001D36B0" w:rsidP="00CE36EC">
      <w:pPr>
        <w:spacing w:after="0" w:line="360" w:lineRule="auto"/>
        <w:rPr>
          <w:rFonts w:ascii="Arial" w:hAnsi="Arial" w:cs="Arial"/>
          <w:b/>
          <w:color w:val="FF9900"/>
          <w:sz w:val="24"/>
          <w:szCs w:val="24"/>
          <w:highlight w:val="yellow"/>
          <w:lang w:val="el-GR"/>
        </w:rPr>
      </w:pPr>
    </w:p>
    <w:p w14:paraId="719412A1" w14:textId="77777777" w:rsidR="001D36B0" w:rsidRPr="00D41B36" w:rsidRDefault="001D36B0" w:rsidP="00CE36EC">
      <w:pPr>
        <w:spacing w:after="0" w:line="360" w:lineRule="auto"/>
        <w:rPr>
          <w:rFonts w:ascii="Arial" w:hAnsi="Arial" w:cs="Arial"/>
          <w:b/>
          <w:color w:val="FF9900"/>
          <w:sz w:val="24"/>
          <w:szCs w:val="24"/>
          <w:highlight w:val="yellow"/>
          <w:lang w:val="el-GR"/>
        </w:rPr>
      </w:pPr>
    </w:p>
    <w:p w14:paraId="74C2062E" w14:textId="77777777" w:rsidR="008D10DD" w:rsidRPr="00D41B36" w:rsidRDefault="008D10DD">
      <w:pPr>
        <w:rPr>
          <w:rFonts w:ascii="Arial" w:hAnsi="Arial" w:cs="Arial"/>
          <w:b/>
          <w:color w:val="FF9900"/>
          <w:sz w:val="24"/>
          <w:szCs w:val="24"/>
          <w:highlight w:val="yellow"/>
          <w:lang w:val="el-GR"/>
        </w:rPr>
      </w:pPr>
      <w:r w:rsidRPr="00D41B36">
        <w:rPr>
          <w:rFonts w:ascii="Arial" w:hAnsi="Arial" w:cs="Arial"/>
          <w:b/>
          <w:color w:val="FF9900"/>
          <w:sz w:val="24"/>
          <w:szCs w:val="24"/>
          <w:highlight w:val="yellow"/>
          <w:lang w:val="el-GR"/>
        </w:rPr>
        <w:br w:type="page"/>
      </w:r>
    </w:p>
    <w:p w14:paraId="4CD299FF" w14:textId="6C0ECF5B" w:rsidR="00CE36EC" w:rsidRPr="007246A9" w:rsidRDefault="004549ED" w:rsidP="00CE36EC">
      <w:pPr>
        <w:spacing w:after="0" w:line="360" w:lineRule="auto"/>
        <w:rPr>
          <w:rFonts w:ascii="Arial" w:hAnsi="Arial" w:cs="Arial"/>
          <w:b/>
          <w:color w:val="FF9900"/>
          <w:sz w:val="24"/>
          <w:szCs w:val="24"/>
          <w:lang w:val="el-GR"/>
        </w:rPr>
      </w:pPr>
      <w:r w:rsidRPr="007246A9">
        <w:rPr>
          <w:rFonts w:ascii="Arial" w:hAnsi="Arial" w:cs="Arial"/>
          <w:b/>
          <w:color w:val="FF9900"/>
          <w:sz w:val="24"/>
          <w:szCs w:val="24"/>
          <w:lang w:val="el-GR"/>
        </w:rPr>
        <w:lastRenderedPageBreak/>
        <w:t>Γ</w:t>
      </w:r>
      <w:r w:rsidR="00CE36EC" w:rsidRPr="007246A9">
        <w:rPr>
          <w:rFonts w:ascii="Arial" w:hAnsi="Arial" w:cs="Arial"/>
          <w:b/>
          <w:color w:val="FF9900"/>
          <w:sz w:val="24"/>
          <w:szCs w:val="24"/>
          <w:lang w:val="el-GR"/>
        </w:rPr>
        <w:t xml:space="preserve">. Επισκόπηση επιχειρηματικής δραστηριότητας </w:t>
      </w:r>
    </w:p>
    <w:p w14:paraId="466ABA75" w14:textId="77777777" w:rsidR="00CE36EC" w:rsidRPr="00DB7ABA" w:rsidRDefault="00CE36EC" w:rsidP="00CE36EC">
      <w:pPr>
        <w:spacing w:after="0" w:line="360" w:lineRule="auto"/>
        <w:jc w:val="both"/>
        <w:rPr>
          <w:rFonts w:ascii="Arial" w:hAnsi="Arial" w:cs="Arial"/>
          <w:b/>
          <w:color w:val="FF9900"/>
          <w:lang w:val="el-GR"/>
        </w:rPr>
      </w:pPr>
      <w:r w:rsidRPr="007246A9">
        <w:rPr>
          <w:rFonts w:ascii="Arial" w:hAnsi="Arial" w:cs="Arial"/>
          <w:b/>
          <w:color w:val="FF9900"/>
          <w:szCs w:val="20"/>
          <w:lang w:val="el-GR"/>
        </w:rPr>
        <w:t>Πιστοληπτικές Αξιολογήσεις της Τράπεζας</w:t>
      </w:r>
      <w:r w:rsidRPr="007246A9" w:rsidDel="00951CB4">
        <w:rPr>
          <w:rFonts w:ascii="Arial" w:hAnsi="Arial" w:cs="Arial"/>
          <w:b/>
          <w:color w:val="FF9900"/>
          <w:lang w:val="el-GR"/>
        </w:rPr>
        <w:t xml:space="preserve"> </w:t>
      </w:r>
    </w:p>
    <w:p w14:paraId="3E96E5A4" w14:textId="1E7E6782" w:rsidR="001446D1" w:rsidRPr="00502B4F" w:rsidRDefault="00CE36EC" w:rsidP="00E35581">
      <w:pPr>
        <w:spacing w:line="240" w:lineRule="auto"/>
        <w:jc w:val="both"/>
        <w:rPr>
          <w:rFonts w:ascii="Arial" w:hAnsi="Arial" w:cs="Arial"/>
          <w:sz w:val="18"/>
          <w:szCs w:val="18"/>
          <w:highlight w:val="yellow"/>
          <w:lang w:val="el-GR"/>
        </w:rPr>
      </w:pPr>
      <w:r w:rsidRPr="007246A9">
        <w:rPr>
          <w:rFonts w:ascii="Arial" w:hAnsi="Arial" w:cs="Arial"/>
          <w:sz w:val="18"/>
          <w:szCs w:val="18"/>
          <w:lang w:val="el-GR"/>
        </w:rPr>
        <w:t>Η χρηματοοικονομική επίδοση του Συγκροτήματος είναι άμεσα συνδεδεμένη με το οικονομικό και λειτουργικό περιβάλλον στην Κύπρο</w:t>
      </w:r>
      <w:r w:rsidR="00204DBF" w:rsidRPr="00E35581">
        <w:rPr>
          <w:rFonts w:ascii="Arial" w:hAnsi="Arial" w:cs="Arial"/>
          <w:sz w:val="18"/>
          <w:szCs w:val="18"/>
          <w:lang w:val="el-GR"/>
        </w:rPr>
        <w:t xml:space="preserve">. </w:t>
      </w:r>
      <w:r w:rsidR="00E1674C" w:rsidRPr="007246A9">
        <w:rPr>
          <w:rFonts w:ascii="Arial" w:hAnsi="Arial" w:cs="Arial"/>
          <w:sz w:val="18"/>
          <w:szCs w:val="18"/>
          <w:lang w:val="el-GR"/>
        </w:rPr>
        <w:t xml:space="preserve">Τον Ιούλιο 2024, </w:t>
      </w:r>
      <w:r w:rsidR="003401CB">
        <w:rPr>
          <w:rFonts w:ascii="Arial" w:hAnsi="Arial" w:cs="Arial"/>
          <w:sz w:val="18"/>
          <w:szCs w:val="18"/>
          <w:lang w:val="el-GR"/>
        </w:rPr>
        <w:t>ο οίκος</w:t>
      </w:r>
      <w:r w:rsidR="003401CB" w:rsidRPr="007246A9">
        <w:rPr>
          <w:rFonts w:ascii="Arial" w:hAnsi="Arial" w:cs="Arial"/>
          <w:sz w:val="18"/>
          <w:szCs w:val="18"/>
          <w:lang w:val="el-GR"/>
        </w:rPr>
        <w:t xml:space="preserve"> </w:t>
      </w:r>
      <w:r w:rsidR="00E1674C" w:rsidRPr="00E35581">
        <w:rPr>
          <w:rFonts w:ascii="Arial" w:hAnsi="Arial" w:cs="Arial"/>
          <w:b/>
          <w:bCs/>
          <w:sz w:val="18"/>
          <w:szCs w:val="18"/>
          <w:lang w:val="el-GR"/>
        </w:rPr>
        <w:t>Moody’s Investors Service</w:t>
      </w:r>
      <w:r w:rsidR="00E1674C" w:rsidRPr="007246A9">
        <w:rPr>
          <w:rFonts w:ascii="Arial" w:hAnsi="Arial" w:cs="Arial"/>
          <w:sz w:val="18"/>
          <w:szCs w:val="18"/>
          <w:lang w:val="el-GR"/>
        </w:rPr>
        <w:t xml:space="preserve"> </w:t>
      </w:r>
      <w:r w:rsidR="00E1674C" w:rsidRPr="00E35581">
        <w:rPr>
          <w:rFonts w:ascii="Arial" w:hAnsi="Arial" w:cs="Arial"/>
          <w:sz w:val="18"/>
          <w:szCs w:val="18"/>
          <w:lang w:val="el-GR"/>
        </w:rPr>
        <w:t>αναβάθμισε</w:t>
      </w:r>
      <w:r w:rsidR="00E1674C" w:rsidRPr="007246A9">
        <w:rPr>
          <w:rFonts w:ascii="Arial" w:hAnsi="Arial" w:cs="Arial"/>
          <w:sz w:val="18"/>
          <w:szCs w:val="18"/>
          <w:lang w:val="el-GR"/>
        </w:rPr>
        <w:t xml:space="preserve"> την </w:t>
      </w:r>
      <w:r w:rsidR="00E1674C" w:rsidRPr="00E35581">
        <w:rPr>
          <w:rFonts w:ascii="Arial" w:hAnsi="Arial" w:cs="Arial"/>
          <w:sz w:val="18"/>
          <w:szCs w:val="18"/>
          <w:lang w:val="el-GR"/>
        </w:rPr>
        <w:t>μακροπρόθεσμη πιστοληπτική</w:t>
      </w:r>
      <w:r w:rsidR="00E1674C" w:rsidRPr="007246A9">
        <w:rPr>
          <w:rFonts w:ascii="Arial" w:hAnsi="Arial" w:cs="Arial"/>
          <w:sz w:val="18"/>
          <w:szCs w:val="20"/>
          <w:lang w:val="el-GR"/>
        </w:rPr>
        <w:t xml:space="preserve"> αξιολόγηση της Τράπεζας σε </w:t>
      </w:r>
      <w:proofErr w:type="spellStart"/>
      <w:r w:rsidR="00E1674C" w:rsidRPr="007246A9">
        <w:rPr>
          <w:rFonts w:ascii="Arial" w:hAnsi="Arial" w:cs="Arial"/>
          <w:b/>
          <w:bCs/>
          <w:sz w:val="18"/>
          <w:szCs w:val="18"/>
          <w:lang w:val="el-GR"/>
        </w:rPr>
        <w:t>Ba</w:t>
      </w:r>
      <w:proofErr w:type="spellEnd"/>
      <w:r w:rsidR="00E1674C" w:rsidRPr="007246A9">
        <w:rPr>
          <w:rFonts w:ascii="Arial" w:hAnsi="Arial" w:cs="Arial"/>
          <w:b/>
          <w:bCs/>
          <w:sz w:val="18"/>
          <w:szCs w:val="18"/>
          <w:lang w:val="en-US"/>
        </w:rPr>
        <w:t>a</w:t>
      </w:r>
      <w:r w:rsidR="00E1674C" w:rsidRPr="007246A9">
        <w:rPr>
          <w:rFonts w:ascii="Arial" w:hAnsi="Arial" w:cs="Arial"/>
          <w:b/>
          <w:bCs/>
          <w:sz w:val="18"/>
          <w:szCs w:val="18"/>
          <w:lang w:val="el-GR"/>
        </w:rPr>
        <w:t>1</w:t>
      </w:r>
      <w:r w:rsidR="00E1674C" w:rsidRPr="007246A9">
        <w:rPr>
          <w:rFonts w:ascii="Arial" w:hAnsi="Arial" w:cs="Arial"/>
          <w:sz w:val="18"/>
          <w:szCs w:val="18"/>
          <w:lang w:val="el-GR"/>
        </w:rPr>
        <w:t xml:space="preserve"> από </w:t>
      </w:r>
      <w:proofErr w:type="spellStart"/>
      <w:r w:rsidR="00E1674C" w:rsidRPr="007246A9">
        <w:rPr>
          <w:rFonts w:ascii="Arial" w:hAnsi="Arial" w:cs="Arial"/>
          <w:b/>
          <w:bCs/>
          <w:sz w:val="18"/>
          <w:szCs w:val="18"/>
          <w:lang w:val="el-GR"/>
        </w:rPr>
        <w:t>Ba</w:t>
      </w:r>
      <w:proofErr w:type="spellEnd"/>
      <w:r w:rsidR="00E1674C" w:rsidRPr="007246A9">
        <w:rPr>
          <w:rFonts w:ascii="Arial" w:hAnsi="Arial" w:cs="Arial"/>
          <w:b/>
          <w:bCs/>
          <w:sz w:val="18"/>
          <w:szCs w:val="18"/>
          <w:lang w:val="en-US"/>
        </w:rPr>
        <w:t>a</w:t>
      </w:r>
      <w:r w:rsidR="00E1674C" w:rsidRPr="007246A9">
        <w:rPr>
          <w:rFonts w:ascii="Arial" w:hAnsi="Arial" w:cs="Arial"/>
          <w:b/>
          <w:bCs/>
          <w:sz w:val="18"/>
          <w:szCs w:val="18"/>
          <w:lang w:val="el-GR"/>
        </w:rPr>
        <w:t>3</w:t>
      </w:r>
      <w:r w:rsidR="00E1674C" w:rsidRPr="007246A9">
        <w:rPr>
          <w:rFonts w:ascii="Arial" w:hAnsi="Arial" w:cs="Arial"/>
          <w:sz w:val="18"/>
          <w:szCs w:val="18"/>
          <w:lang w:val="el-GR"/>
        </w:rPr>
        <w:t xml:space="preserve"> και αναθεώρησε την προοπτική σε σταθερή. Η αναβάθμιση κατά δύο βαθμίδες αντικατοπτρίζει </w:t>
      </w:r>
      <w:r w:rsidR="00826F6C" w:rsidRPr="007246A9">
        <w:rPr>
          <w:rFonts w:ascii="Arial" w:hAnsi="Arial" w:cs="Arial"/>
          <w:sz w:val="18"/>
          <w:szCs w:val="18"/>
          <w:lang w:val="el-GR"/>
        </w:rPr>
        <w:t xml:space="preserve">τη συνεχή βελτίωση του προφίλ φερεγγυότητας της Τράπεζας, την αυξημένη προστασία που παρέχεται στους καταθέτες της </w:t>
      </w:r>
      <w:r w:rsidR="00914744" w:rsidRPr="007246A9">
        <w:rPr>
          <w:rFonts w:ascii="Arial" w:hAnsi="Arial" w:cs="Arial"/>
          <w:sz w:val="18"/>
          <w:szCs w:val="18"/>
          <w:lang w:val="en-US"/>
        </w:rPr>
        <w:t>T</w:t>
      </w:r>
      <w:proofErr w:type="spellStart"/>
      <w:r w:rsidR="00826F6C" w:rsidRPr="007246A9">
        <w:rPr>
          <w:rFonts w:ascii="Arial" w:hAnsi="Arial" w:cs="Arial"/>
          <w:sz w:val="18"/>
          <w:szCs w:val="18"/>
          <w:lang w:val="el-GR"/>
        </w:rPr>
        <w:t>ράπεζας</w:t>
      </w:r>
      <w:proofErr w:type="spellEnd"/>
      <w:r w:rsidR="00826F6C" w:rsidRPr="007246A9">
        <w:rPr>
          <w:rFonts w:ascii="Arial" w:hAnsi="Arial" w:cs="Arial"/>
          <w:sz w:val="18"/>
          <w:szCs w:val="18"/>
          <w:lang w:val="el-GR"/>
        </w:rPr>
        <w:t xml:space="preserve"> καθώς και την ισχυρή κεφαλαιακή της θέση.</w:t>
      </w:r>
      <w:r w:rsidR="00CD557B" w:rsidRPr="007246A9">
        <w:rPr>
          <w:rFonts w:ascii="Arial" w:hAnsi="Arial" w:cs="Arial"/>
          <w:sz w:val="18"/>
          <w:szCs w:val="18"/>
          <w:lang w:val="el-GR"/>
        </w:rPr>
        <w:t xml:space="preserve"> </w:t>
      </w:r>
      <w:r w:rsidR="00CD557B" w:rsidRPr="007246A9">
        <w:rPr>
          <w:rFonts w:ascii="Arial" w:hAnsi="Arial" w:cs="Arial"/>
          <w:b/>
          <w:bCs/>
          <w:sz w:val="18"/>
          <w:szCs w:val="18"/>
          <w:lang w:val="el-GR"/>
        </w:rPr>
        <w:t>Αυτή είναι η υψηλότερη μακροπρόθεσμη πιστοληπτική</w:t>
      </w:r>
      <w:r w:rsidR="00914744" w:rsidRPr="007246A9">
        <w:rPr>
          <w:rFonts w:ascii="Arial" w:hAnsi="Arial" w:cs="Arial"/>
          <w:b/>
          <w:bCs/>
          <w:sz w:val="18"/>
          <w:szCs w:val="18"/>
          <w:lang w:val="el-GR"/>
        </w:rPr>
        <w:t xml:space="preserve"> αξιολόγηση</w:t>
      </w:r>
      <w:r w:rsidR="00CD557B" w:rsidRPr="007246A9">
        <w:rPr>
          <w:rFonts w:ascii="Arial" w:hAnsi="Arial" w:cs="Arial"/>
          <w:b/>
          <w:bCs/>
          <w:sz w:val="18"/>
          <w:szCs w:val="18"/>
          <w:lang w:val="el-GR"/>
        </w:rPr>
        <w:t xml:space="preserve"> της Τράπεζας από το 2011</w:t>
      </w:r>
      <w:r w:rsidR="00CD557B" w:rsidRPr="007246A9">
        <w:rPr>
          <w:rFonts w:ascii="Arial" w:hAnsi="Arial" w:cs="Arial"/>
          <w:sz w:val="18"/>
          <w:szCs w:val="18"/>
          <w:lang w:val="el-GR"/>
        </w:rPr>
        <w:t>.</w:t>
      </w:r>
      <w:r w:rsidR="006A5313" w:rsidRPr="007246A9">
        <w:rPr>
          <w:rFonts w:ascii="Arial" w:hAnsi="Arial" w:cs="Arial"/>
          <w:sz w:val="18"/>
          <w:szCs w:val="18"/>
          <w:lang w:val="el-GR"/>
        </w:rPr>
        <w:t xml:space="preserve"> </w:t>
      </w:r>
      <w:r w:rsidR="00826F6C" w:rsidRPr="007246A9">
        <w:rPr>
          <w:rFonts w:ascii="Arial" w:hAnsi="Arial" w:cs="Arial"/>
          <w:sz w:val="18"/>
          <w:szCs w:val="18"/>
          <w:lang w:val="el-GR"/>
        </w:rPr>
        <w:t>Η σταθερή προοπτική εξισορροπεί τις πιθανές περεταίρω βελτιώσεις της ποιότητας του δανειακού χαρτοφυλακίου έναντι των χαμηλότερων, ομαλοποιημένων δεικτών κερδοφορίας, το</w:t>
      </w:r>
      <w:r w:rsidR="00AE667D" w:rsidRPr="007246A9">
        <w:rPr>
          <w:rFonts w:ascii="Arial" w:hAnsi="Arial" w:cs="Arial"/>
          <w:sz w:val="18"/>
          <w:szCs w:val="18"/>
          <w:lang w:val="el-GR"/>
        </w:rPr>
        <w:t xml:space="preserve"> </w:t>
      </w:r>
      <w:r w:rsidR="00826F6C" w:rsidRPr="007246A9">
        <w:rPr>
          <w:rFonts w:ascii="Arial" w:hAnsi="Arial" w:cs="Arial"/>
          <w:sz w:val="18"/>
          <w:szCs w:val="18"/>
          <w:lang w:val="el-GR"/>
        </w:rPr>
        <w:t xml:space="preserve">σταθερό λειτουργικό περιβάλλον, καθώς και τους σταθερούς δείκτες χρηματοδότησης, ρευστότητας και κεφαλαίου. </w:t>
      </w:r>
      <w:r w:rsidR="00AE667D" w:rsidRPr="007246A9">
        <w:rPr>
          <w:rFonts w:ascii="Arial" w:hAnsi="Arial" w:cs="Arial"/>
          <w:sz w:val="18"/>
          <w:szCs w:val="18"/>
          <w:lang w:val="el-GR"/>
        </w:rPr>
        <w:t xml:space="preserve">Επιπρόσθετα, τον Ιούλιο 2024, ο οίκος </w:t>
      </w:r>
      <w:r w:rsidR="00AE667D" w:rsidRPr="007246A9">
        <w:rPr>
          <w:rFonts w:ascii="Arial" w:hAnsi="Arial" w:cs="Arial"/>
          <w:b/>
          <w:bCs/>
          <w:sz w:val="18"/>
          <w:szCs w:val="18"/>
          <w:lang w:val="el-GR"/>
        </w:rPr>
        <w:t>Fitch Ratings</w:t>
      </w:r>
      <w:r w:rsidR="00AE667D" w:rsidRPr="007246A9">
        <w:rPr>
          <w:rFonts w:ascii="Arial" w:hAnsi="Arial" w:cs="Arial"/>
          <w:sz w:val="18"/>
          <w:szCs w:val="18"/>
          <w:lang w:val="el-GR"/>
        </w:rPr>
        <w:t xml:space="preserve"> </w:t>
      </w:r>
      <w:r w:rsidR="00AE667D" w:rsidRPr="007246A9">
        <w:rPr>
          <w:rFonts w:ascii="Arial" w:hAnsi="Arial" w:cs="Arial"/>
          <w:b/>
          <w:bCs/>
          <w:sz w:val="18"/>
          <w:szCs w:val="18"/>
          <w:lang w:val="el-GR"/>
        </w:rPr>
        <w:t>αναβάθμισε</w:t>
      </w:r>
      <w:r w:rsidR="00AE667D" w:rsidRPr="007246A9">
        <w:rPr>
          <w:rFonts w:ascii="Arial" w:hAnsi="Arial" w:cs="Arial"/>
          <w:sz w:val="18"/>
          <w:szCs w:val="18"/>
          <w:lang w:val="el-GR"/>
        </w:rPr>
        <w:t xml:space="preserve"> τη μακροπρόθεσμη αξιολόγηση της Τράπεζας σε Β</w:t>
      </w:r>
      <w:r w:rsidR="00AE667D" w:rsidRPr="007246A9">
        <w:rPr>
          <w:rFonts w:ascii="Arial" w:hAnsi="Arial" w:cs="Arial"/>
          <w:sz w:val="18"/>
          <w:szCs w:val="18"/>
          <w:lang w:val="en-US"/>
        </w:rPr>
        <w:t>B</w:t>
      </w:r>
      <w:r w:rsidR="00AE667D" w:rsidRPr="007246A9">
        <w:rPr>
          <w:rFonts w:ascii="Arial" w:hAnsi="Arial" w:cs="Arial"/>
          <w:sz w:val="18"/>
          <w:szCs w:val="18"/>
          <w:lang w:val="el-GR"/>
        </w:rPr>
        <w:t>+ από B</w:t>
      </w:r>
      <w:r w:rsidR="00AE667D" w:rsidRPr="007246A9">
        <w:rPr>
          <w:rFonts w:ascii="Arial" w:hAnsi="Arial" w:cs="Arial"/>
          <w:sz w:val="18"/>
          <w:szCs w:val="18"/>
          <w:lang w:val="en-US"/>
        </w:rPr>
        <w:t>B</w:t>
      </w:r>
      <w:r w:rsidR="00AE667D" w:rsidRPr="007246A9">
        <w:rPr>
          <w:rFonts w:ascii="Arial" w:hAnsi="Arial" w:cs="Arial"/>
          <w:sz w:val="18"/>
          <w:szCs w:val="18"/>
          <w:lang w:val="el-GR"/>
        </w:rPr>
        <w:t xml:space="preserve">, διατηρώντας παράλληλα τη θετική προοπτική. </w:t>
      </w:r>
      <w:r w:rsidR="00AE667D" w:rsidRPr="007246A9">
        <w:rPr>
          <w:rFonts w:ascii="Arial" w:hAnsi="Arial" w:cs="Arial"/>
          <w:bCs/>
          <w:sz w:val="18"/>
          <w:szCs w:val="18"/>
          <w:lang w:val="el-GR" w:eastAsia="en-US"/>
        </w:rPr>
        <w:t xml:space="preserve">Η αναβάθμιση κατά μία βαθμίδα αντικατοπτρίζει ένα συνδυασμό της βελτιωμένης αξιολόγησης του κυπριακού λειτουργικού περιβάλλοντος από τον οίκο </w:t>
      </w:r>
      <w:r w:rsidR="00AE667D" w:rsidRPr="007246A9">
        <w:rPr>
          <w:rFonts w:ascii="Arial" w:hAnsi="Arial" w:cs="Arial"/>
          <w:sz w:val="18"/>
          <w:szCs w:val="18"/>
          <w:lang w:val="el-GR"/>
        </w:rPr>
        <w:t xml:space="preserve">Fitch Ratings, του μειωμένου χρέους του ιδιωτικού τομέα, της αναμενόμενης συνεχιζόμενής οικονομικής ανάπτυξης, της ενισχυμένης κεφαλαιοποίησής της Τράπεζας, καθώς και του μειωμένου αποθέματος </w:t>
      </w:r>
      <w:r w:rsidR="003401CB">
        <w:rPr>
          <w:rFonts w:ascii="Arial" w:hAnsi="Arial" w:cs="Arial"/>
          <w:sz w:val="18"/>
          <w:szCs w:val="18"/>
          <w:lang w:val="el-GR"/>
        </w:rPr>
        <w:t>περιουσιακών</w:t>
      </w:r>
      <w:r w:rsidR="00AE667D" w:rsidRPr="007246A9">
        <w:rPr>
          <w:rFonts w:ascii="Arial" w:hAnsi="Arial" w:cs="Arial"/>
          <w:sz w:val="18"/>
          <w:szCs w:val="18"/>
          <w:lang w:val="el-GR"/>
        </w:rPr>
        <w:t xml:space="preserve"> στοιχείων </w:t>
      </w:r>
      <w:proofErr w:type="spellStart"/>
      <w:r w:rsidR="003401CB">
        <w:rPr>
          <w:rFonts w:ascii="Arial" w:hAnsi="Arial" w:cs="Arial"/>
          <w:sz w:val="18"/>
          <w:szCs w:val="18"/>
          <w:lang w:val="el-GR"/>
        </w:rPr>
        <w:t>απομόχλευσης</w:t>
      </w:r>
      <w:proofErr w:type="spellEnd"/>
      <w:r w:rsidR="00AE667D" w:rsidRPr="007246A9">
        <w:rPr>
          <w:rFonts w:ascii="Arial" w:hAnsi="Arial" w:cs="Arial"/>
          <w:sz w:val="18"/>
          <w:szCs w:val="18"/>
          <w:lang w:val="el-GR"/>
        </w:rPr>
        <w:t>.</w:t>
      </w:r>
      <w:r w:rsidR="003401CB">
        <w:rPr>
          <w:rFonts w:ascii="Arial" w:hAnsi="Arial" w:cs="Arial"/>
          <w:sz w:val="18"/>
          <w:szCs w:val="18"/>
          <w:lang w:val="el-GR"/>
        </w:rPr>
        <w:t xml:space="preserve"> </w:t>
      </w:r>
      <w:r w:rsidR="00204DBF" w:rsidRPr="007246A9">
        <w:rPr>
          <w:rFonts w:ascii="Arial" w:hAnsi="Arial" w:cs="Arial"/>
          <w:sz w:val="18"/>
          <w:szCs w:val="18"/>
          <w:lang w:val="el-GR"/>
        </w:rPr>
        <w:t xml:space="preserve">Τον </w:t>
      </w:r>
      <w:r w:rsidR="00AE667D" w:rsidRPr="007246A9">
        <w:rPr>
          <w:rFonts w:ascii="Arial" w:hAnsi="Arial" w:cs="Arial"/>
          <w:sz w:val="18"/>
          <w:szCs w:val="18"/>
          <w:lang w:val="el-GR"/>
        </w:rPr>
        <w:t>Ιούνιο 2024</w:t>
      </w:r>
      <w:r w:rsidR="00204DBF" w:rsidRPr="007246A9">
        <w:rPr>
          <w:rFonts w:ascii="Arial" w:hAnsi="Arial" w:cs="Arial"/>
          <w:sz w:val="18"/>
          <w:szCs w:val="18"/>
          <w:lang w:val="el-GR"/>
        </w:rPr>
        <w:t xml:space="preserve">, ο οίκος </w:t>
      </w:r>
      <w:r w:rsidR="00204DBF" w:rsidRPr="007246A9">
        <w:rPr>
          <w:rFonts w:ascii="Arial" w:eastAsia="Times New Roman" w:hAnsi="Arial" w:cs="Arial"/>
          <w:b/>
          <w:bCs/>
          <w:sz w:val="18"/>
          <w:szCs w:val="18"/>
          <w:lang w:eastAsia="en-US"/>
        </w:rPr>
        <w:t>S</w:t>
      </w:r>
      <w:r w:rsidR="00204DBF" w:rsidRPr="007246A9">
        <w:rPr>
          <w:rFonts w:ascii="Arial" w:eastAsia="Times New Roman" w:hAnsi="Arial" w:cs="Arial"/>
          <w:b/>
          <w:bCs/>
          <w:sz w:val="18"/>
          <w:szCs w:val="18"/>
          <w:lang w:val="el-GR" w:eastAsia="en-US"/>
        </w:rPr>
        <w:t>&amp;</w:t>
      </w:r>
      <w:r w:rsidR="00204DBF" w:rsidRPr="007246A9">
        <w:rPr>
          <w:rFonts w:ascii="Arial" w:eastAsia="Times New Roman" w:hAnsi="Arial" w:cs="Arial"/>
          <w:b/>
          <w:bCs/>
          <w:sz w:val="18"/>
          <w:szCs w:val="18"/>
          <w:lang w:eastAsia="en-US"/>
        </w:rPr>
        <w:t>P</w:t>
      </w:r>
      <w:r w:rsidR="00204DBF" w:rsidRPr="007246A9">
        <w:rPr>
          <w:rFonts w:ascii="Arial" w:eastAsia="Times New Roman" w:hAnsi="Arial" w:cs="Arial"/>
          <w:b/>
          <w:bCs/>
          <w:sz w:val="18"/>
          <w:szCs w:val="18"/>
          <w:lang w:val="el-GR" w:eastAsia="en-US"/>
        </w:rPr>
        <w:t xml:space="preserve"> </w:t>
      </w:r>
      <w:r w:rsidR="00204DBF" w:rsidRPr="007246A9">
        <w:rPr>
          <w:rFonts w:ascii="Arial" w:eastAsia="Times New Roman" w:hAnsi="Arial" w:cs="Arial"/>
          <w:b/>
          <w:bCs/>
          <w:sz w:val="18"/>
          <w:szCs w:val="18"/>
          <w:lang w:eastAsia="en-US"/>
        </w:rPr>
        <w:t>Global</w:t>
      </w:r>
      <w:r w:rsidR="00204DBF" w:rsidRPr="007246A9">
        <w:rPr>
          <w:rFonts w:ascii="Arial" w:eastAsia="Times New Roman" w:hAnsi="Arial" w:cs="Arial"/>
          <w:b/>
          <w:bCs/>
          <w:sz w:val="18"/>
          <w:szCs w:val="18"/>
          <w:lang w:val="el-GR" w:eastAsia="en-US"/>
        </w:rPr>
        <w:t xml:space="preserve"> </w:t>
      </w:r>
      <w:r w:rsidR="00204DBF" w:rsidRPr="007246A9">
        <w:rPr>
          <w:rFonts w:ascii="Arial" w:eastAsia="Times New Roman" w:hAnsi="Arial" w:cs="Arial"/>
          <w:b/>
          <w:bCs/>
          <w:sz w:val="18"/>
          <w:szCs w:val="18"/>
          <w:lang w:eastAsia="en-US"/>
        </w:rPr>
        <w:t>Ratings</w:t>
      </w:r>
      <w:r w:rsidR="00204DBF" w:rsidRPr="007246A9">
        <w:rPr>
          <w:rFonts w:ascii="Arial" w:hAnsi="Arial" w:cs="Arial"/>
          <w:sz w:val="18"/>
          <w:szCs w:val="18"/>
          <w:lang w:val="el-GR"/>
        </w:rPr>
        <w:t xml:space="preserve"> </w:t>
      </w:r>
      <w:r w:rsidR="00204DBF" w:rsidRPr="007246A9">
        <w:rPr>
          <w:rFonts w:ascii="Arial" w:hAnsi="Arial" w:cs="Arial"/>
          <w:b/>
          <w:bCs/>
          <w:sz w:val="18"/>
          <w:szCs w:val="18"/>
          <w:lang w:val="el-GR"/>
        </w:rPr>
        <w:t>αναβάθμισε</w:t>
      </w:r>
      <w:r w:rsidR="00204DBF" w:rsidRPr="007246A9">
        <w:rPr>
          <w:rFonts w:ascii="Arial" w:hAnsi="Arial" w:cs="Arial"/>
          <w:sz w:val="18"/>
          <w:szCs w:val="18"/>
          <w:lang w:val="el-GR"/>
        </w:rPr>
        <w:t xml:space="preserve"> τη μακροπρόθεσμη πιστοληπτική ικανότητα της Τράπεζας σε BB</w:t>
      </w:r>
      <w:r w:rsidR="00AE667D" w:rsidRPr="007246A9">
        <w:rPr>
          <w:rFonts w:ascii="Arial" w:hAnsi="Arial" w:cs="Arial"/>
          <w:sz w:val="18"/>
          <w:szCs w:val="18"/>
          <w:lang w:val="el-GR"/>
        </w:rPr>
        <w:t>+</w:t>
      </w:r>
      <w:r w:rsidR="00204DBF" w:rsidRPr="007246A9">
        <w:rPr>
          <w:rFonts w:ascii="Arial" w:hAnsi="Arial" w:cs="Arial"/>
          <w:sz w:val="18"/>
          <w:szCs w:val="18"/>
          <w:lang w:val="el-GR"/>
        </w:rPr>
        <w:t>, διατηρώντας την προοπτική σε θετική.</w:t>
      </w:r>
      <w:r w:rsidR="001446D1" w:rsidRPr="007246A9">
        <w:rPr>
          <w:rFonts w:ascii="Arial" w:hAnsi="Arial" w:cs="Arial"/>
          <w:sz w:val="18"/>
          <w:szCs w:val="18"/>
          <w:lang w:val="el-GR"/>
        </w:rPr>
        <w:t xml:space="preserve"> </w:t>
      </w:r>
      <w:r w:rsidR="00204DBF" w:rsidRPr="007246A9">
        <w:rPr>
          <w:rFonts w:ascii="Arial" w:hAnsi="Arial" w:cs="Arial"/>
          <w:sz w:val="18"/>
          <w:szCs w:val="18"/>
          <w:lang w:val="el-GR"/>
        </w:rPr>
        <w:t xml:space="preserve">Η αναβάθμιση κατά μια βαθμίδα </w:t>
      </w:r>
      <w:r w:rsidR="00533B0F" w:rsidRPr="007246A9">
        <w:rPr>
          <w:rFonts w:ascii="Arial" w:hAnsi="Arial" w:cs="Arial"/>
          <w:sz w:val="18"/>
          <w:szCs w:val="18"/>
          <w:lang w:val="el-GR"/>
        </w:rPr>
        <w:t>οφείλεται στη μείωση των οικονομικών ανισορροπιών, στην ισχυρή κεφαλαιοποίησή της Τράπεζας, στις ευνοϊκές οικονομικές συνθήκες και στην ισχυρή κερδοφορία, που απορρέει από τη βελτιωμένη αποδοτικότητα και τη μειωμένη χρέωση πιστωτικών ζημιών δανείων (</w:t>
      </w:r>
      <w:proofErr w:type="spellStart"/>
      <w:r w:rsidR="00533B0F" w:rsidRPr="007246A9">
        <w:rPr>
          <w:rFonts w:ascii="Arial" w:hAnsi="Arial" w:cs="Arial"/>
          <w:sz w:val="18"/>
          <w:szCs w:val="18"/>
          <w:lang w:val="el-GR"/>
        </w:rPr>
        <w:t>cost</w:t>
      </w:r>
      <w:proofErr w:type="spellEnd"/>
      <w:r w:rsidR="00533B0F" w:rsidRPr="007246A9">
        <w:rPr>
          <w:rFonts w:ascii="Arial" w:hAnsi="Arial" w:cs="Arial"/>
          <w:sz w:val="18"/>
          <w:szCs w:val="18"/>
          <w:lang w:val="el-GR"/>
        </w:rPr>
        <w:t xml:space="preserve"> of </w:t>
      </w:r>
      <w:proofErr w:type="spellStart"/>
      <w:r w:rsidR="00533B0F" w:rsidRPr="007246A9">
        <w:rPr>
          <w:rFonts w:ascii="Arial" w:hAnsi="Arial" w:cs="Arial"/>
          <w:sz w:val="18"/>
          <w:szCs w:val="18"/>
          <w:lang w:val="el-GR"/>
        </w:rPr>
        <w:t>risk</w:t>
      </w:r>
      <w:proofErr w:type="spellEnd"/>
      <w:r w:rsidR="00533B0F" w:rsidRPr="007246A9">
        <w:rPr>
          <w:rFonts w:ascii="Arial" w:hAnsi="Arial" w:cs="Arial"/>
          <w:sz w:val="18"/>
          <w:szCs w:val="18"/>
          <w:lang w:val="el-GR"/>
        </w:rPr>
        <w:t>).</w:t>
      </w:r>
      <w:r w:rsidR="00533B0F" w:rsidRPr="007246A9">
        <w:rPr>
          <w:lang w:val="el-GR"/>
        </w:rPr>
        <w:t xml:space="preserve"> </w:t>
      </w:r>
    </w:p>
    <w:p w14:paraId="50C55D0C" w14:textId="77777777" w:rsidR="00CE36EC" w:rsidRPr="00D41B36" w:rsidRDefault="00CE36EC" w:rsidP="00CE36EC">
      <w:pPr>
        <w:spacing w:after="0" w:line="240" w:lineRule="auto"/>
        <w:jc w:val="both"/>
        <w:rPr>
          <w:rFonts w:ascii="Arial" w:hAnsi="Arial" w:cs="Arial"/>
          <w:bCs/>
          <w:sz w:val="14"/>
          <w:szCs w:val="14"/>
          <w:highlight w:val="yellow"/>
          <w:lang w:val="el-GR"/>
        </w:rPr>
      </w:pPr>
    </w:p>
    <w:p w14:paraId="4D34A164" w14:textId="72559A99" w:rsidR="006C64C2" w:rsidRPr="00502B4F" w:rsidRDefault="006C64C2" w:rsidP="006C64C2">
      <w:pPr>
        <w:spacing w:after="0" w:line="360" w:lineRule="auto"/>
        <w:jc w:val="both"/>
        <w:rPr>
          <w:rFonts w:ascii="Arial" w:hAnsi="Arial" w:cs="Arial"/>
          <w:sz w:val="18"/>
          <w:lang w:val="el-GR"/>
        </w:rPr>
      </w:pPr>
      <w:r w:rsidRPr="00502B4F">
        <w:rPr>
          <w:rFonts w:ascii="Arial" w:hAnsi="Arial" w:cs="Arial"/>
          <w:b/>
          <w:color w:val="FF9900"/>
          <w:szCs w:val="20"/>
          <w:lang w:val="el-GR"/>
        </w:rPr>
        <w:t xml:space="preserve">Χρηματοοικονομική </w:t>
      </w:r>
      <w:r w:rsidR="003401CB" w:rsidRPr="00502B4F">
        <w:rPr>
          <w:rFonts w:ascii="Arial" w:hAnsi="Arial" w:cs="Arial"/>
          <w:b/>
          <w:color w:val="FF9900"/>
          <w:szCs w:val="20"/>
          <w:lang w:val="el-GR"/>
        </w:rPr>
        <w:t>ε</w:t>
      </w:r>
      <w:r w:rsidRPr="00502B4F">
        <w:rPr>
          <w:rFonts w:ascii="Arial" w:hAnsi="Arial" w:cs="Arial"/>
          <w:b/>
          <w:color w:val="FF9900"/>
          <w:szCs w:val="20"/>
          <w:lang w:val="el-GR"/>
        </w:rPr>
        <w:t>πίδοση</w:t>
      </w:r>
    </w:p>
    <w:p w14:paraId="38E3AB32" w14:textId="171D212D" w:rsidR="006C64C2" w:rsidRPr="00D41B36" w:rsidRDefault="006C64C2" w:rsidP="00232938">
      <w:pPr>
        <w:spacing w:after="0" w:line="240" w:lineRule="auto"/>
        <w:jc w:val="both"/>
        <w:rPr>
          <w:rFonts w:ascii="Arial" w:hAnsi="Arial" w:cs="Arial"/>
          <w:sz w:val="18"/>
          <w:highlight w:val="yellow"/>
          <w:lang w:val="el-GR"/>
        </w:rPr>
      </w:pPr>
      <w:r w:rsidRPr="00502B4F">
        <w:rPr>
          <w:rFonts w:ascii="Arial" w:hAnsi="Arial" w:cs="Arial"/>
          <w:sz w:val="18"/>
          <w:lang w:val="el-GR"/>
        </w:rPr>
        <w:t xml:space="preserve">Το Συγκρότημα ηγείται ως χρηματοοικονομικός και τεχνολογικός οργανισμός στην Κύπρο. Κατά το </w:t>
      </w:r>
      <w:r w:rsidR="007A2F9B">
        <w:rPr>
          <w:rFonts w:ascii="Arial" w:hAnsi="Arial" w:cs="Arial"/>
          <w:sz w:val="18"/>
          <w:lang w:val="el-GR"/>
        </w:rPr>
        <w:t>εννεάμηνο</w:t>
      </w:r>
      <w:r w:rsidR="00122C96" w:rsidRPr="00502B4F">
        <w:rPr>
          <w:rFonts w:ascii="Arial" w:hAnsi="Arial" w:cs="Arial"/>
          <w:sz w:val="18"/>
          <w:lang w:val="el-GR"/>
        </w:rPr>
        <w:t xml:space="preserve"> </w:t>
      </w:r>
      <w:r w:rsidRPr="00502B4F">
        <w:rPr>
          <w:rFonts w:ascii="Arial" w:hAnsi="Arial" w:cs="Arial"/>
          <w:sz w:val="18"/>
          <w:lang w:val="el-GR"/>
        </w:rPr>
        <w:t xml:space="preserve">που έληξε στις </w:t>
      </w:r>
      <w:r w:rsidR="00981563" w:rsidRPr="00502B4F">
        <w:rPr>
          <w:rFonts w:ascii="Arial" w:hAnsi="Arial" w:cs="Arial"/>
          <w:sz w:val="18"/>
          <w:lang w:val="el-GR"/>
        </w:rPr>
        <w:t xml:space="preserve">30 </w:t>
      </w:r>
      <w:r w:rsidR="00122C96" w:rsidRPr="00502B4F">
        <w:rPr>
          <w:rFonts w:ascii="Arial" w:hAnsi="Arial" w:cs="Arial"/>
          <w:sz w:val="18"/>
          <w:lang w:val="el-GR"/>
        </w:rPr>
        <w:t xml:space="preserve">Σεπτεμβρίου </w:t>
      </w:r>
      <w:r w:rsidR="008C0C3E" w:rsidRPr="00502B4F">
        <w:rPr>
          <w:rFonts w:ascii="Arial" w:hAnsi="Arial" w:cs="Arial"/>
          <w:sz w:val="18"/>
          <w:lang w:val="el-GR"/>
        </w:rPr>
        <w:t>2024</w:t>
      </w:r>
      <w:r w:rsidRPr="00502B4F">
        <w:rPr>
          <w:rFonts w:ascii="Arial" w:hAnsi="Arial" w:cs="Arial"/>
          <w:sz w:val="18"/>
          <w:lang w:val="el-GR"/>
        </w:rPr>
        <w:t xml:space="preserve">, το Συγκρότημα </w:t>
      </w:r>
      <w:r w:rsidR="008C0C3E" w:rsidRPr="00502B4F">
        <w:rPr>
          <w:rFonts w:ascii="Arial" w:hAnsi="Arial" w:cs="Arial"/>
          <w:sz w:val="18"/>
          <w:lang w:val="el-GR"/>
        </w:rPr>
        <w:t>κατέγραψε κέρδη μετά τη φορολογία ύψους €</w:t>
      </w:r>
      <w:r w:rsidR="00122C96" w:rsidRPr="00502B4F">
        <w:rPr>
          <w:rFonts w:ascii="Arial" w:hAnsi="Arial" w:cs="Arial"/>
          <w:sz w:val="18"/>
          <w:lang w:val="el-GR"/>
        </w:rPr>
        <w:t xml:space="preserve">401 </w:t>
      </w:r>
      <w:r w:rsidR="008C0C3E" w:rsidRPr="00502B4F">
        <w:rPr>
          <w:rFonts w:ascii="Arial" w:hAnsi="Arial" w:cs="Arial"/>
          <w:sz w:val="18"/>
          <w:lang w:val="el-GR"/>
        </w:rPr>
        <w:t>εκατ</w:t>
      </w:r>
      <w:r w:rsidR="00981563" w:rsidRPr="00502B4F">
        <w:rPr>
          <w:rFonts w:ascii="Arial" w:hAnsi="Arial" w:cs="Arial"/>
          <w:sz w:val="18"/>
          <w:lang w:val="el-GR"/>
        </w:rPr>
        <w:t>.</w:t>
      </w:r>
      <w:r w:rsidR="008C0C3E" w:rsidRPr="00502B4F">
        <w:rPr>
          <w:rFonts w:ascii="Arial" w:hAnsi="Arial" w:cs="Arial"/>
          <w:sz w:val="18"/>
          <w:lang w:val="el-GR"/>
        </w:rPr>
        <w:t>,</w:t>
      </w:r>
      <w:r w:rsidR="00CE0D3A">
        <w:rPr>
          <w:rFonts w:ascii="Arial" w:hAnsi="Arial" w:cs="Arial"/>
          <w:sz w:val="18"/>
          <w:lang w:val="el-GR"/>
        </w:rPr>
        <w:t xml:space="preserve"> </w:t>
      </w:r>
      <w:r w:rsidR="00122C96" w:rsidRPr="00502B4F">
        <w:rPr>
          <w:rFonts w:ascii="Arial" w:hAnsi="Arial" w:cs="Arial"/>
          <w:sz w:val="18"/>
          <w:lang w:val="el-GR"/>
        </w:rPr>
        <w:t xml:space="preserve">αυξημένα κατά 15% σε σύγκριση με το αντίστοιχο </w:t>
      </w:r>
      <w:r w:rsidR="007A2F9B">
        <w:rPr>
          <w:rFonts w:ascii="Arial" w:hAnsi="Arial" w:cs="Arial"/>
          <w:sz w:val="18"/>
          <w:lang w:val="el-GR"/>
        </w:rPr>
        <w:t>εννεάμηνο</w:t>
      </w:r>
      <w:r w:rsidR="00122C96" w:rsidRPr="00502B4F">
        <w:rPr>
          <w:rFonts w:ascii="Arial" w:hAnsi="Arial" w:cs="Arial"/>
          <w:sz w:val="18"/>
          <w:lang w:val="el-GR"/>
        </w:rPr>
        <w:t xml:space="preserve"> του 2023.</w:t>
      </w:r>
      <w:r w:rsidR="00CE0D3A">
        <w:rPr>
          <w:rFonts w:ascii="Arial" w:hAnsi="Arial" w:cs="Arial"/>
          <w:sz w:val="18"/>
          <w:lang w:val="el-GR"/>
        </w:rPr>
        <w:t xml:space="preserve"> </w:t>
      </w:r>
      <w:r w:rsidR="00122C96" w:rsidRPr="00CE0D3A">
        <w:rPr>
          <w:rFonts w:ascii="Arial" w:hAnsi="Arial" w:cs="Arial"/>
          <w:sz w:val="18"/>
          <w:lang w:val="el-GR"/>
        </w:rPr>
        <w:t>Αυτά</w:t>
      </w:r>
      <w:r w:rsidR="00CE0D3A" w:rsidRPr="00CE0D3A">
        <w:rPr>
          <w:rFonts w:ascii="Arial" w:hAnsi="Arial" w:cs="Arial"/>
          <w:sz w:val="18"/>
          <w:lang w:val="el-GR"/>
        </w:rPr>
        <w:t xml:space="preserve">, </w:t>
      </w:r>
      <w:r w:rsidR="00E02741" w:rsidRPr="00502B4F">
        <w:rPr>
          <w:rFonts w:ascii="Arial" w:hAnsi="Arial" w:cs="Arial"/>
          <w:sz w:val="18"/>
          <w:lang w:val="el-GR"/>
        </w:rPr>
        <w:t xml:space="preserve">ισοδυναμούν </w:t>
      </w:r>
      <w:r w:rsidR="008C0C3E" w:rsidRPr="00502B4F">
        <w:rPr>
          <w:rFonts w:ascii="Arial" w:hAnsi="Arial" w:cs="Arial"/>
          <w:sz w:val="18"/>
          <w:lang w:val="el-GR"/>
        </w:rPr>
        <w:t xml:space="preserve">σε </w:t>
      </w:r>
      <w:r w:rsidR="00C1611E">
        <w:rPr>
          <w:rFonts w:ascii="Arial" w:hAnsi="Arial" w:cs="Arial"/>
          <w:sz w:val="18"/>
          <w:lang w:val="el-GR"/>
        </w:rPr>
        <w:t xml:space="preserve">ισχυρή </w:t>
      </w:r>
      <w:r w:rsidRPr="00502B4F">
        <w:rPr>
          <w:rFonts w:ascii="Arial" w:hAnsi="Arial" w:cs="Arial"/>
          <w:sz w:val="18"/>
          <w:lang w:val="el-GR"/>
        </w:rPr>
        <w:t>Απόδοση Ενσώματων Ιδίων Κεφαλαίων (ROTE) ύψους</w:t>
      </w:r>
      <w:r w:rsidR="00122C96" w:rsidRPr="00502B4F">
        <w:rPr>
          <w:rFonts w:ascii="Arial" w:hAnsi="Arial" w:cs="Arial"/>
          <w:sz w:val="18"/>
          <w:lang w:val="el-GR"/>
        </w:rPr>
        <w:t xml:space="preserve"> περίπου 23</w:t>
      </w:r>
      <w:r w:rsidRPr="00502B4F">
        <w:rPr>
          <w:rFonts w:ascii="Arial" w:hAnsi="Arial" w:cs="Arial"/>
          <w:sz w:val="18"/>
          <w:lang w:val="el-GR"/>
        </w:rPr>
        <w:t>%,</w:t>
      </w:r>
      <w:r w:rsidR="00CE0D3A" w:rsidRPr="00502B4F">
        <w:rPr>
          <w:rFonts w:ascii="Arial" w:hAnsi="Arial" w:cs="Arial"/>
          <w:sz w:val="18"/>
          <w:lang w:val="el-GR"/>
        </w:rPr>
        <w:t xml:space="preserve"> αποδεικνύοντας πως το Συγκρότημα βρίσκετε σε καλή πορεία για επίτευξη του στόχου </w:t>
      </w:r>
      <w:r w:rsidR="00CE0D3A" w:rsidRPr="00CE0D3A">
        <w:rPr>
          <w:rFonts w:ascii="Arial" w:hAnsi="Arial" w:cs="Arial"/>
          <w:sz w:val="18"/>
          <w:lang w:val="el-GR"/>
        </w:rPr>
        <w:t xml:space="preserve">που έθεσε για το 2024, </w:t>
      </w:r>
      <w:r w:rsidR="00CE0D3A" w:rsidRPr="00502B4F">
        <w:rPr>
          <w:rFonts w:ascii="Arial" w:hAnsi="Arial" w:cs="Arial"/>
          <w:sz w:val="18"/>
          <w:lang w:val="el-GR"/>
        </w:rPr>
        <w:t>για Απόδοση Ενσώματων Ιδίων Κεφαλαίων μεγαλύτερη από 19%</w:t>
      </w:r>
      <w:r w:rsidR="00CE0D3A" w:rsidRPr="00CE0D3A">
        <w:rPr>
          <w:rFonts w:ascii="Arial" w:hAnsi="Arial" w:cs="Arial"/>
          <w:sz w:val="18"/>
          <w:lang w:val="el-GR"/>
        </w:rPr>
        <w:t>.</w:t>
      </w:r>
      <w:r w:rsidR="00CE0D3A" w:rsidRPr="00502B4F">
        <w:rPr>
          <w:rFonts w:ascii="Arial" w:hAnsi="Arial" w:cs="Arial"/>
          <w:sz w:val="18"/>
          <w:lang w:val="el-GR"/>
        </w:rPr>
        <w:t xml:space="preserve"> Η επίδοση </w:t>
      </w:r>
      <w:r w:rsidR="00981563" w:rsidRPr="00502B4F">
        <w:rPr>
          <w:rFonts w:ascii="Arial" w:hAnsi="Arial" w:cs="Arial"/>
          <w:sz w:val="18"/>
          <w:lang w:val="el-GR"/>
        </w:rPr>
        <w:t>αυτή</w:t>
      </w:r>
      <w:r w:rsidR="00CE0D3A" w:rsidRPr="00502B4F">
        <w:rPr>
          <w:rFonts w:ascii="Arial" w:hAnsi="Arial" w:cs="Arial"/>
          <w:sz w:val="18"/>
          <w:lang w:val="el-GR"/>
        </w:rPr>
        <w:t xml:space="preserve"> </w:t>
      </w:r>
      <w:r w:rsidR="003A1A0F" w:rsidRPr="00502B4F">
        <w:rPr>
          <w:rFonts w:ascii="Arial" w:hAnsi="Arial" w:cs="Arial"/>
          <w:sz w:val="18"/>
          <w:lang w:val="el-GR"/>
        </w:rPr>
        <w:t xml:space="preserve">τροφοδοτεί την </w:t>
      </w:r>
      <w:r w:rsidR="00370C3C" w:rsidRPr="00502B4F">
        <w:rPr>
          <w:rFonts w:ascii="Arial" w:hAnsi="Arial" w:cs="Arial"/>
          <w:sz w:val="18"/>
          <w:lang w:val="el-GR"/>
        </w:rPr>
        <w:t>ισχυρή</w:t>
      </w:r>
      <w:r w:rsidR="003A1A0F" w:rsidRPr="00502B4F">
        <w:rPr>
          <w:rFonts w:ascii="Arial" w:hAnsi="Arial" w:cs="Arial"/>
          <w:sz w:val="18"/>
          <w:lang w:val="el-GR"/>
        </w:rPr>
        <w:t xml:space="preserve"> </w:t>
      </w:r>
      <w:r w:rsidR="00370C3C" w:rsidRPr="00502B4F">
        <w:rPr>
          <w:rFonts w:ascii="Arial" w:hAnsi="Arial" w:cs="Arial"/>
          <w:sz w:val="18"/>
          <w:lang w:val="el-GR"/>
        </w:rPr>
        <w:t>αύξηση</w:t>
      </w:r>
      <w:r w:rsidR="003A1A0F" w:rsidRPr="00502B4F">
        <w:rPr>
          <w:rFonts w:ascii="Arial" w:hAnsi="Arial" w:cs="Arial"/>
          <w:sz w:val="18"/>
          <w:lang w:val="el-GR"/>
        </w:rPr>
        <w:t xml:space="preserve"> της ενσώματης λογιστικής αξίας</w:t>
      </w:r>
      <w:r w:rsidR="00370C3C" w:rsidRPr="00502B4F">
        <w:rPr>
          <w:rFonts w:ascii="Arial" w:hAnsi="Arial" w:cs="Arial"/>
          <w:sz w:val="18"/>
          <w:lang w:val="el-GR"/>
        </w:rPr>
        <w:t xml:space="preserve"> ανά μετοχή </w:t>
      </w:r>
      <w:r w:rsidR="003A1A0F" w:rsidRPr="00502B4F">
        <w:rPr>
          <w:rFonts w:ascii="Arial" w:hAnsi="Arial" w:cs="Arial"/>
          <w:sz w:val="18"/>
          <w:lang w:val="el-GR"/>
        </w:rPr>
        <w:t>του Συγκροτήματος.</w:t>
      </w:r>
      <w:r w:rsidR="00370C3C" w:rsidRPr="00502B4F">
        <w:rPr>
          <w:rFonts w:ascii="Arial" w:hAnsi="Arial" w:cs="Arial"/>
          <w:sz w:val="18"/>
          <w:lang w:val="el-GR"/>
        </w:rPr>
        <w:t xml:space="preserve"> Από τον </w:t>
      </w:r>
      <w:r w:rsidR="00CE0D3A" w:rsidRPr="00502B4F">
        <w:rPr>
          <w:rFonts w:ascii="Arial" w:hAnsi="Arial" w:cs="Arial"/>
          <w:sz w:val="18"/>
          <w:lang w:val="el-GR"/>
        </w:rPr>
        <w:t xml:space="preserve">Σεπτέμβριο </w:t>
      </w:r>
      <w:r w:rsidR="00370C3C" w:rsidRPr="00502B4F">
        <w:rPr>
          <w:rFonts w:ascii="Arial" w:hAnsi="Arial" w:cs="Arial"/>
          <w:sz w:val="18"/>
          <w:lang w:val="el-GR"/>
        </w:rPr>
        <w:t>2023, η</w:t>
      </w:r>
      <w:r w:rsidRPr="00502B4F">
        <w:rPr>
          <w:rFonts w:ascii="Arial" w:hAnsi="Arial" w:cs="Arial"/>
          <w:sz w:val="18"/>
          <w:lang w:val="el-GR"/>
        </w:rPr>
        <w:t xml:space="preserve"> ενσώματη λογιστική αξία ανά μετοχή του Συγκροτήματος βελτιώθηκε κατά </w:t>
      </w:r>
      <w:r w:rsidR="00CE0D3A" w:rsidRPr="00502B4F">
        <w:rPr>
          <w:rFonts w:ascii="Arial" w:hAnsi="Arial" w:cs="Arial"/>
          <w:sz w:val="18"/>
          <w:lang w:val="el-GR"/>
        </w:rPr>
        <w:t>20</w:t>
      </w:r>
      <w:r w:rsidRPr="00502B4F">
        <w:rPr>
          <w:rFonts w:ascii="Arial" w:hAnsi="Arial" w:cs="Arial"/>
          <w:sz w:val="18"/>
          <w:lang w:val="el-GR"/>
        </w:rPr>
        <w:t>%, σε €</w:t>
      </w:r>
      <w:bookmarkStart w:id="33" w:name="_Hlk173498910"/>
      <w:r w:rsidR="008108E0" w:rsidRPr="00502B4F">
        <w:rPr>
          <w:rFonts w:ascii="Arial" w:hAnsi="Arial" w:cs="Arial"/>
          <w:sz w:val="18"/>
          <w:lang w:val="el-GR"/>
        </w:rPr>
        <w:t>5</w:t>
      </w:r>
      <w:r w:rsidRPr="00502B4F">
        <w:rPr>
          <w:rFonts w:ascii="Arial" w:hAnsi="Arial" w:cs="Arial"/>
          <w:sz w:val="18"/>
          <w:lang w:val="el-GR"/>
        </w:rPr>
        <w:t>.</w:t>
      </w:r>
      <w:bookmarkEnd w:id="33"/>
      <w:r w:rsidR="00CE0D3A" w:rsidRPr="00502B4F">
        <w:rPr>
          <w:rFonts w:ascii="Arial" w:hAnsi="Arial" w:cs="Arial"/>
          <w:sz w:val="18"/>
          <w:lang w:val="el-GR"/>
        </w:rPr>
        <w:t>56</w:t>
      </w:r>
      <w:r w:rsidR="00370C3C" w:rsidRPr="00502B4F">
        <w:rPr>
          <w:rFonts w:ascii="Arial" w:hAnsi="Arial" w:cs="Arial"/>
          <w:sz w:val="18"/>
          <w:lang w:val="el-GR"/>
        </w:rPr>
        <w:t>, επιταχύνοντας τη δημιουργία αξίας για τους μετόχους.</w:t>
      </w:r>
      <w:r w:rsidR="00CE0D3A">
        <w:rPr>
          <w:rFonts w:ascii="Arial" w:hAnsi="Arial" w:cs="Arial"/>
          <w:sz w:val="18"/>
          <w:lang w:val="el-GR"/>
        </w:rPr>
        <w:t xml:space="preserve"> Ως αποτέλεσμα, το Συγκρότημα</w:t>
      </w:r>
      <w:r w:rsidR="00CE0D3A" w:rsidRPr="00502B4F">
        <w:rPr>
          <w:rFonts w:ascii="Arial" w:hAnsi="Arial" w:cs="Arial"/>
          <w:sz w:val="18"/>
          <w:lang w:val="el-GR"/>
        </w:rPr>
        <w:t xml:space="preserve"> </w:t>
      </w:r>
      <w:r w:rsidR="00CE0D3A" w:rsidRPr="00502B4F">
        <w:rPr>
          <w:rFonts w:ascii="Arial" w:hAnsi="Arial" w:cs="Arial"/>
          <w:bCs/>
          <w:sz w:val="18"/>
          <w:szCs w:val="28"/>
          <w:lang w:val="el-GR"/>
        </w:rPr>
        <w:t xml:space="preserve">για το 2024 επιδιώκει να κινηθεί ως προς το </w:t>
      </w:r>
      <w:r w:rsidR="003A687C">
        <w:rPr>
          <w:rFonts w:ascii="Arial" w:hAnsi="Arial" w:cs="Arial"/>
          <w:bCs/>
          <w:sz w:val="18"/>
          <w:szCs w:val="28"/>
          <w:lang w:val="el-GR"/>
        </w:rPr>
        <w:t>ανώτατο</w:t>
      </w:r>
      <w:r w:rsidR="00CE0D3A" w:rsidRPr="00502B4F">
        <w:rPr>
          <w:rFonts w:ascii="Arial" w:hAnsi="Arial" w:cs="Arial"/>
          <w:bCs/>
          <w:sz w:val="18"/>
          <w:szCs w:val="28"/>
          <w:lang w:val="el-GR"/>
        </w:rPr>
        <w:t xml:space="preserve"> </w:t>
      </w:r>
      <w:r w:rsidR="003A687C">
        <w:rPr>
          <w:rFonts w:ascii="Arial" w:hAnsi="Arial" w:cs="Arial"/>
          <w:bCs/>
          <w:sz w:val="18"/>
          <w:szCs w:val="28"/>
          <w:lang w:val="el-GR"/>
        </w:rPr>
        <w:t>όριο</w:t>
      </w:r>
      <w:r w:rsidR="00CE0D3A" w:rsidRPr="00502B4F">
        <w:rPr>
          <w:rFonts w:ascii="Arial" w:hAnsi="Arial" w:cs="Arial"/>
          <w:bCs/>
          <w:sz w:val="18"/>
          <w:szCs w:val="28"/>
          <w:lang w:val="el-GR"/>
        </w:rPr>
        <w:t xml:space="preserve"> του εύρους του ποσοστού της</w:t>
      </w:r>
      <w:r w:rsidR="00A52630">
        <w:rPr>
          <w:rFonts w:ascii="Arial" w:hAnsi="Arial" w:cs="Arial"/>
          <w:bCs/>
          <w:sz w:val="18"/>
          <w:szCs w:val="28"/>
          <w:lang w:val="el-GR"/>
        </w:rPr>
        <w:t xml:space="preserve"> </w:t>
      </w:r>
      <w:r w:rsidR="00CE0D3A" w:rsidRPr="00502B4F">
        <w:rPr>
          <w:rFonts w:ascii="Arial" w:hAnsi="Arial" w:cs="Arial"/>
          <w:bCs/>
          <w:sz w:val="18"/>
          <w:szCs w:val="28"/>
          <w:lang w:val="el-GR"/>
        </w:rPr>
        <w:t>πολιτικής Διανομής του, δηλαδή</w:t>
      </w:r>
      <w:r w:rsidR="00A52630">
        <w:rPr>
          <w:rFonts w:ascii="Arial" w:hAnsi="Arial" w:cs="Arial"/>
          <w:bCs/>
          <w:sz w:val="18"/>
          <w:szCs w:val="28"/>
          <w:lang w:val="el-GR"/>
        </w:rPr>
        <w:t xml:space="preserve"> στο</w:t>
      </w:r>
      <w:r w:rsidR="00CE0D3A" w:rsidRPr="00502B4F">
        <w:rPr>
          <w:rFonts w:ascii="Arial" w:hAnsi="Arial" w:cs="Arial"/>
          <w:bCs/>
          <w:sz w:val="18"/>
          <w:szCs w:val="28"/>
          <w:lang w:val="el-GR"/>
        </w:rPr>
        <w:t xml:space="preserve"> 50%, που </w:t>
      </w:r>
      <w:r w:rsidR="00A52630" w:rsidRPr="00502B4F">
        <w:rPr>
          <w:rFonts w:ascii="Arial" w:hAnsi="Arial" w:cs="Arial"/>
          <w:bCs/>
          <w:sz w:val="18"/>
          <w:szCs w:val="28"/>
          <w:lang w:val="el-GR"/>
        </w:rPr>
        <w:t>ισοδυναμεί σε διψήφια απόδοση μερίσματος (‘</w:t>
      </w:r>
      <w:r w:rsidR="00A52630" w:rsidRPr="00502B4F">
        <w:rPr>
          <w:rFonts w:ascii="Arial" w:hAnsi="Arial" w:cs="Arial"/>
          <w:bCs/>
          <w:sz w:val="18"/>
          <w:szCs w:val="28"/>
          <w:lang w:val="en-US"/>
        </w:rPr>
        <w:t>distribution</w:t>
      </w:r>
      <w:r w:rsidR="00A52630" w:rsidRPr="00502B4F">
        <w:rPr>
          <w:rFonts w:ascii="Arial" w:hAnsi="Arial" w:cs="Arial"/>
          <w:bCs/>
          <w:sz w:val="18"/>
          <w:szCs w:val="28"/>
          <w:lang w:val="el-GR"/>
        </w:rPr>
        <w:t xml:space="preserve"> </w:t>
      </w:r>
      <w:r w:rsidR="00A52630" w:rsidRPr="00502B4F">
        <w:rPr>
          <w:rFonts w:ascii="Arial" w:hAnsi="Arial" w:cs="Arial"/>
          <w:bCs/>
          <w:sz w:val="18"/>
          <w:szCs w:val="28"/>
          <w:lang w:val="en-US"/>
        </w:rPr>
        <w:t>yield</w:t>
      </w:r>
      <w:r w:rsidR="00A52630" w:rsidRPr="00502B4F">
        <w:rPr>
          <w:rFonts w:ascii="Arial" w:hAnsi="Arial" w:cs="Arial"/>
          <w:bCs/>
          <w:sz w:val="18"/>
          <w:szCs w:val="28"/>
          <w:lang w:val="el-GR"/>
        </w:rPr>
        <w:t>’)</w:t>
      </w:r>
      <w:r w:rsidR="00341CE7">
        <w:rPr>
          <w:rFonts w:ascii="Arial" w:hAnsi="Arial" w:cs="Arial"/>
          <w:bCs/>
          <w:sz w:val="18"/>
          <w:szCs w:val="28"/>
          <w:lang w:val="el-GR"/>
        </w:rPr>
        <w:t>.</w:t>
      </w:r>
      <w:r w:rsidR="00A52630" w:rsidRPr="00502B4F">
        <w:rPr>
          <w:rFonts w:ascii="Arial" w:hAnsi="Arial" w:cs="Arial"/>
          <w:b/>
          <w:sz w:val="18"/>
          <w:szCs w:val="28"/>
          <w:lang w:val="el-GR"/>
        </w:rPr>
        <w:t xml:space="preserve"> </w:t>
      </w:r>
    </w:p>
    <w:p w14:paraId="47AA3644" w14:textId="77777777" w:rsidR="006C64C2" w:rsidRPr="00502B4F" w:rsidRDefault="006C64C2" w:rsidP="005C4C9A">
      <w:pPr>
        <w:spacing w:after="0" w:line="240" w:lineRule="auto"/>
        <w:jc w:val="both"/>
        <w:rPr>
          <w:rFonts w:ascii="Arial" w:hAnsi="Arial" w:cs="Arial"/>
          <w:color w:val="000000" w:themeColor="text1"/>
          <w:sz w:val="18"/>
          <w:szCs w:val="18"/>
          <w:lang w:val="el-GR"/>
        </w:rPr>
      </w:pPr>
    </w:p>
    <w:p w14:paraId="7D7E134E" w14:textId="3AED8810" w:rsidR="00CE36EC" w:rsidRPr="00502B4F" w:rsidRDefault="00CE36EC" w:rsidP="00CE36EC">
      <w:pPr>
        <w:spacing w:after="0" w:line="360" w:lineRule="auto"/>
        <w:jc w:val="both"/>
        <w:rPr>
          <w:rFonts w:ascii="Arial" w:hAnsi="Arial" w:cs="Arial"/>
          <w:b/>
          <w:i/>
          <w:iCs/>
          <w:color w:val="FF9900"/>
          <w:sz w:val="20"/>
          <w:lang w:val="el-GR"/>
        </w:rPr>
      </w:pPr>
      <w:r w:rsidRPr="00502B4F">
        <w:rPr>
          <w:rFonts w:ascii="Arial" w:hAnsi="Arial" w:cs="Arial"/>
          <w:b/>
          <w:i/>
          <w:iCs/>
          <w:color w:val="FF9900"/>
          <w:sz w:val="20"/>
          <w:lang w:val="el-GR"/>
        </w:rPr>
        <w:t>Περιβάλλον επιτοκίων</w:t>
      </w:r>
    </w:p>
    <w:p w14:paraId="356F0F51" w14:textId="441AD29B" w:rsidR="005F342F" w:rsidRPr="00D41B36" w:rsidRDefault="00A21CB9" w:rsidP="00795854">
      <w:pPr>
        <w:pStyle w:val="Default"/>
        <w:jc w:val="both"/>
        <w:rPr>
          <w:sz w:val="18"/>
          <w:szCs w:val="18"/>
          <w:highlight w:val="yellow"/>
          <w:lang w:val="el-GR"/>
        </w:rPr>
      </w:pPr>
      <w:r w:rsidRPr="00502B4F">
        <w:rPr>
          <w:bCs/>
          <w:sz w:val="18"/>
          <w:szCs w:val="18"/>
          <w:lang w:val="el-GR"/>
        </w:rPr>
        <w:t>Η ρευστότητα στον</w:t>
      </w:r>
      <w:r w:rsidR="00842024" w:rsidRPr="00502B4F">
        <w:rPr>
          <w:bCs/>
          <w:sz w:val="18"/>
          <w:szCs w:val="18"/>
          <w:lang w:val="el-GR"/>
        </w:rPr>
        <w:t xml:space="preserve"> ισολογισμό </w:t>
      </w:r>
      <w:r w:rsidR="00CE36EC" w:rsidRPr="00502B4F">
        <w:rPr>
          <w:bCs/>
          <w:sz w:val="18"/>
          <w:szCs w:val="18"/>
          <w:lang w:val="el-GR"/>
        </w:rPr>
        <w:t xml:space="preserve">του Συγκροτήματος </w:t>
      </w:r>
      <w:r w:rsidRPr="00502B4F">
        <w:rPr>
          <w:bCs/>
          <w:sz w:val="18"/>
          <w:szCs w:val="18"/>
          <w:lang w:val="el-GR"/>
        </w:rPr>
        <w:t>παραμένει υψηλή.</w:t>
      </w:r>
      <w:r w:rsidR="00A52630" w:rsidRPr="00502B4F">
        <w:rPr>
          <w:bCs/>
          <w:sz w:val="18"/>
          <w:szCs w:val="18"/>
          <w:lang w:val="el-GR"/>
        </w:rPr>
        <w:t xml:space="preserve"> </w:t>
      </w:r>
      <w:r w:rsidR="00CE36EC" w:rsidRPr="00502B4F">
        <w:rPr>
          <w:sz w:val="18"/>
          <w:szCs w:val="18"/>
          <w:lang w:val="el-GR"/>
        </w:rPr>
        <w:t xml:space="preserve">Στις </w:t>
      </w:r>
      <w:r w:rsidRPr="00502B4F">
        <w:rPr>
          <w:sz w:val="18"/>
          <w:szCs w:val="18"/>
          <w:lang w:val="el-GR"/>
        </w:rPr>
        <w:t>30</w:t>
      </w:r>
      <w:r w:rsidR="00A52630" w:rsidRPr="00502B4F">
        <w:rPr>
          <w:sz w:val="18"/>
          <w:szCs w:val="18"/>
          <w:lang w:val="el-GR"/>
        </w:rPr>
        <w:t xml:space="preserve"> </w:t>
      </w:r>
      <w:r w:rsidR="00A52630" w:rsidRPr="00A52630">
        <w:rPr>
          <w:sz w:val="18"/>
          <w:lang w:val="el-GR"/>
        </w:rPr>
        <w:t xml:space="preserve">Σεπτεμβρίου </w:t>
      </w:r>
      <w:r w:rsidR="000D318B" w:rsidRPr="00502B4F">
        <w:rPr>
          <w:sz w:val="18"/>
          <w:szCs w:val="18"/>
          <w:lang w:val="el-GR"/>
        </w:rPr>
        <w:t>2024</w:t>
      </w:r>
      <w:r w:rsidR="00CE36EC" w:rsidRPr="00502B4F">
        <w:rPr>
          <w:sz w:val="18"/>
          <w:szCs w:val="18"/>
          <w:lang w:val="el-GR"/>
        </w:rPr>
        <w:t>,</w:t>
      </w:r>
      <w:r w:rsidR="00443409" w:rsidRPr="00502B4F">
        <w:rPr>
          <w:sz w:val="18"/>
          <w:szCs w:val="18"/>
          <w:lang w:val="el-GR"/>
        </w:rPr>
        <w:t xml:space="preserve"> </w:t>
      </w:r>
      <w:r w:rsidR="00CE36EC" w:rsidRPr="00502B4F">
        <w:rPr>
          <w:sz w:val="18"/>
          <w:szCs w:val="18"/>
          <w:lang w:val="el-GR"/>
        </w:rPr>
        <w:t>οι καταθέσεις μετρητών με την ΕΚΤ</w:t>
      </w:r>
      <w:r w:rsidR="000D318B" w:rsidRPr="00502B4F">
        <w:rPr>
          <w:sz w:val="18"/>
          <w:szCs w:val="18"/>
          <w:lang w:val="el-GR"/>
        </w:rPr>
        <w:t xml:space="preserve"> </w:t>
      </w:r>
      <w:r w:rsidR="00CE36EC" w:rsidRPr="00502B4F">
        <w:rPr>
          <w:sz w:val="18"/>
          <w:szCs w:val="18"/>
          <w:lang w:val="el-GR"/>
        </w:rPr>
        <w:t>ανήλθαν σε €</w:t>
      </w:r>
      <w:r w:rsidR="00A52630" w:rsidRPr="00502B4F">
        <w:rPr>
          <w:sz w:val="18"/>
          <w:lang w:val="el-GR"/>
        </w:rPr>
        <w:t xml:space="preserve">7.5 </w:t>
      </w:r>
      <w:r w:rsidR="00CE36EC" w:rsidRPr="00502B4F">
        <w:rPr>
          <w:sz w:val="18"/>
          <w:szCs w:val="18"/>
          <w:lang w:val="el-GR"/>
        </w:rPr>
        <w:t>δις.</w:t>
      </w:r>
      <w:r w:rsidR="0060652F" w:rsidRPr="00502B4F">
        <w:rPr>
          <w:sz w:val="18"/>
          <w:lang w:val="el-GR"/>
        </w:rPr>
        <w:t xml:space="preserve">, καθώς </w:t>
      </w:r>
      <w:r w:rsidR="00792A50">
        <w:rPr>
          <w:sz w:val="18"/>
          <w:lang w:val="el-GR"/>
        </w:rPr>
        <w:t>το</w:t>
      </w:r>
      <w:r w:rsidR="005A34B9" w:rsidRPr="00502B4F">
        <w:rPr>
          <w:sz w:val="18"/>
          <w:lang w:val="el-GR"/>
        </w:rPr>
        <w:t xml:space="preserve"> </w:t>
      </w:r>
      <w:r w:rsidR="00792A50">
        <w:rPr>
          <w:sz w:val="18"/>
          <w:lang w:val="el-GR"/>
        </w:rPr>
        <w:t>44</w:t>
      </w:r>
      <w:r w:rsidR="005A34B9" w:rsidRPr="00502B4F">
        <w:rPr>
          <w:sz w:val="18"/>
          <w:lang w:val="el-GR"/>
        </w:rPr>
        <w:t xml:space="preserve">% του δανειακού χαρτοφυλακίου </w:t>
      </w:r>
      <w:r w:rsidR="00C1611E">
        <w:rPr>
          <w:sz w:val="18"/>
          <w:lang w:val="el-GR"/>
        </w:rPr>
        <w:t xml:space="preserve">του Συγκροτήματος </w:t>
      </w:r>
      <w:r w:rsidR="00842024" w:rsidRPr="00502B4F">
        <w:rPr>
          <w:sz w:val="18"/>
          <w:lang w:val="el-GR"/>
        </w:rPr>
        <w:t>τιμολογείται με βάση τ</w:t>
      </w:r>
      <w:r w:rsidR="005A34B9" w:rsidRPr="00502B4F">
        <w:rPr>
          <w:sz w:val="18"/>
          <w:lang w:val="el-GR"/>
        </w:rPr>
        <w:t>ο</w:t>
      </w:r>
      <w:r w:rsidR="00A52630" w:rsidRPr="00502B4F">
        <w:rPr>
          <w:sz w:val="18"/>
          <w:lang w:val="el-GR"/>
        </w:rPr>
        <w:t xml:space="preserve"> επιτόκιο</w:t>
      </w:r>
      <w:r w:rsidR="005A34B9" w:rsidRPr="00502B4F">
        <w:rPr>
          <w:sz w:val="18"/>
          <w:lang w:val="el-GR"/>
        </w:rPr>
        <w:t xml:space="preserve"> </w:t>
      </w:r>
      <w:proofErr w:type="spellStart"/>
      <w:r w:rsidR="005A34B9" w:rsidRPr="00502B4F">
        <w:rPr>
          <w:sz w:val="18"/>
          <w:lang w:val="el-GR"/>
        </w:rPr>
        <w:t>Euribor</w:t>
      </w:r>
      <w:proofErr w:type="spellEnd"/>
      <w:r w:rsidR="005A34B9" w:rsidRPr="00502B4F">
        <w:rPr>
          <w:sz w:val="18"/>
          <w:lang w:val="el-GR"/>
        </w:rPr>
        <w:t>.</w:t>
      </w:r>
      <w:r w:rsidR="0060652F" w:rsidRPr="00502B4F">
        <w:rPr>
          <w:sz w:val="18"/>
          <w:lang w:val="el-GR"/>
        </w:rPr>
        <w:t xml:space="preserve"> Τα</w:t>
      </w:r>
      <w:r w:rsidR="00CE36EC" w:rsidRPr="00502B4F">
        <w:rPr>
          <w:sz w:val="18"/>
          <w:szCs w:val="18"/>
          <w:lang w:val="el-GR"/>
        </w:rPr>
        <w:t xml:space="preserve"> καθαρά έσοδα από τόκους για το </w:t>
      </w:r>
      <w:r w:rsidR="007A2F9B">
        <w:rPr>
          <w:sz w:val="18"/>
          <w:szCs w:val="18"/>
          <w:lang w:val="el-GR"/>
        </w:rPr>
        <w:t>εννεάμηνο</w:t>
      </w:r>
      <w:r w:rsidR="00A97B96" w:rsidRPr="00502B4F">
        <w:rPr>
          <w:sz w:val="18"/>
          <w:szCs w:val="18"/>
          <w:lang w:val="el-GR"/>
        </w:rPr>
        <w:t xml:space="preserve"> </w:t>
      </w:r>
      <w:r w:rsidR="00CE36EC" w:rsidRPr="00502B4F">
        <w:rPr>
          <w:sz w:val="18"/>
          <w:szCs w:val="18"/>
          <w:lang w:val="el-GR"/>
        </w:rPr>
        <w:t xml:space="preserve">που έληξε στις </w:t>
      </w:r>
      <w:r w:rsidR="005F342F" w:rsidRPr="00502B4F">
        <w:rPr>
          <w:sz w:val="18"/>
          <w:szCs w:val="18"/>
          <w:lang w:val="el-GR"/>
        </w:rPr>
        <w:t xml:space="preserve">30 </w:t>
      </w:r>
      <w:r w:rsidR="00A97B96" w:rsidRPr="00A97B96">
        <w:rPr>
          <w:sz w:val="18"/>
          <w:lang w:val="el-GR"/>
        </w:rPr>
        <w:t xml:space="preserve">Σεπτεμβρίου </w:t>
      </w:r>
      <w:r w:rsidR="0060652F" w:rsidRPr="00502B4F">
        <w:rPr>
          <w:sz w:val="18"/>
          <w:szCs w:val="18"/>
          <w:lang w:val="el-GR"/>
        </w:rPr>
        <w:t>2024</w:t>
      </w:r>
      <w:r w:rsidR="00795854" w:rsidRPr="00502B4F">
        <w:rPr>
          <w:sz w:val="18"/>
          <w:szCs w:val="18"/>
          <w:lang w:val="el-GR"/>
        </w:rPr>
        <w:t xml:space="preserve"> </w:t>
      </w:r>
      <w:r w:rsidR="00CE36EC" w:rsidRPr="00502B4F">
        <w:rPr>
          <w:sz w:val="18"/>
          <w:szCs w:val="18"/>
          <w:lang w:val="el-GR"/>
        </w:rPr>
        <w:t>ανήλθαν σε €</w:t>
      </w:r>
      <w:r w:rsidR="00A97B96" w:rsidRPr="00502B4F">
        <w:rPr>
          <w:sz w:val="18"/>
          <w:lang w:val="el-GR"/>
        </w:rPr>
        <w:t xml:space="preserve">624 </w:t>
      </w:r>
      <w:r w:rsidR="00CE36EC" w:rsidRPr="00502B4F">
        <w:rPr>
          <w:sz w:val="18"/>
          <w:szCs w:val="18"/>
          <w:lang w:val="el-GR"/>
        </w:rPr>
        <w:t>εκατ.</w:t>
      </w:r>
      <w:r w:rsidRPr="00502B4F">
        <w:rPr>
          <w:sz w:val="18"/>
          <w:szCs w:val="18"/>
          <w:lang w:val="el-GR"/>
        </w:rPr>
        <w:t>,</w:t>
      </w:r>
      <w:r w:rsidR="00A97B96" w:rsidRPr="00A97B96">
        <w:rPr>
          <w:sz w:val="18"/>
          <w:szCs w:val="18"/>
          <w:lang w:val="el-GR"/>
        </w:rPr>
        <w:t xml:space="preserve"> </w:t>
      </w:r>
      <w:r w:rsidRPr="00502B4F">
        <w:rPr>
          <w:sz w:val="18"/>
          <w:szCs w:val="18"/>
          <w:lang w:val="el-GR"/>
        </w:rPr>
        <w:t xml:space="preserve">αυξημένα κατά </w:t>
      </w:r>
      <w:r w:rsidR="00A97B96" w:rsidRPr="00502B4F">
        <w:rPr>
          <w:sz w:val="18"/>
          <w:szCs w:val="18"/>
          <w:lang w:val="el-GR"/>
        </w:rPr>
        <w:t>9</w:t>
      </w:r>
      <w:r w:rsidRPr="00502B4F">
        <w:rPr>
          <w:sz w:val="18"/>
          <w:szCs w:val="18"/>
          <w:lang w:val="el-GR"/>
        </w:rPr>
        <w:t xml:space="preserve">% σε ετήσια βάση, </w:t>
      </w:r>
      <w:r w:rsidR="005F342F" w:rsidRPr="00502B4F">
        <w:rPr>
          <w:sz w:val="18"/>
          <w:szCs w:val="18"/>
          <w:lang w:val="el-GR"/>
        </w:rPr>
        <w:t>λόγω των υψηλότερων εσόδων από τόκους δανείων και ρευστών διαθέσιμων περιουσιακών στοιχείων, υποστηριζόμεν</w:t>
      </w:r>
      <w:r w:rsidR="00911BEA" w:rsidRPr="00502B4F">
        <w:rPr>
          <w:sz w:val="18"/>
          <w:szCs w:val="18"/>
          <w:lang w:val="el-GR"/>
        </w:rPr>
        <w:t>α</w:t>
      </w:r>
      <w:r w:rsidR="005F342F" w:rsidRPr="00502B4F">
        <w:rPr>
          <w:sz w:val="18"/>
          <w:szCs w:val="18"/>
          <w:lang w:val="el-GR"/>
        </w:rPr>
        <w:t xml:space="preserve"> από τα υψηλά επιτόκια, τα οποία </w:t>
      </w:r>
      <w:r w:rsidR="0069553B" w:rsidRPr="00502B4F">
        <w:rPr>
          <w:sz w:val="18"/>
          <w:szCs w:val="18"/>
          <w:lang w:val="el-GR"/>
        </w:rPr>
        <w:t xml:space="preserve">απορρόφησαν πλήρως </w:t>
      </w:r>
      <w:r w:rsidR="005F342F" w:rsidRPr="00502B4F">
        <w:rPr>
          <w:sz w:val="18"/>
          <w:szCs w:val="18"/>
          <w:lang w:val="el-GR"/>
        </w:rPr>
        <w:t>το υψηλότερο κόστος καταθέσεων και το κόστος χρηματοδότησης, καθώς και</w:t>
      </w:r>
      <w:r w:rsidR="0069553B" w:rsidRPr="00502B4F">
        <w:rPr>
          <w:sz w:val="18"/>
          <w:szCs w:val="18"/>
          <w:lang w:val="el-GR"/>
        </w:rPr>
        <w:t xml:space="preserve"> το κόστος από</w:t>
      </w:r>
      <w:r w:rsidR="005F342F" w:rsidRPr="00502B4F">
        <w:rPr>
          <w:sz w:val="18"/>
          <w:szCs w:val="18"/>
          <w:lang w:val="el-GR"/>
        </w:rPr>
        <w:t xml:space="preserve"> τις συνεχιζόμενες ενέργειες αντιστάθμισης (‘</w:t>
      </w:r>
      <w:proofErr w:type="spellStart"/>
      <w:r w:rsidR="005F342F" w:rsidRPr="00502B4F">
        <w:rPr>
          <w:sz w:val="18"/>
          <w:szCs w:val="18"/>
          <w:lang w:val="el-GR"/>
        </w:rPr>
        <w:t>hedging</w:t>
      </w:r>
      <w:proofErr w:type="spellEnd"/>
      <w:r w:rsidR="005F342F" w:rsidRPr="00502B4F">
        <w:rPr>
          <w:sz w:val="18"/>
          <w:szCs w:val="18"/>
          <w:lang w:val="el-GR"/>
        </w:rPr>
        <w:t xml:space="preserve">’) για τη μείωση της </w:t>
      </w:r>
      <w:r w:rsidR="0069553B" w:rsidRPr="00502B4F">
        <w:rPr>
          <w:sz w:val="18"/>
          <w:szCs w:val="18"/>
          <w:lang w:val="el-GR"/>
        </w:rPr>
        <w:t xml:space="preserve">ευαισθησίας </w:t>
      </w:r>
      <w:r w:rsidR="005F342F" w:rsidRPr="00502B4F">
        <w:rPr>
          <w:sz w:val="18"/>
          <w:szCs w:val="18"/>
          <w:lang w:val="el-GR"/>
        </w:rPr>
        <w:t xml:space="preserve">των καθαρών εσόδων από τόκους </w:t>
      </w:r>
      <w:r w:rsidR="0069553B" w:rsidRPr="00502B4F">
        <w:rPr>
          <w:sz w:val="18"/>
          <w:szCs w:val="18"/>
          <w:lang w:val="el-GR"/>
        </w:rPr>
        <w:t>σε μεταβολές</w:t>
      </w:r>
      <w:r w:rsidR="005F342F" w:rsidRPr="00502B4F">
        <w:rPr>
          <w:sz w:val="18"/>
          <w:szCs w:val="18"/>
          <w:lang w:val="el-GR"/>
        </w:rPr>
        <w:t xml:space="preserve"> των επιτοκίων (‘</w:t>
      </w:r>
      <w:proofErr w:type="spellStart"/>
      <w:r w:rsidR="005F342F" w:rsidRPr="00502B4F">
        <w:rPr>
          <w:sz w:val="18"/>
          <w:szCs w:val="18"/>
          <w:lang w:val="el-GR"/>
        </w:rPr>
        <w:t>sensitivity</w:t>
      </w:r>
      <w:proofErr w:type="spellEnd"/>
      <w:r w:rsidR="005F342F" w:rsidRPr="00502B4F">
        <w:rPr>
          <w:sz w:val="18"/>
          <w:szCs w:val="18"/>
          <w:lang w:val="el-GR"/>
        </w:rPr>
        <w:t>’).</w:t>
      </w:r>
    </w:p>
    <w:p w14:paraId="03039915" w14:textId="77777777" w:rsidR="005A34B9" w:rsidRPr="00D41B36" w:rsidRDefault="005A34B9" w:rsidP="00CE36EC">
      <w:pPr>
        <w:pStyle w:val="BodyText3"/>
        <w:jc w:val="both"/>
        <w:rPr>
          <w:rFonts w:ascii="Arial" w:eastAsia="Batang" w:hAnsi="Arial" w:cs="Arial"/>
          <w:sz w:val="18"/>
          <w:szCs w:val="18"/>
          <w:highlight w:val="yellow"/>
          <w:lang w:val="el-GR" w:eastAsia="en-US"/>
        </w:rPr>
      </w:pPr>
    </w:p>
    <w:p w14:paraId="6DF62B4D" w14:textId="05ECA1F1" w:rsidR="00A97B96" w:rsidRPr="00502B4F" w:rsidRDefault="00A97B96" w:rsidP="00CD3E10">
      <w:pPr>
        <w:pStyle w:val="BodyText3"/>
        <w:jc w:val="both"/>
        <w:rPr>
          <w:rFonts w:ascii="Arial" w:eastAsia="Batang" w:hAnsi="Arial" w:cs="Arial"/>
          <w:sz w:val="18"/>
          <w:szCs w:val="18"/>
          <w:lang w:val="el-GR" w:eastAsia="en-US"/>
        </w:rPr>
      </w:pPr>
      <w:r w:rsidRPr="00502B4F">
        <w:rPr>
          <w:rFonts w:ascii="Arial" w:eastAsia="Batang" w:hAnsi="Arial" w:cs="Arial"/>
          <w:sz w:val="18"/>
          <w:szCs w:val="18"/>
          <w:lang w:val="el-GR" w:eastAsia="en-US"/>
        </w:rPr>
        <w:t>Σε τριμηνιαία βάση</w:t>
      </w:r>
      <w:r>
        <w:rPr>
          <w:rFonts w:ascii="Arial" w:eastAsia="Batang" w:hAnsi="Arial" w:cs="Arial"/>
          <w:sz w:val="18"/>
          <w:szCs w:val="18"/>
          <w:lang w:val="el-GR" w:eastAsia="en-US"/>
        </w:rPr>
        <w:t>, τ</w:t>
      </w:r>
      <w:r w:rsidRPr="00502B4F">
        <w:rPr>
          <w:rFonts w:ascii="Arial" w:eastAsia="Batang" w:hAnsi="Arial" w:cs="Arial"/>
          <w:sz w:val="18"/>
          <w:szCs w:val="18"/>
          <w:lang w:val="el-GR" w:eastAsia="en-US"/>
        </w:rPr>
        <w:t>α καθαρά έσοδα από τόκους</w:t>
      </w:r>
      <w:r>
        <w:rPr>
          <w:rFonts w:ascii="Arial" w:eastAsia="Batang" w:hAnsi="Arial" w:cs="Arial"/>
          <w:sz w:val="18"/>
          <w:szCs w:val="18"/>
          <w:lang w:val="el-GR" w:eastAsia="en-US"/>
        </w:rPr>
        <w:t xml:space="preserve"> του Συγκροτ</w:t>
      </w:r>
      <w:r w:rsidR="005B5C80">
        <w:rPr>
          <w:rFonts w:ascii="Arial" w:eastAsia="Batang" w:hAnsi="Arial" w:cs="Arial"/>
          <w:sz w:val="18"/>
          <w:szCs w:val="18"/>
          <w:lang w:val="el-GR" w:eastAsia="en-US"/>
        </w:rPr>
        <w:t xml:space="preserve">ήματος </w:t>
      </w:r>
      <w:r>
        <w:rPr>
          <w:rFonts w:ascii="Arial" w:eastAsia="Batang" w:hAnsi="Arial" w:cs="Arial"/>
          <w:sz w:val="18"/>
          <w:szCs w:val="18"/>
          <w:lang w:val="el-GR" w:eastAsia="en-US"/>
        </w:rPr>
        <w:t xml:space="preserve">παρουσιάζουν μια σταδιακή μικρή μείωση, </w:t>
      </w:r>
      <w:r w:rsidR="005B5C80">
        <w:rPr>
          <w:rFonts w:ascii="Arial" w:eastAsia="Batang" w:hAnsi="Arial" w:cs="Arial"/>
          <w:sz w:val="18"/>
          <w:szCs w:val="18"/>
          <w:lang w:val="el-GR" w:eastAsia="en-US"/>
        </w:rPr>
        <w:t>αντανακλώντας</w:t>
      </w:r>
      <w:r>
        <w:rPr>
          <w:rFonts w:ascii="Arial" w:eastAsia="Batang" w:hAnsi="Arial" w:cs="Arial"/>
          <w:sz w:val="18"/>
          <w:szCs w:val="18"/>
          <w:lang w:val="el-GR" w:eastAsia="en-US"/>
        </w:rPr>
        <w:t xml:space="preserve"> την έναρξη </w:t>
      </w:r>
      <w:r w:rsidR="005B5C80">
        <w:rPr>
          <w:rFonts w:ascii="Arial" w:eastAsia="Batang" w:hAnsi="Arial" w:cs="Arial"/>
          <w:sz w:val="18"/>
          <w:szCs w:val="18"/>
          <w:lang w:val="el-GR" w:eastAsia="en-US"/>
        </w:rPr>
        <w:t>των μειώσεων στα επιτόκια</w:t>
      </w:r>
      <w:r w:rsidR="007879BA" w:rsidRPr="007879BA">
        <w:rPr>
          <w:rFonts w:ascii="Arial" w:eastAsia="Batang" w:hAnsi="Arial" w:cs="Arial"/>
          <w:sz w:val="18"/>
          <w:szCs w:val="18"/>
          <w:lang w:val="el-GR" w:eastAsia="en-US"/>
        </w:rPr>
        <w:t xml:space="preserve"> </w:t>
      </w:r>
      <w:r w:rsidR="007879BA">
        <w:rPr>
          <w:rFonts w:ascii="Arial" w:eastAsia="Batang" w:hAnsi="Arial" w:cs="Arial"/>
          <w:sz w:val="18"/>
          <w:szCs w:val="18"/>
          <w:lang w:val="el-GR" w:eastAsia="en-US"/>
        </w:rPr>
        <w:t>από την ΕΚΤ</w:t>
      </w:r>
      <w:r w:rsidR="005B5C80">
        <w:rPr>
          <w:rFonts w:ascii="Arial" w:eastAsia="Batang" w:hAnsi="Arial" w:cs="Arial"/>
          <w:sz w:val="18"/>
          <w:szCs w:val="18"/>
          <w:lang w:val="el-GR" w:eastAsia="en-US"/>
        </w:rPr>
        <w:t>.</w:t>
      </w:r>
      <w:r w:rsidR="007879BA">
        <w:rPr>
          <w:rFonts w:ascii="Arial" w:eastAsia="Batang" w:hAnsi="Arial" w:cs="Arial"/>
          <w:sz w:val="18"/>
          <w:szCs w:val="18"/>
          <w:lang w:val="el-GR" w:eastAsia="en-US"/>
        </w:rPr>
        <w:t xml:space="preserve"> Η</w:t>
      </w:r>
      <w:r w:rsidR="005B5C80">
        <w:rPr>
          <w:rFonts w:ascii="Arial" w:eastAsia="Batang" w:hAnsi="Arial" w:cs="Arial"/>
          <w:sz w:val="18"/>
          <w:szCs w:val="18"/>
          <w:lang w:val="el-GR" w:eastAsia="en-US"/>
        </w:rPr>
        <w:t xml:space="preserve"> </w:t>
      </w:r>
      <w:r w:rsidR="009157F3">
        <w:rPr>
          <w:rFonts w:ascii="Arial" w:eastAsia="Batang" w:hAnsi="Arial" w:cs="Arial"/>
          <w:sz w:val="18"/>
          <w:szCs w:val="18"/>
          <w:lang w:val="el-GR" w:eastAsia="en-US"/>
        </w:rPr>
        <w:t>μείωση επι</w:t>
      </w:r>
      <w:r w:rsidR="005B5C80">
        <w:rPr>
          <w:rFonts w:ascii="Arial" w:eastAsia="Batang" w:hAnsi="Arial" w:cs="Arial"/>
          <w:sz w:val="18"/>
          <w:szCs w:val="18"/>
          <w:lang w:val="el-GR" w:eastAsia="en-US"/>
        </w:rPr>
        <w:t>τοκίων μετριάζεται από τη συνεχή αύξηση της ρευστότητας μέσω</w:t>
      </w:r>
      <w:r w:rsidR="009157F3">
        <w:rPr>
          <w:rFonts w:ascii="Arial" w:eastAsia="Batang" w:hAnsi="Arial" w:cs="Arial"/>
          <w:sz w:val="18"/>
          <w:szCs w:val="18"/>
          <w:lang w:val="el-GR" w:eastAsia="en-US"/>
        </w:rPr>
        <w:t xml:space="preserve"> της αύξησης </w:t>
      </w:r>
      <w:r w:rsidR="005B5C80">
        <w:rPr>
          <w:rFonts w:ascii="Arial" w:eastAsia="Batang" w:hAnsi="Arial" w:cs="Arial"/>
          <w:sz w:val="18"/>
          <w:szCs w:val="18"/>
          <w:lang w:val="el-GR" w:eastAsia="en-US"/>
        </w:rPr>
        <w:t>των καταθέσεων</w:t>
      </w:r>
      <w:r w:rsidR="009157F3">
        <w:rPr>
          <w:rFonts w:ascii="Arial" w:eastAsia="Batang" w:hAnsi="Arial" w:cs="Arial"/>
          <w:sz w:val="18"/>
          <w:szCs w:val="18"/>
          <w:lang w:val="el-GR" w:eastAsia="en-US"/>
        </w:rPr>
        <w:t xml:space="preserve"> πελατών</w:t>
      </w:r>
      <w:r w:rsidR="005B5C80">
        <w:rPr>
          <w:rFonts w:ascii="Arial" w:eastAsia="Batang" w:hAnsi="Arial" w:cs="Arial"/>
          <w:sz w:val="18"/>
          <w:szCs w:val="18"/>
          <w:lang w:val="el-GR" w:eastAsia="en-US"/>
        </w:rPr>
        <w:t xml:space="preserve">. </w:t>
      </w:r>
    </w:p>
    <w:p w14:paraId="72A82E18" w14:textId="77777777" w:rsidR="00A97B96" w:rsidRPr="00502B4F" w:rsidRDefault="00A97B96" w:rsidP="00CD3E10">
      <w:pPr>
        <w:pStyle w:val="BodyText3"/>
        <w:jc w:val="both"/>
        <w:rPr>
          <w:rFonts w:ascii="Arial" w:eastAsia="Batang" w:hAnsi="Arial" w:cs="Arial"/>
          <w:sz w:val="18"/>
          <w:szCs w:val="18"/>
          <w:lang w:val="el-GR" w:eastAsia="en-US"/>
        </w:rPr>
      </w:pPr>
    </w:p>
    <w:p w14:paraId="17FA4E83" w14:textId="3FB100D9" w:rsidR="008559C0" w:rsidRPr="00502B4F" w:rsidRDefault="008559C0" w:rsidP="00CD3E10">
      <w:pPr>
        <w:pStyle w:val="BodyText3"/>
        <w:jc w:val="both"/>
        <w:rPr>
          <w:rFonts w:ascii="Arial" w:eastAsia="Batang" w:hAnsi="Arial" w:cs="Arial"/>
          <w:sz w:val="18"/>
          <w:szCs w:val="18"/>
          <w:lang w:val="el-GR" w:eastAsia="en-US"/>
        </w:rPr>
      </w:pPr>
      <w:r w:rsidRPr="00502B4F">
        <w:rPr>
          <w:rFonts w:ascii="Arial" w:eastAsia="Batang" w:hAnsi="Arial" w:cs="Arial"/>
          <w:sz w:val="18"/>
          <w:szCs w:val="18"/>
          <w:lang w:val="el-GR" w:eastAsia="en-US"/>
        </w:rPr>
        <w:t xml:space="preserve">Συνολικά, </w:t>
      </w:r>
      <w:r w:rsidR="005B5C80" w:rsidRPr="00502B4F">
        <w:rPr>
          <w:rFonts w:ascii="Arial" w:eastAsia="Batang" w:hAnsi="Arial" w:cs="Arial"/>
          <w:sz w:val="18"/>
          <w:szCs w:val="18"/>
          <w:lang w:val="el-GR" w:eastAsia="en-US"/>
        </w:rPr>
        <w:t>εντός του 2024</w:t>
      </w:r>
      <w:r w:rsidR="0069553B" w:rsidRPr="00502B4F">
        <w:rPr>
          <w:rFonts w:ascii="Arial" w:eastAsia="Batang" w:hAnsi="Arial" w:cs="Arial"/>
          <w:sz w:val="18"/>
          <w:szCs w:val="18"/>
          <w:lang w:val="el-GR" w:eastAsia="en-US"/>
        </w:rPr>
        <w:t xml:space="preserve">, </w:t>
      </w:r>
      <w:r w:rsidRPr="00502B4F">
        <w:rPr>
          <w:rFonts w:ascii="Arial" w:eastAsia="Batang" w:hAnsi="Arial" w:cs="Arial"/>
          <w:sz w:val="18"/>
          <w:szCs w:val="18"/>
          <w:lang w:val="el-GR" w:eastAsia="en-US"/>
        </w:rPr>
        <w:t xml:space="preserve">το Συγκρότημα </w:t>
      </w:r>
      <w:r w:rsidR="00FA347A">
        <w:rPr>
          <w:rFonts w:ascii="Arial" w:eastAsia="Batang" w:hAnsi="Arial" w:cs="Arial"/>
          <w:sz w:val="18"/>
          <w:szCs w:val="18"/>
          <w:lang w:val="el-GR" w:eastAsia="en-US"/>
        </w:rPr>
        <w:t>επιδίωκε</w:t>
      </w:r>
      <w:r w:rsidR="005B5C80" w:rsidRPr="009157F3">
        <w:rPr>
          <w:rFonts w:ascii="Arial" w:eastAsia="Batang" w:hAnsi="Arial" w:cs="Arial"/>
          <w:sz w:val="18"/>
          <w:szCs w:val="18"/>
          <w:lang w:val="el-GR" w:eastAsia="en-US"/>
        </w:rPr>
        <w:t xml:space="preserve"> </w:t>
      </w:r>
      <w:r w:rsidRPr="00502B4F">
        <w:rPr>
          <w:rFonts w:ascii="Arial" w:eastAsia="Batang" w:hAnsi="Arial" w:cs="Arial"/>
          <w:sz w:val="18"/>
          <w:szCs w:val="18"/>
          <w:lang w:val="el-GR" w:eastAsia="en-US"/>
        </w:rPr>
        <w:t>να αυξήσει το συνολικό ποσό αντιστάθμισης (‘</w:t>
      </w:r>
      <w:proofErr w:type="spellStart"/>
      <w:r w:rsidRPr="00502B4F">
        <w:rPr>
          <w:rFonts w:ascii="Arial" w:eastAsia="Batang" w:hAnsi="Arial" w:cs="Arial"/>
          <w:sz w:val="18"/>
          <w:szCs w:val="18"/>
          <w:lang w:val="el-GR" w:eastAsia="en-US"/>
        </w:rPr>
        <w:t>hedging</w:t>
      </w:r>
      <w:proofErr w:type="spellEnd"/>
      <w:r w:rsidRPr="00502B4F">
        <w:rPr>
          <w:rFonts w:ascii="Arial" w:eastAsia="Batang" w:hAnsi="Arial" w:cs="Arial"/>
          <w:sz w:val="18"/>
          <w:szCs w:val="18"/>
          <w:lang w:val="el-GR" w:eastAsia="en-US"/>
        </w:rPr>
        <w:t>’), ανάλογα με τις συνθήκες αγοράς,</w:t>
      </w:r>
      <w:r w:rsidR="009157F3">
        <w:rPr>
          <w:rFonts w:ascii="Arial" w:eastAsia="Batang" w:hAnsi="Arial" w:cs="Arial"/>
          <w:sz w:val="18"/>
          <w:szCs w:val="18"/>
          <w:lang w:val="el-GR" w:eastAsia="en-US"/>
        </w:rPr>
        <w:t xml:space="preserve"> με σκοπό τη </w:t>
      </w:r>
      <w:r w:rsidR="009157F3" w:rsidRPr="009157F3">
        <w:rPr>
          <w:rFonts w:ascii="Arial" w:eastAsia="Batang" w:hAnsi="Arial" w:cs="Arial"/>
          <w:sz w:val="18"/>
          <w:szCs w:val="18"/>
          <w:lang w:val="el-GR" w:eastAsia="en-US"/>
        </w:rPr>
        <w:t>μείωση της ευαισθησίας των καθαρών εσόδων από τόκους σε μεταβολές των επιτοκίων (‘</w:t>
      </w:r>
      <w:proofErr w:type="spellStart"/>
      <w:r w:rsidR="009157F3" w:rsidRPr="009157F3">
        <w:rPr>
          <w:rFonts w:ascii="Arial" w:eastAsia="Batang" w:hAnsi="Arial" w:cs="Arial"/>
          <w:sz w:val="18"/>
          <w:szCs w:val="18"/>
          <w:lang w:val="el-GR" w:eastAsia="en-US"/>
        </w:rPr>
        <w:t>sensitivity</w:t>
      </w:r>
      <w:proofErr w:type="spellEnd"/>
      <w:r w:rsidR="009157F3" w:rsidRPr="009157F3">
        <w:rPr>
          <w:rFonts w:ascii="Arial" w:eastAsia="Batang" w:hAnsi="Arial" w:cs="Arial"/>
          <w:sz w:val="18"/>
          <w:szCs w:val="18"/>
          <w:lang w:val="el-GR" w:eastAsia="en-US"/>
        </w:rPr>
        <w:t>’)</w:t>
      </w:r>
      <w:r w:rsidR="009157F3">
        <w:rPr>
          <w:rFonts w:ascii="Arial" w:eastAsia="Batang" w:hAnsi="Arial" w:cs="Arial"/>
          <w:sz w:val="18"/>
          <w:szCs w:val="18"/>
          <w:lang w:val="el-GR" w:eastAsia="en-US"/>
        </w:rPr>
        <w:t xml:space="preserve">. Οι ενέργειες αντιστάθμισης περιλαμβάνουν τη συμμετοχή </w:t>
      </w:r>
      <w:r w:rsidRPr="00502B4F">
        <w:rPr>
          <w:rFonts w:ascii="Arial" w:eastAsia="Batang" w:hAnsi="Arial" w:cs="Arial"/>
          <w:sz w:val="18"/>
          <w:szCs w:val="18"/>
          <w:lang w:val="el-GR" w:eastAsia="en-US"/>
        </w:rPr>
        <w:t>σε συμφωνίες ανταλλαγής επιτοκίων</w:t>
      </w:r>
      <w:r w:rsidR="00B85DA8" w:rsidRPr="00502B4F">
        <w:rPr>
          <w:rFonts w:ascii="Arial" w:eastAsia="Batang" w:hAnsi="Arial" w:cs="Arial"/>
          <w:sz w:val="18"/>
          <w:szCs w:val="18"/>
          <w:lang w:val="el-GR" w:eastAsia="en-US"/>
        </w:rPr>
        <w:t xml:space="preserve"> (καταβολής κυμαινόμενου επιτοκίου και είσπραξη σταθερού επιτοκίου)</w:t>
      </w:r>
      <w:r w:rsidR="0058787D" w:rsidRPr="00502B4F">
        <w:rPr>
          <w:rFonts w:ascii="Arial" w:eastAsia="Batang" w:hAnsi="Arial" w:cs="Arial"/>
          <w:sz w:val="18"/>
          <w:szCs w:val="18"/>
          <w:lang w:val="el-GR" w:eastAsia="en-US"/>
        </w:rPr>
        <w:t xml:space="preserve">, </w:t>
      </w:r>
      <w:r w:rsidR="009157F3">
        <w:rPr>
          <w:rFonts w:ascii="Arial" w:eastAsia="Batang" w:hAnsi="Arial" w:cs="Arial"/>
          <w:sz w:val="18"/>
          <w:szCs w:val="18"/>
          <w:lang w:val="el-GR" w:eastAsia="en-US"/>
        </w:rPr>
        <w:t>την</w:t>
      </w:r>
      <w:r w:rsidRPr="00502B4F">
        <w:rPr>
          <w:rFonts w:ascii="Arial" w:eastAsia="Batang" w:hAnsi="Arial" w:cs="Arial"/>
          <w:sz w:val="18"/>
          <w:szCs w:val="18"/>
          <w:lang w:val="el-GR" w:eastAsia="en-US"/>
        </w:rPr>
        <w:t xml:space="preserve"> περαιτέρω επένδυση σε ομόλογα σταθερών επιτοκίων, </w:t>
      </w:r>
      <w:r w:rsidR="009157F3">
        <w:rPr>
          <w:rFonts w:ascii="Arial" w:eastAsia="Batang" w:hAnsi="Arial" w:cs="Arial"/>
          <w:sz w:val="18"/>
          <w:szCs w:val="18"/>
          <w:lang w:val="el-GR" w:eastAsia="en-US"/>
        </w:rPr>
        <w:t>την</w:t>
      </w:r>
      <w:r w:rsidRPr="00502B4F">
        <w:rPr>
          <w:rFonts w:ascii="Arial" w:eastAsia="Batang" w:hAnsi="Arial" w:cs="Arial"/>
          <w:sz w:val="18"/>
          <w:szCs w:val="18"/>
          <w:lang w:val="el-GR" w:eastAsia="en-US"/>
        </w:rPr>
        <w:t xml:space="preserve"> επιπρόσθετη συμμέτοχη σε συμφωνίες </w:t>
      </w:r>
      <w:proofErr w:type="spellStart"/>
      <w:r w:rsidRPr="00502B4F">
        <w:rPr>
          <w:rFonts w:ascii="Arial" w:eastAsia="Batang" w:hAnsi="Arial" w:cs="Arial"/>
          <w:sz w:val="18"/>
          <w:szCs w:val="18"/>
          <w:lang w:val="el-GR" w:eastAsia="en-US"/>
        </w:rPr>
        <w:t>επαναπώλησης</w:t>
      </w:r>
      <w:proofErr w:type="spellEnd"/>
      <w:r w:rsidR="005B5C80">
        <w:rPr>
          <w:rFonts w:ascii="Arial" w:eastAsia="Batang" w:hAnsi="Arial" w:cs="Arial"/>
          <w:sz w:val="18"/>
          <w:szCs w:val="18"/>
          <w:lang w:val="el-GR" w:eastAsia="en-US"/>
        </w:rPr>
        <w:t xml:space="preserve"> τίτλων </w:t>
      </w:r>
      <w:r w:rsidRPr="00502B4F">
        <w:rPr>
          <w:rFonts w:ascii="Arial" w:eastAsia="Batang" w:hAnsi="Arial" w:cs="Arial"/>
          <w:sz w:val="18"/>
          <w:szCs w:val="18"/>
          <w:lang w:val="el-GR" w:eastAsia="en-US"/>
        </w:rPr>
        <w:t>(‘</w:t>
      </w:r>
      <w:proofErr w:type="spellStart"/>
      <w:r w:rsidRPr="00502B4F">
        <w:rPr>
          <w:rFonts w:ascii="Arial" w:eastAsia="Batang" w:hAnsi="Arial" w:cs="Arial"/>
          <w:sz w:val="18"/>
          <w:szCs w:val="18"/>
          <w:lang w:val="el-GR" w:eastAsia="en-US"/>
        </w:rPr>
        <w:t>reverse</w:t>
      </w:r>
      <w:proofErr w:type="spellEnd"/>
      <w:r w:rsidRPr="00502B4F">
        <w:rPr>
          <w:rFonts w:ascii="Arial" w:eastAsia="Batang" w:hAnsi="Arial" w:cs="Arial"/>
          <w:sz w:val="18"/>
          <w:szCs w:val="18"/>
          <w:lang w:val="el-GR" w:eastAsia="en-US"/>
        </w:rPr>
        <w:t xml:space="preserve"> </w:t>
      </w:r>
      <w:proofErr w:type="spellStart"/>
      <w:r w:rsidRPr="00502B4F">
        <w:rPr>
          <w:rFonts w:ascii="Arial" w:eastAsia="Batang" w:hAnsi="Arial" w:cs="Arial"/>
          <w:sz w:val="18"/>
          <w:szCs w:val="18"/>
          <w:lang w:val="el-GR" w:eastAsia="en-US"/>
        </w:rPr>
        <w:t>repos</w:t>
      </w:r>
      <w:proofErr w:type="spellEnd"/>
      <w:r w:rsidRPr="00502B4F">
        <w:rPr>
          <w:rFonts w:ascii="Arial" w:eastAsia="Batang" w:hAnsi="Arial" w:cs="Arial"/>
          <w:sz w:val="18"/>
          <w:szCs w:val="18"/>
          <w:lang w:val="el-GR" w:eastAsia="en-US"/>
        </w:rPr>
        <w:t xml:space="preserve">’) και </w:t>
      </w:r>
      <w:r w:rsidR="009157F3">
        <w:rPr>
          <w:rFonts w:ascii="Arial" w:eastAsia="Batang" w:hAnsi="Arial" w:cs="Arial"/>
          <w:sz w:val="18"/>
          <w:szCs w:val="18"/>
          <w:lang w:val="el-GR" w:eastAsia="en-US"/>
        </w:rPr>
        <w:t>τη</w:t>
      </w:r>
      <w:r w:rsidRPr="00502B4F">
        <w:rPr>
          <w:rFonts w:ascii="Arial" w:eastAsia="Batang" w:hAnsi="Arial" w:cs="Arial"/>
          <w:sz w:val="18"/>
          <w:szCs w:val="18"/>
          <w:lang w:val="el-GR" w:eastAsia="en-US"/>
        </w:rPr>
        <w:t xml:space="preserve"> συνεχιζόμενη παροχή δανεισμού με σταθερά επιτόκια</w:t>
      </w:r>
      <w:r w:rsidR="009157F3">
        <w:rPr>
          <w:rFonts w:ascii="Arial" w:eastAsia="Batang" w:hAnsi="Arial" w:cs="Arial"/>
          <w:sz w:val="18"/>
          <w:szCs w:val="18"/>
          <w:lang w:val="el-GR" w:eastAsia="en-US"/>
        </w:rPr>
        <w:t xml:space="preserve">. </w:t>
      </w:r>
    </w:p>
    <w:p w14:paraId="4D80E13E" w14:textId="77777777" w:rsidR="008559C0" w:rsidRPr="00502B4F" w:rsidRDefault="008559C0" w:rsidP="00CD3E10">
      <w:pPr>
        <w:pStyle w:val="BodyText3"/>
        <w:jc w:val="both"/>
        <w:rPr>
          <w:rFonts w:ascii="Arial" w:eastAsia="Batang" w:hAnsi="Arial" w:cs="Arial"/>
          <w:sz w:val="18"/>
          <w:szCs w:val="18"/>
          <w:lang w:val="el-GR" w:eastAsia="en-US"/>
        </w:rPr>
      </w:pPr>
    </w:p>
    <w:p w14:paraId="4348E7AC" w14:textId="737966D7" w:rsidR="0059185A" w:rsidRPr="004A2A8C" w:rsidRDefault="00927368" w:rsidP="004A2A8C">
      <w:pPr>
        <w:pStyle w:val="BodyText3"/>
        <w:jc w:val="both"/>
        <w:rPr>
          <w:rFonts w:ascii="Arial" w:eastAsia="Batang" w:hAnsi="Arial" w:cs="Arial"/>
          <w:sz w:val="18"/>
          <w:szCs w:val="18"/>
          <w:lang w:val="el-GR" w:eastAsia="en-US"/>
        </w:rPr>
      </w:pPr>
      <w:r w:rsidRPr="00502B4F">
        <w:rPr>
          <w:rFonts w:ascii="Arial" w:eastAsia="Batang" w:hAnsi="Arial" w:cs="Arial"/>
          <w:sz w:val="18"/>
          <w:szCs w:val="18"/>
          <w:lang w:val="el-GR" w:eastAsia="en-US"/>
        </w:rPr>
        <w:t xml:space="preserve">Κατά το </w:t>
      </w:r>
      <w:r w:rsidR="007A2F9B">
        <w:rPr>
          <w:rFonts w:ascii="Arial" w:eastAsia="Batang" w:hAnsi="Arial" w:cs="Arial"/>
          <w:sz w:val="18"/>
          <w:szCs w:val="18"/>
          <w:lang w:val="el-GR" w:eastAsia="en-US"/>
        </w:rPr>
        <w:t>εννεάμηνο</w:t>
      </w:r>
      <w:r w:rsidR="005B5C80" w:rsidRPr="00502B4F">
        <w:rPr>
          <w:rFonts w:ascii="Arial" w:eastAsia="Batang" w:hAnsi="Arial" w:cs="Arial"/>
          <w:sz w:val="18"/>
          <w:szCs w:val="18"/>
          <w:lang w:val="el-GR" w:eastAsia="en-US"/>
        </w:rPr>
        <w:t xml:space="preserve"> που έληξε στις 30 Σεπτεμβρίου</w:t>
      </w:r>
      <w:r w:rsidR="00434D58" w:rsidRPr="00502B4F">
        <w:rPr>
          <w:rFonts w:ascii="Arial" w:eastAsia="Batang" w:hAnsi="Arial" w:cs="Arial"/>
          <w:sz w:val="18"/>
          <w:szCs w:val="18"/>
          <w:lang w:val="el-GR" w:eastAsia="en-US"/>
        </w:rPr>
        <w:t xml:space="preserve"> </w:t>
      </w:r>
      <w:r w:rsidRPr="00502B4F">
        <w:rPr>
          <w:rFonts w:ascii="Arial" w:eastAsia="Batang" w:hAnsi="Arial" w:cs="Arial"/>
          <w:sz w:val="18"/>
          <w:szCs w:val="18"/>
          <w:lang w:val="el-GR" w:eastAsia="en-US"/>
        </w:rPr>
        <w:t xml:space="preserve">2024, το Συγκρότημα πραγματοποίησε ενέργειες αντιστάθμισης ύψους </w:t>
      </w:r>
      <w:r w:rsidR="005B5C80" w:rsidRPr="00502B4F">
        <w:rPr>
          <w:rFonts w:ascii="Arial" w:eastAsia="Batang" w:hAnsi="Arial" w:cs="Arial"/>
          <w:sz w:val="18"/>
          <w:szCs w:val="18"/>
          <w:lang w:val="el-GR" w:eastAsia="en-US"/>
        </w:rPr>
        <w:t xml:space="preserve">περίπου </w:t>
      </w:r>
      <w:r w:rsidRPr="00502B4F">
        <w:rPr>
          <w:rFonts w:ascii="Arial" w:eastAsia="Batang" w:hAnsi="Arial" w:cs="Arial"/>
          <w:sz w:val="18"/>
          <w:szCs w:val="18"/>
          <w:lang w:val="el-GR" w:eastAsia="en-US"/>
        </w:rPr>
        <w:t>€</w:t>
      </w:r>
      <w:r w:rsidR="00434D58" w:rsidRPr="00502B4F">
        <w:rPr>
          <w:rFonts w:ascii="Arial" w:eastAsia="Batang" w:hAnsi="Arial" w:cs="Arial"/>
          <w:sz w:val="18"/>
          <w:szCs w:val="18"/>
          <w:lang w:val="el-GR" w:eastAsia="en-US"/>
        </w:rPr>
        <w:t>4</w:t>
      </w:r>
      <w:r w:rsidR="00FA347A">
        <w:rPr>
          <w:rFonts w:ascii="Arial" w:eastAsia="Batang" w:hAnsi="Arial" w:cs="Arial"/>
          <w:sz w:val="18"/>
          <w:szCs w:val="18"/>
          <w:lang w:val="el-GR" w:eastAsia="en-US"/>
        </w:rPr>
        <w:t>.0</w:t>
      </w:r>
      <w:r w:rsidR="00434D58" w:rsidRPr="00502B4F">
        <w:rPr>
          <w:rFonts w:ascii="Arial" w:eastAsia="Batang" w:hAnsi="Arial" w:cs="Arial"/>
          <w:sz w:val="18"/>
          <w:szCs w:val="18"/>
          <w:lang w:val="el-GR" w:eastAsia="en-US"/>
        </w:rPr>
        <w:t xml:space="preserve"> </w:t>
      </w:r>
      <w:r w:rsidRPr="00502B4F">
        <w:rPr>
          <w:rFonts w:ascii="Arial" w:eastAsia="Batang" w:hAnsi="Arial" w:cs="Arial"/>
          <w:sz w:val="18"/>
          <w:szCs w:val="18"/>
          <w:lang w:val="el-GR" w:eastAsia="en-US"/>
        </w:rPr>
        <w:t>δις</w:t>
      </w:r>
      <w:r w:rsidR="00FA347A">
        <w:rPr>
          <w:rFonts w:ascii="Arial" w:eastAsia="Batang" w:hAnsi="Arial" w:cs="Arial"/>
          <w:sz w:val="18"/>
          <w:szCs w:val="18"/>
          <w:lang w:val="el-GR" w:eastAsia="en-US"/>
        </w:rPr>
        <w:t xml:space="preserve">. </w:t>
      </w:r>
      <w:r w:rsidR="009157F3">
        <w:rPr>
          <w:rFonts w:ascii="Arial" w:eastAsia="Batang" w:hAnsi="Arial" w:cs="Arial"/>
          <w:sz w:val="18"/>
          <w:szCs w:val="18"/>
          <w:lang w:val="el-GR" w:eastAsia="en-US"/>
        </w:rPr>
        <w:t xml:space="preserve">Οι ενέργειες αντιστάθμισης προήλθαν κυρίως </w:t>
      </w:r>
      <w:r w:rsidR="009C01DB" w:rsidRPr="00502B4F">
        <w:rPr>
          <w:rFonts w:ascii="Arial" w:eastAsia="Batang" w:hAnsi="Arial" w:cs="Arial"/>
          <w:sz w:val="18"/>
          <w:szCs w:val="18"/>
          <w:lang w:val="el-GR" w:eastAsia="en-US"/>
        </w:rPr>
        <w:t xml:space="preserve">μέσω </w:t>
      </w:r>
      <w:r w:rsidR="0058787D" w:rsidRPr="00502B4F">
        <w:rPr>
          <w:rFonts w:ascii="Arial" w:eastAsia="Batang" w:hAnsi="Arial" w:cs="Arial"/>
          <w:sz w:val="18"/>
          <w:szCs w:val="18"/>
          <w:lang w:val="el-GR" w:eastAsia="en-US"/>
        </w:rPr>
        <w:t xml:space="preserve">της συμμετοχής </w:t>
      </w:r>
      <w:r w:rsidR="009C01DB" w:rsidRPr="00502B4F">
        <w:rPr>
          <w:rFonts w:ascii="Arial" w:eastAsia="Batang" w:hAnsi="Arial" w:cs="Arial"/>
          <w:sz w:val="18"/>
          <w:szCs w:val="18"/>
          <w:lang w:val="el-GR" w:eastAsia="en-US"/>
        </w:rPr>
        <w:t>σε συμφωνίες ανταλλαγής επιτοκίων</w:t>
      </w:r>
      <w:r w:rsidR="0069553B" w:rsidRPr="00502B4F">
        <w:rPr>
          <w:rFonts w:ascii="Arial" w:eastAsia="Batang" w:hAnsi="Arial" w:cs="Arial"/>
          <w:sz w:val="18"/>
          <w:szCs w:val="18"/>
          <w:lang w:val="el-GR" w:eastAsia="en-US"/>
        </w:rPr>
        <w:t xml:space="preserve"> (καταβολής κυμαινόμενου επιτοκίου και είσπραξη σταθερού επιτοκίου)</w:t>
      </w:r>
      <w:r w:rsidR="0058787D" w:rsidRPr="00502B4F">
        <w:rPr>
          <w:rFonts w:ascii="Arial" w:eastAsia="Batang" w:hAnsi="Arial" w:cs="Arial"/>
          <w:sz w:val="18"/>
          <w:szCs w:val="18"/>
          <w:lang w:val="el-GR" w:eastAsia="en-US"/>
        </w:rPr>
        <w:t>,</w:t>
      </w:r>
      <w:r w:rsidR="009C01DB" w:rsidRPr="00502B4F">
        <w:rPr>
          <w:rFonts w:ascii="Arial" w:eastAsia="Batang" w:hAnsi="Arial" w:cs="Arial"/>
          <w:sz w:val="18"/>
          <w:szCs w:val="18"/>
          <w:lang w:val="el-GR" w:eastAsia="en-US"/>
        </w:rPr>
        <w:t xml:space="preserve"> </w:t>
      </w:r>
      <w:r w:rsidR="00030F82" w:rsidRPr="00502B4F">
        <w:rPr>
          <w:rFonts w:ascii="Arial" w:eastAsia="Batang" w:hAnsi="Arial" w:cs="Arial"/>
          <w:sz w:val="18"/>
          <w:szCs w:val="18"/>
          <w:lang w:val="el-GR" w:eastAsia="en-US"/>
        </w:rPr>
        <w:t xml:space="preserve">μέσω της επένδυσης σε ομόλογα σταθερών επιτοκίων, </w:t>
      </w:r>
      <w:r w:rsidR="009C01DB" w:rsidRPr="00502B4F">
        <w:rPr>
          <w:rFonts w:ascii="Arial" w:eastAsia="Batang" w:hAnsi="Arial" w:cs="Arial"/>
          <w:sz w:val="18"/>
          <w:szCs w:val="18"/>
          <w:lang w:val="el-GR" w:eastAsia="en-US"/>
        </w:rPr>
        <w:t xml:space="preserve">μέσω της συμμέτοχης σε </w:t>
      </w:r>
      <w:r w:rsidR="009A3909" w:rsidRPr="00502B4F">
        <w:rPr>
          <w:rFonts w:ascii="Arial" w:eastAsia="Batang" w:hAnsi="Arial" w:cs="Arial"/>
          <w:sz w:val="18"/>
          <w:szCs w:val="18"/>
          <w:lang w:val="el-GR" w:eastAsia="en-US"/>
        </w:rPr>
        <w:t xml:space="preserve">συμφωνίες </w:t>
      </w:r>
      <w:proofErr w:type="spellStart"/>
      <w:r w:rsidR="009A3909" w:rsidRPr="00502B4F">
        <w:rPr>
          <w:rFonts w:ascii="Arial" w:eastAsia="Batang" w:hAnsi="Arial" w:cs="Arial"/>
          <w:sz w:val="18"/>
          <w:szCs w:val="18"/>
          <w:lang w:val="el-GR" w:eastAsia="en-US"/>
        </w:rPr>
        <w:t>επαναπώλησης</w:t>
      </w:r>
      <w:proofErr w:type="spellEnd"/>
      <w:r w:rsidR="00686BFD" w:rsidRPr="00502B4F">
        <w:rPr>
          <w:rFonts w:ascii="Arial" w:eastAsia="Batang" w:hAnsi="Arial" w:cs="Arial"/>
          <w:sz w:val="18"/>
          <w:szCs w:val="18"/>
          <w:lang w:val="el-GR" w:eastAsia="en-US"/>
        </w:rPr>
        <w:t xml:space="preserve"> </w:t>
      </w:r>
      <w:r w:rsidR="0069553B" w:rsidRPr="00502B4F">
        <w:rPr>
          <w:rFonts w:ascii="Arial" w:eastAsia="Batang" w:hAnsi="Arial" w:cs="Arial"/>
          <w:sz w:val="18"/>
          <w:szCs w:val="18"/>
          <w:lang w:val="el-GR" w:eastAsia="en-US"/>
        </w:rPr>
        <w:t xml:space="preserve">τίτλων </w:t>
      </w:r>
      <w:r w:rsidR="009C01DB" w:rsidRPr="00502B4F">
        <w:rPr>
          <w:rFonts w:ascii="Arial" w:eastAsia="Batang" w:hAnsi="Arial" w:cs="Arial"/>
          <w:sz w:val="18"/>
          <w:szCs w:val="18"/>
          <w:lang w:val="el-GR" w:eastAsia="en-US"/>
        </w:rPr>
        <w:t>(</w:t>
      </w:r>
      <w:r w:rsidR="00565DE9" w:rsidRPr="00502B4F">
        <w:rPr>
          <w:rFonts w:ascii="Arial" w:eastAsia="Batang" w:hAnsi="Arial" w:cs="Arial"/>
          <w:sz w:val="18"/>
          <w:szCs w:val="18"/>
          <w:lang w:val="el-GR" w:eastAsia="en-US"/>
        </w:rPr>
        <w:t>‘</w:t>
      </w:r>
      <w:proofErr w:type="spellStart"/>
      <w:r w:rsidR="009C01DB" w:rsidRPr="00502B4F">
        <w:rPr>
          <w:rFonts w:ascii="Arial" w:eastAsia="Batang" w:hAnsi="Arial" w:cs="Arial"/>
          <w:sz w:val="18"/>
          <w:szCs w:val="18"/>
          <w:lang w:val="el-GR" w:eastAsia="en-US"/>
        </w:rPr>
        <w:t>reverse</w:t>
      </w:r>
      <w:proofErr w:type="spellEnd"/>
      <w:r w:rsidR="009C01DB" w:rsidRPr="00502B4F">
        <w:rPr>
          <w:rFonts w:ascii="Arial" w:eastAsia="Batang" w:hAnsi="Arial" w:cs="Arial"/>
          <w:sz w:val="18"/>
          <w:szCs w:val="18"/>
          <w:lang w:val="el-GR" w:eastAsia="en-US"/>
        </w:rPr>
        <w:t xml:space="preserve"> </w:t>
      </w:r>
      <w:proofErr w:type="spellStart"/>
      <w:r w:rsidR="009C01DB" w:rsidRPr="00502B4F">
        <w:rPr>
          <w:rFonts w:ascii="Arial" w:eastAsia="Batang" w:hAnsi="Arial" w:cs="Arial"/>
          <w:sz w:val="18"/>
          <w:szCs w:val="18"/>
          <w:lang w:val="el-GR" w:eastAsia="en-US"/>
        </w:rPr>
        <w:t>repos</w:t>
      </w:r>
      <w:proofErr w:type="spellEnd"/>
      <w:r w:rsidR="00565DE9" w:rsidRPr="00502B4F">
        <w:rPr>
          <w:rFonts w:ascii="Arial" w:eastAsia="Batang" w:hAnsi="Arial" w:cs="Arial"/>
          <w:sz w:val="18"/>
          <w:szCs w:val="18"/>
          <w:lang w:val="el-GR" w:eastAsia="en-US"/>
        </w:rPr>
        <w:t>’</w:t>
      </w:r>
      <w:r w:rsidR="009C01DB" w:rsidRPr="00502B4F">
        <w:rPr>
          <w:rFonts w:ascii="Arial" w:eastAsia="Batang" w:hAnsi="Arial" w:cs="Arial"/>
          <w:sz w:val="18"/>
          <w:szCs w:val="18"/>
          <w:lang w:val="el-GR" w:eastAsia="en-US"/>
        </w:rPr>
        <w:t xml:space="preserve">) και μέσω </w:t>
      </w:r>
      <w:r w:rsidR="00383354" w:rsidRPr="00502B4F">
        <w:rPr>
          <w:rFonts w:ascii="Arial" w:eastAsia="Batang" w:hAnsi="Arial" w:cs="Arial"/>
          <w:sz w:val="18"/>
          <w:szCs w:val="18"/>
          <w:lang w:val="el-GR" w:eastAsia="en-US"/>
        </w:rPr>
        <w:t xml:space="preserve">της </w:t>
      </w:r>
      <w:r w:rsidR="00CD3E10" w:rsidRPr="00502B4F">
        <w:rPr>
          <w:rFonts w:ascii="Arial" w:eastAsia="Batang" w:hAnsi="Arial" w:cs="Arial"/>
          <w:sz w:val="18"/>
          <w:szCs w:val="18"/>
          <w:lang w:val="el-GR" w:eastAsia="en-US"/>
        </w:rPr>
        <w:t>παροχής δανεισμού με σταθερά επιτόκια</w:t>
      </w:r>
      <w:r w:rsidR="00F37919" w:rsidRPr="00502B4F">
        <w:rPr>
          <w:rFonts w:ascii="Arial" w:eastAsia="Batang" w:hAnsi="Arial" w:cs="Arial"/>
          <w:sz w:val="18"/>
          <w:szCs w:val="18"/>
          <w:lang w:val="el-GR" w:eastAsia="en-US"/>
        </w:rPr>
        <w:t>.</w:t>
      </w:r>
      <w:r w:rsidR="00686BFD">
        <w:rPr>
          <w:rFonts w:ascii="Arial" w:eastAsia="Batang" w:hAnsi="Arial" w:cs="Arial"/>
          <w:sz w:val="18"/>
          <w:szCs w:val="18"/>
          <w:lang w:val="el-GR" w:eastAsia="en-US"/>
        </w:rPr>
        <w:t xml:space="preserve"> Συνολικά, από το 2023, το Συγκρότημα </w:t>
      </w:r>
      <w:r w:rsidR="00686BFD" w:rsidRPr="00AB2DC4">
        <w:rPr>
          <w:rFonts w:ascii="Arial" w:eastAsia="Batang" w:hAnsi="Arial" w:cs="Arial"/>
          <w:sz w:val="18"/>
          <w:szCs w:val="18"/>
          <w:lang w:val="el-GR" w:eastAsia="en-US"/>
        </w:rPr>
        <w:t>πραγματοποίησε</w:t>
      </w:r>
      <w:r w:rsidR="00686BFD">
        <w:rPr>
          <w:rFonts w:ascii="Arial" w:eastAsia="Batang" w:hAnsi="Arial" w:cs="Arial"/>
          <w:sz w:val="18"/>
          <w:szCs w:val="18"/>
          <w:lang w:val="el-GR" w:eastAsia="en-US"/>
        </w:rPr>
        <w:t xml:space="preserve"> </w:t>
      </w:r>
      <w:r w:rsidR="00686BFD" w:rsidRPr="00AB2DC4">
        <w:rPr>
          <w:rFonts w:ascii="Arial" w:eastAsia="Batang" w:hAnsi="Arial" w:cs="Arial"/>
          <w:sz w:val="18"/>
          <w:szCs w:val="18"/>
          <w:lang w:val="el-GR" w:eastAsia="en-US"/>
        </w:rPr>
        <w:t>ενέργειες αντιστάθμισης ύψους</w:t>
      </w:r>
      <w:r w:rsidR="00686BFD">
        <w:rPr>
          <w:rFonts w:ascii="Arial" w:eastAsia="Batang" w:hAnsi="Arial" w:cs="Arial"/>
          <w:sz w:val="18"/>
          <w:szCs w:val="18"/>
          <w:lang w:val="el-GR" w:eastAsia="en-US"/>
        </w:rPr>
        <w:t xml:space="preserve"> €8.4</w:t>
      </w:r>
      <w:r w:rsidR="00341CE7">
        <w:rPr>
          <w:rFonts w:ascii="Arial" w:eastAsia="Batang" w:hAnsi="Arial" w:cs="Arial"/>
          <w:sz w:val="18"/>
          <w:szCs w:val="18"/>
          <w:lang w:val="el-GR" w:eastAsia="en-US"/>
        </w:rPr>
        <w:t xml:space="preserve"> </w:t>
      </w:r>
      <w:r w:rsidR="00341CE7" w:rsidRPr="00341CE7">
        <w:rPr>
          <w:rFonts w:ascii="Arial" w:eastAsia="Batang" w:hAnsi="Arial" w:cs="Arial"/>
          <w:sz w:val="18"/>
          <w:szCs w:val="18"/>
          <w:lang w:val="el-GR" w:eastAsia="en-US"/>
        </w:rPr>
        <w:t>δις</w:t>
      </w:r>
      <w:r w:rsidR="00686BFD">
        <w:rPr>
          <w:rFonts w:ascii="Arial" w:eastAsia="Batang" w:hAnsi="Arial" w:cs="Arial"/>
          <w:sz w:val="18"/>
          <w:szCs w:val="18"/>
          <w:lang w:val="el-GR" w:eastAsia="en-US"/>
        </w:rPr>
        <w:t>,</w:t>
      </w:r>
      <w:r w:rsidR="0055041A">
        <w:rPr>
          <w:rFonts w:ascii="Arial" w:eastAsia="Batang" w:hAnsi="Arial" w:cs="Arial"/>
          <w:sz w:val="18"/>
          <w:szCs w:val="18"/>
          <w:lang w:val="el-GR" w:eastAsia="en-US"/>
        </w:rPr>
        <w:t xml:space="preserve"> που αντιπροσωπεύουν περίπου το 35% </w:t>
      </w:r>
      <w:r w:rsidR="0055041A" w:rsidRPr="0055041A">
        <w:rPr>
          <w:rFonts w:ascii="Arial" w:eastAsia="Batang" w:hAnsi="Arial" w:cs="Arial"/>
          <w:sz w:val="18"/>
          <w:szCs w:val="18"/>
          <w:lang w:val="el-GR" w:eastAsia="en-US"/>
        </w:rPr>
        <w:t>των τοκοφόρων περιουσιακών στοιχείων</w:t>
      </w:r>
      <w:r w:rsidR="0055041A">
        <w:rPr>
          <w:rFonts w:ascii="Arial" w:eastAsia="Batang" w:hAnsi="Arial" w:cs="Arial"/>
          <w:sz w:val="18"/>
          <w:szCs w:val="18"/>
          <w:lang w:val="el-GR" w:eastAsia="en-US"/>
        </w:rPr>
        <w:t xml:space="preserve"> </w:t>
      </w:r>
      <w:r w:rsidR="0055041A" w:rsidRPr="0055041A">
        <w:rPr>
          <w:rFonts w:ascii="Arial" w:eastAsia="Batang" w:hAnsi="Arial" w:cs="Arial"/>
          <w:sz w:val="18"/>
          <w:szCs w:val="18"/>
          <w:lang w:val="el-GR" w:eastAsia="en-US"/>
        </w:rPr>
        <w:t>κατά τις 30 Σεπτεμβρίου 2024.</w:t>
      </w:r>
      <w:r w:rsidR="004A2A8C" w:rsidRPr="004A2A8C">
        <w:rPr>
          <w:rFonts w:ascii="Arial" w:eastAsia="Batang" w:hAnsi="Arial" w:cs="Arial"/>
          <w:sz w:val="18"/>
          <w:szCs w:val="18"/>
          <w:lang w:val="el-GR" w:eastAsia="en-US"/>
        </w:rPr>
        <w:t xml:space="preserve"> </w:t>
      </w:r>
      <w:r w:rsidR="004A2A8C">
        <w:rPr>
          <w:rFonts w:ascii="Arial" w:eastAsia="Batang" w:hAnsi="Arial" w:cs="Arial"/>
          <w:sz w:val="18"/>
          <w:szCs w:val="18"/>
          <w:lang w:val="el-GR" w:eastAsia="en-US"/>
        </w:rPr>
        <w:t xml:space="preserve">Οι ενέργειες αντιστάθμισης φέρουν </w:t>
      </w:r>
      <w:r w:rsidR="004A2A8C" w:rsidRPr="00686BFD">
        <w:rPr>
          <w:rFonts w:ascii="Arial" w:eastAsia="Batang" w:hAnsi="Arial" w:cs="Arial"/>
          <w:sz w:val="18"/>
          <w:szCs w:val="18"/>
          <w:lang w:val="el-GR" w:eastAsia="en-US"/>
        </w:rPr>
        <w:t xml:space="preserve">μέσο ετήσιο επιτόκιο </w:t>
      </w:r>
      <w:r w:rsidR="004A2A8C" w:rsidRPr="009157F3">
        <w:rPr>
          <w:rFonts w:ascii="Arial" w:eastAsia="Batang" w:hAnsi="Arial" w:cs="Arial"/>
          <w:color w:val="000000" w:themeColor="text1"/>
          <w:sz w:val="18"/>
          <w:szCs w:val="18"/>
          <w:lang w:val="el-GR" w:eastAsia="en-US"/>
        </w:rPr>
        <w:t>ύψους 2.9%</w:t>
      </w:r>
      <w:r w:rsidR="004A2A8C">
        <w:rPr>
          <w:rFonts w:ascii="Arial" w:eastAsia="Batang" w:hAnsi="Arial" w:cs="Arial"/>
          <w:color w:val="000000" w:themeColor="text1"/>
          <w:sz w:val="18"/>
          <w:szCs w:val="18"/>
          <w:lang w:val="el-GR" w:eastAsia="en-US"/>
        </w:rPr>
        <w:t>.</w:t>
      </w:r>
      <w:r w:rsidR="004A2A8C">
        <w:rPr>
          <w:rFonts w:ascii="Arial" w:eastAsia="Batang" w:hAnsi="Arial" w:cs="Arial"/>
          <w:sz w:val="18"/>
          <w:szCs w:val="18"/>
          <w:lang w:val="el-GR" w:eastAsia="en-US"/>
        </w:rPr>
        <w:t xml:space="preserve"> </w:t>
      </w:r>
      <w:r w:rsidR="00F37919" w:rsidRPr="00502B4F">
        <w:rPr>
          <w:rFonts w:ascii="Arial" w:eastAsia="Batang" w:hAnsi="Arial" w:cs="Arial"/>
          <w:sz w:val="18"/>
          <w:szCs w:val="18"/>
          <w:lang w:val="el-GR" w:eastAsia="en-US"/>
        </w:rPr>
        <w:t xml:space="preserve">Ταυτόχρονα, περίπου το ένα </w:t>
      </w:r>
      <w:r w:rsidR="002628A6" w:rsidRPr="00502B4F">
        <w:rPr>
          <w:rFonts w:ascii="Arial" w:eastAsia="Batang" w:hAnsi="Arial" w:cs="Arial"/>
          <w:sz w:val="18"/>
          <w:szCs w:val="18"/>
          <w:lang w:val="el-GR" w:eastAsia="en-US"/>
        </w:rPr>
        <w:t>τέταρτο</w:t>
      </w:r>
      <w:r w:rsidR="00F37919" w:rsidRPr="00502B4F">
        <w:rPr>
          <w:rFonts w:ascii="Arial" w:eastAsia="Batang" w:hAnsi="Arial" w:cs="Arial"/>
          <w:sz w:val="18"/>
          <w:szCs w:val="18"/>
          <w:lang w:val="el-GR" w:eastAsia="en-US"/>
        </w:rPr>
        <w:t xml:space="preserve"> του δανειακού χαρτοφυλακίου του Συγκροτήματος συνδέεται με το βασικό επιτόκιο της Τράπεζας, το οποίο αποτελεί φυσική αντιστάθμιση (‘</w:t>
      </w:r>
      <w:proofErr w:type="spellStart"/>
      <w:r w:rsidR="00F37919" w:rsidRPr="00502B4F">
        <w:rPr>
          <w:rFonts w:ascii="Arial" w:eastAsia="Batang" w:hAnsi="Arial" w:cs="Arial"/>
          <w:sz w:val="18"/>
          <w:szCs w:val="18"/>
          <w:lang w:val="el-GR" w:eastAsia="en-US"/>
        </w:rPr>
        <w:t>natural</w:t>
      </w:r>
      <w:proofErr w:type="spellEnd"/>
      <w:r w:rsidR="00F37919" w:rsidRPr="00502B4F">
        <w:rPr>
          <w:rFonts w:ascii="Arial" w:eastAsia="Batang" w:hAnsi="Arial" w:cs="Arial"/>
          <w:sz w:val="18"/>
          <w:szCs w:val="18"/>
          <w:lang w:val="el-GR" w:eastAsia="en-US"/>
        </w:rPr>
        <w:t xml:space="preserve"> </w:t>
      </w:r>
      <w:proofErr w:type="spellStart"/>
      <w:r w:rsidR="00F37919" w:rsidRPr="00502B4F">
        <w:rPr>
          <w:rFonts w:ascii="Arial" w:eastAsia="Batang" w:hAnsi="Arial" w:cs="Arial"/>
          <w:sz w:val="18"/>
          <w:szCs w:val="18"/>
          <w:lang w:val="el-GR" w:eastAsia="en-US"/>
        </w:rPr>
        <w:t>hedge</w:t>
      </w:r>
      <w:proofErr w:type="spellEnd"/>
      <w:r w:rsidR="00F37919" w:rsidRPr="00502B4F">
        <w:rPr>
          <w:rFonts w:ascii="Arial" w:eastAsia="Batang" w:hAnsi="Arial" w:cs="Arial"/>
          <w:sz w:val="18"/>
          <w:szCs w:val="18"/>
          <w:lang w:val="el-GR" w:eastAsia="en-US"/>
        </w:rPr>
        <w:t xml:space="preserve">’) του κόστους καταθέσεων. Συνολικά, οι πιο πάνω ενέργειες οδήγησαν στη μείωση της </w:t>
      </w:r>
      <w:r w:rsidR="00B85DA8" w:rsidRPr="00502B4F">
        <w:rPr>
          <w:rFonts w:ascii="Arial" w:eastAsia="Batang" w:hAnsi="Arial" w:cs="Arial"/>
          <w:sz w:val="18"/>
          <w:szCs w:val="18"/>
          <w:lang w:val="el-GR" w:eastAsia="en-US"/>
        </w:rPr>
        <w:t xml:space="preserve">ευαισθησίας </w:t>
      </w:r>
      <w:r w:rsidR="00F37919" w:rsidRPr="00502B4F">
        <w:rPr>
          <w:rFonts w:ascii="Arial" w:eastAsia="Batang" w:hAnsi="Arial" w:cs="Arial"/>
          <w:sz w:val="18"/>
          <w:szCs w:val="18"/>
          <w:lang w:val="el-GR" w:eastAsia="en-US"/>
        </w:rPr>
        <w:t xml:space="preserve">των καθαρών εσόδων από τόκους </w:t>
      </w:r>
      <w:r w:rsidR="00B85DA8" w:rsidRPr="00502B4F">
        <w:rPr>
          <w:rFonts w:ascii="Arial" w:eastAsia="Batang" w:hAnsi="Arial" w:cs="Arial"/>
          <w:sz w:val="18"/>
          <w:szCs w:val="18"/>
          <w:lang w:val="el-GR" w:eastAsia="en-US"/>
        </w:rPr>
        <w:t xml:space="preserve">σε μεταβολές </w:t>
      </w:r>
      <w:r w:rsidR="00F37919" w:rsidRPr="00502B4F">
        <w:rPr>
          <w:rFonts w:ascii="Arial" w:eastAsia="Batang" w:hAnsi="Arial" w:cs="Arial"/>
          <w:sz w:val="18"/>
          <w:szCs w:val="18"/>
          <w:lang w:val="el-GR" w:eastAsia="en-US"/>
        </w:rPr>
        <w:t>των επιτοκίων (‘</w:t>
      </w:r>
      <w:proofErr w:type="spellStart"/>
      <w:r w:rsidR="00F37919" w:rsidRPr="00502B4F">
        <w:rPr>
          <w:rFonts w:ascii="Arial" w:eastAsia="Batang" w:hAnsi="Arial" w:cs="Arial"/>
          <w:sz w:val="18"/>
          <w:szCs w:val="18"/>
          <w:lang w:val="el-GR" w:eastAsia="en-US"/>
        </w:rPr>
        <w:t>sensitivity</w:t>
      </w:r>
      <w:proofErr w:type="spellEnd"/>
      <w:r w:rsidR="00F37919" w:rsidRPr="00502B4F">
        <w:rPr>
          <w:rFonts w:ascii="Arial" w:eastAsia="Batang" w:hAnsi="Arial" w:cs="Arial"/>
          <w:sz w:val="18"/>
          <w:szCs w:val="18"/>
          <w:lang w:val="el-GR" w:eastAsia="en-US"/>
        </w:rPr>
        <w:t xml:space="preserve">’) (σε παράλληλη μεταβολή κατά 100 </w:t>
      </w:r>
      <w:proofErr w:type="spellStart"/>
      <w:r w:rsidR="00F37919" w:rsidRPr="00502B4F">
        <w:rPr>
          <w:rFonts w:ascii="Arial" w:eastAsia="Batang" w:hAnsi="Arial" w:cs="Arial"/>
          <w:sz w:val="18"/>
          <w:szCs w:val="18"/>
          <w:lang w:val="el-GR" w:eastAsia="en-US"/>
        </w:rPr>
        <w:t>μ.β</w:t>
      </w:r>
      <w:proofErr w:type="spellEnd"/>
      <w:r w:rsidR="00F37919" w:rsidRPr="00502B4F">
        <w:rPr>
          <w:rFonts w:ascii="Arial" w:eastAsia="Batang" w:hAnsi="Arial" w:cs="Arial"/>
          <w:sz w:val="18"/>
          <w:szCs w:val="18"/>
          <w:lang w:val="el-GR" w:eastAsia="en-US"/>
        </w:rPr>
        <w:t>. των επιτοκίων) κατά</w:t>
      </w:r>
      <w:r w:rsidR="0055041A" w:rsidRPr="00502B4F">
        <w:rPr>
          <w:rFonts w:ascii="Arial" w:eastAsia="Batang" w:hAnsi="Arial" w:cs="Arial"/>
          <w:sz w:val="18"/>
          <w:szCs w:val="18"/>
          <w:lang w:val="el-GR" w:eastAsia="en-US"/>
        </w:rPr>
        <w:t xml:space="preserve"> περίπου</w:t>
      </w:r>
      <w:r w:rsidR="00F37919" w:rsidRPr="00502B4F">
        <w:rPr>
          <w:rFonts w:ascii="Arial" w:eastAsia="Batang" w:hAnsi="Arial" w:cs="Arial"/>
          <w:sz w:val="18"/>
          <w:szCs w:val="18"/>
          <w:lang w:val="el-GR" w:eastAsia="en-US"/>
        </w:rPr>
        <w:t xml:space="preserve"> €</w:t>
      </w:r>
      <w:r w:rsidR="0055041A" w:rsidRPr="00502B4F">
        <w:rPr>
          <w:rFonts w:ascii="Arial" w:eastAsia="Batang" w:hAnsi="Arial" w:cs="Arial"/>
          <w:sz w:val="18"/>
          <w:szCs w:val="18"/>
          <w:lang w:val="el-GR" w:eastAsia="en-US"/>
        </w:rPr>
        <w:t xml:space="preserve">40 </w:t>
      </w:r>
      <w:r w:rsidR="00F37919" w:rsidRPr="00502B4F">
        <w:rPr>
          <w:rFonts w:ascii="Arial" w:eastAsia="Batang" w:hAnsi="Arial" w:cs="Arial"/>
          <w:sz w:val="18"/>
          <w:szCs w:val="18"/>
          <w:lang w:val="el-GR" w:eastAsia="en-US"/>
        </w:rPr>
        <w:t>εκατ.</w:t>
      </w:r>
      <w:r w:rsidR="00434D58" w:rsidRPr="00502B4F">
        <w:rPr>
          <w:rFonts w:ascii="Arial" w:eastAsia="Batang" w:hAnsi="Arial" w:cs="Arial"/>
          <w:sz w:val="18"/>
          <w:szCs w:val="18"/>
          <w:lang w:val="el-GR" w:eastAsia="en-US"/>
        </w:rPr>
        <w:t xml:space="preserve"> από </w:t>
      </w:r>
      <w:r w:rsidR="0069553B" w:rsidRPr="00502B4F">
        <w:rPr>
          <w:rFonts w:ascii="Arial" w:eastAsia="Batang" w:hAnsi="Arial" w:cs="Arial"/>
          <w:sz w:val="18"/>
          <w:szCs w:val="18"/>
          <w:lang w:val="el-GR" w:eastAsia="en-US"/>
        </w:rPr>
        <w:t xml:space="preserve">τις 31 Δεκεμβρίου </w:t>
      </w:r>
      <w:r w:rsidR="0055041A" w:rsidRPr="00502B4F">
        <w:rPr>
          <w:rFonts w:ascii="Arial" w:eastAsia="Batang" w:hAnsi="Arial" w:cs="Arial"/>
          <w:sz w:val="18"/>
          <w:szCs w:val="18"/>
          <w:lang w:val="el-GR" w:eastAsia="en-US"/>
        </w:rPr>
        <w:t>2022</w:t>
      </w:r>
      <w:r w:rsidR="00434D58" w:rsidRPr="00502B4F">
        <w:rPr>
          <w:rFonts w:ascii="Arial" w:eastAsia="Batang" w:hAnsi="Arial" w:cs="Arial"/>
          <w:sz w:val="18"/>
          <w:szCs w:val="18"/>
          <w:lang w:val="el-GR" w:eastAsia="en-US"/>
        </w:rPr>
        <w:t xml:space="preserve">. </w:t>
      </w:r>
    </w:p>
    <w:p w14:paraId="59E3F73D" w14:textId="3FEB4BB6" w:rsidR="0059185A" w:rsidRPr="00502B4F" w:rsidRDefault="0059185A" w:rsidP="00CE36EC">
      <w:pPr>
        <w:spacing w:after="0" w:line="360" w:lineRule="auto"/>
        <w:jc w:val="both"/>
        <w:rPr>
          <w:rFonts w:ascii="Arial" w:hAnsi="Arial" w:cs="Arial"/>
          <w:sz w:val="18"/>
          <w:szCs w:val="18"/>
          <w:lang w:val="el-GR"/>
        </w:rPr>
      </w:pPr>
      <w:r w:rsidRPr="00502B4F">
        <w:rPr>
          <w:rFonts w:ascii="Arial" w:hAnsi="Arial" w:cs="Arial"/>
          <w:b/>
          <w:color w:val="FF9900"/>
          <w:sz w:val="24"/>
          <w:szCs w:val="24"/>
          <w:lang w:val="el-GR"/>
        </w:rPr>
        <w:lastRenderedPageBreak/>
        <w:t xml:space="preserve">Γ. Επισκόπηση επιχειρηματικής δραστηριότητας </w:t>
      </w:r>
      <w:r w:rsidRPr="00502B4F">
        <w:rPr>
          <w:rFonts w:ascii="Arial" w:hAnsi="Arial" w:cs="Arial"/>
          <w:bCs/>
          <w:color w:val="FF9900"/>
          <w:sz w:val="24"/>
          <w:szCs w:val="24"/>
          <w:lang w:val="el-GR"/>
        </w:rPr>
        <w:t>(συνέχεια)</w:t>
      </w:r>
    </w:p>
    <w:p w14:paraId="1B6F3603" w14:textId="40C46015" w:rsidR="00CE36EC" w:rsidRPr="00502B4F" w:rsidRDefault="00CE36EC" w:rsidP="00CE36EC">
      <w:pPr>
        <w:spacing w:after="0" w:line="360" w:lineRule="auto"/>
        <w:jc w:val="both"/>
        <w:rPr>
          <w:rFonts w:ascii="Arial" w:hAnsi="Arial" w:cs="Arial"/>
          <w:b/>
          <w:i/>
          <w:color w:val="FF9900"/>
          <w:sz w:val="20"/>
          <w:lang w:val="el-GR"/>
        </w:rPr>
      </w:pPr>
      <w:r w:rsidRPr="00502B4F">
        <w:rPr>
          <w:rFonts w:ascii="Arial" w:hAnsi="Arial" w:cs="Arial"/>
          <w:b/>
          <w:i/>
          <w:color w:val="FF9900"/>
          <w:sz w:val="20"/>
          <w:lang w:val="el-GR"/>
        </w:rPr>
        <w:t>Ενίσχυση εσόδων με βέλτιστη διαχείριση κεφαλαίων</w:t>
      </w:r>
    </w:p>
    <w:p w14:paraId="1477DE7E" w14:textId="1505EB83" w:rsidR="00CE36EC" w:rsidRPr="00502B4F" w:rsidRDefault="00CE36EC" w:rsidP="00CE36EC">
      <w:pPr>
        <w:spacing w:after="0" w:line="240" w:lineRule="auto"/>
        <w:jc w:val="both"/>
        <w:rPr>
          <w:rFonts w:ascii="Arial" w:hAnsi="Arial" w:cs="Arial"/>
          <w:sz w:val="18"/>
          <w:lang w:val="el-GR"/>
        </w:rPr>
      </w:pPr>
      <w:r w:rsidRPr="00502B4F">
        <w:rPr>
          <w:rFonts w:ascii="Arial" w:hAnsi="Arial" w:cs="Arial"/>
          <w:sz w:val="18"/>
          <w:lang w:val="el-GR"/>
        </w:rPr>
        <w:t>Το Συγκρότημα παραμένει επικεντρωμένο στην ενίσχυση εσόδων με βέλτιστη διαχείριση κεφαλαίων</w:t>
      </w:r>
      <w:r w:rsidR="009D7F85" w:rsidRPr="00502B4F">
        <w:rPr>
          <w:rFonts w:ascii="Arial" w:hAnsi="Arial" w:cs="Arial"/>
          <w:sz w:val="18"/>
          <w:lang w:val="el-GR"/>
        </w:rPr>
        <w:t xml:space="preserve"> μέσω</w:t>
      </w:r>
      <w:r w:rsidRPr="00502B4F">
        <w:rPr>
          <w:rFonts w:ascii="Arial" w:hAnsi="Arial" w:cs="Arial"/>
          <w:sz w:val="18"/>
          <w:lang w:val="el-GR"/>
        </w:rPr>
        <w:t xml:space="preserve"> τη</w:t>
      </w:r>
      <w:r w:rsidR="009D7F85" w:rsidRPr="00502B4F">
        <w:rPr>
          <w:rFonts w:ascii="Arial" w:hAnsi="Arial" w:cs="Arial"/>
          <w:sz w:val="18"/>
          <w:lang w:val="el-GR"/>
        </w:rPr>
        <w:t>ς</w:t>
      </w:r>
      <w:r w:rsidRPr="00502B4F">
        <w:rPr>
          <w:rFonts w:ascii="Arial" w:hAnsi="Arial" w:cs="Arial"/>
          <w:sz w:val="18"/>
          <w:lang w:val="el-GR"/>
        </w:rPr>
        <w:t xml:space="preserve"> αύξηση</w:t>
      </w:r>
      <w:r w:rsidR="009D7F85" w:rsidRPr="00502B4F">
        <w:rPr>
          <w:rFonts w:ascii="Arial" w:hAnsi="Arial" w:cs="Arial"/>
          <w:sz w:val="18"/>
          <w:lang w:val="el-GR"/>
        </w:rPr>
        <w:t>ς</w:t>
      </w:r>
      <w:r w:rsidRPr="00502B4F">
        <w:rPr>
          <w:rFonts w:ascii="Arial" w:hAnsi="Arial" w:cs="Arial"/>
          <w:sz w:val="18"/>
          <w:lang w:val="el-GR"/>
        </w:rPr>
        <w:t xml:space="preserve"> ποιοτικού νέου δανεισμού, τη</w:t>
      </w:r>
      <w:r w:rsidR="009D7F85" w:rsidRPr="00502B4F">
        <w:rPr>
          <w:rFonts w:ascii="Arial" w:hAnsi="Arial" w:cs="Arial"/>
          <w:sz w:val="18"/>
          <w:lang w:val="el-GR"/>
        </w:rPr>
        <w:t>ς</w:t>
      </w:r>
      <w:r w:rsidRPr="00502B4F">
        <w:rPr>
          <w:rFonts w:ascii="Arial" w:hAnsi="Arial" w:cs="Arial"/>
          <w:sz w:val="18"/>
          <w:lang w:val="el-GR"/>
        </w:rPr>
        <w:t xml:space="preserve"> ανάπτυξη</w:t>
      </w:r>
      <w:r w:rsidR="009D7F85" w:rsidRPr="00502B4F">
        <w:rPr>
          <w:rFonts w:ascii="Arial" w:hAnsi="Arial" w:cs="Arial"/>
          <w:sz w:val="18"/>
          <w:lang w:val="el-GR"/>
        </w:rPr>
        <w:t>ς</w:t>
      </w:r>
      <w:r w:rsidRPr="00502B4F">
        <w:rPr>
          <w:rFonts w:ascii="Arial" w:hAnsi="Arial" w:cs="Arial"/>
          <w:sz w:val="18"/>
          <w:lang w:val="el-GR"/>
        </w:rPr>
        <w:t xml:space="preserve"> σε εξειδικευμένους τομείς της αγοράς</w:t>
      </w:r>
      <w:r w:rsidR="009D7F85" w:rsidRPr="00502B4F">
        <w:rPr>
          <w:rFonts w:ascii="Arial" w:hAnsi="Arial" w:cs="Arial"/>
          <w:sz w:val="18"/>
          <w:lang w:val="el-GR"/>
        </w:rPr>
        <w:t xml:space="preserve"> όπως ασφαλιστικές εργασίες και ψηφιακά προϊόντα,</w:t>
      </w:r>
      <w:r w:rsidRPr="00502B4F">
        <w:rPr>
          <w:rFonts w:ascii="Arial" w:hAnsi="Arial" w:cs="Arial"/>
          <w:sz w:val="18"/>
          <w:lang w:val="el-GR"/>
        </w:rPr>
        <w:t xml:space="preserve"> για περαιτέρω διείσδυση στην αγορά και διαφοροποίηση των εσόδων μέσω μη τραπεζικών υπηρεσιών.</w:t>
      </w:r>
    </w:p>
    <w:p w14:paraId="1A999594" w14:textId="77777777" w:rsidR="00B205EF" w:rsidRPr="00502B4F" w:rsidRDefault="00B205EF" w:rsidP="00CE36EC">
      <w:pPr>
        <w:spacing w:after="0" w:line="240" w:lineRule="auto"/>
        <w:jc w:val="both"/>
        <w:rPr>
          <w:rFonts w:ascii="Arial" w:hAnsi="Arial" w:cs="Arial"/>
          <w:sz w:val="18"/>
          <w:lang w:val="el-GR"/>
        </w:rPr>
      </w:pPr>
    </w:p>
    <w:p w14:paraId="7ED9364E" w14:textId="62752C24" w:rsidR="00D022B5" w:rsidRPr="00D41B36" w:rsidRDefault="00D022B5" w:rsidP="00D022B5">
      <w:pPr>
        <w:spacing w:after="0" w:line="240" w:lineRule="auto"/>
        <w:jc w:val="both"/>
        <w:rPr>
          <w:rFonts w:ascii="Arial" w:hAnsi="Arial" w:cs="Arial"/>
          <w:sz w:val="18"/>
          <w:highlight w:val="yellow"/>
          <w:lang w:val="el-GR"/>
        </w:rPr>
      </w:pPr>
      <w:r w:rsidRPr="00502B4F">
        <w:rPr>
          <w:rFonts w:ascii="Arial" w:hAnsi="Arial" w:cs="Arial"/>
          <w:sz w:val="18"/>
          <w:lang w:val="el-GR"/>
        </w:rPr>
        <w:t xml:space="preserve">Το Συγκρότημα συνέχισε να παρέχει ποιοτικό νέο δανεισμό κατά το </w:t>
      </w:r>
      <w:r w:rsidR="007A2F9B">
        <w:rPr>
          <w:rFonts w:ascii="Arial" w:hAnsi="Arial" w:cs="Arial"/>
          <w:sz w:val="18"/>
          <w:lang w:val="el-GR"/>
        </w:rPr>
        <w:t>εννεάμηνο</w:t>
      </w:r>
      <w:r w:rsidR="0059185A" w:rsidRPr="00502B4F">
        <w:rPr>
          <w:rFonts w:ascii="Arial" w:hAnsi="Arial" w:cs="Arial"/>
          <w:sz w:val="18"/>
          <w:lang w:val="el-GR"/>
        </w:rPr>
        <w:t xml:space="preserve"> που έληξε στις 30 Σεπτεμβρίου </w:t>
      </w:r>
      <w:r w:rsidRPr="00502B4F">
        <w:rPr>
          <w:rFonts w:ascii="Arial" w:hAnsi="Arial" w:cs="Arial"/>
          <w:sz w:val="18"/>
          <w:lang w:val="el-GR"/>
        </w:rPr>
        <w:t>2024</w:t>
      </w:r>
      <w:r w:rsidRPr="00502B4F">
        <w:rPr>
          <w:rFonts w:ascii="Arial" w:hAnsi="Arial" w:cs="Arial"/>
          <w:sz w:val="18"/>
          <w:szCs w:val="18"/>
          <w:lang w:val="el-GR" w:eastAsia="en-US"/>
        </w:rPr>
        <w:t xml:space="preserve"> </w:t>
      </w:r>
      <w:r w:rsidRPr="00502B4F">
        <w:rPr>
          <w:rFonts w:ascii="Arial" w:hAnsi="Arial" w:cs="Arial"/>
          <w:sz w:val="18"/>
          <w:lang w:val="el-GR"/>
        </w:rPr>
        <w:t>μέσω συνετών πρακτικών.</w:t>
      </w:r>
      <w:r w:rsidR="0059185A" w:rsidRPr="0059185A">
        <w:rPr>
          <w:rFonts w:ascii="Arial" w:hAnsi="Arial" w:cs="Arial"/>
          <w:sz w:val="18"/>
          <w:lang w:val="el-GR"/>
        </w:rPr>
        <w:t xml:space="preserve"> </w:t>
      </w:r>
      <w:r w:rsidRPr="00502B4F">
        <w:rPr>
          <w:rFonts w:ascii="Arial" w:hAnsi="Arial" w:cs="Arial"/>
          <w:sz w:val="18"/>
          <w:lang w:val="el-GR"/>
        </w:rPr>
        <w:t xml:space="preserve">Ο νέος δανεισμός στη Κύπρο επικεντρώνεται σε επιλεγμένους κλάδους της οικονομίας οι οποίοι είναι συμβατοί με το προφίλ κινδύνου της Τράπεζας. Κατά το </w:t>
      </w:r>
      <w:r w:rsidR="007A2F9B">
        <w:rPr>
          <w:rFonts w:ascii="Arial" w:hAnsi="Arial" w:cs="Arial"/>
          <w:sz w:val="18"/>
          <w:lang w:val="el-GR"/>
        </w:rPr>
        <w:t>εννεάμηνο</w:t>
      </w:r>
      <w:r w:rsidR="002C46A6" w:rsidRPr="00502B4F">
        <w:rPr>
          <w:rFonts w:ascii="Arial" w:hAnsi="Arial" w:cs="Arial"/>
          <w:sz w:val="18"/>
          <w:lang w:val="el-GR"/>
        </w:rPr>
        <w:t xml:space="preserve"> που έληξε στις 30 Σεπτεμβρίου</w:t>
      </w:r>
      <w:r w:rsidR="002C46A6" w:rsidRPr="00502B4F">
        <w:rPr>
          <w:rFonts w:ascii="Arial" w:hAnsi="Arial" w:cs="Arial"/>
          <w:sz w:val="18"/>
          <w:szCs w:val="18"/>
          <w:lang w:val="el-GR"/>
        </w:rPr>
        <w:t xml:space="preserve"> </w:t>
      </w:r>
      <w:r w:rsidRPr="00502B4F">
        <w:rPr>
          <w:rFonts w:ascii="Arial" w:hAnsi="Arial" w:cs="Arial"/>
          <w:sz w:val="18"/>
          <w:szCs w:val="18"/>
          <w:lang w:val="el-GR" w:eastAsia="en-US"/>
        </w:rPr>
        <w:t>2024</w:t>
      </w:r>
      <w:r w:rsidRPr="00502B4F">
        <w:rPr>
          <w:rFonts w:ascii="Arial" w:hAnsi="Arial" w:cs="Arial"/>
          <w:sz w:val="18"/>
          <w:lang w:val="el-GR"/>
        </w:rPr>
        <w:t>, ο νέος δανεισμός παρέμεινε ισχυρός και ανήλθε σε €1.</w:t>
      </w:r>
      <w:r w:rsidR="002C46A6" w:rsidRPr="00502B4F">
        <w:rPr>
          <w:rFonts w:ascii="Arial" w:hAnsi="Arial" w:cs="Arial"/>
          <w:sz w:val="18"/>
          <w:lang w:val="el-GR"/>
        </w:rPr>
        <w:t>7</w:t>
      </w:r>
      <w:r w:rsidRPr="00502B4F">
        <w:rPr>
          <w:rFonts w:ascii="Arial" w:hAnsi="Arial" w:cs="Arial"/>
          <w:sz w:val="18"/>
          <w:lang w:val="el-GR"/>
        </w:rPr>
        <w:t xml:space="preserve"> </w:t>
      </w:r>
      <w:r w:rsidR="00366668" w:rsidRPr="00502B4F">
        <w:rPr>
          <w:rFonts w:ascii="Arial" w:hAnsi="Arial" w:cs="Arial"/>
          <w:sz w:val="18"/>
          <w:lang w:val="el-GR"/>
        </w:rPr>
        <w:t>δις</w:t>
      </w:r>
      <w:r w:rsidRPr="00502B4F">
        <w:rPr>
          <w:rFonts w:ascii="Arial" w:hAnsi="Arial" w:cs="Arial"/>
          <w:sz w:val="18"/>
          <w:lang w:val="el-GR"/>
        </w:rPr>
        <w:t xml:space="preserve">, </w:t>
      </w:r>
      <w:r w:rsidRPr="00502B4F">
        <w:rPr>
          <w:rFonts w:ascii="Arial" w:hAnsi="Arial" w:cs="Arial"/>
          <w:sz w:val="18"/>
          <w:szCs w:val="18"/>
          <w:lang w:val="el-GR"/>
        </w:rPr>
        <w:t xml:space="preserve">αυξημένος κατά </w:t>
      </w:r>
      <w:r w:rsidR="002C46A6" w:rsidRPr="00502B4F">
        <w:rPr>
          <w:rFonts w:ascii="Arial" w:hAnsi="Arial" w:cs="Arial"/>
          <w:sz w:val="18"/>
          <w:szCs w:val="18"/>
          <w:lang w:val="el-GR"/>
        </w:rPr>
        <w:t>9</w:t>
      </w:r>
      <w:r w:rsidRPr="00502B4F">
        <w:rPr>
          <w:rFonts w:ascii="Arial" w:hAnsi="Arial" w:cs="Arial"/>
          <w:sz w:val="18"/>
          <w:szCs w:val="18"/>
          <w:lang w:val="el-GR"/>
        </w:rPr>
        <w:t xml:space="preserve">% σε ετήσια βάση, </w:t>
      </w:r>
      <w:r w:rsidRPr="00502B4F">
        <w:rPr>
          <w:rFonts w:ascii="Arial" w:hAnsi="Arial" w:cs="Arial"/>
          <w:sz w:val="18"/>
          <w:szCs w:val="18"/>
          <w:lang w:val="el-GR" w:eastAsia="el-GR"/>
        </w:rPr>
        <w:t>κυρίως λόγω της αυξημένης ζήτησης για δάνεια σε επιχειρήσεις.</w:t>
      </w:r>
      <w:r w:rsidR="002C46A6">
        <w:rPr>
          <w:rFonts w:ascii="Arial" w:hAnsi="Arial" w:cs="Arial"/>
          <w:sz w:val="18"/>
          <w:szCs w:val="18"/>
          <w:lang w:val="el-GR" w:eastAsia="el-GR"/>
        </w:rPr>
        <w:t xml:space="preserve"> </w:t>
      </w:r>
      <w:r w:rsidRPr="00502B4F">
        <w:rPr>
          <w:rFonts w:ascii="Arial" w:hAnsi="Arial" w:cs="Arial"/>
          <w:sz w:val="18"/>
          <w:lang w:val="el-GR"/>
        </w:rPr>
        <w:t xml:space="preserve">Το χαρτοφυλάκιο εξυπηρετούμενων δανείων </w:t>
      </w:r>
      <w:r w:rsidRPr="00502B4F">
        <w:rPr>
          <w:rFonts w:ascii="Arial" w:hAnsi="Arial" w:cs="Arial"/>
          <w:sz w:val="18"/>
          <w:szCs w:val="18"/>
          <w:lang w:val="el-GR"/>
        </w:rPr>
        <w:t>αυξήθηκε κατά 3% από την αρχή του έτους, σε περίπου €10.</w:t>
      </w:r>
      <w:r w:rsidR="002C46A6" w:rsidRPr="00502B4F">
        <w:rPr>
          <w:rFonts w:ascii="Arial" w:hAnsi="Arial" w:cs="Arial"/>
          <w:sz w:val="18"/>
          <w:szCs w:val="18"/>
          <w:lang w:val="el-GR"/>
        </w:rPr>
        <w:t>0</w:t>
      </w:r>
      <w:r w:rsidRPr="00502B4F">
        <w:rPr>
          <w:rFonts w:ascii="Arial" w:hAnsi="Arial" w:cs="Arial"/>
          <w:sz w:val="18"/>
          <w:szCs w:val="18"/>
          <w:lang w:val="el-GR"/>
        </w:rPr>
        <w:t xml:space="preserve"> δις. Η αύξηση του δανειακού χαρτοφυλακίου περιορίζεται από τις αποπληρωμές.</w:t>
      </w:r>
    </w:p>
    <w:p w14:paraId="6726DFB7" w14:textId="77777777" w:rsidR="00D022B5" w:rsidRPr="00502B4F" w:rsidRDefault="00D022B5" w:rsidP="00D022B5">
      <w:pPr>
        <w:spacing w:after="0" w:line="240" w:lineRule="auto"/>
        <w:jc w:val="both"/>
        <w:rPr>
          <w:rFonts w:ascii="Arial" w:hAnsi="Arial" w:cs="Arial"/>
          <w:sz w:val="18"/>
          <w:lang w:val="el-GR"/>
        </w:rPr>
      </w:pPr>
    </w:p>
    <w:p w14:paraId="2EE67541" w14:textId="4CECD399" w:rsidR="002C46A6" w:rsidRPr="00502B4F" w:rsidRDefault="00CE36EC" w:rsidP="002C46A6">
      <w:pPr>
        <w:tabs>
          <w:tab w:val="left" w:pos="0"/>
          <w:tab w:val="left" w:pos="3251"/>
          <w:tab w:val="left" w:pos="6946"/>
        </w:tabs>
        <w:suppressAutoHyphens/>
        <w:spacing w:after="0" w:line="240" w:lineRule="auto"/>
        <w:jc w:val="both"/>
        <w:rPr>
          <w:rFonts w:ascii="Arial" w:hAnsi="Arial" w:cs="Arial"/>
          <w:sz w:val="18"/>
          <w:szCs w:val="18"/>
          <w:lang w:val="el-GR"/>
        </w:rPr>
      </w:pPr>
      <w:r w:rsidRPr="00502B4F">
        <w:rPr>
          <w:rFonts w:ascii="Arial" w:hAnsi="Arial" w:cs="Arial"/>
          <w:sz w:val="18"/>
          <w:szCs w:val="18"/>
          <w:lang w:val="el-GR"/>
        </w:rPr>
        <w:t>Το χαρτοφυλάκιο ομολόγων</w:t>
      </w:r>
      <w:r w:rsidR="00160F0A" w:rsidRPr="00502B4F">
        <w:rPr>
          <w:rFonts w:ascii="Arial" w:hAnsi="Arial" w:cs="Arial"/>
          <w:sz w:val="18"/>
          <w:szCs w:val="18"/>
          <w:lang w:val="el-GR"/>
        </w:rPr>
        <w:t xml:space="preserve"> συνέχισε να αυξάνεται κατά</w:t>
      </w:r>
      <w:r w:rsidR="00276E99" w:rsidRPr="00502B4F">
        <w:rPr>
          <w:rFonts w:ascii="Arial" w:hAnsi="Arial" w:cs="Arial"/>
          <w:sz w:val="18"/>
          <w:szCs w:val="18"/>
          <w:lang w:val="el-GR"/>
        </w:rPr>
        <w:t xml:space="preserve"> </w:t>
      </w:r>
      <w:r w:rsidR="002C46A6" w:rsidRPr="00502B4F">
        <w:rPr>
          <w:rFonts w:ascii="Arial" w:hAnsi="Arial" w:cs="Arial"/>
          <w:sz w:val="18"/>
          <w:szCs w:val="18"/>
          <w:lang w:val="el-GR"/>
        </w:rPr>
        <w:t xml:space="preserve">το </w:t>
      </w:r>
      <w:r w:rsidR="007A2F9B">
        <w:rPr>
          <w:rFonts w:ascii="Arial" w:hAnsi="Arial" w:cs="Arial"/>
          <w:sz w:val="18"/>
          <w:szCs w:val="18"/>
          <w:lang w:val="el-GR"/>
        </w:rPr>
        <w:t>εννεάμηνο</w:t>
      </w:r>
      <w:r w:rsidR="002C46A6" w:rsidRPr="00502B4F">
        <w:rPr>
          <w:rFonts w:ascii="Arial" w:hAnsi="Arial" w:cs="Arial"/>
          <w:sz w:val="18"/>
          <w:szCs w:val="18"/>
          <w:lang w:val="el-GR"/>
        </w:rPr>
        <w:t xml:space="preserve"> που έληξε στις 30 Σεπτεμβρίου</w:t>
      </w:r>
      <w:r w:rsidR="009027BD" w:rsidRPr="00502B4F">
        <w:rPr>
          <w:rFonts w:ascii="Arial" w:hAnsi="Arial" w:cs="Arial"/>
          <w:sz w:val="18"/>
          <w:szCs w:val="18"/>
          <w:lang w:val="el-GR"/>
        </w:rPr>
        <w:t xml:space="preserve"> </w:t>
      </w:r>
      <w:r w:rsidR="006041B9" w:rsidRPr="00502B4F">
        <w:rPr>
          <w:rFonts w:ascii="Arial" w:hAnsi="Arial" w:cs="Arial"/>
          <w:sz w:val="18"/>
          <w:szCs w:val="18"/>
          <w:lang w:val="el-GR"/>
        </w:rPr>
        <w:t>2024</w:t>
      </w:r>
      <w:r w:rsidR="00160F0A" w:rsidRPr="00502B4F">
        <w:rPr>
          <w:rFonts w:ascii="Arial" w:hAnsi="Arial" w:cs="Arial"/>
          <w:sz w:val="18"/>
          <w:szCs w:val="18"/>
          <w:lang w:val="el-GR"/>
        </w:rPr>
        <w:t xml:space="preserve"> και</w:t>
      </w:r>
      <w:r w:rsidRPr="00502B4F">
        <w:rPr>
          <w:rFonts w:ascii="Arial" w:hAnsi="Arial" w:cs="Arial"/>
          <w:sz w:val="18"/>
          <w:szCs w:val="18"/>
          <w:lang w:val="el-GR"/>
        </w:rPr>
        <w:t xml:space="preserve"> </w:t>
      </w:r>
      <w:r w:rsidR="00160F0A" w:rsidRPr="00502B4F">
        <w:rPr>
          <w:rFonts w:ascii="Arial" w:hAnsi="Arial" w:cs="Arial"/>
          <w:sz w:val="18"/>
          <w:szCs w:val="18"/>
          <w:lang w:val="el-GR"/>
        </w:rPr>
        <w:t>ανήλθε</w:t>
      </w:r>
      <w:r w:rsidRPr="00502B4F">
        <w:rPr>
          <w:rFonts w:ascii="Arial" w:hAnsi="Arial" w:cs="Arial"/>
          <w:sz w:val="18"/>
          <w:szCs w:val="18"/>
          <w:lang w:val="el-GR"/>
        </w:rPr>
        <w:t xml:space="preserve"> σε €</w:t>
      </w:r>
      <w:r w:rsidR="002C46A6" w:rsidRPr="00502B4F">
        <w:rPr>
          <w:rFonts w:ascii="Arial" w:hAnsi="Arial" w:cs="Arial"/>
          <w:sz w:val="18"/>
          <w:szCs w:val="18"/>
          <w:lang w:val="el-GR"/>
        </w:rPr>
        <w:t>4,061</w:t>
      </w:r>
      <w:r w:rsidR="002C46A6" w:rsidRPr="002C46A6">
        <w:rPr>
          <w:rFonts w:ascii="Arial" w:hAnsi="Arial" w:cs="Arial"/>
          <w:sz w:val="18"/>
          <w:szCs w:val="18"/>
          <w:lang w:val="el-GR"/>
        </w:rPr>
        <w:t xml:space="preserve"> </w:t>
      </w:r>
      <w:r w:rsidRPr="00502B4F">
        <w:rPr>
          <w:rFonts w:ascii="Arial" w:hAnsi="Arial" w:cs="Arial"/>
          <w:sz w:val="18"/>
          <w:szCs w:val="18"/>
          <w:lang w:val="el-GR"/>
        </w:rPr>
        <w:t>εκατ.</w:t>
      </w:r>
      <w:r w:rsidR="00160F0A" w:rsidRPr="00502B4F">
        <w:rPr>
          <w:rFonts w:ascii="Arial" w:hAnsi="Arial" w:cs="Arial"/>
          <w:sz w:val="18"/>
          <w:szCs w:val="18"/>
          <w:lang w:val="el-GR"/>
        </w:rPr>
        <w:t>, αντιπροσωπεύοντας</w:t>
      </w:r>
      <w:r w:rsidRPr="00502B4F">
        <w:rPr>
          <w:rFonts w:ascii="Arial" w:hAnsi="Arial" w:cs="Arial"/>
          <w:sz w:val="18"/>
          <w:szCs w:val="18"/>
          <w:lang w:val="el-GR"/>
        </w:rPr>
        <w:t xml:space="preserve"> το </w:t>
      </w:r>
      <w:r w:rsidR="002C46A6" w:rsidRPr="00502B4F">
        <w:rPr>
          <w:rFonts w:ascii="Arial" w:hAnsi="Arial" w:cs="Arial"/>
          <w:sz w:val="18"/>
          <w:szCs w:val="18"/>
          <w:lang w:val="el-GR"/>
        </w:rPr>
        <w:t>16</w:t>
      </w:r>
      <w:r w:rsidRPr="00502B4F">
        <w:rPr>
          <w:rFonts w:ascii="Arial" w:hAnsi="Arial" w:cs="Arial"/>
          <w:sz w:val="18"/>
          <w:szCs w:val="18"/>
          <w:lang w:val="el-GR"/>
        </w:rPr>
        <w:t>% του συνόλου των περιουσιακών στοιχείων</w:t>
      </w:r>
      <w:r w:rsidR="009027BD" w:rsidRPr="00502B4F">
        <w:rPr>
          <w:rFonts w:ascii="Arial" w:hAnsi="Arial" w:cs="Arial"/>
          <w:sz w:val="18"/>
          <w:szCs w:val="18"/>
          <w:lang w:val="el-GR"/>
        </w:rPr>
        <w:t>.</w:t>
      </w:r>
      <w:r w:rsidR="002C46A6">
        <w:rPr>
          <w:rFonts w:ascii="Arial" w:hAnsi="Arial" w:cs="Arial"/>
          <w:sz w:val="18"/>
          <w:szCs w:val="18"/>
          <w:lang w:val="el-GR"/>
        </w:rPr>
        <w:t xml:space="preserve"> </w:t>
      </w:r>
      <w:r w:rsidRPr="00502B4F">
        <w:rPr>
          <w:rFonts w:ascii="Arial" w:hAnsi="Arial" w:cs="Arial"/>
          <w:sz w:val="18"/>
          <w:szCs w:val="18"/>
          <w:lang w:val="el-GR"/>
        </w:rPr>
        <w:t xml:space="preserve">Το </w:t>
      </w:r>
      <w:r w:rsidR="003528B0" w:rsidRPr="00502B4F">
        <w:rPr>
          <w:rFonts w:ascii="Arial" w:hAnsi="Arial" w:cs="Arial"/>
          <w:sz w:val="18"/>
          <w:szCs w:val="18"/>
          <w:lang w:val="el-GR"/>
        </w:rPr>
        <w:t xml:space="preserve">μεγαλύτερο ποσοστό του </w:t>
      </w:r>
      <w:r w:rsidRPr="00502B4F">
        <w:rPr>
          <w:rFonts w:ascii="Arial" w:hAnsi="Arial" w:cs="Arial"/>
          <w:sz w:val="18"/>
          <w:szCs w:val="18"/>
          <w:lang w:val="el-GR"/>
        </w:rPr>
        <w:t>χαρτοφυλάκιο ομολόγων επιμετρείται</w:t>
      </w:r>
      <w:r w:rsidR="003528B0" w:rsidRPr="00502B4F">
        <w:rPr>
          <w:rFonts w:ascii="Arial" w:hAnsi="Arial" w:cs="Arial"/>
          <w:sz w:val="18"/>
          <w:szCs w:val="18"/>
          <w:lang w:val="el-GR"/>
        </w:rPr>
        <w:t xml:space="preserve"> </w:t>
      </w:r>
      <w:r w:rsidRPr="00502B4F">
        <w:rPr>
          <w:rFonts w:ascii="Arial" w:hAnsi="Arial" w:cs="Arial"/>
          <w:sz w:val="18"/>
          <w:szCs w:val="18"/>
          <w:lang w:val="el-GR"/>
        </w:rPr>
        <w:t>σε αποσβεσμένο κόστος</w:t>
      </w:r>
      <w:r w:rsidR="00160F0A" w:rsidRPr="00502B4F">
        <w:rPr>
          <w:rFonts w:ascii="Arial" w:hAnsi="Arial" w:cs="Arial"/>
          <w:sz w:val="18"/>
          <w:szCs w:val="18"/>
          <w:lang w:val="el-GR"/>
        </w:rPr>
        <w:t xml:space="preserve"> και </w:t>
      </w:r>
      <w:r w:rsidR="008D0F0B" w:rsidRPr="00502B4F">
        <w:rPr>
          <w:rFonts w:ascii="Arial" w:hAnsi="Arial" w:cs="Arial"/>
          <w:sz w:val="18"/>
          <w:szCs w:val="18"/>
          <w:lang w:val="el-GR"/>
        </w:rPr>
        <w:t xml:space="preserve">φέρει </w:t>
      </w:r>
      <w:r w:rsidRPr="00502B4F">
        <w:rPr>
          <w:rFonts w:ascii="Arial" w:hAnsi="Arial" w:cs="Arial"/>
          <w:sz w:val="18"/>
          <w:szCs w:val="18"/>
          <w:lang w:val="el-GR"/>
        </w:rPr>
        <w:t xml:space="preserve">υψηλή μέση πιστοληπτική αξιολόγηση </w:t>
      </w:r>
      <w:r w:rsidR="00160F0A" w:rsidRPr="00502B4F">
        <w:rPr>
          <w:rFonts w:ascii="Arial" w:hAnsi="Arial" w:cs="Arial"/>
          <w:sz w:val="18"/>
          <w:szCs w:val="18"/>
          <w:lang w:val="el-GR"/>
        </w:rPr>
        <w:t>ύψους</w:t>
      </w:r>
      <w:r w:rsidRPr="00502B4F">
        <w:rPr>
          <w:rFonts w:ascii="Arial" w:hAnsi="Arial" w:cs="Arial"/>
          <w:sz w:val="18"/>
          <w:szCs w:val="18"/>
          <w:lang w:val="el-GR"/>
        </w:rPr>
        <w:t xml:space="preserve"> </w:t>
      </w:r>
      <w:r w:rsidR="00160F0A" w:rsidRPr="00502B4F">
        <w:rPr>
          <w:rFonts w:ascii="Arial" w:hAnsi="Arial" w:cs="Arial"/>
          <w:sz w:val="18"/>
          <w:szCs w:val="18"/>
          <w:lang w:val="en-US"/>
        </w:rPr>
        <w:t>Aa</w:t>
      </w:r>
      <w:r w:rsidR="00160F0A" w:rsidRPr="00502B4F">
        <w:rPr>
          <w:rFonts w:ascii="Arial" w:hAnsi="Arial" w:cs="Arial"/>
          <w:sz w:val="18"/>
          <w:szCs w:val="18"/>
          <w:lang w:val="el-GR"/>
        </w:rPr>
        <w:t>3</w:t>
      </w:r>
      <w:r w:rsidR="003528B0" w:rsidRPr="00502B4F">
        <w:rPr>
          <w:rFonts w:ascii="Arial" w:hAnsi="Arial" w:cs="Arial"/>
          <w:sz w:val="18"/>
          <w:szCs w:val="18"/>
          <w:lang w:val="el-GR"/>
        </w:rPr>
        <w:t xml:space="preserve">. </w:t>
      </w:r>
      <w:r w:rsidR="006041B9" w:rsidRPr="00502B4F">
        <w:rPr>
          <w:rFonts w:ascii="Arial" w:hAnsi="Arial" w:cs="Arial"/>
          <w:sz w:val="18"/>
          <w:szCs w:val="18"/>
          <w:lang w:val="el-GR"/>
        </w:rPr>
        <w:t xml:space="preserve">Το χαρτοφυλάκιο ομολόγων που επιμετρείται σε αποσβεσμένο κόστος στις </w:t>
      </w:r>
      <w:r w:rsidR="009027BD" w:rsidRPr="00502B4F">
        <w:rPr>
          <w:rFonts w:ascii="Arial" w:hAnsi="Arial" w:cs="Arial"/>
          <w:sz w:val="18"/>
          <w:szCs w:val="18"/>
          <w:lang w:val="el-GR"/>
        </w:rPr>
        <w:t xml:space="preserve">30 </w:t>
      </w:r>
      <w:r w:rsidR="002C46A6" w:rsidRPr="002C46A6">
        <w:rPr>
          <w:rFonts w:ascii="Arial" w:hAnsi="Arial" w:cs="Arial"/>
          <w:sz w:val="18"/>
          <w:szCs w:val="18"/>
          <w:lang w:val="el-GR"/>
        </w:rPr>
        <w:t xml:space="preserve">Σεπτεμβρίου </w:t>
      </w:r>
      <w:r w:rsidR="006041B9" w:rsidRPr="00502B4F">
        <w:rPr>
          <w:rFonts w:ascii="Arial" w:hAnsi="Arial" w:cs="Arial"/>
          <w:sz w:val="18"/>
          <w:szCs w:val="18"/>
          <w:lang w:val="el-GR"/>
        </w:rPr>
        <w:t xml:space="preserve">2024 δημιουργεί μη </w:t>
      </w:r>
      <w:proofErr w:type="spellStart"/>
      <w:r w:rsidR="002C46A6" w:rsidRPr="00502B4F">
        <w:rPr>
          <w:rFonts w:ascii="Arial" w:hAnsi="Arial" w:cs="Arial"/>
          <w:sz w:val="18"/>
          <w:szCs w:val="18"/>
          <w:lang w:val="el-GR"/>
        </w:rPr>
        <w:t>πραγματοποιηθέν</w:t>
      </w:r>
      <w:proofErr w:type="spellEnd"/>
      <w:r w:rsidR="002C46A6" w:rsidRPr="00502B4F">
        <w:rPr>
          <w:rFonts w:ascii="Arial" w:hAnsi="Arial" w:cs="Arial"/>
          <w:sz w:val="18"/>
          <w:szCs w:val="18"/>
          <w:lang w:val="el-GR"/>
        </w:rPr>
        <w:t xml:space="preserve"> κέρδος</w:t>
      </w:r>
      <w:r w:rsidR="002C46A6" w:rsidRPr="00502B4F" w:rsidDel="00BD10F8">
        <w:rPr>
          <w:rFonts w:ascii="Arial" w:hAnsi="Arial" w:cs="Arial"/>
          <w:sz w:val="18"/>
          <w:szCs w:val="18"/>
          <w:lang w:val="el-GR"/>
        </w:rPr>
        <w:t xml:space="preserve"> </w:t>
      </w:r>
      <w:r w:rsidR="006041B9" w:rsidRPr="00502B4F">
        <w:rPr>
          <w:rFonts w:ascii="Arial" w:hAnsi="Arial" w:cs="Arial"/>
          <w:sz w:val="18"/>
          <w:szCs w:val="18"/>
          <w:lang w:val="el-GR"/>
        </w:rPr>
        <w:t>εύλογης αξίας ύψους €</w:t>
      </w:r>
      <w:r w:rsidR="002C46A6" w:rsidRPr="00502B4F">
        <w:rPr>
          <w:rFonts w:ascii="Arial" w:hAnsi="Arial" w:cs="Arial"/>
          <w:sz w:val="18"/>
          <w:szCs w:val="18"/>
          <w:lang w:val="el-GR"/>
        </w:rPr>
        <w:t xml:space="preserve">44 </w:t>
      </w:r>
      <w:r w:rsidR="006041B9" w:rsidRPr="00502B4F">
        <w:rPr>
          <w:rFonts w:ascii="Arial" w:hAnsi="Arial" w:cs="Arial"/>
          <w:sz w:val="18"/>
          <w:szCs w:val="18"/>
          <w:lang w:val="el-GR"/>
        </w:rPr>
        <w:t>εκατ.,</w:t>
      </w:r>
      <w:r w:rsidR="002C46A6" w:rsidRPr="00502B4F">
        <w:rPr>
          <w:rFonts w:ascii="Arial" w:hAnsi="Arial" w:cs="Arial"/>
          <w:sz w:val="18"/>
          <w:szCs w:val="18"/>
          <w:lang w:val="el-GR"/>
        </w:rPr>
        <w:t xml:space="preserve"> </w:t>
      </w:r>
      <w:r w:rsidR="006041B9" w:rsidRPr="00502B4F">
        <w:rPr>
          <w:rFonts w:ascii="Arial" w:hAnsi="Arial" w:cs="Arial"/>
          <w:sz w:val="18"/>
          <w:szCs w:val="18"/>
          <w:lang w:val="el-GR"/>
        </w:rPr>
        <w:t xml:space="preserve">που ισοδυναμεί με περίπου </w:t>
      </w:r>
      <w:r w:rsidR="002C46A6" w:rsidRPr="00502B4F">
        <w:rPr>
          <w:rFonts w:ascii="Arial" w:hAnsi="Arial" w:cs="Arial"/>
          <w:sz w:val="18"/>
          <w:szCs w:val="18"/>
          <w:lang w:val="el-GR"/>
        </w:rPr>
        <w:t xml:space="preserve">40 </w:t>
      </w:r>
      <w:proofErr w:type="spellStart"/>
      <w:r w:rsidR="006041B9" w:rsidRPr="00502B4F">
        <w:rPr>
          <w:rFonts w:ascii="Arial" w:hAnsi="Arial" w:cs="Arial"/>
          <w:sz w:val="18"/>
          <w:szCs w:val="18"/>
          <w:lang w:val="el-GR"/>
        </w:rPr>
        <w:t>μ.β</w:t>
      </w:r>
      <w:proofErr w:type="spellEnd"/>
      <w:r w:rsidR="006041B9" w:rsidRPr="00502B4F">
        <w:rPr>
          <w:rFonts w:ascii="Arial" w:hAnsi="Arial" w:cs="Arial"/>
          <w:sz w:val="18"/>
          <w:szCs w:val="18"/>
          <w:lang w:val="el-GR"/>
        </w:rPr>
        <w:t xml:space="preserve">. του δείκτη </w:t>
      </w:r>
      <w:r w:rsidR="006041B9" w:rsidRPr="00502B4F">
        <w:rPr>
          <w:rFonts w:ascii="Arial" w:hAnsi="Arial" w:cs="Arial"/>
          <w:sz w:val="18"/>
          <w:szCs w:val="18"/>
          <w:lang w:val="en-US"/>
        </w:rPr>
        <w:t>CET</w:t>
      </w:r>
      <w:r w:rsidR="006041B9" w:rsidRPr="00502B4F">
        <w:rPr>
          <w:rFonts w:ascii="Arial" w:hAnsi="Arial" w:cs="Arial"/>
          <w:sz w:val="18"/>
          <w:szCs w:val="18"/>
          <w:lang w:val="el-GR"/>
        </w:rPr>
        <w:t>1</w:t>
      </w:r>
      <w:r w:rsidR="008D0F0B" w:rsidRPr="00502B4F">
        <w:rPr>
          <w:rFonts w:ascii="Arial" w:hAnsi="Arial" w:cs="Arial"/>
          <w:sz w:val="18"/>
          <w:szCs w:val="18"/>
          <w:lang w:val="el-GR"/>
        </w:rPr>
        <w:t xml:space="preserve"> </w:t>
      </w:r>
      <w:r w:rsidR="002C46A6" w:rsidRPr="002C46A6">
        <w:rPr>
          <w:rFonts w:ascii="Arial" w:hAnsi="Arial" w:cs="Arial"/>
          <w:sz w:val="18"/>
          <w:szCs w:val="18"/>
          <w:lang w:val="el-GR"/>
        </w:rPr>
        <w:t xml:space="preserve">(σε σύγκριση με </w:t>
      </w:r>
      <w:r w:rsidR="002C46A6" w:rsidRPr="00AB2DC4">
        <w:rPr>
          <w:rFonts w:ascii="Arial" w:hAnsi="Arial" w:cs="Arial"/>
          <w:sz w:val="18"/>
          <w:szCs w:val="18"/>
          <w:lang w:val="el-GR"/>
        </w:rPr>
        <w:t xml:space="preserve">μη </w:t>
      </w:r>
      <w:proofErr w:type="spellStart"/>
      <w:r w:rsidR="002C46A6" w:rsidRPr="00AB2DC4">
        <w:rPr>
          <w:rFonts w:ascii="Arial" w:hAnsi="Arial" w:cs="Arial"/>
          <w:sz w:val="18"/>
          <w:szCs w:val="18"/>
          <w:lang w:val="el-GR"/>
        </w:rPr>
        <w:t>πραγματοποιηθέν</w:t>
      </w:r>
      <w:proofErr w:type="spellEnd"/>
      <w:r w:rsidR="002C46A6" w:rsidRPr="00AB2DC4">
        <w:rPr>
          <w:rFonts w:ascii="Arial" w:hAnsi="Arial" w:cs="Arial"/>
          <w:sz w:val="18"/>
          <w:szCs w:val="18"/>
          <w:lang w:val="el-GR"/>
        </w:rPr>
        <w:t xml:space="preserve"> κέρδος</w:t>
      </w:r>
      <w:r w:rsidR="002C46A6" w:rsidRPr="00AB2DC4" w:rsidDel="00BD10F8">
        <w:rPr>
          <w:rFonts w:ascii="Arial" w:hAnsi="Arial" w:cs="Arial"/>
          <w:sz w:val="18"/>
          <w:szCs w:val="18"/>
          <w:lang w:val="el-GR"/>
        </w:rPr>
        <w:t xml:space="preserve"> </w:t>
      </w:r>
      <w:r w:rsidR="002C46A6" w:rsidRPr="00AB2DC4">
        <w:rPr>
          <w:rFonts w:ascii="Arial" w:hAnsi="Arial" w:cs="Arial"/>
          <w:sz w:val="18"/>
          <w:szCs w:val="18"/>
          <w:lang w:val="el-GR"/>
        </w:rPr>
        <w:t>εύλογης αξίας ύψους €</w:t>
      </w:r>
      <w:r w:rsidR="002C46A6">
        <w:rPr>
          <w:rFonts w:ascii="Arial" w:hAnsi="Arial" w:cs="Arial"/>
          <w:sz w:val="18"/>
          <w:szCs w:val="18"/>
          <w:lang w:val="el-GR"/>
        </w:rPr>
        <w:t>3</w:t>
      </w:r>
      <w:r w:rsidR="002C46A6" w:rsidRPr="00AB2DC4">
        <w:rPr>
          <w:rFonts w:ascii="Arial" w:hAnsi="Arial" w:cs="Arial"/>
          <w:sz w:val="18"/>
          <w:szCs w:val="18"/>
          <w:lang w:val="el-GR"/>
        </w:rPr>
        <w:t xml:space="preserve"> </w:t>
      </w:r>
      <w:r w:rsidR="002C46A6" w:rsidRPr="002C46A6">
        <w:rPr>
          <w:rFonts w:ascii="Arial" w:hAnsi="Arial" w:cs="Arial"/>
          <w:sz w:val="18"/>
          <w:szCs w:val="18"/>
          <w:lang w:val="el-GR"/>
        </w:rPr>
        <w:t xml:space="preserve">εκατ. στις </w:t>
      </w:r>
      <w:r w:rsidR="002C46A6">
        <w:rPr>
          <w:rFonts w:ascii="Arial" w:hAnsi="Arial" w:cs="Arial"/>
          <w:sz w:val="18"/>
          <w:szCs w:val="18"/>
          <w:lang w:val="el-GR"/>
        </w:rPr>
        <w:t>31</w:t>
      </w:r>
      <w:r w:rsidR="002C46A6" w:rsidRPr="002C46A6">
        <w:rPr>
          <w:rFonts w:ascii="Arial" w:hAnsi="Arial" w:cs="Arial"/>
          <w:sz w:val="18"/>
          <w:szCs w:val="18"/>
          <w:lang w:val="el-GR"/>
        </w:rPr>
        <w:t xml:space="preserve"> </w:t>
      </w:r>
      <w:r w:rsidR="002C46A6">
        <w:rPr>
          <w:rFonts w:ascii="Arial" w:hAnsi="Arial" w:cs="Arial"/>
          <w:sz w:val="18"/>
          <w:szCs w:val="18"/>
          <w:lang w:val="el-GR"/>
        </w:rPr>
        <w:t>Δεκεμβρίου</w:t>
      </w:r>
      <w:r w:rsidR="002C46A6" w:rsidRPr="002C46A6">
        <w:rPr>
          <w:rFonts w:ascii="Arial" w:hAnsi="Arial" w:cs="Arial"/>
          <w:sz w:val="18"/>
          <w:szCs w:val="18"/>
          <w:lang w:val="el-GR"/>
        </w:rPr>
        <w:t xml:space="preserve"> </w:t>
      </w:r>
      <w:r w:rsidR="002C46A6">
        <w:rPr>
          <w:rFonts w:ascii="Arial" w:hAnsi="Arial" w:cs="Arial"/>
          <w:sz w:val="18"/>
          <w:szCs w:val="18"/>
          <w:lang w:val="el-GR"/>
        </w:rPr>
        <w:t>2023</w:t>
      </w:r>
      <w:r w:rsidR="002C46A6" w:rsidRPr="002C46A6">
        <w:rPr>
          <w:rFonts w:ascii="Arial" w:hAnsi="Arial" w:cs="Arial"/>
          <w:sz w:val="18"/>
          <w:szCs w:val="18"/>
          <w:lang w:val="el-GR"/>
        </w:rPr>
        <w:t>), λόγω της μείωσης των αποδόσεων στα ομόλογα.</w:t>
      </w:r>
    </w:p>
    <w:p w14:paraId="16F02641" w14:textId="77777777" w:rsidR="00862F17" w:rsidRPr="00E72E65" w:rsidRDefault="00862F17" w:rsidP="00502B4F">
      <w:pPr>
        <w:tabs>
          <w:tab w:val="left" w:pos="0"/>
          <w:tab w:val="left" w:pos="3251"/>
          <w:tab w:val="left" w:pos="6946"/>
        </w:tabs>
        <w:suppressAutoHyphens/>
        <w:spacing w:after="0" w:line="240" w:lineRule="auto"/>
        <w:jc w:val="both"/>
        <w:rPr>
          <w:rFonts w:ascii="Arial" w:hAnsi="Arial" w:cs="Arial"/>
          <w:sz w:val="18"/>
          <w:szCs w:val="20"/>
          <w:lang w:val="el-GR"/>
        </w:rPr>
      </w:pPr>
    </w:p>
    <w:p w14:paraId="217629A0" w14:textId="72A98808" w:rsidR="0058787D" w:rsidRPr="00D41B36" w:rsidRDefault="00CE36EC" w:rsidP="00CA4D34">
      <w:pPr>
        <w:pStyle w:val="CommentText"/>
        <w:spacing w:after="0"/>
        <w:jc w:val="both"/>
        <w:rPr>
          <w:rFonts w:ascii="Arial" w:hAnsi="Arial" w:cs="Arial"/>
          <w:color w:val="000000"/>
          <w:sz w:val="18"/>
          <w:szCs w:val="24"/>
          <w:highlight w:val="yellow"/>
          <w:lang w:val="el-GR"/>
        </w:rPr>
      </w:pPr>
      <w:r w:rsidRPr="00E72E65">
        <w:rPr>
          <w:rFonts w:ascii="Arial" w:hAnsi="Arial" w:cs="Arial"/>
          <w:color w:val="000000"/>
          <w:sz w:val="18"/>
          <w:szCs w:val="24"/>
          <w:lang w:val="el-GR"/>
        </w:rPr>
        <w:t xml:space="preserve">Επίσης, το Συγκρότημα </w:t>
      </w:r>
      <w:r w:rsidR="006041B9" w:rsidRPr="00E72E65">
        <w:rPr>
          <w:rFonts w:ascii="Arial" w:hAnsi="Arial" w:cs="Arial"/>
          <w:color w:val="000000"/>
          <w:sz w:val="18"/>
          <w:szCs w:val="24"/>
          <w:lang w:val="el-GR"/>
        </w:rPr>
        <w:t>συνεχί</w:t>
      </w:r>
      <w:r w:rsidR="00AA6C3C" w:rsidRPr="00E72E65">
        <w:rPr>
          <w:rFonts w:ascii="Arial" w:hAnsi="Arial" w:cs="Arial"/>
          <w:color w:val="000000"/>
          <w:sz w:val="18"/>
          <w:szCs w:val="24"/>
          <w:lang w:val="el-GR"/>
        </w:rPr>
        <w:t>ζ</w:t>
      </w:r>
      <w:r w:rsidR="006041B9" w:rsidRPr="00E72E65">
        <w:rPr>
          <w:rFonts w:ascii="Arial" w:hAnsi="Arial" w:cs="Arial"/>
          <w:color w:val="000000"/>
          <w:sz w:val="18"/>
          <w:szCs w:val="24"/>
          <w:lang w:val="el-GR"/>
        </w:rPr>
        <w:t xml:space="preserve">ει να </w:t>
      </w:r>
      <w:r w:rsidRPr="00E72E65">
        <w:rPr>
          <w:rFonts w:ascii="Arial" w:hAnsi="Arial" w:cs="Arial"/>
          <w:color w:val="000000"/>
          <w:sz w:val="18"/>
          <w:szCs w:val="18"/>
          <w:lang w:val="el-GR"/>
        </w:rPr>
        <w:t>επικεντρώνεται</w:t>
      </w:r>
      <w:r w:rsidRPr="00E72E65">
        <w:rPr>
          <w:rFonts w:ascii="Arial" w:hAnsi="Arial" w:cs="Arial"/>
          <w:color w:val="000000"/>
          <w:sz w:val="18"/>
          <w:szCs w:val="24"/>
          <w:lang w:val="el-GR"/>
        </w:rPr>
        <w:t xml:space="preserve"> στη </w:t>
      </w:r>
      <w:r w:rsidRPr="00E72E65">
        <w:rPr>
          <w:rFonts w:ascii="Arial" w:hAnsi="Arial" w:cs="Arial"/>
          <w:color w:val="000000"/>
          <w:sz w:val="18"/>
          <w:szCs w:val="18"/>
          <w:lang w:val="el-GR"/>
        </w:rPr>
        <w:t>συνεχή βελτίωση</w:t>
      </w:r>
      <w:r w:rsidRPr="00E72E65">
        <w:rPr>
          <w:rFonts w:ascii="Arial" w:hAnsi="Arial" w:cs="Arial"/>
          <w:color w:val="000000"/>
          <w:sz w:val="18"/>
          <w:szCs w:val="24"/>
          <w:lang w:val="el-GR"/>
        </w:rPr>
        <w:t xml:space="preserve"> των εσόδων, μέσω πολλαπλών πρωτοβουλιών με χαμηλότερες κεφαλαιακές απαιτήσεις, με έμφαση στα έσοδα από αμοιβές και προμήθειες, ασφαλιστικές και άλλες μη τραπεζικές υπηρεσίες, αξιοποιώντας τις ψηφιακές δυνατότητες του Συγκροτήματος.</w:t>
      </w:r>
      <w:r w:rsidR="009027BD" w:rsidRPr="00E72E65">
        <w:rPr>
          <w:lang w:val="el-GR"/>
        </w:rPr>
        <w:t xml:space="preserve"> </w:t>
      </w:r>
      <w:r w:rsidRPr="00E72E65">
        <w:rPr>
          <w:rFonts w:ascii="Arial" w:hAnsi="Arial" w:cs="Arial"/>
          <w:color w:val="000000"/>
          <w:sz w:val="18"/>
          <w:szCs w:val="18"/>
          <w:lang w:val="el-GR" w:eastAsia="el-GR"/>
        </w:rPr>
        <w:t xml:space="preserve">Τα μη επιτοκιακά έσοδα για </w:t>
      </w:r>
      <w:r w:rsidRPr="00E72E65">
        <w:rPr>
          <w:rFonts w:ascii="Arial" w:hAnsi="Arial" w:cs="Arial"/>
          <w:color w:val="000000"/>
          <w:sz w:val="18"/>
          <w:szCs w:val="24"/>
          <w:lang w:val="el-GR"/>
        </w:rPr>
        <w:t>το</w:t>
      </w:r>
      <w:r w:rsidRPr="00E72E65">
        <w:rPr>
          <w:rFonts w:ascii="Arial" w:hAnsi="Arial" w:cs="Arial"/>
          <w:color w:val="000000"/>
          <w:sz w:val="18"/>
          <w:szCs w:val="18"/>
          <w:lang w:val="el-GR"/>
        </w:rPr>
        <w:t xml:space="preserve"> </w:t>
      </w:r>
      <w:r w:rsidR="007A2F9B">
        <w:rPr>
          <w:rFonts w:ascii="Arial" w:hAnsi="Arial" w:cs="Arial"/>
          <w:color w:val="000000"/>
          <w:sz w:val="18"/>
          <w:szCs w:val="18"/>
          <w:lang w:val="el-GR"/>
        </w:rPr>
        <w:t>εννεάμηνο</w:t>
      </w:r>
      <w:r w:rsidR="00E72E65" w:rsidRPr="00E72E65">
        <w:rPr>
          <w:rFonts w:ascii="Arial" w:hAnsi="Arial" w:cs="Arial"/>
          <w:color w:val="000000"/>
          <w:sz w:val="18"/>
          <w:szCs w:val="18"/>
          <w:lang w:val="el-GR"/>
        </w:rPr>
        <w:t xml:space="preserve"> που έληξε στις 30 Σεπτεμβρίου 2024 </w:t>
      </w:r>
      <w:r w:rsidRPr="00E72E65">
        <w:rPr>
          <w:rFonts w:ascii="Arial" w:hAnsi="Arial" w:cs="Arial"/>
          <w:color w:val="000000"/>
          <w:sz w:val="18"/>
          <w:szCs w:val="18"/>
          <w:lang w:val="el-GR" w:eastAsia="el-GR"/>
        </w:rPr>
        <w:t>ανήλθαν σε €</w:t>
      </w:r>
      <w:r w:rsidR="00E72E65" w:rsidRPr="00E72E65">
        <w:rPr>
          <w:rFonts w:ascii="Arial" w:hAnsi="Arial" w:cs="Arial"/>
          <w:color w:val="000000"/>
          <w:sz w:val="18"/>
          <w:szCs w:val="18"/>
          <w:lang w:val="el-GR"/>
        </w:rPr>
        <w:t>204</w:t>
      </w:r>
      <w:r w:rsidR="009027BD" w:rsidRPr="00E72E65">
        <w:rPr>
          <w:rFonts w:ascii="Arial" w:hAnsi="Arial" w:cs="Arial"/>
          <w:color w:val="000000"/>
          <w:sz w:val="18"/>
          <w:szCs w:val="18"/>
          <w:lang w:val="el-GR"/>
        </w:rPr>
        <w:t xml:space="preserve"> </w:t>
      </w:r>
      <w:r w:rsidRPr="00E72E65">
        <w:rPr>
          <w:rFonts w:ascii="Arial" w:hAnsi="Arial" w:cs="Arial"/>
          <w:color w:val="000000"/>
          <w:sz w:val="18"/>
          <w:szCs w:val="18"/>
          <w:lang w:val="el-GR" w:eastAsia="el-GR"/>
        </w:rPr>
        <w:t>εκατ.</w:t>
      </w:r>
      <w:r w:rsidR="003528B0" w:rsidRPr="00E72E65">
        <w:rPr>
          <w:rFonts w:ascii="Arial" w:hAnsi="Arial" w:cs="Arial"/>
          <w:color w:val="000000"/>
          <w:sz w:val="18"/>
          <w:szCs w:val="18"/>
          <w:lang w:val="el-GR" w:eastAsia="el-GR"/>
        </w:rPr>
        <w:t>,</w:t>
      </w:r>
      <w:r w:rsidR="006041B9" w:rsidRPr="00E72E65">
        <w:rPr>
          <w:rFonts w:ascii="Arial" w:hAnsi="Arial" w:cs="Arial"/>
          <w:color w:val="000000"/>
          <w:sz w:val="18"/>
          <w:szCs w:val="18"/>
          <w:lang w:val="el-GR" w:eastAsia="el-GR"/>
        </w:rPr>
        <w:t xml:space="preserve"> </w:t>
      </w:r>
      <w:r w:rsidRPr="00E72E65">
        <w:rPr>
          <w:rFonts w:ascii="Arial" w:hAnsi="Arial" w:cs="Arial"/>
          <w:color w:val="000000"/>
          <w:sz w:val="18"/>
          <w:szCs w:val="18"/>
          <w:lang w:val="el-GR"/>
        </w:rPr>
        <w:t>καλύπτοντας</w:t>
      </w:r>
      <w:r w:rsidR="00E72E65" w:rsidRPr="00E72E65">
        <w:rPr>
          <w:rFonts w:ascii="Arial" w:hAnsi="Arial" w:cs="Arial"/>
          <w:color w:val="000000"/>
          <w:sz w:val="18"/>
          <w:szCs w:val="18"/>
          <w:lang w:val="el-GR"/>
        </w:rPr>
        <w:t xml:space="preserve"> </w:t>
      </w:r>
      <w:r w:rsidR="006041B9" w:rsidRPr="00E72E65">
        <w:rPr>
          <w:rFonts w:ascii="Arial" w:hAnsi="Arial" w:cs="Arial"/>
          <w:color w:val="000000"/>
          <w:sz w:val="18"/>
          <w:szCs w:val="18"/>
          <w:lang w:val="el-GR"/>
        </w:rPr>
        <w:t xml:space="preserve">το </w:t>
      </w:r>
      <w:r w:rsidR="009027BD" w:rsidRPr="00E72E65">
        <w:rPr>
          <w:rFonts w:ascii="Arial" w:hAnsi="Arial" w:cs="Arial"/>
          <w:color w:val="000000"/>
          <w:sz w:val="18"/>
          <w:szCs w:val="18"/>
          <w:lang w:val="el-GR"/>
        </w:rPr>
        <w:t>77</w:t>
      </w:r>
      <w:r w:rsidRPr="00E72E65">
        <w:rPr>
          <w:rFonts w:ascii="Arial" w:hAnsi="Arial" w:cs="Arial"/>
          <w:color w:val="000000"/>
          <w:sz w:val="18"/>
          <w:szCs w:val="24"/>
          <w:lang w:val="el-GR"/>
        </w:rPr>
        <w:t>% των συνολικών λειτουργικών εξόδων του</w:t>
      </w:r>
      <w:r w:rsidR="00E72E65" w:rsidRPr="00E72E65">
        <w:rPr>
          <w:rFonts w:ascii="Arial" w:hAnsi="Arial" w:cs="Arial"/>
          <w:color w:val="000000"/>
          <w:sz w:val="18"/>
          <w:szCs w:val="24"/>
          <w:lang w:val="el-GR"/>
        </w:rPr>
        <w:t xml:space="preserve"> Συγκροτήματος</w:t>
      </w:r>
      <w:r w:rsidRPr="00E72E65">
        <w:rPr>
          <w:rFonts w:ascii="Arial" w:hAnsi="Arial" w:cs="Arial"/>
          <w:color w:val="000000"/>
          <w:sz w:val="18"/>
          <w:szCs w:val="24"/>
          <w:lang w:val="el-GR"/>
        </w:rPr>
        <w:t>.</w:t>
      </w:r>
      <w:r w:rsidR="003528B0" w:rsidRPr="00E72E65">
        <w:rPr>
          <w:rFonts w:ascii="Arial" w:hAnsi="Arial" w:cs="Arial"/>
          <w:color w:val="000000"/>
          <w:sz w:val="18"/>
          <w:szCs w:val="24"/>
          <w:lang w:val="el-GR"/>
        </w:rPr>
        <w:t xml:space="preserve"> </w:t>
      </w:r>
    </w:p>
    <w:p w14:paraId="6B4863A3" w14:textId="77777777" w:rsidR="00400383" w:rsidRPr="00E72E65" w:rsidRDefault="00400383" w:rsidP="006A1797">
      <w:pPr>
        <w:pStyle w:val="Default"/>
        <w:jc w:val="both"/>
        <w:rPr>
          <w:lang w:val="el-GR"/>
        </w:rPr>
      </w:pPr>
    </w:p>
    <w:p w14:paraId="542E2F24" w14:textId="4EDA6D1A" w:rsidR="00CE36EC" w:rsidRPr="00D41B36" w:rsidRDefault="006041B9" w:rsidP="00CE36EC">
      <w:pPr>
        <w:spacing w:after="0" w:line="240" w:lineRule="auto"/>
        <w:jc w:val="both"/>
        <w:rPr>
          <w:rFonts w:ascii="Arial" w:hAnsi="Arial" w:cs="Arial"/>
          <w:sz w:val="18"/>
          <w:highlight w:val="yellow"/>
          <w:lang w:val="el-GR"/>
        </w:rPr>
      </w:pPr>
      <w:r w:rsidRPr="00E72E65">
        <w:rPr>
          <w:rFonts w:ascii="Arial" w:hAnsi="Arial" w:cs="Arial"/>
          <w:sz w:val="18"/>
          <w:szCs w:val="18"/>
          <w:lang w:val="el-GR" w:eastAsia="el-GR"/>
        </w:rPr>
        <w:t xml:space="preserve">Κατά το </w:t>
      </w:r>
      <w:r w:rsidR="007A2F9B">
        <w:rPr>
          <w:rFonts w:ascii="Arial" w:hAnsi="Arial" w:cs="Arial"/>
          <w:sz w:val="18"/>
          <w:szCs w:val="18"/>
          <w:lang w:val="el-GR" w:eastAsia="el-GR"/>
        </w:rPr>
        <w:t>εννεάμηνο</w:t>
      </w:r>
      <w:r w:rsidR="00E72E65" w:rsidRPr="00E72E65">
        <w:rPr>
          <w:rFonts w:ascii="Arial" w:hAnsi="Arial" w:cs="Arial"/>
          <w:sz w:val="18"/>
          <w:szCs w:val="18"/>
          <w:lang w:val="el-GR" w:eastAsia="el-GR"/>
        </w:rPr>
        <w:t xml:space="preserve"> που έληξε στις 30 Σεπτεμβρίου 2024</w:t>
      </w:r>
      <w:r w:rsidRPr="00E72E65">
        <w:rPr>
          <w:rFonts w:ascii="Arial" w:hAnsi="Arial" w:cs="Arial"/>
          <w:sz w:val="18"/>
          <w:szCs w:val="18"/>
          <w:lang w:val="el-GR" w:eastAsia="el-GR"/>
        </w:rPr>
        <w:t>, τα καθαρά έσοδα από αμοιβές και προμήθειες ανήλθαν σε €</w:t>
      </w:r>
      <w:r w:rsidR="00E72E65" w:rsidRPr="00E72E65">
        <w:rPr>
          <w:rFonts w:ascii="Arial" w:hAnsi="Arial" w:cs="Arial"/>
          <w:sz w:val="18"/>
          <w:lang w:val="el-GR"/>
        </w:rPr>
        <w:t>131</w:t>
      </w:r>
      <w:r w:rsidR="00400383" w:rsidRPr="00E72E65">
        <w:rPr>
          <w:rFonts w:ascii="Arial" w:hAnsi="Arial" w:cs="Arial"/>
          <w:sz w:val="18"/>
          <w:lang w:val="el-GR"/>
        </w:rPr>
        <w:t xml:space="preserve"> </w:t>
      </w:r>
      <w:r w:rsidRPr="00E72E65">
        <w:rPr>
          <w:rFonts w:ascii="Arial" w:hAnsi="Arial" w:cs="Arial"/>
          <w:sz w:val="18"/>
          <w:szCs w:val="18"/>
          <w:lang w:val="el-GR" w:eastAsia="el-GR"/>
        </w:rPr>
        <w:t xml:space="preserve">εκατ., μειωμένα κατά </w:t>
      </w:r>
      <w:r w:rsidR="00E72E65" w:rsidRPr="00E72E65">
        <w:rPr>
          <w:rFonts w:ascii="Arial" w:hAnsi="Arial" w:cs="Arial"/>
          <w:sz w:val="18"/>
          <w:lang w:val="el-GR"/>
        </w:rPr>
        <w:t>3</w:t>
      </w:r>
      <w:r w:rsidRPr="00E72E65">
        <w:rPr>
          <w:rFonts w:ascii="Arial" w:hAnsi="Arial" w:cs="Arial"/>
          <w:sz w:val="18"/>
          <w:szCs w:val="18"/>
          <w:lang w:val="el-GR" w:eastAsia="el-GR"/>
        </w:rPr>
        <w:t xml:space="preserve">% σε </w:t>
      </w:r>
      <w:r w:rsidR="00400383" w:rsidRPr="00E72E65">
        <w:rPr>
          <w:rFonts w:ascii="Arial" w:hAnsi="Arial" w:cs="Arial"/>
          <w:sz w:val="18"/>
          <w:szCs w:val="18"/>
          <w:lang w:val="el-GR" w:eastAsia="el-GR"/>
        </w:rPr>
        <w:t xml:space="preserve">ετήσια </w:t>
      </w:r>
      <w:r w:rsidRPr="00E72E65">
        <w:rPr>
          <w:rFonts w:ascii="Arial" w:hAnsi="Arial" w:cs="Arial"/>
          <w:sz w:val="18"/>
          <w:szCs w:val="18"/>
          <w:lang w:val="el-GR" w:eastAsia="el-GR"/>
        </w:rPr>
        <w:t>βάση, λόγω</w:t>
      </w:r>
      <w:r w:rsidR="00E72E65" w:rsidRPr="00E72E65">
        <w:rPr>
          <w:rFonts w:ascii="Arial" w:hAnsi="Arial" w:cs="Arial"/>
          <w:sz w:val="18"/>
          <w:szCs w:val="18"/>
          <w:lang w:val="el-GR" w:eastAsia="el-GR"/>
        </w:rPr>
        <w:t xml:space="preserve"> κυρίως</w:t>
      </w:r>
      <w:r w:rsidRPr="00E72E65">
        <w:rPr>
          <w:rFonts w:ascii="Arial" w:hAnsi="Arial" w:cs="Arial"/>
          <w:sz w:val="18"/>
          <w:szCs w:val="18"/>
          <w:lang w:val="el-GR" w:eastAsia="el-GR"/>
        </w:rPr>
        <w:t xml:space="preserve"> της μείωσης στις αμοιβές από εργασίες πο</w:t>
      </w:r>
      <w:r w:rsidR="00400383" w:rsidRPr="00E72E65">
        <w:rPr>
          <w:rFonts w:ascii="Arial" w:hAnsi="Arial" w:cs="Arial"/>
          <w:sz w:val="18"/>
          <w:szCs w:val="18"/>
          <w:lang w:val="el-GR" w:eastAsia="el-GR"/>
        </w:rPr>
        <w:t xml:space="preserve">υ </w:t>
      </w:r>
      <w:r w:rsidRPr="00E72E65">
        <w:rPr>
          <w:rFonts w:ascii="Arial" w:hAnsi="Arial" w:cs="Arial"/>
          <w:sz w:val="18"/>
          <w:szCs w:val="18"/>
          <w:lang w:val="el-GR" w:eastAsia="el-GR"/>
        </w:rPr>
        <w:t>αφορούν συναλλαγές</w:t>
      </w:r>
      <w:r w:rsidR="00400383" w:rsidRPr="00E72E65">
        <w:rPr>
          <w:rFonts w:ascii="Arial" w:hAnsi="Arial" w:cs="Arial"/>
          <w:sz w:val="18"/>
          <w:szCs w:val="18"/>
          <w:lang w:val="el-GR" w:eastAsia="el-GR"/>
        </w:rPr>
        <w:t xml:space="preserve">. </w:t>
      </w:r>
      <w:r w:rsidR="00CE36EC" w:rsidRPr="00E72E65">
        <w:rPr>
          <w:rFonts w:ascii="Arial" w:hAnsi="Arial" w:cs="Arial"/>
          <w:sz w:val="18"/>
          <w:lang w:val="el-GR"/>
        </w:rPr>
        <w:t xml:space="preserve">Τα καθαρά έσοδα από αμοιβές και προμήθειες ενισχύονται από τις προμήθειες συναλλαγών από τη θυγατρική του Συγκροτήματος, </w:t>
      </w:r>
      <w:r w:rsidR="00CE36EC" w:rsidRPr="00E72E65">
        <w:rPr>
          <w:rFonts w:ascii="Arial" w:hAnsi="Arial" w:cs="Arial"/>
          <w:b/>
          <w:sz w:val="18"/>
          <w:lang w:val="el-GR"/>
        </w:rPr>
        <w:t xml:space="preserve">JCC </w:t>
      </w:r>
      <w:proofErr w:type="spellStart"/>
      <w:r w:rsidR="00CE36EC" w:rsidRPr="00E72E65">
        <w:rPr>
          <w:rFonts w:ascii="Arial" w:hAnsi="Arial" w:cs="Arial"/>
          <w:b/>
          <w:sz w:val="18"/>
          <w:lang w:val="el-GR"/>
        </w:rPr>
        <w:t>Payment</w:t>
      </w:r>
      <w:proofErr w:type="spellEnd"/>
      <w:r w:rsidR="00CE36EC" w:rsidRPr="00E72E65">
        <w:rPr>
          <w:rFonts w:ascii="Arial" w:hAnsi="Arial" w:cs="Arial"/>
          <w:b/>
          <w:sz w:val="18"/>
          <w:lang w:val="el-GR"/>
        </w:rPr>
        <w:t xml:space="preserve"> Systems </w:t>
      </w:r>
      <w:proofErr w:type="spellStart"/>
      <w:r w:rsidR="00CE36EC" w:rsidRPr="00E72E65">
        <w:rPr>
          <w:rFonts w:ascii="Arial" w:hAnsi="Arial" w:cs="Arial"/>
          <w:b/>
          <w:sz w:val="18"/>
          <w:lang w:val="el-GR"/>
        </w:rPr>
        <w:t>Ltd</w:t>
      </w:r>
      <w:proofErr w:type="spellEnd"/>
      <w:r w:rsidR="00CE36EC" w:rsidRPr="00E72E65">
        <w:rPr>
          <w:rFonts w:ascii="Arial" w:hAnsi="Arial" w:cs="Arial"/>
          <w:sz w:val="18"/>
          <w:lang w:val="el-GR"/>
        </w:rPr>
        <w:t xml:space="preserve"> (JCC) που κατέχει ηγετική θέση στον κλάδο της επεξεργασίας καρτών και στις μεθόδους πληρωμών, η οποία ανήκει κατά 75% στην Τράπεζα.</w:t>
      </w:r>
      <w:r w:rsidR="00E72E65" w:rsidRPr="00E72E65">
        <w:rPr>
          <w:rFonts w:ascii="Arial" w:hAnsi="Arial" w:cs="Arial"/>
          <w:sz w:val="18"/>
          <w:lang w:val="el-GR"/>
        </w:rPr>
        <w:t xml:space="preserve"> </w:t>
      </w:r>
      <w:r w:rsidR="00CE36EC" w:rsidRPr="00E72E65">
        <w:rPr>
          <w:rFonts w:ascii="Arial" w:hAnsi="Arial" w:cs="Arial"/>
          <w:sz w:val="18"/>
          <w:lang w:val="el-GR"/>
        </w:rPr>
        <w:t xml:space="preserve">Τα καθαρά έσοδα από αμοιβές και προμήθειες από την </w:t>
      </w:r>
      <w:r w:rsidR="00CE36EC" w:rsidRPr="00E72E65">
        <w:rPr>
          <w:rFonts w:ascii="Arial" w:hAnsi="Arial" w:cs="Arial"/>
          <w:sz w:val="18"/>
          <w:lang w:val="en-US"/>
        </w:rPr>
        <w:t>JCC</w:t>
      </w:r>
      <w:r w:rsidR="00CE36EC" w:rsidRPr="00E72E65">
        <w:rPr>
          <w:rFonts w:ascii="Arial" w:hAnsi="Arial" w:cs="Arial"/>
          <w:sz w:val="18"/>
          <w:lang w:val="el-GR"/>
        </w:rPr>
        <w:t xml:space="preserve"> κατά </w:t>
      </w:r>
      <w:r w:rsidR="00E72E65" w:rsidRPr="00E72E65">
        <w:rPr>
          <w:rFonts w:ascii="Arial" w:hAnsi="Arial" w:cs="Arial"/>
          <w:sz w:val="18"/>
          <w:lang w:val="el-GR"/>
        </w:rPr>
        <w:t xml:space="preserve">το </w:t>
      </w:r>
      <w:r w:rsidR="007A2F9B">
        <w:rPr>
          <w:rFonts w:ascii="Arial" w:hAnsi="Arial" w:cs="Arial"/>
          <w:sz w:val="18"/>
          <w:lang w:val="el-GR"/>
        </w:rPr>
        <w:t>εννεάμηνο</w:t>
      </w:r>
      <w:r w:rsidR="00E72E65" w:rsidRPr="00E72E65">
        <w:rPr>
          <w:rFonts w:ascii="Arial" w:hAnsi="Arial" w:cs="Arial"/>
          <w:sz w:val="18"/>
          <w:lang w:val="el-GR"/>
        </w:rPr>
        <w:t xml:space="preserve"> που έληξε στις 30 Σεπτεμβρίου 2024 </w:t>
      </w:r>
      <w:r w:rsidR="00CE36EC" w:rsidRPr="00E72E65">
        <w:rPr>
          <w:rFonts w:ascii="Arial" w:hAnsi="Arial" w:cs="Arial"/>
          <w:sz w:val="18"/>
          <w:lang w:val="el-GR"/>
        </w:rPr>
        <w:t xml:space="preserve">αποτελούν το </w:t>
      </w:r>
      <w:r w:rsidR="00E72E65" w:rsidRPr="00E72E65">
        <w:rPr>
          <w:rFonts w:ascii="Arial" w:hAnsi="Arial" w:cs="Arial"/>
          <w:sz w:val="18"/>
          <w:lang w:val="el-GR"/>
        </w:rPr>
        <w:t>10</w:t>
      </w:r>
      <w:r w:rsidR="00CE36EC" w:rsidRPr="00E72E65">
        <w:rPr>
          <w:rFonts w:ascii="Arial" w:hAnsi="Arial" w:cs="Arial"/>
          <w:sz w:val="18"/>
          <w:lang w:val="el-GR"/>
        </w:rPr>
        <w:t xml:space="preserve">% των μη </w:t>
      </w:r>
      <w:proofErr w:type="spellStart"/>
      <w:r w:rsidR="00CE36EC" w:rsidRPr="00E72E65">
        <w:rPr>
          <w:rFonts w:ascii="Arial" w:hAnsi="Arial" w:cs="Arial"/>
          <w:sz w:val="18"/>
          <w:lang w:val="el-GR"/>
        </w:rPr>
        <w:t>επιτοκιακών</w:t>
      </w:r>
      <w:proofErr w:type="spellEnd"/>
      <w:r w:rsidR="00CE36EC" w:rsidRPr="00E72E65">
        <w:rPr>
          <w:rFonts w:ascii="Arial" w:hAnsi="Arial" w:cs="Arial"/>
          <w:sz w:val="18"/>
          <w:lang w:val="el-GR"/>
        </w:rPr>
        <w:t xml:space="preserve"> εσόδων του</w:t>
      </w:r>
      <w:r w:rsidR="00E33227" w:rsidRPr="00E72E65">
        <w:rPr>
          <w:rFonts w:ascii="Arial" w:hAnsi="Arial" w:cs="Arial"/>
          <w:b/>
          <w:color w:val="FF9900"/>
          <w:sz w:val="24"/>
          <w:szCs w:val="24"/>
          <w:lang w:val="el-GR"/>
        </w:rPr>
        <w:t xml:space="preserve"> </w:t>
      </w:r>
      <w:r w:rsidR="00CE36EC" w:rsidRPr="00E72E65">
        <w:rPr>
          <w:rFonts w:ascii="Arial" w:hAnsi="Arial" w:cs="Arial"/>
          <w:sz w:val="18"/>
          <w:lang w:val="el-GR"/>
        </w:rPr>
        <w:t>Συγκροτήματος</w:t>
      </w:r>
      <w:r w:rsidR="00CE36EC" w:rsidRPr="00E72E65" w:rsidDel="00D36CAF">
        <w:rPr>
          <w:rFonts w:ascii="Arial" w:hAnsi="Arial" w:cs="Arial"/>
          <w:sz w:val="18"/>
          <w:lang w:val="el-GR"/>
        </w:rPr>
        <w:t xml:space="preserve"> </w:t>
      </w:r>
      <w:r w:rsidR="00CE36EC" w:rsidRPr="00E72E65">
        <w:rPr>
          <w:rFonts w:ascii="Arial" w:hAnsi="Arial" w:cs="Arial"/>
          <w:sz w:val="18"/>
          <w:lang w:val="el-GR"/>
        </w:rPr>
        <w:t>και ανέρχονται σε €</w:t>
      </w:r>
      <w:r w:rsidR="00E72E65" w:rsidRPr="00E72E65">
        <w:rPr>
          <w:rFonts w:ascii="Arial" w:hAnsi="Arial" w:cs="Arial"/>
          <w:sz w:val="18"/>
          <w:lang w:val="el-GR"/>
        </w:rPr>
        <w:t>21</w:t>
      </w:r>
      <w:r w:rsidR="00400383" w:rsidRPr="00E72E65">
        <w:rPr>
          <w:rFonts w:ascii="Arial" w:hAnsi="Arial" w:cs="Arial"/>
          <w:sz w:val="18"/>
          <w:lang w:val="el-GR"/>
        </w:rPr>
        <w:t xml:space="preserve"> </w:t>
      </w:r>
      <w:r w:rsidR="00CE36EC" w:rsidRPr="00E72E65">
        <w:rPr>
          <w:rFonts w:ascii="Arial" w:hAnsi="Arial" w:cs="Arial"/>
          <w:sz w:val="18"/>
          <w:lang w:val="el-GR"/>
        </w:rPr>
        <w:t>εκατ.,</w:t>
      </w:r>
      <w:r w:rsidR="00400383" w:rsidRPr="00E72E65">
        <w:rPr>
          <w:rFonts w:ascii="Arial" w:hAnsi="Arial" w:cs="Arial"/>
          <w:sz w:val="18"/>
          <w:lang w:val="el-GR"/>
        </w:rPr>
        <w:t xml:space="preserve"> </w:t>
      </w:r>
      <w:r w:rsidR="00CE36EC" w:rsidRPr="00E72E65">
        <w:rPr>
          <w:rFonts w:ascii="Arial" w:hAnsi="Arial" w:cs="Arial"/>
          <w:sz w:val="18"/>
          <w:lang w:val="el-GR"/>
        </w:rPr>
        <w:t xml:space="preserve">αυξημένα κατά </w:t>
      </w:r>
      <w:r w:rsidR="00E72E65" w:rsidRPr="00E72E65">
        <w:rPr>
          <w:rFonts w:ascii="Arial" w:hAnsi="Arial" w:cs="Arial"/>
          <w:sz w:val="18"/>
          <w:lang w:val="el-GR"/>
        </w:rPr>
        <w:t>2</w:t>
      </w:r>
      <w:r w:rsidR="00CE36EC" w:rsidRPr="00E72E65">
        <w:rPr>
          <w:rFonts w:ascii="Arial" w:hAnsi="Arial" w:cs="Arial"/>
          <w:sz w:val="18"/>
          <w:lang w:val="el-GR"/>
        </w:rPr>
        <w:t>% σε ετήσια βάση, υποστηριζόμενα από ισχυρό όγκο συναλλαγών.</w:t>
      </w:r>
      <w:r w:rsidR="00400383" w:rsidRPr="00E72E65">
        <w:rPr>
          <w:rFonts w:ascii="Arial" w:hAnsi="Arial" w:cs="Arial"/>
          <w:sz w:val="18"/>
          <w:lang w:val="el-GR"/>
        </w:rPr>
        <w:t xml:space="preserve"> </w:t>
      </w:r>
      <w:r w:rsidR="0058787D" w:rsidRPr="00E72E65">
        <w:rPr>
          <w:rFonts w:ascii="Arial" w:hAnsi="Arial" w:cs="Arial"/>
          <w:sz w:val="18"/>
          <w:lang w:val="el-GR"/>
        </w:rPr>
        <w:t xml:space="preserve">Στο πλαίσιο της ευρύτερης στρατηγικής αξιολόγησής του, </w:t>
      </w:r>
      <w:r w:rsidR="007B3935" w:rsidRPr="00E72E65">
        <w:rPr>
          <w:rFonts w:ascii="Arial" w:hAnsi="Arial" w:cs="Arial"/>
          <w:sz w:val="18"/>
          <w:lang w:val="el-GR"/>
        </w:rPr>
        <w:t>τ</w:t>
      </w:r>
      <w:r w:rsidR="0058787D" w:rsidRPr="00E72E65">
        <w:rPr>
          <w:rFonts w:ascii="Arial" w:hAnsi="Arial" w:cs="Arial"/>
          <w:sz w:val="18"/>
          <w:lang w:val="el-GR"/>
        </w:rPr>
        <w:t>ο Συγκρότημα προβαίνει σε στρατηγική επανεξέταση η οποία μπορεί να οδηγήσει σε πιθανή πώληση μέρους ή του συνόλου του μεριδίου του στην JCC, αν και δεν έχει ληφθεί οποιαδήποτε απόφαση σε αυτό το στάδιο.</w:t>
      </w:r>
    </w:p>
    <w:p w14:paraId="0AD35C69" w14:textId="77777777" w:rsidR="00CE36EC" w:rsidRPr="00E72E65" w:rsidRDefault="00CE36EC" w:rsidP="00CE36EC">
      <w:pPr>
        <w:spacing w:after="0" w:line="240" w:lineRule="auto"/>
        <w:jc w:val="both"/>
        <w:rPr>
          <w:rFonts w:ascii="Arial" w:hAnsi="Arial" w:cs="Arial"/>
          <w:sz w:val="18"/>
          <w:lang w:val="el-GR"/>
        </w:rPr>
      </w:pPr>
    </w:p>
    <w:p w14:paraId="22E30347" w14:textId="69BF4E5D" w:rsidR="004C763A" w:rsidRPr="00D41B36" w:rsidRDefault="00CE36EC" w:rsidP="00862F17">
      <w:pPr>
        <w:pStyle w:val="Default"/>
        <w:jc w:val="both"/>
        <w:rPr>
          <w:color w:val="auto"/>
          <w:sz w:val="18"/>
          <w:szCs w:val="18"/>
          <w:highlight w:val="yellow"/>
          <w:lang w:val="el-GR"/>
        </w:rPr>
      </w:pPr>
      <w:r w:rsidRPr="00E72E65">
        <w:rPr>
          <w:color w:val="auto"/>
          <w:sz w:val="18"/>
          <w:lang w:val="el-GR"/>
        </w:rPr>
        <w:t xml:space="preserve">Οι </w:t>
      </w:r>
      <w:r w:rsidRPr="00E72E65">
        <w:rPr>
          <w:b/>
          <w:color w:val="auto"/>
          <w:sz w:val="18"/>
          <w:lang w:val="el-GR"/>
        </w:rPr>
        <w:t>ασφαλιστικές εταιρείες</w:t>
      </w:r>
      <w:r w:rsidRPr="00E72E65">
        <w:rPr>
          <w:color w:val="auto"/>
          <w:sz w:val="18"/>
          <w:lang w:val="el-GR"/>
        </w:rPr>
        <w:t xml:space="preserve"> του Συγκροτήματος, </w:t>
      </w:r>
      <w:proofErr w:type="spellStart"/>
      <w:r w:rsidRPr="00E72E65">
        <w:rPr>
          <w:color w:val="auto"/>
          <w:sz w:val="18"/>
          <w:lang w:val="el-GR"/>
        </w:rPr>
        <w:t>EuroLife</w:t>
      </w:r>
      <w:proofErr w:type="spellEnd"/>
      <w:r w:rsidRPr="00E72E65">
        <w:rPr>
          <w:color w:val="auto"/>
          <w:sz w:val="18"/>
          <w:lang w:val="el-GR"/>
        </w:rPr>
        <w:t xml:space="preserve"> και </w:t>
      </w:r>
      <w:r w:rsidRPr="00E72E65">
        <w:rPr>
          <w:color w:val="auto"/>
          <w:sz w:val="18"/>
          <w:lang w:val="en-US"/>
        </w:rPr>
        <w:t>GI</w:t>
      </w:r>
      <w:r w:rsidRPr="00E72E65">
        <w:rPr>
          <w:color w:val="auto"/>
          <w:sz w:val="18"/>
          <w:lang w:val="el-GR"/>
        </w:rPr>
        <w:t>, κατέχουν ηγετική θέση στο κλάδο ζωής και στον γενικό ασφαλιστικό κλάδο αντίστοιχα στην Κύπρο, και παρέχουν επαναλαμβανόμενα</w:t>
      </w:r>
      <w:r w:rsidRPr="00E72E65">
        <w:rPr>
          <w:bCs/>
          <w:color w:val="auto"/>
          <w:sz w:val="18"/>
          <w:szCs w:val="28"/>
          <w:lang w:val="el-GR"/>
        </w:rPr>
        <w:t xml:space="preserve"> και βελτιωμένα</w:t>
      </w:r>
      <w:r w:rsidRPr="00E72E65">
        <w:rPr>
          <w:color w:val="auto"/>
          <w:sz w:val="18"/>
          <w:lang w:val="el-GR"/>
        </w:rPr>
        <w:t xml:space="preserve"> έσοδα, διαφοροποιώντας περαιτέρω τις ροές εισοδημάτων του Συγκροτήματος. Τα καθαρά αποτελέσματα από ασφαλιστικές εργασίες</w:t>
      </w:r>
      <w:r w:rsidR="003C7615" w:rsidRPr="00E72E65">
        <w:rPr>
          <w:color w:val="auto"/>
          <w:sz w:val="18"/>
          <w:lang w:val="el-GR"/>
        </w:rPr>
        <w:t xml:space="preserve"> για το</w:t>
      </w:r>
      <w:r w:rsidRPr="00E72E65">
        <w:rPr>
          <w:color w:val="auto"/>
          <w:sz w:val="18"/>
          <w:lang w:val="el-GR"/>
        </w:rPr>
        <w:t xml:space="preserve"> </w:t>
      </w:r>
      <w:r w:rsidR="007A2F9B">
        <w:rPr>
          <w:color w:val="auto"/>
          <w:sz w:val="18"/>
          <w:lang w:val="el-GR"/>
        </w:rPr>
        <w:t>εννεάμηνο</w:t>
      </w:r>
      <w:r w:rsidR="00E72E65" w:rsidRPr="00E72E65">
        <w:rPr>
          <w:color w:val="auto"/>
          <w:sz w:val="18"/>
          <w:lang w:val="el-GR"/>
        </w:rPr>
        <w:t xml:space="preserve"> που έληξε στις 30 Σεπτεμβρίου 2024 </w:t>
      </w:r>
      <w:r w:rsidRPr="00E72E65">
        <w:rPr>
          <w:color w:val="auto"/>
          <w:sz w:val="18"/>
          <w:lang w:val="el-GR"/>
        </w:rPr>
        <w:t>αποτελούν</w:t>
      </w:r>
      <w:r w:rsidR="00E72E65" w:rsidRPr="00E72E65">
        <w:rPr>
          <w:color w:val="auto"/>
          <w:sz w:val="18"/>
          <w:lang w:val="el-GR"/>
        </w:rPr>
        <w:t xml:space="preserve"> </w:t>
      </w:r>
      <w:r w:rsidRPr="00E72E65">
        <w:rPr>
          <w:color w:val="auto"/>
          <w:sz w:val="18"/>
          <w:lang w:val="el-GR"/>
        </w:rPr>
        <w:t xml:space="preserve">το </w:t>
      </w:r>
      <w:r w:rsidR="00E72E65" w:rsidRPr="00E72E65">
        <w:rPr>
          <w:sz w:val="18"/>
          <w:lang w:val="el-GR"/>
        </w:rPr>
        <w:t>17</w:t>
      </w:r>
      <w:r w:rsidRPr="00E72E65">
        <w:rPr>
          <w:color w:val="auto"/>
          <w:sz w:val="18"/>
          <w:lang w:val="el-GR"/>
        </w:rPr>
        <w:t xml:space="preserve">% των μη </w:t>
      </w:r>
      <w:proofErr w:type="spellStart"/>
      <w:r w:rsidRPr="00E72E65">
        <w:rPr>
          <w:color w:val="auto"/>
          <w:sz w:val="18"/>
          <w:lang w:val="el-GR"/>
        </w:rPr>
        <w:t>επιτοκιακών</w:t>
      </w:r>
      <w:proofErr w:type="spellEnd"/>
      <w:r w:rsidRPr="00E72E65">
        <w:rPr>
          <w:color w:val="auto"/>
          <w:sz w:val="18"/>
          <w:lang w:val="el-GR"/>
        </w:rPr>
        <w:t xml:space="preserve"> εσόδων του Συγκροτήματος και</w:t>
      </w:r>
      <w:r w:rsidR="00CA4D34" w:rsidRPr="00E72E65">
        <w:rPr>
          <w:color w:val="auto"/>
          <w:sz w:val="18"/>
          <w:lang w:val="el-GR"/>
        </w:rPr>
        <w:t xml:space="preserve"> </w:t>
      </w:r>
      <w:r w:rsidRPr="00E72E65">
        <w:rPr>
          <w:sz w:val="18"/>
          <w:lang w:val="el-GR"/>
        </w:rPr>
        <w:t>ανέρχονται σε €</w:t>
      </w:r>
      <w:r w:rsidR="00E72E65" w:rsidRPr="00E72E65">
        <w:rPr>
          <w:sz w:val="18"/>
          <w:lang w:val="el-GR"/>
        </w:rPr>
        <w:t>35</w:t>
      </w:r>
      <w:r w:rsidR="00B44F06" w:rsidRPr="00E72E65">
        <w:rPr>
          <w:sz w:val="18"/>
          <w:lang w:val="el-GR"/>
        </w:rPr>
        <w:t xml:space="preserve"> </w:t>
      </w:r>
      <w:r w:rsidRPr="00E72E65">
        <w:rPr>
          <w:sz w:val="18"/>
          <w:lang w:val="el-GR"/>
        </w:rPr>
        <w:t>εκατ.</w:t>
      </w:r>
      <w:r w:rsidR="00B44F06" w:rsidRPr="00E72E65">
        <w:rPr>
          <w:sz w:val="18"/>
          <w:lang w:val="el-GR"/>
        </w:rPr>
        <w:t xml:space="preserve"> </w:t>
      </w:r>
      <w:r w:rsidR="00D21AE2" w:rsidRPr="00E72E65">
        <w:rPr>
          <w:color w:val="auto"/>
          <w:sz w:val="18"/>
          <w:lang w:val="el-GR"/>
        </w:rPr>
        <w:t xml:space="preserve">Οι ασφαλιστικές εταιρείες παραμένουν σημαντικοί και σταθεροί παράγοντες στην κερδοφορία του Συγκροτήματος. </w:t>
      </w:r>
    </w:p>
    <w:p w14:paraId="6C9FB2BD" w14:textId="77777777" w:rsidR="00D21AE2" w:rsidRPr="00E72E65" w:rsidRDefault="00D21AE2" w:rsidP="00CE36EC">
      <w:pPr>
        <w:spacing w:after="0" w:line="240" w:lineRule="auto"/>
        <w:jc w:val="both"/>
        <w:rPr>
          <w:rFonts w:ascii="Arial" w:hAnsi="Arial" w:cs="Arial"/>
          <w:sz w:val="18"/>
          <w:lang w:val="el-GR"/>
        </w:rPr>
      </w:pPr>
    </w:p>
    <w:p w14:paraId="39CAF15E" w14:textId="1CB7B62E" w:rsidR="003C7615" w:rsidRPr="00D41B36" w:rsidRDefault="00CE36EC" w:rsidP="00CE36EC">
      <w:pPr>
        <w:spacing w:after="0" w:line="240" w:lineRule="auto"/>
        <w:jc w:val="both"/>
        <w:rPr>
          <w:rFonts w:ascii="Arial" w:hAnsi="Arial" w:cs="Arial"/>
          <w:sz w:val="18"/>
          <w:highlight w:val="yellow"/>
          <w:lang w:val="el-GR"/>
        </w:rPr>
      </w:pPr>
      <w:r w:rsidRPr="00E72E65">
        <w:rPr>
          <w:rFonts w:ascii="Arial" w:hAnsi="Arial" w:cs="Arial"/>
          <w:sz w:val="18"/>
          <w:lang w:val="el-GR"/>
        </w:rPr>
        <w:t xml:space="preserve">Τέλος, το Συγκρότημα με την εισαγωγή της </w:t>
      </w:r>
      <w:r w:rsidRPr="00E72E65">
        <w:rPr>
          <w:rFonts w:ascii="Arial" w:hAnsi="Arial" w:cs="Arial"/>
          <w:b/>
          <w:bCs/>
          <w:sz w:val="18"/>
          <w:lang w:val="el-GR"/>
        </w:rPr>
        <w:t>Πλατφόρμας Ψηφιακής Οικονομίας (</w:t>
      </w:r>
      <w:proofErr w:type="spellStart"/>
      <w:r w:rsidRPr="00E72E65">
        <w:rPr>
          <w:rFonts w:ascii="Arial" w:hAnsi="Arial" w:cs="Arial"/>
          <w:b/>
          <w:bCs/>
          <w:sz w:val="18"/>
          <w:lang w:val="en-US"/>
        </w:rPr>
        <w:t>Jinius</w:t>
      </w:r>
      <w:proofErr w:type="spellEnd"/>
      <w:r w:rsidRPr="00E72E65">
        <w:rPr>
          <w:rFonts w:ascii="Arial" w:hAnsi="Arial" w:cs="Arial"/>
          <w:b/>
          <w:bCs/>
          <w:sz w:val="18"/>
          <w:lang w:val="el-GR"/>
        </w:rPr>
        <w:t>)</w:t>
      </w:r>
      <w:r w:rsidRPr="00E72E65">
        <w:rPr>
          <w:rFonts w:ascii="Arial" w:hAnsi="Arial" w:cs="Arial"/>
          <w:sz w:val="18"/>
          <w:lang w:val="el-GR"/>
        </w:rPr>
        <w:t xml:space="preserve"> (‘η Πλατφόρμα’) στοχεύει να υποστηρίξει την ψηφιακή οικονομία της χώρας βελτιστοποιώντας </w:t>
      </w:r>
      <w:r w:rsidR="008D0F0B" w:rsidRPr="00E72E65">
        <w:rPr>
          <w:rFonts w:ascii="Arial" w:hAnsi="Arial" w:cs="Arial"/>
          <w:sz w:val="18"/>
          <w:lang w:val="el-GR"/>
        </w:rPr>
        <w:t>τη διεξαγωγή συναλλαγών</w:t>
      </w:r>
      <w:r w:rsidRPr="00E72E65">
        <w:rPr>
          <w:rFonts w:ascii="Arial" w:hAnsi="Arial" w:cs="Arial"/>
          <w:sz w:val="18"/>
          <w:lang w:val="el-GR"/>
        </w:rPr>
        <w:t xml:space="preserve"> και διαδικασίες με ένα αποδοτικότερο τρόπο, να ενδυναμώσει τις σχέσεις της Τράπεζας με τους πελάτες της, να δημιουργήσει ευκαιρίες διασταυρωμένων πωλήσεων</w:t>
      </w:r>
      <w:r w:rsidR="008D0F0B" w:rsidRPr="00E72E65">
        <w:rPr>
          <w:rFonts w:ascii="Arial" w:hAnsi="Arial" w:cs="Arial"/>
          <w:sz w:val="18"/>
          <w:lang w:val="el-GR"/>
        </w:rPr>
        <w:t xml:space="preserve"> (‘</w:t>
      </w:r>
      <w:r w:rsidR="008D0F0B" w:rsidRPr="00E72E65">
        <w:rPr>
          <w:rFonts w:ascii="Arial" w:hAnsi="Arial" w:cs="Arial"/>
          <w:sz w:val="18"/>
          <w:lang w:val="en-US"/>
        </w:rPr>
        <w:t>cross</w:t>
      </w:r>
      <w:r w:rsidR="008D0F0B" w:rsidRPr="00E72E65">
        <w:rPr>
          <w:rFonts w:ascii="Arial" w:hAnsi="Arial" w:cs="Arial"/>
          <w:sz w:val="18"/>
          <w:lang w:val="el-GR"/>
        </w:rPr>
        <w:t>-</w:t>
      </w:r>
      <w:r w:rsidR="008D0F0B" w:rsidRPr="00E72E65">
        <w:rPr>
          <w:rFonts w:ascii="Arial" w:hAnsi="Arial" w:cs="Arial"/>
          <w:sz w:val="18"/>
          <w:lang w:val="en-US"/>
        </w:rPr>
        <w:t>selling</w:t>
      </w:r>
      <w:r w:rsidR="008D0F0B" w:rsidRPr="00E72E65">
        <w:rPr>
          <w:rFonts w:ascii="Arial" w:hAnsi="Arial" w:cs="Arial"/>
          <w:sz w:val="18"/>
          <w:lang w:val="el-GR"/>
        </w:rPr>
        <w:t>’)</w:t>
      </w:r>
      <w:r w:rsidRPr="00E72E65">
        <w:rPr>
          <w:rFonts w:ascii="Arial" w:hAnsi="Arial" w:cs="Arial"/>
          <w:sz w:val="18"/>
          <w:lang w:val="el-GR"/>
        </w:rPr>
        <w:t xml:space="preserve"> καθώς επίσης και να δημιουργήσει νέες πηγές εισοδημάτων μεσοπρόθεσμα, αξιοποιώντας το ισχυρό μερίδιο αγοράς, την τεχνογνωσία και την</w:t>
      </w:r>
      <w:r w:rsidRPr="00E72E65">
        <w:rPr>
          <w:rFonts w:ascii="Arial" w:hAnsi="Arial" w:cs="Arial"/>
          <w:b/>
          <w:bCs/>
          <w:sz w:val="18"/>
          <w:lang w:val="el-GR"/>
        </w:rPr>
        <w:t xml:space="preserve"> </w:t>
      </w:r>
      <w:r w:rsidRPr="00E72E65">
        <w:rPr>
          <w:rFonts w:ascii="Arial" w:hAnsi="Arial" w:cs="Arial"/>
          <w:sz w:val="18"/>
          <w:lang w:val="el-GR"/>
        </w:rPr>
        <w:t xml:space="preserve">ψηφιακή υποδομή της Τράπεζας. Οι πρώτες υπηρεσίες οι οποίες αφορούν συναλλαγές </w:t>
      </w:r>
      <w:r w:rsidR="005B0668" w:rsidRPr="00E72E65">
        <w:rPr>
          <w:rFonts w:ascii="Arial" w:hAnsi="Arial" w:cs="Arial"/>
          <w:sz w:val="18"/>
          <w:lang w:val="el-GR"/>
        </w:rPr>
        <w:t>‘</w:t>
      </w:r>
      <w:r w:rsidRPr="00E72E65">
        <w:rPr>
          <w:rFonts w:ascii="Arial" w:hAnsi="Arial" w:cs="Arial"/>
          <w:sz w:val="18"/>
          <w:lang w:val="el-GR"/>
        </w:rPr>
        <w:t>από επιχείρηση σε επιχείρηση</w:t>
      </w:r>
      <w:r w:rsidR="005B0668" w:rsidRPr="00E72E65">
        <w:rPr>
          <w:rFonts w:ascii="Arial" w:hAnsi="Arial" w:cs="Arial"/>
          <w:sz w:val="18"/>
          <w:lang w:val="el-GR"/>
        </w:rPr>
        <w:t>’</w:t>
      </w:r>
      <w:r w:rsidRPr="00E72E65">
        <w:rPr>
          <w:rFonts w:ascii="Arial" w:hAnsi="Arial" w:cs="Arial"/>
          <w:sz w:val="18"/>
          <w:lang w:val="el-GR"/>
        </w:rPr>
        <w:t>, ήδη χρησιμοποιούνται από πελάτες, και περιλαμβάνουν την ηλεκτρονική τιμολόγηση, διαχείριση εμβασμάτων, διαχείριση προσφορών καθώς και τη δυνατότητα εύρεσης υφιστάμενων αλλά και νέων συνεργατών</w:t>
      </w:r>
      <w:r w:rsidR="00271E89" w:rsidRPr="00E72E65">
        <w:rPr>
          <w:rFonts w:ascii="Arial" w:hAnsi="Arial" w:cs="Arial"/>
          <w:sz w:val="18"/>
          <w:lang w:val="el-GR"/>
        </w:rPr>
        <w:t>. Επί του παρόντος, π</w:t>
      </w:r>
      <w:r w:rsidR="003C7615" w:rsidRPr="00E72E65">
        <w:rPr>
          <w:rFonts w:ascii="Arial" w:hAnsi="Arial" w:cs="Arial"/>
          <w:sz w:val="18"/>
          <w:lang w:val="el-GR"/>
        </w:rPr>
        <w:t xml:space="preserve">ερίπου </w:t>
      </w:r>
      <w:r w:rsidR="004C0AE7" w:rsidRPr="00E72E65">
        <w:rPr>
          <w:rFonts w:ascii="Arial" w:hAnsi="Arial" w:cs="Arial"/>
          <w:sz w:val="18"/>
          <w:lang w:val="el-GR"/>
        </w:rPr>
        <w:t>2,</w:t>
      </w:r>
      <w:r w:rsidR="00E72E65" w:rsidRPr="00E72E65">
        <w:rPr>
          <w:rFonts w:ascii="Arial" w:hAnsi="Arial" w:cs="Arial"/>
          <w:sz w:val="18"/>
          <w:lang w:val="el-GR"/>
        </w:rPr>
        <w:t>350</w:t>
      </w:r>
      <w:r w:rsidR="004C0AE7" w:rsidRPr="00E72E65">
        <w:rPr>
          <w:rFonts w:ascii="Arial" w:hAnsi="Arial" w:cs="Arial"/>
          <w:sz w:val="18"/>
          <w:lang w:val="el-GR"/>
        </w:rPr>
        <w:t xml:space="preserve"> </w:t>
      </w:r>
      <w:r w:rsidR="00271E89" w:rsidRPr="00E72E65">
        <w:rPr>
          <w:rFonts w:ascii="Arial" w:hAnsi="Arial" w:cs="Arial"/>
          <w:sz w:val="18"/>
          <w:lang w:val="el-GR"/>
        </w:rPr>
        <w:t xml:space="preserve">εταιρείες έχουν εγγραφεί στην πλατφόρμα και </w:t>
      </w:r>
      <w:r w:rsidR="00E72E65" w:rsidRPr="00E72E65">
        <w:rPr>
          <w:rFonts w:ascii="Arial" w:hAnsi="Arial" w:cs="Arial"/>
          <w:sz w:val="18"/>
          <w:lang w:val="el-GR"/>
        </w:rPr>
        <w:t xml:space="preserve">περίπου </w:t>
      </w:r>
      <w:r w:rsidR="00271E89" w:rsidRPr="00E72E65">
        <w:rPr>
          <w:rFonts w:ascii="Arial" w:hAnsi="Arial" w:cs="Arial"/>
          <w:sz w:val="18"/>
          <w:lang w:val="el-GR"/>
        </w:rPr>
        <w:t>€</w:t>
      </w:r>
      <w:r w:rsidR="00E72E65" w:rsidRPr="00E72E65">
        <w:rPr>
          <w:rFonts w:ascii="Arial" w:hAnsi="Arial" w:cs="Arial"/>
          <w:sz w:val="18"/>
          <w:lang w:val="el-GR"/>
        </w:rPr>
        <w:t>860</w:t>
      </w:r>
      <w:r w:rsidR="004C0AE7" w:rsidRPr="00E72E65">
        <w:rPr>
          <w:rFonts w:ascii="Arial" w:hAnsi="Arial" w:cs="Arial"/>
          <w:sz w:val="18"/>
          <w:lang w:val="el-GR"/>
        </w:rPr>
        <w:t xml:space="preserve"> </w:t>
      </w:r>
      <w:r w:rsidR="00271E89" w:rsidRPr="00E72E65">
        <w:rPr>
          <w:rFonts w:ascii="Arial" w:hAnsi="Arial" w:cs="Arial"/>
          <w:sz w:val="18"/>
          <w:lang w:val="el-GR"/>
        </w:rPr>
        <w:t xml:space="preserve">εκατ. μετρητά ανταλλάχθηκαν μέσω της πλατφόρμας </w:t>
      </w:r>
      <w:r w:rsidR="003C7615" w:rsidRPr="00E72E65">
        <w:rPr>
          <w:rFonts w:ascii="Arial" w:hAnsi="Arial" w:cs="Arial"/>
          <w:sz w:val="18"/>
          <w:lang w:val="el-GR"/>
        </w:rPr>
        <w:t>από το</w:t>
      </w:r>
      <w:r w:rsidR="00271E89" w:rsidRPr="00E72E65">
        <w:rPr>
          <w:rFonts w:ascii="Arial" w:hAnsi="Arial" w:cs="Arial"/>
          <w:sz w:val="18"/>
          <w:lang w:val="el-GR"/>
        </w:rPr>
        <w:t xml:space="preserve"> 2023</w:t>
      </w:r>
      <w:r w:rsidR="003C7615" w:rsidRPr="00E72E65">
        <w:rPr>
          <w:rFonts w:ascii="Arial" w:hAnsi="Arial" w:cs="Arial"/>
          <w:sz w:val="18"/>
          <w:lang w:val="el-GR"/>
        </w:rPr>
        <w:t xml:space="preserve"> </w:t>
      </w:r>
      <w:r w:rsidR="00271E89" w:rsidRPr="00E72E65">
        <w:rPr>
          <w:rFonts w:ascii="Arial" w:hAnsi="Arial" w:cs="Arial"/>
          <w:sz w:val="18"/>
          <w:lang w:val="el-GR"/>
        </w:rPr>
        <w:t xml:space="preserve">μέσω των υπηρεσιών ηλεκτρονικής τιμολόγησης και διαχείρισης εμβασμάτων. </w:t>
      </w:r>
    </w:p>
    <w:p w14:paraId="75DF5CDF" w14:textId="77777777" w:rsidR="003C7615" w:rsidRPr="00E72E65" w:rsidRDefault="003C7615" w:rsidP="00CE36EC">
      <w:pPr>
        <w:spacing w:after="0" w:line="240" w:lineRule="auto"/>
        <w:jc w:val="both"/>
        <w:rPr>
          <w:rFonts w:ascii="Arial" w:hAnsi="Arial" w:cs="Arial"/>
          <w:sz w:val="18"/>
          <w:lang w:val="el-GR"/>
        </w:rPr>
      </w:pPr>
    </w:p>
    <w:p w14:paraId="2646AC2A" w14:textId="0A3E5A36" w:rsidR="00271E89" w:rsidRPr="00D41B36" w:rsidRDefault="00271E89" w:rsidP="00CE36EC">
      <w:pPr>
        <w:spacing w:after="0" w:line="240" w:lineRule="auto"/>
        <w:jc w:val="both"/>
        <w:rPr>
          <w:rFonts w:ascii="Arial" w:hAnsi="Arial" w:cs="Arial"/>
          <w:sz w:val="18"/>
          <w:highlight w:val="yellow"/>
          <w:lang w:val="el-GR"/>
        </w:rPr>
      </w:pPr>
      <w:r w:rsidRPr="00E72E65">
        <w:rPr>
          <w:rFonts w:ascii="Arial" w:hAnsi="Arial" w:cs="Arial"/>
          <w:sz w:val="18"/>
          <w:lang w:val="el-GR"/>
        </w:rPr>
        <w:t xml:space="preserve">Τον </w:t>
      </w:r>
      <w:r w:rsidRPr="00DE7776">
        <w:rPr>
          <w:rFonts w:ascii="Arial" w:hAnsi="Arial" w:cs="Arial"/>
          <w:sz w:val="18"/>
          <w:lang w:val="el-GR"/>
        </w:rPr>
        <w:t>Φεβρουάριο 2024,</w:t>
      </w:r>
      <w:r w:rsidR="001A6731" w:rsidRPr="00DE7776">
        <w:rPr>
          <w:rFonts w:ascii="Arial" w:hAnsi="Arial" w:cs="Arial"/>
          <w:sz w:val="18"/>
          <w:lang w:val="el-GR"/>
        </w:rPr>
        <w:t xml:space="preserve"> </w:t>
      </w:r>
      <w:r w:rsidRPr="00DE7776">
        <w:rPr>
          <w:rFonts w:ascii="Arial" w:hAnsi="Arial" w:cs="Arial"/>
          <w:sz w:val="18"/>
          <w:lang w:val="el-GR"/>
        </w:rPr>
        <w:t>τέθηκαν σε εφαρμογή οι</w:t>
      </w:r>
      <w:r w:rsidR="00CE36EC" w:rsidRPr="00DE7776">
        <w:rPr>
          <w:rFonts w:ascii="Arial" w:hAnsi="Arial" w:cs="Arial"/>
          <w:sz w:val="18"/>
          <w:lang w:val="el-GR"/>
        </w:rPr>
        <w:t xml:space="preserve"> υπηρεσίες οι οποίες αφορούν και τον καταναλωτή,</w:t>
      </w:r>
      <w:r w:rsidRPr="00DE7776">
        <w:rPr>
          <w:rFonts w:ascii="Arial" w:hAnsi="Arial" w:cs="Arial"/>
          <w:sz w:val="18"/>
          <w:lang w:val="el-GR"/>
        </w:rPr>
        <w:t xml:space="preserve"> </w:t>
      </w:r>
      <w:r w:rsidR="00CE36EC" w:rsidRPr="00DE7776">
        <w:rPr>
          <w:rFonts w:ascii="Arial" w:hAnsi="Arial" w:cs="Arial"/>
          <w:sz w:val="18"/>
          <w:lang w:val="el-GR"/>
        </w:rPr>
        <w:t xml:space="preserve">μια </w:t>
      </w:r>
      <w:r w:rsidR="00453E7D" w:rsidRPr="00DE7776">
        <w:rPr>
          <w:rFonts w:ascii="Arial" w:hAnsi="Arial" w:cs="Arial"/>
          <w:sz w:val="18"/>
          <w:lang w:val="el-GR"/>
        </w:rPr>
        <w:t>Π</w:t>
      </w:r>
      <w:r w:rsidR="00CE36EC" w:rsidRPr="00DE7776">
        <w:rPr>
          <w:rFonts w:ascii="Arial" w:hAnsi="Arial" w:cs="Arial"/>
          <w:sz w:val="18"/>
          <w:lang w:val="el-GR"/>
        </w:rPr>
        <w:t xml:space="preserve">λατφόρμα </w:t>
      </w:r>
      <w:r w:rsidR="00453E7D" w:rsidRPr="00DE7776">
        <w:rPr>
          <w:rFonts w:ascii="Arial" w:hAnsi="Arial" w:cs="Arial"/>
          <w:sz w:val="18"/>
          <w:lang w:val="el-GR"/>
        </w:rPr>
        <w:t>Α</w:t>
      </w:r>
      <w:r w:rsidR="00CE36EC" w:rsidRPr="00DE7776">
        <w:rPr>
          <w:rFonts w:ascii="Arial" w:hAnsi="Arial" w:cs="Arial"/>
          <w:sz w:val="18"/>
          <w:lang w:val="el-GR"/>
        </w:rPr>
        <w:t xml:space="preserve">γοράς </w:t>
      </w:r>
      <w:r w:rsidR="00453E7D" w:rsidRPr="00DE7776">
        <w:rPr>
          <w:rFonts w:ascii="Arial" w:hAnsi="Arial" w:cs="Arial"/>
          <w:sz w:val="18"/>
          <w:lang w:val="el-GR"/>
        </w:rPr>
        <w:t>Π</w:t>
      </w:r>
      <w:r w:rsidR="00CE36EC" w:rsidRPr="00DE7776">
        <w:rPr>
          <w:rFonts w:ascii="Arial" w:hAnsi="Arial" w:cs="Arial"/>
          <w:sz w:val="18"/>
          <w:lang w:val="el-GR"/>
        </w:rPr>
        <w:t>ροϊόντων, με στόχο τη</w:t>
      </w:r>
      <w:r w:rsidRPr="00DE7776">
        <w:rPr>
          <w:rFonts w:ascii="Arial" w:hAnsi="Arial" w:cs="Arial"/>
          <w:sz w:val="18"/>
          <w:lang w:val="el-GR"/>
        </w:rPr>
        <w:t xml:space="preserve">ν ενίσχυση </w:t>
      </w:r>
      <w:r w:rsidR="001A6731" w:rsidRPr="00DE7776">
        <w:rPr>
          <w:rFonts w:ascii="Arial" w:hAnsi="Arial" w:cs="Arial"/>
          <w:sz w:val="18"/>
          <w:lang w:val="el-GR"/>
        </w:rPr>
        <w:t>της επαφής</w:t>
      </w:r>
      <w:r w:rsidRPr="00DE7776">
        <w:rPr>
          <w:rFonts w:ascii="Arial" w:hAnsi="Arial" w:cs="Arial"/>
          <w:sz w:val="18"/>
          <w:lang w:val="el-GR"/>
        </w:rPr>
        <w:t xml:space="preserve"> </w:t>
      </w:r>
      <w:r w:rsidR="001A6731" w:rsidRPr="00DE7776">
        <w:rPr>
          <w:rFonts w:ascii="Arial" w:hAnsi="Arial" w:cs="Arial"/>
          <w:sz w:val="18"/>
          <w:lang w:val="el-GR"/>
        </w:rPr>
        <w:t>με</w:t>
      </w:r>
      <w:r w:rsidRPr="00DE7776">
        <w:rPr>
          <w:rFonts w:ascii="Arial" w:hAnsi="Arial" w:cs="Arial"/>
          <w:sz w:val="18"/>
          <w:lang w:val="el-GR"/>
        </w:rPr>
        <w:t xml:space="preserve"> τους πελάτες. </w:t>
      </w:r>
      <w:proofErr w:type="spellStart"/>
      <w:r w:rsidR="001A6731" w:rsidRPr="00DE7776">
        <w:rPr>
          <w:rFonts w:ascii="Arial" w:hAnsi="Arial" w:cs="Arial"/>
          <w:sz w:val="18"/>
          <w:lang w:val="el-GR"/>
        </w:rPr>
        <w:t>Επι</w:t>
      </w:r>
      <w:proofErr w:type="spellEnd"/>
      <w:r w:rsidR="001A6731" w:rsidRPr="00DE7776">
        <w:rPr>
          <w:rFonts w:ascii="Arial" w:hAnsi="Arial" w:cs="Arial"/>
          <w:sz w:val="18"/>
          <w:lang w:val="el-GR"/>
        </w:rPr>
        <w:t xml:space="preserve"> του παρόντος, </w:t>
      </w:r>
      <w:r w:rsidR="00A57BD7" w:rsidRPr="00DE7776">
        <w:rPr>
          <w:rFonts w:ascii="Arial" w:hAnsi="Arial" w:cs="Arial"/>
          <w:sz w:val="18"/>
          <w:lang w:val="el-GR"/>
        </w:rPr>
        <w:t xml:space="preserve">περίπου </w:t>
      </w:r>
      <w:r w:rsidR="00E72E65" w:rsidRPr="00DE7776">
        <w:rPr>
          <w:rFonts w:ascii="Arial" w:hAnsi="Arial" w:cs="Arial"/>
          <w:sz w:val="18"/>
          <w:lang w:val="el-GR"/>
        </w:rPr>
        <w:t>170</w:t>
      </w:r>
      <w:r w:rsidR="004C0AE7" w:rsidRPr="00DE7776">
        <w:rPr>
          <w:rFonts w:ascii="Arial" w:hAnsi="Arial" w:cs="Arial"/>
          <w:sz w:val="18"/>
          <w:lang w:val="el-GR"/>
        </w:rPr>
        <w:t xml:space="preserve"> </w:t>
      </w:r>
      <w:r w:rsidR="001A6731" w:rsidRPr="00DE7776">
        <w:rPr>
          <w:rFonts w:ascii="Arial" w:hAnsi="Arial" w:cs="Arial"/>
          <w:sz w:val="18"/>
          <w:lang w:val="el-GR"/>
        </w:rPr>
        <w:t>πωλητές του λιανικού τομέα στους τομείς της μόδας</w:t>
      </w:r>
      <w:r w:rsidR="00A57BD7" w:rsidRPr="00DE7776">
        <w:rPr>
          <w:rFonts w:ascii="Arial" w:hAnsi="Arial" w:cs="Arial"/>
          <w:sz w:val="18"/>
          <w:lang w:val="el-GR"/>
        </w:rPr>
        <w:t xml:space="preserve">, </w:t>
      </w:r>
      <w:r w:rsidR="001A6731" w:rsidRPr="00DE7776">
        <w:rPr>
          <w:rFonts w:ascii="Arial" w:hAnsi="Arial" w:cs="Arial"/>
          <w:sz w:val="18"/>
          <w:lang w:val="el-GR"/>
        </w:rPr>
        <w:t>τεχνολογίας</w:t>
      </w:r>
      <w:r w:rsidR="004C0AE7" w:rsidRPr="00DE7776">
        <w:rPr>
          <w:rFonts w:ascii="Arial" w:hAnsi="Arial" w:cs="Arial"/>
          <w:sz w:val="18"/>
          <w:lang w:val="el-GR"/>
        </w:rPr>
        <w:t xml:space="preserve">, </w:t>
      </w:r>
      <w:r w:rsidR="00A57BD7" w:rsidRPr="00DE7776">
        <w:rPr>
          <w:rFonts w:ascii="Arial" w:hAnsi="Arial" w:cs="Arial"/>
          <w:sz w:val="18"/>
          <w:lang w:val="el-GR"/>
        </w:rPr>
        <w:t>ομορφιάς</w:t>
      </w:r>
      <w:r w:rsidR="004C0AE7" w:rsidRPr="00DE7776">
        <w:rPr>
          <w:rFonts w:ascii="Arial" w:hAnsi="Arial" w:cs="Arial"/>
          <w:sz w:val="18"/>
          <w:lang w:val="el-GR"/>
        </w:rPr>
        <w:t>, μικροσυσκευών,</w:t>
      </w:r>
      <w:r w:rsidR="00DE7776" w:rsidRPr="00DE7776">
        <w:rPr>
          <w:rFonts w:ascii="Arial" w:hAnsi="Arial" w:cs="Arial"/>
          <w:sz w:val="18"/>
          <w:lang w:val="el-GR"/>
        </w:rPr>
        <w:t xml:space="preserve"> </w:t>
      </w:r>
      <w:r w:rsidR="004C0AE7" w:rsidRPr="00DE7776">
        <w:rPr>
          <w:rFonts w:ascii="Arial" w:hAnsi="Arial" w:cs="Arial"/>
          <w:sz w:val="18"/>
          <w:lang w:val="el-GR"/>
        </w:rPr>
        <w:t>συσκευών προσωπικής φροντίδας</w:t>
      </w:r>
      <w:r w:rsidR="00DE7776" w:rsidRPr="00DE7776">
        <w:rPr>
          <w:rFonts w:ascii="Arial" w:hAnsi="Arial" w:cs="Arial"/>
          <w:sz w:val="18"/>
          <w:lang w:val="el-GR"/>
        </w:rPr>
        <w:t xml:space="preserve">, παιχνιδιών και </w:t>
      </w:r>
      <w:r w:rsidR="004C0AE7" w:rsidRPr="00DE7776">
        <w:rPr>
          <w:rFonts w:ascii="Arial" w:hAnsi="Arial" w:cs="Arial"/>
          <w:sz w:val="18"/>
          <w:lang w:val="el-GR"/>
        </w:rPr>
        <w:t xml:space="preserve"> </w:t>
      </w:r>
      <w:r w:rsidR="00DE7776" w:rsidRPr="00DE7776">
        <w:rPr>
          <w:rFonts w:ascii="Arial" w:hAnsi="Arial" w:cs="Arial"/>
          <w:sz w:val="18"/>
          <w:lang w:val="el-GR"/>
        </w:rPr>
        <w:t xml:space="preserve">προϊόντων βιβλιοπωλείου </w:t>
      </w:r>
      <w:r w:rsidR="001A6731" w:rsidRPr="00DE7776">
        <w:rPr>
          <w:rFonts w:ascii="Arial" w:hAnsi="Arial" w:cs="Arial"/>
          <w:sz w:val="18"/>
          <w:lang w:val="el-GR"/>
        </w:rPr>
        <w:t xml:space="preserve">εντάχθηκαν στην πλατφόρμα και </w:t>
      </w:r>
      <w:r w:rsidR="00DE7776" w:rsidRPr="00DE7776">
        <w:rPr>
          <w:rFonts w:ascii="Arial" w:hAnsi="Arial" w:cs="Arial"/>
          <w:sz w:val="18"/>
          <w:lang w:val="el-GR"/>
        </w:rPr>
        <w:t>περίπου 220</w:t>
      </w:r>
      <w:r w:rsidR="004C0AE7" w:rsidRPr="00DE7776">
        <w:rPr>
          <w:rFonts w:ascii="Arial" w:hAnsi="Arial" w:cs="Arial"/>
          <w:sz w:val="18"/>
          <w:lang w:val="el-GR"/>
        </w:rPr>
        <w:t xml:space="preserve"> </w:t>
      </w:r>
      <w:r w:rsidR="001A6731" w:rsidRPr="00DE7776">
        <w:rPr>
          <w:rFonts w:ascii="Arial" w:hAnsi="Arial" w:cs="Arial"/>
          <w:sz w:val="18"/>
          <w:lang w:val="el-GR"/>
        </w:rPr>
        <w:t>χιλιάδες προϊόντα καταχωρήθηκαν</w:t>
      </w:r>
      <w:r w:rsidR="00A57BD7" w:rsidRPr="00DE7776">
        <w:rPr>
          <w:rFonts w:ascii="Arial" w:hAnsi="Arial" w:cs="Arial"/>
          <w:sz w:val="18"/>
          <w:lang w:val="el-GR"/>
        </w:rPr>
        <w:t xml:space="preserve"> στην πλατφόρμα. </w:t>
      </w:r>
      <w:r w:rsidR="001A6731" w:rsidRPr="00DE7776">
        <w:rPr>
          <w:rFonts w:ascii="Arial" w:hAnsi="Arial" w:cs="Arial"/>
          <w:sz w:val="18"/>
          <w:lang w:val="el-GR"/>
        </w:rPr>
        <w:t xml:space="preserve">  </w:t>
      </w:r>
    </w:p>
    <w:p w14:paraId="331DA484" w14:textId="77777777" w:rsidR="00B205EF" w:rsidRPr="00D41B36" w:rsidRDefault="00B205EF" w:rsidP="00CE36EC">
      <w:pPr>
        <w:spacing w:after="0" w:line="240" w:lineRule="auto"/>
        <w:jc w:val="both"/>
        <w:rPr>
          <w:rFonts w:ascii="Arial" w:hAnsi="Arial" w:cs="Arial"/>
          <w:sz w:val="18"/>
          <w:highlight w:val="yellow"/>
          <w:lang w:val="el-GR"/>
        </w:rPr>
      </w:pPr>
    </w:p>
    <w:p w14:paraId="3ABF537A" w14:textId="77777777" w:rsidR="00AD70ED" w:rsidRPr="00DE7776" w:rsidRDefault="00AD70ED" w:rsidP="00AD70ED">
      <w:pPr>
        <w:spacing w:after="0" w:line="360" w:lineRule="auto"/>
        <w:jc w:val="both"/>
        <w:rPr>
          <w:rFonts w:ascii="Arial" w:hAnsi="Arial" w:cs="Arial"/>
          <w:b/>
          <w:i/>
          <w:color w:val="FF9900"/>
          <w:sz w:val="20"/>
          <w:lang w:val="el-GR"/>
        </w:rPr>
      </w:pPr>
      <w:r w:rsidRPr="00DE7776">
        <w:rPr>
          <w:rFonts w:ascii="Arial" w:hAnsi="Arial" w:cs="Arial"/>
          <w:b/>
          <w:i/>
          <w:color w:val="FF9900"/>
          <w:sz w:val="20"/>
          <w:lang w:val="el-GR"/>
        </w:rPr>
        <w:t>Ορθολογιστικό μοντέλο λειτουργίας</w:t>
      </w:r>
    </w:p>
    <w:p w14:paraId="5E4615BA" w14:textId="3BAEE653" w:rsidR="00B205EF" w:rsidRPr="00DE7776" w:rsidRDefault="00AD70ED" w:rsidP="00CE36EC">
      <w:pPr>
        <w:spacing w:after="0" w:line="240" w:lineRule="auto"/>
        <w:jc w:val="both"/>
        <w:rPr>
          <w:rFonts w:ascii="Arial" w:hAnsi="Arial" w:cs="Arial"/>
          <w:sz w:val="18"/>
          <w:lang w:val="el-GR"/>
        </w:rPr>
      </w:pPr>
      <w:r w:rsidRPr="00DE7776">
        <w:rPr>
          <w:rFonts w:ascii="Arial" w:hAnsi="Arial" w:cs="Arial"/>
          <w:sz w:val="18"/>
          <w:lang w:val="el-GR"/>
        </w:rPr>
        <w:t xml:space="preserve">Η προσπάθεια για ένα </w:t>
      </w:r>
      <w:r w:rsidRPr="00DE7776">
        <w:rPr>
          <w:rFonts w:ascii="Arial" w:hAnsi="Arial" w:cs="Arial"/>
          <w:b/>
          <w:sz w:val="18"/>
          <w:lang w:val="el-GR"/>
        </w:rPr>
        <w:t>πιο αποδοτικό λειτουργικό μοντέλο</w:t>
      </w:r>
      <w:r w:rsidRPr="00DE7776">
        <w:rPr>
          <w:rFonts w:ascii="Arial" w:hAnsi="Arial" w:cs="Arial"/>
          <w:sz w:val="18"/>
          <w:lang w:val="el-GR"/>
        </w:rPr>
        <w:t xml:space="preserve"> αποτελεί βασικό στρατηγικό πυλώνα για το Συγκρότημα προκειμένου να προσφέρει αξία στους μετόχους, χωρίς να περιορίζει τη χρηματοδότηση στη ψηφιακή μεταμόρφωση και στο λειτουργικό μοντέλο του Συγκροτήματος.</w:t>
      </w:r>
    </w:p>
    <w:p w14:paraId="5A6C596A" w14:textId="77777777" w:rsidR="00AD70ED" w:rsidRPr="00D41B36" w:rsidRDefault="00AD70ED" w:rsidP="00CE36EC">
      <w:pPr>
        <w:spacing w:after="0" w:line="240" w:lineRule="auto"/>
        <w:jc w:val="both"/>
        <w:rPr>
          <w:rFonts w:ascii="Arial" w:hAnsi="Arial" w:cs="Arial"/>
          <w:sz w:val="18"/>
          <w:highlight w:val="yellow"/>
          <w:lang w:val="el-GR"/>
        </w:rPr>
      </w:pPr>
    </w:p>
    <w:p w14:paraId="2F579629" w14:textId="646EE3EE" w:rsidR="00DE7776" w:rsidRPr="00DE7776" w:rsidRDefault="0039792B" w:rsidP="00DE7776">
      <w:pPr>
        <w:spacing w:after="0" w:line="360" w:lineRule="auto"/>
        <w:rPr>
          <w:rFonts w:ascii="Arial" w:hAnsi="Arial" w:cs="Arial"/>
          <w:bCs/>
          <w:color w:val="FF9900"/>
          <w:sz w:val="24"/>
          <w:szCs w:val="24"/>
          <w:lang w:val="el-GR"/>
        </w:rPr>
      </w:pPr>
      <w:r>
        <w:rPr>
          <w:rFonts w:ascii="Arial" w:hAnsi="Arial" w:cs="Arial"/>
          <w:b/>
          <w:color w:val="FF9900"/>
          <w:sz w:val="24"/>
          <w:szCs w:val="24"/>
          <w:lang w:val="el-GR"/>
        </w:rPr>
        <w:t>Γ</w:t>
      </w:r>
      <w:r w:rsidR="00DE7776" w:rsidRPr="00DE7776">
        <w:rPr>
          <w:rFonts w:ascii="Arial" w:hAnsi="Arial" w:cs="Arial"/>
          <w:b/>
          <w:color w:val="FF9900"/>
          <w:sz w:val="24"/>
          <w:szCs w:val="24"/>
          <w:lang w:val="el-GR"/>
        </w:rPr>
        <w:t xml:space="preserve">. Επισκόπηση επιχειρηματικής δραστηριότητας </w:t>
      </w:r>
      <w:r w:rsidR="00DE7776" w:rsidRPr="00DE7776">
        <w:rPr>
          <w:rFonts w:ascii="Arial" w:hAnsi="Arial" w:cs="Arial"/>
          <w:bCs/>
          <w:color w:val="FF9900"/>
          <w:sz w:val="24"/>
          <w:szCs w:val="24"/>
          <w:lang w:val="el-GR"/>
        </w:rPr>
        <w:t>(συνέχεια)</w:t>
      </w:r>
    </w:p>
    <w:p w14:paraId="4AB57BB4" w14:textId="02DE631E" w:rsidR="00DE7776" w:rsidRPr="00DE7776" w:rsidRDefault="00DE7776" w:rsidP="00DE7776">
      <w:pPr>
        <w:spacing w:after="0" w:line="360" w:lineRule="auto"/>
        <w:jc w:val="both"/>
        <w:rPr>
          <w:rFonts w:ascii="Arial" w:hAnsi="Arial" w:cs="Arial"/>
          <w:bCs/>
          <w:i/>
          <w:iCs/>
          <w:color w:val="FF9900"/>
          <w:sz w:val="20"/>
          <w:szCs w:val="20"/>
          <w:lang w:val="el-GR"/>
        </w:rPr>
      </w:pPr>
      <w:r w:rsidRPr="00DE7776">
        <w:rPr>
          <w:rFonts w:ascii="Arial" w:hAnsi="Arial" w:cs="Arial"/>
          <w:b/>
          <w:i/>
          <w:color w:val="FF9900"/>
          <w:sz w:val="20"/>
          <w:lang w:val="el-GR"/>
        </w:rPr>
        <w:t xml:space="preserve">Ορθολογιστικό μοντέλο λειτουργίας </w:t>
      </w:r>
      <w:r w:rsidRPr="00DE7776">
        <w:rPr>
          <w:rFonts w:ascii="Arial" w:hAnsi="Arial" w:cs="Arial"/>
          <w:bCs/>
          <w:i/>
          <w:iCs/>
          <w:color w:val="FF9900"/>
          <w:sz w:val="20"/>
          <w:szCs w:val="20"/>
          <w:lang w:val="el-GR"/>
        </w:rPr>
        <w:t>(συνέχεια)</w:t>
      </w:r>
    </w:p>
    <w:p w14:paraId="7382E0B0" w14:textId="44350C5A" w:rsidR="009C184D" w:rsidRPr="00D41B36" w:rsidRDefault="009C184D" w:rsidP="009C184D">
      <w:pPr>
        <w:spacing w:after="0" w:line="240" w:lineRule="auto"/>
        <w:jc w:val="both"/>
        <w:rPr>
          <w:rFonts w:ascii="Arial" w:hAnsi="Arial" w:cs="Arial"/>
          <w:sz w:val="18"/>
          <w:szCs w:val="18"/>
          <w:highlight w:val="yellow"/>
          <w:lang w:val="el-GR" w:eastAsia="el-GR"/>
        </w:rPr>
      </w:pPr>
      <w:r w:rsidRPr="00DE7776">
        <w:rPr>
          <w:rFonts w:ascii="Arial" w:hAnsi="Arial" w:cs="Arial"/>
          <w:sz w:val="18"/>
          <w:szCs w:val="18"/>
          <w:lang w:val="el-GR" w:eastAsia="el-GR"/>
        </w:rPr>
        <w:t xml:space="preserve">Κατά τη διάρκεια του 2023 ολοκληρώθηκε </w:t>
      </w:r>
      <w:proofErr w:type="spellStart"/>
      <w:r w:rsidRPr="00DE7776">
        <w:rPr>
          <w:rFonts w:ascii="Arial" w:hAnsi="Arial" w:cs="Arial"/>
          <w:sz w:val="18"/>
          <w:szCs w:val="18"/>
          <w:lang w:val="el-GR" w:eastAsia="el-GR"/>
        </w:rPr>
        <w:t>στοχευμένο</w:t>
      </w:r>
      <w:proofErr w:type="spellEnd"/>
      <w:r w:rsidRPr="00DE7776">
        <w:rPr>
          <w:rFonts w:ascii="Arial" w:hAnsi="Arial" w:cs="Arial"/>
          <w:sz w:val="18"/>
          <w:szCs w:val="18"/>
          <w:lang w:val="el-GR" w:eastAsia="el-GR"/>
        </w:rPr>
        <w:t xml:space="preserve"> Σχέδιο Εθελούσιας Αποχώρησης (‘ΣΕΑ’) μικρής κλίμακας, όπου 50 υπάλληλοι πλήρους απασχόλησης εγκρίθηκαν για αποχώρηση από το Συγκρότημα, με το συνολικό κόστος να ανέρχεται σε περίπου €7.5 εκατ., το οποίο αναγνωρίστηκε στο κόστος προσωπικού για το έτος που έληξε στις 31 Δεκεμβρίου 2023. </w:t>
      </w:r>
      <w:r w:rsidR="004C0AE7" w:rsidRPr="00DE7776">
        <w:rPr>
          <w:rFonts w:ascii="Arial" w:hAnsi="Arial" w:cs="Arial"/>
          <w:sz w:val="18"/>
          <w:szCs w:val="18"/>
          <w:lang w:val="el-GR" w:eastAsia="el-GR"/>
        </w:rPr>
        <w:t>Από την αρχή του έτους</w:t>
      </w:r>
      <w:r w:rsidRPr="00DE7776">
        <w:rPr>
          <w:rFonts w:ascii="Arial" w:hAnsi="Arial" w:cs="Arial"/>
          <w:sz w:val="18"/>
          <w:szCs w:val="18"/>
          <w:lang w:val="el-GR" w:eastAsia="el-GR"/>
        </w:rPr>
        <w:t xml:space="preserve">, σημειώθηκε περεταίρω βελτιστοποίηση του αριθμού των καταστημάτων του Συγκροτήματος, με τα καταστήματα να μειώνονται κατά 5, σε 55, μια μείωση ύψους 8%. </w:t>
      </w:r>
      <w:r w:rsidR="00DE7776">
        <w:rPr>
          <w:rFonts w:ascii="Arial" w:hAnsi="Arial" w:cs="Arial"/>
          <w:sz w:val="18"/>
          <w:szCs w:val="18"/>
          <w:lang w:val="el-GR" w:eastAsia="el-GR"/>
        </w:rPr>
        <w:t xml:space="preserve">Κατά το γ’ τρίμηνο 2024 ανακοινώθηκε ακόμη ένα </w:t>
      </w:r>
      <w:proofErr w:type="spellStart"/>
      <w:r w:rsidR="00DE7776" w:rsidRPr="00DE7776">
        <w:rPr>
          <w:rFonts w:ascii="Arial" w:hAnsi="Arial" w:cs="Arial"/>
          <w:sz w:val="18"/>
          <w:szCs w:val="18"/>
          <w:lang w:val="el-GR" w:eastAsia="el-GR"/>
        </w:rPr>
        <w:t>στοχευμένο</w:t>
      </w:r>
      <w:proofErr w:type="spellEnd"/>
      <w:r w:rsidR="00DE7776" w:rsidRPr="00DE7776">
        <w:rPr>
          <w:rFonts w:ascii="Arial" w:hAnsi="Arial" w:cs="Arial"/>
          <w:sz w:val="18"/>
          <w:szCs w:val="18"/>
          <w:lang w:val="el-GR" w:eastAsia="el-GR"/>
        </w:rPr>
        <w:t xml:space="preserve"> Σχέδιο Εθελούσιας Αποχώρησης (‘ΣΕΑ’) μικρής κλίμακας</w:t>
      </w:r>
      <w:r w:rsidR="00DE7776">
        <w:rPr>
          <w:rFonts w:ascii="Arial" w:hAnsi="Arial" w:cs="Arial"/>
          <w:sz w:val="18"/>
          <w:szCs w:val="18"/>
          <w:lang w:val="el-GR" w:eastAsia="el-GR"/>
        </w:rPr>
        <w:t>, με το συνολικό κόστος ύψους €7</w:t>
      </w:r>
      <w:r w:rsidR="00C66DD7" w:rsidRPr="00C66DD7">
        <w:rPr>
          <w:rFonts w:ascii="Arial" w:hAnsi="Arial" w:cs="Arial"/>
          <w:sz w:val="18"/>
          <w:szCs w:val="18"/>
          <w:lang w:val="el-GR" w:eastAsia="el-GR"/>
        </w:rPr>
        <w:t>.2</w:t>
      </w:r>
      <w:r w:rsidR="00DE7776">
        <w:rPr>
          <w:rFonts w:ascii="Arial" w:hAnsi="Arial" w:cs="Arial"/>
          <w:sz w:val="18"/>
          <w:szCs w:val="18"/>
          <w:lang w:val="el-GR" w:eastAsia="el-GR"/>
        </w:rPr>
        <w:t xml:space="preserve"> εκατ. να αναγνωρίζεται </w:t>
      </w:r>
      <w:r w:rsidR="00BA7FBD">
        <w:rPr>
          <w:rFonts w:ascii="Arial" w:hAnsi="Arial" w:cs="Arial"/>
          <w:sz w:val="18"/>
          <w:szCs w:val="18"/>
          <w:lang w:val="el-GR" w:eastAsia="el-GR"/>
        </w:rPr>
        <w:t>εντός του</w:t>
      </w:r>
      <w:r w:rsidR="00DE7776">
        <w:rPr>
          <w:rFonts w:ascii="Arial" w:hAnsi="Arial" w:cs="Arial"/>
          <w:sz w:val="18"/>
          <w:szCs w:val="18"/>
          <w:lang w:val="el-GR" w:eastAsia="el-GR"/>
        </w:rPr>
        <w:t xml:space="preserve"> </w:t>
      </w:r>
      <w:r w:rsidR="005B0FCB">
        <w:rPr>
          <w:rFonts w:ascii="Arial" w:hAnsi="Arial" w:cs="Arial"/>
          <w:sz w:val="18"/>
          <w:szCs w:val="18"/>
          <w:lang w:val="el-GR" w:eastAsia="el-GR"/>
        </w:rPr>
        <w:t>τριμήνου</w:t>
      </w:r>
      <w:r w:rsidR="00DE7776">
        <w:rPr>
          <w:rFonts w:ascii="Arial" w:hAnsi="Arial" w:cs="Arial"/>
          <w:sz w:val="18"/>
          <w:szCs w:val="18"/>
          <w:lang w:val="el-GR" w:eastAsia="el-GR"/>
        </w:rPr>
        <w:t xml:space="preserve">. </w:t>
      </w:r>
    </w:p>
    <w:p w14:paraId="16B9D4A3" w14:textId="77777777" w:rsidR="00D022B5" w:rsidRPr="00D41B36" w:rsidRDefault="00D022B5" w:rsidP="00D022B5">
      <w:pPr>
        <w:spacing w:after="0" w:line="240" w:lineRule="auto"/>
        <w:jc w:val="both"/>
        <w:rPr>
          <w:rFonts w:ascii="Arial" w:hAnsi="Arial" w:cs="Arial"/>
          <w:sz w:val="18"/>
          <w:szCs w:val="18"/>
          <w:highlight w:val="yellow"/>
          <w:lang w:val="el-GR"/>
        </w:rPr>
      </w:pPr>
    </w:p>
    <w:p w14:paraId="6E6FBC4D" w14:textId="7B74C7C7" w:rsidR="00BA7FBD" w:rsidRDefault="00D022B5" w:rsidP="00F77A51">
      <w:pPr>
        <w:spacing w:after="0" w:line="240" w:lineRule="auto"/>
        <w:jc w:val="both"/>
        <w:rPr>
          <w:rFonts w:ascii="Arial" w:hAnsi="Arial" w:cs="Arial"/>
          <w:sz w:val="18"/>
          <w:szCs w:val="18"/>
          <w:highlight w:val="yellow"/>
          <w:lang w:val="el-GR"/>
        </w:rPr>
      </w:pPr>
      <w:r w:rsidRPr="00BA7FBD">
        <w:rPr>
          <w:rFonts w:ascii="Arial" w:hAnsi="Arial" w:cs="Arial"/>
          <w:sz w:val="18"/>
          <w:szCs w:val="18"/>
          <w:lang w:val="el-GR"/>
        </w:rPr>
        <w:t xml:space="preserve">Το σύνολο λειτουργικών εξόδων του Συγκροτήματος για το </w:t>
      </w:r>
      <w:r w:rsidR="007A2F9B">
        <w:rPr>
          <w:rFonts w:ascii="Arial" w:hAnsi="Arial" w:cs="Arial"/>
          <w:sz w:val="18"/>
          <w:szCs w:val="18"/>
          <w:lang w:val="el-GR"/>
        </w:rPr>
        <w:t>εννεάμηνο</w:t>
      </w:r>
      <w:r w:rsidR="00BA7FBD" w:rsidRPr="00BA7FBD">
        <w:rPr>
          <w:rFonts w:ascii="Arial" w:hAnsi="Arial" w:cs="Arial"/>
          <w:sz w:val="18"/>
          <w:szCs w:val="18"/>
          <w:lang w:val="el-GR"/>
        </w:rPr>
        <w:t xml:space="preserve"> που έληξε στις 30 Σεπτεμβρίου 2024 </w:t>
      </w:r>
      <w:r w:rsidRPr="00BA7FBD">
        <w:rPr>
          <w:rFonts w:ascii="Arial" w:hAnsi="Arial" w:cs="Arial"/>
          <w:sz w:val="18"/>
          <w:szCs w:val="18"/>
          <w:lang w:val="el-GR"/>
        </w:rPr>
        <w:t>ανήλθε σε €</w:t>
      </w:r>
      <w:r w:rsidR="00BA7FBD" w:rsidRPr="00BA7FBD">
        <w:rPr>
          <w:rFonts w:ascii="Arial" w:hAnsi="Arial" w:cs="Arial"/>
          <w:sz w:val="18"/>
          <w:lang w:val="el-GR"/>
        </w:rPr>
        <w:t>266</w:t>
      </w:r>
      <w:r w:rsidRPr="00BA7FBD">
        <w:rPr>
          <w:rFonts w:ascii="Arial" w:hAnsi="Arial" w:cs="Arial"/>
          <w:sz w:val="18"/>
          <w:lang w:val="el-GR"/>
        </w:rPr>
        <w:t xml:space="preserve"> </w:t>
      </w:r>
      <w:r w:rsidRPr="00BA7FBD">
        <w:rPr>
          <w:rFonts w:ascii="Arial" w:hAnsi="Arial" w:cs="Arial"/>
          <w:sz w:val="18"/>
          <w:szCs w:val="18"/>
          <w:lang w:val="el-GR"/>
        </w:rPr>
        <w:t>εκατ.,</w:t>
      </w:r>
      <w:r w:rsidR="00BA7FBD" w:rsidRPr="00BA7FBD">
        <w:rPr>
          <w:rFonts w:ascii="Arial" w:hAnsi="Arial" w:cs="Arial"/>
          <w:sz w:val="18"/>
          <w:szCs w:val="18"/>
          <w:lang w:val="el-GR"/>
        </w:rPr>
        <w:t xml:space="preserve"> </w:t>
      </w:r>
      <w:r w:rsidRPr="00BA7FBD">
        <w:rPr>
          <w:rFonts w:ascii="Arial" w:hAnsi="Arial" w:cs="Arial"/>
          <w:sz w:val="18"/>
          <w:szCs w:val="18"/>
          <w:lang w:val="el-GR"/>
        </w:rPr>
        <w:t xml:space="preserve">αυξημένο κατά </w:t>
      </w:r>
      <w:r w:rsidR="00BA7FBD" w:rsidRPr="00BA7FBD">
        <w:rPr>
          <w:rFonts w:ascii="Arial" w:hAnsi="Arial" w:cs="Arial"/>
          <w:sz w:val="18"/>
          <w:szCs w:val="18"/>
          <w:lang w:val="el-GR"/>
        </w:rPr>
        <w:t>7</w:t>
      </w:r>
      <w:r w:rsidRPr="00BA7FBD">
        <w:rPr>
          <w:rFonts w:ascii="Arial" w:hAnsi="Arial" w:cs="Arial"/>
          <w:sz w:val="18"/>
          <w:szCs w:val="18"/>
          <w:lang w:val="el-GR"/>
        </w:rPr>
        <w:t>% σε ετήσια βάση,</w:t>
      </w:r>
      <w:r w:rsidR="00BA7FBD" w:rsidRPr="00BA7FBD">
        <w:rPr>
          <w:rFonts w:ascii="Arial" w:eastAsia="Times New Roman" w:hAnsi="Arial" w:cs="Arial"/>
          <w:sz w:val="18"/>
          <w:szCs w:val="18"/>
          <w:lang w:val="el-GR" w:eastAsia="el-GR"/>
        </w:rPr>
        <w:t xml:space="preserve"> λόγω των πληθωριστικών πιέσεων</w:t>
      </w:r>
      <w:r w:rsidR="005B0FCB" w:rsidRPr="005B0FCB">
        <w:rPr>
          <w:rFonts w:ascii="Arial" w:eastAsia="Times New Roman" w:hAnsi="Arial" w:cs="Arial"/>
          <w:sz w:val="18"/>
          <w:szCs w:val="18"/>
          <w:lang w:val="el-GR" w:eastAsia="el-GR"/>
        </w:rPr>
        <w:t xml:space="preserve"> </w:t>
      </w:r>
      <w:r w:rsidR="005B0FCB">
        <w:rPr>
          <w:rFonts w:ascii="Arial" w:eastAsia="Times New Roman" w:hAnsi="Arial" w:cs="Arial"/>
          <w:sz w:val="18"/>
          <w:szCs w:val="18"/>
          <w:lang w:val="el-GR" w:eastAsia="el-GR"/>
        </w:rPr>
        <w:t>κυρίως</w:t>
      </w:r>
      <w:r w:rsidR="00BA7FBD" w:rsidRPr="00BA7FBD">
        <w:rPr>
          <w:rFonts w:ascii="Arial" w:eastAsia="Times New Roman" w:hAnsi="Arial" w:cs="Arial"/>
          <w:sz w:val="18"/>
          <w:szCs w:val="18"/>
          <w:lang w:val="el-GR" w:eastAsia="el-GR"/>
        </w:rPr>
        <w:t xml:space="preserve"> στο κόστος προσωπικού, των υψηλότερων επαγγελματικών εξόδων σχετικά με την εισαγωγή στο Χρηματιστήριο Αθηνών και των υψηλότερων εξόδων διαφήμισής που αφορούν το Νέο Πρόγραμμα Επιβράβευσης εξυπηρετούμενων δανειοληπτών (που ξεκίνησε τον Αύγουστο 2024). </w:t>
      </w:r>
      <w:r w:rsidRPr="00BA7FBD">
        <w:rPr>
          <w:rFonts w:ascii="Arial" w:hAnsi="Arial" w:cs="Arial"/>
          <w:sz w:val="18"/>
          <w:szCs w:val="18"/>
          <w:lang w:val="el-GR"/>
        </w:rPr>
        <w:t>Ο δείκτης κόστος προς έσοδα αναπροσαρμοσμένος για τον ειδικό φόρο επί των καταθέσεων και άλλα τέλη/εισφορές για το</w:t>
      </w:r>
      <w:r w:rsidR="00BA7FBD" w:rsidRPr="00BA7FBD">
        <w:rPr>
          <w:rFonts w:ascii="Arial" w:hAnsi="Arial" w:cs="Arial"/>
          <w:sz w:val="18"/>
          <w:szCs w:val="18"/>
          <w:lang w:val="el-GR"/>
        </w:rPr>
        <w:t xml:space="preserve"> </w:t>
      </w:r>
      <w:r w:rsidR="007A2F9B">
        <w:rPr>
          <w:rFonts w:ascii="Arial" w:hAnsi="Arial" w:cs="Arial"/>
          <w:sz w:val="18"/>
          <w:szCs w:val="18"/>
          <w:lang w:val="el-GR"/>
        </w:rPr>
        <w:t>εννεάμηνο</w:t>
      </w:r>
      <w:r w:rsidR="00BA7FBD" w:rsidRPr="00BA7FBD">
        <w:rPr>
          <w:rFonts w:ascii="Arial" w:hAnsi="Arial" w:cs="Arial"/>
          <w:sz w:val="18"/>
          <w:szCs w:val="18"/>
          <w:lang w:val="el-GR"/>
        </w:rPr>
        <w:t xml:space="preserve"> που έληξε στις 30 Σεπτεμβρίου</w:t>
      </w:r>
      <w:r w:rsidR="00341CE7">
        <w:rPr>
          <w:rFonts w:ascii="Arial" w:hAnsi="Arial" w:cs="Arial"/>
          <w:sz w:val="18"/>
          <w:szCs w:val="18"/>
          <w:lang w:val="el-GR"/>
        </w:rPr>
        <w:t xml:space="preserve"> 2024</w:t>
      </w:r>
      <w:r w:rsidR="00BA7FBD" w:rsidRPr="00BA7FBD">
        <w:rPr>
          <w:rFonts w:ascii="Arial" w:hAnsi="Arial" w:cs="Arial"/>
          <w:sz w:val="18"/>
          <w:szCs w:val="18"/>
          <w:lang w:val="el-GR"/>
        </w:rPr>
        <w:t xml:space="preserve"> παρέμεινε χαμηλός στο 32%.</w:t>
      </w:r>
    </w:p>
    <w:p w14:paraId="5FB0C7FD" w14:textId="77777777" w:rsidR="00BA7FBD" w:rsidRPr="00D41B36" w:rsidRDefault="00BA7FBD" w:rsidP="00D022B5">
      <w:pPr>
        <w:spacing w:after="0" w:line="240" w:lineRule="auto"/>
        <w:jc w:val="both"/>
        <w:rPr>
          <w:rFonts w:ascii="Arial" w:hAnsi="Arial" w:cs="Arial"/>
          <w:sz w:val="18"/>
          <w:szCs w:val="18"/>
          <w:highlight w:val="yellow"/>
          <w:lang w:val="el-GR" w:eastAsia="el-GR"/>
        </w:rPr>
      </w:pPr>
    </w:p>
    <w:p w14:paraId="134BD07C" w14:textId="4B6F3787" w:rsidR="005F1EF8" w:rsidRPr="00BA7FBD" w:rsidRDefault="004F639C" w:rsidP="004F639C">
      <w:pPr>
        <w:pStyle w:val="Footer"/>
        <w:tabs>
          <w:tab w:val="left" w:pos="709"/>
        </w:tabs>
        <w:ind w:right="57"/>
        <w:jc w:val="both"/>
        <w:rPr>
          <w:rFonts w:ascii="Arial" w:eastAsiaTheme="minorEastAsia" w:hAnsi="Arial" w:cs="Arial"/>
          <w:sz w:val="18"/>
          <w:szCs w:val="22"/>
          <w:lang w:val="el-GR"/>
        </w:rPr>
      </w:pPr>
      <w:r w:rsidRPr="00BA7FBD">
        <w:rPr>
          <w:rFonts w:ascii="Arial" w:hAnsi="Arial" w:cs="Arial"/>
          <w:i/>
          <w:sz w:val="18"/>
          <w:lang w:val="el-GR"/>
        </w:rPr>
        <w:t>Πρόγραμμα Μετασχηματισμού</w:t>
      </w:r>
    </w:p>
    <w:p w14:paraId="282BE2D6" w14:textId="77777777" w:rsidR="004F639C" w:rsidRPr="00BF5343" w:rsidRDefault="004F639C" w:rsidP="005C4C9A">
      <w:pPr>
        <w:pStyle w:val="Footer"/>
        <w:tabs>
          <w:tab w:val="left" w:pos="709"/>
        </w:tabs>
        <w:ind w:right="57"/>
        <w:jc w:val="both"/>
        <w:rPr>
          <w:sz w:val="18"/>
          <w:szCs w:val="18"/>
          <w:lang w:val="el-GR"/>
        </w:rPr>
      </w:pPr>
    </w:p>
    <w:p w14:paraId="6CD33791" w14:textId="6D09491C" w:rsidR="0094426A" w:rsidRPr="00BF5343" w:rsidRDefault="004F639C" w:rsidP="0018322C">
      <w:pPr>
        <w:spacing w:after="0" w:line="240" w:lineRule="auto"/>
        <w:jc w:val="both"/>
        <w:rPr>
          <w:rFonts w:ascii="Arial" w:hAnsi="Arial" w:cs="Arial"/>
          <w:color w:val="FF0000"/>
          <w:sz w:val="18"/>
          <w:lang w:val="el-GR"/>
        </w:rPr>
      </w:pPr>
      <w:r w:rsidRPr="00BF5343">
        <w:rPr>
          <w:rFonts w:ascii="Arial" w:hAnsi="Arial" w:cs="Arial"/>
          <w:sz w:val="18"/>
          <w:lang w:val="el-GR"/>
        </w:rPr>
        <w:t xml:space="preserve">Το Συγκρότημα συνεχίζει να παραμένει επικεντρωμένο </w:t>
      </w:r>
      <w:r w:rsidR="0018322C" w:rsidRPr="00BF5343">
        <w:rPr>
          <w:rFonts w:ascii="Arial" w:hAnsi="Arial" w:cs="Arial"/>
          <w:sz w:val="18"/>
          <w:lang w:val="el-GR"/>
        </w:rPr>
        <w:t>και να</w:t>
      </w:r>
      <w:r w:rsidRPr="00BF5343">
        <w:rPr>
          <w:rFonts w:ascii="Arial" w:hAnsi="Arial" w:cs="Arial"/>
          <w:sz w:val="18"/>
          <w:lang w:val="el-GR"/>
        </w:rPr>
        <w:t xml:space="preserve"> εστιάζει στην ενδυνάμωση της σχέσης με τους πελάτες του ως ένας </w:t>
      </w:r>
      <w:proofErr w:type="spellStart"/>
      <w:r w:rsidRPr="00BF5343">
        <w:rPr>
          <w:rFonts w:ascii="Arial" w:hAnsi="Arial" w:cs="Arial"/>
          <w:sz w:val="18"/>
          <w:lang w:val="el-GR"/>
        </w:rPr>
        <w:t>πελατοκεντρικός</w:t>
      </w:r>
      <w:proofErr w:type="spellEnd"/>
      <w:r w:rsidRPr="00BF5343">
        <w:rPr>
          <w:rFonts w:ascii="Arial" w:hAnsi="Arial" w:cs="Arial"/>
          <w:sz w:val="18"/>
          <w:lang w:val="el-GR"/>
        </w:rPr>
        <w:t xml:space="preserve"> οργανισμός. </w:t>
      </w:r>
      <w:r w:rsidRPr="00BF5343">
        <w:rPr>
          <w:rFonts w:ascii="Arial" w:hAnsi="Arial" w:cs="Arial"/>
          <w:b/>
          <w:sz w:val="18"/>
          <w:lang w:val="el-GR"/>
        </w:rPr>
        <w:t>Το</w:t>
      </w:r>
      <w:r w:rsidR="0094426A" w:rsidRPr="00BF5343">
        <w:rPr>
          <w:rFonts w:ascii="Arial" w:hAnsi="Arial" w:cs="Arial"/>
          <w:b/>
          <w:sz w:val="18"/>
          <w:lang w:val="el-GR"/>
        </w:rPr>
        <w:t xml:space="preserve"> </w:t>
      </w:r>
      <w:r w:rsidRPr="00BF5343">
        <w:rPr>
          <w:rFonts w:ascii="Arial" w:hAnsi="Arial" w:cs="Arial"/>
          <w:b/>
          <w:sz w:val="18"/>
          <w:lang w:val="el-GR"/>
        </w:rPr>
        <w:t xml:space="preserve">πρόγραμμα μετασχηματισμού έχει ως στόχο να επιτρέψει τη μετάβαση σε ένα πιο σύγχρονο τρόπο διεξαγωγής τραπεζικών εργασιών, ενισχύοντας την </w:t>
      </w:r>
      <w:proofErr w:type="spellStart"/>
      <w:r w:rsidRPr="00BF5343">
        <w:rPr>
          <w:rFonts w:ascii="Arial" w:hAnsi="Arial" w:cs="Arial"/>
          <w:b/>
          <w:sz w:val="18"/>
          <w:lang w:val="el-GR"/>
        </w:rPr>
        <w:t>ψηφιοποίηση</w:t>
      </w:r>
      <w:proofErr w:type="spellEnd"/>
      <w:r w:rsidRPr="00BF5343">
        <w:rPr>
          <w:rFonts w:ascii="Arial" w:hAnsi="Arial" w:cs="Arial"/>
          <w:b/>
          <w:sz w:val="18"/>
          <w:lang w:val="el-GR"/>
        </w:rPr>
        <w:t xml:space="preserve"> της εξυπηρέτησης των πελατών, καθώς και των εσωτερικών λειτουργιών</w:t>
      </w:r>
      <w:r w:rsidRPr="00BF5343">
        <w:rPr>
          <w:rFonts w:ascii="Arial" w:hAnsi="Arial" w:cs="Arial"/>
          <w:sz w:val="18"/>
          <w:lang w:val="el-GR"/>
        </w:rPr>
        <w:t>.</w:t>
      </w:r>
      <w:r w:rsidR="00F95B57" w:rsidRPr="00BF5343">
        <w:rPr>
          <w:rFonts w:ascii="Arial" w:hAnsi="Arial" w:cs="Arial"/>
          <w:sz w:val="18"/>
          <w:lang w:val="el-GR"/>
        </w:rPr>
        <w:t xml:space="preserve"> </w:t>
      </w:r>
      <w:r w:rsidRPr="00BF5343">
        <w:rPr>
          <w:rFonts w:ascii="Arial" w:hAnsi="Arial" w:cs="Arial"/>
          <w:sz w:val="18"/>
          <w:lang w:val="el-GR"/>
        </w:rPr>
        <w:t>Ο</w:t>
      </w:r>
      <w:r w:rsidR="00F95B57" w:rsidRPr="00BF5343">
        <w:rPr>
          <w:rFonts w:ascii="Arial" w:hAnsi="Arial" w:cs="Arial"/>
          <w:sz w:val="18"/>
          <w:lang w:val="el-GR"/>
        </w:rPr>
        <w:t xml:space="preserve"> </w:t>
      </w:r>
      <w:r w:rsidRPr="00BF5343">
        <w:rPr>
          <w:rFonts w:ascii="Arial" w:hAnsi="Arial" w:cs="Arial"/>
          <w:sz w:val="18"/>
          <w:lang w:val="el-GR"/>
        </w:rPr>
        <w:t>συνολικός μετασχηματισμός έχει ως στόχο (</w:t>
      </w:r>
      <w:r w:rsidRPr="00BF5343">
        <w:rPr>
          <w:rFonts w:ascii="Arial" w:hAnsi="Arial" w:cs="Arial"/>
          <w:sz w:val="18"/>
          <w:lang w:val="en-US"/>
        </w:rPr>
        <w:t>i</w:t>
      </w:r>
      <w:r w:rsidRPr="00BF5343">
        <w:rPr>
          <w:rFonts w:ascii="Arial" w:hAnsi="Arial" w:cs="Arial"/>
          <w:sz w:val="18"/>
          <w:lang w:val="el-GR"/>
        </w:rPr>
        <w:t xml:space="preserve">) να μεταβεί σε ένα πιο </w:t>
      </w:r>
      <w:proofErr w:type="spellStart"/>
      <w:r w:rsidRPr="00BF5343">
        <w:rPr>
          <w:rFonts w:ascii="Arial" w:hAnsi="Arial" w:cs="Arial"/>
          <w:sz w:val="18"/>
          <w:lang w:val="el-GR"/>
        </w:rPr>
        <w:t>πελατοκεντρικό</w:t>
      </w:r>
      <w:proofErr w:type="spellEnd"/>
      <w:r w:rsidRPr="00BF5343">
        <w:rPr>
          <w:rFonts w:ascii="Arial" w:hAnsi="Arial" w:cs="Arial"/>
          <w:sz w:val="18"/>
          <w:lang w:val="el-GR"/>
        </w:rPr>
        <w:t xml:space="preserve"> λειτουργικό μοντέλο με τον καθορισμό στρατηγικών ανά τομέα πελατών, (</w:t>
      </w:r>
      <w:r w:rsidRPr="00BF5343">
        <w:rPr>
          <w:rFonts w:ascii="Arial" w:hAnsi="Arial" w:cs="Arial"/>
          <w:sz w:val="18"/>
          <w:lang w:val="en-US"/>
        </w:rPr>
        <w:t>ii</w:t>
      </w:r>
      <w:r w:rsidRPr="00BF5343">
        <w:rPr>
          <w:rFonts w:ascii="Arial" w:hAnsi="Arial" w:cs="Arial"/>
          <w:sz w:val="18"/>
          <w:lang w:val="el-GR"/>
        </w:rPr>
        <w:t>) να επαναπροσδιορίσει το μοντέλο διανομής σε υπάρχοντα και νέα κανάλια, (</w:t>
      </w:r>
      <w:r w:rsidRPr="00BF5343">
        <w:rPr>
          <w:rFonts w:ascii="Arial" w:hAnsi="Arial" w:cs="Arial"/>
          <w:sz w:val="18"/>
          <w:lang w:val="en-US"/>
        </w:rPr>
        <w:t>iii</w:t>
      </w:r>
      <w:r w:rsidRPr="00BF5343">
        <w:rPr>
          <w:rFonts w:ascii="Arial" w:hAnsi="Arial" w:cs="Arial"/>
          <w:sz w:val="18"/>
          <w:lang w:val="el-GR"/>
        </w:rPr>
        <w:t xml:space="preserve">) να μεταμορφώσει ψηφιακά τον τρόπο εξυπηρέτησης των πελατών και </w:t>
      </w:r>
      <w:r w:rsidR="0018322C" w:rsidRPr="00BF5343">
        <w:rPr>
          <w:rFonts w:ascii="Arial" w:hAnsi="Arial" w:cs="Arial"/>
          <w:sz w:val="18"/>
          <w:lang w:val="el-GR"/>
        </w:rPr>
        <w:t xml:space="preserve">την </w:t>
      </w:r>
      <w:r w:rsidRPr="00BF5343">
        <w:rPr>
          <w:rFonts w:ascii="Arial" w:hAnsi="Arial" w:cs="Arial"/>
          <w:sz w:val="18"/>
          <w:lang w:val="el-GR"/>
        </w:rPr>
        <w:t>εσωτερική λειτουργία του Συγκροτήματος, και (</w:t>
      </w:r>
      <w:r w:rsidRPr="00BF5343">
        <w:rPr>
          <w:rFonts w:ascii="Arial" w:hAnsi="Arial" w:cs="Arial"/>
          <w:sz w:val="18"/>
          <w:lang w:val="en-US"/>
        </w:rPr>
        <w:t>iv</w:t>
      </w:r>
      <w:r w:rsidRPr="00BF5343">
        <w:rPr>
          <w:rFonts w:ascii="Arial" w:hAnsi="Arial" w:cs="Arial"/>
          <w:sz w:val="18"/>
          <w:lang w:val="el-GR"/>
        </w:rPr>
        <w:t xml:space="preserve">) να βελτιώσει τη συμμετοχή των εργαζομένων μέσω ενός ισχυρού συνόλου </w:t>
      </w:r>
      <w:proofErr w:type="spellStart"/>
      <w:r w:rsidRPr="00BF5343">
        <w:rPr>
          <w:rFonts w:ascii="Arial" w:hAnsi="Arial" w:cs="Arial"/>
          <w:sz w:val="18"/>
          <w:lang w:val="el-GR"/>
        </w:rPr>
        <w:t>οργανωσιακών</w:t>
      </w:r>
      <w:proofErr w:type="spellEnd"/>
      <w:r w:rsidRPr="00BF5343">
        <w:rPr>
          <w:rFonts w:ascii="Arial" w:hAnsi="Arial" w:cs="Arial"/>
          <w:sz w:val="18"/>
          <w:lang w:val="el-GR"/>
        </w:rPr>
        <w:t xml:space="preserve"> πρωτοβουλιών.</w:t>
      </w:r>
    </w:p>
    <w:p w14:paraId="7D5B0E73" w14:textId="77777777" w:rsidR="0094426A" w:rsidRPr="00D41B36" w:rsidRDefault="0094426A" w:rsidP="006A1797">
      <w:pPr>
        <w:spacing w:after="0" w:line="240" w:lineRule="auto"/>
        <w:jc w:val="both"/>
        <w:rPr>
          <w:rFonts w:ascii="Arial" w:hAnsi="Arial" w:cs="Arial"/>
          <w:b/>
          <w:color w:val="FF9900"/>
          <w:sz w:val="24"/>
          <w:szCs w:val="24"/>
          <w:highlight w:val="yellow"/>
          <w:lang w:val="el-GR"/>
        </w:rPr>
      </w:pPr>
      <w:bookmarkStart w:id="34" w:name="_Hlk155178528"/>
    </w:p>
    <w:p w14:paraId="39F4562F" w14:textId="4237AD09" w:rsidR="004F639C" w:rsidRPr="00DD15F1" w:rsidRDefault="004F639C" w:rsidP="004F639C">
      <w:pPr>
        <w:pStyle w:val="Footer"/>
        <w:tabs>
          <w:tab w:val="left" w:pos="709"/>
        </w:tabs>
        <w:ind w:right="57"/>
        <w:jc w:val="both"/>
        <w:rPr>
          <w:rFonts w:ascii="Arial" w:hAnsi="Arial" w:cs="Arial"/>
          <w:i/>
          <w:sz w:val="18"/>
          <w:lang w:val="el-GR"/>
        </w:rPr>
      </w:pPr>
      <w:r w:rsidRPr="00DD15F1">
        <w:rPr>
          <w:rFonts w:ascii="Arial" w:hAnsi="Arial" w:cs="Arial"/>
          <w:i/>
          <w:sz w:val="18"/>
          <w:lang w:val="el-GR"/>
        </w:rPr>
        <w:t xml:space="preserve">Ψηφιακή Μεταμόρφωση </w:t>
      </w:r>
    </w:p>
    <w:bookmarkEnd w:id="34"/>
    <w:p w14:paraId="38DD6FA8" w14:textId="77777777" w:rsidR="004F639C" w:rsidRPr="00D41B36" w:rsidRDefault="004F639C" w:rsidP="004F639C">
      <w:pPr>
        <w:pStyle w:val="Footer"/>
        <w:tabs>
          <w:tab w:val="left" w:pos="709"/>
        </w:tabs>
        <w:ind w:right="57"/>
        <w:jc w:val="both"/>
        <w:rPr>
          <w:rFonts w:ascii="Arial" w:eastAsiaTheme="minorEastAsia" w:hAnsi="Arial" w:cs="Arial"/>
          <w:sz w:val="18"/>
          <w:szCs w:val="22"/>
          <w:highlight w:val="yellow"/>
          <w:lang w:val="el-GR"/>
        </w:rPr>
      </w:pPr>
    </w:p>
    <w:p w14:paraId="49EEAA14" w14:textId="169F24CD" w:rsidR="00560312" w:rsidRDefault="00DD15F1" w:rsidP="006A1797">
      <w:pPr>
        <w:pStyle w:val="Footer"/>
        <w:jc w:val="both"/>
        <w:rPr>
          <w:rFonts w:ascii="Arial" w:eastAsiaTheme="minorEastAsia" w:hAnsi="Arial" w:cs="Arial"/>
          <w:sz w:val="18"/>
          <w:lang w:val="el-GR"/>
        </w:rPr>
      </w:pPr>
      <w:r w:rsidRPr="00DD15F1">
        <w:rPr>
          <w:rFonts w:ascii="Arial" w:eastAsiaTheme="minorEastAsia" w:hAnsi="Arial" w:cs="Arial"/>
          <w:sz w:val="18"/>
          <w:lang w:val="el-GR"/>
        </w:rPr>
        <w:t>Στον δυναμικό κόσμο των τραπεζών, το Συγκρότημα, πρωτοπόρος στην ψηφιακή καινοτομία στην Κύπρο, αναδιαμορφώνει την τραπεζική εμπειρία βασισμένο στις σύγχρονες ανάγκες των πελατών του, συνεχίζοντας να διευρύνει τα όρια του, ούτως ώστε να προσφέρει απαράμιλλες τραπεζικές υπηρεσίες. Στόχος του Συγκροτήματος είναι να συνεχίσει να καινοτομεί και να απλοποιεί το τραπεζικό ταξίδι, παρέχοντας μια μοναδική εμπειρία προσαρμοσμένη στις ανάγκες των πελατών.</w:t>
      </w:r>
    </w:p>
    <w:p w14:paraId="0B7F7B00" w14:textId="77777777" w:rsidR="00DD15F1" w:rsidRPr="00D41B36" w:rsidRDefault="00DD15F1" w:rsidP="006A1797">
      <w:pPr>
        <w:pStyle w:val="Footer"/>
        <w:jc w:val="both"/>
        <w:rPr>
          <w:rFonts w:ascii="Arial" w:eastAsiaTheme="minorEastAsia" w:hAnsi="Arial" w:cs="Arial"/>
          <w:sz w:val="18"/>
          <w:highlight w:val="yellow"/>
          <w:lang w:val="el-GR"/>
        </w:rPr>
      </w:pPr>
    </w:p>
    <w:p w14:paraId="5F307504" w14:textId="3FCCF25A" w:rsidR="00560312" w:rsidRDefault="00DD15F1" w:rsidP="006A1797">
      <w:pPr>
        <w:pStyle w:val="Footer"/>
        <w:jc w:val="both"/>
        <w:rPr>
          <w:rFonts w:ascii="Arial" w:eastAsiaTheme="minorEastAsia" w:hAnsi="Arial" w:cs="Arial"/>
          <w:sz w:val="18"/>
          <w:lang w:val="el-GR"/>
        </w:rPr>
      </w:pPr>
      <w:r w:rsidRPr="00DD15F1">
        <w:rPr>
          <w:rFonts w:ascii="Arial" w:eastAsiaTheme="minorEastAsia" w:hAnsi="Arial" w:cs="Arial"/>
          <w:sz w:val="18"/>
          <w:lang w:val="el-GR"/>
        </w:rPr>
        <w:t xml:space="preserve">Η χρήση των ψηφιακών καναλιών του Συγκροτήματος συνεχίζει να αυξάνεται. </w:t>
      </w:r>
      <w:r w:rsidR="00BF5343">
        <w:rPr>
          <w:rFonts w:ascii="Arial" w:eastAsiaTheme="minorEastAsia" w:hAnsi="Arial" w:cs="Arial"/>
          <w:sz w:val="18"/>
          <w:lang w:val="el-GR"/>
        </w:rPr>
        <w:t xml:space="preserve">Στις </w:t>
      </w:r>
      <w:r w:rsidRPr="00DD15F1">
        <w:rPr>
          <w:rFonts w:ascii="Arial" w:eastAsiaTheme="minorEastAsia" w:hAnsi="Arial" w:cs="Arial"/>
          <w:sz w:val="18"/>
          <w:lang w:val="el-GR"/>
        </w:rPr>
        <w:t xml:space="preserve">30 Σεπτεμβρίου 2024, η ψηφιακή κοινότητα του Συγκροτήματος αυξήθηκε σε 475 χιλιάδες ενεργούς συνδρομητές, τόσο στο Internet Banking όσο και στην εφαρμογή BoC </w:t>
      </w:r>
      <w:proofErr w:type="spellStart"/>
      <w:r w:rsidRPr="00DD15F1">
        <w:rPr>
          <w:rFonts w:ascii="Arial" w:eastAsiaTheme="minorEastAsia" w:hAnsi="Arial" w:cs="Arial"/>
          <w:sz w:val="18"/>
          <w:lang w:val="el-GR"/>
        </w:rPr>
        <w:t>Mobile</w:t>
      </w:r>
      <w:proofErr w:type="spellEnd"/>
      <w:r w:rsidRPr="00DD15F1">
        <w:rPr>
          <w:rFonts w:ascii="Arial" w:eastAsiaTheme="minorEastAsia" w:hAnsi="Arial" w:cs="Arial"/>
          <w:sz w:val="18"/>
          <w:lang w:val="el-GR"/>
        </w:rPr>
        <w:t xml:space="preserve"> </w:t>
      </w:r>
      <w:proofErr w:type="spellStart"/>
      <w:r w:rsidRPr="00DD15F1">
        <w:rPr>
          <w:rFonts w:ascii="Arial" w:eastAsiaTheme="minorEastAsia" w:hAnsi="Arial" w:cs="Arial"/>
          <w:sz w:val="18"/>
          <w:lang w:val="el-GR"/>
        </w:rPr>
        <w:t>App</w:t>
      </w:r>
      <w:proofErr w:type="spellEnd"/>
      <w:r w:rsidRPr="00DD15F1">
        <w:rPr>
          <w:rFonts w:ascii="Arial" w:eastAsiaTheme="minorEastAsia" w:hAnsi="Arial" w:cs="Arial"/>
          <w:sz w:val="18"/>
          <w:lang w:val="el-GR"/>
        </w:rPr>
        <w:t xml:space="preserve">, σημειώνοντας ετήσια αύξηση ύψους 7%. Ομοίως, στις 30 Σεπτεμβρίου 2024, η εφαρμογή BoC </w:t>
      </w:r>
      <w:proofErr w:type="spellStart"/>
      <w:r w:rsidRPr="00DD15F1">
        <w:rPr>
          <w:rFonts w:ascii="Arial" w:eastAsiaTheme="minorEastAsia" w:hAnsi="Arial" w:cs="Arial"/>
          <w:sz w:val="18"/>
          <w:lang w:val="el-GR"/>
        </w:rPr>
        <w:t>Mobile</w:t>
      </w:r>
      <w:proofErr w:type="spellEnd"/>
      <w:r w:rsidRPr="00DD15F1">
        <w:rPr>
          <w:rFonts w:ascii="Arial" w:eastAsiaTheme="minorEastAsia" w:hAnsi="Arial" w:cs="Arial"/>
          <w:sz w:val="18"/>
          <w:lang w:val="el-GR"/>
        </w:rPr>
        <w:t xml:space="preserve"> </w:t>
      </w:r>
      <w:proofErr w:type="spellStart"/>
      <w:r w:rsidRPr="00DD15F1">
        <w:rPr>
          <w:rFonts w:ascii="Arial" w:eastAsiaTheme="minorEastAsia" w:hAnsi="Arial" w:cs="Arial"/>
          <w:sz w:val="18"/>
          <w:lang w:val="el-GR"/>
        </w:rPr>
        <w:t>App</w:t>
      </w:r>
      <w:proofErr w:type="spellEnd"/>
      <w:r w:rsidRPr="00DD15F1">
        <w:rPr>
          <w:rFonts w:ascii="Arial" w:eastAsiaTheme="minorEastAsia" w:hAnsi="Arial" w:cs="Arial"/>
          <w:sz w:val="18"/>
          <w:lang w:val="el-GR"/>
        </w:rPr>
        <w:t xml:space="preserve"> καταμέτρησε συνολικά 442 χιλιάδες ενεργούς συνδρομητές, σημειώνοντας αύξηση ύψους 9% σε ετήσια βάση.</w:t>
      </w:r>
    </w:p>
    <w:p w14:paraId="07D255B9" w14:textId="77777777" w:rsidR="00DD15F1" w:rsidRPr="00D41B36" w:rsidRDefault="00DD15F1" w:rsidP="006A1797">
      <w:pPr>
        <w:pStyle w:val="Footer"/>
        <w:jc w:val="both"/>
        <w:rPr>
          <w:rFonts w:ascii="Arial" w:eastAsiaTheme="minorEastAsia" w:hAnsi="Arial" w:cs="Arial"/>
          <w:sz w:val="18"/>
          <w:highlight w:val="yellow"/>
          <w:lang w:val="el-GR"/>
        </w:rPr>
      </w:pPr>
    </w:p>
    <w:p w14:paraId="3CECADBF" w14:textId="10371516" w:rsidR="00560312" w:rsidRDefault="00DD15F1" w:rsidP="006A1797">
      <w:pPr>
        <w:pStyle w:val="Footer"/>
        <w:jc w:val="both"/>
        <w:rPr>
          <w:rFonts w:ascii="Arial" w:eastAsiaTheme="minorEastAsia" w:hAnsi="Arial" w:cs="Arial"/>
          <w:sz w:val="18"/>
          <w:lang w:val="el-GR"/>
        </w:rPr>
      </w:pPr>
      <w:r w:rsidRPr="00DD15F1">
        <w:rPr>
          <w:rFonts w:ascii="Arial" w:eastAsiaTheme="minorEastAsia" w:hAnsi="Arial" w:cs="Arial"/>
          <w:sz w:val="18"/>
          <w:lang w:val="el-GR"/>
        </w:rPr>
        <w:t>Κατά το γ’ τρίμηνο 2024, το Συγκρότημα συνέχισε να επεκτείνει και να βελτιώνει το ψηφιακό του χαρτοφυλάκιο προσθέτοντας νέες καινοτόμες υπηρεσίες για τους πελάτες του.</w:t>
      </w:r>
      <w:r w:rsidR="00BF5343">
        <w:rPr>
          <w:rFonts w:ascii="Arial" w:eastAsiaTheme="minorEastAsia" w:hAnsi="Arial" w:cs="Arial"/>
          <w:sz w:val="18"/>
          <w:lang w:val="el-GR"/>
        </w:rPr>
        <w:t xml:space="preserve"> </w:t>
      </w:r>
      <w:r w:rsidRPr="00DD15F1">
        <w:rPr>
          <w:rFonts w:ascii="Arial" w:eastAsiaTheme="minorEastAsia" w:hAnsi="Arial" w:cs="Arial"/>
          <w:sz w:val="18"/>
          <w:lang w:val="el-GR"/>
        </w:rPr>
        <w:t>Το Συγκρότημα λάνσαρε το "</w:t>
      </w:r>
      <w:proofErr w:type="spellStart"/>
      <w:r w:rsidRPr="00DD15F1">
        <w:rPr>
          <w:rFonts w:ascii="Arial" w:eastAsiaTheme="minorEastAsia" w:hAnsi="Arial" w:cs="Arial"/>
          <w:sz w:val="18"/>
          <w:lang w:val="el-GR"/>
        </w:rPr>
        <w:t>Joey</w:t>
      </w:r>
      <w:proofErr w:type="spellEnd"/>
      <w:r w:rsidRPr="00DD15F1">
        <w:rPr>
          <w:rFonts w:ascii="Arial" w:eastAsiaTheme="minorEastAsia" w:hAnsi="Arial" w:cs="Arial"/>
          <w:sz w:val="18"/>
          <w:lang w:val="el-GR"/>
        </w:rPr>
        <w:t xml:space="preserve">" </w:t>
      </w:r>
      <w:proofErr w:type="spellStart"/>
      <w:r w:rsidRPr="00DD15F1">
        <w:rPr>
          <w:rFonts w:ascii="Arial" w:eastAsiaTheme="minorEastAsia" w:hAnsi="Arial" w:cs="Arial"/>
          <w:sz w:val="18"/>
          <w:lang w:val="el-GR"/>
        </w:rPr>
        <w:t>Junior</w:t>
      </w:r>
      <w:proofErr w:type="spellEnd"/>
      <w:r w:rsidRPr="00DD15F1">
        <w:rPr>
          <w:rFonts w:ascii="Arial" w:eastAsiaTheme="minorEastAsia" w:hAnsi="Arial" w:cs="Arial"/>
          <w:sz w:val="18"/>
          <w:lang w:val="el-GR"/>
        </w:rPr>
        <w:t xml:space="preserve"> </w:t>
      </w:r>
      <w:proofErr w:type="spellStart"/>
      <w:r w:rsidRPr="00DD15F1">
        <w:rPr>
          <w:rFonts w:ascii="Arial" w:eastAsiaTheme="minorEastAsia" w:hAnsi="Arial" w:cs="Arial"/>
          <w:sz w:val="18"/>
          <w:lang w:val="el-GR"/>
        </w:rPr>
        <w:t>App</w:t>
      </w:r>
      <w:proofErr w:type="spellEnd"/>
      <w:r w:rsidRPr="00DD15F1">
        <w:rPr>
          <w:rFonts w:ascii="Arial" w:eastAsiaTheme="minorEastAsia" w:hAnsi="Arial" w:cs="Arial"/>
          <w:sz w:val="18"/>
          <w:lang w:val="el-GR"/>
        </w:rPr>
        <w:t xml:space="preserve">, μια τραπεζική εφαρμογή για παιδιά και εφήβους από 9-17 ετών, παρέχοντας τους αυτονομία σε ένα ασφαλές περιβάλλον που τους επιτρέπει να αναπτύξουν δεξιότητες διαχείρισης χρημάτων και στους </w:t>
      </w:r>
      <w:r w:rsidR="00BF5343">
        <w:rPr>
          <w:rFonts w:ascii="Arial" w:eastAsiaTheme="minorEastAsia" w:hAnsi="Arial" w:cs="Arial"/>
          <w:sz w:val="18"/>
          <w:lang w:val="el-GR"/>
        </w:rPr>
        <w:t xml:space="preserve">κηδεμόνες </w:t>
      </w:r>
      <w:r w:rsidRPr="00DD15F1">
        <w:rPr>
          <w:rFonts w:ascii="Arial" w:eastAsiaTheme="minorEastAsia" w:hAnsi="Arial" w:cs="Arial"/>
          <w:sz w:val="18"/>
          <w:lang w:val="el-GR"/>
        </w:rPr>
        <w:t>την δυνατότητα να διατηρούν τον έλεγχο και την επίβλεψη των συναλλαγών τους.</w:t>
      </w:r>
      <w:r w:rsidR="00BF5343">
        <w:rPr>
          <w:rFonts w:ascii="Arial" w:eastAsiaTheme="minorEastAsia" w:hAnsi="Arial" w:cs="Arial"/>
          <w:sz w:val="18"/>
          <w:lang w:val="el-GR"/>
        </w:rPr>
        <w:t xml:space="preserve"> </w:t>
      </w:r>
      <w:r w:rsidRPr="00DD15F1">
        <w:rPr>
          <w:rFonts w:ascii="Arial" w:eastAsiaTheme="minorEastAsia" w:hAnsi="Arial" w:cs="Arial"/>
          <w:sz w:val="18"/>
          <w:lang w:val="el-GR"/>
        </w:rPr>
        <w:t xml:space="preserve">Η χρεωστική κάρτα </w:t>
      </w:r>
      <w:proofErr w:type="spellStart"/>
      <w:r w:rsidRPr="00DD15F1">
        <w:rPr>
          <w:rFonts w:ascii="Arial" w:eastAsiaTheme="minorEastAsia" w:hAnsi="Arial" w:cs="Arial"/>
          <w:sz w:val="18"/>
          <w:lang w:val="el-GR"/>
        </w:rPr>
        <w:t>Joey</w:t>
      </w:r>
      <w:proofErr w:type="spellEnd"/>
      <w:r w:rsidRPr="00DD15F1">
        <w:rPr>
          <w:rFonts w:ascii="Arial" w:eastAsiaTheme="minorEastAsia" w:hAnsi="Arial" w:cs="Arial"/>
          <w:sz w:val="18"/>
          <w:lang w:val="el-GR"/>
        </w:rPr>
        <w:t xml:space="preserve"> επιτρέπει στους </w:t>
      </w:r>
      <w:proofErr w:type="spellStart"/>
      <w:r w:rsidRPr="00DD15F1">
        <w:rPr>
          <w:rFonts w:ascii="Arial" w:eastAsiaTheme="minorEastAsia" w:hAnsi="Arial" w:cs="Arial"/>
          <w:sz w:val="18"/>
          <w:lang w:val="el-GR"/>
        </w:rPr>
        <w:t>Joeyers</w:t>
      </w:r>
      <w:proofErr w:type="spellEnd"/>
      <w:r w:rsidRPr="00DD15F1">
        <w:rPr>
          <w:rFonts w:ascii="Arial" w:eastAsiaTheme="minorEastAsia" w:hAnsi="Arial" w:cs="Arial"/>
          <w:sz w:val="18"/>
          <w:lang w:val="el-GR"/>
        </w:rPr>
        <w:t xml:space="preserve"> να ψωνίζουν είτε διαδικτυακά είτε </w:t>
      </w:r>
      <w:r w:rsidR="00BF5343">
        <w:rPr>
          <w:rFonts w:ascii="Arial" w:eastAsiaTheme="minorEastAsia" w:hAnsi="Arial" w:cs="Arial"/>
          <w:sz w:val="18"/>
          <w:lang w:val="el-GR"/>
        </w:rPr>
        <w:t>στα</w:t>
      </w:r>
      <w:r w:rsidRPr="00DD15F1">
        <w:rPr>
          <w:rFonts w:ascii="Arial" w:eastAsiaTheme="minorEastAsia" w:hAnsi="Arial" w:cs="Arial"/>
          <w:sz w:val="18"/>
          <w:lang w:val="el-GR"/>
        </w:rPr>
        <w:t xml:space="preserve"> </w:t>
      </w:r>
      <w:r w:rsidR="00BF5343">
        <w:rPr>
          <w:rFonts w:ascii="Arial" w:eastAsiaTheme="minorEastAsia" w:hAnsi="Arial" w:cs="Arial"/>
          <w:sz w:val="18"/>
          <w:lang w:val="el-GR"/>
        </w:rPr>
        <w:t>καταστήματα</w:t>
      </w:r>
      <w:r w:rsidRPr="00DD15F1">
        <w:rPr>
          <w:rFonts w:ascii="Arial" w:eastAsiaTheme="minorEastAsia" w:hAnsi="Arial" w:cs="Arial"/>
          <w:sz w:val="18"/>
          <w:lang w:val="el-GR"/>
        </w:rPr>
        <w:t xml:space="preserve">, να τη χρησιμοποιούν σε ΑΤΜ, καθώς και να απολαμβάνουν λειτουργίες διαχείρισης καρτών, όπως πάγωμα/ </w:t>
      </w:r>
      <w:proofErr w:type="spellStart"/>
      <w:r w:rsidRPr="00DD15F1">
        <w:rPr>
          <w:rFonts w:ascii="Arial" w:eastAsiaTheme="minorEastAsia" w:hAnsi="Arial" w:cs="Arial"/>
          <w:sz w:val="18"/>
          <w:lang w:val="el-GR"/>
        </w:rPr>
        <w:t>ξεπάγωμα</w:t>
      </w:r>
      <w:proofErr w:type="spellEnd"/>
      <w:r w:rsidRPr="00DD15F1">
        <w:rPr>
          <w:rFonts w:ascii="Arial" w:eastAsiaTheme="minorEastAsia" w:hAnsi="Arial" w:cs="Arial"/>
          <w:sz w:val="18"/>
          <w:lang w:val="el-GR"/>
        </w:rPr>
        <w:t xml:space="preserve"> της κάρτας τους, προσθήκη κάρτας στο </w:t>
      </w:r>
      <w:proofErr w:type="spellStart"/>
      <w:r w:rsidRPr="00DD15F1">
        <w:rPr>
          <w:rFonts w:ascii="Arial" w:eastAsiaTheme="minorEastAsia" w:hAnsi="Arial" w:cs="Arial"/>
          <w:sz w:val="18"/>
          <w:lang w:val="el-GR"/>
        </w:rPr>
        <w:t>google</w:t>
      </w:r>
      <w:proofErr w:type="spellEnd"/>
      <w:r w:rsidRPr="00DD15F1">
        <w:rPr>
          <w:rFonts w:ascii="Arial" w:eastAsiaTheme="minorEastAsia" w:hAnsi="Arial" w:cs="Arial"/>
          <w:sz w:val="18"/>
          <w:lang w:val="el-GR"/>
        </w:rPr>
        <w:t xml:space="preserve"> ή </w:t>
      </w:r>
      <w:proofErr w:type="spellStart"/>
      <w:r w:rsidRPr="00DD15F1">
        <w:rPr>
          <w:rFonts w:ascii="Arial" w:eastAsiaTheme="minorEastAsia" w:hAnsi="Arial" w:cs="Arial"/>
          <w:sz w:val="18"/>
          <w:lang w:val="el-GR"/>
        </w:rPr>
        <w:t>apple</w:t>
      </w:r>
      <w:proofErr w:type="spellEnd"/>
      <w:r w:rsidRPr="00DD15F1">
        <w:rPr>
          <w:rFonts w:ascii="Arial" w:eastAsiaTheme="minorEastAsia" w:hAnsi="Arial" w:cs="Arial"/>
          <w:sz w:val="18"/>
          <w:lang w:val="el-GR"/>
        </w:rPr>
        <w:t xml:space="preserve"> </w:t>
      </w:r>
      <w:proofErr w:type="spellStart"/>
      <w:r w:rsidRPr="00DD15F1">
        <w:rPr>
          <w:rFonts w:ascii="Arial" w:eastAsiaTheme="minorEastAsia" w:hAnsi="Arial" w:cs="Arial"/>
          <w:sz w:val="18"/>
          <w:lang w:val="el-GR"/>
        </w:rPr>
        <w:t>pay</w:t>
      </w:r>
      <w:proofErr w:type="spellEnd"/>
      <w:r w:rsidRPr="00DD15F1">
        <w:rPr>
          <w:rFonts w:ascii="Arial" w:eastAsiaTheme="minorEastAsia" w:hAnsi="Arial" w:cs="Arial"/>
          <w:sz w:val="18"/>
          <w:lang w:val="el-GR"/>
        </w:rPr>
        <w:t xml:space="preserve">, αίτημα και λήψη χρημάτων/ χαρτζιλίκι </w:t>
      </w:r>
      <w:r w:rsidR="008D4F5D">
        <w:rPr>
          <w:rFonts w:ascii="Arial" w:eastAsiaTheme="minorEastAsia" w:hAnsi="Arial" w:cs="Arial"/>
          <w:sz w:val="18"/>
          <w:lang w:val="el-GR"/>
        </w:rPr>
        <w:t xml:space="preserve">από τους κηδεμόνες </w:t>
      </w:r>
      <w:r w:rsidRPr="00DD15F1">
        <w:rPr>
          <w:rFonts w:ascii="Arial" w:eastAsiaTheme="minorEastAsia" w:hAnsi="Arial" w:cs="Arial"/>
          <w:sz w:val="18"/>
          <w:lang w:val="el-GR"/>
        </w:rPr>
        <w:t>και να λαμβάνουν ειδοποιήσεις σε πραγματικό χρόνο για τις δαπάνες τους.</w:t>
      </w:r>
    </w:p>
    <w:p w14:paraId="5C1C7AF4" w14:textId="77777777" w:rsidR="00DD15F1" w:rsidRPr="00D41B36" w:rsidRDefault="00DD15F1" w:rsidP="006A1797">
      <w:pPr>
        <w:pStyle w:val="Footer"/>
        <w:jc w:val="both"/>
        <w:rPr>
          <w:rFonts w:ascii="Arial" w:eastAsiaTheme="minorEastAsia" w:hAnsi="Arial" w:cs="Arial"/>
          <w:sz w:val="18"/>
          <w:highlight w:val="yellow"/>
          <w:lang w:val="el-GR"/>
        </w:rPr>
      </w:pPr>
    </w:p>
    <w:p w14:paraId="43E3212D" w14:textId="1DA09278" w:rsidR="00560312" w:rsidRDefault="00DD15F1" w:rsidP="006A1797">
      <w:pPr>
        <w:pStyle w:val="Footer"/>
        <w:jc w:val="both"/>
        <w:rPr>
          <w:rFonts w:ascii="Arial" w:eastAsiaTheme="minorEastAsia" w:hAnsi="Arial" w:cs="Arial"/>
          <w:sz w:val="18"/>
          <w:lang w:val="el-GR"/>
        </w:rPr>
      </w:pPr>
      <w:r w:rsidRPr="00DD15F1">
        <w:rPr>
          <w:rFonts w:ascii="Arial" w:eastAsiaTheme="minorEastAsia" w:hAnsi="Arial" w:cs="Arial"/>
          <w:sz w:val="18"/>
          <w:lang w:val="el-GR"/>
        </w:rPr>
        <w:t xml:space="preserve">Μία από τις τελευταίες ψηφιακές καινοτομίες του Συγκροτήματος αποτελούν τα </w:t>
      </w:r>
      <w:proofErr w:type="spellStart"/>
      <w:r w:rsidRPr="00DD15F1">
        <w:rPr>
          <w:rFonts w:ascii="Arial" w:eastAsiaTheme="minorEastAsia" w:hAnsi="Arial" w:cs="Arial"/>
          <w:sz w:val="18"/>
          <w:lang w:val="el-GR"/>
        </w:rPr>
        <w:t>QuickLoans</w:t>
      </w:r>
      <w:proofErr w:type="spellEnd"/>
      <w:r w:rsidRPr="00DD15F1">
        <w:rPr>
          <w:rFonts w:ascii="Arial" w:eastAsiaTheme="minorEastAsia" w:hAnsi="Arial" w:cs="Arial"/>
          <w:sz w:val="18"/>
          <w:lang w:val="el-GR"/>
        </w:rPr>
        <w:t xml:space="preserve">, τα οποία είναι διαθέσιμα τόσο μέσω της εφαρμογής BoC </w:t>
      </w:r>
      <w:proofErr w:type="spellStart"/>
      <w:r w:rsidRPr="00DD15F1">
        <w:rPr>
          <w:rFonts w:ascii="Arial" w:eastAsiaTheme="minorEastAsia" w:hAnsi="Arial" w:cs="Arial"/>
          <w:sz w:val="18"/>
          <w:lang w:val="el-GR"/>
        </w:rPr>
        <w:t>Mobile</w:t>
      </w:r>
      <w:proofErr w:type="spellEnd"/>
      <w:r w:rsidRPr="00DD15F1">
        <w:rPr>
          <w:rFonts w:ascii="Arial" w:eastAsiaTheme="minorEastAsia" w:hAnsi="Arial" w:cs="Arial"/>
          <w:sz w:val="18"/>
          <w:lang w:val="el-GR"/>
        </w:rPr>
        <w:t xml:space="preserve"> </w:t>
      </w:r>
      <w:proofErr w:type="spellStart"/>
      <w:r w:rsidRPr="00DD15F1">
        <w:rPr>
          <w:rFonts w:ascii="Arial" w:eastAsiaTheme="minorEastAsia" w:hAnsi="Arial" w:cs="Arial"/>
          <w:sz w:val="18"/>
          <w:lang w:val="el-GR"/>
        </w:rPr>
        <w:t>App</w:t>
      </w:r>
      <w:proofErr w:type="spellEnd"/>
      <w:r w:rsidRPr="00DD15F1">
        <w:rPr>
          <w:rFonts w:ascii="Arial" w:eastAsiaTheme="minorEastAsia" w:hAnsi="Arial" w:cs="Arial"/>
          <w:sz w:val="18"/>
          <w:lang w:val="el-GR"/>
        </w:rPr>
        <w:t xml:space="preserve"> όσο και μέσω του Internet Banking, και έχουν μεταμορφώσει την άλλοτε παραδοσιακή διαδικασία δανεισμού, προσφέροντας στους πελάτες άμεση απόφαση για αίτημα πιστωτικής διευκόλυνσης, χωρίς να χρειάζεται επίσκεψη στο κατάστημα. Από τις αρχές του 2024, πάνω από 11</w:t>
      </w:r>
      <w:r w:rsidR="008D4F5D">
        <w:rPr>
          <w:rFonts w:ascii="Arial" w:eastAsiaTheme="minorEastAsia" w:hAnsi="Arial" w:cs="Arial"/>
          <w:sz w:val="18"/>
          <w:lang w:val="el-GR"/>
        </w:rPr>
        <w:t>.</w:t>
      </w:r>
      <w:r w:rsidRPr="00DD15F1">
        <w:rPr>
          <w:rFonts w:ascii="Arial" w:eastAsiaTheme="minorEastAsia" w:hAnsi="Arial" w:cs="Arial"/>
          <w:sz w:val="18"/>
          <w:lang w:val="el-GR"/>
        </w:rPr>
        <w:t>6 χιλιάδες αιτήσεις έχουν επεξεργαστεί, προσφέροντας νέο δανεισμό ύψους €</w:t>
      </w:r>
      <w:r w:rsidR="008D4F5D">
        <w:rPr>
          <w:rFonts w:ascii="Arial" w:eastAsiaTheme="minorEastAsia" w:hAnsi="Arial" w:cs="Arial"/>
          <w:sz w:val="18"/>
          <w:lang w:val="el-GR"/>
        </w:rPr>
        <w:t>82</w:t>
      </w:r>
      <w:r w:rsidRPr="00DD15F1">
        <w:rPr>
          <w:rFonts w:ascii="Arial" w:eastAsiaTheme="minorEastAsia" w:hAnsi="Arial" w:cs="Arial"/>
          <w:sz w:val="18"/>
          <w:lang w:val="el-GR"/>
        </w:rPr>
        <w:t xml:space="preserve"> </w:t>
      </w:r>
      <w:r w:rsidR="00341CE7">
        <w:rPr>
          <w:rFonts w:ascii="Arial" w:eastAsiaTheme="minorEastAsia" w:hAnsi="Arial" w:cs="Arial"/>
          <w:sz w:val="18"/>
          <w:lang w:val="el-GR"/>
        </w:rPr>
        <w:t xml:space="preserve">εκατ. </w:t>
      </w:r>
      <w:r w:rsidR="008D4F5D">
        <w:rPr>
          <w:rFonts w:ascii="Arial" w:eastAsiaTheme="minorEastAsia" w:hAnsi="Arial" w:cs="Arial"/>
          <w:sz w:val="18"/>
          <w:lang w:val="el-GR"/>
        </w:rPr>
        <w:t xml:space="preserve">για το </w:t>
      </w:r>
      <w:r w:rsidR="007A2F9B">
        <w:rPr>
          <w:rFonts w:ascii="Arial" w:eastAsiaTheme="minorEastAsia" w:hAnsi="Arial" w:cs="Arial"/>
          <w:sz w:val="18"/>
          <w:lang w:val="el-GR"/>
        </w:rPr>
        <w:t>εννεάμηνο</w:t>
      </w:r>
      <w:r w:rsidR="008D4F5D">
        <w:rPr>
          <w:rFonts w:ascii="Arial" w:eastAsiaTheme="minorEastAsia" w:hAnsi="Arial" w:cs="Arial"/>
          <w:sz w:val="18"/>
          <w:lang w:val="el-GR"/>
        </w:rPr>
        <w:t xml:space="preserve"> που έληξε στις 30 Σεπτεμβρίου 2024, αυξημένος κατά 7% σε ετήσια βάση. </w:t>
      </w:r>
    </w:p>
    <w:p w14:paraId="06BF26DF" w14:textId="77777777" w:rsidR="00DD15F1" w:rsidRPr="00D41B36" w:rsidRDefault="00DD15F1" w:rsidP="006A1797">
      <w:pPr>
        <w:pStyle w:val="Footer"/>
        <w:jc w:val="both"/>
        <w:rPr>
          <w:rFonts w:ascii="Arial" w:eastAsiaTheme="minorEastAsia" w:hAnsi="Arial" w:cs="Arial"/>
          <w:sz w:val="18"/>
          <w:highlight w:val="yellow"/>
          <w:lang w:val="el-GR"/>
        </w:rPr>
      </w:pPr>
    </w:p>
    <w:p w14:paraId="753AA6B1" w14:textId="527ABCB2" w:rsidR="00560312" w:rsidRDefault="00DD15F1" w:rsidP="006A1797">
      <w:pPr>
        <w:pStyle w:val="Footer"/>
        <w:jc w:val="both"/>
        <w:rPr>
          <w:rFonts w:ascii="Arial" w:eastAsiaTheme="minorEastAsia" w:hAnsi="Arial" w:cs="Arial"/>
          <w:sz w:val="18"/>
          <w:lang w:val="el-GR"/>
        </w:rPr>
      </w:pPr>
      <w:r w:rsidRPr="00DD15F1">
        <w:rPr>
          <w:rFonts w:ascii="Arial" w:eastAsiaTheme="minorEastAsia" w:hAnsi="Arial" w:cs="Arial"/>
          <w:sz w:val="18"/>
          <w:lang w:val="el-GR"/>
        </w:rPr>
        <w:t xml:space="preserve">Σε συνεργασία με τις Γενικές Ασφάλειες, η δυνατότητα αγοράς ασφαλιστήριου πλάνου ενσωματώθηκε στην εφαρμογή BoC </w:t>
      </w:r>
      <w:proofErr w:type="spellStart"/>
      <w:r w:rsidRPr="00DD15F1">
        <w:rPr>
          <w:rFonts w:ascii="Arial" w:eastAsiaTheme="minorEastAsia" w:hAnsi="Arial" w:cs="Arial"/>
          <w:sz w:val="18"/>
          <w:lang w:val="el-GR"/>
        </w:rPr>
        <w:t>Mobile</w:t>
      </w:r>
      <w:proofErr w:type="spellEnd"/>
      <w:r w:rsidRPr="00DD15F1">
        <w:rPr>
          <w:rFonts w:ascii="Arial" w:eastAsiaTheme="minorEastAsia" w:hAnsi="Arial" w:cs="Arial"/>
          <w:sz w:val="18"/>
          <w:lang w:val="el-GR"/>
        </w:rPr>
        <w:t xml:space="preserve"> </w:t>
      </w:r>
      <w:proofErr w:type="spellStart"/>
      <w:r w:rsidRPr="00DD15F1">
        <w:rPr>
          <w:rFonts w:ascii="Arial" w:eastAsiaTheme="minorEastAsia" w:hAnsi="Arial" w:cs="Arial"/>
          <w:sz w:val="18"/>
          <w:lang w:val="el-GR"/>
        </w:rPr>
        <w:t>App</w:t>
      </w:r>
      <w:proofErr w:type="spellEnd"/>
      <w:r w:rsidRPr="00DD15F1">
        <w:rPr>
          <w:rFonts w:ascii="Arial" w:eastAsiaTheme="minorEastAsia" w:hAnsi="Arial" w:cs="Arial"/>
          <w:sz w:val="18"/>
          <w:lang w:val="el-GR"/>
        </w:rPr>
        <w:t>, επιτρέποντας στους πελάτες να έχουν πρόσβαση σε πλάνα ασφάλισης αυτοκινήτου ή κατοικίας μέσω της εφαρμογής σε χαμηλότερες τιμές από αυτές των καταστημάτων. Οι ψηφιακές πωλήσεις ασφαλιστικών σχεδίων για το</w:t>
      </w:r>
      <w:r w:rsidR="008D4F5D">
        <w:rPr>
          <w:rFonts w:ascii="Arial" w:eastAsiaTheme="minorEastAsia" w:hAnsi="Arial" w:cs="Arial"/>
          <w:sz w:val="18"/>
          <w:lang w:val="el-GR"/>
        </w:rPr>
        <w:t xml:space="preserve"> </w:t>
      </w:r>
      <w:r w:rsidR="007A2F9B">
        <w:rPr>
          <w:rFonts w:ascii="Arial" w:eastAsiaTheme="minorEastAsia" w:hAnsi="Arial" w:cs="Arial"/>
          <w:sz w:val="18"/>
          <w:lang w:val="el-GR"/>
        </w:rPr>
        <w:t>εννεάμηνο</w:t>
      </w:r>
      <w:r w:rsidR="008D4F5D">
        <w:rPr>
          <w:rFonts w:ascii="Arial" w:eastAsiaTheme="minorEastAsia" w:hAnsi="Arial" w:cs="Arial"/>
          <w:sz w:val="18"/>
          <w:lang w:val="el-GR"/>
        </w:rPr>
        <w:t xml:space="preserve"> που έληξε στις 30 Σεπτεμβρίου 2024 </w:t>
      </w:r>
      <w:r w:rsidRPr="00DD15F1">
        <w:rPr>
          <w:rFonts w:ascii="Arial" w:eastAsiaTheme="minorEastAsia" w:hAnsi="Arial" w:cs="Arial"/>
          <w:sz w:val="18"/>
          <w:lang w:val="el-GR"/>
        </w:rPr>
        <w:t xml:space="preserve">ανήλθαν σε €431 χιλιάδες σε σύγκριση με €276 χιλιάδες για το </w:t>
      </w:r>
      <w:r w:rsidR="008D4F5D">
        <w:rPr>
          <w:rFonts w:ascii="Arial" w:eastAsiaTheme="minorEastAsia" w:hAnsi="Arial" w:cs="Arial"/>
          <w:sz w:val="18"/>
          <w:lang w:val="el-GR"/>
        </w:rPr>
        <w:t xml:space="preserve">αντίστοιχο </w:t>
      </w:r>
      <w:r w:rsidR="007A2F9B">
        <w:rPr>
          <w:rFonts w:ascii="Arial" w:eastAsiaTheme="minorEastAsia" w:hAnsi="Arial" w:cs="Arial"/>
          <w:sz w:val="18"/>
          <w:lang w:val="el-GR"/>
        </w:rPr>
        <w:t>εννεάμηνο</w:t>
      </w:r>
      <w:r w:rsidR="008D4F5D">
        <w:rPr>
          <w:rFonts w:ascii="Arial" w:eastAsiaTheme="minorEastAsia" w:hAnsi="Arial" w:cs="Arial"/>
          <w:sz w:val="18"/>
          <w:lang w:val="el-GR"/>
        </w:rPr>
        <w:t xml:space="preserve"> </w:t>
      </w:r>
      <w:r w:rsidRPr="00DD15F1">
        <w:rPr>
          <w:rFonts w:ascii="Arial" w:eastAsiaTheme="minorEastAsia" w:hAnsi="Arial" w:cs="Arial"/>
          <w:sz w:val="18"/>
          <w:lang w:val="el-GR"/>
        </w:rPr>
        <w:t>2023, αντικατοπτρίζοντας 1</w:t>
      </w:r>
      <w:r w:rsidR="008D4F5D">
        <w:rPr>
          <w:rFonts w:ascii="Arial" w:eastAsiaTheme="minorEastAsia" w:hAnsi="Arial" w:cs="Arial"/>
          <w:sz w:val="18"/>
          <w:lang w:val="el-GR"/>
        </w:rPr>
        <w:t>,</w:t>
      </w:r>
      <w:r w:rsidRPr="00DD15F1">
        <w:rPr>
          <w:rFonts w:ascii="Arial" w:eastAsiaTheme="minorEastAsia" w:hAnsi="Arial" w:cs="Arial"/>
          <w:sz w:val="18"/>
          <w:lang w:val="el-GR"/>
        </w:rPr>
        <w:t xml:space="preserve">362 νέα συμβόλαια </w:t>
      </w:r>
      <w:r w:rsidR="008D4F5D">
        <w:rPr>
          <w:rFonts w:ascii="Arial" w:eastAsiaTheme="minorEastAsia" w:hAnsi="Arial" w:cs="Arial"/>
          <w:sz w:val="18"/>
          <w:lang w:val="el-GR"/>
        </w:rPr>
        <w:t xml:space="preserve">για το </w:t>
      </w:r>
      <w:r w:rsidR="007A2F9B">
        <w:rPr>
          <w:rFonts w:ascii="Arial" w:eastAsiaTheme="minorEastAsia" w:hAnsi="Arial" w:cs="Arial"/>
          <w:sz w:val="18"/>
          <w:lang w:val="el-GR"/>
        </w:rPr>
        <w:t>εννεάμηνο</w:t>
      </w:r>
      <w:r w:rsidR="008D4F5D">
        <w:rPr>
          <w:rFonts w:ascii="Arial" w:eastAsiaTheme="minorEastAsia" w:hAnsi="Arial" w:cs="Arial"/>
          <w:sz w:val="18"/>
          <w:lang w:val="el-GR"/>
        </w:rPr>
        <w:t xml:space="preserve"> που έληξε στις 30 Σεπτεμβρίου 2024 </w:t>
      </w:r>
      <w:r w:rsidRPr="00DD15F1">
        <w:rPr>
          <w:rFonts w:ascii="Arial" w:eastAsiaTheme="minorEastAsia" w:hAnsi="Arial" w:cs="Arial"/>
          <w:sz w:val="18"/>
          <w:lang w:val="el-GR"/>
        </w:rPr>
        <w:t>σε σύγκριση με 935 νέα συμβόλαια για την περσινή αντίστοιχη περίοδο του 2023.</w:t>
      </w:r>
    </w:p>
    <w:p w14:paraId="6DF02B43" w14:textId="77777777" w:rsidR="00DD15F1" w:rsidRPr="00D41B36" w:rsidRDefault="00DD15F1" w:rsidP="006A1797">
      <w:pPr>
        <w:pStyle w:val="Footer"/>
        <w:jc w:val="both"/>
        <w:rPr>
          <w:rFonts w:ascii="Arial" w:eastAsiaTheme="minorEastAsia" w:hAnsi="Arial" w:cs="Arial"/>
          <w:sz w:val="18"/>
          <w:highlight w:val="yellow"/>
          <w:lang w:val="el-GR"/>
        </w:rPr>
      </w:pPr>
    </w:p>
    <w:p w14:paraId="52EF95BB" w14:textId="77777777" w:rsidR="008D4F5D" w:rsidRPr="00CC53EC" w:rsidRDefault="008D4F5D" w:rsidP="00AA278F">
      <w:pPr>
        <w:pStyle w:val="Footer"/>
        <w:tabs>
          <w:tab w:val="left" w:pos="709"/>
        </w:tabs>
        <w:ind w:right="57"/>
        <w:jc w:val="both"/>
        <w:rPr>
          <w:rFonts w:ascii="Arial" w:hAnsi="Arial" w:cs="Arial"/>
          <w:sz w:val="18"/>
          <w:lang w:val="el-GR"/>
        </w:rPr>
      </w:pPr>
    </w:p>
    <w:p w14:paraId="3570EFA3" w14:textId="77777777" w:rsidR="008D4F5D" w:rsidRPr="00CC53EC" w:rsidRDefault="008D4F5D" w:rsidP="00AA278F">
      <w:pPr>
        <w:pStyle w:val="Footer"/>
        <w:tabs>
          <w:tab w:val="left" w:pos="709"/>
        </w:tabs>
        <w:ind w:right="57"/>
        <w:jc w:val="both"/>
        <w:rPr>
          <w:rFonts w:ascii="Arial" w:hAnsi="Arial" w:cs="Arial"/>
          <w:sz w:val="18"/>
          <w:lang w:val="el-GR"/>
        </w:rPr>
      </w:pPr>
    </w:p>
    <w:p w14:paraId="10600B16" w14:textId="77777777" w:rsidR="008D4F5D" w:rsidRPr="00CC53EC" w:rsidRDefault="008D4F5D" w:rsidP="00AA278F">
      <w:pPr>
        <w:pStyle w:val="Footer"/>
        <w:tabs>
          <w:tab w:val="left" w:pos="709"/>
        </w:tabs>
        <w:ind w:right="57"/>
        <w:jc w:val="both"/>
        <w:rPr>
          <w:rFonts w:ascii="Arial" w:hAnsi="Arial" w:cs="Arial"/>
          <w:sz w:val="18"/>
          <w:lang w:val="el-GR"/>
        </w:rPr>
      </w:pPr>
    </w:p>
    <w:p w14:paraId="30AAC973" w14:textId="3A77B09A" w:rsidR="008D4F5D" w:rsidRPr="008D4F5D" w:rsidRDefault="0039792B" w:rsidP="008D4F5D">
      <w:pPr>
        <w:spacing w:after="0" w:line="360" w:lineRule="auto"/>
        <w:rPr>
          <w:rFonts w:ascii="Arial" w:hAnsi="Arial" w:cs="Arial"/>
          <w:bCs/>
          <w:color w:val="FF9900"/>
          <w:sz w:val="24"/>
          <w:szCs w:val="24"/>
          <w:lang w:val="el-GR"/>
        </w:rPr>
      </w:pPr>
      <w:r>
        <w:rPr>
          <w:rFonts w:ascii="Arial" w:hAnsi="Arial" w:cs="Arial"/>
          <w:b/>
          <w:color w:val="FF9900"/>
          <w:sz w:val="24"/>
          <w:szCs w:val="24"/>
          <w:lang w:val="el-GR"/>
        </w:rPr>
        <w:lastRenderedPageBreak/>
        <w:t>Γ</w:t>
      </w:r>
      <w:r w:rsidR="008D4F5D" w:rsidRPr="008D4F5D">
        <w:rPr>
          <w:rFonts w:ascii="Arial" w:hAnsi="Arial" w:cs="Arial"/>
          <w:b/>
          <w:color w:val="FF9900"/>
          <w:sz w:val="24"/>
          <w:szCs w:val="24"/>
          <w:lang w:val="el-GR"/>
        </w:rPr>
        <w:t xml:space="preserve">. Επισκόπηση επιχειρηματικής δραστηριότητας </w:t>
      </w:r>
      <w:r w:rsidR="008D4F5D" w:rsidRPr="008D4F5D">
        <w:rPr>
          <w:rFonts w:ascii="Arial" w:hAnsi="Arial" w:cs="Arial"/>
          <w:bCs/>
          <w:color w:val="FF9900"/>
          <w:sz w:val="24"/>
          <w:szCs w:val="24"/>
          <w:lang w:val="el-GR"/>
        </w:rPr>
        <w:t>(συνέχεια)</w:t>
      </w:r>
    </w:p>
    <w:p w14:paraId="2EFD98F6" w14:textId="77777777" w:rsidR="008D4F5D" w:rsidRPr="00DE7776" w:rsidRDefault="008D4F5D" w:rsidP="008D4F5D">
      <w:pPr>
        <w:spacing w:after="0" w:line="360" w:lineRule="auto"/>
        <w:jc w:val="both"/>
        <w:rPr>
          <w:rFonts w:ascii="Arial" w:hAnsi="Arial" w:cs="Arial"/>
          <w:bCs/>
          <w:i/>
          <w:iCs/>
          <w:color w:val="FF9900"/>
          <w:sz w:val="20"/>
          <w:szCs w:val="20"/>
          <w:lang w:val="el-GR"/>
        </w:rPr>
      </w:pPr>
      <w:r w:rsidRPr="00DE7776">
        <w:rPr>
          <w:rFonts w:ascii="Arial" w:hAnsi="Arial" w:cs="Arial"/>
          <w:b/>
          <w:i/>
          <w:color w:val="FF9900"/>
          <w:sz w:val="20"/>
          <w:lang w:val="el-GR"/>
        </w:rPr>
        <w:t xml:space="preserve">Ορθολογιστικό μοντέλο λειτουργίας </w:t>
      </w:r>
      <w:r w:rsidRPr="00DE7776">
        <w:rPr>
          <w:rFonts w:ascii="Arial" w:hAnsi="Arial" w:cs="Arial"/>
          <w:bCs/>
          <w:i/>
          <w:iCs/>
          <w:color w:val="FF9900"/>
          <w:sz w:val="20"/>
          <w:szCs w:val="20"/>
          <w:lang w:val="el-GR"/>
        </w:rPr>
        <w:t>(συνέχεια)</w:t>
      </w:r>
    </w:p>
    <w:p w14:paraId="60FF1451" w14:textId="2C705F03" w:rsidR="008D4F5D" w:rsidRPr="008D4F5D" w:rsidRDefault="008D4F5D" w:rsidP="008D4F5D">
      <w:pPr>
        <w:pStyle w:val="Footer"/>
        <w:tabs>
          <w:tab w:val="left" w:pos="709"/>
        </w:tabs>
        <w:ind w:right="57"/>
        <w:jc w:val="both"/>
        <w:rPr>
          <w:rFonts w:ascii="Arial" w:hAnsi="Arial" w:cs="Arial"/>
          <w:i/>
          <w:sz w:val="18"/>
          <w:lang w:val="el-GR"/>
        </w:rPr>
      </w:pPr>
      <w:r w:rsidRPr="00DD15F1">
        <w:rPr>
          <w:rFonts w:ascii="Arial" w:hAnsi="Arial" w:cs="Arial"/>
          <w:i/>
          <w:sz w:val="18"/>
          <w:lang w:val="el-GR"/>
        </w:rPr>
        <w:t xml:space="preserve">Ψηφιακή Μεταμόρφωση </w:t>
      </w:r>
      <w:r w:rsidRPr="00CC53EC">
        <w:rPr>
          <w:rFonts w:ascii="Arial" w:hAnsi="Arial" w:cs="Arial"/>
          <w:i/>
          <w:sz w:val="18"/>
          <w:lang w:val="el-GR"/>
        </w:rPr>
        <w:t>(</w:t>
      </w:r>
      <w:r>
        <w:rPr>
          <w:rFonts w:ascii="Arial" w:hAnsi="Arial" w:cs="Arial"/>
          <w:i/>
          <w:sz w:val="18"/>
          <w:lang w:val="el-GR"/>
        </w:rPr>
        <w:t>συνέχεια)</w:t>
      </w:r>
    </w:p>
    <w:p w14:paraId="4BF9291B" w14:textId="77777777" w:rsidR="008D4F5D" w:rsidRPr="008D4F5D" w:rsidRDefault="008D4F5D" w:rsidP="00AA278F">
      <w:pPr>
        <w:pStyle w:val="Footer"/>
        <w:tabs>
          <w:tab w:val="left" w:pos="709"/>
        </w:tabs>
        <w:ind w:right="57"/>
        <w:jc w:val="both"/>
        <w:rPr>
          <w:rFonts w:ascii="Arial" w:hAnsi="Arial" w:cs="Arial"/>
          <w:sz w:val="18"/>
          <w:lang w:val="el-GR"/>
        </w:rPr>
      </w:pPr>
    </w:p>
    <w:p w14:paraId="1BB64E35" w14:textId="3EDFFB9F" w:rsidR="008D4F5D" w:rsidRDefault="00DD15F1" w:rsidP="008D4F5D">
      <w:pPr>
        <w:pStyle w:val="Footer"/>
        <w:tabs>
          <w:tab w:val="left" w:pos="709"/>
        </w:tabs>
        <w:ind w:right="57"/>
        <w:jc w:val="both"/>
        <w:rPr>
          <w:rFonts w:ascii="Arial" w:eastAsiaTheme="minorEastAsia" w:hAnsi="Arial" w:cs="Arial"/>
          <w:sz w:val="18"/>
          <w:szCs w:val="22"/>
          <w:highlight w:val="yellow"/>
          <w:lang w:val="el-GR"/>
        </w:rPr>
      </w:pPr>
      <w:r w:rsidRPr="00DD15F1">
        <w:rPr>
          <w:rFonts w:ascii="Arial" w:hAnsi="Arial" w:cs="Arial"/>
          <w:sz w:val="18"/>
          <w:lang w:val="el-GR"/>
        </w:rPr>
        <w:t xml:space="preserve">Τέλος, κατά το </w:t>
      </w:r>
      <w:r w:rsidR="007A2F9B">
        <w:rPr>
          <w:rFonts w:ascii="Arial" w:hAnsi="Arial" w:cs="Arial"/>
          <w:sz w:val="18"/>
          <w:lang w:val="el-GR"/>
        </w:rPr>
        <w:t>εννεάμηνο</w:t>
      </w:r>
      <w:r w:rsidR="008D4F5D">
        <w:rPr>
          <w:rFonts w:ascii="Arial" w:hAnsi="Arial" w:cs="Arial"/>
          <w:sz w:val="18"/>
          <w:lang w:val="el-GR"/>
        </w:rPr>
        <w:t xml:space="preserve"> που έληξε στις 30 Σεπτεμβρίου</w:t>
      </w:r>
      <w:r w:rsidRPr="00DD15F1">
        <w:rPr>
          <w:rFonts w:ascii="Arial" w:hAnsi="Arial" w:cs="Arial"/>
          <w:sz w:val="18"/>
          <w:lang w:val="el-GR"/>
        </w:rPr>
        <w:t xml:space="preserve"> 2024, το άνοιγμα λογαριασμών μέσω ψηφιακών καναλιών αυξήθηκε κατά 61% σε ετήσια βάση, σε 14,58</w:t>
      </w:r>
      <w:r w:rsidR="008D4F5D">
        <w:rPr>
          <w:rFonts w:ascii="Arial" w:hAnsi="Arial" w:cs="Arial"/>
          <w:sz w:val="18"/>
          <w:lang w:val="el-GR"/>
        </w:rPr>
        <w:t>3</w:t>
      </w:r>
      <w:r w:rsidRPr="00DD15F1">
        <w:rPr>
          <w:rFonts w:ascii="Arial" w:hAnsi="Arial" w:cs="Arial"/>
          <w:sz w:val="18"/>
          <w:lang w:val="el-GR"/>
        </w:rPr>
        <w:t xml:space="preserve"> από 9,033</w:t>
      </w:r>
      <w:r w:rsidR="008D4F5D">
        <w:rPr>
          <w:rFonts w:ascii="Arial" w:hAnsi="Arial" w:cs="Arial"/>
          <w:sz w:val="18"/>
          <w:lang w:val="el-GR"/>
        </w:rPr>
        <w:t xml:space="preserve"> </w:t>
      </w:r>
      <w:r w:rsidRPr="00DD15F1">
        <w:rPr>
          <w:rFonts w:ascii="Arial" w:hAnsi="Arial" w:cs="Arial"/>
          <w:sz w:val="18"/>
          <w:lang w:val="el-GR"/>
        </w:rPr>
        <w:t xml:space="preserve">το </w:t>
      </w:r>
      <w:r w:rsidR="008D4F5D">
        <w:rPr>
          <w:rFonts w:ascii="Arial" w:hAnsi="Arial" w:cs="Arial"/>
          <w:sz w:val="18"/>
          <w:lang w:val="el-GR"/>
        </w:rPr>
        <w:t xml:space="preserve">αντίστοιχο </w:t>
      </w:r>
      <w:r w:rsidR="007A2F9B">
        <w:rPr>
          <w:rFonts w:ascii="Arial" w:hAnsi="Arial" w:cs="Arial"/>
          <w:sz w:val="18"/>
          <w:lang w:val="el-GR"/>
        </w:rPr>
        <w:t>εννεάμηνο</w:t>
      </w:r>
      <w:r w:rsidRPr="00DD15F1">
        <w:rPr>
          <w:rFonts w:ascii="Arial" w:hAnsi="Arial" w:cs="Arial"/>
          <w:sz w:val="18"/>
          <w:lang w:val="el-GR"/>
        </w:rPr>
        <w:t xml:space="preserve"> 2023, και οι νέες χρεωστικές κάρτες που ανοίχτηκαν μέσω ψηφιακών καναλιών </w:t>
      </w:r>
      <w:r w:rsidR="008D4F5D">
        <w:rPr>
          <w:rFonts w:ascii="Arial" w:hAnsi="Arial" w:cs="Arial"/>
          <w:sz w:val="18"/>
          <w:lang w:val="el-GR"/>
        </w:rPr>
        <w:t xml:space="preserve">κατά το </w:t>
      </w:r>
      <w:r w:rsidR="007A2F9B">
        <w:rPr>
          <w:rFonts w:ascii="Arial" w:hAnsi="Arial" w:cs="Arial"/>
          <w:sz w:val="18"/>
          <w:lang w:val="el-GR"/>
        </w:rPr>
        <w:t>εννεάμηνο</w:t>
      </w:r>
      <w:r w:rsidR="008D4F5D">
        <w:rPr>
          <w:rFonts w:ascii="Arial" w:hAnsi="Arial" w:cs="Arial"/>
          <w:sz w:val="18"/>
          <w:lang w:val="el-GR"/>
        </w:rPr>
        <w:t xml:space="preserve"> που έληξε στις 30 Σεπτεμβρίου 2024 υπερδιπλασιάστηκαν </w:t>
      </w:r>
      <w:r w:rsidRPr="00DD15F1">
        <w:rPr>
          <w:rFonts w:ascii="Arial" w:hAnsi="Arial" w:cs="Arial"/>
          <w:sz w:val="18"/>
          <w:lang w:val="el-GR"/>
        </w:rPr>
        <w:t>σε ετήσια βάση, σε 15</w:t>
      </w:r>
      <w:r w:rsidR="008D4F5D">
        <w:rPr>
          <w:rFonts w:ascii="Arial" w:hAnsi="Arial" w:cs="Arial"/>
          <w:sz w:val="18"/>
          <w:lang w:val="el-GR"/>
        </w:rPr>
        <w:t>,</w:t>
      </w:r>
      <w:r w:rsidRPr="00DD15F1">
        <w:rPr>
          <w:rFonts w:ascii="Arial" w:hAnsi="Arial" w:cs="Arial"/>
          <w:sz w:val="18"/>
          <w:lang w:val="el-GR"/>
        </w:rPr>
        <w:t>798 σε σχέση με 7,801 την αντίστοιχη περσινή περίοδο.</w:t>
      </w:r>
    </w:p>
    <w:p w14:paraId="767BC851" w14:textId="77777777" w:rsidR="008D4F5D" w:rsidRPr="008D4F5D" w:rsidRDefault="008D4F5D" w:rsidP="008D4F5D">
      <w:pPr>
        <w:pStyle w:val="Footer"/>
        <w:tabs>
          <w:tab w:val="left" w:pos="709"/>
        </w:tabs>
        <w:ind w:right="57"/>
        <w:jc w:val="both"/>
        <w:rPr>
          <w:rFonts w:ascii="Arial" w:eastAsiaTheme="minorEastAsia" w:hAnsi="Arial" w:cs="Arial"/>
          <w:sz w:val="18"/>
          <w:szCs w:val="22"/>
          <w:highlight w:val="yellow"/>
          <w:lang w:val="el-GR"/>
        </w:rPr>
      </w:pPr>
    </w:p>
    <w:p w14:paraId="7E45021C" w14:textId="758F7632" w:rsidR="00CE36EC" w:rsidRPr="00CC49BE" w:rsidRDefault="00CE36EC" w:rsidP="00CE36EC">
      <w:pPr>
        <w:pStyle w:val="Footer"/>
        <w:tabs>
          <w:tab w:val="clear" w:pos="4153"/>
          <w:tab w:val="clear" w:pos="8306"/>
          <w:tab w:val="left" w:pos="709"/>
        </w:tabs>
        <w:spacing w:line="360" w:lineRule="auto"/>
        <w:ind w:right="57"/>
        <w:rPr>
          <w:rFonts w:ascii="Arial" w:hAnsi="Arial" w:cs="Arial"/>
          <w:b/>
          <w:i/>
          <w:iCs/>
          <w:color w:val="FF9900"/>
          <w:sz w:val="20"/>
          <w:lang w:val="el-GR" w:eastAsia="el-GR"/>
        </w:rPr>
      </w:pPr>
      <w:r w:rsidRPr="008D4F5D">
        <w:rPr>
          <w:rFonts w:ascii="Arial" w:hAnsi="Arial" w:cs="Arial"/>
          <w:b/>
          <w:i/>
          <w:iCs/>
          <w:color w:val="FF9900"/>
          <w:sz w:val="20"/>
          <w:lang w:val="el-GR" w:eastAsia="el-GR"/>
        </w:rPr>
        <w:t xml:space="preserve">Ποιότητα </w:t>
      </w:r>
      <w:r w:rsidRPr="00CC49BE">
        <w:rPr>
          <w:rFonts w:ascii="Arial" w:hAnsi="Arial" w:cs="Arial"/>
          <w:b/>
          <w:i/>
          <w:iCs/>
          <w:color w:val="FF9900"/>
          <w:sz w:val="20"/>
          <w:lang w:val="el-GR" w:eastAsia="el-GR"/>
        </w:rPr>
        <w:t>δανειακού χαρτοφυλακίου</w:t>
      </w:r>
    </w:p>
    <w:p w14:paraId="7EC21354" w14:textId="0391AE09" w:rsidR="00C93E83" w:rsidRPr="00CC49BE" w:rsidRDefault="00CE36EC" w:rsidP="00341CE7">
      <w:pPr>
        <w:spacing w:after="0" w:line="240" w:lineRule="auto"/>
        <w:jc w:val="both"/>
        <w:rPr>
          <w:rFonts w:ascii="Arial" w:eastAsia="Times New Roman" w:hAnsi="Arial" w:cs="Arial"/>
          <w:bCs/>
          <w:sz w:val="18"/>
          <w:szCs w:val="20"/>
          <w:lang w:val="el-GR" w:eastAsia="el-GR"/>
        </w:rPr>
      </w:pPr>
      <w:r w:rsidRPr="00CC49BE">
        <w:rPr>
          <w:rFonts w:ascii="Arial" w:hAnsi="Arial" w:cs="Arial"/>
          <w:sz w:val="18"/>
          <w:szCs w:val="16"/>
          <w:lang w:val="el-GR"/>
        </w:rPr>
        <w:t>Η μείωση κινδύνου στον ισολογισμό ολοκληρώθηκε σε μεγάλο βαθμό το 2022</w:t>
      </w:r>
      <w:r w:rsidR="00EA57BB" w:rsidRPr="00CC49BE">
        <w:rPr>
          <w:rFonts w:ascii="Arial" w:hAnsi="Arial" w:cs="Arial"/>
          <w:sz w:val="18"/>
          <w:szCs w:val="16"/>
          <w:lang w:val="el-GR"/>
        </w:rPr>
        <w:t xml:space="preserve">. </w:t>
      </w:r>
      <w:r w:rsidRPr="00CC49BE">
        <w:rPr>
          <w:rFonts w:ascii="Arial" w:hAnsi="Arial" w:cs="Arial"/>
          <w:sz w:val="18"/>
          <w:szCs w:val="16"/>
          <w:lang w:val="el-GR"/>
        </w:rPr>
        <w:t xml:space="preserve">Στις </w:t>
      </w:r>
      <w:r w:rsidR="00EA57BB" w:rsidRPr="00CC49BE">
        <w:rPr>
          <w:rFonts w:ascii="Arial" w:hAnsi="Arial" w:cs="Arial"/>
          <w:sz w:val="18"/>
          <w:szCs w:val="16"/>
          <w:lang w:val="el-GR"/>
        </w:rPr>
        <w:t xml:space="preserve">30 </w:t>
      </w:r>
      <w:r w:rsidR="008D4F5D" w:rsidRPr="00CC49BE">
        <w:rPr>
          <w:rFonts w:ascii="Arial" w:hAnsi="Arial" w:cs="Arial"/>
          <w:sz w:val="18"/>
          <w:szCs w:val="16"/>
          <w:lang w:val="el-GR"/>
        </w:rPr>
        <w:t>Σεπτεμβρίου</w:t>
      </w:r>
      <w:r w:rsidR="00EA57BB" w:rsidRPr="00CC49BE">
        <w:rPr>
          <w:rFonts w:ascii="Arial" w:hAnsi="Arial" w:cs="Arial"/>
          <w:sz w:val="18"/>
          <w:szCs w:val="16"/>
          <w:lang w:val="el-GR"/>
        </w:rPr>
        <w:t xml:space="preserve"> </w:t>
      </w:r>
      <w:r w:rsidR="002A6960" w:rsidRPr="00CC49BE">
        <w:rPr>
          <w:rFonts w:ascii="Arial" w:hAnsi="Arial" w:cs="Arial"/>
          <w:sz w:val="18"/>
          <w:szCs w:val="16"/>
          <w:lang w:val="el-GR"/>
        </w:rPr>
        <w:t>2024</w:t>
      </w:r>
      <w:r w:rsidRPr="00CC49BE">
        <w:rPr>
          <w:rFonts w:ascii="Arial" w:hAnsi="Arial" w:cs="Arial"/>
          <w:sz w:val="18"/>
          <w:szCs w:val="16"/>
          <w:lang w:val="el-GR"/>
        </w:rPr>
        <w:t xml:space="preserve">, το ποσοστό ΜΕΔ προς δάνεια του Συγκροτήματος ανήλθε σε </w:t>
      </w:r>
      <w:r w:rsidR="00EA57BB" w:rsidRPr="00CC49BE">
        <w:rPr>
          <w:rFonts w:ascii="Arial" w:hAnsi="Arial" w:cs="Arial"/>
          <w:sz w:val="18"/>
          <w:szCs w:val="16"/>
          <w:lang w:val="el-GR"/>
        </w:rPr>
        <w:t>2.</w:t>
      </w:r>
      <w:r w:rsidR="00CC49BE" w:rsidRPr="00CC49BE">
        <w:rPr>
          <w:rFonts w:ascii="Arial" w:hAnsi="Arial" w:cs="Arial"/>
          <w:sz w:val="18"/>
          <w:szCs w:val="16"/>
          <w:lang w:val="el-GR"/>
        </w:rPr>
        <w:t>7</w:t>
      </w:r>
      <w:r w:rsidRPr="00CC49BE">
        <w:rPr>
          <w:rFonts w:ascii="Arial" w:hAnsi="Arial" w:cs="Arial"/>
          <w:sz w:val="18"/>
          <w:szCs w:val="16"/>
          <w:lang w:val="el-GR"/>
        </w:rPr>
        <w:t>%</w:t>
      </w:r>
      <w:r w:rsidR="009C2F34" w:rsidRPr="00CC49BE">
        <w:rPr>
          <w:rFonts w:ascii="Arial" w:hAnsi="Arial" w:cs="Arial"/>
          <w:sz w:val="18"/>
          <w:szCs w:val="16"/>
          <w:lang w:val="el-GR"/>
        </w:rPr>
        <w:t xml:space="preserve">, </w:t>
      </w:r>
      <w:r w:rsidR="00EA57BB" w:rsidRPr="00CC49BE">
        <w:rPr>
          <w:rFonts w:ascii="Arial" w:hAnsi="Arial" w:cs="Arial"/>
          <w:sz w:val="18"/>
          <w:szCs w:val="16"/>
          <w:lang w:val="el-GR"/>
        </w:rPr>
        <w:t>επιτυγχάνοντας ήδη</w:t>
      </w:r>
      <w:r w:rsidR="002A6960" w:rsidRPr="00CC49BE">
        <w:rPr>
          <w:rFonts w:ascii="Arial" w:hAnsi="Arial" w:cs="Arial"/>
          <w:sz w:val="18"/>
          <w:szCs w:val="16"/>
          <w:lang w:val="el-GR"/>
        </w:rPr>
        <w:t xml:space="preserve"> </w:t>
      </w:r>
      <w:r w:rsidR="00EA57BB" w:rsidRPr="00CC49BE">
        <w:rPr>
          <w:rFonts w:ascii="Arial" w:hAnsi="Arial" w:cs="Arial"/>
          <w:sz w:val="18"/>
          <w:szCs w:val="16"/>
          <w:lang w:val="el-GR"/>
        </w:rPr>
        <w:t>τον στόχο</w:t>
      </w:r>
      <w:r w:rsidR="002A6960" w:rsidRPr="00CC49BE">
        <w:rPr>
          <w:rFonts w:ascii="Arial" w:hAnsi="Arial" w:cs="Arial"/>
          <w:sz w:val="18"/>
          <w:szCs w:val="16"/>
          <w:lang w:val="el-GR"/>
        </w:rPr>
        <w:t xml:space="preserve"> του</w:t>
      </w:r>
      <w:r w:rsidR="00EA57BB" w:rsidRPr="00CC49BE">
        <w:rPr>
          <w:rFonts w:ascii="Arial" w:hAnsi="Arial" w:cs="Arial"/>
          <w:sz w:val="18"/>
          <w:szCs w:val="16"/>
          <w:lang w:val="el-GR"/>
        </w:rPr>
        <w:t xml:space="preserve"> για ποσοστό ΜΕΔ προς δάνεια που </w:t>
      </w:r>
      <w:r w:rsidR="00453E7D" w:rsidRPr="00CC49BE">
        <w:rPr>
          <w:rFonts w:ascii="Arial" w:hAnsi="Arial" w:cs="Arial"/>
          <w:sz w:val="18"/>
          <w:szCs w:val="16"/>
          <w:lang w:val="el-GR"/>
        </w:rPr>
        <w:t xml:space="preserve">τέθηκε </w:t>
      </w:r>
      <w:r w:rsidR="00EA57BB" w:rsidRPr="00CC49BE">
        <w:rPr>
          <w:rFonts w:ascii="Arial" w:hAnsi="Arial" w:cs="Arial"/>
          <w:sz w:val="18"/>
          <w:szCs w:val="16"/>
          <w:lang w:val="el-GR"/>
        </w:rPr>
        <w:t>για το 2024.</w:t>
      </w:r>
      <w:r w:rsidR="00341CE7">
        <w:rPr>
          <w:rFonts w:ascii="Arial" w:hAnsi="Arial" w:cs="Arial"/>
          <w:sz w:val="18"/>
          <w:szCs w:val="16"/>
          <w:lang w:val="el-GR"/>
        </w:rPr>
        <w:t xml:space="preserve"> </w:t>
      </w:r>
      <w:r w:rsidR="00CC49BE" w:rsidRPr="007246A9">
        <w:rPr>
          <w:rFonts w:ascii="Arial" w:hAnsi="Arial" w:cs="Arial"/>
          <w:sz w:val="18"/>
          <w:szCs w:val="18"/>
          <w:lang w:val="el-GR"/>
        </w:rPr>
        <w:t>Τον Σεπτέμβριο 2024, η Τράπεζα κατέληξε σε συμφωνία με</w:t>
      </w:r>
      <w:r w:rsidR="00CC49BE">
        <w:rPr>
          <w:rFonts w:ascii="Arial" w:hAnsi="Arial" w:cs="Arial"/>
          <w:sz w:val="18"/>
          <w:szCs w:val="18"/>
          <w:lang w:val="el-GR"/>
        </w:rPr>
        <w:t xml:space="preserve"> τρίτο μέρος </w:t>
      </w:r>
      <w:r w:rsidR="00CC49BE">
        <w:rPr>
          <w:rFonts w:ascii="Arial" w:eastAsia="Times New Roman" w:hAnsi="Arial" w:cs="Arial"/>
          <w:bCs/>
          <w:sz w:val="18"/>
          <w:szCs w:val="20"/>
          <w:lang w:val="el-GR" w:eastAsia="el-GR"/>
        </w:rPr>
        <w:t xml:space="preserve">για πώληση ενός χαρτοφυλακίου μη εξυπηρετούμενων δανείων ύψους €27 εκατ. Η πώληση υπόκειται υπό τη λήψη των απαραίτητων εγκρίσεων και αναμένεται να ολοκληρωθεί εντός </w:t>
      </w:r>
      <w:r w:rsidR="00CC49BE" w:rsidRPr="00CC49BE">
        <w:rPr>
          <w:rFonts w:ascii="Arial" w:eastAsia="Times New Roman" w:hAnsi="Arial" w:cs="Arial"/>
          <w:bCs/>
          <w:sz w:val="18"/>
          <w:szCs w:val="20"/>
          <w:lang w:val="el-GR" w:eastAsia="el-GR"/>
        </w:rPr>
        <w:t xml:space="preserve">του α’ εξάμηνου 2025. </w:t>
      </w:r>
      <w:r w:rsidR="00CC49BE" w:rsidRPr="00CC49BE">
        <w:rPr>
          <w:rFonts w:ascii="Arial" w:eastAsia="Times New Roman" w:hAnsi="Arial" w:cs="Arial"/>
          <w:b/>
          <w:sz w:val="18"/>
          <w:szCs w:val="20"/>
          <w:lang w:val="el-GR" w:eastAsia="el-GR"/>
        </w:rPr>
        <w:t>Αναπροσαρμοσμένο για την συμφωνία πώλησης αυτού του χαρτοφυλακίου μη εξυπηρετούμενων δανείων, το ποσοστό ΜΕΔ προς δάνεια μειώνεται περαιτέρω στο 2.4%.</w:t>
      </w:r>
      <w:r w:rsidR="00CC49BE" w:rsidRPr="00CC49BE">
        <w:rPr>
          <w:rFonts w:ascii="Arial" w:eastAsia="Times New Roman" w:hAnsi="Arial" w:cs="Arial"/>
          <w:bCs/>
          <w:sz w:val="18"/>
          <w:szCs w:val="20"/>
          <w:lang w:val="el-GR" w:eastAsia="el-GR"/>
        </w:rPr>
        <w:t xml:space="preserve"> </w:t>
      </w:r>
      <w:r w:rsidR="003F693F" w:rsidRPr="00CC49BE">
        <w:rPr>
          <w:rFonts w:ascii="Arial" w:hAnsi="Arial" w:cs="Arial"/>
          <w:sz w:val="18"/>
          <w:szCs w:val="16"/>
          <w:lang w:val="el-GR"/>
        </w:rPr>
        <w:t>Οι προτεραιότητες του Συγκροτήματος παραμένουν αμετάβλητες, με το Συγκρότημα να παραμένει επικεντρωμένο στη διατήρηση ποιοτικού νέου δανεισμού μέσω αυστηρών πρακτικών και αποφυγή της επιδείνωσής της ποιότητας του δανειακού χαρτοφυλακίου</w:t>
      </w:r>
      <w:r w:rsidR="00C93E83" w:rsidRPr="00CC49BE">
        <w:rPr>
          <w:rFonts w:ascii="Arial" w:hAnsi="Arial" w:cs="Arial"/>
          <w:sz w:val="18"/>
          <w:szCs w:val="16"/>
          <w:lang w:val="el-GR"/>
        </w:rPr>
        <w:t xml:space="preserve">. </w:t>
      </w:r>
    </w:p>
    <w:p w14:paraId="6D8281E0" w14:textId="77777777" w:rsidR="00C93E83" w:rsidRPr="00DB7ABA" w:rsidRDefault="00C93E83" w:rsidP="001F569F">
      <w:pPr>
        <w:spacing w:after="0" w:line="240" w:lineRule="auto"/>
        <w:jc w:val="both"/>
        <w:rPr>
          <w:rFonts w:ascii="Arial" w:hAnsi="Arial" w:cs="Arial"/>
          <w:sz w:val="18"/>
          <w:szCs w:val="16"/>
          <w:lang w:val="el-GR"/>
        </w:rPr>
      </w:pPr>
    </w:p>
    <w:p w14:paraId="07B17379" w14:textId="77777777" w:rsidR="007C6BB9" w:rsidRPr="00DB7ABA" w:rsidRDefault="007C6BB9" w:rsidP="007C6BB9">
      <w:pPr>
        <w:tabs>
          <w:tab w:val="left" w:pos="709"/>
        </w:tabs>
        <w:spacing w:after="120" w:line="240" w:lineRule="auto"/>
        <w:ind w:right="57"/>
        <w:rPr>
          <w:rFonts w:ascii="Arial" w:hAnsi="Arial" w:cs="Arial"/>
          <w:b/>
          <w:i/>
          <w:color w:val="FF9900"/>
          <w:sz w:val="20"/>
          <w:lang w:val="el-GR"/>
        </w:rPr>
      </w:pPr>
      <w:r w:rsidRPr="00DB7ABA">
        <w:rPr>
          <w:rFonts w:ascii="Arial" w:hAnsi="Arial" w:cs="Arial"/>
          <w:b/>
          <w:i/>
          <w:color w:val="FF9900"/>
          <w:sz w:val="20"/>
          <w:lang w:val="el-GR"/>
        </w:rPr>
        <w:t>Ενίσχυση οργανωτικής ανθεκτικότητας και πολιτικής για Περιβαλλοντικά, Κοινωνικά και σχετικά µε τη Διακυβέρνηση (ΠΚΔ) θέματα (</w:t>
      </w:r>
      <w:r w:rsidRPr="00DB7ABA">
        <w:rPr>
          <w:rFonts w:ascii="Arial" w:hAnsi="Arial" w:cs="Arial"/>
          <w:b/>
          <w:i/>
          <w:color w:val="FF9900"/>
          <w:sz w:val="20"/>
        </w:rPr>
        <w:t>Environmental</w:t>
      </w:r>
      <w:r w:rsidRPr="00DB7ABA">
        <w:rPr>
          <w:rFonts w:ascii="Arial" w:hAnsi="Arial" w:cs="Arial"/>
          <w:b/>
          <w:i/>
          <w:color w:val="FF9900"/>
          <w:sz w:val="20"/>
          <w:lang w:val="el-GR"/>
        </w:rPr>
        <w:t xml:space="preserve">, </w:t>
      </w:r>
      <w:r w:rsidRPr="00DB7ABA">
        <w:rPr>
          <w:rFonts w:ascii="Arial" w:hAnsi="Arial" w:cs="Arial"/>
          <w:b/>
          <w:i/>
          <w:color w:val="FF9900"/>
          <w:sz w:val="20"/>
        </w:rPr>
        <w:t>Social</w:t>
      </w:r>
      <w:r w:rsidRPr="00DB7ABA">
        <w:rPr>
          <w:rFonts w:ascii="Arial" w:hAnsi="Arial" w:cs="Arial"/>
          <w:b/>
          <w:i/>
          <w:color w:val="FF9900"/>
          <w:sz w:val="20"/>
          <w:lang w:val="el-GR"/>
        </w:rPr>
        <w:t xml:space="preserve"> </w:t>
      </w:r>
      <w:r w:rsidRPr="00DB7ABA">
        <w:rPr>
          <w:rFonts w:ascii="Arial" w:hAnsi="Arial" w:cs="Arial"/>
          <w:b/>
          <w:i/>
          <w:color w:val="FF9900"/>
          <w:sz w:val="20"/>
        </w:rPr>
        <w:t>and</w:t>
      </w:r>
      <w:r w:rsidRPr="00DB7ABA">
        <w:rPr>
          <w:rFonts w:ascii="Arial" w:hAnsi="Arial" w:cs="Arial"/>
          <w:b/>
          <w:i/>
          <w:color w:val="FF9900"/>
          <w:sz w:val="20"/>
          <w:lang w:val="el-GR"/>
        </w:rPr>
        <w:t xml:space="preserve"> </w:t>
      </w:r>
      <w:r w:rsidRPr="00DB7ABA">
        <w:rPr>
          <w:rFonts w:ascii="Arial" w:hAnsi="Arial" w:cs="Arial"/>
          <w:b/>
          <w:i/>
          <w:color w:val="FF9900"/>
          <w:sz w:val="20"/>
        </w:rPr>
        <w:t>Governance</w:t>
      </w:r>
      <w:r w:rsidRPr="00DB7ABA">
        <w:rPr>
          <w:rFonts w:ascii="Arial" w:hAnsi="Arial" w:cs="Arial"/>
          <w:b/>
          <w:i/>
          <w:color w:val="FF9900"/>
          <w:sz w:val="20"/>
          <w:lang w:val="el-GR"/>
        </w:rPr>
        <w:t xml:space="preserve">, </w:t>
      </w:r>
      <w:r w:rsidRPr="00DB7ABA">
        <w:rPr>
          <w:rFonts w:ascii="Arial" w:hAnsi="Arial" w:cs="Arial"/>
          <w:b/>
          <w:i/>
          <w:color w:val="FF9900"/>
          <w:sz w:val="20"/>
        </w:rPr>
        <w:t>ESG</w:t>
      </w:r>
      <w:r w:rsidRPr="00DB7ABA">
        <w:rPr>
          <w:rFonts w:ascii="Arial" w:hAnsi="Arial" w:cs="Arial"/>
          <w:b/>
          <w:i/>
          <w:color w:val="FF9900"/>
          <w:sz w:val="20"/>
          <w:lang w:val="el-GR"/>
        </w:rPr>
        <w:t>)</w:t>
      </w:r>
    </w:p>
    <w:p w14:paraId="167C4318" w14:textId="77777777" w:rsidR="00DB7ABA" w:rsidRPr="008E28AB" w:rsidRDefault="00DB7ABA" w:rsidP="00DB7ABA">
      <w:pPr>
        <w:spacing w:after="0" w:line="240" w:lineRule="auto"/>
        <w:jc w:val="both"/>
        <w:rPr>
          <w:rFonts w:ascii="Arial" w:eastAsia="Times New Roman" w:hAnsi="Arial" w:cs="Times New Roman"/>
          <w:sz w:val="18"/>
          <w:lang w:val="el-GR"/>
        </w:rPr>
      </w:pPr>
      <w:r w:rsidRPr="00DB7ABA">
        <w:rPr>
          <w:rFonts w:ascii="Arial" w:eastAsia="Times New Roman" w:hAnsi="Arial" w:cs="Times New Roman"/>
          <w:sz w:val="18"/>
          <w:lang w:val="el-GR"/>
        </w:rPr>
        <w:t>Η κλιματική αλλαγή και η μετάβαση στη βιώσιμη οικονομία αποτελεί μια από τις μεγαλύτερες προκλήσεις</w:t>
      </w:r>
      <w:r w:rsidRPr="008E28AB">
        <w:rPr>
          <w:rFonts w:ascii="Arial" w:eastAsia="Times New Roman" w:hAnsi="Arial" w:cs="Times New Roman"/>
          <w:sz w:val="18"/>
          <w:lang w:val="el-GR"/>
        </w:rPr>
        <w:t xml:space="preserve">. Ως αναπόσπαστο μέρος του </w:t>
      </w:r>
      <w:r w:rsidRPr="008E28AB">
        <w:rPr>
          <w:rFonts w:ascii="Arial" w:eastAsia="Arial" w:hAnsi="Arial" w:cs="Arial"/>
          <w:sz w:val="18"/>
          <w:szCs w:val="18"/>
          <w:lang w:val="el-GR"/>
        </w:rPr>
        <w:t>οράματος</w:t>
      </w:r>
      <w:r w:rsidRPr="008E28AB">
        <w:rPr>
          <w:rFonts w:ascii="Arial" w:eastAsia="Times New Roman" w:hAnsi="Arial" w:cs="Times New Roman"/>
          <w:sz w:val="18"/>
          <w:lang w:val="el-GR"/>
        </w:rPr>
        <w:t xml:space="preserve"> του να </w:t>
      </w:r>
      <w:r w:rsidRPr="008E28AB">
        <w:rPr>
          <w:rFonts w:ascii="Arial" w:eastAsia="Arial" w:hAnsi="Arial" w:cs="Arial"/>
          <w:sz w:val="18"/>
          <w:szCs w:val="18"/>
          <w:lang w:val="el-GR"/>
        </w:rPr>
        <w:t>έχει ηγετική θέση στον</w:t>
      </w:r>
      <w:r w:rsidRPr="008E28AB">
        <w:rPr>
          <w:rFonts w:ascii="Arial" w:eastAsia="Times New Roman" w:hAnsi="Arial" w:cs="Times New Roman"/>
          <w:sz w:val="18"/>
          <w:lang w:val="el-GR"/>
        </w:rPr>
        <w:t xml:space="preserve"> χρηματοοικονομικό τομέα </w:t>
      </w:r>
      <w:r w:rsidRPr="008E28AB">
        <w:rPr>
          <w:rFonts w:ascii="Arial" w:eastAsia="Arial" w:hAnsi="Arial" w:cs="Arial"/>
          <w:sz w:val="18"/>
          <w:szCs w:val="18"/>
          <w:lang w:val="el-GR"/>
        </w:rPr>
        <w:t>στην Κύπρο</w:t>
      </w:r>
      <w:r w:rsidRPr="008E28AB">
        <w:rPr>
          <w:rFonts w:ascii="Arial" w:eastAsia="Times New Roman" w:hAnsi="Arial" w:cs="Times New Roman"/>
          <w:sz w:val="18"/>
          <w:lang w:val="el-GR"/>
        </w:rPr>
        <w:t xml:space="preserve">, το Συγκρότημα </w:t>
      </w:r>
      <w:r w:rsidRPr="008E28AB">
        <w:rPr>
          <w:rFonts w:ascii="Arial" w:eastAsia="Arial" w:hAnsi="Arial" w:cs="Arial"/>
          <w:sz w:val="18"/>
          <w:szCs w:val="18"/>
          <w:lang w:val="el-GR"/>
        </w:rPr>
        <w:t>είναι αποφασισμένο</w:t>
      </w:r>
      <w:r w:rsidRPr="008E28AB">
        <w:rPr>
          <w:rFonts w:ascii="Arial" w:eastAsia="Times New Roman" w:hAnsi="Arial" w:cs="Times New Roman"/>
          <w:sz w:val="18"/>
          <w:lang w:val="el-GR"/>
        </w:rPr>
        <w:t xml:space="preserve"> να </w:t>
      </w:r>
      <w:r w:rsidRPr="008E28AB">
        <w:rPr>
          <w:rFonts w:ascii="Arial" w:eastAsia="Times New Roman" w:hAnsi="Arial" w:cs="Times New Roman"/>
          <w:b/>
          <w:bCs/>
          <w:sz w:val="18"/>
          <w:lang w:val="el-GR"/>
        </w:rPr>
        <w:t xml:space="preserve">ηγηθεί της μετάβασης της Κύπρου σε ένα βιώσιμο μέλλον. </w:t>
      </w:r>
      <w:r w:rsidRPr="008E28AB">
        <w:rPr>
          <w:rFonts w:ascii="Arial" w:eastAsia="Times New Roman" w:hAnsi="Arial" w:cs="Times New Roman"/>
          <w:sz w:val="18"/>
          <w:lang w:val="el-GR"/>
        </w:rPr>
        <w:t>Το Συγκρότημα εξελίσσει συνεχώς τις δράσεις του σε Περιβαλλοντικά, Κοινωνικά και σχετικά µε τη Διακυβέρνηση (ΠΚΔ) θέματα</w:t>
      </w:r>
      <w:r w:rsidRPr="008E28AB">
        <w:rPr>
          <w:rFonts w:ascii="Arial" w:eastAsia="Times New Roman" w:hAnsi="Arial" w:cs="Times New Roman"/>
          <w:b/>
          <w:bCs/>
          <w:sz w:val="18"/>
          <w:lang w:val="el-GR"/>
        </w:rPr>
        <w:t xml:space="preserve"> </w:t>
      </w:r>
      <w:r w:rsidRPr="008E28AB">
        <w:rPr>
          <w:rFonts w:ascii="Arial" w:eastAsia="Times New Roman" w:hAnsi="Arial" w:cs="Times New Roman"/>
          <w:sz w:val="18"/>
          <w:lang w:val="el-GR"/>
        </w:rPr>
        <w:t xml:space="preserve">και συνεχίζει να εργάζεται για τη δημιουργία ενός οργανισμού με όραμα για το μέλλον συμπεριλαμβάνοντας τα θέματα ΠΚΔ σε όλους τους τομείς της λειτουργίας του. </w:t>
      </w:r>
      <w:r w:rsidRPr="008E28AB">
        <w:rPr>
          <w:rFonts w:ascii="Arial" w:eastAsia="Arial" w:hAnsi="Arial" w:cs="Arial"/>
          <w:sz w:val="18"/>
          <w:szCs w:val="18"/>
          <w:lang w:val="el-GR"/>
        </w:rPr>
        <w:t>Εντός του 202</w:t>
      </w:r>
      <w:r w:rsidRPr="001956CB">
        <w:rPr>
          <w:rFonts w:ascii="Arial" w:eastAsia="Arial" w:hAnsi="Arial" w:cs="Arial"/>
          <w:sz w:val="18"/>
          <w:szCs w:val="18"/>
          <w:lang w:val="el-GR"/>
        </w:rPr>
        <w:t>4</w:t>
      </w:r>
      <w:r w:rsidRPr="008E28AB">
        <w:rPr>
          <w:rFonts w:ascii="Arial" w:eastAsia="Arial" w:hAnsi="Arial" w:cs="Arial"/>
          <w:sz w:val="18"/>
          <w:szCs w:val="18"/>
          <w:lang w:val="el-GR"/>
        </w:rPr>
        <w:t xml:space="preserve">, η </w:t>
      </w:r>
      <w:r>
        <w:rPr>
          <w:rFonts w:ascii="Arial" w:eastAsia="Arial" w:hAnsi="Arial" w:cs="Arial"/>
          <w:sz w:val="18"/>
          <w:szCs w:val="18"/>
          <w:lang w:val="el-GR"/>
        </w:rPr>
        <w:t>Τράπεζα</w:t>
      </w:r>
      <w:r w:rsidRPr="008E28AB">
        <w:rPr>
          <w:rFonts w:ascii="Arial" w:eastAsia="Times New Roman" w:hAnsi="Arial" w:cs="Times New Roman"/>
          <w:sz w:val="18"/>
          <w:lang w:val="el-GR"/>
        </w:rPr>
        <w:t xml:space="preserve"> έλαβε αξιολόγηση </w:t>
      </w:r>
      <w:r w:rsidRPr="008E28AB">
        <w:rPr>
          <w:rFonts w:ascii="Arial" w:eastAsia="Arial" w:hAnsi="Arial" w:cs="Arial"/>
          <w:sz w:val="18"/>
          <w:szCs w:val="18"/>
          <w:lang w:val="el-GR"/>
        </w:rPr>
        <w:t>στη</w:t>
      </w:r>
      <w:r w:rsidRPr="008E28AB">
        <w:rPr>
          <w:rFonts w:ascii="Arial" w:eastAsia="Times New Roman" w:hAnsi="Arial" w:cs="Times New Roman"/>
          <w:sz w:val="18"/>
          <w:lang w:val="el-GR"/>
        </w:rPr>
        <w:t xml:space="preserve"> βαθμίδα ΑΑ (σε κλίμακα από ΑΑΑ μέχρι CCC) από την MSCI ESG Ratings.  </w:t>
      </w:r>
    </w:p>
    <w:p w14:paraId="3826A837" w14:textId="77777777" w:rsidR="00DB7ABA" w:rsidRPr="008E28AB" w:rsidRDefault="00DB7ABA" w:rsidP="00DB7ABA">
      <w:pPr>
        <w:spacing w:after="0" w:line="240" w:lineRule="auto"/>
        <w:jc w:val="both"/>
        <w:rPr>
          <w:rFonts w:ascii="Arial" w:eastAsia="Times New Roman" w:hAnsi="Arial" w:cs="Times New Roman"/>
          <w:sz w:val="18"/>
          <w:lang w:val="el-GR"/>
        </w:rPr>
      </w:pPr>
    </w:p>
    <w:p w14:paraId="3E101E2C" w14:textId="77777777" w:rsidR="00DB7ABA" w:rsidRPr="008E28AB" w:rsidRDefault="00DB7ABA" w:rsidP="00DB7ABA">
      <w:pPr>
        <w:spacing w:after="0" w:line="240" w:lineRule="auto"/>
        <w:jc w:val="both"/>
        <w:rPr>
          <w:rFonts w:ascii="Arial" w:eastAsia="Times New Roman" w:hAnsi="Arial" w:cs="Times New Roman"/>
          <w:sz w:val="18"/>
          <w:lang w:val="el-GR"/>
        </w:rPr>
      </w:pPr>
      <w:r w:rsidRPr="008E28AB">
        <w:rPr>
          <w:rFonts w:ascii="Arial" w:eastAsia="Times New Roman" w:hAnsi="Arial" w:cs="Times New Roman"/>
          <w:sz w:val="18"/>
          <w:lang w:val="el-GR"/>
        </w:rPr>
        <w:t xml:space="preserve">Επιβεβαιώνοντας την ισχυρή δέσμευσή της σε θέματα βιωσιμότητας και στη δημιουργία μακροπρόθεσμης αξίας για όλα τα ενδιαφερόμενα μέρη της, τον Νοέμβριο του 2023, η Τράπεζα ήταν η πρώτη </w:t>
      </w:r>
      <w:r>
        <w:rPr>
          <w:rFonts w:ascii="Arial" w:eastAsia="Times New Roman" w:hAnsi="Arial" w:cs="Times New Roman"/>
          <w:sz w:val="18"/>
          <w:lang w:val="el-GR"/>
        </w:rPr>
        <w:t>τ</w:t>
      </w:r>
      <w:r w:rsidRPr="008E28AB">
        <w:rPr>
          <w:rFonts w:ascii="Arial" w:eastAsia="Times New Roman" w:hAnsi="Arial" w:cs="Times New Roman"/>
          <w:sz w:val="18"/>
          <w:lang w:val="el-GR"/>
        </w:rPr>
        <w:t>ράπεζα στην Κύπρο που υπέγραψε επίσημα τις Αρχές Υπεύθυνης Τραπεζικής των Ηνωμένων Εθνών που αντιπροσωπεύει ένα ενιαίο πλαίσιο για έναν βιώσιμο τραπεζικό κλάδο, το οποίο αναπτύχθηκε μέσω της σύμπραξης τραπεζών σε παγκόσμια κλίμακα και του Προγράμματος των Ηνωμένων Εθνών για το Περιβάλλον, μια πρωτοβουλία του Χρηματοοικονομικού κλάδου (UNEP FI).</w:t>
      </w:r>
    </w:p>
    <w:p w14:paraId="0B624FCF" w14:textId="77777777" w:rsidR="00DB7ABA" w:rsidRPr="00AA62B1" w:rsidRDefault="00DB7ABA" w:rsidP="00DB7ABA">
      <w:pPr>
        <w:spacing w:after="0" w:line="240" w:lineRule="auto"/>
        <w:jc w:val="both"/>
        <w:rPr>
          <w:rFonts w:ascii="Arial" w:eastAsia="Times New Roman" w:hAnsi="Arial" w:cs="Times New Roman"/>
          <w:sz w:val="18"/>
          <w:lang w:val="el-GR"/>
        </w:rPr>
      </w:pPr>
    </w:p>
    <w:p w14:paraId="559C7929" w14:textId="77777777" w:rsidR="00DB7ABA" w:rsidRPr="001956CB" w:rsidRDefault="00DB7ABA" w:rsidP="00DB7ABA">
      <w:pPr>
        <w:spacing w:after="0" w:line="240" w:lineRule="auto"/>
        <w:jc w:val="both"/>
        <w:rPr>
          <w:rFonts w:ascii="Arial" w:eastAsia="Times New Roman" w:hAnsi="Arial" w:cs="Times New Roman"/>
          <w:sz w:val="18"/>
          <w:lang w:val="el-GR"/>
        </w:rPr>
      </w:pPr>
      <w:r>
        <w:rPr>
          <w:rFonts w:ascii="Arial" w:eastAsia="Times New Roman" w:hAnsi="Arial" w:cs="Times New Roman"/>
          <w:sz w:val="18"/>
          <w:lang w:val="el-GR"/>
        </w:rPr>
        <w:t xml:space="preserve">Ευθυγραμμίζοντας με </w:t>
      </w:r>
      <w:r w:rsidRPr="001956CB">
        <w:rPr>
          <w:rFonts w:ascii="Arial" w:eastAsia="Times New Roman" w:hAnsi="Arial" w:cs="Times New Roman"/>
          <w:sz w:val="18"/>
          <w:lang w:val="el-GR"/>
        </w:rPr>
        <w:t xml:space="preserve">τη φιλοσοφία </w:t>
      </w:r>
      <w:r>
        <w:rPr>
          <w:rFonts w:ascii="Arial" w:eastAsia="Times New Roman" w:hAnsi="Arial" w:cs="Times New Roman"/>
          <w:sz w:val="18"/>
          <w:lang w:val="el-GR"/>
        </w:rPr>
        <w:t xml:space="preserve">του Συγκροτήματος </w:t>
      </w:r>
      <w:r w:rsidRPr="001956CB">
        <w:rPr>
          <w:rFonts w:ascii="Arial" w:eastAsia="Times New Roman" w:hAnsi="Arial" w:cs="Times New Roman"/>
          <w:sz w:val="18"/>
          <w:lang w:val="el-GR"/>
        </w:rPr>
        <w:t xml:space="preserve">‘Περισσότερο από Τράπεζα - </w:t>
      </w:r>
      <w:proofErr w:type="spellStart"/>
      <w:r w:rsidRPr="001956CB">
        <w:rPr>
          <w:rFonts w:ascii="Arial" w:eastAsia="Times New Roman" w:hAnsi="Arial" w:cs="Times New Roman"/>
          <w:sz w:val="18"/>
          <w:lang w:val="el-GR"/>
        </w:rPr>
        <w:t>Beyond</w:t>
      </w:r>
      <w:proofErr w:type="spellEnd"/>
      <w:r w:rsidRPr="001956CB">
        <w:rPr>
          <w:rFonts w:ascii="Arial" w:eastAsia="Times New Roman" w:hAnsi="Arial" w:cs="Times New Roman"/>
          <w:sz w:val="18"/>
          <w:lang w:val="el-GR"/>
        </w:rPr>
        <w:t xml:space="preserve"> Banking’ και τη δέσμευση </w:t>
      </w:r>
      <w:r>
        <w:rPr>
          <w:rFonts w:ascii="Arial" w:eastAsia="Times New Roman" w:hAnsi="Arial" w:cs="Times New Roman"/>
          <w:sz w:val="18"/>
          <w:lang w:val="el-GR"/>
        </w:rPr>
        <w:t xml:space="preserve">του </w:t>
      </w:r>
      <w:r w:rsidRPr="001956CB">
        <w:rPr>
          <w:rFonts w:ascii="Arial" w:eastAsia="Times New Roman" w:hAnsi="Arial" w:cs="Times New Roman"/>
          <w:sz w:val="18"/>
          <w:lang w:val="el-GR"/>
        </w:rPr>
        <w:t xml:space="preserve">για δημιουργία ενός ισχυρότερου, και ασφαλέστερου οργανισμού εστιασμένου στο μέλλον, η Τράπεζα προχώρησε, μέσα στο 2024, στην </w:t>
      </w:r>
      <w:r>
        <w:rPr>
          <w:rFonts w:ascii="Arial" w:eastAsia="Times New Roman" w:hAnsi="Arial" w:cs="Times New Roman"/>
          <w:sz w:val="18"/>
          <w:lang w:val="el-GR"/>
        </w:rPr>
        <w:t xml:space="preserve">πρώτη </w:t>
      </w:r>
      <w:r w:rsidRPr="001956CB">
        <w:rPr>
          <w:rFonts w:ascii="Arial" w:eastAsia="Times New Roman" w:hAnsi="Arial" w:cs="Times New Roman"/>
          <w:sz w:val="18"/>
          <w:lang w:val="el-GR"/>
        </w:rPr>
        <w:t xml:space="preserve">έκδοση πράσινου ομολόγου. Τα καθαρά έσοδα από την έκδοση του </w:t>
      </w:r>
      <w:r>
        <w:rPr>
          <w:rFonts w:ascii="Arial" w:eastAsia="Times New Roman" w:hAnsi="Arial" w:cs="Times New Roman"/>
          <w:sz w:val="18"/>
          <w:lang w:val="el-GR"/>
        </w:rPr>
        <w:t>ο</w:t>
      </w:r>
      <w:r w:rsidRPr="001956CB">
        <w:rPr>
          <w:rFonts w:ascii="Arial" w:eastAsia="Times New Roman" w:hAnsi="Arial" w:cs="Times New Roman"/>
          <w:sz w:val="18"/>
          <w:lang w:val="el-GR"/>
        </w:rPr>
        <w:t xml:space="preserve">μολόγου θα διατεθούν σε </w:t>
      </w:r>
      <w:r>
        <w:rPr>
          <w:rFonts w:ascii="Arial" w:eastAsia="Times New Roman" w:hAnsi="Arial" w:cs="Times New Roman"/>
          <w:sz w:val="18"/>
          <w:lang w:val="el-GR"/>
        </w:rPr>
        <w:t>ε</w:t>
      </w:r>
      <w:r w:rsidRPr="001956CB">
        <w:rPr>
          <w:rFonts w:ascii="Arial" w:eastAsia="Times New Roman" w:hAnsi="Arial" w:cs="Times New Roman"/>
          <w:sz w:val="18"/>
          <w:lang w:val="el-GR"/>
        </w:rPr>
        <w:t xml:space="preserve">πιλέξιμα </w:t>
      </w:r>
      <w:r>
        <w:rPr>
          <w:rFonts w:ascii="Arial" w:eastAsia="Times New Roman" w:hAnsi="Arial" w:cs="Times New Roman"/>
          <w:sz w:val="18"/>
          <w:lang w:val="el-GR"/>
        </w:rPr>
        <w:t>έ</w:t>
      </w:r>
      <w:r w:rsidRPr="001956CB">
        <w:rPr>
          <w:rFonts w:ascii="Arial" w:eastAsia="Times New Roman" w:hAnsi="Arial" w:cs="Times New Roman"/>
          <w:sz w:val="18"/>
          <w:lang w:val="el-GR"/>
        </w:rPr>
        <w:t xml:space="preserve">ργα </w:t>
      </w:r>
      <w:r>
        <w:rPr>
          <w:rFonts w:ascii="Arial" w:eastAsia="Times New Roman" w:hAnsi="Arial" w:cs="Times New Roman"/>
          <w:sz w:val="18"/>
          <w:lang w:val="el-GR"/>
        </w:rPr>
        <w:t>π</w:t>
      </w:r>
      <w:r w:rsidRPr="001956CB">
        <w:rPr>
          <w:rFonts w:ascii="Arial" w:eastAsia="Times New Roman" w:hAnsi="Arial" w:cs="Times New Roman"/>
          <w:sz w:val="18"/>
          <w:lang w:val="el-GR"/>
        </w:rPr>
        <w:t xml:space="preserve">ράσινης </w:t>
      </w:r>
      <w:r>
        <w:rPr>
          <w:rFonts w:ascii="Arial" w:eastAsia="Times New Roman" w:hAnsi="Arial" w:cs="Times New Roman"/>
          <w:sz w:val="18"/>
          <w:lang w:val="el-GR"/>
        </w:rPr>
        <w:t>χ</w:t>
      </w:r>
      <w:r w:rsidRPr="001956CB">
        <w:rPr>
          <w:rFonts w:ascii="Arial" w:eastAsia="Times New Roman" w:hAnsi="Arial" w:cs="Times New Roman"/>
          <w:sz w:val="18"/>
          <w:lang w:val="el-GR"/>
        </w:rPr>
        <w:t xml:space="preserve">ρηματοδότησης όπως περιγράφονται στο </w:t>
      </w:r>
      <w:r>
        <w:rPr>
          <w:rFonts w:ascii="Arial" w:eastAsia="Times New Roman" w:hAnsi="Arial" w:cs="Times New Roman"/>
          <w:sz w:val="18"/>
          <w:lang w:val="el-GR"/>
        </w:rPr>
        <w:t>π</w:t>
      </w:r>
      <w:r w:rsidRPr="001956CB">
        <w:rPr>
          <w:rFonts w:ascii="Arial" w:eastAsia="Times New Roman" w:hAnsi="Arial" w:cs="Times New Roman"/>
          <w:sz w:val="18"/>
          <w:lang w:val="el-GR"/>
        </w:rPr>
        <w:t xml:space="preserve">λαίσιο </w:t>
      </w:r>
      <w:r>
        <w:rPr>
          <w:rFonts w:ascii="Arial" w:eastAsia="Times New Roman" w:hAnsi="Arial" w:cs="Times New Roman"/>
          <w:sz w:val="18"/>
          <w:lang w:val="el-GR"/>
        </w:rPr>
        <w:t>β</w:t>
      </w:r>
      <w:r w:rsidRPr="001956CB">
        <w:rPr>
          <w:rFonts w:ascii="Arial" w:eastAsia="Times New Roman" w:hAnsi="Arial" w:cs="Times New Roman"/>
          <w:sz w:val="18"/>
          <w:lang w:val="el-GR"/>
        </w:rPr>
        <w:t xml:space="preserve">ιώσιμης </w:t>
      </w:r>
      <w:r>
        <w:rPr>
          <w:rFonts w:ascii="Arial" w:eastAsia="Times New Roman" w:hAnsi="Arial" w:cs="Times New Roman"/>
          <w:sz w:val="18"/>
          <w:lang w:val="el-GR"/>
        </w:rPr>
        <w:t>χ</w:t>
      </w:r>
      <w:r w:rsidRPr="001956CB">
        <w:rPr>
          <w:rFonts w:ascii="Arial" w:eastAsia="Times New Roman" w:hAnsi="Arial" w:cs="Times New Roman"/>
          <w:sz w:val="18"/>
          <w:lang w:val="el-GR"/>
        </w:rPr>
        <w:t xml:space="preserve">ρηματοδότησης της Τράπεζας, τα οποία περιλαμβάνουν </w:t>
      </w:r>
      <w:r>
        <w:rPr>
          <w:rFonts w:ascii="Arial" w:eastAsia="Times New Roman" w:hAnsi="Arial" w:cs="Times New Roman"/>
          <w:sz w:val="18"/>
          <w:lang w:val="el-GR"/>
        </w:rPr>
        <w:t>π</w:t>
      </w:r>
      <w:r w:rsidRPr="001956CB">
        <w:rPr>
          <w:rFonts w:ascii="Arial" w:eastAsia="Times New Roman" w:hAnsi="Arial" w:cs="Times New Roman"/>
          <w:sz w:val="18"/>
          <w:lang w:val="el-GR"/>
        </w:rPr>
        <w:t xml:space="preserve">ράσινα </w:t>
      </w:r>
      <w:r>
        <w:rPr>
          <w:rFonts w:ascii="Arial" w:eastAsia="Times New Roman" w:hAnsi="Arial" w:cs="Times New Roman"/>
          <w:sz w:val="18"/>
          <w:lang w:val="el-GR"/>
        </w:rPr>
        <w:t>κ</w:t>
      </w:r>
      <w:r w:rsidRPr="001956CB">
        <w:rPr>
          <w:rFonts w:ascii="Arial" w:eastAsia="Times New Roman" w:hAnsi="Arial" w:cs="Times New Roman"/>
          <w:sz w:val="18"/>
          <w:lang w:val="el-GR"/>
        </w:rPr>
        <w:t xml:space="preserve">τίρια, </w:t>
      </w:r>
      <w:r>
        <w:rPr>
          <w:rFonts w:ascii="Arial" w:eastAsia="Times New Roman" w:hAnsi="Arial" w:cs="Times New Roman"/>
          <w:sz w:val="18"/>
          <w:lang w:val="el-GR"/>
        </w:rPr>
        <w:t>αναβάθμιση</w:t>
      </w:r>
      <w:r w:rsidRPr="001956CB">
        <w:rPr>
          <w:rFonts w:ascii="Arial" w:eastAsia="Times New Roman" w:hAnsi="Arial" w:cs="Times New Roman"/>
          <w:sz w:val="18"/>
          <w:lang w:val="el-GR"/>
        </w:rPr>
        <w:t xml:space="preserve"> </w:t>
      </w:r>
      <w:r>
        <w:rPr>
          <w:rFonts w:ascii="Arial" w:eastAsia="Times New Roman" w:hAnsi="Arial" w:cs="Times New Roman"/>
          <w:sz w:val="18"/>
          <w:lang w:val="el-GR"/>
        </w:rPr>
        <w:t>ε</w:t>
      </w:r>
      <w:r w:rsidRPr="001956CB">
        <w:rPr>
          <w:rFonts w:ascii="Arial" w:eastAsia="Times New Roman" w:hAnsi="Arial" w:cs="Times New Roman"/>
          <w:sz w:val="18"/>
          <w:lang w:val="el-GR"/>
        </w:rPr>
        <w:t xml:space="preserve">νεργειακής </w:t>
      </w:r>
      <w:r>
        <w:rPr>
          <w:rFonts w:ascii="Arial" w:eastAsia="Times New Roman" w:hAnsi="Arial" w:cs="Times New Roman"/>
          <w:sz w:val="18"/>
          <w:lang w:val="el-GR"/>
        </w:rPr>
        <w:t>α</w:t>
      </w:r>
      <w:r w:rsidRPr="001956CB">
        <w:rPr>
          <w:rFonts w:ascii="Arial" w:eastAsia="Times New Roman" w:hAnsi="Arial" w:cs="Times New Roman"/>
          <w:sz w:val="18"/>
          <w:lang w:val="el-GR"/>
        </w:rPr>
        <w:t xml:space="preserve">πόδοσης, </w:t>
      </w:r>
      <w:r>
        <w:rPr>
          <w:rFonts w:ascii="Arial" w:eastAsia="Times New Roman" w:hAnsi="Arial" w:cs="Times New Roman"/>
          <w:sz w:val="18"/>
          <w:lang w:val="el-GR"/>
        </w:rPr>
        <w:t>σ</w:t>
      </w:r>
      <w:r w:rsidRPr="001956CB">
        <w:rPr>
          <w:rFonts w:ascii="Arial" w:eastAsia="Times New Roman" w:hAnsi="Arial" w:cs="Times New Roman"/>
          <w:sz w:val="18"/>
          <w:lang w:val="el-GR"/>
        </w:rPr>
        <w:t xml:space="preserve">υγκοινωνίες φιλικές προς το περιβάλλον και </w:t>
      </w:r>
      <w:r>
        <w:rPr>
          <w:rFonts w:ascii="Arial" w:eastAsia="Times New Roman" w:hAnsi="Arial" w:cs="Times New Roman"/>
          <w:sz w:val="18"/>
          <w:lang w:val="el-GR"/>
        </w:rPr>
        <w:t>α</w:t>
      </w:r>
      <w:r w:rsidRPr="001956CB">
        <w:rPr>
          <w:rFonts w:ascii="Arial" w:eastAsia="Times New Roman" w:hAnsi="Arial" w:cs="Times New Roman"/>
          <w:sz w:val="18"/>
          <w:lang w:val="el-GR"/>
        </w:rPr>
        <w:t xml:space="preserve">νανεώσιμες </w:t>
      </w:r>
      <w:r>
        <w:rPr>
          <w:rFonts w:ascii="Arial" w:eastAsia="Times New Roman" w:hAnsi="Arial" w:cs="Times New Roman"/>
          <w:sz w:val="18"/>
          <w:lang w:val="el-GR"/>
        </w:rPr>
        <w:t>π</w:t>
      </w:r>
      <w:r w:rsidRPr="001956CB">
        <w:rPr>
          <w:rFonts w:ascii="Arial" w:eastAsia="Times New Roman" w:hAnsi="Arial" w:cs="Times New Roman"/>
          <w:sz w:val="18"/>
          <w:lang w:val="el-GR"/>
        </w:rPr>
        <w:t xml:space="preserve">ηγές </w:t>
      </w:r>
      <w:r>
        <w:rPr>
          <w:rFonts w:ascii="Arial" w:eastAsia="Times New Roman" w:hAnsi="Arial" w:cs="Times New Roman"/>
          <w:sz w:val="18"/>
          <w:lang w:val="el-GR"/>
        </w:rPr>
        <w:t>ε</w:t>
      </w:r>
      <w:r w:rsidRPr="001956CB">
        <w:rPr>
          <w:rFonts w:ascii="Arial" w:eastAsia="Times New Roman" w:hAnsi="Arial" w:cs="Times New Roman"/>
          <w:sz w:val="18"/>
          <w:lang w:val="el-GR"/>
        </w:rPr>
        <w:t>νέργειας.</w:t>
      </w:r>
    </w:p>
    <w:p w14:paraId="76C4FE9E" w14:textId="77777777" w:rsidR="007C6BB9" w:rsidRPr="00D41B36" w:rsidRDefault="007C6BB9" w:rsidP="007C6BB9">
      <w:pPr>
        <w:spacing w:after="0" w:line="240" w:lineRule="auto"/>
        <w:jc w:val="both"/>
        <w:rPr>
          <w:rFonts w:ascii="Arial" w:eastAsia="Times New Roman" w:hAnsi="Arial" w:cs="Times New Roman"/>
          <w:sz w:val="18"/>
          <w:highlight w:val="yellow"/>
          <w:lang w:val="el-GR"/>
        </w:rPr>
      </w:pPr>
    </w:p>
    <w:p w14:paraId="41DDCDA8" w14:textId="77777777" w:rsidR="00DB7ABA" w:rsidRPr="008E28AB" w:rsidRDefault="00DB7ABA" w:rsidP="00DB7ABA">
      <w:pPr>
        <w:spacing w:after="0" w:line="240" w:lineRule="auto"/>
        <w:jc w:val="both"/>
        <w:rPr>
          <w:rFonts w:ascii="Arial" w:eastAsia="Times New Roman" w:hAnsi="Arial" w:cs="Times New Roman"/>
          <w:sz w:val="18"/>
          <w:lang w:val="el-GR"/>
        </w:rPr>
      </w:pPr>
      <w:r w:rsidRPr="008E28AB">
        <w:rPr>
          <w:rFonts w:ascii="Arial" w:eastAsia="Times New Roman" w:hAnsi="Arial" w:cs="Times New Roman"/>
          <w:sz w:val="18"/>
          <w:lang w:val="el-GR"/>
        </w:rPr>
        <w:t xml:space="preserve">Η στρατηγική ΠΚΔ που καταρτίστηκε το 2021 αναπτύσσεται συνεχώς. Το Συγκρότημα διατηρεί τον ηγετικό του ρόλο στους πυλώνες της </w:t>
      </w:r>
      <w:r w:rsidRPr="008E28AB">
        <w:rPr>
          <w:rFonts w:ascii="Arial" w:eastAsia="Arial" w:hAnsi="Arial" w:cs="Arial"/>
          <w:sz w:val="18"/>
          <w:szCs w:val="18"/>
          <w:lang w:val="el-GR"/>
        </w:rPr>
        <w:t>Κοινωνικής</w:t>
      </w:r>
      <w:r w:rsidRPr="008E28AB">
        <w:rPr>
          <w:rFonts w:ascii="Arial" w:eastAsia="Times New Roman" w:hAnsi="Arial" w:cs="Times New Roman"/>
          <w:sz w:val="18"/>
          <w:lang w:val="el-GR"/>
        </w:rPr>
        <w:t xml:space="preserve"> προσφοράς και Διακυβέρνησης και εστιάζει στην ενίσχυση της θετικής επίδρασής του στο Περιβάλλον, επαναπροσδιορίζοντας όχι μόνο τον δικό του τρόπο λειτουργίας αλλά και τον τρόπο λειτουργίας των πελατών του.</w:t>
      </w:r>
    </w:p>
    <w:p w14:paraId="1A845636" w14:textId="77777777" w:rsidR="007C6BB9" w:rsidRPr="00D41B36" w:rsidRDefault="007C6BB9" w:rsidP="007C6BB9">
      <w:pPr>
        <w:spacing w:after="0" w:line="240" w:lineRule="auto"/>
        <w:jc w:val="both"/>
        <w:rPr>
          <w:rFonts w:ascii="Arial" w:eastAsia="Times New Roman" w:hAnsi="Arial" w:cs="Times New Roman"/>
          <w:sz w:val="18"/>
          <w:highlight w:val="yellow"/>
          <w:lang w:val="el-GR"/>
        </w:rPr>
      </w:pPr>
    </w:p>
    <w:p w14:paraId="2AA81696" w14:textId="77777777" w:rsidR="00DB7ABA" w:rsidRPr="008E28AB" w:rsidRDefault="00DB7ABA" w:rsidP="00DB7ABA">
      <w:pPr>
        <w:spacing w:after="0" w:line="240" w:lineRule="auto"/>
        <w:jc w:val="both"/>
        <w:rPr>
          <w:rFonts w:ascii="Arial" w:eastAsia="Times New Roman" w:hAnsi="Arial" w:cs="Times New Roman"/>
          <w:sz w:val="18"/>
          <w:lang w:val="el-GR"/>
        </w:rPr>
      </w:pPr>
      <w:r w:rsidRPr="008E28AB">
        <w:rPr>
          <w:rFonts w:ascii="Arial" w:eastAsia="Times New Roman" w:hAnsi="Arial" w:cs="Times New Roman"/>
          <w:sz w:val="18"/>
          <w:lang w:val="el-GR"/>
        </w:rPr>
        <w:t>Το Συγκρότημα έχει δεσμευτεί στους πιο κάτω πρωταρχικούς ΠΚΔ στόχους, που καταδεικνύουν τον κομβικό ρόλο των ΠΚΔ θεμάτων στη στρατηγική του Συγκροτήματος:</w:t>
      </w:r>
    </w:p>
    <w:p w14:paraId="38452275" w14:textId="77777777" w:rsidR="007C6BB9" w:rsidRPr="00D41B36" w:rsidRDefault="007C6BB9" w:rsidP="007C6BB9">
      <w:pPr>
        <w:spacing w:after="0" w:line="240" w:lineRule="auto"/>
        <w:jc w:val="both"/>
        <w:rPr>
          <w:rFonts w:ascii="Arial" w:eastAsia="Times New Roman" w:hAnsi="Arial" w:cs="Times New Roman"/>
          <w:sz w:val="18"/>
          <w:highlight w:val="yellow"/>
          <w:lang w:val="el-GR"/>
        </w:rPr>
      </w:pPr>
    </w:p>
    <w:p w14:paraId="2B3E6EF3" w14:textId="77777777" w:rsidR="00DB7ABA" w:rsidRPr="008E28AB" w:rsidRDefault="00DB7ABA" w:rsidP="00DB7ABA">
      <w:pPr>
        <w:numPr>
          <w:ilvl w:val="0"/>
          <w:numId w:val="11"/>
        </w:numPr>
        <w:spacing w:after="0" w:line="240" w:lineRule="auto"/>
        <w:jc w:val="both"/>
        <w:rPr>
          <w:rFonts w:ascii="Arial" w:eastAsia="Times New Roman" w:hAnsi="Arial" w:cs="Times New Roman"/>
          <w:color w:val="000000"/>
          <w:sz w:val="18"/>
          <w:szCs w:val="24"/>
          <w:lang w:val="el-GR"/>
        </w:rPr>
      </w:pPr>
      <w:r w:rsidRPr="008E28AB">
        <w:rPr>
          <w:rFonts w:ascii="Arial" w:eastAsia="Times New Roman" w:hAnsi="Arial" w:cs="Times New Roman"/>
          <w:color w:val="000000"/>
          <w:sz w:val="18"/>
          <w:szCs w:val="24"/>
          <w:lang w:val="el-GR"/>
        </w:rPr>
        <w:t>Επίτευξη Κλιματικής Ουδετερότητας</w:t>
      </w:r>
      <w:r w:rsidRPr="008E28AB">
        <w:rPr>
          <w:rFonts w:ascii="Times New Roman" w:eastAsia="Times New Roman" w:hAnsi="Times New Roman" w:cs="Times New Roman"/>
          <w:color w:val="000000"/>
          <w:sz w:val="24"/>
          <w:szCs w:val="24"/>
          <w:lang w:val="el-GR"/>
        </w:rPr>
        <w:t xml:space="preserve"> </w:t>
      </w:r>
      <w:r w:rsidRPr="008E28AB">
        <w:rPr>
          <w:rFonts w:ascii="Arial" w:eastAsia="Times New Roman" w:hAnsi="Arial" w:cs="Times New Roman"/>
          <w:color w:val="000000"/>
          <w:sz w:val="18"/>
          <w:szCs w:val="24"/>
          <w:lang w:val="el-GR"/>
        </w:rPr>
        <w:t>(</w:t>
      </w:r>
      <w:r w:rsidRPr="008E28AB">
        <w:rPr>
          <w:rFonts w:ascii="Arial" w:eastAsia="Times New Roman" w:hAnsi="Arial" w:cs="Times New Roman"/>
          <w:color w:val="000000"/>
          <w:sz w:val="18"/>
          <w:szCs w:val="24"/>
        </w:rPr>
        <w:t>Carbon</w:t>
      </w:r>
      <w:r w:rsidRPr="008E28AB">
        <w:rPr>
          <w:rFonts w:ascii="Arial" w:eastAsia="Times New Roman" w:hAnsi="Arial" w:cs="Times New Roman"/>
          <w:color w:val="000000"/>
          <w:sz w:val="18"/>
          <w:szCs w:val="24"/>
          <w:lang w:val="el-GR"/>
        </w:rPr>
        <w:t xml:space="preserve"> </w:t>
      </w:r>
      <w:r w:rsidRPr="008E28AB">
        <w:rPr>
          <w:rFonts w:ascii="Arial" w:eastAsia="Times New Roman" w:hAnsi="Arial" w:cs="Times New Roman"/>
          <w:color w:val="000000"/>
          <w:sz w:val="18"/>
          <w:szCs w:val="24"/>
        </w:rPr>
        <w:t>Neutral</w:t>
      </w:r>
      <w:r w:rsidRPr="008E28AB">
        <w:rPr>
          <w:rFonts w:ascii="Arial" w:eastAsia="Times New Roman" w:hAnsi="Arial" w:cs="Times New Roman"/>
          <w:color w:val="000000"/>
          <w:sz w:val="18"/>
          <w:szCs w:val="24"/>
          <w:lang w:val="el-GR"/>
        </w:rPr>
        <w:t>) μέχρι το 2030</w:t>
      </w:r>
    </w:p>
    <w:p w14:paraId="15332404" w14:textId="77777777" w:rsidR="00DB7ABA" w:rsidRPr="008E28AB" w:rsidRDefault="00DB7ABA" w:rsidP="00DB7ABA">
      <w:pPr>
        <w:numPr>
          <w:ilvl w:val="0"/>
          <w:numId w:val="12"/>
        </w:numPr>
        <w:spacing w:after="0" w:line="240" w:lineRule="auto"/>
        <w:jc w:val="both"/>
        <w:rPr>
          <w:rFonts w:ascii="Arial" w:eastAsia="Times New Roman" w:hAnsi="Arial" w:cs="Times New Roman"/>
          <w:color w:val="000000"/>
          <w:sz w:val="18"/>
          <w:szCs w:val="24"/>
          <w:lang w:val="el-GR"/>
        </w:rPr>
      </w:pPr>
      <w:r w:rsidRPr="008E28AB">
        <w:rPr>
          <w:rFonts w:ascii="Arial" w:eastAsia="Times New Roman" w:hAnsi="Arial" w:cs="Times New Roman"/>
          <w:color w:val="000000"/>
          <w:sz w:val="18"/>
          <w:szCs w:val="24"/>
          <w:lang w:val="el-GR"/>
        </w:rPr>
        <w:t xml:space="preserve">Επίτευξη </w:t>
      </w:r>
      <w:proofErr w:type="spellStart"/>
      <w:r w:rsidRPr="008E28AB">
        <w:rPr>
          <w:rFonts w:ascii="Arial" w:eastAsia="Times New Roman" w:hAnsi="Arial" w:cs="Times New Roman"/>
          <w:color w:val="000000"/>
          <w:sz w:val="18"/>
          <w:szCs w:val="24"/>
          <w:lang w:val="el-GR"/>
        </w:rPr>
        <w:t>Kαθαρού</w:t>
      </w:r>
      <w:proofErr w:type="spellEnd"/>
      <w:r w:rsidRPr="008E28AB">
        <w:rPr>
          <w:rFonts w:ascii="Arial" w:eastAsia="Times New Roman" w:hAnsi="Arial" w:cs="Times New Roman"/>
          <w:color w:val="000000"/>
          <w:sz w:val="18"/>
          <w:szCs w:val="24"/>
          <w:lang w:val="el-GR"/>
        </w:rPr>
        <w:t xml:space="preserve"> </w:t>
      </w:r>
      <w:proofErr w:type="spellStart"/>
      <w:r w:rsidRPr="008E28AB">
        <w:rPr>
          <w:rFonts w:ascii="Arial" w:eastAsia="Times New Roman" w:hAnsi="Arial" w:cs="Times New Roman"/>
          <w:color w:val="000000"/>
          <w:sz w:val="18"/>
          <w:szCs w:val="24"/>
          <w:lang w:val="el-GR"/>
        </w:rPr>
        <w:t>Mηδενικού</w:t>
      </w:r>
      <w:proofErr w:type="spellEnd"/>
      <w:r w:rsidRPr="008E28AB">
        <w:rPr>
          <w:rFonts w:ascii="Arial" w:eastAsia="Times New Roman" w:hAnsi="Arial" w:cs="Times New Roman"/>
          <w:color w:val="000000"/>
          <w:sz w:val="18"/>
          <w:szCs w:val="24"/>
          <w:lang w:val="el-GR"/>
        </w:rPr>
        <w:t xml:space="preserve"> </w:t>
      </w:r>
      <w:proofErr w:type="spellStart"/>
      <w:r w:rsidRPr="008E28AB">
        <w:rPr>
          <w:rFonts w:ascii="Arial" w:eastAsia="Times New Roman" w:hAnsi="Arial" w:cs="Times New Roman"/>
          <w:color w:val="000000"/>
          <w:sz w:val="18"/>
          <w:szCs w:val="24"/>
          <w:lang w:val="el-GR"/>
        </w:rPr>
        <w:t>Iσοζυγίου</w:t>
      </w:r>
      <w:proofErr w:type="spellEnd"/>
      <w:r w:rsidRPr="008E28AB">
        <w:rPr>
          <w:rFonts w:ascii="Arial" w:eastAsia="Times New Roman" w:hAnsi="Arial" w:cs="Times New Roman"/>
          <w:color w:val="000000"/>
          <w:sz w:val="18"/>
          <w:szCs w:val="24"/>
          <w:lang w:val="el-GR"/>
        </w:rPr>
        <w:t xml:space="preserve"> (</w:t>
      </w:r>
      <w:r w:rsidRPr="008E28AB">
        <w:rPr>
          <w:rFonts w:ascii="Arial" w:eastAsia="Times New Roman" w:hAnsi="Arial" w:cs="Times New Roman"/>
          <w:color w:val="000000"/>
          <w:sz w:val="18"/>
          <w:szCs w:val="24"/>
        </w:rPr>
        <w:t>Net</w:t>
      </w:r>
      <w:r w:rsidRPr="008E28AB">
        <w:rPr>
          <w:rFonts w:ascii="Arial" w:eastAsia="Times New Roman" w:hAnsi="Arial" w:cs="Times New Roman"/>
          <w:color w:val="000000"/>
          <w:sz w:val="18"/>
          <w:szCs w:val="24"/>
          <w:lang w:val="el-GR"/>
        </w:rPr>
        <w:t xml:space="preserve"> </w:t>
      </w:r>
      <w:r w:rsidRPr="008E28AB">
        <w:rPr>
          <w:rFonts w:ascii="Arial" w:eastAsia="Times New Roman" w:hAnsi="Arial" w:cs="Times New Roman"/>
          <w:color w:val="000000"/>
          <w:sz w:val="18"/>
          <w:szCs w:val="24"/>
        </w:rPr>
        <w:t>Zero</w:t>
      </w:r>
      <w:r w:rsidRPr="008E28AB">
        <w:rPr>
          <w:rFonts w:ascii="Arial" w:eastAsia="Times New Roman" w:hAnsi="Arial" w:cs="Times New Roman"/>
          <w:color w:val="000000"/>
          <w:sz w:val="18"/>
          <w:szCs w:val="24"/>
          <w:lang w:val="el-GR"/>
        </w:rPr>
        <w:t>) μέχρι το 2050</w:t>
      </w:r>
    </w:p>
    <w:p w14:paraId="65F968B8" w14:textId="77777777" w:rsidR="00DB7ABA" w:rsidRPr="008E28AB" w:rsidRDefault="00DB7ABA" w:rsidP="00DB7ABA">
      <w:pPr>
        <w:numPr>
          <w:ilvl w:val="0"/>
          <w:numId w:val="11"/>
        </w:numPr>
        <w:spacing w:after="0" w:line="240" w:lineRule="auto"/>
        <w:jc w:val="both"/>
        <w:rPr>
          <w:rFonts w:ascii="Arial" w:eastAsia="Times New Roman" w:hAnsi="Arial" w:cs="Times New Roman"/>
          <w:color w:val="000000"/>
          <w:sz w:val="18"/>
          <w:szCs w:val="24"/>
          <w:lang w:val="el-GR"/>
        </w:rPr>
      </w:pPr>
      <w:r w:rsidRPr="008E28AB">
        <w:rPr>
          <w:rFonts w:ascii="Arial" w:eastAsia="Times New Roman" w:hAnsi="Arial" w:cs="Times New Roman"/>
          <w:color w:val="000000"/>
          <w:sz w:val="18"/>
          <w:szCs w:val="24"/>
          <w:lang w:val="el-GR"/>
        </w:rPr>
        <w:t>Σταδιακή αύξηση του Δείκτη Πράσινων στοιχείων ενεργητικού</w:t>
      </w:r>
      <w:r w:rsidRPr="008E28AB">
        <w:rPr>
          <w:rFonts w:ascii="Times New Roman" w:eastAsia="Times New Roman" w:hAnsi="Times New Roman" w:cs="Times New Roman"/>
          <w:color w:val="000000"/>
          <w:sz w:val="24"/>
          <w:szCs w:val="24"/>
          <w:lang w:val="el-GR"/>
        </w:rPr>
        <w:t xml:space="preserve"> </w:t>
      </w:r>
      <w:r w:rsidRPr="008E28AB">
        <w:rPr>
          <w:rFonts w:ascii="Arial" w:eastAsia="Times New Roman" w:hAnsi="Arial" w:cs="Times New Roman"/>
          <w:color w:val="000000"/>
          <w:sz w:val="18"/>
          <w:szCs w:val="24"/>
          <w:lang w:val="el-GR"/>
        </w:rPr>
        <w:t>(</w:t>
      </w:r>
      <w:r w:rsidRPr="008E28AB">
        <w:rPr>
          <w:rFonts w:ascii="Arial" w:eastAsia="Times New Roman" w:hAnsi="Arial" w:cs="Times New Roman"/>
          <w:color w:val="000000"/>
          <w:sz w:val="18"/>
          <w:szCs w:val="24"/>
        </w:rPr>
        <w:t>Green</w:t>
      </w:r>
      <w:r w:rsidRPr="008E28AB">
        <w:rPr>
          <w:rFonts w:ascii="Arial" w:eastAsia="Times New Roman" w:hAnsi="Arial" w:cs="Times New Roman"/>
          <w:color w:val="000000"/>
          <w:sz w:val="18"/>
          <w:szCs w:val="24"/>
          <w:lang w:val="el-GR"/>
        </w:rPr>
        <w:t xml:space="preserve"> </w:t>
      </w:r>
      <w:r w:rsidRPr="008E28AB">
        <w:rPr>
          <w:rFonts w:ascii="Arial" w:eastAsia="Times New Roman" w:hAnsi="Arial" w:cs="Times New Roman"/>
          <w:color w:val="000000"/>
          <w:sz w:val="18"/>
          <w:szCs w:val="24"/>
        </w:rPr>
        <w:t>Asset</w:t>
      </w:r>
      <w:r w:rsidRPr="008E28AB">
        <w:rPr>
          <w:rFonts w:ascii="Arial" w:eastAsia="Times New Roman" w:hAnsi="Arial" w:cs="Times New Roman"/>
          <w:color w:val="000000"/>
          <w:sz w:val="18"/>
          <w:szCs w:val="24"/>
          <w:lang w:val="el-GR"/>
        </w:rPr>
        <w:t xml:space="preserve"> </w:t>
      </w:r>
      <w:r w:rsidRPr="008E28AB">
        <w:rPr>
          <w:rFonts w:ascii="Arial" w:eastAsia="Times New Roman" w:hAnsi="Arial" w:cs="Times New Roman"/>
          <w:color w:val="000000"/>
          <w:sz w:val="18"/>
          <w:szCs w:val="24"/>
        </w:rPr>
        <w:t>Ratio</w:t>
      </w:r>
      <w:r w:rsidRPr="008E28AB">
        <w:rPr>
          <w:rFonts w:ascii="Arial" w:eastAsia="Times New Roman" w:hAnsi="Arial" w:cs="Times New Roman"/>
          <w:color w:val="000000"/>
          <w:sz w:val="18"/>
          <w:szCs w:val="24"/>
          <w:lang w:val="el-GR"/>
        </w:rPr>
        <w:t>)</w:t>
      </w:r>
    </w:p>
    <w:p w14:paraId="2C334EAF" w14:textId="77777777" w:rsidR="00DB7ABA" w:rsidRPr="00597F8C" w:rsidRDefault="00DB7ABA" w:rsidP="00DB7ABA">
      <w:pPr>
        <w:numPr>
          <w:ilvl w:val="0"/>
          <w:numId w:val="11"/>
        </w:numPr>
        <w:spacing w:after="0" w:line="240" w:lineRule="auto"/>
        <w:jc w:val="both"/>
        <w:rPr>
          <w:rFonts w:ascii="Arial" w:eastAsia="Times New Roman" w:hAnsi="Arial" w:cs="Times New Roman"/>
          <w:color w:val="000000"/>
          <w:sz w:val="18"/>
          <w:szCs w:val="24"/>
          <w:lang w:val="el-GR"/>
        </w:rPr>
      </w:pPr>
      <w:r w:rsidRPr="008E28AB">
        <w:rPr>
          <w:rFonts w:ascii="Arial" w:eastAsia="Times New Roman" w:hAnsi="Arial" w:cs="Times New Roman"/>
          <w:color w:val="000000"/>
          <w:sz w:val="18"/>
          <w:szCs w:val="24"/>
          <w:lang w:val="el-GR"/>
        </w:rPr>
        <w:t>Σταδιακή αύξηση του Δείκτη Πράσινων ενυπόθηκων δανείων (</w:t>
      </w:r>
      <w:proofErr w:type="spellStart"/>
      <w:r w:rsidRPr="008E28AB">
        <w:rPr>
          <w:rFonts w:ascii="Arial" w:eastAsia="Times New Roman" w:hAnsi="Arial" w:cs="Times New Roman"/>
          <w:color w:val="000000"/>
          <w:sz w:val="18"/>
          <w:szCs w:val="24"/>
          <w:lang w:val="el-GR"/>
        </w:rPr>
        <w:t>Green</w:t>
      </w:r>
      <w:proofErr w:type="spellEnd"/>
      <w:r w:rsidRPr="008E28AB">
        <w:rPr>
          <w:rFonts w:ascii="Arial" w:eastAsia="Times New Roman" w:hAnsi="Arial" w:cs="Times New Roman"/>
          <w:color w:val="000000"/>
          <w:sz w:val="18"/>
          <w:szCs w:val="24"/>
          <w:lang w:val="el-GR"/>
        </w:rPr>
        <w:t xml:space="preserve"> </w:t>
      </w:r>
      <w:proofErr w:type="spellStart"/>
      <w:r w:rsidRPr="008E28AB">
        <w:rPr>
          <w:rFonts w:ascii="Arial" w:eastAsia="Times New Roman" w:hAnsi="Arial" w:cs="Times New Roman"/>
          <w:color w:val="000000"/>
          <w:sz w:val="18"/>
          <w:szCs w:val="24"/>
          <w:lang w:val="el-GR"/>
        </w:rPr>
        <w:t>Mortgage</w:t>
      </w:r>
      <w:proofErr w:type="spellEnd"/>
      <w:r w:rsidRPr="008E28AB">
        <w:rPr>
          <w:rFonts w:ascii="Arial" w:eastAsia="Times New Roman" w:hAnsi="Arial" w:cs="Times New Roman"/>
          <w:color w:val="000000"/>
          <w:sz w:val="18"/>
          <w:szCs w:val="24"/>
          <w:lang w:val="el-GR"/>
        </w:rPr>
        <w:t xml:space="preserve"> </w:t>
      </w:r>
      <w:proofErr w:type="spellStart"/>
      <w:r w:rsidRPr="008E28AB">
        <w:rPr>
          <w:rFonts w:ascii="Arial" w:eastAsia="Times New Roman" w:hAnsi="Arial" w:cs="Times New Roman"/>
          <w:color w:val="000000"/>
          <w:sz w:val="18"/>
          <w:szCs w:val="24"/>
          <w:lang w:val="el-GR"/>
        </w:rPr>
        <w:t>Ratio</w:t>
      </w:r>
      <w:proofErr w:type="spellEnd"/>
      <w:r w:rsidRPr="008E28AB">
        <w:rPr>
          <w:rFonts w:ascii="Arial" w:eastAsia="Times New Roman" w:hAnsi="Arial" w:cs="Times New Roman"/>
          <w:color w:val="000000"/>
          <w:sz w:val="18"/>
          <w:szCs w:val="24"/>
          <w:lang w:val="el-GR"/>
        </w:rPr>
        <w:t>)</w:t>
      </w:r>
    </w:p>
    <w:p w14:paraId="475E625F" w14:textId="08AD5D52" w:rsidR="00DB7ABA" w:rsidRPr="008E28AB" w:rsidRDefault="00DB7ABA" w:rsidP="00DB7ABA">
      <w:pPr>
        <w:numPr>
          <w:ilvl w:val="0"/>
          <w:numId w:val="11"/>
        </w:numPr>
        <w:spacing w:after="0" w:line="240" w:lineRule="auto"/>
        <w:jc w:val="both"/>
        <w:rPr>
          <w:rFonts w:ascii="Arial" w:eastAsia="Times New Roman" w:hAnsi="Arial" w:cs="Times New Roman"/>
          <w:color w:val="000000"/>
          <w:sz w:val="18"/>
          <w:szCs w:val="24"/>
          <w:lang w:val="el-GR"/>
        </w:rPr>
      </w:pPr>
      <w:r>
        <w:rPr>
          <w:rFonts w:ascii="Arial" w:eastAsia="Times New Roman" w:hAnsi="Arial" w:cs="Times New Roman"/>
          <w:color w:val="000000"/>
          <w:sz w:val="18"/>
          <w:szCs w:val="24"/>
          <w:lang w:val="el-GR"/>
        </w:rPr>
        <w:t>Η</w:t>
      </w:r>
      <w:r w:rsidRPr="00597F8C">
        <w:rPr>
          <w:rFonts w:ascii="Arial" w:eastAsia="Times New Roman" w:hAnsi="Arial" w:cs="Times New Roman"/>
          <w:color w:val="000000"/>
          <w:sz w:val="18"/>
          <w:szCs w:val="24"/>
          <w:lang w:val="el-GR"/>
        </w:rPr>
        <w:t xml:space="preserve"> </w:t>
      </w:r>
      <w:r w:rsidRPr="00F34CF8">
        <w:rPr>
          <w:rFonts w:ascii="Arial" w:eastAsia="Times New Roman" w:hAnsi="Arial" w:cs="Times New Roman"/>
          <w:color w:val="000000"/>
          <w:sz w:val="18"/>
          <w:szCs w:val="24"/>
          <w:lang w:val="el-GR"/>
        </w:rPr>
        <w:t>φιλοδοξία να επιτευχθεί τουλάχιστον 30%</w:t>
      </w:r>
      <w:r>
        <w:rPr>
          <w:rFonts w:ascii="Arial" w:eastAsia="Times New Roman" w:hAnsi="Arial" w:cs="Times New Roman"/>
          <w:color w:val="000000"/>
          <w:sz w:val="18"/>
          <w:szCs w:val="24"/>
          <w:lang w:val="el-GR"/>
        </w:rPr>
        <w:t xml:space="preserve"> </w:t>
      </w:r>
      <w:r w:rsidRPr="00F34CF8">
        <w:rPr>
          <w:rFonts w:ascii="Arial" w:eastAsia="Times New Roman" w:hAnsi="Arial" w:cs="Times New Roman"/>
          <w:color w:val="000000"/>
          <w:sz w:val="18"/>
          <w:szCs w:val="24"/>
          <w:lang w:val="el-GR"/>
        </w:rPr>
        <w:t xml:space="preserve">εκπροσώπηση γυναικών στα </w:t>
      </w:r>
      <w:r w:rsidRPr="00F81466">
        <w:rPr>
          <w:rFonts w:ascii="Arial" w:hAnsi="Arial"/>
          <w:sz w:val="18"/>
          <w:lang w:val="el-GR"/>
        </w:rPr>
        <w:t xml:space="preserve">Ανώτερα Διευθυντικά επίπεδα </w:t>
      </w:r>
      <w:r w:rsidRPr="00F34CF8">
        <w:rPr>
          <w:rFonts w:ascii="Arial" w:eastAsia="Times New Roman" w:hAnsi="Arial" w:cs="Times New Roman"/>
          <w:color w:val="000000"/>
          <w:sz w:val="18"/>
          <w:szCs w:val="24"/>
          <w:lang w:val="el-GR"/>
        </w:rPr>
        <w:t xml:space="preserve">του </w:t>
      </w:r>
      <w:r w:rsidR="004E174A">
        <w:rPr>
          <w:rFonts w:ascii="Arial" w:eastAsia="Times New Roman" w:hAnsi="Arial" w:cs="Times New Roman"/>
          <w:color w:val="000000"/>
          <w:sz w:val="18"/>
          <w:szCs w:val="24"/>
          <w:lang w:val="el-GR"/>
        </w:rPr>
        <w:t xml:space="preserve">Συγκροτήματος </w:t>
      </w:r>
      <w:r w:rsidRPr="00F34CF8">
        <w:rPr>
          <w:rFonts w:ascii="Arial" w:eastAsia="Times New Roman" w:hAnsi="Arial" w:cs="Times New Roman"/>
          <w:color w:val="000000"/>
          <w:sz w:val="18"/>
          <w:szCs w:val="24"/>
          <w:lang w:val="el-GR"/>
        </w:rPr>
        <w:t xml:space="preserve">(οριζόμενα ως η Εκτελεστική Επιτροπή (EXCO) και  Διευρυμένη </w:t>
      </w:r>
      <w:r w:rsidRPr="00F81466">
        <w:rPr>
          <w:rFonts w:ascii="Arial" w:hAnsi="Arial"/>
          <w:sz w:val="18"/>
          <w:lang w:val="el-GR"/>
        </w:rPr>
        <w:t>Εκτελεστική Επιτροπή</w:t>
      </w:r>
      <w:r w:rsidRPr="00F34CF8">
        <w:rPr>
          <w:rFonts w:ascii="Arial" w:eastAsia="Times New Roman" w:hAnsi="Arial" w:cs="Times New Roman"/>
          <w:color w:val="000000"/>
          <w:sz w:val="18"/>
          <w:szCs w:val="24"/>
          <w:lang w:val="el-GR"/>
        </w:rPr>
        <w:t>) έως το 2030, έχει επιτευχθεί νωρίτερα με 33% εκπροσώπηση γυναικών, στις 31 Δεκεμβρίου 2023 και στις 30 Σεπτεμβρίου 2024</w:t>
      </w:r>
      <w:r w:rsidRPr="00597F8C">
        <w:rPr>
          <w:rFonts w:ascii="Arial" w:eastAsia="Times New Roman" w:hAnsi="Arial" w:cs="Times New Roman"/>
          <w:color w:val="000000"/>
          <w:sz w:val="18"/>
          <w:szCs w:val="24"/>
          <w:lang w:val="el-GR"/>
        </w:rPr>
        <w:t>.</w:t>
      </w:r>
    </w:p>
    <w:p w14:paraId="6F3AE0AF" w14:textId="77777777" w:rsidR="007C6BB9" w:rsidRPr="00D41B36" w:rsidRDefault="007C6BB9" w:rsidP="007C6BB9">
      <w:pPr>
        <w:spacing w:line="240" w:lineRule="auto"/>
        <w:contextualSpacing/>
        <w:jc w:val="both"/>
        <w:rPr>
          <w:rFonts w:ascii="Arial" w:eastAsia="Times New Roman" w:hAnsi="Arial" w:cs="Times New Roman"/>
          <w:sz w:val="18"/>
          <w:highlight w:val="yellow"/>
          <w:lang w:val="el-GR"/>
        </w:rPr>
      </w:pPr>
    </w:p>
    <w:p w14:paraId="7B64B319" w14:textId="77777777" w:rsidR="00DB7ABA" w:rsidRPr="006A7D43" w:rsidRDefault="00DB7ABA" w:rsidP="00DB7ABA">
      <w:pPr>
        <w:spacing w:line="240" w:lineRule="auto"/>
        <w:contextualSpacing/>
        <w:jc w:val="both"/>
        <w:rPr>
          <w:rFonts w:ascii="Arial" w:eastAsia="Times New Roman" w:hAnsi="Arial" w:cs="Times New Roman"/>
          <w:sz w:val="18"/>
          <w:lang w:val="el-GR"/>
        </w:rPr>
      </w:pPr>
      <w:r w:rsidRPr="006A7D43">
        <w:rPr>
          <w:rFonts w:ascii="Arial" w:eastAsia="Times New Roman" w:hAnsi="Arial" w:cs="Times New Roman"/>
          <w:sz w:val="18"/>
          <w:lang w:val="el-GR"/>
        </w:rPr>
        <w:t>Για να συνεχίσει να επιτυγχάνει τους πρωταρχικούς ΠΚΔ στόχους του και να ανταποκρίνεται στις εξελισσόμενες κανονιστικές απαιτήσεις, το Συγκρότημα έχει ενισχύσει περαιτέρω, μέσα στο 202</w:t>
      </w:r>
      <w:r>
        <w:rPr>
          <w:rFonts w:ascii="Arial" w:eastAsia="Times New Roman" w:hAnsi="Arial" w:cs="Times New Roman"/>
          <w:sz w:val="18"/>
          <w:lang w:val="el-GR"/>
        </w:rPr>
        <w:t>4</w:t>
      </w:r>
      <w:r w:rsidRPr="006A7D43">
        <w:rPr>
          <w:rFonts w:ascii="Arial" w:eastAsia="Times New Roman" w:hAnsi="Arial" w:cs="Times New Roman"/>
          <w:sz w:val="18"/>
          <w:lang w:val="el-GR"/>
        </w:rPr>
        <w:t>, το σχέδιο δράσης ΠΚΔ που είχε καταρτιστεί το 2022. Η πρόοδος στο σχέδιο δράσης ΠΚΔ παρακολουθείται στενά από την Επιτροπή Βιωσιμότητας, την Εκτελεστική Επιτροπή και το Διοικητικό Συμβούλιο σε τριμηνιαία βάση.</w:t>
      </w:r>
    </w:p>
    <w:p w14:paraId="4D82DDDC" w14:textId="77777777" w:rsidR="00CE36EC" w:rsidRPr="00D41B36" w:rsidRDefault="00CE36EC" w:rsidP="00CE36EC">
      <w:pPr>
        <w:spacing w:line="240" w:lineRule="auto"/>
        <w:contextualSpacing/>
        <w:jc w:val="both"/>
        <w:rPr>
          <w:rFonts w:ascii="Arial" w:hAnsi="Arial" w:cs="Arial"/>
          <w:sz w:val="18"/>
          <w:szCs w:val="18"/>
          <w:highlight w:val="yellow"/>
          <w:lang w:val="el-GR"/>
        </w:rPr>
      </w:pPr>
    </w:p>
    <w:p w14:paraId="50070CDD" w14:textId="54C99184" w:rsidR="00F77A51" w:rsidRPr="00DB7ABA" w:rsidRDefault="00DB7ABA" w:rsidP="00F77A51">
      <w:pPr>
        <w:spacing w:after="0" w:line="360" w:lineRule="auto"/>
        <w:rPr>
          <w:rFonts w:ascii="Arial" w:hAnsi="Arial" w:cs="Arial"/>
          <w:b/>
          <w:color w:val="FF9900"/>
          <w:sz w:val="24"/>
          <w:szCs w:val="24"/>
          <w:lang w:val="el-GR"/>
        </w:rPr>
      </w:pPr>
      <w:r>
        <w:rPr>
          <w:rFonts w:ascii="Arial" w:hAnsi="Arial" w:cs="Arial"/>
          <w:b/>
          <w:color w:val="FF9900"/>
          <w:sz w:val="24"/>
          <w:szCs w:val="24"/>
          <w:lang w:val="el-GR"/>
        </w:rPr>
        <w:lastRenderedPageBreak/>
        <w:t>Γ</w:t>
      </w:r>
      <w:r w:rsidR="00F77A51" w:rsidRPr="00DB7ABA">
        <w:rPr>
          <w:rFonts w:ascii="Arial" w:hAnsi="Arial" w:cs="Arial"/>
          <w:b/>
          <w:color w:val="FF9900"/>
          <w:sz w:val="24"/>
          <w:szCs w:val="24"/>
          <w:lang w:val="el-GR"/>
        </w:rPr>
        <w:t>. Επισκόπηση επιχειρηματικής δραστηριότητας (συνέχεια)</w:t>
      </w:r>
    </w:p>
    <w:p w14:paraId="7316E2C8" w14:textId="7DADC890" w:rsidR="00F77A51" w:rsidRPr="00DB7ABA" w:rsidRDefault="00F77A51" w:rsidP="00F77A51">
      <w:pPr>
        <w:tabs>
          <w:tab w:val="left" w:pos="709"/>
        </w:tabs>
        <w:spacing w:after="120" w:line="240" w:lineRule="auto"/>
        <w:ind w:right="57"/>
        <w:rPr>
          <w:rFonts w:ascii="Arial" w:hAnsi="Arial" w:cs="Arial"/>
          <w:b/>
          <w:i/>
          <w:color w:val="FF9900"/>
          <w:sz w:val="20"/>
          <w:lang w:val="el-GR"/>
        </w:rPr>
      </w:pPr>
      <w:r w:rsidRPr="00DB7ABA">
        <w:rPr>
          <w:rFonts w:ascii="Arial" w:hAnsi="Arial" w:cs="Arial"/>
          <w:b/>
          <w:i/>
          <w:color w:val="FF9900"/>
          <w:sz w:val="20"/>
          <w:lang w:val="el-GR"/>
        </w:rPr>
        <w:t>Ενίσχυση οργανωτικής ανθεκτικότητας και πολιτικής για Περιβαλλοντικά, Κοινωνικά και σχετικά µε τη Διακυβέρνηση (ΠΚΔ) θέματα (</w:t>
      </w:r>
      <w:r w:rsidRPr="00DB7ABA">
        <w:rPr>
          <w:rFonts w:ascii="Arial" w:hAnsi="Arial" w:cs="Arial"/>
          <w:b/>
          <w:i/>
          <w:color w:val="FF9900"/>
          <w:sz w:val="20"/>
        </w:rPr>
        <w:t>Environmental</w:t>
      </w:r>
      <w:r w:rsidRPr="00DB7ABA">
        <w:rPr>
          <w:rFonts w:ascii="Arial" w:hAnsi="Arial" w:cs="Arial"/>
          <w:b/>
          <w:i/>
          <w:color w:val="FF9900"/>
          <w:sz w:val="20"/>
          <w:lang w:val="el-GR"/>
        </w:rPr>
        <w:t xml:space="preserve">, </w:t>
      </w:r>
      <w:r w:rsidRPr="00DB7ABA">
        <w:rPr>
          <w:rFonts w:ascii="Arial" w:hAnsi="Arial" w:cs="Arial"/>
          <w:b/>
          <w:i/>
          <w:color w:val="FF9900"/>
          <w:sz w:val="20"/>
        </w:rPr>
        <w:t>Social</w:t>
      </w:r>
      <w:r w:rsidRPr="00DB7ABA">
        <w:rPr>
          <w:rFonts w:ascii="Arial" w:hAnsi="Arial" w:cs="Arial"/>
          <w:b/>
          <w:i/>
          <w:color w:val="FF9900"/>
          <w:sz w:val="20"/>
          <w:lang w:val="el-GR"/>
        </w:rPr>
        <w:t xml:space="preserve"> </w:t>
      </w:r>
      <w:r w:rsidRPr="00DB7ABA">
        <w:rPr>
          <w:rFonts w:ascii="Arial" w:hAnsi="Arial" w:cs="Arial"/>
          <w:b/>
          <w:i/>
          <w:color w:val="FF9900"/>
          <w:sz w:val="20"/>
        </w:rPr>
        <w:t>and</w:t>
      </w:r>
      <w:r w:rsidRPr="00DB7ABA">
        <w:rPr>
          <w:rFonts w:ascii="Arial" w:hAnsi="Arial" w:cs="Arial"/>
          <w:b/>
          <w:i/>
          <w:color w:val="FF9900"/>
          <w:sz w:val="20"/>
          <w:lang w:val="el-GR"/>
        </w:rPr>
        <w:t xml:space="preserve"> </w:t>
      </w:r>
      <w:r w:rsidRPr="00DB7ABA">
        <w:rPr>
          <w:rFonts w:ascii="Arial" w:hAnsi="Arial" w:cs="Arial"/>
          <w:b/>
          <w:i/>
          <w:color w:val="FF9900"/>
          <w:sz w:val="20"/>
        </w:rPr>
        <w:t>Governance</w:t>
      </w:r>
      <w:r w:rsidRPr="00DB7ABA">
        <w:rPr>
          <w:rFonts w:ascii="Arial" w:hAnsi="Arial" w:cs="Arial"/>
          <w:b/>
          <w:i/>
          <w:color w:val="FF9900"/>
          <w:sz w:val="20"/>
          <w:lang w:val="el-GR"/>
        </w:rPr>
        <w:t xml:space="preserve">, </w:t>
      </w:r>
      <w:r w:rsidRPr="00DB7ABA">
        <w:rPr>
          <w:rFonts w:ascii="Arial" w:hAnsi="Arial" w:cs="Arial"/>
          <w:b/>
          <w:i/>
          <w:color w:val="FF9900"/>
          <w:sz w:val="20"/>
        </w:rPr>
        <w:t>ESG</w:t>
      </w:r>
      <w:r w:rsidRPr="00DB7ABA">
        <w:rPr>
          <w:rFonts w:ascii="Arial" w:hAnsi="Arial" w:cs="Arial"/>
          <w:b/>
          <w:i/>
          <w:color w:val="FF9900"/>
          <w:sz w:val="20"/>
          <w:lang w:val="el-GR"/>
        </w:rPr>
        <w:t xml:space="preserve">) </w:t>
      </w:r>
      <w:r w:rsidRPr="00DB7ABA">
        <w:rPr>
          <w:rFonts w:ascii="Arial" w:hAnsi="Arial" w:cs="Arial"/>
          <w:bCs/>
          <w:i/>
          <w:color w:val="FF9900"/>
          <w:sz w:val="20"/>
          <w:lang w:val="el-GR"/>
        </w:rPr>
        <w:t>(συνέχεια)</w:t>
      </w:r>
    </w:p>
    <w:p w14:paraId="4DF8AB81" w14:textId="7371E2CE" w:rsidR="002B45C7" w:rsidRPr="00DB7ABA" w:rsidRDefault="007C6BB9" w:rsidP="00D14D65">
      <w:pPr>
        <w:spacing w:line="240" w:lineRule="auto"/>
        <w:contextualSpacing/>
        <w:jc w:val="both"/>
        <w:rPr>
          <w:rFonts w:ascii="Arial" w:hAnsi="Arial" w:cs="Arial"/>
          <w:i/>
          <w:iCs/>
          <w:sz w:val="18"/>
          <w:szCs w:val="18"/>
          <w:lang w:val="el-GR"/>
        </w:rPr>
      </w:pPr>
      <w:r w:rsidRPr="00DB7ABA">
        <w:rPr>
          <w:rFonts w:ascii="Arial" w:hAnsi="Arial" w:cs="Arial"/>
          <w:i/>
          <w:iCs/>
          <w:sz w:val="18"/>
          <w:szCs w:val="18"/>
          <w:lang w:val="el-GR"/>
        </w:rPr>
        <w:t xml:space="preserve">Περιβάλλον </w:t>
      </w:r>
    </w:p>
    <w:p w14:paraId="3589FB52" w14:textId="77777777" w:rsidR="007C6BB9" w:rsidRPr="00D41B36" w:rsidRDefault="007C6BB9" w:rsidP="00D14D65">
      <w:pPr>
        <w:spacing w:line="240" w:lineRule="auto"/>
        <w:contextualSpacing/>
        <w:jc w:val="both"/>
        <w:rPr>
          <w:rFonts w:ascii="Arial" w:hAnsi="Arial"/>
          <w:sz w:val="18"/>
          <w:highlight w:val="yellow"/>
          <w:lang w:val="el-GR"/>
        </w:rPr>
      </w:pPr>
    </w:p>
    <w:p w14:paraId="77EA8824" w14:textId="77777777" w:rsidR="00DB7ABA" w:rsidRPr="000809FE" w:rsidRDefault="00DB7ABA" w:rsidP="00DB7ABA">
      <w:pPr>
        <w:spacing w:line="240" w:lineRule="auto"/>
        <w:contextualSpacing/>
        <w:jc w:val="both"/>
        <w:rPr>
          <w:rFonts w:ascii="Arial" w:hAnsi="Arial"/>
          <w:sz w:val="18"/>
          <w:lang w:val="el-GR"/>
        </w:rPr>
      </w:pPr>
      <w:r w:rsidRPr="00842178">
        <w:rPr>
          <w:rFonts w:ascii="Arial" w:hAnsi="Arial"/>
          <w:sz w:val="18"/>
          <w:lang w:val="el-GR"/>
        </w:rPr>
        <w:t xml:space="preserve">Το Συγκρότημα έχει υπολογίσει τις δικές </w:t>
      </w:r>
      <w:r w:rsidRPr="00842178">
        <w:rPr>
          <w:rFonts w:ascii="Arial" w:hAnsi="Arial" w:cs="Arial"/>
          <w:sz w:val="18"/>
          <w:lang w:val="el-GR"/>
        </w:rPr>
        <w:t>του εκπομπές αερίων του θερμοκηπίου (ΑΤΘ)</w:t>
      </w:r>
      <w:r w:rsidRPr="00842178">
        <w:rPr>
          <w:rFonts w:ascii="Arial" w:hAnsi="Arial" w:cs="Arial"/>
          <w:sz w:val="18"/>
          <w:szCs w:val="18"/>
          <w:lang w:val="el-GR"/>
        </w:rPr>
        <w:t xml:space="preserve"> </w:t>
      </w:r>
      <w:r w:rsidRPr="00842178">
        <w:rPr>
          <w:rFonts w:ascii="Arial" w:hAnsi="Arial"/>
          <w:sz w:val="18"/>
          <w:lang w:val="el-GR"/>
        </w:rPr>
        <w:t>Πεδίο</w:t>
      </w:r>
      <w:r>
        <w:rPr>
          <w:rFonts w:ascii="Arial" w:hAnsi="Arial"/>
          <w:sz w:val="18"/>
          <w:lang w:val="el-GR"/>
        </w:rPr>
        <w:t>υ</w:t>
      </w:r>
      <w:r w:rsidRPr="00842178">
        <w:rPr>
          <w:rFonts w:ascii="Arial" w:hAnsi="Arial"/>
          <w:sz w:val="18"/>
          <w:lang w:val="el-GR"/>
        </w:rPr>
        <w:t xml:space="preserve"> 1 και Πεδίο</w:t>
      </w:r>
      <w:r>
        <w:rPr>
          <w:rFonts w:ascii="Arial" w:hAnsi="Arial"/>
          <w:sz w:val="18"/>
          <w:lang w:val="el-GR"/>
        </w:rPr>
        <w:t>υ</w:t>
      </w:r>
      <w:r w:rsidRPr="00842178">
        <w:rPr>
          <w:rFonts w:ascii="Arial" w:hAnsi="Arial"/>
          <w:sz w:val="18"/>
          <w:lang w:val="el-GR"/>
        </w:rPr>
        <w:t xml:space="preserve"> 2 για το 2021 έτσι ώστε να θέσει το σημείο αναφοράς για τον στόχο της κλιματικής ουδετερότητας. Ως ο κύριος συντελεστής στη δημιουργία εκπομπών ΑΤΘ του Συγκροτήματος, η Τράπεζα έχει καταρτίσει</w:t>
      </w:r>
      <w:r>
        <w:rPr>
          <w:rFonts w:ascii="Arial" w:hAnsi="Arial"/>
          <w:sz w:val="18"/>
          <w:lang w:val="el-GR"/>
        </w:rPr>
        <w:t>,</w:t>
      </w:r>
      <w:r w:rsidRPr="00842178">
        <w:rPr>
          <w:rFonts w:ascii="Arial" w:hAnsi="Arial"/>
          <w:sz w:val="18"/>
          <w:lang w:val="el-GR"/>
        </w:rPr>
        <w:t xml:space="preserve"> το 2022</w:t>
      </w:r>
      <w:r>
        <w:rPr>
          <w:rFonts w:ascii="Arial" w:hAnsi="Arial"/>
          <w:sz w:val="18"/>
          <w:lang w:val="el-GR"/>
        </w:rPr>
        <w:t>,</w:t>
      </w:r>
      <w:r w:rsidRPr="00842178">
        <w:rPr>
          <w:rFonts w:ascii="Arial" w:hAnsi="Arial"/>
          <w:sz w:val="18"/>
          <w:lang w:val="el-GR"/>
        </w:rPr>
        <w:t xml:space="preserve"> στρατηγική προκειμένου να επιτύχει τον στόχο της κλιματικής ουδετερότητας μέχρι το 2030 και </w:t>
      </w:r>
      <w:r w:rsidRPr="006D2D3F">
        <w:rPr>
          <w:rFonts w:ascii="Arial" w:hAnsi="Arial"/>
          <w:sz w:val="18"/>
          <w:lang w:val="el-GR"/>
        </w:rPr>
        <w:t xml:space="preserve">πρόοδο στον στόχο του </w:t>
      </w:r>
      <w:proofErr w:type="spellStart"/>
      <w:r w:rsidRPr="006D2D3F">
        <w:rPr>
          <w:rFonts w:ascii="Arial" w:hAnsi="Arial"/>
          <w:sz w:val="18"/>
          <w:lang w:val="el-GR"/>
        </w:rPr>
        <w:t>Kαθαρού</w:t>
      </w:r>
      <w:proofErr w:type="spellEnd"/>
      <w:r w:rsidRPr="006D2D3F">
        <w:rPr>
          <w:rFonts w:ascii="Arial" w:hAnsi="Arial"/>
          <w:sz w:val="18"/>
          <w:lang w:val="el-GR"/>
        </w:rPr>
        <w:t xml:space="preserve"> </w:t>
      </w:r>
      <w:proofErr w:type="spellStart"/>
      <w:r w:rsidRPr="006D2D3F">
        <w:rPr>
          <w:rFonts w:ascii="Arial" w:hAnsi="Arial"/>
          <w:sz w:val="18"/>
          <w:lang w:val="el-GR"/>
        </w:rPr>
        <w:t>Mηδενικού</w:t>
      </w:r>
      <w:proofErr w:type="spellEnd"/>
      <w:r w:rsidRPr="006D2D3F">
        <w:rPr>
          <w:rFonts w:ascii="Arial" w:hAnsi="Arial"/>
          <w:sz w:val="18"/>
          <w:lang w:val="el-GR"/>
        </w:rPr>
        <w:t xml:space="preserve"> </w:t>
      </w:r>
      <w:proofErr w:type="spellStart"/>
      <w:r w:rsidRPr="006D2D3F">
        <w:rPr>
          <w:rFonts w:ascii="Arial" w:hAnsi="Arial"/>
          <w:sz w:val="18"/>
          <w:lang w:val="el-GR"/>
        </w:rPr>
        <w:t>Iσοζυγίου</w:t>
      </w:r>
      <w:proofErr w:type="spellEnd"/>
      <w:r w:rsidRPr="006D2D3F">
        <w:rPr>
          <w:rFonts w:ascii="Arial" w:hAnsi="Arial"/>
          <w:sz w:val="18"/>
          <w:lang w:val="el-GR"/>
        </w:rPr>
        <w:t xml:space="preserve"> ως το 2050. Προκειμένου το Συγκρότημα να επιτύχει τον στόχο της κλιματικής ουδετερότητας μέχρι το 2030, πρέπει οι </w:t>
      </w:r>
      <w:r w:rsidRPr="006D2D3F">
        <w:rPr>
          <w:rFonts w:ascii="Arial" w:hAnsi="Arial" w:cs="Arial"/>
          <w:sz w:val="18"/>
          <w:lang w:val="el-GR"/>
        </w:rPr>
        <w:t xml:space="preserve">εκπομπές ΑΤΘ </w:t>
      </w:r>
      <w:r w:rsidRPr="006D2D3F">
        <w:rPr>
          <w:rFonts w:ascii="Arial" w:hAnsi="Arial"/>
          <w:sz w:val="18"/>
          <w:lang w:val="el-GR"/>
        </w:rPr>
        <w:t xml:space="preserve">Πεδίου 1 και Πεδίου 2 να μειωθούν κατά 42% μέχρι το 2030. Η Τράπεζα, μετά από εφαρμογή διαφόρων δράσεων ενεργειακής αναβάθμισης το 2022 και 2023, έχει καταφέρει να μειώσει τις </w:t>
      </w:r>
      <w:r w:rsidRPr="006D2D3F">
        <w:rPr>
          <w:rFonts w:ascii="Arial" w:hAnsi="Arial" w:cs="Arial"/>
          <w:sz w:val="18"/>
          <w:lang w:val="el-GR"/>
        </w:rPr>
        <w:t xml:space="preserve">εκπομπές ΑΤΘ </w:t>
      </w:r>
      <w:r w:rsidRPr="006D2D3F">
        <w:rPr>
          <w:rFonts w:ascii="Arial" w:hAnsi="Arial"/>
          <w:sz w:val="18"/>
          <w:lang w:val="el-GR"/>
        </w:rPr>
        <w:t>Πεδίου 1 και Πεδίου 2 κατά περίπου 18% το 2023 σε σύγκριση με το σημείο αναφοράς του 2021.</w:t>
      </w:r>
    </w:p>
    <w:p w14:paraId="37AB9D40" w14:textId="77777777" w:rsidR="00D022B5" w:rsidRPr="00D41B36" w:rsidRDefault="00D022B5" w:rsidP="007C6BB9">
      <w:pPr>
        <w:spacing w:line="240" w:lineRule="auto"/>
        <w:contextualSpacing/>
        <w:jc w:val="both"/>
        <w:rPr>
          <w:rFonts w:ascii="Arial" w:hAnsi="Arial"/>
          <w:sz w:val="18"/>
          <w:highlight w:val="yellow"/>
          <w:lang w:val="el-GR"/>
        </w:rPr>
      </w:pPr>
    </w:p>
    <w:p w14:paraId="2FF84F6E" w14:textId="1F9DA4E2" w:rsidR="00DB7ABA" w:rsidRPr="00E82E93" w:rsidRDefault="00DB7ABA" w:rsidP="00DB7ABA">
      <w:pPr>
        <w:spacing w:line="240" w:lineRule="auto"/>
        <w:contextualSpacing/>
        <w:jc w:val="both"/>
        <w:rPr>
          <w:rFonts w:ascii="Arial" w:hAnsi="Arial"/>
          <w:sz w:val="18"/>
          <w:lang w:val="el-GR"/>
        </w:rPr>
      </w:pPr>
      <w:r>
        <w:rPr>
          <w:rFonts w:ascii="Arial" w:hAnsi="Arial"/>
          <w:sz w:val="18"/>
          <w:lang w:val="el-GR"/>
        </w:rPr>
        <w:t xml:space="preserve">Το Συγκρότημα επενδύει και </w:t>
      </w:r>
      <w:r w:rsidRPr="006D2D3F">
        <w:rPr>
          <w:rFonts w:ascii="Arial" w:hAnsi="Arial"/>
          <w:sz w:val="18"/>
          <w:lang w:val="el-GR"/>
        </w:rPr>
        <w:t>προτίθεται να επενδύσει σε υποδομές και δράσεις που θα βελτιώσουν την ενεργειακή τ</w:t>
      </w:r>
      <w:r>
        <w:rPr>
          <w:rFonts w:ascii="Arial" w:hAnsi="Arial"/>
          <w:sz w:val="18"/>
          <w:lang w:val="el-GR"/>
        </w:rPr>
        <w:t>ου</w:t>
      </w:r>
      <w:r w:rsidRPr="006D2D3F">
        <w:rPr>
          <w:rFonts w:ascii="Arial" w:hAnsi="Arial"/>
          <w:sz w:val="18"/>
          <w:lang w:val="el-GR"/>
        </w:rPr>
        <w:t xml:space="preserve"> αποδοτικότητα και θα αντικαταστήσει μηχανήματα και αυτοκίνητα που λειτουργούν με ορυκτά καύσιμα μεταξύ του 2024 και 2025, οδηγώντας σε περίπου 3-4% μείωση των εκπομπών ΑΤΘ Πεδίου 1 και Πεδίου 2 μέχρι το 2025 σε σύγκριση με το 2021. Το Συγκρότημα αναμένει ότι οι εκπομπές ΑΤΘ Πεδίου 2 θα μειωθούν περαιτέρω όταν η αγορά ανανεώσιμων </w:t>
      </w:r>
      <w:r w:rsidRPr="00695B10">
        <w:rPr>
          <w:rFonts w:ascii="Arial" w:hAnsi="Arial"/>
          <w:sz w:val="18"/>
          <w:lang w:val="el-GR"/>
        </w:rPr>
        <w:t xml:space="preserve">πηγών ενέργειας αναπτυχθεί περαιτέρω. Η Τράπεζα έχει πετύχει μείωση περίπου </w:t>
      </w:r>
      <w:r>
        <w:rPr>
          <w:rFonts w:ascii="Arial" w:hAnsi="Arial"/>
          <w:sz w:val="18"/>
          <w:lang w:val="el-GR"/>
        </w:rPr>
        <w:t>4</w:t>
      </w:r>
      <w:r w:rsidRPr="00695B10">
        <w:rPr>
          <w:rFonts w:ascii="Arial" w:hAnsi="Arial"/>
          <w:sz w:val="18"/>
          <w:lang w:val="el-GR"/>
        </w:rPr>
        <w:t>% στις εκπομπές ΑΤΘ Πεδίου 1</w:t>
      </w:r>
      <w:r w:rsidRPr="00AA62B1">
        <w:rPr>
          <w:rFonts w:ascii="Arial" w:hAnsi="Arial"/>
          <w:sz w:val="18"/>
          <w:lang w:val="el-GR"/>
        </w:rPr>
        <w:t xml:space="preserve"> – Σταθερές καύσεις</w:t>
      </w:r>
      <w:r>
        <w:rPr>
          <w:rFonts w:ascii="Arial" w:hAnsi="Arial"/>
          <w:sz w:val="18"/>
          <w:lang w:val="el-GR"/>
        </w:rPr>
        <w:t xml:space="preserve"> και περίπου 9% </w:t>
      </w:r>
      <w:r w:rsidRPr="00695B10">
        <w:rPr>
          <w:rFonts w:ascii="Arial" w:hAnsi="Arial"/>
          <w:sz w:val="18"/>
          <w:lang w:val="el-GR"/>
        </w:rPr>
        <w:t xml:space="preserve">στις εκπομπές ΑΤΘ Πεδίου 2, κατά το </w:t>
      </w:r>
      <w:r>
        <w:rPr>
          <w:rFonts w:ascii="Arial" w:hAnsi="Arial"/>
          <w:sz w:val="18"/>
          <w:lang w:val="el-GR"/>
        </w:rPr>
        <w:t>ε</w:t>
      </w:r>
      <w:r w:rsidR="007F219E">
        <w:rPr>
          <w:rFonts w:ascii="Arial" w:hAnsi="Arial"/>
          <w:sz w:val="18"/>
          <w:lang w:val="el-GR"/>
        </w:rPr>
        <w:t xml:space="preserve">ννεάμηνο </w:t>
      </w:r>
      <w:r>
        <w:rPr>
          <w:rFonts w:ascii="Arial" w:hAnsi="Arial"/>
          <w:sz w:val="18"/>
          <w:lang w:val="el-GR"/>
        </w:rPr>
        <w:t xml:space="preserve">που έληξε στις 30 Σεπτεμβρίου </w:t>
      </w:r>
      <w:r w:rsidRPr="00695B10">
        <w:rPr>
          <w:rFonts w:ascii="Arial" w:hAnsi="Arial" w:cs="Arial"/>
          <w:sz w:val="18"/>
          <w:szCs w:val="18"/>
          <w:lang w:val="el-GR"/>
        </w:rPr>
        <w:t>202</w:t>
      </w:r>
      <w:r>
        <w:rPr>
          <w:rFonts w:ascii="Arial" w:hAnsi="Arial" w:cs="Arial"/>
          <w:sz w:val="18"/>
          <w:szCs w:val="18"/>
          <w:lang w:val="el-GR"/>
        </w:rPr>
        <w:t>4</w:t>
      </w:r>
      <w:r w:rsidRPr="00695B10">
        <w:rPr>
          <w:rFonts w:ascii="Arial" w:hAnsi="Arial" w:cs="Arial"/>
          <w:sz w:val="18"/>
          <w:szCs w:val="18"/>
          <w:lang w:val="el-GR"/>
        </w:rPr>
        <w:t xml:space="preserve"> σε σύγκριση με </w:t>
      </w:r>
      <w:r w:rsidRPr="00695B10">
        <w:rPr>
          <w:rFonts w:ascii="Arial" w:hAnsi="Arial"/>
          <w:sz w:val="18"/>
          <w:lang w:val="el-GR"/>
        </w:rPr>
        <w:t xml:space="preserve">το </w:t>
      </w:r>
      <w:r w:rsidR="007F219E">
        <w:rPr>
          <w:rFonts w:ascii="Arial" w:hAnsi="Arial"/>
          <w:sz w:val="18"/>
          <w:lang w:val="el-GR"/>
        </w:rPr>
        <w:t>εννεά</w:t>
      </w:r>
      <w:r>
        <w:rPr>
          <w:rFonts w:ascii="Arial" w:hAnsi="Arial"/>
          <w:sz w:val="18"/>
          <w:lang w:val="el-GR"/>
        </w:rPr>
        <w:t xml:space="preserve">μηνο που έληξε στις 30 Σεπτεμβρίου </w:t>
      </w:r>
      <w:r w:rsidRPr="00695B10">
        <w:rPr>
          <w:rFonts w:ascii="Arial" w:hAnsi="Arial" w:cs="Arial"/>
          <w:sz w:val="18"/>
          <w:szCs w:val="18"/>
          <w:lang w:val="el-GR"/>
        </w:rPr>
        <w:t>202</w:t>
      </w:r>
      <w:r>
        <w:rPr>
          <w:rFonts w:ascii="Arial" w:hAnsi="Arial" w:cs="Arial"/>
          <w:sz w:val="18"/>
          <w:szCs w:val="18"/>
          <w:lang w:val="el-GR"/>
        </w:rPr>
        <w:t>3</w:t>
      </w:r>
      <w:r w:rsidRPr="00695B10">
        <w:rPr>
          <w:rFonts w:ascii="Arial" w:hAnsi="Arial" w:cs="Arial"/>
          <w:sz w:val="18"/>
          <w:szCs w:val="18"/>
          <w:lang w:val="el-GR"/>
        </w:rPr>
        <w:t xml:space="preserve">, </w:t>
      </w:r>
      <w:r w:rsidRPr="00695B10">
        <w:rPr>
          <w:rFonts w:ascii="Arial" w:hAnsi="Arial"/>
          <w:sz w:val="18"/>
          <w:lang w:val="el-GR"/>
        </w:rPr>
        <w:t xml:space="preserve">λόγω σύνδεσης φωτοβολταϊκών </w:t>
      </w:r>
      <w:r w:rsidRPr="00225C27">
        <w:rPr>
          <w:rFonts w:ascii="Arial" w:hAnsi="Arial"/>
          <w:sz w:val="18"/>
          <w:lang w:val="el-GR"/>
        </w:rPr>
        <w:t>συστημάτων με το δίκτυο ενέργειας που πραγματοποιήθηκε το 2023</w:t>
      </w:r>
      <w:r>
        <w:rPr>
          <w:rFonts w:ascii="Arial" w:hAnsi="Arial"/>
          <w:sz w:val="18"/>
          <w:lang w:val="el-GR"/>
        </w:rPr>
        <w:t xml:space="preserve"> και μέχρι τον Σεπτέμβριο του 2024</w:t>
      </w:r>
      <w:r w:rsidRPr="00225C27">
        <w:rPr>
          <w:rFonts w:ascii="Arial" w:hAnsi="Arial"/>
          <w:sz w:val="18"/>
          <w:lang w:val="el-GR"/>
        </w:rPr>
        <w:t xml:space="preserve">, καθώς και λόγω της μείωσης του αριθμού των κτιρίων ως μέρος του πλάνου </w:t>
      </w:r>
      <w:proofErr w:type="spellStart"/>
      <w:r w:rsidRPr="00225C27">
        <w:rPr>
          <w:rFonts w:ascii="Arial" w:hAnsi="Arial"/>
          <w:sz w:val="18"/>
          <w:lang w:val="el-GR"/>
        </w:rPr>
        <w:t>ψηφιοπο</w:t>
      </w:r>
      <w:r>
        <w:rPr>
          <w:rFonts w:ascii="Arial" w:hAnsi="Arial"/>
          <w:sz w:val="18"/>
          <w:lang w:val="el-GR"/>
        </w:rPr>
        <w:t>ίη</w:t>
      </w:r>
      <w:r w:rsidRPr="00225C27">
        <w:rPr>
          <w:rFonts w:ascii="Arial" w:hAnsi="Arial"/>
          <w:sz w:val="18"/>
          <w:lang w:val="el-GR"/>
        </w:rPr>
        <w:t>σης</w:t>
      </w:r>
      <w:proofErr w:type="spellEnd"/>
      <w:r w:rsidRPr="00225C27">
        <w:rPr>
          <w:rFonts w:ascii="Arial" w:hAnsi="Arial"/>
          <w:sz w:val="18"/>
          <w:lang w:val="el-GR"/>
        </w:rPr>
        <w:t xml:space="preserve">. </w:t>
      </w:r>
      <w:r w:rsidRPr="00E82E93">
        <w:rPr>
          <w:rFonts w:ascii="Arial" w:hAnsi="Arial"/>
          <w:sz w:val="18"/>
          <w:lang w:val="el-GR"/>
        </w:rPr>
        <w:t xml:space="preserve">Η Τράπεζα πέτυχε αύξηση ύψους </w:t>
      </w:r>
      <w:r>
        <w:rPr>
          <w:rFonts w:ascii="Arial" w:hAnsi="Arial"/>
          <w:sz w:val="18"/>
          <w:lang w:val="el-GR"/>
        </w:rPr>
        <w:t>43</w:t>
      </w:r>
      <w:r w:rsidRPr="00E82E93">
        <w:rPr>
          <w:rFonts w:ascii="Arial" w:hAnsi="Arial"/>
          <w:sz w:val="18"/>
          <w:lang w:val="el-GR"/>
        </w:rPr>
        <w:t xml:space="preserve">% στην παραγωγή ενέργειας από ανανεώσιμες πηγές, από </w:t>
      </w:r>
      <w:r>
        <w:rPr>
          <w:rFonts w:ascii="Arial" w:hAnsi="Arial"/>
          <w:sz w:val="18"/>
          <w:lang w:val="el-GR"/>
        </w:rPr>
        <w:t>226,200</w:t>
      </w:r>
      <w:r w:rsidRPr="00E82E93">
        <w:rPr>
          <w:rFonts w:ascii="Arial" w:hAnsi="Arial" w:cs="Arial"/>
          <w:sz w:val="18"/>
          <w:szCs w:val="18"/>
          <w:lang w:val="el-GR"/>
        </w:rPr>
        <w:t xml:space="preserve"> </w:t>
      </w:r>
      <w:r w:rsidRPr="00E82E93">
        <w:rPr>
          <w:rFonts w:ascii="Arial" w:hAnsi="Arial"/>
          <w:sz w:val="18"/>
          <w:lang w:val="el-GR"/>
        </w:rPr>
        <w:t xml:space="preserve">κιλοβατώρες σε </w:t>
      </w:r>
      <w:r>
        <w:rPr>
          <w:rFonts w:ascii="Arial" w:hAnsi="Arial"/>
          <w:sz w:val="18"/>
          <w:lang w:val="el-GR"/>
        </w:rPr>
        <w:t>323,267</w:t>
      </w:r>
      <w:r w:rsidRPr="00E82E93">
        <w:rPr>
          <w:rFonts w:ascii="Arial" w:hAnsi="Arial" w:cs="Arial"/>
          <w:sz w:val="18"/>
          <w:szCs w:val="18"/>
          <w:lang w:val="el-GR"/>
        </w:rPr>
        <w:t xml:space="preserve"> </w:t>
      </w:r>
      <w:r w:rsidRPr="00E82E93">
        <w:rPr>
          <w:rFonts w:ascii="Arial" w:hAnsi="Arial"/>
          <w:sz w:val="18"/>
          <w:lang w:val="el-GR"/>
        </w:rPr>
        <w:t xml:space="preserve">κιλοβατώρες, το </w:t>
      </w:r>
      <w:r w:rsidR="007F219E">
        <w:rPr>
          <w:rFonts w:ascii="Arial" w:hAnsi="Arial"/>
          <w:sz w:val="18"/>
          <w:lang w:val="el-GR"/>
        </w:rPr>
        <w:t>εννεάμηνο</w:t>
      </w:r>
      <w:r>
        <w:rPr>
          <w:rFonts w:ascii="Arial" w:hAnsi="Arial"/>
          <w:sz w:val="18"/>
          <w:lang w:val="el-GR"/>
        </w:rPr>
        <w:t xml:space="preserve"> που έληξε στις 30 Σεπτεμβρίου</w:t>
      </w:r>
      <w:r w:rsidDel="009C6771">
        <w:rPr>
          <w:rFonts w:ascii="Arial" w:hAnsi="Arial"/>
          <w:sz w:val="18"/>
          <w:lang w:val="el-GR"/>
        </w:rPr>
        <w:t xml:space="preserve"> </w:t>
      </w:r>
      <w:r w:rsidRPr="00E82E93">
        <w:rPr>
          <w:rFonts w:ascii="Arial" w:hAnsi="Arial"/>
          <w:sz w:val="18"/>
          <w:lang w:val="el-GR"/>
        </w:rPr>
        <w:t>202</w:t>
      </w:r>
      <w:r>
        <w:rPr>
          <w:rFonts w:ascii="Arial" w:hAnsi="Arial"/>
          <w:sz w:val="18"/>
          <w:lang w:val="el-GR"/>
        </w:rPr>
        <w:t>4</w:t>
      </w:r>
      <w:r w:rsidRPr="00E82E93">
        <w:rPr>
          <w:rFonts w:ascii="Arial" w:hAnsi="Arial"/>
          <w:sz w:val="18"/>
          <w:lang w:val="el-GR"/>
        </w:rPr>
        <w:t xml:space="preserve"> σε σύγκριση με το </w:t>
      </w:r>
      <w:r w:rsidR="007F219E">
        <w:rPr>
          <w:rFonts w:ascii="Arial" w:hAnsi="Arial"/>
          <w:sz w:val="18"/>
          <w:lang w:val="el-GR"/>
        </w:rPr>
        <w:t>εννεάμηνο</w:t>
      </w:r>
      <w:r>
        <w:rPr>
          <w:rFonts w:ascii="Arial" w:hAnsi="Arial"/>
          <w:sz w:val="18"/>
          <w:lang w:val="el-GR"/>
        </w:rPr>
        <w:t xml:space="preserve"> που έληξε στις 30 Σεπτεμβρίου </w:t>
      </w:r>
      <w:r w:rsidRPr="00E82E93">
        <w:rPr>
          <w:rFonts w:ascii="Arial" w:hAnsi="Arial"/>
          <w:sz w:val="18"/>
          <w:lang w:val="el-GR"/>
        </w:rPr>
        <w:t>202</w:t>
      </w:r>
      <w:r>
        <w:rPr>
          <w:rFonts w:ascii="Arial" w:hAnsi="Arial"/>
          <w:sz w:val="18"/>
          <w:lang w:val="el-GR"/>
        </w:rPr>
        <w:t>3</w:t>
      </w:r>
      <w:r w:rsidRPr="00E82E93">
        <w:rPr>
          <w:rFonts w:ascii="Arial" w:hAnsi="Arial"/>
          <w:sz w:val="18"/>
          <w:lang w:val="el-GR"/>
        </w:rPr>
        <w:t xml:space="preserve">. </w:t>
      </w:r>
    </w:p>
    <w:p w14:paraId="640BEEA6" w14:textId="77777777" w:rsidR="00DB7ABA" w:rsidRPr="00E82E93" w:rsidRDefault="00DB7ABA" w:rsidP="00DB7ABA">
      <w:pPr>
        <w:spacing w:line="240" w:lineRule="auto"/>
        <w:contextualSpacing/>
        <w:jc w:val="both"/>
        <w:rPr>
          <w:rFonts w:ascii="Arial" w:hAnsi="Arial"/>
          <w:sz w:val="18"/>
          <w:lang w:val="el-GR"/>
        </w:rPr>
      </w:pPr>
    </w:p>
    <w:p w14:paraId="38CF3F48" w14:textId="138F85B1" w:rsidR="00DB7ABA" w:rsidRDefault="00DB7ABA" w:rsidP="00DB7ABA">
      <w:pPr>
        <w:spacing w:line="240" w:lineRule="auto"/>
        <w:contextualSpacing/>
        <w:jc w:val="both"/>
        <w:rPr>
          <w:rFonts w:ascii="Arial" w:hAnsi="Arial"/>
          <w:sz w:val="18"/>
          <w:lang w:val="el-GR"/>
        </w:rPr>
      </w:pPr>
      <w:r w:rsidRPr="00225C27">
        <w:rPr>
          <w:rFonts w:ascii="Arial" w:hAnsi="Arial"/>
          <w:sz w:val="18"/>
          <w:lang w:val="el-GR"/>
        </w:rPr>
        <w:t xml:space="preserve">Το Συγκρότημα </w:t>
      </w:r>
      <w:r w:rsidRPr="00E82E93">
        <w:rPr>
          <w:rFonts w:ascii="Arial" w:hAnsi="Arial"/>
          <w:sz w:val="18"/>
          <w:lang w:val="el-GR"/>
        </w:rPr>
        <w:t>ενσωματώνει σταδιακά τους Κλιματικούς και Περιβαλλοντικούς (</w:t>
      </w:r>
      <w:r w:rsidRPr="00E82E93">
        <w:rPr>
          <w:lang w:val="el-GR"/>
        </w:rPr>
        <w:t xml:space="preserve">Κ&amp;Π) </w:t>
      </w:r>
      <w:r w:rsidRPr="00E82E93">
        <w:rPr>
          <w:rFonts w:ascii="Arial" w:hAnsi="Arial"/>
          <w:sz w:val="18"/>
          <w:lang w:val="el-GR"/>
        </w:rPr>
        <w:t xml:space="preserve">κινδύνους στην επιχειρηματική </w:t>
      </w:r>
      <w:r>
        <w:rPr>
          <w:rFonts w:ascii="Arial" w:hAnsi="Arial"/>
          <w:sz w:val="18"/>
          <w:lang w:val="el-GR"/>
        </w:rPr>
        <w:t>του</w:t>
      </w:r>
      <w:r w:rsidRPr="00E82E93">
        <w:rPr>
          <w:rFonts w:ascii="Arial" w:hAnsi="Arial"/>
          <w:sz w:val="18"/>
          <w:lang w:val="el-GR"/>
        </w:rPr>
        <w:t xml:space="preserve"> στρατηγική. Η Τράπεζα ήταν η πρώτη τράπεζα στην Κύπρο που έχει συμβληθεί με τον οργανισμό </w:t>
      </w:r>
      <w:proofErr w:type="spellStart"/>
      <w:r w:rsidRPr="00E82E93">
        <w:rPr>
          <w:rFonts w:ascii="Arial" w:hAnsi="Arial"/>
          <w:sz w:val="18"/>
          <w:lang w:val="el-GR"/>
        </w:rPr>
        <w:t>Partnership</w:t>
      </w:r>
      <w:proofErr w:type="spellEnd"/>
      <w:r w:rsidRPr="00E82E93">
        <w:rPr>
          <w:rFonts w:ascii="Arial" w:hAnsi="Arial"/>
          <w:sz w:val="18"/>
          <w:lang w:val="el-GR"/>
        </w:rPr>
        <w:t xml:space="preserve"> for </w:t>
      </w:r>
      <w:proofErr w:type="spellStart"/>
      <w:r w:rsidRPr="00E82E93">
        <w:rPr>
          <w:rFonts w:ascii="Arial" w:hAnsi="Arial"/>
          <w:sz w:val="18"/>
          <w:lang w:val="el-GR"/>
        </w:rPr>
        <w:t>Carbon</w:t>
      </w:r>
      <w:proofErr w:type="spellEnd"/>
      <w:r w:rsidRPr="00E82E93">
        <w:rPr>
          <w:rFonts w:ascii="Arial" w:hAnsi="Arial"/>
          <w:sz w:val="18"/>
          <w:lang w:val="el-GR"/>
        </w:rPr>
        <w:t xml:space="preserve"> </w:t>
      </w:r>
      <w:proofErr w:type="spellStart"/>
      <w:r w:rsidRPr="00E82E93">
        <w:rPr>
          <w:rFonts w:ascii="Arial" w:hAnsi="Arial"/>
          <w:sz w:val="18"/>
          <w:lang w:val="el-GR"/>
        </w:rPr>
        <w:t>Accounting</w:t>
      </w:r>
      <w:proofErr w:type="spellEnd"/>
      <w:r w:rsidRPr="00E82E93">
        <w:rPr>
          <w:rFonts w:ascii="Arial" w:hAnsi="Arial"/>
          <w:sz w:val="18"/>
          <w:lang w:val="el-GR"/>
        </w:rPr>
        <w:t xml:space="preserve"> </w:t>
      </w:r>
      <w:proofErr w:type="spellStart"/>
      <w:r w:rsidRPr="00E82E93">
        <w:rPr>
          <w:rFonts w:ascii="Arial" w:hAnsi="Arial"/>
          <w:sz w:val="18"/>
          <w:lang w:val="el-GR"/>
        </w:rPr>
        <w:t>Financials</w:t>
      </w:r>
      <w:proofErr w:type="spellEnd"/>
      <w:r w:rsidRPr="00E82E93">
        <w:rPr>
          <w:rFonts w:ascii="Arial" w:hAnsi="Arial"/>
          <w:sz w:val="18"/>
          <w:lang w:val="el-GR"/>
        </w:rPr>
        <w:t xml:space="preserve"> (PCAF) τον Οκτώβριο του 2022 και έχει εκτιμήσει και γνωστοποιήσει τις Χρηματοδοτούμενες εκπομπές ΑΤΘ Πεδίου 3 που απορρέουν από το δανειακό </w:t>
      </w:r>
      <w:r>
        <w:rPr>
          <w:rFonts w:ascii="Arial" w:hAnsi="Arial"/>
          <w:sz w:val="18"/>
          <w:lang w:val="el-GR"/>
        </w:rPr>
        <w:t xml:space="preserve">και επενδυτικό </w:t>
      </w:r>
      <w:r w:rsidRPr="00E82E93">
        <w:rPr>
          <w:rFonts w:ascii="Arial" w:hAnsi="Arial"/>
          <w:sz w:val="18"/>
          <w:lang w:val="el-GR"/>
        </w:rPr>
        <w:t>της χαρτοφυλάκιο</w:t>
      </w:r>
      <w:r>
        <w:rPr>
          <w:rFonts w:ascii="Arial" w:hAnsi="Arial"/>
          <w:sz w:val="18"/>
          <w:lang w:val="el-GR"/>
        </w:rPr>
        <w:t xml:space="preserve"> καθώς επίσης και τις εκπομπές ΑΤΘ που απορρέουν από τα ασφαλιστήρια συμβόλαια</w:t>
      </w:r>
      <w:r w:rsidRPr="00E82E93">
        <w:rPr>
          <w:rFonts w:ascii="Arial" w:hAnsi="Arial"/>
          <w:sz w:val="18"/>
          <w:lang w:val="el-GR"/>
        </w:rPr>
        <w:t xml:space="preserve">, χρησιμοποιώντας τα πρότυπα, τη μεθοδολογία και τους υποκατάστατους δείκτες του PCAF. Σε συνέχεια της εκτίμησης των </w:t>
      </w:r>
      <w:r>
        <w:rPr>
          <w:rFonts w:ascii="Arial" w:hAnsi="Arial"/>
          <w:sz w:val="18"/>
          <w:lang w:val="el-GR"/>
        </w:rPr>
        <w:t>χ</w:t>
      </w:r>
      <w:r w:rsidRPr="00E82E93">
        <w:rPr>
          <w:rFonts w:ascii="Arial" w:hAnsi="Arial"/>
          <w:sz w:val="18"/>
          <w:lang w:val="el-GR"/>
        </w:rPr>
        <w:t>ρηματοδοτούμενων εκπομπών ΑΤΘ Πεδίου 3 που προκύπτουν από το δανειακό χαρτοφυλάκιο, η Τράπεζα έχει θέσει στόχο απαλλαγής από τον άνθρακα στο χαρτοφυλάκιο</w:t>
      </w:r>
      <w:r>
        <w:rPr>
          <w:rFonts w:ascii="Arial" w:hAnsi="Arial"/>
          <w:sz w:val="18"/>
          <w:lang w:val="el-GR"/>
        </w:rPr>
        <w:t xml:space="preserve"> Στεγαστικών Δανείων</w:t>
      </w:r>
      <w:r w:rsidRPr="00E82E93">
        <w:rPr>
          <w:rFonts w:ascii="Arial" w:hAnsi="Arial"/>
          <w:sz w:val="18"/>
          <w:lang w:val="el-GR"/>
        </w:rPr>
        <w:t xml:space="preserve">. Ο στόχος απαλλαγής από τον άνθρακα στο </w:t>
      </w:r>
      <w:r>
        <w:rPr>
          <w:rFonts w:ascii="Arial" w:hAnsi="Arial"/>
          <w:sz w:val="18"/>
          <w:lang w:val="el-GR"/>
        </w:rPr>
        <w:t>σ</w:t>
      </w:r>
      <w:r w:rsidRPr="00E82E93">
        <w:rPr>
          <w:rFonts w:ascii="Arial" w:hAnsi="Arial"/>
          <w:sz w:val="18"/>
          <w:lang w:val="el-GR"/>
        </w:rPr>
        <w:t xml:space="preserve">τεγαστικό της χαρτοφυλάκιο έχει τεθεί, εφαρμόζοντας </w:t>
      </w:r>
      <w:r w:rsidRPr="004D086A">
        <w:rPr>
          <w:rFonts w:ascii="Arial" w:hAnsi="Arial"/>
          <w:sz w:val="18"/>
          <w:lang w:val="el-GR"/>
        </w:rPr>
        <w:t xml:space="preserve">το σενάριο της Διεθνούς Οργάνωσης Ενέργειας για Κάτω από 2 Βαθμούς Κελσίου (International Energy </w:t>
      </w:r>
      <w:proofErr w:type="spellStart"/>
      <w:r w:rsidRPr="004D086A">
        <w:rPr>
          <w:rFonts w:ascii="Arial" w:hAnsi="Arial"/>
          <w:sz w:val="18"/>
          <w:lang w:val="el-GR"/>
        </w:rPr>
        <w:t>Agency’s</w:t>
      </w:r>
      <w:proofErr w:type="spellEnd"/>
      <w:r w:rsidRPr="004D086A">
        <w:rPr>
          <w:rFonts w:ascii="Arial" w:hAnsi="Arial"/>
          <w:sz w:val="18"/>
          <w:lang w:val="el-GR"/>
        </w:rPr>
        <w:t xml:space="preserve"> </w:t>
      </w:r>
      <w:proofErr w:type="spellStart"/>
      <w:r w:rsidRPr="004D086A">
        <w:rPr>
          <w:rFonts w:ascii="Arial" w:hAnsi="Arial"/>
          <w:sz w:val="18"/>
          <w:lang w:val="el-GR"/>
        </w:rPr>
        <w:t>Below</w:t>
      </w:r>
      <w:proofErr w:type="spellEnd"/>
      <w:r w:rsidRPr="004D086A">
        <w:rPr>
          <w:rFonts w:ascii="Arial" w:hAnsi="Arial"/>
          <w:sz w:val="18"/>
          <w:lang w:val="el-GR"/>
        </w:rPr>
        <w:t xml:space="preserve"> 2 </w:t>
      </w:r>
      <w:proofErr w:type="spellStart"/>
      <w:r w:rsidRPr="004D086A">
        <w:rPr>
          <w:rFonts w:ascii="Arial" w:hAnsi="Arial"/>
          <w:sz w:val="18"/>
          <w:lang w:val="el-GR"/>
        </w:rPr>
        <w:t>Degree</w:t>
      </w:r>
      <w:proofErr w:type="spellEnd"/>
      <w:r w:rsidRPr="004D086A">
        <w:rPr>
          <w:rFonts w:ascii="Arial" w:hAnsi="Arial"/>
          <w:sz w:val="18"/>
          <w:lang w:val="el-GR"/>
        </w:rPr>
        <w:t xml:space="preserve"> </w:t>
      </w:r>
      <w:r w:rsidRPr="004D086A">
        <w:rPr>
          <w:rFonts w:ascii="Arial" w:hAnsi="Arial" w:cs="Arial"/>
          <w:sz w:val="18"/>
          <w:szCs w:val="18"/>
        </w:rPr>
        <w:t>Scenario</w:t>
      </w:r>
      <w:r w:rsidRPr="004D086A">
        <w:rPr>
          <w:rFonts w:ascii="Arial" w:hAnsi="Arial" w:cs="Arial"/>
          <w:sz w:val="18"/>
          <w:szCs w:val="18"/>
          <w:lang w:val="el-GR"/>
        </w:rPr>
        <w:t xml:space="preserve"> (</w:t>
      </w:r>
      <w:r w:rsidRPr="004D086A">
        <w:rPr>
          <w:rFonts w:ascii="Arial" w:hAnsi="Arial" w:cs="Arial"/>
          <w:sz w:val="18"/>
          <w:szCs w:val="18"/>
          <w:lang w:val="en-US"/>
        </w:rPr>
        <w:t>IEA</w:t>
      </w:r>
      <w:r w:rsidRPr="004D086A">
        <w:rPr>
          <w:rFonts w:ascii="Arial" w:hAnsi="Arial" w:cs="Arial"/>
          <w:sz w:val="18"/>
          <w:szCs w:val="18"/>
          <w:lang w:val="el-GR"/>
        </w:rPr>
        <w:t xml:space="preserve"> B2DS))</w:t>
      </w:r>
      <w:r w:rsidRPr="004D086A">
        <w:rPr>
          <w:rFonts w:ascii="Arial" w:hAnsi="Arial"/>
          <w:sz w:val="18"/>
          <w:lang w:val="el-GR"/>
        </w:rPr>
        <w:t xml:space="preserve">. </w:t>
      </w:r>
      <w:r w:rsidRPr="004D086A">
        <w:rPr>
          <w:rFonts w:ascii="Arial" w:hAnsi="Arial" w:cs="Arial"/>
          <w:sz w:val="18"/>
          <w:szCs w:val="18"/>
          <w:lang w:val="el-GR"/>
        </w:rPr>
        <w:t xml:space="preserve">Προκειμένου να ευθυγραμμιστεί το χαρτοφυλάκιο των Στεγαστικών Δανείων της Τράπεζας με το σενάριο κλιματικής αλλαγής και ουσιαστικά να είναι εκτεθειμένο σε χαμηλότερους κίνδυνους μετάβασης, το σημείο αναφοράς στις 31 Δεκεμβρίου 2022 των 53.5 </w:t>
      </w:r>
      <w:proofErr w:type="spellStart"/>
      <w:r w:rsidRPr="004D086A">
        <w:rPr>
          <w:rFonts w:ascii="Arial" w:hAnsi="Arial" w:cs="Arial"/>
          <w:sz w:val="18"/>
          <w:szCs w:val="18"/>
        </w:rPr>
        <w:t>kgCO</w:t>
      </w:r>
      <w:proofErr w:type="spellEnd"/>
      <w:r w:rsidRPr="004D086A">
        <w:rPr>
          <w:rFonts w:ascii="Arial" w:hAnsi="Arial" w:cs="Arial"/>
          <w:sz w:val="18"/>
          <w:szCs w:val="18"/>
          <w:vertAlign w:val="subscript"/>
          <w:lang w:val="el-GR"/>
        </w:rPr>
        <w:t>2</w:t>
      </w:r>
      <w:r w:rsidRPr="004D086A">
        <w:rPr>
          <w:rFonts w:ascii="Arial" w:hAnsi="Arial" w:cs="Arial"/>
          <w:sz w:val="18"/>
          <w:szCs w:val="18"/>
        </w:rPr>
        <w:t>e</w:t>
      </w:r>
      <w:r w:rsidRPr="004D086A">
        <w:rPr>
          <w:rFonts w:ascii="Arial" w:hAnsi="Arial" w:cs="Arial"/>
          <w:sz w:val="18"/>
          <w:szCs w:val="18"/>
          <w:lang w:val="el-GR"/>
        </w:rPr>
        <w:t>/</w:t>
      </w:r>
      <w:r w:rsidRPr="004D086A">
        <w:rPr>
          <w:rFonts w:ascii="Arial" w:hAnsi="Arial" w:cs="Arial"/>
          <w:sz w:val="18"/>
          <w:szCs w:val="18"/>
        </w:rPr>
        <w:t>m</w:t>
      </w:r>
      <w:r w:rsidRPr="004D086A">
        <w:rPr>
          <w:rFonts w:ascii="Arial" w:hAnsi="Arial" w:cs="Arial"/>
          <w:sz w:val="18"/>
          <w:szCs w:val="18"/>
          <w:vertAlign w:val="superscript"/>
          <w:lang w:val="el-GR"/>
        </w:rPr>
        <w:t>2</w:t>
      </w:r>
      <w:r w:rsidRPr="004D086A">
        <w:rPr>
          <w:rFonts w:ascii="Arial" w:hAnsi="Arial" w:cs="Arial"/>
          <w:sz w:val="18"/>
          <w:szCs w:val="18"/>
          <w:lang w:val="el-GR"/>
        </w:rPr>
        <w:t xml:space="preserve"> θα πρέπει να μειωθεί κατά 43% μέχρι τις 31 Δεκεμβρίου 2030. Η </w:t>
      </w:r>
      <w:r>
        <w:rPr>
          <w:rFonts w:ascii="Arial" w:hAnsi="Arial" w:cs="Arial"/>
          <w:sz w:val="18"/>
          <w:szCs w:val="18"/>
          <w:lang w:val="el-GR"/>
        </w:rPr>
        <w:t>ένταση</w:t>
      </w:r>
      <w:r w:rsidRPr="004D086A">
        <w:rPr>
          <w:rFonts w:ascii="Arial" w:hAnsi="Arial" w:cs="Arial"/>
          <w:sz w:val="18"/>
          <w:szCs w:val="18"/>
          <w:lang w:val="el-GR"/>
        </w:rPr>
        <w:t xml:space="preserve"> άνθρακα στο </w:t>
      </w:r>
      <w:r>
        <w:rPr>
          <w:rFonts w:ascii="Arial" w:hAnsi="Arial" w:cs="Arial"/>
          <w:sz w:val="18"/>
          <w:szCs w:val="18"/>
          <w:lang w:val="el-GR"/>
        </w:rPr>
        <w:t>χ</w:t>
      </w:r>
      <w:r w:rsidRPr="004D086A">
        <w:rPr>
          <w:rFonts w:ascii="Arial" w:hAnsi="Arial" w:cs="Arial"/>
          <w:sz w:val="18"/>
          <w:szCs w:val="18"/>
          <w:lang w:val="el-GR"/>
        </w:rPr>
        <w:t xml:space="preserve">αρτοφυλάκιο </w:t>
      </w:r>
      <w:r>
        <w:rPr>
          <w:rFonts w:ascii="Arial" w:hAnsi="Arial" w:cs="Arial"/>
          <w:sz w:val="18"/>
          <w:szCs w:val="18"/>
          <w:lang w:val="el-GR"/>
        </w:rPr>
        <w:t xml:space="preserve">Στεγαστικών Δανείων </w:t>
      </w:r>
      <w:r w:rsidRPr="004D086A">
        <w:rPr>
          <w:rFonts w:ascii="Arial" w:hAnsi="Arial" w:cs="Arial"/>
          <w:sz w:val="18"/>
          <w:szCs w:val="18"/>
          <w:lang w:val="el-GR"/>
        </w:rPr>
        <w:t xml:space="preserve">στις </w:t>
      </w:r>
      <w:r>
        <w:rPr>
          <w:rFonts w:ascii="Arial" w:hAnsi="Arial" w:cs="Arial"/>
          <w:sz w:val="18"/>
          <w:szCs w:val="18"/>
          <w:lang w:val="el-GR"/>
        </w:rPr>
        <w:t>30 Ιουνίου 2024</w:t>
      </w:r>
      <w:r w:rsidRPr="004D086A">
        <w:rPr>
          <w:rFonts w:ascii="Arial" w:hAnsi="Arial" w:cs="Arial"/>
          <w:sz w:val="18"/>
          <w:szCs w:val="18"/>
          <w:lang w:val="el-GR"/>
        </w:rPr>
        <w:t xml:space="preserve"> υπολογίστηκε στα </w:t>
      </w:r>
      <w:r>
        <w:rPr>
          <w:rFonts w:ascii="Arial" w:hAnsi="Arial" w:cs="Arial"/>
          <w:sz w:val="18"/>
          <w:szCs w:val="18"/>
          <w:lang w:val="el-GR"/>
        </w:rPr>
        <w:t>49.11</w:t>
      </w:r>
      <w:r w:rsidRPr="004D086A">
        <w:rPr>
          <w:rFonts w:ascii="Arial" w:hAnsi="Arial" w:cs="Arial"/>
          <w:sz w:val="18"/>
          <w:szCs w:val="18"/>
          <w:lang w:val="el-GR"/>
        </w:rPr>
        <w:t xml:space="preserve"> </w:t>
      </w:r>
      <w:proofErr w:type="spellStart"/>
      <w:r w:rsidRPr="004D086A">
        <w:rPr>
          <w:rFonts w:ascii="Arial" w:hAnsi="Arial" w:cs="Arial"/>
          <w:sz w:val="18"/>
          <w:szCs w:val="18"/>
        </w:rPr>
        <w:t>kgCO</w:t>
      </w:r>
      <w:proofErr w:type="spellEnd"/>
      <w:r w:rsidRPr="004D086A">
        <w:rPr>
          <w:rFonts w:ascii="Arial" w:hAnsi="Arial" w:cs="Arial"/>
          <w:sz w:val="18"/>
          <w:szCs w:val="18"/>
          <w:vertAlign w:val="subscript"/>
          <w:lang w:val="el-GR"/>
        </w:rPr>
        <w:t>2</w:t>
      </w:r>
      <w:r w:rsidRPr="004D086A">
        <w:rPr>
          <w:rFonts w:ascii="Arial" w:hAnsi="Arial" w:cs="Arial"/>
          <w:sz w:val="18"/>
          <w:szCs w:val="18"/>
        </w:rPr>
        <w:t>e</w:t>
      </w:r>
      <w:r w:rsidRPr="004D086A">
        <w:rPr>
          <w:rFonts w:ascii="Arial" w:hAnsi="Arial" w:cs="Arial"/>
          <w:sz w:val="18"/>
          <w:szCs w:val="18"/>
          <w:lang w:val="el-GR"/>
        </w:rPr>
        <w:t>/</w:t>
      </w:r>
      <w:r w:rsidRPr="004D086A">
        <w:rPr>
          <w:rFonts w:ascii="Arial" w:hAnsi="Arial" w:cs="Arial"/>
          <w:sz w:val="18"/>
          <w:szCs w:val="18"/>
        </w:rPr>
        <w:t>m</w:t>
      </w:r>
      <w:r w:rsidRPr="004D086A">
        <w:rPr>
          <w:rFonts w:ascii="Arial" w:hAnsi="Arial" w:cs="Arial"/>
          <w:sz w:val="18"/>
          <w:szCs w:val="18"/>
          <w:vertAlign w:val="superscript"/>
          <w:lang w:val="el-GR"/>
        </w:rPr>
        <w:t>2</w:t>
      </w:r>
      <w:r w:rsidRPr="004D086A">
        <w:rPr>
          <w:rFonts w:ascii="Arial" w:hAnsi="Arial" w:cs="Arial"/>
          <w:sz w:val="18"/>
          <w:szCs w:val="18"/>
          <w:lang w:val="el-GR"/>
        </w:rPr>
        <w:t xml:space="preserve"> πετυχαίνοντας περίπου </w:t>
      </w:r>
      <w:r>
        <w:rPr>
          <w:rFonts w:ascii="Arial" w:hAnsi="Arial" w:cs="Arial"/>
          <w:sz w:val="18"/>
          <w:szCs w:val="18"/>
          <w:lang w:val="el-GR"/>
        </w:rPr>
        <w:t>8</w:t>
      </w:r>
      <w:r w:rsidRPr="004D086A">
        <w:rPr>
          <w:rFonts w:ascii="Arial" w:hAnsi="Arial" w:cs="Arial"/>
          <w:sz w:val="18"/>
          <w:szCs w:val="18"/>
          <w:lang w:val="el-GR"/>
        </w:rPr>
        <w:t>% μείωση σε σχέση με το σημείο αναφοράς, λόγω αυξημένης εγκατάστασης φωτοβολτα</w:t>
      </w:r>
      <w:r>
        <w:rPr>
          <w:rFonts w:ascii="Arial" w:hAnsi="Arial" w:cs="Arial"/>
          <w:sz w:val="18"/>
          <w:szCs w:val="18"/>
          <w:lang w:val="el-GR"/>
        </w:rPr>
        <w:t>ϊ</w:t>
      </w:r>
      <w:r w:rsidRPr="004D086A">
        <w:rPr>
          <w:rFonts w:ascii="Arial" w:hAnsi="Arial" w:cs="Arial"/>
          <w:sz w:val="18"/>
          <w:szCs w:val="18"/>
          <w:lang w:val="el-GR"/>
        </w:rPr>
        <w:t>κών συστημάτων σε οικιστικά κτίρια το 2023</w:t>
      </w:r>
      <w:r w:rsidRPr="00597F8C">
        <w:rPr>
          <w:rFonts w:ascii="Arial" w:hAnsi="Arial" w:cs="Arial"/>
          <w:sz w:val="18"/>
          <w:szCs w:val="18"/>
          <w:lang w:val="el-GR"/>
        </w:rPr>
        <w:t xml:space="preserve"> </w:t>
      </w:r>
      <w:r>
        <w:rPr>
          <w:rFonts w:ascii="Arial" w:hAnsi="Arial" w:cs="Arial"/>
          <w:sz w:val="18"/>
          <w:szCs w:val="18"/>
          <w:lang w:val="el-GR"/>
        </w:rPr>
        <w:t>και αύξηση στην χρηματοδότηση ενεργειακά αποδοτικών οικιστικών κτιρίων κατά την διάρκεια του ε</w:t>
      </w:r>
      <w:r w:rsidR="007F219E">
        <w:rPr>
          <w:rFonts w:ascii="Arial" w:hAnsi="Arial" w:cs="Arial"/>
          <w:sz w:val="18"/>
          <w:szCs w:val="18"/>
          <w:lang w:val="el-GR"/>
        </w:rPr>
        <w:t xml:space="preserve">ννεάμηνου </w:t>
      </w:r>
      <w:r>
        <w:rPr>
          <w:rFonts w:ascii="Arial" w:hAnsi="Arial" w:cs="Arial"/>
          <w:sz w:val="18"/>
          <w:szCs w:val="18"/>
          <w:lang w:val="el-GR"/>
        </w:rPr>
        <w:t>που έληξε τον Σεπτέμβριο 2024</w:t>
      </w:r>
      <w:r w:rsidRPr="004D086A">
        <w:rPr>
          <w:rFonts w:ascii="Arial" w:hAnsi="Arial" w:cs="Arial"/>
          <w:sz w:val="18"/>
          <w:szCs w:val="18"/>
          <w:lang w:val="el-GR"/>
        </w:rPr>
        <w:t>. Στα τέλη του 2023</w:t>
      </w:r>
      <w:r>
        <w:rPr>
          <w:rFonts w:ascii="Arial" w:hAnsi="Arial" w:cs="Arial"/>
          <w:sz w:val="18"/>
          <w:szCs w:val="18"/>
          <w:lang w:val="el-GR"/>
        </w:rPr>
        <w:t xml:space="preserve"> και κατά το </w:t>
      </w:r>
      <w:r w:rsidR="007A09CF">
        <w:rPr>
          <w:rFonts w:ascii="Arial" w:hAnsi="Arial" w:cs="Arial"/>
          <w:sz w:val="18"/>
          <w:szCs w:val="18"/>
          <w:lang w:val="el-GR"/>
        </w:rPr>
        <w:t xml:space="preserve">γ’ </w:t>
      </w:r>
      <w:r>
        <w:rPr>
          <w:rFonts w:ascii="Arial" w:hAnsi="Arial" w:cs="Arial"/>
          <w:sz w:val="18"/>
          <w:szCs w:val="18"/>
          <w:lang w:val="el-GR"/>
        </w:rPr>
        <w:t>τρίμηνο του 2024</w:t>
      </w:r>
      <w:r w:rsidRPr="004D086A">
        <w:rPr>
          <w:rFonts w:ascii="Arial" w:hAnsi="Arial" w:cs="Arial"/>
          <w:sz w:val="18"/>
          <w:szCs w:val="18"/>
          <w:lang w:val="el-GR"/>
        </w:rPr>
        <w:t xml:space="preserve">, η Τράπεζα εισήγαγε την προσφορά ενός Πράσινου Στεγαστικού προϊόντος </w:t>
      </w:r>
      <w:r>
        <w:rPr>
          <w:rFonts w:ascii="Arial" w:hAnsi="Arial" w:cs="Arial"/>
          <w:sz w:val="18"/>
          <w:szCs w:val="18"/>
          <w:lang w:val="el-GR"/>
        </w:rPr>
        <w:t xml:space="preserve">με κυμαινόμενο επιτόκιο και </w:t>
      </w:r>
      <w:r w:rsidRPr="00AA62B1">
        <w:rPr>
          <w:rFonts w:ascii="Arial" w:hAnsi="Arial" w:cs="Arial"/>
          <w:sz w:val="18"/>
          <w:szCs w:val="18"/>
          <w:lang w:val="el-GR"/>
        </w:rPr>
        <w:t>την προσφορά ενός Πράσινου Στεγαστικού προϊόντος με σταθερό επιτόκιο</w:t>
      </w:r>
      <w:r w:rsidRPr="004D086A">
        <w:rPr>
          <w:rFonts w:ascii="Arial" w:hAnsi="Arial" w:cs="Arial"/>
          <w:sz w:val="18"/>
          <w:szCs w:val="18"/>
          <w:lang w:val="el-GR"/>
        </w:rPr>
        <w:t xml:space="preserve"> </w:t>
      </w:r>
      <w:r w:rsidRPr="001F247A">
        <w:rPr>
          <w:rFonts w:ascii="Arial" w:hAnsi="Arial" w:cs="Arial"/>
          <w:sz w:val="18"/>
          <w:szCs w:val="18"/>
          <w:lang w:val="el-GR"/>
        </w:rPr>
        <w:t xml:space="preserve">ευθυγραμμισμένο με τις </w:t>
      </w:r>
      <w:r w:rsidRPr="00AA62B1">
        <w:rPr>
          <w:rFonts w:ascii="Arial" w:hAnsi="Arial" w:cs="Arial"/>
          <w:sz w:val="18"/>
          <w:szCs w:val="18"/>
          <w:lang w:val="el-GR"/>
        </w:rPr>
        <w:t>Α</w:t>
      </w:r>
      <w:r w:rsidRPr="001F247A">
        <w:rPr>
          <w:rFonts w:ascii="Arial" w:hAnsi="Arial" w:cs="Arial"/>
          <w:sz w:val="18"/>
          <w:szCs w:val="18"/>
          <w:lang w:val="el-GR"/>
        </w:rPr>
        <w:t xml:space="preserve">ρχές </w:t>
      </w:r>
      <w:r>
        <w:rPr>
          <w:rFonts w:ascii="Arial" w:hAnsi="Arial" w:cs="Arial"/>
          <w:sz w:val="18"/>
          <w:szCs w:val="18"/>
          <w:lang w:val="el-GR"/>
        </w:rPr>
        <w:t>Πράσινου Δανεισμού</w:t>
      </w:r>
      <w:r w:rsidRPr="001F247A">
        <w:rPr>
          <w:rFonts w:ascii="Arial" w:hAnsi="Arial" w:cs="Arial"/>
          <w:sz w:val="18"/>
          <w:szCs w:val="18"/>
          <w:lang w:val="el-GR"/>
        </w:rPr>
        <w:t xml:space="preserve"> </w:t>
      </w:r>
      <w:r w:rsidRPr="00AA62B1">
        <w:rPr>
          <w:rFonts w:ascii="Arial" w:hAnsi="Arial" w:cs="Arial"/>
          <w:sz w:val="18"/>
          <w:szCs w:val="18"/>
          <w:lang w:val="el-GR"/>
        </w:rPr>
        <w:t>(</w:t>
      </w:r>
      <w:r w:rsidRPr="00AA62B1">
        <w:rPr>
          <w:rFonts w:ascii="Arial" w:hAnsi="Arial" w:cs="Arial"/>
          <w:sz w:val="18"/>
          <w:szCs w:val="18"/>
          <w:lang w:val="en-US"/>
        </w:rPr>
        <w:t>Green</w:t>
      </w:r>
      <w:r w:rsidRPr="00AA62B1">
        <w:rPr>
          <w:rFonts w:ascii="Arial" w:hAnsi="Arial" w:cs="Arial"/>
          <w:sz w:val="18"/>
          <w:szCs w:val="18"/>
          <w:lang w:val="el-GR"/>
        </w:rPr>
        <w:t xml:space="preserve"> </w:t>
      </w:r>
      <w:r w:rsidRPr="00AA62B1">
        <w:rPr>
          <w:rFonts w:ascii="Arial" w:hAnsi="Arial" w:cs="Arial"/>
          <w:sz w:val="18"/>
          <w:szCs w:val="18"/>
          <w:lang w:val="en-US"/>
        </w:rPr>
        <w:t>Loans</w:t>
      </w:r>
      <w:r w:rsidRPr="00AA62B1">
        <w:rPr>
          <w:rFonts w:ascii="Arial" w:hAnsi="Arial" w:cs="Arial"/>
          <w:sz w:val="18"/>
          <w:szCs w:val="18"/>
          <w:lang w:val="el-GR"/>
        </w:rPr>
        <w:t xml:space="preserve"> </w:t>
      </w:r>
      <w:r w:rsidRPr="00AA62B1">
        <w:rPr>
          <w:rFonts w:ascii="Arial" w:hAnsi="Arial" w:cs="Arial"/>
          <w:sz w:val="18"/>
          <w:szCs w:val="18"/>
          <w:lang w:val="en-US"/>
        </w:rPr>
        <w:t>Principles</w:t>
      </w:r>
      <w:r w:rsidRPr="00AA62B1">
        <w:rPr>
          <w:rFonts w:ascii="Arial" w:hAnsi="Arial" w:cs="Arial"/>
          <w:sz w:val="18"/>
          <w:szCs w:val="18"/>
          <w:lang w:val="el-GR"/>
        </w:rPr>
        <w:t>)</w:t>
      </w:r>
      <w:r w:rsidRPr="001F247A">
        <w:rPr>
          <w:rFonts w:ascii="Arial" w:hAnsi="Arial" w:cs="Arial"/>
          <w:sz w:val="18"/>
          <w:szCs w:val="18"/>
          <w:lang w:val="el-GR"/>
        </w:rPr>
        <w:t xml:space="preserve"> </w:t>
      </w:r>
      <w:r>
        <w:rPr>
          <w:rFonts w:ascii="Arial" w:hAnsi="Arial" w:cs="Arial"/>
          <w:sz w:val="18"/>
          <w:szCs w:val="18"/>
          <w:lang w:val="el-GR"/>
        </w:rPr>
        <w:t xml:space="preserve">της </w:t>
      </w:r>
      <w:r w:rsidRPr="00AA62B1">
        <w:rPr>
          <w:rFonts w:ascii="Arial" w:hAnsi="Arial" w:cs="Arial"/>
          <w:sz w:val="18"/>
          <w:szCs w:val="18"/>
          <w:lang w:val="el-GR"/>
        </w:rPr>
        <w:t>Ένωσης Αγοράς Δανεισμού</w:t>
      </w:r>
      <w:r w:rsidRPr="005B74CE">
        <w:rPr>
          <w:rFonts w:ascii="Arial" w:hAnsi="Arial" w:cs="Arial"/>
          <w:sz w:val="18"/>
          <w:szCs w:val="18"/>
          <w:lang w:val="el-GR"/>
        </w:rPr>
        <w:t xml:space="preserve"> (Loan Market Association)</w:t>
      </w:r>
      <w:r>
        <w:rPr>
          <w:rFonts w:ascii="Arial" w:hAnsi="Arial" w:cs="Arial"/>
          <w:sz w:val="18"/>
          <w:szCs w:val="18"/>
          <w:lang w:val="el-GR"/>
        </w:rPr>
        <w:t xml:space="preserve"> αντίστοιχα </w:t>
      </w:r>
      <w:r w:rsidRPr="004D086A">
        <w:rPr>
          <w:rFonts w:ascii="Arial" w:hAnsi="Arial" w:cs="Arial"/>
          <w:sz w:val="18"/>
          <w:szCs w:val="18"/>
          <w:lang w:val="el-GR"/>
        </w:rPr>
        <w:t>για να συμβάλει στην επίτευξη του στόχου απαλλαγής από τον άνθρακα στα στεγαστικά δάνεια και ουσιαστικά να μειώσει τον κλιματικό κίνδυνο μετάβασης στον οποίο είναι εκτεθειμένη.</w:t>
      </w:r>
      <w:r>
        <w:rPr>
          <w:rFonts w:ascii="Arial" w:hAnsi="Arial" w:cs="Arial"/>
          <w:sz w:val="18"/>
          <w:szCs w:val="18"/>
          <w:lang w:val="el-GR"/>
        </w:rPr>
        <w:t xml:space="preserve"> </w:t>
      </w:r>
      <w:r w:rsidRPr="004D086A">
        <w:rPr>
          <w:rFonts w:ascii="Arial" w:hAnsi="Arial" w:cs="Arial"/>
          <w:sz w:val="18"/>
          <w:szCs w:val="18"/>
          <w:lang w:val="el-GR"/>
        </w:rPr>
        <w:t xml:space="preserve">Επιπρόσθετα, η Τράπεζα έχει θέσει όρια δανεισμού και επενδύσεων σε κλάδους </w:t>
      </w:r>
      <w:r w:rsidRPr="004D086A">
        <w:rPr>
          <w:rFonts w:ascii="Arial" w:hAnsi="Arial"/>
          <w:sz w:val="18"/>
          <w:lang w:val="el-GR"/>
        </w:rPr>
        <w:t xml:space="preserve">υψηλής συγκέντρωσης άνθρακα, οι οποίοι θεωρούνται κλάδοι υψηλού κινδύνου μετάβασης. Επίσης, έχοντας εισάγει και υλοποιώντας τη διαδικασία Αξιολόγησης Επιχειρηματικού Περιβάλλοντος (Business </w:t>
      </w:r>
      <w:proofErr w:type="spellStart"/>
      <w:r w:rsidRPr="004D086A">
        <w:rPr>
          <w:rFonts w:ascii="Arial" w:hAnsi="Arial"/>
          <w:sz w:val="18"/>
          <w:lang w:val="el-GR"/>
        </w:rPr>
        <w:t>Environment</w:t>
      </w:r>
      <w:proofErr w:type="spellEnd"/>
      <w:r w:rsidRPr="004D086A">
        <w:rPr>
          <w:rFonts w:ascii="Arial" w:hAnsi="Arial"/>
          <w:sz w:val="18"/>
          <w:lang w:val="el-GR"/>
        </w:rPr>
        <w:t xml:space="preserve"> </w:t>
      </w:r>
      <w:proofErr w:type="spellStart"/>
      <w:r w:rsidRPr="004D086A">
        <w:rPr>
          <w:rFonts w:ascii="Arial" w:hAnsi="Arial"/>
          <w:sz w:val="18"/>
          <w:lang w:val="el-GR"/>
        </w:rPr>
        <w:t>Scan</w:t>
      </w:r>
      <w:proofErr w:type="spellEnd"/>
      <w:r w:rsidRPr="004D086A">
        <w:rPr>
          <w:rFonts w:ascii="Arial" w:hAnsi="Arial"/>
          <w:sz w:val="18"/>
          <w:lang w:val="el-GR"/>
        </w:rPr>
        <w:t xml:space="preserve"> </w:t>
      </w:r>
      <w:proofErr w:type="spellStart"/>
      <w:r w:rsidRPr="004D086A">
        <w:rPr>
          <w:rFonts w:ascii="Arial" w:hAnsi="Arial"/>
          <w:sz w:val="18"/>
          <w:lang w:val="el-GR"/>
        </w:rPr>
        <w:t>process</w:t>
      </w:r>
      <w:proofErr w:type="spellEnd"/>
      <w:r w:rsidRPr="004D086A">
        <w:rPr>
          <w:rFonts w:ascii="Arial" w:hAnsi="Arial"/>
          <w:sz w:val="18"/>
          <w:lang w:val="el-GR"/>
        </w:rPr>
        <w:t xml:space="preserve">), η Τράπεζα έχει θέσει στόχους νέας </w:t>
      </w:r>
      <w:r>
        <w:rPr>
          <w:rFonts w:ascii="Arial" w:hAnsi="Arial"/>
          <w:sz w:val="18"/>
          <w:lang w:val="el-GR"/>
        </w:rPr>
        <w:t>π</w:t>
      </w:r>
      <w:r w:rsidRPr="004D086A">
        <w:rPr>
          <w:rFonts w:ascii="Arial" w:hAnsi="Arial"/>
          <w:sz w:val="18"/>
          <w:lang w:val="el-GR"/>
        </w:rPr>
        <w:t>ράσινης</w:t>
      </w:r>
      <w:r w:rsidRPr="00DB47E1">
        <w:rPr>
          <w:rFonts w:ascii="Arial" w:hAnsi="Arial"/>
          <w:sz w:val="18"/>
          <w:lang w:val="el-GR"/>
        </w:rPr>
        <w:t xml:space="preserve"> </w:t>
      </w:r>
      <w:r w:rsidRPr="004D086A">
        <w:rPr>
          <w:rFonts w:ascii="Arial" w:hAnsi="Arial"/>
          <w:sz w:val="18"/>
          <w:lang w:val="el-GR"/>
        </w:rPr>
        <w:t xml:space="preserve">χρηματοδότησης ή χρηματοδότησης </w:t>
      </w:r>
      <w:r>
        <w:rPr>
          <w:rFonts w:ascii="Arial" w:hAnsi="Arial"/>
          <w:sz w:val="18"/>
          <w:lang w:val="el-GR"/>
        </w:rPr>
        <w:t>μ</w:t>
      </w:r>
      <w:r w:rsidRPr="004D086A">
        <w:rPr>
          <w:rFonts w:ascii="Arial" w:hAnsi="Arial"/>
          <w:sz w:val="18"/>
          <w:lang w:val="el-GR"/>
        </w:rPr>
        <w:t>ετάβασης σε συγκεκριμένους τομείς για να υποστηρίξει τη μετάβαση των πελατών της σε μια οικονομία χαμηλού άνθρακα</w:t>
      </w:r>
      <w:r>
        <w:rPr>
          <w:rFonts w:ascii="Arial" w:hAnsi="Arial"/>
          <w:sz w:val="18"/>
          <w:lang w:val="el-GR"/>
        </w:rPr>
        <w:t>,</w:t>
      </w:r>
      <w:r w:rsidRPr="004D086A">
        <w:rPr>
          <w:rFonts w:ascii="Arial" w:hAnsi="Arial"/>
          <w:sz w:val="18"/>
          <w:lang w:val="el-GR"/>
        </w:rPr>
        <w:t xml:space="preserve"> έτσι ώστε να διαχειριστεί αποτελεσματικά τους κινδύνους μετάβασης.</w:t>
      </w:r>
    </w:p>
    <w:p w14:paraId="6B2E4D08" w14:textId="77777777" w:rsidR="00910C69" w:rsidRPr="00D41B36" w:rsidRDefault="00910C69" w:rsidP="005F1EF8">
      <w:pPr>
        <w:spacing w:line="240" w:lineRule="auto"/>
        <w:contextualSpacing/>
        <w:jc w:val="both"/>
        <w:rPr>
          <w:rFonts w:ascii="Arial" w:hAnsi="Arial"/>
          <w:sz w:val="18"/>
          <w:highlight w:val="yellow"/>
          <w:lang w:val="el-GR"/>
        </w:rPr>
      </w:pPr>
    </w:p>
    <w:p w14:paraId="54E09D32" w14:textId="77777777" w:rsidR="00DB7ABA" w:rsidRPr="00AA62B1" w:rsidRDefault="00DB7ABA" w:rsidP="00DB7ABA">
      <w:pPr>
        <w:spacing w:line="240" w:lineRule="auto"/>
        <w:contextualSpacing/>
        <w:jc w:val="both"/>
        <w:rPr>
          <w:rFonts w:ascii="Arial" w:hAnsi="Arial"/>
          <w:sz w:val="18"/>
          <w:lang w:val="el-GR"/>
        </w:rPr>
      </w:pPr>
      <w:r w:rsidRPr="004D086A">
        <w:rPr>
          <w:rFonts w:ascii="Arial" w:hAnsi="Arial"/>
          <w:sz w:val="18"/>
          <w:lang w:val="el-GR"/>
        </w:rPr>
        <w:t>Κατά τη διάρκεια του 2023, η Τράπεζα έχει σημειώσει σημαντική πρόοδο στην ενσωμάτωση θεμάτων κλιματικού και περιβαλλοντικού κινδύνου στη διαχείριση κινδύνων και στην κουλτούρα διαχείρισης κινδύνων. Η Τράπεζα έχει αναθεωρήσει και ενισχύσει τη διαδικασία ανάλυσης σημαντικότητας στους Κ&amp;Π κινδύνους. H Τράπεζα έχει διενεργήσει ενδελεχή αναγνώριση και αξιολόγηση Κ&amp;Π κινδύνων ως παράγοντες υφιστάμενων χρηματοοικονομικών και μη χρηματοοικονομικών κινδύνων λαμβάνοντας υπόψη το επιχειρηματικό προφίλ και τη σύνθεση του δανειακού χαρτο</w:t>
      </w:r>
      <w:r w:rsidRPr="003E2CDF">
        <w:rPr>
          <w:rFonts w:ascii="Arial" w:hAnsi="Arial"/>
          <w:sz w:val="18"/>
          <w:lang w:val="el-GR"/>
        </w:rPr>
        <w:t xml:space="preserve">φυλακίου της. Ως μέρος της διαδικασίας αυτής, η Τράπεζα έχει εντοπίσει τους παράγοντες κινδύνου, τόσο φυσικούς όσο και μετάβασης, που θα μπορούσαν δυνητικά να έχουν αντίκτυπο στο </w:t>
      </w:r>
      <w:r w:rsidRPr="00E93A30">
        <w:rPr>
          <w:rFonts w:ascii="Arial" w:hAnsi="Arial"/>
          <w:sz w:val="18"/>
          <w:lang w:val="el-GR"/>
        </w:rPr>
        <w:t xml:space="preserve">προφίλ κινδύνου και στις λειτουργίες της Τράπεζας και έχει αξιολογήσει τη σημαντικότητα του κάθε παράγοντα κινδύνου σε σχέση με τις υφιστάμενες κατηγορίες κινδύνου. </w:t>
      </w:r>
    </w:p>
    <w:p w14:paraId="3B778922" w14:textId="77777777" w:rsidR="006A7D43" w:rsidRPr="00D41B36" w:rsidRDefault="006A7D43">
      <w:pPr>
        <w:spacing w:line="240" w:lineRule="auto"/>
        <w:contextualSpacing/>
        <w:jc w:val="both"/>
        <w:rPr>
          <w:rFonts w:ascii="Arial" w:hAnsi="Arial"/>
          <w:sz w:val="18"/>
          <w:highlight w:val="yellow"/>
          <w:lang w:val="el-GR"/>
        </w:rPr>
      </w:pPr>
    </w:p>
    <w:p w14:paraId="348A3465" w14:textId="77777777" w:rsidR="00F77A51" w:rsidRPr="00D41B36" w:rsidRDefault="00F77A51" w:rsidP="00262407">
      <w:pPr>
        <w:spacing w:line="240" w:lineRule="auto"/>
        <w:jc w:val="both"/>
        <w:rPr>
          <w:rFonts w:ascii="Arial" w:hAnsi="Arial"/>
          <w:sz w:val="18"/>
          <w:highlight w:val="yellow"/>
          <w:lang w:val="el-GR"/>
        </w:rPr>
      </w:pPr>
    </w:p>
    <w:p w14:paraId="31A02750" w14:textId="77777777" w:rsidR="00F77A51" w:rsidRPr="00D41B36" w:rsidRDefault="00F77A51" w:rsidP="00262407">
      <w:pPr>
        <w:spacing w:line="240" w:lineRule="auto"/>
        <w:jc w:val="both"/>
        <w:rPr>
          <w:rFonts w:ascii="Arial" w:hAnsi="Arial"/>
          <w:sz w:val="18"/>
          <w:highlight w:val="yellow"/>
          <w:lang w:val="el-GR"/>
        </w:rPr>
      </w:pPr>
    </w:p>
    <w:p w14:paraId="6AFC60B5" w14:textId="77777777" w:rsidR="00F77A51" w:rsidRPr="00D41B36" w:rsidRDefault="00F77A51" w:rsidP="00262407">
      <w:pPr>
        <w:spacing w:line="240" w:lineRule="auto"/>
        <w:jc w:val="both"/>
        <w:rPr>
          <w:rFonts w:ascii="Arial" w:hAnsi="Arial"/>
          <w:sz w:val="18"/>
          <w:highlight w:val="yellow"/>
          <w:lang w:val="el-GR"/>
        </w:rPr>
      </w:pPr>
    </w:p>
    <w:p w14:paraId="6B3F73DA" w14:textId="2A4D916F" w:rsidR="00F77A51" w:rsidRPr="00DB7ABA" w:rsidRDefault="00DB7ABA" w:rsidP="00F77A51">
      <w:pPr>
        <w:spacing w:after="0" w:line="360" w:lineRule="auto"/>
        <w:rPr>
          <w:rFonts w:ascii="Arial" w:hAnsi="Arial" w:cs="Arial"/>
          <w:b/>
          <w:color w:val="FF9900"/>
          <w:sz w:val="24"/>
          <w:szCs w:val="24"/>
          <w:lang w:val="el-GR"/>
        </w:rPr>
      </w:pPr>
      <w:r w:rsidRPr="00DB7ABA">
        <w:rPr>
          <w:rFonts w:ascii="Arial" w:hAnsi="Arial" w:cs="Arial"/>
          <w:b/>
          <w:color w:val="FF9900"/>
          <w:sz w:val="24"/>
          <w:szCs w:val="24"/>
          <w:lang w:val="el-GR"/>
        </w:rPr>
        <w:lastRenderedPageBreak/>
        <w:t>Γ</w:t>
      </w:r>
      <w:r w:rsidR="00F77A51" w:rsidRPr="00DB7ABA">
        <w:rPr>
          <w:rFonts w:ascii="Arial" w:hAnsi="Arial" w:cs="Arial"/>
          <w:b/>
          <w:color w:val="FF9900"/>
          <w:sz w:val="24"/>
          <w:szCs w:val="24"/>
          <w:lang w:val="el-GR"/>
        </w:rPr>
        <w:t>. Επισκόπηση επιχειρηματικής δραστηριότητας (συνέχεια)</w:t>
      </w:r>
    </w:p>
    <w:p w14:paraId="7C4C6548" w14:textId="77777777" w:rsidR="00F77A51" w:rsidRPr="00DB7ABA" w:rsidRDefault="00F77A51" w:rsidP="00F77A51">
      <w:pPr>
        <w:tabs>
          <w:tab w:val="left" w:pos="709"/>
        </w:tabs>
        <w:spacing w:after="120" w:line="240" w:lineRule="auto"/>
        <w:ind w:right="57"/>
        <w:rPr>
          <w:rFonts w:ascii="Arial" w:hAnsi="Arial" w:cs="Arial"/>
          <w:b/>
          <w:i/>
          <w:color w:val="FF9900"/>
          <w:sz w:val="20"/>
          <w:lang w:val="el-GR"/>
        </w:rPr>
      </w:pPr>
      <w:r w:rsidRPr="00DB7ABA">
        <w:rPr>
          <w:rFonts w:ascii="Arial" w:hAnsi="Arial" w:cs="Arial"/>
          <w:b/>
          <w:i/>
          <w:color w:val="FF9900"/>
          <w:sz w:val="20"/>
          <w:lang w:val="el-GR"/>
        </w:rPr>
        <w:t>Ενίσχυση οργανωτικής ανθεκτικότητας και πολιτικής για Περιβαλλοντικά, Κοινωνικά και σχετικά µε τη Διακυβέρνηση (ΠΚΔ) θέματα (</w:t>
      </w:r>
      <w:r w:rsidRPr="00DB7ABA">
        <w:rPr>
          <w:rFonts w:ascii="Arial" w:hAnsi="Arial" w:cs="Arial"/>
          <w:b/>
          <w:i/>
          <w:color w:val="FF9900"/>
          <w:sz w:val="20"/>
        </w:rPr>
        <w:t>Environmental</w:t>
      </w:r>
      <w:r w:rsidRPr="00DB7ABA">
        <w:rPr>
          <w:rFonts w:ascii="Arial" w:hAnsi="Arial" w:cs="Arial"/>
          <w:b/>
          <w:i/>
          <w:color w:val="FF9900"/>
          <w:sz w:val="20"/>
          <w:lang w:val="el-GR"/>
        </w:rPr>
        <w:t xml:space="preserve">, </w:t>
      </w:r>
      <w:r w:rsidRPr="00DB7ABA">
        <w:rPr>
          <w:rFonts w:ascii="Arial" w:hAnsi="Arial" w:cs="Arial"/>
          <w:b/>
          <w:i/>
          <w:color w:val="FF9900"/>
          <w:sz w:val="20"/>
        </w:rPr>
        <w:t>Social</w:t>
      </w:r>
      <w:r w:rsidRPr="00DB7ABA">
        <w:rPr>
          <w:rFonts w:ascii="Arial" w:hAnsi="Arial" w:cs="Arial"/>
          <w:b/>
          <w:i/>
          <w:color w:val="FF9900"/>
          <w:sz w:val="20"/>
          <w:lang w:val="el-GR"/>
        </w:rPr>
        <w:t xml:space="preserve"> </w:t>
      </w:r>
      <w:r w:rsidRPr="00DB7ABA">
        <w:rPr>
          <w:rFonts w:ascii="Arial" w:hAnsi="Arial" w:cs="Arial"/>
          <w:b/>
          <w:i/>
          <w:color w:val="FF9900"/>
          <w:sz w:val="20"/>
        </w:rPr>
        <w:t>and</w:t>
      </w:r>
      <w:r w:rsidRPr="00DB7ABA">
        <w:rPr>
          <w:rFonts w:ascii="Arial" w:hAnsi="Arial" w:cs="Arial"/>
          <w:b/>
          <w:i/>
          <w:color w:val="FF9900"/>
          <w:sz w:val="20"/>
          <w:lang w:val="el-GR"/>
        </w:rPr>
        <w:t xml:space="preserve"> </w:t>
      </w:r>
      <w:r w:rsidRPr="00DB7ABA">
        <w:rPr>
          <w:rFonts w:ascii="Arial" w:hAnsi="Arial" w:cs="Arial"/>
          <w:b/>
          <w:i/>
          <w:color w:val="FF9900"/>
          <w:sz w:val="20"/>
        </w:rPr>
        <w:t>Governance</w:t>
      </w:r>
      <w:r w:rsidRPr="00DB7ABA">
        <w:rPr>
          <w:rFonts w:ascii="Arial" w:hAnsi="Arial" w:cs="Arial"/>
          <w:b/>
          <w:i/>
          <w:color w:val="FF9900"/>
          <w:sz w:val="20"/>
          <w:lang w:val="el-GR"/>
        </w:rPr>
        <w:t xml:space="preserve">, </w:t>
      </w:r>
      <w:r w:rsidRPr="00DB7ABA">
        <w:rPr>
          <w:rFonts w:ascii="Arial" w:hAnsi="Arial" w:cs="Arial"/>
          <w:b/>
          <w:i/>
          <w:color w:val="FF9900"/>
          <w:sz w:val="20"/>
        </w:rPr>
        <w:t>ESG</w:t>
      </w:r>
      <w:r w:rsidRPr="00DB7ABA">
        <w:rPr>
          <w:rFonts w:ascii="Arial" w:hAnsi="Arial" w:cs="Arial"/>
          <w:b/>
          <w:i/>
          <w:color w:val="FF9900"/>
          <w:sz w:val="20"/>
          <w:lang w:val="el-GR"/>
        </w:rPr>
        <w:t xml:space="preserve">) </w:t>
      </w:r>
      <w:r w:rsidRPr="00DB7ABA">
        <w:rPr>
          <w:rFonts w:ascii="Arial" w:hAnsi="Arial" w:cs="Arial"/>
          <w:bCs/>
          <w:i/>
          <w:color w:val="FF9900"/>
          <w:sz w:val="20"/>
          <w:lang w:val="el-GR"/>
        </w:rPr>
        <w:t>(συνέχεια)</w:t>
      </w:r>
    </w:p>
    <w:p w14:paraId="0816BC38" w14:textId="4DF533FA" w:rsidR="00F77A51" w:rsidRPr="00DB7ABA" w:rsidRDefault="00F77A51" w:rsidP="00262407">
      <w:pPr>
        <w:spacing w:line="240" w:lineRule="auto"/>
        <w:contextualSpacing/>
        <w:jc w:val="both"/>
        <w:rPr>
          <w:rFonts w:ascii="Arial" w:hAnsi="Arial" w:cs="Arial"/>
          <w:i/>
          <w:iCs/>
          <w:sz w:val="18"/>
          <w:szCs w:val="18"/>
          <w:lang w:val="el-GR"/>
        </w:rPr>
      </w:pPr>
      <w:r w:rsidRPr="00DB7ABA">
        <w:rPr>
          <w:rFonts w:ascii="Arial" w:hAnsi="Arial" w:cs="Arial"/>
          <w:i/>
          <w:iCs/>
          <w:sz w:val="18"/>
          <w:szCs w:val="18"/>
          <w:lang w:val="el-GR"/>
        </w:rPr>
        <w:t>Περιβάλλον (συνέχεια)</w:t>
      </w:r>
    </w:p>
    <w:p w14:paraId="40DD5903" w14:textId="77777777" w:rsidR="00F77A51" w:rsidRPr="00D41B36" w:rsidRDefault="00F77A51" w:rsidP="00262407">
      <w:pPr>
        <w:spacing w:line="240" w:lineRule="auto"/>
        <w:contextualSpacing/>
        <w:jc w:val="both"/>
        <w:rPr>
          <w:rFonts w:ascii="Arial" w:hAnsi="Arial" w:cs="Arial"/>
          <w:i/>
          <w:iCs/>
          <w:sz w:val="18"/>
          <w:szCs w:val="18"/>
          <w:highlight w:val="yellow"/>
          <w:lang w:val="el-GR"/>
        </w:rPr>
      </w:pPr>
    </w:p>
    <w:p w14:paraId="4A877702" w14:textId="77777777" w:rsidR="00DB7ABA" w:rsidRDefault="00DB7ABA" w:rsidP="00DB7ABA">
      <w:pPr>
        <w:spacing w:line="240" w:lineRule="auto"/>
        <w:contextualSpacing/>
        <w:jc w:val="both"/>
        <w:rPr>
          <w:rFonts w:ascii="Arial" w:hAnsi="Arial"/>
          <w:sz w:val="18"/>
          <w:highlight w:val="yellow"/>
          <w:lang w:val="el-GR"/>
        </w:rPr>
      </w:pPr>
      <w:r>
        <w:rPr>
          <w:rFonts w:ascii="Arial" w:hAnsi="Arial"/>
          <w:sz w:val="18"/>
          <w:lang w:val="el-GR"/>
        </w:rPr>
        <w:t>Το 2024, η</w:t>
      </w:r>
      <w:r w:rsidRPr="00E93A30">
        <w:rPr>
          <w:rFonts w:ascii="Arial" w:hAnsi="Arial"/>
          <w:sz w:val="18"/>
          <w:lang w:val="el-GR"/>
        </w:rPr>
        <w:t xml:space="preserve"> Τράπεζα </w:t>
      </w:r>
      <w:r>
        <w:rPr>
          <w:rFonts w:ascii="Arial" w:hAnsi="Arial"/>
          <w:sz w:val="18"/>
          <w:lang w:val="el-GR"/>
        </w:rPr>
        <w:t xml:space="preserve">εισήγαγε την λύση της κοινοπραξίας </w:t>
      </w:r>
      <w:r w:rsidRPr="00597F8C">
        <w:rPr>
          <w:rFonts w:ascii="Arial" w:hAnsi="Arial"/>
          <w:sz w:val="18"/>
          <w:lang w:val="el-GR"/>
        </w:rPr>
        <w:t>&lt;</w:t>
      </w:r>
      <w:proofErr w:type="spellStart"/>
      <w:r>
        <w:rPr>
          <w:rFonts w:ascii="Arial" w:hAnsi="Arial"/>
          <w:sz w:val="18"/>
          <w:lang w:val="en-US"/>
        </w:rPr>
        <w:t>Synesgy</w:t>
      </w:r>
      <w:proofErr w:type="spellEnd"/>
      <w:r>
        <w:rPr>
          <w:rFonts w:ascii="Arial" w:hAnsi="Arial"/>
          <w:sz w:val="18"/>
          <w:lang w:val="el-GR"/>
        </w:rPr>
        <w:t>&gt;</w:t>
      </w:r>
      <w:r w:rsidRPr="00AA62B1">
        <w:rPr>
          <w:rFonts w:ascii="Arial" w:hAnsi="Arial"/>
          <w:sz w:val="18"/>
          <w:lang w:val="el-GR"/>
        </w:rPr>
        <w:t xml:space="preserve"> </w:t>
      </w:r>
      <w:r>
        <w:rPr>
          <w:rFonts w:ascii="Arial" w:hAnsi="Arial"/>
          <w:sz w:val="18"/>
          <w:lang w:val="el-GR"/>
        </w:rPr>
        <w:t>(Δ</w:t>
      </w:r>
      <w:r w:rsidRPr="00E93A30">
        <w:rPr>
          <w:rFonts w:ascii="Arial" w:hAnsi="Arial"/>
          <w:sz w:val="18"/>
          <w:lang w:val="el-GR"/>
        </w:rPr>
        <w:t>ιαδικασί</w:t>
      </w:r>
      <w:r>
        <w:rPr>
          <w:rFonts w:ascii="Arial" w:hAnsi="Arial"/>
          <w:sz w:val="18"/>
          <w:lang w:val="el-GR"/>
        </w:rPr>
        <w:t>α</w:t>
      </w:r>
      <w:r w:rsidRPr="00E93A30">
        <w:rPr>
          <w:rFonts w:ascii="Arial" w:hAnsi="Arial"/>
          <w:sz w:val="18"/>
          <w:lang w:val="el-GR"/>
        </w:rPr>
        <w:t xml:space="preserve"> </w:t>
      </w:r>
      <w:r>
        <w:rPr>
          <w:rFonts w:ascii="Arial" w:hAnsi="Arial"/>
          <w:sz w:val="18"/>
          <w:lang w:val="el-GR"/>
        </w:rPr>
        <w:t>Δ</w:t>
      </w:r>
      <w:r w:rsidRPr="006957EC">
        <w:rPr>
          <w:rFonts w:ascii="Arial" w:hAnsi="Arial"/>
          <w:sz w:val="18"/>
          <w:lang w:val="el-GR"/>
        </w:rPr>
        <w:t xml:space="preserve">έουσας </w:t>
      </w:r>
      <w:r>
        <w:rPr>
          <w:rFonts w:ascii="Arial" w:hAnsi="Arial"/>
          <w:sz w:val="18"/>
          <w:lang w:val="el-GR"/>
        </w:rPr>
        <w:t>Ε</w:t>
      </w:r>
      <w:r w:rsidRPr="006957EC">
        <w:rPr>
          <w:rFonts w:ascii="Arial" w:hAnsi="Arial"/>
          <w:sz w:val="18"/>
          <w:lang w:val="el-GR"/>
        </w:rPr>
        <w:t>πιμέλειας ΠΚΔ</w:t>
      </w:r>
      <w:r>
        <w:rPr>
          <w:rFonts w:ascii="Arial" w:hAnsi="Arial"/>
          <w:sz w:val="18"/>
          <w:lang w:val="el-GR"/>
        </w:rPr>
        <w:t>)</w:t>
      </w:r>
      <w:r w:rsidRPr="006957EC">
        <w:rPr>
          <w:rFonts w:ascii="Arial" w:hAnsi="Arial"/>
          <w:sz w:val="18"/>
          <w:lang w:val="el-GR"/>
        </w:rPr>
        <w:t xml:space="preserve">, </w:t>
      </w:r>
      <w:r>
        <w:rPr>
          <w:rFonts w:ascii="Arial" w:hAnsi="Arial"/>
          <w:sz w:val="18"/>
          <w:lang w:val="el-GR"/>
        </w:rPr>
        <w:t xml:space="preserve">που εφαρμόζεται σε όλο το Τραπεζικό Σύστημα της Κύπρου, η οποία έχει </w:t>
      </w:r>
      <w:r w:rsidRPr="006957EC">
        <w:rPr>
          <w:rFonts w:ascii="Arial" w:hAnsi="Arial"/>
          <w:sz w:val="18"/>
          <w:lang w:val="el-GR"/>
        </w:rPr>
        <w:t>σχεδιαστεί ώστε να ενισχύσ</w:t>
      </w:r>
      <w:r>
        <w:rPr>
          <w:rFonts w:ascii="Arial" w:hAnsi="Arial"/>
          <w:sz w:val="18"/>
          <w:lang w:val="el-GR"/>
        </w:rPr>
        <w:t>ει</w:t>
      </w:r>
      <w:r w:rsidRPr="006957EC">
        <w:rPr>
          <w:rFonts w:ascii="Arial" w:hAnsi="Arial"/>
          <w:sz w:val="18"/>
          <w:lang w:val="el-GR"/>
        </w:rPr>
        <w:t xml:space="preserve"> τη διαδικασία συλλογής δεδομένων και την αξιολόγηση των πελάτων της σε σχέση με την επίδοσή τους στα διάφορα θέματα που αφορούν Κ&amp;Π κινδύνους και να παρέχει καθοδήγηση σχετικά με ενέργειες αποκατάστασης. Η διαδικασία αυτή περιλαμβάνει τη χρήση δομημένων ερωτηματολογίων </w:t>
      </w:r>
      <w:r>
        <w:rPr>
          <w:rFonts w:ascii="Arial" w:hAnsi="Arial"/>
          <w:sz w:val="18"/>
          <w:lang w:val="el-GR"/>
        </w:rPr>
        <w:t>ΠΚΔ, μέσω της πλατφόρμας &lt;</w:t>
      </w:r>
      <w:proofErr w:type="spellStart"/>
      <w:r>
        <w:rPr>
          <w:rFonts w:ascii="Arial" w:hAnsi="Arial"/>
          <w:sz w:val="18"/>
          <w:lang w:val="en-US"/>
        </w:rPr>
        <w:t>Synesgy</w:t>
      </w:r>
      <w:proofErr w:type="spellEnd"/>
      <w:r>
        <w:rPr>
          <w:rFonts w:ascii="Arial" w:hAnsi="Arial"/>
          <w:sz w:val="18"/>
          <w:lang w:val="el-GR"/>
        </w:rPr>
        <w:t>&gt;</w:t>
      </w:r>
      <w:r w:rsidRPr="00AA62B1">
        <w:rPr>
          <w:rFonts w:ascii="Arial" w:hAnsi="Arial"/>
          <w:sz w:val="18"/>
          <w:lang w:val="el-GR"/>
        </w:rPr>
        <w:t>,</w:t>
      </w:r>
      <w:r>
        <w:rPr>
          <w:rFonts w:ascii="Arial" w:hAnsi="Arial"/>
          <w:sz w:val="18"/>
          <w:lang w:val="el-GR"/>
        </w:rPr>
        <w:t xml:space="preserve"> </w:t>
      </w:r>
      <w:r w:rsidRPr="006957EC">
        <w:rPr>
          <w:rFonts w:ascii="Arial" w:hAnsi="Arial"/>
          <w:sz w:val="18"/>
          <w:lang w:val="el-GR"/>
        </w:rPr>
        <w:t xml:space="preserve">που εφαρμόζονται σε κάθε εταιρεία ώστε να εξάγει τη βαθμολογία ΠΚΔ. Η Τράπεζα έχει εισάγει μια δομημένη και ενδελεχή διαδικασία Αξιολόγησης Επιχειρηματικού Περιβάλλοντος για να παρακολουθεί τον αντίκτυπο των Κ&amp;Π κινδύνων βραχυπρόθεσμα, μεσοπρόθεσμα και μακροπρόθεσμα. Τα αποτελέσματα από </w:t>
      </w:r>
      <w:r>
        <w:rPr>
          <w:rFonts w:ascii="Arial" w:hAnsi="Arial"/>
          <w:sz w:val="18"/>
          <w:lang w:val="el-GR"/>
        </w:rPr>
        <w:t>την</w:t>
      </w:r>
      <w:r w:rsidRPr="006957EC">
        <w:rPr>
          <w:rFonts w:ascii="Arial" w:hAnsi="Arial"/>
          <w:sz w:val="18"/>
          <w:lang w:val="el-GR"/>
        </w:rPr>
        <w:t xml:space="preserve"> προκαταρκτική (τριμηνιαία) και τελική (ετήσια) ανάλυση αντικτύπου έχουν ενσωματωθεί στην ανάλυση σημαντικότητας των κινδύνων Κ&amp;Π και έχουν συμπεριληφθεί στην Επιχειρηματική Στρατηγική της Τράπεζας.</w:t>
      </w:r>
      <w:r w:rsidRPr="006D2D3F">
        <w:rPr>
          <w:rFonts w:ascii="Arial" w:hAnsi="Arial"/>
          <w:sz w:val="18"/>
          <w:highlight w:val="yellow"/>
          <w:lang w:val="el-GR"/>
        </w:rPr>
        <w:t xml:space="preserve"> </w:t>
      </w:r>
    </w:p>
    <w:p w14:paraId="49ED5367" w14:textId="77777777" w:rsidR="00DB7ABA" w:rsidRDefault="00DB7ABA" w:rsidP="00DB7ABA">
      <w:pPr>
        <w:spacing w:line="240" w:lineRule="auto"/>
        <w:contextualSpacing/>
        <w:jc w:val="both"/>
        <w:rPr>
          <w:rFonts w:ascii="Arial" w:hAnsi="Arial"/>
          <w:sz w:val="18"/>
          <w:lang w:val="el-GR"/>
        </w:rPr>
      </w:pPr>
    </w:p>
    <w:p w14:paraId="30A581CB" w14:textId="77777777" w:rsidR="00DB7ABA" w:rsidRPr="00DB485E" w:rsidRDefault="00DB7ABA" w:rsidP="00DB7ABA">
      <w:pPr>
        <w:spacing w:line="240" w:lineRule="auto"/>
        <w:jc w:val="both"/>
        <w:rPr>
          <w:rFonts w:ascii="Arial" w:hAnsi="Arial"/>
          <w:sz w:val="18"/>
          <w:lang w:val="el-GR"/>
        </w:rPr>
      </w:pPr>
      <w:r>
        <w:rPr>
          <w:rFonts w:ascii="Arial" w:hAnsi="Arial"/>
          <w:sz w:val="18"/>
          <w:lang w:val="el-GR"/>
        </w:rPr>
        <w:t>Η</w:t>
      </w:r>
      <w:r w:rsidRPr="005C4C9A">
        <w:rPr>
          <w:rFonts w:ascii="Arial" w:hAnsi="Arial"/>
          <w:sz w:val="18"/>
          <w:lang w:val="el-GR"/>
        </w:rPr>
        <w:t xml:space="preserve"> </w:t>
      </w:r>
      <w:r>
        <w:rPr>
          <w:rFonts w:ascii="Arial" w:hAnsi="Arial"/>
          <w:sz w:val="18"/>
          <w:lang w:val="el-GR"/>
        </w:rPr>
        <w:t>Τράπεζα</w:t>
      </w:r>
      <w:r w:rsidRPr="005C4C9A">
        <w:rPr>
          <w:rFonts w:ascii="Arial" w:hAnsi="Arial"/>
          <w:sz w:val="18"/>
          <w:lang w:val="el-GR"/>
        </w:rPr>
        <w:t xml:space="preserve"> προσφέρει μια σειρά προϊόντων φιλικών προς το περιβάλλον, με στόχο τη διαχείριση του κινδύνου μετάβασης και τη βοήθεια των πελατών της ώστε να γίνουν πιο βιώσιμοι. </w:t>
      </w:r>
      <w:r>
        <w:rPr>
          <w:rFonts w:ascii="Arial" w:hAnsi="Arial"/>
          <w:sz w:val="18"/>
          <w:lang w:val="el-GR"/>
        </w:rPr>
        <w:t>Συγκεκριμένα</w:t>
      </w:r>
      <w:r w:rsidRPr="005C4C9A">
        <w:rPr>
          <w:rFonts w:ascii="Arial" w:hAnsi="Arial"/>
          <w:sz w:val="18"/>
          <w:lang w:val="el-GR"/>
        </w:rPr>
        <w:t xml:space="preserve">, </w:t>
      </w:r>
      <w:r>
        <w:rPr>
          <w:rFonts w:ascii="Arial" w:hAnsi="Arial"/>
          <w:sz w:val="18"/>
          <w:lang w:val="el-GR"/>
        </w:rPr>
        <w:t>η Τράπεζα</w:t>
      </w:r>
      <w:r w:rsidRPr="005C4C9A">
        <w:rPr>
          <w:rFonts w:ascii="Arial" w:hAnsi="Arial"/>
          <w:sz w:val="18"/>
          <w:lang w:val="el-GR"/>
        </w:rPr>
        <w:t xml:space="preserve"> προσφέρει</w:t>
      </w:r>
      <w:r>
        <w:rPr>
          <w:rFonts w:ascii="Arial" w:hAnsi="Arial"/>
          <w:sz w:val="18"/>
          <w:lang w:val="el-GR"/>
        </w:rPr>
        <w:t xml:space="preserve"> δάνεια σε πελάτες για </w:t>
      </w:r>
      <w:r w:rsidRPr="00D96F98">
        <w:rPr>
          <w:rFonts w:ascii="Arial" w:hAnsi="Arial"/>
          <w:sz w:val="18"/>
          <w:lang w:val="el-GR"/>
        </w:rPr>
        <w:t>ενεργειακή αναβάθμιση</w:t>
      </w:r>
      <w:r>
        <w:rPr>
          <w:rFonts w:ascii="Arial" w:hAnsi="Arial"/>
          <w:sz w:val="18"/>
          <w:lang w:val="el-GR"/>
        </w:rPr>
        <w:t xml:space="preserve"> των κατοικιών τους, για εγκατάσταση </w:t>
      </w:r>
      <w:r w:rsidRPr="00695B10">
        <w:rPr>
          <w:rFonts w:ascii="Arial" w:hAnsi="Arial"/>
          <w:sz w:val="18"/>
          <w:lang w:val="el-GR"/>
        </w:rPr>
        <w:t xml:space="preserve">φωτοβολταϊκών </w:t>
      </w:r>
      <w:r w:rsidRPr="00225C27">
        <w:rPr>
          <w:rFonts w:ascii="Arial" w:hAnsi="Arial"/>
          <w:sz w:val="18"/>
          <w:lang w:val="el-GR"/>
        </w:rPr>
        <w:t>συστημάτων</w:t>
      </w:r>
      <w:r>
        <w:rPr>
          <w:rFonts w:ascii="Arial" w:hAnsi="Arial"/>
          <w:sz w:val="18"/>
          <w:lang w:val="el-GR"/>
        </w:rPr>
        <w:t xml:space="preserve">, για αγορά </w:t>
      </w:r>
      <w:r w:rsidRPr="00D96F98">
        <w:rPr>
          <w:rFonts w:ascii="Arial" w:hAnsi="Arial"/>
          <w:sz w:val="18"/>
          <w:lang w:val="el-GR"/>
        </w:rPr>
        <w:t>υβριδικ</w:t>
      </w:r>
      <w:r>
        <w:rPr>
          <w:rFonts w:ascii="Arial" w:hAnsi="Arial"/>
          <w:sz w:val="18"/>
          <w:lang w:val="el-GR"/>
        </w:rPr>
        <w:t>ών</w:t>
      </w:r>
      <w:r w:rsidRPr="00D96F98">
        <w:rPr>
          <w:rFonts w:ascii="Arial" w:hAnsi="Arial"/>
          <w:sz w:val="18"/>
          <w:lang w:val="el-GR"/>
        </w:rPr>
        <w:t xml:space="preserve"> ή ηλεκτρικ</w:t>
      </w:r>
      <w:r>
        <w:rPr>
          <w:rFonts w:ascii="Arial" w:hAnsi="Arial"/>
          <w:sz w:val="18"/>
          <w:lang w:val="el-GR"/>
        </w:rPr>
        <w:t>ών</w:t>
      </w:r>
      <w:r w:rsidRPr="00D96F98">
        <w:rPr>
          <w:rFonts w:ascii="Arial" w:hAnsi="Arial"/>
          <w:sz w:val="18"/>
          <w:lang w:val="el-GR"/>
        </w:rPr>
        <w:t xml:space="preserve"> αυτοκ</w:t>
      </w:r>
      <w:r>
        <w:rPr>
          <w:rFonts w:ascii="Arial" w:hAnsi="Arial"/>
          <w:sz w:val="18"/>
          <w:lang w:val="el-GR"/>
        </w:rPr>
        <w:t>ινήτων, καθώς επίσης χρηματοδοτεί έργα ανανεώσιμων πηγών ενέργειας. Επιπρόσθετα, κατ’ επέκταση της συλλογής Πιστοποιητικών ενεργειακής απόδοσης</w:t>
      </w:r>
      <w:r w:rsidRPr="00DB47E1">
        <w:rPr>
          <w:rFonts w:ascii="Arial" w:hAnsi="Arial"/>
          <w:sz w:val="18"/>
          <w:lang w:val="el-GR"/>
        </w:rPr>
        <w:t xml:space="preserve">, </w:t>
      </w:r>
      <w:r>
        <w:rPr>
          <w:rFonts w:ascii="Arial" w:hAnsi="Arial"/>
          <w:sz w:val="18"/>
          <w:lang w:val="el-GR"/>
        </w:rPr>
        <w:t xml:space="preserve">μέσα στο 2024, η Τράπεζα εντόπισε μεικτά δάνεια ύψους </w:t>
      </w:r>
      <w:r>
        <w:rPr>
          <w:rFonts w:ascii="Arial" w:hAnsi="Arial" w:cs="Arial"/>
          <w:sz w:val="18"/>
          <w:lang w:val="el-GR"/>
        </w:rPr>
        <w:t>€</w:t>
      </w:r>
      <w:r>
        <w:rPr>
          <w:rFonts w:ascii="Arial" w:hAnsi="Arial"/>
          <w:sz w:val="18"/>
          <w:lang w:val="el-GR"/>
        </w:rPr>
        <w:t>360.2 εκατ., στις 30 Σεπτεμβρίου 2024, που είναι συνδεδεμένα</w:t>
      </w:r>
      <w:r w:rsidRPr="00AA62B1">
        <w:rPr>
          <w:rFonts w:ascii="Arial" w:hAnsi="Arial"/>
          <w:sz w:val="18"/>
          <w:lang w:val="el-GR"/>
        </w:rPr>
        <w:t xml:space="preserve"> (</w:t>
      </w:r>
      <w:r>
        <w:rPr>
          <w:rFonts w:ascii="Arial" w:hAnsi="Arial"/>
          <w:sz w:val="18"/>
          <w:lang w:val="el-GR"/>
        </w:rPr>
        <w:t xml:space="preserve">χρηματοδοτούν ή εξασφαλίζονται) με κτίρια με Πιστοποιητικό ενεργειακής απόδοσης κατηγορίας Α. </w:t>
      </w:r>
      <w:r w:rsidRPr="00DB485E">
        <w:rPr>
          <w:rFonts w:ascii="Arial" w:hAnsi="Arial"/>
          <w:sz w:val="18"/>
          <w:lang w:val="el-GR"/>
        </w:rPr>
        <w:t xml:space="preserve">Το ύψος των δανείων </w:t>
      </w:r>
      <w:r>
        <w:rPr>
          <w:rFonts w:ascii="Arial" w:hAnsi="Arial"/>
          <w:sz w:val="18"/>
          <w:lang w:val="el-GR"/>
        </w:rPr>
        <w:t xml:space="preserve">που είναι </w:t>
      </w:r>
      <w:r w:rsidRPr="00DB485E">
        <w:rPr>
          <w:rFonts w:ascii="Arial" w:hAnsi="Arial"/>
          <w:sz w:val="18"/>
          <w:lang w:val="el-GR"/>
        </w:rPr>
        <w:t xml:space="preserve">φιλικά προς το περιβάλλον </w:t>
      </w:r>
      <w:r>
        <w:rPr>
          <w:rFonts w:ascii="Arial" w:hAnsi="Arial"/>
          <w:sz w:val="18"/>
          <w:lang w:val="el-GR"/>
        </w:rPr>
        <w:t xml:space="preserve">(περιλαμβανομένου και δανείων που είναι συνδεδεμένα με κτίρια με Πιστοποιητικό ενεργειακής απόδοσης κατηγορίας Α) </w:t>
      </w:r>
      <w:r w:rsidRPr="00DB485E">
        <w:rPr>
          <w:rFonts w:ascii="Arial" w:hAnsi="Arial"/>
          <w:sz w:val="18"/>
          <w:lang w:val="el-GR"/>
        </w:rPr>
        <w:t xml:space="preserve">ανήλθε στα </w:t>
      </w:r>
      <w:r w:rsidRPr="00DB485E">
        <w:rPr>
          <w:rFonts w:ascii="Arial" w:hAnsi="Arial" w:cs="Arial"/>
          <w:sz w:val="18"/>
          <w:szCs w:val="18"/>
          <w:lang w:val="el-GR"/>
        </w:rPr>
        <w:t>€</w:t>
      </w:r>
      <w:r>
        <w:rPr>
          <w:rFonts w:ascii="Arial" w:hAnsi="Arial" w:cs="Arial"/>
          <w:sz w:val="18"/>
          <w:szCs w:val="18"/>
          <w:lang w:val="el-GR"/>
        </w:rPr>
        <w:t>393.6</w:t>
      </w:r>
      <w:r w:rsidRPr="00DB485E">
        <w:rPr>
          <w:rFonts w:ascii="Arial" w:hAnsi="Arial"/>
          <w:sz w:val="18"/>
          <w:lang w:val="el-GR"/>
        </w:rPr>
        <w:t xml:space="preserve"> </w:t>
      </w:r>
      <w:r w:rsidRPr="00DB485E">
        <w:rPr>
          <w:rFonts w:ascii="Arial" w:hAnsi="Arial" w:cs="Arial"/>
          <w:sz w:val="18"/>
          <w:szCs w:val="18"/>
          <w:lang w:val="el-GR"/>
        </w:rPr>
        <w:t xml:space="preserve">εκατ. </w:t>
      </w:r>
      <w:r>
        <w:rPr>
          <w:rFonts w:ascii="Arial" w:hAnsi="Arial" w:cs="Arial"/>
          <w:sz w:val="18"/>
          <w:szCs w:val="18"/>
          <w:lang w:val="el-GR"/>
        </w:rPr>
        <w:t xml:space="preserve">στις 30 Σεπτεμβρίου 2024 </w:t>
      </w:r>
      <w:r w:rsidRPr="00DB485E">
        <w:rPr>
          <w:rFonts w:ascii="Arial" w:hAnsi="Arial" w:cs="Arial"/>
          <w:sz w:val="18"/>
          <w:szCs w:val="18"/>
          <w:lang w:val="el-GR"/>
        </w:rPr>
        <w:t>σε σύγκριση με €</w:t>
      </w:r>
      <w:r>
        <w:rPr>
          <w:rFonts w:ascii="Arial" w:hAnsi="Arial" w:cs="Arial"/>
          <w:sz w:val="18"/>
          <w:szCs w:val="18"/>
          <w:lang w:val="el-GR"/>
        </w:rPr>
        <w:t>272.0</w:t>
      </w:r>
      <w:r w:rsidRPr="00DB485E">
        <w:rPr>
          <w:rFonts w:ascii="Arial" w:hAnsi="Arial" w:cs="Arial"/>
          <w:sz w:val="18"/>
          <w:szCs w:val="18"/>
          <w:lang w:val="el-GR"/>
        </w:rPr>
        <w:t xml:space="preserve"> εκατ. στις 31 Δεκεμβρίου 202</w:t>
      </w:r>
      <w:r>
        <w:rPr>
          <w:rFonts w:ascii="Arial" w:hAnsi="Arial" w:cs="Arial"/>
          <w:sz w:val="18"/>
          <w:szCs w:val="18"/>
          <w:lang w:val="el-GR"/>
        </w:rPr>
        <w:t>3</w:t>
      </w:r>
      <w:r w:rsidRPr="00DB485E">
        <w:rPr>
          <w:rFonts w:ascii="Arial" w:hAnsi="Arial" w:cs="Arial"/>
          <w:sz w:val="18"/>
          <w:szCs w:val="18"/>
          <w:lang w:val="el-GR"/>
        </w:rPr>
        <w:t xml:space="preserve">. </w:t>
      </w:r>
      <w:r w:rsidRPr="00DB485E">
        <w:rPr>
          <w:rFonts w:ascii="Arial" w:hAnsi="Arial"/>
          <w:sz w:val="18"/>
          <w:lang w:val="el-GR"/>
        </w:rPr>
        <w:t xml:space="preserve"> </w:t>
      </w:r>
    </w:p>
    <w:p w14:paraId="58710763" w14:textId="463E1308" w:rsidR="00DB7ABA" w:rsidRPr="00DB485E" w:rsidRDefault="00DB7ABA" w:rsidP="00DB7ABA">
      <w:pPr>
        <w:spacing w:line="240" w:lineRule="auto"/>
        <w:contextualSpacing/>
        <w:jc w:val="both"/>
        <w:rPr>
          <w:rFonts w:ascii="Arial" w:hAnsi="Arial"/>
          <w:sz w:val="18"/>
          <w:lang w:val="el-GR"/>
        </w:rPr>
      </w:pPr>
      <w:r>
        <w:rPr>
          <w:rFonts w:ascii="Arial" w:hAnsi="Arial"/>
          <w:sz w:val="18"/>
          <w:lang w:val="el-GR"/>
        </w:rPr>
        <w:t>Μέχρι το τέλος του</w:t>
      </w:r>
      <w:r w:rsidRPr="00DB485E">
        <w:rPr>
          <w:rFonts w:ascii="Arial" w:hAnsi="Arial"/>
          <w:sz w:val="18"/>
          <w:lang w:val="el-GR"/>
        </w:rPr>
        <w:t xml:space="preserve"> </w:t>
      </w:r>
      <w:r>
        <w:rPr>
          <w:rFonts w:ascii="Arial" w:hAnsi="Arial"/>
          <w:sz w:val="18"/>
          <w:lang w:val="el-GR"/>
        </w:rPr>
        <w:t>ε</w:t>
      </w:r>
      <w:r w:rsidR="00E07418">
        <w:rPr>
          <w:rFonts w:ascii="Arial" w:hAnsi="Arial"/>
          <w:sz w:val="18"/>
          <w:lang w:val="el-GR"/>
        </w:rPr>
        <w:t xml:space="preserve">ννεάμηνου </w:t>
      </w:r>
      <w:r>
        <w:rPr>
          <w:rFonts w:ascii="Arial" w:hAnsi="Arial"/>
          <w:sz w:val="18"/>
          <w:lang w:val="el-GR"/>
        </w:rPr>
        <w:t>που έληξε στις 30 Σεπτεμβρίου 2024</w:t>
      </w:r>
      <w:r w:rsidRPr="00DB485E">
        <w:rPr>
          <w:rFonts w:ascii="Arial" w:hAnsi="Arial"/>
          <w:sz w:val="18"/>
          <w:lang w:val="el-GR"/>
        </w:rPr>
        <w:t>, με στόχο την ενίσχυση της γνώσης και δεξιοτήτων σε θέματα ΠΚΔ, το Συγκρότημα έχει προσφέρει εκπαίδευση στα μέλη του προσωπικού των λειτουργιών ελέγχου</w:t>
      </w:r>
      <w:r>
        <w:rPr>
          <w:rFonts w:ascii="Arial" w:hAnsi="Arial"/>
          <w:sz w:val="18"/>
          <w:lang w:val="el-GR"/>
        </w:rPr>
        <w:t>, των θυγατρικών ασφαλιστικών εταιρειών και</w:t>
      </w:r>
      <w:r w:rsidRPr="00DB485E">
        <w:rPr>
          <w:rFonts w:ascii="Arial" w:hAnsi="Arial"/>
          <w:sz w:val="18"/>
          <w:lang w:val="el-GR"/>
        </w:rPr>
        <w:t xml:space="preserve"> στο Διοικητικό Συμβούλιο </w:t>
      </w:r>
      <w:r>
        <w:rPr>
          <w:rFonts w:ascii="Arial" w:hAnsi="Arial"/>
          <w:sz w:val="18"/>
          <w:lang w:val="el-GR"/>
        </w:rPr>
        <w:t xml:space="preserve">και προγραμματίζει να διεξάγει εκπαιδεύσεις </w:t>
      </w:r>
      <w:r w:rsidRPr="00DB485E">
        <w:rPr>
          <w:rFonts w:ascii="Arial" w:hAnsi="Arial"/>
          <w:sz w:val="18"/>
          <w:lang w:val="el-GR"/>
        </w:rPr>
        <w:t>την Ανώτερη Διεύθυνση καθώς επίσης και σε άλλα μέλη του προσωπικού.</w:t>
      </w:r>
    </w:p>
    <w:p w14:paraId="0AC0C991" w14:textId="77777777" w:rsidR="00211AC5" w:rsidRPr="00D41B36" w:rsidRDefault="00211AC5" w:rsidP="00211AC5">
      <w:pPr>
        <w:spacing w:line="240" w:lineRule="auto"/>
        <w:contextualSpacing/>
        <w:jc w:val="both"/>
        <w:rPr>
          <w:rFonts w:ascii="Arial" w:hAnsi="Arial"/>
          <w:sz w:val="18"/>
          <w:highlight w:val="yellow"/>
          <w:lang w:val="el-GR"/>
        </w:rPr>
      </w:pPr>
    </w:p>
    <w:p w14:paraId="0BD72220" w14:textId="3E2B86C8" w:rsidR="00CE36EC" w:rsidRPr="00DB7ABA" w:rsidRDefault="00CE36EC" w:rsidP="00CE3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Arial" w:hAnsi="Arial" w:cs="Arial"/>
          <w:i/>
          <w:iCs/>
          <w:sz w:val="18"/>
          <w:lang w:val="el-GR"/>
        </w:rPr>
      </w:pPr>
      <w:r w:rsidRPr="00DB7ABA">
        <w:rPr>
          <w:rFonts w:ascii="Arial" w:hAnsi="Arial" w:cs="Arial"/>
          <w:i/>
          <w:iCs/>
          <w:sz w:val="18"/>
          <w:lang w:val="el-GR"/>
        </w:rPr>
        <w:t xml:space="preserve">Κοινωνία </w:t>
      </w:r>
    </w:p>
    <w:p w14:paraId="7F918C58" w14:textId="77777777" w:rsidR="00DB7ABA" w:rsidRDefault="00DB7ABA" w:rsidP="00DB7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Arial" w:hAnsi="Arial"/>
          <w:sz w:val="18"/>
          <w:lang w:val="el-GR"/>
        </w:rPr>
      </w:pPr>
      <w:r w:rsidRPr="00DB485E">
        <w:rPr>
          <w:rFonts w:ascii="Arial" w:hAnsi="Arial"/>
          <w:sz w:val="18"/>
          <w:lang w:val="el-GR"/>
        </w:rPr>
        <w:t xml:space="preserve">Στο επίκεντρο του ηγετικού κοινωνικού ρόλου του Συγκροτήματος βρίσκονται οι </w:t>
      </w:r>
      <w:r>
        <w:rPr>
          <w:rFonts w:ascii="Arial" w:hAnsi="Arial"/>
          <w:sz w:val="18"/>
          <w:lang w:val="el-GR"/>
        </w:rPr>
        <w:t>συνεισφορές</w:t>
      </w:r>
      <w:r w:rsidRPr="00DB485E">
        <w:rPr>
          <w:rFonts w:ascii="Arial" w:hAnsi="Arial"/>
          <w:sz w:val="18"/>
          <w:lang w:val="el-GR"/>
        </w:rPr>
        <w:t>, στο Ογκολογικό Κέντρο Τράπεζας Κύπρου (με συνολικ</w:t>
      </w:r>
      <w:r>
        <w:rPr>
          <w:rFonts w:ascii="Arial" w:hAnsi="Arial"/>
          <w:sz w:val="18"/>
          <w:lang w:val="el-GR"/>
        </w:rPr>
        <w:t>ό</w:t>
      </w:r>
      <w:r w:rsidRPr="00DB485E">
        <w:rPr>
          <w:rFonts w:ascii="Arial" w:hAnsi="Arial"/>
          <w:sz w:val="18"/>
          <w:lang w:val="el-GR"/>
        </w:rPr>
        <w:t xml:space="preserve"> </w:t>
      </w:r>
      <w:r>
        <w:rPr>
          <w:rFonts w:ascii="Arial" w:hAnsi="Arial"/>
          <w:sz w:val="18"/>
          <w:lang w:val="el-GR"/>
        </w:rPr>
        <w:t xml:space="preserve">ποσό ύψους </w:t>
      </w:r>
      <w:r w:rsidRPr="00DB485E">
        <w:rPr>
          <w:rFonts w:ascii="Arial" w:hAnsi="Arial"/>
          <w:sz w:val="18"/>
          <w:lang w:val="el-GR"/>
        </w:rPr>
        <w:t xml:space="preserve">περίπου €70 εκατ. από το 1998, </w:t>
      </w:r>
      <w:r>
        <w:rPr>
          <w:rFonts w:ascii="Arial" w:hAnsi="Arial"/>
          <w:sz w:val="18"/>
          <w:lang w:val="el-GR"/>
        </w:rPr>
        <w:t>ενώ 55</w:t>
      </w:r>
      <w:r w:rsidRPr="00DB485E">
        <w:rPr>
          <w:rFonts w:ascii="Arial" w:hAnsi="Arial"/>
          <w:sz w:val="18"/>
          <w:lang w:val="el-GR"/>
        </w:rPr>
        <w:t xml:space="preserve">% των διαγνωσμένων περιπτώσεων καρκίνου στην Κύπρο νοσηλεύεται στο Κέντρο), η άμεση και αποτελεσματική ανταπόκριση του Δικτύου </w:t>
      </w:r>
      <w:proofErr w:type="spellStart"/>
      <w:r w:rsidRPr="00DB485E">
        <w:rPr>
          <w:rFonts w:ascii="Arial" w:hAnsi="Arial"/>
          <w:sz w:val="18"/>
          <w:lang w:val="el-GR"/>
        </w:rPr>
        <w:t>SupportCY</w:t>
      </w:r>
      <w:proofErr w:type="spellEnd"/>
      <w:r w:rsidRPr="00DB485E">
        <w:rPr>
          <w:rFonts w:ascii="Arial" w:hAnsi="Arial"/>
          <w:sz w:val="18"/>
          <w:lang w:val="el-GR"/>
        </w:rPr>
        <w:t xml:space="preserve">, το οποίο αποτελείται από εταιρείες και οργανισμούς που ανταποκρίνονται στις ανάγκες της κοινωνίας, </w:t>
      </w:r>
      <w:r>
        <w:rPr>
          <w:rFonts w:ascii="Arial" w:hAnsi="Arial"/>
          <w:sz w:val="18"/>
          <w:lang w:val="el-GR"/>
        </w:rPr>
        <w:t xml:space="preserve">τόσο </w:t>
      </w:r>
      <w:r w:rsidRPr="00DB485E">
        <w:rPr>
          <w:rFonts w:ascii="Arial" w:hAnsi="Arial"/>
          <w:sz w:val="18"/>
          <w:lang w:val="el-GR"/>
        </w:rPr>
        <w:t xml:space="preserve">σε περιόδους κρίσης και επείγουσας ανάγκης μέσω της ενεργοποίησης προγραμμάτων, παροχής εξειδικευμένου εξοπλισμού, </w:t>
      </w:r>
      <w:r>
        <w:rPr>
          <w:rFonts w:ascii="Arial" w:hAnsi="Arial"/>
          <w:sz w:val="18"/>
          <w:lang w:val="el-GR"/>
        </w:rPr>
        <w:t xml:space="preserve">όσο </w:t>
      </w:r>
      <w:r w:rsidRPr="00DB485E">
        <w:rPr>
          <w:rFonts w:ascii="Arial" w:hAnsi="Arial"/>
          <w:sz w:val="18"/>
          <w:lang w:val="el-GR"/>
        </w:rPr>
        <w:t>και μέσω καλά καταρτισμένου σώματος εθελοντών, η συμβολή του Πολιτιστικού Ιδρύματος Τράπεζας Κύπρου στην προώθηση της πολιτιστικής κληρονομιάς του νησιού και η προσφορά του Κέντρο</w:t>
      </w:r>
      <w:r>
        <w:rPr>
          <w:rFonts w:ascii="Arial" w:hAnsi="Arial"/>
          <w:sz w:val="18"/>
          <w:lang w:val="el-GR"/>
        </w:rPr>
        <w:t>υ</w:t>
      </w:r>
      <w:r w:rsidRPr="00DB485E">
        <w:rPr>
          <w:rFonts w:ascii="Arial" w:hAnsi="Arial"/>
          <w:sz w:val="18"/>
          <w:lang w:val="el-GR"/>
        </w:rPr>
        <w:t xml:space="preserve"> Καινοτομίας IDEA. </w:t>
      </w:r>
    </w:p>
    <w:p w14:paraId="0DC1F6E5" w14:textId="77777777" w:rsidR="00DB7ABA" w:rsidRPr="00597F8C" w:rsidRDefault="00DB7ABA" w:rsidP="00DB7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Arial" w:hAnsi="Arial"/>
          <w:sz w:val="18"/>
          <w:lang w:val="el-GR"/>
        </w:rPr>
      </w:pPr>
    </w:p>
    <w:p w14:paraId="65296A75" w14:textId="791F25E3" w:rsidR="00DB7ABA" w:rsidRPr="00A2157D" w:rsidRDefault="00DB7ABA" w:rsidP="00DB7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Arial" w:hAnsi="Arial"/>
          <w:sz w:val="18"/>
          <w:lang w:val="el-GR"/>
        </w:rPr>
      </w:pPr>
      <w:r>
        <w:rPr>
          <w:rFonts w:ascii="Arial" w:hAnsi="Arial"/>
          <w:sz w:val="18"/>
          <w:lang w:val="el-GR"/>
        </w:rPr>
        <w:t>Κατά την διάρκεια του τρίτου τριμήνου που έληξε στις 30 Σεπτεμβρίου 2024 εγκαινιάστηκε η νέα έκθεση &lt;</w:t>
      </w:r>
      <w:r>
        <w:rPr>
          <w:rFonts w:ascii="Arial" w:hAnsi="Arial"/>
          <w:sz w:val="18"/>
          <w:lang w:val="en-US"/>
        </w:rPr>
        <w:t>Cyprus</w:t>
      </w:r>
      <w:r w:rsidRPr="00AA62B1">
        <w:rPr>
          <w:rFonts w:ascii="Arial" w:hAnsi="Arial"/>
          <w:sz w:val="18"/>
          <w:lang w:val="el-GR"/>
        </w:rPr>
        <w:t xml:space="preserve"> </w:t>
      </w:r>
      <w:r>
        <w:rPr>
          <w:rFonts w:ascii="Arial" w:hAnsi="Arial"/>
          <w:sz w:val="18"/>
          <w:lang w:val="en-US"/>
        </w:rPr>
        <w:t>Insula</w:t>
      </w:r>
      <w:r>
        <w:rPr>
          <w:rFonts w:ascii="Arial" w:hAnsi="Arial"/>
          <w:sz w:val="18"/>
          <w:lang w:val="el-GR"/>
        </w:rPr>
        <w:t xml:space="preserve">&gt; στις ανακαινισμένες εγκαταστάσεις και τα μουσεία του Πολιτιστικού Ιδρύματος. Η </w:t>
      </w:r>
      <w:r w:rsidRPr="00823AC4">
        <w:rPr>
          <w:rFonts w:ascii="Arial" w:hAnsi="Arial"/>
          <w:sz w:val="18"/>
          <w:lang w:val="el-GR"/>
        </w:rPr>
        <w:t xml:space="preserve">συνολική συμμετοχή στις εκδηλώσεις του Πολιτιστικού Ιδρύματος </w:t>
      </w:r>
      <w:r>
        <w:rPr>
          <w:rFonts w:ascii="Arial" w:hAnsi="Arial"/>
          <w:sz w:val="18"/>
          <w:lang w:val="el-GR"/>
        </w:rPr>
        <w:t xml:space="preserve">μέχρι το </w:t>
      </w:r>
      <w:r w:rsidR="007F219E">
        <w:rPr>
          <w:rFonts w:ascii="Arial" w:hAnsi="Arial"/>
          <w:sz w:val="18"/>
          <w:lang w:val="el-GR"/>
        </w:rPr>
        <w:t>εννεάμηνο</w:t>
      </w:r>
      <w:r>
        <w:rPr>
          <w:rFonts w:ascii="Arial" w:hAnsi="Arial"/>
          <w:sz w:val="18"/>
          <w:lang w:val="el-GR"/>
        </w:rPr>
        <w:t xml:space="preserve"> που έληξε στις 30 Σεπτεμβρίου 2024 ήταν 17,263 άτομα.</w:t>
      </w:r>
    </w:p>
    <w:p w14:paraId="00E5FE59" w14:textId="77777777" w:rsidR="00DB7ABA" w:rsidRDefault="00DB7ABA" w:rsidP="00DB7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Arial" w:hAnsi="Arial"/>
          <w:sz w:val="18"/>
          <w:lang w:val="el-GR"/>
        </w:rPr>
      </w:pPr>
    </w:p>
    <w:p w14:paraId="125B48C5" w14:textId="6E16C7A4" w:rsidR="00DB7ABA" w:rsidRPr="000E7250" w:rsidRDefault="00DB7ABA" w:rsidP="00DB7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Arial" w:hAnsi="Arial"/>
          <w:sz w:val="18"/>
          <w:lang w:val="el-GR"/>
        </w:rPr>
      </w:pPr>
      <w:r w:rsidRPr="00823AC4">
        <w:rPr>
          <w:rFonts w:ascii="Arial" w:hAnsi="Arial"/>
          <w:sz w:val="18"/>
          <w:lang w:val="el-GR"/>
        </w:rPr>
        <w:t>Το  Κέντρο Καινοτομίας IDEA επένδυσε περίπου €4</w:t>
      </w:r>
      <w:r w:rsidR="00E07418" w:rsidRPr="00F72BA9">
        <w:rPr>
          <w:rFonts w:ascii="Arial" w:hAnsi="Arial"/>
          <w:sz w:val="18"/>
          <w:lang w:val="el-GR"/>
        </w:rPr>
        <w:t>.</w:t>
      </w:r>
      <w:r>
        <w:rPr>
          <w:rFonts w:ascii="Arial" w:hAnsi="Arial"/>
          <w:sz w:val="18"/>
          <w:lang w:val="el-GR"/>
        </w:rPr>
        <w:t>25</w:t>
      </w:r>
      <w:r w:rsidRPr="00823AC4">
        <w:rPr>
          <w:rFonts w:ascii="Arial" w:hAnsi="Arial"/>
          <w:sz w:val="18"/>
          <w:lang w:val="el-GR"/>
        </w:rPr>
        <w:t xml:space="preserve"> εκατ. σε νεοφυείς επιχειρήσεις από την ίδρυσή του, υποστήριξε τη δημιουργία </w:t>
      </w:r>
      <w:r>
        <w:rPr>
          <w:rFonts w:ascii="Arial" w:hAnsi="Arial"/>
          <w:sz w:val="18"/>
          <w:lang w:val="el-GR"/>
        </w:rPr>
        <w:t>95</w:t>
      </w:r>
      <w:r w:rsidRPr="00823AC4">
        <w:rPr>
          <w:rFonts w:ascii="Arial" w:hAnsi="Arial"/>
          <w:sz w:val="18"/>
          <w:lang w:val="el-GR"/>
        </w:rPr>
        <w:t xml:space="preserve"> νέων εταιρειών μέχρι σήμερα, παρείχε υποστήριξη </w:t>
      </w:r>
      <w:r>
        <w:rPr>
          <w:rFonts w:ascii="Arial" w:hAnsi="Arial"/>
          <w:sz w:val="18"/>
          <w:lang w:val="el-GR"/>
        </w:rPr>
        <w:t xml:space="preserve">σε περισσότερους από </w:t>
      </w:r>
      <w:r w:rsidRPr="00823AC4">
        <w:rPr>
          <w:rFonts w:ascii="Arial" w:hAnsi="Arial"/>
          <w:sz w:val="18"/>
          <w:lang w:val="el-GR"/>
        </w:rPr>
        <w:t>2</w:t>
      </w:r>
      <w:r>
        <w:rPr>
          <w:rFonts w:ascii="Arial" w:hAnsi="Arial"/>
          <w:sz w:val="18"/>
          <w:lang w:val="el-GR"/>
        </w:rPr>
        <w:t>3</w:t>
      </w:r>
      <w:r w:rsidRPr="00823AC4">
        <w:rPr>
          <w:rFonts w:ascii="Arial" w:hAnsi="Arial"/>
          <w:sz w:val="18"/>
          <w:lang w:val="el-GR"/>
        </w:rPr>
        <w:t>0 επιχειρηματίες</w:t>
      </w:r>
      <w:r>
        <w:rPr>
          <w:rFonts w:ascii="Arial" w:hAnsi="Arial"/>
          <w:sz w:val="18"/>
          <w:lang w:val="el-GR"/>
        </w:rPr>
        <w:t xml:space="preserve"> </w:t>
      </w:r>
      <w:r w:rsidRPr="00823AC4">
        <w:rPr>
          <w:rFonts w:ascii="Arial" w:hAnsi="Arial"/>
          <w:sz w:val="18"/>
          <w:lang w:val="el-GR"/>
        </w:rPr>
        <w:t xml:space="preserve">από την ίδρυσή του, μέσα από το Πρόγραμμα Ανάπτυξης Καινοτόμων Επιχειρήσεων και παρείχε </w:t>
      </w:r>
      <w:r>
        <w:rPr>
          <w:rFonts w:ascii="Arial" w:hAnsi="Arial"/>
          <w:sz w:val="18"/>
          <w:lang w:val="el-GR"/>
        </w:rPr>
        <w:t xml:space="preserve">υποστήριξη για την δημιουργία </w:t>
      </w:r>
      <w:r w:rsidRPr="00823AC4">
        <w:rPr>
          <w:rFonts w:ascii="Arial" w:hAnsi="Arial"/>
          <w:sz w:val="18"/>
          <w:lang w:val="el-GR"/>
        </w:rPr>
        <w:t xml:space="preserve">πέραν των </w:t>
      </w:r>
      <w:r>
        <w:rPr>
          <w:rFonts w:ascii="Arial" w:hAnsi="Arial"/>
          <w:sz w:val="18"/>
          <w:lang w:val="el-GR"/>
        </w:rPr>
        <w:t>110 νέων θέσεων εργασίας στην Κυπριακή Οικονομία</w:t>
      </w:r>
      <w:r w:rsidRPr="00823AC4">
        <w:rPr>
          <w:rFonts w:ascii="Arial" w:hAnsi="Arial"/>
          <w:sz w:val="18"/>
          <w:lang w:val="el-GR"/>
        </w:rPr>
        <w:t xml:space="preserve">. Μέλη του προσωπικού συνέχισαν να συμμετέχουν σε εθελοντικές δράσεις για υποστήριξη φιλανθρωπικών ιδρυμάτων, ανθρώπων που έχουν ανάγκη και σε δράσεις που στοχεύουν στην  προστασία του περιβάλλοντος. </w:t>
      </w:r>
    </w:p>
    <w:p w14:paraId="53035607" w14:textId="77777777" w:rsidR="00DB7ABA" w:rsidRPr="000E7250" w:rsidRDefault="00DB7ABA" w:rsidP="00DB7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Arial" w:hAnsi="Arial"/>
          <w:sz w:val="18"/>
          <w:lang w:val="el-GR"/>
        </w:rPr>
      </w:pPr>
    </w:p>
    <w:p w14:paraId="4208332E" w14:textId="26928A26" w:rsidR="00DB7ABA" w:rsidRPr="00FE15DE" w:rsidRDefault="00DB7ABA" w:rsidP="00DB7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Arial" w:hAnsi="Arial"/>
          <w:sz w:val="18"/>
          <w:lang w:val="el-GR"/>
        </w:rPr>
      </w:pPr>
      <w:r w:rsidRPr="000E7250">
        <w:rPr>
          <w:rFonts w:ascii="Arial" w:hAnsi="Arial"/>
          <w:sz w:val="18"/>
          <w:lang w:val="el-GR"/>
        </w:rPr>
        <w:t xml:space="preserve">Το Συγκρότημα συνέχισε να αναβαθμίζει τις δεξιότητες του προσωπικού του παρέχοντας ευκαιρίες εκπαίδευσης και ανάπτυξης σε όλο το προσωπικό και αξιοποιώντας σύγχρονες μεθόδους εκπαίδευσης. Κατά το </w:t>
      </w:r>
      <w:r w:rsidR="007F219E">
        <w:rPr>
          <w:rFonts w:ascii="Arial" w:hAnsi="Arial"/>
          <w:sz w:val="18"/>
          <w:lang w:val="el-GR"/>
        </w:rPr>
        <w:t>εννεάμηνο</w:t>
      </w:r>
      <w:r>
        <w:rPr>
          <w:rFonts w:ascii="Arial" w:hAnsi="Arial"/>
          <w:sz w:val="18"/>
          <w:lang w:val="el-GR"/>
        </w:rPr>
        <w:t xml:space="preserve"> που έληξε στις 30 Σεπτεμβρίου 2024</w:t>
      </w:r>
      <w:r w:rsidRPr="000E7250">
        <w:rPr>
          <w:rFonts w:ascii="Arial" w:hAnsi="Arial"/>
          <w:sz w:val="18"/>
          <w:lang w:val="el-GR"/>
        </w:rPr>
        <w:t xml:space="preserve">, οι υπάλληλοι της </w:t>
      </w:r>
      <w:r w:rsidRPr="00D66505">
        <w:rPr>
          <w:rFonts w:ascii="Arial" w:hAnsi="Arial"/>
          <w:sz w:val="18"/>
          <w:lang w:val="el-GR"/>
        </w:rPr>
        <w:t xml:space="preserve">Τράπεζας παρακολούθησαν σεμινάρια που αντιστοιχούσαν σε </w:t>
      </w:r>
      <w:r>
        <w:rPr>
          <w:rFonts w:ascii="Arial" w:hAnsi="Arial"/>
          <w:sz w:val="18"/>
          <w:lang w:val="el-GR"/>
        </w:rPr>
        <w:t>50,496</w:t>
      </w:r>
      <w:r w:rsidRPr="00D66505">
        <w:rPr>
          <w:rFonts w:ascii="Arial" w:hAnsi="Arial"/>
          <w:sz w:val="18"/>
          <w:lang w:val="el-GR"/>
        </w:rPr>
        <w:t xml:space="preserve"> ώρες εκπαίδευσης. </w:t>
      </w:r>
      <w:r w:rsidRPr="00A10357">
        <w:rPr>
          <w:rFonts w:ascii="Arial" w:hAnsi="Arial"/>
          <w:sz w:val="18"/>
          <w:lang w:val="el-GR"/>
        </w:rPr>
        <w:t>Επίσης, το Συγκρότημα συνέχισε να δίνει  έμφαση στην ευεξία του προσωπικού το 202</w:t>
      </w:r>
      <w:r>
        <w:rPr>
          <w:rFonts w:ascii="Arial" w:hAnsi="Arial"/>
          <w:sz w:val="18"/>
          <w:lang w:val="el-GR"/>
        </w:rPr>
        <w:t>4</w:t>
      </w:r>
      <w:r w:rsidRPr="00A10357">
        <w:rPr>
          <w:rFonts w:ascii="Arial" w:hAnsi="Arial"/>
          <w:sz w:val="18"/>
          <w:lang w:val="el-GR"/>
        </w:rPr>
        <w:t xml:space="preserve"> προσφέροντας σεμινάρια, ομαδικές και οικογενειακές δραστηριότητες που είχαν ως αποκλειστικό στόχο την ενίσχυση της ψυχικής, σωματικής, οικονομικής και κοινωνικής ευρωστίας του προσωπικού, στα οποία έλαβαν μέρος περίπου </w:t>
      </w:r>
      <w:r>
        <w:rPr>
          <w:rFonts w:ascii="Arial" w:hAnsi="Arial"/>
          <w:sz w:val="18"/>
          <w:lang w:val="el-GR"/>
        </w:rPr>
        <w:t xml:space="preserve">1,000 </w:t>
      </w:r>
      <w:r w:rsidRPr="00A10357">
        <w:rPr>
          <w:rFonts w:ascii="Arial" w:hAnsi="Arial"/>
          <w:sz w:val="18"/>
          <w:lang w:val="el-GR"/>
        </w:rPr>
        <w:t xml:space="preserve">μέλη </w:t>
      </w:r>
      <w:r w:rsidRPr="00063074">
        <w:rPr>
          <w:rFonts w:ascii="Arial" w:hAnsi="Arial"/>
          <w:sz w:val="18"/>
          <w:lang w:val="el-GR"/>
        </w:rPr>
        <w:t xml:space="preserve">του προσωπικού, μέσω του προγράμματος </w:t>
      </w:r>
      <w:r w:rsidRPr="00063074">
        <w:rPr>
          <w:rFonts w:ascii="Arial" w:hAnsi="Arial"/>
          <w:sz w:val="18"/>
          <w:lang w:val="en-US"/>
        </w:rPr>
        <w:t>Well</w:t>
      </w:r>
      <w:r w:rsidRPr="00063074">
        <w:rPr>
          <w:rFonts w:ascii="Arial" w:hAnsi="Arial"/>
          <w:sz w:val="18"/>
          <w:lang w:val="el-GR"/>
        </w:rPr>
        <w:t xml:space="preserve"> </w:t>
      </w:r>
      <w:proofErr w:type="spellStart"/>
      <w:r w:rsidRPr="00063074">
        <w:rPr>
          <w:rFonts w:ascii="Arial" w:hAnsi="Arial"/>
          <w:sz w:val="18"/>
          <w:lang w:val="el-GR"/>
        </w:rPr>
        <w:t>at</w:t>
      </w:r>
      <w:proofErr w:type="spellEnd"/>
      <w:r w:rsidRPr="00063074">
        <w:rPr>
          <w:rFonts w:ascii="Arial" w:hAnsi="Arial"/>
          <w:sz w:val="18"/>
          <w:lang w:val="el-GR"/>
        </w:rPr>
        <w:t xml:space="preserve"> </w:t>
      </w:r>
      <w:proofErr w:type="spellStart"/>
      <w:r w:rsidRPr="00063074">
        <w:rPr>
          <w:rFonts w:ascii="Arial" w:hAnsi="Arial"/>
          <w:sz w:val="18"/>
          <w:lang w:val="el-GR"/>
        </w:rPr>
        <w:t>Work</w:t>
      </w:r>
      <w:proofErr w:type="spellEnd"/>
      <w:r w:rsidRPr="00063074">
        <w:rPr>
          <w:rFonts w:ascii="Arial" w:hAnsi="Arial"/>
          <w:sz w:val="18"/>
          <w:lang w:val="el-GR"/>
        </w:rPr>
        <w:t>.</w:t>
      </w:r>
    </w:p>
    <w:p w14:paraId="0B681666" w14:textId="77777777" w:rsidR="00F77A51" w:rsidRPr="00D41B36" w:rsidRDefault="00F77A51" w:rsidP="00CE36E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eastAsiaTheme="minorEastAsia" w:hAnsi="Arial" w:cs="Arial"/>
          <w:i/>
          <w:iCs/>
          <w:sz w:val="18"/>
          <w:szCs w:val="22"/>
          <w:highlight w:val="yellow"/>
          <w:lang w:val="el-GR"/>
        </w:rPr>
      </w:pPr>
    </w:p>
    <w:p w14:paraId="541AF486" w14:textId="77777777" w:rsidR="00F77A51" w:rsidRPr="00D41B36" w:rsidRDefault="00F77A51" w:rsidP="00CE36E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eastAsiaTheme="minorEastAsia" w:hAnsi="Arial" w:cs="Arial"/>
          <w:i/>
          <w:iCs/>
          <w:sz w:val="18"/>
          <w:szCs w:val="22"/>
          <w:highlight w:val="yellow"/>
          <w:lang w:val="el-GR"/>
        </w:rPr>
      </w:pPr>
    </w:p>
    <w:p w14:paraId="56177A36" w14:textId="77777777" w:rsidR="00F77A51" w:rsidRPr="00D41B36" w:rsidRDefault="00F77A51" w:rsidP="00CE36E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eastAsiaTheme="minorEastAsia" w:hAnsi="Arial" w:cs="Arial"/>
          <w:i/>
          <w:iCs/>
          <w:sz w:val="18"/>
          <w:szCs w:val="22"/>
          <w:highlight w:val="yellow"/>
          <w:lang w:val="el-GR"/>
        </w:rPr>
      </w:pPr>
    </w:p>
    <w:p w14:paraId="005438F1" w14:textId="77777777" w:rsidR="00F77A51" w:rsidRPr="00D41B36" w:rsidRDefault="00F77A51" w:rsidP="00CE36E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eastAsiaTheme="minorEastAsia" w:hAnsi="Arial" w:cs="Arial"/>
          <w:i/>
          <w:iCs/>
          <w:sz w:val="18"/>
          <w:szCs w:val="22"/>
          <w:highlight w:val="yellow"/>
          <w:lang w:val="el-GR"/>
        </w:rPr>
      </w:pPr>
    </w:p>
    <w:p w14:paraId="6F0628B8" w14:textId="77777777" w:rsidR="00F77A51" w:rsidRPr="00D41B36" w:rsidRDefault="00F77A51" w:rsidP="00CE36E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eastAsiaTheme="minorEastAsia" w:hAnsi="Arial" w:cs="Arial"/>
          <w:i/>
          <w:iCs/>
          <w:sz w:val="18"/>
          <w:szCs w:val="22"/>
          <w:highlight w:val="yellow"/>
          <w:lang w:val="el-GR"/>
        </w:rPr>
      </w:pPr>
    </w:p>
    <w:p w14:paraId="3CACE430" w14:textId="3B6ECFE6" w:rsidR="00F77A51" w:rsidRPr="00DB7ABA" w:rsidRDefault="00DB7ABA" w:rsidP="00F77A51">
      <w:pPr>
        <w:spacing w:after="0" w:line="360" w:lineRule="auto"/>
        <w:rPr>
          <w:rFonts w:ascii="Arial" w:hAnsi="Arial" w:cs="Arial"/>
          <w:b/>
          <w:color w:val="FF9900"/>
          <w:sz w:val="24"/>
          <w:szCs w:val="24"/>
          <w:lang w:val="el-GR"/>
        </w:rPr>
      </w:pPr>
      <w:r w:rsidRPr="00DB7ABA">
        <w:rPr>
          <w:rFonts w:ascii="Arial" w:hAnsi="Arial" w:cs="Arial"/>
          <w:b/>
          <w:color w:val="FF9900"/>
          <w:sz w:val="24"/>
          <w:szCs w:val="24"/>
          <w:lang w:val="el-GR"/>
        </w:rPr>
        <w:lastRenderedPageBreak/>
        <w:t>Γ</w:t>
      </w:r>
      <w:r w:rsidR="00F77A51" w:rsidRPr="00DB7ABA">
        <w:rPr>
          <w:rFonts w:ascii="Arial" w:hAnsi="Arial" w:cs="Arial"/>
          <w:b/>
          <w:color w:val="FF9900"/>
          <w:sz w:val="24"/>
          <w:szCs w:val="24"/>
          <w:lang w:val="el-GR"/>
        </w:rPr>
        <w:t>. Επισκόπηση επιχειρηματικής δραστηριότητας (συνέχεια)</w:t>
      </w:r>
    </w:p>
    <w:p w14:paraId="4FBAD5AF" w14:textId="77777777" w:rsidR="00F77A51" w:rsidRPr="00DB7ABA" w:rsidRDefault="00F77A51" w:rsidP="00F77A51">
      <w:pPr>
        <w:tabs>
          <w:tab w:val="left" w:pos="709"/>
        </w:tabs>
        <w:spacing w:after="120" w:line="240" w:lineRule="auto"/>
        <w:ind w:right="57"/>
        <w:rPr>
          <w:rFonts w:ascii="Arial" w:hAnsi="Arial" w:cs="Arial"/>
          <w:b/>
          <w:i/>
          <w:color w:val="FF9900"/>
          <w:sz w:val="20"/>
          <w:lang w:val="el-GR"/>
        </w:rPr>
      </w:pPr>
      <w:r w:rsidRPr="00DB7ABA">
        <w:rPr>
          <w:rFonts w:ascii="Arial" w:hAnsi="Arial" w:cs="Arial"/>
          <w:b/>
          <w:i/>
          <w:color w:val="FF9900"/>
          <w:sz w:val="20"/>
          <w:lang w:val="el-GR"/>
        </w:rPr>
        <w:t>Ενίσχυση οργανωτικής ανθεκτικότητας και πολιτικής για Περιβαλλοντικά, Κοινωνικά και σχετικά µε τη Διακυβέρνηση (ΠΚΔ) θέματα (</w:t>
      </w:r>
      <w:r w:rsidRPr="00DB7ABA">
        <w:rPr>
          <w:rFonts w:ascii="Arial" w:hAnsi="Arial" w:cs="Arial"/>
          <w:b/>
          <w:i/>
          <w:color w:val="FF9900"/>
          <w:sz w:val="20"/>
        </w:rPr>
        <w:t>Environmental</w:t>
      </w:r>
      <w:r w:rsidRPr="00DB7ABA">
        <w:rPr>
          <w:rFonts w:ascii="Arial" w:hAnsi="Arial" w:cs="Arial"/>
          <w:b/>
          <w:i/>
          <w:color w:val="FF9900"/>
          <w:sz w:val="20"/>
          <w:lang w:val="el-GR"/>
        </w:rPr>
        <w:t xml:space="preserve">, </w:t>
      </w:r>
      <w:r w:rsidRPr="00DB7ABA">
        <w:rPr>
          <w:rFonts w:ascii="Arial" w:hAnsi="Arial" w:cs="Arial"/>
          <w:b/>
          <w:i/>
          <w:color w:val="FF9900"/>
          <w:sz w:val="20"/>
        </w:rPr>
        <w:t>Social</w:t>
      </w:r>
      <w:r w:rsidRPr="00DB7ABA">
        <w:rPr>
          <w:rFonts w:ascii="Arial" w:hAnsi="Arial" w:cs="Arial"/>
          <w:b/>
          <w:i/>
          <w:color w:val="FF9900"/>
          <w:sz w:val="20"/>
          <w:lang w:val="el-GR"/>
        </w:rPr>
        <w:t xml:space="preserve"> </w:t>
      </w:r>
      <w:r w:rsidRPr="00DB7ABA">
        <w:rPr>
          <w:rFonts w:ascii="Arial" w:hAnsi="Arial" w:cs="Arial"/>
          <w:b/>
          <w:i/>
          <w:color w:val="FF9900"/>
          <w:sz w:val="20"/>
        </w:rPr>
        <w:t>and</w:t>
      </w:r>
      <w:r w:rsidRPr="00DB7ABA">
        <w:rPr>
          <w:rFonts w:ascii="Arial" w:hAnsi="Arial" w:cs="Arial"/>
          <w:b/>
          <w:i/>
          <w:color w:val="FF9900"/>
          <w:sz w:val="20"/>
          <w:lang w:val="el-GR"/>
        </w:rPr>
        <w:t xml:space="preserve"> </w:t>
      </w:r>
      <w:r w:rsidRPr="00DB7ABA">
        <w:rPr>
          <w:rFonts w:ascii="Arial" w:hAnsi="Arial" w:cs="Arial"/>
          <w:b/>
          <w:i/>
          <w:color w:val="FF9900"/>
          <w:sz w:val="20"/>
        </w:rPr>
        <w:t>Governance</w:t>
      </w:r>
      <w:r w:rsidRPr="00DB7ABA">
        <w:rPr>
          <w:rFonts w:ascii="Arial" w:hAnsi="Arial" w:cs="Arial"/>
          <w:b/>
          <w:i/>
          <w:color w:val="FF9900"/>
          <w:sz w:val="20"/>
          <w:lang w:val="el-GR"/>
        </w:rPr>
        <w:t xml:space="preserve">, </w:t>
      </w:r>
      <w:r w:rsidRPr="00DB7ABA">
        <w:rPr>
          <w:rFonts w:ascii="Arial" w:hAnsi="Arial" w:cs="Arial"/>
          <w:b/>
          <w:i/>
          <w:color w:val="FF9900"/>
          <w:sz w:val="20"/>
        </w:rPr>
        <w:t>ESG</w:t>
      </w:r>
      <w:r w:rsidRPr="00DB7ABA">
        <w:rPr>
          <w:rFonts w:ascii="Arial" w:hAnsi="Arial" w:cs="Arial"/>
          <w:b/>
          <w:i/>
          <w:color w:val="FF9900"/>
          <w:sz w:val="20"/>
          <w:lang w:val="el-GR"/>
        </w:rPr>
        <w:t xml:space="preserve">) </w:t>
      </w:r>
      <w:r w:rsidRPr="00DB7ABA">
        <w:rPr>
          <w:rFonts w:ascii="Arial" w:hAnsi="Arial" w:cs="Arial"/>
          <w:bCs/>
          <w:i/>
          <w:color w:val="FF9900"/>
          <w:sz w:val="20"/>
          <w:lang w:val="el-GR"/>
        </w:rPr>
        <w:t>(συνέχεια)</w:t>
      </w:r>
    </w:p>
    <w:p w14:paraId="4D178ABD" w14:textId="2D5EF049" w:rsidR="00CE36EC" w:rsidRPr="00DB7ABA" w:rsidRDefault="00CE36EC" w:rsidP="00CE36E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eastAsiaTheme="minorEastAsia" w:hAnsi="Arial" w:cs="Arial"/>
          <w:i/>
          <w:iCs/>
          <w:sz w:val="18"/>
          <w:szCs w:val="22"/>
          <w:lang w:val="el-GR"/>
        </w:rPr>
      </w:pPr>
      <w:r w:rsidRPr="00DB7ABA">
        <w:rPr>
          <w:rFonts w:ascii="Arial" w:eastAsiaTheme="minorEastAsia" w:hAnsi="Arial" w:cs="Arial"/>
          <w:i/>
          <w:iCs/>
          <w:sz w:val="18"/>
          <w:szCs w:val="22"/>
          <w:lang w:val="el-GR"/>
        </w:rPr>
        <w:t xml:space="preserve">Διακυβέρνηση </w:t>
      </w:r>
    </w:p>
    <w:p w14:paraId="69A0DA86" w14:textId="77777777" w:rsidR="00DB7ABA" w:rsidRPr="006D2D3F" w:rsidRDefault="00DB7ABA" w:rsidP="00DB7AB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eastAsiaTheme="minorEastAsia" w:hAnsi="Arial" w:cstheme="minorBidi"/>
          <w:sz w:val="18"/>
          <w:szCs w:val="22"/>
          <w:highlight w:val="yellow"/>
          <w:lang w:val="el-GR"/>
        </w:rPr>
      </w:pPr>
      <w:r w:rsidRPr="00727D92">
        <w:rPr>
          <w:rFonts w:ascii="Arial" w:eastAsiaTheme="minorEastAsia" w:hAnsi="Arial" w:cstheme="minorBidi"/>
          <w:sz w:val="18"/>
          <w:szCs w:val="22"/>
          <w:lang w:val="el-GR"/>
        </w:rPr>
        <w:t>Το Συγκρότημα συνεχίζει να λειτουργεί με επιτυχία μέσα σε ένα περίπλοκο ρυθμιστικό πλαίσιο. Η μητρική εταιρία είναι εγγεγραμμένη στην Ιρλανδία και εισηγμένη σε δύο Χρηματιστήρια με διαφορετικούς κανόνες και κανονισμούς. Οι δομές διακυβέρνησης και διοίκησης του Συγκροτήματος επιτρέπουν την επίτευξη τρέχουσας και μελλοντικής οικονομικής ανάπτυξης, περιβαλλοντικής ακεραιότητας και κοινωνικής ισότητας σε όλο το εύρος των δραστηριοτήτων τ</w:t>
      </w:r>
      <w:r>
        <w:rPr>
          <w:rFonts w:ascii="Arial" w:eastAsiaTheme="minorEastAsia" w:hAnsi="Arial" w:cstheme="minorBidi"/>
          <w:sz w:val="18"/>
          <w:szCs w:val="22"/>
          <w:lang w:val="el-GR"/>
        </w:rPr>
        <w:t>ου</w:t>
      </w:r>
      <w:r w:rsidRPr="00727D92">
        <w:rPr>
          <w:rFonts w:ascii="Arial" w:eastAsiaTheme="minorEastAsia" w:hAnsi="Arial" w:cstheme="minorBidi"/>
          <w:sz w:val="18"/>
          <w:szCs w:val="22"/>
          <w:lang w:val="el-GR"/>
        </w:rPr>
        <w:t xml:space="preserve">. Το Συγκρότημα λειτουργεί σε ένα πλαίσιο </w:t>
      </w:r>
      <w:r>
        <w:rPr>
          <w:rFonts w:ascii="Arial" w:eastAsiaTheme="minorEastAsia" w:hAnsi="Arial" w:cstheme="minorBidi"/>
          <w:sz w:val="18"/>
          <w:szCs w:val="22"/>
          <w:lang w:val="el-GR"/>
        </w:rPr>
        <w:t xml:space="preserve">με επαρκείς μηχανισμούς ελέγχου </w:t>
      </w:r>
      <w:r w:rsidRPr="00727D92">
        <w:rPr>
          <w:rFonts w:ascii="Arial" w:eastAsiaTheme="minorEastAsia" w:hAnsi="Arial" w:cstheme="minorBidi"/>
          <w:sz w:val="18"/>
          <w:szCs w:val="22"/>
          <w:lang w:val="el-GR"/>
        </w:rPr>
        <w:t>που επιτρέπουν την αξιολόγηση και τη διαχείριση κινδύνων με βάση τις σχετικές πολιτικές που καθορίζει η ηγεσία του Διοικητικού Συμβουλίου. Το Συγκρότημα έχει δημιουργήσει μια Δομή Διακυβέρνησης για την παρακολούθηση της ΠΚΔ ατζέντας του.</w:t>
      </w:r>
      <w:r>
        <w:rPr>
          <w:rFonts w:ascii="Arial" w:hAnsi="Arial" w:cs="Arial"/>
          <w:b/>
          <w:color w:val="FF9900"/>
          <w:sz w:val="24"/>
          <w:szCs w:val="24"/>
          <w:lang w:val="el-GR"/>
        </w:rPr>
        <w:t xml:space="preserve"> </w:t>
      </w:r>
      <w:r w:rsidRPr="00727D92">
        <w:rPr>
          <w:rFonts w:ascii="Arial" w:eastAsiaTheme="minorEastAsia" w:hAnsi="Arial" w:cstheme="minorBidi"/>
          <w:sz w:val="18"/>
          <w:szCs w:val="22"/>
          <w:lang w:val="el-GR"/>
        </w:rPr>
        <w:t xml:space="preserve">Η πρόοδος στην εφαρμογή και εξέλιξη της στρατηγικής ΠΚΔ του Συγκροτήματος παρακολουθείται από την Επιτροπή Βιωσιμότητας και το Διοικητικό Συμβούλιο. Η Επιτροπή Βιωσιμότητας είναι μια ειδική εκτελεστική επιτροπή που συστάθηκε στις αρχές του 2021 για να επιβλέπει την ΠΚΔ ατζέντα του Συγκροτήματος, να επανεξετάζει την πρόοδο της στρατηγικής ΠΚΔ του Συγκροτήματος, να παρακολουθεί την ανάπτυξη και την εφαρμογή των στόχων ΠΚΔ και την ενσωμάτωση των προτεραιοτήτων ΠΚΔ στους επιχειρηματικούς στόχους του Συγκροτήματος. Η δομή διακυβέρνησης ΠΚΔ του Συγκροτήματος συνεχίζει να εξελίσσεται για να μπορεί να ανταποκρίνεται στις ανάγκες ΠΚΔ όπως αυτές διαμορφώνονται. Η κανονιστική συμμόρφωση του Συγκροτήματος εξακολουθεί να αποτελεί αδιαμφισβήτητη προτεραιότητα. </w:t>
      </w:r>
    </w:p>
    <w:p w14:paraId="5AEC45AF" w14:textId="77777777" w:rsidR="00DB7ABA" w:rsidRPr="006D2D3F" w:rsidRDefault="00DB7ABA" w:rsidP="00DB7ABA">
      <w:pPr>
        <w:pStyle w:val="NormalWeb"/>
        <w:jc w:val="both"/>
        <w:rPr>
          <w:rFonts w:ascii="Arial" w:hAnsi="Arial" w:cs="Arial"/>
          <w:b/>
          <w:color w:val="FF9900"/>
          <w:highlight w:val="yellow"/>
          <w:lang w:val="el-GR"/>
        </w:rPr>
      </w:pPr>
      <w:r>
        <w:rPr>
          <w:rFonts w:ascii="Arial" w:eastAsiaTheme="minorEastAsia" w:hAnsi="Arial" w:cstheme="minorBidi"/>
          <w:sz w:val="18"/>
          <w:szCs w:val="22"/>
          <w:lang w:val="el-GR"/>
        </w:rPr>
        <w:t>Ο</w:t>
      </w:r>
      <w:r w:rsidRPr="00F81466">
        <w:rPr>
          <w:rFonts w:ascii="Arial" w:eastAsiaTheme="minorEastAsia" w:hAnsi="Arial" w:cstheme="minorBidi"/>
          <w:sz w:val="18"/>
          <w:szCs w:val="22"/>
          <w:lang w:val="el-GR"/>
        </w:rPr>
        <w:t xml:space="preserve"> στόχος του Συγκροτήματος να επιτύχει τουλάχιστον 30% εκπροσώπηση των γυναικών στα Ανώτερα Διευθυντικά επίπεδα (Εκτελεστική Επιτροπή (EXCO) και Διευρυμένη Εκτελεστική Επιτροπή (</w:t>
      </w:r>
      <w:proofErr w:type="spellStart"/>
      <w:r w:rsidRPr="00F81466">
        <w:rPr>
          <w:rFonts w:ascii="Arial" w:eastAsiaTheme="minorEastAsia" w:hAnsi="Arial" w:cstheme="minorBidi"/>
          <w:sz w:val="18"/>
          <w:szCs w:val="22"/>
          <w:lang w:val="el-GR"/>
        </w:rPr>
        <w:t>Extended</w:t>
      </w:r>
      <w:proofErr w:type="spellEnd"/>
      <w:r w:rsidRPr="00F81466">
        <w:rPr>
          <w:rFonts w:ascii="Arial" w:eastAsiaTheme="minorEastAsia" w:hAnsi="Arial" w:cstheme="minorBidi"/>
          <w:sz w:val="18"/>
          <w:szCs w:val="22"/>
          <w:lang w:val="el-GR"/>
        </w:rPr>
        <w:t xml:space="preserve"> EXCO)) μέχρι το 2030 έχει επιτευχθεί νωρίτερα, με 33% εκπροσώπηση </w:t>
      </w:r>
      <w:r>
        <w:rPr>
          <w:rFonts w:ascii="Arial" w:eastAsiaTheme="minorEastAsia" w:hAnsi="Arial" w:cstheme="minorBidi"/>
          <w:sz w:val="18"/>
          <w:szCs w:val="22"/>
          <w:lang w:val="el-GR"/>
        </w:rPr>
        <w:t xml:space="preserve">στα Ανώτερα Διευθυντικά επίπεδα </w:t>
      </w:r>
      <w:r w:rsidRPr="00F81466">
        <w:rPr>
          <w:rFonts w:ascii="Arial" w:eastAsiaTheme="minorEastAsia" w:hAnsi="Arial" w:cstheme="minorBidi"/>
          <w:sz w:val="18"/>
          <w:szCs w:val="22"/>
          <w:lang w:val="el-GR"/>
        </w:rPr>
        <w:t xml:space="preserve">στις 31 </w:t>
      </w:r>
      <w:r>
        <w:rPr>
          <w:rFonts w:ascii="Arial" w:eastAsiaTheme="minorEastAsia" w:hAnsi="Arial" w:cstheme="minorBidi"/>
          <w:sz w:val="18"/>
          <w:szCs w:val="22"/>
          <w:lang w:val="el-GR"/>
        </w:rPr>
        <w:t xml:space="preserve">Δεκεμβρίου </w:t>
      </w:r>
      <w:r w:rsidRPr="00F81466">
        <w:rPr>
          <w:rFonts w:ascii="Arial" w:eastAsiaTheme="minorEastAsia" w:hAnsi="Arial" w:cstheme="minorBidi"/>
          <w:sz w:val="18"/>
          <w:szCs w:val="22"/>
          <w:lang w:val="el-GR"/>
        </w:rPr>
        <w:t>202</w:t>
      </w:r>
      <w:r>
        <w:rPr>
          <w:rFonts w:ascii="Arial" w:eastAsiaTheme="minorEastAsia" w:hAnsi="Arial" w:cstheme="minorBidi"/>
          <w:sz w:val="18"/>
          <w:szCs w:val="22"/>
          <w:lang w:val="el-GR"/>
        </w:rPr>
        <w:t xml:space="preserve">3. Η </w:t>
      </w:r>
      <w:r w:rsidRPr="00F81466">
        <w:rPr>
          <w:rFonts w:ascii="Arial" w:eastAsiaTheme="minorEastAsia" w:hAnsi="Arial" w:cstheme="minorBidi"/>
          <w:sz w:val="18"/>
          <w:szCs w:val="22"/>
          <w:lang w:val="el-GR"/>
        </w:rPr>
        <w:t>εκπροσώπηση των γυναικών στα Ανώτερα Διευθυντικά επίπεδα</w:t>
      </w:r>
      <w:r w:rsidDel="00251576">
        <w:rPr>
          <w:rFonts w:ascii="Arial" w:eastAsiaTheme="minorEastAsia" w:hAnsi="Arial" w:cstheme="minorBidi"/>
          <w:sz w:val="18"/>
          <w:szCs w:val="22"/>
          <w:lang w:val="el-GR"/>
        </w:rPr>
        <w:t xml:space="preserve"> </w:t>
      </w:r>
      <w:r>
        <w:rPr>
          <w:rFonts w:ascii="Arial" w:eastAsiaTheme="minorEastAsia" w:hAnsi="Arial" w:cstheme="minorBidi"/>
          <w:sz w:val="18"/>
          <w:szCs w:val="22"/>
          <w:lang w:val="el-GR"/>
        </w:rPr>
        <w:t>συνεχίζει να είναι στο 33% στις 30 Σεπτεμβρίου 2024. Κατά την διάρκεια της μεταβατικής φάσης της σύνθεσης του Διοικητικού συμβουλίου στο α εξάμηνο του 2024, διορίστηκαν δύο άνδρες με μεγάλη εμπειρία στους τομείς ΠΚΔ και τεχνολογίας, με αποτέλεσμα η γυναικεία εκπροσώπηση να είναι στο 37.50% στις 30 Σεπτεμβρίου 2024.</w:t>
      </w:r>
    </w:p>
    <w:p w14:paraId="13F4F484" w14:textId="77777777" w:rsidR="00D14D65" w:rsidRPr="00D41B36" w:rsidRDefault="00D14D65" w:rsidP="00D14D65">
      <w:pPr>
        <w:spacing w:after="0" w:line="360" w:lineRule="auto"/>
        <w:jc w:val="both"/>
        <w:rPr>
          <w:rFonts w:ascii="Arial" w:hAnsi="Arial" w:cs="Arial"/>
          <w:b/>
          <w:color w:val="FF9900"/>
          <w:highlight w:val="yellow"/>
          <w:lang w:val="el-GR"/>
        </w:rPr>
      </w:pPr>
    </w:p>
    <w:p w14:paraId="2EC36391" w14:textId="2293976F" w:rsidR="00E6624C" w:rsidRPr="0039792B" w:rsidRDefault="00B37CA8" w:rsidP="00580370">
      <w:pPr>
        <w:rPr>
          <w:rFonts w:ascii="Arial" w:hAnsi="Arial"/>
          <w:sz w:val="18"/>
          <w:lang w:val="el-GR"/>
        </w:rPr>
      </w:pPr>
      <w:r w:rsidRPr="00D41B36">
        <w:rPr>
          <w:rFonts w:ascii="Arial" w:hAnsi="Arial"/>
          <w:sz w:val="18"/>
          <w:highlight w:val="yellow"/>
          <w:lang w:val="el-GR"/>
        </w:rPr>
        <w:br w:type="page"/>
      </w:r>
      <w:r w:rsidR="004A2A8C" w:rsidRPr="0039792B">
        <w:rPr>
          <w:rFonts w:ascii="Arial" w:hAnsi="Arial" w:cs="Arial"/>
          <w:b/>
          <w:color w:val="FF9900"/>
          <w:sz w:val="24"/>
          <w:szCs w:val="24"/>
          <w:lang w:val="el-GR"/>
        </w:rPr>
        <w:lastRenderedPageBreak/>
        <w:t>Δ</w:t>
      </w:r>
      <w:r w:rsidR="00872227" w:rsidRPr="0039792B">
        <w:rPr>
          <w:rFonts w:ascii="Arial" w:hAnsi="Arial" w:cs="Arial"/>
          <w:b/>
          <w:color w:val="FF9900"/>
          <w:sz w:val="24"/>
          <w:szCs w:val="24"/>
          <w:lang w:val="el-GR"/>
        </w:rPr>
        <w:t>. Στρατηγική και Προοπτικές</w:t>
      </w:r>
    </w:p>
    <w:p w14:paraId="6A50D958" w14:textId="240620A2" w:rsidR="00E6624C" w:rsidRPr="0039792B" w:rsidRDefault="00E6624C" w:rsidP="004953BA">
      <w:pPr>
        <w:spacing w:after="0" w:line="240" w:lineRule="auto"/>
        <w:jc w:val="both"/>
        <w:rPr>
          <w:rFonts w:ascii="Arial" w:hAnsi="Arial" w:cs="Arial"/>
          <w:sz w:val="18"/>
          <w:lang w:val="el-GR"/>
        </w:rPr>
      </w:pPr>
      <w:r w:rsidRPr="0039792B">
        <w:rPr>
          <w:rFonts w:ascii="Arial" w:hAnsi="Arial" w:cs="Arial"/>
          <w:sz w:val="18"/>
          <w:lang w:val="el-GR"/>
        </w:rPr>
        <w:t>Το όραμα του Συγκροτήματος είναι να δημιουργήσει συνεργασί</w:t>
      </w:r>
      <w:r w:rsidR="004B332E" w:rsidRPr="0039792B">
        <w:rPr>
          <w:rFonts w:ascii="Arial" w:hAnsi="Arial" w:cs="Arial"/>
          <w:sz w:val="18"/>
          <w:lang w:val="el-GR"/>
        </w:rPr>
        <w:t>ε</w:t>
      </w:r>
      <w:r w:rsidRPr="0039792B">
        <w:rPr>
          <w:rFonts w:ascii="Arial" w:hAnsi="Arial" w:cs="Arial"/>
          <w:sz w:val="18"/>
          <w:lang w:val="el-GR"/>
        </w:rPr>
        <w:t xml:space="preserve">ς δια βίου με τους πελάτες του, καθοδηγώντας και στηρίζοντας τους σε μια </w:t>
      </w:r>
      <w:r w:rsidR="00872F1B" w:rsidRPr="0039792B">
        <w:rPr>
          <w:rFonts w:ascii="Arial" w:hAnsi="Arial" w:cs="Arial"/>
          <w:sz w:val="18"/>
          <w:lang w:val="el-GR"/>
        </w:rPr>
        <w:t xml:space="preserve">εξελισσόμενη </w:t>
      </w:r>
      <w:r w:rsidRPr="0039792B">
        <w:rPr>
          <w:rFonts w:ascii="Arial" w:hAnsi="Arial" w:cs="Arial"/>
          <w:sz w:val="18"/>
          <w:lang w:val="el-GR"/>
        </w:rPr>
        <w:t xml:space="preserve">παγκόσμια οικονομία. </w:t>
      </w:r>
    </w:p>
    <w:p w14:paraId="629AD1E0" w14:textId="77777777" w:rsidR="00E6624C" w:rsidRPr="0039792B" w:rsidRDefault="00E6624C" w:rsidP="004953BA">
      <w:pPr>
        <w:spacing w:after="0" w:line="240" w:lineRule="auto"/>
        <w:jc w:val="both"/>
        <w:rPr>
          <w:rFonts w:ascii="Arial" w:hAnsi="Arial" w:cs="Arial"/>
          <w:sz w:val="12"/>
          <w:szCs w:val="12"/>
          <w:lang w:val="el-GR"/>
        </w:rPr>
      </w:pPr>
    </w:p>
    <w:p w14:paraId="77DBFE34" w14:textId="1E2DAE3B" w:rsidR="00DD2BC3" w:rsidRPr="0039792B" w:rsidRDefault="00DD2BC3" w:rsidP="00711D11">
      <w:pPr>
        <w:pStyle w:val="Footer"/>
        <w:tabs>
          <w:tab w:val="clear" w:pos="4153"/>
          <w:tab w:val="clear" w:pos="8306"/>
          <w:tab w:val="left" w:pos="540"/>
        </w:tabs>
        <w:ind w:right="57"/>
        <w:jc w:val="both"/>
        <w:rPr>
          <w:rFonts w:ascii="Arial" w:hAnsi="Arial" w:cs="Arial"/>
          <w:bCs/>
          <w:sz w:val="18"/>
          <w:szCs w:val="18"/>
          <w:lang w:val="el-GR"/>
        </w:rPr>
      </w:pPr>
      <w:r w:rsidRPr="0039792B">
        <w:rPr>
          <w:rFonts w:ascii="Arial" w:hAnsi="Arial" w:cs="Arial"/>
          <w:bCs/>
          <w:sz w:val="18"/>
          <w:szCs w:val="18"/>
          <w:lang w:val="el-GR"/>
        </w:rPr>
        <w:t xml:space="preserve">Οι βασικοί πυλώνες της στρατηγικής του Συγκροτήματος </w:t>
      </w:r>
      <w:r w:rsidR="00684E69" w:rsidRPr="0039792B">
        <w:rPr>
          <w:rFonts w:ascii="Arial" w:hAnsi="Arial" w:cs="Arial"/>
          <w:bCs/>
          <w:sz w:val="18"/>
          <w:szCs w:val="18"/>
          <w:lang w:val="el-GR"/>
        </w:rPr>
        <w:t>παραμένουν οι πιο κάτω</w:t>
      </w:r>
      <w:r w:rsidRPr="0039792B">
        <w:rPr>
          <w:rFonts w:ascii="Arial" w:hAnsi="Arial" w:cs="Arial"/>
          <w:bCs/>
          <w:sz w:val="18"/>
          <w:szCs w:val="18"/>
          <w:lang w:val="el-GR"/>
        </w:rPr>
        <w:t>:</w:t>
      </w:r>
    </w:p>
    <w:p w14:paraId="0D37B78B" w14:textId="626D356C" w:rsidR="00DD2BC3" w:rsidRPr="0039792B" w:rsidRDefault="00DD2BC3" w:rsidP="0099729D">
      <w:pPr>
        <w:pStyle w:val="Footer"/>
        <w:numPr>
          <w:ilvl w:val="0"/>
          <w:numId w:val="6"/>
        </w:numPr>
        <w:tabs>
          <w:tab w:val="clear" w:pos="4153"/>
          <w:tab w:val="clear" w:pos="8306"/>
          <w:tab w:val="left" w:pos="709"/>
        </w:tabs>
        <w:ind w:left="567" w:right="57" w:hanging="147"/>
        <w:jc w:val="both"/>
        <w:rPr>
          <w:rFonts w:ascii="Arial" w:hAnsi="Arial" w:cs="Arial"/>
          <w:b/>
          <w:bCs/>
          <w:sz w:val="18"/>
          <w:szCs w:val="18"/>
          <w:lang w:val="el-GR"/>
        </w:rPr>
      </w:pPr>
      <w:r w:rsidRPr="0039792B">
        <w:rPr>
          <w:rFonts w:ascii="Arial" w:hAnsi="Arial" w:cs="Arial"/>
          <w:b/>
          <w:bCs/>
          <w:sz w:val="18"/>
          <w:szCs w:val="18"/>
          <w:lang w:val="el-GR"/>
        </w:rPr>
        <w:t>Ενίσχυση εσόδων με βέλτιστη διαχείριση κεφαλαίων</w:t>
      </w:r>
      <w:r w:rsidRPr="0039792B">
        <w:rPr>
          <w:rFonts w:ascii="Arial" w:hAnsi="Arial" w:cs="Arial"/>
          <w:sz w:val="18"/>
          <w:szCs w:val="18"/>
          <w:lang w:val="el-GR"/>
        </w:rPr>
        <w:t xml:space="preserve">, μέσω δημιουργίας εσόδων από αύξηση </w:t>
      </w:r>
      <w:r w:rsidR="009E3516" w:rsidRPr="0039792B">
        <w:rPr>
          <w:rFonts w:ascii="Arial" w:hAnsi="Arial" w:cs="Arial"/>
          <w:sz w:val="18"/>
          <w:szCs w:val="18"/>
          <w:lang w:val="el-GR"/>
        </w:rPr>
        <w:t>ποιοτικού</w:t>
      </w:r>
      <w:r w:rsidR="008D3F28" w:rsidRPr="0039792B">
        <w:rPr>
          <w:rFonts w:ascii="Arial" w:hAnsi="Arial" w:cs="Arial"/>
          <w:sz w:val="18"/>
          <w:szCs w:val="18"/>
          <w:lang w:val="el-GR"/>
        </w:rPr>
        <w:t xml:space="preserve"> νέου</w:t>
      </w:r>
      <w:r w:rsidR="009E3516" w:rsidRPr="0039792B">
        <w:rPr>
          <w:rFonts w:ascii="Arial" w:hAnsi="Arial" w:cs="Arial"/>
          <w:sz w:val="18"/>
          <w:szCs w:val="18"/>
          <w:lang w:val="el-GR"/>
        </w:rPr>
        <w:t xml:space="preserve"> δανεισμού,</w:t>
      </w:r>
      <w:r w:rsidRPr="0039792B">
        <w:rPr>
          <w:rFonts w:ascii="Arial" w:hAnsi="Arial" w:cs="Arial"/>
          <w:sz w:val="18"/>
          <w:szCs w:val="18"/>
          <w:lang w:val="el-GR"/>
        </w:rPr>
        <w:t xml:space="preserve"> </w:t>
      </w:r>
      <w:r w:rsidR="009E3516" w:rsidRPr="0039792B">
        <w:rPr>
          <w:rFonts w:ascii="Arial" w:hAnsi="Arial" w:cs="Arial"/>
          <w:sz w:val="18"/>
          <w:szCs w:val="18"/>
          <w:lang w:val="el-GR"/>
        </w:rPr>
        <w:t xml:space="preserve">διαφοροποίηση σε </w:t>
      </w:r>
      <w:r w:rsidRPr="0039792B">
        <w:rPr>
          <w:rFonts w:ascii="Arial" w:hAnsi="Arial" w:cs="Arial"/>
          <w:sz w:val="18"/>
          <w:szCs w:val="18"/>
          <w:lang w:val="el-GR"/>
        </w:rPr>
        <w:t xml:space="preserve">τραπεζικές και χρηματοοικονομικές δραστηριότητες με χαμηλότερες απαιτήσεις κεφαλαίου (όπως </w:t>
      </w:r>
      <w:r w:rsidR="00D10BCA" w:rsidRPr="0039792B">
        <w:rPr>
          <w:rFonts w:ascii="Arial" w:hAnsi="Arial" w:cs="Arial"/>
          <w:sz w:val="18"/>
          <w:szCs w:val="18"/>
          <w:lang w:val="el-GR"/>
        </w:rPr>
        <w:t xml:space="preserve">ασφαλιστικού </w:t>
      </w:r>
      <w:r w:rsidRPr="0039792B">
        <w:rPr>
          <w:rFonts w:ascii="Arial" w:hAnsi="Arial" w:cs="Arial"/>
          <w:sz w:val="18"/>
          <w:szCs w:val="18"/>
          <w:lang w:val="el-GR"/>
        </w:rPr>
        <w:t xml:space="preserve">κλάδου και </w:t>
      </w:r>
      <w:r w:rsidR="00D10BCA" w:rsidRPr="0039792B">
        <w:rPr>
          <w:rFonts w:ascii="Arial" w:hAnsi="Arial" w:cs="Arial"/>
          <w:sz w:val="18"/>
          <w:szCs w:val="18"/>
          <w:lang w:val="el-GR"/>
        </w:rPr>
        <w:t>ψηφιακής οικονομίας</w:t>
      </w:r>
      <w:r w:rsidRPr="0039792B">
        <w:rPr>
          <w:rFonts w:ascii="Arial" w:hAnsi="Arial" w:cs="Arial"/>
          <w:sz w:val="18"/>
          <w:szCs w:val="18"/>
          <w:lang w:val="el-GR"/>
        </w:rPr>
        <w:t>)</w:t>
      </w:r>
      <w:r w:rsidR="00D10BCA" w:rsidRPr="0039792B">
        <w:rPr>
          <w:rFonts w:ascii="Arial" w:hAnsi="Arial" w:cs="Arial"/>
          <w:sz w:val="18"/>
          <w:szCs w:val="18"/>
          <w:lang w:val="el-GR"/>
        </w:rPr>
        <w:t xml:space="preserve"> καθώς </w:t>
      </w:r>
      <w:r w:rsidR="009E3516" w:rsidRPr="0039792B">
        <w:rPr>
          <w:rFonts w:ascii="Arial" w:hAnsi="Arial" w:cs="Arial"/>
          <w:sz w:val="18"/>
          <w:szCs w:val="18"/>
          <w:lang w:val="el-GR"/>
        </w:rPr>
        <w:t>και συνετή διαχείριση της ρευστότητας του Συγκροτήματος</w:t>
      </w:r>
    </w:p>
    <w:p w14:paraId="463435B6" w14:textId="41A18F6C" w:rsidR="0023397F" w:rsidRPr="0039792B" w:rsidRDefault="009E3516" w:rsidP="00A21CB9">
      <w:pPr>
        <w:pStyle w:val="Footer"/>
        <w:numPr>
          <w:ilvl w:val="0"/>
          <w:numId w:val="6"/>
        </w:numPr>
        <w:tabs>
          <w:tab w:val="clear" w:pos="4153"/>
          <w:tab w:val="clear" w:pos="8306"/>
          <w:tab w:val="left" w:pos="709"/>
        </w:tabs>
        <w:ind w:left="567" w:right="57" w:hanging="147"/>
        <w:jc w:val="both"/>
        <w:rPr>
          <w:rFonts w:ascii="Arial" w:hAnsi="Arial" w:cs="Arial"/>
          <w:sz w:val="18"/>
          <w:szCs w:val="18"/>
          <w:lang w:val="el-GR"/>
        </w:rPr>
      </w:pPr>
      <w:r w:rsidRPr="0039792B">
        <w:rPr>
          <w:rFonts w:ascii="Arial" w:hAnsi="Arial" w:cs="Arial"/>
          <w:b/>
          <w:bCs/>
          <w:sz w:val="18"/>
          <w:szCs w:val="18"/>
          <w:lang w:val="el-GR"/>
        </w:rPr>
        <w:t>Επίτευξη</w:t>
      </w:r>
      <w:r w:rsidR="00DD2BC3" w:rsidRPr="0039792B">
        <w:rPr>
          <w:rFonts w:ascii="Arial" w:hAnsi="Arial" w:cs="Arial"/>
          <w:sz w:val="18"/>
          <w:szCs w:val="18"/>
          <w:lang w:val="el-GR"/>
        </w:rPr>
        <w:t xml:space="preserve"> </w:t>
      </w:r>
      <w:r w:rsidR="00DD2BC3" w:rsidRPr="0039792B">
        <w:rPr>
          <w:rFonts w:ascii="Arial" w:hAnsi="Arial" w:cs="Arial"/>
          <w:b/>
          <w:bCs/>
          <w:sz w:val="18"/>
          <w:szCs w:val="18"/>
          <w:lang w:val="el-GR"/>
        </w:rPr>
        <w:t>ορθολογιστικού μοντέλου λειτουργίας</w:t>
      </w:r>
      <w:r w:rsidR="00DD2BC3" w:rsidRPr="0039792B">
        <w:rPr>
          <w:rFonts w:ascii="Arial" w:hAnsi="Arial" w:cs="Arial"/>
          <w:sz w:val="18"/>
          <w:szCs w:val="18"/>
          <w:lang w:val="el-GR"/>
        </w:rPr>
        <w:t xml:space="preserve">, </w:t>
      </w:r>
      <w:r w:rsidRPr="0039792B">
        <w:rPr>
          <w:rFonts w:ascii="Arial" w:hAnsi="Arial" w:cs="Arial"/>
          <w:sz w:val="18"/>
          <w:szCs w:val="18"/>
          <w:lang w:val="el-GR"/>
        </w:rPr>
        <w:t>με συνεχής</w:t>
      </w:r>
      <w:r w:rsidR="00516EDD" w:rsidRPr="0039792B">
        <w:rPr>
          <w:rFonts w:ascii="Arial" w:hAnsi="Arial" w:cs="Arial"/>
          <w:sz w:val="18"/>
          <w:szCs w:val="18"/>
          <w:lang w:val="el-GR"/>
        </w:rPr>
        <w:t xml:space="preserve"> επικέντρωση στην αποδοτικότητα μέσω των αυτοματοποιήσεων</w:t>
      </w:r>
      <w:r w:rsidRPr="0039792B">
        <w:rPr>
          <w:rFonts w:ascii="Arial" w:hAnsi="Arial" w:cs="Arial"/>
          <w:sz w:val="18"/>
          <w:szCs w:val="18"/>
          <w:lang w:val="el-GR"/>
        </w:rPr>
        <w:t xml:space="preserve"> </w:t>
      </w:r>
      <w:r w:rsidR="00DD2BC3" w:rsidRPr="0039792B">
        <w:rPr>
          <w:rFonts w:ascii="Arial" w:hAnsi="Arial" w:cs="Arial"/>
          <w:sz w:val="18"/>
          <w:szCs w:val="18"/>
          <w:lang w:val="el-GR"/>
        </w:rPr>
        <w:t>που στηρίζ</w:t>
      </w:r>
      <w:r w:rsidR="0023397F" w:rsidRPr="0039792B">
        <w:rPr>
          <w:rFonts w:ascii="Arial" w:hAnsi="Arial" w:cs="Arial"/>
          <w:sz w:val="18"/>
          <w:szCs w:val="18"/>
          <w:lang w:val="el-GR"/>
        </w:rPr>
        <w:t xml:space="preserve">ονται </w:t>
      </w:r>
      <w:r w:rsidR="00DD2BC3" w:rsidRPr="0039792B">
        <w:rPr>
          <w:rFonts w:ascii="Arial" w:hAnsi="Arial" w:cs="Arial"/>
          <w:sz w:val="18"/>
          <w:szCs w:val="18"/>
          <w:lang w:val="el-GR"/>
        </w:rPr>
        <w:t xml:space="preserve">στον ψηφιακό μετασχηματισμό </w:t>
      </w:r>
    </w:p>
    <w:p w14:paraId="7B2D08AC" w14:textId="2C6A2835" w:rsidR="00DD2BC3" w:rsidRPr="0039792B" w:rsidRDefault="0023397F" w:rsidP="00A21CB9">
      <w:pPr>
        <w:pStyle w:val="Footer"/>
        <w:numPr>
          <w:ilvl w:val="0"/>
          <w:numId w:val="6"/>
        </w:numPr>
        <w:tabs>
          <w:tab w:val="clear" w:pos="4153"/>
          <w:tab w:val="clear" w:pos="8306"/>
          <w:tab w:val="left" w:pos="709"/>
        </w:tabs>
        <w:ind w:left="567" w:right="57" w:hanging="147"/>
        <w:jc w:val="both"/>
        <w:rPr>
          <w:rFonts w:ascii="Arial" w:hAnsi="Arial" w:cs="Arial"/>
          <w:sz w:val="18"/>
          <w:szCs w:val="18"/>
          <w:lang w:val="el-GR"/>
        </w:rPr>
      </w:pPr>
      <w:r w:rsidRPr="0039792B">
        <w:rPr>
          <w:rFonts w:ascii="Arial" w:hAnsi="Arial" w:cs="Arial"/>
          <w:b/>
          <w:bCs/>
          <w:sz w:val="18"/>
          <w:szCs w:val="18"/>
          <w:lang w:val="el-GR"/>
        </w:rPr>
        <w:t>Διατήρηση της ισχυρής ποιότητας δανειακού χαρτοφυλακίου</w:t>
      </w:r>
      <w:r w:rsidR="00DD2BC3" w:rsidRPr="0039792B">
        <w:rPr>
          <w:rFonts w:ascii="Arial" w:hAnsi="Arial" w:cs="Arial"/>
          <w:b/>
          <w:bCs/>
          <w:sz w:val="18"/>
          <w:szCs w:val="18"/>
          <w:lang w:val="el-GR"/>
        </w:rPr>
        <w:t xml:space="preserve">, </w:t>
      </w:r>
      <w:r w:rsidR="00DD2BC3" w:rsidRPr="0039792B">
        <w:rPr>
          <w:rFonts w:ascii="Arial" w:hAnsi="Arial" w:cs="Arial"/>
          <w:sz w:val="18"/>
          <w:szCs w:val="18"/>
          <w:lang w:val="el-GR"/>
        </w:rPr>
        <w:t>μέσω διατήρησης ποιοτικού νέου δανεισμού</w:t>
      </w:r>
      <w:r w:rsidRPr="0039792B">
        <w:rPr>
          <w:rFonts w:ascii="Arial" w:hAnsi="Arial" w:cs="Arial"/>
          <w:sz w:val="18"/>
          <w:szCs w:val="18"/>
          <w:lang w:val="el-GR"/>
        </w:rPr>
        <w:t xml:space="preserve"> μέσω αυστηρών πρακτικών</w:t>
      </w:r>
      <w:r w:rsidR="00DD2BC3" w:rsidRPr="0039792B">
        <w:rPr>
          <w:rFonts w:ascii="Arial" w:hAnsi="Arial" w:cs="Arial"/>
          <w:sz w:val="18"/>
          <w:szCs w:val="18"/>
          <w:lang w:val="el-GR"/>
        </w:rPr>
        <w:t xml:space="preserve">, </w:t>
      </w:r>
      <w:r w:rsidR="005A1491" w:rsidRPr="0039792B">
        <w:rPr>
          <w:rFonts w:ascii="Arial" w:hAnsi="Arial" w:cs="Arial"/>
          <w:sz w:val="18"/>
          <w:szCs w:val="18"/>
          <w:lang w:val="el-GR"/>
        </w:rPr>
        <w:t xml:space="preserve">της </w:t>
      </w:r>
      <w:r w:rsidR="00516299" w:rsidRPr="0039792B">
        <w:rPr>
          <w:rFonts w:ascii="Arial" w:hAnsi="Arial" w:cs="Arial"/>
          <w:sz w:val="18"/>
          <w:szCs w:val="18"/>
          <w:lang w:val="el-GR"/>
        </w:rPr>
        <w:t>μείωσης</w:t>
      </w:r>
      <w:r w:rsidR="005A1491" w:rsidRPr="0039792B">
        <w:rPr>
          <w:rFonts w:ascii="Arial" w:hAnsi="Arial" w:cs="Arial"/>
          <w:sz w:val="18"/>
          <w:szCs w:val="18"/>
          <w:lang w:val="el-GR"/>
        </w:rPr>
        <w:t xml:space="preserve"> της</w:t>
      </w:r>
      <w:r w:rsidR="00DD2BC3" w:rsidRPr="0039792B">
        <w:rPr>
          <w:rFonts w:ascii="Arial" w:hAnsi="Arial" w:cs="Arial"/>
          <w:sz w:val="18"/>
          <w:szCs w:val="18"/>
          <w:lang w:val="el-GR"/>
        </w:rPr>
        <w:t xml:space="preserve"> χρέωσης πιστωτικών ζημιών δανείων (</w:t>
      </w:r>
      <w:proofErr w:type="spellStart"/>
      <w:r w:rsidR="00DD2BC3" w:rsidRPr="0039792B">
        <w:rPr>
          <w:rFonts w:ascii="Arial" w:hAnsi="Arial" w:cs="Arial"/>
          <w:sz w:val="18"/>
          <w:lang w:val="el-GR"/>
        </w:rPr>
        <w:t>cost</w:t>
      </w:r>
      <w:proofErr w:type="spellEnd"/>
      <w:r w:rsidR="00DD2BC3" w:rsidRPr="0039792B">
        <w:rPr>
          <w:rFonts w:ascii="Arial" w:hAnsi="Arial" w:cs="Arial"/>
          <w:sz w:val="18"/>
          <w:szCs w:val="18"/>
          <w:lang w:val="el-GR"/>
        </w:rPr>
        <w:t xml:space="preserve"> </w:t>
      </w:r>
      <w:r w:rsidR="00DD2BC3" w:rsidRPr="0039792B">
        <w:rPr>
          <w:rFonts w:ascii="Arial" w:hAnsi="Arial" w:cs="Arial"/>
          <w:sz w:val="18"/>
          <w:lang w:val="el-GR"/>
        </w:rPr>
        <w:t>of</w:t>
      </w:r>
      <w:r w:rsidR="00DD2BC3" w:rsidRPr="0039792B">
        <w:rPr>
          <w:rFonts w:ascii="Arial" w:hAnsi="Arial" w:cs="Arial"/>
          <w:sz w:val="18"/>
          <w:szCs w:val="18"/>
          <w:lang w:val="el-GR"/>
        </w:rPr>
        <w:t xml:space="preserve"> </w:t>
      </w:r>
      <w:proofErr w:type="spellStart"/>
      <w:r w:rsidR="00DD2BC3" w:rsidRPr="0039792B">
        <w:rPr>
          <w:rFonts w:ascii="Arial" w:hAnsi="Arial" w:cs="Arial"/>
          <w:sz w:val="18"/>
          <w:lang w:val="el-GR"/>
        </w:rPr>
        <w:t>risk</w:t>
      </w:r>
      <w:proofErr w:type="spellEnd"/>
      <w:r w:rsidR="00DD2BC3" w:rsidRPr="0039792B">
        <w:rPr>
          <w:rFonts w:ascii="Arial" w:hAnsi="Arial" w:cs="Arial"/>
          <w:sz w:val="18"/>
          <w:szCs w:val="18"/>
          <w:lang w:val="el-GR"/>
        </w:rPr>
        <w:t xml:space="preserve">) σε κανονικά επίπεδα και της μείωσης των άλλων </w:t>
      </w:r>
      <w:proofErr w:type="spellStart"/>
      <w:r w:rsidR="00DD2BC3" w:rsidRPr="0039792B">
        <w:rPr>
          <w:rFonts w:ascii="Arial" w:hAnsi="Arial" w:cs="Arial"/>
          <w:sz w:val="18"/>
          <w:szCs w:val="18"/>
          <w:lang w:val="el-GR"/>
        </w:rPr>
        <w:t>απομειώσεων</w:t>
      </w:r>
      <w:proofErr w:type="spellEnd"/>
    </w:p>
    <w:p w14:paraId="4D8B8061" w14:textId="12A7668D" w:rsidR="003D23C4" w:rsidRPr="0039792B" w:rsidRDefault="00DD2BC3" w:rsidP="0099729D">
      <w:pPr>
        <w:pStyle w:val="Footer"/>
        <w:numPr>
          <w:ilvl w:val="0"/>
          <w:numId w:val="6"/>
        </w:numPr>
        <w:tabs>
          <w:tab w:val="clear" w:pos="4153"/>
          <w:tab w:val="clear" w:pos="8306"/>
          <w:tab w:val="left" w:pos="709"/>
        </w:tabs>
        <w:ind w:left="567" w:right="57" w:hanging="147"/>
        <w:jc w:val="both"/>
        <w:rPr>
          <w:rFonts w:ascii="Arial" w:hAnsi="Arial" w:cs="Arial"/>
          <w:b/>
          <w:bCs/>
          <w:sz w:val="18"/>
          <w:szCs w:val="18"/>
          <w:lang w:val="el-GR"/>
        </w:rPr>
      </w:pPr>
      <w:r w:rsidRPr="0039792B">
        <w:rPr>
          <w:rFonts w:ascii="Arial" w:hAnsi="Arial" w:cs="Arial"/>
          <w:b/>
          <w:bCs/>
          <w:sz w:val="18"/>
          <w:szCs w:val="18"/>
          <w:lang w:val="el-GR"/>
        </w:rPr>
        <w:t>Ενίσχυση οργανωτικής ανθεκτικότητας και πολιτικής για Περιβαλλοντικά, Κοινωνικά και σχετικά µε τη Διακυβέρνηση (ΠΚΔ) θέματα (</w:t>
      </w:r>
      <w:proofErr w:type="spellStart"/>
      <w:r w:rsidRPr="0039792B">
        <w:rPr>
          <w:rFonts w:ascii="Arial" w:hAnsi="Arial" w:cs="Arial"/>
          <w:b/>
          <w:bCs/>
          <w:sz w:val="18"/>
          <w:szCs w:val="18"/>
          <w:lang w:val="el-GR"/>
        </w:rPr>
        <w:t>Environmental</w:t>
      </w:r>
      <w:proofErr w:type="spellEnd"/>
      <w:r w:rsidRPr="0039792B">
        <w:rPr>
          <w:rFonts w:ascii="Arial" w:hAnsi="Arial" w:cs="Arial"/>
          <w:b/>
          <w:bCs/>
          <w:sz w:val="18"/>
          <w:szCs w:val="18"/>
          <w:lang w:val="el-GR"/>
        </w:rPr>
        <w:t xml:space="preserve">, Social and </w:t>
      </w:r>
      <w:proofErr w:type="spellStart"/>
      <w:r w:rsidRPr="0039792B">
        <w:rPr>
          <w:rFonts w:ascii="Arial" w:hAnsi="Arial" w:cs="Arial"/>
          <w:b/>
          <w:bCs/>
          <w:sz w:val="18"/>
          <w:szCs w:val="18"/>
          <w:lang w:val="el-GR"/>
        </w:rPr>
        <w:t>Governance</w:t>
      </w:r>
      <w:proofErr w:type="spellEnd"/>
      <w:r w:rsidRPr="0039792B">
        <w:rPr>
          <w:rFonts w:ascii="Arial" w:hAnsi="Arial" w:cs="Arial"/>
          <w:b/>
          <w:bCs/>
          <w:sz w:val="18"/>
          <w:szCs w:val="18"/>
          <w:lang w:val="el-GR"/>
        </w:rPr>
        <w:t xml:space="preserve">, </w:t>
      </w:r>
      <w:r w:rsidRPr="0039792B">
        <w:rPr>
          <w:rFonts w:ascii="Arial" w:hAnsi="Arial" w:cs="Arial"/>
          <w:b/>
          <w:bCs/>
          <w:sz w:val="18"/>
          <w:szCs w:val="18"/>
          <w:lang w:val="en-US"/>
        </w:rPr>
        <w:t>ESG</w:t>
      </w:r>
      <w:r w:rsidRPr="0039792B">
        <w:rPr>
          <w:rFonts w:ascii="Arial" w:hAnsi="Arial" w:cs="Arial"/>
          <w:b/>
          <w:bCs/>
          <w:sz w:val="18"/>
          <w:szCs w:val="18"/>
          <w:lang w:val="el-GR"/>
        </w:rPr>
        <w:t>)</w:t>
      </w:r>
      <w:r w:rsidRPr="0039792B">
        <w:rPr>
          <w:rFonts w:ascii="Arial" w:hAnsi="Arial" w:cs="Arial"/>
          <w:sz w:val="18"/>
          <w:szCs w:val="18"/>
          <w:lang w:val="el-GR"/>
        </w:rPr>
        <w:t xml:space="preserve">, </w:t>
      </w:r>
      <w:r w:rsidR="00C50A8C" w:rsidRPr="0039792B">
        <w:rPr>
          <w:rFonts w:ascii="Arial" w:hAnsi="Arial" w:cs="Arial"/>
          <w:sz w:val="18"/>
          <w:szCs w:val="18"/>
          <w:lang w:val="el-GR"/>
        </w:rPr>
        <w:t>με το να έχει ηγετικ</w:t>
      </w:r>
      <w:r w:rsidR="004B332E" w:rsidRPr="0039792B">
        <w:rPr>
          <w:rFonts w:ascii="Arial" w:hAnsi="Arial" w:cs="Arial"/>
          <w:sz w:val="18"/>
          <w:szCs w:val="18"/>
          <w:lang w:val="el-GR"/>
        </w:rPr>
        <w:t>ή</w:t>
      </w:r>
      <w:r w:rsidR="00C50A8C" w:rsidRPr="0039792B">
        <w:rPr>
          <w:rFonts w:ascii="Arial" w:hAnsi="Arial" w:cs="Arial"/>
          <w:sz w:val="18"/>
          <w:szCs w:val="18"/>
          <w:lang w:val="el-GR"/>
        </w:rPr>
        <w:t xml:space="preserve"> θέση </w:t>
      </w:r>
      <w:r w:rsidR="003D23C4" w:rsidRPr="0039792B">
        <w:rPr>
          <w:rFonts w:ascii="Arial" w:hAnsi="Arial" w:cs="Arial"/>
          <w:sz w:val="18"/>
          <w:szCs w:val="18"/>
          <w:lang w:val="el-GR"/>
        </w:rPr>
        <w:t>στη μετάβαση της Κύπρου σε ένα βιώσιμο μέλλον</w:t>
      </w:r>
      <w:r w:rsidR="00C50A8C" w:rsidRPr="0039792B">
        <w:rPr>
          <w:rFonts w:ascii="Arial" w:hAnsi="Arial" w:cs="Arial"/>
          <w:sz w:val="18"/>
          <w:szCs w:val="18"/>
          <w:lang w:val="el-GR"/>
        </w:rPr>
        <w:t xml:space="preserve"> και να εργάζεται στη δημιουργία ενός οργανισμού με όραμα για το μέλλον</w:t>
      </w:r>
      <w:r w:rsidR="00D10BCA" w:rsidRPr="0039792B">
        <w:rPr>
          <w:rFonts w:ascii="Arial" w:hAnsi="Arial" w:cs="Arial"/>
          <w:sz w:val="18"/>
          <w:szCs w:val="18"/>
          <w:lang w:val="el-GR"/>
        </w:rPr>
        <w:t xml:space="preserve">, </w:t>
      </w:r>
      <w:r w:rsidR="00C50A8C" w:rsidRPr="0039792B">
        <w:rPr>
          <w:rFonts w:ascii="Arial" w:hAnsi="Arial" w:cs="Arial"/>
          <w:sz w:val="18"/>
          <w:szCs w:val="18"/>
          <w:lang w:val="el-GR"/>
        </w:rPr>
        <w:t>συμπεριλαμβάνοντας τα θέματα ΠΚΔ σε όλους τους τομείς.</w:t>
      </w:r>
    </w:p>
    <w:p w14:paraId="53FF2BB1" w14:textId="77777777" w:rsidR="00CC10C5" w:rsidRPr="0039792B" w:rsidRDefault="00CC10C5" w:rsidP="00CC10C5">
      <w:pPr>
        <w:pStyle w:val="Footer"/>
        <w:tabs>
          <w:tab w:val="clear" w:pos="4153"/>
          <w:tab w:val="clear" w:pos="8306"/>
          <w:tab w:val="left" w:pos="709"/>
        </w:tabs>
        <w:ind w:right="57"/>
        <w:jc w:val="both"/>
        <w:rPr>
          <w:rFonts w:ascii="Arial" w:hAnsi="Arial" w:cs="Arial"/>
          <w:b/>
          <w:bCs/>
          <w:sz w:val="12"/>
          <w:szCs w:val="12"/>
          <w:lang w:val="el-GR"/>
        </w:rPr>
      </w:pPr>
    </w:p>
    <w:p w14:paraId="60A4FCF1" w14:textId="2B4DB31C" w:rsidR="0039792B" w:rsidRDefault="00CC10C5" w:rsidP="006A1797">
      <w:pPr>
        <w:pStyle w:val="Footer"/>
        <w:tabs>
          <w:tab w:val="left" w:pos="709"/>
        </w:tabs>
        <w:ind w:right="57"/>
        <w:jc w:val="both"/>
        <w:rPr>
          <w:rFonts w:ascii="Arial" w:hAnsi="Arial" w:cs="Arial"/>
          <w:sz w:val="18"/>
          <w:lang w:val="el-GR"/>
        </w:rPr>
      </w:pPr>
      <w:r w:rsidRPr="0039792B">
        <w:rPr>
          <w:rFonts w:ascii="Arial" w:hAnsi="Arial" w:cs="Arial"/>
          <w:sz w:val="18"/>
          <w:lang w:val="el-GR"/>
        </w:rPr>
        <w:t xml:space="preserve">Κατά το </w:t>
      </w:r>
      <w:r w:rsidR="007A2F9B">
        <w:rPr>
          <w:rFonts w:ascii="Arial" w:hAnsi="Arial" w:cs="Arial"/>
          <w:sz w:val="18"/>
          <w:lang w:val="el-GR"/>
        </w:rPr>
        <w:t>εννεάμηνο</w:t>
      </w:r>
      <w:r w:rsidR="0039792B" w:rsidRPr="0039792B">
        <w:rPr>
          <w:rFonts w:ascii="Arial" w:hAnsi="Arial" w:cs="Arial"/>
          <w:sz w:val="18"/>
          <w:lang w:val="el-GR"/>
        </w:rPr>
        <w:t xml:space="preserve"> που έληξε στις 30 Σεπτεμβρίου</w:t>
      </w:r>
      <w:r w:rsidRPr="0039792B">
        <w:rPr>
          <w:rFonts w:ascii="Arial" w:hAnsi="Arial" w:cs="Arial"/>
          <w:sz w:val="18"/>
          <w:lang w:val="el-GR"/>
        </w:rPr>
        <w:t xml:space="preserve"> 2024,</w:t>
      </w:r>
      <w:r w:rsidR="0039792B" w:rsidRPr="0039792B">
        <w:rPr>
          <w:rFonts w:ascii="Arial" w:hAnsi="Arial" w:cs="Arial"/>
          <w:sz w:val="18"/>
          <w:lang w:val="el-GR"/>
        </w:rPr>
        <w:t xml:space="preserve"> </w:t>
      </w:r>
      <w:r w:rsidRPr="0039792B">
        <w:rPr>
          <w:rFonts w:ascii="Arial" w:hAnsi="Arial" w:cs="Arial"/>
          <w:sz w:val="18"/>
          <w:lang w:val="el-GR"/>
        </w:rPr>
        <w:t xml:space="preserve">το Συγκρότημα </w:t>
      </w:r>
      <w:r w:rsidR="0039792B" w:rsidRPr="0039792B">
        <w:rPr>
          <w:rFonts w:ascii="Arial" w:hAnsi="Arial" w:cs="Arial"/>
          <w:sz w:val="18"/>
          <w:lang w:val="el-GR"/>
        </w:rPr>
        <w:t>συνέχισε να καταγράφει ισχυρά οικονομικά και λειτουργικά αποτελέσματα, επιτυγχάνοντας Απόδοση Ενσώματων Ιδίων Κεφαλαίων (ROTE) μεγαλύτερη από 20%, αποδεικνύοντας πως βρίσκεται σε καλή πορεία για επίτευξη όλων των στόχων που έθεσε για το 2024</w:t>
      </w:r>
      <w:r w:rsidR="00F72BA9" w:rsidRPr="00F72BA9">
        <w:rPr>
          <w:rFonts w:ascii="Arial" w:hAnsi="Arial" w:cs="Arial"/>
          <w:sz w:val="18"/>
          <w:lang w:val="el-GR"/>
        </w:rPr>
        <w:t xml:space="preserve">, </w:t>
      </w:r>
      <w:r w:rsidR="00F72BA9">
        <w:rPr>
          <w:rFonts w:ascii="Arial" w:hAnsi="Arial" w:cs="Arial"/>
          <w:sz w:val="18"/>
          <w:lang w:val="el-GR"/>
        </w:rPr>
        <w:t>τον Αύγουστο 2024</w:t>
      </w:r>
      <w:r w:rsidR="0039792B" w:rsidRPr="0039792B">
        <w:rPr>
          <w:rFonts w:ascii="Arial" w:hAnsi="Arial" w:cs="Arial"/>
          <w:sz w:val="18"/>
          <w:lang w:val="el-GR"/>
        </w:rPr>
        <w:t>.</w:t>
      </w:r>
    </w:p>
    <w:p w14:paraId="7B7646C0" w14:textId="77777777" w:rsidR="0039792B" w:rsidRDefault="0039792B" w:rsidP="006A1797">
      <w:pPr>
        <w:pStyle w:val="Footer"/>
        <w:tabs>
          <w:tab w:val="left" w:pos="709"/>
        </w:tabs>
        <w:ind w:right="57"/>
        <w:jc w:val="both"/>
        <w:rPr>
          <w:rFonts w:ascii="Arial" w:hAnsi="Arial" w:cs="Arial"/>
          <w:sz w:val="18"/>
          <w:lang w:val="el-GR"/>
        </w:rPr>
      </w:pPr>
    </w:p>
    <w:p w14:paraId="19CE51FD" w14:textId="4B446A65" w:rsidR="00B46910" w:rsidRPr="007B39C9" w:rsidRDefault="0039792B" w:rsidP="00C53F7D">
      <w:pPr>
        <w:pStyle w:val="BodyText3"/>
        <w:tabs>
          <w:tab w:val="clear" w:pos="0"/>
          <w:tab w:val="clear" w:pos="1416"/>
          <w:tab w:val="clear" w:pos="4962"/>
          <w:tab w:val="clear" w:pos="6521"/>
          <w:tab w:val="clear" w:pos="7560"/>
          <w:tab w:val="clear" w:pos="8220"/>
          <w:tab w:val="clear" w:pos="8640"/>
          <w:tab w:val="clear" w:pos="9000"/>
        </w:tabs>
        <w:suppressAutoHyphens w:val="0"/>
        <w:jc w:val="both"/>
        <w:rPr>
          <w:rFonts w:ascii="Arial" w:hAnsi="Arial" w:cs="Arial"/>
          <w:sz w:val="18"/>
          <w:szCs w:val="18"/>
          <w:lang w:val="el-GR"/>
        </w:rPr>
      </w:pPr>
      <w:r w:rsidRPr="00063E69">
        <w:rPr>
          <w:rFonts w:ascii="Arial" w:hAnsi="Arial" w:cs="Arial"/>
          <w:sz w:val="18"/>
          <w:lang w:val="el-GR" w:eastAsia="en-GB"/>
        </w:rPr>
        <w:t xml:space="preserve">Για το 2025, το Συγκρότημα </w:t>
      </w:r>
      <w:r w:rsidR="00F72BA9">
        <w:rPr>
          <w:rFonts w:ascii="Arial" w:hAnsi="Arial" w:cs="Arial"/>
          <w:sz w:val="18"/>
          <w:lang w:val="el-GR" w:eastAsia="en-GB"/>
        </w:rPr>
        <w:t xml:space="preserve">ανάμενε </w:t>
      </w:r>
      <w:r w:rsidR="00063E69">
        <w:rPr>
          <w:rFonts w:ascii="Arial" w:hAnsi="Arial" w:cs="Arial"/>
          <w:sz w:val="18"/>
          <w:lang w:val="el-GR" w:eastAsia="en-GB"/>
        </w:rPr>
        <w:t>τα</w:t>
      </w:r>
      <w:r w:rsidRPr="00063E69">
        <w:rPr>
          <w:rFonts w:ascii="Arial" w:hAnsi="Arial" w:cs="Arial"/>
          <w:sz w:val="18"/>
          <w:lang w:val="el-GR" w:eastAsia="en-GB"/>
        </w:rPr>
        <w:t xml:space="preserve"> καθαρά έσοδα από τόκους </w:t>
      </w:r>
      <w:r w:rsidR="00063E69">
        <w:rPr>
          <w:rFonts w:ascii="Arial" w:hAnsi="Arial" w:cs="Arial"/>
          <w:sz w:val="18"/>
          <w:lang w:val="el-GR" w:eastAsia="en-GB"/>
        </w:rPr>
        <w:t>να ξεπερνούν</w:t>
      </w:r>
      <w:r w:rsidR="00187F1E" w:rsidRPr="00063E69">
        <w:rPr>
          <w:rFonts w:ascii="Arial" w:hAnsi="Arial" w:cs="Arial"/>
          <w:sz w:val="18"/>
          <w:lang w:val="el-GR" w:eastAsia="en-GB"/>
        </w:rPr>
        <w:t xml:space="preserve"> </w:t>
      </w:r>
      <w:r w:rsidR="00063E69">
        <w:rPr>
          <w:rFonts w:ascii="Arial" w:hAnsi="Arial" w:cs="Arial"/>
          <w:sz w:val="18"/>
          <w:lang w:val="el-GR" w:eastAsia="en-GB"/>
        </w:rPr>
        <w:t>τα</w:t>
      </w:r>
      <w:r w:rsidR="00187F1E" w:rsidRPr="00063E69">
        <w:rPr>
          <w:rFonts w:ascii="Arial" w:hAnsi="Arial" w:cs="Arial"/>
          <w:sz w:val="18"/>
          <w:lang w:val="el-GR" w:eastAsia="en-GB"/>
        </w:rPr>
        <w:t xml:space="preserve"> €700 εκατ</w:t>
      </w:r>
      <w:r w:rsidR="00C53F7D">
        <w:rPr>
          <w:rFonts w:ascii="Arial" w:hAnsi="Arial" w:cs="Arial"/>
          <w:sz w:val="18"/>
          <w:lang w:val="el-GR" w:eastAsia="en-GB"/>
        </w:rPr>
        <w:t xml:space="preserve">., </w:t>
      </w:r>
      <w:r w:rsidR="00C53F7D" w:rsidRPr="00063E69">
        <w:rPr>
          <w:rFonts w:ascii="Arial" w:hAnsi="Arial" w:cs="Arial"/>
          <w:sz w:val="18"/>
          <w:lang w:val="el-GR" w:eastAsia="en-GB"/>
        </w:rPr>
        <w:t xml:space="preserve">βασισμένα σε επιτόκιο διευκόλυνσης αποδοχής καταθέσεων της ΕΚΤ και επιτόκιο </w:t>
      </w:r>
      <w:proofErr w:type="spellStart"/>
      <w:r w:rsidR="00C53F7D" w:rsidRPr="00063E69">
        <w:rPr>
          <w:rFonts w:ascii="Arial" w:hAnsi="Arial" w:cs="Arial"/>
          <w:sz w:val="18"/>
          <w:lang w:val="el-GR" w:eastAsia="en-GB"/>
        </w:rPr>
        <w:t>Euribor</w:t>
      </w:r>
      <w:proofErr w:type="spellEnd"/>
      <w:r w:rsidR="00C53F7D" w:rsidRPr="00063E69">
        <w:rPr>
          <w:rFonts w:ascii="Arial" w:hAnsi="Arial" w:cs="Arial"/>
          <w:sz w:val="18"/>
          <w:lang w:val="el-GR" w:eastAsia="en-GB"/>
        </w:rPr>
        <w:t xml:space="preserve"> 6 μηνών στο 3.0% κατά μέσο όρο, </w:t>
      </w:r>
      <w:r w:rsidR="00C53F7D">
        <w:rPr>
          <w:rFonts w:ascii="Arial" w:hAnsi="Arial" w:cs="Arial"/>
          <w:sz w:val="18"/>
          <w:lang w:val="el-GR" w:eastAsia="en-GB"/>
        </w:rPr>
        <w:t>όπως ανακοινώθηκαν τον Αύγουστο 2024. Έκτοτε, το περιβάλλον επιτοκίων έχει αλλάξει σημαντικά, με τα εκτιμόμενα επιτόκια της αγοράς</w:t>
      </w:r>
      <w:r w:rsidR="00620D58">
        <w:rPr>
          <w:rFonts w:ascii="Arial" w:hAnsi="Arial" w:cs="Arial"/>
          <w:sz w:val="18"/>
          <w:lang w:val="el-GR" w:eastAsia="en-GB"/>
        </w:rPr>
        <w:t xml:space="preserve"> να προβλέπουν ταχύτερο ρυθμό μείωσης σε σύγκριση με το τι αναμενόταν κατά το προηγούμενο τρίμηνο</w:t>
      </w:r>
      <w:r w:rsidR="00620D58" w:rsidRPr="00B46910">
        <w:rPr>
          <w:rFonts w:ascii="Arial" w:hAnsi="Arial" w:cs="Arial"/>
          <w:sz w:val="18"/>
          <w:lang w:val="el-GR" w:eastAsia="en-GB"/>
        </w:rPr>
        <w:t>.</w:t>
      </w:r>
      <w:r w:rsidR="00B46910">
        <w:rPr>
          <w:rFonts w:ascii="Arial" w:hAnsi="Arial" w:cs="Arial"/>
          <w:sz w:val="18"/>
          <w:lang w:val="el-GR" w:eastAsia="en-GB"/>
        </w:rPr>
        <w:t xml:space="preserve"> </w:t>
      </w:r>
      <w:r w:rsidR="00620D58" w:rsidRPr="00B46910">
        <w:rPr>
          <w:rFonts w:ascii="Arial" w:hAnsi="Arial" w:cs="Arial"/>
          <w:sz w:val="18"/>
          <w:lang w:val="el-GR" w:eastAsia="en-GB"/>
        </w:rPr>
        <w:t>Επί του παρόντος,</w:t>
      </w:r>
      <w:r w:rsidR="00B46910">
        <w:rPr>
          <w:rFonts w:ascii="Arial" w:hAnsi="Arial" w:cs="Arial"/>
          <w:sz w:val="18"/>
          <w:lang w:val="el-GR" w:eastAsia="en-GB"/>
        </w:rPr>
        <w:t xml:space="preserve"> </w:t>
      </w:r>
      <w:r w:rsidR="00620D58" w:rsidRPr="00B46910">
        <w:rPr>
          <w:rFonts w:ascii="Arial" w:hAnsi="Arial" w:cs="Arial"/>
          <w:sz w:val="18"/>
          <w:lang w:val="el-GR" w:eastAsia="en-GB"/>
        </w:rPr>
        <w:t xml:space="preserve">η αγορά αναμένει </w:t>
      </w:r>
      <w:r w:rsidR="00620D58" w:rsidRPr="00B46910">
        <w:rPr>
          <w:rFonts w:ascii="Arial" w:hAnsi="Arial" w:cs="Arial"/>
          <w:sz w:val="18"/>
          <w:szCs w:val="18"/>
          <w:lang w:val="el-GR"/>
        </w:rPr>
        <w:t xml:space="preserve">το επιτόκιο διευκόλυνσης αποδοχής καταθέσεων της ΕΚΤ </w:t>
      </w:r>
      <w:r w:rsidR="00B46910" w:rsidRPr="00B46910">
        <w:rPr>
          <w:rFonts w:ascii="Arial" w:hAnsi="Arial" w:cs="Arial"/>
          <w:sz w:val="18"/>
          <w:szCs w:val="18"/>
          <w:lang w:val="el-GR"/>
        </w:rPr>
        <w:t xml:space="preserve">και το επιτόκιο </w:t>
      </w:r>
      <w:proofErr w:type="spellStart"/>
      <w:r w:rsidR="00B46910" w:rsidRPr="00B46910">
        <w:rPr>
          <w:rFonts w:ascii="Arial" w:hAnsi="Arial" w:cs="Arial"/>
          <w:sz w:val="18"/>
          <w:szCs w:val="18"/>
          <w:lang w:val="el-GR"/>
        </w:rPr>
        <w:t>Euribor</w:t>
      </w:r>
      <w:proofErr w:type="spellEnd"/>
      <w:r w:rsidR="00B46910" w:rsidRPr="00B46910">
        <w:rPr>
          <w:rFonts w:ascii="Arial" w:hAnsi="Arial" w:cs="Arial"/>
          <w:sz w:val="18"/>
          <w:szCs w:val="18"/>
          <w:lang w:val="el-GR"/>
        </w:rPr>
        <w:t xml:space="preserve"> 6 μηνών να </w:t>
      </w:r>
      <w:r w:rsidR="00B46910">
        <w:rPr>
          <w:rFonts w:ascii="Arial" w:hAnsi="Arial" w:cs="Arial"/>
          <w:sz w:val="18"/>
          <w:szCs w:val="18"/>
          <w:lang w:val="el-GR"/>
        </w:rPr>
        <w:t>διαμορφωθούν</w:t>
      </w:r>
      <w:r w:rsidR="00B46910" w:rsidRPr="00B46910">
        <w:rPr>
          <w:rFonts w:ascii="Arial" w:hAnsi="Arial" w:cs="Arial"/>
          <w:sz w:val="18"/>
          <w:szCs w:val="18"/>
          <w:lang w:val="el-GR"/>
        </w:rPr>
        <w:t xml:space="preserve"> κατά μέσο όρο σε περίπου 2.2% για το 2025, αντανακλώντας ετήσια μείωση ύψους </w:t>
      </w:r>
      <w:r w:rsidR="00F72BA9">
        <w:rPr>
          <w:rFonts w:ascii="Arial" w:hAnsi="Arial" w:cs="Arial"/>
          <w:sz w:val="18"/>
          <w:szCs w:val="18"/>
          <w:lang w:val="el-GR"/>
        </w:rPr>
        <w:t xml:space="preserve">περίπου </w:t>
      </w:r>
      <w:r w:rsidR="00B46910" w:rsidRPr="00B46910">
        <w:rPr>
          <w:rFonts w:ascii="Arial" w:hAnsi="Arial" w:cs="Arial"/>
          <w:sz w:val="18"/>
          <w:szCs w:val="18"/>
          <w:lang w:val="el-GR"/>
        </w:rPr>
        <w:t xml:space="preserve">150 </w:t>
      </w:r>
      <w:proofErr w:type="spellStart"/>
      <w:r w:rsidR="00B46910" w:rsidRPr="00B46910">
        <w:rPr>
          <w:rFonts w:ascii="Arial" w:hAnsi="Arial" w:cs="Arial"/>
          <w:sz w:val="18"/>
          <w:szCs w:val="18"/>
          <w:lang w:val="el-GR"/>
        </w:rPr>
        <w:t>μ.β</w:t>
      </w:r>
      <w:proofErr w:type="spellEnd"/>
      <w:r w:rsidR="00B46910" w:rsidRPr="00B46910">
        <w:rPr>
          <w:rFonts w:ascii="Arial" w:hAnsi="Arial" w:cs="Arial"/>
          <w:sz w:val="18"/>
          <w:szCs w:val="18"/>
          <w:lang w:val="el-GR"/>
        </w:rPr>
        <w:t>.</w:t>
      </w:r>
      <w:r w:rsidR="00B46910">
        <w:rPr>
          <w:rFonts w:ascii="Arial" w:hAnsi="Arial" w:cs="Arial"/>
          <w:sz w:val="18"/>
          <w:szCs w:val="18"/>
          <w:lang w:val="el-GR"/>
        </w:rPr>
        <w:t xml:space="preserve"> Άλλοι παράγοντες που ενδέχεται να επηρεάσουν αρνητικά τα καθαρά έσοδα από τόκους για το 2025</w:t>
      </w:r>
      <w:r w:rsidR="007B39C9" w:rsidRPr="007B39C9">
        <w:rPr>
          <w:rFonts w:ascii="Arial" w:hAnsi="Arial" w:cs="Arial"/>
          <w:sz w:val="18"/>
          <w:szCs w:val="18"/>
          <w:lang w:val="el-GR"/>
        </w:rPr>
        <w:t xml:space="preserve"> </w:t>
      </w:r>
      <w:r w:rsidR="00B46910">
        <w:rPr>
          <w:rFonts w:ascii="Arial" w:hAnsi="Arial" w:cs="Arial"/>
          <w:sz w:val="18"/>
          <w:szCs w:val="18"/>
          <w:lang w:val="el-GR"/>
        </w:rPr>
        <w:t xml:space="preserve">περιλαμβάνουν την καθυστέρηση στην </w:t>
      </w:r>
      <w:proofErr w:type="spellStart"/>
      <w:r w:rsidR="00B46910" w:rsidRPr="00B46910">
        <w:rPr>
          <w:rFonts w:ascii="Arial" w:hAnsi="Arial" w:cs="Arial"/>
          <w:sz w:val="18"/>
          <w:szCs w:val="18"/>
          <w:lang w:val="el-GR"/>
        </w:rPr>
        <w:t>ανατιμολόγηση</w:t>
      </w:r>
      <w:proofErr w:type="spellEnd"/>
      <w:r w:rsidR="00B46910" w:rsidRPr="00B46910">
        <w:rPr>
          <w:rFonts w:ascii="Arial" w:hAnsi="Arial" w:cs="Arial"/>
          <w:sz w:val="18"/>
          <w:szCs w:val="18"/>
          <w:lang w:val="el-GR"/>
        </w:rPr>
        <w:t xml:space="preserve"> </w:t>
      </w:r>
      <w:r w:rsidR="00B46910">
        <w:rPr>
          <w:rFonts w:ascii="Arial" w:hAnsi="Arial" w:cs="Arial"/>
          <w:sz w:val="18"/>
          <w:szCs w:val="18"/>
          <w:lang w:val="el-GR"/>
        </w:rPr>
        <w:t xml:space="preserve">των καταθέσεων και στη μεταβολή </w:t>
      </w:r>
      <w:r w:rsidR="00B46910" w:rsidRPr="00B46910">
        <w:rPr>
          <w:rFonts w:ascii="Arial" w:hAnsi="Arial" w:cs="Arial"/>
          <w:sz w:val="18"/>
          <w:szCs w:val="18"/>
          <w:lang w:val="el-GR"/>
        </w:rPr>
        <w:t>στο μείγμα καταθέσεων</w:t>
      </w:r>
      <w:r w:rsidR="007B39C9" w:rsidRPr="007B39C9">
        <w:rPr>
          <w:rFonts w:ascii="Arial" w:hAnsi="Arial" w:cs="Arial"/>
          <w:sz w:val="18"/>
          <w:szCs w:val="18"/>
          <w:lang w:val="el-GR"/>
        </w:rPr>
        <w:t xml:space="preserve"> </w:t>
      </w:r>
      <w:r w:rsidR="00B46910" w:rsidRPr="00B46910">
        <w:rPr>
          <w:rFonts w:ascii="Arial" w:hAnsi="Arial" w:cs="Arial"/>
          <w:sz w:val="18"/>
          <w:szCs w:val="18"/>
          <w:lang w:val="el-GR"/>
        </w:rPr>
        <w:t>ως προς τις εμπρόθεσμες καταθέσεις</w:t>
      </w:r>
      <w:r w:rsidR="00B46910">
        <w:rPr>
          <w:rFonts w:ascii="Arial" w:hAnsi="Arial" w:cs="Arial"/>
          <w:sz w:val="18"/>
          <w:szCs w:val="18"/>
          <w:lang w:val="el-GR"/>
        </w:rPr>
        <w:t xml:space="preserve">, καθώς επίσης και την </w:t>
      </w:r>
      <w:r w:rsidR="00B46910" w:rsidRPr="00B46910">
        <w:rPr>
          <w:rFonts w:ascii="Arial" w:hAnsi="Arial" w:cs="Arial"/>
          <w:sz w:val="18"/>
          <w:szCs w:val="18"/>
          <w:lang w:val="el-GR"/>
        </w:rPr>
        <w:t xml:space="preserve">πλήρη επίπτωση της έκδοσης MREL (€15 εκατ. </w:t>
      </w:r>
      <w:r w:rsidR="00B46910">
        <w:rPr>
          <w:rFonts w:ascii="Arial" w:hAnsi="Arial" w:cs="Arial"/>
          <w:sz w:val="18"/>
          <w:szCs w:val="18"/>
          <w:lang w:val="el-GR"/>
        </w:rPr>
        <w:t>ετησίως</w:t>
      </w:r>
      <w:r w:rsidR="00B46910" w:rsidRPr="00B46910">
        <w:rPr>
          <w:rFonts w:ascii="Arial" w:hAnsi="Arial" w:cs="Arial"/>
          <w:sz w:val="18"/>
          <w:szCs w:val="18"/>
          <w:lang w:val="el-GR"/>
        </w:rPr>
        <w:t>).</w:t>
      </w:r>
      <w:r w:rsidR="00B46910">
        <w:rPr>
          <w:rFonts w:ascii="Arial" w:hAnsi="Arial" w:cs="Arial"/>
          <w:sz w:val="18"/>
          <w:szCs w:val="18"/>
          <w:lang w:val="el-GR"/>
        </w:rPr>
        <w:t xml:space="preserve"> </w:t>
      </w:r>
      <w:r w:rsidR="007B39C9" w:rsidRPr="007B39C9">
        <w:rPr>
          <w:rFonts w:ascii="Arial" w:hAnsi="Arial" w:cs="Arial"/>
          <w:sz w:val="18"/>
          <w:szCs w:val="18"/>
          <w:lang w:val="el-GR"/>
        </w:rPr>
        <w:t xml:space="preserve">Αντιθέτως, </w:t>
      </w:r>
      <w:r w:rsidR="007B39C9">
        <w:rPr>
          <w:rFonts w:ascii="Arial" w:hAnsi="Arial" w:cs="Arial"/>
          <w:sz w:val="18"/>
          <w:szCs w:val="18"/>
          <w:lang w:val="el-GR"/>
        </w:rPr>
        <w:t xml:space="preserve">παράγοντες όπως </w:t>
      </w:r>
      <w:r w:rsidR="007B39C9" w:rsidRPr="007B39C9">
        <w:rPr>
          <w:rFonts w:ascii="Arial" w:hAnsi="Arial" w:cs="Arial"/>
          <w:sz w:val="18"/>
          <w:szCs w:val="18"/>
          <w:lang w:val="el-GR"/>
        </w:rPr>
        <w:t>η αύξηση των δανείων και των καταθέσεων, οι ενέργειες αντιστάθμισης, η αύξηση στο χαρτοφυλάκιο ομολόγων και η αντικατάσταση των  ομολόγων που λήγουν</w:t>
      </w:r>
      <w:r w:rsidR="00F72BA9" w:rsidRPr="00F72BA9">
        <w:rPr>
          <w:rFonts w:ascii="Arial" w:hAnsi="Arial" w:cs="Arial"/>
          <w:sz w:val="18"/>
          <w:szCs w:val="18"/>
          <w:lang w:val="el-GR"/>
        </w:rPr>
        <w:t>,</w:t>
      </w:r>
      <w:r w:rsidR="007B39C9" w:rsidRPr="007B39C9">
        <w:rPr>
          <w:rFonts w:ascii="Arial" w:hAnsi="Arial" w:cs="Arial"/>
          <w:sz w:val="18"/>
          <w:szCs w:val="18"/>
          <w:lang w:val="el-GR"/>
        </w:rPr>
        <w:t xml:space="preserve"> σε υψηλότερα επιτόκια,</w:t>
      </w:r>
      <w:r w:rsidR="007B39C9">
        <w:rPr>
          <w:rFonts w:ascii="Arial" w:hAnsi="Arial" w:cs="Arial"/>
          <w:sz w:val="18"/>
          <w:szCs w:val="18"/>
          <w:lang w:val="el-GR"/>
        </w:rPr>
        <w:t xml:space="preserve"> υποστηρίζουν τα καθαρά έσοδα από τόκους στο μέλλον. </w:t>
      </w:r>
    </w:p>
    <w:p w14:paraId="06BC256E" w14:textId="77777777" w:rsidR="00B46910" w:rsidRPr="00445BFD" w:rsidRDefault="00B46910" w:rsidP="007B39C9">
      <w:pPr>
        <w:pStyle w:val="BodyText3"/>
        <w:tabs>
          <w:tab w:val="clear" w:pos="0"/>
          <w:tab w:val="clear" w:pos="1416"/>
          <w:tab w:val="clear" w:pos="4962"/>
          <w:tab w:val="clear" w:pos="6521"/>
          <w:tab w:val="clear" w:pos="7560"/>
          <w:tab w:val="clear" w:pos="8220"/>
          <w:tab w:val="clear" w:pos="8640"/>
          <w:tab w:val="clear" w:pos="9000"/>
        </w:tabs>
        <w:suppressAutoHyphens w:val="0"/>
        <w:jc w:val="both"/>
        <w:rPr>
          <w:rFonts w:ascii="Arial" w:hAnsi="Arial" w:cs="Arial"/>
          <w:sz w:val="18"/>
          <w:szCs w:val="18"/>
          <w:lang w:val="el-GR"/>
        </w:rPr>
      </w:pPr>
    </w:p>
    <w:p w14:paraId="27944FE9" w14:textId="49C2952E" w:rsidR="0039792B" w:rsidRPr="00445BFD" w:rsidRDefault="007B39C9" w:rsidP="007B39C9">
      <w:pPr>
        <w:pStyle w:val="BodyText3"/>
        <w:tabs>
          <w:tab w:val="clear" w:pos="0"/>
          <w:tab w:val="clear" w:pos="1416"/>
          <w:tab w:val="clear" w:pos="4962"/>
          <w:tab w:val="clear" w:pos="6521"/>
          <w:tab w:val="clear" w:pos="7560"/>
          <w:tab w:val="clear" w:pos="8220"/>
          <w:tab w:val="clear" w:pos="8640"/>
          <w:tab w:val="clear" w:pos="9000"/>
        </w:tabs>
        <w:suppressAutoHyphens w:val="0"/>
        <w:jc w:val="both"/>
        <w:rPr>
          <w:rFonts w:ascii="Arial" w:hAnsi="Arial" w:cs="Arial"/>
          <w:b/>
          <w:bCs/>
          <w:sz w:val="18"/>
          <w:szCs w:val="18"/>
          <w:lang w:val="el-GR"/>
        </w:rPr>
      </w:pPr>
      <w:r w:rsidRPr="00445BFD">
        <w:rPr>
          <w:rFonts w:ascii="Arial" w:hAnsi="Arial" w:cs="Arial"/>
          <w:b/>
          <w:bCs/>
          <w:sz w:val="18"/>
          <w:szCs w:val="18"/>
          <w:lang w:val="el-GR"/>
        </w:rPr>
        <w:t xml:space="preserve">Παρά τις εκτιμήσεις για χαμηλότερα επιτόκια που επηρεάζουν τα καθαρά έσοδα από τόκους, ο στόχος του Συγκροτήματος για Απόδοση Ενσώματων Ιδίων Κεφαλαίων (ROTE) σε επίπεδα </w:t>
      </w:r>
      <w:proofErr w:type="spellStart"/>
      <w:r w:rsidRPr="00445BFD">
        <w:rPr>
          <w:rFonts w:ascii="Arial" w:hAnsi="Arial" w:cs="Arial"/>
          <w:b/>
          <w:bCs/>
          <w:sz w:val="18"/>
          <w:szCs w:val="18"/>
          <w:lang w:val="el-GR"/>
        </w:rPr>
        <w:t>high-teens</w:t>
      </w:r>
      <w:proofErr w:type="spellEnd"/>
      <w:r w:rsidRPr="00445BFD">
        <w:rPr>
          <w:rFonts w:ascii="Arial" w:hAnsi="Arial" w:cs="Arial"/>
          <w:b/>
          <w:bCs/>
          <w:sz w:val="18"/>
          <w:szCs w:val="18"/>
          <w:lang w:val="el-GR"/>
        </w:rPr>
        <w:t>, υπολογισμένος σε Δείκτη Κεφαλαίου Κοινών Μετοχών Κατηγορίας 1 (CET1) ύψους 15%, παραμένει</w:t>
      </w:r>
      <w:r w:rsidR="00341CE7">
        <w:rPr>
          <w:rFonts w:ascii="Arial" w:hAnsi="Arial" w:cs="Arial"/>
          <w:b/>
          <w:bCs/>
          <w:sz w:val="18"/>
          <w:szCs w:val="18"/>
          <w:lang w:val="el-GR"/>
        </w:rPr>
        <w:t xml:space="preserve"> για το 2025</w:t>
      </w:r>
      <w:r w:rsidR="00445BFD" w:rsidRPr="00445BFD">
        <w:rPr>
          <w:rFonts w:ascii="Arial" w:hAnsi="Arial" w:cs="Arial"/>
          <w:b/>
          <w:bCs/>
          <w:sz w:val="18"/>
          <w:szCs w:val="18"/>
          <w:lang w:val="el-GR"/>
        </w:rPr>
        <w:t>. Όσο αφορά το στόχο για Απόδοση Ενσώματων Ιδίων Κεφαλαίων (ROTE) (‘όπως αναφέρεται</w:t>
      </w:r>
      <w:r w:rsidR="00F72BA9" w:rsidRPr="00F72BA9">
        <w:rPr>
          <w:rFonts w:ascii="Arial" w:hAnsi="Arial" w:cs="Arial"/>
          <w:b/>
          <w:bCs/>
          <w:sz w:val="18"/>
          <w:szCs w:val="18"/>
          <w:lang w:val="el-GR"/>
        </w:rPr>
        <w:t>’</w:t>
      </w:r>
      <w:r w:rsidR="00445BFD" w:rsidRPr="00445BFD">
        <w:rPr>
          <w:rFonts w:ascii="Arial" w:hAnsi="Arial" w:cs="Arial"/>
          <w:b/>
          <w:bCs/>
          <w:sz w:val="18"/>
          <w:szCs w:val="18"/>
          <w:lang w:val="el-GR"/>
        </w:rPr>
        <w:t xml:space="preserve">) σε επίπεδα </w:t>
      </w:r>
      <w:r w:rsidR="00445BFD" w:rsidRPr="00445BFD">
        <w:rPr>
          <w:rFonts w:ascii="Arial" w:hAnsi="Arial" w:cs="Arial"/>
          <w:b/>
          <w:bCs/>
          <w:sz w:val="18"/>
          <w:szCs w:val="18"/>
          <w:lang w:val="en-US"/>
        </w:rPr>
        <w:t>mid</w:t>
      </w:r>
      <w:r w:rsidR="00445BFD" w:rsidRPr="00445BFD">
        <w:rPr>
          <w:rFonts w:ascii="Arial" w:hAnsi="Arial" w:cs="Arial"/>
          <w:b/>
          <w:bCs/>
          <w:sz w:val="18"/>
          <w:szCs w:val="18"/>
          <w:lang w:val="el-GR"/>
        </w:rPr>
        <w:t>-</w:t>
      </w:r>
      <w:proofErr w:type="spellStart"/>
      <w:r w:rsidR="00445BFD" w:rsidRPr="00445BFD">
        <w:rPr>
          <w:rFonts w:ascii="Arial" w:hAnsi="Arial" w:cs="Arial"/>
          <w:b/>
          <w:bCs/>
          <w:sz w:val="18"/>
          <w:szCs w:val="18"/>
          <w:lang w:val="el-GR"/>
        </w:rPr>
        <w:t>teens</w:t>
      </w:r>
      <w:proofErr w:type="spellEnd"/>
      <w:r w:rsidR="00445BFD" w:rsidRPr="00445BFD">
        <w:rPr>
          <w:rFonts w:ascii="Arial" w:hAnsi="Arial" w:cs="Arial"/>
          <w:b/>
          <w:bCs/>
          <w:sz w:val="18"/>
          <w:szCs w:val="18"/>
          <w:lang w:val="el-GR"/>
        </w:rPr>
        <w:t xml:space="preserve">, παρά </w:t>
      </w:r>
      <w:r w:rsidR="00245C20" w:rsidRPr="00245C20">
        <w:rPr>
          <w:rFonts w:ascii="Arial" w:hAnsi="Arial" w:cs="Arial"/>
          <w:b/>
          <w:bCs/>
          <w:sz w:val="18"/>
          <w:szCs w:val="18"/>
          <w:lang w:val="el-GR"/>
        </w:rPr>
        <w:t>την ραγδαία αύξηση της κεφαλαιακής μας βάσης</w:t>
      </w:r>
      <w:r w:rsidR="00445BFD" w:rsidRPr="00245C20">
        <w:rPr>
          <w:rFonts w:ascii="Arial" w:hAnsi="Arial" w:cs="Arial"/>
          <w:b/>
          <w:bCs/>
          <w:sz w:val="18"/>
          <w:szCs w:val="18"/>
          <w:lang w:val="el-GR"/>
        </w:rPr>
        <w:t>, π</w:t>
      </w:r>
      <w:r w:rsidR="00445BFD" w:rsidRPr="00445BFD">
        <w:rPr>
          <w:rFonts w:ascii="Arial" w:hAnsi="Arial" w:cs="Arial"/>
          <w:b/>
          <w:bCs/>
          <w:sz w:val="18"/>
          <w:szCs w:val="18"/>
          <w:lang w:val="el-GR"/>
        </w:rPr>
        <w:t>αραμένει εφικτός</w:t>
      </w:r>
      <w:r w:rsidR="00245C20">
        <w:rPr>
          <w:rFonts w:ascii="Arial" w:hAnsi="Arial" w:cs="Arial"/>
          <w:b/>
          <w:bCs/>
          <w:sz w:val="18"/>
          <w:szCs w:val="18"/>
          <w:lang w:val="el-GR"/>
        </w:rPr>
        <w:t xml:space="preserve"> για το 2025</w:t>
      </w:r>
      <w:r w:rsidR="00445BFD" w:rsidRPr="00445BFD">
        <w:rPr>
          <w:rFonts w:ascii="Arial" w:hAnsi="Arial" w:cs="Arial"/>
          <w:b/>
          <w:bCs/>
          <w:sz w:val="18"/>
          <w:szCs w:val="18"/>
          <w:lang w:val="el-GR"/>
        </w:rPr>
        <w:t xml:space="preserve">. </w:t>
      </w:r>
    </w:p>
    <w:p w14:paraId="396DBD35" w14:textId="77777777" w:rsidR="007B39C9" w:rsidRPr="00445BFD" w:rsidRDefault="007B39C9" w:rsidP="00063E69">
      <w:pPr>
        <w:pStyle w:val="BodyText3"/>
        <w:tabs>
          <w:tab w:val="clear" w:pos="0"/>
          <w:tab w:val="clear" w:pos="1416"/>
          <w:tab w:val="clear" w:pos="4962"/>
          <w:tab w:val="clear" w:pos="6521"/>
          <w:tab w:val="clear" w:pos="7560"/>
          <w:tab w:val="clear" w:pos="8220"/>
          <w:tab w:val="clear" w:pos="8640"/>
          <w:tab w:val="clear" w:pos="9000"/>
        </w:tabs>
        <w:suppressAutoHyphens w:val="0"/>
        <w:jc w:val="left"/>
        <w:rPr>
          <w:rFonts w:ascii="Arial" w:hAnsi="Arial" w:cs="Arial"/>
          <w:b/>
          <w:bCs/>
          <w:sz w:val="18"/>
          <w:lang w:val="el-GR" w:eastAsia="en-GB"/>
        </w:rPr>
      </w:pPr>
    </w:p>
    <w:p w14:paraId="5373D247" w14:textId="0A050B96" w:rsidR="00445BFD" w:rsidRPr="00445BFD" w:rsidRDefault="00445BFD" w:rsidP="00445BFD">
      <w:pPr>
        <w:pStyle w:val="Footer"/>
        <w:tabs>
          <w:tab w:val="left" w:pos="709"/>
        </w:tabs>
        <w:ind w:right="57"/>
        <w:jc w:val="both"/>
        <w:rPr>
          <w:rFonts w:ascii="Arial" w:eastAsiaTheme="minorEastAsia" w:hAnsi="Arial" w:cs="Arial"/>
          <w:b/>
          <w:bCs/>
          <w:sz w:val="18"/>
          <w:szCs w:val="18"/>
          <w:lang w:val="el-GR" w:eastAsia="el-GR"/>
        </w:rPr>
      </w:pPr>
      <w:r w:rsidRPr="00445BFD">
        <w:rPr>
          <w:rFonts w:ascii="Arial" w:eastAsiaTheme="minorEastAsia" w:hAnsi="Arial" w:cs="Arial"/>
          <w:b/>
          <w:bCs/>
          <w:sz w:val="18"/>
          <w:szCs w:val="18"/>
          <w:lang w:val="el-GR" w:eastAsia="el-GR"/>
        </w:rPr>
        <w:t xml:space="preserve">Σε ένα περιβάλλον ομαλοποιημένων επιτοκίων (2.0-2.5%), ο στόχος του Συγκροτήματος για δημιουργία Απόδοσης Ενσώματων Ιδίων Κεφαλαίων (ROTE) σε επίπεδα </w:t>
      </w:r>
      <w:proofErr w:type="spellStart"/>
      <w:r w:rsidRPr="00445BFD">
        <w:rPr>
          <w:rFonts w:ascii="Arial" w:eastAsiaTheme="minorEastAsia" w:hAnsi="Arial" w:cs="Arial"/>
          <w:b/>
          <w:bCs/>
          <w:sz w:val="18"/>
          <w:szCs w:val="18"/>
          <w:lang w:val="el-GR" w:eastAsia="el-GR"/>
        </w:rPr>
        <w:t>mid-teens</w:t>
      </w:r>
      <w:proofErr w:type="spellEnd"/>
      <w:r w:rsidRPr="00445BFD">
        <w:rPr>
          <w:rFonts w:ascii="Arial" w:eastAsiaTheme="minorEastAsia" w:hAnsi="Arial" w:cs="Arial"/>
          <w:b/>
          <w:bCs/>
          <w:sz w:val="18"/>
          <w:szCs w:val="18"/>
          <w:lang w:val="el-GR" w:eastAsia="el-GR"/>
        </w:rPr>
        <w:t xml:space="preserve"> παραμένει.   </w:t>
      </w:r>
    </w:p>
    <w:p w14:paraId="512B37D6" w14:textId="77777777" w:rsidR="00EA4F55" w:rsidRPr="00D41B36" w:rsidRDefault="00EA4F55" w:rsidP="00EA4F55">
      <w:pPr>
        <w:pStyle w:val="Footer"/>
        <w:tabs>
          <w:tab w:val="left" w:pos="709"/>
        </w:tabs>
        <w:ind w:right="57"/>
        <w:jc w:val="both"/>
        <w:rPr>
          <w:rFonts w:ascii="Arial" w:eastAsiaTheme="minorEastAsia" w:hAnsi="Arial" w:cs="Arial"/>
          <w:sz w:val="18"/>
          <w:szCs w:val="18"/>
          <w:highlight w:val="yellow"/>
          <w:lang w:val="el-GR" w:eastAsia="el-GR"/>
        </w:rPr>
      </w:pPr>
    </w:p>
    <w:p w14:paraId="617D18F1" w14:textId="2CAEFDEB" w:rsidR="00A95915" w:rsidRPr="00445BFD" w:rsidRDefault="00A95915" w:rsidP="00A95915">
      <w:pPr>
        <w:pStyle w:val="Footer"/>
        <w:tabs>
          <w:tab w:val="left" w:pos="709"/>
        </w:tabs>
        <w:ind w:right="57"/>
        <w:jc w:val="both"/>
        <w:rPr>
          <w:rFonts w:ascii="Arial" w:hAnsi="Arial" w:cs="Arial"/>
          <w:i/>
          <w:iCs/>
          <w:sz w:val="18"/>
          <w:lang w:val="el-GR"/>
        </w:rPr>
      </w:pPr>
      <w:r w:rsidRPr="00445BFD">
        <w:rPr>
          <w:rFonts w:ascii="Arial" w:hAnsi="Arial" w:cs="Arial"/>
          <w:i/>
          <w:iCs/>
          <w:sz w:val="18"/>
          <w:lang w:val="el-GR"/>
        </w:rPr>
        <w:t>Διανομές</w:t>
      </w:r>
    </w:p>
    <w:p w14:paraId="0D0370A2" w14:textId="77777777" w:rsidR="0074241C" w:rsidRPr="00D41B36" w:rsidRDefault="0074241C" w:rsidP="00D35D03">
      <w:pPr>
        <w:spacing w:after="0" w:line="240" w:lineRule="auto"/>
        <w:jc w:val="both"/>
        <w:rPr>
          <w:rFonts w:ascii="Arial" w:hAnsi="Arial" w:cs="Arial"/>
          <w:sz w:val="18"/>
          <w:szCs w:val="18"/>
          <w:highlight w:val="yellow"/>
          <w:lang w:val="el-GR"/>
        </w:rPr>
      </w:pPr>
    </w:p>
    <w:p w14:paraId="4D8E1DC9" w14:textId="419EA725" w:rsidR="00445BFD" w:rsidRDefault="00E22FF7" w:rsidP="00445BFD">
      <w:pPr>
        <w:spacing w:after="0" w:line="240" w:lineRule="auto"/>
        <w:jc w:val="both"/>
        <w:rPr>
          <w:rFonts w:ascii="Arial" w:hAnsi="Arial" w:cs="Arial"/>
          <w:bCs/>
          <w:sz w:val="18"/>
          <w:szCs w:val="28"/>
          <w:lang w:val="el-GR"/>
        </w:rPr>
      </w:pPr>
      <w:r w:rsidRPr="007246A9">
        <w:rPr>
          <w:rFonts w:ascii="Arial" w:hAnsi="Arial" w:cs="Arial"/>
          <w:bCs/>
          <w:sz w:val="18"/>
          <w:szCs w:val="28"/>
          <w:lang w:val="el-GR"/>
        </w:rPr>
        <w:t>Στόχος του Συγκροτήματος είναι η παροχή σταθερής απόδοσης στους μετόχους.</w:t>
      </w:r>
      <w:r w:rsidRPr="00253F72">
        <w:rPr>
          <w:rFonts w:ascii="Arial" w:hAnsi="Arial" w:cs="Arial"/>
          <w:bCs/>
          <w:sz w:val="18"/>
          <w:szCs w:val="28"/>
          <w:lang w:val="el-GR"/>
        </w:rPr>
        <w:t xml:space="preserve"> </w:t>
      </w:r>
      <w:r w:rsidRPr="007246A9">
        <w:rPr>
          <w:rFonts w:ascii="Arial" w:hAnsi="Arial" w:cs="Arial"/>
          <w:bCs/>
          <w:sz w:val="18"/>
          <w:szCs w:val="28"/>
          <w:lang w:val="el-GR"/>
        </w:rPr>
        <w:t>Σύμφωνα με την πολιτική διανομής του Συγκροτήματος, οι διανομές αναμένεται να κυμαίν</w:t>
      </w:r>
      <w:r>
        <w:rPr>
          <w:rFonts w:ascii="Arial" w:hAnsi="Arial" w:cs="Arial"/>
          <w:bCs/>
          <w:sz w:val="18"/>
          <w:szCs w:val="28"/>
          <w:lang w:val="el-GR"/>
        </w:rPr>
        <w:t xml:space="preserve">ονται </w:t>
      </w:r>
      <w:r w:rsidRPr="007246A9">
        <w:rPr>
          <w:rFonts w:ascii="Arial" w:hAnsi="Arial" w:cs="Arial"/>
          <w:bCs/>
          <w:sz w:val="18"/>
          <w:szCs w:val="28"/>
          <w:lang w:val="el-GR"/>
        </w:rPr>
        <w:t>μεταξύ 30-50% της προσαρμοσμένης κερδοφορίας πριν των μη επαναλαμβανόμενων στοιχείων του Συγκροτήματος, και να περιλαμβάνουν μερίσματα σε μετρητά και επαναγορά ιδίων μετοχών</w:t>
      </w:r>
      <w:r>
        <w:rPr>
          <w:rFonts w:ascii="Arial" w:hAnsi="Arial" w:cs="Arial"/>
          <w:bCs/>
          <w:sz w:val="18"/>
          <w:szCs w:val="28"/>
          <w:lang w:val="el-GR"/>
        </w:rPr>
        <w:t xml:space="preserve">.  </w:t>
      </w:r>
      <w:r w:rsidRPr="007246A9">
        <w:rPr>
          <w:rFonts w:ascii="Arial" w:hAnsi="Arial" w:cs="Arial"/>
          <w:bCs/>
          <w:sz w:val="18"/>
          <w:szCs w:val="28"/>
          <w:lang w:val="el-GR"/>
        </w:rPr>
        <w:t xml:space="preserve">Η προσαρμοσμένη κερδοφορία πριν των μη επαναλαμβανόμενων στοιχείων </w:t>
      </w:r>
      <w:r>
        <w:rPr>
          <w:rFonts w:ascii="Arial" w:hAnsi="Arial" w:cs="Arial"/>
          <w:bCs/>
          <w:sz w:val="18"/>
          <w:szCs w:val="28"/>
          <w:lang w:val="el-GR"/>
        </w:rPr>
        <w:t>καθορίζεται</w:t>
      </w:r>
      <w:r w:rsidRPr="007246A9">
        <w:rPr>
          <w:rFonts w:ascii="Arial" w:hAnsi="Arial" w:cs="Arial"/>
          <w:bCs/>
          <w:sz w:val="18"/>
          <w:szCs w:val="28"/>
          <w:lang w:val="el-GR"/>
        </w:rPr>
        <w:t xml:space="preserve"> ως τα κέρδη μετά τη φορολογία και πριν τα μη-επαναλαμβανόμενα στοιχεία που αναλογούν στους ιδιοκτήτες του Συγκροτήματος, λαμβάνοντας υπόψιν τις διανομές από τους λοιπούς συμμετοχικούς τίτλους όπως την πληρωμή κουπονιού στους κατόχους Χρεογράφων Κατηγορίας 1.</w:t>
      </w:r>
      <w:r w:rsidR="00445BFD" w:rsidRPr="00445BFD">
        <w:rPr>
          <w:rFonts w:ascii="Arial" w:hAnsi="Arial" w:cs="Arial"/>
          <w:b/>
          <w:sz w:val="18"/>
          <w:szCs w:val="28"/>
          <w:lang w:val="el-GR"/>
        </w:rPr>
        <w:t>Με βάση την προκαταρκτική απόφαση ΔΕΕΑ, η υφιστάμενη εποπτική έγκριση πριν την καταβολή μερίσματος αναμένεται να αρθεί, με ημερομηνία ισχύς από την 1 Ιανουαρίου 2025.</w:t>
      </w:r>
      <w:r w:rsidR="00445BFD">
        <w:rPr>
          <w:b/>
          <w:bCs/>
          <w:sz w:val="18"/>
          <w:szCs w:val="18"/>
          <w:lang w:val="el-GR"/>
        </w:rPr>
        <w:t xml:space="preserve"> </w:t>
      </w:r>
      <w:r w:rsidR="00445BFD" w:rsidRPr="00445BFD">
        <w:rPr>
          <w:rFonts w:ascii="Arial" w:hAnsi="Arial" w:cs="Arial"/>
          <w:bCs/>
          <w:sz w:val="18"/>
          <w:szCs w:val="28"/>
          <w:lang w:val="el-GR"/>
        </w:rPr>
        <w:t xml:space="preserve">Σύμφωνα με την πολιτική διανομής του Συγκροτήματος, το Συγκρότημα είναι προσηλωμένο στην παροχή σταθερών και αυξανόμενων διανομών, συνδυάζοντας μέρισμα σε μετρητά και επαναγορά ιδίων μετοχών, διατηρώντας παράλληλα την ισχυρή κεφαλαιακή του θέση, στηρίζοντας έτσι την αύξηση της κερδοφορίας και τη συνετή ετοιμασία του Συγκροτήματος ως προς επερχόμενες πιθανές κανονιστικές αλλαγές. Υποστηριζόμενο από την συνεχή του πρόοδο ως προς τους στρατηγικούς του στόχους, </w:t>
      </w:r>
      <w:r w:rsidR="00445BFD" w:rsidRPr="00445BFD">
        <w:rPr>
          <w:rFonts w:ascii="Arial" w:hAnsi="Arial" w:cs="Arial"/>
          <w:b/>
          <w:sz w:val="18"/>
          <w:szCs w:val="28"/>
          <w:lang w:val="el-GR"/>
        </w:rPr>
        <w:t xml:space="preserve">το Συγκρότημα, για το 2024, επιδιώκει να κινηθεί ως προς το </w:t>
      </w:r>
      <w:r w:rsidR="003A687C">
        <w:rPr>
          <w:rFonts w:ascii="Arial" w:hAnsi="Arial" w:cs="Arial"/>
          <w:b/>
          <w:sz w:val="18"/>
          <w:szCs w:val="28"/>
          <w:lang w:val="el-GR"/>
        </w:rPr>
        <w:t>ανώτατο</w:t>
      </w:r>
      <w:r w:rsidR="00445BFD" w:rsidRPr="00445BFD">
        <w:rPr>
          <w:rFonts w:ascii="Arial" w:hAnsi="Arial" w:cs="Arial"/>
          <w:b/>
          <w:sz w:val="18"/>
          <w:szCs w:val="28"/>
          <w:lang w:val="el-GR"/>
        </w:rPr>
        <w:t xml:space="preserve"> </w:t>
      </w:r>
      <w:r w:rsidR="003A687C">
        <w:rPr>
          <w:rFonts w:ascii="Arial" w:hAnsi="Arial" w:cs="Arial"/>
          <w:b/>
          <w:sz w:val="18"/>
          <w:szCs w:val="28"/>
          <w:lang w:val="el-GR"/>
        </w:rPr>
        <w:t>όριο</w:t>
      </w:r>
      <w:r w:rsidR="00445BFD" w:rsidRPr="00445BFD">
        <w:rPr>
          <w:rFonts w:ascii="Arial" w:hAnsi="Arial" w:cs="Arial"/>
          <w:b/>
          <w:sz w:val="18"/>
          <w:szCs w:val="28"/>
          <w:lang w:val="el-GR"/>
        </w:rPr>
        <w:t xml:space="preserve"> του εύρους του ποσοστού διανομής (δηλαδή 50%).</w:t>
      </w:r>
      <w:r w:rsidR="00445BFD" w:rsidRPr="00445BFD">
        <w:rPr>
          <w:rFonts w:ascii="Arial" w:hAnsi="Arial" w:cs="Arial"/>
          <w:bCs/>
          <w:sz w:val="18"/>
          <w:szCs w:val="28"/>
          <w:lang w:val="el-GR"/>
        </w:rPr>
        <w:t xml:space="preserve"> Οποιοδήποτε προτεινόμενο ποσό διανομής, καθώς και η προβλεπόμενη κατανομή μεταξύ μερίσματος σε μετρητά και επαναγοράς ιδίων μετοχών, θα λαμβάνει υπόψη τις συνθήκες της αγοράς όπως επίσης και τα αποτελέσματα του σχεδιασμού κεφαλαίου και ρευστότητας κατά τη δεδομένη χρονική στιγμή. Δεδομένης της ισχυρής δημιουργίας κεφαλαίου, η πολιτική διανομής του Συγκροτήματος αναμένεται να επανεξεταστεί με τα οικονομικά αποτελέσματα για το έτος 2024, στο πλαίσιο των εκάστοτε συνθηκών της αγοράς.</w:t>
      </w:r>
    </w:p>
    <w:p w14:paraId="7E49FF5E" w14:textId="77777777" w:rsidR="005D55DD" w:rsidRDefault="005D55DD" w:rsidP="00445BFD">
      <w:pPr>
        <w:spacing w:after="0" w:line="240" w:lineRule="auto"/>
        <w:jc w:val="both"/>
        <w:rPr>
          <w:rFonts w:ascii="Arial" w:hAnsi="Arial" w:cs="Arial"/>
          <w:bCs/>
          <w:sz w:val="18"/>
          <w:szCs w:val="28"/>
          <w:lang w:val="el-GR"/>
        </w:rPr>
      </w:pPr>
    </w:p>
    <w:p w14:paraId="71E96E6C" w14:textId="77777777" w:rsidR="005D55DD" w:rsidRDefault="005D55DD" w:rsidP="00445BFD">
      <w:pPr>
        <w:spacing w:after="0" w:line="240" w:lineRule="auto"/>
        <w:jc w:val="both"/>
        <w:rPr>
          <w:rFonts w:ascii="Arial" w:hAnsi="Arial" w:cs="Arial"/>
          <w:bCs/>
          <w:sz w:val="18"/>
          <w:szCs w:val="28"/>
          <w:lang w:val="el-GR"/>
        </w:rPr>
      </w:pPr>
    </w:p>
    <w:p w14:paraId="562B390B" w14:textId="77777777" w:rsidR="005D55DD" w:rsidRPr="009C531A" w:rsidRDefault="005D55DD" w:rsidP="005D55DD">
      <w:pPr>
        <w:rPr>
          <w:rFonts w:ascii="Arial" w:hAnsi="Arial" w:cs="Arial"/>
          <w:b/>
          <w:color w:val="FF9900"/>
          <w:sz w:val="24"/>
          <w:szCs w:val="24"/>
          <w:lang w:val="el-GR"/>
        </w:rPr>
      </w:pPr>
      <w:r>
        <w:rPr>
          <w:rFonts w:ascii="Arial" w:hAnsi="Arial" w:cs="Arial"/>
          <w:b/>
          <w:color w:val="FF9900"/>
          <w:sz w:val="24"/>
          <w:szCs w:val="24"/>
          <w:lang w:val="el-GR"/>
        </w:rPr>
        <w:lastRenderedPageBreak/>
        <w:t>Δ</w:t>
      </w:r>
      <w:r w:rsidRPr="009C531A">
        <w:rPr>
          <w:rFonts w:ascii="Arial" w:hAnsi="Arial" w:cs="Arial"/>
          <w:b/>
          <w:color w:val="FF9900"/>
          <w:sz w:val="24"/>
          <w:szCs w:val="24"/>
          <w:lang w:val="el-GR"/>
        </w:rPr>
        <w:t xml:space="preserve">. Στρατηγική και Προοπτικές </w:t>
      </w:r>
      <w:r w:rsidRPr="009C531A">
        <w:rPr>
          <w:rFonts w:ascii="Arial" w:hAnsi="Arial" w:cs="Arial"/>
          <w:bCs/>
          <w:color w:val="FF9900"/>
          <w:sz w:val="24"/>
          <w:szCs w:val="24"/>
          <w:lang w:val="el-GR"/>
        </w:rPr>
        <w:t>(συνέχεια)</w:t>
      </w:r>
    </w:p>
    <w:p w14:paraId="53384EE9" w14:textId="072EB19D" w:rsidR="005D55DD" w:rsidRPr="009C531A" w:rsidRDefault="005D55DD" w:rsidP="005D55DD">
      <w:pPr>
        <w:spacing w:after="0" w:line="240" w:lineRule="auto"/>
        <w:jc w:val="both"/>
        <w:rPr>
          <w:rFonts w:ascii="Arial" w:hAnsi="Arial"/>
          <w:sz w:val="18"/>
          <w:lang w:val="el-GR"/>
        </w:rPr>
      </w:pPr>
      <w:r w:rsidRPr="009C531A">
        <w:rPr>
          <w:rFonts w:ascii="Arial" w:hAnsi="Arial"/>
          <w:sz w:val="18"/>
          <w:lang w:val="el-GR"/>
        </w:rPr>
        <w:t xml:space="preserve">Οι στόχοι του Συγκροτήματος </w:t>
      </w:r>
      <w:r>
        <w:rPr>
          <w:rFonts w:ascii="Arial" w:hAnsi="Arial"/>
          <w:sz w:val="18"/>
          <w:lang w:val="el-GR"/>
        </w:rPr>
        <w:t xml:space="preserve">όπως ανακοινώθηκαν τον Αύγουστο 2024, </w:t>
      </w:r>
      <w:r w:rsidRPr="009C531A">
        <w:rPr>
          <w:rFonts w:ascii="Arial" w:hAnsi="Arial"/>
          <w:sz w:val="18"/>
          <w:lang w:val="el-GR"/>
        </w:rPr>
        <w:t>παρουσιάζονται πιο κάτω:</w:t>
      </w:r>
    </w:p>
    <w:p w14:paraId="32381A69" w14:textId="77777777" w:rsidR="005D55DD" w:rsidRPr="00BB71B8" w:rsidRDefault="005D55DD" w:rsidP="005D55DD">
      <w:pPr>
        <w:spacing w:after="0" w:line="240" w:lineRule="auto"/>
        <w:jc w:val="both"/>
        <w:rPr>
          <w:rFonts w:ascii="Arial" w:hAnsi="Arial"/>
          <w:sz w:val="18"/>
          <w:highlight w:val="yellow"/>
          <w:lang w:val="el-GR"/>
        </w:rPr>
      </w:pPr>
    </w:p>
    <w:tbl>
      <w:tblPr>
        <w:tblStyle w:val="TableGrid"/>
        <w:tblW w:w="8502" w:type="dxa"/>
        <w:tblInd w:w="615" w:type="dxa"/>
        <w:tblLook w:val="04A0" w:firstRow="1" w:lastRow="0" w:firstColumn="1" w:lastColumn="0" w:noHBand="0" w:noVBand="1"/>
      </w:tblPr>
      <w:tblGrid>
        <w:gridCol w:w="2807"/>
        <w:gridCol w:w="2808"/>
        <w:gridCol w:w="2887"/>
      </w:tblGrid>
      <w:tr w:rsidR="00C90D91" w:rsidRPr="00E54E59" w14:paraId="6DFAF8D9" w14:textId="77777777" w:rsidTr="00C90D91">
        <w:trPr>
          <w:trHeight w:val="518"/>
        </w:trPr>
        <w:tc>
          <w:tcPr>
            <w:tcW w:w="2807" w:type="dxa"/>
            <w:vAlign w:val="center"/>
          </w:tcPr>
          <w:p w14:paraId="41D4B749" w14:textId="176AA9DD" w:rsidR="00C90D91" w:rsidRPr="00E54E59" w:rsidRDefault="00C90D91" w:rsidP="00E54E59">
            <w:pPr>
              <w:jc w:val="center"/>
              <w:rPr>
                <w:rFonts w:ascii="Arial" w:hAnsi="Arial" w:cs="Arial"/>
                <w:b/>
                <w:color w:val="FF9900"/>
                <w:sz w:val="18"/>
                <w:szCs w:val="18"/>
                <w:highlight w:val="yellow"/>
              </w:rPr>
            </w:pPr>
            <w:proofErr w:type="spellStart"/>
            <w:r w:rsidRPr="00E54E59">
              <w:rPr>
                <w:rFonts w:ascii="Arial" w:hAnsi="Arial" w:cs="Arial"/>
                <w:b/>
                <w:bCs/>
                <w:sz w:val="18"/>
                <w:szCs w:val="18"/>
              </w:rPr>
              <w:t>Κύριοι</w:t>
            </w:r>
            <w:proofErr w:type="spellEnd"/>
            <w:r w:rsidRPr="00E54E59">
              <w:rPr>
                <w:rFonts w:ascii="Arial" w:hAnsi="Arial" w:cs="Arial"/>
                <w:b/>
                <w:bCs/>
                <w:sz w:val="18"/>
                <w:szCs w:val="18"/>
              </w:rPr>
              <w:t xml:space="preserve"> </w:t>
            </w:r>
            <w:proofErr w:type="spellStart"/>
            <w:r w:rsidRPr="00E54E59">
              <w:rPr>
                <w:rFonts w:ascii="Arial" w:hAnsi="Arial" w:cs="Arial"/>
                <w:b/>
                <w:bCs/>
                <w:sz w:val="18"/>
                <w:szCs w:val="18"/>
              </w:rPr>
              <w:t>Δείκτες</w:t>
            </w:r>
            <w:proofErr w:type="spellEnd"/>
          </w:p>
        </w:tc>
        <w:tc>
          <w:tcPr>
            <w:tcW w:w="2808" w:type="dxa"/>
            <w:vAlign w:val="center"/>
          </w:tcPr>
          <w:p w14:paraId="18884C2E" w14:textId="3769A388" w:rsidR="00C90D91" w:rsidRPr="00E54E59" w:rsidRDefault="00C90D91" w:rsidP="00E54E59">
            <w:pPr>
              <w:jc w:val="center"/>
              <w:rPr>
                <w:rFonts w:ascii="Arial" w:hAnsi="Arial" w:cs="Arial"/>
                <w:b/>
                <w:color w:val="FF9900"/>
                <w:sz w:val="18"/>
                <w:szCs w:val="18"/>
                <w:lang w:val="el-GR"/>
              </w:rPr>
            </w:pPr>
            <w:proofErr w:type="spellStart"/>
            <w:r>
              <w:rPr>
                <w:rFonts w:ascii="Arial" w:hAnsi="Arial" w:cs="Arial"/>
                <w:b/>
                <w:bCs/>
                <w:sz w:val="18"/>
                <w:szCs w:val="18"/>
              </w:rPr>
              <w:t>Εννεάμηνο</w:t>
            </w:r>
            <w:proofErr w:type="spellEnd"/>
            <w:r w:rsidRPr="00E54E59">
              <w:rPr>
                <w:rFonts w:ascii="Arial" w:hAnsi="Arial" w:cs="Arial"/>
                <w:b/>
                <w:bCs/>
                <w:sz w:val="18"/>
                <w:szCs w:val="18"/>
              </w:rPr>
              <w:t xml:space="preserve"> 2024</w:t>
            </w:r>
          </w:p>
        </w:tc>
        <w:tc>
          <w:tcPr>
            <w:tcW w:w="2887" w:type="dxa"/>
            <w:vAlign w:val="center"/>
          </w:tcPr>
          <w:p w14:paraId="3C881A35" w14:textId="0D13269E" w:rsidR="00C90D91" w:rsidRPr="00E54E59" w:rsidRDefault="00C90D91" w:rsidP="00E54E59">
            <w:pPr>
              <w:pStyle w:val="BodyText3"/>
              <w:tabs>
                <w:tab w:val="clear" w:pos="0"/>
                <w:tab w:val="clear" w:pos="1416"/>
                <w:tab w:val="clear" w:pos="4962"/>
                <w:tab w:val="clear" w:pos="6521"/>
                <w:tab w:val="clear" w:pos="7560"/>
                <w:tab w:val="clear" w:pos="8220"/>
                <w:tab w:val="clear" w:pos="8640"/>
                <w:tab w:val="clear" w:pos="9000"/>
              </w:tabs>
              <w:suppressAutoHyphens w:val="0"/>
              <w:jc w:val="center"/>
              <w:rPr>
                <w:rFonts w:ascii="Arial" w:hAnsi="Arial" w:cs="Arial"/>
                <w:b/>
                <w:bCs/>
                <w:sz w:val="18"/>
                <w:szCs w:val="18"/>
                <w:lang w:val="el-GR"/>
              </w:rPr>
            </w:pPr>
            <w:r w:rsidRPr="00E54E59">
              <w:rPr>
                <w:rFonts w:ascii="Arial" w:hAnsi="Arial" w:cs="Arial"/>
                <w:b/>
                <w:bCs/>
                <w:sz w:val="18"/>
                <w:szCs w:val="18"/>
                <w:lang w:val="el-GR"/>
              </w:rPr>
              <w:t>2024 Στόχοι</w:t>
            </w:r>
          </w:p>
          <w:p w14:paraId="3FDF4053" w14:textId="63EEC037" w:rsidR="00C90D91" w:rsidRPr="00E54E59" w:rsidRDefault="00C90D91" w:rsidP="00E54E59">
            <w:pPr>
              <w:jc w:val="center"/>
              <w:rPr>
                <w:rFonts w:ascii="Arial" w:hAnsi="Arial" w:cs="Arial"/>
                <w:b/>
                <w:color w:val="FF9900"/>
                <w:sz w:val="18"/>
                <w:szCs w:val="18"/>
                <w:highlight w:val="yellow"/>
              </w:rPr>
            </w:pPr>
            <w:r w:rsidRPr="00E54E59">
              <w:rPr>
                <w:rFonts w:ascii="Arial" w:hAnsi="Arial" w:cs="Arial"/>
                <w:b/>
                <w:bCs/>
                <w:sz w:val="18"/>
                <w:szCs w:val="18"/>
              </w:rPr>
              <w:t>(</w:t>
            </w:r>
            <w:r w:rsidRPr="00E54E59">
              <w:rPr>
                <w:rFonts w:ascii="Arial" w:hAnsi="Arial" w:cs="Arial"/>
                <w:b/>
                <w:bCs/>
                <w:sz w:val="18"/>
                <w:szCs w:val="18"/>
                <w:lang w:val="el-GR"/>
              </w:rPr>
              <w:t>Αύγουστος</w:t>
            </w:r>
            <w:r w:rsidRPr="00E54E59">
              <w:rPr>
                <w:rFonts w:ascii="Arial" w:hAnsi="Arial" w:cs="Arial"/>
                <w:b/>
                <w:bCs/>
                <w:sz w:val="18"/>
                <w:szCs w:val="18"/>
              </w:rPr>
              <w:t xml:space="preserve"> </w:t>
            </w:r>
            <w:r w:rsidRPr="00E54E59">
              <w:rPr>
                <w:rFonts w:ascii="Arial" w:hAnsi="Arial" w:cs="Arial"/>
                <w:b/>
                <w:bCs/>
                <w:sz w:val="18"/>
                <w:szCs w:val="18"/>
                <w:lang w:val="el-GR"/>
              </w:rPr>
              <w:t>2024</w:t>
            </w:r>
            <w:r w:rsidRPr="00E54E59">
              <w:rPr>
                <w:rFonts w:ascii="Arial" w:hAnsi="Arial" w:cs="Arial"/>
                <w:b/>
                <w:bCs/>
                <w:sz w:val="18"/>
                <w:szCs w:val="18"/>
              </w:rPr>
              <w:t>)</w:t>
            </w:r>
          </w:p>
        </w:tc>
      </w:tr>
      <w:tr w:rsidR="00C90D91" w:rsidRPr="00E54E59" w14:paraId="4A32DA75" w14:textId="77777777" w:rsidTr="00C90D91">
        <w:trPr>
          <w:trHeight w:val="1317"/>
        </w:trPr>
        <w:tc>
          <w:tcPr>
            <w:tcW w:w="2807" w:type="dxa"/>
            <w:vAlign w:val="center"/>
          </w:tcPr>
          <w:p w14:paraId="780858C0" w14:textId="77777777" w:rsidR="00C90D91" w:rsidRPr="00E54E59" w:rsidRDefault="00C90D91" w:rsidP="00E54E59">
            <w:pPr>
              <w:pStyle w:val="BodyText3"/>
              <w:tabs>
                <w:tab w:val="clear" w:pos="0"/>
                <w:tab w:val="clear" w:pos="1416"/>
                <w:tab w:val="clear" w:pos="4962"/>
                <w:tab w:val="clear" w:pos="6521"/>
                <w:tab w:val="clear" w:pos="7560"/>
                <w:tab w:val="clear" w:pos="8220"/>
                <w:tab w:val="clear" w:pos="8640"/>
                <w:tab w:val="clear" w:pos="9000"/>
              </w:tabs>
              <w:suppressAutoHyphens w:val="0"/>
              <w:jc w:val="center"/>
              <w:rPr>
                <w:rFonts w:ascii="Arial" w:hAnsi="Arial" w:cs="Arial"/>
                <w:sz w:val="18"/>
                <w:szCs w:val="18"/>
                <w:lang w:val="el-GR"/>
              </w:rPr>
            </w:pPr>
            <w:r w:rsidRPr="00E54E59">
              <w:rPr>
                <w:rFonts w:ascii="Arial" w:hAnsi="Arial" w:cs="Arial"/>
                <w:sz w:val="18"/>
                <w:szCs w:val="18"/>
                <w:lang w:val="el-GR"/>
              </w:rPr>
              <w:t>Καθαρά έσοδα από τόκους</w:t>
            </w:r>
          </w:p>
          <w:p w14:paraId="7341A2D3" w14:textId="77777777" w:rsidR="00C90D91" w:rsidRPr="00E54E59" w:rsidRDefault="00C90D91" w:rsidP="00E54E59">
            <w:pPr>
              <w:pStyle w:val="BodyText3"/>
              <w:tabs>
                <w:tab w:val="clear" w:pos="0"/>
                <w:tab w:val="clear" w:pos="1416"/>
                <w:tab w:val="clear" w:pos="4962"/>
                <w:tab w:val="clear" w:pos="6521"/>
                <w:tab w:val="clear" w:pos="7560"/>
                <w:tab w:val="clear" w:pos="8220"/>
                <w:tab w:val="clear" w:pos="8640"/>
                <w:tab w:val="clear" w:pos="9000"/>
              </w:tabs>
              <w:suppressAutoHyphens w:val="0"/>
              <w:jc w:val="center"/>
              <w:rPr>
                <w:rFonts w:ascii="Arial" w:hAnsi="Arial" w:cs="Arial"/>
                <w:sz w:val="18"/>
                <w:szCs w:val="18"/>
                <w:lang w:val="el-GR"/>
              </w:rPr>
            </w:pPr>
          </w:p>
          <w:p w14:paraId="50298176" w14:textId="2C2A71A7" w:rsidR="00C90D91" w:rsidRPr="00C217DA" w:rsidRDefault="00C217DA" w:rsidP="00E54E59">
            <w:pPr>
              <w:jc w:val="center"/>
              <w:rPr>
                <w:rFonts w:ascii="Arial" w:hAnsi="Arial" w:cs="Arial"/>
                <w:b/>
                <w:i/>
                <w:iCs/>
                <w:color w:val="FF9900"/>
                <w:sz w:val="18"/>
                <w:szCs w:val="18"/>
                <w:highlight w:val="yellow"/>
                <w:lang w:val="el-GR"/>
              </w:rPr>
            </w:pPr>
            <w:r>
              <w:rPr>
                <w:rFonts w:ascii="Arial" w:hAnsi="Arial" w:cs="Arial"/>
                <w:i/>
                <w:iCs/>
                <w:sz w:val="18"/>
                <w:szCs w:val="18"/>
                <w:lang w:val="el-GR"/>
              </w:rPr>
              <w:t>(</w:t>
            </w:r>
            <w:r w:rsidR="00C90D91" w:rsidRPr="00C217DA">
              <w:rPr>
                <w:rFonts w:ascii="Arial" w:hAnsi="Arial" w:cs="Arial"/>
                <w:i/>
                <w:iCs/>
                <w:sz w:val="18"/>
                <w:szCs w:val="18"/>
                <w:lang w:val="el-GR"/>
              </w:rPr>
              <w:t>Μέσος όρος επιτοκίου διευκόλυνσης αποδοχής καταθέσεων της ΕΚΤ</w:t>
            </w:r>
            <w:r>
              <w:rPr>
                <w:rFonts w:ascii="Arial" w:hAnsi="Arial" w:cs="Arial"/>
                <w:i/>
                <w:iCs/>
                <w:sz w:val="18"/>
                <w:szCs w:val="18"/>
                <w:lang w:val="el-GR"/>
              </w:rPr>
              <w:t>)</w:t>
            </w:r>
          </w:p>
        </w:tc>
        <w:tc>
          <w:tcPr>
            <w:tcW w:w="2808" w:type="dxa"/>
            <w:vAlign w:val="center"/>
          </w:tcPr>
          <w:p w14:paraId="1E7BAA3A" w14:textId="77777777" w:rsidR="00C90D91" w:rsidRPr="00E54E59" w:rsidRDefault="00C90D91" w:rsidP="00E54E59">
            <w:pPr>
              <w:pStyle w:val="BodyText3"/>
              <w:tabs>
                <w:tab w:val="clear" w:pos="0"/>
                <w:tab w:val="clear" w:pos="1416"/>
                <w:tab w:val="clear" w:pos="4962"/>
                <w:tab w:val="clear" w:pos="6521"/>
                <w:tab w:val="clear" w:pos="7560"/>
                <w:tab w:val="clear" w:pos="8220"/>
                <w:tab w:val="clear" w:pos="8640"/>
                <w:tab w:val="clear" w:pos="9000"/>
              </w:tabs>
              <w:suppressAutoHyphens w:val="0"/>
              <w:jc w:val="center"/>
              <w:rPr>
                <w:rFonts w:ascii="Arial" w:hAnsi="Arial" w:cs="Arial"/>
                <w:sz w:val="18"/>
                <w:szCs w:val="18"/>
              </w:rPr>
            </w:pPr>
            <w:r w:rsidRPr="00E54E59">
              <w:rPr>
                <w:rFonts w:ascii="Arial" w:hAnsi="Arial" w:cs="Arial"/>
                <w:sz w:val="18"/>
                <w:szCs w:val="18"/>
                <w:lang w:val="el-GR"/>
              </w:rPr>
              <w:t>€</w:t>
            </w:r>
            <w:r w:rsidRPr="00E54E59">
              <w:rPr>
                <w:rFonts w:ascii="Arial" w:hAnsi="Arial" w:cs="Arial"/>
                <w:sz w:val="18"/>
                <w:szCs w:val="18"/>
              </w:rPr>
              <w:t xml:space="preserve">624 </w:t>
            </w:r>
            <w:proofErr w:type="spellStart"/>
            <w:r w:rsidRPr="00E54E59">
              <w:rPr>
                <w:rFonts w:ascii="Arial" w:hAnsi="Arial" w:cs="Arial"/>
                <w:sz w:val="18"/>
                <w:szCs w:val="18"/>
              </w:rPr>
              <w:t>mn</w:t>
            </w:r>
            <w:proofErr w:type="spellEnd"/>
          </w:p>
          <w:p w14:paraId="6358639B" w14:textId="093E4618"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rPr>
              <w:t>(3.9%)</w:t>
            </w:r>
          </w:p>
        </w:tc>
        <w:tc>
          <w:tcPr>
            <w:tcW w:w="2887" w:type="dxa"/>
            <w:vAlign w:val="center"/>
          </w:tcPr>
          <w:p w14:paraId="781B4B8B" w14:textId="3CD197D4" w:rsidR="00C90D91" w:rsidRPr="00E54E59" w:rsidRDefault="00C90D91" w:rsidP="00E54E59">
            <w:pPr>
              <w:pStyle w:val="BodyText3"/>
              <w:tabs>
                <w:tab w:val="clear" w:pos="0"/>
                <w:tab w:val="clear" w:pos="1416"/>
                <w:tab w:val="clear" w:pos="4962"/>
                <w:tab w:val="clear" w:pos="6521"/>
                <w:tab w:val="clear" w:pos="7560"/>
                <w:tab w:val="clear" w:pos="8220"/>
                <w:tab w:val="clear" w:pos="8640"/>
                <w:tab w:val="clear" w:pos="9000"/>
              </w:tabs>
              <w:suppressAutoHyphens w:val="0"/>
              <w:jc w:val="center"/>
              <w:rPr>
                <w:rFonts w:ascii="Arial" w:hAnsi="Arial" w:cs="Arial"/>
                <w:sz w:val="18"/>
                <w:szCs w:val="18"/>
              </w:rPr>
            </w:pPr>
            <w:r w:rsidRPr="00E54E59">
              <w:rPr>
                <w:rFonts w:ascii="Arial" w:hAnsi="Arial" w:cs="Arial"/>
                <w:sz w:val="18"/>
                <w:szCs w:val="18"/>
                <w:lang w:val="el-GR"/>
              </w:rPr>
              <w:t>Περίπου €</w:t>
            </w:r>
            <w:r w:rsidRPr="00E54E59">
              <w:rPr>
                <w:rFonts w:ascii="Arial" w:hAnsi="Arial" w:cs="Arial"/>
                <w:sz w:val="18"/>
                <w:szCs w:val="18"/>
              </w:rPr>
              <w:t xml:space="preserve">800 </w:t>
            </w:r>
            <w:proofErr w:type="spellStart"/>
            <w:r w:rsidRPr="00E54E59">
              <w:rPr>
                <w:rFonts w:ascii="Arial" w:hAnsi="Arial" w:cs="Arial"/>
                <w:sz w:val="18"/>
                <w:szCs w:val="18"/>
              </w:rPr>
              <w:t>mn</w:t>
            </w:r>
            <w:proofErr w:type="spellEnd"/>
          </w:p>
          <w:p w14:paraId="50F2260C" w14:textId="3004220E"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rPr>
              <w:t>(3.</w:t>
            </w:r>
            <w:r w:rsidR="00C217DA">
              <w:rPr>
                <w:rFonts w:ascii="Arial" w:hAnsi="Arial" w:cs="Arial"/>
                <w:sz w:val="18"/>
                <w:szCs w:val="18"/>
              </w:rPr>
              <w:t>7</w:t>
            </w:r>
            <w:r w:rsidRPr="00E54E59">
              <w:rPr>
                <w:rFonts w:ascii="Arial" w:hAnsi="Arial" w:cs="Arial"/>
                <w:sz w:val="18"/>
                <w:szCs w:val="18"/>
              </w:rPr>
              <w:t>%)</w:t>
            </w:r>
          </w:p>
        </w:tc>
      </w:tr>
      <w:tr w:rsidR="00C90D91" w:rsidRPr="00E54E59" w14:paraId="1B3A30CA" w14:textId="77777777" w:rsidTr="00C90D91">
        <w:trPr>
          <w:trHeight w:val="265"/>
        </w:trPr>
        <w:tc>
          <w:tcPr>
            <w:tcW w:w="2807" w:type="dxa"/>
            <w:vAlign w:val="center"/>
          </w:tcPr>
          <w:p w14:paraId="1BF39C23" w14:textId="0C65A5F8" w:rsidR="00C90D91" w:rsidRPr="00E54E59" w:rsidRDefault="00C90D91" w:rsidP="00E54E59">
            <w:pPr>
              <w:jc w:val="center"/>
              <w:rPr>
                <w:rFonts w:ascii="Arial" w:hAnsi="Arial" w:cs="Arial"/>
                <w:b/>
                <w:color w:val="FF9900"/>
                <w:sz w:val="18"/>
                <w:szCs w:val="18"/>
                <w:highlight w:val="yellow"/>
                <w:lang w:val="el-GR"/>
              </w:rPr>
            </w:pPr>
            <w:proofErr w:type="spellStart"/>
            <w:r w:rsidRPr="00E54E59">
              <w:rPr>
                <w:rFonts w:ascii="Arial" w:hAnsi="Arial" w:cs="Arial"/>
                <w:sz w:val="18"/>
                <w:szCs w:val="18"/>
              </w:rPr>
              <w:t>Δείκτης</w:t>
            </w:r>
            <w:proofErr w:type="spellEnd"/>
            <w:r w:rsidRPr="00E54E59">
              <w:rPr>
                <w:rFonts w:ascii="Arial" w:hAnsi="Arial" w:cs="Arial"/>
                <w:sz w:val="18"/>
                <w:szCs w:val="18"/>
              </w:rPr>
              <w:t xml:space="preserve"> </w:t>
            </w:r>
            <w:proofErr w:type="spellStart"/>
            <w:r w:rsidRPr="00E54E59">
              <w:rPr>
                <w:rFonts w:ascii="Arial" w:hAnsi="Arial" w:cs="Arial"/>
                <w:sz w:val="18"/>
                <w:szCs w:val="18"/>
              </w:rPr>
              <w:t>κόστος</w:t>
            </w:r>
            <w:proofErr w:type="spellEnd"/>
            <w:r w:rsidRPr="00E54E59">
              <w:rPr>
                <w:rFonts w:ascii="Arial" w:hAnsi="Arial" w:cs="Arial"/>
                <w:sz w:val="18"/>
                <w:szCs w:val="18"/>
              </w:rPr>
              <w:t xml:space="preserve"> π</w:t>
            </w:r>
            <w:proofErr w:type="spellStart"/>
            <w:r w:rsidRPr="00E54E59">
              <w:rPr>
                <w:rFonts w:ascii="Arial" w:hAnsi="Arial" w:cs="Arial"/>
                <w:sz w:val="18"/>
                <w:szCs w:val="18"/>
              </w:rPr>
              <w:t>ρος</w:t>
            </w:r>
            <w:proofErr w:type="spellEnd"/>
            <w:r w:rsidRPr="00E54E59">
              <w:rPr>
                <w:rFonts w:ascii="Arial" w:hAnsi="Arial" w:cs="Arial"/>
                <w:sz w:val="18"/>
                <w:szCs w:val="18"/>
              </w:rPr>
              <w:t xml:space="preserve"> </w:t>
            </w:r>
            <w:proofErr w:type="spellStart"/>
            <w:r w:rsidRPr="00E54E59">
              <w:rPr>
                <w:rFonts w:ascii="Arial" w:hAnsi="Arial" w:cs="Arial"/>
                <w:sz w:val="18"/>
                <w:szCs w:val="18"/>
              </w:rPr>
              <w:t>έσοδ</w:t>
            </w:r>
            <w:proofErr w:type="spellEnd"/>
            <w:r w:rsidRPr="00E54E59">
              <w:rPr>
                <w:rFonts w:ascii="Arial" w:hAnsi="Arial" w:cs="Arial"/>
                <w:sz w:val="18"/>
                <w:szCs w:val="18"/>
              </w:rPr>
              <w:t>α</w:t>
            </w:r>
            <w:r w:rsidRPr="00E54E59">
              <w:rPr>
                <w:rFonts w:ascii="Arial" w:hAnsi="Arial" w:cs="Arial"/>
                <w:sz w:val="18"/>
                <w:szCs w:val="18"/>
                <w:vertAlign w:val="superscript"/>
              </w:rPr>
              <w:t>1</w:t>
            </w:r>
          </w:p>
        </w:tc>
        <w:tc>
          <w:tcPr>
            <w:tcW w:w="2808" w:type="dxa"/>
            <w:vAlign w:val="center"/>
          </w:tcPr>
          <w:p w14:paraId="6BB9B830" w14:textId="3513C416"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rPr>
              <w:t>32%</w:t>
            </w:r>
          </w:p>
        </w:tc>
        <w:tc>
          <w:tcPr>
            <w:tcW w:w="2887" w:type="dxa"/>
            <w:vAlign w:val="center"/>
          </w:tcPr>
          <w:p w14:paraId="4EDC0299" w14:textId="660F01F0"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rPr>
              <w:t>&lt;35%</w:t>
            </w:r>
          </w:p>
        </w:tc>
      </w:tr>
      <w:tr w:rsidR="00C90D91" w:rsidRPr="00E54E59" w14:paraId="3A49D53E" w14:textId="77777777" w:rsidTr="00C90D91">
        <w:trPr>
          <w:trHeight w:val="252"/>
        </w:trPr>
        <w:tc>
          <w:tcPr>
            <w:tcW w:w="2807" w:type="dxa"/>
            <w:vAlign w:val="center"/>
          </w:tcPr>
          <w:p w14:paraId="226E82A3" w14:textId="0769483A" w:rsidR="00C90D91" w:rsidRPr="00E54E59" w:rsidRDefault="00C90D91" w:rsidP="00E54E59">
            <w:pPr>
              <w:jc w:val="center"/>
              <w:rPr>
                <w:rFonts w:ascii="Arial" w:hAnsi="Arial" w:cs="Arial"/>
                <w:b/>
                <w:color w:val="FF9900"/>
                <w:sz w:val="18"/>
                <w:szCs w:val="18"/>
                <w:highlight w:val="yellow"/>
                <w:lang w:val="el-GR"/>
              </w:rPr>
            </w:pPr>
            <w:proofErr w:type="spellStart"/>
            <w:r w:rsidRPr="00E54E59">
              <w:rPr>
                <w:rFonts w:ascii="Arial" w:hAnsi="Arial" w:cs="Arial"/>
                <w:sz w:val="18"/>
                <w:szCs w:val="18"/>
              </w:rPr>
              <w:t>Δείκτης</w:t>
            </w:r>
            <w:proofErr w:type="spellEnd"/>
            <w:r w:rsidRPr="00E54E59">
              <w:rPr>
                <w:rFonts w:ascii="Arial" w:hAnsi="Arial" w:cs="Arial"/>
                <w:sz w:val="18"/>
                <w:szCs w:val="18"/>
              </w:rPr>
              <w:t xml:space="preserve"> ΜΕΔ π</w:t>
            </w:r>
            <w:proofErr w:type="spellStart"/>
            <w:r w:rsidRPr="00E54E59">
              <w:rPr>
                <w:rFonts w:ascii="Arial" w:hAnsi="Arial" w:cs="Arial"/>
                <w:sz w:val="18"/>
                <w:szCs w:val="18"/>
              </w:rPr>
              <w:t>ρος</w:t>
            </w:r>
            <w:proofErr w:type="spellEnd"/>
            <w:r w:rsidRPr="00E54E59">
              <w:rPr>
                <w:rFonts w:ascii="Arial" w:hAnsi="Arial" w:cs="Arial"/>
                <w:sz w:val="18"/>
                <w:szCs w:val="18"/>
              </w:rPr>
              <w:t xml:space="preserve"> </w:t>
            </w:r>
            <w:proofErr w:type="spellStart"/>
            <w:r w:rsidRPr="00E54E59">
              <w:rPr>
                <w:rFonts w:ascii="Arial" w:hAnsi="Arial" w:cs="Arial"/>
                <w:sz w:val="18"/>
                <w:szCs w:val="18"/>
              </w:rPr>
              <w:t>δάνει</w:t>
            </w:r>
            <w:proofErr w:type="spellEnd"/>
            <w:r w:rsidRPr="00E54E59">
              <w:rPr>
                <w:rFonts w:ascii="Arial" w:hAnsi="Arial" w:cs="Arial"/>
                <w:sz w:val="18"/>
                <w:szCs w:val="18"/>
              </w:rPr>
              <w:t>α</w:t>
            </w:r>
            <w:r w:rsidRPr="00E54E59">
              <w:rPr>
                <w:rFonts w:ascii="Arial" w:hAnsi="Arial" w:cs="Arial"/>
                <w:sz w:val="18"/>
                <w:szCs w:val="18"/>
                <w:vertAlign w:val="superscript"/>
                <w:lang w:val="el-GR"/>
              </w:rPr>
              <w:t>2</w:t>
            </w:r>
          </w:p>
        </w:tc>
        <w:tc>
          <w:tcPr>
            <w:tcW w:w="2808" w:type="dxa"/>
            <w:vAlign w:val="center"/>
          </w:tcPr>
          <w:p w14:paraId="0496651C" w14:textId="358B80A6"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rPr>
              <w:t>2.4%</w:t>
            </w:r>
          </w:p>
        </w:tc>
        <w:tc>
          <w:tcPr>
            <w:tcW w:w="2887" w:type="dxa"/>
            <w:vAlign w:val="center"/>
          </w:tcPr>
          <w:p w14:paraId="18B19800" w14:textId="31EA0F04"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rPr>
              <w:t>&lt;3%</w:t>
            </w:r>
          </w:p>
        </w:tc>
      </w:tr>
      <w:tr w:rsidR="00C90D91" w:rsidRPr="007A2F9B" w14:paraId="64BCA2E0" w14:textId="77777777" w:rsidTr="00C90D91">
        <w:trPr>
          <w:trHeight w:val="531"/>
        </w:trPr>
        <w:tc>
          <w:tcPr>
            <w:tcW w:w="2807" w:type="dxa"/>
            <w:vAlign w:val="center"/>
          </w:tcPr>
          <w:p w14:paraId="3D868091" w14:textId="7FA470F2"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lang w:val="el-GR"/>
              </w:rPr>
              <w:t>Χρέωση πιστωτικών ζημιών δανείων (</w:t>
            </w:r>
            <w:r w:rsidRPr="00E54E59">
              <w:rPr>
                <w:rFonts w:ascii="Arial" w:hAnsi="Arial" w:cs="Arial"/>
                <w:sz w:val="18"/>
                <w:szCs w:val="18"/>
              </w:rPr>
              <w:t>cost</w:t>
            </w:r>
            <w:r w:rsidRPr="00E54E59">
              <w:rPr>
                <w:rFonts w:ascii="Arial" w:hAnsi="Arial" w:cs="Arial"/>
                <w:sz w:val="18"/>
                <w:szCs w:val="18"/>
                <w:lang w:val="el-GR"/>
              </w:rPr>
              <w:t xml:space="preserve"> </w:t>
            </w:r>
            <w:r w:rsidRPr="00E54E59">
              <w:rPr>
                <w:rFonts w:ascii="Arial" w:hAnsi="Arial" w:cs="Arial"/>
                <w:sz w:val="18"/>
                <w:szCs w:val="18"/>
              </w:rPr>
              <w:t>of</w:t>
            </w:r>
            <w:r w:rsidRPr="00E54E59">
              <w:rPr>
                <w:rFonts w:ascii="Arial" w:hAnsi="Arial" w:cs="Arial"/>
                <w:sz w:val="18"/>
                <w:szCs w:val="18"/>
                <w:lang w:val="el-GR"/>
              </w:rPr>
              <w:t xml:space="preserve"> </w:t>
            </w:r>
            <w:r w:rsidRPr="00E54E59">
              <w:rPr>
                <w:rFonts w:ascii="Arial" w:hAnsi="Arial" w:cs="Arial"/>
                <w:sz w:val="18"/>
                <w:szCs w:val="18"/>
              </w:rPr>
              <w:t>risk</w:t>
            </w:r>
            <w:r w:rsidRPr="00E54E59">
              <w:rPr>
                <w:rFonts w:ascii="Arial" w:hAnsi="Arial" w:cs="Arial"/>
                <w:sz w:val="18"/>
                <w:szCs w:val="18"/>
                <w:lang w:val="el-GR"/>
              </w:rPr>
              <w:t>)</w:t>
            </w:r>
          </w:p>
        </w:tc>
        <w:tc>
          <w:tcPr>
            <w:tcW w:w="2808" w:type="dxa"/>
            <w:vAlign w:val="center"/>
          </w:tcPr>
          <w:p w14:paraId="6BFF1ABB" w14:textId="295C9271"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rPr>
              <w:t xml:space="preserve">29 </w:t>
            </w:r>
            <w:proofErr w:type="spellStart"/>
            <w:r w:rsidRPr="00E54E59">
              <w:rPr>
                <w:rFonts w:ascii="Arial" w:hAnsi="Arial" w:cs="Arial"/>
                <w:sz w:val="18"/>
                <w:szCs w:val="18"/>
                <w:lang w:val="el-GR"/>
              </w:rPr>
              <w:t>μ.β</w:t>
            </w:r>
            <w:proofErr w:type="spellEnd"/>
            <w:r w:rsidRPr="00E54E59">
              <w:rPr>
                <w:rFonts w:ascii="Arial" w:hAnsi="Arial" w:cs="Arial"/>
                <w:sz w:val="18"/>
                <w:szCs w:val="18"/>
                <w:lang w:val="el-GR"/>
              </w:rPr>
              <w:t>.</w:t>
            </w:r>
          </w:p>
        </w:tc>
        <w:tc>
          <w:tcPr>
            <w:tcW w:w="2887" w:type="dxa"/>
            <w:vAlign w:val="center"/>
          </w:tcPr>
          <w:p w14:paraId="34B172E4" w14:textId="3C2265B7"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rPr>
              <w:t xml:space="preserve">c.40 </w:t>
            </w:r>
            <w:proofErr w:type="spellStart"/>
            <w:r w:rsidRPr="00E54E59">
              <w:rPr>
                <w:rFonts w:ascii="Arial" w:hAnsi="Arial" w:cs="Arial"/>
                <w:sz w:val="18"/>
                <w:szCs w:val="18"/>
                <w:lang w:val="el-GR"/>
              </w:rPr>
              <w:t>μ.β</w:t>
            </w:r>
            <w:proofErr w:type="spellEnd"/>
            <w:r w:rsidRPr="00E54E59">
              <w:rPr>
                <w:rFonts w:ascii="Arial" w:hAnsi="Arial" w:cs="Arial"/>
                <w:sz w:val="18"/>
                <w:szCs w:val="18"/>
                <w:lang w:val="el-GR"/>
              </w:rPr>
              <w:t>.</w:t>
            </w:r>
          </w:p>
        </w:tc>
      </w:tr>
      <w:tr w:rsidR="00C90D91" w:rsidRPr="00E54E59" w14:paraId="11DD4CD1" w14:textId="77777777" w:rsidTr="00C90D91">
        <w:trPr>
          <w:trHeight w:val="265"/>
        </w:trPr>
        <w:tc>
          <w:tcPr>
            <w:tcW w:w="2807" w:type="dxa"/>
            <w:vAlign w:val="center"/>
          </w:tcPr>
          <w:p w14:paraId="33C167FB" w14:textId="6D049742"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lang w:val="el-GR"/>
              </w:rPr>
              <w:t>Δημιουργία κεφάλαίου</w:t>
            </w:r>
            <w:r w:rsidRPr="00E54E59">
              <w:rPr>
                <w:rFonts w:ascii="Arial" w:hAnsi="Arial" w:cs="Arial"/>
                <w:sz w:val="18"/>
                <w:szCs w:val="18"/>
                <w:vertAlign w:val="superscript"/>
                <w:lang w:val="el-GR"/>
              </w:rPr>
              <w:t>3</w:t>
            </w:r>
          </w:p>
        </w:tc>
        <w:tc>
          <w:tcPr>
            <w:tcW w:w="2808" w:type="dxa"/>
            <w:vAlign w:val="center"/>
          </w:tcPr>
          <w:p w14:paraId="1DBEE4A6" w14:textId="59A4ED9A"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rPr>
              <w:t xml:space="preserve">355 </w:t>
            </w:r>
            <w:proofErr w:type="spellStart"/>
            <w:r w:rsidRPr="00E54E59">
              <w:rPr>
                <w:rFonts w:ascii="Arial" w:hAnsi="Arial" w:cs="Arial"/>
                <w:sz w:val="18"/>
                <w:szCs w:val="18"/>
                <w:lang w:val="el-GR"/>
              </w:rPr>
              <w:t>μ.β</w:t>
            </w:r>
            <w:proofErr w:type="spellEnd"/>
            <w:r w:rsidRPr="00E54E59">
              <w:rPr>
                <w:rFonts w:ascii="Arial" w:hAnsi="Arial" w:cs="Arial"/>
                <w:sz w:val="18"/>
                <w:szCs w:val="18"/>
                <w:lang w:val="el-GR"/>
              </w:rPr>
              <w:t>.</w:t>
            </w:r>
          </w:p>
        </w:tc>
        <w:tc>
          <w:tcPr>
            <w:tcW w:w="2887" w:type="dxa"/>
            <w:vAlign w:val="center"/>
          </w:tcPr>
          <w:p w14:paraId="74E0F7AD" w14:textId="758A8CC6"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lang w:val="el-GR"/>
              </w:rPr>
              <w:t>&gt;</w:t>
            </w:r>
            <w:r w:rsidRPr="00E54E59">
              <w:rPr>
                <w:rFonts w:ascii="Arial" w:hAnsi="Arial" w:cs="Arial"/>
                <w:sz w:val="18"/>
                <w:szCs w:val="18"/>
              </w:rPr>
              <w:t>3</w:t>
            </w:r>
            <w:r w:rsidRPr="00E54E59">
              <w:rPr>
                <w:rFonts w:ascii="Arial" w:hAnsi="Arial" w:cs="Arial"/>
                <w:sz w:val="18"/>
                <w:szCs w:val="18"/>
                <w:lang w:val="el-GR"/>
              </w:rPr>
              <w:t>00</w:t>
            </w:r>
            <w:r w:rsidRPr="00E54E59">
              <w:rPr>
                <w:rFonts w:ascii="Arial" w:hAnsi="Arial" w:cs="Arial"/>
                <w:sz w:val="18"/>
                <w:szCs w:val="18"/>
              </w:rPr>
              <w:t xml:space="preserve"> </w:t>
            </w:r>
            <w:proofErr w:type="spellStart"/>
            <w:r w:rsidRPr="00E54E59">
              <w:rPr>
                <w:rFonts w:ascii="Arial" w:hAnsi="Arial" w:cs="Arial"/>
                <w:sz w:val="18"/>
                <w:szCs w:val="18"/>
                <w:lang w:val="el-GR"/>
              </w:rPr>
              <w:t>μ.β</w:t>
            </w:r>
            <w:proofErr w:type="spellEnd"/>
            <w:r w:rsidRPr="00E54E59">
              <w:rPr>
                <w:rFonts w:ascii="Arial" w:hAnsi="Arial" w:cs="Arial"/>
                <w:sz w:val="18"/>
                <w:szCs w:val="18"/>
                <w:lang w:val="el-GR"/>
              </w:rPr>
              <w:t xml:space="preserve">. </w:t>
            </w:r>
          </w:p>
        </w:tc>
      </w:tr>
      <w:tr w:rsidR="00C90D91" w:rsidRPr="00E54E59" w14:paraId="37C31046" w14:textId="77777777" w:rsidTr="00C90D91">
        <w:trPr>
          <w:trHeight w:val="783"/>
        </w:trPr>
        <w:tc>
          <w:tcPr>
            <w:tcW w:w="2807" w:type="dxa"/>
            <w:vAlign w:val="center"/>
          </w:tcPr>
          <w:p w14:paraId="71D8B195" w14:textId="3C4B9004"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lang w:val="el-GR"/>
              </w:rPr>
              <w:t>Απόδοση Ενσώματων Ιδίων Κεφαλαίων (</w:t>
            </w:r>
            <w:r w:rsidRPr="00E54E59">
              <w:rPr>
                <w:rFonts w:ascii="Arial" w:hAnsi="Arial" w:cs="Arial"/>
                <w:sz w:val="18"/>
                <w:szCs w:val="18"/>
              </w:rPr>
              <w:t>ROTE</w:t>
            </w:r>
            <w:r w:rsidRPr="00E54E59">
              <w:rPr>
                <w:rFonts w:ascii="Arial" w:hAnsi="Arial" w:cs="Arial"/>
                <w:sz w:val="18"/>
                <w:szCs w:val="18"/>
                <w:lang w:val="el-GR"/>
              </w:rPr>
              <w:t>) (όπως αναφέρεται)</w:t>
            </w:r>
          </w:p>
        </w:tc>
        <w:tc>
          <w:tcPr>
            <w:tcW w:w="2808" w:type="dxa"/>
            <w:vAlign w:val="center"/>
          </w:tcPr>
          <w:p w14:paraId="2121A228" w14:textId="69A21465"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rPr>
              <w:t>22.9%</w:t>
            </w:r>
          </w:p>
        </w:tc>
        <w:tc>
          <w:tcPr>
            <w:tcW w:w="2887" w:type="dxa"/>
            <w:vAlign w:val="center"/>
          </w:tcPr>
          <w:p w14:paraId="2256AA48" w14:textId="25204062"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rPr>
              <w:t>&gt;19%</w:t>
            </w:r>
          </w:p>
        </w:tc>
      </w:tr>
      <w:tr w:rsidR="00C90D91" w:rsidRPr="00E54E59" w14:paraId="2E9C03E0" w14:textId="77777777" w:rsidTr="00C90D91">
        <w:trPr>
          <w:trHeight w:val="1568"/>
        </w:trPr>
        <w:tc>
          <w:tcPr>
            <w:tcW w:w="2807" w:type="dxa"/>
            <w:vAlign w:val="center"/>
          </w:tcPr>
          <w:p w14:paraId="515419A2" w14:textId="3A6F11AD"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lang w:val="el-GR"/>
              </w:rPr>
              <w:t>Απόδοση Ενσώματων Ιδίων Κεφαλαίων (</w:t>
            </w:r>
            <w:r w:rsidRPr="00E54E59">
              <w:rPr>
                <w:rFonts w:ascii="Arial" w:hAnsi="Arial" w:cs="Arial"/>
                <w:sz w:val="18"/>
                <w:szCs w:val="18"/>
              </w:rPr>
              <w:t>ROTE</w:t>
            </w:r>
            <w:r w:rsidRPr="00E54E59">
              <w:rPr>
                <w:rFonts w:ascii="Arial" w:hAnsi="Arial" w:cs="Arial"/>
                <w:sz w:val="18"/>
                <w:szCs w:val="18"/>
                <w:lang w:val="el-GR"/>
              </w:rPr>
              <w:t>) υπολογισμένη σε Δείκτη Κεφαλαίου Κοινών Μετοχών Κατηγορίας 1 (</w:t>
            </w:r>
            <w:r w:rsidRPr="00E54E59">
              <w:rPr>
                <w:rFonts w:ascii="Arial" w:hAnsi="Arial" w:cs="Arial"/>
                <w:sz w:val="18"/>
                <w:szCs w:val="18"/>
              </w:rPr>
              <w:t>CET</w:t>
            </w:r>
            <w:r w:rsidRPr="00E54E59">
              <w:rPr>
                <w:rFonts w:ascii="Arial" w:hAnsi="Arial" w:cs="Arial"/>
                <w:sz w:val="18"/>
                <w:szCs w:val="18"/>
                <w:lang w:val="el-GR"/>
              </w:rPr>
              <w:t>1) ύψους 15%</w:t>
            </w:r>
          </w:p>
        </w:tc>
        <w:tc>
          <w:tcPr>
            <w:tcW w:w="2808" w:type="dxa"/>
            <w:vAlign w:val="center"/>
          </w:tcPr>
          <w:p w14:paraId="22682B47" w14:textId="71D3063C"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rPr>
              <w:t>29.1%</w:t>
            </w:r>
          </w:p>
        </w:tc>
        <w:tc>
          <w:tcPr>
            <w:tcW w:w="2887" w:type="dxa"/>
            <w:vAlign w:val="center"/>
          </w:tcPr>
          <w:p w14:paraId="11510AF4" w14:textId="73DF1B55" w:rsidR="00C90D91" w:rsidRPr="00E54E59" w:rsidRDefault="00C90D91" w:rsidP="00E54E59">
            <w:pPr>
              <w:jc w:val="center"/>
              <w:rPr>
                <w:rFonts w:ascii="Arial" w:hAnsi="Arial" w:cs="Arial"/>
                <w:b/>
                <w:color w:val="FF9900"/>
                <w:sz w:val="18"/>
                <w:szCs w:val="18"/>
                <w:highlight w:val="yellow"/>
                <w:lang w:val="el-GR"/>
              </w:rPr>
            </w:pPr>
            <w:r w:rsidRPr="00E54E59">
              <w:rPr>
                <w:rFonts w:ascii="Arial" w:hAnsi="Arial" w:cs="Arial"/>
                <w:sz w:val="18"/>
                <w:szCs w:val="18"/>
              </w:rPr>
              <w:t>&gt;24%</w:t>
            </w:r>
          </w:p>
        </w:tc>
      </w:tr>
      <w:tr w:rsidR="00C217DA" w:rsidRPr="00E54E59" w14:paraId="3E3B606E" w14:textId="77777777" w:rsidTr="00C90D91">
        <w:trPr>
          <w:trHeight w:val="1568"/>
        </w:trPr>
        <w:tc>
          <w:tcPr>
            <w:tcW w:w="2807" w:type="dxa"/>
            <w:vAlign w:val="center"/>
          </w:tcPr>
          <w:p w14:paraId="651897A7" w14:textId="42FD30C2" w:rsidR="00C217DA" w:rsidRPr="00E54E59" w:rsidRDefault="00C217DA" w:rsidP="00E54E59">
            <w:pPr>
              <w:jc w:val="center"/>
              <w:rPr>
                <w:rFonts w:ascii="Arial" w:hAnsi="Arial" w:cs="Arial"/>
                <w:sz w:val="18"/>
                <w:szCs w:val="18"/>
                <w:lang w:val="el-GR"/>
              </w:rPr>
            </w:pPr>
            <w:r>
              <w:rPr>
                <w:rFonts w:ascii="Arial" w:hAnsi="Arial" w:cs="Arial"/>
                <w:sz w:val="18"/>
                <w:szCs w:val="18"/>
                <w:lang w:val="el-GR"/>
              </w:rPr>
              <w:t>Διανομές</w:t>
            </w:r>
          </w:p>
        </w:tc>
        <w:tc>
          <w:tcPr>
            <w:tcW w:w="2808" w:type="dxa"/>
            <w:vAlign w:val="center"/>
          </w:tcPr>
          <w:p w14:paraId="7B7ED953" w14:textId="1709218E" w:rsidR="00C217DA" w:rsidRPr="00C217DA" w:rsidRDefault="00C217DA" w:rsidP="00E54E59">
            <w:pPr>
              <w:jc w:val="center"/>
              <w:rPr>
                <w:rFonts w:ascii="Arial" w:hAnsi="Arial" w:cs="Arial"/>
                <w:sz w:val="18"/>
                <w:szCs w:val="18"/>
                <w:lang w:val="el-GR"/>
              </w:rPr>
            </w:pPr>
            <w:r>
              <w:rPr>
                <w:rFonts w:ascii="Arial" w:hAnsi="Arial" w:cs="Arial"/>
                <w:sz w:val="18"/>
                <w:szCs w:val="18"/>
                <w:lang w:val="el-GR"/>
              </w:rPr>
              <w:t>Πρόβλεψη για διανομή στο 50%</w:t>
            </w:r>
          </w:p>
        </w:tc>
        <w:tc>
          <w:tcPr>
            <w:tcW w:w="2887" w:type="dxa"/>
            <w:vAlign w:val="center"/>
          </w:tcPr>
          <w:p w14:paraId="4C64486D" w14:textId="25A8D191" w:rsidR="00C217DA" w:rsidRPr="00C217DA" w:rsidRDefault="00C217DA" w:rsidP="00E54E59">
            <w:pPr>
              <w:jc w:val="center"/>
              <w:rPr>
                <w:rFonts w:ascii="Arial" w:hAnsi="Arial" w:cs="Arial"/>
                <w:sz w:val="18"/>
                <w:szCs w:val="18"/>
              </w:rPr>
            </w:pPr>
            <w:r>
              <w:rPr>
                <w:rFonts w:ascii="Arial" w:hAnsi="Arial" w:cs="Arial"/>
                <w:sz w:val="18"/>
                <w:szCs w:val="18"/>
                <w:lang w:val="el-GR"/>
              </w:rPr>
              <w:t>50% ποσοστό διανομής (</w:t>
            </w:r>
            <w:r>
              <w:rPr>
                <w:rFonts w:ascii="Arial" w:hAnsi="Arial" w:cs="Arial"/>
                <w:sz w:val="18"/>
                <w:szCs w:val="18"/>
              </w:rPr>
              <w:t>payout ratio)</w:t>
            </w:r>
            <w:r w:rsidRPr="00C217DA">
              <w:rPr>
                <w:rFonts w:ascii="Arial" w:hAnsi="Arial" w:cs="Arial"/>
                <w:sz w:val="18"/>
                <w:szCs w:val="18"/>
                <w:vertAlign w:val="superscript"/>
              </w:rPr>
              <w:t>4</w:t>
            </w:r>
          </w:p>
        </w:tc>
      </w:tr>
      <w:tr w:rsidR="00C90D91" w:rsidRPr="00910A4E" w14:paraId="23005122" w14:textId="77777777" w:rsidTr="00C90D91">
        <w:trPr>
          <w:trHeight w:val="265"/>
        </w:trPr>
        <w:tc>
          <w:tcPr>
            <w:tcW w:w="8502" w:type="dxa"/>
            <w:gridSpan w:val="3"/>
            <w:vAlign w:val="center"/>
          </w:tcPr>
          <w:p w14:paraId="6FF1D0FD" w14:textId="77777777" w:rsidR="00C90D91" w:rsidRDefault="00C90D91" w:rsidP="00C217DA">
            <w:pPr>
              <w:pStyle w:val="ListParagraph"/>
              <w:numPr>
                <w:ilvl w:val="0"/>
                <w:numId w:val="16"/>
              </w:numPr>
              <w:ind w:left="402" w:hanging="283"/>
              <w:jc w:val="both"/>
              <w:rPr>
                <w:rFonts w:ascii="Arial" w:hAnsi="Arial" w:cs="Arial"/>
                <w:sz w:val="18"/>
                <w:szCs w:val="18"/>
                <w:lang w:val="el-GR"/>
              </w:rPr>
            </w:pPr>
            <w:proofErr w:type="spellStart"/>
            <w:r w:rsidRPr="00E54E59">
              <w:rPr>
                <w:rFonts w:ascii="Arial" w:hAnsi="Arial" w:cs="Arial"/>
                <w:sz w:val="18"/>
                <w:szCs w:val="18"/>
                <w:lang w:val="el-GR"/>
              </w:rPr>
              <w:t>Aναπροσαρμοσμένος</w:t>
            </w:r>
            <w:proofErr w:type="spellEnd"/>
            <w:r w:rsidRPr="00E54E59">
              <w:rPr>
                <w:rFonts w:ascii="Arial" w:hAnsi="Arial" w:cs="Arial"/>
                <w:sz w:val="18"/>
                <w:szCs w:val="18"/>
                <w:lang w:val="el-GR"/>
              </w:rPr>
              <w:t xml:space="preserve"> για τον ειδικό φόρο επί των καταθέσεων και άλλα τέλη/εισφορές</w:t>
            </w:r>
          </w:p>
          <w:p w14:paraId="2AEB5A6B" w14:textId="77777777" w:rsidR="00C90D91" w:rsidRDefault="00C90D91" w:rsidP="00C217DA">
            <w:pPr>
              <w:pStyle w:val="ListParagraph"/>
              <w:numPr>
                <w:ilvl w:val="0"/>
                <w:numId w:val="16"/>
              </w:numPr>
              <w:ind w:left="402" w:hanging="283"/>
              <w:jc w:val="both"/>
              <w:rPr>
                <w:rFonts w:ascii="Arial" w:hAnsi="Arial" w:cs="Arial"/>
                <w:sz w:val="18"/>
                <w:szCs w:val="18"/>
                <w:lang w:val="el-GR"/>
              </w:rPr>
            </w:pPr>
            <w:r w:rsidRPr="007C2CF8">
              <w:rPr>
                <w:rFonts w:ascii="Arial" w:hAnsi="Arial" w:cs="Arial"/>
                <w:sz w:val="18"/>
                <w:szCs w:val="18"/>
                <w:lang w:val="el-GR"/>
              </w:rPr>
              <w:t xml:space="preserve">Αναπροσαρμοσμένο για το χαρτοφυλάκιο που κατέχεται προς πώληση; Συμφωνία για πώληση ενός χαρτοφυλακίου μη εξυπηρετούμενων δανείων, ύψους €27 εκατ. </w:t>
            </w:r>
            <w:r>
              <w:rPr>
                <w:rFonts w:ascii="Arial" w:hAnsi="Arial" w:cs="Arial"/>
                <w:sz w:val="18"/>
                <w:szCs w:val="18"/>
                <w:lang w:val="el-GR"/>
              </w:rPr>
              <w:t xml:space="preserve">για το γ’ τρίμηνο 2024. </w:t>
            </w:r>
            <w:r w:rsidRPr="007C2CF8">
              <w:rPr>
                <w:rFonts w:ascii="Arial" w:hAnsi="Arial" w:cs="Arial"/>
                <w:sz w:val="18"/>
                <w:szCs w:val="18"/>
                <w:lang w:val="el-GR"/>
              </w:rPr>
              <w:t>Η πώληση υπόκειται υπό τη λήψη των απαραίτητων εγκρίσεων και αναμένεται να ολοκληρωθεί εντός του α’ εξάμηνου 2025</w:t>
            </w:r>
          </w:p>
          <w:p w14:paraId="69B0B2CB" w14:textId="77777777" w:rsidR="00C90D91" w:rsidRPr="00C217DA" w:rsidRDefault="00C90D91" w:rsidP="00C217DA">
            <w:pPr>
              <w:pStyle w:val="ListParagraph"/>
              <w:numPr>
                <w:ilvl w:val="0"/>
                <w:numId w:val="16"/>
              </w:numPr>
              <w:ind w:left="402" w:hanging="283"/>
              <w:jc w:val="both"/>
              <w:rPr>
                <w:rFonts w:ascii="Arial" w:hAnsi="Arial" w:cs="Arial"/>
                <w:sz w:val="18"/>
                <w:szCs w:val="18"/>
                <w:lang w:val="el-GR"/>
              </w:rPr>
            </w:pPr>
            <w:r w:rsidRPr="007C2CF8">
              <w:rPr>
                <w:rFonts w:ascii="Arial" w:hAnsi="Arial" w:cs="Arial"/>
                <w:sz w:val="18"/>
                <w:szCs w:val="18"/>
                <w:lang w:val="el-GR"/>
              </w:rPr>
              <w:t>Ετήσια αύξηση στο Δείκτη Κεφαλαίου Κοινών Μετοχών Κατηγορίας 1 (CET1), πριν την αφαίρεση των αναμενόμενων μερισμάτων</w:t>
            </w:r>
          </w:p>
          <w:p w14:paraId="3AC7F415" w14:textId="77777777" w:rsidR="00C217DA" w:rsidRPr="00C217DA" w:rsidRDefault="00C217DA" w:rsidP="00C217DA">
            <w:pPr>
              <w:pStyle w:val="ListParagraph"/>
              <w:numPr>
                <w:ilvl w:val="0"/>
                <w:numId w:val="16"/>
              </w:numPr>
              <w:ind w:left="402" w:hanging="283"/>
              <w:jc w:val="both"/>
              <w:rPr>
                <w:rFonts w:ascii="Arial" w:hAnsi="Arial" w:cs="Arial"/>
                <w:sz w:val="18"/>
                <w:szCs w:val="18"/>
                <w:lang w:val="el-GR"/>
              </w:rPr>
            </w:pPr>
            <w:r w:rsidRPr="00C217DA">
              <w:rPr>
                <w:rFonts w:ascii="Arial" w:hAnsi="Arial" w:cs="Arial"/>
                <w:sz w:val="18"/>
                <w:szCs w:val="18"/>
                <w:lang w:val="el-GR"/>
              </w:rPr>
              <w:t>Ανάλογα με τις συνθήκες της αγοράς καθώς επίσης και τα αποτελέσματα του σχεδιασμού κεφαλαίου και ρευστότητας κατά τη δεδομένη χρονική στιγμή.</w:t>
            </w:r>
          </w:p>
          <w:p w14:paraId="302B1E2D" w14:textId="21F892EA" w:rsidR="00C217DA" w:rsidRPr="00FC0113" w:rsidRDefault="00C217DA" w:rsidP="00C217DA">
            <w:pPr>
              <w:jc w:val="both"/>
              <w:rPr>
                <w:rFonts w:ascii="Arial" w:hAnsi="Arial" w:cs="Arial"/>
                <w:sz w:val="18"/>
                <w:szCs w:val="18"/>
                <w:lang w:val="el-GR"/>
              </w:rPr>
            </w:pPr>
          </w:p>
        </w:tc>
      </w:tr>
    </w:tbl>
    <w:p w14:paraId="611193F8" w14:textId="77777777" w:rsidR="005D55DD" w:rsidRPr="00E54E59" w:rsidRDefault="005D55DD" w:rsidP="005D55DD">
      <w:pPr>
        <w:rPr>
          <w:rFonts w:ascii="Arial" w:hAnsi="Arial" w:cs="Arial"/>
          <w:b/>
          <w:sz w:val="18"/>
          <w:szCs w:val="18"/>
          <w:lang w:val="el-GR"/>
        </w:rPr>
      </w:pPr>
    </w:p>
    <w:p w14:paraId="57C3AA4D" w14:textId="3F0439E3" w:rsidR="005D55DD" w:rsidRPr="002354D5" w:rsidRDefault="005D55DD" w:rsidP="005D55DD">
      <w:pPr>
        <w:rPr>
          <w:rFonts w:ascii="Arial" w:hAnsi="Arial" w:cs="Arial"/>
          <w:b/>
          <w:sz w:val="18"/>
          <w:szCs w:val="18"/>
          <w:lang w:val="el-GR"/>
        </w:rPr>
      </w:pPr>
      <w:r w:rsidRPr="002354D5">
        <w:rPr>
          <w:rFonts w:ascii="Arial" w:hAnsi="Arial" w:cs="Arial"/>
          <w:b/>
          <w:sz w:val="18"/>
          <w:szCs w:val="18"/>
          <w:lang w:val="el-GR"/>
        </w:rPr>
        <w:t xml:space="preserve">Το Συγκρότημα θα </w:t>
      </w:r>
      <w:proofErr w:type="spellStart"/>
      <w:r w:rsidR="00E54E59" w:rsidRPr="00E54E59">
        <w:rPr>
          <w:rFonts w:ascii="Arial" w:hAnsi="Arial" w:cs="Arial"/>
          <w:b/>
          <w:sz w:val="18"/>
          <w:szCs w:val="18"/>
          <w:lang w:val="el-GR"/>
        </w:rPr>
        <w:t>επικαιροποιήσει</w:t>
      </w:r>
      <w:proofErr w:type="spellEnd"/>
      <w:r w:rsidR="00E54E59" w:rsidRPr="00E54E59">
        <w:rPr>
          <w:rFonts w:ascii="Arial" w:hAnsi="Arial" w:cs="Arial"/>
          <w:b/>
          <w:sz w:val="18"/>
          <w:szCs w:val="18"/>
          <w:lang w:val="el-GR"/>
        </w:rPr>
        <w:t xml:space="preserve"> </w:t>
      </w:r>
      <w:r w:rsidR="00E54E59">
        <w:rPr>
          <w:rFonts w:ascii="Arial" w:hAnsi="Arial" w:cs="Arial"/>
          <w:b/>
          <w:sz w:val="18"/>
          <w:szCs w:val="18"/>
          <w:lang w:val="el-GR"/>
        </w:rPr>
        <w:t xml:space="preserve">όλους </w:t>
      </w:r>
      <w:r>
        <w:rPr>
          <w:rFonts w:ascii="Arial" w:hAnsi="Arial" w:cs="Arial"/>
          <w:b/>
          <w:sz w:val="18"/>
          <w:szCs w:val="18"/>
          <w:lang w:val="el-GR"/>
        </w:rPr>
        <w:t xml:space="preserve">τους </w:t>
      </w:r>
      <w:r w:rsidRPr="002354D5">
        <w:rPr>
          <w:rFonts w:ascii="Arial" w:hAnsi="Arial" w:cs="Arial"/>
          <w:b/>
          <w:sz w:val="18"/>
          <w:szCs w:val="18"/>
          <w:lang w:val="el-GR"/>
        </w:rPr>
        <w:t>Οικονομικ</w:t>
      </w:r>
      <w:r>
        <w:rPr>
          <w:rFonts w:ascii="Arial" w:hAnsi="Arial" w:cs="Arial"/>
          <w:b/>
          <w:sz w:val="18"/>
          <w:szCs w:val="18"/>
          <w:lang w:val="el-GR"/>
        </w:rPr>
        <w:t>ούς</w:t>
      </w:r>
      <w:r w:rsidRPr="002354D5">
        <w:rPr>
          <w:rFonts w:ascii="Arial" w:hAnsi="Arial" w:cs="Arial"/>
          <w:b/>
          <w:sz w:val="18"/>
          <w:szCs w:val="18"/>
          <w:lang w:val="el-GR"/>
        </w:rPr>
        <w:t xml:space="preserve"> του Στόχ</w:t>
      </w:r>
      <w:r>
        <w:rPr>
          <w:rFonts w:ascii="Arial" w:hAnsi="Arial" w:cs="Arial"/>
          <w:b/>
          <w:sz w:val="18"/>
          <w:szCs w:val="18"/>
          <w:lang w:val="el-GR"/>
        </w:rPr>
        <w:t>ους</w:t>
      </w:r>
      <w:r w:rsidRPr="002354D5">
        <w:rPr>
          <w:rFonts w:ascii="Arial" w:hAnsi="Arial" w:cs="Arial"/>
          <w:b/>
          <w:sz w:val="18"/>
          <w:szCs w:val="18"/>
          <w:lang w:val="el-GR"/>
        </w:rPr>
        <w:t xml:space="preserve"> με την δημοσίευση των Οικονομικών αποτελεσμάτων για το </w:t>
      </w:r>
      <w:r w:rsidR="00E54E59">
        <w:rPr>
          <w:rFonts w:ascii="Arial" w:hAnsi="Arial" w:cs="Arial"/>
          <w:b/>
          <w:sz w:val="18"/>
          <w:szCs w:val="18"/>
          <w:lang w:val="el-GR"/>
        </w:rPr>
        <w:t xml:space="preserve">έτος </w:t>
      </w:r>
      <w:r w:rsidRPr="002354D5">
        <w:rPr>
          <w:rFonts w:ascii="Arial" w:hAnsi="Arial" w:cs="Arial"/>
          <w:b/>
          <w:sz w:val="18"/>
          <w:szCs w:val="18"/>
          <w:lang w:val="el-GR"/>
        </w:rPr>
        <w:t>2024.</w:t>
      </w:r>
    </w:p>
    <w:p w14:paraId="08691E9F" w14:textId="77777777" w:rsidR="005D55DD" w:rsidRPr="00247219" w:rsidRDefault="005D55DD" w:rsidP="005D55DD">
      <w:pPr>
        <w:rPr>
          <w:rFonts w:ascii="Arial" w:hAnsi="Arial" w:cs="Arial"/>
          <w:b/>
          <w:color w:val="FF9900"/>
          <w:szCs w:val="16"/>
          <w:highlight w:val="yellow"/>
          <w:lang w:val="el-GR"/>
        </w:rPr>
      </w:pPr>
    </w:p>
    <w:p w14:paraId="2179F382" w14:textId="53E1BCB4" w:rsidR="0056738E" w:rsidRDefault="0056738E">
      <w:pPr>
        <w:rPr>
          <w:rFonts w:ascii="Arial" w:hAnsi="Arial" w:cs="Arial"/>
          <w:bCs/>
          <w:sz w:val="18"/>
          <w:szCs w:val="28"/>
          <w:lang w:val="el-GR"/>
        </w:rPr>
      </w:pPr>
      <w:r>
        <w:rPr>
          <w:rFonts w:ascii="Arial" w:hAnsi="Arial" w:cs="Arial"/>
          <w:bCs/>
          <w:sz w:val="18"/>
          <w:szCs w:val="28"/>
          <w:lang w:val="el-GR"/>
        </w:rPr>
        <w:br w:type="page"/>
      </w:r>
    </w:p>
    <w:p w14:paraId="3CC3CEEF" w14:textId="77777777" w:rsidR="0056738E" w:rsidRDefault="0056738E" w:rsidP="0056738E">
      <w:pPr>
        <w:spacing w:after="0" w:line="360" w:lineRule="auto"/>
        <w:ind w:left="851" w:hanging="851"/>
        <w:jc w:val="both"/>
        <w:rPr>
          <w:rFonts w:ascii="Arial" w:hAnsi="Arial" w:cs="Arial"/>
          <w:b/>
          <w:color w:val="FF9900"/>
          <w:szCs w:val="16"/>
          <w:lang w:val="el-GR"/>
        </w:rPr>
      </w:pPr>
      <w:bookmarkStart w:id="35" w:name="_Hlk134528235"/>
      <w:r>
        <w:rPr>
          <w:rFonts w:ascii="Arial" w:hAnsi="Arial" w:cs="Arial"/>
          <w:b/>
          <w:color w:val="FF9900"/>
          <w:szCs w:val="16"/>
          <w:lang w:val="el-GR"/>
        </w:rPr>
        <w:lastRenderedPageBreak/>
        <w:t>Ε.</w:t>
      </w:r>
      <w:r w:rsidRPr="00FF063C">
        <w:rPr>
          <w:rFonts w:ascii="Arial" w:hAnsi="Arial" w:cs="Arial"/>
          <w:b/>
          <w:color w:val="FF9900"/>
          <w:szCs w:val="16"/>
          <w:lang w:val="el-GR"/>
        </w:rPr>
        <w:t xml:space="preserve"> </w:t>
      </w:r>
      <w:r w:rsidRPr="00307591">
        <w:rPr>
          <w:rFonts w:ascii="Arial" w:hAnsi="Arial" w:cs="Arial"/>
          <w:b/>
          <w:color w:val="FF9900"/>
          <w:szCs w:val="16"/>
          <w:lang w:val="el-GR"/>
        </w:rPr>
        <w:tab/>
      </w:r>
      <w:r>
        <w:rPr>
          <w:rFonts w:ascii="Arial" w:hAnsi="Arial" w:cs="Arial"/>
          <w:b/>
          <w:color w:val="FF9900"/>
          <w:szCs w:val="16"/>
          <w:lang w:val="el-GR"/>
        </w:rPr>
        <w:t>Οικονομικά αποτελέσματα στην απαιτούμενη από τη νομοθεσία βάση</w:t>
      </w:r>
    </w:p>
    <w:bookmarkEnd w:id="35"/>
    <w:p w14:paraId="3EE675F3" w14:textId="77777777" w:rsidR="0056738E" w:rsidRDefault="0056738E" w:rsidP="0056738E">
      <w:pPr>
        <w:tabs>
          <w:tab w:val="left" w:pos="851"/>
        </w:tabs>
        <w:spacing w:after="0" w:line="360" w:lineRule="auto"/>
        <w:jc w:val="both"/>
        <w:rPr>
          <w:rFonts w:ascii="Arial" w:hAnsi="Arial" w:cs="Arial"/>
          <w:b/>
          <w:color w:val="FF9900"/>
          <w:lang w:val="el-GR"/>
        </w:rPr>
      </w:pPr>
      <w:r>
        <w:rPr>
          <w:rFonts w:ascii="Arial" w:hAnsi="Arial" w:cs="Arial"/>
          <w:b/>
          <w:color w:val="FF9900"/>
          <w:lang w:val="el-GR"/>
        </w:rPr>
        <w:t xml:space="preserve">Ενδιάμεση </w:t>
      </w:r>
      <w:bookmarkStart w:id="36" w:name="_Hlk134180261"/>
      <w:r>
        <w:rPr>
          <w:rFonts w:ascii="Arial" w:hAnsi="Arial" w:cs="Arial"/>
          <w:b/>
          <w:color w:val="FF9900"/>
          <w:lang w:val="el-GR"/>
        </w:rPr>
        <w:t>Ενοποιημένη Κατάσταση Λογαριασμού Αποτελεσμάτων</w:t>
      </w:r>
      <w:bookmarkEnd w:id="36"/>
    </w:p>
    <w:p w14:paraId="2A47BDED" w14:textId="77777777" w:rsidR="0056738E" w:rsidRPr="00E93711" w:rsidRDefault="0056738E" w:rsidP="0056738E">
      <w:pPr>
        <w:spacing w:after="120" w:line="240" w:lineRule="auto"/>
        <w:contextualSpacing/>
        <w:jc w:val="both"/>
        <w:rPr>
          <w:rFonts w:ascii="Arial" w:eastAsia="Times New Roman" w:hAnsi="Arial" w:cs="Arial"/>
          <w:sz w:val="18"/>
          <w:szCs w:val="18"/>
          <w:lang w:val="el-GR"/>
        </w:rPr>
      </w:pPr>
      <w:r w:rsidRPr="00955C85">
        <w:rPr>
          <w:rFonts w:ascii="Arial" w:eastAsia="Times New Roman" w:hAnsi="Arial" w:cs="Arial"/>
          <w:sz w:val="18"/>
          <w:szCs w:val="18"/>
          <w:lang w:val="el-GR"/>
        </w:rPr>
        <w:t xml:space="preserve">Οι ακόλουθες οικονομικές πληροφορίες για </w:t>
      </w:r>
      <w:r>
        <w:rPr>
          <w:rFonts w:ascii="Arial" w:eastAsia="Times New Roman" w:hAnsi="Arial" w:cs="Arial"/>
          <w:sz w:val="18"/>
          <w:szCs w:val="18"/>
          <w:lang w:val="el-GR"/>
        </w:rPr>
        <w:t>το</w:t>
      </w:r>
      <w:r w:rsidRPr="00D17E65">
        <w:rPr>
          <w:rFonts w:ascii="Arial" w:eastAsia="Times New Roman" w:hAnsi="Arial" w:cs="Arial"/>
          <w:sz w:val="18"/>
          <w:szCs w:val="18"/>
          <w:lang w:val="el-GR"/>
        </w:rPr>
        <w:t xml:space="preserve"> </w:t>
      </w:r>
      <w:r>
        <w:rPr>
          <w:rFonts w:ascii="Arial" w:eastAsia="Times New Roman" w:hAnsi="Arial" w:cs="Arial"/>
          <w:sz w:val="18"/>
          <w:szCs w:val="18"/>
          <w:lang w:val="el-GR"/>
        </w:rPr>
        <w:t>εννεάμηνο</w:t>
      </w:r>
      <w:r w:rsidRPr="00955C85">
        <w:rPr>
          <w:rFonts w:ascii="Arial" w:eastAsia="Times New Roman" w:hAnsi="Arial" w:cs="Arial"/>
          <w:sz w:val="18"/>
          <w:szCs w:val="18"/>
          <w:lang w:val="el-GR"/>
        </w:rPr>
        <w:t xml:space="preserve"> του 202</w:t>
      </w:r>
      <w:r>
        <w:rPr>
          <w:rFonts w:ascii="Arial" w:eastAsia="Times New Roman" w:hAnsi="Arial" w:cs="Arial"/>
          <w:sz w:val="18"/>
          <w:szCs w:val="18"/>
          <w:lang w:val="el-GR"/>
        </w:rPr>
        <w:t>4</w:t>
      </w:r>
      <w:r w:rsidRPr="00955C85">
        <w:rPr>
          <w:rFonts w:ascii="Arial" w:eastAsia="Times New Roman" w:hAnsi="Arial" w:cs="Arial"/>
          <w:sz w:val="18"/>
          <w:szCs w:val="18"/>
          <w:lang w:val="el-GR"/>
        </w:rPr>
        <w:t xml:space="preserve"> και 202</w:t>
      </w:r>
      <w:r>
        <w:rPr>
          <w:rFonts w:ascii="Arial" w:eastAsia="Times New Roman" w:hAnsi="Arial" w:cs="Arial"/>
          <w:sz w:val="18"/>
          <w:szCs w:val="18"/>
          <w:lang w:val="el-GR"/>
        </w:rPr>
        <w:t>3</w:t>
      </w:r>
      <w:r w:rsidRPr="00955C85">
        <w:rPr>
          <w:rFonts w:ascii="Arial" w:eastAsia="Times New Roman" w:hAnsi="Arial" w:cs="Arial"/>
          <w:sz w:val="18"/>
          <w:szCs w:val="18"/>
          <w:lang w:val="el-GR"/>
        </w:rPr>
        <w:t xml:space="preserve"> </w:t>
      </w:r>
      <w:r>
        <w:rPr>
          <w:rFonts w:ascii="Arial" w:eastAsia="Times New Roman" w:hAnsi="Arial" w:cs="Arial"/>
          <w:sz w:val="18"/>
          <w:szCs w:val="18"/>
          <w:lang w:val="el-GR"/>
        </w:rPr>
        <w:t>στο Μέρος</w:t>
      </w:r>
      <w:r w:rsidRPr="00955C85">
        <w:rPr>
          <w:rFonts w:ascii="Arial" w:eastAsia="Times New Roman" w:hAnsi="Arial" w:cs="Arial"/>
          <w:sz w:val="18"/>
          <w:szCs w:val="18"/>
          <w:lang w:val="el-GR"/>
        </w:rPr>
        <w:t xml:space="preserve"> Ε αντιστοιχούν στις συνοπτικές ενοποιημένες οικονομικές καταστάσεις </w:t>
      </w:r>
      <w:r>
        <w:rPr>
          <w:rFonts w:ascii="Arial" w:eastAsia="Times New Roman" w:hAnsi="Arial" w:cs="Arial"/>
          <w:sz w:val="18"/>
          <w:szCs w:val="18"/>
          <w:lang w:val="el-GR"/>
        </w:rPr>
        <w:t>όπως καταρτίζονται</w:t>
      </w:r>
      <w:r w:rsidRPr="00955C85">
        <w:rPr>
          <w:rFonts w:ascii="Arial" w:eastAsia="Times New Roman" w:hAnsi="Arial" w:cs="Arial"/>
          <w:sz w:val="18"/>
          <w:szCs w:val="18"/>
          <w:lang w:val="el-GR"/>
        </w:rPr>
        <w:t xml:space="preserve"> σύμφωνα με τα Διεθνή Πρότυπα Χρηματοοικονομικής Αναφοράς όπως αυτά έχουν υιοθετηθεί από την Ευρωπαϊκή Ένωση. </w:t>
      </w:r>
    </w:p>
    <w:p w14:paraId="1D4DEDFD" w14:textId="77777777" w:rsidR="0056738E" w:rsidRPr="00955C85" w:rsidRDefault="0056738E" w:rsidP="0056738E">
      <w:pPr>
        <w:spacing w:after="0" w:line="240" w:lineRule="auto"/>
        <w:contextualSpacing/>
        <w:jc w:val="both"/>
        <w:rPr>
          <w:rFonts w:ascii="Arial" w:eastAsia="Times New Roman" w:hAnsi="Arial" w:cs="Arial"/>
          <w:sz w:val="18"/>
          <w:szCs w:val="18"/>
          <w:lang w:val="el-GR"/>
        </w:rPr>
      </w:pPr>
    </w:p>
    <w:tbl>
      <w:tblPr>
        <w:tblW w:w="100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941"/>
        <w:gridCol w:w="1559"/>
        <w:gridCol w:w="1560"/>
      </w:tblGrid>
      <w:tr w:rsidR="0056738E" w:rsidRPr="00910A4E" w14:paraId="289A62C3" w14:textId="77777777" w:rsidTr="007C2AEE">
        <w:trPr>
          <w:trHeight w:val="170"/>
          <w:jc w:val="center"/>
        </w:trPr>
        <w:tc>
          <w:tcPr>
            <w:tcW w:w="6941" w:type="dxa"/>
            <w:vMerge w:val="restart"/>
            <w:shd w:val="clear" w:color="auto" w:fill="auto"/>
            <w:vAlign w:val="center"/>
          </w:tcPr>
          <w:p w14:paraId="51AFC1ED" w14:textId="77777777" w:rsidR="0056738E" w:rsidRPr="000F2475" w:rsidRDefault="0056738E" w:rsidP="007C2AEE">
            <w:pPr>
              <w:spacing w:after="0" w:line="240" w:lineRule="auto"/>
              <w:rPr>
                <w:rFonts w:ascii="Arial" w:eastAsia="Batang" w:hAnsi="Arial" w:cs="Arial"/>
                <w:b/>
                <w:color w:val="262626"/>
                <w:sz w:val="16"/>
                <w:szCs w:val="16"/>
                <w:lang w:val="el-GR" w:eastAsia="en-US"/>
              </w:rPr>
            </w:pPr>
          </w:p>
        </w:tc>
        <w:tc>
          <w:tcPr>
            <w:tcW w:w="3119" w:type="dxa"/>
            <w:gridSpan w:val="2"/>
            <w:tcBorders>
              <w:bottom w:val="single" w:sz="4" w:space="0" w:color="C0C0C0"/>
            </w:tcBorders>
            <w:shd w:val="clear" w:color="auto" w:fill="auto"/>
            <w:vAlign w:val="center"/>
          </w:tcPr>
          <w:p w14:paraId="5EAF71B8" w14:textId="77777777" w:rsidR="0056738E" w:rsidRPr="00D16F52" w:rsidRDefault="0056738E" w:rsidP="007C2AEE">
            <w:pPr>
              <w:spacing w:after="0" w:line="240" w:lineRule="auto"/>
              <w:jc w:val="center"/>
              <w:rPr>
                <w:rFonts w:ascii="Arial" w:eastAsia="Batang" w:hAnsi="Arial" w:cs="Arial"/>
                <w:b/>
                <w:color w:val="262626"/>
                <w:sz w:val="18"/>
                <w:szCs w:val="18"/>
                <w:lang w:val="el-GR" w:eastAsia="en-US"/>
              </w:rPr>
            </w:pPr>
            <w:r>
              <w:rPr>
                <w:rFonts w:ascii="Arial" w:eastAsia="Batang" w:hAnsi="Arial" w:cs="Arial"/>
                <w:b/>
                <w:color w:val="262626"/>
                <w:sz w:val="18"/>
                <w:szCs w:val="18"/>
                <w:lang w:val="el-GR" w:eastAsia="en-US"/>
              </w:rPr>
              <w:t>Εννεάμηνο</w:t>
            </w:r>
            <w:r w:rsidRPr="00D16F52">
              <w:rPr>
                <w:rFonts w:ascii="Arial" w:eastAsia="Batang" w:hAnsi="Arial" w:cs="Arial"/>
                <w:b/>
                <w:color w:val="262626"/>
                <w:sz w:val="18"/>
                <w:szCs w:val="18"/>
                <w:lang w:val="el-GR" w:eastAsia="en-US"/>
              </w:rPr>
              <w:t xml:space="preserve"> που έληξε στις </w:t>
            </w:r>
          </w:p>
          <w:p w14:paraId="0BAA8AC5" w14:textId="77777777" w:rsidR="0056738E" w:rsidRPr="00D16F52" w:rsidRDefault="0056738E" w:rsidP="007C2AEE">
            <w:pPr>
              <w:spacing w:after="0" w:line="240" w:lineRule="auto"/>
              <w:jc w:val="center"/>
              <w:rPr>
                <w:rFonts w:ascii="Arial" w:eastAsia="Batang" w:hAnsi="Arial" w:cs="Arial"/>
                <w:b/>
                <w:color w:val="262626"/>
                <w:sz w:val="16"/>
                <w:szCs w:val="16"/>
                <w:lang w:val="el-GR" w:eastAsia="en-US"/>
              </w:rPr>
            </w:pPr>
            <w:r>
              <w:rPr>
                <w:rFonts w:ascii="Arial" w:eastAsia="Batang" w:hAnsi="Arial" w:cs="Arial"/>
                <w:b/>
                <w:color w:val="262626"/>
                <w:sz w:val="18"/>
                <w:szCs w:val="18"/>
                <w:lang w:val="el-GR" w:eastAsia="en-US"/>
              </w:rPr>
              <w:t>30 Σεπτεμβρίου</w:t>
            </w:r>
          </w:p>
        </w:tc>
      </w:tr>
      <w:tr w:rsidR="0056738E" w:rsidRPr="000F2475" w14:paraId="7A90B6AE" w14:textId="77777777" w:rsidTr="007C2AEE">
        <w:trPr>
          <w:trHeight w:val="478"/>
          <w:jc w:val="center"/>
        </w:trPr>
        <w:tc>
          <w:tcPr>
            <w:tcW w:w="6941" w:type="dxa"/>
            <w:vMerge/>
            <w:shd w:val="clear" w:color="auto" w:fill="auto"/>
            <w:vAlign w:val="center"/>
          </w:tcPr>
          <w:p w14:paraId="45CB9959" w14:textId="77777777" w:rsidR="0056738E" w:rsidRPr="000F2475" w:rsidRDefault="0056738E" w:rsidP="007C2AEE">
            <w:pPr>
              <w:spacing w:after="0" w:line="240" w:lineRule="auto"/>
              <w:rPr>
                <w:rFonts w:ascii="Arial" w:eastAsia="Batang" w:hAnsi="Arial" w:cs="Arial"/>
                <w:b/>
                <w:color w:val="262626"/>
                <w:sz w:val="16"/>
                <w:szCs w:val="16"/>
                <w:lang w:val="el-GR" w:eastAsia="en-US"/>
              </w:rPr>
            </w:pPr>
          </w:p>
        </w:tc>
        <w:tc>
          <w:tcPr>
            <w:tcW w:w="1559" w:type="dxa"/>
            <w:tcBorders>
              <w:bottom w:val="single" w:sz="4" w:space="0" w:color="C0C0C0"/>
            </w:tcBorders>
            <w:shd w:val="clear" w:color="auto" w:fill="auto"/>
            <w:vAlign w:val="center"/>
          </w:tcPr>
          <w:p w14:paraId="2EC6C240" w14:textId="77777777" w:rsidR="0056738E" w:rsidRPr="003F6987" w:rsidRDefault="0056738E" w:rsidP="007C2AEE">
            <w:pPr>
              <w:spacing w:after="0" w:line="240" w:lineRule="auto"/>
              <w:jc w:val="center"/>
              <w:rPr>
                <w:rFonts w:ascii="Arial" w:eastAsia="Batang" w:hAnsi="Arial" w:cs="Arial"/>
                <w:b/>
                <w:color w:val="262626"/>
                <w:sz w:val="18"/>
                <w:szCs w:val="18"/>
                <w:lang w:val="en-US" w:eastAsia="en-US"/>
              </w:rPr>
            </w:pPr>
            <w:r w:rsidRPr="00325113">
              <w:rPr>
                <w:rFonts w:ascii="Arial" w:eastAsia="Batang" w:hAnsi="Arial" w:cs="Arial"/>
                <w:b/>
                <w:color w:val="262626"/>
                <w:sz w:val="18"/>
                <w:szCs w:val="18"/>
                <w:lang w:val="el-GR" w:eastAsia="en-US"/>
              </w:rPr>
              <w:t>202</w:t>
            </w:r>
            <w:r>
              <w:rPr>
                <w:rFonts w:ascii="Arial" w:eastAsia="Batang" w:hAnsi="Arial" w:cs="Arial"/>
                <w:b/>
                <w:color w:val="262626"/>
                <w:sz w:val="18"/>
                <w:szCs w:val="18"/>
                <w:lang w:val="en-US" w:eastAsia="en-US"/>
              </w:rPr>
              <w:t>4</w:t>
            </w:r>
          </w:p>
        </w:tc>
        <w:tc>
          <w:tcPr>
            <w:tcW w:w="1560" w:type="dxa"/>
            <w:tcBorders>
              <w:bottom w:val="single" w:sz="4" w:space="0" w:color="C0C0C0"/>
            </w:tcBorders>
            <w:shd w:val="clear" w:color="auto" w:fill="auto"/>
            <w:vAlign w:val="center"/>
          </w:tcPr>
          <w:p w14:paraId="1A16DFB4" w14:textId="77777777" w:rsidR="0056738E" w:rsidRPr="003F6987" w:rsidRDefault="0056738E" w:rsidP="007C2AEE">
            <w:pPr>
              <w:spacing w:after="0" w:line="240" w:lineRule="auto"/>
              <w:ind w:left="-110" w:right="-101"/>
              <w:jc w:val="center"/>
              <w:rPr>
                <w:rFonts w:ascii="Arial" w:eastAsia="Batang" w:hAnsi="Arial" w:cs="Arial"/>
                <w:color w:val="262626"/>
                <w:sz w:val="18"/>
                <w:szCs w:val="18"/>
                <w:lang w:val="en-US" w:eastAsia="en-US"/>
              </w:rPr>
            </w:pPr>
            <w:r w:rsidRPr="00325113">
              <w:rPr>
                <w:rFonts w:ascii="Arial" w:eastAsia="Batang" w:hAnsi="Arial" w:cs="Arial"/>
                <w:color w:val="262626"/>
                <w:sz w:val="18"/>
                <w:szCs w:val="18"/>
                <w:lang w:val="el-GR" w:eastAsia="en-US"/>
              </w:rPr>
              <w:t>20</w:t>
            </w:r>
            <w:r>
              <w:rPr>
                <w:rFonts w:ascii="Arial" w:eastAsia="Batang" w:hAnsi="Arial" w:cs="Arial"/>
                <w:color w:val="262626"/>
                <w:sz w:val="18"/>
                <w:szCs w:val="18"/>
                <w:lang w:val="el-GR" w:eastAsia="en-US"/>
              </w:rPr>
              <w:t>2</w:t>
            </w:r>
            <w:r>
              <w:rPr>
                <w:rFonts w:ascii="Arial" w:eastAsia="Batang" w:hAnsi="Arial" w:cs="Arial"/>
                <w:color w:val="262626"/>
                <w:sz w:val="18"/>
                <w:szCs w:val="18"/>
                <w:lang w:val="en-US" w:eastAsia="en-US"/>
              </w:rPr>
              <w:t>3</w:t>
            </w:r>
          </w:p>
        </w:tc>
      </w:tr>
      <w:tr w:rsidR="0056738E" w:rsidRPr="000F2475" w14:paraId="6B692D68" w14:textId="77777777" w:rsidTr="007C2AEE">
        <w:trPr>
          <w:trHeight w:val="255"/>
          <w:jc w:val="center"/>
        </w:trPr>
        <w:tc>
          <w:tcPr>
            <w:tcW w:w="6941" w:type="dxa"/>
            <w:vMerge/>
            <w:shd w:val="clear" w:color="auto" w:fill="auto"/>
            <w:vAlign w:val="center"/>
          </w:tcPr>
          <w:p w14:paraId="1CBD3D8E" w14:textId="77777777" w:rsidR="0056738E" w:rsidRPr="000F2475" w:rsidRDefault="0056738E" w:rsidP="007C2AEE">
            <w:pPr>
              <w:spacing w:after="0" w:line="240" w:lineRule="auto"/>
              <w:rPr>
                <w:rFonts w:ascii="Arial" w:eastAsia="Batang" w:hAnsi="Arial" w:cs="Arial"/>
                <w:b/>
                <w:color w:val="262626"/>
                <w:sz w:val="16"/>
                <w:szCs w:val="16"/>
                <w:lang w:val="el-GR" w:eastAsia="en-US"/>
              </w:rPr>
            </w:pPr>
          </w:p>
        </w:tc>
        <w:tc>
          <w:tcPr>
            <w:tcW w:w="1559" w:type="dxa"/>
            <w:tcBorders>
              <w:bottom w:val="single" w:sz="4" w:space="0" w:color="D9D9D9" w:themeColor="background1" w:themeShade="D9"/>
            </w:tcBorders>
            <w:shd w:val="clear" w:color="auto" w:fill="auto"/>
            <w:vAlign w:val="center"/>
          </w:tcPr>
          <w:p w14:paraId="22EF2C4E" w14:textId="77777777" w:rsidR="0056738E" w:rsidRPr="00325113" w:rsidRDefault="0056738E" w:rsidP="007C2AEE">
            <w:pPr>
              <w:spacing w:after="0" w:line="240" w:lineRule="auto"/>
              <w:jc w:val="center"/>
              <w:rPr>
                <w:rFonts w:ascii="Arial" w:eastAsia="Batang" w:hAnsi="Arial" w:cs="Arial"/>
                <w:b/>
                <w:color w:val="262626"/>
                <w:sz w:val="18"/>
                <w:szCs w:val="18"/>
                <w:lang w:eastAsia="en-US"/>
              </w:rPr>
            </w:pPr>
            <w:r w:rsidRPr="00325113">
              <w:rPr>
                <w:rFonts w:ascii="Arial" w:eastAsia="Batang" w:hAnsi="Arial" w:cs="Arial"/>
                <w:b/>
                <w:color w:val="262626"/>
                <w:sz w:val="18"/>
                <w:szCs w:val="18"/>
                <w:lang w:eastAsia="en-US"/>
              </w:rPr>
              <w:t>€000</w:t>
            </w:r>
          </w:p>
        </w:tc>
        <w:tc>
          <w:tcPr>
            <w:tcW w:w="1560" w:type="dxa"/>
            <w:tcBorders>
              <w:bottom w:val="single" w:sz="4" w:space="0" w:color="D9D9D9" w:themeColor="background1" w:themeShade="D9"/>
            </w:tcBorders>
            <w:shd w:val="clear" w:color="auto" w:fill="auto"/>
            <w:vAlign w:val="center"/>
          </w:tcPr>
          <w:p w14:paraId="4C837D42" w14:textId="77777777" w:rsidR="0056738E" w:rsidRPr="00325113" w:rsidRDefault="0056738E" w:rsidP="007C2AEE">
            <w:pPr>
              <w:spacing w:after="0" w:line="240" w:lineRule="auto"/>
              <w:jc w:val="center"/>
              <w:rPr>
                <w:rFonts w:ascii="Arial" w:eastAsia="Batang" w:hAnsi="Arial" w:cs="Arial"/>
                <w:color w:val="262626"/>
                <w:sz w:val="18"/>
                <w:szCs w:val="18"/>
                <w:lang w:eastAsia="en-US"/>
              </w:rPr>
            </w:pPr>
            <w:r w:rsidRPr="00325113">
              <w:rPr>
                <w:rFonts w:ascii="Arial" w:eastAsia="Batang" w:hAnsi="Arial" w:cs="Arial"/>
                <w:color w:val="262626"/>
                <w:sz w:val="18"/>
                <w:szCs w:val="18"/>
                <w:lang w:eastAsia="en-US"/>
              </w:rPr>
              <w:t>€000</w:t>
            </w:r>
          </w:p>
        </w:tc>
      </w:tr>
      <w:tr w:rsidR="0056738E" w:rsidRPr="000F2475" w14:paraId="1E41F295" w14:textId="77777777" w:rsidTr="007C2AEE">
        <w:trPr>
          <w:trHeight w:val="255"/>
          <w:jc w:val="center"/>
        </w:trPr>
        <w:tc>
          <w:tcPr>
            <w:tcW w:w="6941" w:type="dxa"/>
            <w:shd w:val="clear" w:color="auto" w:fill="auto"/>
            <w:vAlign w:val="center"/>
          </w:tcPr>
          <w:p w14:paraId="3CFFE638" w14:textId="77777777" w:rsidR="0056738E" w:rsidRPr="00325113" w:rsidRDefault="0056738E" w:rsidP="007C2AEE">
            <w:pPr>
              <w:spacing w:after="0" w:line="240" w:lineRule="auto"/>
              <w:jc w:val="both"/>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Έσοδα από τόκους</w:t>
            </w:r>
          </w:p>
        </w:tc>
        <w:tc>
          <w:tcPr>
            <w:tcW w:w="1559" w:type="dxa"/>
            <w:tcBorders>
              <w:top w:val="single" w:sz="4" w:space="0" w:color="D9D9D9" w:themeColor="background1" w:themeShade="D9"/>
              <w:bottom w:val="single" w:sz="4" w:space="0" w:color="C0C0C0"/>
            </w:tcBorders>
            <w:shd w:val="clear" w:color="auto" w:fill="auto"/>
            <w:vAlign w:val="center"/>
          </w:tcPr>
          <w:p w14:paraId="402FBA80" w14:textId="77777777" w:rsidR="0056738E" w:rsidRPr="001114F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748,840</w:t>
            </w:r>
          </w:p>
        </w:tc>
        <w:tc>
          <w:tcPr>
            <w:tcW w:w="1560" w:type="dxa"/>
            <w:tcBorders>
              <w:top w:val="single" w:sz="4" w:space="0" w:color="D9D9D9" w:themeColor="background1" w:themeShade="D9"/>
              <w:bottom w:val="single" w:sz="4" w:space="0" w:color="C0C0C0"/>
            </w:tcBorders>
            <w:shd w:val="clear" w:color="auto" w:fill="auto"/>
            <w:vAlign w:val="center"/>
          </w:tcPr>
          <w:p w14:paraId="02129745" w14:textId="77777777" w:rsidR="0056738E" w:rsidRPr="00D16F52" w:rsidRDefault="0056738E" w:rsidP="007C2AEE">
            <w:pPr>
              <w:tabs>
                <w:tab w:val="left" w:pos="0"/>
                <w:tab w:val="left" w:pos="282"/>
                <w:tab w:val="left" w:pos="720"/>
              </w:tabs>
              <w:suppressAutoHyphens/>
              <w:spacing w:after="0" w:line="240" w:lineRule="auto"/>
              <w:jc w:val="right"/>
              <w:rPr>
                <w:rFonts w:ascii="Arial" w:eastAsia="Batang" w:hAnsi="Arial" w:cs="Arial"/>
                <w:bCs/>
                <w:color w:val="262626"/>
                <w:sz w:val="18"/>
                <w:szCs w:val="18"/>
                <w:lang w:val="el-GR" w:eastAsia="en-US"/>
              </w:rPr>
            </w:pPr>
            <w:r w:rsidRPr="00E81940">
              <w:rPr>
                <w:rFonts w:ascii="Arial" w:eastAsia="Batang" w:hAnsi="Arial" w:cs="Arial"/>
                <w:color w:val="262626"/>
                <w:sz w:val="18"/>
                <w:szCs w:val="18"/>
                <w:lang w:eastAsia="en-US"/>
              </w:rPr>
              <w:t>654,637</w:t>
            </w:r>
          </w:p>
        </w:tc>
      </w:tr>
      <w:tr w:rsidR="0056738E" w:rsidRPr="000A3197" w14:paraId="161F00D2" w14:textId="77777777" w:rsidTr="007C2AEE">
        <w:trPr>
          <w:trHeight w:val="255"/>
          <w:jc w:val="center"/>
        </w:trPr>
        <w:tc>
          <w:tcPr>
            <w:tcW w:w="6941" w:type="dxa"/>
            <w:shd w:val="clear" w:color="auto" w:fill="auto"/>
            <w:vAlign w:val="center"/>
          </w:tcPr>
          <w:p w14:paraId="630400AA" w14:textId="77777777" w:rsidR="0056738E" w:rsidRPr="00325113" w:rsidRDefault="0056738E" w:rsidP="007C2AEE">
            <w:pPr>
              <w:spacing w:after="0" w:line="240" w:lineRule="auto"/>
              <w:jc w:val="both"/>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Έσοδα παρόμοια με έσοδα από τόκους</w:t>
            </w:r>
          </w:p>
        </w:tc>
        <w:tc>
          <w:tcPr>
            <w:tcW w:w="1559" w:type="dxa"/>
            <w:tcBorders>
              <w:top w:val="single" w:sz="4" w:space="0" w:color="C0C0C0"/>
              <w:bottom w:val="single" w:sz="4" w:space="0" w:color="C0C0C0"/>
            </w:tcBorders>
            <w:shd w:val="clear" w:color="auto" w:fill="auto"/>
            <w:vAlign w:val="center"/>
          </w:tcPr>
          <w:p w14:paraId="2B9A75FE" w14:textId="77777777" w:rsidR="0056738E" w:rsidRPr="00EA064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111,140</w:t>
            </w:r>
          </w:p>
        </w:tc>
        <w:tc>
          <w:tcPr>
            <w:tcW w:w="1560" w:type="dxa"/>
            <w:tcBorders>
              <w:top w:val="single" w:sz="4" w:space="0" w:color="C0C0C0"/>
              <w:bottom w:val="single" w:sz="4" w:space="0" w:color="C0C0C0"/>
            </w:tcBorders>
            <w:shd w:val="clear" w:color="auto" w:fill="auto"/>
            <w:vAlign w:val="center"/>
          </w:tcPr>
          <w:p w14:paraId="5FAD4AE4"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43,294</w:t>
            </w:r>
          </w:p>
        </w:tc>
      </w:tr>
      <w:tr w:rsidR="0056738E" w:rsidRPr="000F2475" w14:paraId="5A830915" w14:textId="77777777" w:rsidTr="007C2AEE">
        <w:trPr>
          <w:trHeight w:val="255"/>
          <w:jc w:val="center"/>
        </w:trPr>
        <w:tc>
          <w:tcPr>
            <w:tcW w:w="6941" w:type="dxa"/>
            <w:shd w:val="clear" w:color="auto" w:fill="auto"/>
            <w:vAlign w:val="center"/>
          </w:tcPr>
          <w:p w14:paraId="3E6F32A9" w14:textId="77777777" w:rsidR="0056738E" w:rsidRPr="00325113" w:rsidRDefault="0056738E" w:rsidP="007C2AEE">
            <w:pPr>
              <w:spacing w:after="0" w:line="240" w:lineRule="auto"/>
              <w:jc w:val="both"/>
              <w:rPr>
                <w:rFonts w:ascii="Arial" w:eastAsia="Batang" w:hAnsi="Arial" w:cs="Arial"/>
                <w:color w:val="262626"/>
                <w:sz w:val="18"/>
                <w:szCs w:val="18"/>
                <w:lang w:eastAsia="en-US"/>
              </w:rPr>
            </w:pPr>
            <w:r w:rsidRPr="00325113">
              <w:rPr>
                <w:rFonts w:ascii="Arial" w:eastAsia="Batang" w:hAnsi="Arial" w:cs="Arial"/>
                <w:color w:val="262626"/>
                <w:sz w:val="18"/>
                <w:szCs w:val="18"/>
                <w:lang w:val="el-GR" w:eastAsia="en-US"/>
              </w:rPr>
              <w:t>Έξοδα από τόκους</w:t>
            </w:r>
            <w:r w:rsidRPr="00325113">
              <w:rPr>
                <w:rFonts w:ascii="Arial" w:eastAsia="Batang" w:hAnsi="Arial" w:cs="Arial"/>
                <w:color w:val="262626"/>
                <w:sz w:val="18"/>
                <w:szCs w:val="18"/>
                <w:lang w:eastAsia="en-US"/>
              </w:rPr>
              <w:t xml:space="preserve">  </w:t>
            </w:r>
          </w:p>
        </w:tc>
        <w:tc>
          <w:tcPr>
            <w:tcW w:w="1559" w:type="dxa"/>
            <w:tcBorders>
              <w:bottom w:val="single" w:sz="4" w:space="0" w:color="C0C0C0"/>
            </w:tcBorders>
            <w:shd w:val="clear" w:color="auto" w:fill="auto"/>
            <w:vAlign w:val="center"/>
          </w:tcPr>
          <w:p w14:paraId="4AF743FA" w14:textId="77777777" w:rsidR="0056738E" w:rsidRPr="001114F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(126,237)</w:t>
            </w:r>
          </w:p>
        </w:tc>
        <w:tc>
          <w:tcPr>
            <w:tcW w:w="1560" w:type="dxa"/>
            <w:tcBorders>
              <w:bottom w:val="single" w:sz="4" w:space="0" w:color="C0C0C0"/>
            </w:tcBorders>
            <w:shd w:val="clear" w:color="auto" w:fill="auto"/>
            <w:vAlign w:val="center"/>
          </w:tcPr>
          <w:p w14:paraId="0AF7ABB6"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(97,983)</w:t>
            </w:r>
          </w:p>
        </w:tc>
      </w:tr>
      <w:tr w:rsidR="0056738E" w:rsidRPr="000A3197" w14:paraId="07382528" w14:textId="77777777" w:rsidTr="007C2AEE">
        <w:trPr>
          <w:trHeight w:val="255"/>
          <w:jc w:val="center"/>
        </w:trPr>
        <w:tc>
          <w:tcPr>
            <w:tcW w:w="6941" w:type="dxa"/>
            <w:shd w:val="clear" w:color="auto" w:fill="auto"/>
            <w:vAlign w:val="center"/>
          </w:tcPr>
          <w:p w14:paraId="70004BA9" w14:textId="77777777" w:rsidR="0056738E" w:rsidRPr="00325113" w:rsidRDefault="0056738E" w:rsidP="007C2AEE">
            <w:pPr>
              <w:spacing w:after="0" w:line="240" w:lineRule="auto"/>
              <w:jc w:val="both"/>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Έξοδα παρόμοια με έξοδα από τόκους</w:t>
            </w:r>
          </w:p>
        </w:tc>
        <w:tc>
          <w:tcPr>
            <w:tcW w:w="1559" w:type="dxa"/>
            <w:tcBorders>
              <w:top w:val="single" w:sz="4" w:space="0" w:color="C0C0C0"/>
              <w:bottom w:val="single" w:sz="6" w:space="0" w:color="000000" w:themeColor="text1"/>
            </w:tcBorders>
            <w:shd w:val="clear" w:color="auto" w:fill="auto"/>
            <w:vAlign w:val="center"/>
          </w:tcPr>
          <w:p w14:paraId="566374D9" w14:textId="77777777" w:rsidR="0056738E" w:rsidRPr="00EA064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(110,167)</w:t>
            </w:r>
          </w:p>
        </w:tc>
        <w:tc>
          <w:tcPr>
            <w:tcW w:w="1560" w:type="dxa"/>
            <w:tcBorders>
              <w:top w:val="single" w:sz="4" w:space="0" w:color="C0C0C0"/>
              <w:bottom w:val="single" w:sz="6" w:space="0" w:color="000000" w:themeColor="text1"/>
            </w:tcBorders>
            <w:shd w:val="clear" w:color="auto" w:fill="auto"/>
            <w:vAlign w:val="center"/>
          </w:tcPr>
          <w:p w14:paraId="40869CBF"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(27,784)</w:t>
            </w:r>
          </w:p>
        </w:tc>
      </w:tr>
      <w:tr w:rsidR="0056738E" w:rsidRPr="000F2475" w14:paraId="49C431C1" w14:textId="77777777" w:rsidTr="007C2AEE">
        <w:trPr>
          <w:trHeight w:val="255"/>
          <w:jc w:val="center"/>
        </w:trPr>
        <w:tc>
          <w:tcPr>
            <w:tcW w:w="6941" w:type="dxa"/>
            <w:shd w:val="clear" w:color="auto" w:fill="auto"/>
            <w:vAlign w:val="center"/>
          </w:tcPr>
          <w:p w14:paraId="0FF613E0" w14:textId="77777777" w:rsidR="0056738E" w:rsidRPr="008F4486" w:rsidRDefault="0056738E" w:rsidP="007C2AEE">
            <w:pPr>
              <w:spacing w:after="0" w:line="240" w:lineRule="auto"/>
              <w:jc w:val="both"/>
              <w:rPr>
                <w:rFonts w:ascii="Arial" w:eastAsia="Batang" w:hAnsi="Arial" w:cs="Arial"/>
                <w:i/>
                <w:iCs/>
                <w:color w:val="262626"/>
                <w:sz w:val="18"/>
                <w:szCs w:val="18"/>
                <w:lang w:val="el-GR" w:eastAsia="en-US"/>
              </w:rPr>
            </w:pPr>
            <w:r w:rsidRPr="008F4486">
              <w:rPr>
                <w:rFonts w:ascii="Arial" w:eastAsia="Batang" w:hAnsi="Arial" w:cs="Arial"/>
                <w:i/>
                <w:iCs/>
                <w:color w:val="262626"/>
                <w:sz w:val="18"/>
                <w:szCs w:val="18"/>
                <w:lang w:val="el-GR" w:eastAsia="en-US"/>
              </w:rPr>
              <w:t>Καθαρά έσοδα από τόκους</w:t>
            </w:r>
          </w:p>
        </w:tc>
        <w:tc>
          <w:tcPr>
            <w:tcW w:w="1559" w:type="dxa"/>
            <w:tcBorders>
              <w:top w:val="single" w:sz="6" w:space="0" w:color="000000" w:themeColor="text1"/>
            </w:tcBorders>
            <w:shd w:val="clear" w:color="auto" w:fill="auto"/>
            <w:vAlign w:val="center"/>
          </w:tcPr>
          <w:p w14:paraId="6E652F85" w14:textId="77777777" w:rsidR="0056738E" w:rsidRPr="001114F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623,576</w:t>
            </w:r>
          </w:p>
        </w:tc>
        <w:tc>
          <w:tcPr>
            <w:tcW w:w="1560" w:type="dxa"/>
            <w:tcBorders>
              <w:top w:val="single" w:sz="6" w:space="0" w:color="000000" w:themeColor="text1"/>
            </w:tcBorders>
            <w:shd w:val="clear" w:color="auto" w:fill="auto"/>
            <w:vAlign w:val="center"/>
          </w:tcPr>
          <w:p w14:paraId="3ADCF588"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eastAsia="en-US"/>
              </w:rPr>
            </w:pPr>
            <w:r w:rsidRPr="00E81940">
              <w:rPr>
                <w:rFonts w:ascii="Arial" w:eastAsia="Batang" w:hAnsi="Arial" w:cs="Arial"/>
                <w:color w:val="262626"/>
                <w:sz w:val="18"/>
                <w:szCs w:val="18"/>
                <w:lang w:eastAsia="en-US"/>
              </w:rPr>
              <w:t>572,164</w:t>
            </w:r>
          </w:p>
        </w:tc>
      </w:tr>
      <w:tr w:rsidR="0056738E" w:rsidRPr="000A3197" w14:paraId="3D310F79" w14:textId="77777777" w:rsidTr="007C2AEE">
        <w:trPr>
          <w:trHeight w:val="255"/>
          <w:jc w:val="center"/>
        </w:trPr>
        <w:tc>
          <w:tcPr>
            <w:tcW w:w="6941" w:type="dxa"/>
            <w:shd w:val="clear" w:color="auto" w:fill="auto"/>
            <w:vAlign w:val="center"/>
          </w:tcPr>
          <w:p w14:paraId="06B5A0AB" w14:textId="77777777" w:rsidR="0056738E" w:rsidRPr="00325113" w:rsidRDefault="0056738E" w:rsidP="007C2AEE">
            <w:pPr>
              <w:spacing w:after="0" w:line="240" w:lineRule="auto"/>
              <w:jc w:val="both"/>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Έσοδα από αμοιβές και προμήθειες</w:t>
            </w:r>
          </w:p>
        </w:tc>
        <w:tc>
          <w:tcPr>
            <w:tcW w:w="1559" w:type="dxa"/>
            <w:shd w:val="clear" w:color="auto" w:fill="auto"/>
            <w:vAlign w:val="center"/>
          </w:tcPr>
          <w:p w14:paraId="00E174A6" w14:textId="77777777" w:rsidR="0056738E" w:rsidRPr="00EA064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136,302</w:t>
            </w:r>
          </w:p>
        </w:tc>
        <w:tc>
          <w:tcPr>
            <w:tcW w:w="1560" w:type="dxa"/>
            <w:shd w:val="clear" w:color="auto" w:fill="auto"/>
            <w:vAlign w:val="center"/>
          </w:tcPr>
          <w:p w14:paraId="6444C471"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139,854</w:t>
            </w:r>
          </w:p>
        </w:tc>
      </w:tr>
      <w:tr w:rsidR="0056738E" w:rsidRPr="000A3197" w14:paraId="1DFF1360" w14:textId="77777777" w:rsidTr="007C2AEE">
        <w:trPr>
          <w:trHeight w:val="255"/>
          <w:jc w:val="center"/>
        </w:trPr>
        <w:tc>
          <w:tcPr>
            <w:tcW w:w="6941" w:type="dxa"/>
            <w:shd w:val="clear" w:color="auto" w:fill="auto"/>
            <w:vAlign w:val="center"/>
          </w:tcPr>
          <w:p w14:paraId="1E2B73E5" w14:textId="77777777" w:rsidR="0056738E" w:rsidRPr="00325113" w:rsidRDefault="0056738E" w:rsidP="007C2AEE">
            <w:pPr>
              <w:spacing w:after="0" w:line="240" w:lineRule="auto"/>
              <w:jc w:val="both"/>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Έξοδα από αμοιβές και προμήθειες</w:t>
            </w:r>
          </w:p>
        </w:tc>
        <w:tc>
          <w:tcPr>
            <w:tcW w:w="1559" w:type="dxa"/>
            <w:shd w:val="clear" w:color="auto" w:fill="auto"/>
            <w:vAlign w:val="center"/>
          </w:tcPr>
          <w:p w14:paraId="0409D0FE" w14:textId="77777777" w:rsidR="0056738E" w:rsidRPr="00EA064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(5,642)</w:t>
            </w:r>
          </w:p>
        </w:tc>
        <w:tc>
          <w:tcPr>
            <w:tcW w:w="1560" w:type="dxa"/>
            <w:shd w:val="clear" w:color="auto" w:fill="auto"/>
            <w:vAlign w:val="center"/>
          </w:tcPr>
          <w:p w14:paraId="07A3479D"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(5,336)</w:t>
            </w:r>
          </w:p>
        </w:tc>
      </w:tr>
      <w:tr w:rsidR="0056738E" w:rsidRPr="000A3197" w14:paraId="3CDB26E9" w14:textId="77777777" w:rsidTr="007C2AEE">
        <w:trPr>
          <w:trHeight w:val="255"/>
          <w:jc w:val="center"/>
        </w:trPr>
        <w:tc>
          <w:tcPr>
            <w:tcW w:w="6941" w:type="dxa"/>
            <w:shd w:val="clear" w:color="auto" w:fill="auto"/>
            <w:vAlign w:val="center"/>
          </w:tcPr>
          <w:p w14:paraId="5D970C56" w14:textId="77777777" w:rsidR="0056738E" w:rsidRPr="00325113" w:rsidRDefault="0056738E" w:rsidP="007C2AEE">
            <w:pPr>
              <w:spacing w:after="0" w:line="240" w:lineRule="auto"/>
              <w:jc w:val="both"/>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Καθαρά κέρδη από διαπραγμάτευση συναλλάγματος</w:t>
            </w:r>
          </w:p>
        </w:tc>
        <w:tc>
          <w:tcPr>
            <w:tcW w:w="1559" w:type="dxa"/>
            <w:shd w:val="clear" w:color="auto" w:fill="auto"/>
            <w:vAlign w:val="center"/>
          </w:tcPr>
          <w:p w14:paraId="06C11D81" w14:textId="77777777" w:rsidR="0056738E" w:rsidRPr="00EA064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19,954</w:t>
            </w:r>
          </w:p>
        </w:tc>
        <w:tc>
          <w:tcPr>
            <w:tcW w:w="1560" w:type="dxa"/>
            <w:shd w:val="clear" w:color="auto" w:fill="auto"/>
            <w:vAlign w:val="center"/>
          </w:tcPr>
          <w:p w14:paraId="3995A4AC"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22,506</w:t>
            </w:r>
          </w:p>
        </w:tc>
      </w:tr>
      <w:tr w:rsidR="0056738E" w:rsidRPr="000A3197" w14:paraId="5AC0D469" w14:textId="77777777" w:rsidTr="007C2AEE">
        <w:trPr>
          <w:trHeight w:val="255"/>
          <w:jc w:val="center"/>
        </w:trPr>
        <w:tc>
          <w:tcPr>
            <w:tcW w:w="6941" w:type="dxa"/>
            <w:shd w:val="clear" w:color="auto" w:fill="auto"/>
            <w:vAlign w:val="center"/>
          </w:tcPr>
          <w:p w14:paraId="3E709CF9" w14:textId="77777777" w:rsidR="0056738E" w:rsidRPr="00325113" w:rsidRDefault="0056738E" w:rsidP="007C2AEE">
            <w:pPr>
              <w:spacing w:after="0" w:line="240" w:lineRule="auto"/>
              <w:jc w:val="both"/>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Καθαρ</w:t>
            </w:r>
            <w:r>
              <w:rPr>
                <w:rFonts w:ascii="Arial" w:eastAsia="Batang" w:hAnsi="Arial" w:cs="Arial"/>
                <w:color w:val="262626"/>
                <w:sz w:val="18"/>
                <w:szCs w:val="18"/>
                <w:lang w:val="el-GR" w:eastAsia="en-US"/>
              </w:rPr>
              <w:t>ά κέρδη</w:t>
            </w:r>
            <w:r w:rsidRPr="00325113">
              <w:rPr>
                <w:rFonts w:ascii="Arial" w:eastAsia="Batang" w:hAnsi="Arial" w:cs="Arial"/>
                <w:color w:val="262626"/>
                <w:sz w:val="18"/>
                <w:szCs w:val="18"/>
                <w:lang w:val="el-GR" w:eastAsia="en-US"/>
              </w:rPr>
              <w:t xml:space="preserve"> από χρηματοοικονομικά μέσα </w:t>
            </w:r>
          </w:p>
        </w:tc>
        <w:tc>
          <w:tcPr>
            <w:tcW w:w="1559" w:type="dxa"/>
            <w:shd w:val="clear" w:color="auto" w:fill="FFFFFF" w:themeFill="background1"/>
            <w:vAlign w:val="center"/>
          </w:tcPr>
          <w:p w14:paraId="0142DE9E" w14:textId="77777777" w:rsidR="0056738E" w:rsidRPr="00542641"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sidRPr="00E81940">
              <w:rPr>
                <w:rFonts w:ascii="Arial" w:eastAsia="Batang" w:hAnsi="Arial" w:cs="Arial"/>
                <w:b/>
                <w:bCs/>
                <w:color w:val="262626"/>
                <w:sz w:val="18"/>
                <w:szCs w:val="18"/>
                <w:lang w:eastAsia="en-US"/>
              </w:rPr>
              <w:t>8,58</w:t>
            </w:r>
            <w:r>
              <w:rPr>
                <w:rFonts w:ascii="Arial" w:eastAsia="Batang" w:hAnsi="Arial" w:cs="Arial"/>
                <w:b/>
                <w:bCs/>
                <w:color w:val="262626"/>
                <w:sz w:val="18"/>
                <w:szCs w:val="18"/>
                <w:lang w:eastAsia="en-US"/>
              </w:rPr>
              <w:t>6</w:t>
            </w:r>
          </w:p>
        </w:tc>
        <w:tc>
          <w:tcPr>
            <w:tcW w:w="1560" w:type="dxa"/>
            <w:shd w:val="clear" w:color="auto" w:fill="FFFFFF" w:themeFill="background1"/>
            <w:vAlign w:val="center"/>
          </w:tcPr>
          <w:p w14:paraId="7D6304EC"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6,346</w:t>
            </w:r>
          </w:p>
        </w:tc>
      </w:tr>
      <w:tr w:rsidR="0056738E" w:rsidRPr="000A3197" w14:paraId="58DB461D" w14:textId="77777777" w:rsidTr="007C2AEE">
        <w:trPr>
          <w:trHeight w:val="255"/>
          <w:jc w:val="center"/>
        </w:trPr>
        <w:tc>
          <w:tcPr>
            <w:tcW w:w="6941" w:type="dxa"/>
            <w:shd w:val="clear" w:color="auto" w:fill="auto"/>
            <w:vAlign w:val="center"/>
          </w:tcPr>
          <w:p w14:paraId="32A19D22" w14:textId="77777777" w:rsidR="0056738E" w:rsidRPr="00325113" w:rsidRDefault="0056738E" w:rsidP="007C2AEE">
            <w:pPr>
              <w:spacing w:after="0" w:line="240" w:lineRule="auto"/>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Καθαρ</w:t>
            </w:r>
            <w:r>
              <w:rPr>
                <w:rFonts w:ascii="Arial" w:eastAsia="Batang" w:hAnsi="Arial" w:cs="Arial"/>
                <w:color w:val="262626"/>
                <w:sz w:val="18"/>
                <w:szCs w:val="18"/>
                <w:lang w:val="el-GR" w:eastAsia="en-US"/>
              </w:rPr>
              <w:t xml:space="preserve">ά </w:t>
            </w:r>
            <w:r w:rsidRPr="00325113">
              <w:rPr>
                <w:rFonts w:ascii="Arial" w:eastAsia="Batang" w:hAnsi="Arial" w:cs="Arial"/>
                <w:color w:val="262626"/>
                <w:sz w:val="18"/>
                <w:szCs w:val="18"/>
                <w:lang w:val="el-GR" w:eastAsia="en-US"/>
              </w:rPr>
              <w:t>κέρδη</w:t>
            </w:r>
            <w:r w:rsidRPr="00CD75B6">
              <w:rPr>
                <w:rFonts w:ascii="Arial" w:eastAsia="Batang" w:hAnsi="Arial" w:cs="Arial"/>
                <w:color w:val="262626"/>
                <w:sz w:val="18"/>
                <w:szCs w:val="18"/>
                <w:lang w:val="el-GR" w:eastAsia="en-US"/>
              </w:rPr>
              <w:t xml:space="preserve"> </w:t>
            </w:r>
            <w:r w:rsidRPr="00325113">
              <w:rPr>
                <w:rFonts w:ascii="Arial" w:eastAsia="Batang" w:hAnsi="Arial" w:cs="Arial"/>
                <w:color w:val="262626"/>
                <w:sz w:val="18"/>
                <w:szCs w:val="18"/>
                <w:lang w:val="el-GR" w:eastAsia="en-US"/>
              </w:rPr>
              <w:t xml:space="preserve">από </w:t>
            </w:r>
            <w:proofErr w:type="spellStart"/>
            <w:r w:rsidRPr="00325113">
              <w:rPr>
                <w:rFonts w:ascii="Arial" w:eastAsia="Batang" w:hAnsi="Arial" w:cs="Arial"/>
                <w:color w:val="262626"/>
                <w:sz w:val="18"/>
                <w:szCs w:val="18"/>
                <w:lang w:val="el-GR" w:eastAsia="en-US"/>
              </w:rPr>
              <w:t>αποαναγνώριση</w:t>
            </w:r>
            <w:proofErr w:type="spellEnd"/>
            <w:r w:rsidRPr="00325113">
              <w:rPr>
                <w:rFonts w:ascii="Arial" w:eastAsia="Batang" w:hAnsi="Arial" w:cs="Arial"/>
                <w:color w:val="262626"/>
                <w:sz w:val="18"/>
                <w:szCs w:val="18"/>
                <w:lang w:val="el-GR" w:eastAsia="en-US"/>
              </w:rPr>
              <w:t xml:space="preserve"> χρηματοοικονομικών περιουσιακών στοιχείων που επιμετρούνται σε αποσβεσμένο κόστος</w:t>
            </w:r>
          </w:p>
        </w:tc>
        <w:tc>
          <w:tcPr>
            <w:tcW w:w="1559" w:type="dxa"/>
            <w:shd w:val="clear" w:color="auto" w:fill="FFFFFF" w:themeFill="background1"/>
            <w:vAlign w:val="center"/>
          </w:tcPr>
          <w:p w14:paraId="7D15E4C9" w14:textId="77777777" w:rsidR="0056738E" w:rsidRPr="00542641"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493</w:t>
            </w:r>
          </w:p>
        </w:tc>
        <w:tc>
          <w:tcPr>
            <w:tcW w:w="1560" w:type="dxa"/>
            <w:shd w:val="clear" w:color="auto" w:fill="FFFFFF" w:themeFill="background1"/>
            <w:vAlign w:val="center"/>
          </w:tcPr>
          <w:p w14:paraId="4BF6DF24"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6,265</w:t>
            </w:r>
          </w:p>
        </w:tc>
      </w:tr>
      <w:tr w:rsidR="0056738E" w:rsidRPr="000A3197" w14:paraId="10ECA917" w14:textId="77777777" w:rsidTr="007C2AEE">
        <w:trPr>
          <w:trHeight w:val="255"/>
          <w:jc w:val="center"/>
        </w:trPr>
        <w:tc>
          <w:tcPr>
            <w:tcW w:w="6941" w:type="dxa"/>
            <w:vAlign w:val="center"/>
          </w:tcPr>
          <w:p w14:paraId="6F1D9ECC" w14:textId="77777777" w:rsidR="0056738E" w:rsidRPr="00AE0829" w:rsidDel="00312F39" w:rsidRDefault="0056738E" w:rsidP="007C2AEE">
            <w:pPr>
              <w:spacing w:after="0" w:line="240" w:lineRule="auto"/>
              <w:rPr>
                <w:rFonts w:ascii="Arial" w:eastAsia="Batang" w:hAnsi="Arial" w:cs="Arial"/>
                <w:color w:val="262626"/>
                <w:sz w:val="18"/>
                <w:szCs w:val="18"/>
                <w:lang w:val="el-GR" w:eastAsia="en-US"/>
              </w:rPr>
            </w:pPr>
            <w:r w:rsidRPr="00AE0829">
              <w:rPr>
                <w:rFonts w:ascii="Arial" w:eastAsia="Batang" w:hAnsi="Arial" w:cs="Arial"/>
                <w:color w:val="262626"/>
                <w:sz w:val="18"/>
                <w:szCs w:val="18"/>
                <w:lang w:val="el-GR" w:eastAsia="en-US"/>
              </w:rPr>
              <w:t>Καθαρά χρηματοοικονομικά έσοδα/(έξοδα) ασφάλισης και καθαρά χρηματοοικονομικά έσοδα/(έξοδα) αντασφάλισης</w:t>
            </w:r>
          </w:p>
        </w:tc>
        <w:tc>
          <w:tcPr>
            <w:tcW w:w="1559" w:type="dxa"/>
            <w:shd w:val="clear" w:color="auto" w:fill="FFFFFF" w:themeFill="background1"/>
            <w:vAlign w:val="center"/>
          </w:tcPr>
          <w:p w14:paraId="5E61F743" w14:textId="77777777" w:rsidR="0056738E" w:rsidRPr="00041815" w:rsidDel="00100BE5"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(565)</w:t>
            </w:r>
          </w:p>
        </w:tc>
        <w:tc>
          <w:tcPr>
            <w:tcW w:w="1560" w:type="dxa"/>
            <w:shd w:val="clear" w:color="auto" w:fill="FFFFFF" w:themeFill="background1"/>
            <w:vAlign w:val="center"/>
          </w:tcPr>
          <w:p w14:paraId="6F57A89E" w14:textId="77777777" w:rsidR="0056738E" w:rsidRPr="0004181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1,281</w:t>
            </w:r>
          </w:p>
        </w:tc>
      </w:tr>
      <w:tr w:rsidR="0056738E" w:rsidRPr="000A3197" w14:paraId="4BF908E0" w14:textId="77777777" w:rsidTr="007C2AEE">
        <w:trPr>
          <w:trHeight w:val="255"/>
          <w:jc w:val="center"/>
        </w:trPr>
        <w:tc>
          <w:tcPr>
            <w:tcW w:w="6941" w:type="dxa"/>
            <w:vAlign w:val="center"/>
          </w:tcPr>
          <w:p w14:paraId="621F9C36" w14:textId="77777777" w:rsidR="0056738E" w:rsidRPr="00AE0829" w:rsidRDefault="0056738E" w:rsidP="007C2AEE">
            <w:pPr>
              <w:spacing w:after="0" w:line="240" w:lineRule="auto"/>
              <w:jc w:val="both"/>
              <w:rPr>
                <w:rFonts w:ascii="Arial" w:eastAsia="Batang" w:hAnsi="Arial" w:cs="Arial"/>
                <w:color w:val="262626"/>
                <w:sz w:val="18"/>
                <w:szCs w:val="18"/>
                <w:lang w:val="el-GR" w:eastAsia="en-US"/>
              </w:rPr>
            </w:pPr>
            <w:r w:rsidRPr="00AE0829">
              <w:rPr>
                <w:rFonts w:ascii="Arial" w:eastAsia="Batang" w:hAnsi="Arial" w:cs="Arial"/>
                <w:color w:val="262626"/>
                <w:sz w:val="18"/>
                <w:szCs w:val="18"/>
                <w:lang w:val="el-GR" w:eastAsia="en-US"/>
              </w:rPr>
              <w:t xml:space="preserve">Καθαρά αποτελέσματα </w:t>
            </w:r>
            <w:r>
              <w:rPr>
                <w:rFonts w:ascii="Arial" w:eastAsia="Batang" w:hAnsi="Arial" w:cs="Arial"/>
                <w:color w:val="262626"/>
                <w:sz w:val="18"/>
                <w:szCs w:val="18"/>
                <w:lang w:val="el-GR" w:eastAsia="en-US"/>
              </w:rPr>
              <w:t xml:space="preserve">από ασφαλιστικές </w:t>
            </w:r>
            <w:r w:rsidRPr="00AE0829">
              <w:rPr>
                <w:rFonts w:ascii="Arial" w:eastAsia="Batang" w:hAnsi="Arial" w:cs="Arial"/>
                <w:color w:val="262626"/>
                <w:sz w:val="18"/>
                <w:szCs w:val="18"/>
                <w:lang w:val="el-GR" w:eastAsia="en-US"/>
              </w:rPr>
              <w:t>υπηρεσ</w:t>
            </w:r>
            <w:r>
              <w:rPr>
                <w:rFonts w:ascii="Arial" w:eastAsia="Batang" w:hAnsi="Arial" w:cs="Arial"/>
                <w:color w:val="262626"/>
                <w:sz w:val="18"/>
                <w:szCs w:val="18"/>
                <w:lang w:val="el-GR" w:eastAsia="en-US"/>
              </w:rPr>
              <w:t>ίες</w:t>
            </w:r>
          </w:p>
        </w:tc>
        <w:tc>
          <w:tcPr>
            <w:tcW w:w="1559" w:type="dxa"/>
            <w:shd w:val="clear" w:color="auto" w:fill="FFFFFF" w:themeFill="background1"/>
            <w:vAlign w:val="center"/>
          </w:tcPr>
          <w:p w14:paraId="71B8C10B" w14:textId="77777777" w:rsidR="0056738E" w:rsidRPr="00542641"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55,576</w:t>
            </w:r>
          </w:p>
        </w:tc>
        <w:tc>
          <w:tcPr>
            <w:tcW w:w="1560" w:type="dxa"/>
            <w:shd w:val="clear" w:color="auto" w:fill="FFFFFF" w:themeFill="background1"/>
            <w:vAlign w:val="center"/>
          </w:tcPr>
          <w:p w14:paraId="57D2C5BF" w14:textId="77777777" w:rsidR="0056738E" w:rsidRPr="008F4486"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51,445</w:t>
            </w:r>
          </w:p>
        </w:tc>
      </w:tr>
      <w:tr w:rsidR="0056738E" w:rsidRPr="000A3197" w14:paraId="36B3D969" w14:textId="77777777" w:rsidTr="007C2AEE">
        <w:trPr>
          <w:trHeight w:val="255"/>
          <w:jc w:val="center"/>
        </w:trPr>
        <w:tc>
          <w:tcPr>
            <w:tcW w:w="6941" w:type="dxa"/>
            <w:vAlign w:val="center"/>
          </w:tcPr>
          <w:p w14:paraId="2BD66712" w14:textId="77777777" w:rsidR="0056738E" w:rsidRPr="00AE0829" w:rsidRDefault="0056738E" w:rsidP="007C2AEE">
            <w:pPr>
              <w:spacing w:after="0" w:line="240" w:lineRule="auto"/>
              <w:jc w:val="both"/>
              <w:rPr>
                <w:rFonts w:ascii="Arial" w:eastAsia="Batang" w:hAnsi="Arial" w:cs="Arial"/>
                <w:color w:val="262626"/>
                <w:sz w:val="18"/>
                <w:szCs w:val="18"/>
                <w:lang w:val="el-GR" w:eastAsia="en-US"/>
              </w:rPr>
            </w:pPr>
            <w:r w:rsidRPr="00AE0829">
              <w:rPr>
                <w:rFonts w:ascii="Arial" w:eastAsia="Batang" w:hAnsi="Arial" w:cs="Arial"/>
                <w:color w:val="262626"/>
                <w:sz w:val="18"/>
                <w:szCs w:val="18"/>
                <w:lang w:val="el-GR" w:eastAsia="en-US"/>
              </w:rPr>
              <w:t xml:space="preserve">Καθαρά αποτελέσματα </w:t>
            </w:r>
            <w:r>
              <w:rPr>
                <w:rFonts w:ascii="Arial" w:eastAsia="Batang" w:hAnsi="Arial" w:cs="Arial"/>
                <w:color w:val="262626"/>
                <w:sz w:val="18"/>
                <w:szCs w:val="18"/>
                <w:lang w:val="el-GR" w:eastAsia="en-US"/>
              </w:rPr>
              <w:t xml:space="preserve">από </w:t>
            </w:r>
            <w:proofErr w:type="spellStart"/>
            <w:r>
              <w:rPr>
                <w:rFonts w:ascii="Arial" w:eastAsia="Batang" w:hAnsi="Arial" w:cs="Arial"/>
                <w:color w:val="262626"/>
                <w:sz w:val="18"/>
                <w:szCs w:val="18"/>
                <w:lang w:val="el-GR" w:eastAsia="en-US"/>
              </w:rPr>
              <w:t>αντασφαλιστικές</w:t>
            </w:r>
            <w:proofErr w:type="spellEnd"/>
            <w:r>
              <w:rPr>
                <w:rFonts w:ascii="Arial" w:eastAsia="Batang" w:hAnsi="Arial" w:cs="Arial"/>
                <w:color w:val="262626"/>
                <w:sz w:val="18"/>
                <w:szCs w:val="18"/>
                <w:lang w:val="el-GR" w:eastAsia="en-US"/>
              </w:rPr>
              <w:t xml:space="preserve"> </w:t>
            </w:r>
            <w:r w:rsidRPr="00AE0829">
              <w:rPr>
                <w:rFonts w:ascii="Arial" w:eastAsia="Batang" w:hAnsi="Arial" w:cs="Arial"/>
                <w:color w:val="262626"/>
                <w:sz w:val="18"/>
                <w:szCs w:val="18"/>
                <w:lang w:val="el-GR" w:eastAsia="en-US"/>
              </w:rPr>
              <w:t>υπηρεσ</w:t>
            </w:r>
            <w:r>
              <w:rPr>
                <w:rFonts w:ascii="Arial" w:eastAsia="Batang" w:hAnsi="Arial" w:cs="Arial"/>
                <w:color w:val="262626"/>
                <w:sz w:val="18"/>
                <w:szCs w:val="18"/>
                <w:lang w:val="el-GR" w:eastAsia="en-US"/>
              </w:rPr>
              <w:t>ίες</w:t>
            </w:r>
          </w:p>
        </w:tc>
        <w:tc>
          <w:tcPr>
            <w:tcW w:w="1559" w:type="dxa"/>
            <w:shd w:val="clear" w:color="auto" w:fill="FFFFFF" w:themeFill="background1"/>
            <w:vAlign w:val="center"/>
          </w:tcPr>
          <w:p w14:paraId="5B3CF461" w14:textId="77777777" w:rsidR="0056738E" w:rsidRPr="00542641"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(20,064)</w:t>
            </w:r>
          </w:p>
        </w:tc>
        <w:tc>
          <w:tcPr>
            <w:tcW w:w="1560" w:type="dxa"/>
            <w:shd w:val="clear" w:color="auto" w:fill="FFFFFF" w:themeFill="background1"/>
            <w:vAlign w:val="center"/>
          </w:tcPr>
          <w:p w14:paraId="4C781B15" w14:textId="77777777" w:rsidR="0056738E"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(14,961)</w:t>
            </w:r>
          </w:p>
        </w:tc>
      </w:tr>
      <w:tr w:rsidR="0056738E" w:rsidRPr="000A3197" w14:paraId="33ECFA8A" w14:textId="77777777" w:rsidTr="007C2AEE">
        <w:trPr>
          <w:trHeight w:val="255"/>
          <w:jc w:val="center"/>
        </w:trPr>
        <w:tc>
          <w:tcPr>
            <w:tcW w:w="6941" w:type="dxa"/>
            <w:shd w:val="clear" w:color="auto" w:fill="auto"/>
            <w:vAlign w:val="center"/>
          </w:tcPr>
          <w:p w14:paraId="2CA85063" w14:textId="77777777" w:rsidR="0056738E" w:rsidRPr="00325113" w:rsidRDefault="0056738E" w:rsidP="007C2AEE">
            <w:pPr>
              <w:spacing w:after="0" w:line="240" w:lineRule="auto"/>
              <w:jc w:val="both"/>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Καθαρ</w:t>
            </w:r>
            <w:r>
              <w:rPr>
                <w:rFonts w:ascii="Arial" w:eastAsia="Batang" w:hAnsi="Arial" w:cs="Arial"/>
                <w:color w:val="262626"/>
                <w:sz w:val="18"/>
                <w:szCs w:val="18"/>
                <w:lang w:val="el-GR" w:eastAsia="en-US"/>
              </w:rPr>
              <w:t xml:space="preserve">ές </w:t>
            </w:r>
            <w:r w:rsidRPr="00A03828">
              <w:rPr>
                <w:rFonts w:ascii="Arial" w:eastAsia="Batang" w:hAnsi="Arial" w:cs="Arial"/>
                <w:color w:val="262626"/>
                <w:sz w:val="18"/>
                <w:szCs w:val="18"/>
                <w:lang w:val="el-GR" w:eastAsia="en-US"/>
              </w:rPr>
              <w:t>(</w:t>
            </w:r>
            <w:r w:rsidRPr="00325113">
              <w:rPr>
                <w:rFonts w:ascii="Arial" w:eastAsia="Batang" w:hAnsi="Arial" w:cs="Arial"/>
                <w:color w:val="262626"/>
                <w:sz w:val="18"/>
                <w:szCs w:val="18"/>
                <w:lang w:val="el-GR" w:eastAsia="en-US"/>
              </w:rPr>
              <w:t>ζημιές</w:t>
            </w:r>
            <w:r w:rsidRPr="00A03828">
              <w:rPr>
                <w:rFonts w:ascii="Arial" w:eastAsia="Batang" w:hAnsi="Arial" w:cs="Arial"/>
                <w:color w:val="262626"/>
                <w:sz w:val="18"/>
                <w:szCs w:val="18"/>
                <w:lang w:val="el-GR" w:eastAsia="en-US"/>
              </w:rPr>
              <w:t>)/</w:t>
            </w:r>
            <w:r>
              <w:rPr>
                <w:rFonts w:ascii="Arial" w:eastAsia="Batang" w:hAnsi="Arial" w:cs="Arial"/>
                <w:color w:val="262626"/>
                <w:sz w:val="18"/>
                <w:szCs w:val="18"/>
                <w:lang w:val="el-GR" w:eastAsia="en-US"/>
              </w:rPr>
              <w:t>κέρδη</w:t>
            </w:r>
            <w:r w:rsidRPr="00325113">
              <w:rPr>
                <w:rFonts w:ascii="Arial" w:eastAsia="Batang" w:hAnsi="Arial" w:cs="Arial"/>
                <w:color w:val="262626"/>
                <w:sz w:val="18"/>
                <w:szCs w:val="18"/>
                <w:lang w:val="el-GR" w:eastAsia="en-US"/>
              </w:rPr>
              <w:t xml:space="preserve"> από επανεκτίμηση και πώληση επενδύσεων σε ακίνητα</w:t>
            </w:r>
          </w:p>
        </w:tc>
        <w:tc>
          <w:tcPr>
            <w:tcW w:w="1559" w:type="dxa"/>
            <w:shd w:val="clear" w:color="auto" w:fill="FFFFFF" w:themeFill="background1"/>
            <w:vAlign w:val="center"/>
          </w:tcPr>
          <w:p w14:paraId="5020A521" w14:textId="77777777" w:rsidR="0056738E" w:rsidRPr="00F012CB"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(1,863)</w:t>
            </w:r>
          </w:p>
        </w:tc>
        <w:tc>
          <w:tcPr>
            <w:tcW w:w="1560" w:type="dxa"/>
            <w:shd w:val="clear" w:color="auto" w:fill="FFFFFF" w:themeFill="background1"/>
            <w:vAlign w:val="center"/>
          </w:tcPr>
          <w:p w14:paraId="0F6BC18D"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1,031</w:t>
            </w:r>
          </w:p>
        </w:tc>
      </w:tr>
      <w:tr w:rsidR="0056738E" w:rsidRPr="000A3197" w14:paraId="4007EC60" w14:textId="77777777" w:rsidTr="007C2AEE">
        <w:trPr>
          <w:trHeight w:val="255"/>
          <w:jc w:val="center"/>
        </w:trPr>
        <w:tc>
          <w:tcPr>
            <w:tcW w:w="6941" w:type="dxa"/>
            <w:shd w:val="clear" w:color="auto" w:fill="auto"/>
            <w:vAlign w:val="center"/>
          </w:tcPr>
          <w:p w14:paraId="25546271" w14:textId="77777777" w:rsidR="0056738E" w:rsidRPr="00325113" w:rsidRDefault="0056738E" w:rsidP="007C2AEE">
            <w:pPr>
              <w:spacing w:after="0" w:line="240" w:lineRule="auto"/>
              <w:jc w:val="both"/>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Καθαρά κέρδη από πώληση αποθεμάτων ακινήτων</w:t>
            </w:r>
          </w:p>
        </w:tc>
        <w:tc>
          <w:tcPr>
            <w:tcW w:w="1559" w:type="dxa"/>
            <w:tcBorders>
              <w:bottom w:val="single" w:sz="4" w:space="0" w:color="C0C0C0"/>
            </w:tcBorders>
            <w:shd w:val="clear" w:color="auto" w:fill="FFFFFF" w:themeFill="background1"/>
            <w:vAlign w:val="center"/>
          </w:tcPr>
          <w:p w14:paraId="31514884" w14:textId="77777777" w:rsidR="0056738E" w:rsidRPr="00F012CB"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5,185</w:t>
            </w:r>
          </w:p>
        </w:tc>
        <w:tc>
          <w:tcPr>
            <w:tcW w:w="1560" w:type="dxa"/>
            <w:tcBorders>
              <w:bottom w:val="single" w:sz="4" w:space="0" w:color="C0C0C0"/>
            </w:tcBorders>
            <w:shd w:val="clear" w:color="auto" w:fill="FFFFFF" w:themeFill="background1"/>
            <w:vAlign w:val="center"/>
          </w:tcPr>
          <w:p w14:paraId="1657C407"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5,997</w:t>
            </w:r>
          </w:p>
        </w:tc>
      </w:tr>
      <w:tr w:rsidR="0056738E" w:rsidRPr="000F2475" w14:paraId="710ABA24" w14:textId="77777777" w:rsidTr="007C2AEE">
        <w:trPr>
          <w:trHeight w:val="255"/>
          <w:jc w:val="center"/>
        </w:trPr>
        <w:tc>
          <w:tcPr>
            <w:tcW w:w="6941" w:type="dxa"/>
            <w:shd w:val="clear" w:color="auto" w:fill="auto"/>
            <w:vAlign w:val="center"/>
          </w:tcPr>
          <w:p w14:paraId="0B0402AF" w14:textId="77777777" w:rsidR="0056738E" w:rsidRPr="00325113" w:rsidRDefault="0056738E" w:rsidP="007C2AEE">
            <w:pPr>
              <w:spacing w:after="0" w:line="240" w:lineRule="auto"/>
              <w:jc w:val="both"/>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Λοιπά έσοδα</w:t>
            </w:r>
          </w:p>
        </w:tc>
        <w:tc>
          <w:tcPr>
            <w:tcW w:w="1559" w:type="dxa"/>
            <w:tcBorders>
              <w:bottom w:val="single" w:sz="6" w:space="0" w:color="auto"/>
            </w:tcBorders>
            <w:shd w:val="clear" w:color="auto" w:fill="FFFFFF" w:themeFill="background1"/>
            <w:vAlign w:val="center"/>
          </w:tcPr>
          <w:p w14:paraId="33E7A4F4" w14:textId="77777777" w:rsidR="0056738E" w:rsidRPr="001114F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7,544</w:t>
            </w:r>
          </w:p>
        </w:tc>
        <w:tc>
          <w:tcPr>
            <w:tcW w:w="1560" w:type="dxa"/>
            <w:tcBorders>
              <w:bottom w:val="single" w:sz="6" w:space="0" w:color="auto"/>
            </w:tcBorders>
            <w:shd w:val="clear" w:color="auto" w:fill="FFFFFF" w:themeFill="background1"/>
            <w:vAlign w:val="center"/>
          </w:tcPr>
          <w:p w14:paraId="58AFF304"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eastAsia="en-US"/>
              </w:rPr>
            </w:pPr>
            <w:r w:rsidRPr="00E81940">
              <w:rPr>
                <w:rFonts w:ascii="Arial" w:eastAsia="Batang" w:hAnsi="Arial" w:cs="Arial"/>
                <w:color w:val="262626"/>
                <w:sz w:val="18"/>
                <w:szCs w:val="18"/>
                <w:lang w:eastAsia="en-US"/>
              </w:rPr>
              <w:t>15,147</w:t>
            </w:r>
          </w:p>
        </w:tc>
      </w:tr>
      <w:tr w:rsidR="0056738E" w:rsidRPr="000F2475" w14:paraId="24A8E431" w14:textId="77777777" w:rsidTr="007C2AEE">
        <w:trPr>
          <w:trHeight w:val="255"/>
          <w:jc w:val="center"/>
        </w:trPr>
        <w:tc>
          <w:tcPr>
            <w:tcW w:w="6941" w:type="dxa"/>
            <w:shd w:val="clear" w:color="auto" w:fill="auto"/>
            <w:vAlign w:val="center"/>
          </w:tcPr>
          <w:p w14:paraId="4393E12D" w14:textId="77777777" w:rsidR="0056738E" w:rsidRPr="003624F8" w:rsidRDefault="0056738E" w:rsidP="007C2AEE">
            <w:pPr>
              <w:spacing w:after="0" w:line="240" w:lineRule="auto"/>
              <w:jc w:val="both"/>
              <w:rPr>
                <w:rFonts w:ascii="Arial" w:eastAsia="Batang" w:hAnsi="Arial" w:cs="Arial"/>
                <w:i/>
                <w:iCs/>
                <w:color w:val="262626"/>
                <w:sz w:val="18"/>
                <w:szCs w:val="18"/>
                <w:lang w:val="el-GR" w:eastAsia="en-US"/>
              </w:rPr>
            </w:pPr>
            <w:r>
              <w:rPr>
                <w:rFonts w:ascii="Arial" w:eastAsia="Batang" w:hAnsi="Arial" w:cs="Arial"/>
                <w:i/>
                <w:iCs/>
                <w:color w:val="262626"/>
                <w:sz w:val="18"/>
                <w:szCs w:val="18"/>
                <w:lang w:val="el-GR" w:eastAsia="en-US"/>
              </w:rPr>
              <w:t>Συνολικά λειτουργικά έσοδα</w:t>
            </w:r>
          </w:p>
        </w:tc>
        <w:tc>
          <w:tcPr>
            <w:tcW w:w="1559" w:type="dxa"/>
            <w:tcBorders>
              <w:top w:val="single" w:sz="6" w:space="0" w:color="auto"/>
            </w:tcBorders>
            <w:shd w:val="clear" w:color="auto" w:fill="FFFFFF" w:themeFill="background1"/>
            <w:vAlign w:val="center"/>
          </w:tcPr>
          <w:p w14:paraId="1B325CFB" w14:textId="77777777" w:rsidR="0056738E" w:rsidRPr="001114F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829,082</w:t>
            </w:r>
          </w:p>
        </w:tc>
        <w:tc>
          <w:tcPr>
            <w:tcW w:w="1560" w:type="dxa"/>
            <w:tcBorders>
              <w:top w:val="single" w:sz="6" w:space="0" w:color="auto"/>
            </w:tcBorders>
            <w:shd w:val="clear" w:color="auto" w:fill="FFFFFF" w:themeFill="background1"/>
            <w:vAlign w:val="center"/>
          </w:tcPr>
          <w:p w14:paraId="7625D6A8" w14:textId="77777777" w:rsidR="0056738E" w:rsidRPr="008F4486"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val="en-US" w:eastAsia="en-US"/>
              </w:rPr>
              <w:t>801,739</w:t>
            </w:r>
          </w:p>
        </w:tc>
      </w:tr>
      <w:tr w:rsidR="0056738E" w:rsidRPr="000F2475" w14:paraId="3E9EBA33" w14:textId="77777777" w:rsidTr="007C2AEE">
        <w:trPr>
          <w:trHeight w:val="255"/>
          <w:jc w:val="center"/>
        </w:trPr>
        <w:tc>
          <w:tcPr>
            <w:tcW w:w="6941" w:type="dxa"/>
            <w:shd w:val="clear" w:color="auto" w:fill="auto"/>
            <w:vAlign w:val="center"/>
          </w:tcPr>
          <w:p w14:paraId="7E46FAB2" w14:textId="77777777" w:rsidR="0056738E" w:rsidRPr="00325113" w:rsidRDefault="0056738E" w:rsidP="007C2AEE">
            <w:pPr>
              <w:spacing w:after="0" w:line="240" w:lineRule="auto"/>
              <w:jc w:val="both"/>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Δαπάνες προσωπικού</w:t>
            </w:r>
          </w:p>
        </w:tc>
        <w:tc>
          <w:tcPr>
            <w:tcW w:w="1559" w:type="dxa"/>
            <w:tcBorders>
              <w:bottom w:val="single" w:sz="4" w:space="0" w:color="C0C0C0"/>
            </w:tcBorders>
            <w:shd w:val="clear" w:color="auto" w:fill="FFFFFF" w:themeFill="background1"/>
            <w:vAlign w:val="center"/>
          </w:tcPr>
          <w:p w14:paraId="040C8923" w14:textId="77777777" w:rsidR="0056738E" w:rsidRPr="001114F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(151,069)</w:t>
            </w:r>
          </w:p>
        </w:tc>
        <w:tc>
          <w:tcPr>
            <w:tcW w:w="1560" w:type="dxa"/>
            <w:tcBorders>
              <w:bottom w:val="single" w:sz="4" w:space="0" w:color="C0C0C0"/>
            </w:tcBorders>
            <w:shd w:val="clear" w:color="auto" w:fill="FFFFFF" w:themeFill="background1"/>
            <w:vAlign w:val="center"/>
          </w:tcPr>
          <w:p w14:paraId="6FF5AA9A"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(141,462)</w:t>
            </w:r>
          </w:p>
        </w:tc>
      </w:tr>
      <w:tr w:rsidR="0056738E" w:rsidRPr="000A3197" w14:paraId="6E29417D" w14:textId="77777777" w:rsidTr="007C2AEE">
        <w:trPr>
          <w:trHeight w:val="255"/>
          <w:jc w:val="center"/>
        </w:trPr>
        <w:tc>
          <w:tcPr>
            <w:tcW w:w="6941" w:type="dxa"/>
            <w:shd w:val="clear" w:color="auto" w:fill="auto"/>
            <w:vAlign w:val="center"/>
          </w:tcPr>
          <w:p w14:paraId="6A5A11DD" w14:textId="77777777" w:rsidR="0056738E" w:rsidRPr="00F156E7" w:rsidRDefault="0056738E" w:rsidP="007C2AEE">
            <w:pPr>
              <w:spacing w:after="0" w:line="240" w:lineRule="auto"/>
              <w:jc w:val="both"/>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 xml:space="preserve">Ειδικός φόρος επί των καταθέσεων </w:t>
            </w:r>
            <w:r>
              <w:rPr>
                <w:rFonts w:ascii="Arial" w:eastAsia="Batang" w:hAnsi="Arial" w:cs="Arial"/>
                <w:color w:val="262626"/>
                <w:sz w:val="18"/>
                <w:szCs w:val="18"/>
                <w:lang w:val="el-GR" w:eastAsia="en-US"/>
              </w:rPr>
              <w:t xml:space="preserve">και άλλα τέλη/εισφορές </w:t>
            </w:r>
          </w:p>
        </w:tc>
        <w:tc>
          <w:tcPr>
            <w:tcW w:w="1559" w:type="dxa"/>
            <w:tcBorders>
              <w:bottom w:val="single" w:sz="4" w:space="0" w:color="C0C0C0"/>
            </w:tcBorders>
            <w:shd w:val="clear" w:color="auto" w:fill="FFFFFF" w:themeFill="background1"/>
            <w:vAlign w:val="center"/>
          </w:tcPr>
          <w:p w14:paraId="1C6C353C" w14:textId="77777777" w:rsidR="0056738E" w:rsidRPr="00F012CB"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(26,219)</w:t>
            </w:r>
          </w:p>
        </w:tc>
        <w:tc>
          <w:tcPr>
            <w:tcW w:w="1560" w:type="dxa"/>
            <w:tcBorders>
              <w:bottom w:val="single" w:sz="4" w:space="0" w:color="C0C0C0"/>
            </w:tcBorders>
            <w:shd w:val="clear" w:color="auto" w:fill="FFFFFF" w:themeFill="background1"/>
            <w:vAlign w:val="center"/>
          </w:tcPr>
          <w:p w14:paraId="7E43127D"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(29,754)</w:t>
            </w:r>
          </w:p>
        </w:tc>
      </w:tr>
      <w:tr w:rsidR="0056738E" w:rsidRPr="00EA064F" w14:paraId="66E07378" w14:textId="77777777" w:rsidTr="007C2AEE">
        <w:trPr>
          <w:trHeight w:val="255"/>
          <w:jc w:val="center"/>
        </w:trPr>
        <w:tc>
          <w:tcPr>
            <w:tcW w:w="6941" w:type="dxa"/>
            <w:shd w:val="clear" w:color="auto" w:fill="auto"/>
            <w:vAlign w:val="center"/>
          </w:tcPr>
          <w:p w14:paraId="3FC250D2" w14:textId="77777777" w:rsidR="0056738E" w:rsidRPr="00D17E65" w:rsidRDefault="0056738E" w:rsidP="007C2AEE">
            <w:pPr>
              <w:spacing w:after="0" w:line="240" w:lineRule="auto"/>
              <w:jc w:val="both"/>
              <w:rPr>
                <w:rFonts w:ascii="Arial" w:eastAsia="Batang" w:hAnsi="Arial" w:cs="Arial"/>
                <w:color w:val="262626"/>
                <w:sz w:val="18"/>
                <w:szCs w:val="18"/>
                <w:lang w:val="el-GR" w:eastAsia="en-US"/>
              </w:rPr>
            </w:pPr>
            <w:r w:rsidRPr="00955C85">
              <w:rPr>
                <w:rFonts w:ascii="Arial" w:hAnsi="Arial" w:cs="Arial"/>
                <w:bCs/>
                <w:color w:val="262626"/>
                <w:sz w:val="18"/>
                <w:szCs w:val="18"/>
                <w:lang w:val="el-GR"/>
              </w:rPr>
              <w:t>Προβλέψεις για επιδικίες,</w:t>
            </w:r>
            <w:r>
              <w:rPr>
                <w:rFonts w:ascii="Arial" w:hAnsi="Arial" w:cs="Arial"/>
                <w:bCs/>
                <w:color w:val="262626"/>
                <w:sz w:val="18"/>
                <w:szCs w:val="18"/>
                <w:lang w:val="el-GR"/>
              </w:rPr>
              <w:t xml:space="preserve"> υπό διαιτησία διαφορές,</w:t>
            </w:r>
            <w:r w:rsidRPr="00955C85">
              <w:rPr>
                <w:rFonts w:ascii="Arial" w:hAnsi="Arial" w:cs="Arial"/>
                <w:bCs/>
                <w:color w:val="262626"/>
                <w:sz w:val="18"/>
                <w:szCs w:val="18"/>
                <w:lang w:val="el-GR"/>
              </w:rPr>
              <w:t xml:space="preserve"> κανονιστικά </w:t>
            </w:r>
            <w:r>
              <w:rPr>
                <w:rFonts w:ascii="Arial" w:hAnsi="Arial" w:cs="Arial"/>
                <w:bCs/>
                <w:color w:val="262626"/>
                <w:sz w:val="18"/>
                <w:szCs w:val="18"/>
                <w:lang w:val="el-GR"/>
              </w:rPr>
              <w:t xml:space="preserve">και άλλα </w:t>
            </w:r>
            <w:r w:rsidRPr="00955C85">
              <w:rPr>
                <w:rFonts w:ascii="Arial" w:hAnsi="Arial" w:cs="Arial"/>
                <w:bCs/>
                <w:color w:val="262626"/>
                <w:sz w:val="18"/>
                <w:szCs w:val="18"/>
                <w:lang w:val="el-GR"/>
              </w:rPr>
              <w:t>θέματα (μετά από</w:t>
            </w:r>
            <w:r>
              <w:rPr>
                <w:rFonts w:ascii="Arial" w:hAnsi="Arial" w:cs="Arial"/>
                <w:bCs/>
                <w:color w:val="262626"/>
                <w:sz w:val="18"/>
                <w:szCs w:val="18"/>
                <w:lang w:val="el-GR"/>
              </w:rPr>
              <w:t xml:space="preserve"> </w:t>
            </w:r>
            <w:r w:rsidRPr="00D17E65">
              <w:rPr>
                <w:rFonts w:ascii="Arial" w:hAnsi="Arial" w:cs="Arial"/>
                <w:bCs/>
                <w:color w:val="262626"/>
                <w:sz w:val="18"/>
                <w:szCs w:val="18"/>
                <w:lang w:val="el-GR"/>
              </w:rPr>
              <w:t>αναστροφές)</w:t>
            </w:r>
          </w:p>
        </w:tc>
        <w:tc>
          <w:tcPr>
            <w:tcW w:w="1559" w:type="dxa"/>
            <w:tcBorders>
              <w:bottom w:val="single" w:sz="4" w:space="0" w:color="C0C0C0"/>
            </w:tcBorders>
            <w:shd w:val="clear" w:color="auto" w:fill="FFFFFF" w:themeFill="background1"/>
            <w:vAlign w:val="center"/>
          </w:tcPr>
          <w:p w14:paraId="1CA35E3C" w14:textId="77777777" w:rsidR="0056738E" w:rsidRPr="008B2A10"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956</w:t>
            </w:r>
          </w:p>
        </w:tc>
        <w:tc>
          <w:tcPr>
            <w:tcW w:w="1560" w:type="dxa"/>
            <w:tcBorders>
              <w:bottom w:val="single" w:sz="4" w:space="0" w:color="C0C0C0"/>
            </w:tcBorders>
            <w:shd w:val="clear" w:color="auto" w:fill="FFFFFF" w:themeFill="background1"/>
            <w:vAlign w:val="center"/>
          </w:tcPr>
          <w:p w14:paraId="4262E463" w14:textId="77777777" w:rsidR="0056738E" w:rsidRPr="00EE1819"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eastAsia="en-US"/>
              </w:rPr>
            </w:pPr>
            <w:r w:rsidRPr="00E81940">
              <w:rPr>
                <w:rFonts w:ascii="Arial" w:eastAsia="Batang" w:hAnsi="Arial" w:cs="Arial"/>
                <w:color w:val="262626"/>
                <w:sz w:val="18"/>
                <w:szCs w:val="18"/>
                <w:lang w:eastAsia="en-US"/>
              </w:rPr>
              <w:t>(20,595)</w:t>
            </w:r>
          </w:p>
        </w:tc>
      </w:tr>
      <w:tr w:rsidR="0056738E" w:rsidRPr="000F2475" w14:paraId="7E70656F" w14:textId="77777777" w:rsidTr="007C2AEE">
        <w:trPr>
          <w:trHeight w:val="255"/>
          <w:jc w:val="center"/>
        </w:trPr>
        <w:tc>
          <w:tcPr>
            <w:tcW w:w="6941" w:type="dxa"/>
            <w:shd w:val="clear" w:color="auto" w:fill="auto"/>
            <w:vAlign w:val="center"/>
          </w:tcPr>
          <w:p w14:paraId="4BBAA3B3" w14:textId="77777777" w:rsidR="0056738E" w:rsidRPr="00325113" w:rsidRDefault="0056738E" w:rsidP="007C2AEE">
            <w:pPr>
              <w:spacing w:after="0" w:line="240" w:lineRule="auto"/>
              <w:jc w:val="both"/>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Άλλα λειτουργικά έξοδα</w:t>
            </w:r>
          </w:p>
        </w:tc>
        <w:tc>
          <w:tcPr>
            <w:tcW w:w="1559" w:type="dxa"/>
            <w:tcBorders>
              <w:bottom w:val="single" w:sz="6" w:space="0" w:color="000000" w:themeColor="text1"/>
            </w:tcBorders>
            <w:shd w:val="clear" w:color="auto" w:fill="FFFFFF" w:themeFill="background1"/>
            <w:vAlign w:val="center"/>
          </w:tcPr>
          <w:p w14:paraId="5226F373" w14:textId="77777777" w:rsidR="0056738E" w:rsidRPr="001114F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(114,366)</w:t>
            </w:r>
          </w:p>
        </w:tc>
        <w:tc>
          <w:tcPr>
            <w:tcW w:w="1560" w:type="dxa"/>
            <w:tcBorders>
              <w:bottom w:val="single" w:sz="6" w:space="0" w:color="000000" w:themeColor="text1"/>
            </w:tcBorders>
            <w:shd w:val="clear" w:color="auto" w:fill="FFFFFF" w:themeFill="background1"/>
            <w:vAlign w:val="center"/>
          </w:tcPr>
          <w:p w14:paraId="3B56726C"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(107,973)</w:t>
            </w:r>
          </w:p>
        </w:tc>
      </w:tr>
      <w:tr w:rsidR="0056738E" w:rsidRPr="000A3197" w14:paraId="15F5C934" w14:textId="77777777" w:rsidTr="007C2AEE">
        <w:trPr>
          <w:trHeight w:val="255"/>
          <w:jc w:val="center"/>
        </w:trPr>
        <w:tc>
          <w:tcPr>
            <w:tcW w:w="6941" w:type="dxa"/>
            <w:shd w:val="clear" w:color="auto" w:fill="auto"/>
            <w:vAlign w:val="center"/>
          </w:tcPr>
          <w:p w14:paraId="38F0491D" w14:textId="77777777" w:rsidR="0056738E" w:rsidRPr="003624F8" w:rsidRDefault="0056738E" w:rsidP="007C2AEE">
            <w:pPr>
              <w:spacing w:after="0" w:line="240" w:lineRule="auto"/>
              <w:jc w:val="both"/>
              <w:rPr>
                <w:rFonts w:ascii="Arial" w:eastAsia="Batang" w:hAnsi="Arial" w:cs="Arial"/>
                <w:bCs/>
                <w:i/>
                <w:iCs/>
                <w:color w:val="262626"/>
                <w:sz w:val="18"/>
                <w:szCs w:val="18"/>
                <w:lang w:val="el-GR" w:eastAsia="en-US"/>
              </w:rPr>
            </w:pPr>
            <w:r w:rsidRPr="003624F8">
              <w:rPr>
                <w:rFonts w:ascii="Arial" w:eastAsia="Batang" w:hAnsi="Arial" w:cs="Arial"/>
                <w:bCs/>
                <w:i/>
                <w:iCs/>
                <w:color w:val="262626"/>
                <w:sz w:val="18"/>
                <w:szCs w:val="18"/>
                <w:lang w:val="el-GR" w:eastAsia="en-US"/>
              </w:rPr>
              <w:t xml:space="preserve">Λειτουργικά κέρδη πριν από πιστωτικές ζημιές και </w:t>
            </w:r>
            <w:proofErr w:type="spellStart"/>
            <w:r w:rsidRPr="003624F8">
              <w:rPr>
                <w:rFonts w:ascii="Arial" w:eastAsia="Batang" w:hAnsi="Arial" w:cs="Arial"/>
                <w:bCs/>
                <w:i/>
                <w:iCs/>
                <w:color w:val="262626"/>
                <w:sz w:val="18"/>
                <w:szCs w:val="18"/>
                <w:lang w:val="el-GR" w:eastAsia="en-US"/>
              </w:rPr>
              <w:t>απομείωση</w:t>
            </w:r>
            <w:proofErr w:type="spellEnd"/>
          </w:p>
        </w:tc>
        <w:tc>
          <w:tcPr>
            <w:tcW w:w="1559" w:type="dxa"/>
            <w:tcBorders>
              <w:top w:val="single" w:sz="6" w:space="0" w:color="000000" w:themeColor="text1"/>
              <w:bottom w:val="single" w:sz="4" w:space="0" w:color="C0C0C0"/>
            </w:tcBorders>
            <w:shd w:val="clear" w:color="auto" w:fill="FFFFFF" w:themeFill="background1"/>
            <w:vAlign w:val="center"/>
          </w:tcPr>
          <w:p w14:paraId="7531A5B0" w14:textId="77777777" w:rsidR="0056738E" w:rsidRPr="001114F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538,384</w:t>
            </w:r>
          </w:p>
        </w:tc>
        <w:tc>
          <w:tcPr>
            <w:tcW w:w="1560" w:type="dxa"/>
            <w:tcBorders>
              <w:top w:val="single" w:sz="6" w:space="0" w:color="000000" w:themeColor="text1"/>
              <w:bottom w:val="single" w:sz="4" w:space="0" w:color="C0C0C0"/>
            </w:tcBorders>
            <w:shd w:val="clear" w:color="auto" w:fill="FFFFFF" w:themeFill="background1"/>
            <w:vAlign w:val="center"/>
          </w:tcPr>
          <w:p w14:paraId="0CAE4E12" w14:textId="77777777" w:rsidR="0056738E" w:rsidRPr="008F4486"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val="en-US" w:eastAsia="en-US"/>
              </w:rPr>
              <w:t>501,955</w:t>
            </w:r>
          </w:p>
        </w:tc>
      </w:tr>
      <w:tr w:rsidR="0056738E" w:rsidRPr="000A3197" w14:paraId="5DAC7AE8" w14:textId="77777777" w:rsidTr="007C2AEE">
        <w:trPr>
          <w:trHeight w:val="255"/>
          <w:jc w:val="center"/>
        </w:trPr>
        <w:tc>
          <w:tcPr>
            <w:tcW w:w="6941" w:type="dxa"/>
            <w:shd w:val="clear" w:color="auto" w:fill="auto"/>
            <w:vAlign w:val="center"/>
          </w:tcPr>
          <w:p w14:paraId="1134A05E" w14:textId="77777777" w:rsidR="0056738E" w:rsidRPr="00325113" w:rsidRDefault="0056738E" w:rsidP="007C2AEE">
            <w:pPr>
              <w:spacing w:after="0" w:line="240" w:lineRule="auto"/>
              <w:jc w:val="both"/>
              <w:rPr>
                <w:rFonts w:ascii="Arial" w:eastAsia="Batang" w:hAnsi="Arial" w:cs="Arial"/>
                <w:color w:val="262626"/>
                <w:sz w:val="18"/>
                <w:szCs w:val="18"/>
                <w:lang w:val="el-GR" w:eastAsia="en-US"/>
              </w:rPr>
            </w:pPr>
            <w:r w:rsidRPr="00325113">
              <w:rPr>
                <w:rFonts w:ascii="Arial" w:eastAsia="Batang" w:hAnsi="Arial" w:cs="Arial"/>
                <w:bCs/>
                <w:color w:val="262626"/>
                <w:sz w:val="18"/>
                <w:szCs w:val="18"/>
                <w:lang w:val="el-GR" w:eastAsia="en-US"/>
              </w:rPr>
              <w:t>Πιστωτικ</w:t>
            </w:r>
            <w:r>
              <w:rPr>
                <w:rFonts w:ascii="Arial" w:eastAsia="Batang" w:hAnsi="Arial" w:cs="Arial"/>
                <w:bCs/>
                <w:color w:val="262626"/>
                <w:sz w:val="18"/>
                <w:szCs w:val="18"/>
                <w:lang w:val="el-GR" w:eastAsia="en-US"/>
              </w:rPr>
              <w:t>ές</w:t>
            </w:r>
            <w:r w:rsidRPr="00BB0E7C">
              <w:rPr>
                <w:rFonts w:ascii="Arial" w:eastAsia="Batang" w:hAnsi="Arial" w:cs="Arial"/>
                <w:bCs/>
                <w:color w:val="262626"/>
                <w:sz w:val="18"/>
                <w:szCs w:val="18"/>
                <w:lang w:val="el-GR" w:eastAsia="en-US"/>
              </w:rPr>
              <w:t xml:space="preserve"> </w:t>
            </w:r>
            <w:r w:rsidRPr="00325113">
              <w:rPr>
                <w:rFonts w:ascii="Arial" w:eastAsia="Batang" w:hAnsi="Arial" w:cs="Arial"/>
                <w:bCs/>
                <w:color w:val="262626"/>
                <w:sz w:val="18"/>
                <w:szCs w:val="18"/>
                <w:lang w:val="el-GR" w:eastAsia="en-US"/>
              </w:rPr>
              <w:t xml:space="preserve">ζημιές χρηματοοικονομικών </w:t>
            </w:r>
            <w:r>
              <w:rPr>
                <w:rFonts w:ascii="Arial" w:eastAsia="Batang" w:hAnsi="Arial" w:cs="Arial"/>
                <w:bCs/>
                <w:color w:val="262626"/>
                <w:sz w:val="18"/>
                <w:szCs w:val="18"/>
                <w:lang w:val="el-GR" w:eastAsia="en-US"/>
              </w:rPr>
              <w:t>περιουσιακών στοιχείων</w:t>
            </w:r>
          </w:p>
        </w:tc>
        <w:tc>
          <w:tcPr>
            <w:tcW w:w="1559" w:type="dxa"/>
            <w:tcBorders>
              <w:bottom w:val="single" w:sz="4" w:space="0" w:color="A6A6A6"/>
            </w:tcBorders>
            <w:shd w:val="clear" w:color="auto" w:fill="auto"/>
            <w:vAlign w:val="center"/>
          </w:tcPr>
          <w:p w14:paraId="2AF8ECC6" w14:textId="77777777" w:rsidR="0056738E" w:rsidRPr="00F012CB"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(24,129)</w:t>
            </w:r>
          </w:p>
        </w:tc>
        <w:tc>
          <w:tcPr>
            <w:tcW w:w="1560" w:type="dxa"/>
            <w:tcBorders>
              <w:bottom w:val="single" w:sz="4" w:space="0" w:color="A6A6A6"/>
            </w:tcBorders>
            <w:shd w:val="clear" w:color="auto" w:fill="auto"/>
            <w:vAlign w:val="center"/>
          </w:tcPr>
          <w:p w14:paraId="2AA02B5E"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(56,584)</w:t>
            </w:r>
          </w:p>
        </w:tc>
      </w:tr>
      <w:tr w:rsidR="0056738E" w:rsidRPr="000A3197" w14:paraId="2D7B5F5C" w14:textId="77777777" w:rsidTr="007C2AEE">
        <w:trPr>
          <w:trHeight w:val="255"/>
          <w:jc w:val="center"/>
        </w:trPr>
        <w:tc>
          <w:tcPr>
            <w:tcW w:w="6941" w:type="dxa"/>
            <w:shd w:val="clear" w:color="auto" w:fill="auto"/>
            <w:vAlign w:val="center"/>
          </w:tcPr>
          <w:p w14:paraId="3CF3F43E" w14:textId="77777777" w:rsidR="0056738E" w:rsidRPr="004207D7" w:rsidRDefault="0056738E" w:rsidP="007C2AEE">
            <w:pPr>
              <w:spacing w:after="0" w:line="240" w:lineRule="auto"/>
              <w:jc w:val="both"/>
              <w:rPr>
                <w:rFonts w:ascii="Arial" w:eastAsia="Batang" w:hAnsi="Arial" w:cs="Arial"/>
                <w:bCs/>
                <w:color w:val="262626"/>
                <w:sz w:val="18"/>
                <w:szCs w:val="18"/>
                <w:lang w:val="el-GR" w:eastAsia="en-US"/>
              </w:rPr>
            </w:pPr>
            <w:proofErr w:type="spellStart"/>
            <w:r w:rsidRPr="00325113">
              <w:rPr>
                <w:rFonts w:ascii="Arial" w:eastAsia="Batang" w:hAnsi="Arial" w:cs="Arial"/>
                <w:bCs/>
                <w:color w:val="262626"/>
                <w:sz w:val="18"/>
                <w:szCs w:val="18"/>
                <w:lang w:val="el-GR" w:eastAsia="en-US"/>
              </w:rPr>
              <w:t>Απομείωση</w:t>
            </w:r>
            <w:proofErr w:type="spellEnd"/>
            <w:r>
              <w:rPr>
                <w:rFonts w:ascii="Arial" w:eastAsia="Batang" w:hAnsi="Arial" w:cs="Arial"/>
                <w:bCs/>
                <w:color w:val="262626"/>
                <w:sz w:val="18"/>
                <w:szCs w:val="18"/>
                <w:lang w:val="el-GR" w:eastAsia="en-US"/>
              </w:rPr>
              <w:t xml:space="preserve"> μετά την αναστροφή </w:t>
            </w:r>
            <w:r w:rsidRPr="00325113">
              <w:rPr>
                <w:rFonts w:ascii="Arial" w:eastAsia="Batang" w:hAnsi="Arial" w:cs="Arial"/>
                <w:bCs/>
                <w:color w:val="262626"/>
                <w:sz w:val="18"/>
                <w:szCs w:val="18"/>
                <w:lang w:val="el-GR" w:eastAsia="en-US"/>
              </w:rPr>
              <w:t>μη</w:t>
            </w:r>
            <w:r>
              <w:rPr>
                <w:rFonts w:ascii="Arial" w:eastAsia="Batang" w:hAnsi="Arial" w:cs="Arial"/>
                <w:bCs/>
                <w:color w:val="262626"/>
                <w:sz w:val="18"/>
                <w:szCs w:val="18"/>
                <w:lang w:val="el-GR" w:eastAsia="en-US"/>
              </w:rPr>
              <w:t>-</w:t>
            </w:r>
            <w:r w:rsidRPr="00325113">
              <w:rPr>
                <w:rFonts w:ascii="Arial" w:eastAsia="Batang" w:hAnsi="Arial" w:cs="Arial"/>
                <w:bCs/>
                <w:color w:val="262626"/>
                <w:sz w:val="18"/>
                <w:szCs w:val="18"/>
                <w:lang w:val="el-GR" w:eastAsia="en-US"/>
              </w:rPr>
              <w:t xml:space="preserve">χρηματοοικονομικών </w:t>
            </w:r>
            <w:r>
              <w:rPr>
                <w:rFonts w:ascii="Arial" w:eastAsia="Batang" w:hAnsi="Arial" w:cs="Arial"/>
                <w:bCs/>
                <w:color w:val="262626"/>
                <w:sz w:val="18"/>
                <w:szCs w:val="18"/>
                <w:lang w:val="el-GR" w:eastAsia="en-US"/>
              </w:rPr>
              <w:t>περιουσιακών στοιχείων</w:t>
            </w:r>
            <w:r w:rsidRPr="00053E32">
              <w:rPr>
                <w:rFonts w:ascii="Arial" w:eastAsia="Batang" w:hAnsi="Arial" w:cs="Arial"/>
                <w:bCs/>
                <w:color w:val="262626"/>
                <w:sz w:val="18"/>
                <w:szCs w:val="18"/>
                <w:lang w:val="el-GR" w:eastAsia="en-US"/>
              </w:rPr>
              <w:t xml:space="preserve"> </w:t>
            </w:r>
          </w:p>
        </w:tc>
        <w:tc>
          <w:tcPr>
            <w:tcW w:w="1559" w:type="dxa"/>
            <w:tcBorders>
              <w:bottom w:val="single" w:sz="6" w:space="0" w:color="auto"/>
            </w:tcBorders>
            <w:shd w:val="clear" w:color="auto" w:fill="auto"/>
            <w:vAlign w:val="center"/>
          </w:tcPr>
          <w:p w14:paraId="75EDBFD1" w14:textId="77777777" w:rsidR="0056738E" w:rsidRPr="00F012CB"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(39,093)</w:t>
            </w:r>
          </w:p>
        </w:tc>
        <w:tc>
          <w:tcPr>
            <w:tcW w:w="1560" w:type="dxa"/>
            <w:tcBorders>
              <w:bottom w:val="single" w:sz="6" w:space="0" w:color="auto"/>
            </w:tcBorders>
            <w:shd w:val="clear" w:color="auto" w:fill="auto"/>
            <w:vAlign w:val="center"/>
          </w:tcPr>
          <w:p w14:paraId="3CE4B833" w14:textId="77777777" w:rsidR="0056738E" w:rsidRPr="00685865"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(31,408)</w:t>
            </w:r>
          </w:p>
        </w:tc>
      </w:tr>
      <w:tr w:rsidR="0056738E" w:rsidRPr="00EA064F" w14:paraId="47ED7797" w14:textId="77777777" w:rsidTr="007C2AEE">
        <w:trPr>
          <w:trHeight w:val="255"/>
          <w:jc w:val="center"/>
        </w:trPr>
        <w:tc>
          <w:tcPr>
            <w:tcW w:w="6941" w:type="dxa"/>
            <w:shd w:val="clear" w:color="auto" w:fill="auto"/>
            <w:vAlign w:val="center"/>
          </w:tcPr>
          <w:p w14:paraId="7106164C" w14:textId="77777777" w:rsidR="0056738E" w:rsidRPr="00325113" w:rsidRDefault="0056738E" w:rsidP="007C2AEE">
            <w:pPr>
              <w:spacing w:after="0" w:line="240" w:lineRule="auto"/>
              <w:jc w:val="both"/>
              <w:rPr>
                <w:rFonts w:ascii="Arial" w:eastAsia="Batang" w:hAnsi="Arial" w:cs="Arial"/>
                <w:b/>
                <w:bCs/>
                <w:color w:val="262626"/>
                <w:sz w:val="18"/>
                <w:szCs w:val="18"/>
                <w:lang w:val="el-GR" w:eastAsia="en-US"/>
              </w:rPr>
            </w:pPr>
            <w:r>
              <w:rPr>
                <w:rFonts w:ascii="Arial" w:eastAsia="Batang" w:hAnsi="Arial" w:cs="Arial"/>
                <w:b/>
                <w:bCs/>
                <w:color w:val="262626"/>
                <w:sz w:val="18"/>
                <w:szCs w:val="18"/>
                <w:lang w:val="el-GR" w:eastAsia="en-US"/>
              </w:rPr>
              <w:t xml:space="preserve">Κέρδη </w:t>
            </w:r>
            <w:r w:rsidRPr="00325113">
              <w:rPr>
                <w:rFonts w:ascii="Arial" w:eastAsia="Batang" w:hAnsi="Arial" w:cs="Arial"/>
                <w:b/>
                <w:bCs/>
                <w:color w:val="262626"/>
                <w:sz w:val="18"/>
                <w:szCs w:val="18"/>
                <w:lang w:val="el-GR" w:eastAsia="en-US"/>
              </w:rPr>
              <w:t xml:space="preserve">πριν τη φορολογία </w:t>
            </w:r>
          </w:p>
        </w:tc>
        <w:tc>
          <w:tcPr>
            <w:tcW w:w="1559" w:type="dxa"/>
            <w:tcBorders>
              <w:top w:val="single" w:sz="6" w:space="0" w:color="auto"/>
              <w:bottom w:val="single" w:sz="4" w:space="0" w:color="C0C0C0"/>
            </w:tcBorders>
            <w:shd w:val="clear" w:color="auto" w:fill="auto"/>
            <w:vAlign w:val="center"/>
          </w:tcPr>
          <w:p w14:paraId="11926590" w14:textId="77777777" w:rsidR="0056738E" w:rsidRPr="00F012CB"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475,162</w:t>
            </w:r>
          </w:p>
        </w:tc>
        <w:tc>
          <w:tcPr>
            <w:tcW w:w="1560" w:type="dxa"/>
            <w:tcBorders>
              <w:top w:val="single" w:sz="6" w:space="0" w:color="auto"/>
              <w:bottom w:val="single" w:sz="4" w:space="0" w:color="C0C0C0"/>
            </w:tcBorders>
            <w:shd w:val="clear" w:color="auto" w:fill="auto"/>
            <w:vAlign w:val="center"/>
          </w:tcPr>
          <w:p w14:paraId="384EF3D8" w14:textId="77777777" w:rsidR="0056738E" w:rsidRPr="00685865" w:rsidRDefault="0056738E" w:rsidP="007C2AEE">
            <w:pPr>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val="en-US" w:eastAsia="en-US"/>
              </w:rPr>
              <w:t>413,963</w:t>
            </w:r>
          </w:p>
        </w:tc>
      </w:tr>
      <w:tr w:rsidR="0056738E" w:rsidRPr="000F2475" w14:paraId="36211FEE" w14:textId="77777777" w:rsidTr="007C2AEE">
        <w:trPr>
          <w:trHeight w:val="255"/>
          <w:jc w:val="center"/>
        </w:trPr>
        <w:tc>
          <w:tcPr>
            <w:tcW w:w="6941" w:type="dxa"/>
            <w:shd w:val="clear" w:color="auto" w:fill="auto"/>
            <w:vAlign w:val="center"/>
          </w:tcPr>
          <w:p w14:paraId="7C11B8B0" w14:textId="77777777" w:rsidR="0056738E" w:rsidRPr="00325113" w:rsidRDefault="0056738E" w:rsidP="007C2AEE">
            <w:pPr>
              <w:spacing w:after="0" w:line="240" w:lineRule="auto"/>
              <w:jc w:val="both"/>
              <w:rPr>
                <w:rFonts w:ascii="Arial" w:eastAsia="Batang" w:hAnsi="Arial" w:cs="Arial"/>
                <w:bCs/>
                <w:color w:val="262626"/>
                <w:sz w:val="18"/>
                <w:szCs w:val="18"/>
                <w:lang w:val="el-GR" w:eastAsia="en-US"/>
              </w:rPr>
            </w:pPr>
            <w:r w:rsidRPr="00325113">
              <w:rPr>
                <w:rFonts w:ascii="Arial" w:eastAsia="Batang" w:hAnsi="Arial" w:cs="Arial"/>
                <w:bCs/>
                <w:color w:val="262626"/>
                <w:sz w:val="18"/>
                <w:szCs w:val="18"/>
                <w:lang w:val="el-GR" w:eastAsia="en-US"/>
              </w:rPr>
              <w:t>Φορολογία</w:t>
            </w:r>
          </w:p>
        </w:tc>
        <w:tc>
          <w:tcPr>
            <w:tcW w:w="1559" w:type="dxa"/>
            <w:tcBorders>
              <w:bottom w:val="single" w:sz="6" w:space="0" w:color="auto"/>
            </w:tcBorders>
            <w:shd w:val="clear" w:color="auto" w:fill="auto"/>
            <w:vAlign w:val="center"/>
          </w:tcPr>
          <w:p w14:paraId="4EE73A2A" w14:textId="77777777" w:rsidR="0056738E" w:rsidRPr="001114F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(72,979)</w:t>
            </w:r>
          </w:p>
        </w:tc>
        <w:tc>
          <w:tcPr>
            <w:tcW w:w="1560" w:type="dxa"/>
            <w:tcBorders>
              <w:bottom w:val="single" w:sz="6" w:space="0" w:color="auto"/>
            </w:tcBorders>
            <w:shd w:val="clear" w:color="auto" w:fill="auto"/>
            <w:vAlign w:val="center"/>
          </w:tcPr>
          <w:p w14:paraId="17AF2B69" w14:textId="77777777" w:rsidR="0056738E" w:rsidRPr="00685865" w:rsidRDefault="0056738E" w:rsidP="007C2AEE">
            <w:pPr>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(62,911)</w:t>
            </w:r>
          </w:p>
        </w:tc>
      </w:tr>
      <w:tr w:rsidR="0056738E" w:rsidRPr="000A3197" w14:paraId="24B58DBF" w14:textId="77777777" w:rsidTr="007C2AEE">
        <w:trPr>
          <w:trHeight w:val="255"/>
          <w:jc w:val="center"/>
        </w:trPr>
        <w:tc>
          <w:tcPr>
            <w:tcW w:w="6941" w:type="dxa"/>
            <w:shd w:val="clear" w:color="auto" w:fill="auto"/>
            <w:vAlign w:val="center"/>
          </w:tcPr>
          <w:p w14:paraId="2FD2BD90" w14:textId="77777777" w:rsidR="0056738E" w:rsidRPr="00325113" w:rsidRDefault="0056738E" w:rsidP="007C2AEE">
            <w:pPr>
              <w:spacing w:after="0" w:line="240" w:lineRule="auto"/>
              <w:jc w:val="both"/>
              <w:rPr>
                <w:rFonts w:ascii="Arial" w:eastAsia="Batang" w:hAnsi="Arial" w:cs="Arial"/>
                <w:b/>
                <w:bCs/>
                <w:color w:val="262626"/>
                <w:sz w:val="18"/>
                <w:szCs w:val="18"/>
                <w:lang w:val="el-GR" w:eastAsia="en-US"/>
              </w:rPr>
            </w:pPr>
            <w:r>
              <w:rPr>
                <w:rFonts w:ascii="Arial" w:eastAsia="Batang" w:hAnsi="Arial" w:cs="Arial"/>
                <w:b/>
                <w:bCs/>
                <w:color w:val="262626"/>
                <w:sz w:val="18"/>
                <w:szCs w:val="18"/>
                <w:lang w:val="el-GR" w:eastAsia="en-US"/>
              </w:rPr>
              <w:t>Κ</w:t>
            </w:r>
            <w:r w:rsidRPr="00325113">
              <w:rPr>
                <w:rFonts w:ascii="Arial" w:eastAsia="Batang" w:hAnsi="Arial" w:cs="Arial"/>
                <w:b/>
                <w:bCs/>
                <w:color w:val="262626"/>
                <w:sz w:val="18"/>
                <w:szCs w:val="18"/>
                <w:lang w:val="el-GR" w:eastAsia="en-US"/>
              </w:rPr>
              <w:t xml:space="preserve">έρδη μετά τη φορολογία </w:t>
            </w:r>
            <w:r>
              <w:rPr>
                <w:rFonts w:ascii="Arial" w:eastAsia="Batang" w:hAnsi="Arial" w:cs="Arial"/>
                <w:b/>
                <w:bCs/>
                <w:color w:val="262626"/>
                <w:sz w:val="18"/>
                <w:szCs w:val="18"/>
                <w:lang w:val="el-GR" w:eastAsia="en-US"/>
              </w:rPr>
              <w:t>για την περίοδο</w:t>
            </w:r>
            <w:r w:rsidRPr="00325113">
              <w:rPr>
                <w:rFonts w:ascii="Arial" w:eastAsia="Batang" w:hAnsi="Arial" w:cs="Arial"/>
                <w:b/>
                <w:bCs/>
                <w:color w:val="262626"/>
                <w:sz w:val="18"/>
                <w:szCs w:val="18"/>
                <w:lang w:val="el-GR" w:eastAsia="en-US"/>
              </w:rPr>
              <w:t xml:space="preserve"> </w:t>
            </w:r>
          </w:p>
        </w:tc>
        <w:tc>
          <w:tcPr>
            <w:tcW w:w="1559" w:type="dxa"/>
            <w:tcBorders>
              <w:top w:val="single" w:sz="6" w:space="0" w:color="auto"/>
              <w:bottom w:val="double" w:sz="6" w:space="0" w:color="auto"/>
            </w:tcBorders>
            <w:shd w:val="clear" w:color="auto" w:fill="auto"/>
            <w:vAlign w:val="center"/>
          </w:tcPr>
          <w:p w14:paraId="42BEF775" w14:textId="77777777" w:rsidR="0056738E" w:rsidRPr="00F012CB"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402,183</w:t>
            </w:r>
          </w:p>
        </w:tc>
        <w:tc>
          <w:tcPr>
            <w:tcW w:w="1560" w:type="dxa"/>
            <w:tcBorders>
              <w:top w:val="single" w:sz="6" w:space="0" w:color="auto"/>
              <w:bottom w:val="double" w:sz="6" w:space="0" w:color="auto"/>
            </w:tcBorders>
            <w:shd w:val="clear" w:color="auto" w:fill="auto"/>
            <w:vAlign w:val="center"/>
          </w:tcPr>
          <w:p w14:paraId="33281B8C" w14:textId="77777777" w:rsidR="0056738E" w:rsidRPr="00685865" w:rsidRDefault="0056738E" w:rsidP="007C2AEE">
            <w:pPr>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351,052</w:t>
            </w:r>
          </w:p>
        </w:tc>
      </w:tr>
      <w:tr w:rsidR="0056738E" w:rsidRPr="000A3197" w14:paraId="2F4579B8" w14:textId="77777777" w:rsidTr="007C2AEE">
        <w:trPr>
          <w:trHeight w:val="255"/>
          <w:jc w:val="center"/>
        </w:trPr>
        <w:tc>
          <w:tcPr>
            <w:tcW w:w="6941" w:type="dxa"/>
            <w:shd w:val="clear" w:color="auto" w:fill="auto"/>
            <w:vAlign w:val="center"/>
          </w:tcPr>
          <w:p w14:paraId="640BA197" w14:textId="77777777" w:rsidR="0056738E" w:rsidRDefault="0056738E" w:rsidP="007C2AEE">
            <w:pPr>
              <w:spacing w:after="0" w:line="240" w:lineRule="auto"/>
              <w:jc w:val="both"/>
              <w:rPr>
                <w:rFonts w:ascii="Arial" w:eastAsia="Batang" w:hAnsi="Arial" w:cs="Arial"/>
                <w:b/>
                <w:bCs/>
                <w:color w:val="262626"/>
                <w:sz w:val="18"/>
                <w:szCs w:val="18"/>
                <w:lang w:val="el-GR" w:eastAsia="en-US"/>
              </w:rPr>
            </w:pPr>
          </w:p>
        </w:tc>
        <w:tc>
          <w:tcPr>
            <w:tcW w:w="1559" w:type="dxa"/>
            <w:tcBorders>
              <w:top w:val="double" w:sz="6" w:space="0" w:color="auto"/>
              <w:bottom w:val="single" w:sz="4" w:space="0" w:color="D9D9D9" w:themeColor="background1" w:themeShade="D9"/>
            </w:tcBorders>
            <w:shd w:val="clear" w:color="auto" w:fill="auto"/>
            <w:vAlign w:val="center"/>
          </w:tcPr>
          <w:p w14:paraId="2D430974" w14:textId="77777777" w:rsidR="0056738E"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p>
        </w:tc>
        <w:tc>
          <w:tcPr>
            <w:tcW w:w="1560" w:type="dxa"/>
            <w:tcBorders>
              <w:top w:val="double" w:sz="6" w:space="0" w:color="auto"/>
              <w:bottom w:val="single" w:sz="4" w:space="0" w:color="D9D9D9" w:themeColor="background1" w:themeShade="D9"/>
            </w:tcBorders>
            <w:shd w:val="clear" w:color="auto" w:fill="auto"/>
            <w:vAlign w:val="center"/>
          </w:tcPr>
          <w:p w14:paraId="7FCE7AAF" w14:textId="77777777" w:rsidR="0056738E" w:rsidRPr="00E11505" w:rsidRDefault="0056738E" w:rsidP="007C2AEE">
            <w:pPr>
              <w:spacing w:after="0" w:line="240" w:lineRule="auto"/>
              <w:jc w:val="right"/>
              <w:rPr>
                <w:rFonts w:ascii="Arial" w:eastAsia="Batang" w:hAnsi="Arial" w:cs="Arial"/>
                <w:color w:val="262626"/>
                <w:sz w:val="18"/>
                <w:szCs w:val="18"/>
                <w:lang w:eastAsia="en-US"/>
              </w:rPr>
            </w:pPr>
          </w:p>
        </w:tc>
      </w:tr>
      <w:tr w:rsidR="0056738E" w:rsidRPr="00E610A4" w14:paraId="00E65DA5" w14:textId="77777777" w:rsidTr="007C2AEE">
        <w:trPr>
          <w:trHeight w:val="255"/>
          <w:jc w:val="center"/>
        </w:trPr>
        <w:tc>
          <w:tcPr>
            <w:tcW w:w="6941" w:type="dxa"/>
            <w:shd w:val="clear" w:color="auto" w:fill="auto"/>
            <w:vAlign w:val="center"/>
          </w:tcPr>
          <w:p w14:paraId="175B6249" w14:textId="77777777" w:rsidR="0056738E" w:rsidRDefault="0056738E" w:rsidP="007C2AEE">
            <w:pPr>
              <w:spacing w:after="0" w:line="240" w:lineRule="auto"/>
              <w:jc w:val="both"/>
              <w:rPr>
                <w:rFonts w:ascii="Arial" w:eastAsia="Batang" w:hAnsi="Arial" w:cs="Arial"/>
                <w:b/>
                <w:bCs/>
                <w:color w:val="262626"/>
                <w:sz w:val="18"/>
                <w:szCs w:val="18"/>
                <w:lang w:val="el-GR" w:eastAsia="en-US"/>
              </w:rPr>
            </w:pPr>
            <w:r w:rsidRPr="00325113">
              <w:rPr>
                <w:rFonts w:ascii="Arial" w:eastAsia="Batang" w:hAnsi="Arial" w:cs="Arial"/>
                <w:b/>
                <w:color w:val="262626"/>
                <w:sz w:val="18"/>
                <w:szCs w:val="18"/>
                <w:lang w:val="el-GR" w:eastAsia="en-US"/>
              </w:rPr>
              <w:t>Αναλογούντ</w:t>
            </w:r>
            <w:r>
              <w:rPr>
                <w:rFonts w:ascii="Arial" w:eastAsia="Batang" w:hAnsi="Arial" w:cs="Arial"/>
                <w:b/>
                <w:color w:val="262626"/>
                <w:sz w:val="18"/>
                <w:szCs w:val="18"/>
                <w:lang w:val="el-GR" w:eastAsia="en-US"/>
              </w:rPr>
              <w:t>α</w:t>
            </w:r>
            <w:r w:rsidRPr="00325113">
              <w:rPr>
                <w:rFonts w:ascii="Arial" w:eastAsia="Batang" w:hAnsi="Arial" w:cs="Arial"/>
                <w:b/>
                <w:color w:val="262626"/>
                <w:sz w:val="18"/>
                <w:szCs w:val="18"/>
                <w:lang w:val="el-GR" w:eastAsia="en-US"/>
              </w:rPr>
              <w:t xml:space="preserve"> σε:</w:t>
            </w:r>
          </w:p>
        </w:tc>
        <w:tc>
          <w:tcPr>
            <w:tcW w:w="1559" w:type="dxa"/>
            <w:tcBorders>
              <w:top w:val="single" w:sz="4" w:space="0" w:color="D9D9D9" w:themeColor="background1" w:themeShade="D9"/>
              <w:bottom w:val="single" w:sz="4" w:space="0" w:color="C0C0C0"/>
            </w:tcBorders>
            <w:shd w:val="clear" w:color="auto" w:fill="auto"/>
            <w:vAlign w:val="center"/>
          </w:tcPr>
          <w:p w14:paraId="27D64737" w14:textId="77777777" w:rsidR="0056738E"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p>
        </w:tc>
        <w:tc>
          <w:tcPr>
            <w:tcW w:w="1560" w:type="dxa"/>
            <w:tcBorders>
              <w:top w:val="single" w:sz="4" w:space="0" w:color="D9D9D9" w:themeColor="background1" w:themeShade="D9"/>
              <w:bottom w:val="single" w:sz="4" w:space="0" w:color="C0C0C0"/>
            </w:tcBorders>
            <w:shd w:val="clear" w:color="auto" w:fill="FFFFFF" w:themeFill="background1"/>
            <w:vAlign w:val="center"/>
          </w:tcPr>
          <w:p w14:paraId="6276C166" w14:textId="77777777" w:rsidR="0056738E" w:rsidRPr="00685865" w:rsidRDefault="0056738E" w:rsidP="007C2AEE">
            <w:pPr>
              <w:spacing w:after="0" w:line="240" w:lineRule="auto"/>
              <w:jc w:val="right"/>
              <w:rPr>
                <w:rFonts w:ascii="Arial" w:eastAsia="Batang" w:hAnsi="Arial" w:cs="Arial"/>
                <w:color w:val="262626"/>
                <w:sz w:val="18"/>
                <w:szCs w:val="18"/>
                <w:lang w:eastAsia="en-US"/>
              </w:rPr>
            </w:pPr>
          </w:p>
        </w:tc>
      </w:tr>
      <w:tr w:rsidR="0056738E" w:rsidRPr="00E610A4" w14:paraId="304AD54C" w14:textId="77777777" w:rsidTr="007C2AEE">
        <w:trPr>
          <w:trHeight w:val="255"/>
          <w:jc w:val="center"/>
        </w:trPr>
        <w:tc>
          <w:tcPr>
            <w:tcW w:w="6941" w:type="dxa"/>
            <w:shd w:val="clear" w:color="auto" w:fill="auto"/>
            <w:vAlign w:val="center"/>
          </w:tcPr>
          <w:p w14:paraId="20A33286" w14:textId="77777777" w:rsidR="0056738E" w:rsidRDefault="0056738E" w:rsidP="007C2AEE">
            <w:pPr>
              <w:spacing w:after="0" w:line="240" w:lineRule="auto"/>
              <w:jc w:val="both"/>
              <w:rPr>
                <w:rFonts w:ascii="Arial" w:eastAsia="Batang" w:hAnsi="Arial" w:cs="Arial"/>
                <w:b/>
                <w:bCs/>
                <w:color w:val="262626"/>
                <w:sz w:val="18"/>
                <w:szCs w:val="18"/>
                <w:lang w:val="el-GR" w:eastAsia="en-US"/>
              </w:rPr>
            </w:pPr>
            <w:r w:rsidRPr="00325113">
              <w:rPr>
                <w:rFonts w:ascii="Arial" w:eastAsia="Batang" w:hAnsi="Arial" w:cs="Arial"/>
                <w:color w:val="262626"/>
                <w:sz w:val="18"/>
                <w:szCs w:val="18"/>
                <w:lang w:val="el-GR" w:eastAsia="en-US"/>
              </w:rPr>
              <w:t>Ιδιοκτήτες της Εταιρίας</w:t>
            </w:r>
            <w:r w:rsidRPr="00A92F2C" w:rsidDel="0065440B">
              <w:rPr>
                <w:rFonts w:ascii="Arial" w:eastAsia="Batang" w:hAnsi="Arial" w:cs="Arial"/>
                <w:color w:val="262626"/>
                <w:sz w:val="18"/>
                <w:szCs w:val="18"/>
                <w:lang w:val="el-GR" w:eastAsia="en-US"/>
              </w:rPr>
              <w:t xml:space="preserve"> </w:t>
            </w:r>
          </w:p>
        </w:tc>
        <w:tc>
          <w:tcPr>
            <w:tcW w:w="1559" w:type="dxa"/>
            <w:tcBorders>
              <w:top w:val="single" w:sz="4" w:space="0" w:color="C0C0C0"/>
              <w:bottom w:val="single" w:sz="4" w:space="0" w:color="C0C0C0"/>
            </w:tcBorders>
            <w:shd w:val="clear" w:color="auto" w:fill="auto"/>
            <w:vAlign w:val="center"/>
          </w:tcPr>
          <w:p w14:paraId="2FD5FF45" w14:textId="77777777" w:rsidR="0056738E" w:rsidRPr="001114F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400,610</w:t>
            </w:r>
          </w:p>
        </w:tc>
        <w:tc>
          <w:tcPr>
            <w:tcW w:w="1560" w:type="dxa"/>
            <w:tcBorders>
              <w:top w:val="single" w:sz="4" w:space="0" w:color="C0C0C0"/>
              <w:bottom w:val="single" w:sz="4" w:space="0" w:color="C0C0C0"/>
            </w:tcBorders>
            <w:shd w:val="clear" w:color="auto" w:fill="auto"/>
            <w:vAlign w:val="center"/>
          </w:tcPr>
          <w:p w14:paraId="3FAECF13" w14:textId="77777777" w:rsidR="0056738E" w:rsidRPr="00685865" w:rsidRDefault="0056738E" w:rsidP="007C2AEE">
            <w:pPr>
              <w:spacing w:after="0" w:line="240" w:lineRule="auto"/>
              <w:jc w:val="right"/>
              <w:rPr>
                <w:rFonts w:ascii="Arial" w:eastAsia="Batang" w:hAnsi="Arial" w:cs="Arial"/>
                <w:color w:val="262626"/>
                <w:sz w:val="18"/>
                <w:szCs w:val="18"/>
                <w:lang w:eastAsia="en-US"/>
              </w:rPr>
            </w:pPr>
            <w:r w:rsidRPr="00E25891">
              <w:rPr>
                <w:rFonts w:ascii="Arial" w:eastAsia="Batang" w:hAnsi="Arial" w:cs="Arial"/>
                <w:color w:val="262626"/>
                <w:sz w:val="18"/>
                <w:szCs w:val="18"/>
                <w:lang w:eastAsia="en-US"/>
              </w:rPr>
              <w:t>349,363</w:t>
            </w:r>
          </w:p>
        </w:tc>
      </w:tr>
      <w:tr w:rsidR="0056738E" w:rsidRPr="00E610A4" w14:paraId="261A7F39" w14:textId="77777777" w:rsidTr="007C2AEE">
        <w:trPr>
          <w:trHeight w:val="255"/>
          <w:jc w:val="center"/>
        </w:trPr>
        <w:tc>
          <w:tcPr>
            <w:tcW w:w="6941" w:type="dxa"/>
            <w:shd w:val="clear" w:color="auto" w:fill="auto"/>
            <w:vAlign w:val="center"/>
          </w:tcPr>
          <w:p w14:paraId="41E5880C" w14:textId="77777777" w:rsidR="0056738E" w:rsidRDefault="0056738E" w:rsidP="007C2AEE">
            <w:pPr>
              <w:spacing w:after="0" w:line="240" w:lineRule="auto"/>
              <w:jc w:val="both"/>
              <w:rPr>
                <w:rFonts w:ascii="Arial" w:eastAsia="Batang" w:hAnsi="Arial" w:cs="Arial"/>
                <w:b/>
                <w:bCs/>
                <w:color w:val="262626"/>
                <w:sz w:val="18"/>
                <w:szCs w:val="18"/>
                <w:lang w:val="el-GR" w:eastAsia="en-US"/>
              </w:rPr>
            </w:pPr>
            <w:r w:rsidRPr="00325113">
              <w:rPr>
                <w:rFonts w:ascii="Arial" w:eastAsia="Batang" w:hAnsi="Arial" w:cs="Arial"/>
                <w:color w:val="262626"/>
                <w:sz w:val="18"/>
                <w:szCs w:val="18"/>
                <w:lang w:val="el-GR" w:eastAsia="en-US"/>
              </w:rPr>
              <w:t>Δικαιώματα μειοψηφίας</w:t>
            </w:r>
          </w:p>
        </w:tc>
        <w:tc>
          <w:tcPr>
            <w:tcW w:w="1559" w:type="dxa"/>
            <w:tcBorders>
              <w:top w:val="single" w:sz="4" w:space="0" w:color="C0C0C0"/>
              <w:bottom w:val="single" w:sz="6" w:space="0" w:color="auto"/>
            </w:tcBorders>
            <w:shd w:val="clear" w:color="auto" w:fill="auto"/>
            <w:vAlign w:val="center"/>
          </w:tcPr>
          <w:p w14:paraId="1DA0FA1F" w14:textId="77777777" w:rsidR="0056738E" w:rsidRPr="001114F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1,573</w:t>
            </w:r>
          </w:p>
        </w:tc>
        <w:tc>
          <w:tcPr>
            <w:tcW w:w="1560" w:type="dxa"/>
            <w:tcBorders>
              <w:top w:val="single" w:sz="4" w:space="0" w:color="C0C0C0"/>
              <w:bottom w:val="single" w:sz="6" w:space="0" w:color="auto"/>
            </w:tcBorders>
            <w:shd w:val="clear" w:color="auto" w:fill="auto"/>
            <w:vAlign w:val="center"/>
          </w:tcPr>
          <w:p w14:paraId="43A82EDC" w14:textId="77777777" w:rsidR="0056738E" w:rsidRPr="00685865" w:rsidRDefault="0056738E" w:rsidP="007C2AEE">
            <w:pPr>
              <w:spacing w:after="0" w:line="240" w:lineRule="auto"/>
              <w:jc w:val="right"/>
              <w:rPr>
                <w:rFonts w:ascii="Arial" w:eastAsia="Batang" w:hAnsi="Arial" w:cs="Arial"/>
                <w:color w:val="262626"/>
                <w:sz w:val="18"/>
                <w:szCs w:val="18"/>
                <w:lang w:eastAsia="en-US"/>
              </w:rPr>
            </w:pPr>
            <w:r w:rsidRPr="00E25891">
              <w:rPr>
                <w:rFonts w:ascii="Arial" w:eastAsia="Batang" w:hAnsi="Arial" w:cs="Arial"/>
                <w:color w:val="262626"/>
                <w:sz w:val="18"/>
                <w:szCs w:val="18"/>
                <w:lang w:eastAsia="en-US"/>
              </w:rPr>
              <w:t>1,689</w:t>
            </w:r>
          </w:p>
        </w:tc>
      </w:tr>
      <w:tr w:rsidR="0056738E" w:rsidRPr="00EA064F" w14:paraId="16DCB1D6" w14:textId="77777777" w:rsidTr="007C2AEE">
        <w:trPr>
          <w:trHeight w:val="255"/>
          <w:jc w:val="center"/>
        </w:trPr>
        <w:tc>
          <w:tcPr>
            <w:tcW w:w="6941" w:type="dxa"/>
            <w:shd w:val="clear" w:color="auto" w:fill="auto"/>
            <w:vAlign w:val="center"/>
          </w:tcPr>
          <w:p w14:paraId="618F6441" w14:textId="77777777" w:rsidR="0056738E" w:rsidRDefault="0056738E" w:rsidP="007C2AEE">
            <w:pPr>
              <w:spacing w:after="0" w:line="240" w:lineRule="auto"/>
              <w:jc w:val="both"/>
              <w:rPr>
                <w:rFonts w:ascii="Arial" w:eastAsia="Batang" w:hAnsi="Arial" w:cs="Arial"/>
                <w:b/>
                <w:bCs/>
                <w:color w:val="262626"/>
                <w:sz w:val="18"/>
                <w:szCs w:val="18"/>
                <w:lang w:val="el-GR" w:eastAsia="en-US"/>
              </w:rPr>
            </w:pPr>
            <w:r>
              <w:rPr>
                <w:rFonts w:ascii="Arial" w:eastAsia="Batang" w:hAnsi="Arial" w:cs="Arial"/>
                <w:b/>
                <w:color w:val="262626"/>
                <w:sz w:val="18"/>
                <w:szCs w:val="18"/>
                <w:lang w:val="el-GR" w:eastAsia="en-US"/>
              </w:rPr>
              <w:t>Κ</w:t>
            </w:r>
            <w:r w:rsidRPr="00325113">
              <w:rPr>
                <w:rFonts w:ascii="Arial" w:eastAsia="Batang" w:hAnsi="Arial" w:cs="Arial"/>
                <w:b/>
                <w:color w:val="262626"/>
                <w:sz w:val="18"/>
                <w:szCs w:val="18"/>
                <w:lang w:val="el-GR" w:eastAsia="en-US"/>
              </w:rPr>
              <w:t>έρδη για την περίοδο</w:t>
            </w:r>
          </w:p>
        </w:tc>
        <w:tc>
          <w:tcPr>
            <w:tcW w:w="1559" w:type="dxa"/>
            <w:tcBorders>
              <w:top w:val="single" w:sz="6" w:space="0" w:color="auto"/>
              <w:bottom w:val="double" w:sz="6" w:space="0" w:color="auto"/>
            </w:tcBorders>
            <w:shd w:val="clear" w:color="auto" w:fill="auto"/>
            <w:vAlign w:val="center"/>
          </w:tcPr>
          <w:p w14:paraId="5505F471" w14:textId="77777777" w:rsidR="0056738E" w:rsidRPr="001114F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402,183</w:t>
            </w:r>
          </w:p>
        </w:tc>
        <w:tc>
          <w:tcPr>
            <w:tcW w:w="1560" w:type="dxa"/>
            <w:tcBorders>
              <w:top w:val="single" w:sz="6" w:space="0" w:color="auto"/>
              <w:bottom w:val="double" w:sz="6" w:space="0" w:color="auto"/>
            </w:tcBorders>
            <w:shd w:val="clear" w:color="auto" w:fill="auto"/>
            <w:vAlign w:val="center"/>
          </w:tcPr>
          <w:p w14:paraId="607F834B" w14:textId="77777777" w:rsidR="0056738E" w:rsidRPr="00685865" w:rsidRDefault="0056738E" w:rsidP="007C2AEE">
            <w:pPr>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351,052</w:t>
            </w:r>
          </w:p>
        </w:tc>
      </w:tr>
      <w:tr w:rsidR="0056738E" w:rsidRPr="00EA064F" w14:paraId="3DB3591C" w14:textId="77777777" w:rsidTr="007C2AEE">
        <w:trPr>
          <w:trHeight w:val="255"/>
          <w:jc w:val="center"/>
        </w:trPr>
        <w:tc>
          <w:tcPr>
            <w:tcW w:w="6941" w:type="dxa"/>
            <w:shd w:val="clear" w:color="auto" w:fill="auto"/>
            <w:vAlign w:val="center"/>
          </w:tcPr>
          <w:p w14:paraId="2B9F0D33" w14:textId="77777777" w:rsidR="0056738E" w:rsidRDefault="0056738E" w:rsidP="007C2AEE">
            <w:pPr>
              <w:spacing w:after="0" w:line="240" w:lineRule="auto"/>
              <w:jc w:val="both"/>
              <w:rPr>
                <w:rFonts w:ascii="Arial" w:eastAsia="Batang" w:hAnsi="Arial" w:cs="Arial"/>
                <w:b/>
                <w:color w:val="262626"/>
                <w:sz w:val="18"/>
                <w:szCs w:val="18"/>
                <w:lang w:val="el-GR" w:eastAsia="en-US"/>
              </w:rPr>
            </w:pPr>
          </w:p>
        </w:tc>
        <w:tc>
          <w:tcPr>
            <w:tcW w:w="1559" w:type="dxa"/>
            <w:tcBorders>
              <w:top w:val="double" w:sz="6" w:space="0" w:color="auto"/>
              <w:bottom w:val="single" w:sz="4" w:space="0" w:color="BFBFBF" w:themeColor="background1" w:themeShade="BF"/>
            </w:tcBorders>
            <w:shd w:val="clear" w:color="auto" w:fill="auto"/>
            <w:vAlign w:val="center"/>
          </w:tcPr>
          <w:p w14:paraId="0FCA28AF" w14:textId="77777777" w:rsidR="0056738E"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p>
        </w:tc>
        <w:tc>
          <w:tcPr>
            <w:tcW w:w="1560" w:type="dxa"/>
            <w:tcBorders>
              <w:top w:val="double" w:sz="6" w:space="0" w:color="auto"/>
              <w:bottom w:val="single" w:sz="4" w:space="0" w:color="BFBFBF" w:themeColor="background1" w:themeShade="BF"/>
            </w:tcBorders>
            <w:shd w:val="clear" w:color="auto" w:fill="auto"/>
            <w:vAlign w:val="center"/>
          </w:tcPr>
          <w:p w14:paraId="59877C2B" w14:textId="77777777" w:rsidR="0056738E" w:rsidRPr="00E11505" w:rsidRDefault="0056738E" w:rsidP="007C2AEE">
            <w:pPr>
              <w:spacing w:after="0" w:line="240" w:lineRule="auto"/>
              <w:jc w:val="right"/>
              <w:rPr>
                <w:rFonts w:ascii="Arial" w:eastAsia="Batang" w:hAnsi="Arial" w:cs="Arial"/>
                <w:color w:val="262626"/>
                <w:sz w:val="18"/>
                <w:szCs w:val="18"/>
                <w:lang w:eastAsia="en-US"/>
              </w:rPr>
            </w:pPr>
          </w:p>
        </w:tc>
      </w:tr>
      <w:tr w:rsidR="0056738E" w:rsidRPr="000A3197" w14:paraId="7381B226" w14:textId="77777777" w:rsidTr="007C2AEE">
        <w:trPr>
          <w:trHeight w:val="255"/>
          <w:jc w:val="center"/>
        </w:trPr>
        <w:tc>
          <w:tcPr>
            <w:tcW w:w="6941" w:type="dxa"/>
            <w:shd w:val="clear" w:color="auto" w:fill="auto"/>
            <w:vAlign w:val="center"/>
          </w:tcPr>
          <w:p w14:paraId="246E58B2" w14:textId="77777777" w:rsidR="0056738E" w:rsidRDefault="0056738E" w:rsidP="007C2AEE">
            <w:pPr>
              <w:spacing w:after="0" w:line="240" w:lineRule="auto"/>
              <w:jc w:val="both"/>
              <w:rPr>
                <w:rFonts w:ascii="Arial" w:eastAsia="Batang" w:hAnsi="Arial" w:cs="Arial"/>
                <w:b/>
                <w:color w:val="262626"/>
                <w:sz w:val="18"/>
                <w:szCs w:val="18"/>
                <w:lang w:val="el-GR" w:eastAsia="en-US"/>
              </w:rPr>
            </w:pPr>
            <w:r w:rsidRPr="00325113">
              <w:rPr>
                <w:rFonts w:ascii="Arial" w:eastAsia="Batang" w:hAnsi="Arial" w:cs="Arial"/>
                <w:b/>
                <w:color w:val="262626"/>
                <w:sz w:val="18"/>
                <w:szCs w:val="18"/>
                <w:lang w:val="el-GR" w:eastAsia="en-US"/>
              </w:rPr>
              <w:t>Βασικ</w:t>
            </w:r>
            <w:r>
              <w:rPr>
                <w:rFonts w:ascii="Arial" w:eastAsia="Batang" w:hAnsi="Arial" w:cs="Arial"/>
                <w:b/>
                <w:color w:val="262626"/>
                <w:sz w:val="18"/>
                <w:szCs w:val="18"/>
                <w:lang w:val="el-GR" w:eastAsia="en-US"/>
              </w:rPr>
              <w:t xml:space="preserve">ά </w:t>
            </w:r>
            <w:r w:rsidRPr="00EA3CAB">
              <w:rPr>
                <w:rFonts w:ascii="Arial" w:eastAsia="Batang" w:hAnsi="Arial" w:cs="Arial"/>
                <w:b/>
                <w:color w:val="262626"/>
                <w:sz w:val="18"/>
                <w:szCs w:val="18"/>
                <w:lang w:val="el-GR" w:eastAsia="en-US"/>
              </w:rPr>
              <w:t>κέρδη</w:t>
            </w:r>
            <w:r>
              <w:rPr>
                <w:rFonts w:ascii="Arial" w:eastAsia="Batang" w:hAnsi="Arial" w:cs="Arial"/>
                <w:b/>
                <w:color w:val="262626"/>
                <w:sz w:val="18"/>
                <w:szCs w:val="18"/>
                <w:lang w:val="el-GR" w:eastAsia="en-US"/>
              </w:rPr>
              <w:t xml:space="preserve"> ανά</w:t>
            </w:r>
            <w:r w:rsidRPr="00325113">
              <w:rPr>
                <w:rFonts w:ascii="Arial" w:eastAsia="Batang" w:hAnsi="Arial" w:cs="Arial"/>
                <w:b/>
                <w:color w:val="262626"/>
                <w:sz w:val="18"/>
                <w:szCs w:val="18"/>
                <w:lang w:val="el-GR" w:eastAsia="en-US"/>
              </w:rPr>
              <w:t xml:space="preserve"> μετοχή </w:t>
            </w:r>
            <w:r>
              <w:rPr>
                <w:rFonts w:ascii="Arial" w:eastAsia="Batang" w:hAnsi="Arial" w:cs="Arial"/>
                <w:b/>
                <w:color w:val="262626"/>
                <w:sz w:val="18"/>
                <w:szCs w:val="18"/>
                <w:lang w:val="el-GR" w:eastAsia="en-US"/>
              </w:rPr>
              <w:t xml:space="preserve">που </w:t>
            </w:r>
            <w:r w:rsidRPr="00325113">
              <w:rPr>
                <w:rFonts w:ascii="Arial" w:eastAsia="Batang" w:hAnsi="Arial" w:cs="Arial"/>
                <w:b/>
                <w:color w:val="262626"/>
                <w:sz w:val="18"/>
                <w:szCs w:val="18"/>
                <w:lang w:val="el-GR" w:eastAsia="en-US"/>
              </w:rPr>
              <w:t xml:space="preserve">αναλογούν στους ιδιοκτήτες της Εταιρίας (€ </w:t>
            </w:r>
            <w:proofErr w:type="spellStart"/>
            <w:r w:rsidRPr="00325113">
              <w:rPr>
                <w:rFonts w:ascii="Arial" w:eastAsia="Batang" w:hAnsi="Arial" w:cs="Arial"/>
                <w:b/>
                <w:color w:val="262626"/>
                <w:sz w:val="18"/>
                <w:szCs w:val="18"/>
                <w:lang w:val="el-GR" w:eastAsia="en-US"/>
              </w:rPr>
              <w:t>σεντ</w:t>
            </w:r>
            <w:proofErr w:type="spellEnd"/>
            <w:r w:rsidRPr="00325113">
              <w:rPr>
                <w:rFonts w:ascii="Arial" w:eastAsia="Batang" w:hAnsi="Arial" w:cs="Arial"/>
                <w:b/>
                <w:color w:val="262626"/>
                <w:sz w:val="18"/>
                <w:szCs w:val="18"/>
                <w:lang w:val="el-GR" w:eastAsia="en-US"/>
              </w:rPr>
              <w:t>)</w:t>
            </w:r>
          </w:p>
        </w:tc>
        <w:tc>
          <w:tcPr>
            <w:tcW w:w="1559" w:type="dxa"/>
            <w:tcBorders>
              <w:top w:val="single" w:sz="4" w:space="0" w:color="BFBFBF" w:themeColor="background1" w:themeShade="BF"/>
              <w:bottom w:val="double" w:sz="4" w:space="0" w:color="auto"/>
            </w:tcBorders>
            <w:shd w:val="clear" w:color="auto" w:fill="auto"/>
            <w:vAlign w:val="center"/>
          </w:tcPr>
          <w:p w14:paraId="384D701E" w14:textId="77777777" w:rsidR="0056738E" w:rsidRPr="008B2A10"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90.0</w:t>
            </w:r>
          </w:p>
        </w:tc>
        <w:tc>
          <w:tcPr>
            <w:tcW w:w="1560" w:type="dxa"/>
            <w:tcBorders>
              <w:top w:val="single" w:sz="4" w:space="0" w:color="BFBFBF" w:themeColor="background1" w:themeShade="BF"/>
              <w:bottom w:val="double" w:sz="4" w:space="0" w:color="auto"/>
            </w:tcBorders>
            <w:shd w:val="clear" w:color="auto" w:fill="auto"/>
            <w:vAlign w:val="center"/>
          </w:tcPr>
          <w:p w14:paraId="0DD3055E" w14:textId="77777777" w:rsidR="0056738E" w:rsidRPr="00685865" w:rsidRDefault="0056738E" w:rsidP="007C2AEE">
            <w:pPr>
              <w:spacing w:after="0" w:line="240" w:lineRule="auto"/>
              <w:jc w:val="right"/>
              <w:rPr>
                <w:rFonts w:ascii="Arial" w:eastAsia="Batang" w:hAnsi="Arial" w:cs="Arial"/>
                <w:color w:val="262626"/>
                <w:sz w:val="18"/>
                <w:szCs w:val="18"/>
                <w:lang w:val="el-GR" w:eastAsia="en-US"/>
              </w:rPr>
            </w:pPr>
            <w:r w:rsidRPr="00AC2F56">
              <w:rPr>
                <w:rFonts w:ascii="Arial" w:eastAsia="Batang" w:hAnsi="Arial" w:cs="Arial"/>
                <w:color w:val="262626"/>
                <w:sz w:val="18"/>
                <w:szCs w:val="18"/>
                <w:lang w:eastAsia="en-US"/>
              </w:rPr>
              <w:t>78.3</w:t>
            </w:r>
          </w:p>
        </w:tc>
      </w:tr>
      <w:tr w:rsidR="0056738E" w:rsidRPr="00EA064F" w14:paraId="57A21556" w14:textId="77777777" w:rsidTr="007C2AEE">
        <w:trPr>
          <w:trHeight w:val="255"/>
          <w:jc w:val="center"/>
        </w:trPr>
        <w:tc>
          <w:tcPr>
            <w:tcW w:w="6941" w:type="dxa"/>
            <w:shd w:val="clear" w:color="auto" w:fill="auto"/>
            <w:vAlign w:val="center"/>
          </w:tcPr>
          <w:p w14:paraId="519C5530" w14:textId="77777777" w:rsidR="0056738E" w:rsidRPr="00D17E65" w:rsidRDefault="0056738E" w:rsidP="007C2AEE">
            <w:pPr>
              <w:spacing w:after="0" w:line="240" w:lineRule="auto"/>
              <w:jc w:val="both"/>
              <w:rPr>
                <w:rFonts w:ascii="Arial" w:eastAsia="Batang" w:hAnsi="Arial" w:cs="Arial"/>
                <w:b/>
                <w:color w:val="262626"/>
                <w:sz w:val="18"/>
                <w:szCs w:val="18"/>
                <w:lang w:val="el-GR" w:eastAsia="en-US"/>
              </w:rPr>
            </w:pPr>
            <w:r w:rsidRPr="00312F39">
              <w:rPr>
                <w:rFonts w:ascii="Arial" w:hAnsi="Arial" w:cs="Arial"/>
                <w:b/>
                <w:bCs/>
                <w:color w:val="262626"/>
                <w:sz w:val="18"/>
                <w:szCs w:val="18"/>
                <w:lang w:val="el-GR"/>
              </w:rPr>
              <w:t>Π</w:t>
            </w:r>
            <w:r w:rsidRPr="00955C85">
              <w:rPr>
                <w:rFonts w:ascii="Arial" w:hAnsi="Arial" w:cs="Arial"/>
                <w:b/>
                <w:bCs/>
                <w:color w:val="262626"/>
                <w:sz w:val="18"/>
                <w:szCs w:val="18"/>
                <w:lang w:val="el-GR"/>
              </w:rPr>
              <w:t xml:space="preserve">ροσαρμοσμένα κέρδη </w:t>
            </w:r>
            <w:r>
              <w:rPr>
                <w:rFonts w:ascii="Arial" w:hAnsi="Arial" w:cs="Arial"/>
                <w:b/>
                <w:bCs/>
                <w:color w:val="262626"/>
                <w:sz w:val="18"/>
                <w:szCs w:val="18"/>
                <w:lang w:val="el-GR"/>
              </w:rPr>
              <w:t>ανά</w:t>
            </w:r>
            <w:r w:rsidRPr="00955C85">
              <w:rPr>
                <w:rFonts w:ascii="Arial" w:hAnsi="Arial" w:cs="Arial"/>
                <w:b/>
                <w:bCs/>
                <w:color w:val="262626"/>
                <w:sz w:val="18"/>
                <w:szCs w:val="18"/>
                <w:lang w:val="el-GR"/>
              </w:rPr>
              <w:t xml:space="preserve"> μετοχή </w:t>
            </w:r>
            <w:r>
              <w:rPr>
                <w:rFonts w:ascii="Arial" w:hAnsi="Arial" w:cs="Arial"/>
                <w:b/>
                <w:bCs/>
                <w:color w:val="262626"/>
                <w:sz w:val="18"/>
                <w:szCs w:val="18"/>
                <w:lang w:val="el-GR"/>
              </w:rPr>
              <w:t xml:space="preserve">που </w:t>
            </w:r>
            <w:r w:rsidRPr="00955C85">
              <w:rPr>
                <w:rFonts w:ascii="Arial" w:hAnsi="Arial" w:cs="Arial"/>
                <w:b/>
                <w:bCs/>
                <w:color w:val="262626"/>
                <w:sz w:val="18"/>
                <w:szCs w:val="18"/>
                <w:lang w:val="el-GR"/>
              </w:rPr>
              <w:t>αναλογούν στους ιδιοκτήτες</w:t>
            </w:r>
            <w:r>
              <w:rPr>
                <w:rFonts w:ascii="Arial" w:hAnsi="Arial" w:cs="Arial"/>
                <w:b/>
                <w:bCs/>
                <w:color w:val="262626"/>
                <w:sz w:val="18"/>
                <w:szCs w:val="18"/>
                <w:lang w:val="el-GR"/>
              </w:rPr>
              <w:t xml:space="preserve"> </w:t>
            </w:r>
            <w:r w:rsidRPr="00D17E65">
              <w:rPr>
                <w:rFonts w:ascii="Arial" w:hAnsi="Arial" w:cs="Arial"/>
                <w:b/>
                <w:bCs/>
                <w:color w:val="262626"/>
                <w:sz w:val="18"/>
                <w:szCs w:val="18"/>
                <w:lang w:val="el-GR"/>
              </w:rPr>
              <w:t xml:space="preserve">της Εταιρίας (€ </w:t>
            </w:r>
            <w:proofErr w:type="spellStart"/>
            <w:r w:rsidRPr="00D17E65">
              <w:rPr>
                <w:rFonts w:ascii="Arial" w:hAnsi="Arial" w:cs="Arial"/>
                <w:b/>
                <w:bCs/>
                <w:color w:val="262626"/>
                <w:sz w:val="18"/>
                <w:szCs w:val="18"/>
                <w:lang w:val="el-GR"/>
              </w:rPr>
              <w:t>σεντ</w:t>
            </w:r>
            <w:proofErr w:type="spellEnd"/>
            <w:r w:rsidRPr="00D17E65">
              <w:rPr>
                <w:rFonts w:ascii="Arial" w:hAnsi="Arial" w:cs="Arial"/>
                <w:b/>
                <w:bCs/>
                <w:color w:val="262626"/>
                <w:sz w:val="18"/>
                <w:szCs w:val="18"/>
                <w:lang w:val="el-GR"/>
              </w:rPr>
              <w:t>)</w:t>
            </w:r>
          </w:p>
        </w:tc>
        <w:tc>
          <w:tcPr>
            <w:tcW w:w="1559" w:type="dxa"/>
            <w:tcBorders>
              <w:top w:val="double" w:sz="4" w:space="0" w:color="auto"/>
              <w:bottom w:val="double" w:sz="4" w:space="0" w:color="auto"/>
            </w:tcBorders>
            <w:shd w:val="clear" w:color="auto" w:fill="auto"/>
            <w:vAlign w:val="center"/>
          </w:tcPr>
          <w:p w14:paraId="757CF62A" w14:textId="77777777" w:rsidR="0056738E" w:rsidRPr="008B2A10"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89.7</w:t>
            </w:r>
          </w:p>
        </w:tc>
        <w:tc>
          <w:tcPr>
            <w:tcW w:w="1560" w:type="dxa"/>
            <w:tcBorders>
              <w:top w:val="double" w:sz="4" w:space="0" w:color="auto"/>
              <w:bottom w:val="double" w:sz="4" w:space="0" w:color="auto"/>
            </w:tcBorders>
            <w:shd w:val="clear" w:color="auto" w:fill="auto"/>
            <w:vAlign w:val="center"/>
          </w:tcPr>
          <w:p w14:paraId="55FCA065" w14:textId="77777777" w:rsidR="0056738E" w:rsidRDefault="0056738E" w:rsidP="007C2AEE">
            <w:pPr>
              <w:spacing w:after="0" w:line="240" w:lineRule="auto"/>
              <w:jc w:val="right"/>
              <w:rPr>
                <w:rFonts w:ascii="Arial" w:eastAsia="Batang" w:hAnsi="Arial" w:cs="Arial"/>
                <w:color w:val="262626"/>
                <w:sz w:val="18"/>
                <w:szCs w:val="18"/>
                <w:lang w:eastAsia="en-US"/>
              </w:rPr>
            </w:pPr>
            <w:r w:rsidRPr="00AC2F56">
              <w:rPr>
                <w:rFonts w:ascii="Arial" w:eastAsia="Batang" w:hAnsi="Arial" w:cs="Arial"/>
                <w:color w:val="262626"/>
                <w:sz w:val="18"/>
                <w:szCs w:val="18"/>
                <w:lang w:eastAsia="en-US"/>
              </w:rPr>
              <w:t>78.</w:t>
            </w:r>
            <w:r>
              <w:rPr>
                <w:rFonts w:ascii="Arial" w:eastAsia="Batang" w:hAnsi="Arial" w:cs="Arial"/>
                <w:color w:val="262626"/>
                <w:sz w:val="18"/>
                <w:szCs w:val="18"/>
                <w:lang w:eastAsia="en-US"/>
              </w:rPr>
              <w:t>2</w:t>
            </w:r>
          </w:p>
        </w:tc>
      </w:tr>
    </w:tbl>
    <w:p w14:paraId="00196B7F" w14:textId="77777777" w:rsidR="0056738E" w:rsidRDefault="0056738E" w:rsidP="0056738E">
      <w:pPr>
        <w:rPr>
          <w:rFonts w:ascii="Arial" w:hAnsi="Arial" w:cs="Arial"/>
          <w:b/>
          <w:color w:val="FF9900"/>
          <w:szCs w:val="16"/>
          <w:lang w:val="el-GR"/>
        </w:rPr>
      </w:pPr>
      <w:r>
        <w:rPr>
          <w:rFonts w:ascii="Arial" w:hAnsi="Arial" w:cs="Arial"/>
          <w:b/>
          <w:color w:val="FF9900"/>
          <w:szCs w:val="16"/>
          <w:lang w:val="el-GR"/>
        </w:rPr>
        <w:br w:type="page"/>
      </w:r>
    </w:p>
    <w:p w14:paraId="6A3DA626" w14:textId="77777777" w:rsidR="0056738E" w:rsidRDefault="0056738E" w:rsidP="0056738E">
      <w:pPr>
        <w:spacing w:after="0" w:line="360" w:lineRule="auto"/>
        <w:ind w:left="851" w:hanging="851"/>
        <w:jc w:val="both"/>
        <w:rPr>
          <w:rFonts w:ascii="Arial" w:hAnsi="Arial" w:cs="Arial"/>
          <w:b/>
          <w:color w:val="FF9900"/>
          <w:szCs w:val="16"/>
          <w:lang w:val="el-GR"/>
        </w:rPr>
      </w:pPr>
      <w:r>
        <w:rPr>
          <w:rFonts w:ascii="Arial" w:hAnsi="Arial" w:cs="Arial"/>
          <w:b/>
          <w:color w:val="FF9900"/>
          <w:szCs w:val="16"/>
          <w:lang w:val="el-GR"/>
        </w:rPr>
        <w:lastRenderedPageBreak/>
        <w:t>Ε.</w:t>
      </w:r>
      <w:r w:rsidRPr="00FF063C">
        <w:rPr>
          <w:rFonts w:ascii="Arial" w:hAnsi="Arial" w:cs="Arial"/>
          <w:b/>
          <w:color w:val="FF9900"/>
          <w:szCs w:val="16"/>
          <w:lang w:val="el-GR"/>
        </w:rPr>
        <w:t xml:space="preserve"> </w:t>
      </w:r>
      <w:r w:rsidRPr="00307591">
        <w:rPr>
          <w:rFonts w:ascii="Arial" w:hAnsi="Arial" w:cs="Arial"/>
          <w:b/>
          <w:color w:val="FF9900"/>
          <w:szCs w:val="16"/>
          <w:lang w:val="el-GR"/>
        </w:rPr>
        <w:tab/>
      </w:r>
      <w:r>
        <w:rPr>
          <w:rFonts w:ascii="Arial" w:hAnsi="Arial" w:cs="Arial"/>
          <w:b/>
          <w:color w:val="FF9900"/>
          <w:szCs w:val="16"/>
          <w:lang w:val="el-GR"/>
        </w:rPr>
        <w:t xml:space="preserve">Οικονομικά αποτελέσματα στην απαιτούμενη από τη νομοθεσία βάση </w:t>
      </w:r>
      <w:r w:rsidRPr="001C3AA9">
        <w:rPr>
          <w:rFonts w:ascii="Arial" w:hAnsi="Arial" w:cs="Arial"/>
          <w:bCs/>
          <w:color w:val="FF9900"/>
          <w:szCs w:val="16"/>
          <w:lang w:val="el-GR"/>
        </w:rPr>
        <w:t>(συνέχεια)</w:t>
      </w:r>
    </w:p>
    <w:p w14:paraId="5A1BF6CA" w14:textId="77777777" w:rsidR="0056738E" w:rsidRPr="00F46B33" w:rsidRDefault="0056738E" w:rsidP="0056738E">
      <w:pPr>
        <w:spacing w:after="120" w:line="240" w:lineRule="auto"/>
        <w:ind w:left="851" w:hanging="851"/>
        <w:jc w:val="both"/>
        <w:rPr>
          <w:rFonts w:ascii="Arial" w:hAnsi="Arial" w:cs="Arial"/>
          <w:b/>
          <w:color w:val="FF9900"/>
          <w:lang w:val="el-GR"/>
        </w:rPr>
      </w:pPr>
      <w:r>
        <w:rPr>
          <w:rFonts w:ascii="Arial" w:hAnsi="Arial" w:cs="Arial"/>
          <w:b/>
          <w:color w:val="FF9900"/>
          <w:lang w:val="el-GR"/>
        </w:rPr>
        <w:t>Ενδιάμεση Ενοποιημένη Κατάσταση Συνολικών Εισοδημάτων</w:t>
      </w:r>
    </w:p>
    <w:tbl>
      <w:tblPr>
        <w:tblW w:w="100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941"/>
        <w:gridCol w:w="1559"/>
        <w:gridCol w:w="1560"/>
      </w:tblGrid>
      <w:tr w:rsidR="0056738E" w:rsidRPr="00910A4E" w14:paraId="4F6AA8D9" w14:textId="77777777" w:rsidTr="007C2AEE">
        <w:trPr>
          <w:trHeight w:val="283"/>
          <w:jc w:val="center"/>
        </w:trPr>
        <w:tc>
          <w:tcPr>
            <w:tcW w:w="6941" w:type="dxa"/>
            <w:tcBorders>
              <w:left w:val="single" w:sz="4" w:space="0" w:color="C0C0C0"/>
              <w:bottom w:val="single" w:sz="4" w:space="0" w:color="C0C0C0"/>
            </w:tcBorders>
            <w:vAlign w:val="center"/>
          </w:tcPr>
          <w:p w14:paraId="7DD79BF0" w14:textId="77777777" w:rsidR="0056738E" w:rsidRPr="00295155" w:rsidRDefault="0056738E" w:rsidP="007C2AEE">
            <w:pPr>
              <w:tabs>
                <w:tab w:val="left" w:pos="0"/>
                <w:tab w:val="left" w:pos="282"/>
                <w:tab w:val="left" w:pos="720"/>
              </w:tabs>
              <w:suppressAutoHyphens/>
              <w:spacing w:after="0" w:line="240" w:lineRule="auto"/>
              <w:jc w:val="center"/>
              <w:rPr>
                <w:rFonts w:ascii="Arial" w:hAnsi="Arial" w:cs="Arial"/>
                <w:b/>
                <w:i/>
                <w:color w:val="262626"/>
                <w:sz w:val="18"/>
                <w:szCs w:val="18"/>
                <w:lang w:val="el-GR"/>
              </w:rPr>
            </w:pPr>
          </w:p>
        </w:tc>
        <w:tc>
          <w:tcPr>
            <w:tcW w:w="3119" w:type="dxa"/>
            <w:gridSpan w:val="2"/>
            <w:vAlign w:val="center"/>
          </w:tcPr>
          <w:p w14:paraId="5386505B" w14:textId="77777777" w:rsidR="0056738E" w:rsidRPr="00D16F52" w:rsidRDefault="0056738E" w:rsidP="007C2AEE">
            <w:pPr>
              <w:spacing w:after="0" w:line="240" w:lineRule="auto"/>
              <w:jc w:val="center"/>
              <w:rPr>
                <w:rFonts w:ascii="Arial" w:eastAsia="Batang" w:hAnsi="Arial" w:cs="Arial"/>
                <w:b/>
                <w:color w:val="262626"/>
                <w:sz w:val="18"/>
                <w:szCs w:val="18"/>
                <w:lang w:val="el-GR" w:eastAsia="en-US"/>
              </w:rPr>
            </w:pPr>
            <w:r>
              <w:rPr>
                <w:rFonts w:ascii="Arial" w:eastAsia="Batang" w:hAnsi="Arial" w:cs="Arial"/>
                <w:b/>
                <w:color w:val="262626"/>
                <w:sz w:val="18"/>
                <w:szCs w:val="18"/>
                <w:lang w:val="el-GR" w:eastAsia="en-US"/>
              </w:rPr>
              <w:t>Εννεάμηνο</w:t>
            </w:r>
            <w:r w:rsidRPr="00D16F52">
              <w:rPr>
                <w:rFonts w:ascii="Arial" w:eastAsia="Batang" w:hAnsi="Arial" w:cs="Arial"/>
                <w:b/>
                <w:color w:val="262626"/>
                <w:sz w:val="18"/>
                <w:szCs w:val="18"/>
                <w:lang w:val="el-GR" w:eastAsia="en-US"/>
              </w:rPr>
              <w:t xml:space="preserve"> που έληξε στις </w:t>
            </w:r>
          </w:p>
          <w:p w14:paraId="62C58ACC" w14:textId="77777777" w:rsidR="0056738E" w:rsidRPr="00191F01" w:rsidRDefault="0056738E" w:rsidP="007C2AEE">
            <w:pPr>
              <w:pStyle w:val="BodyText3"/>
              <w:jc w:val="center"/>
              <w:rPr>
                <w:rFonts w:ascii="Arial" w:hAnsi="Arial" w:cs="Arial"/>
                <w:b/>
                <w:bCs/>
                <w:color w:val="262626"/>
                <w:sz w:val="18"/>
                <w:szCs w:val="18"/>
                <w:lang w:val="el-GR"/>
              </w:rPr>
            </w:pPr>
            <w:r>
              <w:rPr>
                <w:rFonts w:ascii="Arial" w:eastAsia="Batang" w:hAnsi="Arial" w:cs="Arial"/>
                <w:b/>
                <w:color w:val="262626"/>
                <w:sz w:val="18"/>
                <w:szCs w:val="18"/>
                <w:lang w:val="el-GR" w:eastAsia="en-US"/>
              </w:rPr>
              <w:t>30 Σεπτεμβρίου</w:t>
            </w:r>
          </w:p>
        </w:tc>
      </w:tr>
      <w:tr w:rsidR="0056738E" w:rsidRPr="00295155" w14:paraId="20DCFC8E" w14:textId="77777777" w:rsidTr="007C2AEE">
        <w:trPr>
          <w:trHeight w:val="283"/>
          <w:jc w:val="center"/>
        </w:trPr>
        <w:tc>
          <w:tcPr>
            <w:tcW w:w="6941" w:type="dxa"/>
            <w:tcBorders>
              <w:left w:val="single" w:sz="4" w:space="0" w:color="C0C0C0"/>
              <w:bottom w:val="single" w:sz="4" w:space="0" w:color="C0C0C0"/>
            </w:tcBorders>
            <w:vAlign w:val="center"/>
          </w:tcPr>
          <w:p w14:paraId="49DC6685" w14:textId="77777777" w:rsidR="0056738E" w:rsidRPr="00295155" w:rsidRDefault="0056738E" w:rsidP="007C2AEE">
            <w:pPr>
              <w:tabs>
                <w:tab w:val="left" w:pos="0"/>
                <w:tab w:val="left" w:pos="282"/>
                <w:tab w:val="left" w:pos="720"/>
              </w:tabs>
              <w:suppressAutoHyphens/>
              <w:spacing w:after="0" w:line="240" w:lineRule="auto"/>
              <w:jc w:val="center"/>
              <w:rPr>
                <w:rFonts w:ascii="Arial" w:hAnsi="Arial" w:cs="Arial"/>
                <w:b/>
                <w:i/>
                <w:color w:val="262626"/>
                <w:sz w:val="18"/>
                <w:szCs w:val="18"/>
                <w:lang w:val="el-GR"/>
              </w:rPr>
            </w:pPr>
          </w:p>
        </w:tc>
        <w:tc>
          <w:tcPr>
            <w:tcW w:w="1559" w:type="dxa"/>
            <w:vAlign w:val="center"/>
          </w:tcPr>
          <w:p w14:paraId="2755E66B" w14:textId="77777777" w:rsidR="0056738E" w:rsidRPr="003F6987" w:rsidRDefault="0056738E" w:rsidP="007C2AEE">
            <w:pPr>
              <w:pStyle w:val="BodyText3"/>
              <w:jc w:val="center"/>
              <w:rPr>
                <w:rFonts w:ascii="Arial" w:hAnsi="Arial" w:cs="Arial"/>
                <w:b/>
                <w:bCs/>
                <w:color w:val="262626"/>
                <w:sz w:val="18"/>
                <w:szCs w:val="18"/>
                <w:lang w:val="en-US"/>
              </w:rPr>
            </w:pPr>
            <w:r w:rsidRPr="00295155">
              <w:rPr>
                <w:rFonts w:ascii="Arial" w:hAnsi="Arial" w:cs="Arial"/>
                <w:b/>
                <w:bCs/>
                <w:color w:val="262626"/>
                <w:sz w:val="18"/>
                <w:szCs w:val="18"/>
                <w:lang w:val="el-GR"/>
              </w:rPr>
              <w:t>20</w:t>
            </w:r>
            <w:r>
              <w:rPr>
                <w:rFonts w:ascii="Arial" w:hAnsi="Arial" w:cs="Arial"/>
                <w:b/>
                <w:bCs/>
                <w:color w:val="262626"/>
                <w:sz w:val="18"/>
                <w:szCs w:val="18"/>
                <w:lang w:val="el-GR"/>
              </w:rPr>
              <w:t>2</w:t>
            </w:r>
            <w:r>
              <w:rPr>
                <w:rFonts w:ascii="Arial" w:hAnsi="Arial" w:cs="Arial"/>
                <w:b/>
                <w:bCs/>
                <w:color w:val="262626"/>
                <w:sz w:val="18"/>
                <w:szCs w:val="18"/>
                <w:lang w:val="en-US"/>
              </w:rPr>
              <w:t>4</w:t>
            </w:r>
          </w:p>
        </w:tc>
        <w:tc>
          <w:tcPr>
            <w:tcW w:w="1560" w:type="dxa"/>
            <w:vAlign w:val="center"/>
          </w:tcPr>
          <w:p w14:paraId="25755224" w14:textId="77777777" w:rsidR="0056738E" w:rsidRPr="00325113" w:rsidRDefault="0056738E" w:rsidP="007C2AEE">
            <w:pPr>
              <w:pStyle w:val="BodyText3"/>
              <w:ind w:left="-94" w:right="-122"/>
              <w:jc w:val="center"/>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20</w:t>
            </w:r>
            <w:r>
              <w:rPr>
                <w:rFonts w:ascii="Arial" w:eastAsia="Batang" w:hAnsi="Arial" w:cs="Arial"/>
                <w:color w:val="262626"/>
                <w:sz w:val="18"/>
                <w:szCs w:val="18"/>
                <w:lang w:val="el-GR" w:eastAsia="en-US"/>
              </w:rPr>
              <w:t>2</w:t>
            </w:r>
            <w:r>
              <w:rPr>
                <w:rFonts w:ascii="Arial" w:eastAsia="Batang" w:hAnsi="Arial" w:cs="Arial"/>
                <w:color w:val="262626"/>
                <w:sz w:val="18"/>
                <w:szCs w:val="18"/>
                <w:lang w:val="en-US" w:eastAsia="en-US"/>
              </w:rPr>
              <w:t>3</w:t>
            </w:r>
          </w:p>
        </w:tc>
      </w:tr>
      <w:tr w:rsidR="0056738E" w:rsidRPr="00295155" w14:paraId="389453BF" w14:textId="77777777" w:rsidTr="007C2AEE">
        <w:trPr>
          <w:trHeight w:val="283"/>
          <w:jc w:val="center"/>
        </w:trPr>
        <w:tc>
          <w:tcPr>
            <w:tcW w:w="6941" w:type="dxa"/>
            <w:tcBorders>
              <w:left w:val="single" w:sz="4" w:space="0" w:color="C0C0C0"/>
              <w:bottom w:val="single" w:sz="4" w:space="0" w:color="C0C0C0"/>
            </w:tcBorders>
          </w:tcPr>
          <w:p w14:paraId="58D1A661" w14:textId="77777777" w:rsidR="0056738E" w:rsidRPr="00295155" w:rsidRDefault="0056738E" w:rsidP="007C2AEE">
            <w:pPr>
              <w:tabs>
                <w:tab w:val="left" w:pos="0"/>
                <w:tab w:val="left" w:pos="282"/>
                <w:tab w:val="left" w:pos="720"/>
              </w:tabs>
              <w:suppressAutoHyphens/>
              <w:spacing w:after="0" w:line="240" w:lineRule="auto"/>
              <w:jc w:val="right"/>
              <w:rPr>
                <w:rFonts w:ascii="Arial" w:hAnsi="Arial" w:cs="Arial"/>
                <w:color w:val="262626"/>
                <w:sz w:val="18"/>
                <w:szCs w:val="18"/>
                <w:lang w:val="el-GR"/>
              </w:rPr>
            </w:pPr>
          </w:p>
        </w:tc>
        <w:tc>
          <w:tcPr>
            <w:tcW w:w="1559" w:type="dxa"/>
            <w:tcBorders>
              <w:bottom w:val="single" w:sz="4" w:space="0" w:color="C0C0C0"/>
            </w:tcBorders>
            <w:vAlign w:val="center"/>
          </w:tcPr>
          <w:p w14:paraId="7DE8CC6C" w14:textId="77777777" w:rsidR="0056738E" w:rsidRPr="00295155" w:rsidRDefault="0056738E" w:rsidP="007C2AEE">
            <w:pPr>
              <w:spacing w:after="0" w:line="240" w:lineRule="auto"/>
              <w:jc w:val="center"/>
              <w:rPr>
                <w:rFonts w:ascii="Arial" w:hAnsi="Arial" w:cs="Arial"/>
                <w:color w:val="262626"/>
                <w:sz w:val="18"/>
                <w:szCs w:val="18"/>
                <w:lang w:val="el-GR"/>
              </w:rPr>
            </w:pPr>
            <w:r w:rsidRPr="00295155">
              <w:rPr>
                <w:rFonts w:ascii="Arial" w:hAnsi="Arial" w:cs="Arial"/>
                <w:b/>
                <w:color w:val="262626"/>
                <w:sz w:val="18"/>
                <w:szCs w:val="18"/>
                <w:lang w:val="el-GR"/>
              </w:rPr>
              <w:t>€000</w:t>
            </w:r>
          </w:p>
        </w:tc>
        <w:tc>
          <w:tcPr>
            <w:tcW w:w="1560" w:type="dxa"/>
            <w:tcBorders>
              <w:bottom w:val="single" w:sz="4" w:space="0" w:color="C0C0C0"/>
            </w:tcBorders>
            <w:vAlign w:val="center"/>
          </w:tcPr>
          <w:p w14:paraId="66F74EBB" w14:textId="77777777" w:rsidR="0056738E" w:rsidRPr="00325113" w:rsidRDefault="0056738E" w:rsidP="007C2AEE">
            <w:pPr>
              <w:spacing w:after="0" w:line="240" w:lineRule="auto"/>
              <w:jc w:val="center"/>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€000</w:t>
            </w:r>
          </w:p>
        </w:tc>
      </w:tr>
      <w:tr w:rsidR="0056738E" w:rsidRPr="00EA064F" w14:paraId="7A0762F1" w14:textId="77777777" w:rsidTr="007C2AEE">
        <w:trPr>
          <w:trHeight w:val="283"/>
          <w:jc w:val="center"/>
        </w:trPr>
        <w:tc>
          <w:tcPr>
            <w:tcW w:w="6941" w:type="dxa"/>
            <w:tcBorders>
              <w:top w:val="single" w:sz="4" w:space="0" w:color="C0C0C0"/>
              <w:left w:val="single" w:sz="4" w:space="0" w:color="C0C0C0"/>
              <w:bottom w:val="single" w:sz="4" w:space="0" w:color="C0C0C0"/>
            </w:tcBorders>
            <w:vAlign w:val="center"/>
          </w:tcPr>
          <w:p w14:paraId="2D5D8ADF" w14:textId="77777777" w:rsidR="0056738E" w:rsidRPr="00295155" w:rsidRDefault="0056738E" w:rsidP="007C2AEE">
            <w:pPr>
              <w:pStyle w:val="BodyText2"/>
              <w:spacing w:after="0" w:line="240" w:lineRule="auto"/>
              <w:rPr>
                <w:rFonts w:ascii="Arial" w:hAnsi="Arial" w:cs="Arial"/>
                <w:b/>
                <w:color w:val="262626"/>
                <w:sz w:val="18"/>
                <w:szCs w:val="18"/>
                <w:lang w:val="el-GR" w:eastAsia="el-GR"/>
              </w:rPr>
            </w:pPr>
            <w:r>
              <w:rPr>
                <w:rFonts w:ascii="Arial" w:hAnsi="Arial" w:cs="Arial"/>
                <w:b/>
                <w:bCs/>
                <w:color w:val="262626"/>
                <w:sz w:val="18"/>
                <w:szCs w:val="18"/>
                <w:lang w:val="el-GR"/>
              </w:rPr>
              <w:t>Κ</w:t>
            </w:r>
            <w:r w:rsidRPr="000A33F0">
              <w:rPr>
                <w:rFonts w:ascii="Arial" w:hAnsi="Arial" w:cs="Arial"/>
                <w:b/>
                <w:bCs/>
                <w:color w:val="262626"/>
                <w:sz w:val="18"/>
                <w:szCs w:val="18"/>
                <w:lang w:val="el-GR"/>
              </w:rPr>
              <w:t>έρδη για την περίοδο</w:t>
            </w:r>
          </w:p>
        </w:tc>
        <w:tc>
          <w:tcPr>
            <w:tcW w:w="1559" w:type="dxa"/>
            <w:tcBorders>
              <w:bottom w:val="single" w:sz="6" w:space="0" w:color="auto"/>
            </w:tcBorders>
            <w:shd w:val="clear" w:color="auto" w:fill="auto"/>
            <w:vAlign w:val="center"/>
          </w:tcPr>
          <w:p w14:paraId="78A56799" w14:textId="77777777" w:rsidR="0056738E" w:rsidRPr="00A03828" w:rsidRDefault="0056738E" w:rsidP="007C2AEE">
            <w:pPr>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402,183</w:t>
            </w:r>
          </w:p>
        </w:tc>
        <w:tc>
          <w:tcPr>
            <w:tcW w:w="1560" w:type="dxa"/>
            <w:tcBorders>
              <w:bottom w:val="single" w:sz="6" w:space="0" w:color="auto"/>
            </w:tcBorders>
            <w:shd w:val="clear" w:color="auto" w:fill="auto"/>
            <w:vAlign w:val="center"/>
          </w:tcPr>
          <w:p w14:paraId="7C844992"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351,052</w:t>
            </w:r>
          </w:p>
        </w:tc>
      </w:tr>
      <w:tr w:rsidR="0056738E" w:rsidRPr="00295155" w14:paraId="3F2F6F2C" w14:textId="77777777" w:rsidTr="007C2AEE">
        <w:trPr>
          <w:trHeight w:val="283"/>
          <w:jc w:val="center"/>
        </w:trPr>
        <w:tc>
          <w:tcPr>
            <w:tcW w:w="6941" w:type="dxa"/>
            <w:tcBorders>
              <w:top w:val="single" w:sz="4" w:space="0" w:color="C0C0C0"/>
              <w:left w:val="single" w:sz="4" w:space="0" w:color="C0C0C0"/>
              <w:bottom w:val="single" w:sz="4" w:space="0" w:color="C0C0C0"/>
            </w:tcBorders>
            <w:vAlign w:val="center"/>
          </w:tcPr>
          <w:p w14:paraId="086BAFF7" w14:textId="77777777" w:rsidR="0056738E" w:rsidRPr="00295155" w:rsidRDefault="0056738E" w:rsidP="007C2AEE">
            <w:pPr>
              <w:spacing w:after="0" w:line="240" w:lineRule="auto"/>
              <w:rPr>
                <w:rFonts w:ascii="Arial" w:hAnsi="Arial" w:cs="Arial"/>
                <w:b/>
                <w:bCs/>
                <w:iCs/>
                <w:color w:val="262626"/>
                <w:sz w:val="18"/>
                <w:szCs w:val="18"/>
                <w:lang w:val="el-GR"/>
              </w:rPr>
            </w:pPr>
            <w:r w:rsidRPr="00295155">
              <w:rPr>
                <w:rFonts w:ascii="Arial" w:hAnsi="Arial" w:cs="Arial"/>
                <w:b/>
                <w:bCs/>
                <w:iCs/>
                <w:color w:val="262626"/>
                <w:sz w:val="18"/>
                <w:szCs w:val="18"/>
                <w:lang w:val="el-GR"/>
              </w:rPr>
              <w:t>Λοιπά συνολικά εισοδήματα</w:t>
            </w:r>
          </w:p>
        </w:tc>
        <w:tc>
          <w:tcPr>
            <w:tcW w:w="1559" w:type="dxa"/>
            <w:tcBorders>
              <w:top w:val="single" w:sz="6" w:space="0" w:color="auto"/>
              <w:bottom w:val="single" w:sz="4" w:space="0" w:color="C0C0C0"/>
            </w:tcBorders>
            <w:shd w:val="clear" w:color="auto" w:fill="FFFFFF" w:themeFill="background1"/>
            <w:vAlign w:val="center"/>
          </w:tcPr>
          <w:p w14:paraId="264A4650" w14:textId="77777777" w:rsidR="0056738E" w:rsidRPr="00B27E5C"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p>
        </w:tc>
        <w:tc>
          <w:tcPr>
            <w:tcW w:w="1560" w:type="dxa"/>
            <w:tcBorders>
              <w:top w:val="single" w:sz="6" w:space="0" w:color="auto"/>
              <w:bottom w:val="single" w:sz="4" w:space="0" w:color="C0C0C0"/>
            </w:tcBorders>
            <w:shd w:val="clear" w:color="auto" w:fill="FFFFFF" w:themeFill="background1"/>
            <w:vAlign w:val="center"/>
          </w:tcPr>
          <w:p w14:paraId="0A782BA7"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eastAsia="en-US"/>
              </w:rPr>
            </w:pPr>
          </w:p>
        </w:tc>
      </w:tr>
      <w:tr w:rsidR="0056738E" w:rsidRPr="000A3197" w14:paraId="0EB14F65" w14:textId="77777777" w:rsidTr="007C2AEE">
        <w:trPr>
          <w:trHeight w:val="283"/>
          <w:jc w:val="center"/>
        </w:trPr>
        <w:tc>
          <w:tcPr>
            <w:tcW w:w="6941" w:type="dxa"/>
            <w:tcBorders>
              <w:top w:val="single" w:sz="4" w:space="0" w:color="C0C0C0"/>
              <w:left w:val="single" w:sz="4" w:space="0" w:color="C0C0C0"/>
              <w:bottom w:val="single" w:sz="4" w:space="0" w:color="C0C0C0"/>
            </w:tcBorders>
            <w:vAlign w:val="center"/>
          </w:tcPr>
          <w:p w14:paraId="19C8CC18" w14:textId="77777777" w:rsidR="0056738E" w:rsidRPr="00295155" w:rsidRDefault="0056738E" w:rsidP="007C2AEE">
            <w:pPr>
              <w:spacing w:after="0" w:line="240" w:lineRule="auto"/>
              <w:rPr>
                <w:rFonts w:ascii="Arial" w:hAnsi="Arial" w:cs="Arial"/>
                <w:b/>
                <w:bCs/>
                <w:iCs/>
                <w:color w:val="262626"/>
                <w:sz w:val="18"/>
                <w:szCs w:val="18"/>
                <w:lang w:val="el-GR"/>
              </w:rPr>
            </w:pPr>
            <w:r w:rsidRPr="00295155">
              <w:rPr>
                <w:rFonts w:ascii="Arial" w:hAnsi="Arial" w:cs="Arial"/>
                <w:b/>
                <w:bCs/>
                <w:iCs/>
                <w:color w:val="262626"/>
                <w:sz w:val="18"/>
                <w:szCs w:val="18"/>
                <w:lang w:val="el-GR"/>
              </w:rPr>
              <w:t xml:space="preserve">Λοιπά συνολικά εισοδήματα που </w:t>
            </w:r>
            <w:r>
              <w:rPr>
                <w:rFonts w:ascii="Arial" w:hAnsi="Arial" w:cs="Arial"/>
                <w:b/>
                <w:bCs/>
                <w:iCs/>
                <w:color w:val="262626"/>
                <w:sz w:val="18"/>
                <w:szCs w:val="18"/>
                <w:lang w:val="el-GR"/>
              </w:rPr>
              <w:t>μπορεί</w:t>
            </w:r>
            <w:r w:rsidRPr="00295155">
              <w:rPr>
                <w:rFonts w:ascii="Arial" w:hAnsi="Arial" w:cs="Arial"/>
                <w:b/>
                <w:bCs/>
                <w:iCs/>
                <w:color w:val="262626"/>
                <w:sz w:val="18"/>
                <w:szCs w:val="18"/>
                <w:lang w:val="el-GR"/>
              </w:rPr>
              <w:t xml:space="preserve"> να </w:t>
            </w:r>
            <w:proofErr w:type="spellStart"/>
            <w:r>
              <w:rPr>
                <w:rFonts w:ascii="Arial" w:hAnsi="Arial" w:cs="Arial"/>
                <w:b/>
                <w:bCs/>
                <w:iCs/>
                <w:color w:val="262626"/>
                <w:sz w:val="18"/>
                <w:szCs w:val="18"/>
                <w:lang w:val="el-GR"/>
              </w:rPr>
              <w:t>επανακατηγοριοποιηθούν</w:t>
            </w:r>
            <w:proofErr w:type="spellEnd"/>
            <w:r w:rsidRPr="00295155">
              <w:rPr>
                <w:rFonts w:ascii="Arial" w:hAnsi="Arial" w:cs="Arial"/>
                <w:b/>
                <w:bCs/>
                <w:iCs/>
                <w:color w:val="262626"/>
                <w:sz w:val="18"/>
                <w:szCs w:val="18"/>
                <w:lang w:val="el-GR"/>
              </w:rPr>
              <w:t xml:space="preserve"> στην ενοποιημένη κατάσταση λογαριασμού αποτελεσμάτων σε μεταγενέστερες περιόδους</w:t>
            </w:r>
          </w:p>
        </w:tc>
        <w:tc>
          <w:tcPr>
            <w:tcW w:w="1559" w:type="dxa"/>
            <w:tcBorders>
              <w:top w:val="single" w:sz="4" w:space="0" w:color="C0C0C0"/>
              <w:bottom w:val="single" w:sz="6" w:space="0" w:color="000000" w:themeColor="text1"/>
            </w:tcBorders>
            <w:shd w:val="clear" w:color="auto" w:fill="FFFFFF" w:themeFill="background1"/>
            <w:vAlign w:val="center"/>
          </w:tcPr>
          <w:p w14:paraId="474A77C8"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(1,575)</w:t>
            </w:r>
          </w:p>
        </w:tc>
        <w:tc>
          <w:tcPr>
            <w:tcW w:w="1560" w:type="dxa"/>
            <w:tcBorders>
              <w:top w:val="single" w:sz="4" w:space="0" w:color="C0C0C0"/>
              <w:bottom w:val="single" w:sz="6" w:space="0" w:color="000000" w:themeColor="text1"/>
            </w:tcBorders>
            <w:shd w:val="clear" w:color="auto" w:fill="FFFFFF" w:themeFill="background1"/>
            <w:vAlign w:val="center"/>
          </w:tcPr>
          <w:p w14:paraId="0EE1FCF0"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1,903</w:t>
            </w:r>
          </w:p>
        </w:tc>
      </w:tr>
      <w:tr w:rsidR="0056738E" w:rsidRPr="00295155" w14:paraId="1195F569" w14:textId="77777777" w:rsidTr="007C2AEE">
        <w:trPr>
          <w:trHeight w:val="283"/>
          <w:jc w:val="center"/>
        </w:trPr>
        <w:tc>
          <w:tcPr>
            <w:tcW w:w="6941" w:type="dxa"/>
            <w:tcBorders>
              <w:top w:val="single" w:sz="4" w:space="0" w:color="C0C0C0"/>
              <w:left w:val="single" w:sz="4" w:space="0" w:color="C0C0C0"/>
              <w:bottom w:val="single" w:sz="4" w:space="0" w:color="C0C0C0"/>
            </w:tcBorders>
            <w:vAlign w:val="center"/>
          </w:tcPr>
          <w:p w14:paraId="433F7EC1" w14:textId="77777777" w:rsidR="0056738E" w:rsidRPr="00295155" w:rsidRDefault="0056738E" w:rsidP="007C2AEE">
            <w:pPr>
              <w:tabs>
                <w:tab w:val="left" w:pos="0"/>
                <w:tab w:val="left" w:pos="282"/>
                <w:tab w:val="left" w:pos="720"/>
              </w:tabs>
              <w:suppressAutoHyphens/>
              <w:spacing w:after="0" w:line="240" w:lineRule="auto"/>
              <w:rPr>
                <w:rFonts w:ascii="Arial" w:eastAsia="Batang" w:hAnsi="Arial" w:cs="Arial"/>
                <w:b/>
                <w:bCs/>
                <w:color w:val="262626"/>
                <w:sz w:val="18"/>
                <w:szCs w:val="18"/>
                <w:lang w:val="el-GR" w:eastAsia="en-US"/>
              </w:rPr>
            </w:pPr>
            <w:r w:rsidRPr="00295155">
              <w:rPr>
                <w:rFonts w:ascii="Arial" w:eastAsia="Batang" w:hAnsi="Arial" w:cs="Arial"/>
                <w:b/>
                <w:bCs/>
                <w:color w:val="262626"/>
                <w:sz w:val="18"/>
                <w:szCs w:val="18"/>
                <w:lang w:val="el-GR" w:eastAsia="en-US"/>
              </w:rPr>
              <w:t>Αποθεματικό εύλογης αξίας (ομόλογα)</w:t>
            </w:r>
          </w:p>
        </w:tc>
        <w:tc>
          <w:tcPr>
            <w:tcW w:w="1559" w:type="dxa"/>
            <w:tcBorders>
              <w:top w:val="single" w:sz="6" w:space="0" w:color="000000" w:themeColor="text1"/>
              <w:bottom w:val="single" w:sz="6" w:space="0" w:color="000000" w:themeColor="text1"/>
            </w:tcBorders>
            <w:shd w:val="clear" w:color="auto" w:fill="FFFFFF" w:themeFill="background1"/>
            <w:vAlign w:val="center"/>
          </w:tcPr>
          <w:p w14:paraId="75EE7A44"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color w:val="262626"/>
                <w:sz w:val="18"/>
                <w:szCs w:val="18"/>
                <w:lang w:eastAsia="en-US"/>
              </w:rPr>
            </w:pPr>
            <w:r>
              <w:rPr>
                <w:rFonts w:ascii="Arial" w:eastAsia="Batang" w:hAnsi="Arial" w:cs="Arial"/>
                <w:b/>
                <w:color w:val="262626"/>
                <w:sz w:val="18"/>
                <w:szCs w:val="18"/>
                <w:lang w:eastAsia="en-US"/>
              </w:rPr>
              <w:t>(1,585)</w:t>
            </w:r>
          </w:p>
        </w:tc>
        <w:tc>
          <w:tcPr>
            <w:tcW w:w="1560" w:type="dxa"/>
            <w:tcBorders>
              <w:top w:val="single" w:sz="6" w:space="0" w:color="000000" w:themeColor="text1"/>
              <w:bottom w:val="single" w:sz="6" w:space="0" w:color="000000" w:themeColor="text1"/>
            </w:tcBorders>
            <w:shd w:val="clear" w:color="auto" w:fill="FFFFFF" w:themeFill="background1"/>
            <w:vAlign w:val="center"/>
          </w:tcPr>
          <w:p w14:paraId="58D57FD5"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2,002</w:t>
            </w:r>
          </w:p>
        </w:tc>
      </w:tr>
      <w:tr w:rsidR="0056738E" w:rsidRPr="000A3197" w14:paraId="3DB97D5C" w14:textId="77777777" w:rsidTr="007C2AEE">
        <w:trPr>
          <w:trHeight w:val="283"/>
          <w:jc w:val="center"/>
        </w:trPr>
        <w:tc>
          <w:tcPr>
            <w:tcW w:w="6941" w:type="dxa"/>
            <w:tcBorders>
              <w:top w:val="single" w:sz="4" w:space="0" w:color="C0C0C0"/>
              <w:left w:val="single" w:sz="4" w:space="0" w:color="C0C0C0"/>
              <w:bottom w:val="single" w:sz="4" w:space="0" w:color="C0C0C0"/>
            </w:tcBorders>
            <w:vAlign w:val="center"/>
          </w:tcPr>
          <w:p w14:paraId="40F46741" w14:textId="77777777" w:rsidR="0056738E" w:rsidRPr="00295155" w:rsidRDefault="0056738E" w:rsidP="007C2AEE">
            <w:pPr>
              <w:tabs>
                <w:tab w:val="left" w:pos="0"/>
                <w:tab w:val="left" w:pos="282"/>
                <w:tab w:val="left" w:pos="720"/>
              </w:tabs>
              <w:suppressAutoHyphens/>
              <w:spacing w:after="0" w:line="240" w:lineRule="auto"/>
              <w:rPr>
                <w:rFonts w:ascii="Arial" w:eastAsia="Batang" w:hAnsi="Arial" w:cs="Arial"/>
                <w:bCs/>
                <w:color w:val="262626"/>
                <w:sz w:val="18"/>
                <w:szCs w:val="18"/>
                <w:lang w:val="el-GR" w:eastAsia="en-US"/>
              </w:rPr>
            </w:pPr>
            <w:r>
              <w:rPr>
                <w:rFonts w:ascii="Arial" w:eastAsia="Batang" w:hAnsi="Arial" w:cs="Arial"/>
                <w:bCs/>
                <w:color w:val="262626"/>
                <w:sz w:val="18"/>
                <w:szCs w:val="18"/>
                <w:lang w:val="el-GR" w:eastAsia="en-US"/>
              </w:rPr>
              <w:t>Καθαρές (ζημιές)</w:t>
            </w:r>
            <w:r w:rsidRPr="00A03828">
              <w:rPr>
                <w:rFonts w:ascii="Arial" w:eastAsia="Batang" w:hAnsi="Arial" w:cs="Arial"/>
                <w:bCs/>
                <w:color w:val="262626"/>
                <w:sz w:val="18"/>
                <w:szCs w:val="18"/>
                <w:lang w:val="el-GR" w:eastAsia="en-US"/>
              </w:rPr>
              <w:t>/</w:t>
            </w:r>
            <w:r>
              <w:rPr>
                <w:rFonts w:ascii="Arial" w:eastAsia="Batang" w:hAnsi="Arial" w:cs="Arial"/>
                <w:bCs/>
                <w:color w:val="262626"/>
                <w:sz w:val="18"/>
                <w:szCs w:val="18"/>
                <w:lang w:val="el-GR" w:eastAsia="en-US"/>
              </w:rPr>
              <w:t>κέρδη από επενδύσεις</w:t>
            </w:r>
            <w:r w:rsidRPr="00295155">
              <w:rPr>
                <w:rFonts w:ascii="Arial" w:eastAsia="Batang" w:hAnsi="Arial" w:cs="Arial"/>
                <w:bCs/>
                <w:color w:val="262626"/>
                <w:sz w:val="18"/>
                <w:szCs w:val="18"/>
                <w:lang w:val="el-GR" w:eastAsia="en-US"/>
              </w:rPr>
              <w:t xml:space="preserve"> σε ομόλογα που επιμετρούνται </w:t>
            </w:r>
            <w:r>
              <w:rPr>
                <w:rFonts w:ascii="Arial" w:eastAsia="Batang" w:hAnsi="Arial" w:cs="Arial"/>
                <w:bCs/>
                <w:color w:val="262626"/>
                <w:sz w:val="18"/>
                <w:szCs w:val="18"/>
                <w:lang w:val="el-GR" w:eastAsia="en-US"/>
              </w:rPr>
              <w:t>στην</w:t>
            </w:r>
            <w:r w:rsidRPr="00295155">
              <w:rPr>
                <w:rFonts w:ascii="Arial" w:eastAsia="Batang" w:hAnsi="Arial" w:cs="Arial"/>
                <w:bCs/>
                <w:color w:val="262626"/>
                <w:sz w:val="18"/>
                <w:szCs w:val="18"/>
                <w:lang w:val="el-GR" w:eastAsia="en-US"/>
              </w:rPr>
              <w:t xml:space="preserve"> εύλογη αξία μέσω των λοιπών συνολικών εισοδημάτων</w:t>
            </w:r>
          </w:p>
        </w:tc>
        <w:tc>
          <w:tcPr>
            <w:tcW w:w="1559" w:type="dxa"/>
            <w:tcBorders>
              <w:top w:val="single" w:sz="6" w:space="0" w:color="000000" w:themeColor="text1"/>
              <w:bottom w:val="single" w:sz="6" w:space="0" w:color="BFBFBF" w:themeColor="background1" w:themeShade="BF"/>
              <w:right w:val="single" w:sz="4" w:space="0" w:color="BFBFBF" w:themeColor="background1" w:themeShade="BF"/>
            </w:tcBorders>
            <w:shd w:val="clear" w:color="auto" w:fill="auto"/>
            <w:vAlign w:val="center"/>
          </w:tcPr>
          <w:p w14:paraId="7B2A0599"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(1,585)</w:t>
            </w:r>
          </w:p>
        </w:tc>
        <w:tc>
          <w:tcPr>
            <w:tcW w:w="1560" w:type="dxa"/>
            <w:tcBorders>
              <w:top w:val="single" w:sz="6" w:space="0" w:color="000000" w:themeColor="text1"/>
              <w:bottom w:val="single" w:sz="6" w:space="0" w:color="BFBFBF" w:themeColor="background1" w:themeShade="BF"/>
              <w:right w:val="single" w:sz="4" w:space="0" w:color="BFBFBF" w:themeColor="background1" w:themeShade="BF"/>
            </w:tcBorders>
            <w:shd w:val="clear" w:color="auto" w:fill="auto"/>
            <w:vAlign w:val="center"/>
          </w:tcPr>
          <w:p w14:paraId="1625A862"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2,334</w:t>
            </w:r>
          </w:p>
        </w:tc>
      </w:tr>
      <w:tr w:rsidR="0056738E" w:rsidRPr="000A3197" w14:paraId="3C970C10" w14:textId="77777777" w:rsidTr="007C2AEE">
        <w:trPr>
          <w:trHeight w:val="283"/>
          <w:jc w:val="center"/>
        </w:trPr>
        <w:tc>
          <w:tcPr>
            <w:tcW w:w="6941" w:type="dxa"/>
            <w:tcBorders>
              <w:top w:val="single" w:sz="4" w:space="0" w:color="C0C0C0"/>
              <w:left w:val="single" w:sz="4" w:space="0" w:color="C0C0C0"/>
              <w:bottom w:val="single" w:sz="4" w:space="0" w:color="C0C0C0"/>
            </w:tcBorders>
            <w:vAlign w:val="center"/>
          </w:tcPr>
          <w:p w14:paraId="100B1063" w14:textId="77777777" w:rsidR="0056738E" w:rsidRPr="00295155" w:rsidRDefault="0056738E" w:rsidP="007C2AEE">
            <w:pPr>
              <w:pStyle w:val="BodyText2"/>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 xml:space="preserve">Μεταφορά στην ενοποιημένη κατάσταση λογαριασμού αποτελεσμάτων λόγω πώλησης </w:t>
            </w:r>
          </w:p>
        </w:tc>
        <w:tc>
          <w:tcPr>
            <w:tcW w:w="1559" w:type="dxa"/>
            <w:tcBorders>
              <w:top w:val="single" w:sz="6" w:space="0" w:color="BFBFBF" w:themeColor="background1" w:themeShade="BF"/>
              <w:bottom w:val="single" w:sz="6" w:space="0" w:color="000000" w:themeColor="text1"/>
              <w:right w:val="single" w:sz="4" w:space="0" w:color="BFBFBF" w:themeColor="background1" w:themeShade="BF"/>
            </w:tcBorders>
            <w:shd w:val="clear" w:color="auto" w:fill="auto"/>
            <w:vAlign w:val="center"/>
          </w:tcPr>
          <w:p w14:paraId="138050E7"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w:t>
            </w:r>
          </w:p>
        </w:tc>
        <w:tc>
          <w:tcPr>
            <w:tcW w:w="1560" w:type="dxa"/>
            <w:tcBorders>
              <w:top w:val="single" w:sz="6" w:space="0" w:color="BFBFBF" w:themeColor="background1" w:themeShade="BF"/>
              <w:bottom w:val="single" w:sz="6" w:space="0" w:color="000000" w:themeColor="text1"/>
              <w:right w:val="single" w:sz="4" w:space="0" w:color="BFBFBF" w:themeColor="background1" w:themeShade="BF"/>
            </w:tcBorders>
            <w:shd w:val="clear" w:color="auto" w:fill="auto"/>
            <w:vAlign w:val="center"/>
          </w:tcPr>
          <w:p w14:paraId="3CAC6477"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(332)</w:t>
            </w:r>
          </w:p>
        </w:tc>
      </w:tr>
      <w:tr w:rsidR="0056738E" w:rsidRPr="000A3197" w14:paraId="107F02AD" w14:textId="77777777" w:rsidTr="007C2AEE">
        <w:trPr>
          <w:trHeight w:val="283"/>
          <w:jc w:val="center"/>
        </w:trPr>
        <w:tc>
          <w:tcPr>
            <w:tcW w:w="6941" w:type="dxa"/>
            <w:tcBorders>
              <w:top w:val="single" w:sz="4" w:space="0" w:color="C0C0C0"/>
              <w:left w:val="single" w:sz="4" w:space="0" w:color="C0C0C0"/>
              <w:bottom w:val="single" w:sz="4" w:space="0" w:color="C0C0C0"/>
            </w:tcBorders>
            <w:vAlign w:val="center"/>
          </w:tcPr>
          <w:p w14:paraId="09B68BB2" w14:textId="77777777" w:rsidR="0056738E" w:rsidRPr="00295155" w:rsidRDefault="0056738E" w:rsidP="007C2AEE">
            <w:pPr>
              <w:pStyle w:val="Title"/>
              <w:jc w:val="left"/>
              <w:rPr>
                <w:rFonts w:ascii="Arial" w:hAnsi="Arial" w:cs="Arial"/>
                <w:iCs/>
                <w:color w:val="262626"/>
                <w:sz w:val="18"/>
                <w:szCs w:val="18"/>
                <w:lang w:val="el-GR"/>
              </w:rPr>
            </w:pPr>
          </w:p>
        </w:tc>
        <w:tc>
          <w:tcPr>
            <w:tcW w:w="1559" w:type="dxa"/>
            <w:tcBorders>
              <w:top w:val="single" w:sz="6" w:space="0" w:color="000000" w:themeColor="text1"/>
              <w:bottom w:val="single" w:sz="4" w:space="0" w:color="BFBFBF" w:themeColor="background1" w:themeShade="BF"/>
            </w:tcBorders>
            <w:shd w:val="clear" w:color="auto" w:fill="FFFFFF" w:themeFill="background1"/>
            <w:vAlign w:val="center"/>
          </w:tcPr>
          <w:p w14:paraId="3B19E2E3" w14:textId="77777777" w:rsidR="0056738E" w:rsidRPr="001114F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p>
        </w:tc>
        <w:tc>
          <w:tcPr>
            <w:tcW w:w="1560" w:type="dxa"/>
            <w:tcBorders>
              <w:top w:val="single" w:sz="6" w:space="0" w:color="000000" w:themeColor="text1"/>
              <w:bottom w:val="single" w:sz="4" w:space="0" w:color="BFBFBF" w:themeColor="background1" w:themeShade="BF"/>
              <w:right w:val="single" w:sz="4" w:space="0" w:color="C0C0C0"/>
            </w:tcBorders>
            <w:shd w:val="clear" w:color="auto" w:fill="FFFFFF" w:themeFill="background1"/>
            <w:vAlign w:val="center"/>
          </w:tcPr>
          <w:p w14:paraId="6B21F348"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p>
        </w:tc>
      </w:tr>
      <w:tr w:rsidR="0056738E" w:rsidRPr="00295155" w14:paraId="21BAAA81" w14:textId="77777777" w:rsidTr="007C2AEE">
        <w:trPr>
          <w:trHeight w:val="283"/>
          <w:jc w:val="center"/>
        </w:trPr>
        <w:tc>
          <w:tcPr>
            <w:tcW w:w="6941" w:type="dxa"/>
            <w:tcBorders>
              <w:top w:val="single" w:sz="4" w:space="0" w:color="C0C0C0"/>
              <w:left w:val="single" w:sz="4" w:space="0" w:color="C0C0C0"/>
              <w:bottom w:val="single" w:sz="4" w:space="0" w:color="C0C0C0"/>
            </w:tcBorders>
            <w:vAlign w:val="center"/>
          </w:tcPr>
          <w:p w14:paraId="73966184" w14:textId="77777777" w:rsidR="0056738E" w:rsidRPr="00295155" w:rsidRDefault="0056738E" w:rsidP="007C2AEE">
            <w:pPr>
              <w:pStyle w:val="Title"/>
              <w:jc w:val="left"/>
              <w:rPr>
                <w:rFonts w:ascii="Arial" w:hAnsi="Arial" w:cs="Arial"/>
                <w:iCs/>
                <w:color w:val="262626"/>
                <w:sz w:val="18"/>
                <w:szCs w:val="18"/>
                <w:lang w:val="el-GR"/>
              </w:rPr>
            </w:pPr>
            <w:r w:rsidRPr="00295155">
              <w:rPr>
                <w:rFonts w:ascii="Arial" w:hAnsi="Arial" w:cs="Arial"/>
                <w:iCs/>
                <w:color w:val="262626"/>
                <w:sz w:val="18"/>
                <w:szCs w:val="18"/>
                <w:lang w:val="el-GR"/>
              </w:rPr>
              <w:t>Αποθεματικό μετατροπής ξένου συναλλάγματος</w:t>
            </w:r>
          </w:p>
        </w:tc>
        <w:tc>
          <w:tcPr>
            <w:tcW w:w="1559" w:type="dxa"/>
            <w:tcBorders>
              <w:top w:val="single" w:sz="4" w:space="0" w:color="BFBFBF" w:themeColor="background1" w:themeShade="BF"/>
              <w:bottom w:val="single" w:sz="6" w:space="0" w:color="000000" w:themeColor="text1"/>
            </w:tcBorders>
            <w:shd w:val="clear" w:color="auto" w:fill="FFFFFF" w:themeFill="background1"/>
            <w:vAlign w:val="center"/>
          </w:tcPr>
          <w:p w14:paraId="6B27E768" w14:textId="77777777" w:rsidR="0056738E" w:rsidRPr="00B27E5C"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10</w:t>
            </w:r>
          </w:p>
        </w:tc>
        <w:tc>
          <w:tcPr>
            <w:tcW w:w="1560" w:type="dxa"/>
            <w:tcBorders>
              <w:top w:val="single" w:sz="4" w:space="0" w:color="BFBFBF" w:themeColor="background1" w:themeShade="BF"/>
              <w:bottom w:val="single" w:sz="6" w:space="0" w:color="000000" w:themeColor="text1"/>
            </w:tcBorders>
            <w:shd w:val="clear" w:color="auto" w:fill="FFFFFF" w:themeFill="background1"/>
            <w:vAlign w:val="center"/>
          </w:tcPr>
          <w:p w14:paraId="74E574B1"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(99)</w:t>
            </w:r>
          </w:p>
        </w:tc>
      </w:tr>
      <w:tr w:rsidR="0056738E" w:rsidRPr="000A3197" w14:paraId="703FB937" w14:textId="77777777" w:rsidTr="007C2AEE">
        <w:trPr>
          <w:trHeight w:val="283"/>
          <w:jc w:val="center"/>
        </w:trPr>
        <w:tc>
          <w:tcPr>
            <w:tcW w:w="6941" w:type="dxa"/>
            <w:tcBorders>
              <w:top w:val="single" w:sz="4" w:space="0" w:color="C0C0C0"/>
              <w:left w:val="single" w:sz="4" w:space="0" w:color="C0C0C0"/>
              <w:bottom w:val="single" w:sz="4" w:space="0" w:color="C0C0C0"/>
            </w:tcBorders>
            <w:vAlign w:val="center"/>
          </w:tcPr>
          <w:p w14:paraId="112BE89D" w14:textId="77777777" w:rsidR="0056738E" w:rsidRPr="000A33F0" w:rsidRDefault="0056738E" w:rsidP="007C2AEE">
            <w:pPr>
              <w:pStyle w:val="Title"/>
              <w:jc w:val="left"/>
              <w:rPr>
                <w:rFonts w:ascii="Arial" w:hAnsi="Arial" w:cs="Arial"/>
                <w:b w:val="0"/>
                <w:iCs/>
                <w:color w:val="262626"/>
                <w:sz w:val="18"/>
                <w:szCs w:val="18"/>
                <w:lang w:val="el-GR"/>
              </w:rPr>
            </w:pPr>
            <w:r>
              <w:rPr>
                <w:rFonts w:ascii="Arial" w:hAnsi="Arial" w:cs="Arial"/>
                <w:b w:val="0"/>
                <w:iCs/>
                <w:color w:val="262626"/>
                <w:sz w:val="18"/>
                <w:szCs w:val="18"/>
                <w:lang w:val="el-GR"/>
              </w:rPr>
              <w:t>Κ</w:t>
            </w:r>
            <w:r w:rsidRPr="001114FF">
              <w:rPr>
                <w:rFonts w:ascii="Arial" w:hAnsi="Arial" w:cs="Arial"/>
                <w:b w:val="0"/>
                <w:iCs/>
                <w:color w:val="262626"/>
                <w:sz w:val="18"/>
                <w:szCs w:val="18"/>
                <w:lang w:val="el-GR"/>
              </w:rPr>
              <w:t>έρδη</w:t>
            </w:r>
            <w:r>
              <w:rPr>
                <w:rFonts w:ascii="Arial" w:hAnsi="Arial" w:cs="Arial"/>
                <w:b w:val="0"/>
                <w:iCs/>
                <w:color w:val="262626"/>
                <w:sz w:val="18"/>
                <w:szCs w:val="18"/>
                <w:lang w:val="el-GR"/>
              </w:rPr>
              <w:t>/</w:t>
            </w:r>
            <w:r w:rsidRPr="001114FF">
              <w:rPr>
                <w:rFonts w:ascii="Arial" w:hAnsi="Arial" w:cs="Arial"/>
                <w:b w:val="0"/>
                <w:iCs/>
                <w:color w:val="262626"/>
                <w:sz w:val="18"/>
                <w:szCs w:val="18"/>
                <w:lang w:val="el-GR"/>
              </w:rPr>
              <w:t>(</w:t>
            </w:r>
            <w:r>
              <w:rPr>
                <w:rFonts w:ascii="Arial" w:hAnsi="Arial" w:cs="Arial"/>
                <w:b w:val="0"/>
                <w:iCs/>
                <w:color w:val="262626"/>
                <w:sz w:val="18"/>
                <w:szCs w:val="18"/>
                <w:lang w:val="el-GR"/>
              </w:rPr>
              <w:t>ζ</w:t>
            </w:r>
            <w:r w:rsidRPr="001114FF">
              <w:rPr>
                <w:rFonts w:ascii="Arial" w:hAnsi="Arial" w:cs="Arial"/>
                <w:b w:val="0"/>
                <w:iCs/>
                <w:color w:val="262626"/>
                <w:sz w:val="18"/>
                <w:szCs w:val="18"/>
                <w:lang w:val="el-GR"/>
              </w:rPr>
              <w:t>ημιές)</w:t>
            </w:r>
            <w:r>
              <w:rPr>
                <w:rFonts w:ascii="Arial" w:hAnsi="Arial" w:cs="Arial"/>
                <w:b w:val="0"/>
                <w:iCs/>
                <w:color w:val="262626"/>
                <w:sz w:val="18"/>
                <w:szCs w:val="18"/>
                <w:lang w:val="el-GR"/>
              </w:rPr>
              <w:t xml:space="preserve"> </w:t>
            </w:r>
            <w:r w:rsidRPr="000A33F0">
              <w:rPr>
                <w:rFonts w:ascii="Arial" w:hAnsi="Arial" w:cs="Arial"/>
                <w:b w:val="0"/>
                <w:iCs/>
                <w:color w:val="262626"/>
                <w:sz w:val="18"/>
                <w:szCs w:val="18"/>
                <w:lang w:val="el-GR"/>
              </w:rPr>
              <w:t>από τη μετατροπή των καθαρών επενδύσεων σε θυγατρικές</w:t>
            </w:r>
            <w:r>
              <w:rPr>
                <w:rFonts w:ascii="Arial" w:hAnsi="Arial" w:cs="Arial"/>
                <w:b w:val="0"/>
                <w:iCs/>
                <w:color w:val="262626"/>
                <w:sz w:val="18"/>
                <w:szCs w:val="18"/>
                <w:lang w:val="el-GR"/>
              </w:rPr>
              <w:t xml:space="preserve"> του εξωτερικού</w:t>
            </w:r>
          </w:p>
        </w:tc>
        <w:tc>
          <w:tcPr>
            <w:tcW w:w="1559" w:type="dxa"/>
            <w:tcBorders>
              <w:top w:val="single" w:sz="6"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878907"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10</w:t>
            </w:r>
          </w:p>
        </w:tc>
        <w:tc>
          <w:tcPr>
            <w:tcW w:w="1560" w:type="dxa"/>
            <w:tcBorders>
              <w:top w:val="single" w:sz="6"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A0C202"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(85)</w:t>
            </w:r>
          </w:p>
        </w:tc>
      </w:tr>
      <w:tr w:rsidR="0056738E" w:rsidRPr="000A3197" w14:paraId="437BEE5E" w14:textId="77777777" w:rsidTr="007C2AEE">
        <w:trPr>
          <w:trHeight w:val="283"/>
          <w:jc w:val="center"/>
        </w:trPr>
        <w:tc>
          <w:tcPr>
            <w:tcW w:w="6941" w:type="dxa"/>
            <w:tcBorders>
              <w:top w:val="single" w:sz="4" w:space="0" w:color="C0C0C0"/>
              <w:left w:val="single" w:sz="4" w:space="0" w:color="C0C0C0"/>
              <w:bottom w:val="single" w:sz="4" w:space="0" w:color="C0C0C0"/>
            </w:tcBorders>
            <w:vAlign w:val="center"/>
          </w:tcPr>
          <w:p w14:paraId="57B161CC" w14:textId="77777777" w:rsidR="0056738E" w:rsidRPr="000A33F0" w:rsidRDefault="0056738E" w:rsidP="007C2AEE">
            <w:pPr>
              <w:pStyle w:val="Title"/>
              <w:jc w:val="left"/>
              <w:rPr>
                <w:rFonts w:ascii="Arial" w:hAnsi="Arial" w:cs="Arial"/>
                <w:b w:val="0"/>
                <w:iCs/>
                <w:color w:val="262626"/>
                <w:sz w:val="18"/>
                <w:szCs w:val="18"/>
                <w:lang w:val="el-GR"/>
              </w:rPr>
            </w:pPr>
            <w:r>
              <w:rPr>
                <w:rFonts w:ascii="Arial" w:hAnsi="Arial" w:cs="Arial"/>
                <w:b w:val="0"/>
                <w:iCs/>
                <w:color w:val="262626"/>
                <w:sz w:val="18"/>
                <w:szCs w:val="18"/>
              </w:rPr>
              <w:t>Z</w:t>
            </w:r>
            <w:proofErr w:type="spellStart"/>
            <w:r w:rsidRPr="001114FF">
              <w:rPr>
                <w:rFonts w:ascii="Arial" w:hAnsi="Arial" w:cs="Arial"/>
                <w:b w:val="0"/>
                <w:iCs/>
                <w:color w:val="262626"/>
                <w:sz w:val="18"/>
                <w:szCs w:val="18"/>
                <w:lang w:val="el-GR"/>
              </w:rPr>
              <w:t>ημιές</w:t>
            </w:r>
            <w:proofErr w:type="spellEnd"/>
            <w:r>
              <w:rPr>
                <w:rFonts w:ascii="Arial" w:hAnsi="Arial" w:cs="Arial"/>
                <w:b w:val="0"/>
                <w:iCs/>
                <w:color w:val="262626"/>
                <w:sz w:val="18"/>
                <w:szCs w:val="18"/>
                <w:lang w:val="el-GR"/>
              </w:rPr>
              <w:t xml:space="preserve"> </w:t>
            </w:r>
            <w:r w:rsidRPr="000A33F0">
              <w:rPr>
                <w:rFonts w:ascii="Arial" w:hAnsi="Arial" w:cs="Arial"/>
                <w:b w:val="0"/>
                <w:color w:val="262626"/>
                <w:sz w:val="18"/>
                <w:szCs w:val="18"/>
                <w:lang w:val="el-GR"/>
              </w:rPr>
              <w:t>από αντισταθμίσεις των καθαρών επενδύσεων σε θυγατρικές του εξωτερικού</w:t>
            </w:r>
            <w:r>
              <w:rPr>
                <w:rFonts w:ascii="Arial" w:hAnsi="Arial" w:cs="Arial"/>
                <w:b w:val="0"/>
                <w:color w:val="262626"/>
                <w:sz w:val="18"/>
                <w:szCs w:val="18"/>
                <w:lang w:val="el-GR"/>
              </w:rPr>
              <w:t xml:space="preserve"> </w:t>
            </w:r>
          </w:p>
        </w:tc>
        <w:tc>
          <w:tcPr>
            <w:tcW w:w="1559" w:type="dxa"/>
            <w:tcBorders>
              <w:top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4B01C1D3"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w:t>
            </w:r>
          </w:p>
        </w:tc>
        <w:tc>
          <w:tcPr>
            <w:tcW w:w="1560" w:type="dxa"/>
            <w:tcBorders>
              <w:top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1D759904"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(14)</w:t>
            </w:r>
          </w:p>
        </w:tc>
      </w:tr>
      <w:tr w:rsidR="0056738E" w:rsidRPr="000A3197" w14:paraId="616A2B41" w14:textId="77777777" w:rsidTr="007C2AEE">
        <w:trPr>
          <w:trHeight w:val="283"/>
          <w:jc w:val="center"/>
        </w:trPr>
        <w:tc>
          <w:tcPr>
            <w:tcW w:w="6941" w:type="dxa"/>
            <w:tcBorders>
              <w:top w:val="single" w:sz="4" w:space="0" w:color="C0C0C0"/>
              <w:left w:val="single" w:sz="4" w:space="0" w:color="C0C0C0"/>
              <w:bottom w:val="single" w:sz="4" w:space="0" w:color="C0C0C0"/>
            </w:tcBorders>
            <w:vAlign w:val="center"/>
          </w:tcPr>
          <w:p w14:paraId="047463AB" w14:textId="77777777" w:rsidR="0056738E" w:rsidRPr="00FB2A8F" w:rsidRDefault="0056738E" w:rsidP="007C2AEE">
            <w:pPr>
              <w:pStyle w:val="BodyText2"/>
              <w:tabs>
                <w:tab w:val="left" w:pos="282"/>
              </w:tabs>
              <w:spacing w:after="0" w:line="240" w:lineRule="auto"/>
              <w:rPr>
                <w:rFonts w:ascii="Arial" w:hAnsi="Arial" w:cs="Arial"/>
                <w:color w:val="262626"/>
                <w:sz w:val="18"/>
                <w:szCs w:val="18"/>
                <w:lang w:val="el-GR"/>
              </w:rPr>
            </w:pPr>
          </w:p>
        </w:tc>
        <w:tc>
          <w:tcPr>
            <w:tcW w:w="1559" w:type="dxa"/>
            <w:tcBorders>
              <w:top w:val="single" w:sz="6" w:space="0" w:color="auto"/>
              <w:bottom w:val="single" w:sz="6" w:space="0" w:color="BFBFBF" w:themeColor="background1" w:themeShade="BF"/>
            </w:tcBorders>
            <w:shd w:val="clear" w:color="auto" w:fill="auto"/>
            <w:vAlign w:val="center"/>
          </w:tcPr>
          <w:p w14:paraId="00205098" w14:textId="77777777" w:rsidR="0056738E" w:rsidRPr="001114FF"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p>
        </w:tc>
        <w:tc>
          <w:tcPr>
            <w:tcW w:w="1560" w:type="dxa"/>
            <w:tcBorders>
              <w:top w:val="single" w:sz="6" w:space="0" w:color="auto"/>
              <w:bottom w:val="single" w:sz="6" w:space="0" w:color="BFBFBF" w:themeColor="background1" w:themeShade="BF"/>
              <w:right w:val="single" w:sz="4" w:space="0" w:color="C0C0C0"/>
            </w:tcBorders>
            <w:shd w:val="clear" w:color="auto" w:fill="FFFFFF" w:themeFill="background1"/>
            <w:vAlign w:val="center"/>
          </w:tcPr>
          <w:p w14:paraId="72C096E8"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p>
        </w:tc>
      </w:tr>
      <w:tr w:rsidR="0056738E" w:rsidRPr="000A3197" w14:paraId="0C1824AE" w14:textId="77777777" w:rsidTr="007C2AEE">
        <w:trPr>
          <w:trHeight w:val="283"/>
          <w:jc w:val="center"/>
        </w:trPr>
        <w:tc>
          <w:tcPr>
            <w:tcW w:w="6941" w:type="dxa"/>
            <w:shd w:val="clear" w:color="auto" w:fill="auto"/>
            <w:vAlign w:val="center"/>
          </w:tcPr>
          <w:p w14:paraId="410A5745"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bCs/>
                <w:color w:val="262626"/>
                <w:sz w:val="18"/>
                <w:szCs w:val="18"/>
                <w:lang w:val="el-GR"/>
              </w:rPr>
            </w:pPr>
            <w:r w:rsidRPr="00295155">
              <w:rPr>
                <w:rFonts w:ascii="Arial" w:hAnsi="Arial" w:cs="Arial"/>
                <w:b/>
                <w:bCs/>
                <w:color w:val="262626"/>
                <w:sz w:val="18"/>
                <w:szCs w:val="18"/>
                <w:lang w:val="el-GR"/>
              </w:rPr>
              <w:t xml:space="preserve">Λοιπά συνολικά εισοδήματα που δεν πρόκειται να </w:t>
            </w:r>
            <w:proofErr w:type="spellStart"/>
            <w:r>
              <w:rPr>
                <w:rFonts w:ascii="Arial" w:hAnsi="Arial" w:cs="Arial"/>
                <w:b/>
                <w:bCs/>
                <w:iCs/>
                <w:color w:val="262626"/>
                <w:sz w:val="18"/>
                <w:szCs w:val="18"/>
                <w:lang w:val="el-GR"/>
              </w:rPr>
              <w:t>επανακατηγοριοποιηθούν</w:t>
            </w:r>
            <w:proofErr w:type="spellEnd"/>
            <w:r w:rsidRPr="00295155">
              <w:rPr>
                <w:rFonts w:ascii="Arial" w:hAnsi="Arial" w:cs="Arial"/>
                <w:b/>
                <w:bCs/>
                <w:color w:val="262626"/>
                <w:sz w:val="18"/>
                <w:szCs w:val="18"/>
                <w:lang w:val="el-GR"/>
              </w:rPr>
              <w:t xml:space="preserve"> στην ενοποιημένη κατάσταση λογαριασμού αποτελεσμάτων σε μεταγενέστερες περιόδους</w:t>
            </w:r>
          </w:p>
        </w:tc>
        <w:tc>
          <w:tcPr>
            <w:tcW w:w="1559" w:type="dxa"/>
            <w:tcBorders>
              <w:top w:val="single" w:sz="4" w:space="0" w:color="BFBFBF" w:themeColor="background1" w:themeShade="BF"/>
              <w:bottom w:val="single" w:sz="6" w:space="0" w:color="000000" w:themeColor="text1"/>
            </w:tcBorders>
            <w:shd w:val="clear" w:color="auto" w:fill="FFFFFF" w:themeFill="background1"/>
            <w:vAlign w:val="center"/>
          </w:tcPr>
          <w:p w14:paraId="44C2D92B"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1,191</w:t>
            </w:r>
          </w:p>
        </w:tc>
        <w:tc>
          <w:tcPr>
            <w:tcW w:w="1560" w:type="dxa"/>
            <w:tcBorders>
              <w:top w:val="single" w:sz="4" w:space="0" w:color="BFBFBF" w:themeColor="background1" w:themeShade="BF"/>
              <w:bottom w:val="single" w:sz="6" w:space="0" w:color="000000" w:themeColor="text1"/>
            </w:tcBorders>
            <w:shd w:val="clear" w:color="auto" w:fill="FFFFFF" w:themeFill="background1"/>
            <w:vAlign w:val="center"/>
          </w:tcPr>
          <w:p w14:paraId="02121E11"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1,448</w:t>
            </w:r>
          </w:p>
        </w:tc>
      </w:tr>
      <w:tr w:rsidR="0056738E" w:rsidRPr="000A3197" w14:paraId="420ED876" w14:textId="77777777" w:rsidTr="007C2AEE">
        <w:trPr>
          <w:trHeight w:val="283"/>
          <w:jc w:val="center"/>
        </w:trPr>
        <w:tc>
          <w:tcPr>
            <w:tcW w:w="6941" w:type="dxa"/>
            <w:vAlign w:val="center"/>
          </w:tcPr>
          <w:p w14:paraId="1543EB07" w14:textId="77777777" w:rsidR="0056738E" w:rsidRPr="00295155" w:rsidRDefault="0056738E" w:rsidP="007C2AEE">
            <w:pPr>
              <w:tabs>
                <w:tab w:val="left" w:pos="0"/>
                <w:tab w:val="left" w:pos="282"/>
                <w:tab w:val="left" w:pos="720"/>
              </w:tabs>
              <w:suppressAutoHyphens/>
              <w:spacing w:after="0" w:line="240" w:lineRule="auto"/>
              <w:rPr>
                <w:rFonts w:ascii="Arial" w:eastAsia="Batang" w:hAnsi="Arial" w:cs="Arial"/>
                <w:b/>
                <w:bCs/>
                <w:color w:val="262626"/>
                <w:sz w:val="18"/>
                <w:szCs w:val="18"/>
                <w:lang w:val="el-GR" w:eastAsia="en-US"/>
              </w:rPr>
            </w:pPr>
            <w:r w:rsidRPr="00295155">
              <w:rPr>
                <w:rFonts w:ascii="Arial" w:eastAsia="Batang" w:hAnsi="Arial" w:cs="Arial"/>
                <w:b/>
                <w:bCs/>
                <w:color w:val="262626"/>
                <w:sz w:val="18"/>
                <w:szCs w:val="18"/>
                <w:lang w:val="el-GR" w:eastAsia="en-US"/>
              </w:rPr>
              <w:t>Αποθεματικό εύλογης αξίας (</w:t>
            </w:r>
            <w:r>
              <w:rPr>
                <w:rFonts w:ascii="Arial" w:eastAsia="Batang" w:hAnsi="Arial" w:cs="Arial"/>
                <w:b/>
                <w:bCs/>
                <w:color w:val="262626"/>
                <w:sz w:val="18"/>
                <w:szCs w:val="18"/>
                <w:lang w:val="el-GR" w:eastAsia="en-US"/>
              </w:rPr>
              <w:t>συμμετοχικοί τίτλοι</w:t>
            </w:r>
            <w:r w:rsidRPr="00295155">
              <w:rPr>
                <w:rFonts w:ascii="Arial" w:eastAsia="Batang" w:hAnsi="Arial" w:cs="Arial"/>
                <w:b/>
                <w:bCs/>
                <w:color w:val="262626"/>
                <w:sz w:val="18"/>
                <w:szCs w:val="18"/>
                <w:lang w:val="el-GR" w:eastAsia="en-US"/>
              </w:rPr>
              <w:t>)</w:t>
            </w:r>
          </w:p>
        </w:tc>
        <w:tc>
          <w:tcPr>
            <w:tcW w:w="1559" w:type="dxa"/>
            <w:tcBorders>
              <w:top w:val="single" w:sz="6" w:space="0" w:color="000000" w:themeColor="text1"/>
              <w:bottom w:val="single" w:sz="6" w:space="0" w:color="000000" w:themeColor="text1"/>
            </w:tcBorders>
            <w:shd w:val="clear" w:color="auto" w:fill="FFFFFF" w:themeFill="background1"/>
            <w:vAlign w:val="center"/>
          </w:tcPr>
          <w:p w14:paraId="699C1E68"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190</w:t>
            </w:r>
          </w:p>
        </w:tc>
        <w:tc>
          <w:tcPr>
            <w:tcW w:w="1560" w:type="dxa"/>
            <w:tcBorders>
              <w:top w:val="single" w:sz="6" w:space="0" w:color="000000" w:themeColor="text1"/>
              <w:bottom w:val="single" w:sz="6" w:space="0" w:color="000000" w:themeColor="text1"/>
            </w:tcBorders>
            <w:shd w:val="clear" w:color="auto" w:fill="FFFFFF" w:themeFill="background1"/>
            <w:vAlign w:val="center"/>
          </w:tcPr>
          <w:p w14:paraId="2547798D"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(592)</w:t>
            </w:r>
          </w:p>
        </w:tc>
      </w:tr>
      <w:tr w:rsidR="0056738E" w:rsidRPr="000A3197" w14:paraId="7333BA99" w14:textId="77777777" w:rsidTr="007C2AEE">
        <w:trPr>
          <w:trHeight w:val="283"/>
          <w:jc w:val="center"/>
        </w:trPr>
        <w:tc>
          <w:tcPr>
            <w:tcW w:w="6941" w:type="dxa"/>
            <w:vAlign w:val="center"/>
          </w:tcPr>
          <w:p w14:paraId="4E92F039" w14:textId="77777777" w:rsidR="0056738E" w:rsidRPr="00295155" w:rsidRDefault="0056738E" w:rsidP="007C2AEE">
            <w:pPr>
              <w:tabs>
                <w:tab w:val="left" w:pos="0"/>
                <w:tab w:val="left" w:pos="282"/>
                <w:tab w:val="left" w:pos="720"/>
              </w:tabs>
              <w:suppressAutoHyphens/>
              <w:spacing w:after="0" w:line="240" w:lineRule="auto"/>
              <w:rPr>
                <w:rFonts w:ascii="Arial" w:eastAsia="Batang" w:hAnsi="Arial" w:cs="Arial"/>
                <w:bCs/>
                <w:color w:val="262626"/>
                <w:sz w:val="18"/>
                <w:szCs w:val="18"/>
                <w:lang w:val="el-GR" w:eastAsia="en-US"/>
              </w:rPr>
            </w:pPr>
            <w:r w:rsidRPr="00295155">
              <w:rPr>
                <w:rFonts w:ascii="Arial" w:eastAsia="Batang" w:hAnsi="Arial" w:cs="Arial"/>
                <w:bCs/>
                <w:color w:val="262626"/>
                <w:sz w:val="18"/>
                <w:szCs w:val="18"/>
                <w:lang w:val="el-GR" w:eastAsia="en-US"/>
              </w:rPr>
              <w:t>Καθαρ</w:t>
            </w:r>
            <w:r>
              <w:rPr>
                <w:rFonts w:ascii="Arial" w:eastAsia="Batang" w:hAnsi="Arial" w:cs="Arial"/>
                <w:bCs/>
                <w:color w:val="262626"/>
                <w:sz w:val="18"/>
                <w:szCs w:val="18"/>
                <w:lang w:val="el-GR" w:eastAsia="en-US"/>
              </w:rPr>
              <w:t>ά κέρδη/(ζημιές)</w:t>
            </w:r>
            <w:r w:rsidRPr="00295155">
              <w:rPr>
                <w:rFonts w:ascii="Arial" w:eastAsia="Batang" w:hAnsi="Arial" w:cs="Arial"/>
                <w:bCs/>
                <w:color w:val="262626"/>
                <w:sz w:val="18"/>
                <w:szCs w:val="18"/>
                <w:lang w:val="el-GR" w:eastAsia="en-US"/>
              </w:rPr>
              <w:t xml:space="preserve"> από επενδύσεις σε </w:t>
            </w:r>
            <w:r>
              <w:rPr>
                <w:rFonts w:ascii="Arial" w:eastAsia="Batang" w:hAnsi="Arial" w:cs="Arial"/>
                <w:bCs/>
                <w:color w:val="262626"/>
                <w:sz w:val="18"/>
                <w:szCs w:val="18"/>
                <w:lang w:val="el-GR" w:eastAsia="en-US"/>
              </w:rPr>
              <w:t>συμμετοχικούς τίτλους</w:t>
            </w:r>
            <w:r w:rsidRPr="00295155">
              <w:rPr>
                <w:rFonts w:ascii="Arial" w:eastAsia="Batang" w:hAnsi="Arial" w:cs="Arial"/>
                <w:bCs/>
                <w:color w:val="262626"/>
                <w:sz w:val="18"/>
                <w:szCs w:val="18"/>
                <w:lang w:val="el-GR" w:eastAsia="en-US"/>
              </w:rPr>
              <w:t xml:space="preserve"> </w:t>
            </w:r>
            <w:r>
              <w:rPr>
                <w:rFonts w:ascii="Arial" w:eastAsia="Batang" w:hAnsi="Arial" w:cs="Arial"/>
                <w:bCs/>
                <w:color w:val="262626"/>
                <w:sz w:val="18"/>
                <w:szCs w:val="18"/>
                <w:lang w:val="el-GR" w:eastAsia="en-US"/>
              </w:rPr>
              <w:t>που ταξινομούνται στην</w:t>
            </w:r>
            <w:r w:rsidRPr="00295155">
              <w:rPr>
                <w:rFonts w:ascii="Arial" w:eastAsia="Batang" w:hAnsi="Arial" w:cs="Arial"/>
                <w:bCs/>
                <w:color w:val="262626"/>
                <w:sz w:val="18"/>
                <w:szCs w:val="18"/>
                <w:lang w:val="el-GR" w:eastAsia="en-US"/>
              </w:rPr>
              <w:t xml:space="preserve"> εύλογη αξία μέσω των λοιπών συνολικών εισοδημάτων</w:t>
            </w:r>
          </w:p>
        </w:tc>
        <w:tc>
          <w:tcPr>
            <w:tcW w:w="1559" w:type="dxa"/>
            <w:tcBorders>
              <w:top w:val="single" w:sz="6" w:space="0" w:color="000000" w:themeColor="text1"/>
              <w:bottom w:val="single" w:sz="6" w:space="0" w:color="000000" w:themeColor="text1"/>
            </w:tcBorders>
            <w:shd w:val="clear" w:color="auto" w:fill="auto"/>
            <w:vAlign w:val="center"/>
          </w:tcPr>
          <w:p w14:paraId="76168DE0"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190</w:t>
            </w:r>
          </w:p>
        </w:tc>
        <w:tc>
          <w:tcPr>
            <w:tcW w:w="1560" w:type="dxa"/>
            <w:tcBorders>
              <w:top w:val="single" w:sz="6" w:space="0" w:color="000000" w:themeColor="text1"/>
              <w:bottom w:val="single" w:sz="6" w:space="0" w:color="000000" w:themeColor="text1"/>
            </w:tcBorders>
            <w:shd w:val="clear" w:color="auto" w:fill="auto"/>
            <w:vAlign w:val="center"/>
          </w:tcPr>
          <w:p w14:paraId="5A4DBC0A"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(592)</w:t>
            </w:r>
          </w:p>
        </w:tc>
      </w:tr>
      <w:tr w:rsidR="0056738E" w:rsidRPr="000A3197" w14:paraId="05DF538B" w14:textId="77777777" w:rsidTr="007C2AEE">
        <w:trPr>
          <w:trHeight w:val="283"/>
          <w:jc w:val="center"/>
        </w:trPr>
        <w:tc>
          <w:tcPr>
            <w:tcW w:w="6941" w:type="dxa"/>
            <w:vAlign w:val="center"/>
          </w:tcPr>
          <w:p w14:paraId="228A8029" w14:textId="77777777" w:rsidR="0056738E" w:rsidRPr="00295155" w:rsidRDefault="0056738E" w:rsidP="007C2AEE">
            <w:pPr>
              <w:tabs>
                <w:tab w:val="left" w:pos="0"/>
                <w:tab w:val="left" w:pos="282"/>
                <w:tab w:val="left" w:pos="720"/>
              </w:tabs>
              <w:suppressAutoHyphens/>
              <w:spacing w:after="0" w:line="240" w:lineRule="auto"/>
              <w:rPr>
                <w:rFonts w:ascii="Arial" w:eastAsia="Batang" w:hAnsi="Arial" w:cs="Arial"/>
                <w:bCs/>
                <w:color w:val="262626"/>
                <w:sz w:val="18"/>
                <w:szCs w:val="18"/>
                <w:lang w:val="el-GR" w:eastAsia="en-US"/>
              </w:rPr>
            </w:pPr>
          </w:p>
        </w:tc>
        <w:tc>
          <w:tcPr>
            <w:tcW w:w="1559" w:type="dxa"/>
            <w:tcBorders>
              <w:top w:val="single" w:sz="6" w:space="0" w:color="000000" w:themeColor="text1"/>
              <w:bottom w:val="single" w:sz="4" w:space="0" w:color="BFBFBF" w:themeColor="background1" w:themeShade="BF"/>
            </w:tcBorders>
            <w:shd w:val="clear" w:color="auto" w:fill="auto"/>
            <w:vAlign w:val="center"/>
          </w:tcPr>
          <w:p w14:paraId="3663730C" w14:textId="77777777" w:rsidR="0056738E" w:rsidRPr="00F012CB"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p>
        </w:tc>
        <w:tc>
          <w:tcPr>
            <w:tcW w:w="1560" w:type="dxa"/>
            <w:tcBorders>
              <w:top w:val="single" w:sz="6" w:space="0" w:color="000000" w:themeColor="text1"/>
              <w:bottom w:val="single" w:sz="4" w:space="0" w:color="BFBFBF" w:themeColor="background1" w:themeShade="BF"/>
            </w:tcBorders>
            <w:shd w:val="clear" w:color="auto" w:fill="FFFFFF" w:themeFill="background1"/>
            <w:vAlign w:val="center"/>
          </w:tcPr>
          <w:p w14:paraId="20415825"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p>
        </w:tc>
      </w:tr>
      <w:tr w:rsidR="0056738E" w:rsidRPr="00295155" w14:paraId="798A1082" w14:textId="77777777" w:rsidTr="007C2AEE">
        <w:trPr>
          <w:trHeight w:val="283"/>
          <w:jc w:val="center"/>
        </w:trPr>
        <w:tc>
          <w:tcPr>
            <w:tcW w:w="6941" w:type="dxa"/>
            <w:vAlign w:val="center"/>
          </w:tcPr>
          <w:p w14:paraId="6394B5A3"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bCs/>
                <w:color w:val="262626"/>
                <w:sz w:val="18"/>
                <w:szCs w:val="18"/>
                <w:lang w:val="el-GR"/>
              </w:rPr>
            </w:pPr>
            <w:r>
              <w:rPr>
                <w:rFonts w:ascii="Arial" w:hAnsi="Arial" w:cs="Arial"/>
                <w:b/>
                <w:bCs/>
                <w:color w:val="262626"/>
                <w:sz w:val="18"/>
                <w:szCs w:val="18"/>
                <w:lang w:val="el-GR"/>
              </w:rPr>
              <w:t>Αποθεματικό ε</w:t>
            </w:r>
            <w:r w:rsidRPr="00295155">
              <w:rPr>
                <w:rFonts w:ascii="Arial" w:hAnsi="Arial" w:cs="Arial"/>
                <w:b/>
                <w:bCs/>
                <w:color w:val="262626"/>
                <w:sz w:val="18"/>
                <w:szCs w:val="18"/>
                <w:lang w:val="el-GR"/>
              </w:rPr>
              <w:t>πανεκτίμηση</w:t>
            </w:r>
            <w:r>
              <w:rPr>
                <w:rFonts w:ascii="Arial" w:hAnsi="Arial" w:cs="Arial"/>
                <w:b/>
                <w:bCs/>
                <w:color w:val="262626"/>
                <w:sz w:val="18"/>
                <w:szCs w:val="18"/>
                <w:lang w:val="el-GR"/>
              </w:rPr>
              <w:t>ς</w:t>
            </w:r>
            <w:r w:rsidRPr="00295155">
              <w:rPr>
                <w:rFonts w:ascii="Arial" w:hAnsi="Arial" w:cs="Arial"/>
                <w:b/>
                <w:bCs/>
                <w:color w:val="262626"/>
                <w:sz w:val="18"/>
                <w:szCs w:val="18"/>
                <w:lang w:val="el-GR"/>
              </w:rPr>
              <w:t xml:space="preserve"> ακινήτων </w:t>
            </w:r>
          </w:p>
        </w:tc>
        <w:tc>
          <w:tcPr>
            <w:tcW w:w="1559" w:type="dxa"/>
            <w:tcBorders>
              <w:top w:val="single" w:sz="4" w:space="0" w:color="BFBFBF" w:themeColor="background1" w:themeShade="BF"/>
              <w:bottom w:val="single" w:sz="4" w:space="0" w:color="auto"/>
            </w:tcBorders>
            <w:shd w:val="clear" w:color="auto" w:fill="FFFFFF" w:themeFill="background1"/>
            <w:vAlign w:val="center"/>
          </w:tcPr>
          <w:p w14:paraId="5B092C9E" w14:textId="77777777" w:rsidR="0056738E" w:rsidRPr="00B27E5C"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100</w:t>
            </w:r>
          </w:p>
        </w:tc>
        <w:tc>
          <w:tcPr>
            <w:tcW w:w="1560" w:type="dxa"/>
            <w:tcBorders>
              <w:top w:val="single" w:sz="4" w:space="0" w:color="BFBFBF" w:themeColor="background1" w:themeShade="BF"/>
              <w:bottom w:val="single" w:sz="4" w:space="0" w:color="auto"/>
            </w:tcBorders>
            <w:shd w:val="clear" w:color="auto" w:fill="FFFFFF" w:themeFill="background1"/>
            <w:vAlign w:val="center"/>
          </w:tcPr>
          <w:p w14:paraId="0A0193A6"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824</w:t>
            </w:r>
          </w:p>
        </w:tc>
      </w:tr>
      <w:tr w:rsidR="0056738E" w:rsidRPr="00295155" w14:paraId="5D147CFD" w14:textId="77777777" w:rsidTr="007C2AEE">
        <w:trPr>
          <w:trHeight w:val="283"/>
          <w:jc w:val="center"/>
        </w:trPr>
        <w:tc>
          <w:tcPr>
            <w:tcW w:w="6941" w:type="dxa"/>
            <w:tcBorders>
              <w:bottom w:val="single" w:sz="4" w:space="0" w:color="C0C0C0"/>
            </w:tcBorders>
            <w:vAlign w:val="center"/>
          </w:tcPr>
          <w:p w14:paraId="40A836D3"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Pr>
                <w:rFonts w:ascii="Arial" w:hAnsi="Arial" w:cs="Arial"/>
                <w:color w:val="262626"/>
                <w:sz w:val="18"/>
                <w:szCs w:val="18"/>
                <w:lang w:val="el-GR"/>
              </w:rPr>
              <w:t>Κ</w:t>
            </w:r>
            <w:r w:rsidRPr="00A03828">
              <w:rPr>
                <w:rFonts w:ascii="Arial" w:hAnsi="Arial" w:cs="Arial"/>
                <w:color w:val="262626"/>
                <w:sz w:val="18"/>
                <w:szCs w:val="18"/>
                <w:lang w:val="el-GR"/>
              </w:rPr>
              <w:t>έρδη από τη μεταβολή στην εύλογη αξία πριν τη φορολογία</w:t>
            </w:r>
          </w:p>
        </w:tc>
        <w:tc>
          <w:tcPr>
            <w:tcW w:w="155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04C1033"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w:t>
            </w:r>
          </w:p>
        </w:tc>
        <w:tc>
          <w:tcPr>
            <w:tcW w:w="156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1163C4F"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AC2F56">
              <w:rPr>
                <w:rFonts w:ascii="Arial" w:eastAsia="Batang" w:hAnsi="Arial" w:cs="Arial"/>
                <w:color w:val="262626"/>
                <w:sz w:val="18"/>
                <w:szCs w:val="18"/>
                <w:lang w:eastAsia="en-US"/>
              </w:rPr>
              <w:t>798</w:t>
            </w:r>
          </w:p>
        </w:tc>
      </w:tr>
      <w:tr w:rsidR="0056738E" w:rsidRPr="00295155" w14:paraId="4A316D72" w14:textId="77777777" w:rsidTr="007C2AEE">
        <w:trPr>
          <w:trHeight w:val="283"/>
          <w:jc w:val="center"/>
        </w:trPr>
        <w:tc>
          <w:tcPr>
            <w:tcW w:w="6941" w:type="dxa"/>
            <w:tcBorders>
              <w:bottom w:val="single" w:sz="4" w:space="0" w:color="C0C0C0"/>
            </w:tcBorders>
            <w:vAlign w:val="center"/>
          </w:tcPr>
          <w:p w14:paraId="760BCB07" w14:textId="77777777" w:rsidR="0056738E"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Pr>
                <w:rFonts w:ascii="Arial" w:hAnsi="Arial" w:cs="Arial"/>
                <w:color w:val="262626"/>
                <w:sz w:val="18"/>
                <w:szCs w:val="18"/>
                <w:lang w:val="el-GR"/>
              </w:rPr>
              <w:t>Α</w:t>
            </w:r>
            <w:r w:rsidRPr="00243F52">
              <w:rPr>
                <w:rFonts w:ascii="Arial" w:hAnsi="Arial" w:cs="Arial"/>
                <w:color w:val="262626"/>
                <w:sz w:val="18"/>
                <w:szCs w:val="18"/>
              </w:rPr>
              <w:t>ναβα</w:t>
            </w:r>
            <w:proofErr w:type="spellStart"/>
            <w:r w:rsidRPr="00243F52">
              <w:rPr>
                <w:rFonts w:ascii="Arial" w:hAnsi="Arial" w:cs="Arial"/>
                <w:color w:val="262626"/>
                <w:sz w:val="18"/>
                <w:szCs w:val="18"/>
              </w:rPr>
              <w:t>λλόμενη</w:t>
            </w:r>
            <w:proofErr w:type="spellEnd"/>
            <w:r w:rsidRPr="00243F52">
              <w:rPr>
                <w:rFonts w:ascii="Arial" w:hAnsi="Arial" w:cs="Arial"/>
                <w:color w:val="262626"/>
                <w:sz w:val="18"/>
                <w:szCs w:val="18"/>
              </w:rPr>
              <w:t xml:space="preserve"> </w:t>
            </w:r>
            <w:proofErr w:type="spellStart"/>
            <w:r w:rsidRPr="00243F52">
              <w:rPr>
                <w:rFonts w:ascii="Arial" w:hAnsi="Arial" w:cs="Arial"/>
                <w:color w:val="262626"/>
                <w:sz w:val="18"/>
                <w:szCs w:val="18"/>
              </w:rPr>
              <w:t>φορολογί</w:t>
            </w:r>
            <w:proofErr w:type="spellEnd"/>
            <w:r w:rsidRPr="00243F52">
              <w:rPr>
                <w:rFonts w:ascii="Arial" w:hAnsi="Arial" w:cs="Arial"/>
                <w:color w:val="262626"/>
                <w:sz w:val="18"/>
                <w:szCs w:val="18"/>
              </w:rPr>
              <w:t>α</w:t>
            </w:r>
          </w:p>
        </w:tc>
        <w:tc>
          <w:tcPr>
            <w:tcW w:w="1559" w:type="dxa"/>
            <w:tcBorders>
              <w:top w:val="single" w:sz="4" w:space="0" w:color="BFBFBF" w:themeColor="background1" w:themeShade="BF"/>
              <w:bottom w:val="single" w:sz="6" w:space="0" w:color="auto"/>
            </w:tcBorders>
            <w:shd w:val="clear" w:color="auto" w:fill="auto"/>
            <w:vAlign w:val="center"/>
          </w:tcPr>
          <w:p w14:paraId="3D78B292"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val="en-US" w:eastAsia="en-US"/>
              </w:rPr>
              <w:t>100</w:t>
            </w:r>
          </w:p>
        </w:tc>
        <w:tc>
          <w:tcPr>
            <w:tcW w:w="1560" w:type="dxa"/>
            <w:tcBorders>
              <w:top w:val="single" w:sz="4" w:space="0" w:color="BFBFBF" w:themeColor="background1" w:themeShade="BF"/>
              <w:bottom w:val="single" w:sz="6" w:space="0" w:color="auto"/>
            </w:tcBorders>
            <w:shd w:val="clear" w:color="auto" w:fill="FFFFFF" w:themeFill="background1"/>
            <w:vAlign w:val="center"/>
          </w:tcPr>
          <w:p w14:paraId="5A675B96" w14:textId="77777777" w:rsidR="0056738E" w:rsidRPr="00AC2F56"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eastAsia="en-US"/>
              </w:rPr>
            </w:pPr>
            <w:r w:rsidRPr="00AC2F56">
              <w:rPr>
                <w:rFonts w:ascii="Arial" w:eastAsia="Batang" w:hAnsi="Arial" w:cs="Arial"/>
                <w:color w:val="262626"/>
                <w:sz w:val="18"/>
                <w:szCs w:val="18"/>
                <w:lang w:val="en-US" w:eastAsia="en-US"/>
              </w:rPr>
              <w:t>26</w:t>
            </w:r>
          </w:p>
        </w:tc>
      </w:tr>
      <w:tr w:rsidR="0056738E" w:rsidRPr="00295155" w14:paraId="1D8F2CFC" w14:textId="77777777" w:rsidTr="007C2AEE">
        <w:trPr>
          <w:trHeight w:val="283"/>
          <w:jc w:val="center"/>
        </w:trPr>
        <w:tc>
          <w:tcPr>
            <w:tcW w:w="6941" w:type="dxa"/>
            <w:tcBorders>
              <w:bottom w:val="single" w:sz="4" w:space="0" w:color="C0C0C0"/>
            </w:tcBorders>
            <w:vAlign w:val="center"/>
          </w:tcPr>
          <w:p w14:paraId="65409417" w14:textId="77777777" w:rsidR="0056738E"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p>
        </w:tc>
        <w:tc>
          <w:tcPr>
            <w:tcW w:w="1559" w:type="dxa"/>
            <w:tcBorders>
              <w:top w:val="single" w:sz="6" w:space="0" w:color="auto"/>
              <w:bottom w:val="single" w:sz="4" w:space="0" w:color="BFBFBF" w:themeColor="background1" w:themeShade="BF"/>
            </w:tcBorders>
            <w:shd w:val="clear" w:color="auto" w:fill="auto"/>
            <w:vAlign w:val="center"/>
          </w:tcPr>
          <w:p w14:paraId="797E22D9" w14:textId="77777777" w:rsidR="0056738E" w:rsidRPr="002642C3"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p>
        </w:tc>
        <w:tc>
          <w:tcPr>
            <w:tcW w:w="1560" w:type="dxa"/>
            <w:tcBorders>
              <w:top w:val="single" w:sz="6" w:space="0" w:color="auto"/>
              <w:bottom w:val="single" w:sz="4" w:space="0" w:color="BFBFBF" w:themeColor="background1" w:themeShade="BF"/>
            </w:tcBorders>
            <w:shd w:val="clear" w:color="auto" w:fill="FFFFFF" w:themeFill="background1"/>
            <w:vAlign w:val="center"/>
          </w:tcPr>
          <w:p w14:paraId="770BDFA1"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p>
        </w:tc>
      </w:tr>
      <w:tr w:rsidR="0056738E" w:rsidRPr="000A3197" w14:paraId="79614B28" w14:textId="77777777" w:rsidTr="007C2AEE">
        <w:trPr>
          <w:trHeight w:val="283"/>
          <w:jc w:val="center"/>
        </w:trPr>
        <w:tc>
          <w:tcPr>
            <w:tcW w:w="6941" w:type="dxa"/>
            <w:tcBorders>
              <w:bottom w:val="single" w:sz="4" w:space="0" w:color="C0C0C0"/>
            </w:tcBorders>
            <w:vAlign w:val="center"/>
          </w:tcPr>
          <w:p w14:paraId="18BD7F04" w14:textId="77777777" w:rsidR="0056738E" w:rsidRPr="00295155" w:rsidRDefault="0056738E" w:rsidP="007C2AEE">
            <w:pPr>
              <w:pStyle w:val="BodyText2"/>
              <w:tabs>
                <w:tab w:val="decimal" w:pos="4962"/>
                <w:tab w:val="decimal" w:pos="6521"/>
                <w:tab w:val="right" w:pos="7560"/>
                <w:tab w:val="decimal" w:pos="8220"/>
                <w:tab w:val="left" w:pos="8640"/>
                <w:tab w:val="right" w:pos="9000"/>
              </w:tabs>
              <w:spacing w:after="0" w:line="240" w:lineRule="auto"/>
              <w:rPr>
                <w:rFonts w:ascii="Arial" w:hAnsi="Arial" w:cs="Arial"/>
                <w:b/>
                <w:color w:val="262626"/>
                <w:sz w:val="18"/>
                <w:szCs w:val="18"/>
                <w:lang w:val="el-GR"/>
              </w:rPr>
            </w:pPr>
            <w:r>
              <w:rPr>
                <w:rFonts w:ascii="Arial" w:hAnsi="Arial" w:cs="Arial"/>
                <w:b/>
                <w:color w:val="262626"/>
                <w:sz w:val="18"/>
                <w:szCs w:val="18"/>
                <w:lang w:val="el-GR"/>
              </w:rPr>
              <w:t xml:space="preserve">Αναλογιστικά κέρδη </w:t>
            </w:r>
            <w:r w:rsidRPr="00295155">
              <w:rPr>
                <w:rFonts w:ascii="Arial" w:hAnsi="Arial" w:cs="Arial"/>
                <w:b/>
                <w:color w:val="262626"/>
                <w:sz w:val="18"/>
                <w:szCs w:val="18"/>
                <w:lang w:val="el-GR"/>
              </w:rPr>
              <w:t>των προγραμμάτων καθορισμένων παροχών</w:t>
            </w:r>
          </w:p>
        </w:tc>
        <w:tc>
          <w:tcPr>
            <w:tcW w:w="1559" w:type="dxa"/>
            <w:tcBorders>
              <w:top w:val="single" w:sz="4" w:space="0" w:color="BFBFBF" w:themeColor="background1" w:themeShade="BF"/>
              <w:bottom w:val="single" w:sz="6" w:space="0" w:color="000000" w:themeColor="text1"/>
            </w:tcBorders>
            <w:shd w:val="clear" w:color="auto" w:fill="FFFFFF" w:themeFill="background1"/>
            <w:vAlign w:val="center"/>
          </w:tcPr>
          <w:p w14:paraId="38BE6A29"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901</w:t>
            </w:r>
          </w:p>
        </w:tc>
        <w:tc>
          <w:tcPr>
            <w:tcW w:w="1560" w:type="dxa"/>
            <w:tcBorders>
              <w:top w:val="single" w:sz="4" w:space="0" w:color="BFBFBF" w:themeColor="background1" w:themeShade="BF"/>
              <w:bottom w:val="single" w:sz="6" w:space="0" w:color="000000" w:themeColor="text1"/>
            </w:tcBorders>
            <w:shd w:val="clear" w:color="auto" w:fill="FFFFFF" w:themeFill="background1"/>
            <w:vAlign w:val="center"/>
          </w:tcPr>
          <w:p w14:paraId="7BFB7916"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1,216</w:t>
            </w:r>
          </w:p>
        </w:tc>
      </w:tr>
      <w:tr w:rsidR="0056738E" w:rsidRPr="000A3197" w14:paraId="290BF47D" w14:textId="77777777" w:rsidTr="007C2AEE">
        <w:trPr>
          <w:trHeight w:val="283"/>
          <w:jc w:val="center"/>
        </w:trPr>
        <w:tc>
          <w:tcPr>
            <w:tcW w:w="6941" w:type="dxa"/>
            <w:tcBorders>
              <w:bottom w:val="single" w:sz="4" w:space="0" w:color="C0C0C0"/>
            </w:tcBorders>
            <w:vAlign w:val="center"/>
          </w:tcPr>
          <w:p w14:paraId="248D3BA3" w14:textId="77777777" w:rsidR="0056738E" w:rsidRPr="00295155" w:rsidRDefault="0056738E" w:rsidP="007C2AEE">
            <w:pPr>
              <w:pStyle w:val="BodyText2"/>
              <w:tabs>
                <w:tab w:val="decimal" w:pos="4962"/>
                <w:tab w:val="decimal" w:pos="6521"/>
                <w:tab w:val="right" w:pos="7560"/>
                <w:tab w:val="decimal" w:pos="8220"/>
                <w:tab w:val="left" w:pos="8640"/>
                <w:tab w:val="right" w:pos="9000"/>
              </w:tabs>
              <w:spacing w:after="0" w:line="240" w:lineRule="auto"/>
              <w:rPr>
                <w:rFonts w:ascii="Arial" w:hAnsi="Arial" w:cs="Arial"/>
                <w:b/>
                <w:color w:val="262626"/>
                <w:sz w:val="18"/>
                <w:szCs w:val="18"/>
                <w:lang w:val="el-GR"/>
              </w:rPr>
            </w:pPr>
            <w:r>
              <w:rPr>
                <w:rFonts w:ascii="Arial" w:hAnsi="Arial" w:cs="Arial"/>
                <w:color w:val="262626"/>
                <w:sz w:val="18"/>
                <w:szCs w:val="18"/>
                <w:lang w:val="el-GR"/>
              </w:rPr>
              <w:t>Κέρδη</w:t>
            </w:r>
            <w:r w:rsidRPr="00295155">
              <w:rPr>
                <w:rFonts w:ascii="Arial" w:hAnsi="Arial" w:cs="Arial"/>
                <w:color w:val="262626"/>
                <w:sz w:val="18"/>
                <w:szCs w:val="18"/>
                <w:lang w:val="el-GR"/>
              </w:rPr>
              <w:t xml:space="preserve"> κατά την </w:t>
            </w:r>
            <w:proofErr w:type="spellStart"/>
            <w:r w:rsidRPr="00295155">
              <w:rPr>
                <w:rFonts w:ascii="Arial" w:hAnsi="Arial" w:cs="Arial"/>
                <w:color w:val="262626"/>
                <w:sz w:val="18"/>
                <w:szCs w:val="18"/>
                <w:lang w:val="el-GR"/>
              </w:rPr>
              <w:t>επαναμέτρηση</w:t>
            </w:r>
            <w:proofErr w:type="spellEnd"/>
            <w:r w:rsidRPr="00295155">
              <w:rPr>
                <w:rFonts w:ascii="Arial" w:hAnsi="Arial" w:cs="Arial"/>
                <w:color w:val="262626"/>
                <w:sz w:val="18"/>
                <w:szCs w:val="18"/>
                <w:lang w:val="el-GR"/>
              </w:rPr>
              <w:t xml:space="preserve"> των προγραμμάτων καθορισμένων παροχών </w:t>
            </w:r>
          </w:p>
        </w:tc>
        <w:tc>
          <w:tcPr>
            <w:tcW w:w="1559" w:type="dxa"/>
            <w:tcBorders>
              <w:top w:val="single" w:sz="6" w:space="0" w:color="000000" w:themeColor="text1"/>
              <w:bottom w:val="single" w:sz="4" w:space="0" w:color="C0C0C0"/>
            </w:tcBorders>
            <w:shd w:val="clear" w:color="auto" w:fill="auto"/>
            <w:vAlign w:val="center"/>
          </w:tcPr>
          <w:p w14:paraId="5935AAAA"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901</w:t>
            </w:r>
          </w:p>
        </w:tc>
        <w:tc>
          <w:tcPr>
            <w:tcW w:w="1560" w:type="dxa"/>
            <w:tcBorders>
              <w:top w:val="single" w:sz="6" w:space="0" w:color="000000" w:themeColor="text1"/>
              <w:bottom w:val="single" w:sz="4" w:space="0" w:color="C0C0C0"/>
            </w:tcBorders>
            <w:shd w:val="clear" w:color="auto" w:fill="auto"/>
            <w:vAlign w:val="center"/>
          </w:tcPr>
          <w:p w14:paraId="7AE11C69"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1,216</w:t>
            </w:r>
          </w:p>
        </w:tc>
      </w:tr>
      <w:tr w:rsidR="0056738E" w:rsidRPr="000A3197" w14:paraId="323D6857" w14:textId="77777777" w:rsidTr="007C2AEE">
        <w:trPr>
          <w:trHeight w:val="283"/>
          <w:jc w:val="center"/>
        </w:trPr>
        <w:tc>
          <w:tcPr>
            <w:tcW w:w="6941" w:type="dxa"/>
            <w:tcBorders>
              <w:bottom w:val="single" w:sz="4" w:space="0" w:color="C0C0C0"/>
            </w:tcBorders>
            <w:vAlign w:val="center"/>
          </w:tcPr>
          <w:p w14:paraId="4AAF1B21" w14:textId="77777777" w:rsidR="0056738E" w:rsidRDefault="0056738E" w:rsidP="007C2AEE">
            <w:pPr>
              <w:pStyle w:val="BodyText2"/>
              <w:tabs>
                <w:tab w:val="decimal" w:pos="4962"/>
                <w:tab w:val="decimal" w:pos="6521"/>
                <w:tab w:val="right" w:pos="7560"/>
                <w:tab w:val="decimal" w:pos="8220"/>
                <w:tab w:val="left" w:pos="8640"/>
                <w:tab w:val="right" w:pos="9000"/>
              </w:tabs>
              <w:spacing w:after="0" w:line="240" w:lineRule="auto"/>
              <w:rPr>
                <w:rFonts w:ascii="Arial" w:hAnsi="Arial" w:cs="Arial"/>
                <w:color w:val="262626"/>
                <w:sz w:val="18"/>
                <w:szCs w:val="18"/>
                <w:lang w:val="el-GR"/>
              </w:rPr>
            </w:pPr>
          </w:p>
        </w:tc>
        <w:tc>
          <w:tcPr>
            <w:tcW w:w="1559" w:type="dxa"/>
            <w:tcBorders>
              <w:top w:val="single" w:sz="6" w:space="0" w:color="auto"/>
              <w:bottom w:val="single" w:sz="4" w:space="0" w:color="C0C0C0"/>
            </w:tcBorders>
            <w:shd w:val="clear" w:color="auto" w:fill="auto"/>
            <w:vAlign w:val="center"/>
          </w:tcPr>
          <w:p w14:paraId="3AB091E9" w14:textId="77777777" w:rsidR="0056738E" w:rsidRPr="00F012CB"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p>
        </w:tc>
        <w:tc>
          <w:tcPr>
            <w:tcW w:w="1560" w:type="dxa"/>
            <w:tcBorders>
              <w:top w:val="single" w:sz="6" w:space="0" w:color="auto"/>
              <w:bottom w:val="single" w:sz="4" w:space="0" w:color="C0C0C0"/>
            </w:tcBorders>
            <w:shd w:val="clear" w:color="auto" w:fill="auto"/>
            <w:vAlign w:val="center"/>
          </w:tcPr>
          <w:p w14:paraId="22DA7814" w14:textId="77777777" w:rsidR="0056738E" w:rsidRPr="00E25891"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eastAsia="en-US"/>
              </w:rPr>
            </w:pPr>
          </w:p>
        </w:tc>
      </w:tr>
      <w:tr w:rsidR="0056738E" w:rsidRPr="000A3197" w14:paraId="0E5D1492" w14:textId="77777777" w:rsidTr="007C2AEE">
        <w:trPr>
          <w:trHeight w:val="283"/>
          <w:jc w:val="center"/>
        </w:trPr>
        <w:tc>
          <w:tcPr>
            <w:tcW w:w="6941" w:type="dxa"/>
            <w:tcBorders>
              <w:top w:val="single" w:sz="4" w:space="0" w:color="C0C0C0"/>
              <w:bottom w:val="single" w:sz="4" w:space="0" w:color="C0C0C0"/>
            </w:tcBorders>
            <w:vAlign w:val="center"/>
          </w:tcPr>
          <w:p w14:paraId="78D8999C" w14:textId="77777777" w:rsidR="0056738E" w:rsidRPr="00295155" w:rsidRDefault="0056738E" w:rsidP="007C2AEE">
            <w:pPr>
              <w:pStyle w:val="BodyText2"/>
              <w:tabs>
                <w:tab w:val="decimal" w:pos="4962"/>
                <w:tab w:val="decimal" w:pos="6521"/>
                <w:tab w:val="right" w:pos="7560"/>
                <w:tab w:val="decimal" w:pos="8220"/>
                <w:tab w:val="left" w:pos="8640"/>
                <w:tab w:val="right" w:pos="9000"/>
              </w:tabs>
              <w:spacing w:after="0" w:line="240" w:lineRule="auto"/>
              <w:rPr>
                <w:rFonts w:ascii="Arial" w:hAnsi="Arial" w:cs="Arial"/>
                <w:b/>
                <w:color w:val="262626"/>
                <w:sz w:val="18"/>
                <w:szCs w:val="18"/>
                <w:lang w:val="el-GR"/>
              </w:rPr>
            </w:pPr>
            <w:r>
              <w:rPr>
                <w:rFonts w:ascii="Arial" w:hAnsi="Arial" w:cs="Arial"/>
                <w:b/>
                <w:color w:val="262626"/>
                <w:sz w:val="18"/>
                <w:szCs w:val="18"/>
                <w:lang w:val="el-GR"/>
              </w:rPr>
              <w:t xml:space="preserve">Λοιπές συνολικές (ζημιές)/εισοδήματα </w:t>
            </w:r>
            <w:r w:rsidRPr="00295155">
              <w:rPr>
                <w:rFonts w:ascii="Arial" w:hAnsi="Arial" w:cs="Arial"/>
                <w:b/>
                <w:color w:val="262626"/>
                <w:sz w:val="18"/>
                <w:szCs w:val="18"/>
                <w:lang w:val="el-GR"/>
              </w:rPr>
              <w:t>για την περίοδο</w:t>
            </w:r>
            <w:r>
              <w:rPr>
                <w:rFonts w:ascii="Arial" w:hAnsi="Arial" w:cs="Arial"/>
                <w:b/>
                <w:color w:val="262626"/>
                <w:sz w:val="18"/>
                <w:szCs w:val="18"/>
                <w:lang w:val="el-GR"/>
              </w:rPr>
              <w:t xml:space="preserve"> </w:t>
            </w:r>
            <w:r w:rsidRPr="00295155">
              <w:rPr>
                <w:rFonts w:ascii="Arial" w:hAnsi="Arial" w:cs="Arial"/>
                <w:b/>
                <w:color w:val="262626"/>
                <w:sz w:val="18"/>
                <w:szCs w:val="18"/>
                <w:lang w:val="el-GR"/>
              </w:rPr>
              <w:t>μετά τη φορολογία</w:t>
            </w:r>
          </w:p>
        </w:tc>
        <w:tc>
          <w:tcPr>
            <w:tcW w:w="1559" w:type="dxa"/>
            <w:tcBorders>
              <w:top w:val="single" w:sz="6" w:space="0" w:color="auto"/>
              <w:bottom w:val="single" w:sz="4" w:space="0" w:color="C0C0C0"/>
            </w:tcBorders>
            <w:shd w:val="clear" w:color="auto" w:fill="auto"/>
            <w:vAlign w:val="center"/>
          </w:tcPr>
          <w:p w14:paraId="2889E4DE"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(384)</w:t>
            </w:r>
          </w:p>
        </w:tc>
        <w:tc>
          <w:tcPr>
            <w:tcW w:w="1560" w:type="dxa"/>
            <w:tcBorders>
              <w:top w:val="single" w:sz="6" w:space="0" w:color="auto"/>
              <w:bottom w:val="single" w:sz="4" w:space="0" w:color="C0C0C0"/>
            </w:tcBorders>
            <w:shd w:val="clear" w:color="auto" w:fill="auto"/>
            <w:vAlign w:val="center"/>
          </w:tcPr>
          <w:p w14:paraId="4D1DE167"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3,351</w:t>
            </w:r>
          </w:p>
        </w:tc>
      </w:tr>
      <w:tr w:rsidR="0056738E" w:rsidRPr="000A3197" w14:paraId="530BA80F" w14:textId="77777777" w:rsidTr="007C2AEE">
        <w:trPr>
          <w:trHeight w:val="283"/>
          <w:jc w:val="center"/>
        </w:trPr>
        <w:tc>
          <w:tcPr>
            <w:tcW w:w="6941" w:type="dxa"/>
            <w:tcBorders>
              <w:top w:val="single" w:sz="4" w:space="0" w:color="C0C0C0"/>
              <w:bottom w:val="single" w:sz="4" w:space="0" w:color="C0C0C0"/>
            </w:tcBorders>
            <w:vAlign w:val="center"/>
          </w:tcPr>
          <w:p w14:paraId="23EAEAF3" w14:textId="77777777" w:rsidR="0056738E" w:rsidRPr="00295155" w:rsidRDefault="0056738E" w:rsidP="007C2AEE">
            <w:pPr>
              <w:pStyle w:val="BodyText2"/>
              <w:tabs>
                <w:tab w:val="decimal" w:pos="4962"/>
                <w:tab w:val="decimal" w:pos="6521"/>
                <w:tab w:val="right" w:pos="7560"/>
                <w:tab w:val="decimal" w:pos="8220"/>
                <w:tab w:val="left" w:pos="8640"/>
                <w:tab w:val="right" w:pos="9000"/>
              </w:tabs>
              <w:spacing w:after="0" w:line="240" w:lineRule="auto"/>
              <w:rPr>
                <w:rFonts w:ascii="Arial" w:hAnsi="Arial" w:cs="Arial"/>
                <w:b/>
                <w:color w:val="262626"/>
                <w:sz w:val="18"/>
                <w:szCs w:val="18"/>
                <w:lang w:val="el-GR"/>
              </w:rPr>
            </w:pPr>
            <w:r>
              <w:rPr>
                <w:rFonts w:ascii="Arial" w:hAnsi="Arial" w:cs="Arial"/>
                <w:b/>
                <w:color w:val="262626"/>
                <w:sz w:val="18"/>
                <w:szCs w:val="18"/>
                <w:lang w:val="el-GR"/>
              </w:rPr>
              <w:t>Συνολικά εισοδήματα</w:t>
            </w:r>
            <w:r w:rsidRPr="00295155">
              <w:rPr>
                <w:rFonts w:ascii="Arial" w:hAnsi="Arial" w:cs="Arial"/>
                <w:b/>
                <w:color w:val="262626"/>
                <w:sz w:val="18"/>
                <w:szCs w:val="18"/>
                <w:lang w:val="el-GR"/>
              </w:rPr>
              <w:t xml:space="preserve"> για την περίοδο</w:t>
            </w:r>
          </w:p>
        </w:tc>
        <w:tc>
          <w:tcPr>
            <w:tcW w:w="1559" w:type="dxa"/>
            <w:tcBorders>
              <w:top w:val="single" w:sz="6" w:space="0" w:color="auto"/>
              <w:bottom w:val="double" w:sz="6" w:space="0" w:color="auto"/>
            </w:tcBorders>
            <w:shd w:val="clear" w:color="auto" w:fill="auto"/>
            <w:vAlign w:val="center"/>
          </w:tcPr>
          <w:p w14:paraId="064431D1"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401,799</w:t>
            </w:r>
          </w:p>
        </w:tc>
        <w:tc>
          <w:tcPr>
            <w:tcW w:w="1560" w:type="dxa"/>
            <w:tcBorders>
              <w:top w:val="single" w:sz="6" w:space="0" w:color="auto"/>
              <w:bottom w:val="double" w:sz="6" w:space="0" w:color="auto"/>
            </w:tcBorders>
            <w:shd w:val="clear" w:color="auto" w:fill="auto"/>
            <w:vAlign w:val="center"/>
          </w:tcPr>
          <w:p w14:paraId="0137C19F"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25891">
              <w:rPr>
                <w:rFonts w:ascii="Arial" w:eastAsia="Batang" w:hAnsi="Arial" w:cs="Arial"/>
                <w:color w:val="262626"/>
                <w:sz w:val="18"/>
                <w:szCs w:val="18"/>
                <w:lang w:eastAsia="en-US"/>
              </w:rPr>
              <w:t>354,403</w:t>
            </w:r>
          </w:p>
        </w:tc>
      </w:tr>
      <w:tr w:rsidR="0056738E" w:rsidRPr="000A3197" w14:paraId="342A2C0E" w14:textId="77777777" w:rsidTr="007C2AEE">
        <w:trPr>
          <w:trHeight w:val="283"/>
          <w:jc w:val="center"/>
        </w:trPr>
        <w:tc>
          <w:tcPr>
            <w:tcW w:w="6941" w:type="dxa"/>
            <w:tcBorders>
              <w:left w:val="single" w:sz="4" w:space="0" w:color="C0C0C0"/>
              <w:right w:val="nil"/>
            </w:tcBorders>
            <w:vAlign w:val="center"/>
          </w:tcPr>
          <w:p w14:paraId="013B233E" w14:textId="77777777" w:rsidR="0056738E" w:rsidRPr="00295155" w:rsidRDefault="0056738E" w:rsidP="007C2AEE">
            <w:pPr>
              <w:pStyle w:val="BodyText2"/>
              <w:tabs>
                <w:tab w:val="left" w:pos="282"/>
              </w:tabs>
              <w:spacing w:after="0" w:line="240" w:lineRule="auto"/>
              <w:rPr>
                <w:rFonts w:ascii="Arial" w:hAnsi="Arial" w:cs="Arial"/>
                <w:b/>
                <w:color w:val="262626"/>
                <w:sz w:val="18"/>
                <w:szCs w:val="18"/>
                <w:lang w:val="el-GR"/>
              </w:rPr>
            </w:pPr>
          </w:p>
        </w:tc>
        <w:tc>
          <w:tcPr>
            <w:tcW w:w="1559" w:type="dxa"/>
            <w:tcBorders>
              <w:top w:val="double" w:sz="6" w:space="0" w:color="auto"/>
              <w:left w:val="single" w:sz="4" w:space="0" w:color="BFBFBF" w:themeColor="background1" w:themeShade="BF"/>
              <w:right w:val="single" w:sz="4" w:space="0" w:color="BFBFBF" w:themeColor="background1" w:themeShade="BF"/>
            </w:tcBorders>
            <w:shd w:val="clear" w:color="auto" w:fill="FFFFFF" w:themeFill="background1"/>
            <w:vAlign w:val="center"/>
          </w:tcPr>
          <w:p w14:paraId="54C3ADA8" w14:textId="77777777" w:rsidR="0056738E" w:rsidRPr="00325113" w:rsidRDefault="0056738E" w:rsidP="007C2AEE">
            <w:pPr>
              <w:tabs>
                <w:tab w:val="left" w:pos="0"/>
                <w:tab w:val="left" w:pos="282"/>
                <w:tab w:val="left" w:pos="720"/>
              </w:tabs>
              <w:suppressAutoHyphens/>
              <w:spacing w:after="0" w:line="240" w:lineRule="auto"/>
              <w:jc w:val="right"/>
              <w:rPr>
                <w:rFonts w:ascii="Arial" w:hAnsi="Arial" w:cs="Arial"/>
                <w:b/>
                <w:color w:val="262626"/>
                <w:sz w:val="18"/>
                <w:szCs w:val="18"/>
                <w:lang w:val="el-GR"/>
              </w:rPr>
            </w:pPr>
          </w:p>
        </w:tc>
        <w:tc>
          <w:tcPr>
            <w:tcW w:w="1560" w:type="dxa"/>
            <w:tcBorders>
              <w:top w:val="double" w:sz="6" w:space="0" w:color="auto"/>
              <w:left w:val="single" w:sz="4" w:space="0" w:color="BFBFBF" w:themeColor="background1" w:themeShade="BF"/>
              <w:bottom w:val="single" w:sz="4" w:space="0" w:color="C0C0C0"/>
              <w:right w:val="single" w:sz="4" w:space="0" w:color="BFBFBF" w:themeColor="background1" w:themeShade="BF"/>
            </w:tcBorders>
            <w:shd w:val="clear" w:color="auto" w:fill="FFFFFF" w:themeFill="background1"/>
            <w:vAlign w:val="center"/>
          </w:tcPr>
          <w:p w14:paraId="71E9DF58" w14:textId="77777777" w:rsidR="0056738E" w:rsidRPr="0059447F" w:rsidRDefault="0056738E" w:rsidP="007C2AEE">
            <w:pPr>
              <w:tabs>
                <w:tab w:val="left" w:pos="0"/>
                <w:tab w:val="left" w:pos="282"/>
                <w:tab w:val="left" w:pos="720"/>
              </w:tabs>
              <w:suppressAutoHyphens/>
              <w:spacing w:after="0" w:line="240" w:lineRule="auto"/>
              <w:jc w:val="right"/>
              <w:rPr>
                <w:rFonts w:ascii="Arial" w:hAnsi="Arial" w:cs="Arial"/>
                <w:color w:val="262626"/>
                <w:sz w:val="18"/>
                <w:szCs w:val="18"/>
                <w:lang w:val="el-GR"/>
              </w:rPr>
            </w:pPr>
          </w:p>
        </w:tc>
      </w:tr>
      <w:tr w:rsidR="0056738E" w:rsidRPr="00295155" w14:paraId="572EDD90" w14:textId="77777777" w:rsidTr="007C2AEE">
        <w:trPr>
          <w:trHeight w:val="283"/>
          <w:jc w:val="center"/>
        </w:trPr>
        <w:tc>
          <w:tcPr>
            <w:tcW w:w="6941" w:type="dxa"/>
            <w:vAlign w:val="center"/>
          </w:tcPr>
          <w:p w14:paraId="50E8DCF1" w14:textId="77777777" w:rsidR="0056738E" w:rsidRPr="00295155" w:rsidRDefault="0056738E" w:rsidP="007C2AEE">
            <w:pPr>
              <w:pStyle w:val="BodyText2"/>
              <w:spacing w:after="0" w:line="240" w:lineRule="auto"/>
              <w:rPr>
                <w:rFonts w:ascii="Arial" w:hAnsi="Arial" w:cs="Arial"/>
                <w:b/>
                <w:bCs/>
                <w:color w:val="262626"/>
                <w:sz w:val="18"/>
                <w:szCs w:val="18"/>
              </w:rPr>
            </w:pPr>
            <w:proofErr w:type="spellStart"/>
            <w:r w:rsidRPr="00295155">
              <w:rPr>
                <w:rFonts w:ascii="Arial" w:hAnsi="Arial" w:cs="Arial"/>
                <w:b/>
                <w:color w:val="262626"/>
                <w:sz w:val="18"/>
                <w:szCs w:val="18"/>
              </w:rPr>
              <w:t>Αν</w:t>
            </w:r>
            <w:proofErr w:type="spellEnd"/>
            <w:r w:rsidRPr="00295155">
              <w:rPr>
                <w:rFonts w:ascii="Arial" w:hAnsi="Arial" w:cs="Arial"/>
                <w:b/>
                <w:color w:val="262626"/>
                <w:sz w:val="18"/>
                <w:szCs w:val="18"/>
              </w:rPr>
              <w:t>αλογούντ</w:t>
            </w:r>
            <w:r>
              <w:rPr>
                <w:rFonts w:ascii="Arial" w:hAnsi="Arial" w:cs="Arial"/>
                <w:b/>
                <w:color w:val="262626"/>
                <w:sz w:val="18"/>
                <w:szCs w:val="18"/>
                <w:lang w:val="el-GR"/>
              </w:rPr>
              <w:t>α</w:t>
            </w:r>
            <w:r w:rsidRPr="00295155">
              <w:rPr>
                <w:rFonts w:ascii="Arial" w:hAnsi="Arial" w:cs="Arial"/>
                <w:b/>
                <w:color w:val="262626"/>
                <w:sz w:val="18"/>
                <w:szCs w:val="18"/>
              </w:rPr>
              <w:t xml:space="preserve"> </w:t>
            </w:r>
            <w:proofErr w:type="spellStart"/>
            <w:r w:rsidRPr="00295155">
              <w:rPr>
                <w:rFonts w:ascii="Arial" w:hAnsi="Arial" w:cs="Arial"/>
                <w:b/>
                <w:color w:val="262626"/>
                <w:sz w:val="18"/>
                <w:szCs w:val="18"/>
              </w:rPr>
              <w:t>σε</w:t>
            </w:r>
            <w:proofErr w:type="spellEnd"/>
            <w:r w:rsidRPr="00295155">
              <w:rPr>
                <w:rFonts w:ascii="Arial" w:hAnsi="Arial" w:cs="Arial"/>
                <w:b/>
                <w:color w:val="262626"/>
                <w:sz w:val="18"/>
                <w:szCs w:val="18"/>
              </w:rPr>
              <w:t>:</w:t>
            </w:r>
          </w:p>
        </w:tc>
        <w:tc>
          <w:tcPr>
            <w:tcW w:w="1559" w:type="dxa"/>
            <w:tcBorders>
              <w:bottom w:val="single" w:sz="4" w:space="0" w:color="C0C0C0"/>
            </w:tcBorders>
            <w:shd w:val="clear" w:color="auto" w:fill="FFFFFF" w:themeFill="background1"/>
            <w:vAlign w:val="center"/>
          </w:tcPr>
          <w:p w14:paraId="1070EAD0" w14:textId="77777777" w:rsidR="0056738E" w:rsidRPr="00B27E5C"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p>
        </w:tc>
        <w:tc>
          <w:tcPr>
            <w:tcW w:w="1560" w:type="dxa"/>
            <w:tcBorders>
              <w:top w:val="single" w:sz="4" w:space="0" w:color="C0C0C0"/>
              <w:bottom w:val="single" w:sz="4" w:space="0" w:color="C0C0C0"/>
            </w:tcBorders>
            <w:shd w:val="clear" w:color="auto" w:fill="FFFFFF" w:themeFill="background1"/>
            <w:vAlign w:val="center"/>
          </w:tcPr>
          <w:p w14:paraId="56ECD832"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eastAsia="en-US"/>
              </w:rPr>
            </w:pPr>
          </w:p>
        </w:tc>
      </w:tr>
      <w:tr w:rsidR="0056738E" w:rsidRPr="00295155" w14:paraId="6B94CC4D" w14:textId="77777777" w:rsidTr="007C2AEE">
        <w:trPr>
          <w:trHeight w:val="283"/>
          <w:jc w:val="center"/>
        </w:trPr>
        <w:tc>
          <w:tcPr>
            <w:tcW w:w="6941" w:type="dxa"/>
            <w:vAlign w:val="center"/>
          </w:tcPr>
          <w:p w14:paraId="3BF6D0A1" w14:textId="77777777" w:rsidR="0056738E" w:rsidRPr="00295155" w:rsidRDefault="0056738E" w:rsidP="007C2AEE">
            <w:pPr>
              <w:pStyle w:val="BodyText2"/>
              <w:spacing w:after="0" w:line="240" w:lineRule="auto"/>
              <w:rPr>
                <w:rFonts w:ascii="Arial" w:hAnsi="Arial" w:cs="Arial"/>
                <w:bCs/>
                <w:color w:val="262626"/>
                <w:sz w:val="18"/>
                <w:szCs w:val="18"/>
                <w:lang w:val="el-GR"/>
              </w:rPr>
            </w:pPr>
            <w:r w:rsidRPr="00295155">
              <w:rPr>
                <w:rFonts w:ascii="Arial" w:hAnsi="Arial" w:cs="Arial"/>
                <w:bCs/>
                <w:color w:val="262626"/>
                <w:sz w:val="18"/>
                <w:szCs w:val="18"/>
                <w:lang w:val="el-GR"/>
              </w:rPr>
              <w:t>Ιδιοκτήτες της Εταιρίας</w:t>
            </w:r>
          </w:p>
        </w:tc>
        <w:tc>
          <w:tcPr>
            <w:tcW w:w="1559" w:type="dxa"/>
            <w:tcBorders>
              <w:bottom w:val="single" w:sz="4" w:space="0" w:color="C0C0C0"/>
            </w:tcBorders>
            <w:shd w:val="clear" w:color="auto" w:fill="auto"/>
            <w:vAlign w:val="center"/>
          </w:tcPr>
          <w:p w14:paraId="06AE78DF"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val="en-US" w:eastAsia="en-US"/>
              </w:rPr>
              <w:t>400,248</w:t>
            </w:r>
          </w:p>
        </w:tc>
        <w:tc>
          <w:tcPr>
            <w:tcW w:w="1560" w:type="dxa"/>
            <w:tcBorders>
              <w:bottom w:val="single" w:sz="4" w:space="0" w:color="C0C0C0"/>
            </w:tcBorders>
            <w:shd w:val="clear" w:color="auto" w:fill="auto"/>
            <w:vAlign w:val="center"/>
          </w:tcPr>
          <w:p w14:paraId="6E5FC851"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val="en-US" w:eastAsia="en-US"/>
              </w:rPr>
              <w:t>352,708</w:t>
            </w:r>
          </w:p>
        </w:tc>
      </w:tr>
      <w:tr w:rsidR="0056738E" w:rsidRPr="00295155" w14:paraId="594A505A" w14:textId="77777777" w:rsidTr="007C2AEE">
        <w:trPr>
          <w:trHeight w:val="283"/>
          <w:jc w:val="center"/>
        </w:trPr>
        <w:tc>
          <w:tcPr>
            <w:tcW w:w="6941" w:type="dxa"/>
            <w:vAlign w:val="center"/>
          </w:tcPr>
          <w:p w14:paraId="466E8FFF" w14:textId="77777777" w:rsidR="0056738E" w:rsidRPr="00295155" w:rsidRDefault="0056738E" w:rsidP="007C2AEE">
            <w:pPr>
              <w:pStyle w:val="BodyText2"/>
              <w:spacing w:after="0" w:line="240" w:lineRule="auto"/>
              <w:rPr>
                <w:rFonts w:ascii="Arial" w:hAnsi="Arial" w:cs="Arial"/>
                <w:bCs/>
                <w:color w:val="262626"/>
                <w:sz w:val="18"/>
                <w:szCs w:val="18"/>
              </w:rPr>
            </w:pPr>
            <w:proofErr w:type="spellStart"/>
            <w:r w:rsidRPr="00295155">
              <w:rPr>
                <w:rFonts w:ascii="Arial" w:hAnsi="Arial" w:cs="Arial"/>
                <w:bCs/>
                <w:color w:val="262626"/>
                <w:sz w:val="18"/>
                <w:szCs w:val="18"/>
              </w:rPr>
              <w:t>Δικ</w:t>
            </w:r>
            <w:proofErr w:type="spellEnd"/>
            <w:r w:rsidRPr="00295155">
              <w:rPr>
                <w:rFonts w:ascii="Arial" w:hAnsi="Arial" w:cs="Arial"/>
                <w:bCs/>
                <w:color w:val="262626"/>
                <w:sz w:val="18"/>
                <w:szCs w:val="18"/>
              </w:rPr>
              <w:t xml:space="preserve">αιώματα </w:t>
            </w:r>
            <w:proofErr w:type="spellStart"/>
            <w:r w:rsidRPr="00295155">
              <w:rPr>
                <w:rFonts w:ascii="Arial" w:hAnsi="Arial" w:cs="Arial"/>
                <w:bCs/>
                <w:color w:val="262626"/>
                <w:sz w:val="18"/>
                <w:szCs w:val="18"/>
              </w:rPr>
              <w:t>μειοψηφί</w:t>
            </w:r>
            <w:proofErr w:type="spellEnd"/>
            <w:r w:rsidRPr="00295155">
              <w:rPr>
                <w:rFonts w:ascii="Arial" w:hAnsi="Arial" w:cs="Arial"/>
                <w:bCs/>
                <w:color w:val="262626"/>
                <w:sz w:val="18"/>
                <w:szCs w:val="18"/>
              </w:rPr>
              <w:t xml:space="preserve">ας </w:t>
            </w:r>
          </w:p>
        </w:tc>
        <w:tc>
          <w:tcPr>
            <w:tcW w:w="1559" w:type="dxa"/>
            <w:tcBorders>
              <w:top w:val="single" w:sz="4" w:space="0" w:color="C0C0C0"/>
              <w:bottom w:val="single" w:sz="6" w:space="0" w:color="auto"/>
            </w:tcBorders>
            <w:shd w:val="clear" w:color="auto" w:fill="auto"/>
            <w:vAlign w:val="center"/>
          </w:tcPr>
          <w:p w14:paraId="1A970461"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val="en-US" w:eastAsia="en-US"/>
              </w:rPr>
              <w:t>1,551</w:t>
            </w:r>
          </w:p>
        </w:tc>
        <w:tc>
          <w:tcPr>
            <w:tcW w:w="1560" w:type="dxa"/>
            <w:tcBorders>
              <w:top w:val="single" w:sz="4" w:space="0" w:color="C0C0C0"/>
              <w:bottom w:val="single" w:sz="6" w:space="0" w:color="auto"/>
            </w:tcBorders>
            <w:shd w:val="clear" w:color="auto" w:fill="auto"/>
            <w:vAlign w:val="center"/>
          </w:tcPr>
          <w:p w14:paraId="2E8FAF71"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val="en-US" w:eastAsia="en-US"/>
              </w:rPr>
              <w:t>1,695</w:t>
            </w:r>
          </w:p>
        </w:tc>
      </w:tr>
      <w:tr w:rsidR="0056738E" w:rsidRPr="000A3197" w14:paraId="42C08103" w14:textId="77777777" w:rsidTr="007C2AEE">
        <w:trPr>
          <w:trHeight w:val="283"/>
          <w:jc w:val="center"/>
        </w:trPr>
        <w:tc>
          <w:tcPr>
            <w:tcW w:w="6941" w:type="dxa"/>
            <w:vAlign w:val="center"/>
          </w:tcPr>
          <w:p w14:paraId="12F95F6B" w14:textId="77777777" w:rsidR="0056738E" w:rsidRPr="00295155" w:rsidRDefault="0056738E" w:rsidP="007C2AEE">
            <w:pPr>
              <w:pStyle w:val="BodyText2"/>
              <w:tabs>
                <w:tab w:val="decimal" w:pos="4962"/>
                <w:tab w:val="decimal" w:pos="6521"/>
                <w:tab w:val="right" w:pos="7560"/>
                <w:tab w:val="decimal" w:pos="8220"/>
                <w:tab w:val="left" w:pos="8640"/>
                <w:tab w:val="right" w:pos="9000"/>
              </w:tabs>
              <w:spacing w:after="0" w:line="240" w:lineRule="auto"/>
              <w:rPr>
                <w:rFonts w:ascii="Arial" w:hAnsi="Arial" w:cs="Arial"/>
                <w:b/>
                <w:color w:val="262626"/>
                <w:sz w:val="18"/>
                <w:szCs w:val="18"/>
                <w:lang w:val="el-GR"/>
              </w:rPr>
            </w:pPr>
            <w:r>
              <w:rPr>
                <w:rFonts w:ascii="Arial" w:hAnsi="Arial" w:cs="Arial"/>
                <w:b/>
                <w:color w:val="262626"/>
                <w:sz w:val="18"/>
                <w:szCs w:val="18"/>
                <w:lang w:val="el-GR"/>
              </w:rPr>
              <w:t>Συνολικά εισοδήματα</w:t>
            </w:r>
            <w:r w:rsidRPr="00295155">
              <w:rPr>
                <w:rFonts w:ascii="Arial" w:hAnsi="Arial" w:cs="Arial"/>
                <w:b/>
                <w:color w:val="262626"/>
                <w:sz w:val="18"/>
                <w:szCs w:val="18"/>
                <w:lang w:val="el-GR"/>
              </w:rPr>
              <w:t xml:space="preserve"> για την περίοδο</w:t>
            </w:r>
          </w:p>
        </w:tc>
        <w:tc>
          <w:tcPr>
            <w:tcW w:w="1559" w:type="dxa"/>
            <w:tcBorders>
              <w:top w:val="single" w:sz="6" w:space="0" w:color="auto"/>
              <w:bottom w:val="double" w:sz="6" w:space="0" w:color="auto"/>
            </w:tcBorders>
            <w:shd w:val="clear" w:color="auto" w:fill="auto"/>
            <w:vAlign w:val="center"/>
          </w:tcPr>
          <w:p w14:paraId="03CE53BB"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401,799</w:t>
            </w:r>
          </w:p>
        </w:tc>
        <w:tc>
          <w:tcPr>
            <w:tcW w:w="1560" w:type="dxa"/>
            <w:tcBorders>
              <w:top w:val="single" w:sz="6" w:space="0" w:color="auto"/>
              <w:bottom w:val="double" w:sz="6" w:space="0" w:color="auto"/>
            </w:tcBorders>
            <w:shd w:val="clear" w:color="auto" w:fill="auto"/>
            <w:vAlign w:val="center"/>
          </w:tcPr>
          <w:p w14:paraId="1D6EE7D4" w14:textId="77777777" w:rsidR="0056738E" w:rsidRPr="0059447F"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sidRPr="00E81940">
              <w:rPr>
                <w:rFonts w:ascii="Arial" w:eastAsia="Batang" w:hAnsi="Arial" w:cs="Arial"/>
                <w:color w:val="262626"/>
                <w:sz w:val="18"/>
                <w:szCs w:val="18"/>
                <w:lang w:eastAsia="en-US"/>
              </w:rPr>
              <w:t>354,403</w:t>
            </w:r>
          </w:p>
        </w:tc>
      </w:tr>
    </w:tbl>
    <w:p w14:paraId="6E22377D" w14:textId="77777777" w:rsidR="0056738E" w:rsidRPr="00585A2A" w:rsidRDefault="0056738E" w:rsidP="0056738E">
      <w:pPr>
        <w:tabs>
          <w:tab w:val="left" w:pos="0"/>
          <w:tab w:val="left" w:pos="282"/>
          <w:tab w:val="left" w:pos="720"/>
        </w:tabs>
        <w:suppressAutoHyphens/>
        <w:rPr>
          <w:rFonts w:ascii="Verdana" w:hAnsi="Verdana" w:cs="Arial"/>
          <w:color w:val="262626"/>
          <w:sz w:val="18"/>
          <w:szCs w:val="18"/>
          <w:lang w:val="el-GR"/>
        </w:rPr>
      </w:pPr>
    </w:p>
    <w:p w14:paraId="31B7A9BA" w14:textId="77777777" w:rsidR="0056738E" w:rsidRDefault="0056738E" w:rsidP="0056738E">
      <w:pPr>
        <w:rPr>
          <w:rFonts w:ascii="Arial" w:hAnsi="Arial" w:cs="Arial"/>
          <w:b/>
          <w:color w:val="FF9900"/>
          <w:szCs w:val="16"/>
          <w:lang w:val="el-GR"/>
        </w:rPr>
      </w:pPr>
    </w:p>
    <w:p w14:paraId="6DF70D06" w14:textId="77777777" w:rsidR="0056738E" w:rsidRDefault="0056738E" w:rsidP="0056738E">
      <w:pPr>
        <w:rPr>
          <w:rFonts w:ascii="Arial" w:hAnsi="Arial" w:cs="Arial"/>
          <w:b/>
          <w:color w:val="FF9900"/>
          <w:szCs w:val="16"/>
          <w:lang w:val="el-GR"/>
        </w:rPr>
      </w:pPr>
    </w:p>
    <w:p w14:paraId="39BB91D2" w14:textId="77777777" w:rsidR="0056738E" w:rsidRDefault="0056738E" w:rsidP="0056738E">
      <w:pPr>
        <w:rPr>
          <w:rFonts w:ascii="Arial" w:hAnsi="Arial" w:cs="Arial"/>
          <w:b/>
          <w:color w:val="FF9900"/>
          <w:szCs w:val="16"/>
          <w:lang w:val="el-GR"/>
        </w:rPr>
      </w:pPr>
      <w:r>
        <w:rPr>
          <w:rFonts w:ascii="Arial" w:hAnsi="Arial" w:cs="Arial"/>
          <w:b/>
          <w:color w:val="FF9900"/>
          <w:szCs w:val="16"/>
          <w:lang w:val="el-GR"/>
        </w:rPr>
        <w:br w:type="page"/>
      </w:r>
    </w:p>
    <w:p w14:paraId="6BD5FBD4" w14:textId="77777777" w:rsidR="0056738E" w:rsidRDefault="0056738E" w:rsidP="0056738E">
      <w:pPr>
        <w:spacing w:after="120" w:line="240" w:lineRule="auto"/>
        <w:ind w:left="851" w:hanging="851"/>
        <w:jc w:val="both"/>
        <w:rPr>
          <w:rFonts w:ascii="Arial" w:hAnsi="Arial" w:cs="Arial"/>
          <w:b/>
          <w:color w:val="FF9900"/>
          <w:szCs w:val="16"/>
          <w:lang w:val="el-GR"/>
        </w:rPr>
      </w:pPr>
      <w:r>
        <w:rPr>
          <w:rFonts w:ascii="Arial" w:hAnsi="Arial" w:cs="Arial"/>
          <w:b/>
          <w:color w:val="FF9900"/>
          <w:szCs w:val="16"/>
          <w:lang w:val="el-GR"/>
        </w:rPr>
        <w:lastRenderedPageBreak/>
        <w:t>Ε.</w:t>
      </w:r>
      <w:r w:rsidRPr="00FF063C">
        <w:rPr>
          <w:rFonts w:ascii="Arial" w:hAnsi="Arial" w:cs="Arial"/>
          <w:b/>
          <w:color w:val="FF9900"/>
          <w:szCs w:val="16"/>
          <w:lang w:val="el-GR"/>
        </w:rPr>
        <w:t xml:space="preserve"> </w:t>
      </w:r>
      <w:r w:rsidRPr="00D066DE">
        <w:rPr>
          <w:rFonts w:ascii="Arial" w:hAnsi="Arial" w:cs="Arial"/>
          <w:b/>
          <w:color w:val="FF9900"/>
          <w:szCs w:val="16"/>
          <w:lang w:val="el-GR"/>
        </w:rPr>
        <w:tab/>
      </w:r>
      <w:r>
        <w:rPr>
          <w:rFonts w:ascii="Arial" w:hAnsi="Arial" w:cs="Arial"/>
          <w:b/>
          <w:color w:val="FF9900"/>
          <w:szCs w:val="16"/>
          <w:lang w:val="el-GR"/>
        </w:rPr>
        <w:t xml:space="preserve">Οικονομικά αποτελέσματα στην απαιτούμενη από τη νομοθεσία βάση </w:t>
      </w:r>
      <w:r w:rsidRPr="007C60E2">
        <w:rPr>
          <w:rFonts w:ascii="Arial" w:hAnsi="Arial" w:cs="Arial"/>
          <w:color w:val="FF9900"/>
          <w:szCs w:val="16"/>
          <w:lang w:val="el-GR"/>
        </w:rPr>
        <w:t>(συνέχεια)</w:t>
      </w:r>
    </w:p>
    <w:p w14:paraId="0B2AEC5B" w14:textId="77777777" w:rsidR="0056738E" w:rsidRPr="00F2279F" w:rsidRDefault="0056738E" w:rsidP="0056738E">
      <w:pPr>
        <w:spacing w:after="120" w:line="240" w:lineRule="auto"/>
        <w:ind w:left="851" w:hanging="851"/>
        <w:jc w:val="both"/>
        <w:rPr>
          <w:rFonts w:ascii="Arial" w:hAnsi="Arial" w:cs="Arial"/>
          <w:b/>
          <w:color w:val="FF9900"/>
          <w:lang w:val="el-GR"/>
        </w:rPr>
      </w:pPr>
      <w:r>
        <w:rPr>
          <w:rFonts w:ascii="Arial" w:hAnsi="Arial" w:cs="Arial"/>
          <w:b/>
          <w:color w:val="FF9900"/>
          <w:szCs w:val="16"/>
          <w:lang w:val="el-GR"/>
        </w:rPr>
        <w:t>Ενδιάμεσος Ενοποιημένος Ισολογισμός</w:t>
      </w:r>
    </w:p>
    <w:tbl>
      <w:tblPr>
        <w:tblW w:w="975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917"/>
        <w:gridCol w:w="1474"/>
        <w:gridCol w:w="1361"/>
      </w:tblGrid>
      <w:tr w:rsidR="0056738E" w:rsidRPr="00295155" w14:paraId="50D96A69" w14:textId="77777777" w:rsidTr="007C2AEE">
        <w:trPr>
          <w:trHeight w:val="669"/>
          <w:jc w:val="center"/>
        </w:trPr>
        <w:tc>
          <w:tcPr>
            <w:tcW w:w="6917" w:type="dxa"/>
            <w:tcBorders>
              <w:left w:val="single" w:sz="4" w:space="0" w:color="C0C0C0"/>
            </w:tcBorders>
          </w:tcPr>
          <w:p w14:paraId="08BA07C0" w14:textId="77777777" w:rsidR="0056738E" w:rsidRPr="00295155" w:rsidRDefault="0056738E" w:rsidP="007C2AEE">
            <w:pPr>
              <w:tabs>
                <w:tab w:val="left" w:pos="0"/>
                <w:tab w:val="left" w:pos="282"/>
                <w:tab w:val="left" w:pos="720"/>
              </w:tabs>
              <w:suppressAutoHyphens/>
              <w:spacing w:after="0" w:line="240" w:lineRule="auto"/>
              <w:jc w:val="right"/>
              <w:rPr>
                <w:rFonts w:ascii="Arial" w:hAnsi="Arial" w:cs="Arial"/>
                <w:color w:val="262626"/>
                <w:sz w:val="18"/>
                <w:szCs w:val="18"/>
                <w:lang w:val="el-GR"/>
              </w:rPr>
            </w:pPr>
            <w:r w:rsidRPr="00295155">
              <w:rPr>
                <w:rFonts w:ascii="Arial" w:hAnsi="Arial" w:cs="Arial"/>
                <w:color w:val="262626"/>
                <w:sz w:val="18"/>
                <w:szCs w:val="18"/>
                <w:lang w:val="el-GR"/>
              </w:rPr>
              <w:br w:type="page"/>
            </w:r>
          </w:p>
        </w:tc>
        <w:tc>
          <w:tcPr>
            <w:tcW w:w="1474" w:type="dxa"/>
            <w:vAlign w:val="center"/>
          </w:tcPr>
          <w:p w14:paraId="63C7F610" w14:textId="77777777" w:rsidR="0056738E" w:rsidRPr="00F76E73" w:rsidRDefault="0056738E" w:rsidP="007C2AEE">
            <w:pPr>
              <w:pStyle w:val="BodyText3"/>
              <w:tabs>
                <w:tab w:val="clear" w:pos="0"/>
              </w:tabs>
              <w:ind w:left="-116" w:right="-165"/>
              <w:jc w:val="center"/>
              <w:rPr>
                <w:rFonts w:ascii="Arial" w:hAnsi="Arial" w:cs="Arial"/>
                <w:b/>
                <w:bCs/>
                <w:color w:val="262626"/>
                <w:sz w:val="18"/>
                <w:szCs w:val="18"/>
                <w:lang w:val="el-GR"/>
              </w:rPr>
            </w:pPr>
            <w:r>
              <w:rPr>
                <w:rFonts w:ascii="Arial" w:eastAsia="Batang" w:hAnsi="Arial" w:cs="Arial"/>
                <w:b/>
                <w:color w:val="262626"/>
                <w:sz w:val="18"/>
                <w:szCs w:val="18"/>
                <w:lang w:val="el-GR" w:eastAsia="en-US"/>
              </w:rPr>
              <w:t>30 Σεπτεμβρίου</w:t>
            </w:r>
            <w:r w:rsidDel="00264973">
              <w:rPr>
                <w:rFonts w:ascii="Arial" w:hAnsi="Arial" w:cs="Arial"/>
                <w:b/>
                <w:bCs/>
                <w:color w:val="262626"/>
                <w:sz w:val="18"/>
                <w:szCs w:val="18"/>
                <w:lang w:val="el-GR"/>
              </w:rPr>
              <w:t xml:space="preserve"> </w:t>
            </w:r>
            <w:r>
              <w:rPr>
                <w:rFonts w:ascii="Arial" w:hAnsi="Arial" w:cs="Arial"/>
                <w:b/>
                <w:bCs/>
                <w:color w:val="262626"/>
                <w:sz w:val="18"/>
                <w:szCs w:val="18"/>
                <w:lang w:val="el-GR"/>
              </w:rPr>
              <w:t>2024</w:t>
            </w:r>
          </w:p>
        </w:tc>
        <w:tc>
          <w:tcPr>
            <w:tcW w:w="1361" w:type="dxa"/>
            <w:vAlign w:val="center"/>
          </w:tcPr>
          <w:p w14:paraId="0937AF30" w14:textId="77777777" w:rsidR="0056738E" w:rsidRDefault="0056738E" w:rsidP="007C2AEE">
            <w:pPr>
              <w:pStyle w:val="BodyText3"/>
              <w:tabs>
                <w:tab w:val="clear" w:pos="0"/>
                <w:tab w:val="clear" w:pos="1416"/>
              </w:tabs>
              <w:ind w:left="-102" w:right="-59"/>
              <w:jc w:val="center"/>
              <w:rPr>
                <w:rFonts w:ascii="Arial" w:eastAsia="Batang" w:hAnsi="Arial" w:cs="Arial"/>
                <w:color w:val="262626"/>
                <w:sz w:val="18"/>
                <w:szCs w:val="18"/>
                <w:lang w:val="el-GR" w:eastAsia="en-US"/>
              </w:rPr>
            </w:pPr>
            <w:r>
              <w:rPr>
                <w:rFonts w:ascii="Arial" w:eastAsia="Batang" w:hAnsi="Arial" w:cs="Arial"/>
                <w:color w:val="262626"/>
                <w:sz w:val="18"/>
                <w:szCs w:val="18"/>
                <w:lang w:val="el-GR" w:eastAsia="en-US"/>
              </w:rPr>
              <w:t>31 Δεκεμβρίου</w:t>
            </w:r>
          </w:p>
          <w:p w14:paraId="38488314" w14:textId="77777777" w:rsidR="0056738E" w:rsidRPr="00325113" w:rsidRDefault="0056738E" w:rsidP="007C2AEE">
            <w:pPr>
              <w:pStyle w:val="BodyText3"/>
              <w:tabs>
                <w:tab w:val="clear" w:pos="0"/>
                <w:tab w:val="clear" w:pos="1416"/>
              </w:tabs>
              <w:ind w:left="-102" w:right="-59"/>
              <w:jc w:val="center"/>
              <w:rPr>
                <w:rFonts w:ascii="Arial" w:eastAsia="Batang" w:hAnsi="Arial" w:cs="Arial"/>
                <w:color w:val="262626"/>
                <w:sz w:val="18"/>
                <w:szCs w:val="18"/>
                <w:lang w:val="el-GR" w:eastAsia="en-US"/>
              </w:rPr>
            </w:pPr>
            <w:r>
              <w:rPr>
                <w:rFonts w:ascii="Arial" w:eastAsia="Batang" w:hAnsi="Arial" w:cs="Arial"/>
                <w:color w:val="262626"/>
                <w:sz w:val="18"/>
                <w:szCs w:val="18"/>
                <w:lang w:val="el-GR" w:eastAsia="en-US"/>
              </w:rPr>
              <w:t>2023</w:t>
            </w:r>
          </w:p>
        </w:tc>
      </w:tr>
      <w:tr w:rsidR="0056738E" w:rsidRPr="00295155" w14:paraId="3F13C1B3" w14:textId="77777777" w:rsidTr="007C2AEE">
        <w:trPr>
          <w:trHeight w:val="279"/>
          <w:jc w:val="center"/>
        </w:trPr>
        <w:tc>
          <w:tcPr>
            <w:tcW w:w="6917" w:type="dxa"/>
            <w:tcBorders>
              <w:left w:val="single" w:sz="4" w:space="0" w:color="C0C0C0"/>
              <w:bottom w:val="single" w:sz="4" w:space="0" w:color="C0C0C0"/>
            </w:tcBorders>
            <w:vAlign w:val="center"/>
          </w:tcPr>
          <w:p w14:paraId="3FD4174F" w14:textId="77777777" w:rsidR="0056738E" w:rsidRPr="00295155" w:rsidRDefault="0056738E" w:rsidP="007C2AEE">
            <w:pPr>
              <w:tabs>
                <w:tab w:val="left" w:pos="0"/>
                <w:tab w:val="decimal" w:pos="4962"/>
                <w:tab w:val="right" w:pos="7560"/>
                <w:tab w:val="decimal" w:pos="8220"/>
                <w:tab w:val="left" w:pos="8640"/>
                <w:tab w:val="right" w:pos="9000"/>
              </w:tabs>
              <w:suppressAutoHyphens/>
              <w:spacing w:after="0" w:line="240" w:lineRule="auto"/>
              <w:rPr>
                <w:rFonts w:ascii="Arial" w:hAnsi="Arial" w:cs="Arial"/>
                <w:b/>
                <w:color w:val="262626"/>
                <w:sz w:val="18"/>
                <w:szCs w:val="18"/>
                <w:lang w:val="el-GR"/>
              </w:rPr>
            </w:pPr>
            <w:r w:rsidRPr="00295155">
              <w:rPr>
                <w:rFonts w:ascii="Arial" w:hAnsi="Arial" w:cs="Arial"/>
                <w:b/>
                <w:color w:val="262626"/>
                <w:sz w:val="18"/>
                <w:szCs w:val="18"/>
                <w:lang w:val="el-GR"/>
              </w:rPr>
              <w:t>Περιουσιακά στοιχεία</w:t>
            </w:r>
          </w:p>
        </w:tc>
        <w:tc>
          <w:tcPr>
            <w:tcW w:w="1474" w:type="dxa"/>
            <w:vAlign w:val="center"/>
          </w:tcPr>
          <w:p w14:paraId="468F1162" w14:textId="77777777" w:rsidR="0056738E" w:rsidRPr="00295155" w:rsidRDefault="0056738E" w:rsidP="007C2AEE">
            <w:pPr>
              <w:tabs>
                <w:tab w:val="left" w:pos="0"/>
                <w:tab w:val="left" w:pos="282"/>
                <w:tab w:val="left" w:pos="720"/>
              </w:tabs>
              <w:suppressAutoHyphens/>
              <w:spacing w:after="0" w:line="240" w:lineRule="auto"/>
              <w:jc w:val="center"/>
              <w:rPr>
                <w:rFonts w:ascii="Arial" w:hAnsi="Arial" w:cs="Arial"/>
                <w:b/>
                <w:color w:val="262626"/>
                <w:sz w:val="18"/>
                <w:szCs w:val="18"/>
                <w:lang w:val="el-GR"/>
              </w:rPr>
            </w:pPr>
            <w:r w:rsidRPr="00295155">
              <w:rPr>
                <w:rFonts w:ascii="Arial" w:hAnsi="Arial" w:cs="Arial"/>
                <w:b/>
                <w:color w:val="262626"/>
                <w:sz w:val="18"/>
                <w:szCs w:val="18"/>
                <w:lang w:val="el-GR"/>
              </w:rPr>
              <w:t>€000</w:t>
            </w:r>
          </w:p>
        </w:tc>
        <w:tc>
          <w:tcPr>
            <w:tcW w:w="1361" w:type="dxa"/>
            <w:vAlign w:val="center"/>
          </w:tcPr>
          <w:p w14:paraId="799AB4B7" w14:textId="77777777" w:rsidR="0056738E" w:rsidRPr="00325113" w:rsidRDefault="0056738E" w:rsidP="007C2AEE">
            <w:pPr>
              <w:tabs>
                <w:tab w:val="left" w:pos="0"/>
                <w:tab w:val="left" w:pos="282"/>
                <w:tab w:val="left" w:pos="720"/>
              </w:tabs>
              <w:suppressAutoHyphens/>
              <w:spacing w:after="0" w:line="240" w:lineRule="auto"/>
              <w:jc w:val="center"/>
              <w:rPr>
                <w:rFonts w:ascii="Arial" w:eastAsia="Batang" w:hAnsi="Arial" w:cs="Arial"/>
                <w:color w:val="262626"/>
                <w:sz w:val="18"/>
                <w:szCs w:val="18"/>
                <w:lang w:val="el-GR" w:eastAsia="en-US"/>
              </w:rPr>
            </w:pPr>
            <w:r w:rsidRPr="00325113">
              <w:rPr>
                <w:rFonts w:ascii="Arial" w:eastAsia="Batang" w:hAnsi="Arial" w:cs="Arial"/>
                <w:color w:val="262626"/>
                <w:sz w:val="18"/>
                <w:szCs w:val="18"/>
                <w:lang w:val="el-GR" w:eastAsia="en-US"/>
              </w:rPr>
              <w:t>€000</w:t>
            </w:r>
          </w:p>
        </w:tc>
      </w:tr>
      <w:tr w:rsidR="0056738E" w:rsidRPr="00E93B7E" w14:paraId="4381E4CA" w14:textId="77777777" w:rsidTr="007C2AEE">
        <w:trPr>
          <w:trHeight w:val="279"/>
          <w:jc w:val="center"/>
        </w:trPr>
        <w:tc>
          <w:tcPr>
            <w:tcW w:w="6917" w:type="dxa"/>
            <w:tcBorders>
              <w:top w:val="single" w:sz="4" w:space="0" w:color="C0C0C0"/>
            </w:tcBorders>
            <w:vAlign w:val="center"/>
          </w:tcPr>
          <w:p w14:paraId="73FAB52F"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Μετρητά και καταθέσεις με κεντρικές τράπεζες</w:t>
            </w:r>
          </w:p>
        </w:tc>
        <w:tc>
          <w:tcPr>
            <w:tcW w:w="1474" w:type="dxa"/>
            <w:shd w:val="clear" w:color="auto" w:fill="auto"/>
            <w:vAlign w:val="center"/>
          </w:tcPr>
          <w:p w14:paraId="7405BF03" w14:textId="77777777" w:rsidR="0056738E" w:rsidRPr="00F012CB"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7,517,002</w:t>
            </w:r>
          </w:p>
        </w:tc>
        <w:tc>
          <w:tcPr>
            <w:tcW w:w="1361" w:type="dxa"/>
            <w:shd w:val="clear" w:color="auto" w:fill="FFFFFF"/>
            <w:vAlign w:val="center"/>
          </w:tcPr>
          <w:p w14:paraId="1B7DC882" w14:textId="77777777" w:rsidR="0056738E" w:rsidRPr="00EA064F"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9,614,502</w:t>
            </w:r>
          </w:p>
        </w:tc>
      </w:tr>
      <w:tr w:rsidR="0056738E" w:rsidRPr="00EA064F" w14:paraId="69552D05" w14:textId="77777777" w:rsidTr="007C2AEE">
        <w:trPr>
          <w:trHeight w:val="279"/>
          <w:jc w:val="center"/>
        </w:trPr>
        <w:tc>
          <w:tcPr>
            <w:tcW w:w="6917" w:type="dxa"/>
            <w:vAlign w:val="center"/>
          </w:tcPr>
          <w:p w14:paraId="6932F0BF"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 xml:space="preserve">Δάνεια και απαιτήσεις </w:t>
            </w:r>
            <w:r>
              <w:rPr>
                <w:rFonts w:ascii="Arial" w:hAnsi="Arial" w:cs="Arial"/>
                <w:color w:val="262626"/>
                <w:sz w:val="18"/>
                <w:szCs w:val="18"/>
                <w:lang w:val="el-GR"/>
              </w:rPr>
              <w:t>από</w:t>
            </w:r>
            <w:r w:rsidRPr="00295155">
              <w:rPr>
                <w:rFonts w:ascii="Arial" w:hAnsi="Arial" w:cs="Arial"/>
                <w:color w:val="262626"/>
                <w:sz w:val="18"/>
                <w:szCs w:val="18"/>
                <w:lang w:val="el-GR"/>
              </w:rPr>
              <w:t xml:space="preserve"> τράπεζες</w:t>
            </w:r>
          </w:p>
        </w:tc>
        <w:tc>
          <w:tcPr>
            <w:tcW w:w="1474" w:type="dxa"/>
            <w:shd w:val="clear" w:color="auto" w:fill="auto"/>
            <w:vAlign w:val="center"/>
          </w:tcPr>
          <w:p w14:paraId="624AC7A5" w14:textId="77777777" w:rsidR="0056738E" w:rsidRPr="00F012CB"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337,399</w:t>
            </w:r>
          </w:p>
        </w:tc>
        <w:tc>
          <w:tcPr>
            <w:tcW w:w="1361" w:type="dxa"/>
            <w:shd w:val="clear" w:color="auto" w:fill="FFFFFF"/>
            <w:vAlign w:val="center"/>
          </w:tcPr>
          <w:p w14:paraId="69D9F33C" w14:textId="77777777" w:rsidR="0056738E" w:rsidRPr="00EA064F"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384,802</w:t>
            </w:r>
          </w:p>
        </w:tc>
      </w:tr>
      <w:tr w:rsidR="0056738E" w:rsidRPr="00EA064F" w14:paraId="44A76D9F" w14:textId="77777777" w:rsidTr="007C2AEE">
        <w:trPr>
          <w:trHeight w:val="279"/>
          <w:jc w:val="center"/>
        </w:trPr>
        <w:tc>
          <w:tcPr>
            <w:tcW w:w="6917" w:type="dxa"/>
            <w:vAlign w:val="center"/>
          </w:tcPr>
          <w:p w14:paraId="03AD0C0F" w14:textId="77777777" w:rsidR="0056738E" w:rsidRPr="003F6987"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Pr>
                <w:rFonts w:ascii="Arial" w:hAnsi="Arial" w:cs="Arial"/>
                <w:color w:val="262626"/>
                <w:sz w:val="18"/>
                <w:szCs w:val="18"/>
                <w:lang w:val="el-GR"/>
              </w:rPr>
              <w:t xml:space="preserve">Συμφωνίες </w:t>
            </w:r>
            <w:proofErr w:type="spellStart"/>
            <w:r>
              <w:rPr>
                <w:rFonts w:ascii="Arial" w:hAnsi="Arial" w:cs="Arial"/>
                <w:color w:val="262626"/>
                <w:sz w:val="18"/>
                <w:szCs w:val="18"/>
                <w:lang w:val="el-GR"/>
              </w:rPr>
              <w:t>επαναπώλησης</w:t>
            </w:r>
            <w:proofErr w:type="spellEnd"/>
            <w:r>
              <w:rPr>
                <w:rFonts w:ascii="Arial" w:hAnsi="Arial" w:cs="Arial"/>
                <w:color w:val="262626"/>
                <w:sz w:val="18"/>
                <w:szCs w:val="18"/>
                <w:lang w:val="el-GR"/>
              </w:rPr>
              <w:t xml:space="preserve"> τίτλων</w:t>
            </w:r>
          </w:p>
        </w:tc>
        <w:tc>
          <w:tcPr>
            <w:tcW w:w="1474" w:type="dxa"/>
            <w:shd w:val="clear" w:color="auto" w:fill="auto"/>
            <w:vAlign w:val="center"/>
          </w:tcPr>
          <w:p w14:paraId="20B45CDD" w14:textId="77777777" w:rsidR="0056738E"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1,022,515</w:t>
            </w:r>
          </w:p>
        </w:tc>
        <w:tc>
          <w:tcPr>
            <w:tcW w:w="1361" w:type="dxa"/>
            <w:shd w:val="clear" w:color="auto" w:fill="FFFFFF"/>
            <w:vAlign w:val="center"/>
          </w:tcPr>
          <w:p w14:paraId="425B53B7" w14:textId="77777777" w:rsidR="0056738E"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403,199</w:t>
            </w:r>
          </w:p>
        </w:tc>
      </w:tr>
      <w:tr w:rsidR="0056738E" w:rsidRPr="00295155" w14:paraId="27C3EA1F" w14:textId="77777777" w:rsidTr="007C2AEE">
        <w:trPr>
          <w:trHeight w:val="279"/>
          <w:jc w:val="center"/>
        </w:trPr>
        <w:tc>
          <w:tcPr>
            <w:tcW w:w="6917" w:type="dxa"/>
            <w:vAlign w:val="center"/>
          </w:tcPr>
          <w:p w14:paraId="662533F1" w14:textId="77777777" w:rsidR="0056738E" w:rsidRPr="00295155" w:rsidRDefault="0056738E" w:rsidP="007C2AEE">
            <w:pPr>
              <w:tabs>
                <w:tab w:val="left" w:pos="0"/>
                <w:tab w:val="left" w:pos="282"/>
                <w:tab w:val="left" w:pos="72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 xml:space="preserve">Παράγωγα χρηματοοικονομικά μέσα </w:t>
            </w:r>
          </w:p>
        </w:tc>
        <w:tc>
          <w:tcPr>
            <w:tcW w:w="1474" w:type="dxa"/>
            <w:shd w:val="clear" w:color="auto" w:fill="auto"/>
            <w:vAlign w:val="center"/>
          </w:tcPr>
          <w:p w14:paraId="3C4693D2" w14:textId="77777777" w:rsidR="0056738E" w:rsidRPr="00B31160"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91,959</w:t>
            </w:r>
          </w:p>
        </w:tc>
        <w:tc>
          <w:tcPr>
            <w:tcW w:w="1361" w:type="dxa"/>
            <w:shd w:val="clear" w:color="auto" w:fill="FFFFFF"/>
            <w:vAlign w:val="center"/>
          </w:tcPr>
          <w:p w14:paraId="7AA1AF02" w14:textId="77777777" w:rsidR="0056738E" w:rsidRPr="005C5FB9"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51,055</w:t>
            </w:r>
          </w:p>
        </w:tc>
      </w:tr>
      <w:tr w:rsidR="0056738E" w:rsidRPr="00295155" w14:paraId="33D59C77" w14:textId="77777777" w:rsidTr="007C2AEE">
        <w:trPr>
          <w:trHeight w:val="279"/>
          <w:jc w:val="center"/>
        </w:trPr>
        <w:tc>
          <w:tcPr>
            <w:tcW w:w="6917" w:type="dxa"/>
            <w:vAlign w:val="center"/>
          </w:tcPr>
          <w:p w14:paraId="21F96D9F"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Pr>
                <w:rFonts w:ascii="Arial" w:hAnsi="Arial" w:cs="Arial"/>
                <w:color w:val="262626"/>
                <w:sz w:val="18"/>
                <w:szCs w:val="18"/>
                <w:lang w:val="el-GR"/>
              </w:rPr>
              <w:t>Επενδύσεις στην εύλογη αξία μέσω των αποτελεσμάτων</w:t>
            </w:r>
          </w:p>
        </w:tc>
        <w:tc>
          <w:tcPr>
            <w:tcW w:w="1474" w:type="dxa"/>
            <w:shd w:val="clear" w:color="auto" w:fill="auto"/>
            <w:vAlign w:val="center"/>
          </w:tcPr>
          <w:p w14:paraId="78EF35BD" w14:textId="77777777" w:rsidR="0056738E" w:rsidRPr="00B31160"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126,613</w:t>
            </w:r>
          </w:p>
        </w:tc>
        <w:tc>
          <w:tcPr>
            <w:tcW w:w="1361" w:type="dxa"/>
            <w:shd w:val="clear" w:color="auto" w:fill="FFFFFF"/>
            <w:vAlign w:val="center"/>
          </w:tcPr>
          <w:p w14:paraId="0BED90B8" w14:textId="77777777" w:rsidR="0056738E" w:rsidRPr="00181BB6"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135,275</w:t>
            </w:r>
          </w:p>
        </w:tc>
      </w:tr>
      <w:tr w:rsidR="0056738E" w:rsidRPr="00F83185" w14:paraId="23F401E7" w14:textId="77777777" w:rsidTr="007C2AEE">
        <w:trPr>
          <w:trHeight w:val="279"/>
          <w:jc w:val="center"/>
        </w:trPr>
        <w:tc>
          <w:tcPr>
            <w:tcW w:w="6917" w:type="dxa"/>
            <w:vAlign w:val="center"/>
          </w:tcPr>
          <w:p w14:paraId="24E04EDC" w14:textId="77777777" w:rsidR="0056738E"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Pr>
                <w:rFonts w:ascii="Arial" w:hAnsi="Arial" w:cs="Arial"/>
                <w:color w:val="262626"/>
                <w:sz w:val="18"/>
                <w:szCs w:val="18"/>
                <w:lang w:val="el-GR"/>
              </w:rPr>
              <w:t>Επενδύσεις στην εύλογη αξία μέσω των λοιπών συνολικών εισοδημάτων</w:t>
            </w:r>
          </w:p>
        </w:tc>
        <w:tc>
          <w:tcPr>
            <w:tcW w:w="1474" w:type="dxa"/>
            <w:shd w:val="clear" w:color="auto" w:fill="auto"/>
            <w:vAlign w:val="center"/>
          </w:tcPr>
          <w:p w14:paraId="4C3E084A" w14:textId="77777777" w:rsidR="0056738E" w:rsidRPr="00B31160"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417,198</w:t>
            </w:r>
          </w:p>
        </w:tc>
        <w:tc>
          <w:tcPr>
            <w:tcW w:w="1361" w:type="dxa"/>
            <w:shd w:val="clear" w:color="auto" w:fill="FFFFFF"/>
            <w:vAlign w:val="center"/>
          </w:tcPr>
          <w:p w14:paraId="02D0EBD5" w14:textId="77777777" w:rsidR="0056738E"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443,420</w:t>
            </w:r>
          </w:p>
        </w:tc>
      </w:tr>
      <w:tr w:rsidR="0056738E" w:rsidRPr="00295155" w14:paraId="7AE815D9" w14:textId="77777777" w:rsidTr="007C2AEE">
        <w:trPr>
          <w:trHeight w:val="279"/>
          <w:jc w:val="center"/>
        </w:trPr>
        <w:tc>
          <w:tcPr>
            <w:tcW w:w="6917" w:type="dxa"/>
            <w:vAlign w:val="center"/>
          </w:tcPr>
          <w:p w14:paraId="62F9C53F" w14:textId="77777777" w:rsidR="0056738E"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Pr>
                <w:rFonts w:ascii="Arial" w:hAnsi="Arial" w:cs="Arial"/>
                <w:color w:val="262626"/>
                <w:sz w:val="18"/>
                <w:szCs w:val="18"/>
                <w:lang w:val="el-GR"/>
              </w:rPr>
              <w:t>Επενδύσεις σε αποσβεσμένο κόστος</w:t>
            </w:r>
          </w:p>
        </w:tc>
        <w:tc>
          <w:tcPr>
            <w:tcW w:w="1474" w:type="dxa"/>
            <w:shd w:val="clear" w:color="auto" w:fill="auto"/>
            <w:vAlign w:val="center"/>
          </w:tcPr>
          <w:p w14:paraId="2310F9ED" w14:textId="77777777" w:rsidR="0056738E" w:rsidRPr="00B31160"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3,655,573</w:t>
            </w:r>
          </w:p>
        </w:tc>
        <w:tc>
          <w:tcPr>
            <w:tcW w:w="1361" w:type="dxa"/>
            <w:shd w:val="clear" w:color="auto" w:fill="FFFFFF"/>
            <w:vAlign w:val="center"/>
          </w:tcPr>
          <w:p w14:paraId="5D50AC1F" w14:textId="77777777" w:rsidR="0056738E"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3,116,714</w:t>
            </w:r>
          </w:p>
        </w:tc>
      </w:tr>
      <w:tr w:rsidR="0056738E" w:rsidRPr="00EA064F" w14:paraId="5A92858C" w14:textId="77777777" w:rsidTr="007C2AEE">
        <w:trPr>
          <w:trHeight w:val="279"/>
          <w:jc w:val="center"/>
        </w:trPr>
        <w:tc>
          <w:tcPr>
            <w:tcW w:w="6917" w:type="dxa"/>
            <w:vAlign w:val="center"/>
          </w:tcPr>
          <w:p w14:paraId="349B17F3" w14:textId="77777777" w:rsidR="0056738E" w:rsidRPr="00295155" w:rsidRDefault="0056738E" w:rsidP="007C2AEE">
            <w:pPr>
              <w:tabs>
                <w:tab w:val="left" w:pos="0"/>
                <w:tab w:val="left" w:pos="282"/>
                <w:tab w:val="left" w:pos="72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Δάνεια και απαιτήσεις από πελάτες</w:t>
            </w:r>
          </w:p>
        </w:tc>
        <w:tc>
          <w:tcPr>
            <w:tcW w:w="1474" w:type="dxa"/>
            <w:shd w:val="clear" w:color="auto" w:fill="auto"/>
            <w:vAlign w:val="center"/>
          </w:tcPr>
          <w:p w14:paraId="3CF29154" w14:textId="77777777" w:rsidR="0056738E" w:rsidRPr="00F012CB" w:rsidDel="00FC7307"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10,031,306</w:t>
            </w:r>
          </w:p>
        </w:tc>
        <w:tc>
          <w:tcPr>
            <w:tcW w:w="1361" w:type="dxa"/>
            <w:shd w:val="clear" w:color="auto" w:fill="FFFFFF"/>
            <w:vAlign w:val="center"/>
          </w:tcPr>
          <w:p w14:paraId="40BE2B5E" w14:textId="77777777" w:rsidR="0056738E" w:rsidRPr="00EA064F" w:rsidDel="00FC7307"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9,821,788</w:t>
            </w:r>
          </w:p>
        </w:tc>
      </w:tr>
      <w:tr w:rsidR="0056738E" w:rsidRPr="00EA064F" w14:paraId="5C78D5E7" w14:textId="77777777" w:rsidTr="007C2AEE">
        <w:trPr>
          <w:trHeight w:val="279"/>
          <w:jc w:val="center"/>
        </w:trPr>
        <w:tc>
          <w:tcPr>
            <w:tcW w:w="6917" w:type="dxa"/>
            <w:vAlign w:val="center"/>
          </w:tcPr>
          <w:p w14:paraId="421A21E1" w14:textId="77777777" w:rsidR="0056738E" w:rsidRPr="00295155" w:rsidRDefault="0056738E" w:rsidP="007C2AEE">
            <w:pPr>
              <w:tabs>
                <w:tab w:val="left" w:pos="0"/>
                <w:tab w:val="left" w:pos="282"/>
                <w:tab w:val="left" w:pos="72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 xml:space="preserve">Περιουσιακά στοιχεία ασφαλιστικών κλάδων ζωής που αναλογούν στους </w:t>
            </w:r>
            <w:proofErr w:type="spellStart"/>
            <w:r w:rsidRPr="00295155">
              <w:rPr>
                <w:rFonts w:ascii="Arial" w:hAnsi="Arial" w:cs="Arial"/>
                <w:color w:val="262626"/>
                <w:sz w:val="18"/>
                <w:szCs w:val="18"/>
                <w:lang w:val="el-GR"/>
              </w:rPr>
              <w:t>ασφαλιζόμενους</w:t>
            </w:r>
            <w:proofErr w:type="spellEnd"/>
          </w:p>
        </w:tc>
        <w:tc>
          <w:tcPr>
            <w:tcW w:w="1474" w:type="dxa"/>
            <w:shd w:val="clear" w:color="auto" w:fill="auto"/>
            <w:vAlign w:val="center"/>
          </w:tcPr>
          <w:p w14:paraId="7F927C4B" w14:textId="77777777" w:rsidR="0056738E" w:rsidRPr="00F012CB"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737,250</w:t>
            </w:r>
          </w:p>
        </w:tc>
        <w:tc>
          <w:tcPr>
            <w:tcW w:w="1361" w:type="dxa"/>
            <w:shd w:val="clear" w:color="auto" w:fill="FFFFFF"/>
            <w:vAlign w:val="center"/>
          </w:tcPr>
          <w:p w14:paraId="31B734FF" w14:textId="77777777" w:rsidR="0056738E" w:rsidRPr="00EA064F"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649,212</w:t>
            </w:r>
          </w:p>
        </w:tc>
      </w:tr>
      <w:tr w:rsidR="0056738E" w:rsidRPr="00EA064F" w14:paraId="7559BDBF" w14:textId="77777777" w:rsidTr="007C2AEE">
        <w:trPr>
          <w:trHeight w:val="279"/>
          <w:jc w:val="center"/>
        </w:trPr>
        <w:tc>
          <w:tcPr>
            <w:tcW w:w="6917" w:type="dxa"/>
            <w:vAlign w:val="center"/>
          </w:tcPr>
          <w:p w14:paraId="22B2F2C2"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Προπληρωμές, δεδουλευμένα έσοδα και λοιπά περιουσιακά στοιχεία</w:t>
            </w:r>
          </w:p>
        </w:tc>
        <w:tc>
          <w:tcPr>
            <w:tcW w:w="1474" w:type="dxa"/>
            <w:shd w:val="clear" w:color="auto" w:fill="auto"/>
            <w:vAlign w:val="center"/>
          </w:tcPr>
          <w:p w14:paraId="4617CF46" w14:textId="77777777" w:rsidR="0056738E" w:rsidRPr="00F012CB"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590,943</w:t>
            </w:r>
          </w:p>
        </w:tc>
        <w:tc>
          <w:tcPr>
            <w:tcW w:w="1361" w:type="dxa"/>
            <w:shd w:val="clear" w:color="auto" w:fill="FFFFFF"/>
            <w:vAlign w:val="center"/>
          </w:tcPr>
          <w:p w14:paraId="1A777F42" w14:textId="77777777" w:rsidR="0056738E" w:rsidRPr="006B1348"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584,919</w:t>
            </w:r>
          </w:p>
        </w:tc>
      </w:tr>
      <w:tr w:rsidR="0056738E" w:rsidRPr="00295155" w14:paraId="714C0B6A" w14:textId="77777777" w:rsidTr="007C2AEE">
        <w:trPr>
          <w:trHeight w:val="279"/>
          <w:jc w:val="center"/>
        </w:trPr>
        <w:tc>
          <w:tcPr>
            <w:tcW w:w="6917" w:type="dxa"/>
            <w:vAlign w:val="center"/>
          </w:tcPr>
          <w:p w14:paraId="0ED14020"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Αποθέματα ακινήτων</w:t>
            </w:r>
          </w:p>
        </w:tc>
        <w:tc>
          <w:tcPr>
            <w:tcW w:w="1474" w:type="dxa"/>
            <w:shd w:val="clear" w:color="auto" w:fill="auto"/>
            <w:vAlign w:val="center"/>
          </w:tcPr>
          <w:p w14:paraId="0C95C94B" w14:textId="77777777" w:rsidR="0056738E" w:rsidRPr="00B31160"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742,084</w:t>
            </w:r>
          </w:p>
        </w:tc>
        <w:tc>
          <w:tcPr>
            <w:tcW w:w="1361" w:type="dxa"/>
            <w:shd w:val="clear" w:color="auto" w:fill="FFFFFF"/>
            <w:vAlign w:val="center"/>
          </w:tcPr>
          <w:p w14:paraId="69580887" w14:textId="77777777" w:rsidR="0056738E" w:rsidRPr="005C5FB9"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826,115</w:t>
            </w:r>
          </w:p>
        </w:tc>
      </w:tr>
      <w:tr w:rsidR="0056738E" w:rsidRPr="00295155" w14:paraId="753FE6CA" w14:textId="77777777" w:rsidTr="007C2AEE">
        <w:trPr>
          <w:trHeight w:val="279"/>
          <w:jc w:val="center"/>
        </w:trPr>
        <w:tc>
          <w:tcPr>
            <w:tcW w:w="6917" w:type="dxa"/>
            <w:shd w:val="clear" w:color="auto" w:fill="auto"/>
            <w:vAlign w:val="center"/>
          </w:tcPr>
          <w:p w14:paraId="0D5EE2B0"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F03F83">
              <w:rPr>
                <w:rFonts w:ascii="Arial" w:eastAsia="Batang" w:hAnsi="Arial" w:cs="Arial"/>
                <w:bCs/>
                <w:color w:val="262626"/>
                <w:sz w:val="18"/>
                <w:szCs w:val="18"/>
                <w:lang w:eastAsia="en-US"/>
              </w:rPr>
              <w:t>Επ</w:t>
            </w:r>
            <w:proofErr w:type="spellStart"/>
            <w:r w:rsidRPr="00F03F83">
              <w:rPr>
                <w:rFonts w:ascii="Arial" w:eastAsia="Batang" w:hAnsi="Arial" w:cs="Arial"/>
                <w:bCs/>
                <w:color w:val="262626"/>
                <w:sz w:val="18"/>
                <w:szCs w:val="18"/>
                <w:lang w:eastAsia="en-US"/>
              </w:rPr>
              <w:t>ενδύσεις</w:t>
            </w:r>
            <w:proofErr w:type="spellEnd"/>
            <w:r w:rsidRPr="00F03F83">
              <w:rPr>
                <w:rFonts w:ascii="Arial" w:eastAsia="Batang" w:hAnsi="Arial" w:cs="Arial"/>
                <w:bCs/>
                <w:color w:val="262626"/>
                <w:sz w:val="18"/>
                <w:szCs w:val="18"/>
                <w:lang w:eastAsia="en-US"/>
              </w:rPr>
              <w:t xml:space="preserve"> </w:t>
            </w:r>
            <w:proofErr w:type="spellStart"/>
            <w:r w:rsidRPr="00F03F83">
              <w:rPr>
                <w:rFonts w:ascii="Arial" w:eastAsia="Batang" w:hAnsi="Arial" w:cs="Arial"/>
                <w:bCs/>
                <w:color w:val="262626"/>
                <w:sz w:val="18"/>
                <w:szCs w:val="18"/>
                <w:lang w:eastAsia="en-US"/>
              </w:rPr>
              <w:t>σε</w:t>
            </w:r>
            <w:proofErr w:type="spellEnd"/>
            <w:r w:rsidRPr="00F03F83">
              <w:rPr>
                <w:rFonts w:ascii="Arial" w:eastAsia="Batang" w:hAnsi="Arial" w:cs="Arial"/>
                <w:bCs/>
                <w:color w:val="262626"/>
                <w:sz w:val="18"/>
                <w:szCs w:val="18"/>
                <w:lang w:eastAsia="en-US"/>
              </w:rPr>
              <w:t xml:space="preserve"> α</w:t>
            </w:r>
            <w:proofErr w:type="spellStart"/>
            <w:r w:rsidRPr="00F03F83">
              <w:rPr>
                <w:rFonts w:ascii="Arial" w:eastAsia="Batang" w:hAnsi="Arial" w:cs="Arial"/>
                <w:bCs/>
                <w:color w:val="262626"/>
                <w:sz w:val="18"/>
                <w:szCs w:val="18"/>
                <w:lang w:eastAsia="en-US"/>
              </w:rPr>
              <w:t>κίνητ</w:t>
            </w:r>
            <w:proofErr w:type="spellEnd"/>
            <w:r w:rsidRPr="00F03F83">
              <w:rPr>
                <w:rFonts w:ascii="Arial" w:eastAsia="Batang" w:hAnsi="Arial" w:cs="Arial"/>
                <w:bCs/>
                <w:color w:val="262626"/>
                <w:sz w:val="18"/>
                <w:szCs w:val="18"/>
                <w:lang w:eastAsia="en-US"/>
              </w:rPr>
              <w:t>α</w:t>
            </w:r>
          </w:p>
        </w:tc>
        <w:tc>
          <w:tcPr>
            <w:tcW w:w="1474" w:type="dxa"/>
            <w:shd w:val="clear" w:color="auto" w:fill="auto"/>
            <w:vAlign w:val="center"/>
          </w:tcPr>
          <w:p w14:paraId="0C2B331C" w14:textId="77777777" w:rsidR="0056738E" w:rsidRPr="00B31160"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50,171</w:t>
            </w:r>
          </w:p>
        </w:tc>
        <w:tc>
          <w:tcPr>
            <w:tcW w:w="1361" w:type="dxa"/>
            <w:shd w:val="clear" w:color="auto" w:fill="FFFFFF"/>
            <w:vAlign w:val="center"/>
          </w:tcPr>
          <w:p w14:paraId="70548359" w14:textId="77777777" w:rsidR="0056738E" w:rsidRPr="005C5FB9"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62,105</w:t>
            </w:r>
          </w:p>
        </w:tc>
      </w:tr>
      <w:tr w:rsidR="0056738E" w:rsidRPr="00295155" w14:paraId="7CBE5D6D" w14:textId="77777777" w:rsidTr="007C2AEE">
        <w:trPr>
          <w:trHeight w:val="279"/>
          <w:jc w:val="center"/>
        </w:trPr>
        <w:tc>
          <w:tcPr>
            <w:tcW w:w="6917" w:type="dxa"/>
            <w:shd w:val="clear" w:color="auto" w:fill="auto"/>
            <w:vAlign w:val="center"/>
          </w:tcPr>
          <w:p w14:paraId="2F85BE28"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proofErr w:type="spellStart"/>
            <w:r w:rsidRPr="00F03F83">
              <w:rPr>
                <w:rFonts w:ascii="Arial" w:eastAsia="Batang" w:hAnsi="Arial" w:cs="Arial"/>
                <w:bCs/>
                <w:color w:val="262626"/>
                <w:sz w:val="18"/>
                <w:szCs w:val="18"/>
                <w:lang w:eastAsia="en-US"/>
              </w:rPr>
              <w:t>Αν</w:t>
            </w:r>
            <w:proofErr w:type="spellEnd"/>
            <w:r w:rsidRPr="00F03F83">
              <w:rPr>
                <w:rFonts w:ascii="Arial" w:eastAsia="Batang" w:hAnsi="Arial" w:cs="Arial"/>
                <w:bCs/>
                <w:color w:val="262626"/>
                <w:sz w:val="18"/>
                <w:szCs w:val="18"/>
                <w:lang w:eastAsia="en-US"/>
              </w:rPr>
              <w:t xml:space="preserve">αβαλλόμενες </w:t>
            </w:r>
            <w:proofErr w:type="spellStart"/>
            <w:r w:rsidRPr="00F03F83">
              <w:rPr>
                <w:rFonts w:ascii="Arial" w:eastAsia="Batang" w:hAnsi="Arial" w:cs="Arial"/>
                <w:bCs/>
                <w:color w:val="262626"/>
                <w:sz w:val="18"/>
                <w:szCs w:val="18"/>
                <w:lang w:eastAsia="en-US"/>
              </w:rPr>
              <w:t>φορολογικές</w:t>
            </w:r>
            <w:proofErr w:type="spellEnd"/>
            <w:r w:rsidRPr="00F03F83">
              <w:rPr>
                <w:rFonts w:ascii="Arial" w:eastAsia="Batang" w:hAnsi="Arial" w:cs="Arial"/>
                <w:bCs/>
                <w:color w:val="262626"/>
                <w:sz w:val="18"/>
                <w:szCs w:val="18"/>
                <w:lang w:eastAsia="en-US"/>
              </w:rPr>
              <w:t xml:space="preserve"> απα</w:t>
            </w:r>
            <w:proofErr w:type="spellStart"/>
            <w:r w:rsidRPr="00F03F83">
              <w:rPr>
                <w:rFonts w:ascii="Arial" w:eastAsia="Batang" w:hAnsi="Arial" w:cs="Arial"/>
                <w:bCs/>
                <w:color w:val="262626"/>
                <w:sz w:val="18"/>
                <w:szCs w:val="18"/>
                <w:lang w:eastAsia="en-US"/>
              </w:rPr>
              <w:t>ιτήσεις</w:t>
            </w:r>
            <w:proofErr w:type="spellEnd"/>
          </w:p>
        </w:tc>
        <w:tc>
          <w:tcPr>
            <w:tcW w:w="1474" w:type="dxa"/>
            <w:shd w:val="clear" w:color="auto" w:fill="auto"/>
            <w:vAlign w:val="center"/>
          </w:tcPr>
          <w:p w14:paraId="38DCD83A" w14:textId="77777777" w:rsidR="0056738E" w:rsidRPr="00B31160"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204,361</w:t>
            </w:r>
          </w:p>
        </w:tc>
        <w:tc>
          <w:tcPr>
            <w:tcW w:w="1361" w:type="dxa"/>
            <w:shd w:val="clear" w:color="auto" w:fill="FFFFFF"/>
            <w:vAlign w:val="center"/>
          </w:tcPr>
          <w:p w14:paraId="0B5FFECB" w14:textId="77777777" w:rsidR="0056738E" w:rsidRPr="005C5FB9"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201,268</w:t>
            </w:r>
          </w:p>
        </w:tc>
      </w:tr>
      <w:tr w:rsidR="0056738E" w:rsidRPr="00295155" w14:paraId="595436A3" w14:textId="77777777" w:rsidTr="007C2AEE">
        <w:trPr>
          <w:trHeight w:val="279"/>
          <w:jc w:val="center"/>
        </w:trPr>
        <w:tc>
          <w:tcPr>
            <w:tcW w:w="6917" w:type="dxa"/>
            <w:vAlign w:val="center"/>
          </w:tcPr>
          <w:p w14:paraId="2E131AD5"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Ακίνητα και εξοπλισμός</w:t>
            </w:r>
          </w:p>
        </w:tc>
        <w:tc>
          <w:tcPr>
            <w:tcW w:w="1474" w:type="dxa"/>
            <w:shd w:val="clear" w:color="auto" w:fill="auto"/>
            <w:vAlign w:val="center"/>
          </w:tcPr>
          <w:p w14:paraId="2DF91726" w14:textId="77777777" w:rsidR="0056738E" w:rsidRPr="00B31160"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280,982</w:t>
            </w:r>
          </w:p>
        </w:tc>
        <w:tc>
          <w:tcPr>
            <w:tcW w:w="1361" w:type="dxa"/>
            <w:shd w:val="clear" w:color="auto" w:fill="FFFFFF"/>
            <w:vAlign w:val="center"/>
          </w:tcPr>
          <w:p w14:paraId="47F9E85E" w14:textId="77777777" w:rsidR="0056738E" w:rsidRPr="005C5FB9"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285,568</w:t>
            </w:r>
          </w:p>
        </w:tc>
      </w:tr>
      <w:tr w:rsidR="0056738E" w:rsidRPr="00295155" w14:paraId="2F6DAA9C" w14:textId="77777777" w:rsidTr="007C2AEE">
        <w:trPr>
          <w:trHeight w:val="279"/>
          <w:jc w:val="center"/>
        </w:trPr>
        <w:tc>
          <w:tcPr>
            <w:tcW w:w="6917" w:type="dxa"/>
            <w:shd w:val="clear" w:color="auto" w:fill="auto"/>
            <w:vAlign w:val="center"/>
          </w:tcPr>
          <w:p w14:paraId="0EC0F8EA"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 xml:space="preserve">Άυλα περιουσιακά στοιχεία </w:t>
            </w:r>
          </w:p>
        </w:tc>
        <w:tc>
          <w:tcPr>
            <w:tcW w:w="1474" w:type="dxa"/>
            <w:tcBorders>
              <w:bottom w:val="single" w:sz="4" w:space="0" w:color="C0C0C0"/>
            </w:tcBorders>
            <w:shd w:val="clear" w:color="auto" w:fill="auto"/>
            <w:vAlign w:val="center"/>
          </w:tcPr>
          <w:p w14:paraId="1C19D97D" w14:textId="77777777" w:rsidR="0056738E" w:rsidRPr="00B31160"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45,451</w:t>
            </w:r>
          </w:p>
        </w:tc>
        <w:tc>
          <w:tcPr>
            <w:tcW w:w="1361" w:type="dxa"/>
            <w:tcBorders>
              <w:bottom w:val="single" w:sz="4" w:space="0" w:color="C0C0C0"/>
            </w:tcBorders>
            <w:shd w:val="clear" w:color="auto" w:fill="FFFFFF"/>
            <w:vAlign w:val="center"/>
          </w:tcPr>
          <w:p w14:paraId="26B957E5" w14:textId="77777777" w:rsidR="0056738E" w:rsidRPr="005C5FB9"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48,635</w:t>
            </w:r>
          </w:p>
        </w:tc>
      </w:tr>
      <w:tr w:rsidR="0056738E" w:rsidRPr="00295155" w14:paraId="0EAC4A2E" w14:textId="77777777" w:rsidTr="007C2AEE">
        <w:trPr>
          <w:trHeight w:val="279"/>
          <w:jc w:val="center"/>
        </w:trPr>
        <w:tc>
          <w:tcPr>
            <w:tcW w:w="6917" w:type="dxa"/>
            <w:shd w:val="clear" w:color="auto" w:fill="auto"/>
            <w:vAlign w:val="center"/>
          </w:tcPr>
          <w:p w14:paraId="1D36E1EA"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A03828">
              <w:rPr>
                <w:rFonts w:ascii="Arial" w:hAnsi="Arial" w:cs="Arial"/>
                <w:color w:val="262626"/>
                <w:sz w:val="18"/>
                <w:szCs w:val="18"/>
                <w:lang w:val="el-GR"/>
              </w:rPr>
              <w:t xml:space="preserve">Μη </w:t>
            </w:r>
            <w:proofErr w:type="spellStart"/>
            <w:r w:rsidRPr="00A03828">
              <w:rPr>
                <w:rFonts w:ascii="Arial" w:hAnsi="Arial" w:cs="Arial"/>
                <w:color w:val="262626"/>
                <w:sz w:val="18"/>
                <w:szCs w:val="18"/>
                <w:lang w:val="el-GR"/>
              </w:rPr>
              <w:t>κυκλοφορούντα</w:t>
            </w:r>
            <w:proofErr w:type="spellEnd"/>
            <w:r w:rsidRPr="00A03828">
              <w:rPr>
                <w:rFonts w:ascii="Arial" w:hAnsi="Arial" w:cs="Arial"/>
                <w:color w:val="262626"/>
                <w:sz w:val="18"/>
                <w:szCs w:val="18"/>
                <w:lang w:val="el-GR"/>
              </w:rPr>
              <w:t xml:space="preserve"> περιουσιακά στοιχεία και ομάδες εκποίησης που κατέχονται προς πώληση</w:t>
            </w:r>
          </w:p>
        </w:tc>
        <w:tc>
          <w:tcPr>
            <w:tcW w:w="1474" w:type="dxa"/>
            <w:tcBorders>
              <w:bottom w:val="single" w:sz="4" w:space="0" w:color="C0C0C0"/>
            </w:tcBorders>
            <w:shd w:val="clear" w:color="auto" w:fill="auto"/>
            <w:vAlign w:val="center"/>
          </w:tcPr>
          <w:p w14:paraId="5D858D2C" w14:textId="77777777" w:rsidR="0056738E" w:rsidRPr="00B31160"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12,290</w:t>
            </w:r>
          </w:p>
        </w:tc>
        <w:tc>
          <w:tcPr>
            <w:tcW w:w="1361" w:type="dxa"/>
            <w:tcBorders>
              <w:bottom w:val="single" w:sz="4" w:space="0" w:color="C0C0C0"/>
            </w:tcBorders>
            <w:shd w:val="clear" w:color="auto" w:fill="FFFFFF"/>
            <w:vAlign w:val="center"/>
          </w:tcPr>
          <w:p w14:paraId="6785AF8B" w14:textId="77777777" w:rsidR="0056738E"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w:t>
            </w:r>
          </w:p>
        </w:tc>
      </w:tr>
      <w:tr w:rsidR="0056738E" w:rsidRPr="00295155" w14:paraId="5D229C74" w14:textId="77777777" w:rsidTr="007C2AEE">
        <w:trPr>
          <w:trHeight w:val="279"/>
          <w:jc w:val="center"/>
        </w:trPr>
        <w:tc>
          <w:tcPr>
            <w:tcW w:w="6917" w:type="dxa"/>
            <w:tcBorders>
              <w:bottom w:val="single" w:sz="4" w:space="0" w:color="C0C0C0"/>
            </w:tcBorders>
            <w:vAlign w:val="center"/>
          </w:tcPr>
          <w:p w14:paraId="02A682A8"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color w:val="262626"/>
                <w:sz w:val="18"/>
                <w:szCs w:val="18"/>
                <w:lang w:val="el-GR"/>
              </w:rPr>
            </w:pPr>
            <w:r w:rsidRPr="00295155">
              <w:rPr>
                <w:rFonts w:ascii="Arial" w:hAnsi="Arial" w:cs="Arial"/>
                <w:b/>
                <w:color w:val="262626"/>
                <w:sz w:val="18"/>
                <w:szCs w:val="18"/>
                <w:lang w:val="el-GR"/>
              </w:rPr>
              <w:t>Σύνολο περιουσιακών στοιχείων</w:t>
            </w:r>
          </w:p>
        </w:tc>
        <w:tc>
          <w:tcPr>
            <w:tcW w:w="1474" w:type="dxa"/>
            <w:tcBorders>
              <w:top w:val="single" w:sz="6" w:space="0" w:color="auto"/>
              <w:bottom w:val="double" w:sz="6" w:space="0" w:color="auto"/>
            </w:tcBorders>
            <w:shd w:val="clear" w:color="auto" w:fill="auto"/>
            <w:vAlign w:val="center"/>
          </w:tcPr>
          <w:p w14:paraId="48EF267F"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val="en-US" w:eastAsia="en-US"/>
              </w:rPr>
              <w:t>25,863,097</w:t>
            </w:r>
          </w:p>
        </w:tc>
        <w:tc>
          <w:tcPr>
            <w:tcW w:w="1361" w:type="dxa"/>
            <w:tcBorders>
              <w:top w:val="single" w:sz="6" w:space="0" w:color="auto"/>
              <w:bottom w:val="double" w:sz="6" w:space="0" w:color="auto"/>
            </w:tcBorders>
            <w:shd w:val="clear" w:color="auto" w:fill="FFFFFF"/>
            <w:vAlign w:val="center"/>
          </w:tcPr>
          <w:p w14:paraId="19A4AA36" w14:textId="77777777" w:rsidR="0056738E" w:rsidRPr="00955C85" w:rsidRDefault="0056738E" w:rsidP="007C2AEE">
            <w:pPr>
              <w:spacing w:after="0" w:line="240" w:lineRule="auto"/>
              <w:jc w:val="right"/>
              <w:rPr>
                <w:rFonts w:ascii="Times New Roman" w:hAnsi="Times New Roman" w:cs="Times New Roman"/>
                <w:sz w:val="24"/>
                <w:szCs w:val="24"/>
              </w:rPr>
            </w:pPr>
            <w:r>
              <w:rPr>
                <w:rFonts w:ascii="Arial" w:hAnsi="Arial" w:cs="Arial"/>
                <w:color w:val="262626"/>
                <w:sz w:val="18"/>
                <w:szCs w:val="18"/>
              </w:rPr>
              <w:t>26,628,577</w:t>
            </w:r>
          </w:p>
        </w:tc>
      </w:tr>
      <w:tr w:rsidR="0056738E" w:rsidRPr="00295155" w14:paraId="4E1A9DEF" w14:textId="77777777" w:rsidTr="007C2AEE">
        <w:trPr>
          <w:trHeight w:val="279"/>
          <w:jc w:val="center"/>
        </w:trPr>
        <w:tc>
          <w:tcPr>
            <w:tcW w:w="6917" w:type="dxa"/>
            <w:tcBorders>
              <w:top w:val="single" w:sz="4" w:space="0" w:color="C0C0C0"/>
            </w:tcBorders>
            <w:vAlign w:val="center"/>
          </w:tcPr>
          <w:p w14:paraId="13D8E8E2"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color w:val="262626"/>
                <w:sz w:val="18"/>
                <w:szCs w:val="18"/>
                <w:lang w:val="el-GR"/>
              </w:rPr>
            </w:pPr>
            <w:r w:rsidRPr="00295155">
              <w:rPr>
                <w:rFonts w:ascii="Arial" w:hAnsi="Arial" w:cs="Arial"/>
                <w:b/>
                <w:color w:val="262626"/>
                <w:sz w:val="18"/>
                <w:szCs w:val="18"/>
                <w:lang w:val="el-GR"/>
              </w:rPr>
              <w:t>Υποχρεώσεις</w:t>
            </w:r>
          </w:p>
        </w:tc>
        <w:tc>
          <w:tcPr>
            <w:tcW w:w="1474" w:type="dxa"/>
            <w:tcBorders>
              <w:top w:val="double" w:sz="6" w:space="0" w:color="auto"/>
            </w:tcBorders>
            <w:vAlign w:val="center"/>
          </w:tcPr>
          <w:p w14:paraId="036AD84F" w14:textId="77777777" w:rsidR="0056738E" w:rsidRPr="00751DEC"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p>
        </w:tc>
        <w:tc>
          <w:tcPr>
            <w:tcW w:w="1361" w:type="dxa"/>
            <w:tcBorders>
              <w:top w:val="double" w:sz="6" w:space="0" w:color="auto"/>
            </w:tcBorders>
            <w:vAlign w:val="center"/>
          </w:tcPr>
          <w:p w14:paraId="34F8F6A3"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p>
        </w:tc>
      </w:tr>
      <w:tr w:rsidR="0056738E" w:rsidRPr="00295155" w14:paraId="1F9384D1" w14:textId="77777777" w:rsidTr="007C2AEE">
        <w:trPr>
          <w:trHeight w:val="279"/>
          <w:jc w:val="center"/>
        </w:trPr>
        <w:tc>
          <w:tcPr>
            <w:tcW w:w="6917" w:type="dxa"/>
            <w:vAlign w:val="center"/>
          </w:tcPr>
          <w:p w14:paraId="6E29C80B"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Καταθέσεις από τράπεζες</w:t>
            </w:r>
          </w:p>
        </w:tc>
        <w:tc>
          <w:tcPr>
            <w:tcW w:w="1474" w:type="dxa"/>
            <w:shd w:val="clear" w:color="auto" w:fill="auto"/>
            <w:vAlign w:val="center"/>
          </w:tcPr>
          <w:p w14:paraId="53EC2F41" w14:textId="77777777" w:rsidR="0056738E" w:rsidRPr="00A0255C"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380,756</w:t>
            </w:r>
          </w:p>
        </w:tc>
        <w:tc>
          <w:tcPr>
            <w:tcW w:w="1361" w:type="dxa"/>
            <w:shd w:val="clear" w:color="auto" w:fill="FFFFFF"/>
            <w:vAlign w:val="center"/>
          </w:tcPr>
          <w:p w14:paraId="26DDA1C3" w14:textId="77777777" w:rsidR="0056738E" w:rsidRPr="005C5FB9"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471,556</w:t>
            </w:r>
          </w:p>
        </w:tc>
      </w:tr>
      <w:tr w:rsidR="0056738E" w:rsidRPr="00295155" w14:paraId="2241A140" w14:textId="77777777" w:rsidTr="007C2AEE">
        <w:trPr>
          <w:trHeight w:val="279"/>
          <w:jc w:val="center"/>
        </w:trPr>
        <w:tc>
          <w:tcPr>
            <w:tcW w:w="6917" w:type="dxa"/>
            <w:vAlign w:val="center"/>
          </w:tcPr>
          <w:p w14:paraId="795B0AA2"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Pr>
                <w:rFonts w:ascii="Arial" w:hAnsi="Arial" w:cs="Arial"/>
                <w:color w:val="262626"/>
                <w:sz w:val="18"/>
                <w:szCs w:val="18"/>
                <w:lang w:val="el-GR"/>
              </w:rPr>
              <w:t>Χρηματοδότηση από κεντρικές τράπεζες</w:t>
            </w:r>
          </w:p>
        </w:tc>
        <w:tc>
          <w:tcPr>
            <w:tcW w:w="1474" w:type="dxa"/>
            <w:shd w:val="clear" w:color="auto" w:fill="auto"/>
            <w:vAlign w:val="center"/>
          </w:tcPr>
          <w:p w14:paraId="34B3D859" w14:textId="77777777" w:rsidR="0056738E" w:rsidRPr="008E3151"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w:t>
            </w:r>
          </w:p>
        </w:tc>
        <w:tc>
          <w:tcPr>
            <w:tcW w:w="1361" w:type="dxa"/>
            <w:shd w:val="clear" w:color="auto" w:fill="FFFFFF"/>
            <w:vAlign w:val="center"/>
          </w:tcPr>
          <w:p w14:paraId="727F8C98" w14:textId="77777777" w:rsidR="0056738E"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2,043,868</w:t>
            </w:r>
          </w:p>
        </w:tc>
      </w:tr>
      <w:tr w:rsidR="0056738E" w:rsidRPr="00295155" w14:paraId="0A8B6894" w14:textId="77777777" w:rsidTr="007C2AEE">
        <w:trPr>
          <w:trHeight w:val="279"/>
          <w:jc w:val="center"/>
        </w:trPr>
        <w:tc>
          <w:tcPr>
            <w:tcW w:w="6917" w:type="dxa"/>
            <w:vAlign w:val="center"/>
          </w:tcPr>
          <w:p w14:paraId="4AD3DBCE"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Παράγωγα χρηματοοικονομικά μέσα</w:t>
            </w:r>
          </w:p>
        </w:tc>
        <w:tc>
          <w:tcPr>
            <w:tcW w:w="1474" w:type="dxa"/>
            <w:shd w:val="clear" w:color="auto" w:fill="auto"/>
            <w:vAlign w:val="center"/>
          </w:tcPr>
          <w:p w14:paraId="3CA45995" w14:textId="77777777" w:rsidR="0056738E" w:rsidRPr="008E3151" w:rsidDel="00FC7307"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11,087</w:t>
            </w:r>
          </w:p>
        </w:tc>
        <w:tc>
          <w:tcPr>
            <w:tcW w:w="1361" w:type="dxa"/>
            <w:shd w:val="clear" w:color="auto" w:fill="FFFFFF"/>
            <w:vAlign w:val="center"/>
          </w:tcPr>
          <w:p w14:paraId="080D8A9D" w14:textId="77777777" w:rsidR="0056738E" w:rsidRPr="005C5FB9" w:rsidDel="00FC7307"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17,980</w:t>
            </w:r>
          </w:p>
        </w:tc>
      </w:tr>
      <w:tr w:rsidR="0056738E" w:rsidRPr="00295155" w14:paraId="135AFD22" w14:textId="77777777" w:rsidTr="007C2AEE">
        <w:trPr>
          <w:trHeight w:val="279"/>
          <w:jc w:val="center"/>
        </w:trPr>
        <w:tc>
          <w:tcPr>
            <w:tcW w:w="6917" w:type="dxa"/>
            <w:vAlign w:val="center"/>
          </w:tcPr>
          <w:p w14:paraId="2137AA71"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Καταθέσεις πελατών</w:t>
            </w:r>
          </w:p>
        </w:tc>
        <w:tc>
          <w:tcPr>
            <w:tcW w:w="1474" w:type="dxa"/>
            <w:shd w:val="clear" w:color="auto" w:fill="auto"/>
            <w:vAlign w:val="center"/>
          </w:tcPr>
          <w:p w14:paraId="6F927F20" w14:textId="77777777" w:rsidR="0056738E" w:rsidRPr="008E3151"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19,988,552</w:t>
            </w:r>
          </w:p>
        </w:tc>
        <w:tc>
          <w:tcPr>
            <w:tcW w:w="1361" w:type="dxa"/>
            <w:shd w:val="clear" w:color="auto" w:fill="FFFFFF"/>
            <w:vAlign w:val="center"/>
          </w:tcPr>
          <w:p w14:paraId="6223D2CD" w14:textId="77777777" w:rsidR="0056738E" w:rsidRPr="005C5FB9"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19,336,915</w:t>
            </w:r>
          </w:p>
        </w:tc>
      </w:tr>
      <w:tr w:rsidR="0056738E" w:rsidRPr="007C2A15" w14:paraId="0556D7A2" w14:textId="77777777" w:rsidTr="007C2AEE">
        <w:trPr>
          <w:trHeight w:val="279"/>
          <w:jc w:val="center"/>
        </w:trPr>
        <w:tc>
          <w:tcPr>
            <w:tcW w:w="6917" w:type="dxa"/>
            <w:vAlign w:val="center"/>
          </w:tcPr>
          <w:p w14:paraId="24ADC217"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D17E65">
              <w:rPr>
                <w:rFonts w:ascii="Arial" w:hAnsi="Arial" w:cs="Arial"/>
                <w:color w:val="262626"/>
                <w:sz w:val="18"/>
                <w:szCs w:val="18"/>
                <w:lang w:val="el-GR"/>
              </w:rPr>
              <w:t>Μεταβολές στην εύλογη αξία των αντισταθμισμένων στοιχείων σε αντισταθμίσεις χαρτοφυλακίου για τον κίνδυνο επιτοκίων</w:t>
            </w:r>
          </w:p>
        </w:tc>
        <w:tc>
          <w:tcPr>
            <w:tcW w:w="1474" w:type="dxa"/>
            <w:tcBorders>
              <w:bottom w:val="single" w:sz="4" w:space="0" w:color="C0C0C0"/>
            </w:tcBorders>
            <w:shd w:val="clear" w:color="auto" w:fill="auto"/>
            <w:vAlign w:val="center"/>
          </w:tcPr>
          <w:p w14:paraId="38FBC3CC" w14:textId="77777777" w:rsidR="0056738E" w:rsidRPr="007C2A15"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40,595</w:t>
            </w:r>
          </w:p>
        </w:tc>
        <w:tc>
          <w:tcPr>
            <w:tcW w:w="1361" w:type="dxa"/>
            <w:tcBorders>
              <w:bottom w:val="single" w:sz="4" w:space="0" w:color="C0C0C0"/>
            </w:tcBorders>
            <w:shd w:val="clear" w:color="auto" w:fill="FFFFFF"/>
            <w:vAlign w:val="center"/>
          </w:tcPr>
          <w:p w14:paraId="2D9341FA" w14:textId="77777777" w:rsidR="0056738E" w:rsidRPr="007C2A1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n-US"/>
              </w:rPr>
            </w:pPr>
            <w:r>
              <w:rPr>
                <w:rFonts w:ascii="Arial" w:hAnsi="Arial" w:cs="Arial"/>
                <w:color w:val="262626"/>
                <w:sz w:val="18"/>
                <w:szCs w:val="18"/>
              </w:rPr>
              <w:t>-</w:t>
            </w:r>
          </w:p>
        </w:tc>
      </w:tr>
      <w:tr w:rsidR="0056738E" w:rsidRPr="00295155" w14:paraId="3AD6DE0F" w14:textId="77777777" w:rsidTr="007C2AEE">
        <w:trPr>
          <w:trHeight w:val="279"/>
          <w:jc w:val="center"/>
        </w:trPr>
        <w:tc>
          <w:tcPr>
            <w:tcW w:w="6917" w:type="dxa"/>
            <w:vAlign w:val="center"/>
          </w:tcPr>
          <w:p w14:paraId="6F9B2416"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Υποχρεώσεις ασφαλιστηρίων συμβολαίων</w:t>
            </w:r>
          </w:p>
        </w:tc>
        <w:tc>
          <w:tcPr>
            <w:tcW w:w="1474" w:type="dxa"/>
            <w:tcBorders>
              <w:bottom w:val="single" w:sz="4" w:space="0" w:color="C0C0C0"/>
            </w:tcBorders>
            <w:shd w:val="clear" w:color="auto" w:fill="auto"/>
            <w:vAlign w:val="center"/>
          </w:tcPr>
          <w:p w14:paraId="2DC44FB6" w14:textId="77777777" w:rsidR="0056738E" w:rsidRPr="008E3151"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721,906</w:t>
            </w:r>
          </w:p>
        </w:tc>
        <w:tc>
          <w:tcPr>
            <w:tcW w:w="1361" w:type="dxa"/>
            <w:tcBorders>
              <w:bottom w:val="single" w:sz="4" w:space="0" w:color="C0C0C0"/>
            </w:tcBorders>
            <w:shd w:val="clear" w:color="auto" w:fill="FFFFFF"/>
            <w:vAlign w:val="center"/>
          </w:tcPr>
          <w:p w14:paraId="5F32CC5C" w14:textId="77777777" w:rsidR="0056738E" w:rsidRPr="005C5FB9"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658,424</w:t>
            </w:r>
          </w:p>
        </w:tc>
      </w:tr>
      <w:tr w:rsidR="0056738E" w:rsidRPr="00EA064F" w14:paraId="06B42E0F" w14:textId="77777777" w:rsidTr="007C2AEE">
        <w:trPr>
          <w:trHeight w:val="279"/>
          <w:jc w:val="center"/>
        </w:trPr>
        <w:tc>
          <w:tcPr>
            <w:tcW w:w="6917" w:type="dxa"/>
            <w:vAlign w:val="center"/>
          </w:tcPr>
          <w:p w14:paraId="6011A9DB"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Δεδουλευμένα, αναβαλλόμενα έσοδα</w:t>
            </w:r>
            <w:r>
              <w:rPr>
                <w:rFonts w:ascii="Arial" w:hAnsi="Arial" w:cs="Arial"/>
                <w:color w:val="262626"/>
                <w:sz w:val="18"/>
                <w:szCs w:val="18"/>
                <w:lang w:val="el-GR"/>
              </w:rPr>
              <w:t>,</w:t>
            </w:r>
            <w:r w:rsidRPr="00295155">
              <w:rPr>
                <w:rFonts w:ascii="Arial" w:hAnsi="Arial" w:cs="Arial"/>
                <w:color w:val="262626"/>
                <w:sz w:val="18"/>
                <w:szCs w:val="18"/>
                <w:lang w:val="el-GR"/>
              </w:rPr>
              <w:t xml:space="preserve"> λοιπές υποχρεώσεις</w:t>
            </w:r>
            <w:r>
              <w:rPr>
                <w:rFonts w:ascii="Arial" w:hAnsi="Arial" w:cs="Arial"/>
                <w:color w:val="262626"/>
                <w:sz w:val="18"/>
                <w:szCs w:val="18"/>
                <w:lang w:val="el-GR"/>
              </w:rPr>
              <w:t xml:space="preserve"> και λοιπές προβλέψεις</w:t>
            </w:r>
          </w:p>
        </w:tc>
        <w:tc>
          <w:tcPr>
            <w:tcW w:w="1474" w:type="dxa"/>
            <w:tcBorders>
              <w:bottom w:val="single" w:sz="4" w:space="0" w:color="C0C0C0"/>
            </w:tcBorders>
            <w:shd w:val="clear" w:color="auto" w:fill="auto"/>
            <w:vAlign w:val="center"/>
          </w:tcPr>
          <w:p w14:paraId="20AE308B" w14:textId="77777777" w:rsidR="0056738E" w:rsidRPr="00F23D3D"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Pr>
                <w:rFonts w:ascii="Arial" w:eastAsia="Batang" w:hAnsi="Arial" w:cs="Arial"/>
                <w:b/>
                <w:bCs/>
                <w:color w:val="262626"/>
                <w:sz w:val="18"/>
                <w:szCs w:val="18"/>
                <w:lang w:eastAsia="en-US"/>
              </w:rPr>
              <w:t>533,859</w:t>
            </w:r>
          </w:p>
        </w:tc>
        <w:tc>
          <w:tcPr>
            <w:tcW w:w="1361" w:type="dxa"/>
            <w:tcBorders>
              <w:bottom w:val="single" w:sz="4" w:space="0" w:color="C0C0C0"/>
            </w:tcBorders>
            <w:shd w:val="clear" w:color="auto" w:fill="FFFFFF"/>
            <w:vAlign w:val="center"/>
          </w:tcPr>
          <w:p w14:paraId="5589133F" w14:textId="77777777" w:rsidR="0056738E" w:rsidRPr="00F23D3D"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469,265</w:t>
            </w:r>
          </w:p>
        </w:tc>
      </w:tr>
      <w:tr w:rsidR="0056738E" w:rsidRPr="00EA064F" w14:paraId="58E98478" w14:textId="77777777" w:rsidTr="007C2AEE">
        <w:trPr>
          <w:trHeight w:val="279"/>
          <w:jc w:val="center"/>
        </w:trPr>
        <w:tc>
          <w:tcPr>
            <w:tcW w:w="6917" w:type="dxa"/>
            <w:shd w:val="clear" w:color="auto" w:fill="auto"/>
            <w:vAlign w:val="center"/>
          </w:tcPr>
          <w:p w14:paraId="4957A494" w14:textId="77777777" w:rsidR="0056738E" w:rsidRPr="007313EF"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955C85">
              <w:rPr>
                <w:rFonts w:ascii="Arial" w:eastAsia="Batang" w:hAnsi="Arial" w:cs="Arial"/>
                <w:bCs/>
                <w:color w:val="262626"/>
                <w:sz w:val="18"/>
                <w:szCs w:val="18"/>
                <w:lang w:val="el-GR" w:eastAsia="en-US"/>
              </w:rPr>
              <w:t>Προβλέψεις για επιδικίες, υπό διαιτησία διαφορές, κανονιστικά και άλλα θέματα</w:t>
            </w:r>
          </w:p>
        </w:tc>
        <w:tc>
          <w:tcPr>
            <w:tcW w:w="1474" w:type="dxa"/>
            <w:tcBorders>
              <w:bottom w:val="single" w:sz="4" w:space="0" w:color="C0C0C0"/>
            </w:tcBorders>
            <w:shd w:val="clear" w:color="auto" w:fill="auto"/>
            <w:vAlign w:val="center"/>
          </w:tcPr>
          <w:p w14:paraId="4251A545" w14:textId="77777777" w:rsidR="0056738E" w:rsidRPr="00041815"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104,922</w:t>
            </w:r>
          </w:p>
        </w:tc>
        <w:tc>
          <w:tcPr>
            <w:tcW w:w="1361" w:type="dxa"/>
            <w:tcBorders>
              <w:bottom w:val="single" w:sz="4" w:space="0" w:color="C0C0C0"/>
            </w:tcBorders>
            <w:shd w:val="clear" w:color="auto" w:fill="FFFFFF"/>
            <w:vAlign w:val="center"/>
          </w:tcPr>
          <w:p w14:paraId="513E2A4C" w14:textId="77777777" w:rsidR="0056738E" w:rsidRPr="00EA064F"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131,503</w:t>
            </w:r>
          </w:p>
        </w:tc>
      </w:tr>
      <w:tr w:rsidR="0056738E" w:rsidRPr="00EA064F" w14:paraId="5534FE4E" w14:textId="77777777" w:rsidTr="007C2AEE">
        <w:trPr>
          <w:trHeight w:val="279"/>
          <w:jc w:val="center"/>
        </w:trPr>
        <w:tc>
          <w:tcPr>
            <w:tcW w:w="6917" w:type="dxa"/>
            <w:vAlign w:val="center"/>
          </w:tcPr>
          <w:p w14:paraId="118BC7CA" w14:textId="77777777" w:rsidR="0056738E"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Pr>
                <w:rFonts w:ascii="Arial" w:hAnsi="Arial" w:cs="Arial"/>
                <w:color w:val="262626"/>
                <w:sz w:val="18"/>
                <w:szCs w:val="18"/>
                <w:lang w:val="el-GR"/>
              </w:rPr>
              <w:t>Ομολογιακά δάνεια</w:t>
            </w:r>
          </w:p>
        </w:tc>
        <w:tc>
          <w:tcPr>
            <w:tcW w:w="1474" w:type="dxa"/>
            <w:tcBorders>
              <w:bottom w:val="single" w:sz="4" w:space="0" w:color="C0C0C0"/>
            </w:tcBorders>
            <w:shd w:val="clear" w:color="auto" w:fill="auto"/>
            <w:vAlign w:val="center"/>
          </w:tcPr>
          <w:p w14:paraId="3A7C3BD8" w14:textId="77777777" w:rsidR="0056738E" w:rsidRPr="00F012CB"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975,834</w:t>
            </w:r>
          </w:p>
        </w:tc>
        <w:tc>
          <w:tcPr>
            <w:tcW w:w="1361" w:type="dxa"/>
            <w:tcBorders>
              <w:bottom w:val="single" w:sz="4" w:space="0" w:color="C0C0C0"/>
            </w:tcBorders>
            <w:shd w:val="clear" w:color="auto" w:fill="FFFFFF"/>
            <w:vAlign w:val="center"/>
          </w:tcPr>
          <w:p w14:paraId="4B108E6E" w14:textId="77777777" w:rsidR="0056738E" w:rsidRPr="00F8318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671,632</w:t>
            </w:r>
          </w:p>
        </w:tc>
      </w:tr>
      <w:tr w:rsidR="0056738E" w:rsidRPr="00EA064F" w14:paraId="78B81833" w14:textId="77777777" w:rsidTr="007C2AEE">
        <w:trPr>
          <w:trHeight w:val="279"/>
          <w:jc w:val="center"/>
        </w:trPr>
        <w:tc>
          <w:tcPr>
            <w:tcW w:w="6917" w:type="dxa"/>
            <w:vAlign w:val="center"/>
          </w:tcPr>
          <w:p w14:paraId="6D0CE933" w14:textId="77777777" w:rsidR="0056738E"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Pr>
                <w:rFonts w:ascii="Arial" w:hAnsi="Arial" w:cs="Arial"/>
                <w:color w:val="262626"/>
                <w:sz w:val="18"/>
                <w:szCs w:val="18"/>
                <w:lang w:val="el-GR"/>
              </w:rPr>
              <w:t>Υποχρεώσεις μειωμένης εξασφάλισης</w:t>
            </w:r>
          </w:p>
        </w:tc>
        <w:tc>
          <w:tcPr>
            <w:tcW w:w="1474" w:type="dxa"/>
            <w:tcBorders>
              <w:bottom w:val="single" w:sz="4" w:space="0" w:color="C0C0C0"/>
            </w:tcBorders>
            <w:shd w:val="clear" w:color="auto" w:fill="auto"/>
            <w:vAlign w:val="center"/>
          </w:tcPr>
          <w:p w14:paraId="235B34D4" w14:textId="77777777" w:rsidR="0056738E" w:rsidRPr="00F012CB"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321,755</w:t>
            </w:r>
          </w:p>
        </w:tc>
        <w:tc>
          <w:tcPr>
            <w:tcW w:w="1361" w:type="dxa"/>
            <w:tcBorders>
              <w:bottom w:val="single" w:sz="4" w:space="0" w:color="C0C0C0"/>
            </w:tcBorders>
            <w:shd w:val="clear" w:color="auto" w:fill="FFFFFF"/>
            <w:vAlign w:val="center"/>
          </w:tcPr>
          <w:p w14:paraId="7D0660AF" w14:textId="77777777" w:rsidR="0056738E" w:rsidRPr="00F8318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306,787</w:t>
            </w:r>
          </w:p>
        </w:tc>
      </w:tr>
      <w:tr w:rsidR="0056738E" w:rsidRPr="00295155" w14:paraId="6F0DCAB5" w14:textId="77777777" w:rsidTr="007C2AEE">
        <w:trPr>
          <w:trHeight w:val="279"/>
          <w:jc w:val="center"/>
        </w:trPr>
        <w:tc>
          <w:tcPr>
            <w:tcW w:w="6917" w:type="dxa"/>
            <w:vAlign w:val="center"/>
          </w:tcPr>
          <w:p w14:paraId="49855BD5"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Αναβαλλόμενες φορολογικές υποχρεώσεις</w:t>
            </w:r>
          </w:p>
        </w:tc>
        <w:tc>
          <w:tcPr>
            <w:tcW w:w="1474" w:type="dxa"/>
            <w:tcBorders>
              <w:bottom w:val="single" w:sz="4" w:space="0" w:color="C0C0C0"/>
            </w:tcBorders>
            <w:shd w:val="clear" w:color="auto" w:fill="FFFFFF" w:themeFill="background1"/>
            <w:vAlign w:val="center"/>
          </w:tcPr>
          <w:p w14:paraId="1C20C53C" w14:textId="77777777" w:rsidR="0056738E" w:rsidRPr="008E3151"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32,934</w:t>
            </w:r>
          </w:p>
        </w:tc>
        <w:tc>
          <w:tcPr>
            <w:tcW w:w="1361" w:type="dxa"/>
            <w:tcBorders>
              <w:bottom w:val="single" w:sz="4" w:space="0" w:color="C0C0C0"/>
            </w:tcBorders>
            <w:shd w:val="clear" w:color="auto" w:fill="FFFFFF"/>
            <w:vAlign w:val="center"/>
          </w:tcPr>
          <w:p w14:paraId="303B53E2" w14:textId="77777777" w:rsidR="0056738E" w:rsidRPr="00F23D3D"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32,306</w:t>
            </w:r>
          </w:p>
        </w:tc>
      </w:tr>
      <w:tr w:rsidR="0056738E" w:rsidRPr="00295155" w14:paraId="505A02B2" w14:textId="77777777" w:rsidTr="007C2AEE">
        <w:trPr>
          <w:trHeight w:val="279"/>
          <w:jc w:val="center"/>
        </w:trPr>
        <w:tc>
          <w:tcPr>
            <w:tcW w:w="6917" w:type="dxa"/>
            <w:tcBorders>
              <w:bottom w:val="single" w:sz="4" w:space="0" w:color="C0C0C0"/>
            </w:tcBorders>
            <w:vAlign w:val="center"/>
          </w:tcPr>
          <w:p w14:paraId="7F267823"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color w:val="262626"/>
                <w:sz w:val="18"/>
                <w:szCs w:val="18"/>
                <w:lang w:val="el-GR"/>
              </w:rPr>
            </w:pPr>
            <w:r w:rsidRPr="00295155">
              <w:rPr>
                <w:rFonts w:ascii="Arial" w:hAnsi="Arial" w:cs="Arial"/>
                <w:b/>
                <w:color w:val="262626"/>
                <w:sz w:val="18"/>
                <w:szCs w:val="18"/>
                <w:lang w:val="el-GR"/>
              </w:rPr>
              <w:t xml:space="preserve">Σύνολο υποχρεώσεων </w:t>
            </w:r>
          </w:p>
        </w:tc>
        <w:tc>
          <w:tcPr>
            <w:tcW w:w="1474" w:type="dxa"/>
            <w:tcBorders>
              <w:top w:val="single" w:sz="6" w:space="0" w:color="auto"/>
              <w:bottom w:val="single" w:sz="6" w:space="0" w:color="auto"/>
            </w:tcBorders>
            <w:shd w:val="clear" w:color="auto" w:fill="FFFFFF" w:themeFill="background1"/>
            <w:vAlign w:val="center"/>
          </w:tcPr>
          <w:p w14:paraId="01DBD69F" w14:textId="77777777" w:rsidR="0056738E" w:rsidRPr="00A0255C"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23,112,200</w:t>
            </w:r>
          </w:p>
        </w:tc>
        <w:tc>
          <w:tcPr>
            <w:tcW w:w="1361" w:type="dxa"/>
            <w:tcBorders>
              <w:top w:val="single" w:sz="6" w:space="0" w:color="auto"/>
              <w:bottom w:val="single" w:sz="6" w:space="0" w:color="auto"/>
            </w:tcBorders>
            <w:shd w:val="clear" w:color="auto" w:fill="FFFFFF"/>
            <w:vAlign w:val="center"/>
          </w:tcPr>
          <w:p w14:paraId="69C547A2" w14:textId="77777777" w:rsidR="0056738E" w:rsidRPr="005C5FB9"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24,140,236</w:t>
            </w:r>
          </w:p>
        </w:tc>
      </w:tr>
      <w:tr w:rsidR="0056738E" w:rsidRPr="00295155" w14:paraId="359865BC" w14:textId="77777777" w:rsidTr="007C2AEE">
        <w:trPr>
          <w:trHeight w:val="279"/>
          <w:jc w:val="center"/>
        </w:trPr>
        <w:tc>
          <w:tcPr>
            <w:tcW w:w="6917" w:type="dxa"/>
            <w:vAlign w:val="center"/>
          </w:tcPr>
          <w:p w14:paraId="28264646"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color w:val="262626"/>
                <w:sz w:val="18"/>
                <w:szCs w:val="18"/>
                <w:lang w:val="el-GR"/>
              </w:rPr>
            </w:pPr>
            <w:r w:rsidRPr="00295155">
              <w:rPr>
                <w:rFonts w:ascii="Arial" w:hAnsi="Arial" w:cs="Arial"/>
                <w:b/>
                <w:color w:val="262626"/>
                <w:sz w:val="18"/>
                <w:szCs w:val="18"/>
                <w:lang w:val="el-GR"/>
              </w:rPr>
              <w:t>Ίδια κεφάλαια</w:t>
            </w:r>
          </w:p>
        </w:tc>
        <w:tc>
          <w:tcPr>
            <w:tcW w:w="1474" w:type="dxa"/>
            <w:tcBorders>
              <w:top w:val="single" w:sz="6" w:space="0" w:color="auto"/>
            </w:tcBorders>
            <w:shd w:val="clear" w:color="auto" w:fill="FFFFFF" w:themeFill="background1"/>
            <w:vAlign w:val="center"/>
          </w:tcPr>
          <w:p w14:paraId="5F62BC93" w14:textId="77777777" w:rsidR="0056738E" w:rsidRPr="00751DEC"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p>
        </w:tc>
        <w:tc>
          <w:tcPr>
            <w:tcW w:w="1361" w:type="dxa"/>
            <w:tcBorders>
              <w:top w:val="single" w:sz="6" w:space="0" w:color="auto"/>
            </w:tcBorders>
            <w:vAlign w:val="center"/>
          </w:tcPr>
          <w:p w14:paraId="69E948BD" w14:textId="77777777" w:rsidR="0056738E" w:rsidRPr="00325113"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p>
        </w:tc>
      </w:tr>
      <w:tr w:rsidR="0056738E" w:rsidRPr="00295155" w14:paraId="70324A37" w14:textId="77777777" w:rsidTr="007C2AEE">
        <w:trPr>
          <w:trHeight w:val="279"/>
          <w:jc w:val="center"/>
        </w:trPr>
        <w:tc>
          <w:tcPr>
            <w:tcW w:w="6917" w:type="dxa"/>
            <w:vAlign w:val="center"/>
          </w:tcPr>
          <w:p w14:paraId="3283A66E"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Μετοχικό κεφάλαιο</w:t>
            </w:r>
          </w:p>
        </w:tc>
        <w:tc>
          <w:tcPr>
            <w:tcW w:w="1474" w:type="dxa"/>
            <w:shd w:val="clear" w:color="auto" w:fill="auto"/>
            <w:vAlign w:val="center"/>
          </w:tcPr>
          <w:p w14:paraId="7F948839" w14:textId="77777777" w:rsidR="0056738E" w:rsidRPr="008E3151"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44,294</w:t>
            </w:r>
          </w:p>
        </w:tc>
        <w:tc>
          <w:tcPr>
            <w:tcW w:w="1361" w:type="dxa"/>
            <w:shd w:val="clear" w:color="auto" w:fill="FFFFFF"/>
            <w:vAlign w:val="center"/>
          </w:tcPr>
          <w:p w14:paraId="003AF0BE" w14:textId="77777777" w:rsidR="0056738E" w:rsidRPr="005C5FB9"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44,620</w:t>
            </w:r>
          </w:p>
        </w:tc>
      </w:tr>
      <w:tr w:rsidR="0056738E" w:rsidRPr="00EA064F" w14:paraId="302B782C" w14:textId="77777777" w:rsidTr="007C2AEE">
        <w:trPr>
          <w:trHeight w:val="279"/>
          <w:jc w:val="center"/>
        </w:trPr>
        <w:tc>
          <w:tcPr>
            <w:tcW w:w="6917" w:type="dxa"/>
            <w:vAlign w:val="center"/>
          </w:tcPr>
          <w:p w14:paraId="54560BBA"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Αποθεματικό από έκδοση μετοχών υπέρ το άρτιο</w:t>
            </w:r>
          </w:p>
        </w:tc>
        <w:tc>
          <w:tcPr>
            <w:tcW w:w="1474" w:type="dxa"/>
            <w:tcBorders>
              <w:bottom w:val="single" w:sz="4" w:space="0" w:color="C0C0C0"/>
            </w:tcBorders>
            <w:shd w:val="clear" w:color="auto" w:fill="auto"/>
            <w:vAlign w:val="center"/>
          </w:tcPr>
          <w:p w14:paraId="040CCE71" w14:textId="77777777" w:rsidR="0056738E" w:rsidRPr="00F012CB"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594,358</w:t>
            </w:r>
          </w:p>
        </w:tc>
        <w:tc>
          <w:tcPr>
            <w:tcW w:w="1361" w:type="dxa"/>
            <w:tcBorders>
              <w:bottom w:val="single" w:sz="4" w:space="0" w:color="C0C0C0"/>
            </w:tcBorders>
            <w:shd w:val="clear" w:color="auto" w:fill="FFFFFF"/>
            <w:vAlign w:val="center"/>
          </w:tcPr>
          <w:p w14:paraId="7A587FCB" w14:textId="77777777" w:rsidR="0056738E" w:rsidRPr="00EA064F"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594,358</w:t>
            </w:r>
          </w:p>
        </w:tc>
      </w:tr>
      <w:tr w:rsidR="0056738E" w:rsidRPr="00EA064F" w14:paraId="3E94581D" w14:textId="77777777" w:rsidTr="007C2AEE">
        <w:trPr>
          <w:trHeight w:val="279"/>
          <w:jc w:val="center"/>
        </w:trPr>
        <w:tc>
          <w:tcPr>
            <w:tcW w:w="6917" w:type="dxa"/>
            <w:vAlign w:val="center"/>
          </w:tcPr>
          <w:p w14:paraId="0EADF958"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295155">
              <w:rPr>
                <w:rFonts w:ascii="Arial" w:hAnsi="Arial" w:cs="Arial"/>
                <w:color w:val="262626"/>
                <w:sz w:val="18"/>
                <w:szCs w:val="18"/>
                <w:lang w:val="el-GR"/>
              </w:rPr>
              <w:t>Αποθεματικά επανεκτίμησης και άλλα αποθεματικά</w:t>
            </w:r>
          </w:p>
        </w:tc>
        <w:tc>
          <w:tcPr>
            <w:tcW w:w="1474" w:type="dxa"/>
            <w:tcBorders>
              <w:bottom w:val="single" w:sz="4" w:space="0" w:color="C0C0C0"/>
            </w:tcBorders>
            <w:shd w:val="clear" w:color="auto" w:fill="auto"/>
            <w:vAlign w:val="center"/>
          </w:tcPr>
          <w:p w14:paraId="434351C7" w14:textId="77777777" w:rsidR="0056738E" w:rsidRPr="00A0255C"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88,020</w:t>
            </w:r>
          </w:p>
        </w:tc>
        <w:tc>
          <w:tcPr>
            <w:tcW w:w="1361" w:type="dxa"/>
            <w:tcBorders>
              <w:bottom w:val="single" w:sz="4" w:space="0" w:color="C0C0C0"/>
            </w:tcBorders>
            <w:shd w:val="clear" w:color="auto" w:fill="auto"/>
            <w:vAlign w:val="center"/>
          </w:tcPr>
          <w:p w14:paraId="08A50A99" w14:textId="77777777" w:rsidR="0056738E" w:rsidRPr="00EA064F"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89,920</w:t>
            </w:r>
          </w:p>
        </w:tc>
      </w:tr>
      <w:tr w:rsidR="0056738E" w:rsidRPr="00295155" w14:paraId="76467DA1" w14:textId="77777777" w:rsidTr="007C2AEE">
        <w:trPr>
          <w:trHeight w:val="279"/>
          <w:jc w:val="center"/>
        </w:trPr>
        <w:tc>
          <w:tcPr>
            <w:tcW w:w="6917" w:type="dxa"/>
            <w:vAlign w:val="center"/>
          </w:tcPr>
          <w:p w14:paraId="5C0523C7"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Pr>
                <w:rFonts w:ascii="Arial" w:hAnsi="Arial" w:cs="Arial"/>
                <w:color w:val="262626"/>
                <w:sz w:val="18"/>
                <w:szCs w:val="18"/>
                <w:lang w:val="el-GR"/>
              </w:rPr>
              <w:t>Αδιανέμητα κέρδη</w:t>
            </w:r>
          </w:p>
        </w:tc>
        <w:tc>
          <w:tcPr>
            <w:tcW w:w="1474" w:type="dxa"/>
            <w:tcBorders>
              <w:bottom w:val="single" w:sz="6" w:space="0" w:color="auto"/>
            </w:tcBorders>
            <w:shd w:val="clear" w:color="auto" w:fill="auto"/>
            <w:vAlign w:val="center"/>
          </w:tcPr>
          <w:p w14:paraId="4C3A81ED"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val="en-US" w:eastAsia="en-US"/>
              </w:rPr>
              <w:t>1,781,413</w:t>
            </w:r>
          </w:p>
        </w:tc>
        <w:tc>
          <w:tcPr>
            <w:tcW w:w="1361" w:type="dxa"/>
            <w:tcBorders>
              <w:bottom w:val="single" w:sz="6" w:space="0" w:color="auto"/>
            </w:tcBorders>
            <w:shd w:val="clear" w:color="auto" w:fill="auto"/>
            <w:vAlign w:val="center"/>
          </w:tcPr>
          <w:p w14:paraId="7B974BDE" w14:textId="77777777" w:rsidR="0056738E" w:rsidRPr="00F23D3D"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ind w:right="-7"/>
              <w:jc w:val="right"/>
              <w:rPr>
                <w:rFonts w:ascii="Arial" w:hAnsi="Arial" w:cs="Arial"/>
                <w:color w:val="262626"/>
                <w:sz w:val="18"/>
                <w:szCs w:val="18"/>
              </w:rPr>
            </w:pPr>
            <w:r>
              <w:rPr>
                <w:rFonts w:ascii="Arial" w:hAnsi="Arial" w:cs="Arial"/>
                <w:color w:val="262626"/>
                <w:sz w:val="18"/>
                <w:szCs w:val="18"/>
              </w:rPr>
              <w:t>1,518,182</w:t>
            </w:r>
          </w:p>
        </w:tc>
      </w:tr>
      <w:tr w:rsidR="0056738E" w:rsidRPr="00EA064F" w14:paraId="2F533FF1" w14:textId="77777777" w:rsidTr="007C2AEE">
        <w:trPr>
          <w:trHeight w:val="279"/>
          <w:jc w:val="center"/>
        </w:trPr>
        <w:tc>
          <w:tcPr>
            <w:tcW w:w="6917" w:type="dxa"/>
            <w:vAlign w:val="center"/>
          </w:tcPr>
          <w:p w14:paraId="094E7E9B"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color w:val="262626"/>
                <w:sz w:val="18"/>
                <w:szCs w:val="18"/>
                <w:lang w:val="el-GR"/>
              </w:rPr>
            </w:pPr>
            <w:r w:rsidRPr="00295155">
              <w:rPr>
                <w:rFonts w:ascii="Arial" w:hAnsi="Arial" w:cs="Arial"/>
                <w:b/>
                <w:color w:val="262626"/>
                <w:sz w:val="18"/>
                <w:szCs w:val="18"/>
                <w:lang w:val="el-GR"/>
              </w:rPr>
              <w:t>Ίδια κεφάλαια που αναλογούν στους ιδιοκτήτες της Εταιρίας</w:t>
            </w:r>
          </w:p>
        </w:tc>
        <w:tc>
          <w:tcPr>
            <w:tcW w:w="1474" w:type="dxa"/>
            <w:tcBorders>
              <w:top w:val="single" w:sz="6" w:space="0" w:color="auto"/>
              <w:bottom w:val="single" w:sz="4" w:space="0" w:color="C0C0C0"/>
            </w:tcBorders>
            <w:shd w:val="clear" w:color="auto" w:fill="FFFFFF" w:themeFill="background1"/>
            <w:vAlign w:val="center"/>
          </w:tcPr>
          <w:p w14:paraId="235BB031" w14:textId="77777777" w:rsidR="0056738E" w:rsidRPr="00C915F5"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2,508,085</w:t>
            </w:r>
          </w:p>
        </w:tc>
        <w:tc>
          <w:tcPr>
            <w:tcW w:w="1361" w:type="dxa"/>
            <w:tcBorders>
              <w:top w:val="single" w:sz="6" w:space="0" w:color="auto"/>
              <w:bottom w:val="single" w:sz="4" w:space="0" w:color="C0C0C0"/>
            </w:tcBorders>
            <w:shd w:val="clear" w:color="auto" w:fill="FFFFFF"/>
            <w:vAlign w:val="center"/>
          </w:tcPr>
          <w:p w14:paraId="0F82FDE7" w14:textId="77777777" w:rsidR="0056738E" w:rsidRPr="00EA064F"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2,247,080</w:t>
            </w:r>
          </w:p>
        </w:tc>
      </w:tr>
      <w:tr w:rsidR="0056738E" w:rsidRPr="00295155" w14:paraId="2163DF76" w14:textId="77777777" w:rsidTr="007C2AEE">
        <w:trPr>
          <w:trHeight w:val="279"/>
          <w:jc w:val="center"/>
        </w:trPr>
        <w:tc>
          <w:tcPr>
            <w:tcW w:w="6917" w:type="dxa"/>
            <w:vAlign w:val="center"/>
          </w:tcPr>
          <w:p w14:paraId="27C8BCCC" w14:textId="77777777" w:rsidR="0056738E" w:rsidRPr="007D1431"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sidRPr="007D1431">
              <w:rPr>
                <w:rFonts w:ascii="Arial" w:hAnsi="Arial" w:cs="Arial"/>
                <w:color w:val="262626"/>
                <w:sz w:val="18"/>
                <w:szCs w:val="18"/>
                <w:lang w:val="el-GR"/>
              </w:rPr>
              <w:t>Λοιποί συμμετοχικοί τίτλοι</w:t>
            </w:r>
          </w:p>
        </w:tc>
        <w:tc>
          <w:tcPr>
            <w:tcW w:w="1474" w:type="dxa"/>
            <w:tcBorders>
              <w:top w:val="single" w:sz="4" w:space="0" w:color="C0C0C0"/>
              <w:bottom w:val="single" w:sz="4" w:space="0" w:color="C0C0C0"/>
            </w:tcBorders>
            <w:shd w:val="clear" w:color="auto" w:fill="FFFFFF" w:themeFill="background1"/>
            <w:vAlign w:val="center"/>
          </w:tcPr>
          <w:p w14:paraId="5AFF9315" w14:textId="77777777" w:rsidR="0056738E" w:rsidRPr="00C915F5"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220,000</w:t>
            </w:r>
          </w:p>
        </w:tc>
        <w:tc>
          <w:tcPr>
            <w:tcW w:w="1361" w:type="dxa"/>
            <w:tcBorders>
              <w:top w:val="single" w:sz="4" w:space="0" w:color="C0C0C0"/>
              <w:bottom w:val="single" w:sz="4" w:space="0" w:color="C0C0C0"/>
            </w:tcBorders>
            <w:shd w:val="clear" w:color="auto" w:fill="FFFFFF"/>
            <w:vAlign w:val="center"/>
          </w:tcPr>
          <w:p w14:paraId="19BA7695" w14:textId="77777777" w:rsidR="0056738E" w:rsidRPr="005C5FB9"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220,000</w:t>
            </w:r>
          </w:p>
        </w:tc>
      </w:tr>
      <w:tr w:rsidR="0056738E" w:rsidRPr="00295155" w14:paraId="7D9F22FB" w14:textId="77777777" w:rsidTr="007C2AEE">
        <w:trPr>
          <w:trHeight w:val="279"/>
          <w:jc w:val="center"/>
        </w:trPr>
        <w:tc>
          <w:tcPr>
            <w:tcW w:w="6917" w:type="dxa"/>
            <w:vAlign w:val="center"/>
          </w:tcPr>
          <w:p w14:paraId="0F808797"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color w:val="262626"/>
                <w:sz w:val="18"/>
                <w:szCs w:val="18"/>
                <w:lang w:val="el-GR"/>
              </w:rPr>
            </w:pPr>
            <w:r w:rsidRPr="00295155">
              <w:rPr>
                <w:rFonts w:ascii="Arial" w:hAnsi="Arial" w:cs="Arial"/>
                <w:b/>
                <w:color w:val="262626"/>
                <w:sz w:val="18"/>
                <w:szCs w:val="18"/>
                <w:lang w:val="el-GR"/>
              </w:rPr>
              <w:t>Δικαιώματα μειοψηφίας</w:t>
            </w:r>
          </w:p>
        </w:tc>
        <w:tc>
          <w:tcPr>
            <w:tcW w:w="1474" w:type="dxa"/>
            <w:tcBorders>
              <w:top w:val="single" w:sz="4" w:space="0" w:color="C0C0C0"/>
              <w:bottom w:val="single" w:sz="6" w:space="0" w:color="auto"/>
            </w:tcBorders>
            <w:shd w:val="clear" w:color="auto" w:fill="auto"/>
            <w:vAlign w:val="center"/>
          </w:tcPr>
          <w:p w14:paraId="50DE578A" w14:textId="77777777" w:rsidR="0056738E" w:rsidRPr="00C915F5"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sidRPr="00C915F5">
              <w:rPr>
                <w:rFonts w:ascii="Arial" w:eastAsia="Batang" w:hAnsi="Arial" w:cs="Arial"/>
                <w:b/>
                <w:bCs/>
                <w:color w:val="262626"/>
                <w:sz w:val="18"/>
                <w:szCs w:val="18"/>
                <w:lang w:eastAsia="en-US"/>
              </w:rPr>
              <w:t>22,812</w:t>
            </w:r>
          </w:p>
        </w:tc>
        <w:tc>
          <w:tcPr>
            <w:tcW w:w="1361" w:type="dxa"/>
            <w:tcBorders>
              <w:top w:val="single" w:sz="4" w:space="0" w:color="C0C0C0"/>
              <w:bottom w:val="single" w:sz="6" w:space="0" w:color="auto"/>
            </w:tcBorders>
            <w:shd w:val="clear" w:color="auto" w:fill="FFFFFF"/>
            <w:vAlign w:val="center"/>
          </w:tcPr>
          <w:p w14:paraId="7CD11EFF" w14:textId="77777777" w:rsidR="0056738E" w:rsidRPr="005C5FB9"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21,261</w:t>
            </w:r>
          </w:p>
        </w:tc>
      </w:tr>
      <w:tr w:rsidR="0056738E" w:rsidRPr="00295155" w14:paraId="734D1193" w14:textId="77777777" w:rsidTr="007C2AEE">
        <w:trPr>
          <w:trHeight w:val="279"/>
          <w:jc w:val="center"/>
        </w:trPr>
        <w:tc>
          <w:tcPr>
            <w:tcW w:w="6917" w:type="dxa"/>
            <w:vAlign w:val="center"/>
          </w:tcPr>
          <w:p w14:paraId="5D0DEB3F"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color w:val="262626"/>
                <w:sz w:val="18"/>
                <w:szCs w:val="18"/>
                <w:lang w:val="el-GR"/>
              </w:rPr>
            </w:pPr>
            <w:r w:rsidRPr="00295155">
              <w:rPr>
                <w:rFonts w:ascii="Arial" w:hAnsi="Arial" w:cs="Arial"/>
                <w:b/>
                <w:color w:val="262626"/>
                <w:sz w:val="18"/>
                <w:szCs w:val="18"/>
                <w:lang w:val="el-GR"/>
              </w:rPr>
              <w:t xml:space="preserve">Σύνολο ιδίων κεφαλαίων </w:t>
            </w:r>
          </w:p>
        </w:tc>
        <w:tc>
          <w:tcPr>
            <w:tcW w:w="1474" w:type="dxa"/>
            <w:tcBorders>
              <w:top w:val="single" w:sz="6" w:space="0" w:color="auto"/>
              <w:bottom w:val="single" w:sz="6" w:space="0" w:color="auto"/>
            </w:tcBorders>
            <w:shd w:val="clear" w:color="auto" w:fill="auto"/>
            <w:vAlign w:val="center"/>
          </w:tcPr>
          <w:p w14:paraId="7A06B7A9" w14:textId="77777777" w:rsidR="0056738E" w:rsidRPr="00C915F5"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2,750,897</w:t>
            </w:r>
          </w:p>
        </w:tc>
        <w:tc>
          <w:tcPr>
            <w:tcW w:w="1361" w:type="dxa"/>
            <w:tcBorders>
              <w:top w:val="single" w:sz="6" w:space="0" w:color="auto"/>
              <w:bottom w:val="single" w:sz="6" w:space="0" w:color="auto"/>
            </w:tcBorders>
            <w:shd w:val="clear" w:color="auto" w:fill="FFFFFF"/>
            <w:vAlign w:val="center"/>
          </w:tcPr>
          <w:p w14:paraId="6EC0BE2F" w14:textId="77777777" w:rsidR="0056738E" w:rsidRPr="005C5FB9"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rPr>
            </w:pPr>
            <w:r>
              <w:rPr>
                <w:rFonts w:ascii="Arial" w:hAnsi="Arial" w:cs="Arial"/>
                <w:color w:val="262626"/>
                <w:sz w:val="18"/>
                <w:szCs w:val="18"/>
              </w:rPr>
              <w:t>2,488,341</w:t>
            </w:r>
          </w:p>
        </w:tc>
      </w:tr>
      <w:tr w:rsidR="0056738E" w:rsidRPr="00EA064F" w14:paraId="44ABF21A" w14:textId="77777777" w:rsidTr="007C2AEE">
        <w:trPr>
          <w:trHeight w:val="279"/>
          <w:jc w:val="center"/>
        </w:trPr>
        <w:tc>
          <w:tcPr>
            <w:tcW w:w="6917" w:type="dxa"/>
            <w:tcBorders>
              <w:bottom w:val="single" w:sz="4" w:space="0" w:color="C0C0C0"/>
            </w:tcBorders>
            <w:vAlign w:val="center"/>
          </w:tcPr>
          <w:p w14:paraId="6EA82205" w14:textId="77777777" w:rsidR="0056738E" w:rsidRPr="00295155"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color w:val="262626"/>
                <w:sz w:val="18"/>
                <w:szCs w:val="18"/>
                <w:lang w:val="el-GR"/>
              </w:rPr>
            </w:pPr>
            <w:r w:rsidRPr="00295155">
              <w:rPr>
                <w:rFonts w:ascii="Arial" w:hAnsi="Arial" w:cs="Arial"/>
                <w:b/>
                <w:color w:val="262626"/>
                <w:sz w:val="18"/>
                <w:szCs w:val="18"/>
                <w:lang w:val="el-GR"/>
              </w:rPr>
              <w:t xml:space="preserve">Σύνολο υποχρεώσεων και ιδίων κεφαλαίων </w:t>
            </w:r>
          </w:p>
        </w:tc>
        <w:tc>
          <w:tcPr>
            <w:tcW w:w="1474" w:type="dxa"/>
            <w:tcBorders>
              <w:top w:val="single" w:sz="6" w:space="0" w:color="auto"/>
              <w:bottom w:val="double" w:sz="6" w:space="0" w:color="auto"/>
            </w:tcBorders>
            <w:shd w:val="clear" w:color="auto" w:fill="auto"/>
            <w:vAlign w:val="center"/>
          </w:tcPr>
          <w:p w14:paraId="432E1021"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25,863,097</w:t>
            </w:r>
          </w:p>
        </w:tc>
        <w:tc>
          <w:tcPr>
            <w:tcW w:w="1361" w:type="dxa"/>
            <w:tcBorders>
              <w:top w:val="single" w:sz="6" w:space="0" w:color="auto"/>
              <w:bottom w:val="double" w:sz="6" w:space="0" w:color="auto"/>
            </w:tcBorders>
            <w:shd w:val="clear" w:color="auto" w:fill="FFFFFF"/>
            <w:vAlign w:val="center"/>
          </w:tcPr>
          <w:p w14:paraId="592D94A2" w14:textId="77777777" w:rsidR="0056738E" w:rsidRPr="00EA064F" w:rsidRDefault="0056738E" w:rsidP="007C2AEE">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26,628,577</w:t>
            </w:r>
          </w:p>
        </w:tc>
      </w:tr>
    </w:tbl>
    <w:p w14:paraId="1373B4D4" w14:textId="77777777" w:rsidR="0056738E" w:rsidRDefault="0056738E" w:rsidP="0056738E">
      <w:pPr>
        <w:autoSpaceDE w:val="0"/>
        <w:autoSpaceDN w:val="0"/>
        <w:spacing w:after="0" w:line="240" w:lineRule="auto"/>
        <w:jc w:val="both"/>
        <w:rPr>
          <w:rFonts w:ascii="Arial" w:hAnsi="Arial" w:cs="Arial"/>
          <w:color w:val="262626"/>
          <w:sz w:val="18"/>
          <w:szCs w:val="18"/>
          <w:lang w:val="el-GR"/>
        </w:rPr>
      </w:pPr>
    </w:p>
    <w:p w14:paraId="58ECD346" w14:textId="77777777" w:rsidR="0056738E" w:rsidRDefault="0056738E" w:rsidP="0056738E">
      <w:pPr>
        <w:tabs>
          <w:tab w:val="left" w:pos="720"/>
          <w:tab w:val="left" w:pos="900"/>
          <w:tab w:val="left" w:pos="1800"/>
          <w:tab w:val="left" w:pos="1980"/>
          <w:tab w:val="left" w:pos="3828"/>
          <w:tab w:val="left" w:pos="6480"/>
        </w:tabs>
        <w:suppressAutoHyphens/>
        <w:spacing w:before="240"/>
        <w:rPr>
          <w:rFonts w:ascii="Verdana" w:hAnsi="Verdana"/>
          <w:bCs/>
          <w:sz w:val="18"/>
          <w:szCs w:val="18"/>
          <w:lang w:val="el-GR"/>
        </w:rPr>
        <w:sectPr w:rsidR="0056738E" w:rsidSect="0056738E">
          <w:footerReference w:type="default" r:id="rId12"/>
          <w:headerReference w:type="first" r:id="rId13"/>
          <w:footerReference w:type="first" r:id="rId14"/>
          <w:pgSz w:w="11900" w:h="16840"/>
          <w:pgMar w:top="1077" w:right="1134" w:bottom="1418" w:left="1077" w:header="720" w:footer="731" w:gutter="0"/>
          <w:cols w:space="720"/>
          <w:titlePg/>
          <w:docGrid w:linePitch="326"/>
        </w:sectPr>
      </w:pPr>
    </w:p>
    <w:p w14:paraId="10720F5B" w14:textId="77777777" w:rsidR="0056738E" w:rsidRPr="00E72BB8" w:rsidRDefault="0056738E" w:rsidP="0056738E">
      <w:pPr>
        <w:spacing w:after="0" w:line="360" w:lineRule="auto"/>
        <w:ind w:left="1135" w:hanging="851"/>
        <w:jc w:val="both"/>
        <w:rPr>
          <w:rFonts w:ascii="Arial" w:hAnsi="Arial" w:cs="Arial"/>
          <w:b/>
          <w:color w:val="FF9900"/>
          <w:szCs w:val="16"/>
          <w:lang w:val="el-GR"/>
        </w:rPr>
      </w:pPr>
      <w:r>
        <w:rPr>
          <w:rFonts w:ascii="Arial" w:hAnsi="Arial" w:cs="Arial"/>
          <w:b/>
          <w:color w:val="FF9900"/>
          <w:szCs w:val="16"/>
          <w:lang w:val="el-GR"/>
        </w:rPr>
        <w:lastRenderedPageBreak/>
        <w:t>Ε.</w:t>
      </w:r>
      <w:r w:rsidRPr="00F07821">
        <w:rPr>
          <w:rFonts w:ascii="Arial" w:hAnsi="Arial" w:cs="Arial"/>
          <w:b/>
          <w:color w:val="FF9900"/>
          <w:szCs w:val="16"/>
          <w:lang w:val="el-GR"/>
        </w:rPr>
        <w:t xml:space="preserve"> </w:t>
      </w:r>
      <w:r w:rsidRPr="00D066DE">
        <w:rPr>
          <w:rFonts w:ascii="Arial" w:hAnsi="Arial" w:cs="Arial"/>
          <w:b/>
          <w:color w:val="FF9900"/>
          <w:szCs w:val="16"/>
          <w:lang w:val="el-GR"/>
        </w:rPr>
        <w:tab/>
      </w:r>
      <w:r>
        <w:rPr>
          <w:rFonts w:ascii="Arial" w:hAnsi="Arial" w:cs="Arial"/>
          <w:b/>
          <w:color w:val="FF9900"/>
          <w:szCs w:val="16"/>
          <w:lang w:val="el-GR"/>
        </w:rPr>
        <w:t xml:space="preserve">Οικονομικά αποτελέσματα στην απαιτούμενη από τη νομοθεσία βάση </w:t>
      </w:r>
      <w:r w:rsidRPr="007C60E2">
        <w:rPr>
          <w:rFonts w:ascii="Arial" w:hAnsi="Arial" w:cs="Arial"/>
          <w:color w:val="FF9900"/>
          <w:szCs w:val="16"/>
          <w:lang w:val="el-GR"/>
        </w:rPr>
        <w:t>(συνέχεια)</w:t>
      </w:r>
    </w:p>
    <w:p w14:paraId="02C3D142" w14:textId="77777777" w:rsidR="0056738E" w:rsidRPr="00E72BB8" w:rsidRDefault="0056738E" w:rsidP="0056738E">
      <w:pPr>
        <w:spacing w:after="0" w:line="360" w:lineRule="auto"/>
        <w:ind w:left="284"/>
        <w:jc w:val="both"/>
        <w:rPr>
          <w:rFonts w:ascii="Arial" w:hAnsi="Arial" w:cs="Arial"/>
          <w:b/>
          <w:color w:val="FF9900"/>
          <w:lang w:val="el-GR"/>
        </w:rPr>
      </w:pPr>
      <w:r>
        <w:rPr>
          <w:rFonts w:ascii="Arial" w:hAnsi="Arial" w:cs="Arial"/>
          <w:b/>
          <w:color w:val="FF9900"/>
          <w:szCs w:val="16"/>
          <w:lang w:val="el-GR"/>
        </w:rPr>
        <w:t>Ενδιάμεση Ενοποιημένη Κατάσταση Μεταβολών Ιδίων Κεφαλαίων</w:t>
      </w:r>
      <w:r w:rsidRPr="00F07821">
        <w:rPr>
          <w:rFonts w:ascii="Arial" w:hAnsi="Arial" w:cs="Arial"/>
          <w:b/>
          <w:color w:val="FF9900"/>
          <w:szCs w:val="16"/>
          <w:lang w:val="el-GR"/>
        </w:rPr>
        <w:t xml:space="preserve"> </w:t>
      </w:r>
    </w:p>
    <w:tbl>
      <w:tblPr>
        <w:tblW w:w="1535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68"/>
        <w:gridCol w:w="850"/>
        <w:gridCol w:w="1070"/>
        <w:gridCol w:w="910"/>
        <w:gridCol w:w="790"/>
        <w:gridCol w:w="993"/>
        <w:gridCol w:w="993"/>
        <w:gridCol w:w="1134"/>
        <w:gridCol w:w="1134"/>
        <w:gridCol w:w="1134"/>
        <w:gridCol w:w="973"/>
        <w:gridCol w:w="1011"/>
        <w:gridCol w:w="992"/>
        <w:gridCol w:w="1101"/>
      </w:tblGrid>
      <w:tr w:rsidR="0056738E" w:rsidRPr="005B5C61" w14:paraId="617A7669" w14:textId="77777777" w:rsidTr="007C2AEE">
        <w:trPr>
          <w:trHeight w:val="227"/>
          <w:jc w:val="center"/>
        </w:trPr>
        <w:tc>
          <w:tcPr>
            <w:tcW w:w="2268" w:type="dxa"/>
            <w:vMerge w:val="restart"/>
            <w:tcBorders>
              <w:left w:val="single" w:sz="4" w:space="0" w:color="BFBFBF"/>
              <w:right w:val="single" w:sz="4" w:space="0" w:color="BFBFBF"/>
            </w:tcBorders>
            <w:vAlign w:val="center"/>
          </w:tcPr>
          <w:p w14:paraId="2D3F711F" w14:textId="77777777" w:rsidR="0056738E" w:rsidRPr="00551D75" w:rsidRDefault="0056738E" w:rsidP="007C2AEE">
            <w:pPr>
              <w:tabs>
                <w:tab w:val="left" w:pos="0"/>
                <w:tab w:val="right" w:pos="7560"/>
                <w:tab w:val="right" w:pos="9000"/>
              </w:tabs>
              <w:suppressAutoHyphens/>
              <w:rPr>
                <w:rFonts w:ascii="Arial" w:hAnsi="Arial" w:cs="Arial"/>
                <w:bCs/>
                <w:color w:val="262626"/>
                <w:sz w:val="15"/>
                <w:szCs w:val="15"/>
                <w:lang w:val="el-GR"/>
              </w:rPr>
            </w:pPr>
          </w:p>
        </w:tc>
        <w:tc>
          <w:tcPr>
            <w:tcW w:w="850" w:type="dxa"/>
            <w:tcBorders>
              <w:left w:val="single" w:sz="4" w:space="0" w:color="BFBFBF"/>
              <w:right w:val="single" w:sz="4" w:space="0" w:color="BFBFBF"/>
            </w:tcBorders>
          </w:tcPr>
          <w:p w14:paraId="75E3892E" w14:textId="77777777" w:rsidR="0056738E" w:rsidRPr="00551D75" w:rsidRDefault="0056738E" w:rsidP="007C2AEE">
            <w:pPr>
              <w:tabs>
                <w:tab w:val="left" w:pos="1416"/>
                <w:tab w:val="decimal" w:pos="4962"/>
                <w:tab w:val="decimal" w:pos="6521"/>
                <w:tab w:val="right" w:pos="7560"/>
                <w:tab w:val="decimal" w:pos="8220"/>
                <w:tab w:val="left" w:pos="8640"/>
                <w:tab w:val="right" w:pos="9000"/>
              </w:tabs>
              <w:suppressAutoHyphens/>
              <w:spacing w:after="0" w:line="240" w:lineRule="auto"/>
              <w:ind w:left="-72" w:right="-144"/>
              <w:jc w:val="center"/>
              <w:rPr>
                <w:rFonts w:ascii="Arial" w:hAnsi="Arial" w:cs="Arial"/>
                <w:b/>
                <w:bCs/>
                <w:color w:val="262626"/>
                <w:sz w:val="15"/>
                <w:szCs w:val="15"/>
                <w:lang w:val="el-GR"/>
              </w:rPr>
            </w:pPr>
          </w:p>
        </w:tc>
        <w:tc>
          <w:tcPr>
            <w:tcW w:w="9131" w:type="dxa"/>
            <w:gridSpan w:val="9"/>
            <w:tcBorders>
              <w:top w:val="single" w:sz="4" w:space="0" w:color="C0C0C0"/>
              <w:left w:val="single" w:sz="4" w:space="0" w:color="BFBFBF"/>
              <w:bottom w:val="single" w:sz="4" w:space="0" w:color="C0C0C0"/>
            </w:tcBorders>
            <w:vAlign w:val="center"/>
          </w:tcPr>
          <w:p w14:paraId="35128F2A" w14:textId="77777777" w:rsidR="0056738E" w:rsidRPr="00551D75" w:rsidRDefault="0056738E" w:rsidP="007C2AEE">
            <w:pPr>
              <w:tabs>
                <w:tab w:val="left" w:pos="1416"/>
                <w:tab w:val="decimal" w:pos="4962"/>
                <w:tab w:val="decimal" w:pos="6521"/>
                <w:tab w:val="right" w:pos="7560"/>
                <w:tab w:val="decimal" w:pos="8220"/>
                <w:tab w:val="left" w:pos="8640"/>
                <w:tab w:val="right" w:pos="9000"/>
              </w:tabs>
              <w:suppressAutoHyphens/>
              <w:spacing w:after="0" w:line="240" w:lineRule="auto"/>
              <w:ind w:left="-72" w:right="-144"/>
              <w:jc w:val="center"/>
              <w:rPr>
                <w:rFonts w:ascii="Arial" w:hAnsi="Arial" w:cs="Arial"/>
                <w:b/>
                <w:bCs/>
                <w:color w:val="262626"/>
                <w:sz w:val="15"/>
                <w:szCs w:val="15"/>
                <w:lang w:val="el-GR"/>
              </w:rPr>
            </w:pPr>
            <w:r w:rsidRPr="00551D75">
              <w:rPr>
                <w:rFonts w:ascii="Arial" w:hAnsi="Arial" w:cs="Arial"/>
                <w:b/>
                <w:bCs/>
                <w:color w:val="262626"/>
                <w:sz w:val="15"/>
                <w:szCs w:val="15"/>
                <w:lang w:val="el-GR"/>
              </w:rPr>
              <w:t>Αναλογούντα στους ιδιοκτήτες της Εταιρίας</w:t>
            </w:r>
          </w:p>
        </w:tc>
        <w:tc>
          <w:tcPr>
            <w:tcW w:w="1011" w:type="dxa"/>
            <w:vMerge w:val="restart"/>
            <w:vAlign w:val="center"/>
          </w:tcPr>
          <w:p w14:paraId="240B1600" w14:textId="77777777" w:rsidR="0056738E" w:rsidRPr="002D265E" w:rsidRDefault="0056738E" w:rsidP="007C2AEE">
            <w:pPr>
              <w:pStyle w:val="Heading7"/>
              <w:ind w:left="-172" w:right="-165"/>
              <w:jc w:val="center"/>
              <w:rPr>
                <w:rFonts w:ascii="Arial" w:hAnsi="Arial" w:cs="Arial"/>
                <w:i w:val="0"/>
                <w:color w:val="262626"/>
                <w:sz w:val="15"/>
                <w:szCs w:val="15"/>
                <w:lang w:val="el-GR"/>
              </w:rPr>
            </w:pPr>
            <w:r w:rsidRPr="002D265E">
              <w:rPr>
                <w:rFonts w:ascii="Arial" w:hAnsi="Arial" w:cs="Arial"/>
                <w:i w:val="0"/>
                <w:color w:val="262626"/>
                <w:sz w:val="15"/>
                <w:szCs w:val="15"/>
                <w:lang w:val="el-GR"/>
              </w:rPr>
              <w:t>Λοιποί συμμετοχικοί τίτλοι</w:t>
            </w:r>
          </w:p>
        </w:tc>
        <w:tc>
          <w:tcPr>
            <w:tcW w:w="992" w:type="dxa"/>
            <w:vMerge w:val="restart"/>
            <w:vAlign w:val="center"/>
          </w:tcPr>
          <w:p w14:paraId="5857CC60" w14:textId="77777777" w:rsidR="0056738E" w:rsidRPr="002D265E" w:rsidRDefault="0056738E" w:rsidP="007C2AEE">
            <w:pPr>
              <w:pStyle w:val="Heading7"/>
              <w:ind w:left="-166" w:right="-152"/>
              <w:jc w:val="center"/>
              <w:rPr>
                <w:rFonts w:ascii="Arial" w:hAnsi="Arial" w:cs="Arial"/>
                <w:i w:val="0"/>
                <w:color w:val="262626"/>
                <w:sz w:val="15"/>
                <w:szCs w:val="15"/>
                <w:lang w:val="el-GR"/>
              </w:rPr>
            </w:pPr>
            <w:r w:rsidRPr="002D265E">
              <w:rPr>
                <w:rFonts w:ascii="Arial" w:hAnsi="Arial" w:cs="Arial"/>
                <w:i w:val="0"/>
                <w:color w:val="262626"/>
                <w:sz w:val="15"/>
                <w:szCs w:val="15"/>
                <w:lang w:val="el-GR"/>
              </w:rPr>
              <w:t>Δικαιώματα μειοψηφίας</w:t>
            </w:r>
          </w:p>
        </w:tc>
        <w:tc>
          <w:tcPr>
            <w:tcW w:w="1101" w:type="dxa"/>
            <w:vMerge w:val="restart"/>
            <w:vAlign w:val="center"/>
          </w:tcPr>
          <w:p w14:paraId="3B485891" w14:textId="77777777" w:rsidR="0056738E" w:rsidRPr="00551D75" w:rsidRDefault="0056738E" w:rsidP="007C2AEE">
            <w:pPr>
              <w:pStyle w:val="Heading7"/>
              <w:ind w:left="-64" w:right="-11"/>
              <w:jc w:val="center"/>
              <w:rPr>
                <w:rFonts w:ascii="Arial" w:hAnsi="Arial" w:cs="Arial"/>
                <w:b/>
                <w:bCs/>
                <w:i w:val="0"/>
                <w:color w:val="262626"/>
                <w:sz w:val="15"/>
                <w:szCs w:val="15"/>
                <w:lang w:val="el-GR"/>
              </w:rPr>
            </w:pPr>
            <w:r w:rsidRPr="00551D75">
              <w:rPr>
                <w:rFonts w:ascii="Arial" w:hAnsi="Arial" w:cs="Arial"/>
                <w:b/>
                <w:bCs/>
                <w:i w:val="0"/>
                <w:color w:val="262626"/>
                <w:sz w:val="15"/>
                <w:szCs w:val="15"/>
                <w:lang w:val="el-GR"/>
              </w:rPr>
              <w:t>Σύνολο ιδίων κεφαλαίων</w:t>
            </w:r>
          </w:p>
        </w:tc>
      </w:tr>
      <w:tr w:rsidR="0056738E" w:rsidRPr="00551D75" w14:paraId="03CCFFB6" w14:textId="77777777" w:rsidTr="007C2AEE">
        <w:trPr>
          <w:trHeight w:val="227"/>
          <w:jc w:val="center"/>
        </w:trPr>
        <w:tc>
          <w:tcPr>
            <w:tcW w:w="2268" w:type="dxa"/>
            <w:vMerge/>
            <w:tcBorders>
              <w:left w:val="single" w:sz="4" w:space="0" w:color="BFBFBF"/>
              <w:right w:val="single" w:sz="4" w:space="0" w:color="BFBFBF"/>
            </w:tcBorders>
            <w:vAlign w:val="center"/>
          </w:tcPr>
          <w:p w14:paraId="321D7BC7" w14:textId="77777777" w:rsidR="0056738E" w:rsidRPr="00551D75" w:rsidRDefault="0056738E" w:rsidP="007C2AEE">
            <w:pPr>
              <w:tabs>
                <w:tab w:val="left" w:pos="0"/>
                <w:tab w:val="right" w:pos="7560"/>
                <w:tab w:val="right" w:pos="9000"/>
              </w:tabs>
              <w:suppressAutoHyphens/>
              <w:rPr>
                <w:rFonts w:ascii="Arial" w:hAnsi="Arial" w:cs="Arial"/>
                <w:bCs/>
                <w:color w:val="262626"/>
                <w:sz w:val="15"/>
                <w:szCs w:val="15"/>
                <w:lang w:val="el-GR"/>
              </w:rPr>
            </w:pPr>
          </w:p>
        </w:tc>
        <w:tc>
          <w:tcPr>
            <w:tcW w:w="850" w:type="dxa"/>
            <w:tcBorders>
              <w:top w:val="single" w:sz="4" w:space="0" w:color="C0C0C0"/>
              <w:left w:val="single" w:sz="4" w:space="0" w:color="BFBFBF"/>
              <w:bottom w:val="single" w:sz="4" w:space="0" w:color="C0C0C0"/>
            </w:tcBorders>
            <w:vAlign w:val="center"/>
          </w:tcPr>
          <w:p w14:paraId="30224EC5" w14:textId="77777777" w:rsidR="0056738E" w:rsidRPr="00551D75" w:rsidRDefault="0056738E" w:rsidP="007C2AEE">
            <w:pPr>
              <w:pStyle w:val="Heading5"/>
              <w:tabs>
                <w:tab w:val="left" w:pos="-108"/>
              </w:tabs>
              <w:spacing w:before="0" w:line="240" w:lineRule="auto"/>
              <w:ind w:left="-108" w:right="-108"/>
              <w:jc w:val="center"/>
              <w:rPr>
                <w:rFonts w:ascii="Arial" w:hAnsi="Arial" w:cs="Arial"/>
                <w:i/>
                <w:color w:val="262626"/>
                <w:sz w:val="15"/>
                <w:szCs w:val="15"/>
                <w:lang w:val="el-GR"/>
              </w:rPr>
            </w:pPr>
            <w:r w:rsidRPr="00551D75">
              <w:rPr>
                <w:rFonts w:ascii="Arial" w:hAnsi="Arial" w:cs="Arial"/>
                <w:color w:val="262626"/>
                <w:sz w:val="15"/>
                <w:szCs w:val="15"/>
                <w:lang w:val="el-GR"/>
              </w:rPr>
              <w:t xml:space="preserve">Μετοχικό </w:t>
            </w:r>
            <w:r w:rsidRPr="00551D75">
              <w:rPr>
                <w:rFonts w:ascii="Arial" w:hAnsi="Arial" w:cs="Arial"/>
                <w:color w:val="262626"/>
                <w:sz w:val="15"/>
                <w:szCs w:val="15"/>
                <w:lang w:val="el-GR"/>
              </w:rPr>
              <w:br/>
              <w:t>κεφάλαιο</w:t>
            </w:r>
          </w:p>
        </w:tc>
        <w:tc>
          <w:tcPr>
            <w:tcW w:w="1070" w:type="dxa"/>
            <w:tcBorders>
              <w:top w:val="single" w:sz="4" w:space="0" w:color="C0C0C0"/>
              <w:bottom w:val="single" w:sz="4" w:space="0" w:color="C0C0C0"/>
            </w:tcBorders>
            <w:vAlign w:val="center"/>
          </w:tcPr>
          <w:p w14:paraId="2F34AE5D" w14:textId="77777777" w:rsidR="0056738E" w:rsidRPr="00551D75" w:rsidRDefault="0056738E" w:rsidP="007C2AEE">
            <w:pPr>
              <w:pStyle w:val="Heading7"/>
              <w:tabs>
                <w:tab w:val="left" w:pos="-108"/>
              </w:tabs>
              <w:spacing w:before="0" w:line="240" w:lineRule="auto"/>
              <w:ind w:left="-108" w:right="-108"/>
              <w:jc w:val="center"/>
              <w:rPr>
                <w:rFonts w:ascii="Arial" w:hAnsi="Arial" w:cs="Arial"/>
                <w:i w:val="0"/>
                <w:color w:val="262626"/>
                <w:sz w:val="15"/>
                <w:szCs w:val="15"/>
                <w:lang w:val="el-GR"/>
              </w:rPr>
            </w:pPr>
            <w:r w:rsidRPr="00551D75">
              <w:rPr>
                <w:rFonts w:ascii="Arial" w:hAnsi="Arial" w:cs="Arial"/>
                <w:i w:val="0"/>
                <w:color w:val="262626"/>
                <w:sz w:val="15"/>
                <w:szCs w:val="15"/>
                <w:lang w:val="el-GR"/>
              </w:rPr>
              <w:t xml:space="preserve">Αποθεματικό </w:t>
            </w:r>
          </w:p>
          <w:p w14:paraId="1311F49D" w14:textId="77777777" w:rsidR="0056738E" w:rsidRPr="00551D75" w:rsidRDefault="0056738E" w:rsidP="007C2AEE">
            <w:pPr>
              <w:pStyle w:val="Heading7"/>
              <w:tabs>
                <w:tab w:val="left" w:pos="-108"/>
              </w:tabs>
              <w:spacing w:before="0" w:line="240" w:lineRule="auto"/>
              <w:ind w:left="-108" w:right="-108"/>
              <w:jc w:val="center"/>
              <w:rPr>
                <w:rFonts w:ascii="Arial" w:hAnsi="Arial" w:cs="Arial"/>
                <w:i w:val="0"/>
                <w:color w:val="262626"/>
                <w:sz w:val="15"/>
                <w:szCs w:val="15"/>
                <w:lang w:val="el-GR"/>
              </w:rPr>
            </w:pPr>
            <w:r w:rsidRPr="00551D75">
              <w:rPr>
                <w:rFonts w:ascii="Arial" w:hAnsi="Arial" w:cs="Arial"/>
                <w:i w:val="0"/>
                <w:color w:val="262626"/>
                <w:sz w:val="15"/>
                <w:szCs w:val="15"/>
                <w:lang w:val="el-GR"/>
              </w:rPr>
              <w:t xml:space="preserve">από έκδοση μετοχών υπέρ </w:t>
            </w:r>
          </w:p>
          <w:p w14:paraId="32E1E1CF" w14:textId="77777777" w:rsidR="0056738E" w:rsidRPr="00551D75" w:rsidRDefault="0056738E" w:rsidP="007C2AEE">
            <w:pPr>
              <w:pStyle w:val="Heading7"/>
              <w:tabs>
                <w:tab w:val="left" w:pos="-108"/>
              </w:tabs>
              <w:spacing w:before="0" w:line="240" w:lineRule="auto"/>
              <w:ind w:left="-108" w:right="-108"/>
              <w:jc w:val="center"/>
              <w:rPr>
                <w:rFonts w:ascii="Arial" w:hAnsi="Arial" w:cs="Arial"/>
                <w:sz w:val="15"/>
                <w:szCs w:val="15"/>
                <w:lang w:val="el-GR"/>
              </w:rPr>
            </w:pPr>
            <w:r w:rsidRPr="00551D75">
              <w:rPr>
                <w:rFonts w:ascii="Arial" w:hAnsi="Arial" w:cs="Arial"/>
                <w:i w:val="0"/>
                <w:color w:val="262626"/>
                <w:sz w:val="15"/>
                <w:szCs w:val="15"/>
                <w:lang w:val="el-GR"/>
              </w:rPr>
              <w:t>το άρτιο</w:t>
            </w:r>
          </w:p>
        </w:tc>
        <w:tc>
          <w:tcPr>
            <w:tcW w:w="910" w:type="dxa"/>
            <w:tcBorders>
              <w:top w:val="single" w:sz="4" w:space="0" w:color="C0C0C0"/>
              <w:bottom w:val="single" w:sz="4" w:space="0" w:color="C0C0C0"/>
            </w:tcBorders>
            <w:vAlign w:val="center"/>
          </w:tcPr>
          <w:p w14:paraId="1EA09393" w14:textId="77777777" w:rsidR="0056738E" w:rsidRPr="008B2A10" w:rsidRDefault="0056738E" w:rsidP="007C2AEE">
            <w:pPr>
              <w:pStyle w:val="Heading7"/>
              <w:tabs>
                <w:tab w:val="left" w:pos="-108"/>
              </w:tabs>
              <w:spacing w:before="0" w:line="240" w:lineRule="auto"/>
              <w:ind w:left="-108" w:right="-108"/>
              <w:jc w:val="center"/>
              <w:rPr>
                <w:rFonts w:ascii="Arial" w:hAnsi="Arial" w:cs="Arial"/>
                <w:i w:val="0"/>
                <w:color w:val="262626"/>
                <w:sz w:val="15"/>
                <w:szCs w:val="15"/>
                <w:lang w:val="el-GR"/>
              </w:rPr>
            </w:pPr>
            <w:r w:rsidRPr="008B2A10">
              <w:rPr>
                <w:rFonts w:ascii="Arial" w:hAnsi="Arial" w:cs="Arial"/>
                <w:i w:val="0"/>
                <w:color w:val="262626"/>
                <w:sz w:val="15"/>
                <w:szCs w:val="15"/>
                <w:lang w:val="el-GR"/>
              </w:rPr>
              <w:t>Αποθεματικό</w:t>
            </w:r>
          </w:p>
          <w:p w14:paraId="114A2BEC" w14:textId="77777777" w:rsidR="0056738E" w:rsidRPr="008B2A10" w:rsidRDefault="0056738E" w:rsidP="007C2AEE">
            <w:pPr>
              <w:pStyle w:val="Heading7"/>
              <w:tabs>
                <w:tab w:val="left" w:pos="-108"/>
              </w:tabs>
              <w:spacing w:before="0" w:line="240" w:lineRule="auto"/>
              <w:ind w:left="-108" w:right="-108"/>
              <w:jc w:val="center"/>
              <w:rPr>
                <w:rFonts w:ascii="Arial" w:hAnsi="Arial" w:cs="Arial"/>
                <w:i w:val="0"/>
                <w:color w:val="262626"/>
                <w:sz w:val="15"/>
                <w:szCs w:val="15"/>
                <w:lang w:val="el-GR"/>
              </w:rPr>
            </w:pPr>
            <w:r w:rsidRPr="008B2A10">
              <w:rPr>
                <w:rFonts w:ascii="Arial" w:hAnsi="Arial" w:cs="Arial"/>
                <w:i w:val="0"/>
                <w:color w:val="262626"/>
                <w:sz w:val="15"/>
                <w:szCs w:val="15"/>
                <w:lang w:val="el-GR"/>
              </w:rPr>
              <w:t>από μείωση</w:t>
            </w:r>
          </w:p>
          <w:p w14:paraId="6583B514" w14:textId="77777777" w:rsidR="0056738E" w:rsidRPr="00551D75" w:rsidRDefault="0056738E" w:rsidP="007C2AEE">
            <w:pPr>
              <w:pStyle w:val="Heading7"/>
              <w:tabs>
                <w:tab w:val="left" w:pos="-108"/>
              </w:tabs>
              <w:spacing w:before="0" w:line="240" w:lineRule="auto"/>
              <w:ind w:left="-108" w:right="-108"/>
              <w:jc w:val="center"/>
              <w:rPr>
                <w:rFonts w:ascii="Arial" w:hAnsi="Arial" w:cs="Arial"/>
                <w:i w:val="0"/>
                <w:color w:val="262626"/>
                <w:sz w:val="15"/>
                <w:szCs w:val="15"/>
                <w:lang w:val="el-GR"/>
              </w:rPr>
            </w:pPr>
            <w:r w:rsidRPr="008B2A10">
              <w:rPr>
                <w:rFonts w:ascii="Arial" w:hAnsi="Arial" w:cs="Arial"/>
                <w:i w:val="0"/>
                <w:color w:val="262626"/>
                <w:sz w:val="15"/>
                <w:szCs w:val="15"/>
                <w:lang w:val="el-GR"/>
              </w:rPr>
              <w:t>κεφαλαίου</w:t>
            </w:r>
          </w:p>
        </w:tc>
        <w:tc>
          <w:tcPr>
            <w:tcW w:w="790" w:type="dxa"/>
            <w:tcBorders>
              <w:top w:val="single" w:sz="4" w:space="0" w:color="C0C0C0"/>
              <w:bottom w:val="single" w:sz="4" w:space="0" w:color="C0C0C0"/>
            </w:tcBorders>
            <w:vAlign w:val="center"/>
          </w:tcPr>
          <w:p w14:paraId="08C6B0E3" w14:textId="77777777" w:rsidR="0056738E" w:rsidRPr="00551D75" w:rsidRDefault="0056738E" w:rsidP="007C2AEE">
            <w:pPr>
              <w:pStyle w:val="Heading7"/>
              <w:tabs>
                <w:tab w:val="left" w:pos="-108"/>
              </w:tabs>
              <w:spacing w:before="0" w:line="240" w:lineRule="auto"/>
              <w:ind w:left="-108" w:right="-108"/>
              <w:jc w:val="center"/>
              <w:rPr>
                <w:rFonts w:ascii="Arial" w:hAnsi="Arial" w:cs="Arial"/>
                <w:i w:val="0"/>
                <w:color w:val="262626"/>
                <w:sz w:val="15"/>
                <w:szCs w:val="15"/>
                <w:lang w:val="el-GR"/>
              </w:rPr>
            </w:pPr>
            <w:r w:rsidRPr="00551D75">
              <w:rPr>
                <w:rFonts w:ascii="Arial" w:hAnsi="Arial" w:cs="Arial"/>
                <w:i w:val="0"/>
                <w:color w:val="262626"/>
                <w:sz w:val="15"/>
                <w:szCs w:val="15"/>
                <w:lang w:val="el-GR"/>
              </w:rPr>
              <w:t xml:space="preserve">Ίδιες </w:t>
            </w:r>
          </w:p>
          <w:p w14:paraId="497CA82A" w14:textId="77777777" w:rsidR="0056738E" w:rsidRPr="00551D75" w:rsidRDefault="0056738E" w:rsidP="007C2AEE">
            <w:pPr>
              <w:pStyle w:val="Heading7"/>
              <w:tabs>
                <w:tab w:val="left" w:pos="-108"/>
              </w:tabs>
              <w:spacing w:before="0" w:line="240" w:lineRule="auto"/>
              <w:ind w:left="-108" w:right="-108"/>
              <w:jc w:val="center"/>
              <w:rPr>
                <w:rFonts w:ascii="Arial" w:hAnsi="Arial" w:cs="Arial"/>
                <w:sz w:val="15"/>
                <w:szCs w:val="15"/>
                <w:lang w:val="el-GR"/>
              </w:rPr>
            </w:pPr>
            <w:r w:rsidRPr="00551D75">
              <w:rPr>
                <w:rFonts w:ascii="Arial" w:hAnsi="Arial" w:cs="Arial"/>
                <w:i w:val="0"/>
                <w:color w:val="262626"/>
                <w:sz w:val="15"/>
                <w:szCs w:val="15"/>
                <w:lang w:val="el-GR"/>
              </w:rPr>
              <w:t>μετοχές</w:t>
            </w:r>
          </w:p>
        </w:tc>
        <w:tc>
          <w:tcPr>
            <w:tcW w:w="993" w:type="dxa"/>
            <w:tcBorders>
              <w:top w:val="single" w:sz="4" w:space="0" w:color="C0C0C0"/>
              <w:bottom w:val="single" w:sz="4" w:space="0" w:color="C0C0C0"/>
            </w:tcBorders>
            <w:shd w:val="clear" w:color="auto" w:fill="auto"/>
            <w:vAlign w:val="center"/>
          </w:tcPr>
          <w:p w14:paraId="4E4C39D6" w14:textId="77777777" w:rsidR="0056738E" w:rsidRPr="00955C85" w:rsidRDefault="0056738E" w:rsidP="007C2AEE">
            <w:pPr>
              <w:pStyle w:val="Heading7"/>
              <w:tabs>
                <w:tab w:val="left" w:pos="-108"/>
              </w:tabs>
              <w:spacing w:before="0" w:line="240" w:lineRule="auto"/>
              <w:ind w:left="-108" w:right="-108"/>
              <w:jc w:val="center"/>
              <w:rPr>
                <w:rFonts w:ascii="Arial" w:hAnsi="Arial" w:cs="Arial"/>
                <w:i w:val="0"/>
                <w:color w:val="262626"/>
                <w:sz w:val="15"/>
                <w:szCs w:val="15"/>
                <w:lang w:val="el-GR"/>
              </w:rPr>
            </w:pPr>
            <w:r w:rsidRPr="00955C85">
              <w:rPr>
                <w:rFonts w:ascii="Arial" w:hAnsi="Arial" w:cs="Arial"/>
                <w:i w:val="0"/>
                <w:color w:val="262626"/>
                <w:sz w:val="15"/>
                <w:szCs w:val="15"/>
                <w:lang w:val="el-GR"/>
              </w:rPr>
              <w:t>Λοιπά</w:t>
            </w:r>
          </w:p>
          <w:p w14:paraId="5D5393C4" w14:textId="77777777" w:rsidR="0056738E" w:rsidRPr="00955C85" w:rsidRDefault="0056738E" w:rsidP="007C2AEE">
            <w:pPr>
              <w:pStyle w:val="Heading7"/>
              <w:tabs>
                <w:tab w:val="left" w:pos="-108"/>
              </w:tabs>
              <w:spacing w:before="0" w:line="240" w:lineRule="auto"/>
              <w:ind w:left="-108" w:right="-108"/>
              <w:jc w:val="center"/>
              <w:rPr>
                <w:rFonts w:ascii="Arial" w:hAnsi="Arial" w:cs="Arial"/>
                <w:i w:val="0"/>
                <w:color w:val="262626"/>
                <w:sz w:val="15"/>
                <w:szCs w:val="15"/>
                <w:lang w:val="el-GR"/>
              </w:rPr>
            </w:pPr>
            <w:r w:rsidRPr="00955C85">
              <w:rPr>
                <w:rFonts w:ascii="Arial" w:hAnsi="Arial" w:cs="Arial"/>
                <w:i w:val="0"/>
                <w:color w:val="262626"/>
                <w:sz w:val="15"/>
                <w:szCs w:val="15"/>
                <w:lang w:val="el-GR"/>
              </w:rPr>
              <w:t>αποθεματικά</w:t>
            </w:r>
          </w:p>
          <w:p w14:paraId="6A58BBEA" w14:textId="77777777" w:rsidR="0056738E" w:rsidRPr="000A5353" w:rsidRDefault="0056738E" w:rsidP="007C2AEE">
            <w:pPr>
              <w:pStyle w:val="Heading7"/>
              <w:tabs>
                <w:tab w:val="left" w:pos="-108"/>
              </w:tabs>
              <w:spacing w:before="0" w:line="240" w:lineRule="auto"/>
              <w:ind w:left="-108" w:right="-108"/>
              <w:jc w:val="center"/>
              <w:rPr>
                <w:rFonts w:ascii="Arial" w:hAnsi="Arial" w:cs="Arial"/>
                <w:i w:val="0"/>
                <w:iCs w:val="0"/>
                <w:color w:val="262626"/>
                <w:sz w:val="15"/>
                <w:szCs w:val="15"/>
                <w:lang w:val="el-GR"/>
              </w:rPr>
            </w:pPr>
            <w:r w:rsidRPr="00955C85">
              <w:rPr>
                <w:rFonts w:ascii="Arial" w:hAnsi="Arial" w:cs="Arial"/>
                <w:i w:val="0"/>
                <w:iCs w:val="0"/>
                <w:color w:val="262626"/>
                <w:sz w:val="15"/>
                <w:szCs w:val="15"/>
                <w:lang w:val="el-GR"/>
              </w:rPr>
              <w:t>κεφαλαίου</w:t>
            </w:r>
          </w:p>
        </w:tc>
        <w:tc>
          <w:tcPr>
            <w:tcW w:w="993" w:type="dxa"/>
            <w:tcBorders>
              <w:top w:val="single" w:sz="4" w:space="0" w:color="C0C0C0"/>
              <w:bottom w:val="single" w:sz="4" w:space="0" w:color="C0C0C0"/>
            </w:tcBorders>
            <w:shd w:val="clear" w:color="auto" w:fill="FFFFFF" w:themeFill="background1"/>
            <w:vAlign w:val="center"/>
          </w:tcPr>
          <w:p w14:paraId="692DE78E" w14:textId="77777777" w:rsidR="0056738E" w:rsidRPr="00551D75" w:rsidRDefault="0056738E" w:rsidP="007C2AEE">
            <w:pPr>
              <w:pStyle w:val="Heading7"/>
              <w:tabs>
                <w:tab w:val="left" w:pos="-108"/>
              </w:tabs>
              <w:spacing w:before="0" w:line="240" w:lineRule="auto"/>
              <w:ind w:left="-108" w:right="-108"/>
              <w:jc w:val="center"/>
              <w:rPr>
                <w:rFonts w:ascii="Arial" w:hAnsi="Arial" w:cs="Arial"/>
                <w:i w:val="0"/>
                <w:color w:val="262626"/>
                <w:sz w:val="15"/>
                <w:szCs w:val="15"/>
                <w:lang w:val="el-GR"/>
              </w:rPr>
            </w:pPr>
            <w:r w:rsidRPr="00551D75">
              <w:rPr>
                <w:rFonts w:ascii="Arial" w:hAnsi="Arial" w:cs="Arial"/>
                <w:i w:val="0"/>
                <w:color w:val="262626"/>
                <w:sz w:val="15"/>
                <w:szCs w:val="15"/>
                <w:lang w:val="el-GR"/>
              </w:rPr>
              <w:t xml:space="preserve">Αδιανέμητα </w:t>
            </w:r>
          </w:p>
          <w:p w14:paraId="211933D7" w14:textId="77777777" w:rsidR="0056738E" w:rsidRPr="00551D75" w:rsidRDefault="0056738E" w:rsidP="007C2AEE">
            <w:pPr>
              <w:pStyle w:val="Heading7"/>
              <w:tabs>
                <w:tab w:val="left" w:pos="-108"/>
              </w:tabs>
              <w:spacing w:before="0" w:line="240" w:lineRule="auto"/>
              <w:ind w:left="-108" w:right="-108"/>
              <w:jc w:val="center"/>
              <w:rPr>
                <w:rFonts w:ascii="Arial" w:hAnsi="Arial" w:cs="Arial"/>
                <w:i w:val="0"/>
                <w:color w:val="262626"/>
                <w:sz w:val="15"/>
                <w:szCs w:val="15"/>
                <w:lang w:val="el-GR"/>
              </w:rPr>
            </w:pPr>
            <w:r w:rsidRPr="00551D75">
              <w:rPr>
                <w:rFonts w:ascii="Arial" w:hAnsi="Arial" w:cs="Arial"/>
                <w:i w:val="0"/>
                <w:color w:val="262626"/>
                <w:sz w:val="15"/>
                <w:szCs w:val="15"/>
                <w:lang w:val="el-GR"/>
              </w:rPr>
              <w:t>κέρδη</w:t>
            </w:r>
          </w:p>
        </w:tc>
        <w:tc>
          <w:tcPr>
            <w:tcW w:w="1134" w:type="dxa"/>
            <w:tcBorders>
              <w:top w:val="single" w:sz="4" w:space="0" w:color="C0C0C0"/>
              <w:bottom w:val="single" w:sz="4" w:space="0" w:color="C0C0C0"/>
            </w:tcBorders>
            <w:vAlign w:val="center"/>
          </w:tcPr>
          <w:p w14:paraId="5EE67F3E" w14:textId="77777777" w:rsidR="0056738E" w:rsidRPr="00551D75" w:rsidRDefault="0056738E" w:rsidP="007C2AEE">
            <w:pPr>
              <w:pStyle w:val="Heading5"/>
              <w:spacing w:before="0" w:line="240" w:lineRule="auto"/>
              <w:ind w:left="-108" w:right="-108"/>
              <w:jc w:val="center"/>
              <w:rPr>
                <w:rFonts w:ascii="Arial" w:hAnsi="Arial" w:cs="Arial"/>
                <w:i/>
                <w:color w:val="262626"/>
                <w:spacing w:val="-4"/>
                <w:sz w:val="15"/>
                <w:szCs w:val="15"/>
                <w:lang w:val="el-GR"/>
              </w:rPr>
            </w:pPr>
            <w:r w:rsidRPr="00551D75">
              <w:rPr>
                <w:rFonts w:ascii="Arial" w:hAnsi="Arial" w:cs="Arial"/>
                <w:color w:val="262626"/>
                <w:spacing w:val="-4"/>
                <w:sz w:val="15"/>
                <w:szCs w:val="15"/>
                <w:lang w:val="el-GR"/>
              </w:rPr>
              <w:t>Αποθεματικό επανεκτίμησης ακινήτων</w:t>
            </w:r>
          </w:p>
        </w:tc>
        <w:tc>
          <w:tcPr>
            <w:tcW w:w="1134" w:type="dxa"/>
            <w:tcBorders>
              <w:top w:val="single" w:sz="4" w:space="0" w:color="C0C0C0"/>
              <w:bottom w:val="single" w:sz="4" w:space="0" w:color="C0C0C0"/>
            </w:tcBorders>
            <w:vAlign w:val="center"/>
          </w:tcPr>
          <w:p w14:paraId="4BAC59F2" w14:textId="77777777" w:rsidR="0056738E" w:rsidRPr="00551D75" w:rsidRDefault="0056738E" w:rsidP="007C2AEE">
            <w:pPr>
              <w:pStyle w:val="Heading7"/>
              <w:spacing w:before="0" w:line="240" w:lineRule="auto"/>
              <w:ind w:left="-67"/>
              <w:jc w:val="center"/>
              <w:rPr>
                <w:rFonts w:ascii="Arial" w:hAnsi="Arial" w:cs="Arial"/>
                <w:i w:val="0"/>
                <w:color w:val="262626"/>
                <w:spacing w:val="-4"/>
                <w:sz w:val="15"/>
                <w:szCs w:val="15"/>
                <w:lang w:val="el-GR"/>
              </w:rPr>
            </w:pPr>
            <w:r w:rsidRPr="00551D75">
              <w:rPr>
                <w:rFonts w:ascii="Arial" w:hAnsi="Arial" w:cs="Arial"/>
                <w:i w:val="0"/>
                <w:color w:val="262626"/>
                <w:spacing w:val="-4"/>
                <w:sz w:val="15"/>
                <w:szCs w:val="15"/>
                <w:lang w:val="el-GR"/>
              </w:rPr>
              <w:t xml:space="preserve">Αποθεματικό </w:t>
            </w:r>
            <w:proofErr w:type="spellStart"/>
            <w:r w:rsidRPr="00551D75">
              <w:rPr>
                <w:rFonts w:ascii="Arial" w:hAnsi="Arial" w:cs="Arial"/>
                <w:i w:val="0"/>
                <w:color w:val="262626"/>
                <w:spacing w:val="-4"/>
                <w:sz w:val="15"/>
                <w:szCs w:val="15"/>
                <w:lang w:val="el-GR"/>
              </w:rPr>
              <w:t>χρηματο</w:t>
            </w:r>
            <w:proofErr w:type="spellEnd"/>
            <w:r w:rsidRPr="00551D75">
              <w:rPr>
                <w:rFonts w:ascii="Arial" w:hAnsi="Arial" w:cs="Arial"/>
                <w:i w:val="0"/>
                <w:color w:val="262626"/>
                <w:spacing w:val="-4"/>
                <w:sz w:val="15"/>
                <w:szCs w:val="15"/>
                <w:lang w:val="el-GR"/>
              </w:rPr>
              <w:t>-οικονομικών μέσων σε εύλογη αξία</w:t>
            </w:r>
          </w:p>
        </w:tc>
        <w:tc>
          <w:tcPr>
            <w:tcW w:w="1134" w:type="dxa"/>
            <w:tcBorders>
              <w:top w:val="single" w:sz="4" w:space="0" w:color="C0C0C0"/>
              <w:bottom w:val="single" w:sz="4" w:space="0" w:color="C0C0C0"/>
            </w:tcBorders>
            <w:vAlign w:val="center"/>
          </w:tcPr>
          <w:p w14:paraId="2E036C63" w14:textId="77777777" w:rsidR="0056738E" w:rsidRPr="00551D75" w:rsidRDefault="0056738E" w:rsidP="007C2AEE">
            <w:pPr>
              <w:tabs>
                <w:tab w:val="left" w:pos="1416"/>
                <w:tab w:val="decimal" w:pos="4962"/>
                <w:tab w:val="decimal" w:pos="6521"/>
                <w:tab w:val="right" w:pos="7560"/>
                <w:tab w:val="decimal" w:pos="8220"/>
                <w:tab w:val="left" w:pos="8640"/>
                <w:tab w:val="right" w:pos="9000"/>
              </w:tabs>
              <w:suppressAutoHyphens/>
              <w:spacing w:after="0" w:line="240" w:lineRule="auto"/>
              <w:ind w:left="-115" w:right="-108"/>
              <w:jc w:val="center"/>
              <w:rPr>
                <w:rFonts w:ascii="Arial" w:hAnsi="Arial" w:cs="Arial"/>
                <w:color w:val="262626"/>
                <w:spacing w:val="-4"/>
                <w:sz w:val="15"/>
                <w:szCs w:val="15"/>
                <w:lang w:val="el-GR"/>
              </w:rPr>
            </w:pPr>
            <w:r w:rsidRPr="00551D75">
              <w:rPr>
                <w:rFonts w:ascii="Arial" w:hAnsi="Arial" w:cs="Arial"/>
                <w:color w:val="262626"/>
                <w:spacing w:val="-4"/>
                <w:sz w:val="15"/>
                <w:szCs w:val="15"/>
                <w:lang w:val="el-GR"/>
              </w:rPr>
              <w:t xml:space="preserve">Αποθεματικό μετατροπής </w:t>
            </w:r>
          </w:p>
          <w:p w14:paraId="5461D2C7" w14:textId="77777777" w:rsidR="0056738E" w:rsidRPr="00551D75" w:rsidRDefault="0056738E" w:rsidP="007C2AEE">
            <w:pPr>
              <w:tabs>
                <w:tab w:val="left" w:pos="1416"/>
                <w:tab w:val="decimal" w:pos="4962"/>
                <w:tab w:val="decimal" w:pos="6521"/>
                <w:tab w:val="right" w:pos="7560"/>
                <w:tab w:val="decimal" w:pos="8220"/>
                <w:tab w:val="left" w:pos="8640"/>
                <w:tab w:val="right" w:pos="9000"/>
              </w:tabs>
              <w:suppressAutoHyphens/>
              <w:spacing w:after="0" w:line="240" w:lineRule="auto"/>
              <w:ind w:left="-115" w:right="-108"/>
              <w:jc w:val="center"/>
              <w:rPr>
                <w:rFonts w:ascii="Arial" w:hAnsi="Arial" w:cs="Arial"/>
                <w:iCs/>
                <w:color w:val="262626"/>
                <w:spacing w:val="-4"/>
                <w:sz w:val="15"/>
                <w:szCs w:val="15"/>
                <w:lang w:val="el-GR"/>
              </w:rPr>
            </w:pPr>
            <w:r w:rsidRPr="00551D75">
              <w:rPr>
                <w:rFonts w:ascii="Arial" w:hAnsi="Arial" w:cs="Arial"/>
                <w:color w:val="262626"/>
                <w:spacing w:val="-4"/>
                <w:sz w:val="15"/>
                <w:szCs w:val="15"/>
                <w:lang w:val="el-GR"/>
              </w:rPr>
              <w:t>ξένου συναλλάγματος</w:t>
            </w:r>
          </w:p>
        </w:tc>
        <w:tc>
          <w:tcPr>
            <w:tcW w:w="973" w:type="dxa"/>
            <w:tcBorders>
              <w:top w:val="single" w:sz="4" w:space="0" w:color="C0C0C0"/>
              <w:bottom w:val="single" w:sz="4" w:space="0" w:color="C0C0C0"/>
            </w:tcBorders>
            <w:vAlign w:val="center"/>
          </w:tcPr>
          <w:p w14:paraId="47DFFAB4" w14:textId="77777777" w:rsidR="0056738E" w:rsidRPr="00551D75" w:rsidRDefault="0056738E" w:rsidP="007C2AEE">
            <w:pPr>
              <w:tabs>
                <w:tab w:val="left" w:pos="1416"/>
                <w:tab w:val="decimal" w:pos="4962"/>
                <w:tab w:val="decimal" w:pos="6521"/>
                <w:tab w:val="right" w:pos="7560"/>
                <w:tab w:val="decimal" w:pos="8220"/>
                <w:tab w:val="left" w:pos="8640"/>
                <w:tab w:val="right" w:pos="9000"/>
              </w:tabs>
              <w:suppressAutoHyphens/>
              <w:spacing w:after="0" w:line="240" w:lineRule="auto"/>
              <w:ind w:left="-72" w:right="-144"/>
              <w:jc w:val="center"/>
              <w:rPr>
                <w:rFonts w:ascii="Arial" w:hAnsi="Arial" w:cs="Arial"/>
                <w:b/>
                <w:bCs/>
                <w:iCs/>
                <w:color w:val="262626"/>
                <w:sz w:val="15"/>
                <w:szCs w:val="15"/>
                <w:lang w:val="el-GR"/>
              </w:rPr>
            </w:pPr>
            <w:r w:rsidRPr="00551D75">
              <w:rPr>
                <w:rFonts w:ascii="Arial" w:hAnsi="Arial" w:cs="Arial"/>
                <w:b/>
                <w:bCs/>
                <w:color w:val="262626"/>
                <w:sz w:val="15"/>
                <w:szCs w:val="15"/>
                <w:lang w:val="el-GR"/>
              </w:rPr>
              <w:t>Σύνολο</w:t>
            </w:r>
          </w:p>
        </w:tc>
        <w:tc>
          <w:tcPr>
            <w:tcW w:w="1011" w:type="dxa"/>
            <w:vMerge/>
            <w:vAlign w:val="center"/>
          </w:tcPr>
          <w:p w14:paraId="76A1A022" w14:textId="77777777" w:rsidR="0056738E" w:rsidRPr="002D265E" w:rsidRDefault="0056738E" w:rsidP="007C2AEE">
            <w:pPr>
              <w:pStyle w:val="Heading7"/>
              <w:jc w:val="center"/>
              <w:rPr>
                <w:rFonts w:ascii="Arial" w:hAnsi="Arial" w:cs="Arial"/>
                <w:i w:val="0"/>
                <w:color w:val="262626"/>
                <w:sz w:val="15"/>
                <w:szCs w:val="15"/>
                <w:lang w:val="el-GR"/>
              </w:rPr>
            </w:pPr>
          </w:p>
        </w:tc>
        <w:tc>
          <w:tcPr>
            <w:tcW w:w="992" w:type="dxa"/>
            <w:vMerge/>
            <w:vAlign w:val="center"/>
          </w:tcPr>
          <w:p w14:paraId="318922E7" w14:textId="77777777" w:rsidR="0056738E" w:rsidRPr="00551D75" w:rsidRDefault="0056738E" w:rsidP="007C2AEE">
            <w:pPr>
              <w:pStyle w:val="Heading7"/>
              <w:ind w:left="-166" w:right="-152"/>
              <w:jc w:val="center"/>
              <w:rPr>
                <w:rFonts w:ascii="Arial" w:hAnsi="Arial" w:cs="Arial"/>
                <w:b/>
                <w:i w:val="0"/>
                <w:color w:val="262626"/>
                <w:sz w:val="15"/>
                <w:szCs w:val="15"/>
                <w:lang w:val="el-GR"/>
              </w:rPr>
            </w:pPr>
          </w:p>
        </w:tc>
        <w:tc>
          <w:tcPr>
            <w:tcW w:w="1101" w:type="dxa"/>
            <w:vMerge/>
            <w:tcBorders>
              <w:bottom w:val="single" w:sz="4" w:space="0" w:color="C0C0C0"/>
            </w:tcBorders>
            <w:vAlign w:val="center"/>
          </w:tcPr>
          <w:p w14:paraId="750CB6C8" w14:textId="77777777" w:rsidR="0056738E" w:rsidRPr="00551D75" w:rsidRDefault="0056738E" w:rsidP="007C2AEE">
            <w:pPr>
              <w:pStyle w:val="Heading7"/>
              <w:ind w:left="-64" w:right="-11"/>
              <w:jc w:val="center"/>
              <w:rPr>
                <w:rFonts w:ascii="Arial" w:hAnsi="Arial" w:cs="Arial"/>
                <w:b/>
                <w:bCs/>
                <w:i w:val="0"/>
                <w:color w:val="262626"/>
                <w:sz w:val="15"/>
                <w:szCs w:val="15"/>
                <w:lang w:val="el-GR"/>
              </w:rPr>
            </w:pPr>
          </w:p>
        </w:tc>
      </w:tr>
      <w:tr w:rsidR="0056738E" w:rsidRPr="00551D75" w14:paraId="20B2A70E" w14:textId="77777777" w:rsidTr="007C2AEE">
        <w:trPr>
          <w:trHeight w:val="340"/>
          <w:jc w:val="center"/>
        </w:trPr>
        <w:tc>
          <w:tcPr>
            <w:tcW w:w="2268" w:type="dxa"/>
            <w:vMerge/>
            <w:tcBorders>
              <w:left w:val="single" w:sz="4" w:space="0" w:color="BFBFBF"/>
              <w:bottom w:val="single" w:sz="4" w:space="0" w:color="BFBFBF"/>
              <w:right w:val="single" w:sz="4" w:space="0" w:color="BFBFBF"/>
            </w:tcBorders>
            <w:vAlign w:val="center"/>
          </w:tcPr>
          <w:p w14:paraId="6A7A8FB4" w14:textId="77777777" w:rsidR="0056738E" w:rsidRPr="00551D75" w:rsidRDefault="0056738E" w:rsidP="007C2AEE">
            <w:pPr>
              <w:tabs>
                <w:tab w:val="left" w:pos="0"/>
                <w:tab w:val="right" w:pos="7560"/>
                <w:tab w:val="right" w:pos="9000"/>
              </w:tabs>
              <w:suppressAutoHyphens/>
              <w:rPr>
                <w:rFonts w:ascii="Arial" w:hAnsi="Arial" w:cs="Arial"/>
                <w:bCs/>
                <w:i/>
                <w:color w:val="262626"/>
                <w:sz w:val="15"/>
                <w:szCs w:val="15"/>
                <w:lang w:val="el-GR"/>
              </w:rPr>
            </w:pPr>
          </w:p>
        </w:tc>
        <w:tc>
          <w:tcPr>
            <w:tcW w:w="850" w:type="dxa"/>
            <w:tcBorders>
              <w:top w:val="single" w:sz="4" w:space="0" w:color="C0C0C0"/>
              <w:left w:val="single" w:sz="4" w:space="0" w:color="BFBFBF"/>
              <w:bottom w:val="single" w:sz="4" w:space="0" w:color="C0C0C0"/>
            </w:tcBorders>
            <w:vAlign w:val="center"/>
          </w:tcPr>
          <w:p w14:paraId="7AE7DB22" w14:textId="77777777" w:rsidR="0056738E" w:rsidRPr="00551D75" w:rsidRDefault="0056738E" w:rsidP="007C2AEE">
            <w:pPr>
              <w:spacing w:after="0" w:line="240" w:lineRule="auto"/>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1070" w:type="dxa"/>
            <w:tcBorders>
              <w:top w:val="single" w:sz="4" w:space="0" w:color="C0C0C0"/>
              <w:bottom w:val="single" w:sz="4" w:space="0" w:color="C0C0C0"/>
            </w:tcBorders>
            <w:vAlign w:val="center"/>
          </w:tcPr>
          <w:p w14:paraId="2BCE9306" w14:textId="77777777" w:rsidR="0056738E" w:rsidRPr="00551D75" w:rsidRDefault="0056738E" w:rsidP="007C2AEE">
            <w:pPr>
              <w:spacing w:after="0" w:line="240" w:lineRule="auto"/>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910" w:type="dxa"/>
            <w:tcBorders>
              <w:top w:val="single" w:sz="4" w:space="0" w:color="C0C0C0"/>
              <w:bottom w:val="single" w:sz="4" w:space="0" w:color="C0C0C0"/>
            </w:tcBorders>
            <w:vAlign w:val="center"/>
          </w:tcPr>
          <w:p w14:paraId="2EEB27C5" w14:textId="77777777" w:rsidR="0056738E" w:rsidRPr="008B2A10" w:rsidRDefault="0056738E" w:rsidP="007C2AEE">
            <w:pPr>
              <w:spacing w:after="0" w:line="240" w:lineRule="auto"/>
              <w:jc w:val="center"/>
              <w:rPr>
                <w:rFonts w:ascii="Arial" w:hAnsi="Arial" w:cs="Arial"/>
                <w:color w:val="262626"/>
                <w:sz w:val="15"/>
                <w:szCs w:val="15"/>
                <w:lang w:val="en-US"/>
              </w:rPr>
            </w:pPr>
            <w:r w:rsidRPr="00551D75">
              <w:rPr>
                <w:rFonts w:ascii="Arial" w:hAnsi="Arial" w:cs="Arial"/>
                <w:color w:val="262626"/>
                <w:sz w:val="15"/>
                <w:szCs w:val="15"/>
                <w:lang w:val="el-GR"/>
              </w:rPr>
              <w:t>€000</w:t>
            </w:r>
          </w:p>
        </w:tc>
        <w:tc>
          <w:tcPr>
            <w:tcW w:w="790" w:type="dxa"/>
            <w:tcBorders>
              <w:top w:val="single" w:sz="4" w:space="0" w:color="C0C0C0"/>
              <w:bottom w:val="single" w:sz="4" w:space="0" w:color="C0C0C0"/>
            </w:tcBorders>
            <w:vAlign w:val="center"/>
          </w:tcPr>
          <w:p w14:paraId="0E617B33" w14:textId="77777777" w:rsidR="0056738E" w:rsidRPr="00551D75" w:rsidRDefault="0056738E" w:rsidP="007C2AEE">
            <w:pPr>
              <w:spacing w:after="0" w:line="240" w:lineRule="auto"/>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993" w:type="dxa"/>
            <w:tcBorders>
              <w:top w:val="single" w:sz="4" w:space="0" w:color="C0C0C0"/>
              <w:bottom w:val="single" w:sz="4" w:space="0" w:color="C0C0C0"/>
            </w:tcBorders>
            <w:shd w:val="clear" w:color="auto" w:fill="FFFFFF" w:themeFill="background1"/>
            <w:vAlign w:val="center"/>
          </w:tcPr>
          <w:p w14:paraId="4CC003B5" w14:textId="77777777" w:rsidR="0056738E" w:rsidRPr="00551D75" w:rsidRDefault="0056738E" w:rsidP="007C2AEE">
            <w:pPr>
              <w:spacing w:after="0" w:line="240" w:lineRule="auto"/>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993" w:type="dxa"/>
            <w:tcBorders>
              <w:top w:val="single" w:sz="4" w:space="0" w:color="C0C0C0"/>
              <w:bottom w:val="single" w:sz="4" w:space="0" w:color="C0C0C0"/>
            </w:tcBorders>
            <w:shd w:val="clear" w:color="auto" w:fill="FFFFFF" w:themeFill="background1"/>
            <w:vAlign w:val="center"/>
          </w:tcPr>
          <w:p w14:paraId="7D5B08B9" w14:textId="77777777" w:rsidR="0056738E" w:rsidRPr="00551D75" w:rsidRDefault="0056738E" w:rsidP="007C2AEE">
            <w:pPr>
              <w:spacing w:after="0" w:line="240" w:lineRule="auto"/>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1134" w:type="dxa"/>
            <w:tcBorders>
              <w:top w:val="single" w:sz="4" w:space="0" w:color="C0C0C0"/>
              <w:bottom w:val="single" w:sz="4" w:space="0" w:color="C0C0C0"/>
            </w:tcBorders>
            <w:vAlign w:val="center"/>
          </w:tcPr>
          <w:p w14:paraId="286A9679" w14:textId="77777777" w:rsidR="0056738E" w:rsidRPr="00551D75" w:rsidRDefault="0056738E" w:rsidP="007C2AEE">
            <w:pPr>
              <w:spacing w:after="0" w:line="240" w:lineRule="auto"/>
              <w:ind w:left="-108"/>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1134" w:type="dxa"/>
            <w:tcBorders>
              <w:top w:val="single" w:sz="4" w:space="0" w:color="C0C0C0"/>
              <w:bottom w:val="single" w:sz="4" w:space="0" w:color="C0C0C0"/>
            </w:tcBorders>
            <w:vAlign w:val="center"/>
          </w:tcPr>
          <w:p w14:paraId="1C1B5DC7" w14:textId="77777777" w:rsidR="0056738E" w:rsidRPr="00551D75" w:rsidRDefault="0056738E" w:rsidP="007C2AEE">
            <w:pPr>
              <w:spacing w:after="0" w:line="240" w:lineRule="auto"/>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1134" w:type="dxa"/>
            <w:tcBorders>
              <w:top w:val="single" w:sz="4" w:space="0" w:color="C0C0C0"/>
              <w:bottom w:val="single" w:sz="4" w:space="0" w:color="C0C0C0"/>
            </w:tcBorders>
            <w:vAlign w:val="center"/>
          </w:tcPr>
          <w:p w14:paraId="60E94926" w14:textId="77777777" w:rsidR="0056738E" w:rsidRPr="00551D75" w:rsidRDefault="0056738E" w:rsidP="007C2AEE">
            <w:pPr>
              <w:spacing w:after="0" w:line="240" w:lineRule="auto"/>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973" w:type="dxa"/>
            <w:tcBorders>
              <w:top w:val="single" w:sz="4" w:space="0" w:color="C0C0C0"/>
              <w:bottom w:val="single" w:sz="4" w:space="0" w:color="C0C0C0"/>
            </w:tcBorders>
            <w:vAlign w:val="center"/>
          </w:tcPr>
          <w:p w14:paraId="70A816EF" w14:textId="77777777" w:rsidR="0056738E" w:rsidRPr="00551D75" w:rsidRDefault="0056738E" w:rsidP="007C2AEE">
            <w:pPr>
              <w:spacing w:after="0" w:line="240" w:lineRule="auto"/>
              <w:jc w:val="center"/>
              <w:rPr>
                <w:rFonts w:ascii="Arial" w:hAnsi="Arial" w:cs="Arial"/>
                <w:b/>
                <w:bCs/>
                <w:color w:val="262626"/>
                <w:sz w:val="15"/>
                <w:szCs w:val="15"/>
                <w:lang w:val="el-GR"/>
              </w:rPr>
            </w:pPr>
            <w:r w:rsidRPr="00551D75">
              <w:rPr>
                <w:rFonts w:ascii="Arial" w:hAnsi="Arial" w:cs="Arial"/>
                <w:b/>
                <w:bCs/>
                <w:color w:val="262626"/>
                <w:sz w:val="15"/>
                <w:szCs w:val="15"/>
                <w:lang w:val="el-GR"/>
              </w:rPr>
              <w:t>€000</w:t>
            </w:r>
          </w:p>
        </w:tc>
        <w:tc>
          <w:tcPr>
            <w:tcW w:w="1011" w:type="dxa"/>
            <w:tcBorders>
              <w:top w:val="single" w:sz="4" w:space="0" w:color="C0C0C0"/>
              <w:bottom w:val="single" w:sz="4" w:space="0" w:color="C0C0C0"/>
            </w:tcBorders>
            <w:vAlign w:val="center"/>
          </w:tcPr>
          <w:p w14:paraId="7B84D0BF" w14:textId="77777777" w:rsidR="0056738E" w:rsidRPr="002D265E" w:rsidRDefault="0056738E" w:rsidP="007C2AEE">
            <w:pPr>
              <w:spacing w:after="0" w:line="240" w:lineRule="auto"/>
              <w:jc w:val="center"/>
              <w:rPr>
                <w:rFonts w:ascii="Arial" w:hAnsi="Arial" w:cs="Arial"/>
                <w:color w:val="262626"/>
                <w:sz w:val="15"/>
                <w:szCs w:val="15"/>
                <w:lang w:val="el-GR"/>
              </w:rPr>
            </w:pPr>
            <w:r w:rsidRPr="002D265E">
              <w:rPr>
                <w:rFonts w:ascii="Arial" w:hAnsi="Arial" w:cs="Arial"/>
                <w:bCs/>
                <w:color w:val="262626"/>
                <w:sz w:val="15"/>
                <w:szCs w:val="15"/>
                <w:lang w:val="el-GR"/>
              </w:rPr>
              <w:t>€000</w:t>
            </w:r>
          </w:p>
        </w:tc>
        <w:tc>
          <w:tcPr>
            <w:tcW w:w="992" w:type="dxa"/>
            <w:tcBorders>
              <w:top w:val="single" w:sz="4" w:space="0" w:color="C0C0C0"/>
              <w:bottom w:val="single" w:sz="4" w:space="0" w:color="C0C0C0"/>
            </w:tcBorders>
            <w:vAlign w:val="center"/>
          </w:tcPr>
          <w:p w14:paraId="31492E64" w14:textId="77777777" w:rsidR="0056738E" w:rsidRPr="00551D75" w:rsidRDefault="0056738E" w:rsidP="007C2AEE">
            <w:pPr>
              <w:spacing w:after="0" w:line="240" w:lineRule="auto"/>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1101" w:type="dxa"/>
            <w:tcBorders>
              <w:top w:val="single" w:sz="4" w:space="0" w:color="C0C0C0"/>
              <w:bottom w:val="single" w:sz="4" w:space="0" w:color="C0C0C0"/>
              <w:right w:val="single" w:sz="4" w:space="0" w:color="C0C0C0"/>
            </w:tcBorders>
            <w:vAlign w:val="center"/>
          </w:tcPr>
          <w:p w14:paraId="5F8587AB" w14:textId="77777777" w:rsidR="0056738E" w:rsidRPr="00551D75" w:rsidRDefault="0056738E" w:rsidP="007C2AEE">
            <w:pPr>
              <w:spacing w:after="0" w:line="240" w:lineRule="auto"/>
              <w:jc w:val="center"/>
              <w:rPr>
                <w:rFonts w:ascii="Arial" w:hAnsi="Arial" w:cs="Arial"/>
                <w:b/>
                <w:bCs/>
                <w:color w:val="262626"/>
                <w:sz w:val="15"/>
                <w:szCs w:val="15"/>
                <w:lang w:val="el-GR"/>
              </w:rPr>
            </w:pPr>
            <w:r w:rsidRPr="00551D75">
              <w:rPr>
                <w:rFonts w:ascii="Arial" w:hAnsi="Arial" w:cs="Arial"/>
                <w:b/>
                <w:bCs/>
                <w:color w:val="262626"/>
                <w:sz w:val="15"/>
                <w:szCs w:val="15"/>
                <w:lang w:val="el-GR"/>
              </w:rPr>
              <w:t>€000</w:t>
            </w:r>
          </w:p>
        </w:tc>
      </w:tr>
      <w:tr w:rsidR="0056738E" w:rsidRPr="00551D75" w14:paraId="41B64B1F" w14:textId="77777777" w:rsidTr="007C2AEE">
        <w:trPr>
          <w:trHeight w:val="340"/>
          <w:jc w:val="center"/>
        </w:trPr>
        <w:tc>
          <w:tcPr>
            <w:tcW w:w="2268" w:type="dxa"/>
            <w:tcBorders>
              <w:top w:val="single" w:sz="4" w:space="0" w:color="BFBFBF"/>
            </w:tcBorders>
            <w:shd w:val="clear" w:color="auto" w:fill="auto"/>
            <w:vAlign w:val="center"/>
          </w:tcPr>
          <w:p w14:paraId="00BF8833" w14:textId="77777777" w:rsidR="0056738E" w:rsidRPr="00551D75" w:rsidRDefault="0056738E" w:rsidP="007C2AEE">
            <w:pPr>
              <w:tabs>
                <w:tab w:val="left" w:pos="0"/>
                <w:tab w:val="right" w:pos="7560"/>
                <w:tab w:val="right" w:pos="9000"/>
              </w:tabs>
              <w:suppressAutoHyphens/>
              <w:spacing w:after="0" w:line="240" w:lineRule="auto"/>
              <w:ind w:right="-141"/>
              <w:rPr>
                <w:rFonts w:ascii="Arial" w:hAnsi="Arial" w:cs="Arial"/>
                <w:b/>
                <w:bCs/>
                <w:color w:val="262626"/>
                <w:sz w:val="15"/>
                <w:szCs w:val="15"/>
                <w:lang w:val="el-GR"/>
              </w:rPr>
            </w:pPr>
            <w:r>
              <w:rPr>
                <w:rFonts w:ascii="Arial" w:hAnsi="Arial" w:cs="Arial"/>
                <w:b/>
                <w:bCs/>
                <w:color w:val="262626"/>
                <w:sz w:val="15"/>
                <w:szCs w:val="15"/>
                <w:lang w:val="el-GR"/>
              </w:rPr>
              <w:t>1 Ιανουαρίου</w:t>
            </w:r>
            <w:r w:rsidRPr="00551D75">
              <w:rPr>
                <w:rFonts w:ascii="Arial" w:hAnsi="Arial" w:cs="Arial"/>
                <w:b/>
                <w:bCs/>
                <w:color w:val="262626"/>
                <w:sz w:val="15"/>
                <w:szCs w:val="15"/>
                <w:lang w:val="el-GR"/>
              </w:rPr>
              <w:t xml:space="preserve"> 20</w:t>
            </w:r>
            <w:r>
              <w:rPr>
                <w:rFonts w:ascii="Arial" w:hAnsi="Arial" w:cs="Arial"/>
                <w:b/>
                <w:bCs/>
                <w:color w:val="262626"/>
                <w:sz w:val="15"/>
                <w:szCs w:val="15"/>
                <w:lang w:val="el-GR"/>
              </w:rPr>
              <w:t>24</w:t>
            </w:r>
          </w:p>
        </w:tc>
        <w:tc>
          <w:tcPr>
            <w:tcW w:w="850" w:type="dxa"/>
            <w:tcBorders>
              <w:top w:val="single" w:sz="4" w:space="0" w:color="C0C0C0"/>
              <w:bottom w:val="single" w:sz="4" w:space="0" w:color="C0C0C0"/>
            </w:tcBorders>
            <w:shd w:val="clear" w:color="auto" w:fill="auto"/>
            <w:vAlign w:val="center"/>
          </w:tcPr>
          <w:p w14:paraId="4ED8C446" w14:textId="77777777" w:rsidR="0056738E" w:rsidRPr="00A03828" w:rsidRDefault="0056738E" w:rsidP="007C2AEE">
            <w:pPr>
              <w:tabs>
                <w:tab w:val="right" w:pos="7560"/>
                <w:tab w:val="right" w:pos="9000"/>
              </w:tabs>
              <w:suppressAutoHyphens/>
              <w:spacing w:after="0" w:line="240" w:lineRule="auto"/>
              <w:ind w:left="-98" w:right="33"/>
              <w:jc w:val="right"/>
              <w:rPr>
                <w:rFonts w:ascii="Arial" w:hAnsi="Arial" w:cs="Arial"/>
                <w:b/>
                <w:bCs/>
                <w:color w:val="262626"/>
                <w:sz w:val="16"/>
                <w:szCs w:val="16"/>
              </w:rPr>
            </w:pPr>
            <w:r w:rsidRPr="00A03828">
              <w:rPr>
                <w:rFonts w:ascii="Arial" w:hAnsi="Arial" w:cs="Arial"/>
                <w:b/>
                <w:bCs/>
                <w:color w:val="262626"/>
                <w:sz w:val="16"/>
                <w:szCs w:val="16"/>
              </w:rPr>
              <w:t>44,620</w:t>
            </w:r>
          </w:p>
        </w:tc>
        <w:tc>
          <w:tcPr>
            <w:tcW w:w="1070" w:type="dxa"/>
            <w:tcBorders>
              <w:top w:val="single" w:sz="4" w:space="0" w:color="C0C0C0"/>
              <w:bottom w:val="single" w:sz="4" w:space="0" w:color="C0C0C0"/>
            </w:tcBorders>
            <w:vAlign w:val="center"/>
          </w:tcPr>
          <w:p w14:paraId="6CEE90AA" w14:textId="77777777" w:rsidR="0056738E" w:rsidRPr="00A03828" w:rsidRDefault="0056738E" w:rsidP="007C2AEE">
            <w:pPr>
              <w:tabs>
                <w:tab w:val="right" w:pos="7560"/>
                <w:tab w:val="right" w:pos="9000"/>
              </w:tabs>
              <w:suppressAutoHyphens/>
              <w:spacing w:after="0" w:line="240" w:lineRule="auto"/>
              <w:jc w:val="right"/>
              <w:rPr>
                <w:rFonts w:ascii="Arial" w:hAnsi="Arial" w:cs="Arial"/>
                <w:b/>
                <w:bCs/>
                <w:color w:val="262626"/>
                <w:sz w:val="16"/>
                <w:szCs w:val="16"/>
              </w:rPr>
            </w:pPr>
            <w:r w:rsidRPr="00A03828">
              <w:rPr>
                <w:rFonts w:ascii="Arial" w:hAnsi="Arial" w:cs="Arial"/>
                <w:b/>
                <w:bCs/>
                <w:color w:val="262626"/>
                <w:sz w:val="16"/>
                <w:szCs w:val="16"/>
              </w:rPr>
              <w:t>594,358</w:t>
            </w:r>
          </w:p>
        </w:tc>
        <w:tc>
          <w:tcPr>
            <w:tcW w:w="910" w:type="dxa"/>
            <w:tcBorders>
              <w:top w:val="single" w:sz="4" w:space="0" w:color="C0C0C0"/>
              <w:bottom w:val="single" w:sz="4" w:space="0" w:color="C0C0C0"/>
            </w:tcBorders>
            <w:vAlign w:val="center"/>
          </w:tcPr>
          <w:p w14:paraId="1730A9E5" w14:textId="77777777" w:rsidR="0056738E" w:rsidRPr="00A03828" w:rsidRDefault="0056738E" w:rsidP="007C2AEE">
            <w:pPr>
              <w:tabs>
                <w:tab w:val="right" w:pos="7560"/>
                <w:tab w:val="right" w:pos="9000"/>
              </w:tabs>
              <w:suppressAutoHyphens/>
              <w:spacing w:after="0" w:line="240" w:lineRule="auto"/>
              <w:ind w:left="-74" w:right="-64"/>
              <w:jc w:val="center"/>
              <w:rPr>
                <w:rFonts w:ascii="Arial" w:hAnsi="Arial" w:cs="Arial"/>
                <w:b/>
                <w:bCs/>
                <w:color w:val="262626"/>
                <w:sz w:val="16"/>
                <w:szCs w:val="16"/>
              </w:rPr>
            </w:pPr>
            <w:r w:rsidRPr="00A03828">
              <w:rPr>
                <w:rFonts w:ascii="Arial" w:hAnsi="Arial" w:cs="Arial"/>
                <w:b/>
                <w:bCs/>
                <w:color w:val="262626"/>
                <w:sz w:val="16"/>
                <w:szCs w:val="16"/>
              </w:rPr>
              <w:t>-</w:t>
            </w:r>
          </w:p>
        </w:tc>
        <w:tc>
          <w:tcPr>
            <w:tcW w:w="790" w:type="dxa"/>
            <w:tcBorders>
              <w:top w:val="single" w:sz="4" w:space="0" w:color="C0C0C0"/>
              <w:bottom w:val="single" w:sz="4" w:space="0" w:color="C0C0C0"/>
            </w:tcBorders>
            <w:vAlign w:val="center"/>
          </w:tcPr>
          <w:p w14:paraId="40F26B77" w14:textId="77777777" w:rsidR="0056738E" w:rsidRPr="00A03828" w:rsidRDefault="0056738E" w:rsidP="007C2AEE">
            <w:pPr>
              <w:tabs>
                <w:tab w:val="right" w:pos="7560"/>
                <w:tab w:val="right" w:pos="9000"/>
              </w:tabs>
              <w:suppressAutoHyphens/>
              <w:spacing w:after="0" w:line="240" w:lineRule="auto"/>
              <w:ind w:left="-74" w:right="-64"/>
              <w:jc w:val="right"/>
              <w:rPr>
                <w:rFonts w:ascii="Arial" w:hAnsi="Arial" w:cs="Arial"/>
                <w:b/>
                <w:bCs/>
                <w:color w:val="262626"/>
                <w:sz w:val="16"/>
                <w:szCs w:val="16"/>
              </w:rPr>
            </w:pPr>
            <w:r w:rsidRPr="00A03828">
              <w:rPr>
                <w:rFonts w:ascii="Arial" w:hAnsi="Arial" w:cs="Arial"/>
                <w:b/>
                <w:bCs/>
                <w:color w:val="262626"/>
                <w:sz w:val="16"/>
                <w:szCs w:val="16"/>
              </w:rPr>
              <w:t>(21,463)</w:t>
            </w:r>
          </w:p>
        </w:tc>
        <w:tc>
          <w:tcPr>
            <w:tcW w:w="993" w:type="dxa"/>
            <w:tcBorders>
              <w:top w:val="single" w:sz="4" w:space="0" w:color="C0C0C0"/>
              <w:bottom w:val="single" w:sz="4" w:space="0" w:color="C0C0C0"/>
            </w:tcBorders>
            <w:shd w:val="clear" w:color="auto" w:fill="FFFFFF" w:themeFill="background1"/>
            <w:vAlign w:val="center"/>
          </w:tcPr>
          <w:p w14:paraId="2F1193B1" w14:textId="77777777" w:rsidR="0056738E" w:rsidRPr="00A03828" w:rsidRDefault="0056738E" w:rsidP="007C2AEE">
            <w:pPr>
              <w:tabs>
                <w:tab w:val="right" w:pos="7560"/>
                <w:tab w:val="right" w:pos="9000"/>
              </w:tabs>
              <w:suppressAutoHyphens/>
              <w:spacing w:after="0" w:line="240" w:lineRule="auto"/>
              <w:ind w:left="-74"/>
              <w:jc w:val="right"/>
              <w:rPr>
                <w:rFonts w:ascii="Arial" w:hAnsi="Arial" w:cs="Arial"/>
                <w:b/>
                <w:bCs/>
                <w:color w:val="262626"/>
                <w:sz w:val="16"/>
                <w:szCs w:val="16"/>
              </w:rPr>
            </w:pPr>
            <w:r w:rsidRPr="00A03828">
              <w:rPr>
                <w:rFonts w:ascii="Arial" w:hAnsi="Arial" w:cs="Arial"/>
                <w:b/>
                <w:bCs/>
                <w:color w:val="262626"/>
                <w:sz w:val="16"/>
                <w:szCs w:val="16"/>
              </w:rPr>
              <w:t>917</w:t>
            </w:r>
          </w:p>
        </w:tc>
        <w:tc>
          <w:tcPr>
            <w:tcW w:w="993" w:type="dxa"/>
            <w:tcBorders>
              <w:top w:val="single" w:sz="4" w:space="0" w:color="C0C0C0"/>
              <w:bottom w:val="single" w:sz="4" w:space="0" w:color="C0C0C0"/>
            </w:tcBorders>
            <w:shd w:val="clear" w:color="auto" w:fill="FFFFFF" w:themeFill="background1"/>
            <w:vAlign w:val="center"/>
          </w:tcPr>
          <w:p w14:paraId="505BB083" w14:textId="77777777" w:rsidR="0056738E" w:rsidRPr="00A03828" w:rsidRDefault="0056738E" w:rsidP="007C2AEE">
            <w:pPr>
              <w:tabs>
                <w:tab w:val="right" w:pos="7560"/>
                <w:tab w:val="right" w:pos="9000"/>
              </w:tabs>
              <w:suppressAutoHyphens/>
              <w:spacing w:after="0" w:line="240" w:lineRule="auto"/>
              <w:ind w:left="-74"/>
              <w:jc w:val="right"/>
              <w:rPr>
                <w:rFonts w:ascii="Arial" w:hAnsi="Arial" w:cs="Arial"/>
                <w:b/>
                <w:bCs/>
                <w:color w:val="262626"/>
                <w:sz w:val="16"/>
                <w:szCs w:val="16"/>
              </w:rPr>
            </w:pPr>
            <w:r w:rsidRPr="00A03828">
              <w:rPr>
                <w:rFonts w:ascii="Arial" w:hAnsi="Arial" w:cs="Arial"/>
                <w:b/>
                <w:bCs/>
                <w:color w:val="262626"/>
                <w:sz w:val="16"/>
                <w:szCs w:val="16"/>
              </w:rPr>
              <w:t>1,518,182</w:t>
            </w:r>
          </w:p>
        </w:tc>
        <w:tc>
          <w:tcPr>
            <w:tcW w:w="1134" w:type="dxa"/>
            <w:tcBorders>
              <w:top w:val="single" w:sz="4" w:space="0" w:color="C0C0C0"/>
              <w:bottom w:val="single" w:sz="4" w:space="0" w:color="C0C0C0"/>
            </w:tcBorders>
            <w:shd w:val="clear" w:color="auto" w:fill="auto"/>
            <w:vAlign w:val="center"/>
          </w:tcPr>
          <w:p w14:paraId="688F68CE" w14:textId="77777777" w:rsidR="0056738E" w:rsidRPr="00A03828" w:rsidRDefault="0056738E" w:rsidP="007C2AEE">
            <w:pPr>
              <w:tabs>
                <w:tab w:val="right" w:pos="7560"/>
                <w:tab w:val="right" w:pos="9000"/>
              </w:tabs>
              <w:suppressAutoHyphens/>
              <w:spacing w:after="0" w:line="240" w:lineRule="auto"/>
              <w:jc w:val="right"/>
              <w:rPr>
                <w:rFonts w:ascii="Arial" w:hAnsi="Arial" w:cs="Arial"/>
                <w:b/>
                <w:bCs/>
                <w:color w:val="262626"/>
                <w:sz w:val="16"/>
                <w:szCs w:val="16"/>
              </w:rPr>
            </w:pPr>
            <w:r w:rsidRPr="00A03828">
              <w:rPr>
                <w:rFonts w:ascii="Arial" w:hAnsi="Arial" w:cs="Arial"/>
                <w:b/>
                <w:bCs/>
                <w:color w:val="262626"/>
                <w:sz w:val="16"/>
                <w:szCs w:val="16"/>
              </w:rPr>
              <w:t>84,239</w:t>
            </w:r>
          </w:p>
        </w:tc>
        <w:tc>
          <w:tcPr>
            <w:tcW w:w="1134" w:type="dxa"/>
            <w:tcBorders>
              <w:top w:val="single" w:sz="4" w:space="0" w:color="C0C0C0"/>
              <w:bottom w:val="single" w:sz="4" w:space="0" w:color="C0C0C0"/>
            </w:tcBorders>
            <w:shd w:val="clear" w:color="auto" w:fill="auto"/>
            <w:vAlign w:val="center"/>
          </w:tcPr>
          <w:p w14:paraId="60B49128" w14:textId="77777777" w:rsidR="0056738E" w:rsidRPr="00A03828" w:rsidRDefault="0056738E" w:rsidP="007C2AEE">
            <w:pPr>
              <w:tabs>
                <w:tab w:val="right" w:pos="7560"/>
                <w:tab w:val="right" w:pos="9000"/>
              </w:tabs>
              <w:suppressAutoHyphens/>
              <w:spacing w:after="0" w:line="240" w:lineRule="auto"/>
              <w:jc w:val="right"/>
              <w:rPr>
                <w:rFonts w:ascii="Arial" w:hAnsi="Arial" w:cs="Arial"/>
                <w:b/>
                <w:bCs/>
                <w:color w:val="262626"/>
                <w:sz w:val="16"/>
                <w:szCs w:val="16"/>
              </w:rPr>
            </w:pPr>
            <w:r w:rsidRPr="00A03828">
              <w:rPr>
                <w:rFonts w:ascii="Arial" w:hAnsi="Arial" w:cs="Arial"/>
                <w:b/>
                <w:bCs/>
                <w:color w:val="262626"/>
                <w:sz w:val="16"/>
                <w:szCs w:val="16"/>
              </w:rPr>
              <w:t>9,553</w:t>
            </w:r>
          </w:p>
        </w:tc>
        <w:tc>
          <w:tcPr>
            <w:tcW w:w="1134" w:type="dxa"/>
            <w:tcBorders>
              <w:top w:val="single" w:sz="4" w:space="0" w:color="C0C0C0"/>
              <w:bottom w:val="single" w:sz="4" w:space="0" w:color="C0C0C0"/>
            </w:tcBorders>
            <w:shd w:val="clear" w:color="auto" w:fill="auto"/>
            <w:vAlign w:val="center"/>
          </w:tcPr>
          <w:p w14:paraId="0A31A212" w14:textId="77777777" w:rsidR="0056738E" w:rsidRPr="00A03828" w:rsidRDefault="0056738E" w:rsidP="007C2AE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
                <w:bCs/>
                <w:color w:val="262626"/>
                <w:sz w:val="16"/>
                <w:szCs w:val="16"/>
              </w:rPr>
            </w:pPr>
            <w:r w:rsidRPr="00A03828">
              <w:rPr>
                <w:rFonts w:ascii="Arial" w:hAnsi="Arial" w:cs="Arial"/>
                <w:b/>
                <w:bCs/>
                <w:color w:val="262626"/>
                <w:sz w:val="16"/>
                <w:szCs w:val="16"/>
              </w:rPr>
              <w:t>16,674</w:t>
            </w:r>
          </w:p>
        </w:tc>
        <w:tc>
          <w:tcPr>
            <w:tcW w:w="973" w:type="dxa"/>
            <w:tcBorders>
              <w:top w:val="single" w:sz="4" w:space="0" w:color="C0C0C0"/>
              <w:bottom w:val="single" w:sz="4" w:space="0" w:color="C0C0C0"/>
            </w:tcBorders>
            <w:shd w:val="clear" w:color="auto" w:fill="auto"/>
            <w:vAlign w:val="center"/>
          </w:tcPr>
          <w:p w14:paraId="2D234DA7" w14:textId="77777777" w:rsidR="0056738E" w:rsidRPr="00213F3A" w:rsidRDefault="0056738E" w:rsidP="007C2AEE">
            <w:pPr>
              <w:tabs>
                <w:tab w:val="left" w:pos="1416"/>
                <w:tab w:val="decimal" w:pos="4962"/>
                <w:tab w:val="decimal" w:pos="6521"/>
                <w:tab w:val="right" w:pos="7560"/>
                <w:tab w:val="decimal" w:pos="8220"/>
                <w:tab w:val="left" w:pos="8640"/>
                <w:tab w:val="right" w:pos="9000"/>
              </w:tabs>
              <w:suppressAutoHyphens/>
              <w:spacing w:after="0" w:line="240" w:lineRule="auto"/>
              <w:ind w:left="-93" w:right="30"/>
              <w:jc w:val="right"/>
              <w:rPr>
                <w:rFonts w:ascii="Arial" w:hAnsi="Arial" w:cs="Arial"/>
                <w:b/>
                <w:bCs/>
                <w:color w:val="262626"/>
                <w:sz w:val="16"/>
                <w:szCs w:val="16"/>
              </w:rPr>
            </w:pPr>
            <w:r>
              <w:rPr>
                <w:rFonts w:ascii="Arial" w:hAnsi="Arial" w:cs="Arial"/>
                <w:b/>
                <w:bCs/>
                <w:color w:val="262626"/>
                <w:sz w:val="16"/>
                <w:szCs w:val="16"/>
              </w:rPr>
              <w:t>2,247,080</w:t>
            </w:r>
          </w:p>
        </w:tc>
        <w:tc>
          <w:tcPr>
            <w:tcW w:w="1011" w:type="dxa"/>
            <w:tcBorders>
              <w:top w:val="single" w:sz="4" w:space="0" w:color="C0C0C0"/>
              <w:bottom w:val="single" w:sz="4" w:space="0" w:color="C0C0C0"/>
            </w:tcBorders>
            <w:shd w:val="clear" w:color="auto" w:fill="auto"/>
            <w:vAlign w:val="center"/>
          </w:tcPr>
          <w:p w14:paraId="3E66D397" w14:textId="77777777" w:rsidR="0056738E" w:rsidRPr="00A03828" w:rsidRDefault="0056738E" w:rsidP="007C2AE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
                <w:bCs/>
                <w:color w:val="262626"/>
                <w:sz w:val="16"/>
                <w:szCs w:val="16"/>
              </w:rPr>
            </w:pPr>
            <w:r w:rsidRPr="00A03828">
              <w:rPr>
                <w:rFonts w:ascii="Arial" w:hAnsi="Arial" w:cs="Arial"/>
                <w:b/>
                <w:bCs/>
                <w:color w:val="262626"/>
                <w:sz w:val="16"/>
                <w:szCs w:val="16"/>
              </w:rPr>
              <w:t>220,000</w:t>
            </w:r>
          </w:p>
        </w:tc>
        <w:tc>
          <w:tcPr>
            <w:tcW w:w="992" w:type="dxa"/>
            <w:tcBorders>
              <w:top w:val="single" w:sz="4" w:space="0" w:color="C0C0C0"/>
              <w:bottom w:val="single" w:sz="4" w:space="0" w:color="C0C0C0"/>
            </w:tcBorders>
            <w:vAlign w:val="center"/>
          </w:tcPr>
          <w:p w14:paraId="09D00C1E" w14:textId="77777777" w:rsidR="0056738E" w:rsidRPr="00A03828" w:rsidRDefault="0056738E" w:rsidP="007C2AE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
                <w:bCs/>
                <w:color w:val="262626"/>
                <w:sz w:val="16"/>
                <w:szCs w:val="16"/>
              </w:rPr>
            </w:pPr>
            <w:r w:rsidRPr="00A03828">
              <w:rPr>
                <w:rFonts w:ascii="Arial" w:hAnsi="Arial" w:cs="Arial"/>
                <w:b/>
                <w:bCs/>
                <w:color w:val="262626"/>
                <w:sz w:val="16"/>
                <w:szCs w:val="16"/>
              </w:rPr>
              <w:t>21,261</w:t>
            </w:r>
          </w:p>
        </w:tc>
        <w:tc>
          <w:tcPr>
            <w:tcW w:w="1101" w:type="dxa"/>
            <w:tcBorders>
              <w:top w:val="single" w:sz="4" w:space="0" w:color="C0C0C0"/>
              <w:bottom w:val="single" w:sz="4" w:space="0" w:color="C0C0C0"/>
            </w:tcBorders>
            <w:shd w:val="clear" w:color="auto" w:fill="auto"/>
            <w:vAlign w:val="center"/>
          </w:tcPr>
          <w:p w14:paraId="0D6DA096" w14:textId="77777777" w:rsidR="0056738E" w:rsidRPr="00213F3A" w:rsidRDefault="0056738E" w:rsidP="007C2AE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136" w:right="34"/>
              <w:jc w:val="right"/>
              <w:rPr>
                <w:rFonts w:ascii="Arial" w:hAnsi="Arial" w:cs="Arial"/>
                <w:b/>
                <w:bCs/>
                <w:color w:val="262626"/>
                <w:sz w:val="16"/>
                <w:szCs w:val="16"/>
              </w:rPr>
            </w:pPr>
            <w:r>
              <w:rPr>
                <w:rFonts w:ascii="Arial" w:hAnsi="Arial" w:cs="Arial"/>
                <w:b/>
                <w:bCs/>
                <w:color w:val="262626"/>
                <w:sz w:val="16"/>
                <w:szCs w:val="16"/>
              </w:rPr>
              <w:t>2,488,341</w:t>
            </w:r>
          </w:p>
        </w:tc>
      </w:tr>
      <w:tr w:rsidR="0056738E" w:rsidRPr="00366276" w14:paraId="0E2955D7" w14:textId="77777777" w:rsidTr="007C2AEE">
        <w:trPr>
          <w:trHeight w:val="340"/>
          <w:jc w:val="center"/>
        </w:trPr>
        <w:tc>
          <w:tcPr>
            <w:tcW w:w="2268" w:type="dxa"/>
            <w:shd w:val="clear" w:color="auto" w:fill="auto"/>
            <w:vAlign w:val="center"/>
          </w:tcPr>
          <w:p w14:paraId="096CB9AF" w14:textId="77777777" w:rsidR="0056738E" w:rsidRPr="00551D75"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r>
              <w:rPr>
                <w:rFonts w:ascii="Arial" w:hAnsi="Arial" w:cs="Arial"/>
                <w:bCs/>
                <w:color w:val="262626"/>
                <w:sz w:val="15"/>
                <w:szCs w:val="15"/>
                <w:lang w:val="el-GR"/>
              </w:rPr>
              <w:t>Κέρδη</w:t>
            </w:r>
            <w:r w:rsidRPr="00551D75">
              <w:rPr>
                <w:rFonts w:ascii="Arial" w:hAnsi="Arial" w:cs="Arial"/>
                <w:bCs/>
                <w:color w:val="262626"/>
                <w:sz w:val="15"/>
                <w:szCs w:val="15"/>
                <w:lang w:val="el-GR"/>
              </w:rPr>
              <w:t xml:space="preserve"> για την περίοδο</w:t>
            </w:r>
          </w:p>
        </w:tc>
        <w:tc>
          <w:tcPr>
            <w:tcW w:w="850" w:type="dxa"/>
            <w:tcBorders>
              <w:top w:val="single" w:sz="6" w:space="0" w:color="000000" w:themeColor="text1"/>
              <w:bottom w:val="single" w:sz="4" w:space="0" w:color="BFBFBF"/>
            </w:tcBorders>
            <w:shd w:val="clear" w:color="auto" w:fill="auto"/>
            <w:vAlign w:val="center"/>
          </w:tcPr>
          <w:p w14:paraId="2B1C24C0" w14:textId="77777777" w:rsidR="0056738E" w:rsidRPr="008E3151" w:rsidRDefault="0056738E" w:rsidP="007C2AEE">
            <w:pPr>
              <w:tabs>
                <w:tab w:val="left" w:pos="0"/>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1070" w:type="dxa"/>
            <w:tcBorders>
              <w:top w:val="single" w:sz="6" w:space="0" w:color="000000" w:themeColor="text1"/>
              <w:bottom w:val="single" w:sz="4" w:space="0" w:color="BFBFBF"/>
            </w:tcBorders>
            <w:vAlign w:val="center"/>
          </w:tcPr>
          <w:p w14:paraId="71BA99BC" w14:textId="77777777" w:rsidR="0056738E" w:rsidRPr="008E3151"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10" w:type="dxa"/>
            <w:tcBorders>
              <w:top w:val="single" w:sz="6" w:space="0" w:color="000000" w:themeColor="text1"/>
              <w:bottom w:val="single" w:sz="4" w:space="0" w:color="BFBFBF"/>
            </w:tcBorders>
            <w:vAlign w:val="center"/>
          </w:tcPr>
          <w:p w14:paraId="1EA8C626" w14:textId="77777777" w:rsidR="0056738E" w:rsidRPr="008E3151"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790" w:type="dxa"/>
            <w:tcBorders>
              <w:top w:val="single" w:sz="6" w:space="0" w:color="000000" w:themeColor="text1"/>
              <w:bottom w:val="single" w:sz="4" w:space="0" w:color="BFBFBF"/>
            </w:tcBorders>
            <w:vAlign w:val="center"/>
          </w:tcPr>
          <w:p w14:paraId="4BC6553A" w14:textId="77777777" w:rsidR="0056738E" w:rsidRPr="008E3151"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6" w:space="0" w:color="000000" w:themeColor="text1"/>
              <w:bottom w:val="single" w:sz="4" w:space="0" w:color="BFBFBF"/>
            </w:tcBorders>
            <w:vAlign w:val="center"/>
          </w:tcPr>
          <w:p w14:paraId="12C07F78" w14:textId="77777777" w:rsidR="0056738E" w:rsidRPr="008E3151"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6" w:space="0" w:color="000000" w:themeColor="text1"/>
              <w:bottom w:val="single" w:sz="4" w:space="0" w:color="BFBFBF"/>
            </w:tcBorders>
            <w:shd w:val="clear" w:color="auto" w:fill="auto"/>
            <w:vAlign w:val="center"/>
          </w:tcPr>
          <w:p w14:paraId="7DE6D98F" w14:textId="77777777" w:rsidR="0056738E" w:rsidRPr="008E3151"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400,610</w:t>
            </w:r>
          </w:p>
        </w:tc>
        <w:tc>
          <w:tcPr>
            <w:tcW w:w="1134" w:type="dxa"/>
            <w:tcBorders>
              <w:top w:val="single" w:sz="6" w:space="0" w:color="000000" w:themeColor="text1"/>
              <w:bottom w:val="single" w:sz="4" w:space="0" w:color="BFBFBF"/>
            </w:tcBorders>
            <w:shd w:val="clear" w:color="auto" w:fill="auto"/>
            <w:vAlign w:val="center"/>
          </w:tcPr>
          <w:p w14:paraId="1C354148" w14:textId="77777777" w:rsidR="0056738E" w:rsidRPr="008E3151"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6" w:space="0" w:color="000000" w:themeColor="text1"/>
              <w:bottom w:val="single" w:sz="4" w:space="0" w:color="BFBFBF"/>
            </w:tcBorders>
            <w:shd w:val="clear" w:color="auto" w:fill="auto"/>
            <w:vAlign w:val="center"/>
          </w:tcPr>
          <w:p w14:paraId="42162439" w14:textId="77777777" w:rsidR="0056738E" w:rsidRPr="008E3151" w:rsidRDefault="0056738E" w:rsidP="007C2AEE">
            <w:pPr>
              <w:tabs>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6" w:space="0" w:color="000000" w:themeColor="text1"/>
              <w:bottom w:val="single" w:sz="4" w:space="0" w:color="BFBFBF"/>
            </w:tcBorders>
            <w:shd w:val="clear" w:color="auto" w:fill="auto"/>
            <w:vAlign w:val="center"/>
          </w:tcPr>
          <w:p w14:paraId="667879F8" w14:textId="77777777" w:rsidR="0056738E" w:rsidRPr="008E3151"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73" w:type="dxa"/>
            <w:tcBorders>
              <w:top w:val="single" w:sz="6" w:space="0" w:color="000000" w:themeColor="text1"/>
              <w:bottom w:val="single" w:sz="4" w:space="0" w:color="BFBFBF"/>
            </w:tcBorders>
            <w:shd w:val="clear" w:color="auto" w:fill="auto"/>
            <w:vAlign w:val="center"/>
          </w:tcPr>
          <w:p w14:paraId="36EC0213" w14:textId="77777777" w:rsidR="0056738E" w:rsidRPr="008E3151" w:rsidRDefault="0056738E" w:rsidP="007C2AEE">
            <w:pPr>
              <w:tabs>
                <w:tab w:val="right" w:pos="7560"/>
                <w:tab w:val="right" w:pos="9000"/>
              </w:tabs>
              <w:suppressAutoHyphens/>
              <w:spacing w:after="0" w:line="240" w:lineRule="auto"/>
              <w:ind w:left="-167" w:right="30"/>
              <w:jc w:val="right"/>
              <w:rPr>
                <w:rFonts w:ascii="Arial" w:hAnsi="Arial" w:cs="Arial"/>
                <w:b/>
                <w:bCs/>
                <w:color w:val="262626"/>
                <w:sz w:val="16"/>
                <w:szCs w:val="16"/>
                <w:lang w:val="el-GR"/>
              </w:rPr>
            </w:pPr>
            <w:r>
              <w:rPr>
                <w:rFonts w:ascii="Arial" w:hAnsi="Arial" w:cs="Arial"/>
                <w:b/>
                <w:bCs/>
                <w:color w:val="262626"/>
                <w:sz w:val="16"/>
                <w:szCs w:val="16"/>
              </w:rPr>
              <w:t>400,610</w:t>
            </w:r>
          </w:p>
        </w:tc>
        <w:tc>
          <w:tcPr>
            <w:tcW w:w="1011" w:type="dxa"/>
            <w:tcBorders>
              <w:top w:val="single" w:sz="6" w:space="0" w:color="000000" w:themeColor="text1"/>
              <w:bottom w:val="single" w:sz="4" w:space="0" w:color="BFBFBF"/>
            </w:tcBorders>
            <w:shd w:val="clear" w:color="auto" w:fill="auto"/>
            <w:vAlign w:val="center"/>
          </w:tcPr>
          <w:p w14:paraId="17186AB9" w14:textId="77777777" w:rsidR="0056738E" w:rsidRPr="008E3151"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992" w:type="dxa"/>
            <w:tcBorders>
              <w:top w:val="single" w:sz="6" w:space="0" w:color="000000" w:themeColor="text1"/>
              <w:bottom w:val="single" w:sz="4" w:space="0" w:color="BFBFBF"/>
            </w:tcBorders>
            <w:vAlign w:val="center"/>
          </w:tcPr>
          <w:p w14:paraId="1EC2EA30" w14:textId="77777777" w:rsidR="0056738E" w:rsidRPr="008E3151" w:rsidRDefault="0056738E" w:rsidP="007C2AE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1,573</w:t>
            </w:r>
          </w:p>
        </w:tc>
        <w:tc>
          <w:tcPr>
            <w:tcW w:w="1101" w:type="dxa"/>
            <w:tcBorders>
              <w:top w:val="single" w:sz="6" w:space="0" w:color="000000" w:themeColor="text1"/>
              <w:bottom w:val="single" w:sz="4" w:space="0" w:color="BFBFBF"/>
            </w:tcBorders>
            <w:shd w:val="clear" w:color="auto" w:fill="auto"/>
            <w:vAlign w:val="center"/>
          </w:tcPr>
          <w:p w14:paraId="369F0902" w14:textId="77777777" w:rsidR="0056738E" w:rsidRPr="008E3151" w:rsidRDefault="0056738E" w:rsidP="007C2AEE">
            <w:pPr>
              <w:tabs>
                <w:tab w:val="right" w:pos="7560"/>
                <w:tab w:val="right" w:pos="9000"/>
              </w:tabs>
              <w:suppressAutoHyphens/>
              <w:spacing w:after="0" w:line="240" w:lineRule="auto"/>
              <w:ind w:left="-136" w:right="34"/>
              <w:jc w:val="right"/>
              <w:rPr>
                <w:rFonts w:ascii="Arial" w:hAnsi="Arial" w:cs="Arial"/>
                <w:b/>
                <w:bCs/>
                <w:color w:val="262626"/>
                <w:sz w:val="16"/>
                <w:szCs w:val="16"/>
                <w:lang w:val="el-GR"/>
              </w:rPr>
            </w:pPr>
            <w:r>
              <w:rPr>
                <w:rFonts w:ascii="Arial" w:hAnsi="Arial" w:cs="Arial"/>
                <w:b/>
                <w:bCs/>
                <w:color w:val="262626"/>
                <w:sz w:val="16"/>
                <w:szCs w:val="16"/>
              </w:rPr>
              <w:t>402,183</w:t>
            </w:r>
          </w:p>
        </w:tc>
      </w:tr>
      <w:tr w:rsidR="0056738E" w:rsidRPr="00D57DDE" w14:paraId="20679A1F" w14:textId="77777777" w:rsidTr="007C2AEE">
        <w:trPr>
          <w:trHeight w:val="340"/>
          <w:jc w:val="center"/>
        </w:trPr>
        <w:tc>
          <w:tcPr>
            <w:tcW w:w="2268" w:type="dxa"/>
            <w:shd w:val="clear" w:color="auto" w:fill="auto"/>
            <w:vAlign w:val="center"/>
          </w:tcPr>
          <w:p w14:paraId="62CED0DA" w14:textId="77777777" w:rsidR="0056738E" w:rsidRDefault="0056738E" w:rsidP="007C2AEE">
            <w:pPr>
              <w:tabs>
                <w:tab w:val="left" w:pos="45"/>
                <w:tab w:val="right" w:pos="7560"/>
                <w:tab w:val="right" w:pos="9000"/>
              </w:tabs>
              <w:suppressAutoHyphens/>
              <w:spacing w:after="0" w:line="240" w:lineRule="auto"/>
              <w:rPr>
                <w:rFonts w:ascii="Arial" w:hAnsi="Arial" w:cs="Arial"/>
                <w:bCs/>
                <w:color w:val="262626"/>
                <w:sz w:val="15"/>
                <w:szCs w:val="15"/>
                <w:lang w:val="el-GR"/>
              </w:rPr>
            </w:pPr>
            <w:r w:rsidRPr="00551D75">
              <w:rPr>
                <w:rFonts w:ascii="Arial" w:hAnsi="Arial" w:cs="Arial"/>
                <w:bCs/>
                <w:color w:val="262626"/>
                <w:sz w:val="15"/>
                <w:szCs w:val="15"/>
                <w:lang w:val="el-GR"/>
              </w:rPr>
              <w:t>Λοιπ</w:t>
            </w:r>
            <w:r>
              <w:rPr>
                <w:rFonts w:ascii="Arial" w:hAnsi="Arial" w:cs="Arial"/>
                <w:bCs/>
                <w:color w:val="262626"/>
                <w:sz w:val="15"/>
                <w:szCs w:val="15"/>
                <w:lang w:val="el-GR"/>
              </w:rPr>
              <w:t>ά</w:t>
            </w:r>
            <w:r w:rsidRPr="00551D75">
              <w:rPr>
                <w:rFonts w:ascii="Arial" w:hAnsi="Arial" w:cs="Arial"/>
                <w:bCs/>
                <w:color w:val="262626"/>
                <w:sz w:val="15"/>
                <w:szCs w:val="15"/>
                <w:lang w:val="el-GR"/>
              </w:rPr>
              <w:t xml:space="preserve"> συνολικ</w:t>
            </w:r>
            <w:r>
              <w:rPr>
                <w:rFonts w:ascii="Arial" w:hAnsi="Arial" w:cs="Arial"/>
                <w:bCs/>
                <w:color w:val="262626"/>
                <w:sz w:val="15"/>
                <w:szCs w:val="15"/>
                <w:lang w:val="el-GR"/>
              </w:rPr>
              <w:t xml:space="preserve">ά εισοδήματα/ </w:t>
            </w:r>
          </w:p>
          <w:p w14:paraId="332F1A6E" w14:textId="77777777" w:rsidR="0056738E" w:rsidRPr="00551D75" w:rsidRDefault="0056738E" w:rsidP="007C2AEE">
            <w:pPr>
              <w:tabs>
                <w:tab w:val="left" w:pos="45"/>
                <w:tab w:val="right" w:pos="7560"/>
                <w:tab w:val="right" w:pos="9000"/>
              </w:tabs>
              <w:suppressAutoHyphens/>
              <w:spacing w:after="0" w:line="240" w:lineRule="auto"/>
              <w:rPr>
                <w:rFonts w:ascii="Arial" w:hAnsi="Arial" w:cs="Arial"/>
                <w:bCs/>
                <w:color w:val="262626"/>
                <w:sz w:val="15"/>
                <w:szCs w:val="15"/>
                <w:lang w:val="el-GR"/>
              </w:rPr>
            </w:pPr>
            <w:r w:rsidRPr="00551D75">
              <w:rPr>
                <w:rFonts w:ascii="Arial" w:hAnsi="Arial" w:cs="Arial"/>
                <w:bCs/>
                <w:color w:val="262626"/>
                <w:sz w:val="15"/>
                <w:szCs w:val="15"/>
                <w:lang w:val="el-GR"/>
              </w:rPr>
              <w:t>(ζημιές)</w:t>
            </w:r>
            <w:r>
              <w:rPr>
                <w:rFonts w:ascii="Arial" w:hAnsi="Arial" w:cs="Arial"/>
                <w:bCs/>
                <w:color w:val="262626"/>
                <w:sz w:val="15"/>
                <w:szCs w:val="15"/>
                <w:lang w:val="el-GR"/>
              </w:rPr>
              <w:t xml:space="preserve"> </w:t>
            </w:r>
            <w:r w:rsidRPr="00551D75">
              <w:rPr>
                <w:rFonts w:ascii="Arial" w:hAnsi="Arial" w:cs="Arial"/>
                <w:bCs/>
                <w:color w:val="262626"/>
                <w:sz w:val="15"/>
                <w:szCs w:val="15"/>
                <w:lang w:val="el-GR"/>
              </w:rPr>
              <w:t>μετά τη φορολογία για την περίοδο</w:t>
            </w:r>
          </w:p>
        </w:tc>
        <w:tc>
          <w:tcPr>
            <w:tcW w:w="850" w:type="dxa"/>
            <w:tcBorders>
              <w:top w:val="single" w:sz="4" w:space="0" w:color="BFBFBF"/>
              <w:bottom w:val="single" w:sz="6" w:space="0" w:color="auto"/>
            </w:tcBorders>
            <w:shd w:val="clear" w:color="auto" w:fill="auto"/>
            <w:vAlign w:val="center"/>
          </w:tcPr>
          <w:p w14:paraId="3115C2A2"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070" w:type="dxa"/>
            <w:tcBorders>
              <w:top w:val="single" w:sz="4" w:space="0" w:color="BFBFBF"/>
              <w:bottom w:val="single" w:sz="6" w:space="0" w:color="auto"/>
            </w:tcBorders>
            <w:vAlign w:val="center"/>
          </w:tcPr>
          <w:p w14:paraId="2AD87E12"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10" w:type="dxa"/>
            <w:tcBorders>
              <w:top w:val="single" w:sz="4" w:space="0" w:color="BFBFBF"/>
              <w:bottom w:val="single" w:sz="6" w:space="0" w:color="auto"/>
            </w:tcBorders>
            <w:vAlign w:val="center"/>
          </w:tcPr>
          <w:p w14:paraId="4E693B60"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790" w:type="dxa"/>
            <w:tcBorders>
              <w:top w:val="single" w:sz="4" w:space="0" w:color="BFBFBF"/>
              <w:bottom w:val="single" w:sz="6" w:space="0" w:color="auto"/>
            </w:tcBorders>
            <w:vAlign w:val="center"/>
          </w:tcPr>
          <w:p w14:paraId="3617AC9D"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4" w:space="0" w:color="BFBFBF"/>
              <w:bottom w:val="single" w:sz="6" w:space="0" w:color="auto"/>
            </w:tcBorders>
            <w:vAlign w:val="center"/>
          </w:tcPr>
          <w:p w14:paraId="4545DB9A"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993" w:type="dxa"/>
            <w:tcBorders>
              <w:top w:val="single" w:sz="4" w:space="0" w:color="BFBFBF"/>
              <w:bottom w:val="single" w:sz="6" w:space="0" w:color="auto"/>
            </w:tcBorders>
            <w:shd w:val="clear" w:color="auto" w:fill="auto"/>
            <w:vAlign w:val="center"/>
          </w:tcPr>
          <w:p w14:paraId="2406713F"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901</w:t>
            </w:r>
          </w:p>
        </w:tc>
        <w:tc>
          <w:tcPr>
            <w:tcW w:w="1134" w:type="dxa"/>
            <w:tcBorders>
              <w:top w:val="single" w:sz="4" w:space="0" w:color="BFBFBF"/>
              <w:bottom w:val="single" w:sz="6" w:space="0" w:color="auto"/>
            </w:tcBorders>
            <w:shd w:val="clear" w:color="auto" w:fill="auto"/>
            <w:vAlign w:val="center"/>
          </w:tcPr>
          <w:p w14:paraId="2633509C"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122</w:t>
            </w:r>
          </w:p>
        </w:tc>
        <w:tc>
          <w:tcPr>
            <w:tcW w:w="1134" w:type="dxa"/>
            <w:tcBorders>
              <w:top w:val="single" w:sz="4" w:space="0" w:color="BFBFBF"/>
              <w:bottom w:val="single" w:sz="6" w:space="0" w:color="auto"/>
            </w:tcBorders>
            <w:shd w:val="clear" w:color="auto" w:fill="auto"/>
            <w:vAlign w:val="center"/>
          </w:tcPr>
          <w:p w14:paraId="19A83888"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(1,395)</w:t>
            </w:r>
          </w:p>
        </w:tc>
        <w:tc>
          <w:tcPr>
            <w:tcW w:w="1134" w:type="dxa"/>
            <w:tcBorders>
              <w:top w:val="single" w:sz="4" w:space="0" w:color="BFBFBF"/>
              <w:bottom w:val="single" w:sz="6" w:space="0" w:color="auto"/>
            </w:tcBorders>
            <w:shd w:val="clear" w:color="auto" w:fill="auto"/>
            <w:vAlign w:val="center"/>
          </w:tcPr>
          <w:p w14:paraId="658D744C"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10</w:t>
            </w:r>
          </w:p>
        </w:tc>
        <w:tc>
          <w:tcPr>
            <w:tcW w:w="973" w:type="dxa"/>
            <w:tcBorders>
              <w:top w:val="single" w:sz="4" w:space="0" w:color="BFBFBF"/>
              <w:bottom w:val="single" w:sz="6" w:space="0" w:color="auto"/>
            </w:tcBorders>
            <w:shd w:val="clear" w:color="auto" w:fill="auto"/>
            <w:vAlign w:val="center"/>
          </w:tcPr>
          <w:p w14:paraId="7EB37EF7" w14:textId="77777777" w:rsidR="0056738E" w:rsidRPr="00F012CB" w:rsidRDefault="0056738E" w:rsidP="007C2AEE">
            <w:pPr>
              <w:tabs>
                <w:tab w:val="right" w:pos="7560"/>
                <w:tab w:val="right" w:pos="9000"/>
              </w:tabs>
              <w:suppressAutoHyphens/>
              <w:spacing w:after="0" w:line="240" w:lineRule="auto"/>
              <w:ind w:right="30"/>
              <w:jc w:val="right"/>
              <w:rPr>
                <w:rFonts w:ascii="Arial" w:hAnsi="Arial" w:cs="Arial"/>
                <w:b/>
                <w:bCs/>
                <w:color w:val="262626"/>
                <w:sz w:val="16"/>
                <w:szCs w:val="16"/>
                <w:lang w:val="el-GR"/>
              </w:rPr>
            </w:pPr>
            <w:r>
              <w:rPr>
                <w:rFonts w:ascii="Arial" w:hAnsi="Arial" w:cs="Arial"/>
                <w:b/>
                <w:bCs/>
                <w:color w:val="262626"/>
                <w:sz w:val="16"/>
                <w:szCs w:val="16"/>
                <w:lang w:val="en-US"/>
              </w:rPr>
              <w:t>(362)</w:t>
            </w:r>
          </w:p>
        </w:tc>
        <w:tc>
          <w:tcPr>
            <w:tcW w:w="1011" w:type="dxa"/>
            <w:tcBorders>
              <w:top w:val="single" w:sz="4" w:space="0" w:color="BFBFBF"/>
              <w:bottom w:val="single" w:sz="6" w:space="0" w:color="auto"/>
            </w:tcBorders>
            <w:shd w:val="clear" w:color="auto" w:fill="auto"/>
            <w:vAlign w:val="center"/>
          </w:tcPr>
          <w:p w14:paraId="471AD77F"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992" w:type="dxa"/>
            <w:tcBorders>
              <w:top w:val="single" w:sz="4" w:space="0" w:color="BFBFBF"/>
              <w:bottom w:val="single" w:sz="6" w:space="0" w:color="auto"/>
            </w:tcBorders>
            <w:vAlign w:val="center"/>
          </w:tcPr>
          <w:p w14:paraId="6BC9F016"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(22)</w:t>
            </w:r>
          </w:p>
        </w:tc>
        <w:tc>
          <w:tcPr>
            <w:tcW w:w="1101" w:type="dxa"/>
            <w:tcBorders>
              <w:top w:val="single" w:sz="4" w:space="0" w:color="BFBFBF"/>
              <w:bottom w:val="single" w:sz="6" w:space="0" w:color="auto"/>
            </w:tcBorders>
            <w:shd w:val="clear" w:color="auto" w:fill="auto"/>
            <w:vAlign w:val="center"/>
          </w:tcPr>
          <w:p w14:paraId="3D0C6ABD" w14:textId="77777777" w:rsidR="0056738E" w:rsidRPr="00F012CB" w:rsidRDefault="0056738E" w:rsidP="007C2AEE">
            <w:pPr>
              <w:tabs>
                <w:tab w:val="right" w:pos="7560"/>
                <w:tab w:val="right" w:pos="9000"/>
              </w:tabs>
              <w:suppressAutoHyphens/>
              <w:spacing w:after="0" w:line="240" w:lineRule="auto"/>
              <w:ind w:right="34"/>
              <w:jc w:val="right"/>
              <w:rPr>
                <w:rFonts w:ascii="Arial" w:hAnsi="Arial" w:cs="Arial"/>
                <w:b/>
                <w:bCs/>
                <w:color w:val="262626"/>
                <w:sz w:val="16"/>
                <w:szCs w:val="16"/>
                <w:lang w:val="el-GR"/>
              </w:rPr>
            </w:pPr>
            <w:r>
              <w:rPr>
                <w:rFonts w:ascii="Arial" w:hAnsi="Arial" w:cs="Arial"/>
                <w:b/>
                <w:bCs/>
                <w:color w:val="262626"/>
                <w:sz w:val="16"/>
                <w:szCs w:val="16"/>
              </w:rPr>
              <w:t>(384)</w:t>
            </w:r>
          </w:p>
        </w:tc>
      </w:tr>
      <w:tr w:rsidR="0056738E" w:rsidRPr="00D57DDE" w14:paraId="13AD6ECA" w14:textId="77777777" w:rsidTr="007C2AEE">
        <w:trPr>
          <w:trHeight w:val="340"/>
          <w:jc w:val="center"/>
        </w:trPr>
        <w:tc>
          <w:tcPr>
            <w:tcW w:w="2268" w:type="dxa"/>
            <w:shd w:val="clear" w:color="auto" w:fill="auto"/>
            <w:vAlign w:val="center"/>
          </w:tcPr>
          <w:p w14:paraId="41905959" w14:textId="77777777" w:rsidR="0056738E" w:rsidRPr="00551D75"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r w:rsidRPr="00551D75">
              <w:rPr>
                <w:rFonts w:ascii="Arial" w:hAnsi="Arial" w:cs="Arial"/>
                <w:bCs/>
                <w:color w:val="262626"/>
                <w:sz w:val="15"/>
                <w:szCs w:val="15"/>
                <w:lang w:val="el-GR"/>
              </w:rPr>
              <w:t>Συνολικ</w:t>
            </w:r>
            <w:r>
              <w:rPr>
                <w:rFonts w:ascii="Arial" w:hAnsi="Arial" w:cs="Arial"/>
                <w:bCs/>
                <w:color w:val="262626"/>
                <w:sz w:val="15"/>
                <w:szCs w:val="15"/>
                <w:lang w:val="el-GR"/>
              </w:rPr>
              <w:t>ά εισοδήματα/(ζημιές) μετά τη φορολογία</w:t>
            </w:r>
            <w:r w:rsidRPr="00551D75">
              <w:rPr>
                <w:rFonts w:ascii="Arial" w:hAnsi="Arial" w:cs="Arial"/>
                <w:bCs/>
                <w:color w:val="262626"/>
                <w:sz w:val="15"/>
                <w:szCs w:val="15"/>
                <w:lang w:val="el-GR"/>
              </w:rPr>
              <w:t xml:space="preserve"> για την περίοδο </w:t>
            </w:r>
          </w:p>
        </w:tc>
        <w:tc>
          <w:tcPr>
            <w:tcW w:w="850" w:type="dxa"/>
            <w:tcBorders>
              <w:top w:val="single" w:sz="6" w:space="0" w:color="auto"/>
              <w:bottom w:val="single" w:sz="4" w:space="0" w:color="auto"/>
            </w:tcBorders>
            <w:shd w:val="clear" w:color="auto" w:fill="auto"/>
            <w:vAlign w:val="center"/>
          </w:tcPr>
          <w:p w14:paraId="59C08D1D"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070" w:type="dxa"/>
            <w:tcBorders>
              <w:top w:val="single" w:sz="6" w:space="0" w:color="auto"/>
              <w:bottom w:val="single" w:sz="4" w:space="0" w:color="auto"/>
            </w:tcBorders>
            <w:vAlign w:val="center"/>
          </w:tcPr>
          <w:p w14:paraId="4AF26CF3"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10" w:type="dxa"/>
            <w:tcBorders>
              <w:top w:val="single" w:sz="6" w:space="0" w:color="auto"/>
              <w:bottom w:val="single" w:sz="4" w:space="0" w:color="auto"/>
            </w:tcBorders>
            <w:vAlign w:val="center"/>
          </w:tcPr>
          <w:p w14:paraId="514A70D5"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790" w:type="dxa"/>
            <w:tcBorders>
              <w:top w:val="single" w:sz="6" w:space="0" w:color="auto"/>
              <w:bottom w:val="single" w:sz="4" w:space="0" w:color="auto"/>
            </w:tcBorders>
            <w:vAlign w:val="center"/>
          </w:tcPr>
          <w:p w14:paraId="2FD76AF4"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6" w:space="0" w:color="auto"/>
              <w:bottom w:val="single" w:sz="4" w:space="0" w:color="auto"/>
            </w:tcBorders>
            <w:vAlign w:val="center"/>
          </w:tcPr>
          <w:p w14:paraId="762EE8BB"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6" w:space="0" w:color="auto"/>
              <w:bottom w:val="single" w:sz="4" w:space="0" w:color="auto"/>
            </w:tcBorders>
            <w:shd w:val="clear" w:color="auto" w:fill="auto"/>
            <w:vAlign w:val="center"/>
          </w:tcPr>
          <w:p w14:paraId="00A342D3"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401,511</w:t>
            </w:r>
          </w:p>
        </w:tc>
        <w:tc>
          <w:tcPr>
            <w:tcW w:w="1134" w:type="dxa"/>
            <w:tcBorders>
              <w:top w:val="single" w:sz="6" w:space="0" w:color="auto"/>
              <w:bottom w:val="single" w:sz="4" w:space="0" w:color="auto"/>
            </w:tcBorders>
            <w:shd w:val="clear" w:color="auto" w:fill="auto"/>
            <w:vAlign w:val="center"/>
          </w:tcPr>
          <w:p w14:paraId="124759EB"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122</w:t>
            </w:r>
          </w:p>
        </w:tc>
        <w:tc>
          <w:tcPr>
            <w:tcW w:w="1134" w:type="dxa"/>
            <w:tcBorders>
              <w:top w:val="single" w:sz="6" w:space="0" w:color="auto"/>
              <w:bottom w:val="single" w:sz="4" w:space="0" w:color="auto"/>
            </w:tcBorders>
            <w:shd w:val="clear" w:color="auto" w:fill="auto"/>
            <w:vAlign w:val="center"/>
          </w:tcPr>
          <w:p w14:paraId="565147DD"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(1,395)</w:t>
            </w:r>
          </w:p>
        </w:tc>
        <w:tc>
          <w:tcPr>
            <w:tcW w:w="1134" w:type="dxa"/>
            <w:tcBorders>
              <w:top w:val="single" w:sz="6" w:space="0" w:color="auto"/>
              <w:bottom w:val="single" w:sz="4" w:space="0" w:color="auto"/>
            </w:tcBorders>
            <w:shd w:val="clear" w:color="auto" w:fill="auto"/>
            <w:vAlign w:val="center"/>
          </w:tcPr>
          <w:p w14:paraId="073ED72C"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10</w:t>
            </w:r>
          </w:p>
        </w:tc>
        <w:tc>
          <w:tcPr>
            <w:tcW w:w="973" w:type="dxa"/>
            <w:tcBorders>
              <w:top w:val="single" w:sz="6" w:space="0" w:color="auto"/>
              <w:bottom w:val="single" w:sz="4" w:space="0" w:color="auto"/>
            </w:tcBorders>
            <w:shd w:val="clear" w:color="auto" w:fill="auto"/>
            <w:vAlign w:val="center"/>
          </w:tcPr>
          <w:p w14:paraId="10D161BE" w14:textId="77777777" w:rsidR="0056738E" w:rsidRPr="00F012CB" w:rsidRDefault="0056738E" w:rsidP="007C2AEE">
            <w:pPr>
              <w:tabs>
                <w:tab w:val="right" w:pos="7560"/>
                <w:tab w:val="right" w:pos="9000"/>
              </w:tabs>
              <w:suppressAutoHyphens/>
              <w:spacing w:after="0" w:line="240" w:lineRule="auto"/>
              <w:ind w:left="-62" w:right="30"/>
              <w:jc w:val="right"/>
              <w:rPr>
                <w:rFonts w:ascii="Arial" w:hAnsi="Arial" w:cs="Arial"/>
                <w:b/>
                <w:bCs/>
                <w:color w:val="262626"/>
                <w:sz w:val="16"/>
                <w:szCs w:val="16"/>
                <w:lang w:val="el-GR"/>
              </w:rPr>
            </w:pPr>
            <w:r>
              <w:rPr>
                <w:rFonts w:ascii="Arial" w:hAnsi="Arial" w:cs="Arial"/>
                <w:b/>
                <w:bCs/>
                <w:color w:val="262626"/>
                <w:sz w:val="16"/>
                <w:szCs w:val="16"/>
                <w:lang w:val="en-US"/>
              </w:rPr>
              <w:t>400,248</w:t>
            </w:r>
          </w:p>
        </w:tc>
        <w:tc>
          <w:tcPr>
            <w:tcW w:w="1011" w:type="dxa"/>
            <w:tcBorders>
              <w:top w:val="single" w:sz="6" w:space="0" w:color="auto"/>
              <w:bottom w:val="single" w:sz="4" w:space="0" w:color="auto"/>
            </w:tcBorders>
            <w:shd w:val="clear" w:color="auto" w:fill="auto"/>
            <w:vAlign w:val="center"/>
          </w:tcPr>
          <w:p w14:paraId="4B9F76B0"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992" w:type="dxa"/>
            <w:tcBorders>
              <w:top w:val="single" w:sz="6" w:space="0" w:color="auto"/>
              <w:bottom w:val="single" w:sz="4" w:space="0" w:color="auto"/>
            </w:tcBorders>
            <w:vAlign w:val="center"/>
          </w:tcPr>
          <w:p w14:paraId="3F990E69" w14:textId="77777777" w:rsidR="0056738E" w:rsidRPr="00F012CB" w:rsidRDefault="0056738E" w:rsidP="007C2AEE">
            <w:pPr>
              <w:tabs>
                <w:tab w:val="right" w:pos="7560"/>
                <w:tab w:val="right" w:pos="9000"/>
              </w:tabs>
              <w:suppressAutoHyphens/>
              <w:spacing w:after="0" w:line="240" w:lineRule="auto"/>
              <w:ind w:left="-136" w:right="-51"/>
              <w:jc w:val="right"/>
              <w:rPr>
                <w:rFonts w:ascii="Arial" w:hAnsi="Arial" w:cs="Arial"/>
                <w:bCs/>
                <w:color w:val="262626"/>
                <w:sz w:val="16"/>
                <w:szCs w:val="16"/>
                <w:lang w:val="el-GR"/>
              </w:rPr>
            </w:pPr>
            <w:r>
              <w:rPr>
                <w:rFonts w:ascii="Arial" w:hAnsi="Arial" w:cs="Arial"/>
                <w:bCs/>
                <w:color w:val="262626"/>
                <w:sz w:val="16"/>
                <w:szCs w:val="16"/>
                <w:lang w:val="en-US"/>
              </w:rPr>
              <w:t>1,551</w:t>
            </w:r>
          </w:p>
        </w:tc>
        <w:tc>
          <w:tcPr>
            <w:tcW w:w="1101" w:type="dxa"/>
            <w:tcBorders>
              <w:top w:val="single" w:sz="6" w:space="0" w:color="auto"/>
              <w:bottom w:val="single" w:sz="4" w:space="0" w:color="auto"/>
            </w:tcBorders>
            <w:shd w:val="clear" w:color="auto" w:fill="auto"/>
            <w:vAlign w:val="center"/>
          </w:tcPr>
          <w:p w14:paraId="6DCAAF21" w14:textId="77777777" w:rsidR="0056738E" w:rsidRPr="00F012CB" w:rsidRDefault="0056738E" w:rsidP="007C2AEE">
            <w:pPr>
              <w:tabs>
                <w:tab w:val="right" w:pos="7560"/>
                <w:tab w:val="right" w:pos="9000"/>
              </w:tabs>
              <w:suppressAutoHyphens/>
              <w:spacing w:after="0" w:line="240" w:lineRule="auto"/>
              <w:ind w:left="-136" w:right="34"/>
              <w:jc w:val="right"/>
              <w:rPr>
                <w:rFonts w:ascii="Arial" w:hAnsi="Arial" w:cs="Arial"/>
                <w:b/>
                <w:bCs/>
                <w:color w:val="262626"/>
                <w:sz w:val="16"/>
                <w:szCs w:val="16"/>
                <w:lang w:val="el-GR"/>
              </w:rPr>
            </w:pPr>
            <w:r>
              <w:rPr>
                <w:rFonts w:ascii="Arial" w:hAnsi="Arial" w:cs="Arial"/>
                <w:b/>
                <w:bCs/>
                <w:color w:val="262626"/>
                <w:sz w:val="16"/>
                <w:szCs w:val="16"/>
              </w:rPr>
              <w:t>401,799</w:t>
            </w:r>
          </w:p>
        </w:tc>
      </w:tr>
      <w:tr w:rsidR="0056738E" w:rsidRPr="00896999" w14:paraId="65E258BE" w14:textId="77777777" w:rsidTr="007C2AEE">
        <w:trPr>
          <w:trHeight w:val="340"/>
          <w:jc w:val="center"/>
        </w:trPr>
        <w:tc>
          <w:tcPr>
            <w:tcW w:w="2268" w:type="dxa"/>
            <w:shd w:val="clear" w:color="auto" w:fill="auto"/>
            <w:vAlign w:val="center"/>
          </w:tcPr>
          <w:p w14:paraId="7F800123" w14:textId="77777777" w:rsidR="0056738E" w:rsidRPr="009E6088"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proofErr w:type="spellStart"/>
            <w:r w:rsidRPr="008B2A10">
              <w:rPr>
                <w:rFonts w:ascii="Arial" w:hAnsi="Arial" w:cs="Arial"/>
                <w:bCs/>
                <w:color w:val="262626"/>
                <w:sz w:val="15"/>
                <w:szCs w:val="15"/>
              </w:rPr>
              <w:t>Μερίσμ</w:t>
            </w:r>
            <w:proofErr w:type="spellEnd"/>
            <w:r w:rsidRPr="008B2A10">
              <w:rPr>
                <w:rFonts w:ascii="Arial" w:hAnsi="Arial" w:cs="Arial"/>
                <w:bCs/>
                <w:color w:val="262626"/>
                <w:sz w:val="15"/>
                <w:szCs w:val="15"/>
              </w:rPr>
              <w:t>ατα</w:t>
            </w:r>
          </w:p>
        </w:tc>
        <w:tc>
          <w:tcPr>
            <w:tcW w:w="85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B8A009" w14:textId="77777777" w:rsidR="0056738E" w:rsidRPr="00662450"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07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E07116" w14:textId="77777777" w:rsidR="0056738E" w:rsidRPr="0066245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1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5EF731" w14:textId="77777777" w:rsidR="0056738E" w:rsidRPr="0066245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79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3DCDFF" w14:textId="77777777" w:rsidR="0056738E" w:rsidRPr="0066245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148D27" w14:textId="77777777" w:rsidR="0056738E" w:rsidRPr="0066245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99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77B8A7" w14:textId="77777777" w:rsidR="0056738E" w:rsidRPr="0066245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(111,550)</w:t>
            </w:r>
          </w:p>
        </w:tc>
        <w:tc>
          <w:tcPr>
            <w:tcW w:w="113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F3D44E" w14:textId="77777777" w:rsidR="0056738E" w:rsidRPr="00662450"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2494EC" w14:textId="77777777" w:rsidR="0056738E" w:rsidRPr="00662450"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113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71DA60" w14:textId="77777777" w:rsidR="0056738E" w:rsidRPr="00662450"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97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D3A15D" w14:textId="77777777" w:rsidR="0056738E" w:rsidRPr="00662450" w:rsidRDefault="0056738E" w:rsidP="007C2AEE">
            <w:pPr>
              <w:tabs>
                <w:tab w:val="right" w:pos="7560"/>
                <w:tab w:val="right" w:pos="9000"/>
              </w:tabs>
              <w:suppressAutoHyphens/>
              <w:spacing w:after="0" w:line="240" w:lineRule="auto"/>
              <w:ind w:left="-62" w:right="30"/>
              <w:jc w:val="right"/>
              <w:rPr>
                <w:rFonts w:ascii="Arial" w:hAnsi="Arial" w:cs="Arial"/>
                <w:b/>
                <w:bCs/>
                <w:color w:val="262626"/>
                <w:sz w:val="16"/>
                <w:szCs w:val="16"/>
                <w:lang w:val="el-GR"/>
              </w:rPr>
            </w:pPr>
            <w:r>
              <w:rPr>
                <w:rFonts w:ascii="Arial" w:hAnsi="Arial" w:cs="Arial"/>
                <w:b/>
                <w:bCs/>
                <w:color w:val="262626"/>
                <w:sz w:val="16"/>
                <w:szCs w:val="16"/>
                <w:lang w:val="en-US"/>
              </w:rPr>
              <w:t>(111,550)</w:t>
            </w:r>
          </w:p>
        </w:tc>
        <w:tc>
          <w:tcPr>
            <w:tcW w:w="101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6E25CCE" w14:textId="77777777" w:rsidR="0056738E" w:rsidRPr="0066245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992"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0F1384" w14:textId="77777777" w:rsidR="0056738E" w:rsidRPr="00662450" w:rsidRDefault="0056738E" w:rsidP="007C2AEE">
            <w:pPr>
              <w:tabs>
                <w:tab w:val="right" w:pos="7560"/>
                <w:tab w:val="right" w:pos="9000"/>
              </w:tabs>
              <w:suppressAutoHyphens/>
              <w:spacing w:after="0" w:line="240" w:lineRule="auto"/>
              <w:ind w:left="-136" w:right="-51"/>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110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6C9023" w14:textId="77777777" w:rsidR="0056738E" w:rsidRPr="00662450" w:rsidRDefault="0056738E" w:rsidP="007C2AEE">
            <w:pPr>
              <w:tabs>
                <w:tab w:val="right" w:pos="7560"/>
                <w:tab w:val="right" w:pos="9000"/>
              </w:tabs>
              <w:suppressAutoHyphens/>
              <w:spacing w:after="0" w:line="240" w:lineRule="auto"/>
              <w:ind w:left="-136" w:right="34"/>
              <w:jc w:val="right"/>
              <w:rPr>
                <w:rFonts w:ascii="Arial" w:hAnsi="Arial" w:cs="Arial"/>
                <w:b/>
                <w:bCs/>
                <w:color w:val="262626"/>
                <w:sz w:val="16"/>
                <w:szCs w:val="16"/>
                <w:lang w:val="el-GR"/>
              </w:rPr>
            </w:pPr>
            <w:r>
              <w:rPr>
                <w:rFonts w:ascii="Arial" w:hAnsi="Arial" w:cs="Arial"/>
                <w:b/>
                <w:bCs/>
                <w:color w:val="262626"/>
                <w:sz w:val="16"/>
                <w:szCs w:val="16"/>
              </w:rPr>
              <w:t>(111,550)</w:t>
            </w:r>
          </w:p>
        </w:tc>
      </w:tr>
      <w:tr w:rsidR="0056738E" w:rsidRPr="00896999" w14:paraId="06DDD5DE" w14:textId="77777777" w:rsidTr="007C2AEE">
        <w:trPr>
          <w:trHeight w:val="340"/>
          <w:jc w:val="center"/>
        </w:trPr>
        <w:tc>
          <w:tcPr>
            <w:tcW w:w="2268" w:type="dxa"/>
            <w:shd w:val="clear" w:color="auto" w:fill="auto"/>
            <w:vAlign w:val="center"/>
          </w:tcPr>
          <w:p w14:paraId="37735C8C" w14:textId="77777777" w:rsidR="0056738E" w:rsidRPr="008B2A10"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r w:rsidRPr="008B2A10">
              <w:rPr>
                <w:rFonts w:ascii="Arial" w:hAnsi="Arial" w:cs="Arial"/>
                <w:bCs/>
                <w:color w:val="262626"/>
                <w:sz w:val="15"/>
                <w:szCs w:val="15"/>
                <w:lang w:val="el-GR"/>
              </w:rPr>
              <w:t>Κόστος παροχών που εξαρτώνται από την αξία</w:t>
            </w:r>
          </w:p>
          <w:p w14:paraId="5FB2336F" w14:textId="77777777" w:rsidR="0056738E" w:rsidRPr="00955C85"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proofErr w:type="spellStart"/>
            <w:r w:rsidRPr="008B2A10">
              <w:rPr>
                <w:rFonts w:ascii="Arial" w:hAnsi="Arial" w:cs="Arial"/>
                <w:bCs/>
                <w:color w:val="262626"/>
                <w:sz w:val="15"/>
                <w:szCs w:val="15"/>
              </w:rPr>
              <w:t>μετοχών</w:t>
            </w:r>
            <w:proofErr w:type="spellEnd"/>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6C1B97" w14:textId="77777777" w:rsidR="0056738E"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n-US"/>
              </w:rPr>
            </w:pPr>
            <w:r>
              <w:rPr>
                <w:rFonts w:ascii="Arial" w:hAnsi="Arial" w:cs="Arial"/>
                <w:bCs/>
                <w:color w:val="262626"/>
                <w:sz w:val="16"/>
                <w:szCs w:val="16"/>
              </w:rPr>
              <w:t>-</w:t>
            </w:r>
          </w:p>
        </w:tc>
        <w:tc>
          <w:tcPr>
            <w:tcW w:w="1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6B49C6"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rPr>
              <w:t>-</w:t>
            </w:r>
          </w:p>
        </w:tc>
        <w:tc>
          <w:tcPr>
            <w:tcW w:w="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F9E334"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rPr>
              <w:t>-</w:t>
            </w:r>
          </w:p>
        </w:tc>
        <w:tc>
          <w:tcPr>
            <w:tcW w:w="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8E3D86"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rPr>
              <w:t>-</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DB0C48"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lang w:val="en-US"/>
              </w:rPr>
              <w:t>739</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72EE64"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lang w:val="en-US"/>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3029B3" w14:textId="77777777" w:rsidR="0056738E"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BC9AC8" w14:textId="77777777" w:rsidR="0056738E"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lang w:val="en-US"/>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8ADF66" w14:textId="77777777" w:rsidR="0056738E"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lang w:val="en-US"/>
              </w:rPr>
              <w:t>-</w:t>
            </w:r>
          </w:p>
        </w:tc>
        <w:tc>
          <w:tcPr>
            <w:tcW w:w="9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A8FF62" w14:textId="77777777" w:rsidR="0056738E" w:rsidRDefault="0056738E" w:rsidP="007C2AEE">
            <w:pPr>
              <w:tabs>
                <w:tab w:val="right" w:pos="7560"/>
                <w:tab w:val="right" w:pos="9000"/>
              </w:tabs>
              <w:suppressAutoHyphens/>
              <w:spacing w:after="0" w:line="240" w:lineRule="auto"/>
              <w:ind w:left="-62" w:right="30"/>
              <w:jc w:val="right"/>
              <w:rPr>
                <w:rFonts w:ascii="Arial" w:hAnsi="Arial" w:cs="Arial"/>
                <w:b/>
                <w:bCs/>
                <w:color w:val="262626"/>
                <w:sz w:val="16"/>
                <w:szCs w:val="16"/>
              </w:rPr>
            </w:pPr>
            <w:r>
              <w:rPr>
                <w:rFonts w:ascii="Arial" w:hAnsi="Arial" w:cs="Arial"/>
                <w:b/>
                <w:bCs/>
                <w:color w:val="262626"/>
                <w:sz w:val="16"/>
                <w:szCs w:val="16"/>
                <w:lang w:val="en-US"/>
              </w:rPr>
              <w:t>739</w:t>
            </w:r>
          </w:p>
        </w:tc>
        <w:tc>
          <w:tcPr>
            <w:tcW w:w="1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5A1656"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lang w:val="en-US"/>
              </w:rPr>
              <w:t>-</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17C2DF" w14:textId="77777777" w:rsidR="0056738E" w:rsidRDefault="0056738E" w:rsidP="007C2AEE">
            <w:pPr>
              <w:tabs>
                <w:tab w:val="right" w:pos="7560"/>
                <w:tab w:val="right" w:pos="9000"/>
              </w:tabs>
              <w:suppressAutoHyphens/>
              <w:spacing w:after="0" w:line="240" w:lineRule="auto"/>
              <w:ind w:left="-136" w:right="-51"/>
              <w:jc w:val="right"/>
              <w:rPr>
                <w:rFonts w:ascii="Arial" w:hAnsi="Arial" w:cs="Arial"/>
                <w:bCs/>
                <w:color w:val="262626"/>
                <w:sz w:val="16"/>
                <w:szCs w:val="16"/>
              </w:rPr>
            </w:pPr>
            <w:r>
              <w:rPr>
                <w:rFonts w:ascii="Arial" w:hAnsi="Arial" w:cs="Arial"/>
                <w:bCs/>
                <w:color w:val="262626"/>
                <w:sz w:val="16"/>
                <w:szCs w:val="16"/>
                <w:lang w:val="en-US"/>
              </w:rPr>
              <w:t>-</w:t>
            </w:r>
          </w:p>
        </w:tc>
        <w:tc>
          <w:tcPr>
            <w:tcW w:w="1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9BD8ED" w14:textId="77777777" w:rsidR="0056738E" w:rsidRDefault="0056738E" w:rsidP="007C2AEE">
            <w:pPr>
              <w:tabs>
                <w:tab w:val="right" w:pos="7560"/>
                <w:tab w:val="right" w:pos="9000"/>
              </w:tabs>
              <w:suppressAutoHyphens/>
              <w:spacing w:after="0" w:line="240" w:lineRule="auto"/>
              <w:ind w:left="-136" w:right="34"/>
              <w:jc w:val="right"/>
              <w:rPr>
                <w:rFonts w:ascii="Arial" w:hAnsi="Arial" w:cs="Arial"/>
                <w:b/>
                <w:bCs/>
                <w:color w:val="262626"/>
                <w:sz w:val="16"/>
                <w:szCs w:val="16"/>
              </w:rPr>
            </w:pPr>
            <w:r>
              <w:rPr>
                <w:rFonts w:ascii="Arial" w:hAnsi="Arial" w:cs="Arial"/>
                <w:b/>
                <w:bCs/>
                <w:color w:val="262626"/>
                <w:sz w:val="16"/>
                <w:szCs w:val="16"/>
              </w:rPr>
              <w:t>739</w:t>
            </w:r>
          </w:p>
        </w:tc>
      </w:tr>
      <w:tr w:rsidR="0056738E" w:rsidRPr="00896999" w14:paraId="65A5B67A" w14:textId="77777777" w:rsidTr="007C2AEE">
        <w:trPr>
          <w:trHeight w:val="340"/>
          <w:jc w:val="center"/>
        </w:trPr>
        <w:tc>
          <w:tcPr>
            <w:tcW w:w="2268" w:type="dxa"/>
            <w:shd w:val="clear" w:color="auto" w:fill="auto"/>
            <w:vAlign w:val="center"/>
          </w:tcPr>
          <w:p w14:paraId="076249FE" w14:textId="77777777" w:rsidR="0056738E" w:rsidRPr="00955C85"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proofErr w:type="spellStart"/>
            <w:r w:rsidRPr="008B2A10">
              <w:rPr>
                <w:rFonts w:ascii="Arial" w:hAnsi="Arial" w:cs="Arial"/>
                <w:bCs/>
                <w:color w:val="262626"/>
                <w:sz w:val="15"/>
                <w:szCs w:val="15"/>
              </w:rPr>
              <w:t>Μετ</w:t>
            </w:r>
            <w:proofErr w:type="spellEnd"/>
            <w:r w:rsidRPr="008B2A10">
              <w:rPr>
                <w:rFonts w:ascii="Arial" w:hAnsi="Arial" w:cs="Arial"/>
                <w:bCs/>
                <w:color w:val="262626"/>
                <w:sz w:val="15"/>
                <w:szCs w:val="15"/>
              </w:rPr>
              <w:t xml:space="preserve">αφορές </w:t>
            </w:r>
            <w:proofErr w:type="spellStart"/>
            <w:r w:rsidRPr="008B2A10">
              <w:rPr>
                <w:rFonts w:ascii="Arial" w:hAnsi="Arial" w:cs="Arial"/>
                <w:bCs/>
                <w:color w:val="262626"/>
                <w:sz w:val="15"/>
                <w:szCs w:val="15"/>
              </w:rPr>
              <w:t>στ</w:t>
            </w:r>
            <w:proofErr w:type="spellEnd"/>
            <w:r w:rsidRPr="008B2A10">
              <w:rPr>
                <w:rFonts w:ascii="Arial" w:hAnsi="Arial" w:cs="Arial"/>
                <w:bCs/>
                <w:color w:val="262626"/>
                <w:sz w:val="15"/>
                <w:szCs w:val="15"/>
              </w:rPr>
              <w:t>α α</w:t>
            </w:r>
            <w:proofErr w:type="spellStart"/>
            <w:r w:rsidRPr="008B2A10">
              <w:rPr>
                <w:rFonts w:ascii="Arial" w:hAnsi="Arial" w:cs="Arial"/>
                <w:bCs/>
                <w:color w:val="262626"/>
                <w:sz w:val="15"/>
                <w:szCs w:val="15"/>
              </w:rPr>
              <w:t>δι</w:t>
            </w:r>
            <w:proofErr w:type="spellEnd"/>
            <w:r w:rsidRPr="008B2A10">
              <w:rPr>
                <w:rFonts w:ascii="Arial" w:hAnsi="Arial" w:cs="Arial"/>
                <w:bCs/>
                <w:color w:val="262626"/>
                <w:sz w:val="15"/>
                <w:szCs w:val="15"/>
              </w:rPr>
              <w:t xml:space="preserve">ανέμητα </w:t>
            </w:r>
            <w:proofErr w:type="spellStart"/>
            <w:r w:rsidRPr="008B2A10">
              <w:rPr>
                <w:rFonts w:ascii="Arial" w:hAnsi="Arial" w:cs="Arial"/>
                <w:bCs/>
                <w:color w:val="262626"/>
                <w:sz w:val="15"/>
                <w:szCs w:val="15"/>
              </w:rPr>
              <w:t>κέρδη</w:t>
            </w:r>
            <w:proofErr w:type="spellEnd"/>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0BD4C6B" w14:textId="77777777" w:rsidR="0056738E"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n-US"/>
              </w:rPr>
            </w:pPr>
            <w:r>
              <w:rPr>
                <w:rFonts w:ascii="Arial" w:hAnsi="Arial" w:cs="Arial"/>
                <w:bCs/>
                <w:color w:val="262626"/>
                <w:sz w:val="16"/>
                <w:szCs w:val="16"/>
              </w:rPr>
              <w:t>-</w:t>
            </w:r>
          </w:p>
        </w:tc>
        <w:tc>
          <w:tcPr>
            <w:tcW w:w="1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299915"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rPr>
              <w:t>-</w:t>
            </w:r>
          </w:p>
        </w:tc>
        <w:tc>
          <w:tcPr>
            <w:tcW w:w="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E2B045"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rPr>
              <w:t>-</w:t>
            </w:r>
          </w:p>
        </w:tc>
        <w:tc>
          <w:tcPr>
            <w:tcW w:w="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910149"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rPr>
              <w:t>-</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EB2C86"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rPr>
              <w:t>-</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181D2B"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rPr>
              <w:t>583</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23EAA4" w14:textId="77777777" w:rsidR="0056738E"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ED5E56" w14:textId="77777777" w:rsidR="0056738E"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lang w:val="en-US"/>
              </w:rPr>
              <w:t>(583)</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48CB08" w14:textId="77777777" w:rsidR="0056738E"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lang w:val="en-US"/>
              </w:rPr>
              <w:t>-</w:t>
            </w:r>
          </w:p>
        </w:tc>
        <w:tc>
          <w:tcPr>
            <w:tcW w:w="9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A1B7D1" w14:textId="77777777" w:rsidR="0056738E" w:rsidRDefault="0056738E" w:rsidP="007C2AEE">
            <w:pPr>
              <w:tabs>
                <w:tab w:val="right" w:pos="7560"/>
                <w:tab w:val="right" w:pos="9000"/>
              </w:tabs>
              <w:suppressAutoHyphens/>
              <w:spacing w:after="0" w:line="240" w:lineRule="auto"/>
              <w:ind w:left="-62" w:right="30"/>
              <w:jc w:val="right"/>
              <w:rPr>
                <w:rFonts w:ascii="Arial" w:hAnsi="Arial" w:cs="Arial"/>
                <w:b/>
                <w:bCs/>
                <w:color w:val="262626"/>
                <w:sz w:val="16"/>
                <w:szCs w:val="16"/>
              </w:rPr>
            </w:pPr>
            <w:r>
              <w:rPr>
                <w:rFonts w:ascii="Arial" w:hAnsi="Arial" w:cs="Arial"/>
                <w:b/>
                <w:bCs/>
                <w:color w:val="262626"/>
                <w:sz w:val="16"/>
                <w:szCs w:val="16"/>
                <w:lang w:val="en-US"/>
              </w:rPr>
              <w:t>-</w:t>
            </w:r>
          </w:p>
        </w:tc>
        <w:tc>
          <w:tcPr>
            <w:tcW w:w="1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159276"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Cs/>
                <w:color w:val="262626"/>
                <w:sz w:val="16"/>
                <w:szCs w:val="16"/>
                <w:lang w:val="en-US"/>
              </w:rPr>
              <w:t>-</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081EC" w14:textId="77777777" w:rsidR="0056738E" w:rsidRDefault="0056738E" w:rsidP="007C2AEE">
            <w:pPr>
              <w:tabs>
                <w:tab w:val="right" w:pos="7560"/>
                <w:tab w:val="right" w:pos="9000"/>
              </w:tabs>
              <w:suppressAutoHyphens/>
              <w:spacing w:after="0" w:line="240" w:lineRule="auto"/>
              <w:ind w:left="-136" w:right="-51"/>
              <w:jc w:val="right"/>
              <w:rPr>
                <w:rFonts w:ascii="Arial" w:hAnsi="Arial" w:cs="Arial"/>
                <w:bCs/>
                <w:color w:val="262626"/>
                <w:sz w:val="16"/>
                <w:szCs w:val="16"/>
              </w:rPr>
            </w:pPr>
            <w:r>
              <w:rPr>
                <w:rFonts w:ascii="Arial" w:hAnsi="Arial" w:cs="Arial"/>
                <w:bCs/>
                <w:color w:val="262626"/>
                <w:sz w:val="16"/>
                <w:szCs w:val="16"/>
                <w:lang w:val="en-US"/>
              </w:rPr>
              <w:t>-</w:t>
            </w:r>
          </w:p>
        </w:tc>
        <w:tc>
          <w:tcPr>
            <w:tcW w:w="1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A51864" w14:textId="77777777" w:rsidR="0056738E" w:rsidRDefault="0056738E" w:rsidP="007C2AEE">
            <w:pPr>
              <w:tabs>
                <w:tab w:val="right" w:pos="7560"/>
                <w:tab w:val="right" w:pos="9000"/>
              </w:tabs>
              <w:suppressAutoHyphens/>
              <w:spacing w:after="0" w:line="240" w:lineRule="auto"/>
              <w:ind w:left="-136" w:right="34"/>
              <w:jc w:val="right"/>
              <w:rPr>
                <w:rFonts w:ascii="Arial" w:hAnsi="Arial" w:cs="Arial"/>
                <w:b/>
                <w:bCs/>
                <w:color w:val="262626"/>
                <w:sz w:val="16"/>
                <w:szCs w:val="16"/>
              </w:rPr>
            </w:pPr>
            <w:r>
              <w:rPr>
                <w:rFonts w:ascii="Arial" w:hAnsi="Arial" w:cs="Arial"/>
                <w:b/>
                <w:bCs/>
                <w:color w:val="262626"/>
                <w:sz w:val="16"/>
                <w:szCs w:val="16"/>
              </w:rPr>
              <w:t>-</w:t>
            </w:r>
          </w:p>
        </w:tc>
      </w:tr>
      <w:tr w:rsidR="0056738E" w:rsidRPr="00D57DDE" w14:paraId="18F3E6F8" w14:textId="77777777" w:rsidTr="007C2AEE">
        <w:trPr>
          <w:trHeight w:val="340"/>
          <w:jc w:val="center"/>
        </w:trPr>
        <w:tc>
          <w:tcPr>
            <w:tcW w:w="2268" w:type="dxa"/>
            <w:shd w:val="clear" w:color="auto" w:fill="auto"/>
            <w:vAlign w:val="center"/>
          </w:tcPr>
          <w:p w14:paraId="215653CB" w14:textId="77777777" w:rsidR="0056738E" w:rsidRPr="008B2A10"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r w:rsidRPr="008B2A10">
              <w:rPr>
                <w:rFonts w:ascii="Arial" w:hAnsi="Arial" w:cs="Arial"/>
                <w:bCs/>
                <w:color w:val="262626"/>
                <w:sz w:val="15"/>
                <w:szCs w:val="15"/>
                <w:lang w:val="el-GR"/>
              </w:rPr>
              <w:t>Πληρωμή κουπονιού στους κατόχους Χρεογράφων</w:t>
            </w:r>
          </w:p>
          <w:p w14:paraId="07D954B0" w14:textId="77777777" w:rsidR="0056738E" w:rsidRPr="008B2A10"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r w:rsidRPr="008B2A10">
              <w:rPr>
                <w:rFonts w:ascii="Arial" w:hAnsi="Arial" w:cs="Arial"/>
                <w:bCs/>
                <w:color w:val="262626"/>
                <w:sz w:val="15"/>
                <w:szCs w:val="15"/>
                <w:lang w:val="el-GR"/>
              </w:rPr>
              <w:t>Κατηγορίας 1</w:t>
            </w:r>
          </w:p>
        </w:tc>
        <w:tc>
          <w:tcPr>
            <w:tcW w:w="850" w:type="dxa"/>
            <w:tcBorders>
              <w:top w:val="single" w:sz="4" w:space="0" w:color="BFBFBF" w:themeColor="background1" w:themeShade="BF"/>
              <w:bottom w:val="single" w:sz="4" w:space="0" w:color="C0C0C0"/>
            </w:tcBorders>
            <w:shd w:val="clear" w:color="auto" w:fill="auto"/>
            <w:vAlign w:val="center"/>
          </w:tcPr>
          <w:p w14:paraId="3792916B" w14:textId="77777777" w:rsidR="0056738E" w:rsidRPr="008B2A10"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1070" w:type="dxa"/>
            <w:tcBorders>
              <w:top w:val="single" w:sz="4" w:space="0" w:color="BFBFBF" w:themeColor="background1" w:themeShade="BF"/>
              <w:bottom w:val="single" w:sz="4" w:space="0" w:color="C0C0C0"/>
            </w:tcBorders>
            <w:shd w:val="clear" w:color="auto" w:fill="auto"/>
            <w:vAlign w:val="center"/>
          </w:tcPr>
          <w:p w14:paraId="0CE19987" w14:textId="77777777" w:rsidR="0056738E" w:rsidRPr="008B2A1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10" w:type="dxa"/>
            <w:tcBorders>
              <w:top w:val="single" w:sz="4" w:space="0" w:color="BFBFBF" w:themeColor="background1" w:themeShade="BF"/>
              <w:bottom w:val="single" w:sz="4" w:space="0" w:color="C0C0C0"/>
            </w:tcBorders>
            <w:vAlign w:val="center"/>
          </w:tcPr>
          <w:p w14:paraId="45CB99D9" w14:textId="77777777" w:rsidR="0056738E" w:rsidRPr="008B2A1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790" w:type="dxa"/>
            <w:tcBorders>
              <w:top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2ED9F073" w14:textId="77777777" w:rsidR="0056738E" w:rsidRPr="008B2A1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4" w:space="0" w:color="BFBFBF" w:themeColor="background1" w:themeShade="BF"/>
              <w:left w:val="single" w:sz="4" w:space="0" w:color="BFBFBF" w:themeColor="background1" w:themeShade="BF"/>
              <w:bottom w:val="single" w:sz="4" w:space="0" w:color="C0C0C0"/>
            </w:tcBorders>
            <w:vAlign w:val="center"/>
          </w:tcPr>
          <w:p w14:paraId="79EA44B7" w14:textId="77777777" w:rsidR="0056738E" w:rsidRPr="008B2A1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4" w:space="0" w:color="BFBFBF" w:themeColor="background1" w:themeShade="BF"/>
              <w:bottom w:val="single" w:sz="4" w:space="0" w:color="C0C0C0"/>
            </w:tcBorders>
            <w:shd w:val="clear" w:color="auto" w:fill="auto"/>
            <w:vAlign w:val="center"/>
          </w:tcPr>
          <w:p w14:paraId="2B5B11A0" w14:textId="77777777" w:rsidR="0056738E" w:rsidRPr="008B2A1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(13,063)</w:t>
            </w:r>
          </w:p>
        </w:tc>
        <w:tc>
          <w:tcPr>
            <w:tcW w:w="1134" w:type="dxa"/>
            <w:tcBorders>
              <w:top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5FBFE564" w14:textId="77777777" w:rsidR="0056738E" w:rsidRPr="008B2A10"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4" w:space="0" w:color="BFBFBF" w:themeColor="background1" w:themeShade="BF"/>
              <w:left w:val="single" w:sz="4" w:space="0" w:color="BFBFBF" w:themeColor="background1" w:themeShade="BF"/>
              <w:bottom w:val="single" w:sz="4" w:space="0" w:color="C0C0C0"/>
            </w:tcBorders>
            <w:shd w:val="clear" w:color="auto" w:fill="auto"/>
            <w:vAlign w:val="center"/>
          </w:tcPr>
          <w:p w14:paraId="5FD004FE" w14:textId="77777777" w:rsidR="0056738E" w:rsidRPr="008B2A10"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4" w:space="0" w:color="BFBFBF" w:themeColor="background1" w:themeShade="BF"/>
              <w:bottom w:val="single" w:sz="4" w:space="0" w:color="C0C0C0"/>
            </w:tcBorders>
            <w:shd w:val="clear" w:color="auto" w:fill="auto"/>
            <w:vAlign w:val="center"/>
          </w:tcPr>
          <w:p w14:paraId="4A5C720B" w14:textId="77777777" w:rsidR="0056738E" w:rsidRPr="008B2A10"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73" w:type="dxa"/>
            <w:tcBorders>
              <w:top w:val="single" w:sz="4" w:space="0" w:color="BFBFBF" w:themeColor="background1" w:themeShade="BF"/>
              <w:bottom w:val="single" w:sz="4" w:space="0" w:color="C0C0C0"/>
            </w:tcBorders>
            <w:shd w:val="clear" w:color="auto" w:fill="auto"/>
            <w:vAlign w:val="center"/>
          </w:tcPr>
          <w:p w14:paraId="578FEDCE" w14:textId="77777777" w:rsidR="0056738E" w:rsidRPr="008B2A10" w:rsidRDefault="0056738E" w:rsidP="007C2AEE">
            <w:pPr>
              <w:tabs>
                <w:tab w:val="right" w:pos="7560"/>
                <w:tab w:val="right" w:pos="9000"/>
              </w:tabs>
              <w:suppressAutoHyphens/>
              <w:spacing w:after="0" w:line="240" w:lineRule="auto"/>
              <w:ind w:left="-62" w:right="30"/>
              <w:jc w:val="right"/>
              <w:rPr>
                <w:rFonts w:ascii="Arial" w:hAnsi="Arial" w:cs="Arial"/>
                <w:b/>
                <w:bCs/>
                <w:color w:val="262626"/>
                <w:sz w:val="16"/>
                <w:szCs w:val="16"/>
                <w:lang w:val="el-GR"/>
              </w:rPr>
            </w:pPr>
            <w:r>
              <w:rPr>
                <w:rFonts w:ascii="Arial" w:hAnsi="Arial" w:cs="Arial"/>
                <w:b/>
                <w:bCs/>
                <w:color w:val="262626"/>
                <w:sz w:val="16"/>
                <w:szCs w:val="16"/>
              </w:rPr>
              <w:t>(13,063)</w:t>
            </w:r>
          </w:p>
        </w:tc>
        <w:tc>
          <w:tcPr>
            <w:tcW w:w="1011" w:type="dxa"/>
            <w:tcBorders>
              <w:top w:val="single" w:sz="4" w:space="0" w:color="BFBFBF" w:themeColor="background1" w:themeShade="BF"/>
              <w:bottom w:val="single" w:sz="4" w:space="0" w:color="C0C0C0"/>
            </w:tcBorders>
            <w:shd w:val="clear" w:color="auto" w:fill="auto"/>
            <w:vAlign w:val="center"/>
          </w:tcPr>
          <w:p w14:paraId="47A2E18F" w14:textId="77777777" w:rsidR="0056738E" w:rsidRPr="008B2A1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2" w:type="dxa"/>
            <w:tcBorders>
              <w:top w:val="single" w:sz="4" w:space="0" w:color="BFBFBF" w:themeColor="background1" w:themeShade="BF"/>
              <w:bottom w:val="single" w:sz="4" w:space="0" w:color="C0C0C0"/>
            </w:tcBorders>
            <w:vAlign w:val="center"/>
          </w:tcPr>
          <w:p w14:paraId="4EB4101A" w14:textId="77777777" w:rsidR="0056738E" w:rsidRPr="008B2A10" w:rsidRDefault="0056738E" w:rsidP="007C2AEE">
            <w:pPr>
              <w:tabs>
                <w:tab w:val="right" w:pos="7560"/>
                <w:tab w:val="right" w:pos="9000"/>
              </w:tabs>
              <w:suppressAutoHyphens/>
              <w:spacing w:after="0" w:line="240" w:lineRule="auto"/>
              <w:ind w:left="-136" w:right="-51"/>
              <w:jc w:val="right"/>
              <w:rPr>
                <w:rFonts w:ascii="Arial" w:hAnsi="Arial" w:cs="Arial"/>
                <w:bCs/>
                <w:color w:val="262626"/>
                <w:sz w:val="16"/>
                <w:szCs w:val="16"/>
                <w:lang w:val="el-GR"/>
              </w:rPr>
            </w:pPr>
            <w:r>
              <w:rPr>
                <w:rFonts w:ascii="Arial" w:hAnsi="Arial" w:cs="Arial"/>
                <w:bCs/>
                <w:color w:val="262626"/>
                <w:sz w:val="16"/>
                <w:szCs w:val="16"/>
              </w:rPr>
              <w:t>-</w:t>
            </w:r>
          </w:p>
        </w:tc>
        <w:tc>
          <w:tcPr>
            <w:tcW w:w="1101" w:type="dxa"/>
            <w:tcBorders>
              <w:top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6CDA9786" w14:textId="77777777" w:rsidR="0056738E" w:rsidRPr="008B2A10" w:rsidRDefault="0056738E" w:rsidP="007C2AEE">
            <w:pPr>
              <w:tabs>
                <w:tab w:val="right" w:pos="7560"/>
                <w:tab w:val="right" w:pos="9000"/>
              </w:tabs>
              <w:suppressAutoHyphens/>
              <w:spacing w:after="0" w:line="240" w:lineRule="auto"/>
              <w:ind w:left="-136" w:right="34"/>
              <w:jc w:val="right"/>
              <w:rPr>
                <w:rFonts w:ascii="Arial" w:hAnsi="Arial" w:cs="Arial"/>
                <w:b/>
                <w:bCs/>
                <w:color w:val="262626"/>
                <w:sz w:val="16"/>
                <w:szCs w:val="16"/>
                <w:lang w:val="el-GR"/>
              </w:rPr>
            </w:pPr>
            <w:r>
              <w:rPr>
                <w:rFonts w:ascii="Arial" w:hAnsi="Arial" w:cs="Arial"/>
                <w:b/>
                <w:bCs/>
                <w:color w:val="262626"/>
                <w:sz w:val="16"/>
                <w:szCs w:val="16"/>
              </w:rPr>
              <w:t>(13,063)</w:t>
            </w:r>
          </w:p>
        </w:tc>
      </w:tr>
      <w:tr w:rsidR="0056738E" w:rsidRPr="00D57DDE" w14:paraId="3AE9A8A3" w14:textId="77777777" w:rsidTr="007C2AEE">
        <w:trPr>
          <w:trHeight w:val="340"/>
          <w:jc w:val="center"/>
        </w:trPr>
        <w:tc>
          <w:tcPr>
            <w:tcW w:w="2268" w:type="dxa"/>
            <w:shd w:val="clear" w:color="auto" w:fill="auto"/>
            <w:vAlign w:val="center"/>
          </w:tcPr>
          <w:p w14:paraId="5FF07229" w14:textId="77777777" w:rsidR="0056738E" w:rsidRPr="008B2A10"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r w:rsidRPr="008B2A10">
              <w:rPr>
                <w:rFonts w:ascii="Arial" w:hAnsi="Arial" w:cs="Arial"/>
                <w:bCs/>
                <w:color w:val="262626"/>
                <w:sz w:val="15"/>
                <w:szCs w:val="15"/>
                <w:lang w:val="el-GR"/>
              </w:rPr>
              <w:t>Πρόγραμμα επαναγοράς ιδίων μετοχών-επαναγορά</w:t>
            </w:r>
          </w:p>
          <w:p w14:paraId="26588655" w14:textId="77777777" w:rsidR="0056738E" w:rsidRPr="008B2A10"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r w:rsidRPr="008B2A10">
              <w:rPr>
                <w:rFonts w:ascii="Arial" w:hAnsi="Arial" w:cs="Arial"/>
                <w:bCs/>
                <w:color w:val="262626"/>
                <w:sz w:val="15"/>
                <w:szCs w:val="15"/>
                <w:lang w:val="el-GR"/>
              </w:rPr>
              <w:t>ιδίων μετοχών και ακύρωση</w:t>
            </w:r>
          </w:p>
        </w:tc>
        <w:tc>
          <w:tcPr>
            <w:tcW w:w="850" w:type="dxa"/>
            <w:tcBorders>
              <w:top w:val="single" w:sz="4" w:space="0" w:color="BFBFBF" w:themeColor="background1" w:themeShade="BF"/>
              <w:bottom w:val="single" w:sz="4" w:space="0" w:color="C0C0C0"/>
            </w:tcBorders>
            <w:shd w:val="clear" w:color="auto" w:fill="auto"/>
            <w:vAlign w:val="center"/>
          </w:tcPr>
          <w:p w14:paraId="2D2632E3" w14:textId="77777777" w:rsidR="0056738E" w:rsidRPr="008B2A10"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(326)</w:t>
            </w:r>
          </w:p>
        </w:tc>
        <w:tc>
          <w:tcPr>
            <w:tcW w:w="1070" w:type="dxa"/>
            <w:tcBorders>
              <w:top w:val="single" w:sz="4" w:space="0" w:color="BFBFBF" w:themeColor="background1" w:themeShade="BF"/>
              <w:bottom w:val="single" w:sz="4" w:space="0" w:color="C0C0C0"/>
            </w:tcBorders>
            <w:shd w:val="clear" w:color="auto" w:fill="auto"/>
            <w:vAlign w:val="center"/>
          </w:tcPr>
          <w:p w14:paraId="2D7AF74C" w14:textId="77777777" w:rsidR="0056738E" w:rsidRPr="008B2A1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10" w:type="dxa"/>
            <w:tcBorders>
              <w:top w:val="single" w:sz="4" w:space="0" w:color="BFBFBF" w:themeColor="background1" w:themeShade="BF"/>
              <w:bottom w:val="single" w:sz="4" w:space="0" w:color="C0C0C0"/>
            </w:tcBorders>
            <w:vAlign w:val="center"/>
          </w:tcPr>
          <w:p w14:paraId="616DE75D" w14:textId="77777777" w:rsidR="0056738E" w:rsidRPr="008B2A1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326</w:t>
            </w:r>
          </w:p>
        </w:tc>
        <w:tc>
          <w:tcPr>
            <w:tcW w:w="790" w:type="dxa"/>
            <w:tcBorders>
              <w:top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5051C2EF" w14:textId="77777777" w:rsidR="0056738E" w:rsidRPr="008B2A1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(1,119)</w:t>
            </w:r>
          </w:p>
        </w:tc>
        <w:tc>
          <w:tcPr>
            <w:tcW w:w="993" w:type="dxa"/>
            <w:tcBorders>
              <w:top w:val="single" w:sz="4" w:space="0" w:color="BFBFBF" w:themeColor="background1" w:themeShade="BF"/>
              <w:left w:val="single" w:sz="4" w:space="0" w:color="BFBFBF" w:themeColor="background1" w:themeShade="BF"/>
              <w:bottom w:val="single" w:sz="4" w:space="0" w:color="C0C0C0"/>
            </w:tcBorders>
            <w:vAlign w:val="center"/>
          </w:tcPr>
          <w:p w14:paraId="6BB03718" w14:textId="77777777" w:rsidR="0056738E" w:rsidRPr="008B2A1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4" w:space="0" w:color="BFBFBF" w:themeColor="background1" w:themeShade="BF"/>
              <w:bottom w:val="single" w:sz="4" w:space="0" w:color="C0C0C0"/>
            </w:tcBorders>
            <w:shd w:val="clear" w:color="auto" w:fill="auto"/>
            <w:vAlign w:val="center"/>
          </w:tcPr>
          <w:p w14:paraId="623E7F9D" w14:textId="77777777" w:rsidR="0056738E" w:rsidRPr="008B2A1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(14,250)</w:t>
            </w:r>
          </w:p>
        </w:tc>
        <w:tc>
          <w:tcPr>
            <w:tcW w:w="1134" w:type="dxa"/>
            <w:tcBorders>
              <w:top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12B29975" w14:textId="77777777" w:rsidR="0056738E" w:rsidRPr="008B2A10"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4" w:space="0" w:color="BFBFBF" w:themeColor="background1" w:themeShade="BF"/>
              <w:left w:val="single" w:sz="4" w:space="0" w:color="BFBFBF" w:themeColor="background1" w:themeShade="BF"/>
              <w:bottom w:val="single" w:sz="4" w:space="0" w:color="C0C0C0"/>
            </w:tcBorders>
            <w:shd w:val="clear" w:color="auto" w:fill="auto"/>
            <w:vAlign w:val="center"/>
          </w:tcPr>
          <w:p w14:paraId="68B5D4CD" w14:textId="77777777" w:rsidR="0056738E" w:rsidRPr="008B2A10"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4" w:space="0" w:color="BFBFBF" w:themeColor="background1" w:themeShade="BF"/>
              <w:bottom w:val="single" w:sz="4" w:space="0" w:color="C0C0C0"/>
            </w:tcBorders>
            <w:shd w:val="clear" w:color="auto" w:fill="auto"/>
            <w:vAlign w:val="center"/>
          </w:tcPr>
          <w:p w14:paraId="22B19843" w14:textId="77777777" w:rsidR="0056738E" w:rsidRPr="008B2A10"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73" w:type="dxa"/>
            <w:tcBorders>
              <w:top w:val="single" w:sz="4" w:space="0" w:color="BFBFBF" w:themeColor="background1" w:themeShade="BF"/>
              <w:bottom w:val="single" w:sz="4" w:space="0" w:color="C0C0C0"/>
            </w:tcBorders>
            <w:shd w:val="clear" w:color="auto" w:fill="auto"/>
            <w:vAlign w:val="center"/>
          </w:tcPr>
          <w:p w14:paraId="122B0960" w14:textId="77777777" w:rsidR="0056738E" w:rsidRPr="008B2A10" w:rsidRDefault="0056738E" w:rsidP="007C2AEE">
            <w:pPr>
              <w:tabs>
                <w:tab w:val="right" w:pos="7560"/>
                <w:tab w:val="right" w:pos="9000"/>
              </w:tabs>
              <w:suppressAutoHyphens/>
              <w:spacing w:after="0" w:line="240" w:lineRule="auto"/>
              <w:ind w:left="-62" w:right="30"/>
              <w:jc w:val="right"/>
              <w:rPr>
                <w:rFonts w:ascii="Arial" w:hAnsi="Arial" w:cs="Arial"/>
                <w:b/>
                <w:bCs/>
                <w:color w:val="262626"/>
                <w:sz w:val="16"/>
                <w:szCs w:val="16"/>
                <w:lang w:val="el-GR"/>
              </w:rPr>
            </w:pPr>
            <w:r>
              <w:rPr>
                <w:rFonts w:ascii="Arial" w:hAnsi="Arial" w:cs="Arial"/>
                <w:b/>
                <w:bCs/>
                <w:color w:val="262626"/>
                <w:sz w:val="16"/>
                <w:szCs w:val="16"/>
              </w:rPr>
              <w:t>(15,369)</w:t>
            </w:r>
          </w:p>
        </w:tc>
        <w:tc>
          <w:tcPr>
            <w:tcW w:w="1011" w:type="dxa"/>
            <w:tcBorders>
              <w:top w:val="single" w:sz="4" w:space="0" w:color="BFBFBF" w:themeColor="background1" w:themeShade="BF"/>
              <w:bottom w:val="single" w:sz="4" w:space="0" w:color="C0C0C0"/>
            </w:tcBorders>
            <w:shd w:val="clear" w:color="auto" w:fill="auto"/>
            <w:vAlign w:val="center"/>
          </w:tcPr>
          <w:p w14:paraId="181362D9" w14:textId="77777777" w:rsidR="0056738E" w:rsidRPr="008B2A1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2" w:type="dxa"/>
            <w:tcBorders>
              <w:top w:val="single" w:sz="4" w:space="0" w:color="BFBFBF" w:themeColor="background1" w:themeShade="BF"/>
              <w:bottom w:val="single" w:sz="4" w:space="0" w:color="C0C0C0"/>
            </w:tcBorders>
            <w:vAlign w:val="center"/>
          </w:tcPr>
          <w:p w14:paraId="3AC3D06F" w14:textId="77777777" w:rsidR="0056738E" w:rsidRPr="008B2A10" w:rsidRDefault="0056738E" w:rsidP="007C2AEE">
            <w:pPr>
              <w:tabs>
                <w:tab w:val="right" w:pos="7560"/>
                <w:tab w:val="right" w:pos="9000"/>
              </w:tabs>
              <w:suppressAutoHyphens/>
              <w:spacing w:after="0" w:line="240" w:lineRule="auto"/>
              <w:ind w:left="-136" w:right="-51"/>
              <w:jc w:val="right"/>
              <w:rPr>
                <w:rFonts w:ascii="Arial" w:hAnsi="Arial" w:cs="Arial"/>
                <w:bCs/>
                <w:color w:val="262626"/>
                <w:sz w:val="16"/>
                <w:szCs w:val="16"/>
                <w:lang w:val="el-GR"/>
              </w:rPr>
            </w:pPr>
            <w:r>
              <w:rPr>
                <w:rFonts w:ascii="Arial" w:hAnsi="Arial" w:cs="Arial"/>
                <w:bCs/>
                <w:color w:val="262626"/>
                <w:sz w:val="16"/>
                <w:szCs w:val="16"/>
              </w:rPr>
              <w:t>-</w:t>
            </w:r>
          </w:p>
        </w:tc>
        <w:tc>
          <w:tcPr>
            <w:tcW w:w="1101" w:type="dxa"/>
            <w:tcBorders>
              <w:top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0520159C" w14:textId="77777777" w:rsidR="0056738E" w:rsidRPr="008B2A10" w:rsidRDefault="0056738E" w:rsidP="007C2AEE">
            <w:pPr>
              <w:tabs>
                <w:tab w:val="right" w:pos="7560"/>
                <w:tab w:val="right" w:pos="9000"/>
              </w:tabs>
              <w:suppressAutoHyphens/>
              <w:spacing w:after="0" w:line="240" w:lineRule="auto"/>
              <w:ind w:left="-136" w:right="34"/>
              <w:jc w:val="right"/>
              <w:rPr>
                <w:rFonts w:ascii="Arial" w:hAnsi="Arial" w:cs="Arial"/>
                <w:b/>
                <w:bCs/>
                <w:color w:val="262626"/>
                <w:sz w:val="16"/>
                <w:szCs w:val="16"/>
                <w:lang w:val="el-GR"/>
              </w:rPr>
            </w:pPr>
            <w:r>
              <w:rPr>
                <w:rFonts w:ascii="Arial" w:hAnsi="Arial" w:cs="Arial"/>
                <w:b/>
                <w:bCs/>
                <w:color w:val="262626"/>
                <w:sz w:val="16"/>
                <w:szCs w:val="16"/>
              </w:rPr>
              <w:t>(15,369)</w:t>
            </w:r>
          </w:p>
        </w:tc>
      </w:tr>
      <w:tr w:rsidR="0056738E" w:rsidRPr="00551D75" w14:paraId="4DCB4D1F" w14:textId="77777777" w:rsidTr="007C2AEE">
        <w:trPr>
          <w:trHeight w:val="340"/>
          <w:jc w:val="center"/>
        </w:trPr>
        <w:tc>
          <w:tcPr>
            <w:tcW w:w="2268" w:type="dxa"/>
            <w:shd w:val="clear" w:color="auto" w:fill="auto"/>
            <w:vAlign w:val="center"/>
          </w:tcPr>
          <w:p w14:paraId="30F73A13" w14:textId="77777777" w:rsidR="0056738E" w:rsidRPr="007C2A15" w:rsidRDefault="0056738E" w:rsidP="007C2AEE">
            <w:pPr>
              <w:tabs>
                <w:tab w:val="left" w:pos="0"/>
                <w:tab w:val="right" w:pos="7560"/>
                <w:tab w:val="right" w:pos="9000"/>
              </w:tabs>
              <w:suppressAutoHyphens/>
              <w:spacing w:after="0" w:line="240" w:lineRule="auto"/>
              <w:rPr>
                <w:rFonts w:ascii="Arial" w:hAnsi="Arial" w:cs="Arial"/>
                <w:b/>
                <w:bCs/>
                <w:color w:val="262626"/>
                <w:sz w:val="15"/>
                <w:szCs w:val="15"/>
                <w:lang w:val="en-US"/>
              </w:rPr>
            </w:pPr>
            <w:r w:rsidRPr="007C2A15">
              <w:rPr>
                <w:rFonts w:ascii="Arial" w:hAnsi="Arial" w:cs="Arial"/>
                <w:b/>
                <w:bCs/>
                <w:color w:val="262626"/>
                <w:sz w:val="15"/>
                <w:szCs w:val="15"/>
                <w:lang w:val="el-GR"/>
              </w:rPr>
              <w:t>30 Σεπτεμβρίου 202</w:t>
            </w:r>
            <w:r>
              <w:rPr>
                <w:rFonts w:ascii="Arial" w:hAnsi="Arial" w:cs="Arial"/>
                <w:b/>
                <w:bCs/>
                <w:color w:val="262626"/>
                <w:sz w:val="15"/>
                <w:szCs w:val="15"/>
                <w:lang w:val="en-US"/>
              </w:rPr>
              <w:t>4</w:t>
            </w:r>
          </w:p>
        </w:tc>
        <w:tc>
          <w:tcPr>
            <w:tcW w:w="850" w:type="dxa"/>
            <w:tcBorders>
              <w:top w:val="single" w:sz="6" w:space="0" w:color="000000" w:themeColor="text1"/>
              <w:bottom w:val="double" w:sz="6" w:space="0" w:color="000000" w:themeColor="text1"/>
            </w:tcBorders>
            <w:shd w:val="clear" w:color="auto" w:fill="auto"/>
            <w:vAlign w:val="center"/>
          </w:tcPr>
          <w:p w14:paraId="177BC1F9" w14:textId="77777777" w:rsidR="0056738E" w:rsidRPr="00BD5038" w:rsidRDefault="0056738E" w:rsidP="007C2AEE">
            <w:pPr>
              <w:tabs>
                <w:tab w:val="right" w:pos="7560"/>
                <w:tab w:val="right" w:pos="9000"/>
              </w:tabs>
              <w:suppressAutoHyphens/>
              <w:spacing w:after="0" w:line="240" w:lineRule="auto"/>
              <w:jc w:val="right"/>
              <w:rPr>
                <w:rFonts w:ascii="Arial" w:hAnsi="Arial" w:cs="Arial"/>
                <w:b/>
                <w:bCs/>
                <w:color w:val="262626"/>
                <w:sz w:val="16"/>
                <w:szCs w:val="16"/>
              </w:rPr>
            </w:pPr>
            <w:r>
              <w:rPr>
                <w:rFonts w:ascii="Arial" w:hAnsi="Arial" w:cs="Arial"/>
                <w:b/>
                <w:bCs/>
                <w:color w:val="262626"/>
                <w:sz w:val="16"/>
                <w:szCs w:val="16"/>
              </w:rPr>
              <w:t>44,294</w:t>
            </w:r>
          </w:p>
        </w:tc>
        <w:tc>
          <w:tcPr>
            <w:tcW w:w="1070" w:type="dxa"/>
            <w:tcBorders>
              <w:top w:val="single" w:sz="6" w:space="0" w:color="000000" w:themeColor="text1"/>
              <w:bottom w:val="double" w:sz="6" w:space="0" w:color="000000" w:themeColor="text1"/>
            </w:tcBorders>
            <w:vAlign w:val="center"/>
          </w:tcPr>
          <w:p w14:paraId="01CD237C" w14:textId="77777777" w:rsidR="0056738E" w:rsidRPr="00BD5038" w:rsidRDefault="0056738E" w:rsidP="007C2AEE">
            <w:pPr>
              <w:tabs>
                <w:tab w:val="right" w:pos="7560"/>
                <w:tab w:val="right" w:pos="9000"/>
              </w:tabs>
              <w:suppressAutoHyphens/>
              <w:spacing w:after="0" w:line="240" w:lineRule="auto"/>
              <w:ind w:left="-54"/>
              <w:jc w:val="right"/>
              <w:rPr>
                <w:rFonts w:ascii="Arial" w:hAnsi="Arial" w:cs="Arial"/>
                <w:b/>
                <w:bCs/>
                <w:color w:val="262626"/>
                <w:sz w:val="16"/>
                <w:szCs w:val="16"/>
              </w:rPr>
            </w:pPr>
            <w:r>
              <w:rPr>
                <w:rFonts w:ascii="Arial" w:hAnsi="Arial" w:cs="Arial"/>
                <w:b/>
                <w:bCs/>
                <w:color w:val="262626"/>
                <w:sz w:val="16"/>
                <w:szCs w:val="16"/>
              </w:rPr>
              <w:t>594,358</w:t>
            </w:r>
          </w:p>
        </w:tc>
        <w:tc>
          <w:tcPr>
            <w:tcW w:w="910" w:type="dxa"/>
            <w:tcBorders>
              <w:top w:val="single" w:sz="6" w:space="0" w:color="000000" w:themeColor="text1"/>
              <w:bottom w:val="double" w:sz="6" w:space="0" w:color="000000" w:themeColor="text1"/>
            </w:tcBorders>
            <w:vAlign w:val="center"/>
          </w:tcPr>
          <w:p w14:paraId="35D6FE1A" w14:textId="77777777" w:rsidR="0056738E" w:rsidRDefault="0056738E" w:rsidP="007C2AEE">
            <w:pPr>
              <w:tabs>
                <w:tab w:val="right" w:pos="7560"/>
                <w:tab w:val="right" w:pos="9000"/>
              </w:tabs>
              <w:suppressAutoHyphens/>
              <w:spacing w:after="0" w:line="240" w:lineRule="auto"/>
              <w:ind w:left="-136"/>
              <w:jc w:val="right"/>
              <w:rPr>
                <w:rFonts w:ascii="Arial" w:hAnsi="Arial" w:cs="Arial"/>
                <w:b/>
                <w:bCs/>
                <w:color w:val="262626"/>
                <w:sz w:val="16"/>
                <w:szCs w:val="16"/>
              </w:rPr>
            </w:pPr>
            <w:r>
              <w:rPr>
                <w:rFonts w:ascii="Arial" w:hAnsi="Arial" w:cs="Arial"/>
                <w:b/>
                <w:bCs/>
                <w:color w:val="262626"/>
                <w:sz w:val="16"/>
                <w:szCs w:val="16"/>
              </w:rPr>
              <w:t>326</w:t>
            </w:r>
          </w:p>
        </w:tc>
        <w:tc>
          <w:tcPr>
            <w:tcW w:w="790" w:type="dxa"/>
            <w:tcBorders>
              <w:top w:val="single" w:sz="6" w:space="0" w:color="000000" w:themeColor="text1"/>
              <w:bottom w:val="double" w:sz="6" w:space="0" w:color="000000" w:themeColor="text1"/>
            </w:tcBorders>
            <w:vAlign w:val="center"/>
          </w:tcPr>
          <w:p w14:paraId="13DEEBD0" w14:textId="77777777" w:rsidR="0056738E" w:rsidRPr="00BD5038" w:rsidRDefault="0056738E" w:rsidP="007C2AEE">
            <w:pPr>
              <w:tabs>
                <w:tab w:val="right" w:pos="7560"/>
                <w:tab w:val="right" w:pos="9000"/>
              </w:tabs>
              <w:suppressAutoHyphens/>
              <w:spacing w:after="0" w:line="240" w:lineRule="auto"/>
              <w:ind w:left="-136"/>
              <w:jc w:val="right"/>
              <w:rPr>
                <w:rFonts w:ascii="Arial" w:hAnsi="Arial" w:cs="Arial"/>
                <w:b/>
                <w:bCs/>
                <w:color w:val="262626"/>
                <w:sz w:val="16"/>
                <w:szCs w:val="16"/>
              </w:rPr>
            </w:pPr>
            <w:r>
              <w:rPr>
                <w:rFonts w:ascii="Arial" w:hAnsi="Arial" w:cs="Arial"/>
                <w:b/>
                <w:bCs/>
                <w:color w:val="262626"/>
                <w:sz w:val="16"/>
                <w:szCs w:val="16"/>
              </w:rPr>
              <w:t>(22,582)</w:t>
            </w:r>
          </w:p>
        </w:tc>
        <w:tc>
          <w:tcPr>
            <w:tcW w:w="993" w:type="dxa"/>
            <w:tcBorders>
              <w:top w:val="single" w:sz="6" w:space="0" w:color="000000" w:themeColor="text1"/>
              <w:bottom w:val="double" w:sz="6" w:space="0" w:color="000000" w:themeColor="text1"/>
            </w:tcBorders>
            <w:shd w:val="clear" w:color="auto" w:fill="FFFFFF" w:themeFill="background1"/>
            <w:vAlign w:val="center"/>
          </w:tcPr>
          <w:p w14:paraId="6A09562A" w14:textId="77777777" w:rsidR="0056738E" w:rsidRPr="00C31B75" w:rsidRDefault="0056738E" w:rsidP="007C2AEE">
            <w:pPr>
              <w:tabs>
                <w:tab w:val="right" w:pos="7560"/>
                <w:tab w:val="right" w:pos="9000"/>
              </w:tabs>
              <w:suppressAutoHyphens/>
              <w:spacing w:after="0" w:line="240" w:lineRule="auto"/>
              <w:ind w:left="-136"/>
              <w:jc w:val="right"/>
              <w:rPr>
                <w:rFonts w:ascii="Arial" w:hAnsi="Arial" w:cs="Arial"/>
                <w:b/>
                <w:bCs/>
                <w:color w:val="262626"/>
                <w:sz w:val="16"/>
                <w:szCs w:val="16"/>
                <w:lang w:val="en-US"/>
              </w:rPr>
            </w:pPr>
            <w:r>
              <w:rPr>
                <w:rFonts w:ascii="Arial" w:hAnsi="Arial" w:cs="Arial"/>
                <w:b/>
                <w:bCs/>
                <w:color w:val="262626"/>
                <w:sz w:val="16"/>
                <w:szCs w:val="16"/>
                <w:lang w:val="en-US"/>
              </w:rPr>
              <w:t>1,656</w:t>
            </w:r>
          </w:p>
        </w:tc>
        <w:tc>
          <w:tcPr>
            <w:tcW w:w="993" w:type="dxa"/>
            <w:tcBorders>
              <w:top w:val="single" w:sz="6" w:space="0" w:color="000000" w:themeColor="text1"/>
              <w:bottom w:val="double" w:sz="6" w:space="0" w:color="000000" w:themeColor="text1"/>
            </w:tcBorders>
            <w:shd w:val="clear" w:color="auto" w:fill="FFFFFF" w:themeFill="background1"/>
            <w:vAlign w:val="center"/>
          </w:tcPr>
          <w:p w14:paraId="033B6DAA" w14:textId="77777777" w:rsidR="0056738E" w:rsidRPr="00955C85" w:rsidRDefault="0056738E" w:rsidP="007C2AEE">
            <w:pPr>
              <w:tabs>
                <w:tab w:val="right" w:pos="7560"/>
                <w:tab w:val="right" w:pos="9000"/>
              </w:tabs>
              <w:suppressAutoHyphens/>
              <w:spacing w:after="0" w:line="240" w:lineRule="auto"/>
              <w:ind w:left="-136"/>
              <w:jc w:val="right"/>
              <w:rPr>
                <w:rFonts w:ascii="Arial" w:hAnsi="Arial" w:cs="Arial"/>
                <w:color w:val="262626"/>
                <w:sz w:val="16"/>
                <w:szCs w:val="16"/>
                <w:lang w:val="en-US"/>
              </w:rPr>
            </w:pPr>
            <w:r>
              <w:rPr>
                <w:rFonts w:ascii="Arial" w:hAnsi="Arial" w:cs="Arial"/>
                <w:b/>
                <w:bCs/>
                <w:color w:val="262626"/>
                <w:sz w:val="16"/>
                <w:szCs w:val="16"/>
                <w:lang w:val="en-US"/>
              </w:rPr>
              <w:t>1,781,413</w:t>
            </w:r>
          </w:p>
        </w:tc>
        <w:tc>
          <w:tcPr>
            <w:tcW w:w="1134" w:type="dxa"/>
            <w:tcBorders>
              <w:top w:val="single" w:sz="6" w:space="0" w:color="000000" w:themeColor="text1"/>
              <w:bottom w:val="double" w:sz="6" w:space="0" w:color="000000" w:themeColor="text1"/>
            </w:tcBorders>
            <w:shd w:val="clear" w:color="auto" w:fill="auto"/>
            <w:vAlign w:val="center"/>
          </w:tcPr>
          <w:p w14:paraId="19EAD586" w14:textId="77777777" w:rsidR="0056738E" w:rsidRPr="00BD5038" w:rsidRDefault="0056738E" w:rsidP="007C2AEE">
            <w:pPr>
              <w:tabs>
                <w:tab w:val="right" w:pos="7560"/>
                <w:tab w:val="right" w:pos="9000"/>
              </w:tabs>
              <w:suppressAutoHyphens/>
              <w:spacing w:after="0" w:line="240" w:lineRule="auto"/>
              <w:jc w:val="right"/>
              <w:rPr>
                <w:rFonts w:ascii="Arial" w:hAnsi="Arial" w:cs="Arial"/>
                <w:b/>
                <w:bCs/>
                <w:color w:val="262626"/>
                <w:sz w:val="16"/>
                <w:szCs w:val="16"/>
              </w:rPr>
            </w:pPr>
            <w:r>
              <w:rPr>
                <w:rFonts w:ascii="Arial" w:hAnsi="Arial" w:cs="Arial"/>
                <w:b/>
                <w:bCs/>
                <w:color w:val="262626"/>
                <w:sz w:val="16"/>
                <w:szCs w:val="16"/>
              </w:rPr>
              <w:t>84,361</w:t>
            </w:r>
          </w:p>
        </w:tc>
        <w:tc>
          <w:tcPr>
            <w:tcW w:w="1134" w:type="dxa"/>
            <w:tcBorders>
              <w:top w:val="single" w:sz="6" w:space="0" w:color="000000" w:themeColor="text1"/>
              <w:bottom w:val="double" w:sz="6" w:space="0" w:color="000000" w:themeColor="text1"/>
            </w:tcBorders>
            <w:shd w:val="clear" w:color="auto" w:fill="auto"/>
            <w:vAlign w:val="center"/>
          </w:tcPr>
          <w:p w14:paraId="610E2316" w14:textId="77777777" w:rsidR="0056738E" w:rsidRPr="00BD5038" w:rsidRDefault="0056738E" w:rsidP="007C2AEE">
            <w:pPr>
              <w:tabs>
                <w:tab w:val="right" w:pos="7560"/>
                <w:tab w:val="right" w:pos="9000"/>
              </w:tabs>
              <w:suppressAutoHyphens/>
              <w:spacing w:after="0" w:line="240" w:lineRule="auto"/>
              <w:jc w:val="right"/>
              <w:rPr>
                <w:rFonts w:ascii="Arial" w:hAnsi="Arial" w:cs="Arial"/>
                <w:b/>
                <w:bCs/>
                <w:color w:val="262626"/>
                <w:sz w:val="16"/>
                <w:szCs w:val="16"/>
                <w:lang w:val="en-US"/>
              </w:rPr>
            </w:pPr>
            <w:r>
              <w:rPr>
                <w:rFonts w:ascii="Arial" w:hAnsi="Arial" w:cs="Arial"/>
                <w:b/>
                <w:bCs/>
                <w:color w:val="262626"/>
                <w:sz w:val="16"/>
                <w:szCs w:val="16"/>
                <w:lang w:val="en-US"/>
              </w:rPr>
              <w:t>7,575</w:t>
            </w:r>
          </w:p>
        </w:tc>
        <w:tc>
          <w:tcPr>
            <w:tcW w:w="1134" w:type="dxa"/>
            <w:tcBorders>
              <w:top w:val="single" w:sz="6" w:space="0" w:color="000000" w:themeColor="text1"/>
              <w:bottom w:val="double" w:sz="6" w:space="0" w:color="000000" w:themeColor="text1"/>
            </w:tcBorders>
            <w:shd w:val="clear" w:color="auto" w:fill="auto"/>
            <w:vAlign w:val="center"/>
          </w:tcPr>
          <w:p w14:paraId="7664F6AE" w14:textId="77777777" w:rsidR="0056738E" w:rsidRPr="00BD5038" w:rsidRDefault="0056738E" w:rsidP="007C2AEE">
            <w:pPr>
              <w:tabs>
                <w:tab w:val="right" w:pos="7560"/>
                <w:tab w:val="right" w:pos="9000"/>
              </w:tabs>
              <w:suppressAutoHyphens/>
              <w:spacing w:after="0" w:line="240" w:lineRule="auto"/>
              <w:jc w:val="right"/>
              <w:rPr>
                <w:rFonts w:ascii="Arial" w:hAnsi="Arial" w:cs="Arial"/>
                <w:b/>
                <w:bCs/>
                <w:color w:val="262626"/>
                <w:sz w:val="16"/>
                <w:szCs w:val="16"/>
                <w:lang w:val="en-US"/>
              </w:rPr>
            </w:pPr>
            <w:r>
              <w:rPr>
                <w:rFonts w:ascii="Arial" w:hAnsi="Arial" w:cs="Arial"/>
                <w:b/>
                <w:bCs/>
                <w:color w:val="262626"/>
                <w:sz w:val="16"/>
                <w:szCs w:val="16"/>
                <w:lang w:val="en-US"/>
              </w:rPr>
              <w:t>16,684</w:t>
            </w:r>
          </w:p>
        </w:tc>
        <w:tc>
          <w:tcPr>
            <w:tcW w:w="973" w:type="dxa"/>
            <w:tcBorders>
              <w:top w:val="single" w:sz="6" w:space="0" w:color="000000" w:themeColor="text1"/>
              <w:bottom w:val="double" w:sz="6" w:space="0" w:color="000000" w:themeColor="text1"/>
            </w:tcBorders>
            <w:shd w:val="clear" w:color="auto" w:fill="auto"/>
            <w:vAlign w:val="center"/>
          </w:tcPr>
          <w:p w14:paraId="1A585C70" w14:textId="77777777" w:rsidR="0056738E" w:rsidRPr="00542641" w:rsidRDefault="0056738E" w:rsidP="007C2AEE">
            <w:pPr>
              <w:tabs>
                <w:tab w:val="right" w:pos="7560"/>
                <w:tab w:val="right" w:pos="9000"/>
              </w:tabs>
              <w:suppressAutoHyphens/>
              <w:spacing w:after="0" w:line="240" w:lineRule="auto"/>
              <w:ind w:left="-150" w:right="30"/>
              <w:jc w:val="right"/>
              <w:rPr>
                <w:rFonts w:ascii="Arial" w:hAnsi="Arial" w:cs="Arial"/>
                <w:b/>
                <w:bCs/>
                <w:color w:val="262626"/>
                <w:sz w:val="16"/>
                <w:szCs w:val="16"/>
                <w:lang w:val="en-US"/>
              </w:rPr>
            </w:pPr>
            <w:r>
              <w:rPr>
                <w:rFonts w:ascii="Arial" w:hAnsi="Arial" w:cs="Arial"/>
                <w:b/>
                <w:bCs/>
                <w:color w:val="262626"/>
                <w:sz w:val="16"/>
                <w:szCs w:val="16"/>
                <w:lang w:val="en-US"/>
              </w:rPr>
              <w:t>2,508,085</w:t>
            </w:r>
          </w:p>
        </w:tc>
        <w:tc>
          <w:tcPr>
            <w:tcW w:w="1011" w:type="dxa"/>
            <w:tcBorders>
              <w:top w:val="single" w:sz="6" w:space="0" w:color="000000" w:themeColor="text1"/>
              <w:bottom w:val="double" w:sz="6" w:space="0" w:color="000000" w:themeColor="text1"/>
            </w:tcBorders>
            <w:shd w:val="clear" w:color="auto" w:fill="auto"/>
            <w:vAlign w:val="center"/>
          </w:tcPr>
          <w:p w14:paraId="4ADEE577" w14:textId="77777777" w:rsidR="0056738E" w:rsidRPr="00BD5038" w:rsidRDefault="0056738E" w:rsidP="007C2AEE">
            <w:pPr>
              <w:tabs>
                <w:tab w:val="right" w:pos="7560"/>
                <w:tab w:val="right" w:pos="9000"/>
              </w:tabs>
              <w:suppressAutoHyphens/>
              <w:spacing w:after="0" w:line="240" w:lineRule="auto"/>
              <w:jc w:val="right"/>
              <w:rPr>
                <w:rFonts w:ascii="Arial" w:hAnsi="Arial" w:cs="Arial"/>
                <w:b/>
                <w:bCs/>
                <w:color w:val="262626"/>
                <w:sz w:val="16"/>
                <w:szCs w:val="16"/>
                <w:lang w:val="en-US"/>
              </w:rPr>
            </w:pPr>
            <w:r>
              <w:rPr>
                <w:rFonts w:ascii="Arial" w:hAnsi="Arial" w:cs="Arial"/>
                <w:b/>
                <w:bCs/>
                <w:color w:val="262626"/>
                <w:sz w:val="16"/>
                <w:szCs w:val="16"/>
                <w:lang w:val="en-US"/>
              </w:rPr>
              <w:t>220,000</w:t>
            </w:r>
          </w:p>
        </w:tc>
        <w:tc>
          <w:tcPr>
            <w:tcW w:w="992" w:type="dxa"/>
            <w:tcBorders>
              <w:top w:val="single" w:sz="6" w:space="0" w:color="000000" w:themeColor="text1"/>
              <w:bottom w:val="double" w:sz="6" w:space="0" w:color="000000" w:themeColor="text1"/>
            </w:tcBorders>
            <w:vAlign w:val="center"/>
          </w:tcPr>
          <w:p w14:paraId="6415E995" w14:textId="77777777" w:rsidR="0056738E" w:rsidRPr="00542641" w:rsidRDefault="0056738E" w:rsidP="007C2AEE">
            <w:pPr>
              <w:tabs>
                <w:tab w:val="left" w:pos="749"/>
                <w:tab w:val="right" w:pos="7560"/>
                <w:tab w:val="right" w:pos="9000"/>
              </w:tabs>
              <w:suppressAutoHyphens/>
              <w:spacing w:after="0" w:line="240" w:lineRule="auto"/>
              <w:ind w:left="-136"/>
              <w:jc w:val="right"/>
              <w:rPr>
                <w:rFonts w:ascii="Arial" w:hAnsi="Arial" w:cs="Arial"/>
                <w:b/>
                <w:bCs/>
                <w:color w:val="262626"/>
                <w:sz w:val="16"/>
                <w:szCs w:val="16"/>
                <w:lang w:val="en-US"/>
              </w:rPr>
            </w:pPr>
            <w:r>
              <w:rPr>
                <w:rFonts w:ascii="Arial" w:hAnsi="Arial" w:cs="Arial"/>
                <w:b/>
                <w:bCs/>
                <w:color w:val="262626"/>
                <w:sz w:val="16"/>
                <w:szCs w:val="16"/>
                <w:lang w:val="en-US"/>
              </w:rPr>
              <w:t>22,812</w:t>
            </w:r>
          </w:p>
        </w:tc>
        <w:tc>
          <w:tcPr>
            <w:tcW w:w="1101" w:type="dxa"/>
            <w:tcBorders>
              <w:top w:val="single" w:sz="6" w:space="0" w:color="000000" w:themeColor="text1"/>
              <w:bottom w:val="double" w:sz="6" w:space="0" w:color="000000" w:themeColor="text1"/>
            </w:tcBorders>
            <w:shd w:val="clear" w:color="auto" w:fill="auto"/>
            <w:vAlign w:val="center"/>
          </w:tcPr>
          <w:p w14:paraId="37AEF3CA" w14:textId="77777777" w:rsidR="0056738E" w:rsidRPr="00542641" w:rsidRDefault="0056738E" w:rsidP="007C2AEE">
            <w:pPr>
              <w:tabs>
                <w:tab w:val="left" w:pos="749"/>
                <w:tab w:val="right" w:pos="7560"/>
                <w:tab w:val="right" w:pos="9000"/>
              </w:tabs>
              <w:suppressAutoHyphens/>
              <w:spacing w:after="0" w:line="240" w:lineRule="auto"/>
              <w:ind w:left="-136" w:right="34"/>
              <w:jc w:val="right"/>
              <w:rPr>
                <w:rFonts w:ascii="Arial" w:hAnsi="Arial" w:cs="Arial"/>
                <w:b/>
                <w:bCs/>
                <w:color w:val="262626"/>
                <w:sz w:val="16"/>
                <w:szCs w:val="16"/>
                <w:lang w:val="en-US"/>
              </w:rPr>
            </w:pPr>
            <w:r>
              <w:rPr>
                <w:rFonts w:ascii="Arial" w:hAnsi="Arial" w:cs="Arial"/>
                <w:b/>
                <w:bCs/>
                <w:color w:val="262626"/>
                <w:sz w:val="16"/>
                <w:szCs w:val="16"/>
                <w:lang w:val="en-US"/>
              </w:rPr>
              <w:t>2,750,897</w:t>
            </w:r>
          </w:p>
        </w:tc>
      </w:tr>
      <w:tr w:rsidR="0056738E" w:rsidRPr="00551D75" w14:paraId="1AFB0310" w14:textId="77777777" w:rsidTr="007C2AEE">
        <w:trPr>
          <w:trHeight w:val="340"/>
          <w:jc w:val="center"/>
        </w:trPr>
        <w:tc>
          <w:tcPr>
            <w:tcW w:w="2268" w:type="dxa"/>
            <w:tcBorders>
              <w:left w:val="nil"/>
              <w:bottom w:val="nil"/>
              <w:right w:val="nil"/>
            </w:tcBorders>
            <w:shd w:val="clear" w:color="auto" w:fill="auto"/>
            <w:vAlign w:val="center"/>
          </w:tcPr>
          <w:p w14:paraId="0B5A75B5" w14:textId="77777777" w:rsidR="0056738E" w:rsidRDefault="0056738E" w:rsidP="007C2AEE">
            <w:pPr>
              <w:tabs>
                <w:tab w:val="left" w:pos="0"/>
                <w:tab w:val="right" w:pos="7560"/>
                <w:tab w:val="right" w:pos="9000"/>
              </w:tabs>
              <w:suppressAutoHyphens/>
              <w:spacing w:after="0" w:line="240" w:lineRule="auto"/>
              <w:rPr>
                <w:rFonts w:ascii="Arial" w:hAnsi="Arial" w:cs="Arial"/>
                <w:b/>
                <w:bCs/>
                <w:color w:val="262626"/>
                <w:sz w:val="15"/>
                <w:szCs w:val="15"/>
                <w:lang w:val="el-GR"/>
              </w:rPr>
            </w:pPr>
          </w:p>
        </w:tc>
        <w:tc>
          <w:tcPr>
            <w:tcW w:w="850" w:type="dxa"/>
            <w:tcBorders>
              <w:top w:val="double" w:sz="6" w:space="0" w:color="000000" w:themeColor="text1"/>
              <w:left w:val="nil"/>
              <w:bottom w:val="nil"/>
              <w:right w:val="nil"/>
            </w:tcBorders>
            <w:shd w:val="clear" w:color="auto" w:fill="auto"/>
            <w:vAlign w:val="center"/>
          </w:tcPr>
          <w:p w14:paraId="28625342" w14:textId="77777777" w:rsidR="0056738E" w:rsidRDefault="0056738E" w:rsidP="007C2AEE">
            <w:pPr>
              <w:tabs>
                <w:tab w:val="right" w:pos="7560"/>
                <w:tab w:val="right" w:pos="9000"/>
              </w:tabs>
              <w:suppressAutoHyphens/>
              <w:spacing w:after="0" w:line="240" w:lineRule="auto"/>
              <w:jc w:val="right"/>
              <w:rPr>
                <w:rFonts w:ascii="Arial" w:hAnsi="Arial" w:cs="Arial"/>
                <w:b/>
                <w:bCs/>
                <w:color w:val="262626"/>
                <w:sz w:val="16"/>
                <w:szCs w:val="16"/>
              </w:rPr>
            </w:pPr>
          </w:p>
        </w:tc>
        <w:tc>
          <w:tcPr>
            <w:tcW w:w="1070" w:type="dxa"/>
            <w:tcBorders>
              <w:top w:val="double" w:sz="6" w:space="0" w:color="000000" w:themeColor="text1"/>
              <w:left w:val="nil"/>
              <w:bottom w:val="nil"/>
              <w:right w:val="nil"/>
            </w:tcBorders>
            <w:vAlign w:val="center"/>
          </w:tcPr>
          <w:p w14:paraId="5F20CEC9" w14:textId="77777777" w:rsidR="0056738E" w:rsidRDefault="0056738E" w:rsidP="007C2AEE">
            <w:pPr>
              <w:tabs>
                <w:tab w:val="right" w:pos="7560"/>
                <w:tab w:val="right" w:pos="9000"/>
              </w:tabs>
              <w:suppressAutoHyphens/>
              <w:spacing w:after="0" w:line="240" w:lineRule="auto"/>
              <w:ind w:left="-54"/>
              <w:jc w:val="right"/>
              <w:rPr>
                <w:rFonts w:ascii="Arial" w:hAnsi="Arial" w:cs="Arial"/>
                <w:b/>
                <w:bCs/>
                <w:color w:val="262626"/>
                <w:sz w:val="16"/>
                <w:szCs w:val="16"/>
              </w:rPr>
            </w:pPr>
          </w:p>
        </w:tc>
        <w:tc>
          <w:tcPr>
            <w:tcW w:w="910" w:type="dxa"/>
            <w:tcBorders>
              <w:top w:val="double" w:sz="6" w:space="0" w:color="000000" w:themeColor="text1"/>
              <w:left w:val="nil"/>
              <w:bottom w:val="nil"/>
              <w:right w:val="nil"/>
            </w:tcBorders>
          </w:tcPr>
          <w:p w14:paraId="08A9DDA0" w14:textId="77777777" w:rsidR="0056738E" w:rsidRDefault="0056738E" w:rsidP="007C2AEE">
            <w:pPr>
              <w:tabs>
                <w:tab w:val="right" w:pos="7560"/>
                <w:tab w:val="right" w:pos="9000"/>
              </w:tabs>
              <w:suppressAutoHyphens/>
              <w:spacing w:after="0" w:line="240" w:lineRule="auto"/>
              <w:ind w:left="-136"/>
              <w:jc w:val="right"/>
              <w:rPr>
                <w:rFonts w:ascii="Arial" w:hAnsi="Arial" w:cs="Arial"/>
                <w:b/>
                <w:bCs/>
                <w:color w:val="262626"/>
                <w:sz w:val="16"/>
                <w:szCs w:val="16"/>
              </w:rPr>
            </w:pPr>
          </w:p>
        </w:tc>
        <w:tc>
          <w:tcPr>
            <w:tcW w:w="790" w:type="dxa"/>
            <w:tcBorders>
              <w:top w:val="double" w:sz="6" w:space="0" w:color="000000" w:themeColor="text1"/>
              <w:left w:val="nil"/>
              <w:bottom w:val="nil"/>
              <w:right w:val="nil"/>
            </w:tcBorders>
            <w:vAlign w:val="center"/>
          </w:tcPr>
          <w:p w14:paraId="77A7E61D" w14:textId="77777777" w:rsidR="0056738E" w:rsidRDefault="0056738E" w:rsidP="007C2AEE">
            <w:pPr>
              <w:tabs>
                <w:tab w:val="right" w:pos="7560"/>
                <w:tab w:val="right" w:pos="9000"/>
              </w:tabs>
              <w:suppressAutoHyphens/>
              <w:spacing w:after="0" w:line="240" w:lineRule="auto"/>
              <w:ind w:left="-136"/>
              <w:jc w:val="right"/>
              <w:rPr>
                <w:rFonts w:ascii="Arial" w:hAnsi="Arial" w:cs="Arial"/>
                <w:b/>
                <w:bCs/>
                <w:color w:val="262626"/>
                <w:sz w:val="16"/>
                <w:szCs w:val="16"/>
              </w:rPr>
            </w:pPr>
          </w:p>
        </w:tc>
        <w:tc>
          <w:tcPr>
            <w:tcW w:w="993" w:type="dxa"/>
            <w:tcBorders>
              <w:top w:val="double" w:sz="6" w:space="0" w:color="000000" w:themeColor="text1"/>
              <w:left w:val="nil"/>
              <w:bottom w:val="nil"/>
              <w:right w:val="nil"/>
            </w:tcBorders>
            <w:shd w:val="clear" w:color="auto" w:fill="FFFFFF" w:themeFill="background1"/>
          </w:tcPr>
          <w:p w14:paraId="7F33E011" w14:textId="77777777" w:rsidR="0056738E" w:rsidRDefault="0056738E" w:rsidP="007C2AEE">
            <w:pPr>
              <w:tabs>
                <w:tab w:val="right" w:pos="7560"/>
                <w:tab w:val="right" w:pos="9000"/>
              </w:tabs>
              <w:suppressAutoHyphens/>
              <w:spacing w:after="0" w:line="240" w:lineRule="auto"/>
              <w:ind w:left="-136"/>
              <w:jc w:val="right"/>
              <w:rPr>
                <w:rFonts w:ascii="Arial" w:hAnsi="Arial" w:cs="Arial"/>
                <w:b/>
                <w:bCs/>
                <w:color w:val="262626"/>
                <w:sz w:val="16"/>
                <w:szCs w:val="16"/>
                <w:lang w:val="en-US"/>
              </w:rPr>
            </w:pPr>
          </w:p>
        </w:tc>
        <w:tc>
          <w:tcPr>
            <w:tcW w:w="993" w:type="dxa"/>
            <w:tcBorders>
              <w:top w:val="double" w:sz="6" w:space="0" w:color="000000" w:themeColor="text1"/>
              <w:left w:val="nil"/>
              <w:bottom w:val="nil"/>
              <w:right w:val="nil"/>
            </w:tcBorders>
            <w:shd w:val="clear" w:color="auto" w:fill="FFFFFF" w:themeFill="background1"/>
            <w:vAlign w:val="center"/>
          </w:tcPr>
          <w:p w14:paraId="0427DDFF" w14:textId="77777777" w:rsidR="0056738E" w:rsidRDefault="0056738E" w:rsidP="007C2AEE">
            <w:pPr>
              <w:tabs>
                <w:tab w:val="right" w:pos="7560"/>
                <w:tab w:val="right" w:pos="9000"/>
              </w:tabs>
              <w:suppressAutoHyphens/>
              <w:spacing w:after="0" w:line="240" w:lineRule="auto"/>
              <w:ind w:left="-136"/>
              <w:jc w:val="right"/>
              <w:rPr>
                <w:rFonts w:ascii="Arial" w:hAnsi="Arial" w:cs="Arial"/>
                <w:b/>
                <w:bCs/>
                <w:color w:val="262626"/>
                <w:sz w:val="16"/>
                <w:szCs w:val="16"/>
                <w:lang w:val="en-US"/>
              </w:rPr>
            </w:pPr>
          </w:p>
        </w:tc>
        <w:tc>
          <w:tcPr>
            <w:tcW w:w="1134" w:type="dxa"/>
            <w:tcBorders>
              <w:top w:val="double" w:sz="6" w:space="0" w:color="000000" w:themeColor="text1"/>
              <w:left w:val="nil"/>
              <w:bottom w:val="nil"/>
              <w:right w:val="nil"/>
            </w:tcBorders>
            <w:shd w:val="clear" w:color="auto" w:fill="auto"/>
            <w:vAlign w:val="center"/>
          </w:tcPr>
          <w:p w14:paraId="087C2FD2" w14:textId="77777777" w:rsidR="0056738E" w:rsidRDefault="0056738E" w:rsidP="007C2AEE">
            <w:pPr>
              <w:tabs>
                <w:tab w:val="right" w:pos="7560"/>
                <w:tab w:val="right" w:pos="9000"/>
              </w:tabs>
              <w:suppressAutoHyphens/>
              <w:spacing w:after="0" w:line="240" w:lineRule="auto"/>
              <w:jc w:val="right"/>
              <w:rPr>
                <w:rFonts w:ascii="Arial" w:hAnsi="Arial" w:cs="Arial"/>
                <w:b/>
                <w:bCs/>
                <w:color w:val="262626"/>
                <w:sz w:val="16"/>
                <w:szCs w:val="16"/>
              </w:rPr>
            </w:pPr>
          </w:p>
        </w:tc>
        <w:tc>
          <w:tcPr>
            <w:tcW w:w="1134" w:type="dxa"/>
            <w:tcBorders>
              <w:top w:val="double" w:sz="6" w:space="0" w:color="000000" w:themeColor="text1"/>
              <w:left w:val="nil"/>
              <w:bottom w:val="nil"/>
              <w:right w:val="nil"/>
            </w:tcBorders>
            <w:shd w:val="clear" w:color="auto" w:fill="auto"/>
            <w:vAlign w:val="center"/>
          </w:tcPr>
          <w:p w14:paraId="1F4336E6" w14:textId="77777777" w:rsidR="0056738E" w:rsidRDefault="0056738E" w:rsidP="007C2AEE">
            <w:pPr>
              <w:tabs>
                <w:tab w:val="right" w:pos="7560"/>
                <w:tab w:val="right" w:pos="9000"/>
              </w:tabs>
              <w:suppressAutoHyphens/>
              <w:spacing w:after="0" w:line="240" w:lineRule="auto"/>
              <w:jc w:val="right"/>
              <w:rPr>
                <w:rFonts w:ascii="Arial" w:hAnsi="Arial" w:cs="Arial"/>
                <w:b/>
                <w:bCs/>
                <w:color w:val="262626"/>
                <w:sz w:val="16"/>
                <w:szCs w:val="16"/>
                <w:lang w:val="en-US"/>
              </w:rPr>
            </w:pPr>
          </w:p>
        </w:tc>
        <w:tc>
          <w:tcPr>
            <w:tcW w:w="1134" w:type="dxa"/>
            <w:tcBorders>
              <w:top w:val="double" w:sz="6" w:space="0" w:color="000000" w:themeColor="text1"/>
              <w:left w:val="nil"/>
              <w:bottom w:val="nil"/>
              <w:right w:val="nil"/>
            </w:tcBorders>
            <w:shd w:val="clear" w:color="auto" w:fill="auto"/>
            <w:vAlign w:val="center"/>
          </w:tcPr>
          <w:p w14:paraId="709DE474" w14:textId="77777777" w:rsidR="0056738E" w:rsidRDefault="0056738E" w:rsidP="007C2AEE">
            <w:pPr>
              <w:tabs>
                <w:tab w:val="right" w:pos="7560"/>
                <w:tab w:val="right" w:pos="9000"/>
              </w:tabs>
              <w:suppressAutoHyphens/>
              <w:spacing w:after="0" w:line="240" w:lineRule="auto"/>
              <w:jc w:val="right"/>
              <w:rPr>
                <w:rFonts w:ascii="Arial" w:hAnsi="Arial" w:cs="Arial"/>
                <w:b/>
                <w:bCs/>
                <w:color w:val="262626"/>
                <w:sz w:val="16"/>
                <w:szCs w:val="16"/>
                <w:lang w:val="en-US"/>
              </w:rPr>
            </w:pPr>
          </w:p>
        </w:tc>
        <w:tc>
          <w:tcPr>
            <w:tcW w:w="973" w:type="dxa"/>
            <w:tcBorders>
              <w:top w:val="double" w:sz="6" w:space="0" w:color="000000" w:themeColor="text1"/>
              <w:left w:val="nil"/>
              <w:bottom w:val="nil"/>
              <w:right w:val="nil"/>
            </w:tcBorders>
            <w:shd w:val="clear" w:color="auto" w:fill="auto"/>
            <w:vAlign w:val="center"/>
          </w:tcPr>
          <w:p w14:paraId="74521A3E" w14:textId="77777777" w:rsidR="0056738E" w:rsidRDefault="0056738E" w:rsidP="007C2AEE">
            <w:pPr>
              <w:tabs>
                <w:tab w:val="right" w:pos="7560"/>
                <w:tab w:val="right" w:pos="9000"/>
              </w:tabs>
              <w:suppressAutoHyphens/>
              <w:spacing w:after="0" w:line="240" w:lineRule="auto"/>
              <w:ind w:left="-150" w:right="30"/>
              <w:jc w:val="right"/>
              <w:rPr>
                <w:rFonts w:ascii="Arial" w:hAnsi="Arial" w:cs="Arial"/>
                <w:b/>
                <w:bCs/>
                <w:color w:val="262626"/>
                <w:sz w:val="16"/>
                <w:szCs w:val="16"/>
                <w:lang w:val="en-US"/>
              </w:rPr>
            </w:pPr>
          </w:p>
        </w:tc>
        <w:tc>
          <w:tcPr>
            <w:tcW w:w="1011" w:type="dxa"/>
            <w:tcBorders>
              <w:top w:val="double" w:sz="6" w:space="0" w:color="000000" w:themeColor="text1"/>
              <w:left w:val="nil"/>
              <w:bottom w:val="nil"/>
              <w:right w:val="nil"/>
            </w:tcBorders>
            <w:shd w:val="clear" w:color="auto" w:fill="auto"/>
            <w:vAlign w:val="center"/>
          </w:tcPr>
          <w:p w14:paraId="0CC5B024" w14:textId="77777777" w:rsidR="0056738E" w:rsidRDefault="0056738E" w:rsidP="007C2AEE">
            <w:pPr>
              <w:tabs>
                <w:tab w:val="right" w:pos="7560"/>
                <w:tab w:val="right" w:pos="9000"/>
              </w:tabs>
              <w:suppressAutoHyphens/>
              <w:spacing w:after="0" w:line="240" w:lineRule="auto"/>
              <w:jc w:val="right"/>
              <w:rPr>
                <w:rFonts w:ascii="Arial" w:hAnsi="Arial" w:cs="Arial"/>
                <w:b/>
                <w:bCs/>
                <w:color w:val="262626"/>
                <w:sz w:val="16"/>
                <w:szCs w:val="16"/>
                <w:lang w:val="en-US"/>
              </w:rPr>
            </w:pPr>
          </w:p>
        </w:tc>
        <w:tc>
          <w:tcPr>
            <w:tcW w:w="992" w:type="dxa"/>
            <w:tcBorders>
              <w:top w:val="double" w:sz="6" w:space="0" w:color="000000" w:themeColor="text1"/>
              <w:left w:val="nil"/>
              <w:bottom w:val="nil"/>
              <w:right w:val="nil"/>
            </w:tcBorders>
            <w:vAlign w:val="center"/>
          </w:tcPr>
          <w:p w14:paraId="1703130C" w14:textId="77777777" w:rsidR="0056738E" w:rsidRDefault="0056738E" w:rsidP="007C2AEE">
            <w:pPr>
              <w:tabs>
                <w:tab w:val="left" w:pos="749"/>
                <w:tab w:val="right" w:pos="7560"/>
                <w:tab w:val="right" w:pos="9000"/>
              </w:tabs>
              <w:suppressAutoHyphens/>
              <w:spacing w:after="0" w:line="240" w:lineRule="auto"/>
              <w:ind w:left="-136"/>
              <w:jc w:val="right"/>
              <w:rPr>
                <w:rFonts w:ascii="Arial" w:hAnsi="Arial" w:cs="Arial"/>
                <w:b/>
                <w:bCs/>
                <w:color w:val="262626"/>
                <w:sz w:val="16"/>
                <w:szCs w:val="16"/>
                <w:lang w:val="en-US"/>
              </w:rPr>
            </w:pPr>
          </w:p>
        </w:tc>
        <w:tc>
          <w:tcPr>
            <w:tcW w:w="1101" w:type="dxa"/>
            <w:tcBorders>
              <w:top w:val="double" w:sz="6" w:space="0" w:color="000000" w:themeColor="text1"/>
              <w:left w:val="nil"/>
              <w:bottom w:val="nil"/>
              <w:right w:val="nil"/>
            </w:tcBorders>
            <w:shd w:val="clear" w:color="auto" w:fill="auto"/>
            <w:vAlign w:val="center"/>
          </w:tcPr>
          <w:p w14:paraId="6BFE6F26" w14:textId="77777777" w:rsidR="0056738E" w:rsidRDefault="0056738E" w:rsidP="007C2AEE">
            <w:pPr>
              <w:tabs>
                <w:tab w:val="left" w:pos="749"/>
                <w:tab w:val="right" w:pos="7560"/>
                <w:tab w:val="right" w:pos="9000"/>
              </w:tabs>
              <w:suppressAutoHyphens/>
              <w:spacing w:after="0" w:line="240" w:lineRule="auto"/>
              <w:ind w:left="-136" w:right="34"/>
              <w:jc w:val="right"/>
              <w:rPr>
                <w:rFonts w:ascii="Arial" w:hAnsi="Arial" w:cs="Arial"/>
                <w:b/>
                <w:bCs/>
                <w:color w:val="262626"/>
                <w:sz w:val="16"/>
                <w:szCs w:val="16"/>
                <w:lang w:val="en-US"/>
              </w:rPr>
            </w:pPr>
          </w:p>
        </w:tc>
      </w:tr>
    </w:tbl>
    <w:p w14:paraId="2AB132D6" w14:textId="77777777" w:rsidR="0056738E" w:rsidRDefault="0056738E" w:rsidP="0056738E">
      <w:pPr>
        <w:rPr>
          <w:rFonts w:ascii="Arial" w:hAnsi="Arial" w:cs="Arial"/>
          <w:b/>
          <w:color w:val="FF9900"/>
          <w:szCs w:val="16"/>
          <w:lang w:val="el-GR"/>
        </w:rPr>
      </w:pPr>
      <w:r>
        <w:rPr>
          <w:rFonts w:ascii="Arial" w:hAnsi="Arial" w:cs="Arial"/>
          <w:b/>
          <w:color w:val="FF9900"/>
          <w:szCs w:val="16"/>
          <w:lang w:val="el-GR"/>
        </w:rPr>
        <w:br w:type="page"/>
      </w:r>
    </w:p>
    <w:p w14:paraId="6AF81428" w14:textId="77777777" w:rsidR="0056738E" w:rsidRDefault="0056738E" w:rsidP="0056738E">
      <w:pPr>
        <w:spacing w:after="0" w:line="360" w:lineRule="auto"/>
        <w:ind w:left="1134" w:hanging="850"/>
        <w:jc w:val="both"/>
        <w:rPr>
          <w:rFonts w:ascii="Arial" w:hAnsi="Arial" w:cs="Arial"/>
          <w:b/>
          <w:color w:val="FF9900"/>
          <w:szCs w:val="16"/>
          <w:lang w:val="el-GR"/>
        </w:rPr>
      </w:pPr>
      <w:r>
        <w:rPr>
          <w:rFonts w:ascii="Arial" w:hAnsi="Arial" w:cs="Arial"/>
          <w:b/>
          <w:color w:val="FF9900"/>
          <w:szCs w:val="16"/>
          <w:lang w:val="el-GR"/>
        </w:rPr>
        <w:lastRenderedPageBreak/>
        <w:t>Ε.</w:t>
      </w:r>
      <w:r w:rsidRPr="00FF063C">
        <w:rPr>
          <w:rFonts w:ascii="Arial" w:hAnsi="Arial" w:cs="Arial"/>
          <w:b/>
          <w:color w:val="FF9900"/>
          <w:szCs w:val="16"/>
          <w:lang w:val="el-GR"/>
        </w:rPr>
        <w:t xml:space="preserve"> </w:t>
      </w:r>
      <w:r w:rsidRPr="00D066DE">
        <w:rPr>
          <w:rFonts w:ascii="Arial" w:hAnsi="Arial" w:cs="Arial"/>
          <w:b/>
          <w:color w:val="FF9900"/>
          <w:szCs w:val="16"/>
          <w:lang w:val="el-GR"/>
        </w:rPr>
        <w:tab/>
      </w:r>
      <w:r>
        <w:rPr>
          <w:rFonts w:ascii="Arial" w:hAnsi="Arial" w:cs="Arial"/>
          <w:b/>
          <w:color w:val="FF9900"/>
          <w:szCs w:val="16"/>
          <w:lang w:val="el-GR"/>
        </w:rPr>
        <w:t>Οικονομικά αποτελέσματα στην απαιτούμενη από τη νομοθεσία βάση</w:t>
      </w:r>
      <w:r w:rsidDel="004F0230">
        <w:rPr>
          <w:rFonts w:ascii="Arial" w:hAnsi="Arial" w:cs="Arial"/>
          <w:b/>
          <w:color w:val="FF9900"/>
          <w:szCs w:val="16"/>
          <w:lang w:val="el-GR"/>
        </w:rPr>
        <w:t xml:space="preserve"> </w:t>
      </w:r>
      <w:r w:rsidRPr="007C60E2">
        <w:rPr>
          <w:rFonts w:ascii="Arial" w:hAnsi="Arial" w:cs="Arial"/>
          <w:color w:val="FF9900"/>
          <w:szCs w:val="16"/>
          <w:lang w:val="el-GR"/>
        </w:rPr>
        <w:t>(συνέχεια)</w:t>
      </w:r>
    </w:p>
    <w:p w14:paraId="4A2A2942" w14:textId="77777777" w:rsidR="0056738E" w:rsidRPr="00356696" w:rsidRDefault="0056738E" w:rsidP="0056738E">
      <w:pPr>
        <w:spacing w:after="0" w:line="360" w:lineRule="auto"/>
        <w:ind w:left="284"/>
        <w:jc w:val="both"/>
        <w:rPr>
          <w:rFonts w:ascii="Arial" w:hAnsi="Arial" w:cs="Arial"/>
          <w:b/>
          <w:color w:val="FF9900"/>
          <w:lang w:val="el-GR"/>
        </w:rPr>
      </w:pPr>
      <w:r>
        <w:rPr>
          <w:rFonts w:ascii="Arial" w:hAnsi="Arial" w:cs="Arial"/>
          <w:b/>
          <w:color w:val="FF9900"/>
          <w:szCs w:val="16"/>
          <w:lang w:val="el-GR"/>
        </w:rPr>
        <w:t xml:space="preserve">Ενδιάμεση Ενοποιημένη Κατάσταση Μεταβολών Ιδίων Κεφαλαίων </w:t>
      </w:r>
      <w:r w:rsidRPr="007C60E2">
        <w:rPr>
          <w:rFonts w:ascii="Arial" w:hAnsi="Arial" w:cs="Arial"/>
          <w:color w:val="FF9900"/>
          <w:szCs w:val="16"/>
          <w:lang w:val="el-GR"/>
        </w:rPr>
        <w:t>(συνέχεια)</w:t>
      </w:r>
    </w:p>
    <w:tbl>
      <w:tblPr>
        <w:tblW w:w="14714"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68"/>
        <w:gridCol w:w="850"/>
        <w:gridCol w:w="1070"/>
        <w:gridCol w:w="850"/>
        <w:gridCol w:w="993"/>
        <w:gridCol w:w="1134"/>
        <w:gridCol w:w="1134"/>
        <w:gridCol w:w="1204"/>
        <w:gridCol w:w="1134"/>
        <w:gridCol w:w="973"/>
        <w:gridCol w:w="1011"/>
        <w:gridCol w:w="992"/>
        <w:gridCol w:w="1101"/>
      </w:tblGrid>
      <w:tr w:rsidR="0056738E" w:rsidRPr="00551D75" w14:paraId="0CAF5B00" w14:textId="77777777" w:rsidTr="007C2AEE">
        <w:trPr>
          <w:trHeight w:val="340"/>
          <w:jc w:val="center"/>
        </w:trPr>
        <w:tc>
          <w:tcPr>
            <w:tcW w:w="2268" w:type="dxa"/>
            <w:vMerge w:val="restart"/>
            <w:tcBorders>
              <w:left w:val="single" w:sz="4" w:space="0" w:color="BFBFBF"/>
              <w:right w:val="single" w:sz="4" w:space="0" w:color="BFBFBF"/>
            </w:tcBorders>
            <w:vAlign w:val="center"/>
          </w:tcPr>
          <w:p w14:paraId="4E7DA404" w14:textId="77777777" w:rsidR="0056738E" w:rsidRPr="00551D75" w:rsidRDefault="0056738E" w:rsidP="007C2AEE">
            <w:pPr>
              <w:tabs>
                <w:tab w:val="left" w:pos="0"/>
                <w:tab w:val="right" w:pos="7560"/>
                <w:tab w:val="right" w:pos="9000"/>
              </w:tabs>
              <w:suppressAutoHyphens/>
              <w:rPr>
                <w:rFonts w:ascii="Arial" w:hAnsi="Arial" w:cs="Arial"/>
                <w:bCs/>
                <w:color w:val="262626"/>
                <w:sz w:val="15"/>
                <w:szCs w:val="15"/>
                <w:lang w:val="el-GR"/>
              </w:rPr>
            </w:pPr>
          </w:p>
        </w:tc>
        <w:tc>
          <w:tcPr>
            <w:tcW w:w="9342" w:type="dxa"/>
            <w:gridSpan w:val="9"/>
            <w:tcBorders>
              <w:top w:val="single" w:sz="4" w:space="0" w:color="C0C0C0"/>
              <w:left w:val="single" w:sz="4" w:space="0" w:color="BFBFBF"/>
              <w:bottom w:val="single" w:sz="4" w:space="0" w:color="C0C0C0"/>
            </w:tcBorders>
            <w:vAlign w:val="center"/>
          </w:tcPr>
          <w:p w14:paraId="4509FB87" w14:textId="77777777" w:rsidR="0056738E" w:rsidRPr="00551D75" w:rsidRDefault="0056738E" w:rsidP="007C2AEE">
            <w:pPr>
              <w:tabs>
                <w:tab w:val="left" w:pos="1416"/>
                <w:tab w:val="decimal" w:pos="4962"/>
                <w:tab w:val="decimal" w:pos="6521"/>
                <w:tab w:val="right" w:pos="7560"/>
                <w:tab w:val="decimal" w:pos="8220"/>
                <w:tab w:val="left" w:pos="8640"/>
                <w:tab w:val="right" w:pos="9000"/>
              </w:tabs>
              <w:suppressAutoHyphens/>
              <w:spacing w:after="0" w:line="240" w:lineRule="auto"/>
              <w:ind w:left="-72" w:right="-144"/>
              <w:jc w:val="center"/>
              <w:rPr>
                <w:rFonts w:ascii="Arial" w:hAnsi="Arial" w:cs="Arial"/>
                <w:b/>
                <w:bCs/>
                <w:color w:val="262626"/>
                <w:sz w:val="15"/>
                <w:szCs w:val="15"/>
                <w:lang w:val="el-GR"/>
              </w:rPr>
            </w:pPr>
            <w:r w:rsidRPr="00551D75">
              <w:rPr>
                <w:rFonts w:ascii="Arial" w:hAnsi="Arial" w:cs="Arial"/>
                <w:b/>
                <w:bCs/>
                <w:color w:val="262626"/>
                <w:sz w:val="15"/>
                <w:szCs w:val="15"/>
                <w:lang w:val="el-GR"/>
              </w:rPr>
              <w:t>Αναλογούντα στους ιδιοκτήτες της Εταιρίας</w:t>
            </w:r>
          </w:p>
        </w:tc>
        <w:tc>
          <w:tcPr>
            <w:tcW w:w="1011" w:type="dxa"/>
            <w:vMerge w:val="restart"/>
            <w:vAlign w:val="center"/>
          </w:tcPr>
          <w:p w14:paraId="2B034E39" w14:textId="77777777" w:rsidR="0056738E" w:rsidRPr="002D265E" w:rsidRDefault="0056738E" w:rsidP="007C2AEE">
            <w:pPr>
              <w:pStyle w:val="Heading7"/>
              <w:ind w:left="-37" w:right="-37"/>
              <w:jc w:val="center"/>
              <w:rPr>
                <w:rFonts w:ascii="Arial" w:hAnsi="Arial" w:cs="Arial"/>
                <w:i w:val="0"/>
                <w:color w:val="262626"/>
                <w:sz w:val="15"/>
                <w:szCs w:val="15"/>
                <w:lang w:val="el-GR"/>
              </w:rPr>
            </w:pPr>
            <w:r w:rsidRPr="002D265E">
              <w:rPr>
                <w:rFonts w:ascii="Arial" w:hAnsi="Arial" w:cs="Arial"/>
                <w:i w:val="0"/>
                <w:color w:val="262626"/>
                <w:sz w:val="15"/>
                <w:szCs w:val="15"/>
                <w:lang w:val="el-GR"/>
              </w:rPr>
              <w:t>Λοιποί συμμετοχικοί τίτλοι</w:t>
            </w:r>
          </w:p>
        </w:tc>
        <w:tc>
          <w:tcPr>
            <w:tcW w:w="992" w:type="dxa"/>
            <w:vMerge w:val="restart"/>
            <w:vAlign w:val="center"/>
          </w:tcPr>
          <w:p w14:paraId="38DCB4ED" w14:textId="77777777" w:rsidR="0056738E" w:rsidRPr="002D265E" w:rsidRDefault="0056738E" w:rsidP="007C2AEE">
            <w:pPr>
              <w:pStyle w:val="Heading7"/>
              <w:ind w:left="-166" w:right="-152"/>
              <w:jc w:val="center"/>
              <w:rPr>
                <w:rFonts w:ascii="Arial" w:hAnsi="Arial" w:cs="Arial"/>
                <w:i w:val="0"/>
                <w:color w:val="262626"/>
                <w:sz w:val="15"/>
                <w:szCs w:val="15"/>
                <w:lang w:val="el-GR"/>
              </w:rPr>
            </w:pPr>
            <w:r w:rsidRPr="002D265E">
              <w:rPr>
                <w:rFonts w:ascii="Arial" w:hAnsi="Arial" w:cs="Arial"/>
                <w:i w:val="0"/>
                <w:color w:val="262626"/>
                <w:sz w:val="15"/>
                <w:szCs w:val="15"/>
                <w:lang w:val="el-GR"/>
              </w:rPr>
              <w:t>Δικαιώματα μειοψηφίας</w:t>
            </w:r>
          </w:p>
        </w:tc>
        <w:tc>
          <w:tcPr>
            <w:tcW w:w="1101" w:type="dxa"/>
            <w:vMerge w:val="restart"/>
            <w:vAlign w:val="center"/>
          </w:tcPr>
          <w:p w14:paraId="0615C83C" w14:textId="77777777" w:rsidR="0056738E" w:rsidRPr="00551D75" w:rsidRDefault="0056738E" w:rsidP="007C2AEE">
            <w:pPr>
              <w:pStyle w:val="Heading7"/>
              <w:ind w:left="-64" w:right="-11"/>
              <w:jc w:val="center"/>
              <w:rPr>
                <w:rFonts w:ascii="Arial" w:hAnsi="Arial" w:cs="Arial"/>
                <w:b/>
                <w:bCs/>
                <w:i w:val="0"/>
                <w:color w:val="262626"/>
                <w:sz w:val="15"/>
                <w:szCs w:val="15"/>
                <w:lang w:val="el-GR"/>
              </w:rPr>
            </w:pPr>
            <w:r w:rsidRPr="00551D75">
              <w:rPr>
                <w:rFonts w:ascii="Arial" w:hAnsi="Arial" w:cs="Arial"/>
                <w:b/>
                <w:bCs/>
                <w:i w:val="0"/>
                <w:color w:val="262626"/>
                <w:sz w:val="15"/>
                <w:szCs w:val="15"/>
                <w:lang w:val="el-GR"/>
              </w:rPr>
              <w:t>Σύνολο ιδίων κεφαλαίων</w:t>
            </w:r>
          </w:p>
        </w:tc>
      </w:tr>
      <w:tr w:rsidR="0056738E" w:rsidRPr="00551D75" w14:paraId="053EFB3B" w14:textId="77777777" w:rsidTr="007C2AEE">
        <w:trPr>
          <w:trHeight w:val="227"/>
          <w:jc w:val="center"/>
        </w:trPr>
        <w:tc>
          <w:tcPr>
            <w:tcW w:w="2268" w:type="dxa"/>
            <w:vMerge/>
            <w:tcBorders>
              <w:left w:val="single" w:sz="4" w:space="0" w:color="BFBFBF"/>
              <w:right w:val="single" w:sz="4" w:space="0" w:color="BFBFBF"/>
            </w:tcBorders>
            <w:vAlign w:val="center"/>
          </w:tcPr>
          <w:p w14:paraId="3E42C121" w14:textId="77777777" w:rsidR="0056738E" w:rsidRPr="00551D75" w:rsidRDefault="0056738E" w:rsidP="007C2AEE">
            <w:pPr>
              <w:tabs>
                <w:tab w:val="left" w:pos="0"/>
                <w:tab w:val="right" w:pos="7560"/>
                <w:tab w:val="right" w:pos="9000"/>
              </w:tabs>
              <w:suppressAutoHyphens/>
              <w:rPr>
                <w:rFonts w:ascii="Arial" w:hAnsi="Arial" w:cs="Arial"/>
                <w:bCs/>
                <w:color w:val="262626"/>
                <w:sz w:val="15"/>
                <w:szCs w:val="15"/>
                <w:lang w:val="el-GR"/>
              </w:rPr>
            </w:pPr>
          </w:p>
        </w:tc>
        <w:tc>
          <w:tcPr>
            <w:tcW w:w="850" w:type="dxa"/>
            <w:tcBorders>
              <w:top w:val="single" w:sz="4" w:space="0" w:color="C0C0C0"/>
              <w:left w:val="single" w:sz="4" w:space="0" w:color="BFBFBF"/>
              <w:bottom w:val="single" w:sz="4" w:space="0" w:color="C0C0C0"/>
            </w:tcBorders>
            <w:vAlign w:val="center"/>
          </w:tcPr>
          <w:p w14:paraId="21F7D652" w14:textId="77777777" w:rsidR="0056738E" w:rsidRPr="00551D75" w:rsidRDefault="0056738E" w:rsidP="007C2AEE">
            <w:pPr>
              <w:pStyle w:val="Heading5"/>
              <w:tabs>
                <w:tab w:val="left" w:pos="-108"/>
              </w:tabs>
              <w:spacing w:before="0" w:line="240" w:lineRule="auto"/>
              <w:ind w:left="-108" w:right="-108"/>
              <w:jc w:val="center"/>
              <w:rPr>
                <w:rFonts w:ascii="Arial" w:hAnsi="Arial" w:cs="Arial"/>
                <w:i/>
                <w:color w:val="262626"/>
                <w:sz w:val="15"/>
                <w:szCs w:val="15"/>
                <w:lang w:val="el-GR"/>
              </w:rPr>
            </w:pPr>
            <w:r w:rsidRPr="00551D75">
              <w:rPr>
                <w:rFonts w:ascii="Arial" w:hAnsi="Arial" w:cs="Arial"/>
                <w:color w:val="262626"/>
                <w:sz w:val="15"/>
                <w:szCs w:val="15"/>
                <w:lang w:val="el-GR"/>
              </w:rPr>
              <w:t xml:space="preserve">Μετοχικό </w:t>
            </w:r>
            <w:r w:rsidRPr="00551D75">
              <w:rPr>
                <w:rFonts w:ascii="Arial" w:hAnsi="Arial" w:cs="Arial"/>
                <w:color w:val="262626"/>
                <w:sz w:val="15"/>
                <w:szCs w:val="15"/>
                <w:lang w:val="el-GR"/>
              </w:rPr>
              <w:br/>
              <w:t>κεφάλαιο</w:t>
            </w:r>
          </w:p>
        </w:tc>
        <w:tc>
          <w:tcPr>
            <w:tcW w:w="1070" w:type="dxa"/>
            <w:tcBorders>
              <w:top w:val="single" w:sz="4" w:space="0" w:color="C0C0C0"/>
              <w:bottom w:val="single" w:sz="4" w:space="0" w:color="C0C0C0"/>
            </w:tcBorders>
            <w:vAlign w:val="center"/>
          </w:tcPr>
          <w:p w14:paraId="3BE5DEA2" w14:textId="77777777" w:rsidR="0056738E" w:rsidRPr="00551D75" w:rsidRDefault="0056738E" w:rsidP="007C2AEE">
            <w:pPr>
              <w:pStyle w:val="Heading7"/>
              <w:tabs>
                <w:tab w:val="left" w:pos="-108"/>
              </w:tabs>
              <w:spacing w:before="0" w:line="240" w:lineRule="auto"/>
              <w:ind w:left="-108" w:right="-108"/>
              <w:jc w:val="center"/>
              <w:rPr>
                <w:rFonts w:ascii="Arial" w:hAnsi="Arial" w:cs="Arial"/>
                <w:i w:val="0"/>
                <w:color w:val="262626"/>
                <w:sz w:val="15"/>
                <w:szCs w:val="15"/>
                <w:lang w:val="el-GR"/>
              </w:rPr>
            </w:pPr>
            <w:r w:rsidRPr="00551D75">
              <w:rPr>
                <w:rFonts w:ascii="Arial" w:hAnsi="Arial" w:cs="Arial"/>
                <w:i w:val="0"/>
                <w:color w:val="262626"/>
                <w:sz w:val="15"/>
                <w:szCs w:val="15"/>
                <w:lang w:val="el-GR"/>
              </w:rPr>
              <w:t xml:space="preserve">Αποθεματικό </w:t>
            </w:r>
          </w:p>
          <w:p w14:paraId="7C9AB454" w14:textId="77777777" w:rsidR="0056738E" w:rsidRPr="00551D75" w:rsidRDefault="0056738E" w:rsidP="007C2AEE">
            <w:pPr>
              <w:pStyle w:val="Heading7"/>
              <w:tabs>
                <w:tab w:val="left" w:pos="-108"/>
              </w:tabs>
              <w:spacing w:before="0" w:line="240" w:lineRule="auto"/>
              <w:ind w:left="-108" w:right="-108"/>
              <w:jc w:val="center"/>
              <w:rPr>
                <w:rFonts w:ascii="Arial" w:hAnsi="Arial" w:cs="Arial"/>
                <w:i w:val="0"/>
                <w:color w:val="262626"/>
                <w:sz w:val="15"/>
                <w:szCs w:val="15"/>
                <w:lang w:val="el-GR"/>
              </w:rPr>
            </w:pPr>
            <w:r w:rsidRPr="00551D75">
              <w:rPr>
                <w:rFonts w:ascii="Arial" w:hAnsi="Arial" w:cs="Arial"/>
                <w:i w:val="0"/>
                <w:color w:val="262626"/>
                <w:sz w:val="15"/>
                <w:szCs w:val="15"/>
                <w:lang w:val="el-GR"/>
              </w:rPr>
              <w:t xml:space="preserve">από έκδοση μετοχών υπέρ </w:t>
            </w:r>
          </w:p>
          <w:p w14:paraId="560505A8" w14:textId="77777777" w:rsidR="0056738E" w:rsidRPr="00551D75" w:rsidRDefault="0056738E" w:rsidP="007C2AEE">
            <w:pPr>
              <w:pStyle w:val="Heading7"/>
              <w:tabs>
                <w:tab w:val="left" w:pos="-108"/>
              </w:tabs>
              <w:spacing w:before="0" w:line="240" w:lineRule="auto"/>
              <w:ind w:left="-108" w:right="-108"/>
              <w:jc w:val="center"/>
              <w:rPr>
                <w:rFonts w:ascii="Arial" w:hAnsi="Arial" w:cs="Arial"/>
                <w:sz w:val="15"/>
                <w:szCs w:val="15"/>
                <w:lang w:val="el-GR"/>
              </w:rPr>
            </w:pPr>
            <w:r w:rsidRPr="00551D75">
              <w:rPr>
                <w:rFonts w:ascii="Arial" w:hAnsi="Arial" w:cs="Arial"/>
                <w:i w:val="0"/>
                <w:color w:val="262626"/>
                <w:sz w:val="15"/>
                <w:szCs w:val="15"/>
                <w:lang w:val="el-GR"/>
              </w:rPr>
              <w:t>το άρτιο</w:t>
            </w:r>
          </w:p>
        </w:tc>
        <w:tc>
          <w:tcPr>
            <w:tcW w:w="850" w:type="dxa"/>
            <w:tcBorders>
              <w:top w:val="single" w:sz="4" w:space="0" w:color="C0C0C0"/>
              <w:bottom w:val="single" w:sz="4" w:space="0" w:color="C0C0C0"/>
            </w:tcBorders>
            <w:vAlign w:val="center"/>
          </w:tcPr>
          <w:p w14:paraId="19B6E3B6" w14:textId="77777777" w:rsidR="0056738E" w:rsidRPr="00551D75" w:rsidRDefault="0056738E" w:rsidP="007C2AEE">
            <w:pPr>
              <w:pStyle w:val="Heading7"/>
              <w:tabs>
                <w:tab w:val="left" w:pos="-108"/>
              </w:tabs>
              <w:spacing w:before="0" w:line="240" w:lineRule="auto"/>
              <w:ind w:left="-108" w:right="-108"/>
              <w:jc w:val="center"/>
              <w:rPr>
                <w:rFonts w:ascii="Arial" w:hAnsi="Arial" w:cs="Arial"/>
                <w:i w:val="0"/>
                <w:color w:val="262626"/>
                <w:sz w:val="15"/>
                <w:szCs w:val="15"/>
                <w:lang w:val="el-GR"/>
              </w:rPr>
            </w:pPr>
            <w:r w:rsidRPr="00551D75">
              <w:rPr>
                <w:rFonts w:ascii="Arial" w:hAnsi="Arial" w:cs="Arial"/>
                <w:i w:val="0"/>
                <w:color w:val="262626"/>
                <w:sz w:val="15"/>
                <w:szCs w:val="15"/>
                <w:lang w:val="el-GR"/>
              </w:rPr>
              <w:t xml:space="preserve">Ίδιες </w:t>
            </w:r>
          </w:p>
          <w:p w14:paraId="184A8341" w14:textId="77777777" w:rsidR="0056738E" w:rsidRPr="00551D75" w:rsidRDefault="0056738E" w:rsidP="007C2AEE">
            <w:pPr>
              <w:pStyle w:val="Heading7"/>
              <w:tabs>
                <w:tab w:val="left" w:pos="-108"/>
              </w:tabs>
              <w:spacing w:before="0" w:line="240" w:lineRule="auto"/>
              <w:ind w:left="-108" w:right="-108"/>
              <w:jc w:val="center"/>
              <w:rPr>
                <w:rFonts w:ascii="Arial" w:hAnsi="Arial" w:cs="Arial"/>
                <w:sz w:val="15"/>
                <w:szCs w:val="15"/>
                <w:lang w:val="el-GR"/>
              </w:rPr>
            </w:pPr>
            <w:r w:rsidRPr="00551D75">
              <w:rPr>
                <w:rFonts w:ascii="Arial" w:hAnsi="Arial" w:cs="Arial"/>
                <w:i w:val="0"/>
                <w:color w:val="262626"/>
                <w:sz w:val="15"/>
                <w:szCs w:val="15"/>
                <w:lang w:val="el-GR"/>
              </w:rPr>
              <w:t>μετοχές</w:t>
            </w:r>
          </w:p>
        </w:tc>
        <w:tc>
          <w:tcPr>
            <w:tcW w:w="993" w:type="dxa"/>
            <w:tcBorders>
              <w:top w:val="single" w:sz="4" w:space="0" w:color="C0C0C0"/>
              <w:bottom w:val="single" w:sz="4" w:space="0" w:color="C0C0C0"/>
            </w:tcBorders>
            <w:shd w:val="clear" w:color="auto" w:fill="FFFFFF" w:themeFill="background1"/>
            <w:vAlign w:val="center"/>
          </w:tcPr>
          <w:p w14:paraId="7D9A08AF" w14:textId="77777777" w:rsidR="0056738E" w:rsidRPr="00551D75" w:rsidRDefault="0056738E" w:rsidP="007C2AEE">
            <w:pPr>
              <w:pStyle w:val="Heading7"/>
              <w:tabs>
                <w:tab w:val="left" w:pos="-108"/>
              </w:tabs>
              <w:spacing w:before="0" w:line="240" w:lineRule="auto"/>
              <w:ind w:left="-108" w:right="-108"/>
              <w:jc w:val="center"/>
              <w:rPr>
                <w:rFonts w:ascii="Arial" w:hAnsi="Arial" w:cs="Arial"/>
                <w:i w:val="0"/>
                <w:color w:val="262626"/>
                <w:sz w:val="15"/>
                <w:szCs w:val="15"/>
                <w:lang w:val="el-GR"/>
              </w:rPr>
            </w:pPr>
            <w:r>
              <w:rPr>
                <w:rFonts w:ascii="Arial" w:hAnsi="Arial" w:cs="Arial"/>
                <w:i w:val="0"/>
                <w:color w:val="262626"/>
                <w:sz w:val="15"/>
                <w:szCs w:val="15"/>
                <w:lang w:val="el-GR"/>
              </w:rPr>
              <w:t>Λοιπά αποθεματικά κεφαλαίου</w:t>
            </w:r>
          </w:p>
        </w:tc>
        <w:tc>
          <w:tcPr>
            <w:tcW w:w="1134" w:type="dxa"/>
            <w:tcBorders>
              <w:top w:val="single" w:sz="4" w:space="0" w:color="C0C0C0"/>
              <w:bottom w:val="single" w:sz="4" w:space="0" w:color="C0C0C0"/>
            </w:tcBorders>
            <w:vAlign w:val="center"/>
          </w:tcPr>
          <w:p w14:paraId="194C2AFF" w14:textId="77777777" w:rsidR="0056738E" w:rsidRDefault="0056738E" w:rsidP="007C2AEE">
            <w:pPr>
              <w:pStyle w:val="Heading5"/>
              <w:spacing w:before="0" w:line="240" w:lineRule="auto"/>
              <w:ind w:left="-108" w:right="-108"/>
              <w:jc w:val="center"/>
              <w:rPr>
                <w:rFonts w:ascii="Arial" w:hAnsi="Arial" w:cs="Arial"/>
                <w:color w:val="262626"/>
                <w:spacing w:val="-4"/>
                <w:sz w:val="15"/>
                <w:szCs w:val="15"/>
                <w:lang w:val="el-GR"/>
              </w:rPr>
            </w:pPr>
            <w:r>
              <w:rPr>
                <w:rFonts w:ascii="Arial" w:hAnsi="Arial" w:cs="Arial"/>
                <w:color w:val="262626"/>
                <w:spacing w:val="-4"/>
                <w:sz w:val="15"/>
                <w:szCs w:val="15"/>
                <w:lang w:val="el-GR"/>
              </w:rPr>
              <w:t xml:space="preserve">Αδιανέμητα </w:t>
            </w:r>
          </w:p>
          <w:p w14:paraId="1A1A3136" w14:textId="77777777" w:rsidR="0056738E" w:rsidRPr="00551D75" w:rsidRDefault="0056738E" w:rsidP="007C2AEE">
            <w:pPr>
              <w:pStyle w:val="Heading5"/>
              <w:spacing w:before="0" w:line="240" w:lineRule="auto"/>
              <w:ind w:left="-108" w:right="-108"/>
              <w:jc w:val="center"/>
              <w:rPr>
                <w:rFonts w:ascii="Arial" w:hAnsi="Arial" w:cs="Arial"/>
                <w:i/>
                <w:color w:val="262626"/>
                <w:spacing w:val="-4"/>
                <w:sz w:val="15"/>
                <w:szCs w:val="15"/>
                <w:lang w:val="el-GR"/>
              </w:rPr>
            </w:pPr>
            <w:r>
              <w:rPr>
                <w:rFonts w:ascii="Arial" w:hAnsi="Arial" w:cs="Arial"/>
                <w:color w:val="262626"/>
                <w:spacing w:val="-4"/>
                <w:sz w:val="15"/>
                <w:szCs w:val="15"/>
                <w:lang w:val="el-GR"/>
              </w:rPr>
              <w:t>κέρδη</w:t>
            </w:r>
          </w:p>
        </w:tc>
        <w:tc>
          <w:tcPr>
            <w:tcW w:w="1134" w:type="dxa"/>
            <w:tcBorders>
              <w:top w:val="single" w:sz="4" w:space="0" w:color="C0C0C0"/>
              <w:bottom w:val="single" w:sz="4" w:space="0" w:color="C0C0C0"/>
            </w:tcBorders>
            <w:vAlign w:val="center"/>
          </w:tcPr>
          <w:p w14:paraId="79DE9D69" w14:textId="77777777" w:rsidR="0056738E" w:rsidRPr="00551D75" w:rsidRDefault="0056738E" w:rsidP="007C2AEE">
            <w:pPr>
              <w:pStyle w:val="Heading7"/>
              <w:spacing w:before="0" w:line="240" w:lineRule="auto"/>
              <w:ind w:left="-67"/>
              <w:jc w:val="center"/>
              <w:rPr>
                <w:rFonts w:ascii="Arial" w:hAnsi="Arial" w:cs="Arial"/>
                <w:i w:val="0"/>
                <w:color w:val="262626"/>
                <w:spacing w:val="-4"/>
                <w:sz w:val="15"/>
                <w:szCs w:val="15"/>
                <w:lang w:val="el-GR"/>
              </w:rPr>
            </w:pPr>
            <w:r w:rsidRPr="00551D75">
              <w:rPr>
                <w:rFonts w:ascii="Arial" w:hAnsi="Arial" w:cs="Arial"/>
                <w:i w:val="0"/>
                <w:color w:val="262626"/>
                <w:spacing w:val="-4"/>
                <w:sz w:val="15"/>
                <w:szCs w:val="15"/>
                <w:lang w:val="el-GR"/>
              </w:rPr>
              <w:t xml:space="preserve">Αποθεματικό </w:t>
            </w:r>
            <w:r>
              <w:rPr>
                <w:rFonts w:ascii="Arial" w:hAnsi="Arial" w:cs="Arial"/>
                <w:i w:val="0"/>
                <w:color w:val="262626"/>
                <w:spacing w:val="-4"/>
                <w:sz w:val="15"/>
                <w:szCs w:val="15"/>
                <w:lang w:val="el-GR"/>
              </w:rPr>
              <w:t>επανεκτίμησης ακινήτων</w:t>
            </w:r>
          </w:p>
        </w:tc>
        <w:tc>
          <w:tcPr>
            <w:tcW w:w="1204" w:type="dxa"/>
            <w:tcBorders>
              <w:top w:val="single" w:sz="4" w:space="0" w:color="C0C0C0"/>
              <w:bottom w:val="single" w:sz="4" w:space="0" w:color="C0C0C0"/>
            </w:tcBorders>
            <w:vAlign w:val="center"/>
          </w:tcPr>
          <w:p w14:paraId="6C49B935" w14:textId="77777777" w:rsidR="0056738E" w:rsidRDefault="0056738E" w:rsidP="007C2AEE">
            <w:pPr>
              <w:pStyle w:val="Heading7"/>
              <w:spacing w:before="0" w:line="240" w:lineRule="auto"/>
              <w:ind w:left="-192" w:right="-108"/>
              <w:jc w:val="center"/>
              <w:rPr>
                <w:rFonts w:ascii="Arial" w:hAnsi="Arial" w:cs="Arial"/>
                <w:i w:val="0"/>
                <w:color w:val="262626"/>
                <w:spacing w:val="-4"/>
                <w:sz w:val="15"/>
                <w:szCs w:val="15"/>
                <w:lang w:val="el-GR"/>
              </w:rPr>
            </w:pPr>
            <w:r w:rsidRPr="00551D75">
              <w:rPr>
                <w:rFonts w:ascii="Arial" w:hAnsi="Arial" w:cs="Arial"/>
                <w:i w:val="0"/>
                <w:color w:val="262626"/>
                <w:spacing w:val="-4"/>
                <w:sz w:val="15"/>
                <w:szCs w:val="15"/>
                <w:lang w:val="el-GR"/>
              </w:rPr>
              <w:t xml:space="preserve">Αποθεματικό </w:t>
            </w:r>
            <w:proofErr w:type="spellStart"/>
            <w:r>
              <w:rPr>
                <w:rFonts w:ascii="Arial" w:hAnsi="Arial" w:cs="Arial"/>
                <w:i w:val="0"/>
                <w:color w:val="262626"/>
                <w:spacing w:val="-4"/>
                <w:sz w:val="15"/>
                <w:szCs w:val="15"/>
                <w:lang w:val="el-GR"/>
              </w:rPr>
              <w:t>χρηματο</w:t>
            </w:r>
            <w:proofErr w:type="spellEnd"/>
            <w:r>
              <w:rPr>
                <w:rFonts w:ascii="Arial" w:hAnsi="Arial" w:cs="Arial"/>
                <w:i w:val="0"/>
                <w:color w:val="262626"/>
                <w:spacing w:val="-4"/>
                <w:sz w:val="15"/>
                <w:szCs w:val="15"/>
                <w:lang w:val="el-GR"/>
              </w:rPr>
              <w:t>-</w:t>
            </w:r>
          </w:p>
          <w:p w14:paraId="63530E07" w14:textId="77777777" w:rsidR="0056738E" w:rsidRPr="00D17E65" w:rsidRDefault="0056738E" w:rsidP="007C2AEE">
            <w:pPr>
              <w:spacing w:after="0" w:line="240" w:lineRule="auto"/>
              <w:jc w:val="center"/>
              <w:rPr>
                <w:i/>
                <w:lang w:val="el-GR"/>
              </w:rPr>
            </w:pPr>
            <w:r w:rsidRPr="00D17E65">
              <w:rPr>
                <w:rFonts w:ascii="Arial" w:eastAsiaTheme="majorEastAsia" w:hAnsi="Arial" w:cs="Arial"/>
                <w:iCs/>
                <w:color w:val="262626"/>
                <w:spacing w:val="-4"/>
                <w:sz w:val="15"/>
                <w:szCs w:val="15"/>
                <w:lang w:val="el-GR"/>
              </w:rPr>
              <w:t>οικονομικών μέσων σε εύλογη αξία</w:t>
            </w:r>
          </w:p>
        </w:tc>
        <w:tc>
          <w:tcPr>
            <w:tcW w:w="1134" w:type="dxa"/>
            <w:tcBorders>
              <w:top w:val="single" w:sz="4" w:space="0" w:color="C0C0C0"/>
              <w:bottom w:val="single" w:sz="4" w:space="0" w:color="C0C0C0"/>
            </w:tcBorders>
            <w:vAlign w:val="center"/>
          </w:tcPr>
          <w:p w14:paraId="044E126A" w14:textId="77777777" w:rsidR="0056738E" w:rsidRPr="00551D75" w:rsidRDefault="0056738E" w:rsidP="007C2AEE">
            <w:pPr>
              <w:tabs>
                <w:tab w:val="left" w:pos="1416"/>
                <w:tab w:val="decimal" w:pos="4962"/>
                <w:tab w:val="decimal" w:pos="6521"/>
                <w:tab w:val="right" w:pos="7560"/>
                <w:tab w:val="decimal" w:pos="8220"/>
                <w:tab w:val="left" w:pos="8640"/>
                <w:tab w:val="right" w:pos="9000"/>
              </w:tabs>
              <w:suppressAutoHyphens/>
              <w:spacing w:after="0" w:line="240" w:lineRule="auto"/>
              <w:ind w:left="-115" w:right="-108"/>
              <w:jc w:val="center"/>
              <w:rPr>
                <w:rFonts w:ascii="Arial" w:hAnsi="Arial" w:cs="Arial"/>
                <w:color w:val="262626"/>
                <w:spacing w:val="-4"/>
                <w:sz w:val="15"/>
                <w:szCs w:val="15"/>
                <w:lang w:val="el-GR"/>
              </w:rPr>
            </w:pPr>
            <w:r w:rsidRPr="00551D75">
              <w:rPr>
                <w:rFonts w:ascii="Arial" w:hAnsi="Arial" w:cs="Arial"/>
                <w:color w:val="262626"/>
                <w:spacing w:val="-4"/>
                <w:sz w:val="15"/>
                <w:szCs w:val="15"/>
                <w:lang w:val="el-GR"/>
              </w:rPr>
              <w:t xml:space="preserve">Αποθεματικό μετατροπής </w:t>
            </w:r>
          </w:p>
          <w:p w14:paraId="42252740" w14:textId="77777777" w:rsidR="0056738E" w:rsidRPr="00551D75" w:rsidRDefault="0056738E" w:rsidP="007C2AEE">
            <w:pPr>
              <w:tabs>
                <w:tab w:val="left" w:pos="1416"/>
                <w:tab w:val="decimal" w:pos="4962"/>
                <w:tab w:val="decimal" w:pos="6521"/>
                <w:tab w:val="right" w:pos="7560"/>
                <w:tab w:val="decimal" w:pos="8220"/>
                <w:tab w:val="left" w:pos="8640"/>
                <w:tab w:val="right" w:pos="9000"/>
              </w:tabs>
              <w:suppressAutoHyphens/>
              <w:spacing w:after="0" w:line="240" w:lineRule="auto"/>
              <w:ind w:left="-115" w:right="-108"/>
              <w:jc w:val="center"/>
              <w:rPr>
                <w:rFonts w:ascii="Arial" w:hAnsi="Arial" w:cs="Arial"/>
                <w:iCs/>
                <w:color w:val="262626"/>
                <w:spacing w:val="-4"/>
                <w:sz w:val="15"/>
                <w:szCs w:val="15"/>
                <w:lang w:val="el-GR"/>
              </w:rPr>
            </w:pPr>
            <w:r w:rsidRPr="00551D75">
              <w:rPr>
                <w:rFonts w:ascii="Arial" w:hAnsi="Arial" w:cs="Arial"/>
                <w:color w:val="262626"/>
                <w:spacing w:val="-4"/>
                <w:sz w:val="15"/>
                <w:szCs w:val="15"/>
                <w:lang w:val="el-GR"/>
              </w:rPr>
              <w:t>ξένου συναλλάγματος</w:t>
            </w:r>
          </w:p>
        </w:tc>
        <w:tc>
          <w:tcPr>
            <w:tcW w:w="973" w:type="dxa"/>
            <w:tcBorders>
              <w:top w:val="single" w:sz="4" w:space="0" w:color="C0C0C0"/>
              <w:bottom w:val="single" w:sz="4" w:space="0" w:color="C0C0C0"/>
            </w:tcBorders>
            <w:vAlign w:val="center"/>
          </w:tcPr>
          <w:p w14:paraId="265FABAD" w14:textId="77777777" w:rsidR="0056738E" w:rsidRPr="00551D75" w:rsidRDefault="0056738E" w:rsidP="007C2AEE">
            <w:pPr>
              <w:tabs>
                <w:tab w:val="left" w:pos="1416"/>
                <w:tab w:val="decimal" w:pos="4962"/>
                <w:tab w:val="decimal" w:pos="6521"/>
                <w:tab w:val="right" w:pos="7560"/>
                <w:tab w:val="decimal" w:pos="8220"/>
                <w:tab w:val="left" w:pos="8640"/>
                <w:tab w:val="right" w:pos="9000"/>
              </w:tabs>
              <w:suppressAutoHyphens/>
              <w:spacing w:after="0" w:line="240" w:lineRule="auto"/>
              <w:ind w:left="-72" w:right="-144"/>
              <w:jc w:val="center"/>
              <w:rPr>
                <w:rFonts w:ascii="Arial" w:hAnsi="Arial" w:cs="Arial"/>
                <w:b/>
                <w:bCs/>
                <w:iCs/>
                <w:color w:val="262626"/>
                <w:sz w:val="15"/>
                <w:szCs w:val="15"/>
                <w:lang w:val="el-GR"/>
              </w:rPr>
            </w:pPr>
            <w:r w:rsidRPr="00551D75">
              <w:rPr>
                <w:rFonts w:ascii="Arial" w:hAnsi="Arial" w:cs="Arial"/>
                <w:b/>
                <w:bCs/>
                <w:color w:val="262626"/>
                <w:sz w:val="15"/>
                <w:szCs w:val="15"/>
                <w:lang w:val="el-GR"/>
              </w:rPr>
              <w:t>Σύνολο</w:t>
            </w:r>
          </w:p>
        </w:tc>
        <w:tc>
          <w:tcPr>
            <w:tcW w:w="1011" w:type="dxa"/>
            <w:vMerge/>
            <w:tcBorders>
              <w:bottom w:val="single" w:sz="4" w:space="0" w:color="C0C0C0"/>
            </w:tcBorders>
          </w:tcPr>
          <w:p w14:paraId="3F49D521" w14:textId="77777777" w:rsidR="0056738E" w:rsidRPr="002D265E" w:rsidRDefault="0056738E" w:rsidP="007C2AEE">
            <w:pPr>
              <w:pStyle w:val="Heading7"/>
              <w:jc w:val="center"/>
              <w:rPr>
                <w:rFonts w:ascii="Arial" w:hAnsi="Arial" w:cs="Arial"/>
                <w:i w:val="0"/>
                <w:color w:val="262626"/>
                <w:sz w:val="15"/>
                <w:szCs w:val="15"/>
                <w:lang w:val="el-GR"/>
              </w:rPr>
            </w:pPr>
          </w:p>
        </w:tc>
        <w:tc>
          <w:tcPr>
            <w:tcW w:w="992" w:type="dxa"/>
            <w:vMerge/>
            <w:tcBorders>
              <w:bottom w:val="single" w:sz="4" w:space="0" w:color="C0C0C0"/>
            </w:tcBorders>
            <w:vAlign w:val="center"/>
          </w:tcPr>
          <w:p w14:paraId="0E821F32" w14:textId="77777777" w:rsidR="0056738E" w:rsidRPr="00551D75" w:rsidRDefault="0056738E" w:rsidP="007C2AEE">
            <w:pPr>
              <w:pStyle w:val="Heading7"/>
              <w:ind w:left="-166" w:right="-152"/>
              <w:jc w:val="center"/>
              <w:rPr>
                <w:rFonts w:ascii="Arial" w:hAnsi="Arial" w:cs="Arial"/>
                <w:b/>
                <w:i w:val="0"/>
                <w:color w:val="262626"/>
                <w:sz w:val="15"/>
                <w:szCs w:val="15"/>
                <w:lang w:val="el-GR"/>
              </w:rPr>
            </w:pPr>
          </w:p>
        </w:tc>
        <w:tc>
          <w:tcPr>
            <w:tcW w:w="1101" w:type="dxa"/>
            <w:vMerge/>
            <w:tcBorders>
              <w:bottom w:val="single" w:sz="4" w:space="0" w:color="C0C0C0"/>
            </w:tcBorders>
            <w:vAlign w:val="center"/>
          </w:tcPr>
          <w:p w14:paraId="30F36A3A" w14:textId="77777777" w:rsidR="0056738E" w:rsidRPr="00551D75" w:rsidRDefault="0056738E" w:rsidP="007C2AEE">
            <w:pPr>
              <w:pStyle w:val="Heading7"/>
              <w:ind w:left="-64" w:right="-11"/>
              <w:jc w:val="center"/>
              <w:rPr>
                <w:rFonts w:ascii="Arial" w:hAnsi="Arial" w:cs="Arial"/>
                <w:b/>
                <w:bCs/>
                <w:i w:val="0"/>
                <w:color w:val="262626"/>
                <w:sz w:val="15"/>
                <w:szCs w:val="15"/>
                <w:lang w:val="el-GR"/>
              </w:rPr>
            </w:pPr>
          </w:p>
        </w:tc>
      </w:tr>
      <w:tr w:rsidR="0056738E" w:rsidRPr="00551D75" w14:paraId="0949E4F1" w14:textId="77777777" w:rsidTr="007C2AEE">
        <w:trPr>
          <w:trHeight w:val="340"/>
          <w:jc w:val="center"/>
        </w:trPr>
        <w:tc>
          <w:tcPr>
            <w:tcW w:w="2268" w:type="dxa"/>
            <w:vMerge/>
            <w:tcBorders>
              <w:left w:val="single" w:sz="4" w:space="0" w:color="BFBFBF"/>
              <w:bottom w:val="single" w:sz="4" w:space="0" w:color="BFBFBF"/>
              <w:right w:val="single" w:sz="4" w:space="0" w:color="BFBFBF"/>
            </w:tcBorders>
            <w:vAlign w:val="center"/>
          </w:tcPr>
          <w:p w14:paraId="5C38B6D6" w14:textId="77777777" w:rsidR="0056738E" w:rsidRPr="00551D75" w:rsidRDefault="0056738E" w:rsidP="007C2AEE">
            <w:pPr>
              <w:tabs>
                <w:tab w:val="left" w:pos="0"/>
                <w:tab w:val="right" w:pos="7560"/>
                <w:tab w:val="right" w:pos="9000"/>
              </w:tabs>
              <w:suppressAutoHyphens/>
              <w:rPr>
                <w:rFonts w:ascii="Arial" w:hAnsi="Arial" w:cs="Arial"/>
                <w:bCs/>
                <w:i/>
                <w:color w:val="262626"/>
                <w:sz w:val="15"/>
                <w:szCs w:val="15"/>
                <w:lang w:val="el-GR"/>
              </w:rPr>
            </w:pPr>
          </w:p>
        </w:tc>
        <w:tc>
          <w:tcPr>
            <w:tcW w:w="850" w:type="dxa"/>
            <w:tcBorders>
              <w:top w:val="single" w:sz="4" w:space="0" w:color="C0C0C0"/>
              <w:left w:val="single" w:sz="4" w:space="0" w:color="BFBFBF"/>
              <w:bottom w:val="single" w:sz="4" w:space="0" w:color="C0C0C0"/>
            </w:tcBorders>
            <w:vAlign w:val="center"/>
          </w:tcPr>
          <w:p w14:paraId="06CB169F" w14:textId="77777777" w:rsidR="0056738E" w:rsidRPr="00551D75" w:rsidRDefault="0056738E" w:rsidP="007C2AEE">
            <w:pPr>
              <w:spacing w:after="0" w:line="240" w:lineRule="auto"/>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1070" w:type="dxa"/>
            <w:tcBorders>
              <w:top w:val="single" w:sz="4" w:space="0" w:color="C0C0C0"/>
              <w:bottom w:val="single" w:sz="4" w:space="0" w:color="C0C0C0"/>
            </w:tcBorders>
            <w:vAlign w:val="center"/>
          </w:tcPr>
          <w:p w14:paraId="382F944D" w14:textId="77777777" w:rsidR="0056738E" w:rsidRPr="00551D75" w:rsidRDefault="0056738E" w:rsidP="007C2AEE">
            <w:pPr>
              <w:spacing w:after="0" w:line="240" w:lineRule="auto"/>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850" w:type="dxa"/>
            <w:tcBorders>
              <w:top w:val="single" w:sz="4" w:space="0" w:color="C0C0C0"/>
              <w:bottom w:val="single" w:sz="4" w:space="0" w:color="C0C0C0"/>
            </w:tcBorders>
            <w:vAlign w:val="center"/>
          </w:tcPr>
          <w:p w14:paraId="14590CD7" w14:textId="77777777" w:rsidR="0056738E" w:rsidRPr="00551D75" w:rsidRDefault="0056738E" w:rsidP="007C2AEE">
            <w:pPr>
              <w:spacing w:after="0" w:line="240" w:lineRule="auto"/>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993" w:type="dxa"/>
            <w:tcBorders>
              <w:top w:val="single" w:sz="4" w:space="0" w:color="C0C0C0"/>
              <w:bottom w:val="single" w:sz="4" w:space="0" w:color="C0C0C0"/>
            </w:tcBorders>
            <w:shd w:val="clear" w:color="auto" w:fill="FFFFFF" w:themeFill="background1"/>
            <w:vAlign w:val="center"/>
          </w:tcPr>
          <w:p w14:paraId="374E56CB" w14:textId="77777777" w:rsidR="0056738E" w:rsidRPr="00551D75" w:rsidRDefault="0056738E" w:rsidP="007C2AEE">
            <w:pPr>
              <w:spacing w:after="0" w:line="240" w:lineRule="auto"/>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1134" w:type="dxa"/>
            <w:tcBorders>
              <w:top w:val="single" w:sz="4" w:space="0" w:color="C0C0C0"/>
              <w:bottom w:val="single" w:sz="4" w:space="0" w:color="C0C0C0"/>
            </w:tcBorders>
            <w:vAlign w:val="center"/>
          </w:tcPr>
          <w:p w14:paraId="5364768C" w14:textId="77777777" w:rsidR="0056738E" w:rsidRPr="00551D75" w:rsidRDefault="0056738E" w:rsidP="007C2AEE">
            <w:pPr>
              <w:spacing w:after="0" w:line="240" w:lineRule="auto"/>
              <w:ind w:left="-108"/>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1134" w:type="dxa"/>
            <w:tcBorders>
              <w:top w:val="single" w:sz="4" w:space="0" w:color="C0C0C0"/>
              <w:bottom w:val="single" w:sz="4" w:space="0" w:color="C0C0C0"/>
            </w:tcBorders>
            <w:vAlign w:val="center"/>
          </w:tcPr>
          <w:p w14:paraId="5024B9AB" w14:textId="77777777" w:rsidR="0056738E" w:rsidRPr="00551D75" w:rsidRDefault="0056738E" w:rsidP="007C2AEE">
            <w:pPr>
              <w:spacing w:after="0" w:line="240" w:lineRule="auto"/>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1204" w:type="dxa"/>
            <w:tcBorders>
              <w:top w:val="single" w:sz="4" w:space="0" w:color="C0C0C0"/>
              <w:bottom w:val="single" w:sz="4" w:space="0" w:color="C0C0C0"/>
            </w:tcBorders>
            <w:vAlign w:val="center"/>
          </w:tcPr>
          <w:p w14:paraId="2BF3A2AC" w14:textId="77777777" w:rsidR="0056738E" w:rsidRPr="00551D75" w:rsidRDefault="0056738E" w:rsidP="007C2AEE">
            <w:pPr>
              <w:spacing w:after="0" w:line="240" w:lineRule="auto"/>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1134" w:type="dxa"/>
            <w:tcBorders>
              <w:top w:val="single" w:sz="4" w:space="0" w:color="C0C0C0"/>
              <w:bottom w:val="single" w:sz="4" w:space="0" w:color="C0C0C0"/>
            </w:tcBorders>
            <w:vAlign w:val="center"/>
          </w:tcPr>
          <w:p w14:paraId="3CB47A40" w14:textId="77777777" w:rsidR="0056738E" w:rsidRPr="00551D75" w:rsidRDefault="0056738E" w:rsidP="007C2AEE">
            <w:pPr>
              <w:spacing w:after="0" w:line="240" w:lineRule="auto"/>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973" w:type="dxa"/>
            <w:tcBorders>
              <w:top w:val="single" w:sz="4" w:space="0" w:color="C0C0C0"/>
              <w:bottom w:val="single" w:sz="4" w:space="0" w:color="C0C0C0"/>
            </w:tcBorders>
            <w:vAlign w:val="center"/>
          </w:tcPr>
          <w:p w14:paraId="72C2B3F3" w14:textId="77777777" w:rsidR="0056738E" w:rsidRPr="00551D75" w:rsidRDefault="0056738E" w:rsidP="007C2AEE">
            <w:pPr>
              <w:spacing w:after="0" w:line="240" w:lineRule="auto"/>
              <w:jc w:val="center"/>
              <w:rPr>
                <w:rFonts w:ascii="Arial" w:hAnsi="Arial" w:cs="Arial"/>
                <w:b/>
                <w:bCs/>
                <w:color w:val="262626"/>
                <w:sz w:val="15"/>
                <w:szCs w:val="15"/>
                <w:lang w:val="el-GR"/>
              </w:rPr>
            </w:pPr>
            <w:r w:rsidRPr="00551D75">
              <w:rPr>
                <w:rFonts w:ascii="Arial" w:hAnsi="Arial" w:cs="Arial"/>
                <w:b/>
                <w:bCs/>
                <w:color w:val="262626"/>
                <w:sz w:val="15"/>
                <w:szCs w:val="15"/>
                <w:lang w:val="el-GR"/>
              </w:rPr>
              <w:t>€000</w:t>
            </w:r>
          </w:p>
        </w:tc>
        <w:tc>
          <w:tcPr>
            <w:tcW w:w="1011" w:type="dxa"/>
            <w:tcBorders>
              <w:top w:val="single" w:sz="4" w:space="0" w:color="C0C0C0"/>
              <w:bottom w:val="single" w:sz="4" w:space="0" w:color="C0C0C0"/>
            </w:tcBorders>
            <w:vAlign w:val="center"/>
          </w:tcPr>
          <w:p w14:paraId="327E7527" w14:textId="77777777" w:rsidR="0056738E" w:rsidRPr="002D265E" w:rsidRDefault="0056738E" w:rsidP="007C2AEE">
            <w:pPr>
              <w:spacing w:after="0" w:line="240" w:lineRule="auto"/>
              <w:jc w:val="center"/>
              <w:rPr>
                <w:rFonts w:ascii="Arial" w:hAnsi="Arial" w:cs="Arial"/>
                <w:color w:val="262626"/>
                <w:sz w:val="15"/>
                <w:szCs w:val="15"/>
                <w:lang w:val="el-GR"/>
              </w:rPr>
            </w:pPr>
            <w:r w:rsidRPr="002D265E">
              <w:rPr>
                <w:rFonts w:ascii="Arial" w:hAnsi="Arial" w:cs="Arial"/>
                <w:bCs/>
                <w:color w:val="262626"/>
                <w:sz w:val="15"/>
                <w:szCs w:val="15"/>
                <w:lang w:val="el-GR"/>
              </w:rPr>
              <w:t>€000</w:t>
            </w:r>
          </w:p>
        </w:tc>
        <w:tc>
          <w:tcPr>
            <w:tcW w:w="992" w:type="dxa"/>
            <w:tcBorders>
              <w:top w:val="single" w:sz="4" w:space="0" w:color="C0C0C0"/>
              <w:bottom w:val="single" w:sz="4" w:space="0" w:color="C0C0C0"/>
            </w:tcBorders>
            <w:vAlign w:val="center"/>
          </w:tcPr>
          <w:p w14:paraId="38612705" w14:textId="77777777" w:rsidR="0056738E" w:rsidRPr="00551D75" w:rsidRDefault="0056738E" w:rsidP="007C2AEE">
            <w:pPr>
              <w:spacing w:after="0" w:line="240" w:lineRule="auto"/>
              <w:jc w:val="center"/>
              <w:rPr>
                <w:rFonts w:ascii="Arial" w:hAnsi="Arial" w:cs="Arial"/>
                <w:color w:val="262626"/>
                <w:sz w:val="15"/>
                <w:szCs w:val="15"/>
                <w:lang w:val="el-GR"/>
              </w:rPr>
            </w:pPr>
            <w:r w:rsidRPr="00551D75">
              <w:rPr>
                <w:rFonts w:ascii="Arial" w:hAnsi="Arial" w:cs="Arial"/>
                <w:color w:val="262626"/>
                <w:sz w:val="15"/>
                <w:szCs w:val="15"/>
                <w:lang w:val="el-GR"/>
              </w:rPr>
              <w:t>€000</w:t>
            </w:r>
          </w:p>
        </w:tc>
        <w:tc>
          <w:tcPr>
            <w:tcW w:w="1101" w:type="dxa"/>
            <w:tcBorders>
              <w:top w:val="single" w:sz="4" w:space="0" w:color="C0C0C0"/>
              <w:bottom w:val="single" w:sz="4" w:space="0" w:color="C0C0C0"/>
              <w:right w:val="single" w:sz="4" w:space="0" w:color="C0C0C0"/>
            </w:tcBorders>
            <w:vAlign w:val="center"/>
          </w:tcPr>
          <w:p w14:paraId="0222BA18" w14:textId="77777777" w:rsidR="0056738E" w:rsidRPr="00551D75" w:rsidRDefault="0056738E" w:rsidP="007C2AEE">
            <w:pPr>
              <w:spacing w:after="0" w:line="240" w:lineRule="auto"/>
              <w:jc w:val="center"/>
              <w:rPr>
                <w:rFonts w:ascii="Arial" w:hAnsi="Arial" w:cs="Arial"/>
                <w:b/>
                <w:bCs/>
                <w:color w:val="262626"/>
                <w:sz w:val="15"/>
                <w:szCs w:val="15"/>
                <w:lang w:val="el-GR"/>
              </w:rPr>
            </w:pPr>
            <w:r w:rsidRPr="00551D75">
              <w:rPr>
                <w:rFonts w:ascii="Arial" w:hAnsi="Arial" w:cs="Arial"/>
                <w:b/>
                <w:bCs/>
                <w:color w:val="262626"/>
                <w:sz w:val="15"/>
                <w:szCs w:val="15"/>
                <w:lang w:val="el-GR"/>
              </w:rPr>
              <w:t>€000</w:t>
            </w:r>
          </w:p>
        </w:tc>
      </w:tr>
      <w:tr w:rsidR="0056738E" w:rsidRPr="00551D75" w14:paraId="24451AD4" w14:textId="77777777" w:rsidTr="007C2AEE">
        <w:trPr>
          <w:trHeight w:val="340"/>
          <w:jc w:val="center"/>
        </w:trPr>
        <w:tc>
          <w:tcPr>
            <w:tcW w:w="2268" w:type="dxa"/>
            <w:tcBorders>
              <w:top w:val="single" w:sz="4" w:space="0" w:color="BFBFBF"/>
            </w:tcBorders>
            <w:shd w:val="clear" w:color="auto" w:fill="auto"/>
            <w:vAlign w:val="center"/>
          </w:tcPr>
          <w:p w14:paraId="72E0AA32" w14:textId="77777777" w:rsidR="0056738E" w:rsidRPr="00551D75" w:rsidRDefault="0056738E" w:rsidP="007C2AEE">
            <w:pPr>
              <w:tabs>
                <w:tab w:val="left" w:pos="0"/>
                <w:tab w:val="right" w:pos="7560"/>
                <w:tab w:val="right" w:pos="9000"/>
              </w:tabs>
              <w:suppressAutoHyphens/>
              <w:spacing w:after="0" w:line="240" w:lineRule="auto"/>
              <w:ind w:right="-141"/>
              <w:rPr>
                <w:rFonts w:ascii="Arial" w:hAnsi="Arial" w:cs="Arial"/>
                <w:b/>
                <w:bCs/>
                <w:color w:val="262626"/>
                <w:sz w:val="15"/>
                <w:szCs w:val="15"/>
                <w:lang w:val="el-GR"/>
              </w:rPr>
            </w:pPr>
            <w:r w:rsidRPr="00551D75">
              <w:rPr>
                <w:rFonts w:ascii="Arial" w:hAnsi="Arial" w:cs="Arial"/>
                <w:b/>
                <w:bCs/>
                <w:color w:val="262626"/>
                <w:sz w:val="15"/>
                <w:szCs w:val="15"/>
                <w:lang w:val="el-GR"/>
              </w:rPr>
              <w:t>1 Ιανουαρίου 20</w:t>
            </w:r>
            <w:r>
              <w:rPr>
                <w:rFonts w:ascii="Arial" w:hAnsi="Arial" w:cs="Arial"/>
                <w:b/>
                <w:bCs/>
                <w:color w:val="262626"/>
                <w:sz w:val="15"/>
                <w:szCs w:val="15"/>
                <w:lang w:val="el-GR"/>
              </w:rPr>
              <w:t>23</w:t>
            </w:r>
          </w:p>
        </w:tc>
        <w:tc>
          <w:tcPr>
            <w:tcW w:w="850" w:type="dxa"/>
            <w:tcBorders>
              <w:top w:val="single" w:sz="4" w:space="0" w:color="C0C0C0"/>
              <w:bottom w:val="single" w:sz="4" w:space="0" w:color="BFBFBF" w:themeColor="background1" w:themeShade="BF"/>
            </w:tcBorders>
            <w:shd w:val="clear" w:color="auto" w:fill="auto"/>
            <w:vAlign w:val="center"/>
          </w:tcPr>
          <w:p w14:paraId="2FEE3D49" w14:textId="77777777" w:rsidR="0056738E" w:rsidRDefault="0056738E" w:rsidP="007C2AEE">
            <w:pPr>
              <w:tabs>
                <w:tab w:val="right" w:pos="7560"/>
                <w:tab w:val="right" w:pos="9000"/>
              </w:tabs>
              <w:suppressAutoHyphens/>
              <w:spacing w:after="0" w:line="240" w:lineRule="auto"/>
              <w:ind w:left="-98" w:right="33"/>
              <w:jc w:val="right"/>
              <w:rPr>
                <w:rFonts w:ascii="Arial" w:hAnsi="Arial" w:cs="Arial"/>
                <w:b/>
                <w:bCs/>
                <w:color w:val="262626"/>
                <w:sz w:val="16"/>
                <w:szCs w:val="16"/>
              </w:rPr>
            </w:pPr>
            <w:r>
              <w:rPr>
                <w:rFonts w:ascii="Arial" w:hAnsi="Arial" w:cs="Arial"/>
                <w:b/>
                <w:bCs/>
                <w:color w:val="262626"/>
                <w:sz w:val="16"/>
                <w:szCs w:val="16"/>
              </w:rPr>
              <w:t>44,620</w:t>
            </w:r>
          </w:p>
        </w:tc>
        <w:tc>
          <w:tcPr>
            <w:tcW w:w="1070" w:type="dxa"/>
            <w:tcBorders>
              <w:top w:val="single" w:sz="4" w:space="0" w:color="C0C0C0"/>
              <w:bottom w:val="single" w:sz="4" w:space="0" w:color="BFBFBF" w:themeColor="background1" w:themeShade="BF"/>
            </w:tcBorders>
            <w:vAlign w:val="center"/>
          </w:tcPr>
          <w:p w14:paraId="61B1F142" w14:textId="77777777" w:rsidR="0056738E" w:rsidRDefault="0056738E" w:rsidP="007C2AEE">
            <w:pPr>
              <w:tabs>
                <w:tab w:val="right" w:pos="7560"/>
                <w:tab w:val="right" w:pos="9000"/>
              </w:tabs>
              <w:suppressAutoHyphens/>
              <w:spacing w:after="0" w:line="240" w:lineRule="auto"/>
              <w:jc w:val="right"/>
              <w:rPr>
                <w:rFonts w:ascii="Arial" w:hAnsi="Arial" w:cs="Arial"/>
                <w:b/>
                <w:bCs/>
                <w:color w:val="262626"/>
                <w:sz w:val="16"/>
                <w:szCs w:val="16"/>
              </w:rPr>
            </w:pPr>
            <w:r>
              <w:rPr>
                <w:rFonts w:ascii="Arial" w:hAnsi="Arial" w:cs="Arial"/>
                <w:b/>
                <w:bCs/>
                <w:color w:val="262626"/>
                <w:sz w:val="16"/>
                <w:szCs w:val="16"/>
              </w:rPr>
              <w:t>594,358</w:t>
            </w:r>
          </w:p>
        </w:tc>
        <w:tc>
          <w:tcPr>
            <w:tcW w:w="850" w:type="dxa"/>
            <w:tcBorders>
              <w:top w:val="single" w:sz="4" w:space="0" w:color="C0C0C0"/>
              <w:bottom w:val="single" w:sz="4" w:space="0" w:color="BFBFBF" w:themeColor="background1" w:themeShade="BF"/>
            </w:tcBorders>
            <w:vAlign w:val="center"/>
          </w:tcPr>
          <w:p w14:paraId="028165B8" w14:textId="77777777" w:rsidR="0056738E" w:rsidRPr="0092642E" w:rsidRDefault="0056738E" w:rsidP="007C2AEE">
            <w:pPr>
              <w:tabs>
                <w:tab w:val="right" w:pos="7560"/>
                <w:tab w:val="right" w:pos="9000"/>
              </w:tabs>
              <w:suppressAutoHyphens/>
              <w:spacing w:after="0" w:line="240" w:lineRule="auto"/>
              <w:ind w:left="-74" w:right="-64"/>
              <w:jc w:val="right"/>
              <w:rPr>
                <w:rFonts w:ascii="Arial" w:hAnsi="Arial" w:cs="Arial"/>
                <w:b/>
                <w:bCs/>
                <w:color w:val="262626"/>
                <w:sz w:val="16"/>
                <w:szCs w:val="16"/>
              </w:rPr>
            </w:pPr>
            <w:r>
              <w:rPr>
                <w:rFonts w:ascii="Arial" w:hAnsi="Arial" w:cs="Arial"/>
                <w:b/>
                <w:bCs/>
                <w:color w:val="262626"/>
                <w:sz w:val="16"/>
                <w:szCs w:val="16"/>
              </w:rPr>
              <w:t>(21,463)</w:t>
            </w:r>
          </w:p>
        </w:tc>
        <w:tc>
          <w:tcPr>
            <w:tcW w:w="993" w:type="dxa"/>
            <w:tcBorders>
              <w:top w:val="single" w:sz="4" w:space="0" w:color="C0C0C0"/>
              <w:bottom w:val="single" w:sz="4" w:space="0" w:color="BFBFBF" w:themeColor="background1" w:themeShade="BF"/>
            </w:tcBorders>
            <w:shd w:val="clear" w:color="auto" w:fill="FFFFFF" w:themeFill="background1"/>
            <w:vAlign w:val="center"/>
          </w:tcPr>
          <w:p w14:paraId="3927F72C" w14:textId="77777777" w:rsidR="0056738E" w:rsidRPr="0092642E" w:rsidRDefault="0056738E" w:rsidP="007C2AEE">
            <w:pPr>
              <w:tabs>
                <w:tab w:val="right" w:pos="7560"/>
                <w:tab w:val="right" w:pos="9000"/>
              </w:tabs>
              <w:suppressAutoHyphens/>
              <w:spacing w:after="0" w:line="240" w:lineRule="auto"/>
              <w:ind w:left="-74"/>
              <w:jc w:val="right"/>
              <w:rPr>
                <w:rFonts w:ascii="Arial" w:hAnsi="Arial" w:cs="Arial"/>
                <w:b/>
                <w:bCs/>
                <w:color w:val="262626"/>
                <w:sz w:val="16"/>
                <w:szCs w:val="16"/>
              </w:rPr>
            </w:pPr>
            <w:r>
              <w:rPr>
                <w:rFonts w:ascii="Arial" w:hAnsi="Arial" w:cs="Arial"/>
                <w:b/>
                <w:bCs/>
                <w:color w:val="262626"/>
                <w:sz w:val="16"/>
                <w:szCs w:val="16"/>
              </w:rPr>
              <w:t>322</w:t>
            </w:r>
          </w:p>
        </w:tc>
        <w:tc>
          <w:tcPr>
            <w:tcW w:w="1134" w:type="dxa"/>
            <w:tcBorders>
              <w:top w:val="single" w:sz="4" w:space="0" w:color="C0C0C0"/>
              <w:bottom w:val="single" w:sz="4" w:space="0" w:color="BFBFBF" w:themeColor="background1" w:themeShade="BF"/>
            </w:tcBorders>
            <w:shd w:val="clear" w:color="auto" w:fill="FFFFFF" w:themeFill="background1"/>
            <w:vAlign w:val="center"/>
          </w:tcPr>
          <w:p w14:paraId="4D4216B9" w14:textId="77777777" w:rsidR="0056738E" w:rsidRPr="0092642E" w:rsidRDefault="0056738E" w:rsidP="007C2AEE">
            <w:pPr>
              <w:tabs>
                <w:tab w:val="right" w:pos="7560"/>
                <w:tab w:val="right" w:pos="9000"/>
              </w:tabs>
              <w:suppressAutoHyphens/>
              <w:spacing w:after="0" w:line="240" w:lineRule="auto"/>
              <w:jc w:val="right"/>
              <w:rPr>
                <w:rFonts w:ascii="Arial" w:hAnsi="Arial" w:cs="Arial"/>
                <w:b/>
                <w:bCs/>
                <w:color w:val="262626"/>
                <w:sz w:val="16"/>
                <w:szCs w:val="16"/>
              </w:rPr>
            </w:pPr>
            <w:r w:rsidRPr="00AB11AC">
              <w:rPr>
                <w:rFonts w:ascii="Arial" w:hAnsi="Arial" w:cs="Arial"/>
                <w:b/>
                <w:bCs/>
                <w:color w:val="262626"/>
                <w:sz w:val="16"/>
                <w:szCs w:val="16"/>
              </w:rPr>
              <w:t>1,090,349</w:t>
            </w:r>
          </w:p>
        </w:tc>
        <w:tc>
          <w:tcPr>
            <w:tcW w:w="1134" w:type="dxa"/>
            <w:tcBorders>
              <w:top w:val="single" w:sz="4" w:space="0" w:color="C0C0C0"/>
              <w:bottom w:val="single" w:sz="4" w:space="0" w:color="BFBFBF" w:themeColor="background1" w:themeShade="BF"/>
            </w:tcBorders>
            <w:shd w:val="clear" w:color="auto" w:fill="auto"/>
            <w:vAlign w:val="center"/>
          </w:tcPr>
          <w:p w14:paraId="7B6E897A" w14:textId="77777777" w:rsidR="0056738E" w:rsidRPr="0092642E" w:rsidRDefault="0056738E" w:rsidP="007C2AEE">
            <w:pPr>
              <w:tabs>
                <w:tab w:val="right" w:pos="7560"/>
                <w:tab w:val="right" w:pos="9000"/>
              </w:tabs>
              <w:suppressAutoHyphens/>
              <w:spacing w:after="0" w:line="240" w:lineRule="auto"/>
              <w:jc w:val="right"/>
              <w:rPr>
                <w:rFonts w:ascii="Arial" w:hAnsi="Arial" w:cs="Arial"/>
                <w:b/>
                <w:bCs/>
                <w:color w:val="262626"/>
                <w:sz w:val="16"/>
                <w:szCs w:val="16"/>
              </w:rPr>
            </w:pPr>
            <w:r>
              <w:rPr>
                <w:rFonts w:ascii="Arial" w:hAnsi="Arial" w:cs="Arial"/>
                <w:b/>
                <w:bCs/>
                <w:color w:val="262626"/>
                <w:sz w:val="16"/>
                <w:szCs w:val="16"/>
              </w:rPr>
              <w:t>74,170</w:t>
            </w:r>
          </w:p>
        </w:tc>
        <w:tc>
          <w:tcPr>
            <w:tcW w:w="1204" w:type="dxa"/>
            <w:tcBorders>
              <w:top w:val="single" w:sz="4" w:space="0" w:color="C0C0C0"/>
              <w:bottom w:val="single" w:sz="4" w:space="0" w:color="BFBFBF" w:themeColor="background1" w:themeShade="BF"/>
            </w:tcBorders>
            <w:shd w:val="clear" w:color="auto" w:fill="auto"/>
            <w:vAlign w:val="center"/>
          </w:tcPr>
          <w:p w14:paraId="5A9CF818" w14:textId="77777777" w:rsidR="0056738E" w:rsidRPr="0092642E" w:rsidRDefault="0056738E" w:rsidP="007C2AE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
                <w:bCs/>
                <w:color w:val="262626"/>
                <w:sz w:val="16"/>
                <w:szCs w:val="16"/>
              </w:rPr>
            </w:pPr>
            <w:r>
              <w:rPr>
                <w:rFonts w:ascii="Arial" w:hAnsi="Arial" w:cs="Arial"/>
                <w:b/>
                <w:bCs/>
                <w:color w:val="262626"/>
                <w:sz w:val="16"/>
                <w:szCs w:val="16"/>
              </w:rPr>
              <w:t>7,142</w:t>
            </w:r>
          </w:p>
        </w:tc>
        <w:tc>
          <w:tcPr>
            <w:tcW w:w="1134" w:type="dxa"/>
            <w:tcBorders>
              <w:top w:val="single" w:sz="4" w:space="0" w:color="C0C0C0"/>
              <w:bottom w:val="single" w:sz="4" w:space="0" w:color="BFBFBF" w:themeColor="background1" w:themeShade="BF"/>
            </w:tcBorders>
            <w:shd w:val="clear" w:color="auto" w:fill="auto"/>
            <w:vAlign w:val="center"/>
          </w:tcPr>
          <w:p w14:paraId="52E6846A" w14:textId="77777777" w:rsidR="0056738E" w:rsidRPr="0092642E" w:rsidRDefault="0056738E" w:rsidP="007C2AE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
                <w:bCs/>
                <w:color w:val="262626"/>
                <w:sz w:val="16"/>
                <w:szCs w:val="16"/>
              </w:rPr>
            </w:pPr>
            <w:r>
              <w:rPr>
                <w:rFonts w:ascii="Arial" w:hAnsi="Arial" w:cs="Arial"/>
                <w:b/>
                <w:bCs/>
                <w:color w:val="262626"/>
                <w:sz w:val="16"/>
                <w:szCs w:val="16"/>
              </w:rPr>
              <w:t>16,768</w:t>
            </w:r>
          </w:p>
        </w:tc>
        <w:tc>
          <w:tcPr>
            <w:tcW w:w="973" w:type="dxa"/>
            <w:tcBorders>
              <w:top w:val="single" w:sz="4" w:space="0" w:color="C0C0C0"/>
              <w:bottom w:val="single" w:sz="4" w:space="0" w:color="BFBFBF" w:themeColor="background1" w:themeShade="BF"/>
            </w:tcBorders>
            <w:shd w:val="clear" w:color="auto" w:fill="auto"/>
            <w:vAlign w:val="center"/>
          </w:tcPr>
          <w:p w14:paraId="7072AC39" w14:textId="77777777" w:rsidR="0056738E" w:rsidRPr="0092642E" w:rsidRDefault="0056738E" w:rsidP="007C2AEE">
            <w:pPr>
              <w:tabs>
                <w:tab w:val="left" w:pos="1416"/>
                <w:tab w:val="decimal" w:pos="4962"/>
                <w:tab w:val="decimal" w:pos="6521"/>
                <w:tab w:val="right" w:pos="7560"/>
                <w:tab w:val="decimal" w:pos="8220"/>
                <w:tab w:val="left" w:pos="8640"/>
                <w:tab w:val="right" w:pos="9000"/>
              </w:tabs>
              <w:suppressAutoHyphens/>
              <w:spacing w:after="0" w:line="240" w:lineRule="auto"/>
              <w:ind w:left="-93" w:right="30"/>
              <w:jc w:val="right"/>
              <w:rPr>
                <w:rFonts w:ascii="Arial" w:hAnsi="Arial" w:cs="Arial"/>
                <w:b/>
                <w:bCs/>
                <w:color w:val="262626"/>
                <w:sz w:val="16"/>
                <w:szCs w:val="16"/>
              </w:rPr>
            </w:pPr>
            <w:r>
              <w:rPr>
                <w:rFonts w:ascii="Arial" w:hAnsi="Arial" w:cs="Arial"/>
                <w:b/>
                <w:bCs/>
                <w:color w:val="262626"/>
                <w:sz w:val="16"/>
                <w:szCs w:val="16"/>
              </w:rPr>
              <w:t>1,806,266</w:t>
            </w:r>
          </w:p>
        </w:tc>
        <w:tc>
          <w:tcPr>
            <w:tcW w:w="1011" w:type="dxa"/>
            <w:tcBorders>
              <w:top w:val="single" w:sz="4" w:space="0" w:color="C0C0C0"/>
              <w:bottom w:val="single" w:sz="4" w:space="0" w:color="BFBFBF" w:themeColor="background1" w:themeShade="BF"/>
            </w:tcBorders>
            <w:shd w:val="clear" w:color="auto" w:fill="auto"/>
            <w:vAlign w:val="center"/>
          </w:tcPr>
          <w:p w14:paraId="7A45FF1D" w14:textId="77777777" w:rsidR="0056738E" w:rsidRPr="0092642E" w:rsidRDefault="0056738E" w:rsidP="007C2AE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
                <w:bCs/>
                <w:color w:val="262626"/>
                <w:sz w:val="16"/>
                <w:szCs w:val="16"/>
              </w:rPr>
            </w:pPr>
            <w:r>
              <w:rPr>
                <w:rFonts w:ascii="Arial" w:hAnsi="Arial" w:cs="Arial"/>
                <w:b/>
                <w:bCs/>
                <w:color w:val="262626"/>
                <w:sz w:val="16"/>
                <w:szCs w:val="16"/>
              </w:rPr>
              <w:t>220,000</w:t>
            </w:r>
          </w:p>
        </w:tc>
        <w:tc>
          <w:tcPr>
            <w:tcW w:w="992" w:type="dxa"/>
            <w:tcBorders>
              <w:top w:val="single" w:sz="4" w:space="0" w:color="C0C0C0"/>
              <w:bottom w:val="single" w:sz="4" w:space="0" w:color="BFBFBF" w:themeColor="background1" w:themeShade="BF"/>
            </w:tcBorders>
            <w:vAlign w:val="center"/>
          </w:tcPr>
          <w:p w14:paraId="6A58F7D7" w14:textId="77777777" w:rsidR="0056738E" w:rsidRPr="0092642E" w:rsidRDefault="0056738E" w:rsidP="007C2AE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
                <w:bCs/>
                <w:color w:val="262626"/>
                <w:sz w:val="16"/>
                <w:szCs w:val="16"/>
              </w:rPr>
            </w:pPr>
            <w:r>
              <w:rPr>
                <w:rFonts w:ascii="Arial" w:hAnsi="Arial" w:cs="Arial"/>
                <w:b/>
                <w:bCs/>
                <w:color w:val="262626"/>
                <w:sz w:val="16"/>
                <w:szCs w:val="16"/>
              </w:rPr>
              <w:t>22,300</w:t>
            </w:r>
          </w:p>
        </w:tc>
        <w:tc>
          <w:tcPr>
            <w:tcW w:w="1101" w:type="dxa"/>
            <w:tcBorders>
              <w:top w:val="single" w:sz="4" w:space="0" w:color="C0C0C0"/>
              <w:bottom w:val="single" w:sz="4" w:space="0" w:color="BFBFBF" w:themeColor="background1" w:themeShade="BF"/>
            </w:tcBorders>
            <w:shd w:val="clear" w:color="auto" w:fill="auto"/>
            <w:vAlign w:val="center"/>
          </w:tcPr>
          <w:p w14:paraId="7228DA21" w14:textId="77777777" w:rsidR="0056738E" w:rsidRPr="0092642E" w:rsidRDefault="0056738E" w:rsidP="007C2AEE">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136" w:right="34"/>
              <w:jc w:val="right"/>
              <w:rPr>
                <w:rFonts w:ascii="Arial" w:hAnsi="Arial" w:cs="Arial"/>
                <w:b/>
                <w:bCs/>
                <w:color w:val="262626"/>
                <w:sz w:val="16"/>
                <w:szCs w:val="16"/>
              </w:rPr>
            </w:pPr>
            <w:r>
              <w:rPr>
                <w:rFonts w:ascii="Arial" w:hAnsi="Arial" w:cs="Arial"/>
                <w:b/>
                <w:bCs/>
                <w:color w:val="262626"/>
                <w:sz w:val="16"/>
                <w:szCs w:val="16"/>
              </w:rPr>
              <w:t>2,048,566</w:t>
            </w:r>
          </w:p>
        </w:tc>
      </w:tr>
      <w:tr w:rsidR="0056738E" w:rsidRPr="00896999" w14:paraId="2759006E" w14:textId="77777777" w:rsidTr="007C2AEE">
        <w:trPr>
          <w:trHeight w:val="340"/>
          <w:jc w:val="center"/>
        </w:trPr>
        <w:tc>
          <w:tcPr>
            <w:tcW w:w="2268" w:type="dxa"/>
            <w:shd w:val="clear" w:color="auto" w:fill="auto"/>
            <w:vAlign w:val="center"/>
          </w:tcPr>
          <w:p w14:paraId="0A22EDCB" w14:textId="77777777" w:rsidR="0056738E" w:rsidRPr="00551D75"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r>
              <w:rPr>
                <w:rFonts w:ascii="Arial" w:hAnsi="Arial" w:cs="Arial"/>
                <w:bCs/>
                <w:color w:val="262626"/>
                <w:sz w:val="15"/>
                <w:szCs w:val="15"/>
                <w:lang w:val="el-GR"/>
              </w:rPr>
              <w:t>Κέρδη</w:t>
            </w:r>
            <w:r w:rsidRPr="00551D75">
              <w:rPr>
                <w:rFonts w:ascii="Arial" w:hAnsi="Arial" w:cs="Arial"/>
                <w:bCs/>
                <w:color w:val="262626"/>
                <w:sz w:val="15"/>
                <w:szCs w:val="15"/>
                <w:lang w:val="el-GR"/>
              </w:rPr>
              <w:t xml:space="preserve"> για την περίοδο</w:t>
            </w:r>
            <w:r>
              <w:rPr>
                <w:rFonts w:ascii="Arial" w:hAnsi="Arial" w:cs="Arial"/>
                <w:b/>
                <w:bCs/>
                <w:color w:val="262626"/>
                <w:sz w:val="15"/>
                <w:szCs w:val="15"/>
                <w:lang w:val="el-GR"/>
              </w:rPr>
              <w:t xml:space="preserve"> </w:t>
            </w:r>
          </w:p>
        </w:tc>
        <w:tc>
          <w:tcPr>
            <w:tcW w:w="850" w:type="dxa"/>
            <w:tcBorders>
              <w:top w:val="single" w:sz="6" w:space="0" w:color="000000" w:themeColor="text1"/>
              <w:bottom w:val="single" w:sz="4" w:space="0" w:color="BFBFBF"/>
            </w:tcBorders>
            <w:shd w:val="clear" w:color="auto" w:fill="auto"/>
            <w:vAlign w:val="center"/>
          </w:tcPr>
          <w:p w14:paraId="79092FC0" w14:textId="77777777" w:rsidR="0056738E" w:rsidRPr="008E3151" w:rsidRDefault="0056738E" w:rsidP="007C2AEE">
            <w:pPr>
              <w:tabs>
                <w:tab w:val="left" w:pos="0"/>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1070" w:type="dxa"/>
            <w:tcBorders>
              <w:top w:val="single" w:sz="6" w:space="0" w:color="000000" w:themeColor="text1"/>
              <w:bottom w:val="single" w:sz="4" w:space="0" w:color="BFBFBF"/>
            </w:tcBorders>
            <w:vAlign w:val="center"/>
          </w:tcPr>
          <w:p w14:paraId="7079E2FD" w14:textId="77777777" w:rsidR="0056738E" w:rsidRPr="008E3151"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850" w:type="dxa"/>
            <w:tcBorders>
              <w:top w:val="single" w:sz="6" w:space="0" w:color="000000" w:themeColor="text1"/>
              <w:bottom w:val="single" w:sz="4" w:space="0" w:color="BFBFBF"/>
            </w:tcBorders>
            <w:vAlign w:val="center"/>
          </w:tcPr>
          <w:p w14:paraId="0F060910" w14:textId="77777777" w:rsidR="0056738E" w:rsidRPr="008E3151"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6" w:space="0" w:color="000000" w:themeColor="text1"/>
              <w:bottom w:val="single" w:sz="4" w:space="0" w:color="BFBFBF"/>
            </w:tcBorders>
            <w:shd w:val="clear" w:color="auto" w:fill="FFFFFF" w:themeFill="background1"/>
            <w:vAlign w:val="center"/>
          </w:tcPr>
          <w:p w14:paraId="759655BE" w14:textId="77777777" w:rsidR="0056738E" w:rsidRPr="008E3151"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6" w:space="0" w:color="000000" w:themeColor="text1"/>
              <w:bottom w:val="single" w:sz="4" w:space="0" w:color="BFBFBF"/>
            </w:tcBorders>
            <w:shd w:val="clear" w:color="auto" w:fill="FFFFFF" w:themeFill="background1"/>
            <w:vAlign w:val="center"/>
          </w:tcPr>
          <w:p w14:paraId="23645D4D" w14:textId="77777777" w:rsidR="0056738E" w:rsidRPr="008E3151"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349,363</w:t>
            </w:r>
          </w:p>
        </w:tc>
        <w:tc>
          <w:tcPr>
            <w:tcW w:w="1134" w:type="dxa"/>
            <w:tcBorders>
              <w:top w:val="single" w:sz="6" w:space="0" w:color="000000" w:themeColor="text1"/>
              <w:bottom w:val="single" w:sz="4" w:space="0" w:color="BFBFBF"/>
            </w:tcBorders>
            <w:shd w:val="clear" w:color="auto" w:fill="auto"/>
            <w:vAlign w:val="center"/>
          </w:tcPr>
          <w:p w14:paraId="5C5C0F70" w14:textId="77777777" w:rsidR="0056738E" w:rsidRPr="008E3151" w:rsidRDefault="0056738E" w:rsidP="007C2AEE">
            <w:pPr>
              <w:tabs>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204" w:type="dxa"/>
            <w:tcBorders>
              <w:top w:val="single" w:sz="6" w:space="0" w:color="000000" w:themeColor="text1"/>
              <w:bottom w:val="single" w:sz="4" w:space="0" w:color="BFBFBF"/>
            </w:tcBorders>
            <w:shd w:val="clear" w:color="auto" w:fill="auto"/>
            <w:vAlign w:val="center"/>
          </w:tcPr>
          <w:p w14:paraId="52C92BEE" w14:textId="77777777" w:rsidR="0056738E" w:rsidRPr="008E3151"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6" w:space="0" w:color="000000" w:themeColor="text1"/>
              <w:bottom w:val="single" w:sz="4" w:space="0" w:color="BFBFBF"/>
            </w:tcBorders>
            <w:shd w:val="clear" w:color="auto" w:fill="auto"/>
            <w:vAlign w:val="center"/>
          </w:tcPr>
          <w:p w14:paraId="0AA7270D" w14:textId="77777777" w:rsidR="0056738E" w:rsidRPr="008E3151"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73" w:type="dxa"/>
            <w:tcBorders>
              <w:top w:val="single" w:sz="6" w:space="0" w:color="000000" w:themeColor="text1"/>
              <w:bottom w:val="single" w:sz="4" w:space="0" w:color="BFBFBF"/>
            </w:tcBorders>
            <w:shd w:val="clear" w:color="auto" w:fill="auto"/>
            <w:vAlign w:val="center"/>
          </w:tcPr>
          <w:p w14:paraId="4991CC2E" w14:textId="77777777" w:rsidR="0056738E" w:rsidRPr="008E3151" w:rsidRDefault="0056738E" w:rsidP="007C2AEE">
            <w:pPr>
              <w:tabs>
                <w:tab w:val="right" w:pos="7560"/>
                <w:tab w:val="right" w:pos="9000"/>
              </w:tabs>
              <w:suppressAutoHyphens/>
              <w:spacing w:after="0" w:line="240" w:lineRule="auto"/>
              <w:ind w:left="-167" w:right="30"/>
              <w:jc w:val="right"/>
              <w:rPr>
                <w:rFonts w:ascii="Arial" w:hAnsi="Arial" w:cs="Arial"/>
                <w:b/>
                <w:bCs/>
                <w:color w:val="262626"/>
                <w:sz w:val="16"/>
                <w:szCs w:val="16"/>
                <w:lang w:val="el-GR"/>
              </w:rPr>
            </w:pPr>
            <w:r>
              <w:rPr>
                <w:rFonts w:ascii="Arial" w:hAnsi="Arial" w:cs="Arial"/>
                <w:b/>
                <w:bCs/>
                <w:color w:val="262626"/>
                <w:sz w:val="16"/>
                <w:szCs w:val="16"/>
              </w:rPr>
              <w:t>349,363</w:t>
            </w:r>
          </w:p>
        </w:tc>
        <w:tc>
          <w:tcPr>
            <w:tcW w:w="1011" w:type="dxa"/>
            <w:tcBorders>
              <w:top w:val="single" w:sz="6" w:space="0" w:color="000000" w:themeColor="text1"/>
              <w:bottom w:val="single" w:sz="4" w:space="0" w:color="BFBFBF"/>
            </w:tcBorders>
            <w:shd w:val="clear" w:color="auto" w:fill="auto"/>
            <w:vAlign w:val="center"/>
          </w:tcPr>
          <w:p w14:paraId="7952CBDC" w14:textId="77777777" w:rsidR="0056738E" w:rsidRPr="008E3151"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992" w:type="dxa"/>
            <w:tcBorders>
              <w:top w:val="single" w:sz="6" w:space="0" w:color="000000" w:themeColor="text1"/>
              <w:bottom w:val="single" w:sz="4" w:space="0" w:color="BFBFBF"/>
            </w:tcBorders>
            <w:vAlign w:val="center"/>
          </w:tcPr>
          <w:p w14:paraId="7863BE3D" w14:textId="77777777" w:rsidR="0056738E" w:rsidRPr="008E3151" w:rsidRDefault="0056738E" w:rsidP="007C2AEE">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1,689</w:t>
            </w:r>
          </w:p>
        </w:tc>
        <w:tc>
          <w:tcPr>
            <w:tcW w:w="1101" w:type="dxa"/>
            <w:tcBorders>
              <w:top w:val="single" w:sz="6" w:space="0" w:color="000000" w:themeColor="text1"/>
              <w:bottom w:val="single" w:sz="4" w:space="0" w:color="BFBFBF"/>
            </w:tcBorders>
            <w:shd w:val="clear" w:color="auto" w:fill="auto"/>
            <w:vAlign w:val="center"/>
          </w:tcPr>
          <w:p w14:paraId="25862C2A" w14:textId="77777777" w:rsidR="0056738E" w:rsidRPr="008E3151" w:rsidRDefault="0056738E" w:rsidP="007C2AEE">
            <w:pPr>
              <w:tabs>
                <w:tab w:val="right" w:pos="7560"/>
                <w:tab w:val="right" w:pos="9000"/>
              </w:tabs>
              <w:suppressAutoHyphens/>
              <w:spacing w:after="0" w:line="240" w:lineRule="auto"/>
              <w:ind w:left="-136" w:right="34"/>
              <w:jc w:val="right"/>
              <w:rPr>
                <w:rFonts w:ascii="Arial" w:hAnsi="Arial" w:cs="Arial"/>
                <w:b/>
                <w:bCs/>
                <w:color w:val="262626"/>
                <w:sz w:val="16"/>
                <w:szCs w:val="16"/>
                <w:lang w:val="el-GR"/>
              </w:rPr>
            </w:pPr>
            <w:r>
              <w:rPr>
                <w:rFonts w:ascii="Arial" w:hAnsi="Arial" w:cs="Arial"/>
                <w:b/>
                <w:bCs/>
                <w:color w:val="262626"/>
                <w:sz w:val="16"/>
                <w:szCs w:val="16"/>
              </w:rPr>
              <w:t>351,052</w:t>
            </w:r>
          </w:p>
        </w:tc>
      </w:tr>
      <w:tr w:rsidR="0056738E" w:rsidRPr="00896999" w14:paraId="696B4DA4" w14:textId="77777777" w:rsidTr="007C2AEE">
        <w:trPr>
          <w:trHeight w:val="340"/>
          <w:jc w:val="center"/>
        </w:trPr>
        <w:tc>
          <w:tcPr>
            <w:tcW w:w="2268" w:type="dxa"/>
            <w:shd w:val="clear" w:color="auto" w:fill="auto"/>
            <w:vAlign w:val="center"/>
          </w:tcPr>
          <w:p w14:paraId="1C724624" w14:textId="77777777" w:rsidR="0056738E" w:rsidRDefault="0056738E" w:rsidP="007C2AEE">
            <w:pPr>
              <w:tabs>
                <w:tab w:val="left" w:pos="45"/>
                <w:tab w:val="right" w:pos="7560"/>
                <w:tab w:val="right" w:pos="9000"/>
              </w:tabs>
              <w:suppressAutoHyphens/>
              <w:spacing w:after="0" w:line="240" w:lineRule="auto"/>
              <w:rPr>
                <w:rFonts w:ascii="Arial" w:hAnsi="Arial" w:cs="Arial"/>
                <w:bCs/>
                <w:color w:val="262626"/>
                <w:sz w:val="15"/>
                <w:szCs w:val="15"/>
                <w:lang w:val="el-GR"/>
              </w:rPr>
            </w:pPr>
            <w:r w:rsidRPr="00551D75">
              <w:rPr>
                <w:rFonts w:ascii="Arial" w:hAnsi="Arial" w:cs="Arial"/>
                <w:bCs/>
                <w:color w:val="262626"/>
                <w:sz w:val="15"/>
                <w:szCs w:val="15"/>
                <w:lang w:val="el-GR"/>
              </w:rPr>
              <w:t>Λοιπ</w:t>
            </w:r>
            <w:r>
              <w:rPr>
                <w:rFonts w:ascii="Arial" w:hAnsi="Arial" w:cs="Arial"/>
                <w:bCs/>
                <w:color w:val="262626"/>
                <w:sz w:val="15"/>
                <w:szCs w:val="15"/>
                <w:lang w:val="el-GR"/>
              </w:rPr>
              <w:t>ά</w:t>
            </w:r>
            <w:r w:rsidRPr="00551D75">
              <w:rPr>
                <w:rFonts w:ascii="Arial" w:hAnsi="Arial" w:cs="Arial"/>
                <w:bCs/>
                <w:color w:val="262626"/>
                <w:sz w:val="15"/>
                <w:szCs w:val="15"/>
                <w:lang w:val="el-GR"/>
              </w:rPr>
              <w:t xml:space="preserve"> συνολικ</w:t>
            </w:r>
            <w:r>
              <w:rPr>
                <w:rFonts w:ascii="Arial" w:hAnsi="Arial" w:cs="Arial"/>
                <w:bCs/>
                <w:color w:val="262626"/>
                <w:sz w:val="15"/>
                <w:szCs w:val="15"/>
                <w:lang w:val="el-GR"/>
              </w:rPr>
              <w:t xml:space="preserve">ά εισοδήματα/ </w:t>
            </w:r>
          </w:p>
          <w:p w14:paraId="66F9A62C" w14:textId="77777777" w:rsidR="0056738E" w:rsidRPr="00551D75" w:rsidRDefault="0056738E" w:rsidP="007C2AEE">
            <w:pPr>
              <w:tabs>
                <w:tab w:val="left" w:pos="45"/>
                <w:tab w:val="right" w:pos="7560"/>
                <w:tab w:val="right" w:pos="9000"/>
              </w:tabs>
              <w:suppressAutoHyphens/>
              <w:spacing w:after="0" w:line="240" w:lineRule="auto"/>
              <w:rPr>
                <w:rFonts w:ascii="Arial" w:hAnsi="Arial" w:cs="Arial"/>
                <w:bCs/>
                <w:color w:val="262626"/>
                <w:sz w:val="15"/>
                <w:szCs w:val="15"/>
                <w:lang w:val="el-GR"/>
              </w:rPr>
            </w:pPr>
            <w:r w:rsidRPr="00551D75">
              <w:rPr>
                <w:rFonts w:ascii="Arial" w:hAnsi="Arial" w:cs="Arial"/>
                <w:bCs/>
                <w:color w:val="262626"/>
                <w:sz w:val="15"/>
                <w:szCs w:val="15"/>
                <w:lang w:val="el-GR"/>
              </w:rPr>
              <w:t>(ζημιές)</w:t>
            </w:r>
            <w:r>
              <w:rPr>
                <w:rFonts w:ascii="Arial" w:hAnsi="Arial" w:cs="Arial"/>
                <w:bCs/>
                <w:color w:val="262626"/>
                <w:sz w:val="15"/>
                <w:szCs w:val="15"/>
                <w:lang w:val="el-GR"/>
              </w:rPr>
              <w:t xml:space="preserve"> </w:t>
            </w:r>
            <w:r w:rsidRPr="00551D75">
              <w:rPr>
                <w:rFonts w:ascii="Arial" w:hAnsi="Arial" w:cs="Arial"/>
                <w:bCs/>
                <w:color w:val="262626"/>
                <w:sz w:val="15"/>
                <w:szCs w:val="15"/>
                <w:lang w:val="el-GR"/>
              </w:rPr>
              <w:t>μετά τη φορολογία για την περίοδο</w:t>
            </w:r>
          </w:p>
        </w:tc>
        <w:tc>
          <w:tcPr>
            <w:tcW w:w="850" w:type="dxa"/>
            <w:tcBorders>
              <w:top w:val="single" w:sz="4" w:space="0" w:color="BFBFBF"/>
              <w:bottom w:val="single" w:sz="6" w:space="0" w:color="auto"/>
            </w:tcBorders>
            <w:shd w:val="clear" w:color="auto" w:fill="auto"/>
            <w:vAlign w:val="center"/>
          </w:tcPr>
          <w:p w14:paraId="1268D0AF"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070" w:type="dxa"/>
            <w:tcBorders>
              <w:top w:val="single" w:sz="4" w:space="0" w:color="BFBFBF"/>
              <w:bottom w:val="single" w:sz="6" w:space="0" w:color="auto"/>
            </w:tcBorders>
            <w:vAlign w:val="center"/>
          </w:tcPr>
          <w:p w14:paraId="5A1A9639"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850" w:type="dxa"/>
            <w:tcBorders>
              <w:top w:val="single" w:sz="4" w:space="0" w:color="BFBFBF"/>
              <w:bottom w:val="single" w:sz="6" w:space="0" w:color="auto"/>
            </w:tcBorders>
            <w:vAlign w:val="center"/>
          </w:tcPr>
          <w:p w14:paraId="490201F1"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4" w:space="0" w:color="BFBFBF"/>
              <w:bottom w:val="single" w:sz="6" w:space="0" w:color="auto"/>
            </w:tcBorders>
            <w:shd w:val="clear" w:color="auto" w:fill="FFFFFF" w:themeFill="background1"/>
            <w:vAlign w:val="center"/>
          </w:tcPr>
          <w:p w14:paraId="6D115057"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1134" w:type="dxa"/>
            <w:tcBorders>
              <w:top w:val="single" w:sz="4" w:space="0" w:color="BFBFBF"/>
              <w:bottom w:val="single" w:sz="6" w:space="0" w:color="auto"/>
            </w:tcBorders>
            <w:shd w:val="clear" w:color="auto" w:fill="FFFFFF" w:themeFill="background1"/>
            <w:vAlign w:val="center"/>
          </w:tcPr>
          <w:p w14:paraId="4C4418FC"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1,216</w:t>
            </w:r>
          </w:p>
        </w:tc>
        <w:tc>
          <w:tcPr>
            <w:tcW w:w="1134" w:type="dxa"/>
            <w:tcBorders>
              <w:top w:val="single" w:sz="4" w:space="0" w:color="BFBFBF"/>
              <w:bottom w:val="single" w:sz="6" w:space="0" w:color="auto"/>
            </w:tcBorders>
            <w:shd w:val="clear" w:color="auto" w:fill="auto"/>
            <w:vAlign w:val="center"/>
          </w:tcPr>
          <w:p w14:paraId="6B7F4D4B"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818</w:t>
            </w:r>
          </w:p>
        </w:tc>
        <w:tc>
          <w:tcPr>
            <w:tcW w:w="1204" w:type="dxa"/>
            <w:tcBorders>
              <w:top w:val="single" w:sz="4" w:space="0" w:color="BFBFBF"/>
              <w:bottom w:val="single" w:sz="6" w:space="0" w:color="auto"/>
            </w:tcBorders>
            <w:shd w:val="clear" w:color="auto" w:fill="auto"/>
            <w:vAlign w:val="center"/>
          </w:tcPr>
          <w:p w14:paraId="0DC5169B"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1,410</w:t>
            </w:r>
          </w:p>
        </w:tc>
        <w:tc>
          <w:tcPr>
            <w:tcW w:w="1134" w:type="dxa"/>
            <w:tcBorders>
              <w:top w:val="single" w:sz="4" w:space="0" w:color="BFBFBF"/>
              <w:bottom w:val="single" w:sz="6" w:space="0" w:color="auto"/>
            </w:tcBorders>
            <w:shd w:val="clear" w:color="auto" w:fill="auto"/>
            <w:vAlign w:val="center"/>
          </w:tcPr>
          <w:p w14:paraId="5D010290"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(99)</w:t>
            </w:r>
          </w:p>
        </w:tc>
        <w:tc>
          <w:tcPr>
            <w:tcW w:w="973" w:type="dxa"/>
            <w:tcBorders>
              <w:top w:val="single" w:sz="4" w:space="0" w:color="BFBFBF"/>
              <w:bottom w:val="single" w:sz="6" w:space="0" w:color="auto"/>
            </w:tcBorders>
            <w:shd w:val="clear" w:color="auto" w:fill="auto"/>
            <w:vAlign w:val="center"/>
          </w:tcPr>
          <w:p w14:paraId="0ACC2861" w14:textId="77777777" w:rsidR="0056738E" w:rsidRPr="00F012CB" w:rsidRDefault="0056738E" w:rsidP="007C2AEE">
            <w:pPr>
              <w:tabs>
                <w:tab w:val="right" w:pos="7560"/>
                <w:tab w:val="right" w:pos="9000"/>
              </w:tabs>
              <w:suppressAutoHyphens/>
              <w:spacing w:after="0" w:line="240" w:lineRule="auto"/>
              <w:ind w:right="30"/>
              <w:jc w:val="right"/>
              <w:rPr>
                <w:rFonts w:ascii="Arial" w:hAnsi="Arial" w:cs="Arial"/>
                <w:b/>
                <w:bCs/>
                <w:color w:val="262626"/>
                <w:sz w:val="16"/>
                <w:szCs w:val="16"/>
                <w:lang w:val="el-GR"/>
              </w:rPr>
            </w:pPr>
            <w:r>
              <w:rPr>
                <w:rFonts w:ascii="Arial" w:hAnsi="Arial" w:cs="Arial"/>
                <w:b/>
                <w:bCs/>
                <w:color w:val="262626"/>
                <w:sz w:val="16"/>
                <w:szCs w:val="16"/>
                <w:lang w:val="en-US"/>
              </w:rPr>
              <w:t>3,345</w:t>
            </w:r>
          </w:p>
        </w:tc>
        <w:tc>
          <w:tcPr>
            <w:tcW w:w="1011" w:type="dxa"/>
            <w:tcBorders>
              <w:top w:val="single" w:sz="4" w:space="0" w:color="BFBFBF"/>
              <w:bottom w:val="single" w:sz="6" w:space="0" w:color="auto"/>
            </w:tcBorders>
            <w:shd w:val="clear" w:color="auto" w:fill="auto"/>
            <w:vAlign w:val="center"/>
          </w:tcPr>
          <w:p w14:paraId="5535D173"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992" w:type="dxa"/>
            <w:tcBorders>
              <w:top w:val="single" w:sz="4" w:space="0" w:color="BFBFBF"/>
              <w:bottom w:val="single" w:sz="6" w:space="0" w:color="auto"/>
            </w:tcBorders>
            <w:vAlign w:val="center"/>
          </w:tcPr>
          <w:p w14:paraId="0CB11C2C"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6</w:t>
            </w:r>
          </w:p>
        </w:tc>
        <w:tc>
          <w:tcPr>
            <w:tcW w:w="1101" w:type="dxa"/>
            <w:tcBorders>
              <w:top w:val="single" w:sz="4" w:space="0" w:color="BFBFBF"/>
              <w:bottom w:val="single" w:sz="6" w:space="0" w:color="auto"/>
            </w:tcBorders>
            <w:shd w:val="clear" w:color="auto" w:fill="auto"/>
            <w:vAlign w:val="center"/>
          </w:tcPr>
          <w:p w14:paraId="01926CF9" w14:textId="77777777" w:rsidR="0056738E" w:rsidRPr="00F012CB" w:rsidRDefault="0056738E" w:rsidP="007C2AEE">
            <w:pPr>
              <w:tabs>
                <w:tab w:val="right" w:pos="7560"/>
                <w:tab w:val="right" w:pos="9000"/>
              </w:tabs>
              <w:suppressAutoHyphens/>
              <w:spacing w:after="0" w:line="240" w:lineRule="auto"/>
              <w:ind w:right="34"/>
              <w:jc w:val="right"/>
              <w:rPr>
                <w:rFonts w:ascii="Arial" w:hAnsi="Arial" w:cs="Arial"/>
                <w:b/>
                <w:bCs/>
                <w:color w:val="262626"/>
                <w:sz w:val="16"/>
                <w:szCs w:val="16"/>
                <w:lang w:val="el-GR"/>
              </w:rPr>
            </w:pPr>
            <w:r>
              <w:rPr>
                <w:rFonts w:ascii="Arial" w:hAnsi="Arial" w:cs="Arial"/>
                <w:b/>
                <w:bCs/>
                <w:color w:val="262626"/>
                <w:sz w:val="16"/>
                <w:szCs w:val="16"/>
              </w:rPr>
              <w:t>3,351</w:t>
            </w:r>
          </w:p>
        </w:tc>
      </w:tr>
      <w:tr w:rsidR="0056738E" w:rsidRPr="00896999" w14:paraId="20166E6E" w14:textId="77777777" w:rsidTr="007C2AEE">
        <w:trPr>
          <w:trHeight w:val="340"/>
          <w:jc w:val="center"/>
        </w:trPr>
        <w:tc>
          <w:tcPr>
            <w:tcW w:w="2268" w:type="dxa"/>
            <w:shd w:val="clear" w:color="auto" w:fill="auto"/>
            <w:vAlign w:val="center"/>
          </w:tcPr>
          <w:p w14:paraId="548E8DD4" w14:textId="77777777" w:rsidR="0056738E" w:rsidRPr="00551D75"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r w:rsidRPr="00551D75">
              <w:rPr>
                <w:rFonts w:ascii="Arial" w:hAnsi="Arial" w:cs="Arial"/>
                <w:bCs/>
                <w:color w:val="262626"/>
                <w:sz w:val="15"/>
                <w:szCs w:val="15"/>
                <w:lang w:val="el-GR"/>
              </w:rPr>
              <w:t>Συνολικ</w:t>
            </w:r>
            <w:r>
              <w:rPr>
                <w:rFonts w:ascii="Arial" w:hAnsi="Arial" w:cs="Arial"/>
                <w:bCs/>
                <w:color w:val="262626"/>
                <w:sz w:val="15"/>
                <w:szCs w:val="15"/>
                <w:lang w:val="el-GR"/>
              </w:rPr>
              <w:t>ά εισοδήματα/(ζημιές)</w:t>
            </w:r>
            <w:r w:rsidRPr="00592AFF">
              <w:rPr>
                <w:rFonts w:ascii="Arial" w:hAnsi="Arial" w:cs="Arial"/>
                <w:bCs/>
                <w:color w:val="262626"/>
                <w:sz w:val="15"/>
                <w:szCs w:val="15"/>
                <w:lang w:val="el-GR"/>
              </w:rPr>
              <w:t xml:space="preserve"> </w:t>
            </w:r>
            <w:r>
              <w:rPr>
                <w:rFonts w:ascii="Arial" w:hAnsi="Arial" w:cs="Arial"/>
                <w:bCs/>
                <w:color w:val="262626"/>
                <w:sz w:val="15"/>
                <w:szCs w:val="15"/>
                <w:lang w:val="el-GR"/>
              </w:rPr>
              <w:t>μετά τη φορολογία</w:t>
            </w:r>
            <w:r w:rsidRPr="00551D75">
              <w:rPr>
                <w:rFonts w:ascii="Arial" w:hAnsi="Arial" w:cs="Arial"/>
                <w:bCs/>
                <w:color w:val="262626"/>
                <w:sz w:val="15"/>
                <w:szCs w:val="15"/>
                <w:lang w:val="el-GR"/>
              </w:rPr>
              <w:t xml:space="preserve"> για την περίοδο </w:t>
            </w:r>
          </w:p>
        </w:tc>
        <w:tc>
          <w:tcPr>
            <w:tcW w:w="850" w:type="dxa"/>
            <w:tcBorders>
              <w:top w:val="single" w:sz="6" w:space="0" w:color="auto"/>
              <w:bottom w:val="single" w:sz="6" w:space="0" w:color="000000" w:themeColor="text1"/>
            </w:tcBorders>
            <w:shd w:val="clear" w:color="auto" w:fill="auto"/>
            <w:vAlign w:val="center"/>
          </w:tcPr>
          <w:p w14:paraId="7BE3EFFA"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070" w:type="dxa"/>
            <w:tcBorders>
              <w:top w:val="single" w:sz="6" w:space="0" w:color="auto"/>
              <w:bottom w:val="single" w:sz="6" w:space="0" w:color="000000" w:themeColor="text1"/>
            </w:tcBorders>
            <w:vAlign w:val="center"/>
          </w:tcPr>
          <w:p w14:paraId="727A5496"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850" w:type="dxa"/>
            <w:tcBorders>
              <w:top w:val="single" w:sz="6" w:space="0" w:color="auto"/>
              <w:bottom w:val="single" w:sz="6" w:space="0" w:color="000000" w:themeColor="text1"/>
            </w:tcBorders>
            <w:vAlign w:val="center"/>
          </w:tcPr>
          <w:p w14:paraId="5A0BE79E"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6" w:space="0" w:color="auto"/>
              <w:bottom w:val="single" w:sz="6" w:space="0" w:color="000000" w:themeColor="text1"/>
            </w:tcBorders>
            <w:shd w:val="clear" w:color="auto" w:fill="FFFFFF" w:themeFill="background1"/>
            <w:vAlign w:val="center"/>
          </w:tcPr>
          <w:p w14:paraId="15C16C3F"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6" w:space="0" w:color="auto"/>
              <w:bottom w:val="single" w:sz="6" w:space="0" w:color="000000" w:themeColor="text1"/>
            </w:tcBorders>
            <w:shd w:val="clear" w:color="auto" w:fill="FFFFFF" w:themeFill="background1"/>
            <w:vAlign w:val="center"/>
          </w:tcPr>
          <w:p w14:paraId="38626A2E"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350,579</w:t>
            </w:r>
          </w:p>
        </w:tc>
        <w:tc>
          <w:tcPr>
            <w:tcW w:w="1134" w:type="dxa"/>
            <w:tcBorders>
              <w:top w:val="single" w:sz="6" w:space="0" w:color="auto"/>
              <w:bottom w:val="single" w:sz="6" w:space="0" w:color="000000" w:themeColor="text1"/>
            </w:tcBorders>
            <w:shd w:val="clear" w:color="auto" w:fill="auto"/>
            <w:vAlign w:val="center"/>
          </w:tcPr>
          <w:p w14:paraId="32903084"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818</w:t>
            </w:r>
          </w:p>
        </w:tc>
        <w:tc>
          <w:tcPr>
            <w:tcW w:w="1204" w:type="dxa"/>
            <w:tcBorders>
              <w:top w:val="single" w:sz="6" w:space="0" w:color="auto"/>
              <w:bottom w:val="single" w:sz="6" w:space="0" w:color="000000" w:themeColor="text1"/>
            </w:tcBorders>
            <w:shd w:val="clear" w:color="auto" w:fill="auto"/>
            <w:vAlign w:val="center"/>
          </w:tcPr>
          <w:p w14:paraId="60A20E92"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1,410</w:t>
            </w:r>
          </w:p>
        </w:tc>
        <w:tc>
          <w:tcPr>
            <w:tcW w:w="1134" w:type="dxa"/>
            <w:tcBorders>
              <w:top w:val="single" w:sz="6" w:space="0" w:color="auto"/>
              <w:bottom w:val="single" w:sz="6" w:space="0" w:color="000000" w:themeColor="text1"/>
            </w:tcBorders>
            <w:shd w:val="clear" w:color="auto" w:fill="auto"/>
            <w:vAlign w:val="center"/>
          </w:tcPr>
          <w:p w14:paraId="4415CFFB" w14:textId="77777777" w:rsidR="0056738E" w:rsidRPr="00F012CB"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(99)</w:t>
            </w:r>
          </w:p>
        </w:tc>
        <w:tc>
          <w:tcPr>
            <w:tcW w:w="973" w:type="dxa"/>
            <w:tcBorders>
              <w:top w:val="single" w:sz="6" w:space="0" w:color="auto"/>
              <w:bottom w:val="single" w:sz="6" w:space="0" w:color="000000" w:themeColor="text1"/>
            </w:tcBorders>
            <w:shd w:val="clear" w:color="auto" w:fill="auto"/>
            <w:vAlign w:val="center"/>
          </w:tcPr>
          <w:p w14:paraId="13D89AF7" w14:textId="77777777" w:rsidR="0056738E" w:rsidRPr="00F012CB" w:rsidRDefault="0056738E" w:rsidP="007C2AEE">
            <w:pPr>
              <w:tabs>
                <w:tab w:val="right" w:pos="7560"/>
                <w:tab w:val="right" w:pos="9000"/>
              </w:tabs>
              <w:suppressAutoHyphens/>
              <w:spacing w:after="0" w:line="240" w:lineRule="auto"/>
              <w:ind w:left="-62" w:right="30"/>
              <w:jc w:val="right"/>
              <w:rPr>
                <w:rFonts w:ascii="Arial" w:hAnsi="Arial" w:cs="Arial"/>
                <w:b/>
                <w:bCs/>
                <w:color w:val="262626"/>
                <w:sz w:val="16"/>
                <w:szCs w:val="16"/>
                <w:lang w:val="el-GR"/>
              </w:rPr>
            </w:pPr>
            <w:r>
              <w:rPr>
                <w:rFonts w:ascii="Arial" w:hAnsi="Arial" w:cs="Arial"/>
                <w:b/>
                <w:bCs/>
                <w:color w:val="262626"/>
                <w:sz w:val="16"/>
                <w:szCs w:val="16"/>
                <w:lang w:val="en-US"/>
              </w:rPr>
              <w:t>352,708</w:t>
            </w:r>
          </w:p>
        </w:tc>
        <w:tc>
          <w:tcPr>
            <w:tcW w:w="1011" w:type="dxa"/>
            <w:tcBorders>
              <w:top w:val="single" w:sz="6" w:space="0" w:color="auto"/>
              <w:bottom w:val="single" w:sz="6" w:space="0" w:color="000000" w:themeColor="text1"/>
            </w:tcBorders>
            <w:shd w:val="clear" w:color="auto" w:fill="auto"/>
            <w:vAlign w:val="center"/>
          </w:tcPr>
          <w:p w14:paraId="77BDB3D8" w14:textId="77777777" w:rsidR="0056738E" w:rsidRPr="00F012CB"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992" w:type="dxa"/>
            <w:tcBorders>
              <w:top w:val="single" w:sz="6" w:space="0" w:color="auto"/>
              <w:bottom w:val="single" w:sz="6" w:space="0" w:color="000000" w:themeColor="text1"/>
            </w:tcBorders>
            <w:vAlign w:val="center"/>
          </w:tcPr>
          <w:p w14:paraId="43A95590" w14:textId="77777777" w:rsidR="0056738E" w:rsidRPr="00F012CB" w:rsidRDefault="0056738E" w:rsidP="007C2AEE">
            <w:pPr>
              <w:tabs>
                <w:tab w:val="right" w:pos="7560"/>
                <w:tab w:val="right" w:pos="9000"/>
              </w:tabs>
              <w:suppressAutoHyphens/>
              <w:spacing w:after="0" w:line="240" w:lineRule="auto"/>
              <w:ind w:left="-136" w:right="-51"/>
              <w:jc w:val="right"/>
              <w:rPr>
                <w:rFonts w:ascii="Arial" w:hAnsi="Arial" w:cs="Arial"/>
                <w:bCs/>
                <w:color w:val="262626"/>
                <w:sz w:val="16"/>
                <w:szCs w:val="16"/>
                <w:lang w:val="el-GR"/>
              </w:rPr>
            </w:pPr>
            <w:r>
              <w:rPr>
                <w:rFonts w:ascii="Arial" w:hAnsi="Arial" w:cs="Arial"/>
                <w:bCs/>
                <w:color w:val="262626"/>
                <w:sz w:val="16"/>
                <w:szCs w:val="16"/>
                <w:lang w:val="en-US"/>
              </w:rPr>
              <w:t>1,695</w:t>
            </w:r>
          </w:p>
        </w:tc>
        <w:tc>
          <w:tcPr>
            <w:tcW w:w="1101" w:type="dxa"/>
            <w:tcBorders>
              <w:top w:val="single" w:sz="6" w:space="0" w:color="auto"/>
              <w:bottom w:val="single" w:sz="6" w:space="0" w:color="000000" w:themeColor="text1"/>
            </w:tcBorders>
            <w:shd w:val="clear" w:color="auto" w:fill="auto"/>
            <w:vAlign w:val="center"/>
          </w:tcPr>
          <w:p w14:paraId="524444F6" w14:textId="77777777" w:rsidR="0056738E" w:rsidRPr="00F012CB" w:rsidRDefault="0056738E" w:rsidP="007C2AEE">
            <w:pPr>
              <w:tabs>
                <w:tab w:val="right" w:pos="7560"/>
                <w:tab w:val="right" w:pos="9000"/>
              </w:tabs>
              <w:suppressAutoHyphens/>
              <w:spacing w:after="0" w:line="240" w:lineRule="auto"/>
              <w:ind w:left="-136" w:right="34"/>
              <w:jc w:val="right"/>
              <w:rPr>
                <w:rFonts w:ascii="Arial" w:hAnsi="Arial" w:cs="Arial"/>
                <w:b/>
                <w:bCs/>
                <w:color w:val="262626"/>
                <w:sz w:val="16"/>
                <w:szCs w:val="16"/>
                <w:lang w:val="el-GR"/>
              </w:rPr>
            </w:pPr>
            <w:r>
              <w:rPr>
                <w:rFonts w:ascii="Arial" w:hAnsi="Arial" w:cs="Arial"/>
                <w:b/>
                <w:bCs/>
                <w:color w:val="262626"/>
                <w:sz w:val="16"/>
                <w:szCs w:val="16"/>
              </w:rPr>
              <w:t>354,403</w:t>
            </w:r>
          </w:p>
        </w:tc>
      </w:tr>
      <w:tr w:rsidR="0056738E" w:rsidRPr="008B2A10" w14:paraId="15498D2E" w14:textId="77777777" w:rsidTr="007C2AEE">
        <w:trPr>
          <w:trHeight w:val="340"/>
          <w:jc w:val="center"/>
        </w:trPr>
        <w:tc>
          <w:tcPr>
            <w:tcW w:w="2268" w:type="dxa"/>
            <w:shd w:val="clear" w:color="auto" w:fill="auto"/>
            <w:vAlign w:val="center"/>
          </w:tcPr>
          <w:p w14:paraId="17973C5E" w14:textId="77777777" w:rsidR="0056738E"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r>
              <w:rPr>
                <w:rFonts w:ascii="Arial" w:hAnsi="Arial" w:cs="Arial"/>
                <w:bCs/>
                <w:color w:val="262626"/>
                <w:sz w:val="15"/>
                <w:szCs w:val="15"/>
                <w:lang w:val="el-GR"/>
              </w:rPr>
              <w:t>Μερίσματα</w:t>
            </w:r>
          </w:p>
        </w:tc>
        <w:tc>
          <w:tcPr>
            <w:tcW w:w="850" w:type="dxa"/>
            <w:tcBorders>
              <w:top w:val="single" w:sz="4" w:space="0" w:color="C0C0C0"/>
              <w:bottom w:val="single" w:sz="4" w:space="0" w:color="C0C0C0"/>
            </w:tcBorders>
            <w:shd w:val="clear" w:color="auto" w:fill="auto"/>
            <w:vAlign w:val="center"/>
          </w:tcPr>
          <w:p w14:paraId="1FF3A3CA" w14:textId="77777777" w:rsidR="0056738E" w:rsidRPr="00041815" w:rsidDel="00264973"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070" w:type="dxa"/>
            <w:tcBorders>
              <w:top w:val="single" w:sz="4" w:space="0" w:color="C0C0C0"/>
              <w:bottom w:val="single" w:sz="4" w:space="0" w:color="C0C0C0"/>
            </w:tcBorders>
            <w:shd w:val="clear" w:color="auto" w:fill="auto"/>
            <w:vAlign w:val="center"/>
          </w:tcPr>
          <w:p w14:paraId="60DF345A" w14:textId="77777777" w:rsidR="0056738E" w:rsidRPr="00041815" w:rsidDel="00264973"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850" w:type="dxa"/>
            <w:tcBorders>
              <w:top w:val="single" w:sz="4" w:space="0" w:color="C0C0C0"/>
              <w:bottom w:val="single" w:sz="4" w:space="0" w:color="C0C0C0"/>
            </w:tcBorders>
            <w:shd w:val="clear" w:color="auto" w:fill="auto"/>
            <w:vAlign w:val="center"/>
          </w:tcPr>
          <w:p w14:paraId="6DE854D5" w14:textId="77777777" w:rsidR="0056738E" w:rsidRPr="00041815" w:rsidDel="00264973"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4" w:space="0" w:color="C0C0C0"/>
              <w:bottom w:val="single" w:sz="4" w:space="0" w:color="C0C0C0"/>
            </w:tcBorders>
            <w:vAlign w:val="center"/>
          </w:tcPr>
          <w:p w14:paraId="050B5E0D" w14:textId="77777777" w:rsidR="0056738E" w:rsidRPr="00041815" w:rsidDel="00264973"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4" w:space="0" w:color="C0C0C0"/>
              <w:bottom w:val="single" w:sz="4" w:space="0" w:color="C0C0C0"/>
            </w:tcBorders>
            <w:shd w:val="clear" w:color="auto" w:fill="auto"/>
            <w:vAlign w:val="center"/>
          </w:tcPr>
          <w:p w14:paraId="2023D724" w14:textId="77777777" w:rsidR="0056738E" w:rsidRPr="00041815" w:rsidDel="00264973"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(22,310)</w:t>
            </w:r>
          </w:p>
        </w:tc>
        <w:tc>
          <w:tcPr>
            <w:tcW w:w="1134" w:type="dxa"/>
            <w:tcBorders>
              <w:top w:val="single" w:sz="4" w:space="0" w:color="C0C0C0"/>
              <w:bottom w:val="single" w:sz="4" w:space="0" w:color="C0C0C0"/>
            </w:tcBorders>
            <w:shd w:val="clear" w:color="auto" w:fill="auto"/>
            <w:vAlign w:val="center"/>
          </w:tcPr>
          <w:p w14:paraId="1A013F52" w14:textId="77777777" w:rsidR="0056738E" w:rsidRPr="00041815" w:rsidDel="00264973"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204" w:type="dxa"/>
            <w:tcBorders>
              <w:top w:val="single" w:sz="4" w:space="0" w:color="C0C0C0"/>
              <w:bottom w:val="single" w:sz="4" w:space="0" w:color="C0C0C0"/>
            </w:tcBorders>
            <w:shd w:val="clear" w:color="auto" w:fill="auto"/>
            <w:vAlign w:val="center"/>
          </w:tcPr>
          <w:p w14:paraId="3CE6EBF4" w14:textId="77777777" w:rsidR="0056738E" w:rsidRPr="00041815" w:rsidDel="00264973"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1134" w:type="dxa"/>
            <w:tcBorders>
              <w:top w:val="single" w:sz="4" w:space="0" w:color="C0C0C0"/>
              <w:bottom w:val="single" w:sz="4" w:space="0" w:color="C0C0C0"/>
            </w:tcBorders>
            <w:shd w:val="clear" w:color="auto" w:fill="auto"/>
            <w:vAlign w:val="center"/>
          </w:tcPr>
          <w:p w14:paraId="01F6CE34" w14:textId="77777777" w:rsidR="0056738E" w:rsidRPr="00041815" w:rsidDel="00264973"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973" w:type="dxa"/>
            <w:tcBorders>
              <w:top w:val="single" w:sz="4" w:space="0" w:color="C0C0C0"/>
              <w:bottom w:val="single" w:sz="4" w:space="0" w:color="C0C0C0"/>
            </w:tcBorders>
            <w:shd w:val="clear" w:color="auto" w:fill="auto"/>
            <w:vAlign w:val="center"/>
          </w:tcPr>
          <w:p w14:paraId="74515D34" w14:textId="77777777" w:rsidR="0056738E" w:rsidRPr="00041815" w:rsidDel="00264973" w:rsidRDefault="0056738E" w:rsidP="007C2AEE">
            <w:pPr>
              <w:tabs>
                <w:tab w:val="right" w:pos="7560"/>
                <w:tab w:val="right" w:pos="9000"/>
              </w:tabs>
              <w:suppressAutoHyphens/>
              <w:spacing w:after="0" w:line="240" w:lineRule="auto"/>
              <w:ind w:right="30"/>
              <w:jc w:val="right"/>
              <w:rPr>
                <w:rFonts w:ascii="Arial" w:hAnsi="Arial" w:cs="Arial"/>
                <w:b/>
                <w:bCs/>
                <w:color w:val="262626"/>
                <w:sz w:val="16"/>
                <w:szCs w:val="16"/>
                <w:lang w:val="el-GR"/>
              </w:rPr>
            </w:pPr>
            <w:r>
              <w:rPr>
                <w:rFonts w:ascii="Arial" w:hAnsi="Arial" w:cs="Arial"/>
                <w:b/>
                <w:bCs/>
                <w:color w:val="262626"/>
                <w:sz w:val="16"/>
                <w:szCs w:val="16"/>
                <w:lang w:val="en-US"/>
              </w:rPr>
              <w:t>(22,310)</w:t>
            </w:r>
          </w:p>
        </w:tc>
        <w:tc>
          <w:tcPr>
            <w:tcW w:w="1011" w:type="dxa"/>
            <w:tcBorders>
              <w:top w:val="single" w:sz="4" w:space="0" w:color="C0C0C0"/>
              <w:bottom w:val="single" w:sz="4" w:space="0" w:color="C0C0C0"/>
            </w:tcBorders>
            <w:shd w:val="clear" w:color="auto" w:fill="auto"/>
            <w:vAlign w:val="center"/>
          </w:tcPr>
          <w:p w14:paraId="70719C8F" w14:textId="77777777" w:rsidR="0056738E" w:rsidRPr="00041815" w:rsidDel="00264973"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992" w:type="dxa"/>
            <w:tcBorders>
              <w:top w:val="single" w:sz="4" w:space="0" w:color="C0C0C0"/>
              <w:bottom w:val="single" w:sz="4" w:space="0" w:color="C0C0C0"/>
            </w:tcBorders>
            <w:vAlign w:val="center"/>
          </w:tcPr>
          <w:p w14:paraId="519016DB" w14:textId="77777777" w:rsidR="0056738E" w:rsidRPr="008B2A10" w:rsidDel="00264973"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1101" w:type="dxa"/>
            <w:tcBorders>
              <w:top w:val="single" w:sz="4" w:space="0" w:color="C0C0C0"/>
              <w:bottom w:val="single" w:sz="4" w:space="0" w:color="C0C0C0"/>
            </w:tcBorders>
            <w:shd w:val="clear" w:color="auto" w:fill="auto"/>
            <w:vAlign w:val="center"/>
          </w:tcPr>
          <w:p w14:paraId="1FC9A19B" w14:textId="77777777" w:rsidR="0056738E" w:rsidRPr="00041815" w:rsidDel="00264973" w:rsidRDefault="0056738E" w:rsidP="007C2AEE">
            <w:pPr>
              <w:tabs>
                <w:tab w:val="right" w:pos="7560"/>
                <w:tab w:val="right" w:pos="9000"/>
              </w:tabs>
              <w:suppressAutoHyphens/>
              <w:spacing w:after="0" w:line="240" w:lineRule="auto"/>
              <w:ind w:right="34"/>
              <w:jc w:val="right"/>
              <w:rPr>
                <w:rFonts w:ascii="Arial" w:hAnsi="Arial" w:cs="Arial"/>
                <w:b/>
                <w:bCs/>
                <w:color w:val="262626"/>
                <w:sz w:val="16"/>
                <w:szCs w:val="16"/>
                <w:lang w:val="el-GR"/>
              </w:rPr>
            </w:pPr>
            <w:r>
              <w:rPr>
                <w:rFonts w:ascii="Arial" w:hAnsi="Arial" w:cs="Arial"/>
                <w:b/>
                <w:bCs/>
                <w:color w:val="262626"/>
                <w:sz w:val="16"/>
                <w:szCs w:val="16"/>
              </w:rPr>
              <w:t>(22,310)</w:t>
            </w:r>
          </w:p>
        </w:tc>
      </w:tr>
      <w:tr w:rsidR="0056738E" w:rsidRPr="008B2A10" w14:paraId="101464A4" w14:textId="77777777" w:rsidTr="007C2AEE">
        <w:trPr>
          <w:trHeight w:val="340"/>
          <w:jc w:val="center"/>
        </w:trPr>
        <w:tc>
          <w:tcPr>
            <w:tcW w:w="2268" w:type="dxa"/>
            <w:shd w:val="clear" w:color="auto" w:fill="auto"/>
            <w:vAlign w:val="center"/>
          </w:tcPr>
          <w:p w14:paraId="41B9D755" w14:textId="77777777" w:rsidR="0056738E" w:rsidRPr="00955C85"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r w:rsidRPr="00955C85">
              <w:rPr>
                <w:rFonts w:ascii="Arial" w:hAnsi="Arial" w:cs="Arial"/>
                <w:bCs/>
                <w:color w:val="262626"/>
                <w:sz w:val="15"/>
                <w:szCs w:val="15"/>
                <w:lang w:val="el-GR"/>
              </w:rPr>
              <w:t>Κόστος παροχών που εξαρτώνται από την αξία μετοχών</w:t>
            </w:r>
          </w:p>
        </w:tc>
        <w:tc>
          <w:tcPr>
            <w:tcW w:w="850" w:type="dxa"/>
            <w:tcBorders>
              <w:top w:val="single" w:sz="4" w:space="0" w:color="C0C0C0"/>
              <w:bottom w:val="single" w:sz="4" w:space="0" w:color="C0C0C0"/>
            </w:tcBorders>
            <w:shd w:val="clear" w:color="auto" w:fill="auto"/>
            <w:vAlign w:val="center"/>
          </w:tcPr>
          <w:p w14:paraId="1186A582" w14:textId="77777777" w:rsidR="0056738E" w:rsidRPr="007C2A15"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1070" w:type="dxa"/>
            <w:tcBorders>
              <w:top w:val="single" w:sz="4" w:space="0" w:color="C0C0C0"/>
              <w:bottom w:val="single" w:sz="4" w:space="0" w:color="C0C0C0"/>
            </w:tcBorders>
            <w:shd w:val="clear" w:color="auto" w:fill="auto"/>
            <w:vAlign w:val="center"/>
          </w:tcPr>
          <w:p w14:paraId="75882698" w14:textId="77777777" w:rsidR="0056738E" w:rsidRPr="007C2A15"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850" w:type="dxa"/>
            <w:tcBorders>
              <w:top w:val="single" w:sz="4" w:space="0" w:color="C0C0C0"/>
              <w:bottom w:val="single" w:sz="4" w:space="0" w:color="C0C0C0"/>
            </w:tcBorders>
            <w:shd w:val="clear" w:color="auto" w:fill="auto"/>
            <w:vAlign w:val="center"/>
          </w:tcPr>
          <w:p w14:paraId="033D822B"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4" w:space="0" w:color="C0C0C0"/>
              <w:bottom w:val="single" w:sz="4" w:space="0" w:color="C0C0C0"/>
            </w:tcBorders>
            <w:vAlign w:val="center"/>
          </w:tcPr>
          <w:p w14:paraId="69B7634A"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456</w:t>
            </w:r>
          </w:p>
        </w:tc>
        <w:tc>
          <w:tcPr>
            <w:tcW w:w="1134" w:type="dxa"/>
            <w:tcBorders>
              <w:top w:val="single" w:sz="4" w:space="0" w:color="C0C0C0"/>
              <w:bottom w:val="single" w:sz="4" w:space="0" w:color="C0C0C0"/>
            </w:tcBorders>
            <w:shd w:val="clear" w:color="auto" w:fill="auto"/>
            <w:vAlign w:val="center"/>
          </w:tcPr>
          <w:p w14:paraId="3B690C84"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4" w:space="0" w:color="C0C0C0"/>
              <w:bottom w:val="single" w:sz="4" w:space="0" w:color="C0C0C0"/>
            </w:tcBorders>
            <w:shd w:val="clear" w:color="auto" w:fill="auto"/>
            <w:vAlign w:val="center"/>
          </w:tcPr>
          <w:p w14:paraId="4811ED62"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204" w:type="dxa"/>
            <w:tcBorders>
              <w:top w:val="single" w:sz="4" w:space="0" w:color="C0C0C0"/>
              <w:bottom w:val="single" w:sz="4" w:space="0" w:color="C0C0C0"/>
            </w:tcBorders>
            <w:shd w:val="clear" w:color="auto" w:fill="auto"/>
            <w:vAlign w:val="center"/>
          </w:tcPr>
          <w:p w14:paraId="72CCA2BD"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4" w:space="0" w:color="C0C0C0"/>
              <w:bottom w:val="single" w:sz="4" w:space="0" w:color="C0C0C0"/>
            </w:tcBorders>
            <w:shd w:val="clear" w:color="auto" w:fill="auto"/>
            <w:vAlign w:val="center"/>
          </w:tcPr>
          <w:p w14:paraId="2F8C1A35"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73" w:type="dxa"/>
            <w:tcBorders>
              <w:top w:val="single" w:sz="4" w:space="0" w:color="C0C0C0"/>
              <w:bottom w:val="single" w:sz="4" w:space="0" w:color="C0C0C0"/>
            </w:tcBorders>
            <w:shd w:val="clear" w:color="auto" w:fill="auto"/>
            <w:vAlign w:val="center"/>
          </w:tcPr>
          <w:p w14:paraId="2CD62C4F" w14:textId="77777777" w:rsidR="0056738E" w:rsidRPr="007C2A15" w:rsidRDefault="0056738E" w:rsidP="007C2AEE">
            <w:pPr>
              <w:tabs>
                <w:tab w:val="right" w:pos="7560"/>
                <w:tab w:val="right" w:pos="9000"/>
              </w:tabs>
              <w:suppressAutoHyphens/>
              <w:spacing w:after="0" w:line="240" w:lineRule="auto"/>
              <w:ind w:right="30"/>
              <w:jc w:val="right"/>
              <w:rPr>
                <w:rFonts w:ascii="Arial" w:hAnsi="Arial" w:cs="Arial"/>
                <w:b/>
                <w:bCs/>
                <w:color w:val="262626"/>
                <w:sz w:val="16"/>
                <w:szCs w:val="16"/>
                <w:lang w:val="el-GR"/>
              </w:rPr>
            </w:pPr>
            <w:r>
              <w:rPr>
                <w:rFonts w:ascii="Arial" w:hAnsi="Arial" w:cs="Arial"/>
                <w:b/>
                <w:bCs/>
                <w:color w:val="262626"/>
                <w:sz w:val="16"/>
                <w:szCs w:val="16"/>
              </w:rPr>
              <w:t>456</w:t>
            </w:r>
          </w:p>
        </w:tc>
        <w:tc>
          <w:tcPr>
            <w:tcW w:w="1011" w:type="dxa"/>
            <w:tcBorders>
              <w:top w:val="single" w:sz="4" w:space="0" w:color="C0C0C0"/>
              <w:bottom w:val="single" w:sz="4" w:space="0" w:color="C0C0C0"/>
            </w:tcBorders>
            <w:shd w:val="clear" w:color="auto" w:fill="auto"/>
            <w:vAlign w:val="center"/>
          </w:tcPr>
          <w:p w14:paraId="2F6EB05C"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2" w:type="dxa"/>
            <w:tcBorders>
              <w:top w:val="single" w:sz="4" w:space="0" w:color="C0C0C0"/>
              <w:bottom w:val="single" w:sz="4" w:space="0" w:color="C0C0C0"/>
            </w:tcBorders>
            <w:vAlign w:val="center"/>
          </w:tcPr>
          <w:p w14:paraId="44709536" w14:textId="77777777" w:rsidR="0056738E" w:rsidRPr="008B2A1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01" w:type="dxa"/>
            <w:tcBorders>
              <w:top w:val="single" w:sz="4" w:space="0" w:color="C0C0C0"/>
              <w:bottom w:val="single" w:sz="4" w:space="0" w:color="C0C0C0"/>
            </w:tcBorders>
            <w:shd w:val="clear" w:color="auto" w:fill="auto"/>
            <w:vAlign w:val="center"/>
          </w:tcPr>
          <w:p w14:paraId="2E18FFA7" w14:textId="77777777" w:rsidR="0056738E" w:rsidRPr="007C2A15" w:rsidRDefault="0056738E" w:rsidP="007C2AEE">
            <w:pPr>
              <w:tabs>
                <w:tab w:val="right" w:pos="7560"/>
                <w:tab w:val="right" w:pos="9000"/>
              </w:tabs>
              <w:suppressAutoHyphens/>
              <w:spacing w:after="0" w:line="240" w:lineRule="auto"/>
              <w:ind w:right="34"/>
              <w:jc w:val="right"/>
              <w:rPr>
                <w:rFonts w:ascii="Arial" w:hAnsi="Arial" w:cs="Arial"/>
                <w:b/>
                <w:bCs/>
                <w:color w:val="262626"/>
                <w:sz w:val="16"/>
                <w:szCs w:val="16"/>
                <w:lang w:val="el-GR"/>
              </w:rPr>
            </w:pPr>
            <w:r>
              <w:rPr>
                <w:rFonts w:ascii="Arial" w:hAnsi="Arial" w:cs="Arial"/>
                <w:b/>
                <w:bCs/>
                <w:color w:val="262626"/>
                <w:sz w:val="16"/>
                <w:szCs w:val="16"/>
              </w:rPr>
              <w:t>456</w:t>
            </w:r>
          </w:p>
        </w:tc>
      </w:tr>
      <w:tr w:rsidR="0056738E" w:rsidRPr="008B2A10" w14:paraId="430561E0" w14:textId="77777777" w:rsidTr="007C2AEE">
        <w:trPr>
          <w:trHeight w:val="340"/>
          <w:jc w:val="center"/>
        </w:trPr>
        <w:tc>
          <w:tcPr>
            <w:tcW w:w="2268" w:type="dxa"/>
            <w:shd w:val="clear" w:color="auto" w:fill="auto"/>
            <w:vAlign w:val="center"/>
          </w:tcPr>
          <w:p w14:paraId="7965992D" w14:textId="77777777" w:rsidR="0056738E" w:rsidRPr="00955C85"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r>
              <w:rPr>
                <w:rFonts w:ascii="Arial" w:hAnsi="Arial" w:cs="Arial"/>
                <w:bCs/>
                <w:color w:val="262626"/>
                <w:sz w:val="15"/>
                <w:szCs w:val="15"/>
                <w:lang w:val="el-GR"/>
              </w:rPr>
              <w:t>Πληρωμή κουπονιού στους Κατόχους Χρεογράφων Κατηγορίας 1</w:t>
            </w:r>
          </w:p>
        </w:tc>
        <w:tc>
          <w:tcPr>
            <w:tcW w:w="850" w:type="dxa"/>
            <w:tcBorders>
              <w:top w:val="single" w:sz="4" w:space="0" w:color="C0C0C0"/>
              <w:bottom w:val="single" w:sz="4" w:space="0" w:color="C0C0C0"/>
            </w:tcBorders>
            <w:shd w:val="clear" w:color="auto" w:fill="auto"/>
            <w:vAlign w:val="center"/>
          </w:tcPr>
          <w:p w14:paraId="49B25CFE" w14:textId="77777777" w:rsidR="0056738E" w:rsidRPr="007C2A15"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1070" w:type="dxa"/>
            <w:tcBorders>
              <w:top w:val="single" w:sz="4" w:space="0" w:color="C0C0C0"/>
              <w:bottom w:val="single" w:sz="4" w:space="0" w:color="C0C0C0"/>
            </w:tcBorders>
            <w:shd w:val="clear" w:color="auto" w:fill="auto"/>
            <w:vAlign w:val="center"/>
          </w:tcPr>
          <w:p w14:paraId="5AA649AC" w14:textId="77777777" w:rsidR="0056738E" w:rsidRPr="007C2A15"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850" w:type="dxa"/>
            <w:tcBorders>
              <w:top w:val="single" w:sz="4" w:space="0" w:color="C0C0C0"/>
              <w:bottom w:val="single" w:sz="4" w:space="0" w:color="C0C0C0"/>
            </w:tcBorders>
            <w:shd w:val="clear" w:color="auto" w:fill="auto"/>
            <w:vAlign w:val="center"/>
          </w:tcPr>
          <w:p w14:paraId="38653DAD"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4" w:space="0" w:color="C0C0C0"/>
              <w:bottom w:val="single" w:sz="4" w:space="0" w:color="C0C0C0"/>
            </w:tcBorders>
            <w:vAlign w:val="center"/>
          </w:tcPr>
          <w:p w14:paraId="1EFBE8CC"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4" w:space="0" w:color="C0C0C0"/>
              <w:bottom w:val="single" w:sz="4" w:space="0" w:color="C0C0C0"/>
            </w:tcBorders>
            <w:shd w:val="clear" w:color="auto" w:fill="auto"/>
            <w:vAlign w:val="center"/>
          </w:tcPr>
          <w:p w14:paraId="411E9082"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(13,750)</w:t>
            </w:r>
          </w:p>
        </w:tc>
        <w:tc>
          <w:tcPr>
            <w:tcW w:w="1134" w:type="dxa"/>
            <w:tcBorders>
              <w:top w:val="single" w:sz="4" w:space="0" w:color="C0C0C0"/>
              <w:bottom w:val="single" w:sz="4" w:space="0" w:color="C0C0C0"/>
            </w:tcBorders>
            <w:shd w:val="clear" w:color="auto" w:fill="auto"/>
            <w:vAlign w:val="center"/>
          </w:tcPr>
          <w:p w14:paraId="4C9AA01F"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204" w:type="dxa"/>
            <w:tcBorders>
              <w:top w:val="single" w:sz="4" w:space="0" w:color="C0C0C0"/>
              <w:bottom w:val="single" w:sz="4" w:space="0" w:color="C0C0C0"/>
            </w:tcBorders>
            <w:shd w:val="clear" w:color="auto" w:fill="auto"/>
            <w:vAlign w:val="center"/>
          </w:tcPr>
          <w:p w14:paraId="62FD9762"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4" w:space="0" w:color="C0C0C0"/>
              <w:bottom w:val="single" w:sz="4" w:space="0" w:color="C0C0C0"/>
            </w:tcBorders>
            <w:shd w:val="clear" w:color="auto" w:fill="auto"/>
            <w:vAlign w:val="center"/>
          </w:tcPr>
          <w:p w14:paraId="35A56770"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73" w:type="dxa"/>
            <w:tcBorders>
              <w:top w:val="single" w:sz="4" w:space="0" w:color="C0C0C0"/>
              <w:bottom w:val="single" w:sz="4" w:space="0" w:color="C0C0C0"/>
            </w:tcBorders>
            <w:shd w:val="clear" w:color="auto" w:fill="auto"/>
            <w:vAlign w:val="center"/>
          </w:tcPr>
          <w:p w14:paraId="257E0F8D" w14:textId="77777777" w:rsidR="0056738E" w:rsidRPr="007C2A15" w:rsidRDefault="0056738E" w:rsidP="007C2AEE">
            <w:pPr>
              <w:tabs>
                <w:tab w:val="right" w:pos="7560"/>
                <w:tab w:val="right" w:pos="9000"/>
              </w:tabs>
              <w:suppressAutoHyphens/>
              <w:spacing w:after="0" w:line="240" w:lineRule="auto"/>
              <w:ind w:right="30"/>
              <w:jc w:val="right"/>
              <w:rPr>
                <w:rFonts w:ascii="Arial" w:hAnsi="Arial" w:cs="Arial"/>
                <w:b/>
                <w:bCs/>
                <w:color w:val="262626"/>
                <w:sz w:val="16"/>
                <w:szCs w:val="16"/>
                <w:lang w:val="el-GR"/>
              </w:rPr>
            </w:pPr>
            <w:r>
              <w:rPr>
                <w:rFonts w:ascii="Arial" w:hAnsi="Arial" w:cs="Arial"/>
                <w:b/>
                <w:bCs/>
                <w:color w:val="262626"/>
                <w:sz w:val="16"/>
                <w:szCs w:val="16"/>
              </w:rPr>
              <w:t>(13,750)</w:t>
            </w:r>
          </w:p>
        </w:tc>
        <w:tc>
          <w:tcPr>
            <w:tcW w:w="1011" w:type="dxa"/>
            <w:tcBorders>
              <w:top w:val="single" w:sz="4" w:space="0" w:color="C0C0C0"/>
              <w:bottom w:val="single" w:sz="4" w:space="0" w:color="C0C0C0"/>
            </w:tcBorders>
            <w:shd w:val="clear" w:color="auto" w:fill="auto"/>
            <w:vAlign w:val="center"/>
          </w:tcPr>
          <w:p w14:paraId="70276238"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2" w:type="dxa"/>
            <w:tcBorders>
              <w:top w:val="single" w:sz="4" w:space="0" w:color="C0C0C0"/>
              <w:bottom w:val="single" w:sz="4" w:space="0" w:color="C0C0C0"/>
            </w:tcBorders>
            <w:vAlign w:val="center"/>
          </w:tcPr>
          <w:p w14:paraId="31F001EB" w14:textId="77777777" w:rsidR="0056738E" w:rsidRPr="008B2A1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01" w:type="dxa"/>
            <w:tcBorders>
              <w:top w:val="single" w:sz="4" w:space="0" w:color="C0C0C0"/>
              <w:bottom w:val="single" w:sz="4" w:space="0" w:color="C0C0C0"/>
            </w:tcBorders>
            <w:shd w:val="clear" w:color="auto" w:fill="auto"/>
            <w:vAlign w:val="center"/>
          </w:tcPr>
          <w:p w14:paraId="5F866CB6" w14:textId="77777777" w:rsidR="0056738E" w:rsidRPr="007C2A15" w:rsidRDefault="0056738E" w:rsidP="007C2AEE">
            <w:pPr>
              <w:tabs>
                <w:tab w:val="right" w:pos="7560"/>
                <w:tab w:val="right" w:pos="9000"/>
              </w:tabs>
              <w:suppressAutoHyphens/>
              <w:spacing w:after="0" w:line="240" w:lineRule="auto"/>
              <w:ind w:right="34"/>
              <w:jc w:val="right"/>
              <w:rPr>
                <w:rFonts w:ascii="Arial" w:hAnsi="Arial" w:cs="Arial"/>
                <w:b/>
                <w:bCs/>
                <w:color w:val="262626"/>
                <w:sz w:val="16"/>
                <w:szCs w:val="16"/>
                <w:lang w:val="el-GR"/>
              </w:rPr>
            </w:pPr>
            <w:r>
              <w:rPr>
                <w:rFonts w:ascii="Arial" w:hAnsi="Arial" w:cs="Arial"/>
                <w:b/>
                <w:bCs/>
                <w:color w:val="262626"/>
                <w:sz w:val="16"/>
                <w:szCs w:val="16"/>
              </w:rPr>
              <w:t>(13,750)</w:t>
            </w:r>
          </w:p>
        </w:tc>
      </w:tr>
      <w:tr w:rsidR="0056738E" w:rsidRPr="008B2A10" w14:paraId="2C6B79E7" w14:textId="77777777" w:rsidTr="007C2AEE">
        <w:trPr>
          <w:trHeight w:val="340"/>
          <w:jc w:val="center"/>
        </w:trPr>
        <w:tc>
          <w:tcPr>
            <w:tcW w:w="2268" w:type="dxa"/>
            <w:shd w:val="clear" w:color="auto" w:fill="auto"/>
            <w:vAlign w:val="center"/>
          </w:tcPr>
          <w:p w14:paraId="4088AD76" w14:textId="77777777" w:rsidR="0056738E" w:rsidRPr="00955C85"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r>
              <w:rPr>
                <w:rFonts w:ascii="Arial" w:hAnsi="Arial" w:cs="Arial"/>
                <w:bCs/>
                <w:color w:val="262626"/>
                <w:sz w:val="15"/>
                <w:szCs w:val="15"/>
                <w:lang w:val="el-GR"/>
              </w:rPr>
              <w:t>Έκδοση λοιπών συμμετοχικών τίτλων</w:t>
            </w:r>
          </w:p>
        </w:tc>
        <w:tc>
          <w:tcPr>
            <w:tcW w:w="850" w:type="dxa"/>
            <w:tcBorders>
              <w:top w:val="single" w:sz="4" w:space="0" w:color="C0C0C0"/>
              <w:bottom w:val="single" w:sz="4" w:space="0" w:color="C0C0C0"/>
            </w:tcBorders>
            <w:shd w:val="clear" w:color="auto" w:fill="auto"/>
            <w:vAlign w:val="center"/>
          </w:tcPr>
          <w:p w14:paraId="56734E99" w14:textId="77777777" w:rsidR="0056738E" w:rsidRPr="007C2A15"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1070" w:type="dxa"/>
            <w:tcBorders>
              <w:top w:val="single" w:sz="4" w:space="0" w:color="C0C0C0"/>
              <w:bottom w:val="single" w:sz="4" w:space="0" w:color="C0C0C0"/>
            </w:tcBorders>
            <w:shd w:val="clear" w:color="auto" w:fill="auto"/>
            <w:vAlign w:val="center"/>
          </w:tcPr>
          <w:p w14:paraId="209B2F68" w14:textId="77777777" w:rsidR="0056738E" w:rsidRPr="007C2A15"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850" w:type="dxa"/>
            <w:tcBorders>
              <w:top w:val="single" w:sz="4" w:space="0" w:color="C0C0C0"/>
              <w:bottom w:val="single" w:sz="4" w:space="0" w:color="C0C0C0"/>
            </w:tcBorders>
            <w:shd w:val="clear" w:color="auto" w:fill="auto"/>
            <w:vAlign w:val="center"/>
          </w:tcPr>
          <w:p w14:paraId="7C766ADD"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4" w:space="0" w:color="C0C0C0"/>
              <w:bottom w:val="single" w:sz="4" w:space="0" w:color="C0C0C0"/>
            </w:tcBorders>
            <w:vAlign w:val="center"/>
          </w:tcPr>
          <w:p w14:paraId="65EEA86E"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4" w:space="0" w:color="C0C0C0"/>
              <w:bottom w:val="single" w:sz="4" w:space="0" w:color="C0C0C0"/>
            </w:tcBorders>
            <w:shd w:val="clear" w:color="auto" w:fill="auto"/>
            <w:vAlign w:val="center"/>
          </w:tcPr>
          <w:p w14:paraId="0FC05F74"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(3,530)</w:t>
            </w:r>
          </w:p>
        </w:tc>
        <w:tc>
          <w:tcPr>
            <w:tcW w:w="1134" w:type="dxa"/>
            <w:tcBorders>
              <w:top w:val="single" w:sz="4" w:space="0" w:color="C0C0C0"/>
              <w:bottom w:val="single" w:sz="4" w:space="0" w:color="C0C0C0"/>
            </w:tcBorders>
            <w:shd w:val="clear" w:color="auto" w:fill="auto"/>
            <w:vAlign w:val="center"/>
          </w:tcPr>
          <w:p w14:paraId="621A904C"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204" w:type="dxa"/>
            <w:tcBorders>
              <w:top w:val="single" w:sz="4" w:space="0" w:color="C0C0C0"/>
              <w:bottom w:val="single" w:sz="4" w:space="0" w:color="C0C0C0"/>
            </w:tcBorders>
            <w:shd w:val="clear" w:color="auto" w:fill="auto"/>
            <w:vAlign w:val="center"/>
          </w:tcPr>
          <w:p w14:paraId="301EA56D"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4" w:space="0" w:color="C0C0C0"/>
              <w:bottom w:val="single" w:sz="4" w:space="0" w:color="C0C0C0"/>
            </w:tcBorders>
            <w:shd w:val="clear" w:color="auto" w:fill="auto"/>
            <w:vAlign w:val="center"/>
          </w:tcPr>
          <w:p w14:paraId="22BD1D11"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73" w:type="dxa"/>
            <w:tcBorders>
              <w:top w:val="single" w:sz="4" w:space="0" w:color="C0C0C0"/>
              <w:bottom w:val="single" w:sz="4" w:space="0" w:color="C0C0C0"/>
            </w:tcBorders>
            <w:shd w:val="clear" w:color="auto" w:fill="auto"/>
            <w:vAlign w:val="center"/>
          </w:tcPr>
          <w:p w14:paraId="4C10E02E" w14:textId="77777777" w:rsidR="0056738E" w:rsidRPr="007C2A15" w:rsidRDefault="0056738E" w:rsidP="007C2AEE">
            <w:pPr>
              <w:tabs>
                <w:tab w:val="right" w:pos="7560"/>
                <w:tab w:val="right" w:pos="9000"/>
              </w:tabs>
              <w:suppressAutoHyphens/>
              <w:spacing w:after="0" w:line="240" w:lineRule="auto"/>
              <w:ind w:right="30"/>
              <w:jc w:val="right"/>
              <w:rPr>
                <w:rFonts w:ascii="Arial" w:hAnsi="Arial" w:cs="Arial"/>
                <w:b/>
                <w:bCs/>
                <w:color w:val="262626"/>
                <w:sz w:val="16"/>
                <w:szCs w:val="16"/>
                <w:lang w:val="el-GR"/>
              </w:rPr>
            </w:pPr>
            <w:r>
              <w:rPr>
                <w:rFonts w:ascii="Arial" w:hAnsi="Arial" w:cs="Arial"/>
                <w:b/>
                <w:bCs/>
                <w:color w:val="262626"/>
                <w:sz w:val="16"/>
                <w:szCs w:val="16"/>
              </w:rPr>
              <w:t>(3,530)</w:t>
            </w:r>
          </w:p>
        </w:tc>
        <w:tc>
          <w:tcPr>
            <w:tcW w:w="1011" w:type="dxa"/>
            <w:tcBorders>
              <w:top w:val="single" w:sz="4" w:space="0" w:color="C0C0C0"/>
              <w:bottom w:val="single" w:sz="4" w:space="0" w:color="C0C0C0"/>
            </w:tcBorders>
            <w:shd w:val="clear" w:color="auto" w:fill="auto"/>
            <w:vAlign w:val="center"/>
          </w:tcPr>
          <w:p w14:paraId="3E7517BB"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220,000</w:t>
            </w:r>
          </w:p>
        </w:tc>
        <w:tc>
          <w:tcPr>
            <w:tcW w:w="992" w:type="dxa"/>
            <w:tcBorders>
              <w:top w:val="single" w:sz="4" w:space="0" w:color="C0C0C0"/>
              <w:bottom w:val="single" w:sz="4" w:space="0" w:color="C0C0C0"/>
            </w:tcBorders>
            <w:vAlign w:val="center"/>
          </w:tcPr>
          <w:p w14:paraId="2D1C44AA" w14:textId="77777777" w:rsidR="0056738E" w:rsidRPr="008B2A1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01" w:type="dxa"/>
            <w:tcBorders>
              <w:top w:val="single" w:sz="4" w:space="0" w:color="C0C0C0"/>
              <w:bottom w:val="single" w:sz="4" w:space="0" w:color="C0C0C0"/>
            </w:tcBorders>
            <w:shd w:val="clear" w:color="auto" w:fill="auto"/>
            <w:vAlign w:val="center"/>
          </w:tcPr>
          <w:p w14:paraId="3082FE88" w14:textId="77777777" w:rsidR="0056738E" w:rsidRPr="007C2A15" w:rsidRDefault="0056738E" w:rsidP="007C2AEE">
            <w:pPr>
              <w:tabs>
                <w:tab w:val="right" w:pos="7560"/>
                <w:tab w:val="right" w:pos="9000"/>
              </w:tabs>
              <w:suppressAutoHyphens/>
              <w:spacing w:after="0" w:line="240" w:lineRule="auto"/>
              <w:ind w:right="34"/>
              <w:jc w:val="right"/>
              <w:rPr>
                <w:rFonts w:ascii="Arial" w:hAnsi="Arial" w:cs="Arial"/>
                <w:b/>
                <w:bCs/>
                <w:color w:val="262626"/>
                <w:sz w:val="16"/>
                <w:szCs w:val="16"/>
                <w:lang w:val="el-GR"/>
              </w:rPr>
            </w:pPr>
            <w:r>
              <w:rPr>
                <w:rFonts w:ascii="Arial" w:hAnsi="Arial" w:cs="Arial"/>
                <w:b/>
                <w:bCs/>
                <w:color w:val="262626"/>
                <w:sz w:val="16"/>
                <w:szCs w:val="16"/>
              </w:rPr>
              <w:t>216,470</w:t>
            </w:r>
          </w:p>
        </w:tc>
      </w:tr>
      <w:tr w:rsidR="0056738E" w:rsidRPr="008B2A10" w14:paraId="52FDF89C" w14:textId="77777777" w:rsidTr="007C2AEE">
        <w:trPr>
          <w:trHeight w:val="340"/>
          <w:jc w:val="center"/>
        </w:trPr>
        <w:tc>
          <w:tcPr>
            <w:tcW w:w="2268" w:type="dxa"/>
            <w:shd w:val="clear" w:color="auto" w:fill="auto"/>
            <w:vAlign w:val="center"/>
          </w:tcPr>
          <w:p w14:paraId="32306C3C" w14:textId="77777777" w:rsidR="0056738E" w:rsidRPr="00955C85"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r>
              <w:rPr>
                <w:rFonts w:ascii="Arial" w:hAnsi="Arial" w:cs="Arial"/>
                <w:bCs/>
                <w:color w:val="262626"/>
                <w:sz w:val="15"/>
                <w:szCs w:val="15"/>
                <w:lang w:val="el-GR"/>
              </w:rPr>
              <w:t>Επαναγορά λοιπών συμμετοχικών τίτλων</w:t>
            </w:r>
          </w:p>
        </w:tc>
        <w:tc>
          <w:tcPr>
            <w:tcW w:w="850" w:type="dxa"/>
            <w:tcBorders>
              <w:top w:val="single" w:sz="4" w:space="0" w:color="C0C0C0"/>
              <w:bottom w:val="single" w:sz="4" w:space="0" w:color="C0C0C0"/>
            </w:tcBorders>
            <w:shd w:val="clear" w:color="auto" w:fill="auto"/>
            <w:vAlign w:val="center"/>
          </w:tcPr>
          <w:p w14:paraId="06B5010F" w14:textId="77777777" w:rsidR="0056738E" w:rsidRPr="007C2A15"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lang w:val="en-US"/>
              </w:rPr>
              <w:t>-</w:t>
            </w:r>
          </w:p>
        </w:tc>
        <w:tc>
          <w:tcPr>
            <w:tcW w:w="1070" w:type="dxa"/>
            <w:tcBorders>
              <w:top w:val="single" w:sz="4" w:space="0" w:color="C0C0C0"/>
              <w:bottom w:val="single" w:sz="4" w:space="0" w:color="C0C0C0"/>
            </w:tcBorders>
            <w:shd w:val="clear" w:color="auto" w:fill="auto"/>
            <w:vAlign w:val="center"/>
          </w:tcPr>
          <w:p w14:paraId="68F645F5" w14:textId="77777777" w:rsidR="0056738E" w:rsidRPr="007C2A15"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850" w:type="dxa"/>
            <w:tcBorders>
              <w:top w:val="single" w:sz="4" w:space="0" w:color="C0C0C0"/>
              <w:bottom w:val="single" w:sz="4" w:space="0" w:color="C0C0C0"/>
            </w:tcBorders>
            <w:shd w:val="clear" w:color="auto" w:fill="auto"/>
            <w:vAlign w:val="center"/>
          </w:tcPr>
          <w:p w14:paraId="4AE6B9F8"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93" w:type="dxa"/>
            <w:tcBorders>
              <w:top w:val="single" w:sz="4" w:space="0" w:color="C0C0C0"/>
              <w:bottom w:val="single" w:sz="4" w:space="0" w:color="C0C0C0"/>
            </w:tcBorders>
            <w:vAlign w:val="center"/>
          </w:tcPr>
          <w:p w14:paraId="10794380"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4" w:space="0" w:color="C0C0C0"/>
              <w:bottom w:val="single" w:sz="4" w:space="0" w:color="C0C0C0"/>
            </w:tcBorders>
            <w:shd w:val="clear" w:color="auto" w:fill="auto"/>
            <w:vAlign w:val="center"/>
          </w:tcPr>
          <w:p w14:paraId="171F4844"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(6,820)</w:t>
            </w:r>
          </w:p>
        </w:tc>
        <w:tc>
          <w:tcPr>
            <w:tcW w:w="1134" w:type="dxa"/>
            <w:tcBorders>
              <w:top w:val="single" w:sz="4" w:space="0" w:color="C0C0C0"/>
              <w:bottom w:val="single" w:sz="4" w:space="0" w:color="C0C0C0"/>
            </w:tcBorders>
            <w:shd w:val="clear" w:color="auto" w:fill="auto"/>
            <w:vAlign w:val="center"/>
          </w:tcPr>
          <w:p w14:paraId="2624061D"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204" w:type="dxa"/>
            <w:tcBorders>
              <w:top w:val="single" w:sz="4" w:space="0" w:color="C0C0C0"/>
              <w:bottom w:val="single" w:sz="4" w:space="0" w:color="C0C0C0"/>
            </w:tcBorders>
            <w:shd w:val="clear" w:color="auto" w:fill="auto"/>
            <w:vAlign w:val="center"/>
          </w:tcPr>
          <w:p w14:paraId="4F0B3CDC"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34" w:type="dxa"/>
            <w:tcBorders>
              <w:top w:val="single" w:sz="4" w:space="0" w:color="C0C0C0"/>
              <w:bottom w:val="single" w:sz="4" w:space="0" w:color="C0C0C0"/>
            </w:tcBorders>
            <w:shd w:val="clear" w:color="auto" w:fill="auto"/>
            <w:vAlign w:val="center"/>
          </w:tcPr>
          <w:p w14:paraId="7D2A91D8"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973" w:type="dxa"/>
            <w:tcBorders>
              <w:top w:val="single" w:sz="4" w:space="0" w:color="C0C0C0"/>
              <w:bottom w:val="single" w:sz="4" w:space="0" w:color="C0C0C0"/>
            </w:tcBorders>
            <w:shd w:val="clear" w:color="auto" w:fill="auto"/>
            <w:vAlign w:val="center"/>
          </w:tcPr>
          <w:p w14:paraId="652A0813" w14:textId="77777777" w:rsidR="0056738E" w:rsidRPr="007C2A15" w:rsidRDefault="0056738E" w:rsidP="007C2AEE">
            <w:pPr>
              <w:tabs>
                <w:tab w:val="right" w:pos="7560"/>
                <w:tab w:val="right" w:pos="9000"/>
              </w:tabs>
              <w:suppressAutoHyphens/>
              <w:spacing w:after="0" w:line="240" w:lineRule="auto"/>
              <w:ind w:right="30"/>
              <w:jc w:val="right"/>
              <w:rPr>
                <w:rFonts w:ascii="Arial" w:hAnsi="Arial" w:cs="Arial"/>
                <w:b/>
                <w:bCs/>
                <w:color w:val="262626"/>
                <w:sz w:val="16"/>
                <w:szCs w:val="16"/>
                <w:lang w:val="el-GR"/>
              </w:rPr>
            </w:pPr>
            <w:r>
              <w:rPr>
                <w:rFonts w:ascii="Arial" w:hAnsi="Arial" w:cs="Arial"/>
                <w:b/>
                <w:bCs/>
                <w:color w:val="262626"/>
                <w:sz w:val="16"/>
                <w:szCs w:val="16"/>
              </w:rPr>
              <w:t>(6,820)</w:t>
            </w:r>
          </w:p>
        </w:tc>
        <w:tc>
          <w:tcPr>
            <w:tcW w:w="1011" w:type="dxa"/>
            <w:tcBorders>
              <w:top w:val="single" w:sz="4" w:space="0" w:color="C0C0C0"/>
              <w:bottom w:val="single" w:sz="4" w:space="0" w:color="C0C0C0"/>
            </w:tcBorders>
            <w:shd w:val="clear" w:color="auto" w:fill="auto"/>
            <w:vAlign w:val="center"/>
          </w:tcPr>
          <w:p w14:paraId="18849D71" w14:textId="77777777" w:rsidR="0056738E" w:rsidRPr="007C2A1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(211,750)</w:t>
            </w:r>
          </w:p>
        </w:tc>
        <w:tc>
          <w:tcPr>
            <w:tcW w:w="992" w:type="dxa"/>
            <w:tcBorders>
              <w:top w:val="single" w:sz="4" w:space="0" w:color="C0C0C0"/>
              <w:bottom w:val="single" w:sz="4" w:space="0" w:color="C0C0C0"/>
            </w:tcBorders>
            <w:vAlign w:val="center"/>
          </w:tcPr>
          <w:p w14:paraId="3298B80A" w14:textId="77777777" w:rsidR="0056738E" w:rsidRPr="008B2A10"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Cs/>
                <w:color w:val="262626"/>
                <w:sz w:val="16"/>
                <w:szCs w:val="16"/>
              </w:rPr>
              <w:t>-</w:t>
            </w:r>
          </w:p>
        </w:tc>
        <w:tc>
          <w:tcPr>
            <w:tcW w:w="1101" w:type="dxa"/>
            <w:tcBorders>
              <w:top w:val="single" w:sz="4" w:space="0" w:color="C0C0C0"/>
              <w:bottom w:val="single" w:sz="4" w:space="0" w:color="C0C0C0"/>
            </w:tcBorders>
            <w:shd w:val="clear" w:color="auto" w:fill="auto"/>
            <w:vAlign w:val="center"/>
          </w:tcPr>
          <w:p w14:paraId="27D9361F" w14:textId="77777777" w:rsidR="0056738E" w:rsidRPr="007C2A15" w:rsidRDefault="0056738E" w:rsidP="007C2AEE">
            <w:pPr>
              <w:tabs>
                <w:tab w:val="right" w:pos="7560"/>
                <w:tab w:val="right" w:pos="9000"/>
              </w:tabs>
              <w:suppressAutoHyphens/>
              <w:spacing w:after="0" w:line="240" w:lineRule="auto"/>
              <w:ind w:right="34"/>
              <w:jc w:val="right"/>
              <w:rPr>
                <w:rFonts w:ascii="Arial" w:hAnsi="Arial" w:cs="Arial"/>
                <w:b/>
                <w:bCs/>
                <w:color w:val="262626"/>
                <w:sz w:val="16"/>
                <w:szCs w:val="16"/>
                <w:lang w:val="el-GR"/>
              </w:rPr>
            </w:pPr>
            <w:r>
              <w:rPr>
                <w:rFonts w:ascii="Arial" w:hAnsi="Arial" w:cs="Arial"/>
                <w:b/>
                <w:bCs/>
                <w:color w:val="262626"/>
                <w:sz w:val="16"/>
                <w:szCs w:val="16"/>
              </w:rPr>
              <w:t>(218,570)</w:t>
            </w:r>
          </w:p>
        </w:tc>
      </w:tr>
      <w:tr w:rsidR="0056738E" w:rsidRPr="00311D78" w14:paraId="7A4AD52A" w14:textId="77777777" w:rsidTr="007C2AEE">
        <w:trPr>
          <w:trHeight w:val="340"/>
          <w:jc w:val="center"/>
        </w:trPr>
        <w:tc>
          <w:tcPr>
            <w:tcW w:w="2268" w:type="dxa"/>
            <w:shd w:val="clear" w:color="auto" w:fill="auto"/>
            <w:vAlign w:val="center"/>
          </w:tcPr>
          <w:p w14:paraId="74375F19" w14:textId="77777777" w:rsidR="0056738E" w:rsidRDefault="0056738E" w:rsidP="007C2AEE">
            <w:pPr>
              <w:tabs>
                <w:tab w:val="left" w:pos="0"/>
                <w:tab w:val="right" w:pos="7560"/>
                <w:tab w:val="right" w:pos="9000"/>
              </w:tabs>
              <w:suppressAutoHyphens/>
              <w:spacing w:after="0" w:line="240" w:lineRule="auto"/>
              <w:rPr>
                <w:rFonts w:ascii="Arial" w:hAnsi="Arial" w:cs="Arial"/>
                <w:bCs/>
                <w:color w:val="262626"/>
                <w:sz w:val="15"/>
                <w:szCs w:val="15"/>
                <w:lang w:val="el-GR"/>
              </w:rPr>
            </w:pPr>
            <w:r w:rsidRPr="007C2A15">
              <w:rPr>
                <w:rFonts w:ascii="Arial" w:hAnsi="Arial" w:cs="Arial"/>
                <w:b/>
                <w:bCs/>
                <w:color w:val="262626"/>
                <w:sz w:val="15"/>
                <w:szCs w:val="15"/>
                <w:lang w:val="el-GR"/>
              </w:rPr>
              <w:t>30 Σεπτεμβρίου 202</w:t>
            </w:r>
            <w:r>
              <w:rPr>
                <w:rFonts w:ascii="Arial" w:hAnsi="Arial" w:cs="Arial"/>
                <w:b/>
                <w:bCs/>
                <w:color w:val="262626"/>
                <w:sz w:val="15"/>
                <w:szCs w:val="15"/>
                <w:lang w:val="en-US"/>
              </w:rPr>
              <w:t>3</w:t>
            </w:r>
          </w:p>
        </w:tc>
        <w:tc>
          <w:tcPr>
            <w:tcW w:w="850" w:type="dxa"/>
            <w:tcBorders>
              <w:top w:val="single" w:sz="6" w:space="0" w:color="000000" w:themeColor="text1"/>
              <w:bottom w:val="double" w:sz="6" w:space="0" w:color="000000" w:themeColor="text1"/>
            </w:tcBorders>
            <w:shd w:val="clear" w:color="auto" w:fill="auto"/>
            <w:vAlign w:val="center"/>
          </w:tcPr>
          <w:p w14:paraId="0B48278A" w14:textId="77777777" w:rsidR="0056738E" w:rsidRPr="00955C85"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l-GR"/>
              </w:rPr>
            </w:pPr>
            <w:r>
              <w:rPr>
                <w:rFonts w:ascii="Arial" w:hAnsi="Arial" w:cs="Arial"/>
                <w:b/>
                <w:bCs/>
                <w:color w:val="262626"/>
                <w:sz w:val="16"/>
                <w:szCs w:val="16"/>
              </w:rPr>
              <w:t>44,620</w:t>
            </w:r>
          </w:p>
        </w:tc>
        <w:tc>
          <w:tcPr>
            <w:tcW w:w="1070" w:type="dxa"/>
            <w:tcBorders>
              <w:top w:val="single" w:sz="6" w:space="0" w:color="000000" w:themeColor="text1"/>
              <w:bottom w:val="double" w:sz="6" w:space="0" w:color="000000" w:themeColor="text1"/>
            </w:tcBorders>
            <w:vAlign w:val="center"/>
          </w:tcPr>
          <w:p w14:paraId="6A218A82" w14:textId="77777777" w:rsidR="0056738E" w:rsidRDefault="0056738E" w:rsidP="007C2AEE">
            <w:pPr>
              <w:tabs>
                <w:tab w:val="left" w:pos="0"/>
                <w:tab w:val="left" w:pos="282"/>
                <w:tab w:val="left" w:pos="720"/>
              </w:tabs>
              <w:suppressAutoHyphens/>
              <w:spacing w:after="0" w:line="240" w:lineRule="auto"/>
              <w:jc w:val="right"/>
              <w:rPr>
                <w:rFonts w:ascii="Arial" w:hAnsi="Arial" w:cs="Arial"/>
                <w:bCs/>
                <w:color w:val="262626"/>
                <w:sz w:val="16"/>
                <w:szCs w:val="16"/>
                <w:lang w:val="en-US"/>
              </w:rPr>
            </w:pPr>
            <w:r>
              <w:rPr>
                <w:rFonts w:ascii="Arial" w:hAnsi="Arial" w:cs="Arial"/>
                <w:b/>
                <w:bCs/>
                <w:color w:val="262626"/>
                <w:sz w:val="16"/>
                <w:szCs w:val="16"/>
              </w:rPr>
              <w:t>594,358</w:t>
            </w:r>
          </w:p>
        </w:tc>
        <w:tc>
          <w:tcPr>
            <w:tcW w:w="850" w:type="dxa"/>
            <w:tcBorders>
              <w:top w:val="single" w:sz="6" w:space="0" w:color="000000" w:themeColor="text1"/>
              <w:bottom w:val="double" w:sz="6" w:space="0" w:color="000000" w:themeColor="text1"/>
            </w:tcBorders>
            <w:vAlign w:val="center"/>
          </w:tcPr>
          <w:p w14:paraId="23CB91F8"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n-US"/>
              </w:rPr>
            </w:pPr>
            <w:r>
              <w:rPr>
                <w:rFonts w:ascii="Arial" w:hAnsi="Arial" w:cs="Arial"/>
                <w:b/>
                <w:bCs/>
                <w:color w:val="262626"/>
                <w:sz w:val="16"/>
                <w:szCs w:val="16"/>
              </w:rPr>
              <w:t>(21,463)</w:t>
            </w:r>
          </w:p>
        </w:tc>
        <w:tc>
          <w:tcPr>
            <w:tcW w:w="993" w:type="dxa"/>
            <w:tcBorders>
              <w:top w:val="single" w:sz="6" w:space="0" w:color="000000" w:themeColor="text1"/>
              <w:bottom w:val="double" w:sz="6" w:space="0" w:color="000000" w:themeColor="text1"/>
            </w:tcBorders>
            <w:shd w:val="clear" w:color="auto" w:fill="FFFFFF" w:themeFill="background1"/>
            <w:vAlign w:val="center"/>
          </w:tcPr>
          <w:p w14:paraId="53AB8A6B" w14:textId="77777777" w:rsidR="0056738E" w:rsidRPr="00955C85" w:rsidRDefault="0056738E" w:rsidP="007C2AEE">
            <w:pPr>
              <w:tabs>
                <w:tab w:val="right" w:pos="7560"/>
                <w:tab w:val="right" w:pos="9000"/>
              </w:tabs>
              <w:suppressAutoHyphens/>
              <w:spacing w:after="0" w:line="240" w:lineRule="auto"/>
              <w:jc w:val="right"/>
              <w:rPr>
                <w:rFonts w:ascii="Arial" w:hAnsi="Arial" w:cs="Arial"/>
                <w:bCs/>
                <w:color w:val="262626"/>
                <w:sz w:val="16"/>
                <w:szCs w:val="16"/>
                <w:lang w:val="el-GR"/>
              </w:rPr>
            </w:pPr>
            <w:r>
              <w:rPr>
                <w:rFonts w:ascii="Arial" w:hAnsi="Arial" w:cs="Arial"/>
                <w:b/>
                <w:bCs/>
                <w:color w:val="262626"/>
                <w:sz w:val="16"/>
                <w:szCs w:val="16"/>
                <w:lang w:val="en-US"/>
              </w:rPr>
              <w:t>778</w:t>
            </w:r>
          </w:p>
        </w:tc>
        <w:tc>
          <w:tcPr>
            <w:tcW w:w="1134" w:type="dxa"/>
            <w:tcBorders>
              <w:top w:val="single" w:sz="6" w:space="0" w:color="000000" w:themeColor="text1"/>
              <w:bottom w:val="double" w:sz="6" w:space="0" w:color="000000" w:themeColor="text1"/>
            </w:tcBorders>
            <w:shd w:val="clear" w:color="auto" w:fill="FFFFFF" w:themeFill="background1"/>
            <w:vAlign w:val="center"/>
          </w:tcPr>
          <w:p w14:paraId="76EA14F7"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
                <w:bCs/>
                <w:color w:val="262626"/>
                <w:sz w:val="16"/>
                <w:szCs w:val="16"/>
                <w:lang w:val="en-US"/>
              </w:rPr>
              <w:t>1,394,518</w:t>
            </w:r>
          </w:p>
        </w:tc>
        <w:tc>
          <w:tcPr>
            <w:tcW w:w="1134" w:type="dxa"/>
            <w:tcBorders>
              <w:top w:val="single" w:sz="6" w:space="0" w:color="000000" w:themeColor="text1"/>
              <w:bottom w:val="double" w:sz="6" w:space="0" w:color="000000" w:themeColor="text1"/>
            </w:tcBorders>
            <w:shd w:val="clear" w:color="auto" w:fill="auto"/>
            <w:vAlign w:val="center"/>
          </w:tcPr>
          <w:p w14:paraId="0D334FBB"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
                <w:bCs/>
                <w:color w:val="262626"/>
                <w:sz w:val="16"/>
                <w:szCs w:val="16"/>
              </w:rPr>
              <w:t>74,988</w:t>
            </w:r>
          </w:p>
        </w:tc>
        <w:tc>
          <w:tcPr>
            <w:tcW w:w="1204" w:type="dxa"/>
            <w:tcBorders>
              <w:top w:val="single" w:sz="6" w:space="0" w:color="000000" w:themeColor="text1"/>
              <w:bottom w:val="double" w:sz="6" w:space="0" w:color="000000" w:themeColor="text1"/>
            </w:tcBorders>
            <w:shd w:val="clear" w:color="auto" w:fill="auto"/>
            <w:vAlign w:val="center"/>
          </w:tcPr>
          <w:p w14:paraId="04866020"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
                <w:bCs/>
                <w:color w:val="262626"/>
                <w:sz w:val="16"/>
                <w:szCs w:val="16"/>
                <w:lang w:val="en-US"/>
              </w:rPr>
              <w:t>8,552</w:t>
            </w:r>
          </w:p>
        </w:tc>
        <w:tc>
          <w:tcPr>
            <w:tcW w:w="1134" w:type="dxa"/>
            <w:tcBorders>
              <w:top w:val="single" w:sz="6" w:space="0" w:color="000000" w:themeColor="text1"/>
              <w:bottom w:val="double" w:sz="6" w:space="0" w:color="000000" w:themeColor="text1"/>
            </w:tcBorders>
            <w:shd w:val="clear" w:color="auto" w:fill="auto"/>
            <w:vAlign w:val="center"/>
          </w:tcPr>
          <w:p w14:paraId="32225F07"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
                <w:bCs/>
                <w:color w:val="262626"/>
                <w:sz w:val="16"/>
                <w:szCs w:val="16"/>
                <w:lang w:val="en-US"/>
              </w:rPr>
              <w:t>16,669</w:t>
            </w:r>
          </w:p>
        </w:tc>
        <w:tc>
          <w:tcPr>
            <w:tcW w:w="973" w:type="dxa"/>
            <w:tcBorders>
              <w:top w:val="single" w:sz="6" w:space="0" w:color="000000" w:themeColor="text1"/>
              <w:bottom w:val="double" w:sz="6" w:space="0" w:color="000000" w:themeColor="text1"/>
            </w:tcBorders>
            <w:shd w:val="clear" w:color="auto" w:fill="auto"/>
            <w:vAlign w:val="center"/>
          </w:tcPr>
          <w:p w14:paraId="6BA45A3E" w14:textId="77777777" w:rsidR="0056738E" w:rsidRPr="00955C85" w:rsidRDefault="0056738E" w:rsidP="007C2AEE">
            <w:pPr>
              <w:tabs>
                <w:tab w:val="right" w:pos="7560"/>
                <w:tab w:val="right" w:pos="9000"/>
              </w:tabs>
              <w:suppressAutoHyphens/>
              <w:spacing w:after="0" w:line="240" w:lineRule="auto"/>
              <w:ind w:right="30"/>
              <w:jc w:val="right"/>
              <w:rPr>
                <w:rFonts w:ascii="Arial" w:hAnsi="Arial" w:cs="Arial"/>
                <w:b/>
                <w:bCs/>
                <w:color w:val="262626"/>
                <w:sz w:val="16"/>
                <w:szCs w:val="16"/>
                <w:lang w:val="el-GR"/>
              </w:rPr>
            </w:pPr>
            <w:r>
              <w:rPr>
                <w:rFonts w:ascii="Arial" w:hAnsi="Arial" w:cs="Arial"/>
                <w:b/>
                <w:bCs/>
                <w:color w:val="262626"/>
                <w:sz w:val="16"/>
                <w:szCs w:val="16"/>
                <w:lang w:val="en-US"/>
              </w:rPr>
              <w:t>2,113,020</w:t>
            </w:r>
          </w:p>
        </w:tc>
        <w:tc>
          <w:tcPr>
            <w:tcW w:w="1011" w:type="dxa"/>
            <w:tcBorders>
              <w:top w:val="single" w:sz="6" w:space="0" w:color="000000" w:themeColor="text1"/>
              <w:bottom w:val="double" w:sz="6" w:space="0" w:color="000000" w:themeColor="text1"/>
            </w:tcBorders>
            <w:shd w:val="clear" w:color="auto" w:fill="auto"/>
            <w:vAlign w:val="center"/>
          </w:tcPr>
          <w:p w14:paraId="1B270066"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
                <w:bCs/>
                <w:color w:val="262626"/>
                <w:sz w:val="16"/>
                <w:szCs w:val="16"/>
                <w:lang w:val="en-US"/>
              </w:rPr>
              <w:t>228,250</w:t>
            </w:r>
          </w:p>
        </w:tc>
        <w:tc>
          <w:tcPr>
            <w:tcW w:w="992" w:type="dxa"/>
            <w:tcBorders>
              <w:top w:val="single" w:sz="6" w:space="0" w:color="000000" w:themeColor="text1"/>
              <w:bottom w:val="double" w:sz="6" w:space="0" w:color="000000" w:themeColor="text1"/>
            </w:tcBorders>
            <w:vAlign w:val="center"/>
          </w:tcPr>
          <w:p w14:paraId="424716E8" w14:textId="77777777" w:rsidR="0056738E" w:rsidRDefault="0056738E" w:rsidP="007C2AEE">
            <w:pPr>
              <w:tabs>
                <w:tab w:val="right" w:pos="7560"/>
                <w:tab w:val="right" w:pos="9000"/>
              </w:tabs>
              <w:suppressAutoHyphens/>
              <w:spacing w:after="0" w:line="240" w:lineRule="auto"/>
              <w:jc w:val="right"/>
              <w:rPr>
                <w:rFonts w:ascii="Arial" w:hAnsi="Arial" w:cs="Arial"/>
                <w:bCs/>
                <w:color w:val="262626"/>
                <w:sz w:val="16"/>
                <w:szCs w:val="16"/>
              </w:rPr>
            </w:pPr>
            <w:r>
              <w:rPr>
                <w:rFonts w:ascii="Arial" w:hAnsi="Arial" w:cs="Arial"/>
                <w:b/>
                <w:bCs/>
                <w:color w:val="262626"/>
                <w:sz w:val="16"/>
                <w:szCs w:val="16"/>
                <w:lang w:val="en-US"/>
              </w:rPr>
              <w:t>23,995</w:t>
            </w:r>
          </w:p>
        </w:tc>
        <w:tc>
          <w:tcPr>
            <w:tcW w:w="1101" w:type="dxa"/>
            <w:tcBorders>
              <w:top w:val="single" w:sz="6" w:space="0" w:color="000000" w:themeColor="text1"/>
              <w:bottom w:val="double" w:sz="6" w:space="0" w:color="000000" w:themeColor="text1"/>
            </w:tcBorders>
            <w:shd w:val="clear" w:color="auto" w:fill="auto"/>
            <w:vAlign w:val="center"/>
          </w:tcPr>
          <w:p w14:paraId="3C46918E" w14:textId="77777777" w:rsidR="0056738E" w:rsidRPr="001C3AA9" w:rsidRDefault="0056738E" w:rsidP="007C2AEE">
            <w:pPr>
              <w:tabs>
                <w:tab w:val="right" w:pos="7560"/>
                <w:tab w:val="right" w:pos="9000"/>
              </w:tabs>
              <w:suppressAutoHyphens/>
              <w:spacing w:after="0" w:line="240" w:lineRule="auto"/>
              <w:ind w:right="34"/>
              <w:jc w:val="right"/>
              <w:rPr>
                <w:rFonts w:ascii="Arial" w:hAnsi="Arial" w:cs="Arial"/>
                <w:b/>
                <w:bCs/>
                <w:color w:val="262626"/>
                <w:sz w:val="16"/>
                <w:szCs w:val="16"/>
                <w:lang w:val="en-US"/>
              </w:rPr>
            </w:pPr>
            <w:r>
              <w:rPr>
                <w:rFonts w:ascii="Arial" w:hAnsi="Arial" w:cs="Arial"/>
                <w:b/>
                <w:bCs/>
                <w:color w:val="262626"/>
                <w:sz w:val="16"/>
                <w:szCs w:val="16"/>
                <w:lang w:val="en-US"/>
              </w:rPr>
              <w:t>2,365,265</w:t>
            </w:r>
          </w:p>
        </w:tc>
      </w:tr>
      <w:tr w:rsidR="0056738E" w:rsidRPr="00551D75" w14:paraId="64EDEA41" w14:textId="77777777" w:rsidTr="007C2AEE">
        <w:trPr>
          <w:trHeight w:val="340"/>
          <w:jc w:val="center"/>
        </w:trPr>
        <w:tc>
          <w:tcPr>
            <w:tcW w:w="2268" w:type="dxa"/>
            <w:tcBorders>
              <w:left w:val="nil"/>
              <w:bottom w:val="nil"/>
              <w:right w:val="nil"/>
            </w:tcBorders>
            <w:shd w:val="clear" w:color="auto" w:fill="auto"/>
            <w:vAlign w:val="center"/>
          </w:tcPr>
          <w:p w14:paraId="23E0B1A2" w14:textId="77777777" w:rsidR="0056738E" w:rsidRDefault="0056738E" w:rsidP="007C2AEE">
            <w:pPr>
              <w:tabs>
                <w:tab w:val="left" w:pos="0"/>
                <w:tab w:val="right" w:pos="7560"/>
                <w:tab w:val="right" w:pos="9000"/>
              </w:tabs>
              <w:suppressAutoHyphens/>
              <w:spacing w:after="0" w:line="240" w:lineRule="auto"/>
              <w:rPr>
                <w:rFonts w:ascii="Arial" w:hAnsi="Arial" w:cs="Arial"/>
                <w:b/>
                <w:bCs/>
                <w:color w:val="262626"/>
                <w:sz w:val="15"/>
                <w:szCs w:val="15"/>
                <w:lang w:val="el-GR"/>
              </w:rPr>
            </w:pPr>
          </w:p>
        </w:tc>
        <w:tc>
          <w:tcPr>
            <w:tcW w:w="850" w:type="dxa"/>
            <w:tcBorders>
              <w:top w:val="double" w:sz="6" w:space="0" w:color="000000" w:themeColor="text1"/>
              <w:left w:val="nil"/>
              <w:bottom w:val="nil"/>
              <w:right w:val="nil"/>
            </w:tcBorders>
            <w:shd w:val="clear" w:color="auto" w:fill="auto"/>
            <w:vAlign w:val="center"/>
          </w:tcPr>
          <w:p w14:paraId="7E0B539D" w14:textId="77777777" w:rsidR="0056738E" w:rsidRDefault="0056738E" w:rsidP="007C2AEE">
            <w:pPr>
              <w:tabs>
                <w:tab w:val="right" w:pos="7560"/>
                <w:tab w:val="right" w:pos="9000"/>
              </w:tabs>
              <w:suppressAutoHyphens/>
              <w:spacing w:after="0" w:line="240" w:lineRule="auto"/>
              <w:jc w:val="right"/>
              <w:rPr>
                <w:rFonts w:ascii="Arial" w:hAnsi="Arial" w:cs="Arial"/>
                <w:b/>
                <w:bCs/>
                <w:color w:val="262626"/>
                <w:sz w:val="16"/>
                <w:szCs w:val="16"/>
              </w:rPr>
            </w:pPr>
          </w:p>
        </w:tc>
        <w:tc>
          <w:tcPr>
            <w:tcW w:w="1070" w:type="dxa"/>
            <w:tcBorders>
              <w:top w:val="double" w:sz="6" w:space="0" w:color="000000" w:themeColor="text1"/>
              <w:left w:val="nil"/>
              <w:bottom w:val="nil"/>
              <w:right w:val="nil"/>
            </w:tcBorders>
            <w:vAlign w:val="center"/>
          </w:tcPr>
          <w:p w14:paraId="13939DFB" w14:textId="77777777" w:rsidR="0056738E" w:rsidRDefault="0056738E" w:rsidP="007C2AEE">
            <w:pPr>
              <w:tabs>
                <w:tab w:val="right" w:pos="7560"/>
                <w:tab w:val="right" w:pos="9000"/>
              </w:tabs>
              <w:suppressAutoHyphens/>
              <w:spacing w:after="0" w:line="240" w:lineRule="auto"/>
              <w:ind w:left="-54"/>
              <w:jc w:val="right"/>
              <w:rPr>
                <w:rFonts w:ascii="Arial" w:hAnsi="Arial" w:cs="Arial"/>
                <w:b/>
                <w:bCs/>
                <w:color w:val="262626"/>
                <w:sz w:val="16"/>
                <w:szCs w:val="16"/>
              </w:rPr>
            </w:pPr>
          </w:p>
        </w:tc>
        <w:tc>
          <w:tcPr>
            <w:tcW w:w="850" w:type="dxa"/>
            <w:tcBorders>
              <w:top w:val="double" w:sz="6" w:space="0" w:color="000000" w:themeColor="text1"/>
              <w:left w:val="nil"/>
              <w:bottom w:val="nil"/>
              <w:right w:val="nil"/>
            </w:tcBorders>
            <w:vAlign w:val="center"/>
          </w:tcPr>
          <w:p w14:paraId="2120680C" w14:textId="77777777" w:rsidR="0056738E" w:rsidRDefault="0056738E" w:rsidP="007C2AEE">
            <w:pPr>
              <w:tabs>
                <w:tab w:val="right" w:pos="7560"/>
                <w:tab w:val="right" w:pos="9000"/>
              </w:tabs>
              <w:suppressAutoHyphens/>
              <w:spacing w:after="0" w:line="240" w:lineRule="auto"/>
              <w:ind w:left="-136"/>
              <w:jc w:val="right"/>
              <w:rPr>
                <w:rFonts w:ascii="Arial" w:hAnsi="Arial" w:cs="Arial"/>
                <w:b/>
                <w:bCs/>
                <w:color w:val="262626"/>
                <w:sz w:val="16"/>
                <w:szCs w:val="16"/>
              </w:rPr>
            </w:pPr>
          </w:p>
        </w:tc>
        <w:tc>
          <w:tcPr>
            <w:tcW w:w="993" w:type="dxa"/>
            <w:tcBorders>
              <w:top w:val="double" w:sz="6" w:space="0" w:color="000000" w:themeColor="text1"/>
              <w:left w:val="nil"/>
              <w:bottom w:val="nil"/>
              <w:right w:val="nil"/>
            </w:tcBorders>
            <w:shd w:val="clear" w:color="auto" w:fill="FFFFFF" w:themeFill="background1"/>
            <w:vAlign w:val="center"/>
          </w:tcPr>
          <w:p w14:paraId="7344613C" w14:textId="77777777" w:rsidR="0056738E" w:rsidRDefault="0056738E" w:rsidP="007C2AEE">
            <w:pPr>
              <w:tabs>
                <w:tab w:val="right" w:pos="7560"/>
                <w:tab w:val="right" w:pos="9000"/>
              </w:tabs>
              <w:suppressAutoHyphens/>
              <w:spacing w:after="0" w:line="240" w:lineRule="auto"/>
              <w:ind w:left="-136"/>
              <w:jc w:val="right"/>
              <w:rPr>
                <w:rFonts w:ascii="Arial" w:hAnsi="Arial" w:cs="Arial"/>
                <w:b/>
                <w:bCs/>
                <w:color w:val="262626"/>
                <w:sz w:val="16"/>
                <w:szCs w:val="16"/>
                <w:lang w:val="en-US"/>
              </w:rPr>
            </w:pPr>
          </w:p>
        </w:tc>
        <w:tc>
          <w:tcPr>
            <w:tcW w:w="1134" w:type="dxa"/>
            <w:tcBorders>
              <w:top w:val="double" w:sz="6" w:space="0" w:color="000000" w:themeColor="text1"/>
              <w:left w:val="nil"/>
              <w:bottom w:val="nil"/>
              <w:right w:val="nil"/>
            </w:tcBorders>
            <w:shd w:val="clear" w:color="auto" w:fill="auto"/>
            <w:vAlign w:val="center"/>
          </w:tcPr>
          <w:p w14:paraId="21532293" w14:textId="77777777" w:rsidR="0056738E" w:rsidRDefault="0056738E" w:rsidP="007C2AEE">
            <w:pPr>
              <w:tabs>
                <w:tab w:val="right" w:pos="7560"/>
                <w:tab w:val="right" w:pos="9000"/>
              </w:tabs>
              <w:suppressAutoHyphens/>
              <w:spacing w:after="0" w:line="240" w:lineRule="auto"/>
              <w:jc w:val="right"/>
              <w:rPr>
                <w:rFonts w:ascii="Arial" w:hAnsi="Arial" w:cs="Arial"/>
                <w:b/>
                <w:bCs/>
                <w:color w:val="262626"/>
                <w:sz w:val="16"/>
                <w:szCs w:val="16"/>
              </w:rPr>
            </w:pPr>
          </w:p>
        </w:tc>
        <w:tc>
          <w:tcPr>
            <w:tcW w:w="1134" w:type="dxa"/>
            <w:tcBorders>
              <w:top w:val="double" w:sz="6" w:space="0" w:color="000000" w:themeColor="text1"/>
              <w:left w:val="nil"/>
              <w:bottom w:val="nil"/>
              <w:right w:val="nil"/>
            </w:tcBorders>
            <w:shd w:val="clear" w:color="auto" w:fill="auto"/>
            <w:vAlign w:val="center"/>
          </w:tcPr>
          <w:p w14:paraId="0D622AE9" w14:textId="77777777" w:rsidR="0056738E" w:rsidRDefault="0056738E" w:rsidP="007C2AEE">
            <w:pPr>
              <w:tabs>
                <w:tab w:val="right" w:pos="7560"/>
                <w:tab w:val="right" w:pos="9000"/>
              </w:tabs>
              <w:suppressAutoHyphens/>
              <w:spacing w:after="0" w:line="240" w:lineRule="auto"/>
              <w:jc w:val="right"/>
              <w:rPr>
                <w:rFonts w:ascii="Arial" w:hAnsi="Arial" w:cs="Arial"/>
                <w:b/>
                <w:bCs/>
                <w:color w:val="262626"/>
                <w:sz w:val="16"/>
                <w:szCs w:val="16"/>
                <w:lang w:val="en-US"/>
              </w:rPr>
            </w:pPr>
          </w:p>
        </w:tc>
        <w:tc>
          <w:tcPr>
            <w:tcW w:w="1204" w:type="dxa"/>
            <w:tcBorders>
              <w:top w:val="double" w:sz="6" w:space="0" w:color="000000" w:themeColor="text1"/>
              <w:left w:val="nil"/>
              <w:bottom w:val="nil"/>
              <w:right w:val="nil"/>
            </w:tcBorders>
            <w:shd w:val="clear" w:color="auto" w:fill="auto"/>
            <w:vAlign w:val="center"/>
          </w:tcPr>
          <w:p w14:paraId="0A14E764" w14:textId="77777777" w:rsidR="0056738E" w:rsidRDefault="0056738E" w:rsidP="007C2AEE">
            <w:pPr>
              <w:tabs>
                <w:tab w:val="right" w:pos="7560"/>
                <w:tab w:val="right" w:pos="9000"/>
              </w:tabs>
              <w:suppressAutoHyphens/>
              <w:spacing w:after="0" w:line="240" w:lineRule="auto"/>
              <w:jc w:val="right"/>
              <w:rPr>
                <w:rFonts w:ascii="Arial" w:hAnsi="Arial" w:cs="Arial"/>
                <w:b/>
                <w:bCs/>
                <w:color w:val="262626"/>
                <w:sz w:val="16"/>
                <w:szCs w:val="16"/>
                <w:lang w:val="en-US"/>
              </w:rPr>
            </w:pPr>
          </w:p>
        </w:tc>
        <w:tc>
          <w:tcPr>
            <w:tcW w:w="1134" w:type="dxa"/>
            <w:tcBorders>
              <w:top w:val="double" w:sz="6" w:space="0" w:color="000000" w:themeColor="text1"/>
              <w:left w:val="nil"/>
              <w:bottom w:val="nil"/>
              <w:right w:val="nil"/>
            </w:tcBorders>
            <w:shd w:val="clear" w:color="auto" w:fill="auto"/>
            <w:vAlign w:val="center"/>
          </w:tcPr>
          <w:p w14:paraId="5EFDAA63" w14:textId="77777777" w:rsidR="0056738E" w:rsidRDefault="0056738E" w:rsidP="007C2AEE">
            <w:pPr>
              <w:tabs>
                <w:tab w:val="right" w:pos="7560"/>
                <w:tab w:val="right" w:pos="9000"/>
              </w:tabs>
              <w:suppressAutoHyphens/>
              <w:spacing w:after="0" w:line="240" w:lineRule="auto"/>
              <w:jc w:val="right"/>
              <w:rPr>
                <w:rFonts w:ascii="Arial" w:hAnsi="Arial" w:cs="Arial"/>
                <w:b/>
                <w:bCs/>
                <w:color w:val="262626"/>
                <w:sz w:val="16"/>
                <w:szCs w:val="16"/>
                <w:lang w:val="en-US"/>
              </w:rPr>
            </w:pPr>
          </w:p>
        </w:tc>
        <w:tc>
          <w:tcPr>
            <w:tcW w:w="973" w:type="dxa"/>
            <w:tcBorders>
              <w:top w:val="double" w:sz="6" w:space="0" w:color="000000" w:themeColor="text1"/>
              <w:left w:val="nil"/>
              <w:bottom w:val="nil"/>
              <w:right w:val="nil"/>
            </w:tcBorders>
            <w:shd w:val="clear" w:color="auto" w:fill="auto"/>
            <w:vAlign w:val="center"/>
          </w:tcPr>
          <w:p w14:paraId="447E879C" w14:textId="77777777" w:rsidR="0056738E" w:rsidRDefault="0056738E" w:rsidP="007C2AEE">
            <w:pPr>
              <w:tabs>
                <w:tab w:val="right" w:pos="7560"/>
                <w:tab w:val="right" w:pos="9000"/>
              </w:tabs>
              <w:suppressAutoHyphens/>
              <w:spacing w:after="0" w:line="240" w:lineRule="auto"/>
              <w:ind w:left="-150" w:right="30"/>
              <w:jc w:val="right"/>
              <w:rPr>
                <w:rFonts w:ascii="Arial" w:hAnsi="Arial" w:cs="Arial"/>
                <w:b/>
                <w:bCs/>
                <w:color w:val="262626"/>
                <w:sz w:val="16"/>
                <w:szCs w:val="16"/>
                <w:lang w:val="en-US"/>
              </w:rPr>
            </w:pPr>
          </w:p>
        </w:tc>
        <w:tc>
          <w:tcPr>
            <w:tcW w:w="1011" w:type="dxa"/>
            <w:tcBorders>
              <w:top w:val="double" w:sz="6" w:space="0" w:color="000000" w:themeColor="text1"/>
              <w:left w:val="nil"/>
              <w:bottom w:val="nil"/>
              <w:right w:val="nil"/>
            </w:tcBorders>
            <w:shd w:val="clear" w:color="auto" w:fill="auto"/>
            <w:vAlign w:val="center"/>
          </w:tcPr>
          <w:p w14:paraId="452537E0" w14:textId="77777777" w:rsidR="0056738E" w:rsidRDefault="0056738E" w:rsidP="007C2AEE">
            <w:pPr>
              <w:tabs>
                <w:tab w:val="right" w:pos="7560"/>
                <w:tab w:val="right" w:pos="9000"/>
              </w:tabs>
              <w:suppressAutoHyphens/>
              <w:spacing w:after="0" w:line="240" w:lineRule="auto"/>
              <w:jc w:val="right"/>
              <w:rPr>
                <w:rFonts w:ascii="Arial" w:hAnsi="Arial" w:cs="Arial"/>
                <w:b/>
                <w:bCs/>
                <w:color w:val="262626"/>
                <w:sz w:val="16"/>
                <w:szCs w:val="16"/>
                <w:lang w:val="en-US"/>
              </w:rPr>
            </w:pPr>
          </w:p>
        </w:tc>
        <w:tc>
          <w:tcPr>
            <w:tcW w:w="992" w:type="dxa"/>
            <w:tcBorders>
              <w:top w:val="double" w:sz="6" w:space="0" w:color="000000" w:themeColor="text1"/>
              <w:left w:val="nil"/>
              <w:bottom w:val="nil"/>
              <w:right w:val="nil"/>
            </w:tcBorders>
            <w:vAlign w:val="center"/>
          </w:tcPr>
          <w:p w14:paraId="3FDD5BCD" w14:textId="77777777" w:rsidR="0056738E" w:rsidRDefault="0056738E" w:rsidP="007C2AEE">
            <w:pPr>
              <w:tabs>
                <w:tab w:val="left" w:pos="749"/>
                <w:tab w:val="right" w:pos="7560"/>
                <w:tab w:val="right" w:pos="9000"/>
              </w:tabs>
              <w:suppressAutoHyphens/>
              <w:spacing w:after="0" w:line="240" w:lineRule="auto"/>
              <w:ind w:left="-136"/>
              <w:jc w:val="right"/>
              <w:rPr>
                <w:rFonts w:ascii="Arial" w:hAnsi="Arial" w:cs="Arial"/>
                <w:b/>
                <w:bCs/>
                <w:color w:val="262626"/>
                <w:sz w:val="16"/>
                <w:szCs w:val="16"/>
                <w:lang w:val="en-US"/>
              </w:rPr>
            </w:pPr>
          </w:p>
        </w:tc>
        <w:tc>
          <w:tcPr>
            <w:tcW w:w="1101" w:type="dxa"/>
            <w:tcBorders>
              <w:top w:val="double" w:sz="6" w:space="0" w:color="000000" w:themeColor="text1"/>
              <w:left w:val="nil"/>
              <w:bottom w:val="nil"/>
              <w:right w:val="nil"/>
            </w:tcBorders>
            <w:shd w:val="clear" w:color="auto" w:fill="auto"/>
            <w:vAlign w:val="center"/>
          </w:tcPr>
          <w:p w14:paraId="2A178FA1" w14:textId="77777777" w:rsidR="0056738E" w:rsidRDefault="0056738E" w:rsidP="007C2AEE">
            <w:pPr>
              <w:tabs>
                <w:tab w:val="left" w:pos="749"/>
                <w:tab w:val="right" w:pos="7560"/>
                <w:tab w:val="right" w:pos="9000"/>
              </w:tabs>
              <w:suppressAutoHyphens/>
              <w:spacing w:after="0" w:line="240" w:lineRule="auto"/>
              <w:ind w:left="-136" w:right="34"/>
              <w:jc w:val="right"/>
              <w:rPr>
                <w:rFonts w:ascii="Arial" w:hAnsi="Arial" w:cs="Arial"/>
                <w:b/>
                <w:bCs/>
                <w:color w:val="262626"/>
                <w:sz w:val="16"/>
                <w:szCs w:val="16"/>
                <w:lang w:val="en-US"/>
              </w:rPr>
            </w:pPr>
          </w:p>
        </w:tc>
      </w:tr>
    </w:tbl>
    <w:p w14:paraId="1640A67E" w14:textId="77777777" w:rsidR="0056738E" w:rsidRDefault="0056738E" w:rsidP="0056738E">
      <w:pPr>
        <w:rPr>
          <w:color w:val="262626"/>
          <w:lang w:val="el-GR"/>
        </w:rPr>
      </w:pPr>
    </w:p>
    <w:p w14:paraId="493FF24F" w14:textId="77777777" w:rsidR="0056738E" w:rsidRDefault="0056738E" w:rsidP="0056738E">
      <w:pPr>
        <w:rPr>
          <w:color w:val="262626"/>
          <w:lang w:val="el-GR"/>
        </w:rPr>
      </w:pPr>
    </w:p>
    <w:p w14:paraId="353FA5EE" w14:textId="77777777" w:rsidR="0056738E" w:rsidRDefault="0056738E" w:rsidP="0056738E">
      <w:pPr>
        <w:rPr>
          <w:color w:val="262626"/>
          <w:lang w:val="el-GR"/>
        </w:rPr>
        <w:sectPr w:rsidR="0056738E" w:rsidSect="0056738E">
          <w:headerReference w:type="default" r:id="rId15"/>
          <w:footerReference w:type="default" r:id="rId16"/>
          <w:headerReference w:type="first" r:id="rId17"/>
          <w:pgSz w:w="16838" w:h="11906" w:orient="landscape" w:code="9"/>
          <w:pgMar w:top="1077" w:right="820" w:bottom="1134" w:left="709" w:header="709" w:footer="397" w:gutter="0"/>
          <w:cols w:space="708"/>
          <w:titlePg/>
          <w:docGrid w:linePitch="360"/>
        </w:sectPr>
      </w:pPr>
    </w:p>
    <w:p w14:paraId="65CD5E25" w14:textId="77777777" w:rsidR="0056738E" w:rsidRPr="00781D5A" w:rsidRDefault="0056738E" w:rsidP="0056738E">
      <w:pPr>
        <w:spacing w:after="0" w:line="360" w:lineRule="auto"/>
        <w:ind w:left="851" w:hanging="851"/>
        <w:jc w:val="both"/>
        <w:rPr>
          <w:rFonts w:ascii="Arial" w:hAnsi="Arial" w:cs="Arial"/>
          <w:b/>
          <w:color w:val="FF9900"/>
          <w:lang w:val="el-GR"/>
        </w:rPr>
      </w:pPr>
      <w:bookmarkStart w:id="37" w:name="_Hlk181689015"/>
      <w:r>
        <w:rPr>
          <w:rFonts w:ascii="Arial" w:hAnsi="Arial" w:cs="Arial"/>
          <w:b/>
          <w:color w:val="FF9900"/>
          <w:szCs w:val="16"/>
          <w:lang w:val="el-GR"/>
        </w:rPr>
        <w:lastRenderedPageBreak/>
        <w:t>ΣΤ</w:t>
      </w:r>
      <w:r w:rsidRPr="00781D5A">
        <w:rPr>
          <w:rFonts w:ascii="Arial" w:hAnsi="Arial" w:cs="Arial"/>
          <w:b/>
          <w:color w:val="FF9900"/>
          <w:szCs w:val="16"/>
          <w:lang w:val="el-GR"/>
        </w:rPr>
        <w:t xml:space="preserve">. </w:t>
      </w:r>
      <w:r w:rsidRPr="00781D5A">
        <w:rPr>
          <w:rFonts w:ascii="Arial" w:hAnsi="Arial" w:cs="Arial"/>
          <w:b/>
          <w:color w:val="FF9900"/>
          <w:szCs w:val="16"/>
          <w:lang w:val="el-GR"/>
        </w:rPr>
        <w:tab/>
      </w:r>
      <w:r>
        <w:rPr>
          <w:rFonts w:ascii="Arial" w:hAnsi="Arial" w:cs="Arial"/>
          <w:b/>
          <w:color w:val="FF9900"/>
          <w:lang w:val="el-GR"/>
        </w:rPr>
        <w:t>Σημειώσεις</w:t>
      </w:r>
    </w:p>
    <w:p w14:paraId="12A1A49C" w14:textId="77777777" w:rsidR="0056738E" w:rsidRPr="00C30CF6" w:rsidRDefault="0056738E" w:rsidP="0056738E">
      <w:pPr>
        <w:spacing w:after="120" w:line="240" w:lineRule="auto"/>
        <w:ind w:left="851" w:hanging="851"/>
        <w:jc w:val="both"/>
        <w:rPr>
          <w:rFonts w:ascii="Arial" w:hAnsi="Arial" w:cs="Arial"/>
          <w:b/>
          <w:color w:val="FF9900"/>
          <w:lang w:val="el-GR"/>
        </w:rPr>
      </w:pPr>
      <w:r>
        <w:rPr>
          <w:rFonts w:ascii="Arial" w:hAnsi="Arial" w:cs="Arial"/>
          <w:b/>
          <w:color w:val="FF9900"/>
          <w:lang w:val="el-GR"/>
        </w:rPr>
        <w:t>ΣΤ</w:t>
      </w:r>
      <w:r w:rsidRPr="00C30CF6">
        <w:rPr>
          <w:rFonts w:ascii="Arial" w:hAnsi="Arial" w:cs="Arial"/>
          <w:b/>
          <w:color w:val="FF9900"/>
          <w:lang w:val="el-GR"/>
        </w:rPr>
        <w:t xml:space="preserve">.1 </w:t>
      </w:r>
      <w:r w:rsidRPr="00D066DE">
        <w:rPr>
          <w:rFonts w:ascii="Arial" w:hAnsi="Arial" w:cs="Arial"/>
          <w:b/>
          <w:color w:val="FF9900"/>
          <w:lang w:val="el-GR"/>
        </w:rPr>
        <w:tab/>
      </w:r>
      <w:r w:rsidRPr="00C30CF6">
        <w:rPr>
          <w:rFonts w:ascii="Arial" w:hAnsi="Arial" w:cs="Arial"/>
          <w:b/>
          <w:color w:val="FF9900"/>
          <w:lang w:val="el-GR"/>
        </w:rPr>
        <w:t xml:space="preserve">Συμφιλίωση της </w:t>
      </w:r>
      <w:r>
        <w:rPr>
          <w:rFonts w:ascii="Arial" w:hAnsi="Arial" w:cs="Arial"/>
          <w:b/>
          <w:color w:val="FF9900"/>
          <w:lang w:val="el-GR"/>
        </w:rPr>
        <w:t>Ενδιάμεσης Ενοποιημένης Κ</w:t>
      </w:r>
      <w:r w:rsidRPr="00C30CF6">
        <w:rPr>
          <w:rFonts w:ascii="Arial" w:hAnsi="Arial" w:cs="Arial"/>
          <w:b/>
          <w:color w:val="FF9900"/>
          <w:lang w:val="el-GR"/>
        </w:rPr>
        <w:t xml:space="preserve">ατάστασης </w:t>
      </w:r>
      <w:r>
        <w:rPr>
          <w:rFonts w:ascii="Arial" w:hAnsi="Arial" w:cs="Arial"/>
          <w:b/>
          <w:color w:val="FF9900"/>
          <w:lang w:val="el-GR"/>
        </w:rPr>
        <w:t>Λ</w:t>
      </w:r>
      <w:r w:rsidRPr="00C30CF6">
        <w:rPr>
          <w:rFonts w:ascii="Arial" w:hAnsi="Arial" w:cs="Arial"/>
          <w:b/>
          <w:color w:val="FF9900"/>
          <w:lang w:val="el-GR"/>
        </w:rPr>
        <w:t xml:space="preserve">ογαριασμού </w:t>
      </w:r>
      <w:r>
        <w:rPr>
          <w:rFonts w:ascii="Arial" w:hAnsi="Arial" w:cs="Arial"/>
          <w:b/>
          <w:color w:val="FF9900"/>
          <w:lang w:val="el-GR"/>
        </w:rPr>
        <w:t>Α</w:t>
      </w:r>
      <w:r w:rsidRPr="00C30CF6">
        <w:rPr>
          <w:rFonts w:ascii="Arial" w:hAnsi="Arial" w:cs="Arial"/>
          <w:b/>
          <w:color w:val="FF9900"/>
          <w:lang w:val="el-GR"/>
        </w:rPr>
        <w:t>ποτελεσμά</w:t>
      </w:r>
      <w:r>
        <w:rPr>
          <w:rFonts w:ascii="Arial" w:hAnsi="Arial" w:cs="Arial"/>
          <w:b/>
          <w:color w:val="FF9900"/>
          <w:lang w:val="el-GR"/>
        </w:rPr>
        <w:t>των για το εννεάμηνο που έληξε στις 30 Σεπτεμβρίου 2024 μεταξύ της απαιτούμενης από</w:t>
      </w:r>
      <w:r w:rsidRPr="00366709">
        <w:rPr>
          <w:rFonts w:ascii="Arial" w:hAnsi="Arial" w:cs="Arial"/>
          <w:b/>
          <w:color w:val="FF9900"/>
          <w:lang w:val="el-GR"/>
        </w:rPr>
        <w:t xml:space="preserve"> </w:t>
      </w:r>
      <w:r w:rsidRPr="00C30CF6">
        <w:rPr>
          <w:rFonts w:ascii="Arial" w:hAnsi="Arial" w:cs="Arial"/>
          <w:b/>
          <w:color w:val="FF9900"/>
          <w:lang w:val="el-GR"/>
        </w:rPr>
        <w:t>τη νομοθεσία βάσης και της υποκείμενης βάσης</w:t>
      </w:r>
    </w:p>
    <w:tbl>
      <w:tblPr>
        <w:tblStyle w:val="TableGrid"/>
        <w:tblW w:w="985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6"/>
        <w:gridCol w:w="1361"/>
        <w:gridCol w:w="1361"/>
        <w:gridCol w:w="1361"/>
      </w:tblGrid>
      <w:tr w:rsidR="0056738E" w:rsidRPr="00910A4E" w14:paraId="49271D1D" w14:textId="77777777" w:rsidTr="007C2AEE">
        <w:trPr>
          <w:trHeight w:val="428"/>
          <w:jc w:val="center"/>
        </w:trPr>
        <w:tc>
          <w:tcPr>
            <w:tcW w:w="5776" w:type="dxa"/>
            <w:vAlign w:val="center"/>
          </w:tcPr>
          <w:bookmarkEnd w:id="37"/>
          <w:p w14:paraId="5E34AF1D" w14:textId="77777777" w:rsidR="0056738E" w:rsidRPr="001C3AA9" w:rsidRDefault="0056738E" w:rsidP="007C2AEE">
            <w:pPr>
              <w:autoSpaceDE w:val="0"/>
              <w:autoSpaceDN w:val="0"/>
              <w:adjustRightInd w:val="0"/>
              <w:spacing w:before="40" w:after="40"/>
              <w:rPr>
                <w:rFonts w:ascii="Arial" w:hAnsi="Arial" w:cs="Arial"/>
                <w:b/>
                <w:color w:val="000000"/>
                <w:sz w:val="18"/>
                <w:szCs w:val="18"/>
                <w:lang w:val="el-GR"/>
              </w:rPr>
            </w:pPr>
            <w:r w:rsidRPr="001C3AA9">
              <w:rPr>
                <w:rFonts w:ascii="Arial" w:hAnsi="Arial" w:cs="Arial"/>
                <w:b/>
                <w:color w:val="000000"/>
                <w:sz w:val="18"/>
                <w:szCs w:val="18"/>
              </w:rPr>
              <w:t>€</w:t>
            </w:r>
            <w:r w:rsidRPr="001C3AA9">
              <w:rPr>
                <w:rFonts w:ascii="Arial" w:hAnsi="Arial" w:cs="Arial"/>
                <w:b/>
                <w:color w:val="000000"/>
                <w:sz w:val="18"/>
                <w:szCs w:val="18"/>
                <w:lang w:val="el-GR"/>
              </w:rPr>
              <w:t xml:space="preserve"> εκατ.</w:t>
            </w:r>
          </w:p>
        </w:tc>
        <w:tc>
          <w:tcPr>
            <w:tcW w:w="1361" w:type="dxa"/>
            <w:vAlign w:val="center"/>
          </w:tcPr>
          <w:p w14:paraId="262EDF73" w14:textId="77777777" w:rsidR="0056738E" w:rsidRPr="001C3AA9" w:rsidRDefault="0056738E" w:rsidP="007C2AEE">
            <w:pPr>
              <w:autoSpaceDE w:val="0"/>
              <w:autoSpaceDN w:val="0"/>
              <w:adjustRightInd w:val="0"/>
              <w:jc w:val="center"/>
              <w:rPr>
                <w:rFonts w:ascii="Arial" w:hAnsi="Arial" w:cs="Arial"/>
                <w:b/>
                <w:color w:val="000000"/>
                <w:sz w:val="18"/>
                <w:szCs w:val="18"/>
              </w:rPr>
            </w:pPr>
            <w:r w:rsidRPr="001C3AA9">
              <w:rPr>
                <w:rFonts w:ascii="Arial" w:hAnsi="Arial" w:cs="Arial"/>
                <w:b/>
                <w:color w:val="000000"/>
                <w:sz w:val="18"/>
                <w:szCs w:val="18"/>
                <w:lang w:val="el-GR"/>
              </w:rPr>
              <w:t>Υποκείμενη βάση</w:t>
            </w:r>
          </w:p>
        </w:tc>
        <w:tc>
          <w:tcPr>
            <w:tcW w:w="1361" w:type="dxa"/>
            <w:vAlign w:val="center"/>
          </w:tcPr>
          <w:p w14:paraId="6F3F188A" w14:textId="77777777" w:rsidR="0056738E" w:rsidRPr="001C3AA9" w:rsidRDefault="0056738E" w:rsidP="007C2AEE">
            <w:pPr>
              <w:autoSpaceDE w:val="0"/>
              <w:autoSpaceDN w:val="0"/>
              <w:adjustRightInd w:val="0"/>
              <w:jc w:val="center"/>
              <w:rPr>
                <w:rFonts w:ascii="Arial" w:hAnsi="Arial" w:cs="Arial"/>
                <w:b/>
                <w:color w:val="000000"/>
                <w:sz w:val="18"/>
                <w:szCs w:val="18"/>
                <w:lang w:val="el-GR"/>
              </w:rPr>
            </w:pPr>
            <w:r w:rsidRPr="001C3AA9">
              <w:rPr>
                <w:rFonts w:ascii="Arial" w:hAnsi="Arial" w:cs="Arial"/>
                <w:b/>
                <w:color w:val="000000"/>
                <w:sz w:val="18"/>
                <w:szCs w:val="18"/>
                <w:lang w:val="el-GR"/>
              </w:rPr>
              <w:t>Άλλα</w:t>
            </w:r>
          </w:p>
        </w:tc>
        <w:tc>
          <w:tcPr>
            <w:tcW w:w="1361" w:type="dxa"/>
            <w:vAlign w:val="center"/>
          </w:tcPr>
          <w:p w14:paraId="629D5733" w14:textId="77777777" w:rsidR="0056738E" w:rsidRPr="001C3AA9" w:rsidRDefault="0056738E" w:rsidP="007C2AEE">
            <w:pPr>
              <w:autoSpaceDE w:val="0"/>
              <w:autoSpaceDN w:val="0"/>
              <w:adjustRightInd w:val="0"/>
              <w:jc w:val="center"/>
              <w:rPr>
                <w:rFonts w:ascii="Arial" w:hAnsi="Arial" w:cs="Arial"/>
                <w:b/>
                <w:color w:val="000000"/>
                <w:sz w:val="18"/>
                <w:szCs w:val="18"/>
                <w:lang w:val="el-GR"/>
              </w:rPr>
            </w:pPr>
            <w:r w:rsidRPr="001C3AA9">
              <w:rPr>
                <w:rFonts w:ascii="Arial" w:hAnsi="Arial" w:cs="Arial"/>
                <w:b/>
                <w:color w:val="000000"/>
                <w:sz w:val="18"/>
                <w:szCs w:val="18"/>
                <w:lang w:val="el-GR"/>
              </w:rPr>
              <w:t>Απαιτούμενη από τη νομοθεσία βάση</w:t>
            </w:r>
          </w:p>
        </w:tc>
      </w:tr>
      <w:tr w:rsidR="0056738E" w:rsidRPr="00214FD6" w14:paraId="7B55D41C" w14:textId="77777777" w:rsidTr="007C2AEE">
        <w:trPr>
          <w:trHeight w:val="255"/>
          <w:jc w:val="center"/>
        </w:trPr>
        <w:tc>
          <w:tcPr>
            <w:tcW w:w="5776" w:type="dxa"/>
            <w:shd w:val="clear" w:color="auto" w:fill="auto"/>
            <w:vAlign w:val="center"/>
          </w:tcPr>
          <w:p w14:paraId="7C94B65A" w14:textId="77777777" w:rsidR="0056738E" w:rsidRPr="001C3AA9" w:rsidRDefault="0056738E" w:rsidP="007C2AEE">
            <w:pPr>
              <w:autoSpaceDE w:val="0"/>
              <w:autoSpaceDN w:val="0"/>
              <w:adjustRightInd w:val="0"/>
              <w:rPr>
                <w:rFonts w:ascii="Arial" w:hAnsi="Arial" w:cs="Arial"/>
                <w:color w:val="000000"/>
                <w:sz w:val="18"/>
                <w:szCs w:val="18"/>
              </w:rPr>
            </w:pPr>
            <w:r w:rsidRPr="001C3AA9">
              <w:rPr>
                <w:rFonts w:ascii="Arial" w:eastAsia="Batang" w:hAnsi="Arial" w:cs="Arial"/>
                <w:color w:val="262626"/>
                <w:sz w:val="18"/>
                <w:szCs w:val="18"/>
                <w:lang w:val="el-GR"/>
              </w:rPr>
              <w:t>Καθαρά έσοδα από τόκους</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70248C36" w14:textId="77777777" w:rsidR="0056738E" w:rsidRPr="001C3AA9" w:rsidRDefault="0056738E" w:rsidP="007C2AEE">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eastAsiaTheme="minorEastAsia" w:hAnsi="Arial" w:cs="Arial"/>
                <w:bCs/>
                <w:color w:val="262626"/>
                <w:sz w:val="18"/>
                <w:szCs w:val="18"/>
                <w:lang w:eastAsia="en-GB"/>
              </w:rPr>
            </w:pPr>
            <w:r>
              <w:rPr>
                <w:rFonts w:ascii="Arial" w:hAnsi="Arial" w:cs="Arial"/>
                <w:color w:val="000000"/>
                <w:sz w:val="18"/>
                <w:szCs w:val="18"/>
              </w:rPr>
              <w:t>624</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4523D4A6" w14:textId="77777777" w:rsidR="0056738E" w:rsidRPr="001C3AA9" w:rsidRDefault="0056738E" w:rsidP="007C2AEE">
            <w:pPr>
              <w:autoSpaceDE w:val="0"/>
              <w:autoSpaceDN w:val="0"/>
              <w:adjustRightInd w:val="0"/>
              <w:jc w:val="right"/>
              <w:rPr>
                <w:rFonts w:ascii="Arial" w:eastAsiaTheme="minorEastAsia" w:hAnsi="Arial" w:cs="Arial"/>
                <w:bCs/>
                <w:color w:val="262626"/>
                <w:sz w:val="18"/>
                <w:szCs w:val="18"/>
                <w:lang w:eastAsia="en-GB"/>
              </w:rPr>
            </w:pPr>
            <w:r>
              <w:rPr>
                <w:rFonts w:ascii="Arial" w:hAnsi="Arial" w:cs="Arial"/>
                <w:color w:val="000000"/>
                <w:sz w:val="18"/>
                <w:szCs w:val="18"/>
              </w:rPr>
              <w:t>-</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0AA1C6D7" w14:textId="77777777" w:rsidR="0056738E" w:rsidRPr="001C3AA9" w:rsidRDefault="0056738E" w:rsidP="007C2AEE">
            <w:pPr>
              <w:autoSpaceDE w:val="0"/>
              <w:autoSpaceDN w:val="0"/>
              <w:adjustRightInd w:val="0"/>
              <w:jc w:val="right"/>
              <w:rPr>
                <w:rFonts w:ascii="Arial" w:eastAsiaTheme="minorEastAsia" w:hAnsi="Arial" w:cs="Arial"/>
                <w:bCs/>
                <w:color w:val="262626"/>
                <w:sz w:val="18"/>
                <w:szCs w:val="18"/>
                <w:lang w:eastAsia="en-GB"/>
              </w:rPr>
            </w:pPr>
            <w:r>
              <w:rPr>
                <w:rFonts w:ascii="Arial" w:hAnsi="Arial" w:cs="Arial"/>
                <w:color w:val="000000"/>
                <w:sz w:val="18"/>
                <w:szCs w:val="18"/>
              </w:rPr>
              <w:t>624</w:t>
            </w:r>
          </w:p>
        </w:tc>
      </w:tr>
      <w:tr w:rsidR="0056738E" w:rsidRPr="009F7AC3" w14:paraId="2E090BFB" w14:textId="77777777" w:rsidTr="007C2AEE">
        <w:trPr>
          <w:trHeight w:val="255"/>
          <w:jc w:val="center"/>
        </w:trPr>
        <w:tc>
          <w:tcPr>
            <w:tcW w:w="5776" w:type="dxa"/>
            <w:vAlign w:val="center"/>
          </w:tcPr>
          <w:p w14:paraId="26B7243E" w14:textId="77777777" w:rsidR="0056738E" w:rsidRPr="001C3AA9" w:rsidRDefault="0056738E" w:rsidP="007C2AEE">
            <w:pPr>
              <w:autoSpaceDE w:val="0"/>
              <w:autoSpaceDN w:val="0"/>
              <w:adjustRightInd w:val="0"/>
              <w:ind w:left="-985" w:firstLine="985"/>
              <w:rPr>
                <w:rFonts w:ascii="Arial" w:hAnsi="Arial" w:cs="Arial"/>
                <w:color w:val="000000"/>
                <w:sz w:val="18"/>
                <w:szCs w:val="18"/>
                <w:lang w:val="el-GR"/>
              </w:rPr>
            </w:pPr>
            <w:r w:rsidRPr="001C3AA9">
              <w:rPr>
                <w:rFonts w:ascii="Arial" w:eastAsia="Batang" w:hAnsi="Arial" w:cs="Arial"/>
                <w:color w:val="262626"/>
                <w:sz w:val="18"/>
                <w:szCs w:val="18"/>
                <w:lang w:val="el-GR"/>
              </w:rPr>
              <w:t>Καθαρά έσοδα από αμοιβές και προμήθειες</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5AF631EB" w14:textId="77777777" w:rsidR="0056738E" w:rsidRPr="00041815" w:rsidRDefault="0056738E" w:rsidP="007C2AEE">
            <w:pPr>
              <w:autoSpaceDE w:val="0"/>
              <w:autoSpaceDN w:val="0"/>
              <w:adjustRightInd w:val="0"/>
              <w:jc w:val="right"/>
              <w:rPr>
                <w:rFonts w:ascii="Arial" w:eastAsiaTheme="minorEastAsia" w:hAnsi="Arial" w:cs="Arial"/>
                <w:bCs/>
                <w:color w:val="262626"/>
                <w:sz w:val="18"/>
                <w:szCs w:val="18"/>
                <w:lang w:val="el-GR" w:eastAsia="en-GB"/>
              </w:rPr>
            </w:pPr>
            <w:r>
              <w:rPr>
                <w:rFonts w:ascii="Arial" w:hAnsi="Arial" w:cs="Arial"/>
                <w:color w:val="000000"/>
                <w:sz w:val="18"/>
                <w:szCs w:val="18"/>
                <w:lang w:val="en-GB"/>
              </w:rPr>
              <w:t>131</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31E5E495" w14:textId="77777777" w:rsidR="0056738E" w:rsidRPr="00041815" w:rsidRDefault="0056738E" w:rsidP="007C2AEE">
            <w:pPr>
              <w:autoSpaceDE w:val="0"/>
              <w:autoSpaceDN w:val="0"/>
              <w:adjustRightInd w:val="0"/>
              <w:jc w:val="right"/>
              <w:rPr>
                <w:rFonts w:ascii="Arial" w:eastAsiaTheme="minorEastAsia" w:hAnsi="Arial" w:cs="Arial"/>
                <w:bCs/>
                <w:color w:val="262626"/>
                <w:sz w:val="18"/>
                <w:szCs w:val="18"/>
                <w:lang w:val="el-GR" w:eastAsia="en-GB"/>
              </w:rPr>
            </w:pPr>
            <w:r>
              <w:rPr>
                <w:rFonts w:ascii="Arial" w:hAnsi="Arial" w:cs="Arial"/>
                <w:color w:val="000000"/>
                <w:sz w:val="18"/>
                <w:szCs w:val="18"/>
                <w:lang w:val="en-GB"/>
              </w:rPr>
              <w:t>-</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5B7EE44C" w14:textId="77777777" w:rsidR="0056738E" w:rsidRPr="00041815" w:rsidRDefault="0056738E" w:rsidP="007C2AEE">
            <w:pPr>
              <w:autoSpaceDE w:val="0"/>
              <w:autoSpaceDN w:val="0"/>
              <w:adjustRightInd w:val="0"/>
              <w:jc w:val="right"/>
              <w:rPr>
                <w:rFonts w:ascii="Arial" w:eastAsiaTheme="minorEastAsia" w:hAnsi="Arial" w:cs="Arial"/>
                <w:bCs/>
                <w:color w:val="262626"/>
                <w:sz w:val="18"/>
                <w:szCs w:val="18"/>
                <w:lang w:val="el-GR" w:eastAsia="en-GB"/>
              </w:rPr>
            </w:pPr>
            <w:r>
              <w:rPr>
                <w:rFonts w:ascii="Arial" w:hAnsi="Arial" w:cs="Arial"/>
                <w:color w:val="000000"/>
                <w:sz w:val="18"/>
                <w:szCs w:val="18"/>
                <w:lang w:val="en-GB"/>
              </w:rPr>
              <w:t>131</w:t>
            </w:r>
          </w:p>
        </w:tc>
      </w:tr>
      <w:tr w:rsidR="0056738E" w:rsidRPr="009F7AC3" w14:paraId="0E955C2C" w14:textId="77777777" w:rsidTr="007C2AEE">
        <w:trPr>
          <w:trHeight w:val="227"/>
          <w:jc w:val="center"/>
        </w:trPr>
        <w:tc>
          <w:tcPr>
            <w:tcW w:w="5776" w:type="dxa"/>
            <w:vAlign w:val="center"/>
          </w:tcPr>
          <w:p w14:paraId="2C1D63E4" w14:textId="77777777" w:rsidR="0056738E" w:rsidRPr="001C3AA9" w:rsidRDefault="0056738E" w:rsidP="007C2AEE">
            <w:pPr>
              <w:autoSpaceDE w:val="0"/>
              <w:autoSpaceDN w:val="0"/>
              <w:adjustRightInd w:val="0"/>
              <w:rPr>
                <w:rFonts w:ascii="Arial" w:hAnsi="Arial" w:cs="Arial"/>
                <w:color w:val="000000"/>
                <w:sz w:val="18"/>
                <w:szCs w:val="18"/>
                <w:lang w:val="el-GR"/>
              </w:rPr>
            </w:pPr>
            <w:r w:rsidRPr="001C3AA9">
              <w:rPr>
                <w:rFonts w:ascii="Arial" w:eastAsia="Batang" w:hAnsi="Arial" w:cs="Arial"/>
                <w:color w:val="262626"/>
                <w:sz w:val="18"/>
                <w:szCs w:val="18"/>
                <w:lang w:val="el-GR"/>
              </w:rPr>
              <w:t xml:space="preserve">Καθαρά κέρδη από διαπραγμάτευση συναλλάγματος και καθαρά κέρδη από χρηματοοικονομικά μέσα </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7E8DF525" w14:textId="77777777" w:rsidR="0056738E" w:rsidRPr="00041815" w:rsidRDefault="0056738E" w:rsidP="007C2AEE">
            <w:pPr>
              <w:autoSpaceDE w:val="0"/>
              <w:autoSpaceDN w:val="0"/>
              <w:adjustRightInd w:val="0"/>
              <w:jc w:val="right"/>
              <w:rPr>
                <w:rFonts w:ascii="Arial" w:eastAsiaTheme="minorEastAsia" w:hAnsi="Arial" w:cs="Arial"/>
                <w:bCs/>
                <w:color w:val="262626"/>
                <w:sz w:val="18"/>
                <w:szCs w:val="18"/>
                <w:lang w:val="el-GR" w:eastAsia="en-GB"/>
              </w:rPr>
            </w:pPr>
            <w:r>
              <w:rPr>
                <w:rFonts w:ascii="Arial" w:hAnsi="Arial" w:cs="Arial"/>
                <w:color w:val="000000"/>
                <w:sz w:val="18"/>
                <w:szCs w:val="18"/>
                <w:lang w:val="en-GB"/>
              </w:rPr>
              <w:t>27</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27028C0C" w14:textId="77777777" w:rsidR="0056738E" w:rsidRPr="00041815" w:rsidRDefault="0056738E" w:rsidP="007C2AEE">
            <w:pPr>
              <w:autoSpaceDE w:val="0"/>
              <w:autoSpaceDN w:val="0"/>
              <w:adjustRightInd w:val="0"/>
              <w:jc w:val="right"/>
              <w:rPr>
                <w:rFonts w:ascii="Arial" w:eastAsiaTheme="minorEastAsia" w:hAnsi="Arial" w:cs="Arial"/>
                <w:bCs/>
                <w:color w:val="262626"/>
                <w:sz w:val="18"/>
                <w:szCs w:val="18"/>
                <w:lang w:val="el-GR" w:eastAsia="en-GB"/>
              </w:rPr>
            </w:pPr>
            <w:r>
              <w:rPr>
                <w:rFonts w:ascii="Arial" w:hAnsi="Arial" w:cs="Arial"/>
                <w:color w:val="000000"/>
                <w:sz w:val="18"/>
                <w:szCs w:val="18"/>
                <w:lang w:val="en-GB"/>
              </w:rPr>
              <w:t>1</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27C368B9" w14:textId="77777777" w:rsidR="0056738E" w:rsidRPr="00041815" w:rsidRDefault="0056738E" w:rsidP="007C2AEE">
            <w:pPr>
              <w:autoSpaceDE w:val="0"/>
              <w:autoSpaceDN w:val="0"/>
              <w:adjustRightInd w:val="0"/>
              <w:jc w:val="right"/>
              <w:rPr>
                <w:rFonts w:ascii="Arial" w:eastAsiaTheme="minorEastAsia" w:hAnsi="Arial" w:cs="Arial"/>
                <w:bCs/>
                <w:color w:val="262626"/>
                <w:sz w:val="18"/>
                <w:szCs w:val="18"/>
                <w:lang w:val="el-GR" w:eastAsia="en-GB"/>
              </w:rPr>
            </w:pPr>
            <w:r>
              <w:rPr>
                <w:rFonts w:ascii="Arial" w:hAnsi="Arial" w:cs="Arial"/>
                <w:color w:val="000000"/>
                <w:sz w:val="18"/>
                <w:szCs w:val="18"/>
                <w:lang w:val="en-GB"/>
              </w:rPr>
              <w:t>28</w:t>
            </w:r>
          </w:p>
        </w:tc>
      </w:tr>
      <w:tr w:rsidR="0056738E" w:rsidRPr="009F7AC3" w14:paraId="38A3FAB6" w14:textId="77777777" w:rsidTr="007C2AEE">
        <w:trPr>
          <w:trHeight w:val="227"/>
          <w:jc w:val="center"/>
        </w:trPr>
        <w:tc>
          <w:tcPr>
            <w:tcW w:w="5776" w:type="dxa"/>
            <w:vAlign w:val="center"/>
          </w:tcPr>
          <w:p w14:paraId="12FDCB18" w14:textId="77777777" w:rsidR="0056738E" w:rsidRPr="001C3AA9" w:rsidRDefault="0056738E" w:rsidP="007C2AEE">
            <w:pPr>
              <w:autoSpaceDE w:val="0"/>
              <w:autoSpaceDN w:val="0"/>
              <w:adjustRightInd w:val="0"/>
              <w:rPr>
                <w:rFonts w:ascii="Arial" w:eastAsia="Batang" w:hAnsi="Arial" w:cs="Arial"/>
                <w:color w:val="262626"/>
                <w:sz w:val="18"/>
                <w:szCs w:val="18"/>
                <w:lang w:val="el-GR"/>
              </w:rPr>
            </w:pPr>
            <w:r w:rsidRPr="001C3AA9">
              <w:rPr>
                <w:rFonts w:ascii="Arial" w:eastAsia="Batang" w:hAnsi="Arial" w:cs="Arial"/>
                <w:color w:val="262626"/>
                <w:sz w:val="18"/>
                <w:szCs w:val="18"/>
                <w:lang w:val="el-GR"/>
              </w:rPr>
              <w:t xml:space="preserve">Καθαρά κέρδη από </w:t>
            </w:r>
            <w:proofErr w:type="spellStart"/>
            <w:r w:rsidRPr="001C3AA9">
              <w:rPr>
                <w:rFonts w:ascii="Arial" w:eastAsia="Batang" w:hAnsi="Arial" w:cs="Arial"/>
                <w:color w:val="262626"/>
                <w:sz w:val="18"/>
                <w:szCs w:val="18"/>
                <w:lang w:val="el-GR"/>
              </w:rPr>
              <w:t>αποαναγνώριση</w:t>
            </w:r>
            <w:proofErr w:type="spellEnd"/>
            <w:r w:rsidRPr="001C3AA9">
              <w:rPr>
                <w:rFonts w:ascii="Arial" w:eastAsia="Batang" w:hAnsi="Arial" w:cs="Arial"/>
                <w:color w:val="262626"/>
                <w:sz w:val="18"/>
                <w:szCs w:val="18"/>
                <w:lang w:val="el-GR"/>
              </w:rPr>
              <w:t xml:space="preserve"> χρηματοοικονομικών περιουσιακών στοιχείων που επιμετρούνται σε αποσβεσμένο κόστος</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2D6519A8" w14:textId="77777777" w:rsidR="0056738E" w:rsidRPr="00041815" w:rsidRDefault="0056738E" w:rsidP="007C2AEE">
            <w:pPr>
              <w:autoSpaceDE w:val="0"/>
              <w:autoSpaceDN w:val="0"/>
              <w:adjustRightInd w:val="0"/>
              <w:jc w:val="right"/>
              <w:rPr>
                <w:rFonts w:ascii="Arial" w:eastAsiaTheme="minorEastAsia" w:hAnsi="Arial" w:cs="Arial"/>
                <w:bCs/>
                <w:color w:val="262626"/>
                <w:sz w:val="18"/>
                <w:szCs w:val="18"/>
                <w:lang w:val="el-GR" w:eastAsia="en-GB"/>
              </w:rPr>
            </w:pPr>
            <w:r>
              <w:rPr>
                <w:rFonts w:ascii="Arial" w:hAnsi="Arial" w:cs="Arial"/>
                <w:color w:val="000000"/>
                <w:sz w:val="18"/>
                <w:szCs w:val="18"/>
                <w:lang w:val="en-GB"/>
              </w:rPr>
              <w:t>-</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1A9615E1" w14:textId="77777777" w:rsidR="0056738E" w:rsidRPr="00041815" w:rsidRDefault="0056738E" w:rsidP="007C2AEE">
            <w:pPr>
              <w:autoSpaceDE w:val="0"/>
              <w:autoSpaceDN w:val="0"/>
              <w:adjustRightInd w:val="0"/>
              <w:jc w:val="right"/>
              <w:rPr>
                <w:rFonts w:ascii="Arial" w:eastAsiaTheme="minorEastAsia" w:hAnsi="Arial" w:cs="Arial"/>
                <w:bCs/>
                <w:color w:val="262626"/>
                <w:sz w:val="18"/>
                <w:szCs w:val="18"/>
                <w:lang w:val="el-GR" w:eastAsia="en-GB"/>
              </w:rPr>
            </w:pPr>
            <w:r>
              <w:rPr>
                <w:rFonts w:ascii="Arial" w:hAnsi="Arial" w:cs="Arial"/>
                <w:color w:val="000000"/>
                <w:sz w:val="18"/>
                <w:szCs w:val="18"/>
                <w:lang w:val="en-GB"/>
              </w:rPr>
              <w:t>-</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0AD21608" w14:textId="77777777" w:rsidR="0056738E" w:rsidRPr="00041815" w:rsidRDefault="0056738E" w:rsidP="007C2AEE">
            <w:pPr>
              <w:autoSpaceDE w:val="0"/>
              <w:autoSpaceDN w:val="0"/>
              <w:adjustRightInd w:val="0"/>
              <w:jc w:val="right"/>
              <w:rPr>
                <w:rFonts w:ascii="Arial" w:eastAsiaTheme="minorEastAsia" w:hAnsi="Arial" w:cs="Arial"/>
                <w:bCs/>
                <w:color w:val="262626"/>
                <w:sz w:val="18"/>
                <w:szCs w:val="18"/>
                <w:lang w:val="el-GR" w:eastAsia="en-GB"/>
              </w:rPr>
            </w:pPr>
            <w:r>
              <w:rPr>
                <w:rFonts w:ascii="Arial" w:hAnsi="Arial" w:cs="Arial"/>
                <w:color w:val="000000"/>
                <w:sz w:val="18"/>
                <w:szCs w:val="18"/>
                <w:lang w:val="en-GB"/>
              </w:rPr>
              <w:t>-</w:t>
            </w:r>
          </w:p>
        </w:tc>
      </w:tr>
      <w:tr w:rsidR="0056738E" w:rsidRPr="009F7AC3" w14:paraId="0C79FD98" w14:textId="77777777" w:rsidTr="007C2AEE">
        <w:trPr>
          <w:trHeight w:val="255"/>
          <w:jc w:val="center"/>
        </w:trPr>
        <w:tc>
          <w:tcPr>
            <w:tcW w:w="5776" w:type="dxa"/>
            <w:vAlign w:val="center"/>
          </w:tcPr>
          <w:p w14:paraId="05D5EEBD" w14:textId="77777777" w:rsidR="0056738E" w:rsidRPr="001C3AA9" w:rsidRDefault="0056738E" w:rsidP="007C2AEE">
            <w:pPr>
              <w:autoSpaceDE w:val="0"/>
              <w:autoSpaceDN w:val="0"/>
              <w:adjustRightInd w:val="0"/>
              <w:rPr>
                <w:rFonts w:ascii="Arial" w:hAnsi="Arial" w:cs="Arial"/>
                <w:color w:val="000000"/>
                <w:sz w:val="18"/>
                <w:szCs w:val="18"/>
                <w:lang w:val="el-GR"/>
              </w:rPr>
            </w:pPr>
            <w:r w:rsidRPr="00CB718B">
              <w:rPr>
                <w:rFonts w:ascii="Arial" w:eastAsia="Batang" w:hAnsi="Arial" w:cs="Arial"/>
                <w:color w:val="262626"/>
                <w:sz w:val="18"/>
                <w:szCs w:val="18"/>
                <w:lang w:val="el-GR"/>
              </w:rPr>
              <w:t>Καθαρό αποτέλεσμα από ασφαλιστικές εργασίες*</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7B347B3C" w14:textId="77777777" w:rsidR="0056738E" w:rsidRPr="00041815" w:rsidRDefault="0056738E" w:rsidP="007C2AEE">
            <w:pPr>
              <w:autoSpaceDE w:val="0"/>
              <w:autoSpaceDN w:val="0"/>
              <w:adjustRightInd w:val="0"/>
              <w:jc w:val="right"/>
              <w:rPr>
                <w:rFonts w:ascii="Arial" w:eastAsiaTheme="minorEastAsia" w:hAnsi="Arial" w:cs="Arial"/>
                <w:bCs/>
                <w:color w:val="262626"/>
                <w:sz w:val="18"/>
                <w:szCs w:val="18"/>
                <w:lang w:val="el-GR" w:eastAsia="en-GB"/>
              </w:rPr>
            </w:pPr>
            <w:r>
              <w:rPr>
                <w:rFonts w:ascii="Arial" w:hAnsi="Arial" w:cs="Arial"/>
                <w:color w:val="000000"/>
                <w:sz w:val="18"/>
                <w:szCs w:val="18"/>
              </w:rPr>
              <w:t>35</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27689DF1" w14:textId="77777777" w:rsidR="0056738E" w:rsidRPr="00041815" w:rsidRDefault="0056738E" w:rsidP="007C2AEE">
            <w:pPr>
              <w:autoSpaceDE w:val="0"/>
              <w:autoSpaceDN w:val="0"/>
              <w:adjustRightInd w:val="0"/>
              <w:jc w:val="right"/>
              <w:rPr>
                <w:rFonts w:ascii="Arial" w:eastAsiaTheme="minorEastAsia" w:hAnsi="Arial" w:cs="Arial"/>
                <w:bCs/>
                <w:color w:val="262626"/>
                <w:sz w:val="18"/>
                <w:szCs w:val="18"/>
                <w:lang w:val="el-GR" w:eastAsia="en-GB"/>
              </w:rPr>
            </w:pPr>
            <w:r>
              <w:rPr>
                <w:rFonts w:ascii="Arial" w:hAnsi="Arial" w:cs="Arial"/>
                <w:color w:val="000000"/>
                <w:sz w:val="18"/>
                <w:szCs w:val="18"/>
              </w:rPr>
              <w:t>-</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737FE4D0" w14:textId="77777777" w:rsidR="0056738E" w:rsidRPr="00041815" w:rsidRDefault="0056738E" w:rsidP="007C2AEE">
            <w:pPr>
              <w:autoSpaceDE w:val="0"/>
              <w:autoSpaceDN w:val="0"/>
              <w:adjustRightInd w:val="0"/>
              <w:jc w:val="right"/>
              <w:rPr>
                <w:rFonts w:ascii="Arial" w:eastAsiaTheme="minorEastAsia" w:hAnsi="Arial" w:cs="Arial"/>
                <w:bCs/>
                <w:color w:val="262626"/>
                <w:sz w:val="18"/>
                <w:szCs w:val="18"/>
                <w:lang w:val="el-GR" w:eastAsia="en-GB"/>
              </w:rPr>
            </w:pPr>
            <w:r>
              <w:rPr>
                <w:rFonts w:ascii="Arial" w:hAnsi="Arial" w:cs="Arial"/>
                <w:color w:val="000000"/>
                <w:sz w:val="18"/>
                <w:szCs w:val="18"/>
              </w:rPr>
              <w:t>35</w:t>
            </w:r>
          </w:p>
        </w:tc>
      </w:tr>
      <w:tr w:rsidR="0056738E" w:rsidRPr="009F7AC3" w14:paraId="7705C7E8" w14:textId="77777777" w:rsidTr="007C2AEE">
        <w:trPr>
          <w:trHeight w:val="227"/>
          <w:jc w:val="center"/>
        </w:trPr>
        <w:tc>
          <w:tcPr>
            <w:tcW w:w="5776" w:type="dxa"/>
            <w:vAlign w:val="center"/>
          </w:tcPr>
          <w:p w14:paraId="3F0277C7" w14:textId="77777777" w:rsidR="0056738E" w:rsidRPr="001C3AA9" w:rsidRDefault="0056738E" w:rsidP="007C2AEE">
            <w:pPr>
              <w:autoSpaceDE w:val="0"/>
              <w:autoSpaceDN w:val="0"/>
              <w:adjustRightInd w:val="0"/>
              <w:rPr>
                <w:rFonts w:ascii="Arial" w:hAnsi="Arial" w:cs="Arial"/>
                <w:color w:val="000000"/>
                <w:sz w:val="18"/>
                <w:szCs w:val="18"/>
                <w:lang w:val="el-GR"/>
              </w:rPr>
            </w:pPr>
            <w:r w:rsidRPr="001C3AA9">
              <w:rPr>
                <w:rFonts w:ascii="Arial" w:eastAsia="Batang" w:hAnsi="Arial" w:cs="Arial"/>
                <w:color w:val="262626"/>
                <w:sz w:val="18"/>
                <w:szCs w:val="18"/>
                <w:lang w:val="el-GR"/>
              </w:rPr>
              <w:t>Καθαρά κέρδη</w:t>
            </w:r>
            <w:r w:rsidRPr="00A03828">
              <w:rPr>
                <w:rFonts w:ascii="Arial" w:eastAsia="Batang" w:hAnsi="Arial" w:cs="Arial"/>
                <w:color w:val="262626"/>
                <w:sz w:val="18"/>
                <w:szCs w:val="18"/>
                <w:lang w:val="el-GR"/>
              </w:rPr>
              <w:t>/(</w:t>
            </w:r>
            <w:r>
              <w:rPr>
                <w:rFonts w:ascii="Arial" w:eastAsia="Batang" w:hAnsi="Arial" w:cs="Arial"/>
                <w:color w:val="262626"/>
                <w:sz w:val="18"/>
                <w:szCs w:val="18"/>
                <w:lang w:val="el-GR"/>
              </w:rPr>
              <w:t>ζημιές)</w:t>
            </w:r>
            <w:r w:rsidRPr="001C3AA9">
              <w:rPr>
                <w:rFonts w:ascii="Arial" w:eastAsia="Batang" w:hAnsi="Arial" w:cs="Arial"/>
                <w:color w:val="262626"/>
                <w:sz w:val="18"/>
                <w:szCs w:val="18"/>
                <w:lang w:val="el-GR"/>
              </w:rPr>
              <w:t xml:space="preserve"> από επανεκτίμηση και πώληση επενδύσεων σε ακίνητα και από πώληση αποθεμάτων ακινήτων</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CB9D2AD" w14:textId="77777777" w:rsidR="0056738E" w:rsidRPr="00041815" w:rsidRDefault="0056738E" w:rsidP="007C2AEE">
            <w:pPr>
              <w:autoSpaceDE w:val="0"/>
              <w:autoSpaceDN w:val="0"/>
              <w:adjustRightInd w:val="0"/>
              <w:jc w:val="right"/>
              <w:rPr>
                <w:rFonts w:ascii="Arial" w:eastAsiaTheme="minorEastAsia" w:hAnsi="Arial" w:cs="Arial"/>
                <w:bCs/>
                <w:color w:val="262626"/>
                <w:sz w:val="18"/>
                <w:szCs w:val="18"/>
                <w:lang w:val="el-GR" w:eastAsia="en-GB"/>
              </w:rPr>
            </w:pPr>
            <w:r>
              <w:rPr>
                <w:rFonts w:ascii="Arial" w:hAnsi="Arial" w:cs="Arial"/>
                <w:color w:val="000000"/>
                <w:sz w:val="18"/>
                <w:szCs w:val="18"/>
                <w:lang w:val="en-GB"/>
              </w:rPr>
              <w:t>3</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D41854" w14:textId="77777777" w:rsidR="0056738E" w:rsidRPr="00041815" w:rsidRDefault="0056738E" w:rsidP="007C2AEE">
            <w:pPr>
              <w:autoSpaceDE w:val="0"/>
              <w:autoSpaceDN w:val="0"/>
              <w:adjustRightInd w:val="0"/>
              <w:jc w:val="right"/>
              <w:rPr>
                <w:rFonts w:ascii="Arial" w:eastAsiaTheme="minorEastAsia" w:hAnsi="Arial" w:cs="Arial"/>
                <w:bCs/>
                <w:color w:val="262626"/>
                <w:sz w:val="18"/>
                <w:szCs w:val="18"/>
                <w:lang w:val="el-GR" w:eastAsia="en-GB"/>
              </w:rPr>
            </w:pPr>
            <w:r>
              <w:rPr>
                <w:rFonts w:ascii="Arial" w:hAnsi="Arial" w:cs="Arial"/>
                <w:color w:val="000000"/>
                <w:sz w:val="18"/>
                <w:szCs w:val="18"/>
                <w:lang w:val="en-GB"/>
              </w:rPr>
              <w:t>-</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6B6346B" w14:textId="77777777" w:rsidR="0056738E" w:rsidRPr="00041815" w:rsidRDefault="0056738E" w:rsidP="007C2AEE">
            <w:pPr>
              <w:autoSpaceDE w:val="0"/>
              <w:autoSpaceDN w:val="0"/>
              <w:adjustRightInd w:val="0"/>
              <w:jc w:val="right"/>
              <w:rPr>
                <w:rFonts w:ascii="Arial" w:eastAsiaTheme="minorEastAsia" w:hAnsi="Arial" w:cs="Arial"/>
                <w:bCs/>
                <w:color w:val="262626"/>
                <w:sz w:val="18"/>
                <w:szCs w:val="18"/>
                <w:lang w:val="el-GR" w:eastAsia="en-GB"/>
              </w:rPr>
            </w:pPr>
            <w:r>
              <w:rPr>
                <w:rFonts w:ascii="Arial" w:hAnsi="Arial" w:cs="Arial"/>
                <w:color w:val="000000"/>
                <w:sz w:val="18"/>
                <w:szCs w:val="18"/>
                <w:lang w:val="en-GB"/>
              </w:rPr>
              <w:t>3</w:t>
            </w:r>
          </w:p>
        </w:tc>
      </w:tr>
      <w:tr w:rsidR="0056738E" w:rsidRPr="00214FD6" w14:paraId="1E536268" w14:textId="77777777" w:rsidTr="007C2AEE">
        <w:trPr>
          <w:trHeight w:val="255"/>
          <w:jc w:val="center"/>
        </w:trPr>
        <w:tc>
          <w:tcPr>
            <w:tcW w:w="5776" w:type="dxa"/>
            <w:vAlign w:val="center"/>
          </w:tcPr>
          <w:p w14:paraId="33D303B9" w14:textId="77777777" w:rsidR="0056738E" w:rsidRPr="001C3AA9" w:rsidRDefault="0056738E" w:rsidP="007C2AEE">
            <w:pPr>
              <w:autoSpaceDE w:val="0"/>
              <w:autoSpaceDN w:val="0"/>
              <w:adjustRightInd w:val="0"/>
              <w:rPr>
                <w:rFonts w:ascii="Arial" w:hAnsi="Arial" w:cs="Arial"/>
                <w:color w:val="000000"/>
                <w:sz w:val="18"/>
                <w:szCs w:val="18"/>
              </w:rPr>
            </w:pPr>
            <w:r w:rsidRPr="001C3AA9">
              <w:rPr>
                <w:rFonts w:ascii="Arial" w:eastAsia="Batang" w:hAnsi="Arial" w:cs="Arial"/>
                <w:color w:val="262626"/>
                <w:sz w:val="18"/>
                <w:szCs w:val="18"/>
                <w:lang w:val="el-GR"/>
              </w:rPr>
              <w:t>Λοιπά έσοδα</w:t>
            </w:r>
          </w:p>
        </w:tc>
        <w:tc>
          <w:tcPr>
            <w:tcW w:w="1361" w:type="dxa"/>
            <w:tcBorders>
              <w:left w:val="single" w:sz="4" w:space="0" w:color="D9D9D9" w:themeColor="background1" w:themeShade="D9"/>
              <w:bottom w:val="single" w:sz="6" w:space="0" w:color="000000" w:themeColor="text1"/>
              <w:right w:val="single" w:sz="4" w:space="0" w:color="D9D9D9" w:themeColor="background1" w:themeShade="D9"/>
            </w:tcBorders>
            <w:shd w:val="clear" w:color="auto" w:fill="auto"/>
            <w:vAlign w:val="center"/>
          </w:tcPr>
          <w:p w14:paraId="41428E2C" w14:textId="77777777" w:rsidR="0056738E" w:rsidRPr="001C3AA9" w:rsidRDefault="0056738E" w:rsidP="007C2AEE">
            <w:pPr>
              <w:autoSpaceDE w:val="0"/>
              <w:autoSpaceDN w:val="0"/>
              <w:adjustRightInd w:val="0"/>
              <w:jc w:val="right"/>
              <w:rPr>
                <w:rFonts w:ascii="Arial" w:eastAsiaTheme="minorEastAsia" w:hAnsi="Arial" w:cs="Arial"/>
                <w:bCs/>
                <w:color w:val="262626"/>
                <w:sz w:val="18"/>
                <w:szCs w:val="18"/>
                <w:lang w:eastAsia="en-GB"/>
              </w:rPr>
            </w:pPr>
            <w:r>
              <w:rPr>
                <w:rFonts w:ascii="Arial" w:hAnsi="Arial" w:cs="Arial"/>
                <w:color w:val="000000"/>
                <w:sz w:val="18"/>
                <w:szCs w:val="18"/>
              </w:rPr>
              <w:t>8</w:t>
            </w:r>
          </w:p>
        </w:tc>
        <w:tc>
          <w:tcPr>
            <w:tcW w:w="1361" w:type="dxa"/>
            <w:tcBorders>
              <w:left w:val="single" w:sz="4" w:space="0" w:color="D9D9D9" w:themeColor="background1" w:themeShade="D9"/>
              <w:bottom w:val="single" w:sz="6" w:space="0" w:color="000000" w:themeColor="text1"/>
              <w:right w:val="single" w:sz="4" w:space="0" w:color="D9D9D9" w:themeColor="background1" w:themeShade="D9"/>
            </w:tcBorders>
            <w:shd w:val="clear" w:color="auto" w:fill="auto"/>
            <w:vAlign w:val="center"/>
          </w:tcPr>
          <w:p w14:paraId="31551024" w14:textId="77777777" w:rsidR="0056738E" w:rsidRPr="001C3AA9" w:rsidRDefault="0056738E" w:rsidP="007C2AEE">
            <w:pPr>
              <w:autoSpaceDE w:val="0"/>
              <w:autoSpaceDN w:val="0"/>
              <w:adjustRightInd w:val="0"/>
              <w:jc w:val="right"/>
              <w:rPr>
                <w:rFonts w:ascii="Arial" w:eastAsiaTheme="minorEastAsia" w:hAnsi="Arial" w:cs="Arial"/>
                <w:bCs/>
                <w:color w:val="262626"/>
                <w:sz w:val="18"/>
                <w:szCs w:val="18"/>
                <w:lang w:eastAsia="en-GB"/>
              </w:rPr>
            </w:pPr>
            <w:r>
              <w:rPr>
                <w:rFonts w:ascii="Arial" w:hAnsi="Arial" w:cs="Arial"/>
                <w:color w:val="000000"/>
                <w:sz w:val="18"/>
                <w:szCs w:val="18"/>
              </w:rPr>
              <w:t>-</w:t>
            </w:r>
          </w:p>
        </w:tc>
        <w:tc>
          <w:tcPr>
            <w:tcW w:w="1361" w:type="dxa"/>
            <w:tcBorders>
              <w:left w:val="single" w:sz="4" w:space="0" w:color="D9D9D9" w:themeColor="background1" w:themeShade="D9"/>
              <w:bottom w:val="single" w:sz="6" w:space="0" w:color="000000" w:themeColor="text1"/>
              <w:right w:val="single" w:sz="4" w:space="0" w:color="D9D9D9" w:themeColor="background1" w:themeShade="D9"/>
            </w:tcBorders>
            <w:shd w:val="clear" w:color="auto" w:fill="auto"/>
            <w:vAlign w:val="center"/>
          </w:tcPr>
          <w:p w14:paraId="27590CF9" w14:textId="77777777" w:rsidR="0056738E" w:rsidRPr="001C3AA9" w:rsidRDefault="0056738E" w:rsidP="007C2AEE">
            <w:pPr>
              <w:autoSpaceDE w:val="0"/>
              <w:autoSpaceDN w:val="0"/>
              <w:adjustRightInd w:val="0"/>
              <w:jc w:val="right"/>
              <w:rPr>
                <w:rFonts w:ascii="Arial" w:eastAsiaTheme="minorEastAsia" w:hAnsi="Arial" w:cs="Arial"/>
                <w:bCs/>
                <w:color w:val="262626"/>
                <w:sz w:val="18"/>
                <w:szCs w:val="18"/>
                <w:lang w:eastAsia="en-GB"/>
              </w:rPr>
            </w:pPr>
            <w:r>
              <w:rPr>
                <w:rFonts w:ascii="Arial" w:hAnsi="Arial" w:cs="Arial"/>
                <w:color w:val="000000"/>
                <w:sz w:val="18"/>
                <w:szCs w:val="18"/>
              </w:rPr>
              <w:t>8</w:t>
            </w:r>
          </w:p>
        </w:tc>
      </w:tr>
      <w:tr w:rsidR="0056738E" w:rsidRPr="00214FD6" w14:paraId="402CBCF6" w14:textId="77777777" w:rsidTr="007C2AEE">
        <w:trPr>
          <w:trHeight w:val="255"/>
          <w:jc w:val="center"/>
        </w:trPr>
        <w:tc>
          <w:tcPr>
            <w:tcW w:w="5776" w:type="dxa"/>
            <w:vAlign w:val="center"/>
          </w:tcPr>
          <w:p w14:paraId="7FF3013A" w14:textId="77777777" w:rsidR="0056738E" w:rsidRPr="001C3AA9" w:rsidRDefault="0056738E" w:rsidP="007C2AEE">
            <w:pPr>
              <w:autoSpaceDE w:val="0"/>
              <w:autoSpaceDN w:val="0"/>
              <w:adjustRightInd w:val="0"/>
              <w:rPr>
                <w:rFonts w:ascii="Arial" w:hAnsi="Arial" w:cs="Arial"/>
                <w:color w:val="000000"/>
                <w:sz w:val="18"/>
                <w:szCs w:val="18"/>
              </w:rPr>
            </w:pPr>
            <w:r w:rsidRPr="001C3AA9">
              <w:rPr>
                <w:rFonts w:ascii="Arial" w:hAnsi="Arial" w:cs="Arial"/>
                <w:b/>
                <w:bCs/>
                <w:color w:val="000000"/>
                <w:sz w:val="18"/>
                <w:szCs w:val="18"/>
                <w:lang w:val="el-GR"/>
              </w:rPr>
              <w:t>Σύνολο εσόδων</w:t>
            </w:r>
          </w:p>
        </w:tc>
        <w:tc>
          <w:tcPr>
            <w:tcW w:w="1361" w:type="dxa"/>
            <w:tcBorders>
              <w:top w:val="single" w:sz="6"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882F8EB" w14:textId="77777777" w:rsidR="0056738E" w:rsidRPr="001C3AA9" w:rsidRDefault="0056738E" w:rsidP="007C2AEE">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rPr>
              <w:t>828</w:t>
            </w:r>
          </w:p>
        </w:tc>
        <w:tc>
          <w:tcPr>
            <w:tcW w:w="1361" w:type="dxa"/>
            <w:tcBorders>
              <w:top w:val="single" w:sz="6"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942A1C" w14:textId="77777777" w:rsidR="0056738E" w:rsidRPr="001C3AA9" w:rsidRDefault="0056738E" w:rsidP="007C2AEE">
            <w:pPr>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rPr>
              <w:t>1</w:t>
            </w:r>
          </w:p>
        </w:tc>
        <w:tc>
          <w:tcPr>
            <w:tcW w:w="1361" w:type="dxa"/>
            <w:tcBorders>
              <w:top w:val="single" w:sz="6"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6204CBD" w14:textId="77777777" w:rsidR="0056738E" w:rsidRPr="001C3AA9" w:rsidRDefault="0056738E" w:rsidP="007C2AEE">
            <w:pPr>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rPr>
              <w:t>829</w:t>
            </w:r>
          </w:p>
        </w:tc>
      </w:tr>
      <w:tr w:rsidR="0056738E" w:rsidRPr="00214FD6" w14:paraId="638B53E9" w14:textId="77777777" w:rsidTr="007C2AEE">
        <w:trPr>
          <w:trHeight w:val="255"/>
          <w:jc w:val="center"/>
        </w:trPr>
        <w:tc>
          <w:tcPr>
            <w:tcW w:w="5776" w:type="dxa"/>
            <w:vAlign w:val="center"/>
          </w:tcPr>
          <w:p w14:paraId="0F59FC17" w14:textId="77777777" w:rsidR="0056738E" w:rsidRPr="001C3AA9" w:rsidRDefault="0056738E" w:rsidP="007C2AEE">
            <w:pPr>
              <w:autoSpaceDE w:val="0"/>
              <w:autoSpaceDN w:val="0"/>
              <w:adjustRightInd w:val="0"/>
              <w:rPr>
                <w:rFonts w:ascii="Arial" w:hAnsi="Arial" w:cs="Arial"/>
                <w:color w:val="000000"/>
                <w:sz w:val="18"/>
                <w:szCs w:val="18"/>
              </w:rPr>
            </w:pPr>
            <w:r w:rsidRPr="001C3AA9">
              <w:rPr>
                <w:rFonts w:ascii="Arial" w:hAnsi="Arial" w:cs="Arial"/>
                <w:b/>
                <w:bCs/>
                <w:color w:val="000000"/>
                <w:sz w:val="18"/>
                <w:szCs w:val="18"/>
                <w:lang w:val="el-GR"/>
              </w:rPr>
              <w:t>Σύνολο εξόδων</w:t>
            </w:r>
          </w:p>
        </w:tc>
        <w:tc>
          <w:tcPr>
            <w:tcW w:w="1361" w:type="dxa"/>
            <w:tcBorders>
              <w:top w:val="single" w:sz="4" w:space="0" w:color="D9D9D9" w:themeColor="background1" w:themeShade="D9"/>
              <w:left w:val="single" w:sz="4" w:space="0" w:color="D9D9D9" w:themeColor="background1" w:themeShade="D9"/>
              <w:bottom w:val="single" w:sz="6" w:space="0" w:color="000000" w:themeColor="text1"/>
              <w:right w:val="single" w:sz="4" w:space="0" w:color="D9D9D9" w:themeColor="background1" w:themeShade="D9"/>
            </w:tcBorders>
            <w:shd w:val="clear" w:color="auto" w:fill="auto"/>
            <w:vAlign w:val="center"/>
          </w:tcPr>
          <w:p w14:paraId="0A28C637" w14:textId="77777777" w:rsidR="0056738E" w:rsidRPr="001C3AA9" w:rsidRDefault="0056738E" w:rsidP="007C2AEE">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rPr>
              <w:t>(292)</w:t>
            </w:r>
          </w:p>
        </w:tc>
        <w:tc>
          <w:tcPr>
            <w:tcW w:w="1361" w:type="dxa"/>
            <w:tcBorders>
              <w:top w:val="single" w:sz="4" w:space="0" w:color="D9D9D9" w:themeColor="background1" w:themeShade="D9"/>
              <w:left w:val="single" w:sz="4" w:space="0" w:color="D9D9D9" w:themeColor="background1" w:themeShade="D9"/>
              <w:bottom w:val="single" w:sz="6" w:space="0" w:color="000000" w:themeColor="text1"/>
              <w:right w:val="single" w:sz="4" w:space="0" w:color="D9D9D9" w:themeColor="background1" w:themeShade="D9"/>
            </w:tcBorders>
            <w:shd w:val="clear" w:color="auto" w:fill="auto"/>
            <w:vAlign w:val="center"/>
          </w:tcPr>
          <w:p w14:paraId="5948E6DF" w14:textId="77777777" w:rsidR="0056738E" w:rsidRPr="001C3AA9" w:rsidRDefault="0056738E" w:rsidP="007C2AEE">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rPr>
              <w:t>1</w:t>
            </w:r>
          </w:p>
        </w:tc>
        <w:tc>
          <w:tcPr>
            <w:tcW w:w="1361" w:type="dxa"/>
            <w:tcBorders>
              <w:top w:val="single" w:sz="4" w:space="0" w:color="D9D9D9" w:themeColor="background1" w:themeShade="D9"/>
              <w:left w:val="single" w:sz="4" w:space="0" w:color="D9D9D9" w:themeColor="background1" w:themeShade="D9"/>
              <w:bottom w:val="single" w:sz="6" w:space="0" w:color="000000" w:themeColor="text1"/>
              <w:right w:val="single" w:sz="4" w:space="0" w:color="D9D9D9" w:themeColor="background1" w:themeShade="D9"/>
            </w:tcBorders>
            <w:shd w:val="clear" w:color="auto" w:fill="auto"/>
            <w:vAlign w:val="center"/>
          </w:tcPr>
          <w:p w14:paraId="5CCDF05F" w14:textId="77777777" w:rsidR="0056738E" w:rsidRPr="001C3AA9" w:rsidRDefault="0056738E" w:rsidP="007C2AEE">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rPr>
              <w:t>(291)</w:t>
            </w:r>
          </w:p>
        </w:tc>
      </w:tr>
      <w:tr w:rsidR="0056738E" w:rsidRPr="00214FD6" w14:paraId="04FC502D" w14:textId="77777777" w:rsidTr="007C2AEE">
        <w:trPr>
          <w:trHeight w:val="255"/>
          <w:jc w:val="center"/>
        </w:trPr>
        <w:tc>
          <w:tcPr>
            <w:tcW w:w="5776" w:type="dxa"/>
            <w:vAlign w:val="center"/>
          </w:tcPr>
          <w:p w14:paraId="731F04F5" w14:textId="77777777" w:rsidR="0056738E" w:rsidRPr="001C3AA9" w:rsidRDefault="0056738E" w:rsidP="007C2AEE">
            <w:pPr>
              <w:autoSpaceDE w:val="0"/>
              <w:autoSpaceDN w:val="0"/>
              <w:adjustRightInd w:val="0"/>
              <w:rPr>
                <w:rFonts w:ascii="Arial" w:hAnsi="Arial" w:cs="Arial"/>
                <w:color w:val="000000"/>
                <w:sz w:val="18"/>
                <w:szCs w:val="18"/>
                <w:lang w:val="el-GR"/>
              </w:rPr>
            </w:pPr>
            <w:r w:rsidRPr="001C3AA9">
              <w:rPr>
                <w:rFonts w:ascii="Arial" w:hAnsi="Arial" w:cs="Arial"/>
                <w:b/>
                <w:bCs/>
                <w:color w:val="000000"/>
                <w:sz w:val="18"/>
                <w:szCs w:val="18"/>
                <w:lang w:val="el-GR"/>
              </w:rPr>
              <w:t xml:space="preserve">Λειτουργικά κέρδη </w:t>
            </w:r>
          </w:p>
        </w:tc>
        <w:tc>
          <w:tcPr>
            <w:tcW w:w="1361" w:type="dxa"/>
            <w:tcBorders>
              <w:top w:val="single" w:sz="6" w:space="0" w:color="000000" w:themeColor="text1"/>
              <w:left w:val="single" w:sz="4" w:space="0" w:color="D9D9D9" w:themeColor="background1" w:themeShade="D9"/>
              <w:right w:val="single" w:sz="4" w:space="0" w:color="D9D9D9" w:themeColor="background1" w:themeShade="D9"/>
            </w:tcBorders>
            <w:shd w:val="clear" w:color="auto" w:fill="auto"/>
            <w:vAlign w:val="center"/>
          </w:tcPr>
          <w:p w14:paraId="080E19C0" w14:textId="77777777" w:rsidR="0056738E" w:rsidRPr="001C3AA9" w:rsidRDefault="0056738E" w:rsidP="007C2AEE">
            <w:pPr>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rPr>
              <w:t>536</w:t>
            </w:r>
          </w:p>
        </w:tc>
        <w:tc>
          <w:tcPr>
            <w:tcW w:w="1361" w:type="dxa"/>
            <w:tcBorders>
              <w:top w:val="single" w:sz="6" w:space="0" w:color="000000" w:themeColor="text1"/>
              <w:left w:val="single" w:sz="4" w:space="0" w:color="D9D9D9" w:themeColor="background1" w:themeShade="D9"/>
              <w:right w:val="single" w:sz="4" w:space="0" w:color="D9D9D9" w:themeColor="background1" w:themeShade="D9"/>
            </w:tcBorders>
            <w:shd w:val="clear" w:color="auto" w:fill="auto"/>
            <w:vAlign w:val="center"/>
          </w:tcPr>
          <w:p w14:paraId="1FFEA036" w14:textId="77777777" w:rsidR="0056738E" w:rsidRPr="001C3AA9" w:rsidRDefault="0056738E" w:rsidP="007C2AEE">
            <w:pPr>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rPr>
              <w:t>2</w:t>
            </w:r>
          </w:p>
        </w:tc>
        <w:tc>
          <w:tcPr>
            <w:tcW w:w="1361" w:type="dxa"/>
            <w:tcBorders>
              <w:top w:val="single" w:sz="6" w:space="0" w:color="000000" w:themeColor="text1"/>
              <w:left w:val="single" w:sz="4" w:space="0" w:color="D9D9D9" w:themeColor="background1" w:themeShade="D9"/>
              <w:right w:val="single" w:sz="4" w:space="0" w:color="D9D9D9" w:themeColor="background1" w:themeShade="D9"/>
            </w:tcBorders>
            <w:shd w:val="clear" w:color="auto" w:fill="auto"/>
            <w:vAlign w:val="center"/>
          </w:tcPr>
          <w:p w14:paraId="0654F9B5" w14:textId="77777777" w:rsidR="0056738E" w:rsidRPr="001C3AA9" w:rsidRDefault="0056738E" w:rsidP="007C2AEE">
            <w:pPr>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rPr>
              <w:t>538</w:t>
            </w:r>
          </w:p>
        </w:tc>
      </w:tr>
      <w:tr w:rsidR="0056738E" w:rsidRPr="00214FD6" w14:paraId="4D67DBB5" w14:textId="77777777" w:rsidTr="007C2AEE">
        <w:trPr>
          <w:trHeight w:val="255"/>
          <w:jc w:val="center"/>
        </w:trPr>
        <w:tc>
          <w:tcPr>
            <w:tcW w:w="5776" w:type="dxa"/>
            <w:vAlign w:val="center"/>
          </w:tcPr>
          <w:p w14:paraId="5E9C8365" w14:textId="77777777" w:rsidR="0056738E" w:rsidRPr="001C3AA9" w:rsidRDefault="0056738E" w:rsidP="007C2AEE">
            <w:pPr>
              <w:autoSpaceDE w:val="0"/>
              <w:autoSpaceDN w:val="0"/>
              <w:adjustRightInd w:val="0"/>
              <w:rPr>
                <w:rFonts w:ascii="Arial" w:eastAsia="Batang" w:hAnsi="Arial" w:cs="Arial"/>
                <w:color w:val="262626"/>
                <w:sz w:val="18"/>
                <w:szCs w:val="18"/>
                <w:lang w:val="el-GR"/>
              </w:rPr>
            </w:pPr>
            <w:r w:rsidRPr="001C3AA9">
              <w:rPr>
                <w:rFonts w:ascii="Arial" w:eastAsia="Batang" w:hAnsi="Arial" w:cs="Arial"/>
                <w:color w:val="262626"/>
                <w:sz w:val="18"/>
                <w:szCs w:val="18"/>
                <w:lang w:val="el-GR"/>
              </w:rPr>
              <w:t>Πιστωτικές ζημιές δανείων</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3569AA9C" w14:textId="77777777" w:rsidR="0056738E" w:rsidRPr="001C3AA9" w:rsidRDefault="0056738E" w:rsidP="007C2AEE">
            <w:pPr>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rPr>
              <w:t>(22)</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31C2F23F" w14:textId="77777777" w:rsidR="0056738E" w:rsidRPr="001C3AA9" w:rsidRDefault="0056738E" w:rsidP="007C2AEE">
            <w:pPr>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rPr>
              <w:t>22</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1ED430FB" w14:textId="77777777" w:rsidR="0056738E" w:rsidRPr="001C3AA9" w:rsidRDefault="0056738E" w:rsidP="007C2AEE">
            <w:pPr>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rPr>
              <w:t>-</w:t>
            </w:r>
          </w:p>
        </w:tc>
      </w:tr>
      <w:tr w:rsidR="0056738E" w:rsidRPr="009F7AC3" w14:paraId="2BF7C6B0" w14:textId="77777777" w:rsidTr="007C2AEE">
        <w:trPr>
          <w:trHeight w:val="227"/>
          <w:jc w:val="center"/>
        </w:trPr>
        <w:tc>
          <w:tcPr>
            <w:tcW w:w="5776" w:type="dxa"/>
            <w:vAlign w:val="center"/>
          </w:tcPr>
          <w:p w14:paraId="24649662" w14:textId="77777777" w:rsidR="0056738E" w:rsidRPr="001C3AA9" w:rsidRDefault="0056738E" w:rsidP="007C2AEE">
            <w:pPr>
              <w:autoSpaceDE w:val="0"/>
              <w:autoSpaceDN w:val="0"/>
              <w:adjustRightInd w:val="0"/>
              <w:rPr>
                <w:rFonts w:ascii="Arial" w:eastAsia="Batang" w:hAnsi="Arial" w:cs="Arial"/>
                <w:color w:val="262626"/>
                <w:sz w:val="18"/>
                <w:szCs w:val="18"/>
                <w:lang w:val="el-GR"/>
              </w:rPr>
            </w:pPr>
            <w:proofErr w:type="spellStart"/>
            <w:r w:rsidRPr="001C3AA9">
              <w:rPr>
                <w:rFonts w:ascii="Arial" w:eastAsia="Batang" w:hAnsi="Arial" w:cs="Arial"/>
                <w:color w:val="262626"/>
                <w:sz w:val="18"/>
                <w:szCs w:val="18"/>
                <w:lang w:val="el-GR"/>
              </w:rPr>
              <w:t>Απομείωση</w:t>
            </w:r>
            <w:proofErr w:type="spellEnd"/>
            <w:r w:rsidRPr="001C3AA9">
              <w:rPr>
                <w:rFonts w:ascii="Arial" w:eastAsia="Batang" w:hAnsi="Arial" w:cs="Arial"/>
                <w:color w:val="262626"/>
                <w:sz w:val="18"/>
                <w:szCs w:val="18"/>
                <w:lang w:val="el-GR"/>
              </w:rPr>
              <w:t xml:space="preserve"> άλλων χρηματοοικονομικών και μη</w:t>
            </w:r>
            <w:r>
              <w:rPr>
                <w:rFonts w:ascii="Arial" w:eastAsia="Batang" w:hAnsi="Arial" w:cs="Arial"/>
                <w:color w:val="262626"/>
                <w:sz w:val="18"/>
                <w:szCs w:val="18"/>
                <w:lang w:val="el-GR"/>
              </w:rPr>
              <w:t>-</w:t>
            </w:r>
            <w:r w:rsidRPr="001C3AA9">
              <w:rPr>
                <w:rFonts w:ascii="Arial" w:eastAsia="Batang" w:hAnsi="Arial" w:cs="Arial"/>
                <w:color w:val="262626"/>
                <w:sz w:val="18"/>
                <w:szCs w:val="18"/>
                <w:lang w:val="el-GR"/>
              </w:rPr>
              <w:t>χρηματοοικονομικών περιουσιακών στοιχείων</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41E9E918" w14:textId="77777777" w:rsidR="0056738E" w:rsidRPr="001C3AA9" w:rsidRDefault="0056738E" w:rsidP="007C2AEE">
            <w:pPr>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lang w:val="en-GB"/>
              </w:rPr>
              <w:t>(39)</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45A02019" w14:textId="77777777" w:rsidR="0056738E" w:rsidRPr="001C3AA9" w:rsidRDefault="0056738E" w:rsidP="007C2AEE">
            <w:pPr>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lang w:val="en-GB"/>
              </w:rPr>
              <w:t>39</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2AFC4BE1" w14:textId="77777777" w:rsidR="0056738E" w:rsidRPr="001C3AA9" w:rsidRDefault="0056738E" w:rsidP="007C2AEE">
            <w:pPr>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lang w:val="en-GB"/>
              </w:rPr>
              <w:t>-</w:t>
            </w:r>
          </w:p>
        </w:tc>
      </w:tr>
      <w:tr w:rsidR="0056738E" w:rsidRPr="009F7AC3" w14:paraId="12D23E73" w14:textId="77777777" w:rsidTr="007C2AEE">
        <w:trPr>
          <w:trHeight w:val="227"/>
          <w:jc w:val="center"/>
        </w:trPr>
        <w:tc>
          <w:tcPr>
            <w:tcW w:w="5776" w:type="dxa"/>
            <w:vAlign w:val="center"/>
          </w:tcPr>
          <w:p w14:paraId="5B8E2082" w14:textId="77777777" w:rsidR="0056738E" w:rsidRPr="001C3AA9" w:rsidRDefault="0056738E" w:rsidP="007C2AEE">
            <w:pPr>
              <w:autoSpaceDE w:val="0"/>
              <w:autoSpaceDN w:val="0"/>
              <w:adjustRightInd w:val="0"/>
              <w:rPr>
                <w:rFonts w:ascii="Arial" w:eastAsia="Batang" w:hAnsi="Arial" w:cs="Arial"/>
                <w:color w:val="262626"/>
                <w:sz w:val="18"/>
                <w:szCs w:val="18"/>
                <w:lang w:val="el-GR"/>
              </w:rPr>
            </w:pPr>
            <w:r w:rsidRPr="001C3AA9">
              <w:rPr>
                <w:rFonts w:ascii="Arial" w:eastAsia="Batang" w:hAnsi="Arial" w:cs="Arial"/>
                <w:color w:val="262626"/>
                <w:sz w:val="18"/>
                <w:szCs w:val="18"/>
                <w:lang w:val="el-GR"/>
              </w:rPr>
              <w:t>Πρ</w:t>
            </w:r>
            <w:r>
              <w:rPr>
                <w:rFonts w:ascii="Arial" w:eastAsia="Batang" w:hAnsi="Arial" w:cs="Arial"/>
                <w:color w:val="262626"/>
                <w:sz w:val="18"/>
                <w:szCs w:val="18"/>
                <w:lang w:val="el-GR"/>
              </w:rPr>
              <w:t>ο</w:t>
            </w:r>
            <w:r w:rsidRPr="001C3AA9">
              <w:rPr>
                <w:rFonts w:ascii="Arial" w:eastAsia="Batang" w:hAnsi="Arial" w:cs="Arial"/>
                <w:color w:val="262626"/>
                <w:sz w:val="18"/>
                <w:szCs w:val="18"/>
                <w:lang w:val="el-GR"/>
              </w:rPr>
              <w:t>βλ</w:t>
            </w:r>
            <w:r>
              <w:rPr>
                <w:rFonts w:ascii="Arial" w:eastAsia="Batang" w:hAnsi="Arial" w:cs="Arial"/>
                <w:color w:val="262626"/>
                <w:sz w:val="18"/>
                <w:szCs w:val="18"/>
                <w:lang w:val="el-GR"/>
              </w:rPr>
              <w:t>έ</w:t>
            </w:r>
            <w:r w:rsidRPr="001C3AA9">
              <w:rPr>
                <w:rFonts w:ascii="Arial" w:eastAsia="Batang" w:hAnsi="Arial" w:cs="Arial"/>
                <w:color w:val="262626"/>
                <w:sz w:val="18"/>
                <w:szCs w:val="18"/>
                <w:lang w:val="el-GR"/>
              </w:rPr>
              <w:t>ψ</w:t>
            </w:r>
            <w:r>
              <w:rPr>
                <w:rFonts w:ascii="Arial" w:eastAsia="Batang" w:hAnsi="Arial" w:cs="Arial"/>
                <w:color w:val="262626"/>
                <w:sz w:val="18"/>
                <w:szCs w:val="18"/>
                <w:lang w:val="el-GR"/>
              </w:rPr>
              <w:t>εις</w:t>
            </w:r>
            <w:r w:rsidRPr="001C3AA9">
              <w:rPr>
                <w:rFonts w:ascii="Arial" w:eastAsia="Batang" w:hAnsi="Arial" w:cs="Arial"/>
                <w:color w:val="262626"/>
                <w:sz w:val="18"/>
                <w:szCs w:val="18"/>
                <w:lang w:val="el-GR"/>
              </w:rPr>
              <w:t xml:space="preserve"> για επιδικίες, υπό διαιτησία διαφορές, κανονιστικά και άλλα θέματα</w:t>
            </w:r>
            <w:r>
              <w:rPr>
                <w:rFonts w:ascii="Arial" w:eastAsia="Batang" w:hAnsi="Arial" w:cs="Arial"/>
                <w:color w:val="262626"/>
                <w:sz w:val="18"/>
                <w:szCs w:val="18"/>
                <w:lang w:val="el-GR"/>
              </w:rPr>
              <w:t xml:space="preserve"> (μετά από αναστροφές)</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7681FB82" w14:textId="77777777" w:rsidR="0056738E" w:rsidRPr="001C3AA9" w:rsidRDefault="0056738E" w:rsidP="007C2AEE">
            <w:pPr>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lang w:val="en-GB"/>
              </w:rPr>
              <w:t>1</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739A93B9" w14:textId="77777777" w:rsidR="0056738E" w:rsidRPr="001C3AA9" w:rsidRDefault="0056738E" w:rsidP="007C2AEE">
            <w:pPr>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lang w:val="en-GB"/>
              </w:rPr>
              <w:t>(1)</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0C2216D2" w14:textId="77777777" w:rsidR="0056738E" w:rsidRPr="001C3AA9" w:rsidRDefault="0056738E" w:rsidP="007C2AEE">
            <w:pPr>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lang w:val="en-GB"/>
              </w:rPr>
              <w:t>-</w:t>
            </w:r>
          </w:p>
        </w:tc>
      </w:tr>
      <w:tr w:rsidR="0056738E" w:rsidRPr="009F7AC3" w14:paraId="5610B1A2" w14:textId="77777777" w:rsidTr="007C2AEE">
        <w:trPr>
          <w:trHeight w:val="227"/>
          <w:jc w:val="center"/>
        </w:trPr>
        <w:tc>
          <w:tcPr>
            <w:tcW w:w="5776" w:type="dxa"/>
            <w:vAlign w:val="center"/>
          </w:tcPr>
          <w:p w14:paraId="26B2722F" w14:textId="77777777" w:rsidR="0056738E" w:rsidRPr="001C3AA9" w:rsidRDefault="0056738E" w:rsidP="007C2AEE">
            <w:pPr>
              <w:autoSpaceDE w:val="0"/>
              <w:autoSpaceDN w:val="0"/>
              <w:adjustRightInd w:val="0"/>
              <w:rPr>
                <w:rFonts w:ascii="Arial" w:eastAsia="Batang" w:hAnsi="Arial" w:cs="Arial"/>
                <w:color w:val="262626"/>
                <w:sz w:val="18"/>
                <w:szCs w:val="18"/>
                <w:lang w:val="el-GR"/>
              </w:rPr>
            </w:pPr>
            <w:r w:rsidRPr="001C3AA9">
              <w:rPr>
                <w:rFonts w:ascii="Arial" w:eastAsia="Batang" w:hAnsi="Arial" w:cs="Arial"/>
                <w:color w:val="262626"/>
                <w:sz w:val="18"/>
                <w:szCs w:val="18"/>
                <w:lang w:val="el-GR"/>
              </w:rPr>
              <w:t xml:space="preserve">Πιστωτικές ζημιές χρηματοοικονομικών περιουσιακών στοιχείων και </w:t>
            </w:r>
            <w:proofErr w:type="spellStart"/>
            <w:r w:rsidRPr="001C3AA9">
              <w:rPr>
                <w:rFonts w:ascii="Arial" w:eastAsia="Batang" w:hAnsi="Arial" w:cs="Arial"/>
                <w:color w:val="262626"/>
                <w:sz w:val="18"/>
                <w:szCs w:val="18"/>
                <w:lang w:val="el-GR"/>
              </w:rPr>
              <w:t>απομείωση</w:t>
            </w:r>
            <w:proofErr w:type="spellEnd"/>
            <w:r w:rsidRPr="001C3AA9">
              <w:rPr>
                <w:rFonts w:ascii="Arial" w:eastAsia="Batang" w:hAnsi="Arial" w:cs="Arial"/>
                <w:color w:val="262626"/>
                <w:sz w:val="18"/>
                <w:szCs w:val="18"/>
                <w:lang w:val="el-GR"/>
              </w:rPr>
              <w:t xml:space="preserve"> μετά την αναστροφή μη</w:t>
            </w:r>
            <w:r>
              <w:rPr>
                <w:rFonts w:ascii="Arial" w:eastAsia="Batang" w:hAnsi="Arial" w:cs="Arial"/>
                <w:color w:val="262626"/>
                <w:sz w:val="18"/>
                <w:szCs w:val="18"/>
                <w:lang w:val="el-GR"/>
              </w:rPr>
              <w:t>-</w:t>
            </w:r>
            <w:r w:rsidRPr="001C3AA9">
              <w:rPr>
                <w:rFonts w:ascii="Arial" w:eastAsia="Batang" w:hAnsi="Arial" w:cs="Arial"/>
                <w:color w:val="262626"/>
                <w:sz w:val="18"/>
                <w:szCs w:val="18"/>
                <w:lang w:val="el-GR"/>
              </w:rPr>
              <w:t>χρηματοοικονομικών περιουσιακών στοιχείων</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26D33597" w14:textId="77777777" w:rsidR="0056738E" w:rsidRPr="001C3AA9" w:rsidRDefault="0056738E" w:rsidP="007C2AEE">
            <w:pPr>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lang w:val="en-GB"/>
              </w:rPr>
              <w:t>-</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0FBBA465" w14:textId="77777777" w:rsidR="0056738E" w:rsidRPr="001C3AA9" w:rsidRDefault="0056738E" w:rsidP="007C2AEE">
            <w:pPr>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lang w:val="en-GB"/>
              </w:rPr>
              <w:t>(62)</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2C9E758F" w14:textId="77777777" w:rsidR="0056738E" w:rsidRPr="001C3AA9" w:rsidRDefault="0056738E" w:rsidP="007C2AEE">
            <w:pPr>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lang w:val="en-GB"/>
              </w:rPr>
              <w:t>(62)</w:t>
            </w:r>
          </w:p>
        </w:tc>
      </w:tr>
      <w:tr w:rsidR="0056738E" w:rsidRPr="009F7AC3" w14:paraId="3E3A4DCB" w14:textId="77777777" w:rsidTr="007C2AEE">
        <w:trPr>
          <w:trHeight w:val="283"/>
          <w:jc w:val="center"/>
        </w:trPr>
        <w:tc>
          <w:tcPr>
            <w:tcW w:w="5776" w:type="dxa"/>
            <w:vAlign w:val="center"/>
          </w:tcPr>
          <w:p w14:paraId="597B8704" w14:textId="77777777" w:rsidR="0056738E" w:rsidRPr="001C3AA9" w:rsidRDefault="0056738E" w:rsidP="007C2AEE">
            <w:pPr>
              <w:autoSpaceDE w:val="0"/>
              <w:autoSpaceDN w:val="0"/>
              <w:adjustRightInd w:val="0"/>
              <w:rPr>
                <w:rFonts w:ascii="Arial" w:hAnsi="Arial" w:cs="Arial"/>
                <w:color w:val="000000"/>
                <w:sz w:val="18"/>
                <w:szCs w:val="18"/>
                <w:lang w:val="el-GR"/>
              </w:rPr>
            </w:pPr>
            <w:r w:rsidRPr="001C3AA9">
              <w:rPr>
                <w:rFonts w:ascii="Arial" w:hAnsi="Arial" w:cs="Arial"/>
                <w:b/>
                <w:bCs/>
                <w:color w:val="000000"/>
                <w:sz w:val="18"/>
                <w:szCs w:val="18"/>
                <w:lang w:val="el-GR"/>
              </w:rPr>
              <w:t>Κέρδη πριν τη φορολογία και τα μη</w:t>
            </w:r>
            <w:r>
              <w:rPr>
                <w:rFonts w:ascii="Arial" w:hAnsi="Arial" w:cs="Arial"/>
                <w:b/>
                <w:bCs/>
                <w:color w:val="000000"/>
                <w:sz w:val="18"/>
                <w:szCs w:val="18"/>
                <w:lang w:val="el-GR"/>
              </w:rPr>
              <w:t>-</w:t>
            </w:r>
            <w:r w:rsidRPr="001C3AA9">
              <w:rPr>
                <w:rFonts w:ascii="Arial" w:hAnsi="Arial" w:cs="Arial"/>
                <w:b/>
                <w:bCs/>
                <w:color w:val="000000"/>
                <w:sz w:val="18"/>
                <w:szCs w:val="18"/>
                <w:lang w:val="el-GR"/>
              </w:rPr>
              <w:t>επαναλαμβανόμενα στοιχεία</w:t>
            </w:r>
          </w:p>
        </w:tc>
        <w:tc>
          <w:tcPr>
            <w:tcW w:w="1361" w:type="dxa"/>
            <w:tcBorders>
              <w:top w:val="single" w:sz="6" w:space="0" w:color="000000" w:themeColor="text1"/>
              <w:left w:val="single" w:sz="4" w:space="0" w:color="D9D9D9" w:themeColor="background1" w:themeShade="D9"/>
              <w:right w:val="single" w:sz="4" w:space="0" w:color="D9D9D9" w:themeColor="background1" w:themeShade="D9"/>
            </w:tcBorders>
            <w:shd w:val="clear" w:color="auto" w:fill="auto"/>
            <w:vAlign w:val="center"/>
          </w:tcPr>
          <w:p w14:paraId="72F78542" w14:textId="77777777" w:rsidR="0056738E" w:rsidRPr="001C3AA9" w:rsidRDefault="0056738E" w:rsidP="007C2AEE">
            <w:pPr>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lang w:val="en-GB"/>
              </w:rPr>
              <w:t>476</w:t>
            </w:r>
          </w:p>
        </w:tc>
        <w:tc>
          <w:tcPr>
            <w:tcW w:w="1361" w:type="dxa"/>
            <w:tcBorders>
              <w:top w:val="single" w:sz="6" w:space="0" w:color="000000" w:themeColor="text1"/>
              <w:left w:val="single" w:sz="4" w:space="0" w:color="D9D9D9" w:themeColor="background1" w:themeShade="D9"/>
              <w:right w:val="single" w:sz="4" w:space="0" w:color="D9D9D9" w:themeColor="background1" w:themeShade="D9"/>
            </w:tcBorders>
            <w:shd w:val="clear" w:color="auto" w:fill="auto"/>
            <w:vAlign w:val="center"/>
          </w:tcPr>
          <w:p w14:paraId="1CC028E5" w14:textId="77777777" w:rsidR="0056738E" w:rsidRPr="001C3AA9" w:rsidRDefault="0056738E" w:rsidP="007C2AEE">
            <w:pPr>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lang w:val="en-GB"/>
              </w:rPr>
              <w:t>-</w:t>
            </w:r>
          </w:p>
        </w:tc>
        <w:tc>
          <w:tcPr>
            <w:tcW w:w="1361" w:type="dxa"/>
            <w:tcBorders>
              <w:top w:val="single" w:sz="6" w:space="0" w:color="000000" w:themeColor="text1"/>
              <w:left w:val="single" w:sz="4" w:space="0" w:color="D9D9D9" w:themeColor="background1" w:themeShade="D9"/>
              <w:right w:val="single" w:sz="4" w:space="0" w:color="D9D9D9" w:themeColor="background1" w:themeShade="D9"/>
            </w:tcBorders>
            <w:shd w:val="clear" w:color="auto" w:fill="auto"/>
            <w:vAlign w:val="center"/>
          </w:tcPr>
          <w:p w14:paraId="12ED8CAC" w14:textId="77777777" w:rsidR="0056738E" w:rsidRPr="001C3AA9" w:rsidRDefault="0056738E" w:rsidP="007C2AEE">
            <w:pPr>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lang w:val="en-GB"/>
              </w:rPr>
              <w:t>476</w:t>
            </w:r>
          </w:p>
        </w:tc>
      </w:tr>
      <w:tr w:rsidR="0056738E" w:rsidRPr="00214FD6" w14:paraId="6027B4F1" w14:textId="77777777" w:rsidTr="007C2AEE">
        <w:trPr>
          <w:trHeight w:val="255"/>
          <w:jc w:val="center"/>
        </w:trPr>
        <w:tc>
          <w:tcPr>
            <w:tcW w:w="5776" w:type="dxa"/>
            <w:vAlign w:val="center"/>
          </w:tcPr>
          <w:p w14:paraId="5DC73E22" w14:textId="77777777" w:rsidR="0056738E" w:rsidRPr="001C3AA9" w:rsidRDefault="0056738E" w:rsidP="007C2AEE">
            <w:pPr>
              <w:autoSpaceDE w:val="0"/>
              <w:autoSpaceDN w:val="0"/>
              <w:adjustRightInd w:val="0"/>
              <w:rPr>
                <w:rFonts w:ascii="Arial" w:hAnsi="Arial" w:cs="Arial"/>
                <w:color w:val="000000"/>
                <w:sz w:val="18"/>
                <w:szCs w:val="18"/>
                <w:highlight w:val="yellow"/>
                <w:lang w:val="el-GR"/>
              </w:rPr>
            </w:pPr>
            <w:r w:rsidRPr="001C3AA9">
              <w:rPr>
                <w:rFonts w:ascii="Arial" w:hAnsi="Arial" w:cs="Arial"/>
                <w:color w:val="000000"/>
                <w:sz w:val="18"/>
                <w:szCs w:val="18"/>
                <w:lang w:val="el-GR"/>
              </w:rPr>
              <w:t>Φορολογία</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FA792F1" w14:textId="77777777" w:rsidR="0056738E" w:rsidRPr="001C3AA9" w:rsidRDefault="0056738E" w:rsidP="007C2AEE">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rPr>
              <w:t>(73)</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BCF34E" w14:textId="77777777" w:rsidR="0056738E" w:rsidRPr="001C3AA9" w:rsidRDefault="0056738E" w:rsidP="007C2AEE">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rPr>
              <w:t>-</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DCEC350" w14:textId="77777777" w:rsidR="0056738E" w:rsidRPr="001C3AA9" w:rsidRDefault="0056738E" w:rsidP="007C2AEE">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rPr>
              <w:t>(73)</w:t>
            </w:r>
          </w:p>
        </w:tc>
      </w:tr>
      <w:tr w:rsidR="0056738E" w:rsidRPr="009F7AC3" w14:paraId="63A292F4" w14:textId="77777777" w:rsidTr="007C2AEE">
        <w:trPr>
          <w:trHeight w:val="255"/>
          <w:jc w:val="center"/>
        </w:trPr>
        <w:tc>
          <w:tcPr>
            <w:tcW w:w="5776" w:type="dxa"/>
            <w:vAlign w:val="center"/>
          </w:tcPr>
          <w:p w14:paraId="6E557C6E" w14:textId="77777777" w:rsidR="0056738E" w:rsidRPr="001C3AA9" w:rsidRDefault="0056738E" w:rsidP="007C2AEE">
            <w:pPr>
              <w:autoSpaceDE w:val="0"/>
              <w:autoSpaceDN w:val="0"/>
              <w:adjustRightInd w:val="0"/>
              <w:rPr>
                <w:rFonts w:ascii="Arial" w:hAnsi="Arial" w:cs="Arial"/>
                <w:color w:val="000000"/>
                <w:sz w:val="18"/>
                <w:szCs w:val="18"/>
                <w:lang w:val="el-GR"/>
              </w:rPr>
            </w:pPr>
            <w:r w:rsidRPr="001C3AA9">
              <w:rPr>
                <w:rFonts w:ascii="Arial" w:hAnsi="Arial" w:cs="Arial"/>
                <w:color w:val="000000"/>
                <w:sz w:val="18"/>
                <w:szCs w:val="18"/>
                <w:lang w:val="el-GR"/>
              </w:rPr>
              <w:t>Κέρδη που αναλογούν σε δικαιώματα μειοψηφίας</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09383F7" w14:textId="77777777" w:rsidR="0056738E" w:rsidRPr="001C3AA9" w:rsidRDefault="0056738E" w:rsidP="007C2AEE">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lang w:val="en-GB"/>
              </w:rPr>
              <w:t>(2)</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63A8C40" w14:textId="77777777" w:rsidR="0056738E" w:rsidRPr="001C3AA9" w:rsidRDefault="0056738E" w:rsidP="007C2AEE">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lang w:val="en-GB"/>
              </w:rPr>
              <w:t>-</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232DD8" w14:textId="77777777" w:rsidR="0056738E" w:rsidRPr="001C3AA9" w:rsidRDefault="0056738E" w:rsidP="007C2AEE">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lang w:val="en-GB"/>
              </w:rPr>
              <w:t>(2)</w:t>
            </w:r>
          </w:p>
        </w:tc>
      </w:tr>
      <w:tr w:rsidR="0056738E" w:rsidRPr="009F7AC3" w14:paraId="7754A8F8" w14:textId="77777777" w:rsidTr="007C2AEE">
        <w:trPr>
          <w:trHeight w:val="227"/>
          <w:jc w:val="center"/>
        </w:trPr>
        <w:tc>
          <w:tcPr>
            <w:tcW w:w="5776" w:type="dxa"/>
            <w:shd w:val="clear" w:color="auto" w:fill="auto"/>
            <w:vAlign w:val="center"/>
          </w:tcPr>
          <w:p w14:paraId="6EEC9286" w14:textId="77777777" w:rsidR="0056738E" w:rsidRPr="001C3AA9" w:rsidRDefault="0056738E" w:rsidP="007C2AEE">
            <w:pPr>
              <w:autoSpaceDE w:val="0"/>
              <w:autoSpaceDN w:val="0"/>
              <w:adjustRightInd w:val="0"/>
              <w:rPr>
                <w:rFonts w:ascii="Arial" w:hAnsi="Arial" w:cs="Arial"/>
                <w:b/>
                <w:bCs/>
                <w:color w:val="000000"/>
                <w:sz w:val="18"/>
                <w:szCs w:val="18"/>
                <w:lang w:val="el-GR"/>
              </w:rPr>
            </w:pPr>
            <w:r>
              <w:rPr>
                <w:rFonts w:ascii="Arial" w:hAnsi="Arial" w:cs="Arial"/>
                <w:b/>
                <w:bCs/>
                <w:color w:val="000000"/>
                <w:sz w:val="18"/>
                <w:szCs w:val="18"/>
                <w:lang w:val="el-GR"/>
              </w:rPr>
              <w:t>Κέρδη</w:t>
            </w:r>
            <w:r w:rsidRPr="001C3AA9">
              <w:rPr>
                <w:rFonts w:ascii="Arial" w:hAnsi="Arial" w:cs="Arial"/>
                <w:b/>
                <w:bCs/>
                <w:color w:val="000000"/>
                <w:sz w:val="18"/>
                <w:szCs w:val="18"/>
                <w:lang w:val="el-GR"/>
              </w:rPr>
              <w:t xml:space="preserve"> μετά τη φορολογία (</w:t>
            </w:r>
            <w:r>
              <w:rPr>
                <w:rFonts w:ascii="Arial" w:hAnsi="Arial" w:cs="Arial"/>
                <w:b/>
                <w:bCs/>
                <w:color w:val="000000"/>
                <w:sz w:val="18"/>
                <w:szCs w:val="18"/>
                <w:lang w:val="el-GR"/>
              </w:rPr>
              <w:t xml:space="preserve">που </w:t>
            </w:r>
            <w:r w:rsidRPr="001C3AA9">
              <w:rPr>
                <w:rFonts w:ascii="Arial" w:hAnsi="Arial" w:cs="Arial"/>
                <w:b/>
                <w:bCs/>
                <w:color w:val="000000"/>
                <w:sz w:val="18"/>
                <w:szCs w:val="18"/>
                <w:lang w:val="el-GR"/>
              </w:rPr>
              <w:t>αναλογούν στους ιδιοκτήτες της Εταιρίας)</w:t>
            </w:r>
          </w:p>
        </w:tc>
        <w:tc>
          <w:tcPr>
            <w:tcW w:w="1361" w:type="dxa"/>
            <w:tcBorders>
              <w:top w:val="single" w:sz="6" w:space="0" w:color="000000" w:themeColor="text1"/>
              <w:left w:val="single" w:sz="4" w:space="0" w:color="D9D9D9" w:themeColor="background1" w:themeShade="D9"/>
              <w:bottom w:val="double" w:sz="6" w:space="0" w:color="000000" w:themeColor="text1"/>
              <w:right w:val="single" w:sz="4" w:space="0" w:color="D9D9D9" w:themeColor="background1" w:themeShade="D9"/>
            </w:tcBorders>
            <w:shd w:val="clear" w:color="auto" w:fill="auto"/>
            <w:vAlign w:val="center"/>
          </w:tcPr>
          <w:p w14:paraId="04BE1080" w14:textId="77777777" w:rsidR="0056738E" w:rsidRPr="001C3AA9" w:rsidRDefault="0056738E" w:rsidP="007C2AEE">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lang w:val="en-GB"/>
              </w:rPr>
              <w:t>401</w:t>
            </w:r>
          </w:p>
        </w:tc>
        <w:tc>
          <w:tcPr>
            <w:tcW w:w="1361" w:type="dxa"/>
            <w:tcBorders>
              <w:top w:val="single" w:sz="6" w:space="0" w:color="000000" w:themeColor="text1"/>
              <w:left w:val="single" w:sz="4" w:space="0" w:color="D9D9D9" w:themeColor="background1" w:themeShade="D9"/>
              <w:bottom w:val="double" w:sz="6" w:space="0" w:color="000000" w:themeColor="text1"/>
              <w:right w:val="single" w:sz="4" w:space="0" w:color="D9D9D9" w:themeColor="background1" w:themeShade="D9"/>
            </w:tcBorders>
            <w:shd w:val="clear" w:color="auto" w:fill="auto"/>
            <w:vAlign w:val="center"/>
          </w:tcPr>
          <w:p w14:paraId="0A8BAEAF" w14:textId="77777777" w:rsidR="0056738E" w:rsidRPr="001C3AA9" w:rsidRDefault="0056738E" w:rsidP="007C2AEE">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lang w:val="en-GB"/>
              </w:rPr>
              <w:t>-</w:t>
            </w:r>
          </w:p>
        </w:tc>
        <w:tc>
          <w:tcPr>
            <w:tcW w:w="1361" w:type="dxa"/>
            <w:tcBorders>
              <w:top w:val="single" w:sz="6" w:space="0" w:color="000000" w:themeColor="text1"/>
              <w:left w:val="single" w:sz="4" w:space="0" w:color="D9D9D9" w:themeColor="background1" w:themeShade="D9"/>
              <w:bottom w:val="double" w:sz="6" w:space="0" w:color="000000" w:themeColor="text1"/>
              <w:right w:val="single" w:sz="4" w:space="0" w:color="D9D9D9" w:themeColor="background1" w:themeShade="D9"/>
            </w:tcBorders>
            <w:shd w:val="clear" w:color="auto" w:fill="auto"/>
            <w:vAlign w:val="center"/>
          </w:tcPr>
          <w:p w14:paraId="2BB91B2F" w14:textId="77777777" w:rsidR="0056738E" w:rsidRPr="00B90A36" w:rsidRDefault="0056738E" w:rsidP="007C2AEE">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lang w:val="en-GB"/>
              </w:rPr>
              <w:t>401</w:t>
            </w:r>
          </w:p>
        </w:tc>
      </w:tr>
    </w:tbl>
    <w:tbl>
      <w:tblPr>
        <w:tblW w:w="13012" w:type="dxa"/>
        <w:tblBorders>
          <w:top w:val="nil"/>
          <w:left w:val="nil"/>
          <w:bottom w:val="nil"/>
          <w:right w:val="nil"/>
        </w:tblBorders>
        <w:tblLook w:val="0000" w:firstRow="0" w:lastRow="0" w:firstColumn="0" w:lastColumn="0" w:noHBand="0" w:noVBand="0"/>
      </w:tblPr>
      <w:tblGrid>
        <w:gridCol w:w="13012"/>
      </w:tblGrid>
      <w:tr w:rsidR="0056738E" w:rsidRPr="009F7AC3" w14:paraId="79972D8F" w14:textId="77777777" w:rsidTr="007C2AEE">
        <w:trPr>
          <w:trHeight w:val="86"/>
        </w:trPr>
        <w:tc>
          <w:tcPr>
            <w:tcW w:w="13012" w:type="dxa"/>
          </w:tcPr>
          <w:p w14:paraId="05E33C91" w14:textId="77777777" w:rsidR="0056738E" w:rsidRPr="004A6CE4" w:rsidRDefault="0056738E" w:rsidP="007C2AEE">
            <w:pPr>
              <w:tabs>
                <w:tab w:val="right" w:pos="9930"/>
                <w:tab w:val="left" w:pos="10846"/>
              </w:tabs>
              <w:autoSpaceDE w:val="0"/>
              <w:autoSpaceDN w:val="0"/>
              <w:adjustRightInd w:val="0"/>
              <w:spacing w:after="0" w:line="240" w:lineRule="auto"/>
              <w:rPr>
                <w:rFonts w:ascii="Arial" w:hAnsi="Arial" w:cs="Arial"/>
                <w:color w:val="000000"/>
                <w:sz w:val="18"/>
                <w:szCs w:val="18"/>
                <w:lang w:val="el-GR"/>
              </w:rPr>
            </w:pPr>
          </w:p>
        </w:tc>
      </w:tr>
    </w:tbl>
    <w:p w14:paraId="37BBD191" w14:textId="77777777" w:rsidR="0056738E" w:rsidRDefault="0056738E" w:rsidP="0056738E">
      <w:pPr>
        <w:spacing w:after="0" w:line="240" w:lineRule="auto"/>
        <w:ind w:left="284" w:right="-85" w:hanging="142"/>
        <w:jc w:val="both"/>
        <w:rPr>
          <w:rFonts w:ascii="Arial" w:eastAsia="Times New Roman" w:hAnsi="Arial" w:cs="Arial"/>
          <w:bCs/>
          <w:color w:val="000000"/>
          <w:sz w:val="18"/>
          <w:szCs w:val="18"/>
          <w:lang w:val="el-GR" w:eastAsia="en-US"/>
        </w:rPr>
      </w:pPr>
      <w:r w:rsidRPr="004A6CE4">
        <w:rPr>
          <w:rFonts w:ascii="Arial" w:eastAsia="Times New Roman" w:hAnsi="Arial" w:cs="Arial"/>
          <w:bCs/>
          <w:color w:val="000000"/>
          <w:sz w:val="18"/>
          <w:szCs w:val="18"/>
          <w:lang w:val="el-GR" w:eastAsia="en-US"/>
        </w:rPr>
        <w:t>*</w:t>
      </w:r>
      <w:r>
        <w:rPr>
          <w:rFonts w:ascii="Arial" w:eastAsia="Times New Roman" w:hAnsi="Arial" w:cs="Arial"/>
          <w:bCs/>
          <w:color w:val="000000"/>
          <w:sz w:val="18"/>
          <w:szCs w:val="18"/>
          <w:lang w:val="el-GR" w:eastAsia="en-US"/>
        </w:rPr>
        <w:t xml:space="preserve"> </w:t>
      </w:r>
      <w:r w:rsidRPr="005A1458">
        <w:rPr>
          <w:rFonts w:ascii="Arial" w:eastAsia="Times New Roman" w:hAnsi="Arial" w:cs="Arial"/>
          <w:bCs/>
          <w:color w:val="000000"/>
          <w:sz w:val="18"/>
          <w:szCs w:val="18"/>
          <w:lang w:val="el-GR" w:eastAsia="en-US"/>
        </w:rPr>
        <w:t>Τ</w:t>
      </w:r>
      <w:r>
        <w:rPr>
          <w:rFonts w:ascii="Arial" w:eastAsia="Times New Roman" w:hAnsi="Arial" w:cs="Arial"/>
          <w:bCs/>
          <w:color w:val="000000"/>
          <w:sz w:val="18"/>
          <w:szCs w:val="18"/>
          <w:lang w:val="el-GR" w:eastAsia="en-US"/>
        </w:rPr>
        <w:t>ο</w:t>
      </w:r>
      <w:r w:rsidRPr="005A1458">
        <w:rPr>
          <w:rFonts w:ascii="Arial" w:eastAsia="Times New Roman" w:hAnsi="Arial" w:cs="Arial"/>
          <w:bCs/>
          <w:color w:val="000000"/>
          <w:sz w:val="18"/>
          <w:szCs w:val="18"/>
          <w:lang w:val="el-GR" w:eastAsia="en-US"/>
        </w:rPr>
        <w:t xml:space="preserve"> </w:t>
      </w:r>
      <w:r>
        <w:rPr>
          <w:rFonts w:ascii="Arial" w:eastAsia="Times New Roman" w:hAnsi="Arial" w:cs="Arial"/>
          <w:bCs/>
          <w:color w:val="000000"/>
          <w:sz w:val="18"/>
          <w:szCs w:val="18"/>
          <w:lang w:val="el-GR" w:eastAsia="en-US"/>
        </w:rPr>
        <w:t>κ</w:t>
      </w:r>
      <w:r w:rsidRPr="005A1458">
        <w:rPr>
          <w:rFonts w:ascii="Arial" w:eastAsia="Times New Roman" w:hAnsi="Arial" w:cs="Arial"/>
          <w:bCs/>
          <w:color w:val="000000"/>
          <w:sz w:val="18"/>
          <w:szCs w:val="18"/>
          <w:lang w:val="el-GR" w:eastAsia="en-US"/>
        </w:rPr>
        <w:t>αθαρ</w:t>
      </w:r>
      <w:r>
        <w:rPr>
          <w:rFonts w:ascii="Arial" w:eastAsia="Times New Roman" w:hAnsi="Arial" w:cs="Arial"/>
          <w:bCs/>
          <w:color w:val="000000"/>
          <w:sz w:val="18"/>
          <w:szCs w:val="18"/>
          <w:lang w:val="el-GR" w:eastAsia="en-US"/>
        </w:rPr>
        <w:t>ό</w:t>
      </w:r>
      <w:r w:rsidRPr="005A1458">
        <w:rPr>
          <w:rFonts w:ascii="Arial" w:eastAsia="Times New Roman" w:hAnsi="Arial" w:cs="Arial"/>
          <w:bCs/>
          <w:color w:val="000000"/>
          <w:sz w:val="18"/>
          <w:szCs w:val="18"/>
          <w:lang w:val="el-GR" w:eastAsia="en-US"/>
        </w:rPr>
        <w:t xml:space="preserve"> </w:t>
      </w:r>
      <w:r>
        <w:rPr>
          <w:rFonts w:ascii="Arial" w:eastAsia="Times New Roman" w:hAnsi="Arial" w:cs="Arial"/>
          <w:bCs/>
          <w:color w:val="000000"/>
          <w:sz w:val="18"/>
          <w:szCs w:val="18"/>
          <w:lang w:val="el-GR" w:eastAsia="en-US"/>
        </w:rPr>
        <w:t>αποτέλεσμα</w:t>
      </w:r>
      <w:r w:rsidRPr="005A1458">
        <w:rPr>
          <w:rFonts w:ascii="Arial" w:eastAsia="Times New Roman" w:hAnsi="Arial" w:cs="Arial"/>
          <w:bCs/>
          <w:color w:val="000000"/>
          <w:sz w:val="18"/>
          <w:szCs w:val="18"/>
          <w:lang w:val="el-GR" w:eastAsia="en-US"/>
        </w:rPr>
        <w:t xml:space="preserve"> από ασφαλιστικές </w:t>
      </w:r>
      <w:r>
        <w:rPr>
          <w:rFonts w:ascii="Arial" w:eastAsia="Times New Roman" w:hAnsi="Arial" w:cs="Arial"/>
          <w:bCs/>
          <w:color w:val="000000"/>
          <w:sz w:val="18"/>
          <w:szCs w:val="18"/>
          <w:lang w:val="el-GR" w:eastAsia="en-US"/>
        </w:rPr>
        <w:t>εργασίες στην</w:t>
      </w:r>
      <w:r w:rsidRPr="005A1458">
        <w:rPr>
          <w:rFonts w:ascii="Arial" w:eastAsia="Times New Roman" w:hAnsi="Arial" w:cs="Arial"/>
          <w:bCs/>
          <w:color w:val="000000"/>
          <w:sz w:val="18"/>
          <w:szCs w:val="18"/>
          <w:lang w:val="el-GR" w:eastAsia="en-US"/>
        </w:rPr>
        <w:t xml:space="preserve"> υποκείμενη βάση περιλαμβάν</w:t>
      </w:r>
      <w:r>
        <w:rPr>
          <w:rFonts w:ascii="Arial" w:eastAsia="Times New Roman" w:hAnsi="Arial" w:cs="Arial"/>
          <w:bCs/>
          <w:color w:val="000000"/>
          <w:sz w:val="18"/>
          <w:szCs w:val="18"/>
          <w:lang w:val="el-GR" w:eastAsia="en-US"/>
        </w:rPr>
        <w:t>ει</w:t>
      </w:r>
      <w:r w:rsidRPr="005A1458">
        <w:rPr>
          <w:rFonts w:ascii="Arial" w:eastAsia="Times New Roman" w:hAnsi="Arial" w:cs="Arial"/>
          <w:bCs/>
          <w:color w:val="000000"/>
          <w:sz w:val="18"/>
          <w:szCs w:val="18"/>
          <w:lang w:val="el-GR" w:eastAsia="en-US"/>
        </w:rPr>
        <w:t xml:space="preserve"> το άθροισμα των </w:t>
      </w:r>
      <w:r>
        <w:rPr>
          <w:rFonts w:ascii="Arial" w:eastAsia="Times New Roman" w:hAnsi="Arial" w:cs="Arial"/>
          <w:bCs/>
          <w:color w:val="000000"/>
          <w:sz w:val="18"/>
          <w:szCs w:val="18"/>
          <w:lang w:val="el-GR" w:eastAsia="en-US"/>
        </w:rPr>
        <w:t>γραμμών</w:t>
      </w:r>
      <w:r w:rsidRPr="005A1458">
        <w:rPr>
          <w:rFonts w:ascii="Arial" w:eastAsia="Times New Roman" w:hAnsi="Arial" w:cs="Arial"/>
          <w:bCs/>
          <w:color w:val="000000"/>
          <w:sz w:val="18"/>
          <w:szCs w:val="18"/>
          <w:lang w:val="el-GR" w:eastAsia="en-US"/>
        </w:rPr>
        <w:t xml:space="preserve"> </w:t>
      </w:r>
      <w:r w:rsidRPr="000C0110">
        <w:rPr>
          <w:rFonts w:ascii="Arial" w:eastAsia="Times New Roman" w:hAnsi="Arial" w:cs="Arial"/>
          <w:bCs/>
          <w:color w:val="000000"/>
          <w:sz w:val="18"/>
          <w:szCs w:val="18"/>
          <w:lang w:val="el-GR" w:eastAsia="en-US"/>
        </w:rPr>
        <w:t>‘</w:t>
      </w:r>
      <w:r w:rsidRPr="00041815">
        <w:rPr>
          <w:rFonts w:ascii="Arial" w:eastAsia="Batang" w:hAnsi="Arial" w:cs="Arial"/>
          <w:i/>
          <w:iCs/>
          <w:color w:val="262626"/>
          <w:sz w:val="18"/>
          <w:szCs w:val="18"/>
          <w:lang w:val="el-GR" w:eastAsia="en-US"/>
        </w:rPr>
        <w:t>Καθαρά χρηματοοικονομικά έσοδα/(έξοδα) ασφάλισης και καθαρά χρηματοοικονομικά έσοδα/(έξοδα) αντασφάλισης</w:t>
      </w:r>
      <w:r w:rsidRPr="001C3AA9">
        <w:rPr>
          <w:rFonts w:ascii="Arial" w:eastAsia="Batang" w:hAnsi="Arial" w:cs="Arial"/>
          <w:color w:val="262626"/>
          <w:sz w:val="18"/>
          <w:szCs w:val="18"/>
          <w:lang w:val="el-GR" w:eastAsia="en-US"/>
        </w:rPr>
        <w:t>’</w:t>
      </w:r>
      <w:r w:rsidRPr="000C0110">
        <w:rPr>
          <w:rFonts w:ascii="Arial" w:eastAsia="Times New Roman" w:hAnsi="Arial" w:cs="Arial"/>
          <w:bCs/>
          <w:color w:val="000000"/>
          <w:sz w:val="18"/>
          <w:szCs w:val="18"/>
          <w:lang w:val="el-GR" w:eastAsia="en-US"/>
        </w:rPr>
        <w:t>,</w:t>
      </w:r>
      <w:r w:rsidRPr="005A1458">
        <w:rPr>
          <w:rFonts w:ascii="Arial" w:eastAsia="Times New Roman" w:hAnsi="Arial" w:cs="Arial"/>
          <w:bCs/>
          <w:color w:val="000000"/>
          <w:sz w:val="18"/>
          <w:szCs w:val="18"/>
          <w:lang w:val="el-GR" w:eastAsia="en-US"/>
        </w:rPr>
        <w:t xml:space="preserve"> </w:t>
      </w:r>
      <w:r>
        <w:rPr>
          <w:rFonts w:ascii="Arial" w:eastAsia="Times New Roman" w:hAnsi="Arial" w:cs="Arial"/>
          <w:bCs/>
          <w:color w:val="000000"/>
          <w:sz w:val="18"/>
          <w:szCs w:val="18"/>
          <w:lang w:val="el-GR" w:eastAsia="en-US"/>
        </w:rPr>
        <w:t>‘</w:t>
      </w:r>
      <w:r w:rsidRPr="00041815">
        <w:rPr>
          <w:rFonts w:ascii="Arial" w:eastAsia="Times New Roman" w:hAnsi="Arial" w:cs="Arial"/>
          <w:bCs/>
          <w:i/>
          <w:iCs/>
          <w:color w:val="000000"/>
          <w:sz w:val="18"/>
          <w:szCs w:val="18"/>
          <w:lang w:val="el-GR" w:eastAsia="en-US"/>
        </w:rPr>
        <w:t>Καθαρά αποτελέσματα από ασφαλιστικές υπηρεσίες</w:t>
      </w:r>
      <w:r>
        <w:rPr>
          <w:rFonts w:ascii="Arial" w:eastAsia="Times New Roman" w:hAnsi="Arial" w:cs="Arial"/>
          <w:bCs/>
          <w:color w:val="000000"/>
          <w:sz w:val="18"/>
          <w:szCs w:val="18"/>
          <w:lang w:val="el-GR" w:eastAsia="en-US"/>
        </w:rPr>
        <w:t>’</w:t>
      </w:r>
      <w:r w:rsidRPr="005A1458">
        <w:rPr>
          <w:rFonts w:ascii="Arial" w:eastAsia="Times New Roman" w:hAnsi="Arial" w:cs="Arial"/>
          <w:bCs/>
          <w:color w:val="000000"/>
          <w:sz w:val="18"/>
          <w:szCs w:val="18"/>
          <w:lang w:val="el-GR" w:eastAsia="en-US"/>
        </w:rPr>
        <w:t xml:space="preserve"> και </w:t>
      </w:r>
      <w:r>
        <w:rPr>
          <w:rFonts w:ascii="Arial" w:eastAsia="Times New Roman" w:hAnsi="Arial" w:cs="Arial"/>
          <w:bCs/>
          <w:color w:val="000000"/>
          <w:sz w:val="18"/>
          <w:szCs w:val="18"/>
          <w:lang w:val="el-GR" w:eastAsia="en-US"/>
        </w:rPr>
        <w:t>‘</w:t>
      </w:r>
      <w:r w:rsidRPr="00041815">
        <w:rPr>
          <w:rFonts w:ascii="Arial" w:eastAsia="Times New Roman" w:hAnsi="Arial" w:cs="Arial"/>
          <w:bCs/>
          <w:i/>
          <w:iCs/>
          <w:color w:val="000000"/>
          <w:sz w:val="18"/>
          <w:szCs w:val="18"/>
          <w:lang w:val="el-GR" w:eastAsia="en-US"/>
        </w:rPr>
        <w:t xml:space="preserve">Καθαρά αποτελέσματα από </w:t>
      </w:r>
      <w:proofErr w:type="spellStart"/>
      <w:r w:rsidRPr="00041815">
        <w:rPr>
          <w:rFonts w:ascii="Arial" w:eastAsia="Times New Roman" w:hAnsi="Arial" w:cs="Arial"/>
          <w:bCs/>
          <w:i/>
          <w:iCs/>
          <w:color w:val="000000"/>
          <w:sz w:val="18"/>
          <w:szCs w:val="18"/>
          <w:lang w:val="el-GR" w:eastAsia="en-US"/>
        </w:rPr>
        <w:t>αντασφαλιστικές</w:t>
      </w:r>
      <w:proofErr w:type="spellEnd"/>
      <w:r w:rsidRPr="00041815">
        <w:rPr>
          <w:rFonts w:ascii="Arial" w:eastAsia="Times New Roman" w:hAnsi="Arial" w:cs="Arial"/>
          <w:bCs/>
          <w:i/>
          <w:iCs/>
          <w:color w:val="000000"/>
          <w:sz w:val="18"/>
          <w:szCs w:val="18"/>
          <w:lang w:val="el-GR" w:eastAsia="en-US"/>
        </w:rPr>
        <w:t xml:space="preserve"> υπηρεσίες</w:t>
      </w:r>
      <w:r>
        <w:rPr>
          <w:rFonts w:ascii="Arial" w:eastAsia="Times New Roman" w:hAnsi="Arial" w:cs="Arial"/>
          <w:bCs/>
          <w:color w:val="000000"/>
          <w:sz w:val="18"/>
          <w:szCs w:val="18"/>
          <w:lang w:val="el-GR" w:eastAsia="en-US"/>
        </w:rPr>
        <w:t>’</w:t>
      </w:r>
      <w:r w:rsidRPr="005A1458">
        <w:rPr>
          <w:rFonts w:ascii="Arial" w:eastAsia="Times New Roman" w:hAnsi="Arial" w:cs="Arial"/>
          <w:bCs/>
          <w:color w:val="000000"/>
          <w:sz w:val="18"/>
          <w:szCs w:val="18"/>
          <w:lang w:val="el-GR" w:eastAsia="en-US"/>
        </w:rPr>
        <w:t xml:space="preserve"> </w:t>
      </w:r>
      <w:r>
        <w:rPr>
          <w:rFonts w:ascii="Arial" w:eastAsia="Times New Roman" w:hAnsi="Arial" w:cs="Arial"/>
          <w:bCs/>
          <w:color w:val="000000"/>
          <w:sz w:val="18"/>
          <w:szCs w:val="18"/>
          <w:lang w:val="el-GR" w:eastAsia="en-US"/>
        </w:rPr>
        <w:t>όπως περιλαμβάνονται στην</w:t>
      </w:r>
      <w:r w:rsidRPr="005A1458">
        <w:rPr>
          <w:rFonts w:ascii="Arial" w:eastAsia="Times New Roman" w:hAnsi="Arial" w:cs="Arial"/>
          <w:bCs/>
          <w:color w:val="000000"/>
          <w:sz w:val="18"/>
          <w:szCs w:val="18"/>
          <w:lang w:val="el-GR" w:eastAsia="en-US"/>
        </w:rPr>
        <w:t xml:space="preserve"> απαιτούμενη από τη νομοθεσία βάση</w:t>
      </w:r>
      <w:r>
        <w:rPr>
          <w:rFonts w:ascii="Arial" w:eastAsia="Times New Roman" w:hAnsi="Arial" w:cs="Arial"/>
          <w:bCs/>
          <w:color w:val="000000"/>
          <w:sz w:val="18"/>
          <w:szCs w:val="18"/>
          <w:lang w:val="el-GR" w:eastAsia="en-US"/>
        </w:rPr>
        <w:t>.</w:t>
      </w:r>
    </w:p>
    <w:p w14:paraId="3B638304" w14:textId="77777777" w:rsidR="0056738E" w:rsidRDefault="0056738E" w:rsidP="0056738E">
      <w:pPr>
        <w:spacing w:after="0" w:line="240" w:lineRule="auto"/>
        <w:ind w:left="284" w:right="-85"/>
        <w:jc w:val="both"/>
        <w:rPr>
          <w:rFonts w:ascii="Arial" w:eastAsia="Times New Roman" w:hAnsi="Arial" w:cs="Arial"/>
          <w:bCs/>
          <w:color w:val="000000"/>
          <w:sz w:val="18"/>
          <w:szCs w:val="18"/>
          <w:lang w:val="el-GR" w:eastAsia="en-US"/>
        </w:rPr>
      </w:pPr>
    </w:p>
    <w:p w14:paraId="73A5F409" w14:textId="77777777" w:rsidR="0056738E" w:rsidRPr="00A03828" w:rsidRDefault="0056738E" w:rsidP="0056738E">
      <w:pPr>
        <w:spacing w:after="0" w:line="240" w:lineRule="auto"/>
        <w:ind w:right="-85"/>
        <w:jc w:val="both"/>
        <w:rPr>
          <w:rFonts w:ascii="Arial" w:eastAsia="Times New Roman" w:hAnsi="Arial" w:cs="Arial"/>
          <w:bCs/>
          <w:color w:val="000000"/>
          <w:sz w:val="18"/>
          <w:szCs w:val="18"/>
          <w:lang w:val="el-GR" w:eastAsia="en-US"/>
        </w:rPr>
      </w:pPr>
      <w:r w:rsidRPr="00D60454">
        <w:rPr>
          <w:rFonts w:ascii="Arial" w:eastAsia="Times New Roman" w:hAnsi="Arial" w:cs="Arial"/>
          <w:bCs/>
          <w:color w:val="000000"/>
          <w:sz w:val="18"/>
          <w:szCs w:val="18"/>
          <w:lang w:val="el-GR" w:eastAsia="en-US"/>
        </w:rPr>
        <w:t xml:space="preserve">Οι διαφορές </w:t>
      </w:r>
      <w:proofErr w:type="spellStart"/>
      <w:r w:rsidRPr="00D60454">
        <w:rPr>
          <w:rFonts w:ascii="Arial" w:eastAsia="Times New Roman" w:hAnsi="Arial" w:cs="Arial"/>
          <w:bCs/>
          <w:color w:val="000000"/>
          <w:sz w:val="18"/>
          <w:szCs w:val="18"/>
          <w:lang w:val="el-GR" w:eastAsia="en-US"/>
        </w:rPr>
        <w:t>επανα</w:t>
      </w:r>
      <w:r>
        <w:rPr>
          <w:rFonts w:ascii="Arial" w:eastAsia="Times New Roman" w:hAnsi="Arial" w:cs="Arial"/>
          <w:bCs/>
          <w:color w:val="000000"/>
          <w:sz w:val="18"/>
          <w:szCs w:val="18"/>
          <w:lang w:val="el-GR" w:eastAsia="en-US"/>
        </w:rPr>
        <w:t>ταξινόμησης</w:t>
      </w:r>
      <w:proofErr w:type="spellEnd"/>
      <w:r w:rsidRPr="00D60454">
        <w:rPr>
          <w:rFonts w:ascii="Arial" w:eastAsia="Times New Roman" w:hAnsi="Arial" w:cs="Arial"/>
          <w:bCs/>
          <w:color w:val="000000"/>
          <w:sz w:val="18"/>
          <w:szCs w:val="18"/>
          <w:lang w:val="el-GR" w:eastAsia="en-US"/>
        </w:rPr>
        <w:t xml:space="preserve"> μεταξύ </w:t>
      </w:r>
      <w:r>
        <w:rPr>
          <w:rFonts w:ascii="Arial" w:eastAsia="Times New Roman" w:hAnsi="Arial" w:cs="Arial"/>
          <w:bCs/>
          <w:color w:val="000000"/>
          <w:sz w:val="18"/>
          <w:szCs w:val="18"/>
          <w:lang w:val="el-GR" w:eastAsia="en-US"/>
        </w:rPr>
        <w:t>της απαιτούμενης από τη νομοθεσία</w:t>
      </w:r>
      <w:r w:rsidRPr="00D60454">
        <w:rPr>
          <w:rFonts w:ascii="Arial" w:eastAsia="Times New Roman" w:hAnsi="Arial" w:cs="Arial"/>
          <w:bCs/>
          <w:color w:val="000000"/>
          <w:sz w:val="18"/>
          <w:szCs w:val="18"/>
          <w:lang w:val="el-GR" w:eastAsia="en-US"/>
        </w:rPr>
        <w:t xml:space="preserve"> βάσης </w:t>
      </w:r>
      <w:r>
        <w:rPr>
          <w:rFonts w:ascii="Arial" w:eastAsia="Times New Roman" w:hAnsi="Arial" w:cs="Arial"/>
          <w:bCs/>
          <w:color w:val="000000"/>
          <w:sz w:val="18"/>
          <w:szCs w:val="18"/>
          <w:lang w:val="el-GR" w:eastAsia="en-US"/>
        </w:rPr>
        <w:t xml:space="preserve">και </w:t>
      </w:r>
      <w:r w:rsidRPr="002F6CCF">
        <w:rPr>
          <w:rFonts w:ascii="Arial" w:eastAsia="Times New Roman" w:hAnsi="Arial" w:cs="Arial"/>
          <w:bCs/>
          <w:color w:val="000000"/>
          <w:sz w:val="18"/>
          <w:szCs w:val="18"/>
          <w:lang w:val="el-GR" w:eastAsia="en-US"/>
        </w:rPr>
        <w:t>της υποκείμενης βάσης</w:t>
      </w:r>
      <w:r>
        <w:rPr>
          <w:rFonts w:ascii="Arial" w:eastAsia="Times New Roman" w:hAnsi="Arial" w:cs="Arial"/>
          <w:bCs/>
          <w:color w:val="000000"/>
          <w:sz w:val="18"/>
          <w:szCs w:val="18"/>
          <w:lang w:val="el-GR" w:eastAsia="en-US"/>
        </w:rPr>
        <w:t xml:space="preserve"> επεξηγούνται</w:t>
      </w:r>
      <w:r w:rsidRPr="00D60454">
        <w:rPr>
          <w:rFonts w:ascii="Arial" w:eastAsia="Times New Roman" w:hAnsi="Arial" w:cs="Arial"/>
          <w:bCs/>
          <w:color w:val="000000"/>
          <w:sz w:val="18"/>
          <w:szCs w:val="18"/>
          <w:lang w:val="el-GR" w:eastAsia="en-US"/>
        </w:rPr>
        <w:t xml:space="preserve"> πιο κάτω:</w:t>
      </w:r>
    </w:p>
    <w:p w14:paraId="408FF754" w14:textId="77777777" w:rsidR="0056738E" w:rsidRPr="002676E8" w:rsidRDefault="0056738E" w:rsidP="0056738E">
      <w:pPr>
        <w:spacing w:after="0" w:line="240" w:lineRule="auto"/>
        <w:ind w:right="-85"/>
        <w:jc w:val="both"/>
        <w:rPr>
          <w:rFonts w:ascii="Arial" w:eastAsia="Times New Roman" w:hAnsi="Arial" w:cs="Arial"/>
          <w:bCs/>
          <w:color w:val="000000"/>
          <w:sz w:val="18"/>
          <w:szCs w:val="18"/>
          <w:lang w:val="el-GR" w:eastAsia="en-US"/>
        </w:rPr>
      </w:pPr>
    </w:p>
    <w:p w14:paraId="6E10274E" w14:textId="77777777" w:rsidR="0056738E" w:rsidRPr="00A03828" w:rsidRDefault="0056738E" w:rsidP="0056738E">
      <w:pPr>
        <w:numPr>
          <w:ilvl w:val="0"/>
          <w:numId w:val="14"/>
        </w:numPr>
        <w:spacing w:after="0" w:line="240" w:lineRule="auto"/>
        <w:contextualSpacing/>
        <w:jc w:val="both"/>
        <w:rPr>
          <w:rFonts w:ascii="Arial" w:hAnsi="Arial" w:cs="Arial"/>
          <w:sz w:val="18"/>
          <w:szCs w:val="18"/>
          <w:lang w:val="el-GR"/>
        </w:rPr>
      </w:pPr>
      <w:r>
        <w:rPr>
          <w:rFonts w:ascii="Arial" w:eastAsia="Times New Roman" w:hAnsi="Arial" w:cs="Arial"/>
          <w:sz w:val="18"/>
          <w:szCs w:val="18"/>
          <w:lang w:val="el-GR"/>
        </w:rPr>
        <w:t>Κ</w:t>
      </w:r>
      <w:r w:rsidRPr="00A03828">
        <w:rPr>
          <w:rFonts w:ascii="Arial" w:eastAsia="Times New Roman" w:hAnsi="Arial" w:cs="Arial"/>
          <w:sz w:val="18"/>
          <w:szCs w:val="18"/>
          <w:lang w:val="el-GR"/>
        </w:rPr>
        <w:t>αθαρά κέρδη από δάνεια και απαιτήσεις από πελάτες στην εύλογη αξία μέσω των αποτελεσμάτων</w:t>
      </w:r>
      <w:r w:rsidRPr="009902E6" w:rsidDel="00AC453C">
        <w:rPr>
          <w:rFonts w:ascii="Arial" w:eastAsia="Times New Roman" w:hAnsi="Arial" w:cs="Arial"/>
          <w:sz w:val="18"/>
          <w:szCs w:val="18"/>
          <w:lang w:val="el-GR"/>
        </w:rPr>
        <w:t xml:space="preserve"> </w:t>
      </w:r>
      <w:r w:rsidRPr="009902E6">
        <w:rPr>
          <w:rFonts w:ascii="Arial" w:eastAsia="Times New Roman" w:hAnsi="Arial" w:cs="Arial"/>
          <w:sz w:val="18"/>
          <w:szCs w:val="18"/>
          <w:lang w:val="el-GR"/>
        </w:rPr>
        <w:t xml:space="preserve">ύψους </w:t>
      </w:r>
      <w:r w:rsidRPr="009902E6">
        <w:rPr>
          <w:rFonts w:ascii="Arial" w:eastAsia="Times New Roman" w:hAnsi="Arial" w:cs="Arial"/>
          <w:bCs/>
          <w:color w:val="000000"/>
          <w:sz w:val="18"/>
          <w:szCs w:val="18"/>
          <w:lang w:val="el-GR" w:eastAsia="en-US"/>
        </w:rPr>
        <w:t xml:space="preserve">περίπου </w:t>
      </w:r>
      <w:r w:rsidRPr="00A03828">
        <w:rPr>
          <w:rFonts w:ascii="Arial" w:eastAsia="Times New Roman" w:hAnsi="Arial" w:cs="Arial"/>
          <w:bCs/>
          <w:color w:val="000000"/>
          <w:sz w:val="18"/>
          <w:szCs w:val="18"/>
          <w:lang w:val="el-GR" w:eastAsia="en-US"/>
        </w:rPr>
        <w:t xml:space="preserve">€1 </w:t>
      </w:r>
      <w:r w:rsidRPr="009902E6">
        <w:rPr>
          <w:rFonts w:ascii="Arial" w:eastAsia="Times New Roman" w:hAnsi="Arial" w:cs="Arial"/>
          <w:bCs/>
          <w:color w:val="000000"/>
          <w:sz w:val="18"/>
          <w:szCs w:val="18"/>
          <w:lang w:val="el-GR" w:eastAsia="en-US"/>
        </w:rPr>
        <w:t xml:space="preserve">εκατ. </w:t>
      </w:r>
      <w:r w:rsidRPr="009902E6">
        <w:rPr>
          <w:rFonts w:ascii="Arial" w:eastAsia="Times New Roman" w:hAnsi="Arial" w:cs="Arial"/>
          <w:sz w:val="18"/>
          <w:szCs w:val="18"/>
          <w:lang w:val="el-GR"/>
        </w:rPr>
        <w:t>περιλαμβάνονται στις ‘</w:t>
      </w:r>
      <w:r w:rsidRPr="009902E6">
        <w:rPr>
          <w:rFonts w:ascii="Arial" w:eastAsia="Times New Roman" w:hAnsi="Arial" w:cs="Arial"/>
          <w:i/>
          <w:iCs/>
          <w:sz w:val="18"/>
          <w:szCs w:val="18"/>
          <w:lang w:val="el-GR"/>
        </w:rPr>
        <w:t>Πιστωτικές ζημιές δανείων</w:t>
      </w:r>
      <w:r w:rsidRPr="009902E6">
        <w:rPr>
          <w:rFonts w:ascii="Arial" w:eastAsia="Times New Roman" w:hAnsi="Arial" w:cs="Arial"/>
          <w:sz w:val="18"/>
          <w:szCs w:val="18"/>
          <w:lang w:val="el-GR"/>
        </w:rPr>
        <w:t>’</w:t>
      </w:r>
      <w:r>
        <w:rPr>
          <w:rFonts w:ascii="Arial" w:eastAsia="Times New Roman" w:hAnsi="Arial" w:cs="Arial"/>
          <w:sz w:val="18"/>
          <w:szCs w:val="18"/>
          <w:lang w:val="el-GR"/>
        </w:rPr>
        <w:t xml:space="preserve"> που επιμετρούνται</w:t>
      </w:r>
      <w:r w:rsidRPr="00A03828">
        <w:rPr>
          <w:rFonts w:ascii="Arial" w:hAnsi="Arial" w:cs="Arial"/>
          <w:sz w:val="18"/>
          <w:szCs w:val="18"/>
          <w:lang w:val="el-GR"/>
        </w:rPr>
        <w:t xml:space="preserve"> </w:t>
      </w:r>
      <w:r w:rsidRPr="009902E6">
        <w:rPr>
          <w:rFonts w:ascii="Arial" w:eastAsia="Times New Roman" w:hAnsi="Arial" w:cs="Arial"/>
          <w:sz w:val="18"/>
          <w:szCs w:val="18"/>
          <w:lang w:val="el-GR"/>
        </w:rPr>
        <w:t>στην υποκείμενη βάση,</w:t>
      </w:r>
      <w:r>
        <w:rPr>
          <w:rFonts w:ascii="Arial" w:eastAsia="Times New Roman" w:hAnsi="Arial" w:cs="Arial"/>
          <w:sz w:val="18"/>
          <w:szCs w:val="18"/>
          <w:lang w:val="el-GR"/>
        </w:rPr>
        <w:t xml:space="preserve"> ενώ </w:t>
      </w:r>
      <w:r w:rsidRPr="00CF7D6B">
        <w:rPr>
          <w:rFonts w:ascii="Arial" w:eastAsia="Times New Roman" w:hAnsi="Arial" w:cs="Arial"/>
          <w:sz w:val="18"/>
          <w:szCs w:val="18"/>
          <w:lang w:val="el-GR"/>
        </w:rPr>
        <w:t>στην απαιτούμενη από τη νομοθεσία βάση</w:t>
      </w:r>
      <w:r>
        <w:rPr>
          <w:rFonts w:ascii="Arial" w:eastAsia="Times New Roman" w:hAnsi="Arial" w:cs="Arial"/>
          <w:sz w:val="18"/>
          <w:szCs w:val="18"/>
          <w:lang w:val="el-GR"/>
        </w:rPr>
        <w:t xml:space="preserve"> </w:t>
      </w:r>
      <w:r w:rsidRPr="009902E6">
        <w:rPr>
          <w:rFonts w:ascii="Arial" w:eastAsia="Times New Roman" w:hAnsi="Arial" w:cs="Arial"/>
          <w:sz w:val="18"/>
          <w:szCs w:val="18"/>
          <w:lang w:val="el-GR"/>
        </w:rPr>
        <w:t>περιλαμβάνονται</w:t>
      </w:r>
      <w:r>
        <w:rPr>
          <w:rFonts w:ascii="Arial" w:eastAsia="Times New Roman" w:hAnsi="Arial" w:cs="Arial"/>
          <w:sz w:val="18"/>
          <w:szCs w:val="18"/>
          <w:lang w:val="el-GR"/>
        </w:rPr>
        <w:t xml:space="preserve"> στα</w:t>
      </w:r>
      <w:r w:rsidRPr="009902E6">
        <w:rPr>
          <w:rFonts w:ascii="Arial" w:eastAsia="Times New Roman" w:hAnsi="Arial" w:cs="Arial"/>
          <w:i/>
          <w:iCs/>
          <w:sz w:val="18"/>
          <w:szCs w:val="18"/>
          <w:lang w:val="el-GR"/>
        </w:rPr>
        <w:t xml:space="preserve"> </w:t>
      </w:r>
      <w:r w:rsidRPr="00A03828">
        <w:rPr>
          <w:rFonts w:ascii="Arial" w:eastAsia="Times New Roman" w:hAnsi="Arial" w:cs="Arial"/>
          <w:i/>
          <w:iCs/>
          <w:sz w:val="18"/>
          <w:szCs w:val="18"/>
          <w:lang w:val="el-GR"/>
        </w:rPr>
        <w:t>‘</w:t>
      </w:r>
      <w:r w:rsidRPr="009902E6">
        <w:rPr>
          <w:rFonts w:ascii="Arial" w:eastAsia="Times New Roman" w:hAnsi="Arial" w:cs="Arial"/>
          <w:i/>
          <w:iCs/>
          <w:sz w:val="18"/>
          <w:szCs w:val="18"/>
          <w:lang w:val="el-GR"/>
        </w:rPr>
        <w:t xml:space="preserve">Καθαρά κέρδη από </w:t>
      </w:r>
      <w:r>
        <w:rPr>
          <w:rFonts w:ascii="Arial" w:eastAsia="Times New Roman" w:hAnsi="Arial" w:cs="Arial"/>
          <w:i/>
          <w:iCs/>
          <w:sz w:val="18"/>
          <w:szCs w:val="18"/>
          <w:lang w:val="el-GR"/>
        </w:rPr>
        <w:t>χρηματοοικονομικά μέσα</w:t>
      </w:r>
      <w:r w:rsidRPr="009902E6">
        <w:rPr>
          <w:rFonts w:ascii="Arial" w:eastAsia="Times New Roman" w:hAnsi="Arial" w:cs="Arial"/>
          <w:sz w:val="18"/>
          <w:szCs w:val="18"/>
          <w:lang w:val="el-GR"/>
        </w:rPr>
        <w:t>’</w:t>
      </w:r>
      <w:r>
        <w:rPr>
          <w:rFonts w:ascii="Arial" w:hAnsi="Arial" w:cs="Arial"/>
          <w:sz w:val="18"/>
          <w:szCs w:val="18"/>
          <w:lang w:val="el-GR"/>
        </w:rPr>
        <w:t>.</w:t>
      </w:r>
      <w:r w:rsidRPr="00A03828">
        <w:rPr>
          <w:lang w:val="el-GR"/>
        </w:rPr>
        <w:t xml:space="preserve"> </w:t>
      </w:r>
      <w:r w:rsidRPr="009902E6">
        <w:rPr>
          <w:rFonts w:ascii="Arial" w:hAnsi="Arial" w:cs="Arial"/>
          <w:sz w:val="18"/>
          <w:szCs w:val="18"/>
          <w:lang w:val="el-GR"/>
        </w:rPr>
        <w:t xml:space="preserve">Η ταξινόμησή τους στην υποκείμενη βάση </w:t>
      </w:r>
      <w:r>
        <w:rPr>
          <w:rFonts w:ascii="Arial" w:hAnsi="Arial" w:cs="Arial"/>
          <w:sz w:val="18"/>
          <w:szCs w:val="18"/>
          <w:lang w:val="el-GR"/>
        </w:rPr>
        <w:t>έχει γίνει ώστε να συνάδει</w:t>
      </w:r>
      <w:r w:rsidRPr="009902E6">
        <w:rPr>
          <w:rFonts w:ascii="Arial" w:hAnsi="Arial" w:cs="Arial"/>
          <w:sz w:val="18"/>
          <w:szCs w:val="18"/>
          <w:lang w:val="el-GR"/>
        </w:rPr>
        <w:t xml:space="preserve"> η παρουσίασή τους με τις πιστωτικές ζημίες </w:t>
      </w:r>
      <w:r>
        <w:rPr>
          <w:rFonts w:ascii="Arial" w:hAnsi="Arial" w:cs="Arial"/>
          <w:sz w:val="18"/>
          <w:szCs w:val="18"/>
          <w:lang w:val="el-GR"/>
        </w:rPr>
        <w:t xml:space="preserve">των </w:t>
      </w:r>
      <w:r w:rsidRPr="009902E6">
        <w:rPr>
          <w:rFonts w:ascii="Arial" w:hAnsi="Arial" w:cs="Arial"/>
          <w:sz w:val="18"/>
          <w:szCs w:val="18"/>
          <w:lang w:val="el-GR"/>
        </w:rPr>
        <w:t>δανείων και απαιτήσ</w:t>
      </w:r>
      <w:r>
        <w:rPr>
          <w:rFonts w:ascii="Arial" w:hAnsi="Arial" w:cs="Arial"/>
          <w:sz w:val="18"/>
          <w:szCs w:val="18"/>
          <w:lang w:val="el-GR"/>
        </w:rPr>
        <w:t>εων από πελάτες</w:t>
      </w:r>
      <w:r w:rsidRPr="009902E6">
        <w:rPr>
          <w:rFonts w:ascii="Arial" w:hAnsi="Arial" w:cs="Arial"/>
          <w:sz w:val="18"/>
          <w:szCs w:val="18"/>
          <w:lang w:val="el-GR"/>
        </w:rPr>
        <w:t xml:space="preserve"> σε αποσβεσμένο κόστος.</w:t>
      </w:r>
    </w:p>
    <w:p w14:paraId="7CC0DAB6" w14:textId="77777777" w:rsidR="0056738E" w:rsidRPr="00A03828" w:rsidRDefault="0056738E" w:rsidP="0056738E">
      <w:pPr>
        <w:spacing w:after="0" w:line="240" w:lineRule="auto"/>
        <w:ind w:left="720"/>
        <w:contextualSpacing/>
        <w:jc w:val="both"/>
        <w:rPr>
          <w:rFonts w:ascii="Arial" w:hAnsi="Arial" w:cs="Arial"/>
          <w:sz w:val="18"/>
          <w:szCs w:val="18"/>
          <w:lang w:val="el-GR"/>
        </w:rPr>
      </w:pPr>
    </w:p>
    <w:p w14:paraId="0D93703B" w14:textId="77777777" w:rsidR="0056738E" w:rsidRPr="00A03828" w:rsidRDefault="0056738E" w:rsidP="0056738E">
      <w:pPr>
        <w:numPr>
          <w:ilvl w:val="0"/>
          <w:numId w:val="25"/>
        </w:numPr>
        <w:tabs>
          <w:tab w:val="clear" w:pos="720"/>
          <w:tab w:val="left" w:pos="851"/>
        </w:tabs>
        <w:spacing w:after="0" w:line="240" w:lineRule="auto"/>
        <w:ind w:left="709" w:hanging="567"/>
        <w:jc w:val="both"/>
        <w:textAlignment w:val="baseline"/>
        <w:rPr>
          <w:rFonts w:ascii="Arial" w:eastAsia="Times New Roman" w:hAnsi="Arial" w:cs="Arial"/>
          <w:bCs/>
          <w:color w:val="000000"/>
          <w:sz w:val="18"/>
          <w:szCs w:val="18"/>
          <w:lang w:val="el-GR" w:eastAsia="en-US"/>
        </w:rPr>
      </w:pPr>
      <w:r w:rsidRPr="00A03828">
        <w:rPr>
          <w:rFonts w:ascii="Arial" w:eastAsia="Times New Roman" w:hAnsi="Arial" w:cs="Arial"/>
          <w:bCs/>
          <w:i/>
          <w:iCs/>
          <w:color w:val="000000"/>
          <w:sz w:val="18"/>
          <w:szCs w:val="18"/>
          <w:lang w:val="el-GR" w:eastAsia="en-US"/>
        </w:rPr>
        <w:t xml:space="preserve">‘Καθαρά κέρδη από </w:t>
      </w:r>
      <w:proofErr w:type="spellStart"/>
      <w:r w:rsidRPr="00A03828">
        <w:rPr>
          <w:rFonts w:ascii="Arial" w:eastAsia="Times New Roman" w:hAnsi="Arial" w:cs="Arial"/>
          <w:bCs/>
          <w:i/>
          <w:iCs/>
          <w:color w:val="000000"/>
          <w:sz w:val="18"/>
          <w:szCs w:val="18"/>
          <w:lang w:val="el-GR" w:eastAsia="en-US"/>
        </w:rPr>
        <w:t>αποαναγνώριση</w:t>
      </w:r>
      <w:proofErr w:type="spellEnd"/>
      <w:r w:rsidRPr="00A03828">
        <w:rPr>
          <w:rFonts w:ascii="Arial" w:eastAsia="Times New Roman" w:hAnsi="Arial" w:cs="Arial"/>
          <w:bCs/>
          <w:i/>
          <w:iCs/>
          <w:color w:val="000000"/>
          <w:sz w:val="18"/>
          <w:szCs w:val="18"/>
          <w:lang w:val="el-GR" w:eastAsia="en-US"/>
        </w:rPr>
        <w:t xml:space="preserve"> χρηματοοικονομικών περιουσιακών στοιχείων που επιμετρούνται σε αποσβεσμένο κόστος’ </w:t>
      </w:r>
      <w:r w:rsidRPr="00A03828">
        <w:rPr>
          <w:rFonts w:ascii="Arial" w:eastAsia="Times New Roman" w:hAnsi="Arial" w:cs="Arial"/>
          <w:bCs/>
          <w:color w:val="000000"/>
          <w:sz w:val="18"/>
          <w:szCs w:val="18"/>
          <w:lang w:val="el-GR" w:eastAsia="en-US"/>
        </w:rPr>
        <w:t xml:space="preserve">ύψους περίπου €0.5 εκατ. στην απαιτούμενη από τη νομοθεσία βάση </w:t>
      </w:r>
      <w:r>
        <w:rPr>
          <w:rFonts w:ascii="Arial" w:eastAsia="Times New Roman" w:hAnsi="Arial" w:cs="Arial"/>
          <w:bCs/>
          <w:color w:val="000000"/>
          <w:sz w:val="18"/>
          <w:szCs w:val="18"/>
          <w:lang w:val="el-GR" w:eastAsia="en-US"/>
        </w:rPr>
        <w:t>περιλαμβάνουν τα παρακάτω στοιχεία</w:t>
      </w:r>
      <w:r w:rsidRPr="00A03828" w:rsidDel="009902E6">
        <w:rPr>
          <w:rFonts w:ascii="Arial" w:eastAsia="Times New Roman" w:hAnsi="Arial" w:cs="Arial"/>
          <w:bCs/>
          <w:color w:val="000000"/>
          <w:sz w:val="18"/>
          <w:szCs w:val="18"/>
          <w:lang w:val="el-GR" w:eastAsia="en-US"/>
        </w:rPr>
        <w:t xml:space="preserve"> </w:t>
      </w:r>
      <w:r>
        <w:rPr>
          <w:rFonts w:ascii="Arial" w:eastAsia="Times New Roman" w:hAnsi="Arial" w:cs="Arial"/>
          <w:bCs/>
          <w:color w:val="000000"/>
          <w:sz w:val="18"/>
          <w:szCs w:val="18"/>
          <w:lang w:val="el-GR" w:eastAsia="en-US"/>
        </w:rPr>
        <w:t>τ</w:t>
      </w:r>
      <w:r w:rsidRPr="00280C73">
        <w:rPr>
          <w:rFonts w:ascii="Arial" w:eastAsia="Times New Roman" w:hAnsi="Arial" w:cs="Arial"/>
          <w:bCs/>
          <w:color w:val="000000"/>
          <w:sz w:val="18"/>
          <w:szCs w:val="18"/>
          <w:lang w:val="el-GR" w:eastAsia="en-US"/>
        </w:rPr>
        <w:t xml:space="preserve">α οποία </w:t>
      </w:r>
      <w:proofErr w:type="spellStart"/>
      <w:r w:rsidRPr="00B14961">
        <w:rPr>
          <w:rFonts w:ascii="Arial" w:eastAsia="Times New Roman" w:hAnsi="Arial" w:cs="Arial"/>
          <w:bCs/>
          <w:color w:val="000000"/>
          <w:sz w:val="18"/>
          <w:szCs w:val="18"/>
          <w:lang w:val="el-GR" w:eastAsia="en-US"/>
        </w:rPr>
        <w:t>επανακατηγοριοποι</w:t>
      </w:r>
      <w:r>
        <w:rPr>
          <w:rFonts w:ascii="Arial" w:eastAsia="Times New Roman" w:hAnsi="Arial" w:cs="Arial"/>
          <w:bCs/>
          <w:color w:val="000000"/>
          <w:sz w:val="18"/>
          <w:szCs w:val="18"/>
          <w:lang w:val="el-GR" w:eastAsia="en-US"/>
        </w:rPr>
        <w:t>ούνται</w:t>
      </w:r>
      <w:proofErr w:type="spellEnd"/>
      <w:r w:rsidRPr="00B14961">
        <w:rPr>
          <w:rFonts w:ascii="Arial" w:eastAsia="Times New Roman" w:hAnsi="Arial" w:cs="Arial"/>
          <w:bCs/>
          <w:color w:val="000000"/>
          <w:sz w:val="18"/>
          <w:szCs w:val="18"/>
          <w:lang w:val="el-GR" w:eastAsia="en-US"/>
        </w:rPr>
        <w:t xml:space="preserve"> </w:t>
      </w:r>
      <w:r w:rsidRPr="00280C73">
        <w:rPr>
          <w:rFonts w:ascii="Arial" w:eastAsia="Times New Roman" w:hAnsi="Arial" w:cs="Arial"/>
          <w:bCs/>
          <w:color w:val="000000"/>
          <w:sz w:val="18"/>
          <w:szCs w:val="18"/>
          <w:lang w:val="el-GR" w:eastAsia="en-US"/>
        </w:rPr>
        <w:t>αναλόγως στην υποκείμενη βάση ως εξής:</w:t>
      </w:r>
    </w:p>
    <w:p w14:paraId="6C454180" w14:textId="77777777" w:rsidR="0056738E" w:rsidRPr="00A03828" w:rsidRDefault="0056738E" w:rsidP="0056738E">
      <w:pPr>
        <w:pStyle w:val="ListParagraph"/>
        <w:numPr>
          <w:ilvl w:val="0"/>
          <w:numId w:val="26"/>
        </w:numPr>
        <w:tabs>
          <w:tab w:val="left" w:pos="720"/>
        </w:tabs>
        <w:jc w:val="both"/>
        <w:textAlignment w:val="baseline"/>
        <w:rPr>
          <w:rFonts w:ascii="Arial" w:hAnsi="Arial" w:cs="Arial"/>
          <w:bCs/>
          <w:color w:val="000000"/>
          <w:sz w:val="18"/>
          <w:szCs w:val="18"/>
          <w:lang w:val="el-GR" w:eastAsia="en-US"/>
        </w:rPr>
      </w:pPr>
      <w:r w:rsidRPr="00A03828">
        <w:rPr>
          <w:rFonts w:ascii="Arial" w:hAnsi="Arial" w:cs="Arial"/>
          <w:bCs/>
          <w:color w:val="000000"/>
          <w:sz w:val="18"/>
          <w:szCs w:val="18"/>
          <w:lang w:val="el-GR" w:eastAsia="en-US"/>
        </w:rPr>
        <w:t xml:space="preserve">€0.6 εκατ. καθαρά κέρδη από </w:t>
      </w:r>
      <w:proofErr w:type="spellStart"/>
      <w:r w:rsidRPr="00A03828">
        <w:rPr>
          <w:rFonts w:ascii="Arial" w:hAnsi="Arial" w:cs="Arial"/>
          <w:bCs/>
          <w:color w:val="000000"/>
          <w:sz w:val="18"/>
          <w:szCs w:val="18"/>
          <w:lang w:val="el-GR" w:eastAsia="en-US"/>
        </w:rPr>
        <w:t>αποαναγνώριση</w:t>
      </w:r>
      <w:proofErr w:type="spellEnd"/>
      <w:r w:rsidRPr="00A03828">
        <w:rPr>
          <w:rFonts w:ascii="Arial" w:hAnsi="Arial" w:cs="Arial"/>
          <w:bCs/>
          <w:color w:val="000000"/>
          <w:sz w:val="18"/>
          <w:szCs w:val="18"/>
          <w:lang w:val="el-GR" w:eastAsia="en-US"/>
        </w:rPr>
        <w:t xml:space="preserve"> δανείων και απαιτήσεων από πελάτες τα οποία περιλαμβάνονται στις ‘</w:t>
      </w:r>
      <w:r w:rsidRPr="00A03828">
        <w:rPr>
          <w:rFonts w:ascii="Arial" w:hAnsi="Arial" w:cs="Arial"/>
          <w:bCs/>
          <w:i/>
          <w:iCs/>
          <w:color w:val="000000"/>
          <w:sz w:val="18"/>
          <w:szCs w:val="18"/>
          <w:lang w:val="el-GR" w:eastAsia="en-US"/>
        </w:rPr>
        <w:t>Πιστωτικές ζημιές δανείων</w:t>
      </w:r>
      <w:r w:rsidRPr="00A03828">
        <w:rPr>
          <w:rFonts w:ascii="Arial" w:hAnsi="Arial" w:cs="Arial"/>
          <w:bCs/>
          <w:color w:val="000000"/>
          <w:sz w:val="18"/>
          <w:szCs w:val="18"/>
          <w:lang w:val="el-GR" w:eastAsia="en-US"/>
        </w:rPr>
        <w:t>’ στην υποκείμενη βάση για να συνάδει η παρουσίασή τους με τις πιστωτικές ζημιές των δανείων και απαιτήσεων από πελάτες</w:t>
      </w:r>
      <w:r w:rsidRPr="00B14961">
        <w:rPr>
          <w:rFonts w:ascii="Arial" w:hAnsi="Arial" w:cs="Arial"/>
          <w:bCs/>
          <w:color w:val="000000"/>
          <w:sz w:val="18"/>
          <w:szCs w:val="18"/>
          <w:lang w:val="el-GR" w:eastAsia="en-US"/>
        </w:rPr>
        <w:t>.</w:t>
      </w:r>
    </w:p>
    <w:p w14:paraId="37EEC2F0" w14:textId="77777777" w:rsidR="0056738E" w:rsidRPr="00A03828" w:rsidRDefault="0056738E" w:rsidP="0056738E">
      <w:pPr>
        <w:pStyle w:val="ListParagraph"/>
        <w:numPr>
          <w:ilvl w:val="0"/>
          <w:numId w:val="26"/>
        </w:numPr>
        <w:tabs>
          <w:tab w:val="left" w:pos="720"/>
        </w:tabs>
        <w:jc w:val="both"/>
        <w:textAlignment w:val="baseline"/>
        <w:rPr>
          <w:rFonts w:ascii="Arial" w:hAnsi="Arial" w:cs="Arial"/>
          <w:bCs/>
          <w:color w:val="000000"/>
          <w:sz w:val="18"/>
          <w:szCs w:val="18"/>
          <w:lang w:val="el-GR" w:eastAsia="en-US"/>
        </w:rPr>
      </w:pPr>
      <w:r w:rsidRPr="00A03828">
        <w:rPr>
          <w:rFonts w:ascii="Arial" w:hAnsi="Arial" w:cs="Arial"/>
          <w:bCs/>
          <w:color w:val="000000"/>
          <w:sz w:val="18"/>
          <w:szCs w:val="18"/>
          <w:lang w:val="el-GR" w:eastAsia="en-US"/>
        </w:rPr>
        <w:t xml:space="preserve">Καθαρές ζημιές από </w:t>
      </w:r>
      <w:proofErr w:type="spellStart"/>
      <w:r w:rsidRPr="00A03828">
        <w:rPr>
          <w:rFonts w:ascii="Arial" w:hAnsi="Arial" w:cs="Arial"/>
          <w:bCs/>
          <w:color w:val="000000"/>
          <w:sz w:val="18"/>
          <w:szCs w:val="18"/>
          <w:lang w:val="el-GR" w:eastAsia="en-US"/>
        </w:rPr>
        <w:t>αποαναγνώριση</w:t>
      </w:r>
      <w:proofErr w:type="spellEnd"/>
      <w:r w:rsidRPr="00A03828" w:rsidDel="00B14961">
        <w:rPr>
          <w:rFonts w:ascii="Arial" w:hAnsi="Arial" w:cs="Arial"/>
          <w:bCs/>
          <w:color w:val="000000"/>
          <w:sz w:val="18"/>
          <w:szCs w:val="18"/>
          <w:lang w:val="el-GR" w:eastAsia="en-US"/>
        </w:rPr>
        <w:t xml:space="preserve"> </w:t>
      </w:r>
      <w:r w:rsidRPr="00A03828">
        <w:rPr>
          <w:rFonts w:ascii="Arial" w:hAnsi="Arial" w:cs="Arial"/>
          <w:bCs/>
          <w:color w:val="000000"/>
          <w:sz w:val="18"/>
          <w:szCs w:val="18"/>
          <w:lang w:val="el-GR" w:eastAsia="en-US"/>
        </w:rPr>
        <w:t xml:space="preserve">ομολογιακών δανείων που </w:t>
      </w:r>
      <w:r w:rsidRPr="00B14961">
        <w:rPr>
          <w:rFonts w:ascii="Arial" w:hAnsi="Arial" w:cs="Arial"/>
          <w:bCs/>
          <w:color w:val="000000"/>
          <w:sz w:val="18"/>
          <w:szCs w:val="18"/>
          <w:lang w:val="el-GR" w:eastAsia="en-US"/>
        </w:rPr>
        <w:t>επιμετρούνται</w:t>
      </w:r>
      <w:r w:rsidRPr="00A03828">
        <w:rPr>
          <w:rFonts w:ascii="Arial" w:hAnsi="Arial" w:cs="Arial"/>
          <w:bCs/>
          <w:color w:val="000000"/>
          <w:sz w:val="18"/>
          <w:szCs w:val="18"/>
          <w:lang w:val="el-GR" w:eastAsia="en-US"/>
        </w:rPr>
        <w:t xml:space="preserve"> σε αποσβεσμένο κόστος</w:t>
      </w:r>
      <w:r w:rsidRPr="00B14961">
        <w:rPr>
          <w:rFonts w:ascii="Arial" w:hAnsi="Arial" w:cs="Arial"/>
          <w:bCs/>
          <w:color w:val="000000"/>
          <w:sz w:val="18"/>
          <w:szCs w:val="18"/>
          <w:lang w:val="el-GR" w:eastAsia="en-US"/>
        </w:rPr>
        <w:t xml:space="preserve"> </w:t>
      </w:r>
      <w:r>
        <w:rPr>
          <w:rFonts w:ascii="Arial" w:hAnsi="Arial" w:cs="Arial"/>
          <w:bCs/>
          <w:color w:val="000000"/>
          <w:sz w:val="18"/>
          <w:szCs w:val="18"/>
          <w:lang w:val="el-GR" w:eastAsia="en-US"/>
        </w:rPr>
        <w:t xml:space="preserve">ύψους </w:t>
      </w:r>
      <w:r w:rsidRPr="00A03828">
        <w:rPr>
          <w:rFonts w:ascii="Arial" w:hAnsi="Arial" w:cs="Arial"/>
          <w:bCs/>
          <w:color w:val="000000"/>
          <w:sz w:val="18"/>
          <w:szCs w:val="18"/>
          <w:lang w:val="el-GR" w:eastAsia="en-US"/>
        </w:rPr>
        <w:t xml:space="preserve">περίπου €0.1 </w:t>
      </w:r>
      <w:r w:rsidRPr="00B14961">
        <w:rPr>
          <w:rFonts w:ascii="Arial" w:hAnsi="Arial" w:cs="Arial"/>
          <w:bCs/>
          <w:color w:val="000000"/>
          <w:sz w:val="18"/>
          <w:szCs w:val="18"/>
          <w:lang w:val="el-GR" w:eastAsia="en-US"/>
        </w:rPr>
        <w:t>εκατ.</w:t>
      </w:r>
      <w:r>
        <w:rPr>
          <w:rFonts w:ascii="Arial" w:hAnsi="Arial" w:cs="Arial"/>
          <w:bCs/>
          <w:color w:val="000000"/>
          <w:sz w:val="18"/>
          <w:szCs w:val="18"/>
          <w:lang w:val="el-GR" w:eastAsia="en-US"/>
        </w:rPr>
        <w:t xml:space="preserve"> περιλαμβάνονται</w:t>
      </w:r>
      <w:r w:rsidRPr="00B14961">
        <w:rPr>
          <w:rFonts w:ascii="Arial" w:hAnsi="Arial" w:cs="Arial"/>
          <w:bCs/>
          <w:color w:val="000000"/>
          <w:sz w:val="18"/>
          <w:szCs w:val="18"/>
          <w:lang w:val="el-GR" w:eastAsia="en-US"/>
        </w:rPr>
        <w:t xml:space="preserve"> </w:t>
      </w:r>
      <w:r w:rsidRPr="00A03828">
        <w:rPr>
          <w:rFonts w:ascii="Arial" w:hAnsi="Arial" w:cs="Arial"/>
          <w:bCs/>
          <w:i/>
          <w:iCs/>
          <w:color w:val="000000"/>
          <w:sz w:val="18"/>
          <w:szCs w:val="18"/>
          <w:lang w:val="el-GR" w:eastAsia="en-US"/>
        </w:rPr>
        <w:t>στα ‘</w:t>
      </w:r>
      <w:r w:rsidRPr="00B14961">
        <w:rPr>
          <w:rFonts w:ascii="Arial" w:hAnsi="Arial" w:cs="Arial"/>
          <w:bCs/>
          <w:i/>
          <w:iCs/>
          <w:color w:val="000000"/>
          <w:sz w:val="18"/>
          <w:szCs w:val="18"/>
          <w:lang w:val="el-GR" w:eastAsia="en-US"/>
        </w:rPr>
        <w:t>Κ</w:t>
      </w:r>
      <w:r w:rsidRPr="00A03828">
        <w:rPr>
          <w:rFonts w:ascii="Arial" w:hAnsi="Arial" w:cs="Arial"/>
          <w:bCs/>
          <w:i/>
          <w:iCs/>
          <w:color w:val="000000"/>
          <w:sz w:val="18"/>
          <w:szCs w:val="18"/>
          <w:lang w:val="el-GR" w:eastAsia="en-US"/>
        </w:rPr>
        <w:t>αθαρά κέρδη από διαπραγμάτευση συναλλάγματος και καθαρά κέρδη από χρηματοοικονομικά μέσα</w:t>
      </w:r>
      <w:r w:rsidRPr="00B14961">
        <w:rPr>
          <w:rFonts w:ascii="Arial" w:hAnsi="Arial" w:cs="Arial"/>
          <w:bCs/>
          <w:i/>
          <w:iCs/>
          <w:color w:val="000000"/>
          <w:sz w:val="18"/>
          <w:szCs w:val="18"/>
          <w:lang w:val="el-GR" w:eastAsia="en-US"/>
        </w:rPr>
        <w:t xml:space="preserve">’ </w:t>
      </w:r>
      <w:r w:rsidRPr="00A03828">
        <w:rPr>
          <w:rFonts w:ascii="Arial" w:hAnsi="Arial" w:cs="Arial"/>
          <w:bCs/>
          <w:color w:val="000000"/>
          <w:sz w:val="18"/>
          <w:szCs w:val="18"/>
          <w:lang w:val="el-GR" w:eastAsia="en-US"/>
        </w:rPr>
        <w:t>στην υποκείμενη βάση για να ευθυγραμμιστεί η παρουσίασή τους με τ</w:t>
      </w:r>
      <w:r>
        <w:rPr>
          <w:rFonts w:ascii="Arial" w:hAnsi="Arial" w:cs="Arial"/>
          <w:bCs/>
          <w:color w:val="000000"/>
          <w:sz w:val="18"/>
          <w:szCs w:val="18"/>
          <w:lang w:val="el-GR" w:eastAsia="en-US"/>
        </w:rPr>
        <w:t>α</w:t>
      </w:r>
      <w:r>
        <w:rPr>
          <w:rFonts w:asciiTheme="minorHAnsi" w:eastAsiaTheme="minorEastAsia" w:hAnsiTheme="minorHAnsi" w:cstheme="minorBidi"/>
          <w:sz w:val="22"/>
          <w:szCs w:val="22"/>
          <w:lang w:val="el-GR"/>
        </w:rPr>
        <w:t xml:space="preserve"> </w:t>
      </w:r>
      <w:r w:rsidRPr="00A03828">
        <w:rPr>
          <w:rFonts w:ascii="Arial" w:hAnsi="Arial" w:cs="Arial"/>
          <w:bCs/>
          <w:color w:val="000000"/>
          <w:sz w:val="18"/>
          <w:szCs w:val="18"/>
          <w:lang w:val="el-GR" w:eastAsia="en-US"/>
        </w:rPr>
        <w:t>καθαρά κέρδη από χρηματοοικονομικά μέσα.</w:t>
      </w:r>
    </w:p>
    <w:p w14:paraId="5DB93958" w14:textId="77777777" w:rsidR="0056738E" w:rsidRPr="00B14961" w:rsidRDefault="0056738E" w:rsidP="0056738E">
      <w:pPr>
        <w:pStyle w:val="ListParagraph"/>
        <w:rPr>
          <w:rFonts w:ascii="Arial" w:hAnsi="Arial" w:cs="Arial"/>
          <w:sz w:val="18"/>
          <w:szCs w:val="18"/>
          <w:lang w:val="el-GR"/>
        </w:rPr>
      </w:pPr>
    </w:p>
    <w:p w14:paraId="25D9BBBD" w14:textId="77777777" w:rsidR="0056738E" w:rsidRPr="00F54072" w:rsidRDefault="0056738E" w:rsidP="0056738E">
      <w:pPr>
        <w:numPr>
          <w:ilvl w:val="0"/>
          <w:numId w:val="14"/>
        </w:numPr>
        <w:spacing w:after="0" w:line="240" w:lineRule="auto"/>
        <w:contextualSpacing/>
        <w:jc w:val="both"/>
        <w:rPr>
          <w:rFonts w:ascii="Arial" w:eastAsia="Times New Roman" w:hAnsi="Arial" w:cs="Arial"/>
          <w:sz w:val="18"/>
          <w:szCs w:val="18"/>
          <w:lang w:val="el-GR"/>
        </w:rPr>
      </w:pPr>
      <w:r w:rsidRPr="00F54072">
        <w:rPr>
          <w:rFonts w:ascii="Arial" w:eastAsia="Times New Roman" w:hAnsi="Arial" w:cs="Arial"/>
          <w:sz w:val="18"/>
          <w:szCs w:val="18"/>
          <w:lang w:val="el-GR"/>
        </w:rPr>
        <w:t>‘</w:t>
      </w:r>
      <w:r w:rsidRPr="00A03828">
        <w:rPr>
          <w:rFonts w:ascii="Arial" w:eastAsia="Times New Roman" w:hAnsi="Arial" w:cs="Arial"/>
          <w:i/>
          <w:iCs/>
          <w:sz w:val="18"/>
          <w:szCs w:val="18"/>
          <w:lang w:val="el-GR"/>
        </w:rPr>
        <w:t>Προβλέψεις για επιδικίες, υπό διαιτησία διαφορές, κανονιστικά και άλλα θέματα</w:t>
      </w:r>
      <w:r w:rsidRPr="00F54072">
        <w:rPr>
          <w:rFonts w:ascii="Arial" w:eastAsia="Times New Roman" w:hAnsi="Arial" w:cs="Arial"/>
          <w:sz w:val="18"/>
          <w:szCs w:val="18"/>
          <w:lang w:val="el-GR"/>
        </w:rPr>
        <w:t xml:space="preserve"> </w:t>
      </w:r>
      <w:r w:rsidRPr="00A03828">
        <w:rPr>
          <w:rFonts w:ascii="Arial" w:eastAsia="Times New Roman" w:hAnsi="Arial" w:cs="Arial"/>
          <w:i/>
          <w:iCs/>
          <w:sz w:val="18"/>
          <w:szCs w:val="18"/>
          <w:lang w:val="el-GR"/>
        </w:rPr>
        <w:t>(μετά από αναστροφές</w:t>
      </w:r>
      <w:r w:rsidRPr="00F54072">
        <w:rPr>
          <w:rFonts w:ascii="Arial" w:eastAsia="Times New Roman" w:hAnsi="Arial" w:cs="Arial"/>
          <w:sz w:val="18"/>
          <w:szCs w:val="18"/>
          <w:lang w:val="el-GR"/>
        </w:rPr>
        <w:t xml:space="preserve">)’ </w:t>
      </w:r>
      <w:r>
        <w:rPr>
          <w:rFonts w:ascii="Arial" w:eastAsia="Times New Roman" w:hAnsi="Arial" w:cs="Arial"/>
          <w:sz w:val="18"/>
          <w:szCs w:val="18"/>
          <w:lang w:val="el-GR"/>
        </w:rPr>
        <w:t xml:space="preserve">που </w:t>
      </w:r>
      <w:r w:rsidRPr="00F54072">
        <w:rPr>
          <w:rFonts w:ascii="Arial" w:eastAsia="Times New Roman" w:hAnsi="Arial" w:cs="Arial"/>
          <w:sz w:val="18"/>
          <w:szCs w:val="18"/>
          <w:lang w:val="el-GR"/>
        </w:rPr>
        <w:t xml:space="preserve">ανέρχονται </w:t>
      </w:r>
      <w:r w:rsidRPr="00A03828">
        <w:rPr>
          <w:rFonts w:ascii="Arial" w:eastAsia="Times New Roman" w:hAnsi="Arial" w:cs="Arial"/>
          <w:sz w:val="18"/>
          <w:szCs w:val="18"/>
          <w:lang w:val="el-GR"/>
        </w:rPr>
        <w:t>σε</w:t>
      </w:r>
      <w:r w:rsidRPr="00F54072">
        <w:rPr>
          <w:rFonts w:ascii="Arial" w:eastAsia="Times New Roman" w:hAnsi="Arial" w:cs="Arial"/>
          <w:sz w:val="18"/>
          <w:szCs w:val="18"/>
          <w:lang w:val="el-GR"/>
        </w:rPr>
        <w:t xml:space="preserve"> πίστωση ύψους </w:t>
      </w:r>
      <w:r w:rsidRPr="00A03828">
        <w:rPr>
          <w:rFonts w:ascii="Arial" w:eastAsia="Times New Roman" w:hAnsi="Arial" w:cs="Arial"/>
          <w:sz w:val="18"/>
          <w:szCs w:val="18"/>
          <w:lang w:val="el-GR"/>
        </w:rPr>
        <w:t>€1 εκατ</w:t>
      </w:r>
      <w:r w:rsidRPr="00F54072">
        <w:rPr>
          <w:rFonts w:ascii="Arial" w:eastAsia="Times New Roman" w:hAnsi="Arial" w:cs="Arial"/>
          <w:sz w:val="18"/>
          <w:szCs w:val="18"/>
          <w:lang w:val="el-GR"/>
        </w:rPr>
        <w:t>. και παρουσιάζονται στα ‘</w:t>
      </w:r>
      <w:r w:rsidRPr="00F54072">
        <w:rPr>
          <w:rFonts w:ascii="Arial" w:eastAsia="Times New Roman" w:hAnsi="Arial" w:cs="Arial"/>
          <w:i/>
          <w:iCs/>
          <w:sz w:val="18"/>
          <w:szCs w:val="18"/>
          <w:lang w:val="el-GR"/>
        </w:rPr>
        <w:t xml:space="preserve">Λειτουργικά κέρδη πριν από πιστωτικές ζημιές και </w:t>
      </w:r>
      <w:proofErr w:type="spellStart"/>
      <w:r w:rsidRPr="00F54072">
        <w:rPr>
          <w:rFonts w:ascii="Arial" w:eastAsia="Times New Roman" w:hAnsi="Arial" w:cs="Arial"/>
          <w:i/>
          <w:iCs/>
          <w:sz w:val="18"/>
          <w:szCs w:val="18"/>
          <w:lang w:val="el-GR"/>
        </w:rPr>
        <w:t>απομείωση</w:t>
      </w:r>
      <w:proofErr w:type="spellEnd"/>
      <w:r w:rsidRPr="00F54072">
        <w:rPr>
          <w:rFonts w:ascii="Arial" w:eastAsia="Times New Roman" w:hAnsi="Arial" w:cs="Arial"/>
          <w:sz w:val="18"/>
          <w:szCs w:val="18"/>
          <w:lang w:val="el-GR"/>
        </w:rPr>
        <w:t xml:space="preserve">' στην απαιτούμενη από τη νομοθεσία βάση, στην υποκείμενη βάση παρουσιάζονται σε συνδυασμό με τις πιστωτικές ζημιές δανείων και τις </w:t>
      </w:r>
      <w:proofErr w:type="spellStart"/>
      <w:r w:rsidRPr="00F54072">
        <w:rPr>
          <w:rFonts w:ascii="Arial" w:eastAsia="Times New Roman" w:hAnsi="Arial" w:cs="Arial"/>
          <w:sz w:val="18"/>
          <w:szCs w:val="18"/>
          <w:lang w:val="el-GR"/>
        </w:rPr>
        <w:t>απομειώσεις</w:t>
      </w:r>
      <w:proofErr w:type="spellEnd"/>
      <w:r w:rsidRPr="00F54072">
        <w:rPr>
          <w:rFonts w:ascii="Arial" w:eastAsia="Times New Roman" w:hAnsi="Arial" w:cs="Arial"/>
          <w:sz w:val="18"/>
          <w:szCs w:val="18"/>
          <w:lang w:val="el-GR"/>
        </w:rPr>
        <w:t>.</w:t>
      </w:r>
      <w:r w:rsidRPr="00F54072">
        <w:rPr>
          <w:rFonts w:ascii="Arial" w:eastAsia="Times New Roman" w:hAnsi="Arial" w:cs="Arial"/>
          <w:sz w:val="18"/>
          <w:szCs w:val="18"/>
          <w:lang w:val="el-GR"/>
        </w:rPr>
        <w:br w:type="page"/>
      </w:r>
    </w:p>
    <w:p w14:paraId="2D04022D" w14:textId="77777777" w:rsidR="0056738E" w:rsidRPr="00C30CF6" w:rsidRDefault="0056738E" w:rsidP="0056738E">
      <w:pPr>
        <w:spacing w:after="0" w:line="360" w:lineRule="auto"/>
        <w:ind w:left="851" w:hanging="851"/>
        <w:rPr>
          <w:rFonts w:ascii="Arial" w:hAnsi="Arial" w:cs="Arial"/>
          <w:b/>
          <w:color w:val="FF9900"/>
          <w:lang w:val="el-GR"/>
        </w:rPr>
      </w:pPr>
      <w:r>
        <w:rPr>
          <w:rFonts w:ascii="Arial" w:hAnsi="Arial" w:cs="Arial"/>
          <w:b/>
          <w:color w:val="FF9900"/>
          <w:szCs w:val="16"/>
          <w:lang w:val="el-GR"/>
        </w:rPr>
        <w:lastRenderedPageBreak/>
        <w:t>ΣΤ</w:t>
      </w:r>
      <w:r w:rsidRPr="00C30CF6">
        <w:rPr>
          <w:rFonts w:ascii="Arial" w:hAnsi="Arial" w:cs="Arial"/>
          <w:b/>
          <w:color w:val="FF9900"/>
          <w:szCs w:val="16"/>
          <w:lang w:val="el-GR"/>
        </w:rPr>
        <w:t xml:space="preserve">. </w:t>
      </w:r>
      <w:r w:rsidRPr="001E3958">
        <w:rPr>
          <w:rFonts w:ascii="Arial" w:hAnsi="Arial" w:cs="Arial"/>
          <w:b/>
          <w:color w:val="FF9900"/>
          <w:szCs w:val="16"/>
          <w:lang w:val="el-GR"/>
        </w:rPr>
        <w:tab/>
      </w:r>
      <w:r>
        <w:rPr>
          <w:rFonts w:ascii="Arial" w:hAnsi="Arial" w:cs="Arial"/>
          <w:b/>
          <w:color w:val="FF9900"/>
          <w:lang w:val="el-GR"/>
        </w:rPr>
        <w:t xml:space="preserve">Σημειώσεις </w:t>
      </w:r>
      <w:r w:rsidRPr="00DE031F">
        <w:rPr>
          <w:rFonts w:ascii="Arial" w:hAnsi="Arial" w:cs="Arial"/>
          <w:color w:val="FF9900"/>
          <w:lang w:val="el-GR"/>
        </w:rPr>
        <w:t>(συνέχεια)</w:t>
      </w:r>
    </w:p>
    <w:p w14:paraId="0DD43AE3" w14:textId="77777777" w:rsidR="0056738E" w:rsidRPr="00B24ADA" w:rsidRDefault="0056738E" w:rsidP="0056738E">
      <w:pPr>
        <w:spacing w:after="120" w:line="240" w:lineRule="auto"/>
        <w:ind w:left="851" w:hanging="851"/>
        <w:jc w:val="both"/>
        <w:rPr>
          <w:rFonts w:ascii="Arial" w:hAnsi="Arial" w:cs="Arial"/>
          <w:b/>
          <w:color w:val="FF9900"/>
          <w:lang w:val="el-GR"/>
        </w:rPr>
      </w:pPr>
      <w:r>
        <w:rPr>
          <w:rFonts w:ascii="Arial" w:hAnsi="Arial" w:cs="Arial"/>
          <w:b/>
          <w:color w:val="FF9900"/>
          <w:lang w:val="el-GR"/>
        </w:rPr>
        <w:t>ΣΤ</w:t>
      </w:r>
      <w:r w:rsidRPr="00C30CF6">
        <w:rPr>
          <w:rFonts w:ascii="Arial" w:hAnsi="Arial" w:cs="Arial"/>
          <w:b/>
          <w:color w:val="FF9900"/>
          <w:lang w:val="el-GR"/>
        </w:rPr>
        <w:t xml:space="preserve">.1 </w:t>
      </w:r>
      <w:r w:rsidRPr="00D066DE">
        <w:rPr>
          <w:rFonts w:ascii="Arial" w:hAnsi="Arial" w:cs="Arial"/>
          <w:b/>
          <w:color w:val="FF9900"/>
          <w:lang w:val="el-GR"/>
        </w:rPr>
        <w:tab/>
      </w:r>
      <w:r w:rsidRPr="00C30CF6">
        <w:rPr>
          <w:rFonts w:ascii="Arial" w:hAnsi="Arial" w:cs="Arial"/>
          <w:b/>
          <w:color w:val="FF9900"/>
          <w:lang w:val="el-GR"/>
        </w:rPr>
        <w:t xml:space="preserve">Συμφιλίωση της </w:t>
      </w:r>
      <w:r>
        <w:rPr>
          <w:rFonts w:ascii="Arial" w:hAnsi="Arial" w:cs="Arial"/>
          <w:b/>
          <w:color w:val="FF9900"/>
          <w:lang w:val="el-GR"/>
        </w:rPr>
        <w:t>Ενδιάμεσης Ενοποιημένης Κ</w:t>
      </w:r>
      <w:r w:rsidRPr="00C30CF6">
        <w:rPr>
          <w:rFonts w:ascii="Arial" w:hAnsi="Arial" w:cs="Arial"/>
          <w:b/>
          <w:color w:val="FF9900"/>
          <w:lang w:val="el-GR"/>
        </w:rPr>
        <w:t xml:space="preserve">ατάστασης </w:t>
      </w:r>
      <w:r>
        <w:rPr>
          <w:rFonts w:ascii="Arial" w:hAnsi="Arial" w:cs="Arial"/>
          <w:b/>
          <w:color w:val="FF9900"/>
          <w:lang w:val="el-GR"/>
        </w:rPr>
        <w:t>Λ</w:t>
      </w:r>
      <w:r w:rsidRPr="00C30CF6">
        <w:rPr>
          <w:rFonts w:ascii="Arial" w:hAnsi="Arial" w:cs="Arial"/>
          <w:b/>
          <w:color w:val="FF9900"/>
          <w:lang w:val="el-GR"/>
        </w:rPr>
        <w:t xml:space="preserve">ογαριασμού </w:t>
      </w:r>
      <w:r>
        <w:rPr>
          <w:rFonts w:ascii="Arial" w:hAnsi="Arial" w:cs="Arial"/>
          <w:b/>
          <w:color w:val="FF9900"/>
          <w:lang w:val="el-GR"/>
        </w:rPr>
        <w:t>Α</w:t>
      </w:r>
      <w:r w:rsidRPr="00C30CF6">
        <w:rPr>
          <w:rFonts w:ascii="Arial" w:hAnsi="Arial" w:cs="Arial"/>
          <w:b/>
          <w:color w:val="FF9900"/>
          <w:lang w:val="el-GR"/>
        </w:rPr>
        <w:t>ποτελεσμά</w:t>
      </w:r>
      <w:r>
        <w:rPr>
          <w:rFonts w:ascii="Arial" w:hAnsi="Arial" w:cs="Arial"/>
          <w:b/>
          <w:color w:val="FF9900"/>
          <w:lang w:val="el-GR"/>
        </w:rPr>
        <w:t>των για το εννεάμηνο που έληξε στις 30 Σεπτεμβρίου 2024 μεταξύ της απαιτούμενης από</w:t>
      </w:r>
      <w:r w:rsidRPr="00366709">
        <w:rPr>
          <w:rFonts w:ascii="Arial" w:hAnsi="Arial" w:cs="Arial"/>
          <w:b/>
          <w:color w:val="FF9900"/>
          <w:lang w:val="el-GR"/>
        </w:rPr>
        <w:t xml:space="preserve"> </w:t>
      </w:r>
      <w:r w:rsidRPr="00C30CF6">
        <w:rPr>
          <w:rFonts w:ascii="Arial" w:hAnsi="Arial" w:cs="Arial"/>
          <w:b/>
          <w:color w:val="FF9900"/>
          <w:lang w:val="el-GR"/>
        </w:rPr>
        <w:t>τη νομοθεσία βάσης και της υποκείμενης βάσης</w:t>
      </w:r>
      <w:r w:rsidRPr="00A03828">
        <w:rPr>
          <w:rFonts w:ascii="Arial" w:hAnsi="Arial" w:cs="Arial"/>
          <w:b/>
          <w:color w:val="FF9900"/>
          <w:lang w:val="el-GR"/>
        </w:rPr>
        <w:t xml:space="preserve"> </w:t>
      </w:r>
      <w:r w:rsidRPr="00DE031F">
        <w:rPr>
          <w:rFonts w:ascii="Arial" w:hAnsi="Arial" w:cs="Arial"/>
          <w:color w:val="FF9900"/>
          <w:lang w:val="el-GR"/>
        </w:rPr>
        <w:t>(συνέχεια)</w:t>
      </w:r>
    </w:p>
    <w:p w14:paraId="21E3D555" w14:textId="77777777" w:rsidR="0056738E" w:rsidRPr="001173F8" w:rsidRDefault="0056738E" w:rsidP="0056738E">
      <w:pPr>
        <w:numPr>
          <w:ilvl w:val="0"/>
          <w:numId w:val="14"/>
        </w:numPr>
        <w:spacing w:after="0" w:line="240" w:lineRule="auto"/>
        <w:contextualSpacing/>
        <w:jc w:val="both"/>
        <w:rPr>
          <w:rFonts w:ascii="Arial" w:eastAsia="Times New Roman" w:hAnsi="Arial" w:cs="Arial"/>
          <w:sz w:val="18"/>
          <w:szCs w:val="18"/>
          <w:lang w:val="el-GR"/>
        </w:rPr>
      </w:pPr>
      <w:r>
        <w:rPr>
          <w:rFonts w:ascii="Arial" w:eastAsia="Times New Roman" w:hAnsi="Arial" w:cs="Arial"/>
          <w:sz w:val="18"/>
          <w:szCs w:val="18"/>
          <w:lang w:val="el-GR"/>
        </w:rPr>
        <w:t>Οι ‘</w:t>
      </w:r>
      <w:r w:rsidRPr="00041815">
        <w:rPr>
          <w:rFonts w:ascii="Arial" w:eastAsia="Times New Roman" w:hAnsi="Arial" w:cs="Arial"/>
          <w:i/>
          <w:iCs/>
          <w:sz w:val="18"/>
          <w:szCs w:val="18"/>
          <w:lang w:val="el-GR"/>
        </w:rPr>
        <w:t>Πιστωτικές ζημιές χρηματοοικονομικών περιουσιακών στοιχείων</w:t>
      </w:r>
      <w:r>
        <w:rPr>
          <w:rFonts w:ascii="Arial" w:eastAsia="Times New Roman" w:hAnsi="Arial" w:cs="Arial"/>
          <w:sz w:val="18"/>
          <w:szCs w:val="18"/>
          <w:lang w:val="el-GR"/>
        </w:rPr>
        <w:t>’ και η ‘</w:t>
      </w:r>
      <w:proofErr w:type="spellStart"/>
      <w:r w:rsidRPr="00041815">
        <w:rPr>
          <w:rFonts w:ascii="Arial" w:eastAsia="Times New Roman" w:hAnsi="Arial" w:cs="Arial"/>
          <w:i/>
          <w:iCs/>
          <w:sz w:val="18"/>
          <w:szCs w:val="18"/>
          <w:lang w:val="el-GR"/>
        </w:rPr>
        <w:t>Απομείωση</w:t>
      </w:r>
      <w:proofErr w:type="spellEnd"/>
      <w:r w:rsidRPr="00041815">
        <w:rPr>
          <w:rFonts w:ascii="Arial" w:eastAsia="Times New Roman" w:hAnsi="Arial" w:cs="Arial"/>
          <w:i/>
          <w:iCs/>
          <w:sz w:val="18"/>
          <w:szCs w:val="18"/>
          <w:lang w:val="el-GR"/>
        </w:rPr>
        <w:t xml:space="preserve"> μετά την αναστροφή μη</w:t>
      </w:r>
      <w:r>
        <w:rPr>
          <w:rFonts w:ascii="Arial" w:eastAsia="Times New Roman" w:hAnsi="Arial" w:cs="Arial"/>
          <w:i/>
          <w:iCs/>
          <w:sz w:val="18"/>
          <w:szCs w:val="18"/>
          <w:lang w:val="el-GR"/>
        </w:rPr>
        <w:t>-</w:t>
      </w:r>
      <w:r w:rsidRPr="00041815">
        <w:rPr>
          <w:rFonts w:ascii="Arial" w:eastAsia="Times New Roman" w:hAnsi="Arial" w:cs="Arial"/>
          <w:i/>
          <w:iCs/>
          <w:sz w:val="18"/>
          <w:szCs w:val="18"/>
          <w:lang w:val="el-GR"/>
        </w:rPr>
        <w:t xml:space="preserve"> χρηματοοικονομικών περιουσιακών στοιχείων</w:t>
      </w:r>
      <w:r>
        <w:rPr>
          <w:rFonts w:ascii="Arial" w:eastAsia="Times New Roman" w:hAnsi="Arial" w:cs="Arial"/>
          <w:sz w:val="18"/>
          <w:szCs w:val="18"/>
          <w:lang w:val="el-GR"/>
        </w:rPr>
        <w:t>’ στην απαιτούμενη από τη νομοθεσία βάση περιλαμβάνουν</w:t>
      </w:r>
      <w:r w:rsidRPr="00C42B7D">
        <w:rPr>
          <w:rFonts w:ascii="Arial" w:eastAsia="Times New Roman" w:hAnsi="Arial" w:cs="Arial"/>
          <w:sz w:val="18"/>
          <w:szCs w:val="18"/>
          <w:lang w:val="el-GR"/>
        </w:rPr>
        <w:t xml:space="preserve">: </w:t>
      </w:r>
      <w:r>
        <w:rPr>
          <w:rFonts w:ascii="Arial" w:eastAsia="Times New Roman" w:hAnsi="Arial" w:cs="Arial"/>
          <w:sz w:val="18"/>
          <w:szCs w:val="18"/>
          <w:lang w:val="en-US"/>
        </w:rPr>
        <w:t>i</w:t>
      </w:r>
      <w:r>
        <w:rPr>
          <w:rFonts w:ascii="Arial" w:eastAsia="Times New Roman" w:hAnsi="Arial" w:cs="Arial"/>
          <w:sz w:val="18"/>
          <w:szCs w:val="18"/>
          <w:lang w:val="el-GR"/>
        </w:rPr>
        <w:t xml:space="preserve">) πιστωτικές ζημιές για την κάλυψη πιστωτικού κινδύνου από δάνεια και απαιτήσεις από πελάτες </w:t>
      </w:r>
      <w:r w:rsidRPr="00CF7D6B">
        <w:rPr>
          <w:rFonts w:ascii="Arial" w:eastAsia="Times New Roman" w:hAnsi="Arial" w:cs="Arial"/>
          <w:sz w:val="18"/>
          <w:szCs w:val="18"/>
          <w:lang w:val="el-GR"/>
        </w:rPr>
        <w:t xml:space="preserve">ύψους </w:t>
      </w:r>
      <w:r w:rsidRPr="00A03828">
        <w:rPr>
          <w:rFonts w:ascii="Arial" w:eastAsia="Times New Roman" w:hAnsi="Arial" w:cs="Arial"/>
          <w:sz w:val="18"/>
          <w:szCs w:val="18"/>
          <w:lang w:val="el-GR"/>
        </w:rPr>
        <w:t>€24 εκατ</w:t>
      </w:r>
      <w:r w:rsidRPr="009F7AC3">
        <w:rPr>
          <w:rFonts w:ascii="Arial" w:eastAsia="Times New Roman" w:hAnsi="Arial" w:cs="Arial"/>
          <w:sz w:val="18"/>
          <w:szCs w:val="18"/>
          <w:lang w:val="el-GR"/>
        </w:rPr>
        <w:t>.</w:t>
      </w:r>
      <w:r w:rsidRPr="000A7EF7">
        <w:rPr>
          <w:rFonts w:ascii="Arial" w:eastAsia="Times New Roman" w:hAnsi="Arial" w:cs="Arial"/>
          <w:sz w:val="18"/>
          <w:szCs w:val="18"/>
          <w:lang w:val="el-GR"/>
        </w:rPr>
        <w:t>,</w:t>
      </w:r>
      <w:r w:rsidRPr="00CF7D6B">
        <w:rPr>
          <w:rFonts w:ascii="Arial" w:eastAsia="Times New Roman" w:hAnsi="Arial" w:cs="Arial"/>
          <w:sz w:val="18"/>
          <w:szCs w:val="18"/>
          <w:lang w:val="el-GR"/>
        </w:rPr>
        <w:t xml:space="preserve"> οι</w:t>
      </w:r>
      <w:r>
        <w:rPr>
          <w:rFonts w:ascii="Arial" w:eastAsia="Times New Roman" w:hAnsi="Arial" w:cs="Arial"/>
          <w:sz w:val="18"/>
          <w:szCs w:val="18"/>
          <w:lang w:val="el-GR"/>
        </w:rPr>
        <w:t xml:space="preserve"> οποίες περιλαμβάνονται στις ‘</w:t>
      </w:r>
      <w:r w:rsidRPr="00041815">
        <w:rPr>
          <w:rFonts w:ascii="Arial" w:eastAsia="Times New Roman" w:hAnsi="Arial" w:cs="Arial"/>
          <w:i/>
          <w:iCs/>
          <w:sz w:val="18"/>
          <w:szCs w:val="18"/>
          <w:lang w:val="el-GR"/>
        </w:rPr>
        <w:t>Πιστωτικές ζημιές δανείων</w:t>
      </w:r>
      <w:r>
        <w:rPr>
          <w:rFonts w:ascii="Arial" w:eastAsia="Times New Roman" w:hAnsi="Arial" w:cs="Arial"/>
          <w:sz w:val="18"/>
          <w:szCs w:val="18"/>
          <w:lang w:val="el-GR"/>
        </w:rPr>
        <w:t xml:space="preserve">’ στην υποκείμενη βάση, και </w:t>
      </w:r>
      <w:r>
        <w:rPr>
          <w:rFonts w:ascii="Arial" w:eastAsia="Times New Roman" w:hAnsi="Arial" w:cs="Arial"/>
          <w:sz w:val="18"/>
          <w:szCs w:val="18"/>
          <w:lang w:val="en-US"/>
        </w:rPr>
        <w:t>ii</w:t>
      </w:r>
      <w:r w:rsidRPr="00C42B7D">
        <w:rPr>
          <w:rFonts w:ascii="Arial" w:eastAsia="Times New Roman" w:hAnsi="Arial" w:cs="Arial"/>
          <w:sz w:val="18"/>
          <w:szCs w:val="18"/>
          <w:lang w:val="el-GR"/>
        </w:rPr>
        <w:t>)</w:t>
      </w:r>
      <w:r>
        <w:rPr>
          <w:rFonts w:ascii="Arial" w:eastAsia="Times New Roman" w:hAnsi="Arial" w:cs="Arial"/>
          <w:sz w:val="18"/>
          <w:szCs w:val="18"/>
          <w:lang w:val="el-GR"/>
        </w:rPr>
        <w:t xml:space="preserve"> πιστωτικές ζημιές άλλων χρηματοοικονομικών περιουσιακών στοιχείων ύψους </w:t>
      </w:r>
      <w:r w:rsidRPr="00A03828">
        <w:rPr>
          <w:rFonts w:ascii="Arial" w:eastAsia="Times New Roman" w:hAnsi="Arial" w:cs="Arial"/>
          <w:sz w:val="18"/>
          <w:szCs w:val="18"/>
          <w:lang w:val="el-GR"/>
        </w:rPr>
        <w:t>€0.</w:t>
      </w:r>
      <w:r>
        <w:rPr>
          <w:rFonts w:ascii="Arial" w:eastAsia="Times New Roman" w:hAnsi="Arial" w:cs="Arial"/>
          <w:sz w:val="18"/>
          <w:szCs w:val="18"/>
          <w:lang w:val="el-GR"/>
        </w:rPr>
        <w:t>4</w:t>
      </w:r>
      <w:r w:rsidRPr="00A03828">
        <w:rPr>
          <w:rFonts w:ascii="Arial" w:eastAsia="Times New Roman" w:hAnsi="Arial" w:cs="Arial"/>
          <w:sz w:val="18"/>
          <w:szCs w:val="18"/>
          <w:lang w:val="el-GR"/>
        </w:rPr>
        <w:t xml:space="preserve"> εκατ</w:t>
      </w:r>
      <w:r w:rsidRPr="009F7AC3">
        <w:rPr>
          <w:rFonts w:ascii="Arial" w:eastAsia="Times New Roman" w:hAnsi="Arial" w:cs="Arial"/>
          <w:sz w:val="18"/>
          <w:szCs w:val="18"/>
          <w:lang w:val="el-GR"/>
        </w:rPr>
        <w:t>.</w:t>
      </w:r>
      <w:r>
        <w:rPr>
          <w:rFonts w:ascii="Arial" w:eastAsia="Times New Roman" w:hAnsi="Arial" w:cs="Arial"/>
          <w:sz w:val="18"/>
          <w:szCs w:val="18"/>
          <w:lang w:val="el-GR"/>
        </w:rPr>
        <w:t xml:space="preserve"> </w:t>
      </w:r>
      <w:r w:rsidRPr="00CF7D6B">
        <w:rPr>
          <w:rFonts w:ascii="Arial" w:eastAsia="Times New Roman" w:hAnsi="Arial" w:cs="Arial"/>
          <w:sz w:val="18"/>
          <w:szCs w:val="18"/>
          <w:lang w:val="el-GR"/>
        </w:rPr>
        <w:t xml:space="preserve">και </w:t>
      </w:r>
      <w:proofErr w:type="spellStart"/>
      <w:r w:rsidRPr="00CF7D6B">
        <w:rPr>
          <w:rFonts w:ascii="Arial" w:eastAsia="Times New Roman" w:hAnsi="Arial" w:cs="Arial"/>
          <w:sz w:val="18"/>
          <w:szCs w:val="18"/>
          <w:lang w:val="el-GR"/>
        </w:rPr>
        <w:t>απομείωση</w:t>
      </w:r>
      <w:proofErr w:type="spellEnd"/>
      <w:r w:rsidRPr="00CF7D6B">
        <w:rPr>
          <w:rFonts w:ascii="Arial" w:eastAsia="Times New Roman" w:hAnsi="Arial" w:cs="Arial"/>
          <w:sz w:val="18"/>
          <w:szCs w:val="18"/>
          <w:lang w:val="el-GR"/>
        </w:rPr>
        <w:t xml:space="preserve"> μετά την αναστροφή μη</w:t>
      </w:r>
      <w:r>
        <w:rPr>
          <w:rFonts w:ascii="Arial" w:eastAsia="Times New Roman" w:hAnsi="Arial" w:cs="Arial"/>
          <w:sz w:val="18"/>
          <w:szCs w:val="18"/>
          <w:lang w:val="el-GR"/>
        </w:rPr>
        <w:t>-</w:t>
      </w:r>
      <w:r w:rsidRPr="00CF7D6B">
        <w:rPr>
          <w:rFonts w:ascii="Arial" w:eastAsia="Times New Roman" w:hAnsi="Arial" w:cs="Arial"/>
          <w:sz w:val="18"/>
          <w:szCs w:val="18"/>
          <w:lang w:val="el-GR"/>
        </w:rPr>
        <w:t xml:space="preserve">χρηματοοικονομικών περιουσιακών στοιχείων ύψους </w:t>
      </w:r>
      <w:r w:rsidRPr="00A03828">
        <w:rPr>
          <w:rFonts w:ascii="Arial" w:eastAsia="Times New Roman" w:hAnsi="Arial" w:cs="Arial"/>
          <w:sz w:val="18"/>
          <w:szCs w:val="18"/>
          <w:lang w:val="el-GR"/>
        </w:rPr>
        <w:t>€</w:t>
      </w:r>
      <w:r>
        <w:rPr>
          <w:rFonts w:ascii="Arial" w:eastAsia="Times New Roman" w:hAnsi="Arial" w:cs="Arial"/>
          <w:sz w:val="18"/>
          <w:szCs w:val="18"/>
          <w:lang w:val="el-GR"/>
        </w:rPr>
        <w:t>39</w:t>
      </w:r>
      <w:r w:rsidRPr="00A03828">
        <w:rPr>
          <w:rFonts w:ascii="Arial" w:eastAsia="Times New Roman" w:hAnsi="Arial" w:cs="Arial"/>
          <w:sz w:val="18"/>
          <w:szCs w:val="18"/>
          <w:lang w:val="el-GR"/>
        </w:rPr>
        <w:t xml:space="preserve"> εκατ</w:t>
      </w:r>
      <w:r w:rsidRPr="009F7AC3">
        <w:rPr>
          <w:rFonts w:ascii="Arial" w:eastAsia="Times New Roman" w:hAnsi="Arial" w:cs="Arial"/>
          <w:sz w:val="18"/>
          <w:szCs w:val="18"/>
          <w:lang w:val="el-GR"/>
        </w:rPr>
        <w:t>.,</w:t>
      </w:r>
      <w:r w:rsidRPr="00CF7D6B">
        <w:rPr>
          <w:rFonts w:ascii="Arial" w:eastAsia="Times New Roman" w:hAnsi="Arial" w:cs="Arial"/>
          <w:sz w:val="18"/>
          <w:szCs w:val="18"/>
          <w:lang w:val="el-GR"/>
        </w:rPr>
        <w:t xml:space="preserve"> </w:t>
      </w:r>
      <w:r>
        <w:rPr>
          <w:rFonts w:ascii="Arial" w:eastAsia="Times New Roman" w:hAnsi="Arial" w:cs="Arial"/>
          <w:sz w:val="18"/>
          <w:szCs w:val="18"/>
          <w:lang w:val="el-GR"/>
        </w:rPr>
        <w:t>οι οποίες περιλαμβάνονται στην ‘</w:t>
      </w:r>
      <w:proofErr w:type="spellStart"/>
      <w:r w:rsidRPr="00041815">
        <w:rPr>
          <w:rFonts w:ascii="Arial" w:eastAsia="Times New Roman" w:hAnsi="Arial" w:cs="Arial"/>
          <w:i/>
          <w:iCs/>
          <w:sz w:val="18"/>
          <w:szCs w:val="18"/>
          <w:lang w:val="el-GR"/>
        </w:rPr>
        <w:t>Απομείωση</w:t>
      </w:r>
      <w:proofErr w:type="spellEnd"/>
      <w:r w:rsidRPr="00041815">
        <w:rPr>
          <w:rFonts w:ascii="Arial" w:eastAsia="Times New Roman" w:hAnsi="Arial" w:cs="Arial"/>
          <w:i/>
          <w:iCs/>
          <w:sz w:val="18"/>
          <w:szCs w:val="18"/>
          <w:lang w:val="el-GR"/>
        </w:rPr>
        <w:t xml:space="preserve"> άλλων χρηματοοικονομικών και μη</w:t>
      </w:r>
      <w:r>
        <w:rPr>
          <w:rFonts w:ascii="Arial" w:eastAsia="Times New Roman" w:hAnsi="Arial" w:cs="Arial"/>
          <w:i/>
          <w:iCs/>
          <w:sz w:val="18"/>
          <w:szCs w:val="18"/>
          <w:lang w:val="el-GR"/>
        </w:rPr>
        <w:t>-</w:t>
      </w:r>
      <w:r w:rsidRPr="00041815">
        <w:rPr>
          <w:rFonts w:ascii="Arial" w:eastAsia="Times New Roman" w:hAnsi="Arial" w:cs="Arial"/>
          <w:i/>
          <w:iCs/>
          <w:sz w:val="18"/>
          <w:szCs w:val="18"/>
          <w:lang w:val="el-GR"/>
        </w:rPr>
        <w:t>χρηματοοικονομικών περιουσιακών στοιχείων</w:t>
      </w:r>
      <w:r>
        <w:rPr>
          <w:rFonts w:ascii="Arial" w:eastAsia="Times New Roman" w:hAnsi="Arial" w:cs="Arial"/>
          <w:sz w:val="18"/>
          <w:szCs w:val="18"/>
          <w:lang w:val="el-GR"/>
        </w:rPr>
        <w:t>’ στην υποκείμενη βάση, ώστε να παρουσιάζονται ξεχωριστά από τις πιστωτικές ζημιές δανείων.</w:t>
      </w:r>
    </w:p>
    <w:p w14:paraId="3C7BE091" w14:textId="77777777" w:rsidR="0056738E" w:rsidRPr="00955C85" w:rsidRDefault="0056738E" w:rsidP="0056738E">
      <w:pPr>
        <w:spacing w:after="0" w:line="240" w:lineRule="auto"/>
        <w:contextualSpacing/>
        <w:jc w:val="both"/>
        <w:rPr>
          <w:rFonts w:ascii="Arial" w:hAnsi="Arial" w:cs="Arial"/>
          <w:sz w:val="18"/>
          <w:szCs w:val="18"/>
          <w:lang w:val="el-GR"/>
        </w:rPr>
      </w:pPr>
    </w:p>
    <w:p w14:paraId="7762E779" w14:textId="77777777" w:rsidR="0056738E" w:rsidRPr="00CB5177" w:rsidRDefault="0056738E" w:rsidP="0056738E">
      <w:pPr>
        <w:spacing w:after="0" w:line="360" w:lineRule="auto"/>
        <w:ind w:left="851" w:hanging="851"/>
        <w:rPr>
          <w:rFonts w:ascii="Arial" w:hAnsi="Arial" w:cs="Arial"/>
          <w:b/>
          <w:color w:val="FF9900"/>
          <w:lang w:val="el-GR"/>
        </w:rPr>
      </w:pPr>
      <w:bookmarkStart w:id="38" w:name="_Hlk115873126"/>
      <w:r>
        <w:rPr>
          <w:rFonts w:ascii="Arial" w:hAnsi="Arial" w:cs="Arial"/>
          <w:b/>
          <w:color w:val="FF9900"/>
          <w:lang w:val="el-GR"/>
        </w:rPr>
        <w:t>ΣΤ</w:t>
      </w:r>
      <w:r w:rsidRPr="00CB5177">
        <w:rPr>
          <w:rFonts w:ascii="Arial" w:hAnsi="Arial" w:cs="Arial"/>
          <w:b/>
          <w:color w:val="FF9900"/>
          <w:lang w:val="el-GR"/>
        </w:rPr>
        <w:t>.</w:t>
      </w:r>
      <w:r>
        <w:rPr>
          <w:rFonts w:ascii="Arial" w:hAnsi="Arial" w:cs="Arial"/>
          <w:b/>
          <w:color w:val="FF9900"/>
          <w:lang w:val="el-GR"/>
        </w:rPr>
        <w:t>2</w:t>
      </w:r>
      <w:r w:rsidRPr="00366709">
        <w:rPr>
          <w:rFonts w:ascii="Arial" w:hAnsi="Arial" w:cs="Arial"/>
          <w:b/>
          <w:color w:val="FF9900"/>
          <w:lang w:val="el-GR"/>
        </w:rPr>
        <w:t xml:space="preserve"> </w:t>
      </w:r>
      <w:r w:rsidRPr="00D066DE">
        <w:rPr>
          <w:rFonts w:ascii="Arial" w:hAnsi="Arial" w:cs="Arial"/>
          <w:b/>
          <w:color w:val="FF9900"/>
          <w:lang w:val="el-GR"/>
        </w:rPr>
        <w:tab/>
      </w:r>
      <w:r>
        <w:rPr>
          <w:rFonts w:ascii="Arial" w:hAnsi="Arial" w:cs="Arial"/>
          <w:b/>
          <w:color w:val="FF9900"/>
          <w:lang w:val="el-GR"/>
        </w:rPr>
        <w:t>Καταθέσεις πελατών</w:t>
      </w:r>
    </w:p>
    <w:bookmarkEnd w:id="38"/>
    <w:p w14:paraId="28571421" w14:textId="77777777" w:rsidR="0056738E" w:rsidRPr="00CB5177" w:rsidRDefault="0056738E" w:rsidP="0056738E">
      <w:pPr>
        <w:spacing w:after="0" w:line="360" w:lineRule="auto"/>
        <w:rPr>
          <w:rFonts w:ascii="Arial" w:hAnsi="Arial" w:cs="Arial"/>
          <w:sz w:val="18"/>
          <w:lang w:val="el-GR"/>
        </w:rPr>
      </w:pPr>
      <w:r>
        <w:rPr>
          <w:rFonts w:ascii="Arial" w:hAnsi="Arial" w:cs="Arial"/>
          <w:sz w:val="18"/>
          <w:lang w:val="el-GR"/>
        </w:rPr>
        <w:t>Η ανάλυση των καταθέσεων πελατών παρουσιάζεται πιο κάτω</w:t>
      </w:r>
      <w:r w:rsidRPr="00CB5177">
        <w:rPr>
          <w:rFonts w:ascii="Arial" w:hAnsi="Arial" w:cs="Arial"/>
          <w:sz w:val="18"/>
          <w:lang w:val="el-GR"/>
        </w:rPr>
        <w:t>:</w:t>
      </w:r>
    </w:p>
    <w:tbl>
      <w:tblPr>
        <w:tblW w:w="986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803"/>
        <w:gridCol w:w="1531"/>
        <w:gridCol w:w="1531"/>
      </w:tblGrid>
      <w:tr w:rsidR="0056738E" w:rsidRPr="00E1192D" w14:paraId="4BA46E22" w14:textId="77777777" w:rsidTr="007C2AEE">
        <w:trPr>
          <w:trHeight w:val="283"/>
          <w:jc w:val="center"/>
        </w:trPr>
        <w:tc>
          <w:tcPr>
            <w:tcW w:w="6803" w:type="dxa"/>
            <w:tcBorders>
              <w:top w:val="single" w:sz="4" w:space="0" w:color="C0C0C0"/>
              <w:left w:val="single" w:sz="4" w:space="0" w:color="C0C0C0"/>
              <w:bottom w:val="single" w:sz="4" w:space="0" w:color="C0C0C0"/>
            </w:tcBorders>
          </w:tcPr>
          <w:p w14:paraId="2FAC038A" w14:textId="77777777" w:rsidR="0056738E" w:rsidRPr="00C42B7D" w:rsidRDefault="0056738E" w:rsidP="007C2AEE">
            <w:pPr>
              <w:tabs>
                <w:tab w:val="left" w:pos="0"/>
                <w:tab w:val="left" w:pos="282"/>
                <w:tab w:val="left" w:pos="720"/>
              </w:tabs>
              <w:suppressAutoHyphens/>
              <w:spacing w:line="240" w:lineRule="auto"/>
              <w:jc w:val="right"/>
              <w:rPr>
                <w:rFonts w:ascii="Arial" w:hAnsi="Arial" w:cs="Arial"/>
                <w:color w:val="262626"/>
                <w:sz w:val="18"/>
                <w:szCs w:val="18"/>
                <w:lang w:val="el-GR"/>
              </w:rPr>
            </w:pPr>
            <w:r w:rsidRPr="00C42B7D">
              <w:rPr>
                <w:rFonts w:ascii="Arial" w:hAnsi="Arial" w:cs="Arial"/>
                <w:color w:val="262626"/>
                <w:sz w:val="18"/>
                <w:szCs w:val="18"/>
                <w:lang w:val="el-GR"/>
              </w:rPr>
              <w:br w:type="page"/>
            </w:r>
          </w:p>
        </w:tc>
        <w:tc>
          <w:tcPr>
            <w:tcW w:w="1531" w:type="dxa"/>
            <w:tcBorders>
              <w:top w:val="single" w:sz="4" w:space="0" w:color="C0C0C0"/>
            </w:tcBorders>
            <w:vAlign w:val="center"/>
          </w:tcPr>
          <w:p w14:paraId="75109EE5" w14:textId="77777777" w:rsidR="0056738E" w:rsidRPr="00C42B7D" w:rsidRDefault="0056738E" w:rsidP="007C2AEE">
            <w:pPr>
              <w:pStyle w:val="BodyText3"/>
              <w:ind w:left="-93"/>
              <w:jc w:val="center"/>
              <w:rPr>
                <w:rFonts w:ascii="Arial" w:hAnsi="Arial" w:cs="Arial"/>
                <w:b/>
                <w:color w:val="262626"/>
                <w:sz w:val="18"/>
                <w:szCs w:val="18"/>
                <w:lang w:val="el-GR"/>
              </w:rPr>
            </w:pPr>
            <w:r>
              <w:rPr>
                <w:rFonts w:ascii="Arial" w:eastAsia="Batang" w:hAnsi="Arial" w:cs="Arial"/>
                <w:b/>
                <w:color w:val="262626"/>
                <w:sz w:val="18"/>
                <w:szCs w:val="18"/>
                <w:lang w:val="el-GR" w:eastAsia="en-US"/>
              </w:rPr>
              <w:t xml:space="preserve">30 </w:t>
            </w:r>
            <w:r w:rsidRPr="00001C90">
              <w:rPr>
                <w:rFonts w:ascii="Arial" w:eastAsia="Batang" w:hAnsi="Arial" w:cs="Arial"/>
                <w:b/>
                <w:color w:val="262626"/>
                <w:sz w:val="18"/>
                <w:szCs w:val="18"/>
                <w:lang w:val="el-GR" w:eastAsia="en-US"/>
              </w:rPr>
              <w:t xml:space="preserve">Σεπτεμβρίου </w:t>
            </w:r>
            <w:r w:rsidRPr="00C42B7D">
              <w:rPr>
                <w:rFonts w:ascii="Arial" w:hAnsi="Arial" w:cs="Arial"/>
                <w:b/>
                <w:color w:val="262626"/>
                <w:sz w:val="18"/>
                <w:szCs w:val="18"/>
                <w:lang w:val="el-GR"/>
              </w:rPr>
              <w:t>202</w:t>
            </w:r>
            <w:r>
              <w:rPr>
                <w:rFonts w:ascii="Arial" w:hAnsi="Arial" w:cs="Arial"/>
                <w:b/>
                <w:color w:val="262626"/>
                <w:sz w:val="18"/>
                <w:szCs w:val="18"/>
                <w:lang w:val="el-GR"/>
              </w:rPr>
              <w:t>4</w:t>
            </w:r>
          </w:p>
        </w:tc>
        <w:tc>
          <w:tcPr>
            <w:tcW w:w="1531" w:type="dxa"/>
            <w:tcBorders>
              <w:top w:val="single" w:sz="4" w:space="0" w:color="C0C0C0"/>
            </w:tcBorders>
            <w:vAlign w:val="center"/>
          </w:tcPr>
          <w:p w14:paraId="19ACA843" w14:textId="77777777" w:rsidR="0056738E" w:rsidRPr="00C42B7D" w:rsidRDefault="0056738E" w:rsidP="007C2AEE">
            <w:pPr>
              <w:tabs>
                <w:tab w:val="left" w:pos="0"/>
                <w:tab w:val="left" w:pos="282"/>
                <w:tab w:val="left" w:pos="720"/>
              </w:tabs>
              <w:suppressAutoHyphens/>
              <w:spacing w:after="0" w:line="240" w:lineRule="auto"/>
              <w:jc w:val="center"/>
              <w:rPr>
                <w:rFonts w:ascii="Arial" w:eastAsia="Batang" w:hAnsi="Arial" w:cs="Arial"/>
                <w:color w:val="262626"/>
                <w:sz w:val="18"/>
                <w:szCs w:val="18"/>
                <w:lang w:val="el-GR" w:eastAsia="en-US"/>
              </w:rPr>
            </w:pPr>
            <w:r w:rsidRPr="00C42B7D">
              <w:rPr>
                <w:rFonts w:ascii="Arial" w:eastAsia="Batang" w:hAnsi="Arial" w:cs="Arial"/>
                <w:color w:val="262626"/>
                <w:sz w:val="18"/>
                <w:szCs w:val="18"/>
                <w:lang w:val="el-GR" w:eastAsia="en-US"/>
              </w:rPr>
              <w:t>31 Δεκεμβρίου</w:t>
            </w:r>
          </w:p>
          <w:p w14:paraId="0FBFC991" w14:textId="77777777" w:rsidR="0056738E" w:rsidRPr="00C42B7D" w:rsidRDefault="0056738E" w:rsidP="007C2AEE">
            <w:pPr>
              <w:tabs>
                <w:tab w:val="left" w:pos="0"/>
                <w:tab w:val="left" w:pos="282"/>
                <w:tab w:val="left" w:pos="720"/>
              </w:tabs>
              <w:suppressAutoHyphens/>
              <w:spacing w:after="0" w:line="240" w:lineRule="auto"/>
              <w:jc w:val="center"/>
              <w:rPr>
                <w:rFonts w:ascii="Arial" w:eastAsia="Batang" w:hAnsi="Arial" w:cs="Arial"/>
                <w:color w:val="262626"/>
                <w:sz w:val="18"/>
                <w:szCs w:val="18"/>
                <w:lang w:val="el-GR" w:eastAsia="en-US"/>
              </w:rPr>
            </w:pPr>
            <w:r w:rsidRPr="00C42B7D">
              <w:rPr>
                <w:rFonts w:ascii="Arial" w:eastAsia="Batang" w:hAnsi="Arial" w:cs="Arial"/>
                <w:color w:val="262626"/>
                <w:sz w:val="18"/>
                <w:szCs w:val="18"/>
                <w:lang w:val="el-GR" w:eastAsia="en-US"/>
              </w:rPr>
              <w:t>202</w:t>
            </w:r>
            <w:r>
              <w:rPr>
                <w:rFonts w:ascii="Arial" w:eastAsia="Batang" w:hAnsi="Arial" w:cs="Arial"/>
                <w:color w:val="262626"/>
                <w:sz w:val="18"/>
                <w:szCs w:val="18"/>
                <w:lang w:val="el-GR" w:eastAsia="en-US"/>
              </w:rPr>
              <w:t>3</w:t>
            </w:r>
          </w:p>
        </w:tc>
      </w:tr>
      <w:tr w:rsidR="0056738E" w:rsidRPr="00E1192D" w14:paraId="703864A1" w14:textId="77777777" w:rsidTr="007C2AEE">
        <w:trPr>
          <w:trHeight w:val="283"/>
          <w:jc w:val="center"/>
        </w:trPr>
        <w:tc>
          <w:tcPr>
            <w:tcW w:w="6803" w:type="dxa"/>
            <w:tcBorders>
              <w:top w:val="single" w:sz="4" w:space="0" w:color="C0C0C0"/>
              <w:left w:val="single" w:sz="4" w:space="0" w:color="C0C0C0"/>
              <w:bottom w:val="single" w:sz="4" w:space="0" w:color="C0C0C0"/>
              <w:right w:val="single" w:sz="4" w:space="0" w:color="C0C0C0"/>
            </w:tcBorders>
            <w:vAlign w:val="center"/>
          </w:tcPr>
          <w:p w14:paraId="7E21D980" w14:textId="77777777" w:rsidR="0056738E" w:rsidRPr="00C42B7D" w:rsidRDefault="0056738E" w:rsidP="007C2AEE">
            <w:pPr>
              <w:pStyle w:val="Heading2"/>
              <w:tabs>
                <w:tab w:val="left" w:pos="2340"/>
                <w:tab w:val="decimal" w:pos="2976"/>
                <w:tab w:val="left" w:pos="8100"/>
                <w:tab w:val="left" w:pos="8640"/>
              </w:tabs>
              <w:spacing w:before="0" w:line="240" w:lineRule="auto"/>
              <w:rPr>
                <w:rFonts w:ascii="Arial" w:hAnsi="Arial" w:cs="Arial"/>
                <w:b w:val="0"/>
                <w:i/>
                <w:iCs/>
                <w:color w:val="262626"/>
                <w:sz w:val="18"/>
                <w:szCs w:val="18"/>
                <w:lang w:val="el-GR"/>
              </w:rPr>
            </w:pPr>
            <w:r w:rsidRPr="00C42B7D">
              <w:rPr>
                <w:rFonts w:ascii="Arial" w:hAnsi="Arial" w:cs="Arial"/>
                <w:b w:val="0"/>
                <w:i/>
                <w:color w:val="262626"/>
                <w:sz w:val="18"/>
                <w:szCs w:val="18"/>
                <w:lang w:val="el-GR"/>
              </w:rPr>
              <w:t>Ανά κατηγορία κατάθεσης</w:t>
            </w:r>
          </w:p>
        </w:tc>
        <w:tc>
          <w:tcPr>
            <w:tcW w:w="1531" w:type="dxa"/>
            <w:vAlign w:val="center"/>
          </w:tcPr>
          <w:p w14:paraId="73A20AD1" w14:textId="77777777" w:rsidR="0056738E" w:rsidRPr="00C42B7D" w:rsidRDefault="0056738E" w:rsidP="007C2AEE">
            <w:pPr>
              <w:pStyle w:val="BodyText3"/>
              <w:ind w:left="-93"/>
              <w:jc w:val="center"/>
              <w:rPr>
                <w:rFonts w:ascii="Arial" w:hAnsi="Arial" w:cs="Arial"/>
                <w:b/>
                <w:bCs/>
                <w:i/>
                <w:iCs/>
                <w:color w:val="262626"/>
                <w:sz w:val="18"/>
                <w:szCs w:val="18"/>
              </w:rPr>
            </w:pPr>
            <w:r w:rsidRPr="00C42B7D">
              <w:rPr>
                <w:rFonts w:ascii="Arial" w:hAnsi="Arial" w:cs="Arial"/>
                <w:b/>
                <w:color w:val="262626"/>
                <w:sz w:val="18"/>
                <w:szCs w:val="18"/>
                <w:lang w:val="el-GR"/>
              </w:rPr>
              <w:t>€00</w:t>
            </w:r>
            <w:r w:rsidRPr="00C42B7D">
              <w:rPr>
                <w:rFonts w:ascii="Arial" w:hAnsi="Arial" w:cs="Arial"/>
                <w:b/>
                <w:color w:val="262626"/>
                <w:sz w:val="18"/>
                <w:szCs w:val="18"/>
              </w:rPr>
              <w:t>0</w:t>
            </w:r>
          </w:p>
        </w:tc>
        <w:tc>
          <w:tcPr>
            <w:tcW w:w="1531" w:type="dxa"/>
            <w:vAlign w:val="center"/>
          </w:tcPr>
          <w:p w14:paraId="2A85F5EE" w14:textId="77777777" w:rsidR="0056738E" w:rsidRPr="00C42B7D" w:rsidRDefault="0056738E" w:rsidP="007C2AEE">
            <w:pPr>
              <w:tabs>
                <w:tab w:val="left" w:pos="0"/>
                <w:tab w:val="left" w:pos="282"/>
                <w:tab w:val="left" w:pos="720"/>
              </w:tabs>
              <w:suppressAutoHyphens/>
              <w:spacing w:after="0" w:line="240" w:lineRule="auto"/>
              <w:jc w:val="center"/>
              <w:rPr>
                <w:rFonts w:ascii="Arial" w:eastAsia="Batang" w:hAnsi="Arial" w:cs="Arial"/>
                <w:color w:val="262626"/>
                <w:sz w:val="18"/>
                <w:szCs w:val="18"/>
                <w:lang w:val="el-GR" w:eastAsia="en-US"/>
              </w:rPr>
            </w:pPr>
            <w:r w:rsidRPr="00C42B7D">
              <w:rPr>
                <w:rFonts w:ascii="Arial" w:eastAsia="Batang" w:hAnsi="Arial" w:cs="Arial"/>
                <w:color w:val="262626"/>
                <w:sz w:val="18"/>
                <w:szCs w:val="18"/>
                <w:lang w:val="el-GR" w:eastAsia="en-US"/>
              </w:rPr>
              <w:t>€000</w:t>
            </w:r>
          </w:p>
        </w:tc>
      </w:tr>
      <w:tr w:rsidR="0056738E" w:rsidRPr="00E1192D" w14:paraId="16D92477" w14:textId="77777777" w:rsidTr="007C2AEE">
        <w:trPr>
          <w:trHeight w:val="283"/>
          <w:jc w:val="center"/>
        </w:trPr>
        <w:tc>
          <w:tcPr>
            <w:tcW w:w="6803" w:type="dxa"/>
            <w:tcBorders>
              <w:top w:val="single" w:sz="4" w:space="0" w:color="C0C0C0"/>
            </w:tcBorders>
            <w:vAlign w:val="center"/>
          </w:tcPr>
          <w:p w14:paraId="3E796508"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color w:val="262626"/>
                <w:sz w:val="18"/>
                <w:szCs w:val="18"/>
                <w:lang w:val="el-GR"/>
              </w:rPr>
            </w:pPr>
            <w:r w:rsidRPr="00C42B7D">
              <w:rPr>
                <w:rFonts w:ascii="Arial" w:hAnsi="Arial" w:cs="Arial"/>
                <w:color w:val="262626"/>
                <w:sz w:val="18"/>
                <w:szCs w:val="18"/>
                <w:lang w:val="el-GR"/>
              </w:rPr>
              <w:t>Όψεως</w:t>
            </w:r>
          </w:p>
        </w:tc>
        <w:tc>
          <w:tcPr>
            <w:tcW w:w="1531" w:type="dxa"/>
            <w:vAlign w:val="center"/>
          </w:tcPr>
          <w:p w14:paraId="5225B727"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hAnsi="Arial" w:cs="Arial"/>
                <w:b/>
                <w:bCs/>
                <w:sz w:val="18"/>
                <w:szCs w:val="18"/>
              </w:rPr>
              <w:t>10,377,994</w:t>
            </w:r>
          </w:p>
        </w:tc>
        <w:tc>
          <w:tcPr>
            <w:tcW w:w="1531" w:type="dxa"/>
            <w:vAlign w:val="center"/>
          </w:tcPr>
          <w:p w14:paraId="0BF02571" w14:textId="77777777" w:rsidR="0056738E" w:rsidRPr="00C42B7D" w:rsidRDefault="0056738E" w:rsidP="007C2AEE">
            <w:pPr>
              <w:spacing w:after="0" w:line="240" w:lineRule="auto"/>
              <w:jc w:val="right"/>
              <w:rPr>
                <w:rFonts w:ascii="Arial" w:hAnsi="Arial" w:cs="Arial"/>
                <w:color w:val="262626"/>
                <w:sz w:val="18"/>
                <w:szCs w:val="18"/>
              </w:rPr>
            </w:pPr>
            <w:r>
              <w:rPr>
                <w:rFonts w:ascii="Arial" w:hAnsi="Arial" w:cs="Arial"/>
                <w:sz w:val="18"/>
                <w:szCs w:val="18"/>
              </w:rPr>
              <w:t>10,167,622</w:t>
            </w:r>
          </w:p>
        </w:tc>
      </w:tr>
      <w:tr w:rsidR="0056738E" w:rsidRPr="00E1192D" w14:paraId="54C6B24E" w14:textId="77777777" w:rsidTr="007C2AEE">
        <w:trPr>
          <w:trHeight w:val="283"/>
          <w:jc w:val="center"/>
        </w:trPr>
        <w:tc>
          <w:tcPr>
            <w:tcW w:w="6803" w:type="dxa"/>
            <w:vAlign w:val="center"/>
          </w:tcPr>
          <w:p w14:paraId="2358967D"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color w:val="262626"/>
                <w:sz w:val="18"/>
                <w:szCs w:val="18"/>
                <w:lang w:val="el-GR"/>
              </w:rPr>
            </w:pPr>
            <w:r w:rsidRPr="00C42B7D">
              <w:rPr>
                <w:rFonts w:ascii="Arial" w:hAnsi="Arial" w:cs="Arial"/>
                <w:color w:val="262626"/>
                <w:sz w:val="18"/>
                <w:szCs w:val="18"/>
                <w:lang w:val="el-GR"/>
              </w:rPr>
              <w:t>Ταμιευτηρίου</w:t>
            </w:r>
          </w:p>
        </w:tc>
        <w:tc>
          <w:tcPr>
            <w:tcW w:w="1531" w:type="dxa"/>
            <w:tcBorders>
              <w:bottom w:val="single" w:sz="4" w:space="0" w:color="BFBFBF" w:themeColor="background1" w:themeShade="BF"/>
            </w:tcBorders>
            <w:vAlign w:val="center"/>
          </w:tcPr>
          <w:p w14:paraId="1892082A"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hAnsi="Arial" w:cs="Arial"/>
                <w:b/>
                <w:bCs/>
                <w:sz w:val="18"/>
                <w:szCs w:val="18"/>
              </w:rPr>
              <w:t>2,985,979</w:t>
            </w:r>
          </w:p>
        </w:tc>
        <w:tc>
          <w:tcPr>
            <w:tcW w:w="1531" w:type="dxa"/>
            <w:tcBorders>
              <w:bottom w:val="single" w:sz="4" w:space="0" w:color="BFBFBF" w:themeColor="background1" w:themeShade="BF"/>
            </w:tcBorders>
            <w:vAlign w:val="center"/>
          </w:tcPr>
          <w:p w14:paraId="354FE310" w14:textId="77777777" w:rsidR="0056738E" w:rsidRPr="00C42B7D" w:rsidRDefault="0056738E" w:rsidP="007C2AEE">
            <w:pPr>
              <w:spacing w:after="0" w:line="240" w:lineRule="auto"/>
              <w:jc w:val="right"/>
              <w:rPr>
                <w:rFonts w:ascii="Arial" w:hAnsi="Arial" w:cs="Arial"/>
                <w:color w:val="262626"/>
                <w:sz w:val="18"/>
                <w:szCs w:val="18"/>
              </w:rPr>
            </w:pPr>
            <w:r>
              <w:rPr>
                <w:rFonts w:ascii="Arial" w:hAnsi="Arial" w:cs="Arial"/>
                <w:sz w:val="18"/>
                <w:szCs w:val="18"/>
              </w:rPr>
              <w:t>2,979,275</w:t>
            </w:r>
          </w:p>
        </w:tc>
      </w:tr>
      <w:tr w:rsidR="0056738E" w:rsidRPr="00E1192D" w14:paraId="19FBD2A3" w14:textId="77777777" w:rsidTr="007C2AEE">
        <w:trPr>
          <w:trHeight w:val="283"/>
          <w:jc w:val="center"/>
        </w:trPr>
        <w:tc>
          <w:tcPr>
            <w:tcW w:w="6803" w:type="dxa"/>
            <w:tcBorders>
              <w:right w:val="single" w:sz="4" w:space="0" w:color="A6A6A6" w:themeColor="background1" w:themeShade="A6"/>
            </w:tcBorders>
            <w:vAlign w:val="center"/>
          </w:tcPr>
          <w:p w14:paraId="65B33DD7"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color w:val="262626"/>
                <w:sz w:val="18"/>
                <w:szCs w:val="18"/>
                <w:lang w:val="el-GR"/>
              </w:rPr>
            </w:pPr>
            <w:r w:rsidRPr="00C42B7D">
              <w:rPr>
                <w:rFonts w:ascii="Arial" w:hAnsi="Arial" w:cs="Arial"/>
                <w:color w:val="262626"/>
                <w:sz w:val="18"/>
                <w:szCs w:val="18"/>
                <w:lang w:val="el-GR"/>
              </w:rPr>
              <w:t>Προθεσμίας ή με προειδοποίηση</w:t>
            </w:r>
          </w:p>
        </w:tc>
        <w:tc>
          <w:tcPr>
            <w:tcW w:w="1531" w:type="dxa"/>
            <w:tcBorders>
              <w:bottom w:val="single" w:sz="4" w:space="0" w:color="BFBFBF" w:themeColor="background1" w:themeShade="BF"/>
            </w:tcBorders>
            <w:vAlign w:val="center"/>
          </w:tcPr>
          <w:p w14:paraId="28584357" w14:textId="77777777" w:rsidR="0056738E" w:rsidRPr="00025A4D" w:rsidRDefault="0056738E" w:rsidP="007C2AEE">
            <w:pPr>
              <w:tabs>
                <w:tab w:val="left" w:pos="0"/>
                <w:tab w:val="left" w:pos="282"/>
                <w:tab w:val="left" w:pos="720"/>
              </w:tabs>
              <w:suppressAutoHyphens/>
              <w:spacing w:after="0" w:line="240" w:lineRule="auto"/>
              <w:jc w:val="right"/>
              <w:rPr>
                <w:rFonts w:ascii="Arial" w:hAnsi="Arial" w:cs="Arial"/>
                <w:b/>
                <w:bCs/>
                <w:sz w:val="18"/>
                <w:szCs w:val="18"/>
              </w:rPr>
            </w:pPr>
            <w:r>
              <w:rPr>
                <w:rFonts w:ascii="Arial" w:hAnsi="Arial" w:cs="Arial"/>
                <w:b/>
                <w:bCs/>
                <w:sz w:val="18"/>
                <w:szCs w:val="18"/>
              </w:rPr>
              <w:t>6,624,579</w:t>
            </w:r>
          </w:p>
        </w:tc>
        <w:tc>
          <w:tcPr>
            <w:tcW w:w="1531" w:type="dxa"/>
            <w:tcBorders>
              <w:bottom w:val="single" w:sz="4" w:space="0" w:color="BFBFBF" w:themeColor="background1" w:themeShade="BF"/>
            </w:tcBorders>
            <w:vAlign w:val="center"/>
          </w:tcPr>
          <w:p w14:paraId="5D1C191A" w14:textId="77777777" w:rsidR="0056738E" w:rsidRPr="00025A4D" w:rsidRDefault="0056738E" w:rsidP="007C2AEE">
            <w:pPr>
              <w:spacing w:after="0" w:line="240" w:lineRule="auto"/>
              <w:jc w:val="right"/>
              <w:rPr>
                <w:rFonts w:ascii="Arial" w:hAnsi="Arial" w:cs="Arial"/>
                <w:sz w:val="18"/>
                <w:szCs w:val="18"/>
              </w:rPr>
            </w:pPr>
            <w:r>
              <w:rPr>
                <w:rFonts w:ascii="Arial" w:hAnsi="Arial" w:cs="Arial"/>
                <w:sz w:val="18"/>
                <w:szCs w:val="18"/>
              </w:rPr>
              <w:t>6,190,018</w:t>
            </w:r>
          </w:p>
        </w:tc>
      </w:tr>
      <w:tr w:rsidR="0056738E" w:rsidRPr="00E1192D" w14:paraId="1D265B20" w14:textId="77777777" w:rsidTr="007C2AEE">
        <w:trPr>
          <w:trHeight w:val="283"/>
          <w:jc w:val="center"/>
        </w:trPr>
        <w:tc>
          <w:tcPr>
            <w:tcW w:w="6803" w:type="dxa"/>
            <w:vAlign w:val="center"/>
          </w:tcPr>
          <w:p w14:paraId="6CCC8909" w14:textId="77777777" w:rsidR="0056738E" w:rsidRPr="00C42B7D" w:rsidRDefault="0056738E" w:rsidP="007C2AEE">
            <w:pPr>
              <w:tabs>
                <w:tab w:val="left" w:pos="0"/>
                <w:tab w:val="left" w:pos="282"/>
                <w:tab w:val="left" w:pos="720"/>
              </w:tabs>
              <w:suppressAutoHyphens/>
              <w:spacing w:after="0" w:line="240" w:lineRule="auto"/>
              <w:rPr>
                <w:rFonts w:ascii="Arial" w:eastAsia="Batang" w:hAnsi="Arial" w:cs="Arial"/>
                <w:bCs/>
                <w:color w:val="262626"/>
                <w:sz w:val="18"/>
                <w:szCs w:val="18"/>
                <w:lang w:eastAsia="en-US"/>
              </w:rPr>
            </w:pPr>
          </w:p>
        </w:tc>
        <w:tc>
          <w:tcPr>
            <w:tcW w:w="1531" w:type="dxa"/>
            <w:tcBorders>
              <w:top w:val="single" w:sz="6" w:space="0" w:color="000000" w:themeColor="text1"/>
              <w:bottom w:val="double" w:sz="6" w:space="0" w:color="000000" w:themeColor="text1"/>
            </w:tcBorders>
            <w:vAlign w:val="center"/>
          </w:tcPr>
          <w:p w14:paraId="7DB20598"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hAnsi="Arial" w:cs="Arial"/>
                <w:b/>
                <w:bCs/>
                <w:sz w:val="18"/>
                <w:szCs w:val="18"/>
              </w:rPr>
              <w:t>19,988,552</w:t>
            </w:r>
          </w:p>
        </w:tc>
        <w:tc>
          <w:tcPr>
            <w:tcW w:w="1531" w:type="dxa"/>
            <w:tcBorders>
              <w:top w:val="single" w:sz="6" w:space="0" w:color="000000" w:themeColor="text1"/>
              <w:bottom w:val="double" w:sz="6" w:space="0" w:color="000000" w:themeColor="text1"/>
            </w:tcBorders>
            <w:vAlign w:val="center"/>
          </w:tcPr>
          <w:p w14:paraId="318D84A4" w14:textId="77777777" w:rsidR="0056738E" w:rsidRPr="00C42B7D" w:rsidRDefault="0056738E" w:rsidP="007C2AEE">
            <w:pPr>
              <w:spacing w:after="0" w:line="240" w:lineRule="auto"/>
              <w:jc w:val="right"/>
              <w:rPr>
                <w:rFonts w:ascii="Arial" w:hAnsi="Arial" w:cs="Arial"/>
                <w:color w:val="262626"/>
                <w:sz w:val="18"/>
                <w:szCs w:val="18"/>
              </w:rPr>
            </w:pPr>
            <w:r>
              <w:rPr>
                <w:rFonts w:ascii="Arial" w:hAnsi="Arial" w:cs="Arial"/>
                <w:sz w:val="18"/>
                <w:szCs w:val="18"/>
              </w:rPr>
              <w:t>19,336,915</w:t>
            </w:r>
          </w:p>
        </w:tc>
      </w:tr>
    </w:tbl>
    <w:p w14:paraId="6382A268" w14:textId="77777777" w:rsidR="0056738E" w:rsidRDefault="0056738E" w:rsidP="0056738E">
      <w:pPr>
        <w:spacing w:after="0" w:line="240" w:lineRule="auto"/>
        <w:rPr>
          <w:rFonts w:ascii="Arial" w:hAnsi="Arial" w:cs="Arial"/>
          <w:sz w:val="18"/>
          <w:szCs w:val="18"/>
          <w:lang w:val="el-GR"/>
        </w:rPr>
      </w:pPr>
    </w:p>
    <w:p w14:paraId="259D4A12" w14:textId="77777777" w:rsidR="0056738E" w:rsidRDefault="0056738E" w:rsidP="0056738E">
      <w:pPr>
        <w:jc w:val="both"/>
        <w:rPr>
          <w:rFonts w:ascii="Arial" w:hAnsi="Arial" w:cs="Arial"/>
          <w:sz w:val="18"/>
          <w:szCs w:val="18"/>
          <w:lang w:val="el-GR"/>
        </w:rPr>
      </w:pPr>
      <w:r>
        <w:rPr>
          <w:rFonts w:ascii="Arial" w:hAnsi="Arial" w:cs="Arial"/>
          <w:sz w:val="18"/>
          <w:szCs w:val="18"/>
          <w:lang w:val="el-GR"/>
        </w:rPr>
        <w:t>Στον πιο κάτω πίνακα, ο</w:t>
      </w:r>
      <w:r w:rsidRPr="00325113">
        <w:rPr>
          <w:rFonts w:ascii="Arial" w:hAnsi="Arial" w:cs="Arial"/>
          <w:sz w:val="18"/>
          <w:szCs w:val="18"/>
          <w:lang w:val="el-GR"/>
        </w:rPr>
        <w:t xml:space="preserve">ι καταθέσεις ανά γεωγραφικό τομέα </w:t>
      </w:r>
      <w:r>
        <w:rPr>
          <w:rFonts w:ascii="Arial" w:hAnsi="Arial" w:cs="Arial"/>
          <w:sz w:val="18"/>
          <w:szCs w:val="18"/>
          <w:lang w:val="el-GR"/>
        </w:rPr>
        <w:t>παρουσιάζονται</w:t>
      </w:r>
      <w:r w:rsidRPr="00325113">
        <w:rPr>
          <w:rFonts w:ascii="Arial" w:hAnsi="Arial" w:cs="Arial"/>
          <w:sz w:val="18"/>
          <w:szCs w:val="18"/>
          <w:lang w:val="el-GR"/>
        </w:rPr>
        <w:t xml:space="preserve"> βάσ</w:t>
      </w:r>
      <w:r>
        <w:rPr>
          <w:rFonts w:ascii="Arial" w:hAnsi="Arial" w:cs="Arial"/>
          <w:sz w:val="18"/>
          <w:szCs w:val="18"/>
          <w:lang w:val="el-GR"/>
        </w:rPr>
        <w:t>ει</w:t>
      </w:r>
      <w:r w:rsidRPr="00325113">
        <w:rPr>
          <w:rFonts w:ascii="Arial" w:hAnsi="Arial" w:cs="Arial"/>
          <w:sz w:val="18"/>
          <w:szCs w:val="18"/>
          <w:lang w:val="el-GR"/>
        </w:rPr>
        <w:t xml:space="preserve"> τη</w:t>
      </w:r>
      <w:r>
        <w:rPr>
          <w:rFonts w:ascii="Arial" w:hAnsi="Arial" w:cs="Arial"/>
          <w:sz w:val="18"/>
          <w:szCs w:val="18"/>
          <w:lang w:val="el-GR"/>
        </w:rPr>
        <w:t>ς</w:t>
      </w:r>
      <w:r w:rsidRPr="00325113">
        <w:rPr>
          <w:rFonts w:ascii="Arial" w:hAnsi="Arial" w:cs="Arial"/>
          <w:sz w:val="18"/>
          <w:szCs w:val="18"/>
          <w:lang w:val="el-GR"/>
        </w:rPr>
        <w:t xml:space="preserve"> χώρα</w:t>
      </w:r>
      <w:r>
        <w:rPr>
          <w:rFonts w:ascii="Arial" w:hAnsi="Arial" w:cs="Arial"/>
          <w:sz w:val="18"/>
          <w:szCs w:val="18"/>
          <w:lang w:val="el-GR"/>
        </w:rPr>
        <w:t>ς</w:t>
      </w:r>
      <w:r w:rsidRPr="00325113">
        <w:rPr>
          <w:rFonts w:ascii="Arial" w:hAnsi="Arial" w:cs="Arial"/>
          <w:sz w:val="18"/>
          <w:szCs w:val="18"/>
          <w:lang w:val="el-GR"/>
        </w:rPr>
        <w:t xml:space="preserve"> </w:t>
      </w:r>
      <w:r>
        <w:rPr>
          <w:rFonts w:ascii="Arial" w:hAnsi="Arial" w:cs="Arial"/>
          <w:sz w:val="18"/>
          <w:szCs w:val="18"/>
          <w:lang w:val="el-GR"/>
        </w:rPr>
        <w:t>διαμονής του τελικού δικαιούχου της κατάθεσης</w:t>
      </w:r>
      <w:r w:rsidRPr="00325113">
        <w:rPr>
          <w:rFonts w:ascii="Arial" w:hAnsi="Arial" w:cs="Arial"/>
          <w:sz w:val="18"/>
          <w:szCs w:val="18"/>
          <w:lang w:val="el-GR"/>
        </w:rPr>
        <w:t>.</w:t>
      </w:r>
    </w:p>
    <w:tbl>
      <w:tblPr>
        <w:tblW w:w="986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803"/>
        <w:gridCol w:w="1531"/>
        <w:gridCol w:w="1531"/>
      </w:tblGrid>
      <w:tr w:rsidR="0056738E" w:rsidRPr="00E1192D" w14:paraId="4D8172A4" w14:textId="77777777" w:rsidTr="007C2AEE">
        <w:trPr>
          <w:trHeight w:val="283"/>
          <w:jc w:val="center"/>
        </w:trPr>
        <w:tc>
          <w:tcPr>
            <w:tcW w:w="6803" w:type="dxa"/>
            <w:vAlign w:val="center"/>
          </w:tcPr>
          <w:p w14:paraId="1E2F69A9" w14:textId="77777777" w:rsidR="0056738E" w:rsidRPr="00C42B7D" w:rsidRDefault="0056738E" w:rsidP="007C2AEE">
            <w:pPr>
              <w:tabs>
                <w:tab w:val="left" w:pos="0"/>
                <w:tab w:val="left" w:pos="282"/>
                <w:tab w:val="left" w:pos="720"/>
              </w:tabs>
              <w:suppressAutoHyphens/>
              <w:spacing w:after="0" w:line="240" w:lineRule="auto"/>
              <w:rPr>
                <w:rFonts w:ascii="Arial" w:eastAsia="Batang" w:hAnsi="Arial" w:cs="Arial"/>
                <w:bCs/>
                <w:i/>
                <w:color w:val="262626"/>
                <w:sz w:val="18"/>
                <w:szCs w:val="18"/>
                <w:lang w:val="el-GR" w:eastAsia="en-US"/>
              </w:rPr>
            </w:pPr>
          </w:p>
        </w:tc>
        <w:tc>
          <w:tcPr>
            <w:tcW w:w="1531" w:type="dxa"/>
            <w:tcBorders>
              <w:top w:val="single" w:sz="4" w:space="0" w:color="C0C0C0"/>
            </w:tcBorders>
            <w:vAlign w:val="center"/>
          </w:tcPr>
          <w:p w14:paraId="1BF5390F" w14:textId="77777777" w:rsidR="0056738E" w:rsidRPr="00C42B7D" w:rsidRDefault="0056738E" w:rsidP="007C2AEE">
            <w:pPr>
              <w:suppressAutoHyphens/>
              <w:spacing w:after="0" w:line="240" w:lineRule="auto"/>
              <w:ind w:left="-110"/>
              <w:jc w:val="center"/>
              <w:rPr>
                <w:rFonts w:ascii="Arial" w:eastAsia="Batang" w:hAnsi="Arial" w:cs="Arial"/>
                <w:b/>
                <w:bCs/>
                <w:color w:val="262626"/>
                <w:sz w:val="18"/>
                <w:szCs w:val="18"/>
                <w:lang w:eastAsia="en-US"/>
              </w:rPr>
            </w:pPr>
            <w:r>
              <w:rPr>
                <w:rFonts w:ascii="Arial" w:eastAsia="Batang" w:hAnsi="Arial" w:cs="Arial"/>
                <w:b/>
                <w:color w:val="262626"/>
                <w:sz w:val="18"/>
                <w:szCs w:val="18"/>
                <w:lang w:val="el-GR" w:eastAsia="en-US"/>
              </w:rPr>
              <w:t xml:space="preserve">30 </w:t>
            </w:r>
            <w:r w:rsidRPr="00001C90">
              <w:rPr>
                <w:rFonts w:ascii="Arial" w:eastAsia="Batang" w:hAnsi="Arial" w:cs="Arial"/>
                <w:b/>
                <w:color w:val="262626"/>
                <w:sz w:val="18"/>
                <w:szCs w:val="18"/>
                <w:lang w:val="el-GR" w:eastAsia="en-US"/>
              </w:rPr>
              <w:t xml:space="preserve">Σεπτεμβρίου </w:t>
            </w:r>
            <w:r w:rsidRPr="00C42B7D">
              <w:rPr>
                <w:rFonts w:ascii="Arial" w:hAnsi="Arial" w:cs="Arial"/>
                <w:b/>
                <w:color w:val="262626"/>
                <w:sz w:val="18"/>
                <w:szCs w:val="18"/>
                <w:lang w:val="el-GR"/>
              </w:rPr>
              <w:t>202</w:t>
            </w:r>
            <w:r>
              <w:rPr>
                <w:rFonts w:ascii="Arial" w:hAnsi="Arial" w:cs="Arial"/>
                <w:b/>
                <w:color w:val="262626"/>
                <w:sz w:val="18"/>
                <w:szCs w:val="18"/>
                <w:lang w:val="el-GR"/>
              </w:rPr>
              <w:t>4</w:t>
            </w:r>
          </w:p>
        </w:tc>
        <w:tc>
          <w:tcPr>
            <w:tcW w:w="1531" w:type="dxa"/>
            <w:tcBorders>
              <w:top w:val="single" w:sz="4" w:space="0" w:color="C0C0C0"/>
            </w:tcBorders>
            <w:vAlign w:val="center"/>
          </w:tcPr>
          <w:p w14:paraId="299AC4ED" w14:textId="77777777" w:rsidR="0056738E" w:rsidRPr="00C42B7D" w:rsidRDefault="0056738E" w:rsidP="007C2AEE">
            <w:pPr>
              <w:tabs>
                <w:tab w:val="left" w:pos="0"/>
                <w:tab w:val="left" w:pos="282"/>
                <w:tab w:val="left" w:pos="720"/>
              </w:tabs>
              <w:suppressAutoHyphens/>
              <w:spacing w:after="0" w:line="240" w:lineRule="auto"/>
              <w:jc w:val="center"/>
              <w:rPr>
                <w:rFonts w:ascii="Arial" w:eastAsia="Batang" w:hAnsi="Arial" w:cs="Arial"/>
                <w:color w:val="262626"/>
                <w:sz w:val="18"/>
                <w:szCs w:val="18"/>
                <w:lang w:val="el-GR" w:eastAsia="en-US"/>
              </w:rPr>
            </w:pPr>
            <w:r w:rsidRPr="00C42B7D">
              <w:rPr>
                <w:rFonts w:ascii="Arial" w:eastAsia="Batang" w:hAnsi="Arial" w:cs="Arial"/>
                <w:color w:val="262626"/>
                <w:sz w:val="18"/>
                <w:szCs w:val="18"/>
                <w:lang w:val="el-GR" w:eastAsia="en-US"/>
              </w:rPr>
              <w:t>31 Δεκεμβρίου</w:t>
            </w:r>
          </w:p>
          <w:p w14:paraId="31816EB9" w14:textId="77777777" w:rsidR="0056738E" w:rsidRPr="00C42B7D" w:rsidRDefault="0056738E" w:rsidP="007C2AEE">
            <w:pPr>
              <w:pStyle w:val="BodyText3"/>
              <w:ind w:left="-93"/>
              <w:jc w:val="center"/>
              <w:rPr>
                <w:rFonts w:ascii="Arial" w:hAnsi="Arial" w:cs="Arial"/>
                <w:bCs/>
                <w:color w:val="262626"/>
                <w:sz w:val="18"/>
                <w:szCs w:val="18"/>
              </w:rPr>
            </w:pPr>
            <w:r w:rsidRPr="00C42B7D">
              <w:rPr>
                <w:rFonts w:ascii="Arial" w:eastAsia="Batang" w:hAnsi="Arial" w:cs="Arial"/>
                <w:color w:val="262626"/>
                <w:sz w:val="18"/>
                <w:szCs w:val="18"/>
                <w:lang w:val="el-GR" w:eastAsia="en-US"/>
              </w:rPr>
              <w:t>202</w:t>
            </w:r>
            <w:r>
              <w:rPr>
                <w:rFonts w:ascii="Arial" w:eastAsia="Batang" w:hAnsi="Arial" w:cs="Arial"/>
                <w:color w:val="262626"/>
                <w:sz w:val="18"/>
                <w:szCs w:val="18"/>
                <w:lang w:val="el-GR" w:eastAsia="en-US"/>
              </w:rPr>
              <w:t>3</w:t>
            </w:r>
          </w:p>
        </w:tc>
      </w:tr>
      <w:tr w:rsidR="0056738E" w:rsidRPr="00E1192D" w14:paraId="0EE339E9" w14:textId="77777777" w:rsidTr="007C2AEE">
        <w:trPr>
          <w:trHeight w:val="283"/>
          <w:jc w:val="center"/>
        </w:trPr>
        <w:tc>
          <w:tcPr>
            <w:tcW w:w="6803" w:type="dxa"/>
            <w:vAlign w:val="center"/>
          </w:tcPr>
          <w:p w14:paraId="7A17E9B2" w14:textId="77777777" w:rsidR="0056738E" w:rsidRPr="00C42B7D" w:rsidRDefault="0056738E" w:rsidP="007C2AEE">
            <w:pPr>
              <w:tabs>
                <w:tab w:val="left" w:pos="0"/>
                <w:tab w:val="left" w:pos="282"/>
                <w:tab w:val="left" w:pos="720"/>
              </w:tabs>
              <w:suppressAutoHyphens/>
              <w:spacing w:after="0" w:line="240" w:lineRule="auto"/>
              <w:rPr>
                <w:rFonts w:ascii="Arial" w:eastAsia="Batang" w:hAnsi="Arial" w:cs="Arial"/>
                <w:bCs/>
                <w:i/>
                <w:color w:val="262626"/>
                <w:sz w:val="18"/>
                <w:szCs w:val="18"/>
                <w:lang w:val="el-GR" w:eastAsia="en-US"/>
              </w:rPr>
            </w:pPr>
            <w:r w:rsidRPr="00C42B7D">
              <w:rPr>
                <w:rFonts w:ascii="Arial" w:eastAsia="Batang" w:hAnsi="Arial" w:cs="Arial"/>
                <w:bCs/>
                <w:i/>
                <w:color w:val="262626"/>
                <w:sz w:val="18"/>
                <w:szCs w:val="18"/>
                <w:lang w:val="el-GR" w:eastAsia="en-US"/>
              </w:rPr>
              <w:t>Ανά γεωγραφικό τομέα</w:t>
            </w:r>
          </w:p>
        </w:tc>
        <w:tc>
          <w:tcPr>
            <w:tcW w:w="1531" w:type="dxa"/>
            <w:vAlign w:val="center"/>
          </w:tcPr>
          <w:p w14:paraId="026D55FE" w14:textId="77777777" w:rsidR="0056738E" w:rsidRPr="00C42B7D" w:rsidRDefault="0056738E" w:rsidP="007C2AEE">
            <w:pPr>
              <w:tabs>
                <w:tab w:val="left" w:pos="0"/>
                <w:tab w:val="left" w:pos="282"/>
                <w:tab w:val="left" w:pos="720"/>
              </w:tabs>
              <w:suppressAutoHyphens/>
              <w:spacing w:after="0" w:line="240" w:lineRule="auto"/>
              <w:jc w:val="center"/>
              <w:rPr>
                <w:rFonts w:ascii="Arial" w:hAnsi="Arial" w:cs="Arial"/>
                <w:b/>
                <w:color w:val="262626"/>
                <w:sz w:val="18"/>
                <w:szCs w:val="18"/>
                <w:lang w:val="el-GR"/>
              </w:rPr>
            </w:pPr>
            <w:r w:rsidRPr="00C42B7D">
              <w:rPr>
                <w:rFonts w:ascii="Arial" w:hAnsi="Arial" w:cs="Arial"/>
                <w:b/>
                <w:color w:val="262626"/>
                <w:sz w:val="18"/>
                <w:szCs w:val="18"/>
                <w:lang w:val="el-GR"/>
              </w:rPr>
              <w:t>€00</w:t>
            </w:r>
            <w:r w:rsidRPr="00C42B7D">
              <w:rPr>
                <w:rFonts w:ascii="Arial" w:hAnsi="Arial" w:cs="Arial"/>
                <w:b/>
                <w:color w:val="262626"/>
                <w:sz w:val="18"/>
                <w:szCs w:val="18"/>
              </w:rPr>
              <w:t>0</w:t>
            </w:r>
          </w:p>
        </w:tc>
        <w:tc>
          <w:tcPr>
            <w:tcW w:w="1531" w:type="dxa"/>
            <w:vAlign w:val="center"/>
          </w:tcPr>
          <w:p w14:paraId="37889C5C" w14:textId="77777777" w:rsidR="0056738E" w:rsidRPr="00C42B7D" w:rsidRDefault="0056738E" w:rsidP="007C2AEE">
            <w:pPr>
              <w:pStyle w:val="BodyText3"/>
              <w:ind w:left="-93"/>
              <w:jc w:val="center"/>
              <w:rPr>
                <w:rFonts w:ascii="Arial" w:eastAsia="Batang" w:hAnsi="Arial" w:cs="Arial"/>
                <w:color w:val="262626"/>
                <w:sz w:val="18"/>
                <w:szCs w:val="18"/>
                <w:lang w:val="el-GR" w:eastAsia="en-US"/>
              </w:rPr>
            </w:pPr>
            <w:r w:rsidRPr="00C42B7D">
              <w:rPr>
                <w:rFonts w:ascii="Arial" w:eastAsia="Batang" w:hAnsi="Arial" w:cs="Arial"/>
                <w:color w:val="262626"/>
                <w:sz w:val="18"/>
                <w:szCs w:val="18"/>
                <w:lang w:val="el-GR" w:eastAsia="en-US"/>
              </w:rPr>
              <w:t>€000</w:t>
            </w:r>
          </w:p>
        </w:tc>
      </w:tr>
      <w:tr w:rsidR="0056738E" w:rsidRPr="00E1192D" w14:paraId="2220637C" w14:textId="77777777" w:rsidTr="007C2AEE">
        <w:trPr>
          <w:trHeight w:val="283"/>
          <w:jc w:val="center"/>
        </w:trPr>
        <w:tc>
          <w:tcPr>
            <w:tcW w:w="6803" w:type="dxa"/>
            <w:vAlign w:val="center"/>
          </w:tcPr>
          <w:p w14:paraId="3E316ADF" w14:textId="77777777" w:rsidR="0056738E" w:rsidRPr="00C42B7D" w:rsidRDefault="0056738E" w:rsidP="007C2AEE">
            <w:pPr>
              <w:tabs>
                <w:tab w:val="left" w:pos="0"/>
                <w:tab w:val="left" w:pos="282"/>
                <w:tab w:val="left" w:pos="720"/>
              </w:tabs>
              <w:suppressAutoHyphens/>
              <w:spacing w:after="0" w:line="240" w:lineRule="auto"/>
              <w:rPr>
                <w:rFonts w:ascii="Arial" w:eastAsia="Batang" w:hAnsi="Arial" w:cs="Arial"/>
                <w:bCs/>
                <w:i/>
                <w:color w:val="262626"/>
                <w:sz w:val="18"/>
                <w:szCs w:val="18"/>
                <w:lang w:val="el-GR" w:eastAsia="en-US"/>
              </w:rPr>
            </w:pPr>
            <w:r w:rsidRPr="00C42B7D">
              <w:rPr>
                <w:rFonts w:ascii="Arial" w:eastAsia="Batang" w:hAnsi="Arial" w:cs="Arial"/>
                <w:bCs/>
                <w:color w:val="262626"/>
                <w:sz w:val="18"/>
                <w:szCs w:val="18"/>
                <w:lang w:val="el-GR" w:eastAsia="en-US"/>
              </w:rPr>
              <w:t>Κύπρος</w:t>
            </w:r>
          </w:p>
        </w:tc>
        <w:tc>
          <w:tcPr>
            <w:tcW w:w="1531" w:type="dxa"/>
            <w:vAlign w:val="center"/>
          </w:tcPr>
          <w:p w14:paraId="08DDD4F1"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hAnsi="Arial" w:cs="Arial"/>
                <w:b/>
                <w:bCs/>
                <w:sz w:val="18"/>
                <w:szCs w:val="18"/>
              </w:rPr>
              <w:t>16,104,178</w:t>
            </w:r>
          </w:p>
        </w:tc>
        <w:tc>
          <w:tcPr>
            <w:tcW w:w="1531" w:type="dxa"/>
            <w:vAlign w:val="center"/>
          </w:tcPr>
          <w:p w14:paraId="413ED28E" w14:textId="77777777" w:rsidR="0056738E" w:rsidRPr="00C42B7D" w:rsidRDefault="0056738E" w:rsidP="007C2AEE">
            <w:pPr>
              <w:pStyle w:val="BodyText3"/>
              <w:ind w:left="-93"/>
              <w:rPr>
                <w:rFonts w:ascii="Arial" w:hAnsi="Arial" w:cs="Arial"/>
                <w:bCs/>
                <w:color w:val="262626"/>
                <w:sz w:val="18"/>
                <w:szCs w:val="18"/>
              </w:rPr>
            </w:pPr>
            <w:r>
              <w:rPr>
                <w:rFonts w:ascii="Arial" w:hAnsi="Arial" w:cs="Arial"/>
                <w:sz w:val="18"/>
                <w:szCs w:val="18"/>
              </w:rPr>
              <w:t>15,355,445</w:t>
            </w:r>
          </w:p>
        </w:tc>
      </w:tr>
      <w:tr w:rsidR="0056738E" w:rsidRPr="00E1192D" w14:paraId="258BB093" w14:textId="77777777" w:rsidTr="007C2AEE">
        <w:trPr>
          <w:trHeight w:val="283"/>
          <w:jc w:val="center"/>
        </w:trPr>
        <w:tc>
          <w:tcPr>
            <w:tcW w:w="6803" w:type="dxa"/>
            <w:vAlign w:val="center"/>
          </w:tcPr>
          <w:p w14:paraId="4F9553FA" w14:textId="77777777" w:rsidR="0056738E" w:rsidRPr="00C42B7D" w:rsidRDefault="0056738E" w:rsidP="007C2AEE">
            <w:pPr>
              <w:tabs>
                <w:tab w:val="left" w:pos="0"/>
                <w:tab w:val="left" w:pos="282"/>
                <w:tab w:val="left" w:pos="720"/>
              </w:tabs>
              <w:suppressAutoHyphens/>
              <w:spacing w:after="0" w:line="240" w:lineRule="auto"/>
              <w:rPr>
                <w:rFonts w:ascii="Arial" w:eastAsia="Batang" w:hAnsi="Arial" w:cs="Arial"/>
                <w:bCs/>
                <w:iCs/>
                <w:color w:val="262626"/>
                <w:sz w:val="18"/>
                <w:szCs w:val="18"/>
                <w:lang w:val="el-GR" w:eastAsia="en-US"/>
              </w:rPr>
            </w:pPr>
            <w:r w:rsidRPr="00C42B7D">
              <w:rPr>
                <w:rFonts w:ascii="Arial" w:eastAsia="Batang" w:hAnsi="Arial" w:cs="Arial"/>
                <w:bCs/>
                <w:iCs/>
                <w:color w:val="262626"/>
                <w:sz w:val="18"/>
                <w:szCs w:val="18"/>
                <w:lang w:val="el-GR" w:eastAsia="en-US"/>
              </w:rPr>
              <w:t>Ελλάδα</w:t>
            </w:r>
          </w:p>
        </w:tc>
        <w:tc>
          <w:tcPr>
            <w:tcW w:w="1531" w:type="dxa"/>
            <w:shd w:val="clear" w:color="auto" w:fill="auto"/>
            <w:vAlign w:val="center"/>
          </w:tcPr>
          <w:p w14:paraId="2EC3860C"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hAnsi="Arial" w:cs="Arial"/>
                <w:b/>
                <w:bCs/>
                <w:sz w:val="18"/>
                <w:szCs w:val="18"/>
              </w:rPr>
              <w:t>1,501,149</w:t>
            </w:r>
          </w:p>
        </w:tc>
        <w:tc>
          <w:tcPr>
            <w:tcW w:w="1531" w:type="dxa"/>
            <w:vAlign w:val="center"/>
          </w:tcPr>
          <w:p w14:paraId="1DFA473D" w14:textId="77777777" w:rsidR="0056738E" w:rsidRPr="00C42B7D" w:rsidRDefault="0056738E" w:rsidP="007C2AEE">
            <w:pPr>
              <w:pStyle w:val="BodyText3"/>
              <w:ind w:left="-93"/>
              <w:rPr>
                <w:rFonts w:ascii="Arial" w:hAnsi="Arial" w:cs="Arial"/>
                <w:bCs/>
                <w:color w:val="262626"/>
                <w:sz w:val="18"/>
                <w:szCs w:val="18"/>
              </w:rPr>
            </w:pPr>
            <w:r>
              <w:rPr>
                <w:rFonts w:ascii="Arial" w:hAnsi="Arial" w:cs="Arial"/>
                <w:sz w:val="18"/>
                <w:szCs w:val="18"/>
              </w:rPr>
              <w:t>1,473,491</w:t>
            </w:r>
          </w:p>
        </w:tc>
      </w:tr>
      <w:tr w:rsidR="0056738E" w:rsidRPr="00E1192D" w14:paraId="34830547" w14:textId="77777777" w:rsidTr="007C2AEE">
        <w:trPr>
          <w:trHeight w:val="283"/>
          <w:jc w:val="center"/>
        </w:trPr>
        <w:tc>
          <w:tcPr>
            <w:tcW w:w="6803" w:type="dxa"/>
            <w:vAlign w:val="center"/>
          </w:tcPr>
          <w:p w14:paraId="7B01C0D4" w14:textId="77777777" w:rsidR="0056738E" w:rsidRPr="00C42B7D" w:rsidRDefault="0056738E" w:rsidP="007C2AEE">
            <w:pPr>
              <w:tabs>
                <w:tab w:val="left" w:pos="0"/>
                <w:tab w:val="left" w:pos="282"/>
                <w:tab w:val="left" w:pos="720"/>
              </w:tabs>
              <w:suppressAutoHyphens/>
              <w:spacing w:after="0" w:line="240" w:lineRule="auto"/>
              <w:rPr>
                <w:rFonts w:ascii="Arial" w:eastAsia="Batang" w:hAnsi="Arial" w:cs="Arial"/>
                <w:bCs/>
                <w:iCs/>
                <w:color w:val="262626"/>
                <w:sz w:val="18"/>
                <w:szCs w:val="18"/>
                <w:lang w:val="el-GR" w:eastAsia="en-US"/>
              </w:rPr>
            </w:pPr>
            <w:r w:rsidRPr="00C42B7D">
              <w:rPr>
                <w:rFonts w:ascii="Arial" w:eastAsia="Batang" w:hAnsi="Arial" w:cs="Arial"/>
                <w:bCs/>
                <w:iCs/>
                <w:color w:val="262626"/>
                <w:sz w:val="18"/>
                <w:szCs w:val="18"/>
                <w:lang w:val="el-GR" w:eastAsia="en-US"/>
              </w:rPr>
              <w:t>Ηνωμένο Βασίλειο</w:t>
            </w:r>
          </w:p>
        </w:tc>
        <w:tc>
          <w:tcPr>
            <w:tcW w:w="1531" w:type="dxa"/>
            <w:shd w:val="clear" w:color="auto" w:fill="auto"/>
            <w:vAlign w:val="center"/>
          </w:tcPr>
          <w:p w14:paraId="0D4F8585"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hAnsi="Arial" w:cs="Arial"/>
                <w:b/>
                <w:bCs/>
                <w:sz w:val="18"/>
                <w:szCs w:val="18"/>
              </w:rPr>
              <w:t>415,191</w:t>
            </w:r>
          </w:p>
        </w:tc>
        <w:tc>
          <w:tcPr>
            <w:tcW w:w="1531" w:type="dxa"/>
            <w:vAlign w:val="center"/>
          </w:tcPr>
          <w:p w14:paraId="3EC20693" w14:textId="77777777" w:rsidR="0056738E" w:rsidRPr="00C42B7D" w:rsidRDefault="0056738E" w:rsidP="007C2AEE">
            <w:pPr>
              <w:pStyle w:val="BodyText3"/>
              <w:ind w:left="-93"/>
              <w:rPr>
                <w:rFonts w:ascii="Arial" w:hAnsi="Arial" w:cs="Arial"/>
                <w:bCs/>
                <w:color w:val="262626"/>
                <w:sz w:val="18"/>
                <w:szCs w:val="18"/>
              </w:rPr>
            </w:pPr>
            <w:r>
              <w:rPr>
                <w:rFonts w:ascii="Arial" w:hAnsi="Arial" w:cs="Arial"/>
                <w:sz w:val="18"/>
                <w:szCs w:val="18"/>
              </w:rPr>
              <w:t>386,057</w:t>
            </w:r>
          </w:p>
        </w:tc>
      </w:tr>
      <w:tr w:rsidR="0056738E" w:rsidRPr="00E1192D" w14:paraId="1FA5CE3E" w14:textId="77777777" w:rsidTr="007C2AEE">
        <w:trPr>
          <w:trHeight w:val="283"/>
          <w:jc w:val="center"/>
        </w:trPr>
        <w:tc>
          <w:tcPr>
            <w:tcW w:w="6803" w:type="dxa"/>
            <w:vAlign w:val="center"/>
          </w:tcPr>
          <w:p w14:paraId="216E4066" w14:textId="77777777" w:rsidR="0056738E" w:rsidRPr="00C42B7D" w:rsidRDefault="0056738E" w:rsidP="007C2AEE">
            <w:pPr>
              <w:tabs>
                <w:tab w:val="left" w:pos="0"/>
                <w:tab w:val="left" w:pos="282"/>
                <w:tab w:val="left" w:pos="720"/>
              </w:tabs>
              <w:suppressAutoHyphens/>
              <w:spacing w:after="0" w:line="240" w:lineRule="auto"/>
              <w:rPr>
                <w:rFonts w:ascii="Arial" w:eastAsia="Batang" w:hAnsi="Arial" w:cs="Arial"/>
                <w:bCs/>
                <w:iCs/>
                <w:color w:val="262626"/>
                <w:sz w:val="18"/>
                <w:szCs w:val="18"/>
                <w:lang w:val="el-GR" w:eastAsia="en-US"/>
              </w:rPr>
            </w:pPr>
            <w:r>
              <w:rPr>
                <w:rFonts w:ascii="Arial" w:eastAsia="Batang" w:hAnsi="Arial" w:cs="Arial"/>
                <w:bCs/>
                <w:iCs/>
                <w:color w:val="262626"/>
                <w:sz w:val="18"/>
                <w:szCs w:val="18"/>
                <w:lang w:val="el-GR" w:eastAsia="en-US"/>
              </w:rPr>
              <w:t>ΗΠΑ</w:t>
            </w:r>
          </w:p>
        </w:tc>
        <w:tc>
          <w:tcPr>
            <w:tcW w:w="1531" w:type="dxa"/>
            <w:shd w:val="clear" w:color="auto" w:fill="auto"/>
            <w:vAlign w:val="center"/>
          </w:tcPr>
          <w:p w14:paraId="1DA94719"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hAnsi="Arial" w:cs="Arial"/>
                <w:b/>
                <w:bCs/>
                <w:sz w:val="18"/>
                <w:szCs w:val="18"/>
              </w:rPr>
              <w:t>123,923</w:t>
            </w:r>
          </w:p>
        </w:tc>
        <w:tc>
          <w:tcPr>
            <w:tcW w:w="1531" w:type="dxa"/>
            <w:vAlign w:val="center"/>
          </w:tcPr>
          <w:p w14:paraId="02194CD9" w14:textId="77777777" w:rsidR="0056738E" w:rsidRPr="00C42B7D" w:rsidRDefault="0056738E" w:rsidP="007C2AEE">
            <w:pPr>
              <w:pStyle w:val="BodyText3"/>
              <w:ind w:left="-93"/>
              <w:rPr>
                <w:rFonts w:ascii="Arial" w:hAnsi="Arial" w:cs="Arial"/>
                <w:bCs/>
                <w:color w:val="262626"/>
                <w:sz w:val="18"/>
                <w:szCs w:val="18"/>
              </w:rPr>
            </w:pPr>
            <w:r>
              <w:rPr>
                <w:rFonts w:ascii="Arial" w:hAnsi="Arial" w:cs="Arial"/>
                <w:sz w:val="18"/>
                <w:szCs w:val="18"/>
              </w:rPr>
              <w:t>166,673</w:t>
            </w:r>
          </w:p>
        </w:tc>
      </w:tr>
      <w:tr w:rsidR="0056738E" w:rsidRPr="00E1192D" w14:paraId="6E0F43BD" w14:textId="77777777" w:rsidTr="007C2AEE">
        <w:trPr>
          <w:trHeight w:val="283"/>
          <w:jc w:val="center"/>
        </w:trPr>
        <w:tc>
          <w:tcPr>
            <w:tcW w:w="6803" w:type="dxa"/>
            <w:vAlign w:val="center"/>
          </w:tcPr>
          <w:p w14:paraId="36E5D6DA" w14:textId="77777777" w:rsidR="0056738E" w:rsidRDefault="0056738E" w:rsidP="007C2AEE">
            <w:pPr>
              <w:tabs>
                <w:tab w:val="left" w:pos="0"/>
                <w:tab w:val="left" w:pos="282"/>
                <w:tab w:val="left" w:pos="720"/>
              </w:tabs>
              <w:suppressAutoHyphens/>
              <w:spacing w:after="0" w:line="240" w:lineRule="auto"/>
              <w:rPr>
                <w:rFonts w:ascii="Arial" w:eastAsia="Batang" w:hAnsi="Arial" w:cs="Arial"/>
                <w:bCs/>
                <w:iCs/>
                <w:color w:val="262626"/>
                <w:sz w:val="18"/>
                <w:szCs w:val="18"/>
                <w:lang w:val="el-GR" w:eastAsia="en-US"/>
              </w:rPr>
            </w:pPr>
            <w:r>
              <w:rPr>
                <w:rFonts w:ascii="Arial" w:eastAsia="Batang" w:hAnsi="Arial" w:cs="Arial"/>
                <w:bCs/>
                <w:iCs/>
                <w:color w:val="262626"/>
                <w:sz w:val="18"/>
                <w:szCs w:val="18"/>
                <w:lang w:val="el-GR" w:eastAsia="en-US"/>
              </w:rPr>
              <w:t>Γερμανία</w:t>
            </w:r>
          </w:p>
        </w:tc>
        <w:tc>
          <w:tcPr>
            <w:tcW w:w="1531" w:type="dxa"/>
            <w:shd w:val="clear" w:color="auto" w:fill="auto"/>
            <w:vAlign w:val="center"/>
          </w:tcPr>
          <w:p w14:paraId="2A7027C3"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hAnsi="Arial" w:cs="Arial"/>
                <w:b/>
                <w:bCs/>
                <w:sz w:val="18"/>
                <w:szCs w:val="18"/>
              </w:rPr>
              <w:t>75,539</w:t>
            </w:r>
          </w:p>
        </w:tc>
        <w:tc>
          <w:tcPr>
            <w:tcW w:w="1531" w:type="dxa"/>
            <w:vAlign w:val="center"/>
          </w:tcPr>
          <w:p w14:paraId="2BB23104" w14:textId="77777777" w:rsidR="0056738E" w:rsidRPr="00C42B7D" w:rsidRDefault="0056738E" w:rsidP="007C2AEE">
            <w:pPr>
              <w:pStyle w:val="BodyText3"/>
              <w:ind w:left="-93"/>
              <w:rPr>
                <w:rFonts w:ascii="Arial" w:hAnsi="Arial" w:cs="Arial"/>
                <w:bCs/>
                <w:color w:val="262626"/>
                <w:sz w:val="18"/>
                <w:szCs w:val="18"/>
              </w:rPr>
            </w:pPr>
            <w:r>
              <w:rPr>
                <w:rFonts w:ascii="Arial" w:hAnsi="Arial" w:cs="Arial"/>
                <w:sz w:val="18"/>
                <w:szCs w:val="18"/>
              </w:rPr>
              <w:t>77,288</w:t>
            </w:r>
          </w:p>
        </w:tc>
      </w:tr>
      <w:tr w:rsidR="0056738E" w:rsidRPr="00E1192D" w14:paraId="056CABE8" w14:textId="77777777" w:rsidTr="007C2AEE">
        <w:trPr>
          <w:trHeight w:val="283"/>
          <w:jc w:val="center"/>
        </w:trPr>
        <w:tc>
          <w:tcPr>
            <w:tcW w:w="6803" w:type="dxa"/>
            <w:vAlign w:val="center"/>
          </w:tcPr>
          <w:p w14:paraId="5AA688F8" w14:textId="77777777" w:rsidR="0056738E" w:rsidRPr="00C42B7D" w:rsidRDefault="0056738E" w:rsidP="007C2AEE">
            <w:pPr>
              <w:tabs>
                <w:tab w:val="left" w:pos="0"/>
                <w:tab w:val="left" w:pos="282"/>
                <w:tab w:val="left" w:pos="720"/>
              </w:tabs>
              <w:suppressAutoHyphens/>
              <w:spacing w:after="0" w:line="240" w:lineRule="auto"/>
              <w:rPr>
                <w:rFonts w:ascii="Arial" w:eastAsia="Batang" w:hAnsi="Arial" w:cs="Arial"/>
                <w:bCs/>
                <w:iCs/>
                <w:color w:val="262626"/>
                <w:sz w:val="18"/>
                <w:szCs w:val="18"/>
                <w:lang w:val="el-GR" w:eastAsia="en-US"/>
              </w:rPr>
            </w:pPr>
            <w:r w:rsidRPr="00C42B7D">
              <w:rPr>
                <w:rFonts w:ascii="Arial" w:eastAsia="Batang" w:hAnsi="Arial" w:cs="Arial"/>
                <w:bCs/>
                <w:iCs/>
                <w:color w:val="262626"/>
                <w:sz w:val="18"/>
                <w:szCs w:val="18"/>
                <w:lang w:val="el-GR" w:eastAsia="en-US"/>
              </w:rPr>
              <w:t>Ρουμανία</w:t>
            </w:r>
          </w:p>
        </w:tc>
        <w:tc>
          <w:tcPr>
            <w:tcW w:w="1531" w:type="dxa"/>
            <w:shd w:val="clear" w:color="auto" w:fill="auto"/>
            <w:vAlign w:val="center"/>
          </w:tcPr>
          <w:p w14:paraId="41E16DBB"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hAnsi="Arial" w:cs="Arial"/>
                <w:b/>
                <w:bCs/>
                <w:sz w:val="18"/>
                <w:szCs w:val="18"/>
              </w:rPr>
              <w:t>40,443</w:t>
            </w:r>
          </w:p>
        </w:tc>
        <w:tc>
          <w:tcPr>
            <w:tcW w:w="1531" w:type="dxa"/>
            <w:vAlign w:val="center"/>
          </w:tcPr>
          <w:p w14:paraId="003B7E65" w14:textId="77777777" w:rsidR="0056738E" w:rsidRPr="00C42B7D" w:rsidRDefault="0056738E" w:rsidP="007C2AEE">
            <w:pPr>
              <w:pStyle w:val="BodyText3"/>
              <w:ind w:left="-93"/>
              <w:rPr>
                <w:rFonts w:ascii="Arial" w:hAnsi="Arial" w:cs="Arial"/>
                <w:bCs/>
                <w:color w:val="262626"/>
                <w:sz w:val="18"/>
                <w:szCs w:val="18"/>
              </w:rPr>
            </w:pPr>
            <w:r>
              <w:rPr>
                <w:rFonts w:ascii="Arial" w:hAnsi="Arial" w:cs="Arial"/>
                <w:sz w:val="18"/>
                <w:szCs w:val="18"/>
              </w:rPr>
              <w:t>29,729</w:t>
            </w:r>
          </w:p>
        </w:tc>
      </w:tr>
      <w:tr w:rsidR="0056738E" w:rsidRPr="00E1192D" w14:paraId="73C7CF73" w14:textId="77777777" w:rsidTr="007C2AEE">
        <w:trPr>
          <w:trHeight w:val="283"/>
          <w:jc w:val="center"/>
        </w:trPr>
        <w:tc>
          <w:tcPr>
            <w:tcW w:w="6803" w:type="dxa"/>
            <w:vAlign w:val="center"/>
          </w:tcPr>
          <w:p w14:paraId="350B9423" w14:textId="77777777" w:rsidR="0056738E" w:rsidRPr="00C42B7D" w:rsidRDefault="0056738E" w:rsidP="007C2AEE">
            <w:pPr>
              <w:tabs>
                <w:tab w:val="left" w:pos="0"/>
                <w:tab w:val="left" w:pos="282"/>
                <w:tab w:val="left" w:pos="720"/>
              </w:tabs>
              <w:suppressAutoHyphens/>
              <w:spacing w:after="0" w:line="240" w:lineRule="auto"/>
              <w:rPr>
                <w:rFonts w:ascii="Arial" w:eastAsia="Batang" w:hAnsi="Arial" w:cs="Arial"/>
                <w:bCs/>
                <w:iCs/>
                <w:color w:val="262626"/>
                <w:sz w:val="18"/>
                <w:szCs w:val="18"/>
                <w:lang w:val="el-GR" w:eastAsia="en-US"/>
              </w:rPr>
            </w:pPr>
            <w:r w:rsidRPr="00C42B7D">
              <w:rPr>
                <w:rFonts w:ascii="Arial" w:eastAsia="Batang" w:hAnsi="Arial" w:cs="Arial"/>
                <w:bCs/>
                <w:iCs/>
                <w:color w:val="262626"/>
                <w:sz w:val="18"/>
                <w:szCs w:val="18"/>
                <w:lang w:val="el-GR" w:eastAsia="en-US"/>
              </w:rPr>
              <w:t>Ρωσία</w:t>
            </w:r>
          </w:p>
        </w:tc>
        <w:tc>
          <w:tcPr>
            <w:tcW w:w="1531" w:type="dxa"/>
            <w:shd w:val="clear" w:color="auto" w:fill="auto"/>
            <w:vAlign w:val="center"/>
          </w:tcPr>
          <w:p w14:paraId="183ED50D"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hAnsi="Arial" w:cs="Arial"/>
                <w:b/>
                <w:bCs/>
                <w:sz w:val="18"/>
                <w:szCs w:val="18"/>
              </w:rPr>
              <w:t>91,076</w:t>
            </w:r>
          </w:p>
        </w:tc>
        <w:tc>
          <w:tcPr>
            <w:tcW w:w="1531" w:type="dxa"/>
            <w:vAlign w:val="center"/>
          </w:tcPr>
          <w:p w14:paraId="3D800836" w14:textId="77777777" w:rsidR="0056738E" w:rsidRPr="00C42B7D" w:rsidRDefault="0056738E" w:rsidP="007C2AEE">
            <w:pPr>
              <w:pStyle w:val="BodyText3"/>
              <w:ind w:left="-93"/>
              <w:rPr>
                <w:rFonts w:ascii="Arial" w:hAnsi="Arial" w:cs="Arial"/>
                <w:bCs/>
                <w:color w:val="262626"/>
                <w:sz w:val="18"/>
                <w:szCs w:val="18"/>
              </w:rPr>
            </w:pPr>
            <w:r>
              <w:rPr>
                <w:rFonts w:ascii="Arial" w:hAnsi="Arial" w:cs="Arial"/>
                <w:sz w:val="18"/>
                <w:szCs w:val="18"/>
              </w:rPr>
              <w:t>128,489</w:t>
            </w:r>
          </w:p>
        </w:tc>
      </w:tr>
      <w:tr w:rsidR="0056738E" w:rsidRPr="00E1192D" w14:paraId="16214624" w14:textId="77777777" w:rsidTr="007C2AEE">
        <w:trPr>
          <w:trHeight w:val="283"/>
          <w:jc w:val="center"/>
        </w:trPr>
        <w:tc>
          <w:tcPr>
            <w:tcW w:w="6803" w:type="dxa"/>
            <w:vAlign w:val="center"/>
          </w:tcPr>
          <w:p w14:paraId="536E7067" w14:textId="77777777" w:rsidR="0056738E" w:rsidRPr="00C42B7D" w:rsidRDefault="0056738E" w:rsidP="007C2AEE">
            <w:pPr>
              <w:tabs>
                <w:tab w:val="left" w:pos="0"/>
                <w:tab w:val="left" w:pos="282"/>
                <w:tab w:val="left" w:pos="720"/>
              </w:tabs>
              <w:suppressAutoHyphens/>
              <w:spacing w:after="0" w:line="240" w:lineRule="auto"/>
              <w:rPr>
                <w:rFonts w:ascii="Arial" w:eastAsia="Batang" w:hAnsi="Arial" w:cs="Arial"/>
                <w:bCs/>
                <w:iCs/>
                <w:color w:val="262626"/>
                <w:sz w:val="18"/>
                <w:szCs w:val="18"/>
                <w:lang w:val="el-GR" w:eastAsia="en-US"/>
              </w:rPr>
            </w:pPr>
            <w:r w:rsidRPr="00C42B7D">
              <w:rPr>
                <w:rFonts w:ascii="Arial" w:eastAsia="Batang" w:hAnsi="Arial" w:cs="Arial"/>
                <w:bCs/>
                <w:iCs/>
                <w:color w:val="262626"/>
                <w:sz w:val="18"/>
                <w:szCs w:val="18"/>
                <w:lang w:val="el-GR" w:eastAsia="en-US"/>
              </w:rPr>
              <w:t>Ουκρανία</w:t>
            </w:r>
          </w:p>
        </w:tc>
        <w:tc>
          <w:tcPr>
            <w:tcW w:w="1531" w:type="dxa"/>
            <w:shd w:val="clear" w:color="auto" w:fill="auto"/>
            <w:vAlign w:val="center"/>
          </w:tcPr>
          <w:p w14:paraId="4EDB028C"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hAnsi="Arial" w:cs="Arial"/>
                <w:b/>
                <w:bCs/>
                <w:sz w:val="18"/>
                <w:szCs w:val="18"/>
              </w:rPr>
              <w:t>197,332</w:t>
            </w:r>
          </w:p>
        </w:tc>
        <w:tc>
          <w:tcPr>
            <w:tcW w:w="1531" w:type="dxa"/>
            <w:vAlign w:val="center"/>
          </w:tcPr>
          <w:p w14:paraId="42FD9A9D" w14:textId="77777777" w:rsidR="0056738E" w:rsidRPr="00C42B7D" w:rsidRDefault="0056738E" w:rsidP="007C2AEE">
            <w:pPr>
              <w:pStyle w:val="BodyText3"/>
              <w:ind w:left="-93"/>
              <w:rPr>
                <w:rFonts w:ascii="Arial" w:hAnsi="Arial" w:cs="Arial"/>
                <w:bCs/>
                <w:color w:val="262626"/>
                <w:sz w:val="18"/>
                <w:szCs w:val="18"/>
              </w:rPr>
            </w:pPr>
            <w:r>
              <w:rPr>
                <w:rFonts w:ascii="Arial" w:hAnsi="Arial" w:cs="Arial"/>
                <w:sz w:val="18"/>
                <w:szCs w:val="18"/>
              </w:rPr>
              <w:t>183,316</w:t>
            </w:r>
          </w:p>
        </w:tc>
      </w:tr>
      <w:tr w:rsidR="0056738E" w:rsidRPr="00E1192D" w14:paraId="7F1212D7" w14:textId="77777777" w:rsidTr="007C2AEE">
        <w:trPr>
          <w:trHeight w:val="283"/>
          <w:jc w:val="center"/>
        </w:trPr>
        <w:tc>
          <w:tcPr>
            <w:tcW w:w="6803" w:type="dxa"/>
            <w:vAlign w:val="center"/>
          </w:tcPr>
          <w:p w14:paraId="158C8309" w14:textId="77777777" w:rsidR="0056738E" w:rsidRPr="00C42B7D" w:rsidRDefault="0056738E" w:rsidP="007C2AEE">
            <w:pPr>
              <w:tabs>
                <w:tab w:val="left" w:pos="0"/>
                <w:tab w:val="left" w:pos="282"/>
                <w:tab w:val="left" w:pos="720"/>
              </w:tabs>
              <w:suppressAutoHyphens/>
              <w:spacing w:after="0" w:line="240" w:lineRule="auto"/>
              <w:rPr>
                <w:rFonts w:ascii="Arial" w:eastAsia="Batang" w:hAnsi="Arial" w:cs="Arial"/>
                <w:bCs/>
                <w:iCs/>
                <w:color w:val="262626"/>
                <w:sz w:val="18"/>
                <w:szCs w:val="18"/>
                <w:lang w:val="el-GR" w:eastAsia="en-US"/>
              </w:rPr>
            </w:pPr>
            <w:r w:rsidRPr="00C42B7D">
              <w:rPr>
                <w:rFonts w:ascii="Arial" w:eastAsia="Batang" w:hAnsi="Arial" w:cs="Arial"/>
                <w:bCs/>
                <w:iCs/>
                <w:color w:val="262626"/>
                <w:sz w:val="18"/>
                <w:szCs w:val="18"/>
                <w:lang w:val="el-GR" w:eastAsia="en-US"/>
              </w:rPr>
              <w:t>Λευκορωσία</w:t>
            </w:r>
          </w:p>
        </w:tc>
        <w:tc>
          <w:tcPr>
            <w:tcW w:w="1531" w:type="dxa"/>
            <w:shd w:val="clear" w:color="auto" w:fill="auto"/>
            <w:vAlign w:val="center"/>
          </w:tcPr>
          <w:p w14:paraId="4A8BAD56"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hAnsi="Arial" w:cs="Arial"/>
                <w:b/>
                <w:bCs/>
                <w:sz w:val="18"/>
                <w:szCs w:val="18"/>
              </w:rPr>
              <w:t>1,707</w:t>
            </w:r>
          </w:p>
        </w:tc>
        <w:tc>
          <w:tcPr>
            <w:tcW w:w="1531" w:type="dxa"/>
            <w:vAlign w:val="center"/>
          </w:tcPr>
          <w:p w14:paraId="6B859781" w14:textId="77777777" w:rsidR="0056738E" w:rsidRPr="00C42B7D" w:rsidRDefault="0056738E" w:rsidP="007C2AEE">
            <w:pPr>
              <w:pStyle w:val="BodyText3"/>
              <w:ind w:left="-93"/>
              <w:rPr>
                <w:rFonts w:ascii="Arial" w:hAnsi="Arial" w:cs="Arial"/>
                <w:bCs/>
                <w:color w:val="262626"/>
                <w:sz w:val="18"/>
                <w:szCs w:val="18"/>
              </w:rPr>
            </w:pPr>
            <w:r>
              <w:rPr>
                <w:rFonts w:ascii="Arial" w:hAnsi="Arial" w:cs="Arial"/>
                <w:sz w:val="18"/>
                <w:szCs w:val="18"/>
              </w:rPr>
              <w:t>3,762</w:t>
            </w:r>
          </w:p>
        </w:tc>
      </w:tr>
      <w:tr w:rsidR="0056738E" w:rsidRPr="00E1192D" w14:paraId="2AB1E3A2" w14:textId="77777777" w:rsidTr="007C2AEE">
        <w:trPr>
          <w:trHeight w:val="283"/>
          <w:jc w:val="center"/>
        </w:trPr>
        <w:tc>
          <w:tcPr>
            <w:tcW w:w="6803" w:type="dxa"/>
            <w:vAlign w:val="center"/>
          </w:tcPr>
          <w:p w14:paraId="7369C05B" w14:textId="77777777" w:rsidR="0056738E" w:rsidRPr="00C42B7D" w:rsidRDefault="0056738E" w:rsidP="007C2AEE">
            <w:pPr>
              <w:tabs>
                <w:tab w:val="left" w:pos="0"/>
                <w:tab w:val="left" w:pos="282"/>
                <w:tab w:val="left" w:pos="720"/>
              </w:tabs>
              <w:suppressAutoHyphens/>
              <w:spacing w:after="0" w:line="240" w:lineRule="auto"/>
              <w:rPr>
                <w:rFonts w:ascii="Arial" w:eastAsia="Batang" w:hAnsi="Arial" w:cs="Arial"/>
                <w:bCs/>
                <w:iCs/>
                <w:color w:val="262626"/>
                <w:sz w:val="18"/>
                <w:szCs w:val="18"/>
                <w:lang w:val="el-GR" w:eastAsia="en-US"/>
              </w:rPr>
            </w:pPr>
            <w:r>
              <w:rPr>
                <w:rFonts w:ascii="Arial" w:eastAsia="Batang" w:hAnsi="Arial" w:cs="Arial"/>
                <w:bCs/>
                <w:iCs/>
                <w:color w:val="262626"/>
                <w:sz w:val="18"/>
                <w:szCs w:val="18"/>
                <w:lang w:val="el-GR" w:eastAsia="en-US"/>
              </w:rPr>
              <w:t>Ισραήλ</w:t>
            </w:r>
          </w:p>
        </w:tc>
        <w:tc>
          <w:tcPr>
            <w:tcW w:w="1531" w:type="dxa"/>
            <w:shd w:val="clear" w:color="auto" w:fill="auto"/>
            <w:vAlign w:val="center"/>
          </w:tcPr>
          <w:p w14:paraId="3B0565CF"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hAnsi="Arial" w:cs="Arial"/>
                <w:b/>
                <w:bCs/>
                <w:sz w:val="18"/>
                <w:szCs w:val="18"/>
              </w:rPr>
              <w:t>181,843</w:t>
            </w:r>
          </w:p>
        </w:tc>
        <w:tc>
          <w:tcPr>
            <w:tcW w:w="1531" w:type="dxa"/>
            <w:vAlign w:val="center"/>
          </w:tcPr>
          <w:p w14:paraId="591F8EB0" w14:textId="77777777" w:rsidR="0056738E" w:rsidRPr="00C42B7D" w:rsidRDefault="0056738E" w:rsidP="007C2AEE">
            <w:pPr>
              <w:pStyle w:val="BodyText3"/>
              <w:ind w:left="-93"/>
              <w:rPr>
                <w:rFonts w:ascii="Arial" w:hAnsi="Arial" w:cs="Arial"/>
                <w:bCs/>
                <w:color w:val="262626"/>
                <w:sz w:val="18"/>
                <w:szCs w:val="18"/>
              </w:rPr>
            </w:pPr>
            <w:r>
              <w:rPr>
                <w:rFonts w:ascii="Arial" w:hAnsi="Arial" w:cs="Arial"/>
                <w:sz w:val="18"/>
                <w:szCs w:val="18"/>
              </w:rPr>
              <w:t>195,580</w:t>
            </w:r>
          </w:p>
        </w:tc>
      </w:tr>
      <w:tr w:rsidR="0056738E" w:rsidRPr="00E1192D" w14:paraId="66F6F1F2" w14:textId="77777777" w:rsidTr="007C2AEE">
        <w:trPr>
          <w:trHeight w:val="283"/>
          <w:jc w:val="center"/>
        </w:trPr>
        <w:tc>
          <w:tcPr>
            <w:tcW w:w="6803" w:type="dxa"/>
            <w:vAlign w:val="center"/>
          </w:tcPr>
          <w:p w14:paraId="057694B3" w14:textId="77777777" w:rsidR="0056738E" w:rsidRPr="00C42B7D" w:rsidRDefault="0056738E" w:rsidP="007C2AEE">
            <w:pPr>
              <w:tabs>
                <w:tab w:val="left" w:pos="0"/>
                <w:tab w:val="left" w:pos="282"/>
                <w:tab w:val="left" w:pos="720"/>
              </w:tabs>
              <w:suppressAutoHyphens/>
              <w:spacing w:after="0" w:line="240" w:lineRule="auto"/>
              <w:rPr>
                <w:rFonts w:ascii="Arial" w:eastAsia="Batang" w:hAnsi="Arial" w:cs="Arial"/>
                <w:bCs/>
                <w:iCs/>
                <w:color w:val="262626"/>
                <w:sz w:val="18"/>
                <w:szCs w:val="18"/>
                <w:lang w:val="el-GR" w:eastAsia="en-US"/>
              </w:rPr>
            </w:pPr>
            <w:r w:rsidRPr="00C42B7D">
              <w:rPr>
                <w:rFonts w:ascii="Arial" w:eastAsia="Batang" w:hAnsi="Arial" w:cs="Arial"/>
                <w:bCs/>
                <w:iCs/>
                <w:color w:val="262626"/>
                <w:sz w:val="18"/>
                <w:szCs w:val="18"/>
                <w:lang w:val="el-GR" w:eastAsia="en-US"/>
              </w:rPr>
              <w:t>Άλλες χώρες</w:t>
            </w:r>
          </w:p>
        </w:tc>
        <w:tc>
          <w:tcPr>
            <w:tcW w:w="1531" w:type="dxa"/>
            <w:shd w:val="clear" w:color="auto" w:fill="auto"/>
            <w:vAlign w:val="center"/>
          </w:tcPr>
          <w:p w14:paraId="31333826"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hAnsi="Arial" w:cs="Arial"/>
                <w:b/>
                <w:bCs/>
                <w:sz w:val="18"/>
                <w:szCs w:val="18"/>
              </w:rPr>
              <w:t>1,256,171</w:t>
            </w:r>
          </w:p>
        </w:tc>
        <w:tc>
          <w:tcPr>
            <w:tcW w:w="1531" w:type="dxa"/>
            <w:vAlign w:val="center"/>
          </w:tcPr>
          <w:p w14:paraId="14FDC839" w14:textId="77777777" w:rsidR="0056738E" w:rsidRPr="00C42B7D" w:rsidRDefault="0056738E" w:rsidP="007C2AEE">
            <w:pPr>
              <w:pStyle w:val="BodyText3"/>
              <w:ind w:left="-93"/>
              <w:rPr>
                <w:rFonts w:ascii="Arial" w:hAnsi="Arial" w:cs="Arial"/>
                <w:bCs/>
                <w:color w:val="262626"/>
                <w:sz w:val="18"/>
                <w:szCs w:val="18"/>
              </w:rPr>
            </w:pPr>
            <w:r>
              <w:rPr>
                <w:rFonts w:ascii="Arial" w:hAnsi="Arial" w:cs="Arial"/>
                <w:sz w:val="18"/>
                <w:szCs w:val="18"/>
              </w:rPr>
              <w:t>1,337,085</w:t>
            </w:r>
          </w:p>
        </w:tc>
      </w:tr>
      <w:tr w:rsidR="0056738E" w:rsidRPr="00E1192D" w14:paraId="5C873900" w14:textId="77777777" w:rsidTr="007C2AEE">
        <w:trPr>
          <w:trHeight w:val="283"/>
          <w:jc w:val="center"/>
        </w:trPr>
        <w:tc>
          <w:tcPr>
            <w:tcW w:w="6803" w:type="dxa"/>
            <w:vAlign w:val="center"/>
          </w:tcPr>
          <w:p w14:paraId="2AACB672" w14:textId="77777777" w:rsidR="0056738E" w:rsidRPr="00C42B7D" w:rsidRDefault="0056738E" w:rsidP="007C2AEE">
            <w:pPr>
              <w:tabs>
                <w:tab w:val="left" w:pos="0"/>
                <w:tab w:val="left" w:pos="282"/>
                <w:tab w:val="left" w:pos="720"/>
              </w:tabs>
              <w:suppressAutoHyphens/>
              <w:spacing w:after="0" w:line="240" w:lineRule="auto"/>
              <w:rPr>
                <w:rFonts w:ascii="Arial" w:eastAsia="Batang" w:hAnsi="Arial" w:cs="Arial"/>
                <w:bCs/>
                <w:iCs/>
                <w:color w:val="262626"/>
                <w:sz w:val="18"/>
                <w:szCs w:val="18"/>
                <w:lang w:val="el-GR" w:eastAsia="en-US"/>
              </w:rPr>
            </w:pPr>
          </w:p>
        </w:tc>
        <w:tc>
          <w:tcPr>
            <w:tcW w:w="1531" w:type="dxa"/>
            <w:tcBorders>
              <w:top w:val="single" w:sz="6" w:space="0" w:color="000000" w:themeColor="text1"/>
              <w:bottom w:val="double" w:sz="6" w:space="0" w:color="000000" w:themeColor="text1"/>
            </w:tcBorders>
            <w:vAlign w:val="center"/>
          </w:tcPr>
          <w:p w14:paraId="3EDFEB9C"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hAnsi="Arial" w:cs="Arial"/>
                <w:b/>
                <w:bCs/>
                <w:sz w:val="18"/>
                <w:szCs w:val="18"/>
              </w:rPr>
              <w:t>19,988,552</w:t>
            </w:r>
          </w:p>
        </w:tc>
        <w:tc>
          <w:tcPr>
            <w:tcW w:w="1531" w:type="dxa"/>
            <w:tcBorders>
              <w:top w:val="single" w:sz="6" w:space="0" w:color="000000" w:themeColor="text1"/>
              <w:bottom w:val="double" w:sz="6" w:space="0" w:color="000000" w:themeColor="text1"/>
            </w:tcBorders>
            <w:vAlign w:val="center"/>
          </w:tcPr>
          <w:p w14:paraId="2F5EA25B" w14:textId="77777777" w:rsidR="0056738E" w:rsidRPr="00C42B7D" w:rsidRDefault="0056738E" w:rsidP="007C2AEE">
            <w:pPr>
              <w:pStyle w:val="BodyText3"/>
              <w:ind w:left="-93"/>
              <w:rPr>
                <w:rFonts w:ascii="Arial" w:hAnsi="Arial" w:cs="Arial"/>
                <w:bCs/>
                <w:color w:val="262626"/>
                <w:sz w:val="18"/>
                <w:szCs w:val="18"/>
              </w:rPr>
            </w:pPr>
            <w:r>
              <w:rPr>
                <w:rFonts w:ascii="Arial" w:hAnsi="Arial" w:cs="Arial"/>
                <w:sz w:val="18"/>
                <w:szCs w:val="18"/>
              </w:rPr>
              <w:t>19,336,915</w:t>
            </w:r>
          </w:p>
        </w:tc>
      </w:tr>
    </w:tbl>
    <w:p w14:paraId="4AA29AD4" w14:textId="77777777" w:rsidR="0056738E" w:rsidRDefault="0056738E" w:rsidP="0056738E">
      <w:pPr>
        <w:spacing w:after="0" w:line="120" w:lineRule="auto"/>
        <w:rPr>
          <w:rFonts w:ascii="Arial" w:hAnsi="Arial" w:cs="Arial"/>
          <w:b/>
          <w:color w:val="FF9900"/>
          <w:sz w:val="18"/>
          <w:szCs w:val="18"/>
          <w:lang w:val="el-GR"/>
        </w:rPr>
      </w:pPr>
    </w:p>
    <w:p w14:paraId="5B1A8B15" w14:textId="77777777" w:rsidR="0056738E" w:rsidRDefault="0056738E" w:rsidP="0056738E">
      <w:pPr>
        <w:rPr>
          <w:rFonts w:ascii="Arial" w:hAnsi="Arial" w:cs="Arial"/>
          <w:sz w:val="18"/>
          <w:szCs w:val="18"/>
          <w:lang w:val="el-GR"/>
        </w:rPr>
      </w:pPr>
      <w:r>
        <w:rPr>
          <w:rFonts w:ascii="Arial" w:hAnsi="Arial" w:cs="Arial"/>
          <w:sz w:val="18"/>
          <w:szCs w:val="18"/>
          <w:lang w:val="el-GR"/>
        </w:rPr>
        <w:br w:type="page"/>
      </w:r>
    </w:p>
    <w:p w14:paraId="24569D31" w14:textId="77777777" w:rsidR="0056738E" w:rsidRPr="00C30CF6" w:rsidRDefault="0056738E" w:rsidP="0056738E">
      <w:pPr>
        <w:spacing w:after="0" w:line="360" w:lineRule="auto"/>
        <w:ind w:left="851" w:hanging="851"/>
        <w:rPr>
          <w:rFonts w:ascii="Arial" w:hAnsi="Arial" w:cs="Arial"/>
          <w:b/>
          <w:color w:val="FF9900"/>
          <w:lang w:val="el-GR"/>
        </w:rPr>
      </w:pPr>
      <w:r>
        <w:rPr>
          <w:rFonts w:ascii="Arial" w:hAnsi="Arial" w:cs="Arial"/>
          <w:b/>
          <w:color w:val="FF9900"/>
          <w:szCs w:val="16"/>
          <w:lang w:val="el-GR"/>
        </w:rPr>
        <w:lastRenderedPageBreak/>
        <w:t>ΣΤ</w:t>
      </w:r>
      <w:r w:rsidRPr="00C30CF6">
        <w:rPr>
          <w:rFonts w:ascii="Arial" w:hAnsi="Arial" w:cs="Arial"/>
          <w:b/>
          <w:color w:val="FF9900"/>
          <w:szCs w:val="16"/>
          <w:lang w:val="el-GR"/>
        </w:rPr>
        <w:t xml:space="preserve">. </w:t>
      </w:r>
      <w:r w:rsidRPr="001E3958">
        <w:rPr>
          <w:rFonts w:ascii="Arial" w:hAnsi="Arial" w:cs="Arial"/>
          <w:b/>
          <w:color w:val="FF9900"/>
          <w:szCs w:val="16"/>
          <w:lang w:val="el-GR"/>
        </w:rPr>
        <w:tab/>
      </w:r>
      <w:r>
        <w:rPr>
          <w:rFonts w:ascii="Arial" w:hAnsi="Arial" w:cs="Arial"/>
          <w:b/>
          <w:color w:val="FF9900"/>
          <w:lang w:val="el-GR"/>
        </w:rPr>
        <w:t xml:space="preserve">Σημειώσεις </w:t>
      </w:r>
      <w:bookmarkStart w:id="39" w:name="_Hlk115873151"/>
      <w:r w:rsidRPr="00DE031F">
        <w:rPr>
          <w:rFonts w:ascii="Arial" w:hAnsi="Arial" w:cs="Arial"/>
          <w:color w:val="FF9900"/>
          <w:lang w:val="el-GR"/>
        </w:rPr>
        <w:t>(συνέχεια)</w:t>
      </w:r>
      <w:bookmarkEnd w:id="39"/>
    </w:p>
    <w:p w14:paraId="29D91E3E" w14:textId="77777777" w:rsidR="0056738E" w:rsidRDefault="0056738E" w:rsidP="0056738E">
      <w:pPr>
        <w:spacing w:after="0" w:line="360" w:lineRule="auto"/>
        <w:ind w:left="851" w:hanging="851"/>
        <w:rPr>
          <w:rFonts w:ascii="Arial" w:hAnsi="Arial" w:cs="Arial"/>
          <w:sz w:val="18"/>
          <w:szCs w:val="18"/>
          <w:lang w:val="el-GR"/>
        </w:rPr>
      </w:pPr>
      <w:r>
        <w:rPr>
          <w:rFonts w:ascii="Arial" w:hAnsi="Arial" w:cs="Arial"/>
          <w:b/>
          <w:color w:val="FF9900"/>
          <w:lang w:val="el-GR"/>
        </w:rPr>
        <w:t>ΣΤ</w:t>
      </w:r>
      <w:r w:rsidRPr="00CB5177">
        <w:rPr>
          <w:rFonts w:ascii="Arial" w:hAnsi="Arial" w:cs="Arial"/>
          <w:b/>
          <w:color w:val="FF9900"/>
          <w:lang w:val="el-GR"/>
        </w:rPr>
        <w:t>.</w:t>
      </w:r>
      <w:r>
        <w:rPr>
          <w:rFonts w:ascii="Arial" w:hAnsi="Arial" w:cs="Arial"/>
          <w:b/>
          <w:color w:val="FF9900"/>
          <w:lang w:val="el-GR"/>
        </w:rPr>
        <w:t>2</w:t>
      </w:r>
      <w:r w:rsidRPr="00366709">
        <w:rPr>
          <w:rFonts w:ascii="Arial" w:hAnsi="Arial" w:cs="Arial"/>
          <w:b/>
          <w:color w:val="FF9900"/>
          <w:lang w:val="el-GR"/>
        </w:rPr>
        <w:t xml:space="preserve"> </w:t>
      </w:r>
      <w:r w:rsidRPr="00D066DE">
        <w:rPr>
          <w:rFonts w:ascii="Arial" w:hAnsi="Arial" w:cs="Arial"/>
          <w:b/>
          <w:color w:val="FF9900"/>
          <w:lang w:val="el-GR"/>
        </w:rPr>
        <w:tab/>
      </w:r>
      <w:r>
        <w:rPr>
          <w:rFonts w:ascii="Arial" w:hAnsi="Arial" w:cs="Arial"/>
          <w:b/>
          <w:color w:val="FF9900"/>
          <w:lang w:val="el-GR"/>
        </w:rPr>
        <w:t xml:space="preserve">Καταθέσεις πελατών </w:t>
      </w:r>
      <w:r w:rsidRPr="00DE031F">
        <w:rPr>
          <w:rFonts w:ascii="Arial" w:hAnsi="Arial" w:cs="Arial"/>
          <w:color w:val="FF9900"/>
          <w:lang w:val="el-GR"/>
        </w:rPr>
        <w:t>(συνέχεια)</w:t>
      </w:r>
    </w:p>
    <w:tbl>
      <w:tblPr>
        <w:tblW w:w="986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803"/>
        <w:gridCol w:w="1531"/>
        <w:gridCol w:w="1531"/>
      </w:tblGrid>
      <w:tr w:rsidR="0056738E" w:rsidRPr="00E1192D" w14:paraId="729AA14A" w14:textId="77777777" w:rsidTr="007C2AEE">
        <w:trPr>
          <w:trHeight w:val="227"/>
          <w:jc w:val="center"/>
        </w:trPr>
        <w:tc>
          <w:tcPr>
            <w:tcW w:w="6803" w:type="dxa"/>
            <w:tcBorders>
              <w:top w:val="single" w:sz="4" w:space="0" w:color="C0C0C0"/>
            </w:tcBorders>
            <w:vAlign w:val="center"/>
          </w:tcPr>
          <w:p w14:paraId="096A0845"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i/>
                <w:color w:val="262626"/>
                <w:sz w:val="18"/>
                <w:szCs w:val="18"/>
                <w:lang w:val="el-GR"/>
              </w:rPr>
            </w:pPr>
          </w:p>
        </w:tc>
        <w:tc>
          <w:tcPr>
            <w:tcW w:w="1531" w:type="dxa"/>
            <w:tcBorders>
              <w:top w:val="single" w:sz="4" w:space="0" w:color="C0C0C0"/>
              <w:bottom w:val="single" w:sz="4" w:space="0" w:color="C0C0C0"/>
            </w:tcBorders>
            <w:shd w:val="clear" w:color="auto" w:fill="auto"/>
            <w:vAlign w:val="center"/>
          </w:tcPr>
          <w:p w14:paraId="43CBE714" w14:textId="77777777" w:rsidR="0056738E" w:rsidRPr="00C42B7D" w:rsidRDefault="0056738E" w:rsidP="007C2AEE">
            <w:pPr>
              <w:suppressAutoHyphens/>
              <w:spacing w:after="0" w:line="240" w:lineRule="auto"/>
              <w:ind w:left="-110" w:right="-129"/>
              <w:jc w:val="center"/>
              <w:rPr>
                <w:rFonts w:ascii="Arial" w:eastAsia="Batang" w:hAnsi="Arial" w:cs="Arial"/>
                <w:b/>
                <w:bCs/>
                <w:color w:val="262626"/>
                <w:sz w:val="18"/>
                <w:szCs w:val="18"/>
                <w:lang w:eastAsia="en-US"/>
              </w:rPr>
            </w:pPr>
            <w:r>
              <w:rPr>
                <w:rFonts w:ascii="Arial" w:eastAsia="Batang" w:hAnsi="Arial" w:cs="Arial"/>
                <w:b/>
                <w:color w:val="262626"/>
                <w:sz w:val="18"/>
                <w:szCs w:val="18"/>
                <w:lang w:val="el-GR" w:eastAsia="en-US"/>
              </w:rPr>
              <w:t xml:space="preserve">30 </w:t>
            </w:r>
            <w:r w:rsidRPr="00001C90">
              <w:rPr>
                <w:rFonts w:ascii="Arial" w:eastAsia="Batang" w:hAnsi="Arial" w:cs="Arial"/>
                <w:b/>
                <w:color w:val="262626"/>
                <w:sz w:val="18"/>
                <w:szCs w:val="18"/>
                <w:lang w:val="el-GR" w:eastAsia="en-US"/>
              </w:rPr>
              <w:t xml:space="preserve">Σεπτεμβρίου </w:t>
            </w:r>
            <w:r w:rsidRPr="00C42B7D">
              <w:rPr>
                <w:rFonts w:ascii="Arial" w:hAnsi="Arial" w:cs="Arial"/>
                <w:b/>
                <w:color w:val="262626"/>
                <w:sz w:val="18"/>
                <w:szCs w:val="18"/>
                <w:lang w:val="el-GR"/>
              </w:rPr>
              <w:t>202</w:t>
            </w:r>
            <w:r>
              <w:rPr>
                <w:rFonts w:ascii="Arial" w:hAnsi="Arial" w:cs="Arial"/>
                <w:b/>
                <w:color w:val="262626"/>
                <w:sz w:val="18"/>
                <w:szCs w:val="18"/>
                <w:lang w:val="el-GR"/>
              </w:rPr>
              <w:t>4</w:t>
            </w:r>
          </w:p>
        </w:tc>
        <w:tc>
          <w:tcPr>
            <w:tcW w:w="1531" w:type="dxa"/>
            <w:tcBorders>
              <w:top w:val="single" w:sz="4" w:space="0" w:color="C0C0C0"/>
              <w:bottom w:val="single" w:sz="4" w:space="0" w:color="C0C0C0"/>
            </w:tcBorders>
            <w:shd w:val="clear" w:color="auto" w:fill="FFFFFF"/>
            <w:vAlign w:val="center"/>
          </w:tcPr>
          <w:p w14:paraId="006CC3F6" w14:textId="77777777" w:rsidR="0056738E" w:rsidRPr="00C42B7D" w:rsidRDefault="0056738E" w:rsidP="007C2AEE">
            <w:pPr>
              <w:tabs>
                <w:tab w:val="left" w:pos="0"/>
                <w:tab w:val="left" w:pos="282"/>
                <w:tab w:val="left" w:pos="720"/>
              </w:tabs>
              <w:suppressAutoHyphens/>
              <w:spacing w:after="0" w:line="240" w:lineRule="auto"/>
              <w:jc w:val="center"/>
              <w:rPr>
                <w:rFonts w:ascii="Arial" w:eastAsia="Batang" w:hAnsi="Arial" w:cs="Arial"/>
                <w:color w:val="262626"/>
                <w:sz w:val="18"/>
                <w:szCs w:val="18"/>
                <w:lang w:val="el-GR" w:eastAsia="en-US"/>
              </w:rPr>
            </w:pPr>
            <w:r w:rsidRPr="00C42B7D">
              <w:rPr>
                <w:rFonts w:ascii="Arial" w:eastAsia="Batang" w:hAnsi="Arial" w:cs="Arial"/>
                <w:color w:val="262626"/>
                <w:sz w:val="18"/>
                <w:szCs w:val="18"/>
                <w:lang w:val="el-GR" w:eastAsia="en-US"/>
              </w:rPr>
              <w:t>31 Δεκεμβρίου</w:t>
            </w:r>
          </w:p>
          <w:p w14:paraId="67A651BD" w14:textId="77777777" w:rsidR="0056738E" w:rsidRPr="00C42B7D" w:rsidRDefault="0056738E" w:rsidP="007C2AEE">
            <w:pPr>
              <w:pStyle w:val="BodyText3"/>
              <w:ind w:left="-93"/>
              <w:jc w:val="center"/>
              <w:rPr>
                <w:rFonts w:ascii="Arial" w:hAnsi="Arial" w:cs="Arial"/>
                <w:bCs/>
                <w:color w:val="262626"/>
                <w:sz w:val="18"/>
                <w:szCs w:val="18"/>
              </w:rPr>
            </w:pPr>
            <w:r w:rsidRPr="00C42B7D">
              <w:rPr>
                <w:rFonts w:ascii="Arial" w:eastAsia="Batang" w:hAnsi="Arial" w:cs="Arial"/>
                <w:color w:val="262626"/>
                <w:sz w:val="18"/>
                <w:szCs w:val="18"/>
                <w:lang w:val="el-GR" w:eastAsia="en-US"/>
              </w:rPr>
              <w:t>202</w:t>
            </w:r>
            <w:r>
              <w:rPr>
                <w:rFonts w:ascii="Arial" w:eastAsia="Batang" w:hAnsi="Arial" w:cs="Arial"/>
                <w:color w:val="262626"/>
                <w:sz w:val="18"/>
                <w:szCs w:val="18"/>
                <w:lang w:val="el-GR" w:eastAsia="en-US"/>
              </w:rPr>
              <w:t>3</w:t>
            </w:r>
          </w:p>
        </w:tc>
      </w:tr>
      <w:tr w:rsidR="0056738E" w:rsidRPr="00E1192D" w14:paraId="6C87F77C" w14:textId="77777777" w:rsidTr="007C2AEE">
        <w:trPr>
          <w:trHeight w:val="227"/>
          <w:jc w:val="center"/>
        </w:trPr>
        <w:tc>
          <w:tcPr>
            <w:tcW w:w="6803" w:type="dxa"/>
            <w:vAlign w:val="center"/>
          </w:tcPr>
          <w:p w14:paraId="312A9330"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i/>
                <w:color w:val="262626"/>
                <w:sz w:val="18"/>
                <w:szCs w:val="18"/>
                <w:lang w:val="el-GR"/>
              </w:rPr>
            </w:pPr>
            <w:r w:rsidRPr="00C42B7D">
              <w:rPr>
                <w:rFonts w:ascii="Arial" w:hAnsi="Arial" w:cs="Arial"/>
                <w:i/>
                <w:color w:val="262626"/>
                <w:sz w:val="18"/>
                <w:szCs w:val="18"/>
                <w:lang w:val="el-GR"/>
              </w:rPr>
              <w:t>Ανά νόμισμα</w:t>
            </w:r>
          </w:p>
        </w:tc>
        <w:tc>
          <w:tcPr>
            <w:tcW w:w="1531" w:type="dxa"/>
            <w:tcBorders>
              <w:top w:val="single" w:sz="4" w:space="0" w:color="C0C0C0"/>
            </w:tcBorders>
            <w:shd w:val="clear" w:color="auto" w:fill="auto"/>
            <w:vAlign w:val="center"/>
          </w:tcPr>
          <w:p w14:paraId="495D634A" w14:textId="77777777" w:rsidR="0056738E" w:rsidRPr="00C42B7D" w:rsidRDefault="0056738E" w:rsidP="007C2AEE">
            <w:pPr>
              <w:tabs>
                <w:tab w:val="left" w:pos="0"/>
                <w:tab w:val="left" w:pos="282"/>
                <w:tab w:val="left" w:pos="720"/>
              </w:tabs>
              <w:suppressAutoHyphens/>
              <w:spacing w:after="0" w:line="240" w:lineRule="auto"/>
              <w:jc w:val="center"/>
              <w:rPr>
                <w:rFonts w:ascii="Arial" w:eastAsia="Batang" w:hAnsi="Arial" w:cs="Arial"/>
                <w:b/>
                <w:bCs/>
                <w:color w:val="262626"/>
                <w:sz w:val="18"/>
                <w:szCs w:val="18"/>
                <w:lang w:eastAsia="en-US"/>
              </w:rPr>
            </w:pPr>
            <w:r w:rsidRPr="00C42B7D">
              <w:rPr>
                <w:rFonts w:ascii="Arial" w:hAnsi="Arial" w:cs="Arial"/>
                <w:b/>
                <w:color w:val="262626"/>
                <w:sz w:val="18"/>
                <w:szCs w:val="18"/>
                <w:lang w:val="el-GR"/>
              </w:rPr>
              <w:t>€00</w:t>
            </w:r>
            <w:r w:rsidRPr="00C42B7D">
              <w:rPr>
                <w:rFonts w:ascii="Arial" w:hAnsi="Arial" w:cs="Arial"/>
                <w:b/>
                <w:color w:val="262626"/>
                <w:sz w:val="18"/>
                <w:szCs w:val="18"/>
              </w:rPr>
              <w:t>0</w:t>
            </w:r>
          </w:p>
        </w:tc>
        <w:tc>
          <w:tcPr>
            <w:tcW w:w="1531" w:type="dxa"/>
            <w:tcBorders>
              <w:top w:val="single" w:sz="4" w:space="0" w:color="C0C0C0"/>
            </w:tcBorders>
            <w:shd w:val="clear" w:color="auto" w:fill="FFFFFF"/>
            <w:vAlign w:val="center"/>
          </w:tcPr>
          <w:p w14:paraId="1EB6F955" w14:textId="77777777" w:rsidR="0056738E" w:rsidRPr="00C42B7D" w:rsidRDefault="0056738E" w:rsidP="007C2AEE">
            <w:pPr>
              <w:pStyle w:val="BodyText3"/>
              <w:ind w:left="-93"/>
              <w:jc w:val="center"/>
              <w:rPr>
                <w:rFonts w:ascii="Arial" w:hAnsi="Arial" w:cs="Arial"/>
                <w:bCs/>
                <w:color w:val="262626"/>
                <w:sz w:val="18"/>
                <w:szCs w:val="18"/>
              </w:rPr>
            </w:pPr>
            <w:r w:rsidRPr="00C42B7D">
              <w:rPr>
                <w:rFonts w:ascii="Arial" w:eastAsia="Batang" w:hAnsi="Arial" w:cs="Arial"/>
                <w:color w:val="262626"/>
                <w:sz w:val="18"/>
                <w:szCs w:val="18"/>
                <w:lang w:val="el-GR" w:eastAsia="en-US"/>
              </w:rPr>
              <w:t>€000</w:t>
            </w:r>
          </w:p>
        </w:tc>
      </w:tr>
      <w:tr w:rsidR="0056738E" w:rsidRPr="00E1192D" w14:paraId="0D79C24B" w14:textId="77777777" w:rsidTr="007C2AEE">
        <w:trPr>
          <w:trHeight w:val="227"/>
          <w:jc w:val="center"/>
        </w:trPr>
        <w:tc>
          <w:tcPr>
            <w:tcW w:w="6803" w:type="dxa"/>
            <w:vAlign w:val="center"/>
          </w:tcPr>
          <w:p w14:paraId="372E466F"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color w:val="262626"/>
                <w:sz w:val="18"/>
                <w:szCs w:val="18"/>
                <w:lang w:val="el-GR"/>
              </w:rPr>
            </w:pPr>
            <w:r w:rsidRPr="00C42B7D">
              <w:rPr>
                <w:rFonts w:ascii="Arial" w:hAnsi="Arial" w:cs="Arial"/>
                <w:color w:val="262626"/>
                <w:sz w:val="18"/>
                <w:szCs w:val="18"/>
                <w:lang w:val="el-GR"/>
              </w:rPr>
              <w:t>Ευρώ</w:t>
            </w:r>
          </w:p>
        </w:tc>
        <w:tc>
          <w:tcPr>
            <w:tcW w:w="1531" w:type="dxa"/>
            <w:shd w:val="clear" w:color="auto" w:fill="auto"/>
            <w:vAlign w:val="center"/>
          </w:tcPr>
          <w:p w14:paraId="0550E9DE"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val="en-US" w:eastAsia="en-US"/>
              </w:rPr>
              <w:t>18,216,501</w:t>
            </w:r>
          </w:p>
        </w:tc>
        <w:tc>
          <w:tcPr>
            <w:tcW w:w="1531" w:type="dxa"/>
            <w:shd w:val="clear" w:color="auto" w:fill="auto"/>
            <w:vAlign w:val="center"/>
          </w:tcPr>
          <w:p w14:paraId="0C289F73" w14:textId="77777777" w:rsidR="0056738E" w:rsidRPr="00C42B7D" w:rsidRDefault="0056738E" w:rsidP="007C2AEE">
            <w:pPr>
              <w:spacing w:after="0" w:line="240" w:lineRule="auto"/>
              <w:jc w:val="right"/>
              <w:rPr>
                <w:rFonts w:ascii="Arial" w:hAnsi="Arial" w:cs="Arial"/>
                <w:color w:val="262626"/>
                <w:sz w:val="18"/>
                <w:szCs w:val="18"/>
              </w:rPr>
            </w:pPr>
            <w:r w:rsidRPr="002D1FED">
              <w:rPr>
                <w:rFonts w:ascii="Arial" w:eastAsia="Batang" w:hAnsi="Arial" w:cs="Arial"/>
                <w:color w:val="262626"/>
                <w:sz w:val="18"/>
                <w:szCs w:val="18"/>
                <w:lang w:val="en-US" w:eastAsia="en-US"/>
              </w:rPr>
              <w:t>17,514,400</w:t>
            </w:r>
          </w:p>
        </w:tc>
      </w:tr>
      <w:tr w:rsidR="0056738E" w:rsidRPr="00E1192D" w14:paraId="227B05BB" w14:textId="77777777" w:rsidTr="007C2AEE">
        <w:trPr>
          <w:trHeight w:val="227"/>
          <w:jc w:val="center"/>
        </w:trPr>
        <w:tc>
          <w:tcPr>
            <w:tcW w:w="6803" w:type="dxa"/>
            <w:vAlign w:val="center"/>
          </w:tcPr>
          <w:p w14:paraId="131F5D9D"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color w:val="262626"/>
                <w:sz w:val="18"/>
                <w:szCs w:val="18"/>
                <w:lang w:val="el-GR"/>
              </w:rPr>
            </w:pPr>
            <w:r w:rsidRPr="00C42B7D">
              <w:rPr>
                <w:rFonts w:ascii="Arial" w:hAnsi="Arial" w:cs="Arial"/>
                <w:color w:val="262626"/>
                <w:sz w:val="18"/>
                <w:szCs w:val="18"/>
                <w:lang w:val="el-GR"/>
              </w:rPr>
              <w:t>Δολάριο Αμερικής</w:t>
            </w:r>
          </w:p>
        </w:tc>
        <w:tc>
          <w:tcPr>
            <w:tcW w:w="1531" w:type="dxa"/>
            <w:shd w:val="clear" w:color="auto" w:fill="auto"/>
            <w:vAlign w:val="center"/>
          </w:tcPr>
          <w:p w14:paraId="35570383"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val="en-US" w:eastAsia="en-US"/>
              </w:rPr>
              <w:t>1,399,318</w:t>
            </w:r>
          </w:p>
        </w:tc>
        <w:tc>
          <w:tcPr>
            <w:tcW w:w="1531" w:type="dxa"/>
            <w:shd w:val="clear" w:color="auto" w:fill="auto"/>
            <w:vAlign w:val="center"/>
          </w:tcPr>
          <w:p w14:paraId="662E8A42" w14:textId="77777777" w:rsidR="0056738E" w:rsidRPr="00C42B7D" w:rsidRDefault="0056738E" w:rsidP="007C2AEE">
            <w:pPr>
              <w:spacing w:after="0" w:line="240" w:lineRule="auto"/>
              <w:jc w:val="right"/>
              <w:rPr>
                <w:rFonts w:ascii="Arial" w:hAnsi="Arial" w:cs="Arial"/>
                <w:color w:val="262626"/>
                <w:sz w:val="18"/>
                <w:szCs w:val="18"/>
              </w:rPr>
            </w:pPr>
            <w:r w:rsidRPr="002D1FED">
              <w:rPr>
                <w:rFonts w:ascii="Arial" w:eastAsia="Batang" w:hAnsi="Arial" w:cs="Arial"/>
                <w:color w:val="262626"/>
                <w:sz w:val="18"/>
                <w:szCs w:val="18"/>
                <w:lang w:val="en-US" w:eastAsia="en-US"/>
              </w:rPr>
              <w:t>1,448,753</w:t>
            </w:r>
          </w:p>
        </w:tc>
      </w:tr>
      <w:tr w:rsidR="0056738E" w:rsidRPr="00E1192D" w14:paraId="4B3BD00A" w14:textId="77777777" w:rsidTr="007C2AEE">
        <w:trPr>
          <w:trHeight w:val="227"/>
          <w:jc w:val="center"/>
        </w:trPr>
        <w:tc>
          <w:tcPr>
            <w:tcW w:w="6803" w:type="dxa"/>
            <w:vAlign w:val="center"/>
          </w:tcPr>
          <w:p w14:paraId="6497A528"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color w:val="262626"/>
                <w:sz w:val="18"/>
                <w:szCs w:val="18"/>
                <w:lang w:val="el-GR"/>
              </w:rPr>
            </w:pPr>
            <w:r w:rsidRPr="00C42B7D">
              <w:rPr>
                <w:rFonts w:ascii="Arial" w:hAnsi="Arial" w:cs="Arial"/>
                <w:color w:val="262626"/>
                <w:sz w:val="18"/>
                <w:szCs w:val="18"/>
                <w:lang w:val="el-GR"/>
              </w:rPr>
              <w:t>Αγγλική Στερλίνα</w:t>
            </w:r>
          </w:p>
        </w:tc>
        <w:tc>
          <w:tcPr>
            <w:tcW w:w="1531" w:type="dxa"/>
            <w:tcBorders>
              <w:top w:val="single" w:sz="4" w:space="0" w:color="C0C0C0"/>
              <w:bottom w:val="single" w:sz="4" w:space="0" w:color="C0C0C0"/>
            </w:tcBorders>
            <w:shd w:val="clear" w:color="auto" w:fill="auto"/>
            <w:vAlign w:val="center"/>
          </w:tcPr>
          <w:p w14:paraId="28A7E1A6"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val="en-US" w:eastAsia="en-US"/>
              </w:rPr>
              <w:t>308,828</w:t>
            </w:r>
          </w:p>
        </w:tc>
        <w:tc>
          <w:tcPr>
            <w:tcW w:w="1531" w:type="dxa"/>
            <w:tcBorders>
              <w:top w:val="single" w:sz="4" w:space="0" w:color="C0C0C0"/>
              <w:bottom w:val="single" w:sz="4" w:space="0" w:color="C0C0C0"/>
            </w:tcBorders>
            <w:shd w:val="clear" w:color="auto" w:fill="auto"/>
            <w:vAlign w:val="center"/>
          </w:tcPr>
          <w:p w14:paraId="4B886948" w14:textId="77777777" w:rsidR="0056738E" w:rsidRPr="00C42B7D" w:rsidRDefault="0056738E" w:rsidP="007C2AEE">
            <w:pPr>
              <w:spacing w:after="0" w:line="240" w:lineRule="auto"/>
              <w:jc w:val="right"/>
              <w:rPr>
                <w:rFonts w:ascii="Arial" w:hAnsi="Arial" w:cs="Arial"/>
                <w:color w:val="262626"/>
                <w:sz w:val="18"/>
                <w:szCs w:val="18"/>
              </w:rPr>
            </w:pPr>
            <w:r w:rsidRPr="002D1FED">
              <w:rPr>
                <w:rFonts w:ascii="Arial" w:eastAsia="Batang" w:hAnsi="Arial" w:cs="Arial"/>
                <w:color w:val="262626"/>
                <w:sz w:val="18"/>
                <w:szCs w:val="18"/>
                <w:lang w:val="en-US" w:eastAsia="en-US"/>
              </w:rPr>
              <w:t>300,867</w:t>
            </w:r>
          </w:p>
        </w:tc>
      </w:tr>
      <w:tr w:rsidR="0056738E" w:rsidRPr="00E1192D" w14:paraId="107114B8" w14:textId="77777777" w:rsidTr="007C2AEE">
        <w:trPr>
          <w:trHeight w:val="227"/>
          <w:jc w:val="center"/>
        </w:trPr>
        <w:tc>
          <w:tcPr>
            <w:tcW w:w="6803" w:type="dxa"/>
            <w:vAlign w:val="center"/>
          </w:tcPr>
          <w:p w14:paraId="50A8E427"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color w:val="262626"/>
                <w:sz w:val="18"/>
                <w:szCs w:val="18"/>
                <w:lang w:val="el-GR"/>
              </w:rPr>
            </w:pPr>
            <w:r w:rsidRPr="00C42B7D">
              <w:rPr>
                <w:rFonts w:ascii="Arial" w:hAnsi="Arial" w:cs="Arial"/>
                <w:color w:val="262626"/>
                <w:sz w:val="18"/>
                <w:szCs w:val="18"/>
                <w:lang w:val="el-GR"/>
              </w:rPr>
              <w:t>Ρωσικό Ρούβλι</w:t>
            </w:r>
          </w:p>
        </w:tc>
        <w:tc>
          <w:tcPr>
            <w:tcW w:w="1531" w:type="dxa"/>
            <w:tcBorders>
              <w:top w:val="single" w:sz="4" w:space="0" w:color="C0C0C0"/>
              <w:bottom w:val="single" w:sz="4" w:space="0" w:color="C0C0C0"/>
            </w:tcBorders>
            <w:shd w:val="clear" w:color="auto" w:fill="auto"/>
            <w:vAlign w:val="center"/>
          </w:tcPr>
          <w:p w14:paraId="7A4581CF"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val="en-US" w:eastAsia="en-US"/>
              </w:rPr>
              <w:t>1,208</w:t>
            </w:r>
          </w:p>
        </w:tc>
        <w:tc>
          <w:tcPr>
            <w:tcW w:w="1531" w:type="dxa"/>
            <w:tcBorders>
              <w:top w:val="single" w:sz="4" w:space="0" w:color="C0C0C0"/>
              <w:bottom w:val="single" w:sz="4" w:space="0" w:color="C0C0C0"/>
            </w:tcBorders>
            <w:shd w:val="clear" w:color="auto" w:fill="auto"/>
            <w:vAlign w:val="center"/>
          </w:tcPr>
          <w:p w14:paraId="5791D3A4" w14:textId="77777777" w:rsidR="0056738E" w:rsidRPr="00C42B7D" w:rsidRDefault="0056738E" w:rsidP="007C2AEE">
            <w:pPr>
              <w:spacing w:after="0" w:line="240" w:lineRule="auto"/>
              <w:jc w:val="right"/>
              <w:rPr>
                <w:rFonts w:ascii="Arial" w:hAnsi="Arial" w:cs="Arial"/>
                <w:color w:val="262626"/>
                <w:sz w:val="18"/>
                <w:szCs w:val="18"/>
              </w:rPr>
            </w:pPr>
            <w:r w:rsidRPr="002D1FED">
              <w:rPr>
                <w:rFonts w:ascii="Arial" w:eastAsia="Batang" w:hAnsi="Arial" w:cs="Arial"/>
                <w:color w:val="262626"/>
                <w:sz w:val="18"/>
                <w:szCs w:val="18"/>
                <w:lang w:val="en-US" w:eastAsia="en-US"/>
              </w:rPr>
              <w:t>1,322</w:t>
            </w:r>
          </w:p>
        </w:tc>
      </w:tr>
      <w:tr w:rsidR="0056738E" w:rsidRPr="00E1192D" w14:paraId="71406487" w14:textId="77777777" w:rsidTr="007C2AEE">
        <w:trPr>
          <w:trHeight w:val="227"/>
          <w:jc w:val="center"/>
        </w:trPr>
        <w:tc>
          <w:tcPr>
            <w:tcW w:w="6803" w:type="dxa"/>
            <w:vAlign w:val="center"/>
          </w:tcPr>
          <w:p w14:paraId="5D349E06"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color w:val="262626"/>
                <w:sz w:val="18"/>
                <w:szCs w:val="18"/>
                <w:lang w:val="el-GR"/>
              </w:rPr>
            </w:pPr>
            <w:r w:rsidRPr="00C42B7D">
              <w:rPr>
                <w:rFonts w:ascii="Arial" w:hAnsi="Arial" w:cs="Arial"/>
                <w:color w:val="262626"/>
                <w:sz w:val="18"/>
                <w:szCs w:val="18"/>
                <w:lang w:val="el-GR"/>
              </w:rPr>
              <w:t>Ελβετικό Φράγκο</w:t>
            </w:r>
          </w:p>
        </w:tc>
        <w:tc>
          <w:tcPr>
            <w:tcW w:w="1531" w:type="dxa"/>
            <w:tcBorders>
              <w:bottom w:val="single" w:sz="4" w:space="0" w:color="C0C0C0"/>
            </w:tcBorders>
            <w:shd w:val="clear" w:color="auto" w:fill="FFFFFF" w:themeFill="background1"/>
            <w:vAlign w:val="center"/>
          </w:tcPr>
          <w:p w14:paraId="469F3B73"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val="en-US" w:eastAsia="en-US"/>
              </w:rPr>
              <w:t>8,296</w:t>
            </w:r>
          </w:p>
        </w:tc>
        <w:tc>
          <w:tcPr>
            <w:tcW w:w="1531" w:type="dxa"/>
            <w:tcBorders>
              <w:bottom w:val="single" w:sz="4" w:space="0" w:color="C0C0C0"/>
            </w:tcBorders>
            <w:shd w:val="clear" w:color="auto" w:fill="FFFFFF" w:themeFill="background1"/>
            <w:vAlign w:val="center"/>
          </w:tcPr>
          <w:p w14:paraId="65B87A80" w14:textId="77777777" w:rsidR="0056738E" w:rsidRPr="00C42B7D" w:rsidRDefault="0056738E" w:rsidP="007C2AEE">
            <w:pPr>
              <w:spacing w:after="0" w:line="240" w:lineRule="auto"/>
              <w:jc w:val="right"/>
              <w:rPr>
                <w:rFonts w:ascii="Arial" w:hAnsi="Arial" w:cs="Arial"/>
                <w:color w:val="262626"/>
                <w:sz w:val="18"/>
                <w:szCs w:val="18"/>
              </w:rPr>
            </w:pPr>
            <w:r w:rsidRPr="002D1FED">
              <w:rPr>
                <w:rFonts w:ascii="Arial" w:eastAsia="Batang" w:hAnsi="Arial" w:cs="Arial"/>
                <w:color w:val="262626"/>
                <w:sz w:val="18"/>
                <w:szCs w:val="18"/>
                <w:lang w:val="en-US" w:eastAsia="en-US"/>
              </w:rPr>
              <w:t>8,947</w:t>
            </w:r>
          </w:p>
        </w:tc>
      </w:tr>
      <w:tr w:rsidR="0056738E" w:rsidRPr="00E1192D" w14:paraId="7A964ED6" w14:textId="77777777" w:rsidTr="007C2AEE">
        <w:trPr>
          <w:trHeight w:val="227"/>
          <w:jc w:val="center"/>
        </w:trPr>
        <w:tc>
          <w:tcPr>
            <w:tcW w:w="6803" w:type="dxa"/>
            <w:vAlign w:val="center"/>
          </w:tcPr>
          <w:p w14:paraId="4E5D7BB0"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color w:val="262626"/>
                <w:sz w:val="18"/>
                <w:szCs w:val="18"/>
                <w:lang w:val="el-GR"/>
              </w:rPr>
            </w:pPr>
            <w:r w:rsidRPr="00C42B7D">
              <w:rPr>
                <w:rFonts w:ascii="Arial" w:hAnsi="Arial" w:cs="Arial"/>
                <w:color w:val="262626"/>
                <w:sz w:val="18"/>
                <w:szCs w:val="18"/>
                <w:lang w:val="el-GR"/>
              </w:rPr>
              <w:t>Άλλα νομίσματα</w:t>
            </w:r>
          </w:p>
        </w:tc>
        <w:tc>
          <w:tcPr>
            <w:tcW w:w="1531" w:type="dxa"/>
            <w:tcBorders>
              <w:bottom w:val="single" w:sz="4" w:space="0" w:color="C0C0C0"/>
            </w:tcBorders>
            <w:shd w:val="clear" w:color="auto" w:fill="FFFFFF" w:themeFill="background1"/>
            <w:vAlign w:val="center"/>
          </w:tcPr>
          <w:p w14:paraId="735EF776" w14:textId="77777777" w:rsidR="0056738E" w:rsidRPr="00C42B7D" w:rsidDel="00FC7307"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val="en-US" w:eastAsia="en-US"/>
              </w:rPr>
              <w:t>54,401</w:t>
            </w:r>
          </w:p>
        </w:tc>
        <w:tc>
          <w:tcPr>
            <w:tcW w:w="1531" w:type="dxa"/>
            <w:tcBorders>
              <w:bottom w:val="single" w:sz="4" w:space="0" w:color="C0C0C0"/>
            </w:tcBorders>
            <w:shd w:val="clear" w:color="auto" w:fill="FFFFFF" w:themeFill="background1"/>
            <w:vAlign w:val="center"/>
          </w:tcPr>
          <w:p w14:paraId="1D48529F" w14:textId="77777777" w:rsidR="0056738E" w:rsidRPr="00C42B7D" w:rsidRDefault="0056738E" w:rsidP="007C2AEE">
            <w:pPr>
              <w:spacing w:after="0" w:line="240" w:lineRule="auto"/>
              <w:jc w:val="right"/>
              <w:rPr>
                <w:rFonts w:ascii="Arial" w:hAnsi="Arial" w:cs="Arial"/>
                <w:color w:val="262626"/>
                <w:sz w:val="18"/>
                <w:szCs w:val="18"/>
              </w:rPr>
            </w:pPr>
            <w:r w:rsidRPr="002D1FED">
              <w:rPr>
                <w:rFonts w:ascii="Arial" w:eastAsia="Batang" w:hAnsi="Arial" w:cs="Arial"/>
                <w:color w:val="262626"/>
                <w:sz w:val="18"/>
                <w:szCs w:val="18"/>
                <w:lang w:val="en-US" w:eastAsia="en-US"/>
              </w:rPr>
              <w:t>62,626</w:t>
            </w:r>
          </w:p>
        </w:tc>
      </w:tr>
      <w:tr w:rsidR="0056738E" w:rsidRPr="00E1192D" w14:paraId="3650F458" w14:textId="77777777" w:rsidTr="007C2AEE">
        <w:trPr>
          <w:trHeight w:val="227"/>
          <w:jc w:val="center"/>
        </w:trPr>
        <w:tc>
          <w:tcPr>
            <w:tcW w:w="6803" w:type="dxa"/>
            <w:vAlign w:val="center"/>
          </w:tcPr>
          <w:p w14:paraId="735B66F8" w14:textId="77777777" w:rsidR="0056738E" w:rsidRPr="000F1922"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color w:val="262626"/>
                <w:sz w:val="18"/>
                <w:szCs w:val="18"/>
                <w:lang w:val="el-GR"/>
              </w:rPr>
            </w:pPr>
          </w:p>
        </w:tc>
        <w:tc>
          <w:tcPr>
            <w:tcW w:w="1531" w:type="dxa"/>
            <w:tcBorders>
              <w:top w:val="single" w:sz="6" w:space="0" w:color="000000" w:themeColor="text1"/>
              <w:bottom w:val="double" w:sz="6" w:space="0" w:color="000000" w:themeColor="text1"/>
            </w:tcBorders>
            <w:shd w:val="clear" w:color="auto" w:fill="FFFFFF" w:themeFill="background1"/>
            <w:vAlign w:val="center"/>
          </w:tcPr>
          <w:p w14:paraId="148A226C" w14:textId="77777777" w:rsidR="0056738E" w:rsidRPr="00C42B7D"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val="en-US" w:eastAsia="en-US"/>
              </w:rPr>
              <w:t>19,988,552</w:t>
            </w:r>
          </w:p>
        </w:tc>
        <w:tc>
          <w:tcPr>
            <w:tcW w:w="1531" w:type="dxa"/>
            <w:tcBorders>
              <w:top w:val="single" w:sz="6" w:space="0" w:color="000000" w:themeColor="text1"/>
              <w:bottom w:val="double" w:sz="6" w:space="0" w:color="000000" w:themeColor="text1"/>
            </w:tcBorders>
            <w:shd w:val="clear" w:color="auto" w:fill="FFFFFF" w:themeFill="background1"/>
            <w:vAlign w:val="center"/>
          </w:tcPr>
          <w:p w14:paraId="1257331F" w14:textId="77777777" w:rsidR="0056738E" w:rsidRPr="00C42B7D" w:rsidRDefault="0056738E" w:rsidP="007C2AEE">
            <w:pPr>
              <w:spacing w:after="0" w:line="240" w:lineRule="auto"/>
              <w:jc w:val="right"/>
              <w:rPr>
                <w:rFonts w:ascii="Arial" w:hAnsi="Arial" w:cs="Arial"/>
                <w:color w:val="262626"/>
                <w:sz w:val="18"/>
                <w:szCs w:val="18"/>
              </w:rPr>
            </w:pPr>
            <w:r w:rsidRPr="002D1FED">
              <w:rPr>
                <w:rFonts w:ascii="Arial" w:eastAsia="Batang" w:hAnsi="Arial" w:cs="Arial"/>
                <w:color w:val="262626"/>
                <w:sz w:val="18"/>
                <w:szCs w:val="18"/>
                <w:lang w:val="en-US" w:eastAsia="en-US"/>
              </w:rPr>
              <w:t>19,336,915</w:t>
            </w:r>
          </w:p>
        </w:tc>
      </w:tr>
      <w:tr w:rsidR="0056738E" w:rsidRPr="00E1192D" w14:paraId="2F475D79" w14:textId="77777777" w:rsidTr="007C2AEE">
        <w:trPr>
          <w:trHeight w:val="227"/>
          <w:jc w:val="center"/>
        </w:trPr>
        <w:tc>
          <w:tcPr>
            <w:tcW w:w="6803" w:type="dxa"/>
            <w:vAlign w:val="center"/>
          </w:tcPr>
          <w:p w14:paraId="5ABAA3C4" w14:textId="77777777" w:rsidR="0056738E" w:rsidRPr="000F1922"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i/>
                <w:color w:val="262626"/>
                <w:sz w:val="18"/>
                <w:szCs w:val="18"/>
                <w:lang w:val="el-GR"/>
              </w:rPr>
            </w:pPr>
          </w:p>
        </w:tc>
        <w:tc>
          <w:tcPr>
            <w:tcW w:w="1531" w:type="dxa"/>
            <w:tcBorders>
              <w:top w:val="single" w:sz="4" w:space="0" w:color="C0C0C0"/>
              <w:bottom w:val="single" w:sz="4" w:space="0" w:color="C0C0C0"/>
            </w:tcBorders>
            <w:shd w:val="clear" w:color="auto" w:fill="auto"/>
            <w:vAlign w:val="center"/>
          </w:tcPr>
          <w:p w14:paraId="45298133" w14:textId="77777777" w:rsidR="0056738E"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center"/>
              <w:rPr>
                <w:rFonts w:ascii="Arial" w:eastAsia="Batang" w:hAnsi="Arial" w:cs="Arial"/>
                <w:b/>
                <w:color w:val="262626"/>
                <w:sz w:val="18"/>
                <w:szCs w:val="18"/>
                <w:lang w:val="el-GR" w:eastAsia="en-US"/>
              </w:rPr>
            </w:pPr>
          </w:p>
        </w:tc>
        <w:tc>
          <w:tcPr>
            <w:tcW w:w="1531" w:type="dxa"/>
            <w:tcBorders>
              <w:top w:val="single" w:sz="4" w:space="0" w:color="C0C0C0"/>
              <w:bottom w:val="single" w:sz="4" w:space="0" w:color="C0C0C0"/>
            </w:tcBorders>
            <w:shd w:val="clear" w:color="auto" w:fill="FFFFFF"/>
            <w:vAlign w:val="center"/>
          </w:tcPr>
          <w:p w14:paraId="644E6A0D" w14:textId="77777777" w:rsidR="0056738E" w:rsidRPr="00C42B7D" w:rsidRDefault="0056738E" w:rsidP="007C2AEE">
            <w:pPr>
              <w:tabs>
                <w:tab w:val="left" w:pos="0"/>
                <w:tab w:val="left" w:pos="282"/>
                <w:tab w:val="left" w:pos="720"/>
              </w:tabs>
              <w:suppressAutoHyphens/>
              <w:spacing w:after="0" w:line="240" w:lineRule="auto"/>
              <w:jc w:val="center"/>
              <w:rPr>
                <w:rFonts w:ascii="Arial" w:eastAsia="Batang" w:hAnsi="Arial" w:cs="Arial"/>
                <w:color w:val="262626"/>
                <w:sz w:val="18"/>
                <w:szCs w:val="18"/>
                <w:lang w:val="el-GR" w:eastAsia="en-US"/>
              </w:rPr>
            </w:pPr>
          </w:p>
        </w:tc>
      </w:tr>
      <w:tr w:rsidR="0056738E" w:rsidRPr="00E1192D" w14:paraId="6D377AEA" w14:textId="77777777" w:rsidTr="007C2AEE">
        <w:trPr>
          <w:trHeight w:val="227"/>
          <w:jc w:val="center"/>
        </w:trPr>
        <w:tc>
          <w:tcPr>
            <w:tcW w:w="6803" w:type="dxa"/>
            <w:vAlign w:val="center"/>
          </w:tcPr>
          <w:p w14:paraId="5FD9C23F" w14:textId="77777777" w:rsidR="0056738E" w:rsidRPr="000F1922"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i/>
                <w:color w:val="262626"/>
                <w:sz w:val="18"/>
                <w:szCs w:val="18"/>
                <w:lang w:val="el-GR"/>
              </w:rPr>
            </w:pPr>
          </w:p>
        </w:tc>
        <w:tc>
          <w:tcPr>
            <w:tcW w:w="1531" w:type="dxa"/>
            <w:tcBorders>
              <w:top w:val="single" w:sz="4" w:space="0" w:color="C0C0C0"/>
              <w:bottom w:val="single" w:sz="4" w:space="0" w:color="C0C0C0"/>
            </w:tcBorders>
            <w:shd w:val="clear" w:color="auto" w:fill="auto"/>
            <w:vAlign w:val="center"/>
          </w:tcPr>
          <w:p w14:paraId="3FFDDC2E" w14:textId="77777777" w:rsidR="0056738E" w:rsidRPr="00C42B7D" w:rsidRDefault="0056738E" w:rsidP="007C2AEE">
            <w:pPr>
              <w:tabs>
                <w:tab w:val="left" w:pos="282"/>
                <w:tab w:val="left" w:pos="2340"/>
                <w:tab w:val="decimal" w:pos="2976"/>
                <w:tab w:val="left" w:pos="4320"/>
                <w:tab w:val="decimal" w:pos="4818"/>
                <w:tab w:val="left" w:pos="6030"/>
                <w:tab w:val="left" w:pos="8100"/>
                <w:tab w:val="left" w:pos="8640"/>
              </w:tabs>
              <w:suppressAutoHyphens/>
              <w:spacing w:after="0" w:line="240" w:lineRule="auto"/>
              <w:ind w:left="-108" w:right="-134"/>
              <w:jc w:val="center"/>
              <w:rPr>
                <w:rFonts w:ascii="Arial" w:hAnsi="Arial" w:cs="Arial"/>
                <w:b/>
                <w:color w:val="262626"/>
                <w:sz w:val="18"/>
                <w:szCs w:val="18"/>
              </w:rPr>
            </w:pPr>
            <w:r>
              <w:rPr>
                <w:rFonts w:ascii="Arial" w:eastAsia="Batang" w:hAnsi="Arial" w:cs="Arial"/>
                <w:b/>
                <w:color w:val="262626"/>
                <w:sz w:val="18"/>
                <w:szCs w:val="18"/>
                <w:lang w:val="el-GR" w:eastAsia="en-US"/>
              </w:rPr>
              <w:t xml:space="preserve">30 </w:t>
            </w:r>
            <w:r w:rsidRPr="00001C90">
              <w:rPr>
                <w:rFonts w:ascii="Arial" w:eastAsia="Batang" w:hAnsi="Arial" w:cs="Arial"/>
                <w:b/>
                <w:color w:val="262626"/>
                <w:sz w:val="18"/>
                <w:szCs w:val="18"/>
                <w:lang w:val="el-GR" w:eastAsia="en-US"/>
              </w:rPr>
              <w:t xml:space="preserve">Σεπτεμβρίου </w:t>
            </w:r>
            <w:r w:rsidRPr="00C42B7D">
              <w:rPr>
                <w:rFonts w:ascii="Arial" w:hAnsi="Arial" w:cs="Arial"/>
                <w:b/>
                <w:color w:val="262626"/>
                <w:sz w:val="18"/>
                <w:szCs w:val="18"/>
                <w:lang w:val="el-GR"/>
              </w:rPr>
              <w:t>202</w:t>
            </w:r>
            <w:r>
              <w:rPr>
                <w:rFonts w:ascii="Arial" w:hAnsi="Arial" w:cs="Arial"/>
                <w:b/>
                <w:color w:val="262626"/>
                <w:sz w:val="18"/>
                <w:szCs w:val="18"/>
                <w:lang w:val="el-GR"/>
              </w:rPr>
              <w:t>4</w:t>
            </w:r>
          </w:p>
        </w:tc>
        <w:tc>
          <w:tcPr>
            <w:tcW w:w="1531" w:type="dxa"/>
            <w:tcBorders>
              <w:top w:val="single" w:sz="4" w:space="0" w:color="C0C0C0"/>
              <w:bottom w:val="single" w:sz="4" w:space="0" w:color="C0C0C0"/>
            </w:tcBorders>
            <w:shd w:val="clear" w:color="auto" w:fill="FFFFFF"/>
            <w:vAlign w:val="center"/>
          </w:tcPr>
          <w:p w14:paraId="08F49CC4" w14:textId="77777777" w:rsidR="0056738E" w:rsidRPr="00C42B7D" w:rsidRDefault="0056738E" w:rsidP="007C2AEE">
            <w:pPr>
              <w:tabs>
                <w:tab w:val="left" w:pos="0"/>
                <w:tab w:val="left" w:pos="282"/>
                <w:tab w:val="left" w:pos="720"/>
              </w:tabs>
              <w:suppressAutoHyphens/>
              <w:spacing w:after="0" w:line="240" w:lineRule="auto"/>
              <w:jc w:val="center"/>
              <w:rPr>
                <w:rFonts w:ascii="Arial" w:eastAsia="Batang" w:hAnsi="Arial" w:cs="Arial"/>
                <w:color w:val="262626"/>
                <w:sz w:val="18"/>
                <w:szCs w:val="18"/>
                <w:lang w:val="el-GR" w:eastAsia="en-US"/>
              </w:rPr>
            </w:pPr>
            <w:r w:rsidRPr="00C42B7D">
              <w:rPr>
                <w:rFonts w:ascii="Arial" w:eastAsia="Batang" w:hAnsi="Arial" w:cs="Arial"/>
                <w:color w:val="262626"/>
                <w:sz w:val="18"/>
                <w:szCs w:val="18"/>
                <w:lang w:val="el-GR" w:eastAsia="en-US"/>
              </w:rPr>
              <w:t>31 Δεκεμβρίου</w:t>
            </w:r>
          </w:p>
          <w:p w14:paraId="2B2ECCB1" w14:textId="77777777" w:rsidR="0056738E"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center"/>
              <w:rPr>
                <w:rFonts w:ascii="Arial" w:eastAsia="Batang" w:hAnsi="Arial" w:cs="Arial"/>
                <w:color w:val="262626"/>
                <w:sz w:val="18"/>
                <w:szCs w:val="18"/>
                <w:lang w:val="el-GR" w:eastAsia="en-US"/>
              </w:rPr>
            </w:pPr>
            <w:r w:rsidRPr="00C42B7D">
              <w:rPr>
                <w:rFonts w:ascii="Arial" w:eastAsia="Batang" w:hAnsi="Arial" w:cs="Arial"/>
                <w:color w:val="262626"/>
                <w:sz w:val="18"/>
                <w:szCs w:val="18"/>
                <w:lang w:val="el-GR" w:eastAsia="en-US"/>
              </w:rPr>
              <w:t>202</w:t>
            </w:r>
            <w:r>
              <w:rPr>
                <w:rFonts w:ascii="Arial" w:eastAsia="Batang" w:hAnsi="Arial" w:cs="Arial"/>
                <w:color w:val="262626"/>
                <w:sz w:val="18"/>
                <w:szCs w:val="18"/>
                <w:lang w:val="el-GR" w:eastAsia="en-US"/>
              </w:rPr>
              <w:t>3</w:t>
            </w:r>
          </w:p>
          <w:p w14:paraId="3D6F72B3" w14:textId="77777777" w:rsidR="0056738E"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center"/>
              <w:rPr>
                <w:rFonts w:ascii="Arial" w:eastAsia="Batang" w:hAnsi="Arial" w:cs="Arial"/>
                <w:color w:val="262626"/>
                <w:sz w:val="18"/>
                <w:szCs w:val="18"/>
                <w:lang w:val="el-GR" w:eastAsia="en-US"/>
              </w:rPr>
            </w:pPr>
            <w:r>
              <w:rPr>
                <w:rFonts w:ascii="Arial" w:eastAsia="Batang" w:hAnsi="Arial" w:cs="Arial"/>
                <w:color w:val="262626"/>
                <w:sz w:val="18"/>
                <w:szCs w:val="18"/>
                <w:lang w:val="el-GR" w:eastAsia="en-US"/>
              </w:rPr>
              <w:t>(</w:t>
            </w:r>
            <w:proofErr w:type="spellStart"/>
            <w:r>
              <w:rPr>
                <w:rFonts w:ascii="Arial" w:eastAsia="Batang" w:hAnsi="Arial" w:cs="Arial"/>
                <w:color w:val="262626"/>
                <w:sz w:val="18"/>
                <w:szCs w:val="18"/>
                <w:lang w:val="el-GR" w:eastAsia="en-US"/>
              </w:rPr>
              <w:t>αναπροσαρ</w:t>
            </w:r>
            <w:proofErr w:type="spellEnd"/>
            <w:r>
              <w:rPr>
                <w:rFonts w:ascii="Arial" w:eastAsia="Batang" w:hAnsi="Arial" w:cs="Arial"/>
                <w:color w:val="262626"/>
                <w:sz w:val="18"/>
                <w:szCs w:val="18"/>
                <w:lang w:val="el-GR" w:eastAsia="en-US"/>
              </w:rPr>
              <w:t>-</w:t>
            </w:r>
          </w:p>
          <w:p w14:paraId="7790130B"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center"/>
              <w:rPr>
                <w:rFonts w:ascii="Arial" w:eastAsia="Batang" w:hAnsi="Arial" w:cs="Arial"/>
                <w:color w:val="262626"/>
                <w:sz w:val="18"/>
                <w:szCs w:val="18"/>
                <w:lang w:val="el-GR" w:eastAsia="en-US"/>
              </w:rPr>
            </w:pPr>
            <w:proofErr w:type="spellStart"/>
            <w:r>
              <w:rPr>
                <w:rFonts w:ascii="Arial" w:eastAsia="Batang" w:hAnsi="Arial" w:cs="Arial"/>
                <w:color w:val="262626"/>
                <w:sz w:val="18"/>
                <w:szCs w:val="18"/>
                <w:lang w:val="el-GR" w:eastAsia="en-US"/>
              </w:rPr>
              <w:t>μοσμένα</w:t>
            </w:r>
            <w:proofErr w:type="spellEnd"/>
            <w:r>
              <w:rPr>
                <w:rFonts w:ascii="Arial" w:eastAsia="Batang" w:hAnsi="Arial" w:cs="Arial"/>
                <w:color w:val="262626"/>
                <w:sz w:val="18"/>
                <w:szCs w:val="18"/>
                <w:lang w:val="el-GR" w:eastAsia="en-US"/>
              </w:rPr>
              <w:t>)</w:t>
            </w:r>
          </w:p>
        </w:tc>
      </w:tr>
      <w:tr w:rsidR="0056738E" w:rsidRPr="00E1192D" w14:paraId="4CA38E65" w14:textId="77777777" w:rsidTr="007C2AEE">
        <w:trPr>
          <w:trHeight w:val="227"/>
          <w:jc w:val="center"/>
        </w:trPr>
        <w:tc>
          <w:tcPr>
            <w:tcW w:w="6803" w:type="dxa"/>
            <w:vAlign w:val="center"/>
          </w:tcPr>
          <w:p w14:paraId="04734ED5" w14:textId="77777777" w:rsidR="0056738E" w:rsidRPr="000F1922"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i/>
                <w:color w:val="262626"/>
                <w:sz w:val="18"/>
                <w:szCs w:val="18"/>
                <w:lang w:val="el-GR"/>
              </w:rPr>
            </w:pPr>
            <w:r w:rsidRPr="000F1922">
              <w:rPr>
                <w:rFonts w:ascii="Arial" w:hAnsi="Arial" w:cs="Arial"/>
                <w:i/>
                <w:color w:val="262626"/>
                <w:sz w:val="18"/>
                <w:szCs w:val="18"/>
                <w:lang w:val="el-GR"/>
              </w:rPr>
              <w:t>Ανά πελατειακό τομέα</w:t>
            </w:r>
          </w:p>
        </w:tc>
        <w:tc>
          <w:tcPr>
            <w:tcW w:w="1531" w:type="dxa"/>
            <w:tcBorders>
              <w:top w:val="single" w:sz="4" w:space="0" w:color="C0C0C0"/>
            </w:tcBorders>
            <w:shd w:val="clear" w:color="auto" w:fill="auto"/>
            <w:vAlign w:val="center"/>
          </w:tcPr>
          <w:p w14:paraId="56A4038A"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center"/>
              <w:rPr>
                <w:rFonts w:ascii="Arial" w:hAnsi="Arial" w:cs="Arial"/>
                <w:b/>
                <w:color w:val="262626"/>
                <w:sz w:val="18"/>
                <w:szCs w:val="18"/>
              </w:rPr>
            </w:pPr>
            <w:r w:rsidRPr="00C42B7D">
              <w:rPr>
                <w:rFonts w:ascii="Arial" w:hAnsi="Arial" w:cs="Arial"/>
                <w:b/>
                <w:color w:val="262626"/>
                <w:sz w:val="18"/>
                <w:szCs w:val="18"/>
                <w:lang w:val="el-GR"/>
              </w:rPr>
              <w:t>€00</w:t>
            </w:r>
            <w:r w:rsidRPr="00C42B7D">
              <w:rPr>
                <w:rFonts w:ascii="Arial" w:hAnsi="Arial" w:cs="Arial"/>
                <w:b/>
                <w:color w:val="262626"/>
                <w:sz w:val="18"/>
                <w:szCs w:val="18"/>
              </w:rPr>
              <w:t>0</w:t>
            </w:r>
          </w:p>
        </w:tc>
        <w:tc>
          <w:tcPr>
            <w:tcW w:w="1531" w:type="dxa"/>
            <w:tcBorders>
              <w:top w:val="single" w:sz="4" w:space="0" w:color="C0C0C0"/>
            </w:tcBorders>
            <w:shd w:val="clear" w:color="auto" w:fill="FFFFFF"/>
            <w:vAlign w:val="center"/>
          </w:tcPr>
          <w:p w14:paraId="6D28ADE1"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center"/>
              <w:rPr>
                <w:rFonts w:ascii="Arial" w:eastAsia="Batang" w:hAnsi="Arial" w:cs="Arial"/>
                <w:color w:val="262626"/>
                <w:sz w:val="18"/>
                <w:szCs w:val="18"/>
                <w:lang w:val="el-GR" w:eastAsia="en-US"/>
              </w:rPr>
            </w:pPr>
            <w:r w:rsidRPr="00C42B7D">
              <w:rPr>
                <w:rFonts w:ascii="Arial" w:eastAsia="Batang" w:hAnsi="Arial" w:cs="Arial"/>
                <w:color w:val="262626"/>
                <w:sz w:val="18"/>
                <w:szCs w:val="18"/>
                <w:lang w:val="el-GR" w:eastAsia="en-US"/>
              </w:rPr>
              <w:t>€000</w:t>
            </w:r>
          </w:p>
        </w:tc>
      </w:tr>
      <w:tr w:rsidR="0056738E" w:rsidRPr="00E1192D" w14:paraId="51BE502F" w14:textId="77777777" w:rsidTr="007C2AEE">
        <w:trPr>
          <w:trHeight w:val="227"/>
          <w:jc w:val="center"/>
        </w:trPr>
        <w:tc>
          <w:tcPr>
            <w:tcW w:w="6803" w:type="dxa"/>
            <w:vAlign w:val="center"/>
          </w:tcPr>
          <w:p w14:paraId="399A83B2" w14:textId="77777777" w:rsidR="0056738E" w:rsidRPr="000F1922" w:rsidRDefault="0056738E" w:rsidP="007C2AEE">
            <w:pPr>
              <w:pStyle w:val="BodyTextIndent2"/>
              <w:tabs>
                <w:tab w:val="left" w:pos="284"/>
              </w:tabs>
              <w:ind w:left="0"/>
              <w:rPr>
                <w:rFonts w:ascii="Arial" w:hAnsi="Arial" w:cs="Arial"/>
                <w:iCs w:val="0"/>
                <w:color w:val="262626"/>
                <w:sz w:val="18"/>
                <w:szCs w:val="18"/>
                <w:lang w:val="el-GR" w:eastAsia="el-GR"/>
              </w:rPr>
            </w:pPr>
            <w:r w:rsidRPr="000F1922">
              <w:rPr>
                <w:rFonts w:ascii="Arial" w:hAnsi="Arial" w:cs="Arial"/>
                <w:color w:val="262626"/>
                <w:sz w:val="18"/>
                <w:szCs w:val="18"/>
                <w:lang w:val="el-GR" w:eastAsia="el-GR"/>
              </w:rPr>
              <w:t>Μεγάλες επιχειρήσεις</w:t>
            </w:r>
          </w:p>
        </w:tc>
        <w:tc>
          <w:tcPr>
            <w:tcW w:w="1531" w:type="dxa"/>
            <w:vAlign w:val="center"/>
          </w:tcPr>
          <w:p w14:paraId="77BB16AE"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b/>
                <w:color w:val="262626"/>
                <w:sz w:val="18"/>
                <w:szCs w:val="18"/>
              </w:rPr>
            </w:pPr>
            <w:r>
              <w:rPr>
                <w:rFonts w:ascii="Arial" w:hAnsi="Arial" w:cs="Arial"/>
                <w:b/>
                <w:color w:val="262626"/>
                <w:sz w:val="18"/>
                <w:szCs w:val="18"/>
                <w:lang w:val="en-US"/>
              </w:rPr>
              <w:t>2,430,540</w:t>
            </w:r>
          </w:p>
        </w:tc>
        <w:tc>
          <w:tcPr>
            <w:tcW w:w="1531" w:type="dxa"/>
            <w:tcBorders>
              <w:top w:val="single" w:sz="4" w:space="0" w:color="C0C0C0"/>
              <w:bottom w:val="single" w:sz="4" w:space="0" w:color="C0C0C0"/>
            </w:tcBorders>
            <w:shd w:val="clear" w:color="auto" w:fill="auto"/>
            <w:vAlign w:val="center"/>
          </w:tcPr>
          <w:p w14:paraId="5F621B4D"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color w:val="262626"/>
                <w:sz w:val="18"/>
                <w:szCs w:val="18"/>
                <w:lang w:val="el-GR"/>
              </w:rPr>
            </w:pPr>
            <w:r w:rsidRPr="002D1FED">
              <w:rPr>
                <w:rFonts w:ascii="Arial" w:hAnsi="Arial" w:cs="Arial"/>
                <w:bCs/>
                <w:color w:val="262626"/>
                <w:sz w:val="18"/>
                <w:szCs w:val="18"/>
                <w:lang w:val="en-US"/>
              </w:rPr>
              <w:t>2,086,</w:t>
            </w:r>
            <w:r>
              <w:rPr>
                <w:rFonts w:ascii="Arial" w:hAnsi="Arial" w:cs="Arial"/>
                <w:bCs/>
                <w:color w:val="262626"/>
                <w:sz w:val="18"/>
                <w:szCs w:val="18"/>
                <w:lang w:val="en-US"/>
              </w:rPr>
              <w:t>753</w:t>
            </w:r>
          </w:p>
        </w:tc>
      </w:tr>
      <w:tr w:rsidR="0056738E" w:rsidRPr="00910A4E" w14:paraId="4B574328" w14:textId="77777777" w:rsidTr="007C2AEE">
        <w:trPr>
          <w:trHeight w:val="227"/>
          <w:jc w:val="center"/>
        </w:trPr>
        <w:tc>
          <w:tcPr>
            <w:tcW w:w="6803" w:type="dxa"/>
            <w:vAlign w:val="center"/>
          </w:tcPr>
          <w:p w14:paraId="0D16F48B" w14:textId="77777777" w:rsidR="0056738E" w:rsidRPr="000F1922" w:rsidRDefault="0056738E" w:rsidP="007C2AEE">
            <w:pPr>
              <w:pStyle w:val="BodyTextIndent2"/>
              <w:tabs>
                <w:tab w:val="left" w:pos="284"/>
              </w:tabs>
              <w:ind w:left="0"/>
              <w:rPr>
                <w:rFonts w:ascii="Arial" w:hAnsi="Arial" w:cs="Arial"/>
                <w:color w:val="262626"/>
                <w:sz w:val="18"/>
                <w:szCs w:val="18"/>
                <w:lang w:val="el-GR" w:eastAsia="el-GR"/>
              </w:rPr>
            </w:pPr>
            <w:r w:rsidRPr="000F1922">
              <w:rPr>
                <w:rFonts w:ascii="Arial" w:hAnsi="Arial" w:cs="Arial"/>
                <w:color w:val="262626"/>
                <w:sz w:val="18"/>
                <w:szCs w:val="18"/>
                <w:lang w:val="el-GR" w:eastAsia="el-GR"/>
              </w:rPr>
              <w:t xml:space="preserve">Κέντρο διεθνών εργασιών και Διεθνείς </w:t>
            </w:r>
            <w:r w:rsidRPr="000F1922">
              <w:rPr>
                <w:rFonts w:ascii="Arial" w:hAnsi="Arial" w:cs="Arial"/>
                <w:color w:val="262626"/>
                <w:sz w:val="18"/>
                <w:szCs w:val="18"/>
                <w:lang w:val="el-GR"/>
              </w:rPr>
              <w:t>επιχειρήσεις</w:t>
            </w:r>
          </w:p>
        </w:tc>
        <w:tc>
          <w:tcPr>
            <w:tcW w:w="1531" w:type="dxa"/>
            <w:vAlign w:val="center"/>
          </w:tcPr>
          <w:p w14:paraId="44B02754" w14:textId="77777777" w:rsidR="0056738E" w:rsidRPr="00FC4456" w:rsidDel="00F51C7C"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b/>
                <w:color w:val="262626"/>
                <w:sz w:val="18"/>
                <w:szCs w:val="18"/>
                <w:lang w:val="el-GR"/>
              </w:rPr>
            </w:pPr>
          </w:p>
        </w:tc>
        <w:tc>
          <w:tcPr>
            <w:tcW w:w="1531" w:type="dxa"/>
            <w:tcBorders>
              <w:top w:val="single" w:sz="4" w:space="0" w:color="C0C0C0"/>
              <w:bottom w:val="single" w:sz="4" w:space="0" w:color="C0C0C0"/>
            </w:tcBorders>
            <w:shd w:val="clear" w:color="auto" w:fill="auto"/>
            <w:vAlign w:val="center"/>
          </w:tcPr>
          <w:p w14:paraId="34E18926" w14:textId="77777777" w:rsidR="0056738E" w:rsidRPr="00FC4456"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color w:val="262626"/>
                <w:sz w:val="18"/>
                <w:szCs w:val="18"/>
                <w:lang w:val="el-GR"/>
              </w:rPr>
            </w:pPr>
          </w:p>
        </w:tc>
      </w:tr>
      <w:tr w:rsidR="0056738E" w:rsidRPr="00FC4456" w14:paraId="7A1AF9DA" w14:textId="77777777" w:rsidTr="007C2AEE">
        <w:trPr>
          <w:trHeight w:val="227"/>
          <w:jc w:val="center"/>
        </w:trPr>
        <w:tc>
          <w:tcPr>
            <w:tcW w:w="6803" w:type="dxa"/>
            <w:vAlign w:val="center"/>
          </w:tcPr>
          <w:p w14:paraId="6DB832E4" w14:textId="77777777" w:rsidR="0056738E" w:rsidRPr="000F1922" w:rsidRDefault="0056738E" w:rsidP="007C2AEE">
            <w:pPr>
              <w:pStyle w:val="BodyTextIndent2"/>
              <w:tabs>
                <w:tab w:val="left" w:pos="284"/>
              </w:tabs>
              <w:ind w:left="0"/>
              <w:rPr>
                <w:rFonts w:ascii="Arial" w:hAnsi="Arial" w:cs="Arial"/>
                <w:color w:val="262626"/>
                <w:sz w:val="18"/>
                <w:szCs w:val="18"/>
                <w:lang w:val="el-GR" w:eastAsia="el-GR"/>
              </w:rPr>
            </w:pPr>
            <w:r w:rsidRPr="000F1922">
              <w:rPr>
                <w:rFonts w:ascii="Arial" w:hAnsi="Arial" w:cs="Arial"/>
                <w:color w:val="262626"/>
                <w:sz w:val="18"/>
                <w:szCs w:val="18"/>
                <w:lang w:eastAsia="el-GR"/>
              </w:rPr>
              <w:t xml:space="preserve">- </w:t>
            </w:r>
            <w:r w:rsidRPr="000F1922">
              <w:rPr>
                <w:rFonts w:ascii="Arial" w:hAnsi="Arial" w:cs="Arial"/>
                <w:color w:val="262626"/>
                <w:sz w:val="18"/>
                <w:szCs w:val="18"/>
                <w:lang w:val="el-GR"/>
              </w:rPr>
              <w:t>Κέντρο διεθνών εργασιών</w:t>
            </w:r>
          </w:p>
        </w:tc>
        <w:tc>
          <w:tcPr>
            <w:tcW w:w="1531" w:type="dxa"/>
            <w:vAlign w:val="center"/>
          </w:tcPr>
          <w:p w14:paraId="4E853B1B" w14:textId="77777777" w:rsidR="0056738E" w:rsidRPr="00FC4456" w:rsidDel="00F51C7C"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b/>
                <w:color w:val="262626"/>
                <w:sz w:val="18"/>
                <w:szCs w:val="18"/>
                <w:lang w:val="el-GR"/>
              </w:rPr>
            </w:pPr>
            <w:r>
              <w:rPr>
                <w:rFonts w:ascii="Arial" w:hAnsi="Arial" w:cs="Arial"/>
                <w:b/>
                <w:color w:val="262626"/>
                <w:sz w:val="18"/>
                <w:szCs w:val="18"/>
                <w:lang w:val="en-US"/>
              </w:rPr>
              <w:t>3,778,435</w:t>
            </w:r>
          </w:p>
        </w:tc>
        <w:tc>
          <w:tcPr>
            <w:tcW w:w="1531" w:type="dxa"/>
            <w:vAlign w:val="center"/>
          </w:tcPr>
          <w:p w14:paraId="68395266" w14:textId="77777777" w:rsidR="0056738E" w:rsidRPr="00FC4456"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color w:val="262626"/>
                <w:sz w:val="18"/>
                <w:szCs w:val="18"/>
                <w:lang w:val="el-GR"/>
              </w:rPr>
            </w:pPr>
            <w:r w:rsidRPr="002D1FED">
              <w:rPr>
                <w:rFonts w:ascii="Arial" w:hAnsi="Arial" w:cs="Arial"/>
                <w:bCs/>
                <w:color w:val="262626"/>
                <w:sz w:val="18"/>
                <w:szCs w:val="18"/>
                <w:lang w:val="en-US"/>
              </w:rPr>
              <w:t>3,779,571</w:t>
            </w:r>
          </w:p>
        </w:tc>
      </w:tr>
      <w:tr w:rsidR="0056738E" w:rsidRPr="00FC4456" w14:paraId="15BAAD41" w14:textId="77777777" w:rsidTr="007C2AEE">
        <w:trPr>
          <w:trHeight w:val="227"/>
          <w:jc w:val="center"/>
        </w:trPr>
        <w:tc>
          <w:tcPr>
            <w:tcW w:w="6803" w:type="dxa"/>
            <w:shd w:val="clear" w:color="auto" w:fill="auto"/>
            <w:vAlign w:val="center"/>
          </w:tcPr>
          <w:p w14:paraId="77F0287D" w14:textId="77777777" w:rsidR="0056738E" w:rsidRPr="000F1922" w:rsidRDefault="0056738E" w:rsidP="007C2AEE">
            <w:pPr>
              <w:pStyle w:val="BodyTextIndent2"/>
              <w:tabs>
                <w:tab w:val="left" w:pos="284"/>
              </w:tabs>
              <w:ind w:left="0"/>
              <w:rPr>
                <w:rFonts w:ascii="Arial" w:hAnsi="Arial" w:cs="Arial"/>
                <w:color w:val="262626"/>
                <w:sz w:val="18"/>
                <w:szCs w:val="18"/>
                <w:lang w:val="el-GR" w:eastAsia="el-GR"/>
              </w:rPr>
            </w:pPr>
            <w:r w:rsidRPr="000F1922">
              <w:rPr>
                <w:rFonts w:ascii="Arial" w:hAnsi="Arial" w:cs="Arial"/>
                <w:color w:val="262626"/>
                <w:sz w:val="18"/>
                <w:szCs w:val="18"/>
                <w:lang w:val="el-GR" w:eastAsia="el-GR"/>
              </w:rPr>
              <w:t xml:space="preserve">- </w:t>
            </w:r>
            <w:r w:rsidRPr="000F1922">
              <w:rPr>
                <w:rFonts w:ascii="Arial" w:hAnsi="Arial" w:cs="Arial"/>
                <w:color w:val="262626"/>
                <w:sz w:val="18"/>
                <w:szCs w:val="18"/>
                <w:lang w:val="el-GR"/>
              </w:rPr>
              <w:t>Διεθνείς επιχειρήσεις</w:t>
            </w:r>
          </w:p>
        </w:tc>
        <w:tc>
          <w:tcPr>
            <w:tcW w:w="1531" w:type="dxa"/>
            <w:vAlign w:val="center"/>
          </w:tcPr>
          <w:p w14:paraId="534E2CD5" w14:textId="77777777" w:rsidR="0056738E" w:rsidRPr="00FC4456" w:rsidDel="00F51C7C"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b/>
                <w:color w:val="262626"/>
                <w:sz w:val="18"/>
                <w:szCs w:val="18"/>
                <w:lang w:val="el-GR"/>
              </w:rPr>
            </w:pPr>
            <w:r>
              <w:rPr>
                <w:rFonts w:ascii="Arial" w:hAnsi="Arial" w:cs="Arial"/>
                <w:b/>
                <w:color w:val="262626"/>
                <w:sz w:val="18"/>
                <w:szCs w:val="18"/>
                <w:lang w:val="en-US"/>
              </w:rPr>
              <w:t>138,980</w:t>
            </w:r>
          </w:p>
        </w:tc>
        <w:tc>
          <w:tcPr>
            <w:tcW w:w="1531" w:type="dxa"/>
            <w:vAlign w:val="center"/>
          </w:tcPr>
          <w:p w14:paraId="791AD718" w14:textId="77777777" w:rsidR="0056738E" w:rsidRPr="00FC4456"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color w:val="262626"/>
                <w:sz w:val="18"/>
                <w:szCs w:val="18"/>
                <w:lang w:val="el-GR"/>
              </w:rPr>
            </w:pPr>
            <w:r w:rsidRPr="002D1FED">
              <w:rPr>
                <w:rFonts w:ascii="Arial" w:hAnsi="Arial" w:cs="Arial"/>
                <w:bCs/>
                <w:color w:val="262626"/>
                <w:sz w:val="18"/>
                <w:szCs w:val="18"/>
                <w:lang w:val="en-US"/>
              </w:rPr>
              <w:t>121,454</w:t>
            </w:r>
          </w:p>
        </w:tc>
      </w:tr>
      <w:tr w:rsidR="0056738E" w:rsidRPr="00E1192D" w14:paraId="4852E6EF" w14:textId="77777777" w:rsidTr="007C2AEE">
        <w:trPr>
          <w:trHeight w:val="227"/>
          <w:jc w:val="center"/>
        </w:trPr>
        <w:tc>
          <w:tcPr>
            <w:tcW w:w="6803" w:type="dxa"/>
            <w:vAlign w:val="center"/>
          </w:tcPr>
          <w:p w14:paraId="35956211" w14:textId="77777777" w:rsidR="0056738E" w:rsidRPr="000F1922" w:rsidRDefault="0056738E" w:rsidP="007C2AEE">
            <w:pPr>
              <w:pStyle w:val="BodyTextIndent2"/>
              <w:tabs>
                <w:tab w:val="left" w:pos="284"/>
              </w:tabs>
              <w:ind w:left="0"/>
              <w:rPr>
                <w:rFonts w:ascii="Arial" w:hAnsi="Arial" w:cs="Arial"/>
                <w:iCs w:val="0"/>
                <w:color w:val="262626"/>
                <w:sz w:val="18"/>
                <w:szCs w:val="18"/>
                <w:lang w:val="el-GR" w:eastAsia="el-GR"/>
              </w:rPr>
            </w:pPr>
            <w:r w:rsidRPr="000F1922">
              <w:rPr>
                <w:rFonts w:ascii="Arial" w:hAnsi="Arial" w:cs="Arial"/>
                <w:color w:val="262626"/>
                <w:sz w:val="18"/>
                <w:szCs w:val="18"/>
                <w:lang w:val="el-GR" w:eastAsia="el-GR"/>
              </w:rPr>
              <w:t>Μικρομεσαίες επιχειρήσεις</w:t>
            </w:r>
          </w:p>
        </w:tc>
        <w:tc>
          <w:tcPr>
            <w:tcW w:w="1531" w:type="dxa"/>
            <w:vAlign w:val="center"/>
          </w:tcPr>
          <w:p w14:paraId="3EDFFCA5"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b/>
                <w:color w:val="262626"/>
                <w:sz w:val="18"/>
                <w:szCs w:val="18"/>
              </w:rPr>
            </w:pPr>
            <w:r>
              <w:rPr>
                <w:rFonts w:ascii="Arial" w:hAnsi="Arial" w:cs="Arial"/>
                <w:b/>
                <w:color w:val="262626"/>
                <w:sz w:val="18"/>
                <w:szCs w:val="18"/>
                <w:lang w:val="en-US"/>
              </w:rPr>
              <w:t>1,112,966</w:t>
            </w:r>
          </w:p>
        </w:tc>
        <w:tc>
          <w:tcPr>
            <w:tcW w:w="1531" w:type="dxa"/>
            <w:vAlign w:val="center"/>
          </w:tcPr>
          <w:p w14:paraId="31EC10F2"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color w:val="262626"/>
                <w:sz w:val="18"/>
                <w:szCs w:val="18"/>
                <w:lang w:val="el-GR"/>
              </w:rPr>
            </w:pPr>
            <w:r w:rsidRPr="002D1FED">
              <w:rPr>
                <w:rFonts w:ascii="Arial" w:hAnsi="Arial" w:cs="Arial"/>
                <w:bCs/>
                <w:color w:val="262626"/>
                <w:sz w:val="18"/>
                <w:szCs w:val="18"/>
                <w:lang w:val="en-US"/>
              </w:rPr>
              <w:t>1,019,245</w:t>
            </w:r>
          </w:p>
        </w:tc>
      </w:tr>
      <w:tr w:rsidR="0056738E" w:rsidRPr="00E1192D" w14:paraId="5F2481AF" w14:textId="77777777" w:rsidTr="007C2AEE">
        <w:trPr>
          <w:trHeight w:val="227"/>
          <w:jc w:val="center"/>
        </w:trPr>
        <w:tc>
          <w:tcPr>
            <w:tcW w:w="6803" w:type="dxa"/>
            <w:vAlign w:val="center"/>
          </w:tcPr>
          <w:p w14:paraId="2F72428E" w14:textId="77777777" w:rsidR="0056738E" w:rsidRPr="000F1922" w:rsidRDefault="0056738E" w:rsidP="007C2AEE">
            <w:pPr>
              <w:pStyle w:val="BodyTextIndent2"/>
              <w:tabs>
                <w:tab w:val="left" w:pos="284"/>
              </w:tabs>
              <w:ind w:left="0"/>
              <w:rPr>
                <w:rFonts w:ascii="Arial" w:hAnsi="Arial" w:cs="Arial"/>
                <w:iCs w:val="0"/>
                <w:color w:val="262626"/>
                <w:sz w:val="18"/>
                <w:szCs w:val="18"/>
                <w:lang w:val="el-GR" w:eastAsia="el-GR"/>
              </w:rPr>
            </w:pPr>
            <w:r w:rsidRPr="000F1922">
              <w:rPr>
                <w:rFonts w:ascii="Arial" w:hAnsi="Arial" w:cs="Arial"/>
                <w:color w:val="262626"/>
                <w:sz w:val="18"/>
                <w:szCs w:val="18"/>
                <w:lang w:val="el-GR" w:eastAsia="el-GR"/>
              </w:rPr>
              <w:t>Ιδιώτες</w:t>
            </w:r>
          </w:p>
        </w:tc>
        <w:tc>
          <w:tcPr>
            <w:tcW w:w="1531" w:type="dxa"/>
            <w:vAlign w:val="center"/>
          </w:tcPr>
          <w:p w14:paraId="4D70125C"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b/>
                <w:color w:val="262626"/>
                <w:sz w:val="18"/>
                <w:szCs w:val="18"/>
              </w:rPr>
            </w:pPr>
            <w:r>
              <w:rPr>
                <w:rFonts w:ascii="Arial" w:hAnsi="Arial" w:cs="Arial"/>
                <w:b/>
                <w:color w:val="262626"/>
                <w:sz w:val="18"/>
                <w:szCs w:val="18"/>
                <w:lang w:val="en-US"/>
              </w:rPr>
              <w:t>12,310,446</w:t>
            </w:r>
          </w:p>
        </w:tc>
        <w:tc>
          <w:tcPr>
            <w:tcW w:w="1531" w:type="dxa"/>
            <w:vAlign w:val="center"/>
          </w:tcPr>
          <w:p w14:paraId="5F7D25EB"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color w:val="262626"/>
                <w:sz w:val="18"/>
                <w:szCs w:val="18"/>
                <w:lang w:val="el-GR"/>
              </w:rPr>
            </w:pPr>
            <w:r>
              <w:rPr>
                <w:rFonts w:ascii="Arial" w:hAnsi="Arial" w:cs="Arial"/>
                <w:bCs/>
                <w:color w:val="262626"/>
                <w:sz w:val="18"/>
                <w:szCs w:val="18"/>
                <w:lang w:val="en-US"/>
              </w:rPr>
              <w:t>12,216,209</w:t>
            </w:r>
          </w:p>
        </w:tc>
      </w:tr>
      <w:tr w:rsidR="0056738E" w:rsidRPr="00E1192D" w14:paraId="40E07333" w14:textId="77777777" w:rsidTr="007C2AEE">
        <w:trPr>
          <w:trHeight w:val="227"/>
          <w:jc w:val="center"/>
        </w:trPr>
        <w:tc>
          <w:tcPr>
            <w:tcW w:w="6803" w:type="dxa"/>
            <w:vAlign w:val="center"/>
          </w:tcPr>
          <w:p w14:paraId="16900432" w14:textId="77777777" w:rsidR="0056738E" w:rsidRPr="000F1922" w:rsidRDefault="0056738E" w:rsidP="007C2AEE">
            <w:pPr>
              <w:pStyle w:val="BodyTextIndent2"/>
              <w:tabs>
                <w:tab w:val="left" w:pos="284"/>
              </w:tabs>
              <w:ind w:left="0"/>
              <w:rPr>
                <w:rFonts w:ascii="Arial" w:hAnsi="Arial" w:cs="Arial"/>
                <w:iCs w:val="0"/>
                <w:color w:val="262626"/>
                <w:sz w:val="18"/>
                <w:szCs w:val="18"/>
                <w:lang w:val="el-GR" w:eastAsia="el-GR"/>
              </w:rPr>
            </w:pPr>
            <w:r w:rsidRPr="000F1922">
              <w:rPr>
                <w:rFonts w:ascii="Arial" w:hAnsi="Arial" w:cs="Arial"/>
                <w:color w:val="262626"/>
                <w:sz w:val="18"/>
                <w:szCs w:val="18"/>
                <w:lang w:val="el-GR" w:eastAsia="el-GR"/>
              </w:rPr>
              <w:t>Αναδιαρθρώσεις χρεών</w:t>
            </w:r>
          </w:p>
        </w:tc>
        <w:tc>
          <w:tcPr>
            <w:tcW w:w="1531" w:type="dxa"/>
            <w:vAlign w:val="center"/>
          </w:tcPr>
          <w:p w14:paraId="2DFDC20A"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b/>
                <w:color w:val="262626"/>
                <w:sz w:val="18"/>
                <w:szCs w:val="18"/>
              </w:rPr>
            </w:pPr>
          </w:p>
        </w:tc>
        <w:tc>
          <w:tcPr>
            <w:tcW w:w="1531" w:type="dxa"/>
            <w:tcBorders>
              <w:top w:val="single" w:sz="4" w:space="0" w:color="C0C0C0"/>
              <w:bottom w:val="single" w:sz="4" w:space="0" w:color="C0C0C0"/>
            </w:tcBorders>
            <w:shd w:val="clear" w:color="auto" w:fill="auto"/>
            <w:vAlign w:val="center"/>
          </w:tcPr>
          <w:p w14:paraId="7B09C53B"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color w:val="262626"/>
                <w:sz w:val="18"/>
                <w:szCs w:val="18"/>
                <w:lang w:val="el-GR"/>
              </w:rPr>
            </w:pPr>
          </w:p>
        </w:tc>
      </w:tr>
      <w:tr w:rsidR="0056738E" w:rsidRPr="00E1192D" w14:paraId="361FAF9E" w14:textId="77777777" w:rsidTr="007C2AEE">
        <w:trPr>
          <w:trHeight w:val="227"/>
          <w:jc w:val="center"/>
        </w:trPr>
        <w:tc>
          <w:tcPr>
            <w:tcW w:w="6803" w:type="dxa"/>
            <w:vAlign w:val="center"/>
          </w:tcPr>
          <w:p w14:paraId="7DB054A6" w14:textId="77777777" w:rsidR="0056738E" w:rsidRPr="000F1922" w:rsidRDefault="0056738E" w:rsidP="007C2AEE">
            <w:pPr>
              <w:pStyle w:val="BodyTextIndent2"/>
              <w:tabs>
                <w:tab w:val="left" w:pos="284"/>
              </w:tabs>
              <w:ind w:left="0"/>
              <w:rPr>
                <w:rFonts w:ascii="Arial" w:hAnsi="Arial" w:cs="Arial"/>
                <w:iCs w:val="0"/>
                <w:color w:val="262626"/>
                <w:sz w:val="18"/>
                <w:szCs w:val="18"/>
                <w:lang w:val="el-GR" w:eastAsia="el-GR"/>
              </w:rPr>
            </w:pPr>
            <w:r w:rsidRPr="000F1922">
              <w:rPr>
                <w:rFonts w:ascii="Arial" w:hAnsi="Arial" w:cs="Arial"/>
                <w:color w:val="262626"/>
                <w:sz w:val="18"/>
                <w:szCs w:val="18"/>
                <w:lang w:eastAsia="el-GR"/>
              </w:rPr>
              <w:t xml:space="preserve">– </w:t>
            </w:r>
            <w:r w:rsidRPr="000F1922">
              <w:rPr>
                <w:rFonts w:ascii="Arial" w:hAnsi="Arial" w:cs="Arial"/>
                <w:color w:val="262626"/>
                <w:sz w:val="18"/>
                <w:szCs w:val="18"/>
                <w:lang w:val="el-GR" w:eastAsia="el-GR"/>
              </w:rPr>
              <w:t>μεγάλες επιχειρήσεις</w:t>
            </w:r>
          </w:p>
        </w:tc>
        <w:tc>
          <w:tcPr>
            <w:tcW w:w="1531" w:type="dxa"/>
            <w:vAlign w:val="center"/>
          </w:tcPr>
          <w:p w14:paraId="70AC5E6F"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b/>
                <w:color w:val="262626"/>
                <w:sz w:val="18"/>
                <w:szCs w:val="18"/>
              </w:rPr>
            </w:pPr>
            <w:r>
              <w:rPr>
                <w:rFonts w:ascii="Arial" w:hAnsi="Arial" w:cs="Arial"/>
                <w:b/>
                <w:color w:val="262626"/>
                <w:sz w:val="18"/>
                <w:szCs w:val="18"/>
                <w:lang w:val="en-US"/>
              </w:rPr>
              <w:t>6,952</w:t>
            </w:r>
          </w:p>
        </w:tc>
        <w:tc>
          <w:tcPr>
            <w:tcW w:w="1531" w:type="dxa"/>
            <w:vAlign w:val="center"/>
          </w:tcPr>
          <w:p w14:paraId="1FAFCB87"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color w:val="262626"/>
                <w:sz w:val="18"/>
                <w:szCs w:val="18"/>
                <w:lang w:val="el-GR"/>
              </w:rPr>
            </w:pPr>
            <w:r w:rsidRPr="002D1FED">
              <w:rPr>
                <w:rFonts w:ascii="Arial" w:hAnsi="Arial" w:cs="Arial"/>
                <w:bCs/>
                <w:color w:val="262626"/>
                <w:sz w:val="18"/>
                <w:szCs w:val="18"/>
                <w:lang w:val="en-US"/>
              </w:rPr>
              <w:t>12,565</w:t>
            </w:r>
          </w:p>
        </w:tc>
      </w:tr>
      <w:tr w:rsidR="0056738E" w:rsidRPr="00E1192D" w14:paraId="33BBE97C" w14:textId="77777777" w:rsidTr="007C2AEE">
        <w:trPr>
          <w:trHeight w:val="227"/>
          <w:jc w:val="center"/>
        </w:trPr>
        <w:tc>
          <w:tcPr>
            <w:tcW w:w="6803" w:type="dxa"/>
            <w:vAlign w:val="center"/>
          </w:tcPr>
          <w:p w14:paraId="78A1155D" w14:textId="77777777" w:rsidR="0056738E" w:rsidRPr="000F1922" w:rsidRDefault="0056738E" w:rsidP="007C2AEE">
            <w:pPr>
              <w:pStyle w:val="BodyTextIndent2"/>
              <w:tabs>
                <w:tab w:val="left" w:pos="284"/>
              </w:tabs>
              <w:ind w:left="0"/>
              <w:rPr>
                <w:rFonts w:ascii="Arial" w:hAnsi="Arial" w:cs="Arial"/>
                <w:iCs w:val="0"/>
                <w:color w:val="262626"/>
                <w:sz w:val="18"/>
                <w:szCs w:val="18"/>
                <w:lang w:val="el-GR" w:eastAsia="el-GR"/>
              </w:rPr>
            </w:pPr>
            <w:r w:rsidRPr="000F1922">
              <w:rPr>
                <w:rFonts w:ascii="Arial" w:hAnsi="Arial" w:cs="Arial"/>
                <w:color w:val="262626"/>
                <w:sz w:val="18"/>
                <w:szCs w:val="18"/>
                <w:lang w:eastAsia="el-GR"/>
              </w:rPr>
              <w:t xml:space="preserve">– </w:t>
            </w:r>
            <w:r w:rsidRPr="000F1922">
              <w:rPr>
                <w:rFonts w:ascii="Arial" w:hAnsi="Arial" w:cs="Arial"/>
                <w:color w:val="262626"/>
                <w:sz w:val="18"/>
                <w:szCs w:val="18"/>
                <w:lang w:val="el-GR" w:eastAsia="el-GR"/>
              </w:rPr>
              <w:t>μικρομεσαίες επιχειρήσεις</w:t>
            </w:r>
          </w:p>
        </w:tc>
        <w:tc>
          <w:tcPr>
            <w:tcW w:w="1531" w:type="dxa"/>
            <w:vAlign w:val="center"/>
          </w:tcPr>
          <w:p w14:paraId="56BD903D"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b/>
                <w:color w:val="262626"/>
                <w:sz w:val="18"/>
                <w:szCs w:val="18"/>
              </w:rPr>
            </w:pPr>
            <w:r>
              <w:rPr>
                <w:rFonts w:ascii="Arial" w:hAnsi="Arial" w:cs="Arial"/>
                <w:b/>
                <w:color w:val="262626"/>
                <w:sz w:val="18"/>
                <w:szCs w:val="18"/>
                <w:lang w:val="en-US"/>
              </w:rPr>
              <w:t>3,466</w:t>
            </w:r>
          </w:p>
        </w:tc>
        <w:tc>
          <w:tcPr>
            <w:tcW w:w="1531" w:type="dxa"/>
            <w:vAlign w:val="center"/>
          </w:tcPr>
          <w:p w14:paraId="41534CF3"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color w:val="262626"/>
                <w:sz w:val="18"/>
                <w:szCs w:val="18"/>
                <w:lang w:val="el-GR"/>
              </w:rPr>
            </w:pPr>
            <w:r w:rsidRPr="002D1FED">
              <w:rPr>
                <w:rFonts w:ascii="Arial" w:hAnsi="Arial" w:cs="Arial"/>
                <w:bCs/>
                <w:color w:val="262626"/>
                <w:sz w:val="18"/>
                <w:szCs w:val="18"/>
                <w:lang w:val="en-US"/>
              </w:rPr>
              <w:t>5,954</w:t>
            </w:r>
          </w:p>
        </w:tc>
      </w:tr>
      <w:tr w:rsidR="0056738E" w:rsidRPr="00E1192D" w14:paraId="132B8251" w14:textId="77777777" w:rsidTr="007C2AEE">
        <w:trPr>
          <w:trHeight w:val="227"/>
          <w:jc w:val="center"/>
        </w:trPr>
        <w:tc>
          <w:tcPr>
            <w:tcW w:w="6803" w:type="dxa"/>
            <w:vAlign w:val="center"/>
          </w:tcPr>
          <w:p w14:paraId="4AF90067" w14:textId="77777777" w:rsidR="0056738E" w:rsidRPr="000F1922" w:rsidRDefault="0056738E" w:rsidP="007C2AEE">
            <w:pPr>
              <w:pStyle w:val="BodyTextIndent2"/>
              <w:tabs>
                <w:tab w:val="left" w:pos="284"/>
              </w:tabs>
              <w:ind w:left="0"/>
              <w:rPr>
                <w:rFonts w:ascii="Arial" w:hAnsi="Arial" w:cs="Arial"/>
                <w:iCs w:val="0"/>
                <w:color w:val="262626"/>
                <w:sz w:val="18"/>
                <w:szCs w:val="18"/>
                <w:lang w:val="el-GR" w:eastAsia="el-GR"/>
              </w:rPr>
            </w:pPr>
            <w:r w:rsidRPr="000F1922">
              <w:rPr>
                <w:rFonts w:ascii="Arial" w:hAnsi="Arial" w:cs="Arial"/>
                <w:color w:val="262626"/>
                <w:sz w:val="18"/>
                <w:szCs w:val="18"/>
                <w:lang w:eastAsia="el-GR"/>
              </w:rPr>
              <w:t xml:space="preserve">– </w:t>
            </w:r>
            <w:r w:rsidRPr="000F1922">
              <w:rPr>
                <w:rFonts w:ascii="Arial" w:hAnsi="Arial" w:cs="Arial"/>
                <w:color w:val="262626"/>
                <w:sz w:val="18"/>
                <w:szCs w:val="18"/>
                <w:lang w:val="el-GR" w:eastAsia="el-GR"/>
              </w:rPr>
              <w:t>άλλοι ιδιώτες</w:t>
            </w:r>
          </w:p>
        </w:tc>
        <w:tc>
          <w:tcPr>
            <w:tcW w:w="1531" w:type="dxa"/>
            <w:vAlign w:val="center"/>
          </w:tcPr>
          <w:p w14:paraId="4D915EC3"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b/>
                <w:color w:val="262626"/>
                <w:sz w:val="18"/>
                <w:szCs w:val="18"/>
              </w:rPr>
            </w:pPr>
            <w:r>
              <w:rPr>
                <w:rFonts w:ascii="Arial" w:hAnsi="Arial" w:cs="Arial"/>
                <w:b/>
                <w:color w:val="262626"/>
                <w:sz w:val="18"/>
                <w:szCs w:val="18"/>
                <w:lang w:val="en-US"/>
              </w:rPr>
              <w:t>6,853</w:t>
            </w:r>
          </w:p>
        </w:tc>
        <w:tc>
          <w:tcPr>
            <w:tcW w:w="1531" w:type="dxa"/>
            <w:vAlign w:val="center"/>
          </w:tcPr>
          <w:p w14:paraId="5CED3588"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color w:val="262626"/>
                <w:sz w:val="18"/>
                <w:szCs w:val="18"/>
                <w:lang w:val="el-GR"/>
              </w:rPr>
            </w:pPr>
            <w:r w:rsidRPr="002D1FED">
              <w:rPr>
                <w:rFonts w:ascii="Arial" w:hAnsi="Arial" w:cs="Arial"/>
                <w:bCs/>
                <w:color w:val="262626"/>
                <w:sz w:val="18"/>
                <w:szCs w:val="18"/>
                <w:lang w:val="en-US"/>
              </w:rPr>
              <w:t>9,428</w:t>
            </w:r>
          </w:p>
        </w:tc>
      </w:tr>
      <w:tr w:rsidR="0056738E" w:rsidRPr="00E1192D" w14:paraId="6E163C04" w14:textId="77777777" w:rsidTr="007C2AEE">
        <w:trPr>
          <w:trHeight w:val="227"/>
          <w:jc w:val="center"/>
        </w:trPr>
        <w:tc>
          <w:tcPr>
            <w:tcW w:w="6803" w:type="dxa"/>
            <w:vAlign w:val="center"/>
          </w:tcPr>
          <w:p w14:paraId="07332416" w14:textId="77777777" w:rsidR="0056738E" w:rsidRPr="000F1922" w:rsidRDefault="0056738E" w:rsidP="007C2AEE">
            <w:pPr>
              <w:pStyle w:val="BodyTextIndent2"/>
              <w:tabs>
                <w:tab w:val="left" w:pos="284"/>
              </w:tabs>
              <w:ind w:left="0"/>
              <w:rPr>
                <w:rFonts w:ascii="Arial" w:hAnsi="Arial" w:cs="Arial"/>
                <w:iCs w:val="0"/>
                <w:color w:val="262626"/>
                <w:sz w:val="18"/>
                <w:szCs w:val="18"/>
                <w:lang w:val="el-GR" w:eastAsia="el-GR"/>
              </w:rPr>
            </w:pPr>
            <w:r w:rsidRPr="000F1922">
              <w:rPr>
                <w:rFonts w:ascii="Arial" w:hAnsi="Arial" w:cs="Arial"/>
                <w:color w:val="262626"/>
                <w:sz w:val="18"/>
                <w:szCs w:val="18"/>
                <w:lang w:val="el-GR" w:eastAsia="el-GR"/>
              </w:rPr>
              <w:t>Ανακτήσεις χρεών</w:t>
            </w:r>
          </w:p>
        </w:tc>
        <w:tc>
          <w:tcPr>
            <w:tcW w:w="1531" w:type="dxa"/>
            <w:vAlign w:val="center"/>
          </w:tcPr>
          <w:p w14:paraId="4FFC1E7B"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b/>
                <w:color w:val="262626"/>
                <w:sz w:val="18"/>
                <w:szCs w:val="18"/>
              </w:rPr>
            </w:pPr>
          </w:p>
        </w:tc>
        <w:tc>
          <w:tcPr>
            <w:tcW w:w="1531" w:type="dxa"/>
            <w:tcBorders>
              <w:top w:val="single" w:sz="4" w:space="0" w:color="C0C0C0"/>
              <w:bottom w:val="single" w:sz="4" w:space="0" w:color="C0C0C0"/>
            </w:tcBorders>
            <w:shd w:val="clear" w:color="auto" w:fill="auto"/>
            <w:vAlign w:val="center"/>
          </w:tcPr>
          <w:p w14:paraId="162A4142"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color w:val="262626"/>
                <w:sz w:val="18"/>
                <w:szCs w:val="18"/>
                <w:lang w:val="el-GR"/>
              </w:rPr>
            </w:pPr>
          </w:p>
        </w:tc>
      </w:tr>
      <w:tr w:rsidR="0056738E" w:rsidRPr="00E1192D" w14:paraId="23CB2F90" w14:textId="77777777" w:rsidTr="007C2AEE">
        <w:trPr>
          <w:trHeight w:val="227"/>
          <w:jc w:val="center"/>
        </w:trPr>
        <w:tc>
          <w:tcPr>
            <w:tcW w:w="6803" w:type="dxa"/>
            <w:vAlign w:val="center"/>
          </w:tcPr>
          <w:p w14:paraId="66096AC0" w14:textId="77777777" w:rsidR="0056738E" w:rsidRPr="000F1922" w:rsidRDefault="0056738E" w:rsidP="007C2AEE">
            <w:pPr>
              <w:pStyle w:val="BodyTextIndent2"/>
              <w:tabs>
                <w:tab w:val="left" w:pos="284"/>
              </w:tabs>
              <w:ind w:left="0"/>
              <w:rPr>
                <w:rFonts w:ascii="Arial" w:hAnsi="Arial" w:cs="Arial"/>
                <w:iCs w:val="0"/>
                <w:color w:val="262626"/>
                <w:sz w:val="18"/>
                <w:szCs w:val="18"/>
                <w:lang w:val="el-GR" w:eastAsia="el-GR"/>
              </w:rPr>
            </w:pPr>
            <w:r w:rsidRPr="000F1922">
              <w:rPr>
                <w:rFonts w:ascii="Arial" w:hAnsi="Arial" w:cs="Arial"/>
                <w:color w:val="262626"/>
                <w:sz w:val="18"/>
                <w:szCs w:val="18"/>
                <w:lang w:eastAsia="el-GR"/>
              </w:rPr>
              <w:t xml:space="preserve">– </w:t>
            </w:r>
            <w:r w:rsidRPr="000F1922">
              <w:rPr>
                <w:rFonts w:ascii="Arial" w:hAnsi="Arial" w:cs="Arial"/>
                <w:color w:val="262626"/>
                <w:sz w:val="18"/>
                <w:szCs w:val="18"/>
                <w:lang w:val="el-GR" w:eastAsia="el-GR"/>
              </w:rPr>
              <w:t>μεγάλες επιχειρήσεις</w:t>
            </w:r>
          </w:p>
        </w:tc>
        <w:tc>
          <w:tcPr>
            <w:tcW w:w="1531" w:type="dxa"/>
            <w:vAlign w:val="center"/>
          </w:tcPr>
          <w:p w14:paraId="125126FD"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b/>
                <w:color w:val="262626"/>
                <w:sz w:val="18"/>
                <w:szCs w:val="18"/>
              </w:rPr>
            </w:pPr>
            <w:r>
              <w:rPr>
                <w:rFonts w:ascii="Arial" w:hAnsi="Arial" w:cs="Arial"/>
                <w:b/>
                <w:color w:val="262626"/>
                <w:sz w:val="18"/>
                <w:szCs w:val="18"/>
                <w:lang w:val="en-US"/>
              </w:rPr>
              <w:t>924</w:t>
            </w:r>
          </w:p>
        </w:tc>
        <w:tc>
          <w:tcPr>
            <w:tcW w:w="1531" w:type="dxa"/>
            <w:tcBorders>
              <w:top w:val="single" w:sz="4" w:space="0" w:color="C0C0C0"/>
              <w:bottom w:val="single" w:sz="4" w:space="0" w:color="C0C0C0"/>
            </w:tcBorders>
            <w:shd w:val="clear" w:color="auto" w:fill="auto"/>
            <w:vAlign w:val="center"/>
          </w:tcPr>
          <w:p w14:paraId="4E516637"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color w:val="262626"/>
                <w:sz w:val="18"/>
                <w:szCs w:val="18"/>
                <w:lang w:val="el-GR"/>
              </w:rPr>
            </w:pPr>
            <w:r w:rsidRPr="002D1FED">
              <w:rPr>
                <w:rFonts w:ascii="Arial" w:hAnsi="Arial" w:cs="Arial"/>
                <w:bCs/>
                <w:color w:val="262626"/>
                <w:sz w:val="18"/>
                <w:szCs w:val="18"/>
                <w:lang w:val="en-US"/>
              </w:rPr>
              <w:t>1,098</w:t>
            </w:r>
          </w:p>
        </w:tc>
      </w:tr>
      <w:tr w:rsidR="0056738E" w:rsidRPr="00E1192D" w14:paraId="46530B1D" w14:textId="77777777" w:rsidTr="007C2AEE">
        <w:trPr>
          <w:trHeight w:val="227"/>
          <w:jc w:val="center"/>
        </w:trPr>
        <w:tc>
          <w:tcPr>
            <w:tcW w:w="6803" w:type="dxa"/>
            <w:vAlign w:val="center"/>
          </w:tcPr>
          <w:p w14:paraId="44EC6A26" w14:textId="77777777" w:rsidR="0056738E" w:rsidRPr="000F1922" w:rsidRDefault="0056738E" w:rsidP="007C2AEE">
            <w:pPr>
              <w:pStyle w:val="BodyTextIndent2"/>
              <w:tabs>
                <w:tab w:val="left" w:pos="284"/>
              </w:tabs>
              <w:ind w:left="0"/>
              <w:rPr>
                <w:rFonts w:ascii="Arial" w:hAnsi="Arial" w:cs="Arial"/>
                <w:iCs w:val="0"/>
                <w:color w:val="262626"/>
                <w:sz w:val="18"/>
                <w:szCs w:val="18"/>
                <w:lang w:val="el-GR" w:eastAsia="el-GR"/>
              </w:rPr>
            </w:pPr>
            <w:r w:rsidRPr="00D17E65">
              <w:rPr>
                <w:rFonts w:ascii="Arial" w:hAnsi="Arial" w:cs="Arial"/>
                <w:color w:val="262626"/>
                <w:sz w:val="18"/>
                <w:szCs w:val="18"/>
                <w:lang w:val="el-GR" w:eastAsia="el-GR"/>
              </w:rPr>
              <w:t xml:space="preserve">Διαχείριση </w:t>
            </w:r>
            <w:r>
              <w:rPr>
                <w:rFonts w:ascii="Arial" w:hAnsi="Arial" w:cs="Arial"/>
                <w:color w:val="262626"/>
                <w:sz w:val="18"/>
                <w:szCs w:val="18"/>
                <w:lang w:val="el-GR" w:eastAsia="el-GR"/>
              </w:rPr>
              <w:t>Θεσμικών Κεφαλαίων και Θεματοφυλακής</w:t>
            </w:r>
          </w:p>
        </w:tc>
        <w:tc>
          <w:tcPr>
            <w:tcW w:w="1531" w:type="dxa"/>
            <w:vAlign w:val="center"/>
          </w:tcPr>
          <w:p w14:paraId="3CB10E8B" w14:textId="77777777" w:rsidR="0056738E" w:rsidRPr="002947E0"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b/>
                <w:color w:val="262626"/>
                <w:sz w:val="18"/>
                <w:szCs w:val="18"/>
                <w:lang w:val="el-GR"/>
              </w:rPr>
            </w:pPr>
            <w:r>
              <w:rPr>
                <w:rFonts w:ascii="Arial" w:hAnsi="Arial" w:cs="Arial"/>
                <w:b/>
                <w:color w:val="262626"/>
                <w:sz w:val="18"/>
                <w:szCs w:val="18"/>
                <w:lang w:val="en-US"/>
              </w:rPr>
              <w:t>198,990</w:t>
            </w:r>
          </w:p>
        </w:tc>
        <w:tc>
          <w:tcPr>
            <w:tcW w:w="1531" w:type="dxa"/>
            <w:tcBorders>
              <w:top w:val="single" w:sz="4" w:space="0" w:color="C0C0C0"/>
              <w:bottom w:val="single" w:sz="4" w:space="0" w:color="C0C0C0"/>
            </w:tcBorders>
            <w:shd w:val="clear" w:color="auto" w:fill="auto"/>
            <w:vAlign w:val="center"/>
          </w:tcPr>
          <w:p w14:paraId="6F87C30F" w14:textId="77777777" w:rsidR="0056738E" w:rsidRPr="00D17E65"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color w:val="262626"/>
                <w:sz w:val="18"/>
                <w:szCs w:val="18"/>
                <w:lang w:val="en-US"/>
              </w:rPr>
            </w:pPr>
            <w:r>
              <w:rPr>
                <w:rFonts w:ascii="Arial" w:hAnsi="Arial" w:cs="Arial"/>
                <w:bCs/>
                <w:color w:val="262626"/>
                <w:sz w:val="18"/>
                <w:szCs w:val="18"/>
                <w:lang w:val="en-US"/>
              </w:rPr>
              <w:t>84,638</w:t>
            </w:r>
          </w:p>
        </w:tc>
      </w:tr>
      <w:tr w:rsidR="0056738E" w:rsidRPr="00E1192D" w14:paraId="4F31BF6A" w14:textId="77777777" w:rsidTr="007C2AEE">
        <w:trPr>
          <w:trHeight w:val="227"/>
          <w:jc w:val="center"/>
        </w:trPr>
        <w:tc>
          <w:tcPr>
            <w:tcW w:w="6803" w:type="dxa"/>
            <w:vAlign w:val="center"/>
          </w:tcPr>
          <w:p w14:paraId="7ADE2A54" w14:textId="77777777" w:rsidR="0056738E" w:rsidRPr="00C42B7D" w:rsidRDefault="0056738E" w:rsidP="007C2AEE">
            <w:pPr>
              <w:pStyle w:val="BodyTextIndent2"/>
              <w:tabs>
                <w:tab w:val="left" w:pos="284"/>
              </w:tabs>
              <w:ind w:left="0"/>
              <w:rPr>
                <w:rFonts w:ascii="Arial" w:hAnsi="Arial" w:cs="Arial"/>
                <w:b/>
                <w:iCs w:val="0"/>
                <w:color w:val="262626"/>
                <w:sz w:val="18"/>
                <w:szCs w:val="18"/>
                <w:lang w:eastAsia="el-GR"/>
              </w:rPr>
            </w:pPr>
          </w:p>
        </w:tc>
        <w:tc>
          <w:tcPr>
            <w:tcW w:w="1531" w:type="dxa"/>
            <w:tcBorders>
              <w:top w:val="single" w:sz="6" w:space="0" w:color="000000" w:themeColor="text1"/>
              <w:bottom w:val="double" w:sz="6" w:space="0" w:color="auto"/>
            </w:tcBorders>
            <w:vAlign w:val="center"/>
          </w:tcPr>
          <w:p w14:paraId="380ACDB4"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b/>
                <w:color w:val="262626"/>
                <w:sz w:val="18"/>
                <w:szCs w:val="18"/>
              </w:rPr>
            </w:pPr>
            <w:r>
              <w:rPr>
                <w:rFonts w:ascii="Arial" w:hAnsi="Arial" w:cs="Arial"/>
                <w:b/>
                <w:color w:val="262626"/>
                <w:sz w:val="18"/>
                <w:szCs w:val="18"/>
                <w:lang w:val="en-US"/>
              </w:rPr>
              <w:t>19,988,552</w:t>
            </w:r>
          </w:p>
        </w:tc>
        <w:tc>
          <w:tcPr>
            <w:tcW w:w="1531" w:type="dxa"/>
            <w:tcBorders>
              <w:top w:val="single" w:sz="6" w:space="0" w:color="000000" w:themeColor="text1"/>
              <w:bottom w:val="double" w:sz="6" w:space="0" w:color="auto"/>
            </w:tcBorders>
            <w:shd w:val="clear" w:color="auto" w:fill="auto"/>
            <w:vAlign w:val="center"/>
          </w:tcPr>
          <w:p w14:paraId="11824F88"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color w:val="262626"/>
                <w:sz w:val="18"/>
                <w:szCs w:val="18"/>
              </w:rPr>
            </w:pPr>
            <w:r w:rsidRPr="002D1FED">
              <w:rPr>
                <w:rFonts w:ascii="Arial" w:hAnsi="Arial" w:cs="Arial"/>
                <w:bCs/>
                <w:color w:val="262626"/>
                <w:sz w:val="18"/>
                <w:szCs w:val="18"/>
                <w:lang w:val="en-US"/>
              </w:rPr>
              <w:t>19,336,915</w:t>
            </w:r>
          </w:p>
        </w:tc>
      </w:tr>
      <w:tr w:rsidR="0056738E" w:rsidRPr="00E1192D" w14:paraId="7FA55B81" w14:textId="77777777" w:rsidTr="007C2AEE">
        <w:trPr>
          <w:trHeight w:val="57"/>
          <w:jc w:val="center"/>
        </w:trPr>
        <w:tc>
          <w:tcPr>
            <w:tcW w:w="6803" w:type="dxa"/>
            <w:tcBorders>
              <w:left w:val="nil"/>
              <w:bottom w:val="nil"/>
              <w:right w:val="nil"/>
            </w:tcBorders>
            <w:vAlign w:val="center"/>
          </w:tcPr>
          <w:p w14:paraId="42892963" w14:textId="77777777" w:rsidR="0056738E" w:rsidRPr="00C42B7D" w:rsidRDefault="0056738E" w:rsidP="007C2AEE">
            <w:pPr>
              <w:pStyle w:val="BodyTextIndent2"/>
              <w:tabs>
                <w:tab w:val="left" w:pos="284"/>
              </w:tabs>
              <w:ind w:left="0"/>
              <w:rPr>
                <w:rFonts w:ascii="Arial" w:hAnsi="Arial" w:cs="Arial"/>
                <w:b/>
                <w:iCs w:val="0"/>
                <w:color w:val="262626"/>
                <w:sz w:val="18"/>
                <w:szCs w:val="18"/>
                <w:lang w:eastAsia="el-GR"/>
              </w:rPr>
            </w:pPr>
          </w:p>
        </w:tc>
        <w:tc>
          <w:tcPr>
            <w:tcW w:w="1531" w:type="dxa"/>
            <w:tcBorders>
              <w:top w:val="double" w:sz="6" w:space="0" w:color="000000" w:themeColor="text1"/>
              <w:left w:val="nil"/>
              <w:bottom w:val="nil"/>
              <w:right w:val="nil"/>
            </w:tcBorders>
            <w:vAlign w:val="center"/>
          </w:tcPr>
          <w:p w14:paraId="230599AD"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b/>
                <w:color w:val="262626"/>
                <w:sz w:val="18"/>
                <w:szCs w:val="18"/>
              </w:rPr>
            </w:pPr>
          </w:p>
        </w:tc>
        <w:tc>
          <w:tcPr>
            <w:tcW w:w="1531" w:type="dxa"/>
            <w:tcBorders>
              <w:top w:val="double" w:sz="6" w:space="0" w:color="000000" w:themeColor="text1"/>
              <w:left w:val="nil"/>
              <w:bottom w:val="nil"/>
              <w:right w:val="nil"/>
            </w:tcBorders>
            <w:shd w:val="clear" w:color="auto" w:fill="auto"/>
            <w:vAlign w:val="center"/>
          </w:tcPr>
          <w:p w14:paraId="28E54C1A"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right"/>
              <w:rPr>
                <w:rFonts w:ascii="Arial" w:hAnsi="Arial" w:cs="Arial"/>
                <w:color w:val="262626"/>
                <w:sz w:val="18"/>
                <w:szCs w:val="18"/>
              </w:rPr>
            </w:pPr>
          </w:p>
        </w:tc>
      </w:tr>
    </w:tbl>
    <w:p w14:paraId="05B470CF" w14:textId="77777777" w:rsidR="0056738E" w:rsidRPr="00D17E65" w:rsidRDefault="0056738E" w:rsidP="0056738E">
      <w:pPr>
        <w:spacing w:after="0" w:line="240" w:lineRule="auto"/>
        <w:jc w:val="both"/>
        <w:rPr>
          <w:rFonts w:ascii="Arial" w:hAnsi="Arial" w:cs="Arial"/>
          <w:color w:val="262626"/>
          <w:sz w:val="18"/>
          <w:szCs w:val="18"/>
          <w:lang w:val="el-GR"/>
        </w:rPr>
      </w:pPr>
      <w:r w:rsidRPr="00A03828">
        <w:rPr>
          <w:rFonts w:ascii="Arial" w:hAnsi="Arial" w:cs="Arial"/>
          <w:color w:val="262626"/>
          <w:sz w:val="18"/>
          <w:szCs w:val="18"/>
          <w:lang w:val="el-GR"/>
        </w:rPr>
        <w:t xml:space="preserve">Από το πρώτο τρίμηνο του 2024, μετά από μια εσωτερική αναδιοργάνωση, οι εργασίες οι οποίες παρουσιάζονταν προηγουμένως στον πελατειακό τομέα 'Διαχείριση περιουσίας' έχουν αναδιοργανωθεί και παρουσιάζονται τώρα ως ακολούθως: μέρος των εργασιών έχουν μεταφερθεί στην νεοσύστατη μονάδα </w:t>
      </w:r>
      <w:r w:rsidRPr="00A03828">
        <w:rPr>
          <w:rFonts w:ascii="Arial" w:hAnsi="Arial" w:cs="Arial"/>
          <w:color w:val="262626"/>
          <w:sz w:val="18"/>
          <w:szCs w:val="18"/>
        </w:rPr>
        <w:t>Affluent</w:t>
      </w:r>
      <w:r w:rsidRPr="00A03828">
        <w:rPr>
          <w:rFonts w:ascii="Arial" w:hAnsi="Arial" w:cs="Arial"/>
          <w:color w:val="262626"/>
          <w:sz w:val="18"/>
          <w:szCs w:val="18"/>
          <w:lang w:val="el-GR"/>
        </w:rPr>
        <w:t xml:space="preserve"> Τραπεζική, και πλέον τα αποτελέσματα αυτής της μονάδας παρουσιάζονται και παρακολουθούνται κάτω από τον τομέα ‘Ιδιώτες’ και το μέρος των εργασιών που αφορούσαν στη Διαχείριση Θεσμικών Κεφαλαίων και Θεματοφυλακή έχουν μεταφερθεί </w:t>
      </w:r>
      <w:r>
        <w:rPr>
          <w:rFonts w:ascii="Arial" w:hAnsi="Arial" w:cs="Arial"/>
          <w:color w:val="262626"/>
          <w:sz w:val="18"/>
          <w:szCs w:val="18"/>
          <w:lang w:val="el-GR"/>
        </w:rPr>
        <w:t>και τώρα παρουσιάζονται και παρακολουθούνται κάτω από τον τομέα</w:t>
      </w:r>
      <w:r w:rsidRPr="00A03828">
        <w:rPr>
          <w:rFonts w:ascii="Arial" w:hAnsi="Arial" w:cs="Arial"/>
          <w:color w:val="262626"/>
          <w:sz w:val="18"/>
          <w:szCs w:val="18"/>
          <w:lang w:val="el-GR"/>
        </w:rPr>
        <w:t xml:space="preserve"> 'Διαχείριση Διαθεσίμων'. Ως αποτέλεσμα των αλλαγών, ο τομέας 'Διαχείριση περιουσίας’ δεν υφίσταται πλέον ως ξεχωριστός τομέας. Οι εργασίες των θυγατρικών εταιρειών του Συγκροτήματος, </w:t>
      </w:r>
      <w:r w:rsidRPr="00A03828">
        <w:rPr>
          <w:rFonts w:ascii="Arial" w:hAnsi="Arial" w:cs="Arial"/>
          <w:color w:val="262626"/>
          <w:sz w:val="18"/>
          <w:szCs w:val="18"/>
        </w:rPr>
        <w:t>CISCO</w:t>
      </w:r>
      <w:r w:rsidRPr="00A03828">
        <w:rPr>
          <w:rFonts w:ascii="Arial" w:hAnsi="Arial" w:cs="Arial"/>
          <w:color w:val="262626"/>
          <w:sz w:val="18"/>
          <w:szCs w:val="18"/>
          <w:lang w:val="el-GR"/>
        </w:rPr>
        <w:t xml:space="preserve"> και των θυγατρικών της, οι οποίες επίσης παρουσιάζονταν προηγουμένως κάτω από τον πελατειακό τομέα 'Διαχείριση περιουσίας' και των οποίων οι εργασίες σχετίζονται με επενδυτικές και χρηματιστηριακές εργασίες και εργασίες διαχείρισης περιουσιακών στοιχείων και επενδυτικές συμβουλευτικές υπηρεσίες, δεν πληρούν τα κριτήρια για σημαντικό πελατειακό τομέα, επομένως παρουσιάζονται στον τομέα ‘Λοιπά’. Οι συγκριτικές πληροφορίες</w:t>
      </w:r>
      <w:r>
        <w:rPr>
          <w:rFonts w:ascii="Arial" w:hAnsi="Arial" w:cs="Arial"/>
          <w:color w:val="262626"/>
          <w:sz w:val="18"/>
          <w:szCs w:val="18"/>
          <w:lang w:val="el-GR"/>
        </w:rPr>
        <w:t xml:space="preserve"> στην ανάλυση ‘Ανά πελατειακό τομέα’</w:t>
      </w:r>
      <w:r w:rsidRPr="00A03828">
        <w:rPr>
          <w:rFonts w:ascii="Arial" w:hAnsi="Arial" w:cs="Arial"/>
          <w:color w:val="262626"/>
          <w:sz w:val="18"/>
          <w:szCs w:val="18"/>
          <w:lang w:val="el-GR"/>
        </w:rPr>
        <w:t xml:space="preserve"> </w:t>
      </w:r>
      <w:r>
        <w:rPr>
          <w:rFonts w:ascii="Arial" w:hAnsi="Arial" w:cs="Arial"/>
          <w:color w:val="262626"/>
          <w:sz w:val="18"/>
          <w:szCs w:val="18"/>
          <w:lang w:val="el-GR"/>
        </w:rPr>
        <w:t>στα</w:t>
      </w:r>
      <w:r w:rsidRPr="00A03828">
        <w:rPr>
          <w:rFonts w:ascii="Arial" w:hAnsi="Arial" w:cs="Arial"/>
          <w:color w:val="262626"/>
          <w:sz w:val="18"/>
          <w:szCs w:val="18"/>
          <w:lang w:val="el-GR"/>
        </w:rPr>
        <w:t xml:space="preserve"> </w:t>
      </w:r>
      <w:r>
        <w:rPr>
          <w:rFonts w:ascii="Arial" w:hAnsi="Arial" w:cs="Arial"/>
          <w:color w:val="262626"/>
          <w:sz w:val="18"/>
          <w:szCs w:val="18"/>
          <w:lang w:val="el-GR"/>
        </w:rPr>
        <w:t>Μέρη</w:t>
      </w:r>
      <w:r w:rsidRPr="00A03828">
        <w:rPr>
          <w:rFonts w:ascii="Arial" w:hAnsi="Arial" w:cs="Arial"/>
          <w:color w:val="262626"/>
          <w:sz w:val="18"/>
          <w:szCs w:val="18"/>
          <w:lang w:val="el-GR"/>
        </w:rPr>
        <w:t xml:space="preserve"> Σ</w:t>
      </w:r>
      <w:r>
        <w:rPr>
          <w:rFonts w:ascii="Arial" w:hAnsi="Arial" w:cs="Arial"/>
          <w:color w:val="262626"/>
          <w:sz w:val="18"/>
          <w:szCs w:val="18"/>
          <w:lang w:val="el-GR"/>
        </w:rPr>
        <w:t>Τ</w:t>
      </w:r>
      <w:r w:rsidRPr="00A03828">
        <w:rPr>
          <w:rFonts w:ascii="Arial" w:hAnsi="Arial" w:cs="Arial"/>
          <w:color w:val="262626"/>
          <w:sz w:val="18"/>
          <w:szCs w:val="18"/>
          <w:lang w:val="el-GR"/>
        </w:rPr>
        <w:t>.2 ‘Καταθέσεις πελατών’, Σ</w:t>
      </w:r>
      <w:r>
        <w:rPr>
          <w:rFonts w:ascii="Arial" w:hAnsi="Arial" w:cs="Arial"/>
          <w:color w:val="262626"/>
          <w:sz w:val="18"/>
          <w:szCs w:val="18"/>
          <w:lang w:val="el-GR"/>
        </w:rPr>
        <w:t>Τ</w:t>
      </w:r>
      <w:r w:rsidRPr="00A03828">
        <w:rPr>
          <w:rFonts w:ascii="Arial" w:hAnsi="Arial" w:cs="Arial"/>
          <w:color w:val="262626"/>
          <w:sz w:val="18"/>
          <w:szCs w:val="18"/>
          <w:lang w:val="el-GR"/>
        </w:rPr>
        <w:t>.4 ‘Συγκέντρωση πιστωτικού κινδύνου δανείων και απαιτήσεων από πελάτες’ και Σ</w:t>
      </w:r>
      <w:r>
        <w:rPr>
          <w:rFonts w:ascii="Arial" w:hAnsi="Arial" w:cs="Arial"/>
          <w:color w:val="262626"/>
          <w:sz w:val="18"/>
          <w:szCs w:val="18"/>
          <w:lang w:val="el-GR"/>
        </w:rPr>
        <w:t>Τ</w:t>
      </w:r>
      <w:r w:rsidRPr="00A03828">
        <w:rPr>
          <w:rFonts w:ascii="Arial" w:hAnsi="Arial" w:cs="Arial"/>
          <w:color w:val="262626"/>
          <w:sz w:val="18"/>
          <w:szCs w:val="18"/>
          <w:lang w:val="el-GR"/>
        </w:rPr>
        <w:t>.5 ‘Ανάλυση χαρτοφυλακίου δανείων και απαιτήσεων από πελάτες ανά στάδιο’ έχουν αναπροσαρμοστεί ούτως ώστε να αντικατοπτρίζουν αυτή την αλλαγή.</w:t>
      </w:r>
      <w:r>
        <w:rPr>
          <w:rFonts w:ascii="Arial" w:hAnsi="Arial" w:cs="Arial"/>
          <w:color w:val="262626"/>
          <w:sz w:val="18"/>
          <w:szCs w:val="18"/>
          <w:lang w:val="el-GR"/>
        </w:rPr>
        <w:t xml:space="preserve"> </w:t>
      </w:r>
      <w:r w:rsidRPr="00472266">
        <w:rPr>
          <w:rFonts w:ascii="Arial" w:hAnsi="Arial" w:cs="Arial"/>
          <w:color w:val="262626"/>
          <w:sz w:val="18"/>
          <w:szCs w:val="18"/>
          <w:lang w:val="el-GR"/>
        </w:rPr>
        <w:t xml:space="preserve">Οι σχετικοί πίνακες προσδιορίζονται ως </w:t>
      </w:r>
      <w:r w:rsidRPr="00E26933">
        <w:rPr>
          <w:rFonts w:ascii="Arial" w:hAnsi="Arial" w:cs="Arial"/>
          <w:color w:val="262626"/>
          <w:sz w:val="18"/>
          <w:szCs w:val="18"/>
          <w:lang w:val="el-GR"/>
        </w:rPr>
        <w:t>αναπροσαρμο</w:t>
      </w:r>
      <w:r>
        <w:rPr>
          <w:rFonts w:ascii="Arial" w:hAnsi="Arial" w:cs="Arial"/>
          <w:color w:val="262626"/>
          <w:sz w:val="18"/>
          <w:szCs w:val="18"/>
          <w:lang w:val="el-GR"/>
        </w:rPr>
        <w:t>σμένοι</w:t>
      </w:r>
      <w:r w:rsidRPr="00472266">
        <w:rPr>
          <w:rFonts w:ascii="Arial" w:hAnsi="Arial" w:cs="Arial"/>
          <w:color w:val="262626"/>
          <w:sz w:val="18"/>
          <w:szCs w:val="18"/>
          <w:lang w:val="el-GR"/>
        </w:rPr>
        <w:t>.</w:t>
      </w:r>
    </w:p>
    <w:p w14:paraId="76585BEF" w14:textId="77777777" w:rsidR="0056738E" w:rsidRPr="00D17E65" w:rsidRDefault="0056738E" w:rsidP="0056738E">
      <w:pPr>
        <w:spacing w:after="0" w:line="240" w:lineRule="auto"/>
        <w:ind w:left="851" w:hanging="851"/>
        <w:rPr>
          <w:rFonts w:ascii="Arial" w:hAnsi="Arial" w:cs="Arial"/>
          <w:b/>
          <w:color w:val="FF9900"/>
          <w:lang w:val="el-GR"/>
        </w:rPr>
      </w:pPr>
    </w:p>
    <w:p w14:paraId="36CBDC81" w14:textId="77777777" w:rsidR="0056738E" w:rsidRDefault="0056738E" w:rsidP="0056738E">
      <w:pPr>
        <w:rPr>
          <w:rFonts w:ascii="Arial" w:hAnsi="Arial" w:cs="Arial"/>
          <w:b/>
          <w:color w:val="FF9900"/>
          <w:lang w:val="el-GR"/>
        </w:rPr>
      </w:pPr>
      <w:r>
        <w:rPr>
          <w:rFonts w:ascii="Arial" w:hAnsi="Arial" w:cs="Arial"/>
          <w:b/>
          <w:color w:val="FF9900"/>
          <w:lang w:val="el-GR"/>
        </w:rPr>
        <w:br w:type="page"/>
      </w:r>
    </w:p>
    <w:p w14:paraId="45D7244B" w14:textId="77777777" w:rsidR="0056738E" w:rsidRPr="00C30CF6" w:rsidRDefault="0056738E" w:rsidP="0056738E">
      <w:pPr>
        <w:spacing w:after="0" w:line="360" w:lineRule="auto"/>
        <w:ind w:left="851" w:hanging="851"/>
        <w:rPr>
          <w:rFonts w:ascii="Arial" w:hAnsi="Arial" w:cs="Arial"/>
          <w:b/>
          <w:color w:val="FF9900"/>
          <w:lang w:val="el-GR"/>
        </w:rPr>
      </w:pPr>
      <w:r>
        <w:rPr>
          <w:rFonts w:ascii="Arial" w:hAnsi="Arial" w:cs="Arial"/>
          <w:b/>
          <w:color w:val="FF9900"/>
          <w:szCs w:val="16"/>
          <w:lang w:val="el-GR"/>
        </w:rPr>
        <w:lastRenderedPageBreak/>
        <w:t>ΣΤ</w:t>
      </w:r>
      <w:r w:rsidRPr="00C30CF6">
        <w:rPr>
          <w:rFonts w:ascii="Arial" w:hAnsi="Arial" w:cs="Arial"/>
          <w:b/>
          <w:color w:val="FF9900"/>
          <w:szCs w:val="16"/>
          <w:lang w:val="el-GR"/>
        </w:rPr>
        <w:t xml:space="preserve">. </w:t>
      </w:r>
      <w:r w:rsidRPr="001E3958">
        <w:rPr>
          <w:rFonts w:ascii="Arial" w:hAnsi="Arial" w:cs="Arial"/>
          <w:b/>
          <w:color w:val="FF9900"/>
          <w:szCs w:val="16"/>
          <w:lang w:val="el-GR"/>
        </w:rPr>
        <w:tab/>
      </w:r>
      <w:r>
        <w:rPr>
          <w:rFonts w:ascii="Arial" w:hAnsi="Arial" w:cs="Arial"/>
          <w:b/>
          <w:color w:val="FF9900"/>
          <w:lang w:val="el-GR"/>
        </w:rPr>
        <w:t xml:space="preserve">Σημειώσεις </w:t>
      </w:r>
      <w:r w:rsidRPr="00DE031F">
        <w:rPr>
          <w:rFonts w:ascii="Arial" w:hAnsi="Arial" w:cs="Arial"/>
          <w:color w:val="FF9900"/>
          <w:lang w:val="el-GR"/>
        </w:rPr>
        <w:t>(συνέχεια)</w:t>
      </w:r>
    </w:p>
    <w:p w14:paraId="69982C82" w14:textId="77777777" w:rsidR="0056738E" w:rsidRPr="00ED3F9F" w:rsidRDefault="0056738E" w:rsidP="0056738E">
      <w:pPr>
        <w:spacing w:after="0" w:line="360" w:lineRule="auto"/>
        <w:ind w:left="851" w:hanging="851"/>
        <w:rPr>
          <w:rFonts w:ascii="Arial" w:hAnsi="Arial" w:cs="Arial"/>
          <w:b/>
          <w:color w:val="FF9900"/>
          <w:lang w:val="el-GR"/>
        </w:rPr>
      </w:pPr>
      <w:r>
        <w:rPr>
          <w:rFonts w:ascii="Arial" w:hAnsi="Arial" w:cs="Arial"/>
          <w:b/>
          <w:color w:val="FF9900"/>
          <w:lang w:val="el-GR"/>
        </w:rPr>
        <w:t>ΣΤ</w:t>
      </w:r>
      <w:r w:rsidRPr="00CB5177">
        <w:rPr>
          <w:rFonts w:ascii="Arial" w:hAnsi="Arial" w:cs="Arial"/>
          <w:b/>
          <w:color w:val="FF9900"/>
          <w:lang w:val="el-GR"/>
        </w:rPr>
        <w:t>.</w:t>
      </w:r>
      <w:r>
        <w:rPr>
          <w:rFonts w:ascii="Arial" w:hAnsi="Arial" w:cs="Arial"/>
          <w:b/>
          <w:color w:val="FF9900"/>
          <w:lang w:val="el-GR"/>
        </w:rPr>
        <w:t>3</w:t>
      </w:r>
      <w:r w:rsidRPr="00366709">
        <w:rPr>
          <w:rFonts w:ascii="Arial" w:hAnsi="Arial" w:cs="Arial"/>
          <w:b/>
          <w:color w:val="FF9900"/>
          <w:lang w:val="el-GR"/>
        </w:rPr>
        <w:t xml:space="preserve"> </w:t>
      </w:r>
      <w:r w:rsidRPr="00D066DE">
        <w:rPr>
          <w:rFonts w:ascii="Arial" w:hAnsi="Arial" w:cs="Arial"/>
          <w:b/>
          <w:color w:val="FF9900"/>
          <w:lang w:val="el-GR"/>
        </w:rPr>
        <w:tab/>
      </w:r>
      <w:r>
        <w:rPr>
          <w:rFonts w:ascii="Arial" w:hAnsi="Arial" w:cs="Arial"/>
          <w:b/>
          <w:color w:val="FF9900"/>
          <w:lang w:val="el-GR"/>
        </w:rPr>
        <w:t>Δάνεια και απαιτήσεις από πελάτες</w:t>
      </w:r>
    </w:p>
    <w:tbl>
      <w:tblPr>
        <w:tblW w:w="9864"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802"/>
        <w:gridCol w:w="1531"/>
        <w:gridCol w:w="1531"/>
      </w:tblGrid>
      <w:tr w:rsidR="0056738E" w:rsidRPr="00E1192D" w14:paraId="1D6AF799" w14:textId="77777777" w:rsidTr="007C2AEE">
        <w:trPr>
          <w:trHeight w:val="283"/>
          <w:jc w:val="center"/>
        </w:trPr>
        <w:tc>
          <w:tcPr>
            <w:tcW w:w="6802" w:type="dxa"/>
            <w:vAlign w:val="center"/>
          </w:tcPr>
          <w:p w14:paraId="0DF05A36" w14:textId="77777777" w:rsidR="0056738E" w:rsidRPr="00C42B7D" w:rsidRDefault="0056738E" w:rsidP="007C2AEE">
            <w:pPr>
              <w:pStyle w:val="BodyTextIndent"/>
              <w:tabs>
                <w:tab w:val="left" w:pos="284"/>
              </w:tabs>
              <w:ind w:left="0"/>
              <w:rPr>
                <w:rFonts w:ascii="Arial" w:hAnsi="Arial" w:cs="Arial"/>
                <w:color w:val="262626"/>
                <w:sz w:val="18"/>
                <w:szCs w:val="18"/>
                <w:lang w:val="el-GR"/>
              </w:rPr>
            </w:pPr>
          </w:p>
        </w:tc>
        <w:tc>
          <w:tcPr>
            <w:tcW w:w="1531" w:type="dxa"/>
            <w:tcBorders>
              <w:bottom w:val="single" w:sz="4" w:space="0" w:color="C0C0C0"/>
            </w:tcBorders>
            <w:shd w:val="clear" w:color="auto" w:fill="FFFFFF"/>
            <w:vAlign w:val="center"/>
          </w:tcPr>
          <w:p w14:paraId="58C17B12" w14:textId="77777777" w:rsidR="0056738E" w:rsidRPr="00C42B7D" w:rsidRDefault="0056738E" w:rsidP="007C2AEE">
            <w:pPr>
              <w:tabs>
                <w:tab w:val="left" w:pos="2340"/>
                <w:tab w:val="decimal" w:pos="2976"/>
                <w:tab w:val="left" w:pos="4320"/>
                <w:tab w:val="decimal" w:pos="4818"/>
                <w:tab w:val="left" w:pos="6030"/>
                <w:tab w:val="left" w:pos="8100"/>
                <w:tab w:val="left" w:pos="8640"/>
              </w:tabs>
              <w:suppressAutoHyphens/>
              <w:spacing w:after="0" w:line="240" w:lineRule="auto"/>
              <w:ind w:left="-110" w:right="-129"/>
              <w:jc w:val="center"/>
              <w:rPr>
                <w:rFonts w:ascii="Arial" w:hAnsi="Arial" w:cs="Arial"/>
                <w:b/>
                <w:color w:val="262626"/>
                <w:sz w:val="18"/>
                <w:szCs w:val="18"/>
                <w:lang w:val="el-GR"/>
              </w:rPr>
            </w:pPr>
            <w:r>
              <w:rPr>
                <w:rFonts w:ascii="Arial" w:eastAsia="Batang" w:hAnsi="Arial" w:cs="Arial"/>
                <w:b/>
                <w:color w:val="262626"/>
                <w:sz w:val="18"/>
                <w:szCs w:val="18"/>
                <w:lang w:val="el-GR" w:eastAsia="en-US"/>
              </w:rPr>
              <w:t xml:space="preserve">30 </w:t>
            </w:r>
            <w:r w:rsidRPr="00001C90">
              <w:rPr>
                <w:rFonts w:ascii="Arial" w:eastAsia="Batang" w:hAnsi="Arial" w:cs="Arial"/>
                <w:b/>
                <w:color w:val="262626"/>
                <w:sz w:val="18"/>
                <w:szCs w:val="18"/>
                <w:lang w:val="el-GR" w:eastAsia="en-US"/>
              </w:rPr>
              <w:t xml:space="preserve">Σεπτεμβρίου </w:t>
            </w:r>
            <w:r w:rsidRPr="00C42B7D">
              <w:rPr>
                <w:rFonts w:ascii="Arial" w:hAnsi="Arial" w:cs="Arial"/>
                <w:b/>
                <w:color w:val="262626"/>
                <w:sz w:val="18"/>
                <w:szCs w:val="18"/>
                <w:lang w:val="el-GR"/>
              </w:rPr>
              <w:t>202</w:t>
            </w:r>
            <w:r>
              <w:rPr>
                <w:rFonts w:ascii="Arial" w:hAnsi="Arial" w:cs="Arial"/>
                <w:b/>
                <w:color w:val="262626"/>
                <w:sz w:val="18"/>
                <w:szCs w:val="18"/>
                <w:lang w:val="el-GR"/>
              </w:rPr>
              <w:t>4</w:t>
            </w:r>
          </w:p>
        </w:tc>
        <w:tc>
          <w:tcPr>
            <w:tcW w:w="1531" w:type="dxa"/>
            <w:tcBorders>
              <w:bottom w:val="single" w:sz="4" w:space="0" w:color="C0C0C0"/>
            </w:tcBorders>
            <w:shd w:val="clear" w:color="auto" w:fill="FFFFFF"/>
            <w:vAlign w:val="center"/>
          </w:tcPr>
          <w:p w14:paraId="119B36E3"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center"/>
              <w:rPr>
                <w:rFonts w:ascii="Arial" w:eastAsia="Batang" w:hAnsi="Arial" w:cs="Arial"/>
                <w:color w:val="262626"/>
                <w:sz w:val="18"/>
                <w:szCs w:val="18"/>
                <w:lang w:val="el-GR" w:eastAsia="en-US"/>
              </w:rPr>
            </w:pPr>
            <w:r w:rsidRPr="00C42B7D">
              <w:rPr>
                <w:rFonts w:ascii="Arial" w:eastAsia="Batang" w:hAnsi="Arial" w:cs="Arial"/>
                <w:color w:val="262626"/>
                <w:sz w:val="18"/>
                <w:szCs w:val="18"/>
                <w:lang w:val="el-GR" w:eastAsia="en-US"/>
              </w:rPr>
              <w:t>31 Δεκεμβρίου</w:t>
            </w:r>
          </w:p>
          <w:p w14:paraId="0A9551AC"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center"/>
              <w:rPr>
                <w:rFonts w:ascii="Arial" w:eastAsia="Batang" w:hAnsi="Arial" w:cs="Arial"/>
                <w:color w:val="262626"/>
                <w:sz w:val="18"/>
                <w:szCs w:val="18"/>
                <w:lang w:val="el-GR" w:eastAsia="en-US"/>
              </w:rPr>
            </w:pPr>
            <w:r w:rsidRPr="00C42B7D">
              <w:rPr>
                <w:rFonts w:ascii="Arial" w:eastAsia="Batang" w:hAnsi="Arial" w:cs="Arial"/>
                <w:color w:val="262626"/>
                <w:sz w:val="18"/>
                <w:szCs w:val="18"/>
                <w:lang w:val="el-GR" w:eastAsia="en-US"/>
              </w:rPr>
              <w:t>202</w:t>
            </w:r>
            <w:r>
              <w:rPr>
                <w:rFonts w:ascii="Arial" w:eastAsia="Batang" w:hAnsi="Arial" w:cs="Arial"/>
                <w:color w:val="262626"/>
                <w:sz w:val="18"/>
                <w:szCs w:val="18"/>
                <w:lang w:val="el-GR" w:eastAsia="en-US"/>
              </w:rPr>
              <w:t>3</w:t>
            </w:r>
          </w:p>
        </w:tc>
      </w:tr>
      <w:tr w:rsidR="0056738E" w:rsidRPr="00E1192D" w14:paraId="50C29B73" w14:textId="77777777" w:rsidTr="007C2AEE">
        <w:trPr>
          <w:trHeight w:val="227"/>
          <w:jc w:val="center"/>
        </w:trPr>
        <w:tc>
          <w:tcPr>
            <w:tcW w:w="6802" w:type="dxa"/>
            <w:vAlign w:val="center"/>
          </w:tcPr>
          <w:p w14:paraId="2BA96055" w14:textId="77777777" w:rsidR="0056738E" w:rsidRPr="00C42B7D" w:rsidRDefault="0056738E" w:rsidP="007C2AEE">
            <w:pPr>
              <w:pStyle w:val="BodyTextIndent"/>
              <w:tabs>
                <w:tab w:val="left" w:pos="284"/>
              </w:tabs>
              <w:spacing w:after="0" w:line="240" w:lineRule="auto"/>
              <w:ind w:left="0"/>
              <w:rPr>
                <w:rFonts w:ascii="Arial" w:hAnsi="Arial" w:cs="Arial"/>
                <w:color w:val="262626"/>
                <w:sz w:val="18"/>
                <w:szCs w:val="18"/>
                <w:lang w:val="el-GR"/>
              </w:rPr>
            </w:pPr>
          </w:p>
        </w:tc>
        <w:tc>
          <w:tcPr>
            <w:tcW w:w="1531" w:type="dxa"/>
            <w:tcBorders>
              <w:top w:val="single" w:sz="4" w:space="0" w:color="C0C0C0"/>
              <w:bottom w:val="single" w:sz="4" w:space="0" w:color="C0C0C0"/>
            </w:tcBorders>
            <w:vAlign w:val="center"/>
          </w:tcPr>
          <w:p w14:paraId="1BE155C1"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center"/>
              <w:rPr>
                <w:rFonts w:ascii="Arial" w:hAnsi="Arial" w:cs="Arial"/>
                <w:b/>
                <w:bCs/>
                <w:iCs/>
                <w:color w:val="262626"/>
                <w:sz w:val="18"/>
                <w:szCs w:val="18"/>
                <w:lang w:val="el-GR"/>
              </w:rPr>
            </w:pPr>
            <w:r w:rsidRPr="00C42B7D">
              <w:rPr>
                <w:rFonts w:ascii="Arial" w:hAnsi="Arial" w:cs="Arial"/>
                <w:b/>
                <w:bCs/>
                <w:iCs/>
                <w:color w:val="262626"/>
                <w:sz w:val="18"/>
                <w:szCs w:val="18"/>
                <w:lang w:val="el-GR"/>
              </w:rPr>
              <w:t>€000</w:t>
            </w:r>
          </w:p>
        </w:tc>
        <w:tc>
          <w:tcPr>
            <w:tcW w:w="1531" w:type="dxa"/>
            <w:tcBorders>
              <w:top w:val="single" w:sz="4" w:space="0" w:color="C0C0C0"/>
              <w:bottom w:val="single" w:sz="4" w:space="0" w:color="C0C0C0"/>
            </w:tcBorders>
            <w:shd w:val="clear" w:color="auto" w:fill="auto"/>
            <w:vAlign w:val="center"/>
          </w:tcPr>
          <w:p w14:paraId="2EA37B6C" w14:textId="77777777" w:rsidR="0056738E" w:rsidRPr="00C42B7D"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center"/>
              <w:rPr>
                <w:rFonts w:ascii="Arial" w:eastAsia="Batang" w:hAnsi="Arial" w:cs="Arial"/>
                <w:color w:val="262626"/>
                <w:sz w:val="18"/>
                <w:szCs w:val="18"/>
                <w:lang w:val="el-GR" w:eastAsia="en-US"/>
              </w:rPr>
            </w:pPr>
            <w:r w:rsidRPr="00C42B7D">
              <w:rPr>
                <w:rFonts w:ascii="Arial" w:eastAsia="Batang" w:hAnsi="Arial" w:cs="Arial"/>
                <w:color w:val="262626"/>
                <w:sz w:val="18"/>
                <w:szCs w:val="18"/>
                <w:lang w:val="el-GR" w:eastAsia="en-US"/>
              </w:rPr>
              <w:t>€000</w:t>
            </w:r>
          </w:p>
        </w:tc>
      </w:tr>
      <w:tr w:rsidR="0056738E" w:rsidRPr="00E1192D" w14:paraId="573ADC41" w14:textId="77777777" w:rsidTr="007C2AEE">
        <w:trPr>
          <w:trHeight w:val="227"/>
          <w:jc w:val="center"/>
        </w:trPr>
        <w:tc>
          <w:tcPr>
            <w:tcW w:w="6802" w:type="dxa"/>
            <w:vAlign w:val="center"/>
          </w:tcPr>
          <w:p w14:paraId="54D273FA" w14:textId="77777777" w:rsidR="0056738E" w:rsidRPr="00C42B7D" w:rsidRDefault="0056738E" w:rsidP="007C2AEE">
            <w:pPr>
              <w:pStyle w:val="BodyTextIndent"/>
              <w:spacing w:after="0" w:line="240" w:lineRule="auto"/>
              <w:ind w:left="0"/>
              <w:rPr>
                <w:rFonts w:ascii="Arial" w:hAnsi="Arial" w:cs="Arial"/>
                <w:color w:val="262626"/>
                <w:sz w:val="18"/>
                <w:szCs w:val="18"/>
                <w:lang w:val="el-GR"/>
              </w:rPr>
            </w:pPr>
            <w:r w:rsidRPr="00C42B7D">
              <w:rPr>
                <w:rFonts w:ascii="Arial" w:hAnsi="Arial" w:cs="Arial"/>
                <w:color w:val="262626"/>
                <w:sz w:val="18"/>
                <w:szCs w:val="18"/>
                <w:lang w:val="el-GR"/>
              </w:rPr>
              <w:t>Μεικτά δάνεια και απαιτήσεις από πελάτες που επιμετρούνται σε αποσβεσμένο κόστος</w:t>
            </w:r>
          </w:p>
        </w:tc>
        <w:tc>
          <w:tcPr>
            <w:tcW w:w="1531" w:type="dxa"/>
            <w:tcBorders>
              <w:top w:val="single" w:sz="4" w:space="0" w:color="C0C0C0"/>
              <w:bottom w:val="single" w:sz="4" w:space="0" w:color="C0C0C0"/>
            </w:tcBorders>
            <w:shd w:val="clear" w:color="auto" w:fill="FFFFFF" w:themeFill="background1"/>
            <w:vAlign w:val="center"/>
          </w:tcPr>
          <w:p w14:paraId="28B8188F" w14:textId="77777777" w:rsidR="0056738E" w:rsidRPr="00C42B7D" w:rsidRDefault="0056738E" w:rsidP="007C2AEE">
            <w:pPr>
              <w:spacing w:after="0" w:line="240" w:lineRule="auto"/>
              <w:jc w:val="right"/>
              <w:rPr>
                <w:rFonts w:ascii="Arial" w:eastAsia="Batang" w:hAnsi="Arial" w:cs="Arial"/>
                <w:b/>
                <w:color w:val="262626"/>
                <w:sz w:val="18"/>
                <w:szCs w:val="18"/>
                <w:lang w:val="el-GR" w:eastAsia="el-GR"/>
              </w:rPr>
            </w:pPr>
            <w:r>
              <w:rPr>
                <w:rFonts w:ascii="Arial" w:eastAsia="Batang" w:hAnsi="Arial" w:cs="Arial"/>
                <w:b/>
                <w:color w:val="262626"/>
                <w:sz w:val="18"/>
                <w:szCs w:val="18"/>
                <w:lang w:eastAsia="el-GR"/>
              </w:rPr>
              <w:t>10,058,132</w:t>
            </w:r>
          </w:p>
        </w:tc>
        <w:tc>
          <w:tcPr>
            <w:tcW w:w="1531" w:type="dxa"/>
            <w:tcBorders>
              <w:top w:val="single" w:sz="4" w:space="0" w:color="C0C0C0"/>
              <w:bottom w:val="single" w:sz="4" w:space="0" w:color="C0C0C0"/>
            </w:tcBorders>
            <w:shd w:val="clear" w:color="auto" w:fill="auto"/>
            <w:vAlign w:val="center"/>
          </w:tcPr>
          <w:p w14:paraId="3992FE84" w14:textId="77777777" w:rsidR="0056738E" w:rsidRPr="00C42B7D" w:rsidRDefault="0056738E" w:rsidP="007C2AEE">
            <w:pPr>
              <w:spacing w:after="0" w:line="240" w:lineRule="auto"/>
              <w:jc w:val="right"/>
              <w:rPr>
                <w:rFonts w:ascii="Arial" w:eastAsia="Batang" w:hAnsi="Arial" w:cs="Arial"/>
                <w:color w:val="262626"/>
                <w:sz w:val="18"/>
                <w:szCs w:val="18"/>
                <w:lang w:val="el-GR" w:eastAsia="el-GR"/>
              </w:rPr>
            </w:pPr>
            <w:r>
              <w:rPr>
                <w:rFonts w:ascii="Arial" w:eastAsia="Batang" w:hAnsi="Arial" w:cs="Arial"/>
                <w:color w:val="262626"/>
                <w:sz w:val="18"/>
                <w:szCs w:val="18"/>
                <w:lang w:eastAsia="el-GR"/>
              </w:rPr>
              <w:t>9,862,514</w:t>
            </w:r>
          </w:p>
        </w:tc>
      </w:tr>
      <w:tr w:rsidR="0056738E" w:rsidRPr="00E1192D" w14:paraId="74CCA99A" w14:textId="77777777" w:rsidTr="007C2AEE">
        <w:trPr>
          <w:trHeight w:val="227"/>
          <w:jc w:val="center"/>
        </w:trPr>
        <w:tc>
          <w:tcPr>
            <w:tcW w:w="6802" w:type="dxa"/>
            <w:vAlign w:val="center"/>
          </w:tcPr>
          <w:p w14:paraId="08207C56" w14:textId="77777777" w:rsidR="0056738E" w:rsidRPr="00C42B7D" w:rsidRDefault="0056738E" w:rsidP="007C2AEE">
            <w:pPr>
              <w:pStyle w:val="BodyTextIndent"/>
              <w:spacing w:after="0" w:line="240" w:lineRule="auto"/>
              <w:ind w:left="0"/>
              <w:rPr>
                <w:rFonts w:ascii="Arial" w:hAnsi="Arial" w:cs="Arial"/>
                <w:color w:val="262626"/>
                <w:sz w:val="18"/>
                <w:szCs w:val="18"/>
                <w:lang w:val="el-GR"/>
              </w:rPr>
            </w:pPr>
            <w:r w:rsidRPr="00C42B7D">
              <w:rPr>
                <w:rFonts w:ascii="Arial" w:hAnsi="Arial" w:cs="Arial"/>
                <w:color w:val="262626"/>
                <w:sz w:val="18"/>
                <w:szCs w:val="18"/>
                <w:lang w:val="el-GR"/>
              </w:rPr>
              <w:t>Αναμενόμενες πιστωτικές ζημιές</w:t>
            </w:r>
            <w:r>
              <w:rPr>
                <w:rFonts w:ascii="Arial" w:hAnsi="Arial" w:cs="Arial"/>
                <w:color w:val="262626"/>
                <w:sz w:val="18"/>
                <w:szCs w:val="18"/>
                <w:lang w:val="el-GR"/>
              </w:rPr>
              <w:t xml:space="preserve"> </w:t>
            </w:r>
            <w:r w:rsidRPr="00C42B7D">
              <w:rPr>
                <w:rFonts w:ascii="Arial" w:hAnsi="Arial" w:cs="Arial"/>
                <w:color w:val="262626"/>
                <w:sz w:val="18"/>
                <w:szCs w:val="18"/>
                <w:lang w:val="el-GR"/>
              </w:rPr>
              <w:t>δανείων και απαιτήσεων από πελάτες</w:t>
            </w:r>
          </w:p>
        </w:tc>
        <w:tc>
          <w:tcPr>
            <w:tcW w:w="1531" w:type="dxa"/>
            <w:tcBorders>
              <w:top w:val="single" w:sz="4" w:space="0" w:color="C0C0C0"/>
              <w:bottom w:val="single" w:sz="6" w:space="0" w:color="000000"/>
            </w:tcBorders>
            <w:shd w:val="clear" w:color="auto" w:fill="FFFFFF" w:themeFill="background1"/>
            <w:vAlign w:val="center"/>
          </w:tcPr>
          <w:p w14:paraId="614EB719" w14:textId="77777777" w:rsidR="0056738E" w:rsidRPr="00C42B7D" w:rsidRDefault="0056738E" w:rsidP="007C2AEE">
            <w:pPr>
              <w:spacing w:after="0" w:line="240" w:lineRule="auto"/>
              <w:jc w:val="right"/>
              <w:rPr>
                <w:rFonts w:ascii="Arial" w:eastAsia="Batang" w:hAnsi="Arial" w:cs="Arial"/>
                <w:b/>
                <w:color w:val="262626"/>
                <w:sz w:val="18"/>
                <w:szCs w:val="18"/>
                <w:lang w:val="el-GR" w:eastAsia="el-GR"/>
              </w:rPr>
            </w:pPr>
            <w:r>
              <w:rPr>
                <w:rFonts w:ascii="Arial" w:eastAsia="Batang" w:hAnsi="Arial" w:cs="Arial"/>
                <w:b/>
                <w:color w:val="262626"/>
                <w:sz w:val="18"/>
                <w:szCs w:val="18"/>
                <w:lang w:eastAsia="el-GR"/>
              </w:rPr>
              <w:t>(157,890)</w:t>
            </w:r>
          </w:p>
        </w:tc>
        <w:tc>
          <w:tcPr>
            <w:tcW w:w="1531" w:type="dxa"/>
            <w:tcBorders>
              <w:top w:val="single" w:sz="4" w:space="0" w:color="C0C0C0"/>
              <w:bottom w:val="single" w:sz="6" w:space="0" w:color="000000"/>
            </w:tcBorders>
            <w:shd w:val="clear" w:color="auto" w:fill="auto"/>
            <w:vAlign w:val="center"/>
          </w:tcPr>
          <w:p w14:paraId="23D31B57" w14:textId="77777777" w:rsidR="0056738E" w:rsidRPr="00C42B7D" w:rsidRDefault="0056738E" w:rsidP="007C2AEE">
            <w:pPr>
              <w:spacing w:after="0" w:line="240" w:lineRule="auto"/>
              <w:ind w:left="-130"/>
              <w:jc w:val="right"/>
              <w:rPr>
                <w:rFonts w:ascii="Arial" w:eastAsia="Batang" w:hAnsi="Arial" w:cs="Arial"/>
                <w:color w:val="262626"/>
                <w:sz w:val="18"/>
                <w:szCs w:val="18"/>
                <w:lang w:val="el-GR" w:eastAsia="el-GR"/>
              </w:rPr>
            </w:pPr>
            <w:r>
              <w:rPr>
                <w:rFonts w:ascii="Arial" w:eastAsia="Batang" w:hAnsi="Arial" w:cs="Arial"/>
                <w:color w:val="262626"/>
                <w:sz w:val="18"/>
                <w:szCs w:val="18"/>
                <w:lang w:eastAsia="el-GR"/>
              </w:rPr>
              <w:t>(179,453)</w:t>
            </w:r>
          </w:p>
        </w:tc>
      </w:tr>
      <w:tr w:rsidR="0056738E" w:rsidRPr="00E1192D" w14:paraId="005A963B" w14:textId="77777777" w:rsidTr="007C2AEE">
        <w:trPr>
          <w:trHeight w:val="227"/>
          <w:jc w:val="center"/>
        </w:trPr>
        <w:tc>
          <w:tcPr>
            <w:tcW w:w="6802" w:type="dxa"/>
            <w:vAlign w:val="center"/>
          </w:tcPr>
          <w:p w14:paraId="6A936058" w14:textId="77777777" w:rsidR="0056738E" w:rsidRPr="00C42B7D" w:rsidRDefault="0056738E" w:rsidP="007C2AEE">
            <w:pPr>
              <w:pStyle w:val="BodyTextIndent"/>
              <w:tabs>
                <w:tab w:val="left" w:pos="284"/>
              </w:tabs>
              <w:spacing w:after="0" w:line="240" w:lineRule="auto"/>
              <w:ind w:left="0"/>
              <w:rPr>
                <w:rFonts w:ascii="Arial" w:hAnsi="Arial" w:cs="Arial"/>
                <w:color w:val="262626"/>
                <w:sz w:val="18"/>
                <w:szCs w:val="18"/>
                <w:lang w:val="el-GR"/>
              </w:rPr>
            </w:pPr>
          </w:p>
        </w:tc>
        <w:tc>
          <w:tcPr>
            <w:tcW w:w="1531" w:type="dxa"/>
            <w:tcBorders>
              <w:top w:val="single" w:sz="6" w:space="0" w:color="000000"/>
              <w:bottom w:val="single" w:sz="4" w:space="0" w:color="C0C0C0"/>
            </w:tcBorders>
            <w:shd w:val="clear" w:color="auto" w:fill="FFFFFF" w:themeFill="background1"/>
            <w:vAlign w:val="center"/>
          </w:tcPr>
          <w:p w14:paraId="32E40349" w14:textId="77777777" w:rsidR="0056738E" w:rsidRPr="00C42B7D" w:rsidRDefault="0056738E" w:rsidP="007C2AEE">
            <w:pPr>
              <w:spacing w:after="0" w:line="240" w:lineRule="auto"/>
              <w:jc w:val="right"/>
              <w:rPr>
                <w:rFonts w:ascii="Arial" w:eastAsia="Batang" w:hAnsi="Arial" w:cs="Arial"/>
                <w:b/>
                <w:color w:val="262626"/>
                <w:sz w:val="18"/>
                <w:szCs w:val="18"/>
                <w:lang w:val="el-GR" w:eastAsia="el-GR"/>
              </w:rPr>
            </w:pPr>
            <w:r>
              <w:rPr>
                <w:rFonts w:ascii="Arial" w:eastAsia="Batang" w:hAnsi="Arial" w:cs="Arial"/>
                <w:b/>
                <w:color w:val="262626"/>
                <w:sz w:val="18"/>
                <w:szCs w:val="18"/>
                <w:lang w:eastAsia="el-GR"/>
              </w:rPr>
              <w:t>9,900,242</w:t>
            </w:r>
          </w:p>
        </w:tc>
        <w:tc>
          <w:tcPr>
            <w:tcW w:w="1531" w:type="dxa"/>
            <w:tcBorders>
              <w:top w:val="single" w:sz="6" w:space="0" w:color="000000"/>
              <w:bottom w:val="single" w:sz="4" w:space="0" w:color="C0C0C0"/>
            </w:tcBorders>
            <w:shd w:val="clear" w:color="auto" w:fill="auto"/>
            <w:vAlign w:val="center"/>
          </w:tcPr>
          <w:p w14:paraId="705ECFE6" w14:textId="77777777" w:rsidR="0056738E" w:rsidRPr="00C42B7D" w:rsidRDefault="0056738E" w:rsidP="007C2AEE">
            <w:pPr>
              <w:spacing w:after="0" w:line="240" w:lineRule="auto"/>
              <w:jc w:val="right"/>
              <w:rPr>
                <w:rFonts w:ascii="Arial" w:eastAsia="Batang" w:hAnsi="Arial" w:cs="Arial"/>
                <w:color w:val="262626"/>
                <w:sz w:val="18"/>
                <w:szCs w:val="18"/>
                <w:lang w:val="el-GR" w:eastAsia="el-GR"/>
              </w:rPr>
            </w:pPr>
            <w:r>
              <w:rPr>
                <w:rFonts w:ascii="Arial" w:eastAsia="Batang" w:hAnsi="Arial" w:cs="Arial"/>
                <w:color w:val="262626"/>
                <w:sz w:val="18"/>
                <w:szCs w:val="18"/>
                <w:lang w:eastAsia="el-GR"/>
              </w:rPr>
              <w:t>9,683,061</w:t>
            </w:r>
          </w:p>
        </w:tc>
      </w:tr>
      <w:tr w:rsidR="0056738E" w:rsidRPr="00E1192D" w14:paraId="3B9B7959" w14:textId="77777777" w:rsidTr="007C2AEE">
        <w:trPr>
          <w:trHeight w:val="227"/>
          <w:jc w:val="center"/>
        </w:trPr>
        <w:tc>
          <w:tcPr>
            <w:tcW w:w="6802" w:type="dxa"/>
            <w:vAlign w:val="center"/>
          </w:tcPr>
          <w:p w14:paraId="2E4209A9" w14:textId="77777777" w:rsidR="0056738E" w:rsidRPr="00C42B7D" w:rsidRDefault="0056738E" w:rsidP="007C2AEE">
            <w:pPr>
              <w:pStyle w:val="BodyTextIndent"/>
              <w:tabs>
                <w:tab w:val="left" w:pos="284"/>
              </w:tabs>
              <w:spacing w:after="0" w:line="240" w:lineRule="auto"/>
              <w:ind w:left="0"/>
              <w:rPr>
                <w:rFonts w:ascii="Arial" w:hAnsi="Arial" w:cs="Arial"/>
                <w:color w:val="262626"/>
                <w:sz w:val="18"/>
                <w:szCs w:val="18"/>
                <w:lang w:val="el-GR"/>
              </w:rPr>
            </w:pPr>
            <w:r w:rsidRPr="00C42B7D">
              <w:rPr>
                <w:rFonts w:ascii="Arial" w:hAnsi="Arial" w:cs="Arial"/>
                <w:color w:val="262626"/>
                <w:sz w:val="18"/>
                <w:szCs w:val="18"/>
                <w:lang w:val="el-GR"/>
              </w:rPr>
              <w:t>Δάνεια και απαιτήσεις από πελάτες που επιμετρούνται στην εύλογη αξία μέσω των αποτελεσμάτων</w:t>
            </w:r>
          </w:p>
        </w:tc>
        <w:tc>
          <w:tcPr>
            <w:tcW w:w="1531" w:type="dxa"/>
            <w:tcBorders>
              <w:top w:val="single" w:sz="4" w:space="0" w:color="C0C0C0"/>
              <w:bottom w:val="single" w:sz="6" w:space="0" w:color="000000"/>
            </w:tcBorders>
            <w:shd w:val="clear" w:color="auto" w:fill="FFFFFF" w:themeFill="background1"/>
            <w:vAlign w:val="center"/>
          </w:tcPr>
          <w:p w14:paraId="36796307" w14:textId="77777777" w:rsidR="0056738E" w:rsidRPr="00C42B7D" w:rsidDel="00C85CC9" w:rsidRDefault="0056738E" w:rsidP="007C2AEE">
            <w:pPr>
              <w:spacing w:after="0" w:line="240" w:lineRule="auto"/>
              <w:jc w:val="right"/>
              <w:rPr>
                <w:rFonts w:ascii="Arial" w:eastAsia="Batang" w:hAnsi="Arial" w:cs="Arial"/>
                <w:b/>
                <w:color w:val="262626"/>
                <w:sz w:val="18"/>
                <w:szCs w:val="18"/>
                <w:lang w:val="el-GR" w:eastAsia="el-GR"/>
              </w:rPr>
            </w:pPr>
            <w:r>
              <w:rPr>
                <w:rFonts w:ascii="Arial" w:eastAsia="Batang" w:hAnsi="Arial" w:cs="Arial"/>
                <w:b/>
                <w:color w:val="262626"/>
                <w:sz w:val="18"/>
                <w:szCs w:val="18"/>
                <w:lang w:eastAsia="el-GR"/>
              </w:rPr>
              <w:t>131,064</w:t>
            </w:r>
          </w:p>
        </w:tc>
        <w:tc>
          <w:tcPr>
            <w:tcW w:w="1531" w:type="dxa"/>
            <w:tcBorders>
              <w:top w:val="single" w:sz="4" w:space="0" w:color="C0C0C0"/>
              <w:bottom w:val="single" w:sz="6" w:space="0" w:color="000000"/>
            </w:tcBorders>
            <w:shd w:val="clear" w:color="auto" w:fill="auto"/>
            <w:vAlign w:val="center"/>
          </w:tcPr>
          <w:p w14:paraId="69D8C21B" w14:textId="77777777" w:rsidR="0056738E" w:rsidRPr="00C42B7D" w:rsidRDefault="0056738E" w:rsidP="007C2AEE">
            <w:pPr>
              <w:spacing w:after="0" w:line="240" w:lineRule="auto"/>
              <w:jc w:val="right"/>
              <w:rPr>
                <w:rFonts w:ascii="Arial" w:eastAsia="Batang" w:hAnsi="Arial" w:cs="Arial"/>
                <w:color w:val="262626"/>
                <w:sz w:val="18"/>
                <w:szCs w:val="18"/>
                <w:lang w:val="el-GR" w:eastAsia="el-GR"/>
              </w:rPr>
            </w:pPr>
            <w:r>
              <w:rPr>
                <w:rFonts w:ascii="Arial" w:eastAsia="Batang" w:hAnsi="Arial" w:cs="Arial"/>
                <w:color w:val="262626"/>
                <w:sz w:val="18"/>
                <w:szCs w:val="18"/>
                <w:lang w:eastAsia="el-GR"/>
              </w:rPr>
              <w:t>138,727</w:t>
            </w:r>
          </w:p>
        </w:tc>
      </w:tr>
      <w:tr w:rsidR="0056738E" w:rsidRPr="00E1192D" w14:paraId="06E9BECA" w14:textId="77777777" w:rsidTr="007C2AEE">
        <w:trPr>
          <w:trHeight w:val="227"/>
          <w:jc w:val="center"/>
        </w:trPr>
        <w:tc>
          <w:tcPr>
            <w:tcW w:w="6802" w:type="dxa"/>
            <w:vAlign w:val="center"/>
          </w:tcPr>
          <w:p w14:paraId="568B289E" w14:textId="77777777" w:rsidR="0056738E" w:rsidRPr="00C42B7D" w:rsidRDefault="0056738E" w:rsidP="007C2AEE">
            <w:pPr>
              <w:pStyle w:val="BodyTextIndent"/>
              <w:tabs>
                <w:tab w:val="left" w:pos="284"/>
              </w:tabs>
              <w:spacing w:after="0" w:line="240" w:lineRule="auto"/>
              <w:ind w:left="0"/>
              <w:rPr>
                <w:rFonts w:ascii="Arial" w:hAnsi="Arial" w:cs="Arial"/>
                <w:color w:val="262626"/>
                <w:sz w:val="18"/>
                <w:szCs w:val="18"/>
                <w:lang w:val="el-GR"/>
              </w:rPr>
            </w:pPr>
          </w:p>
        </w:tc>
        <w:tc>
          <w:tcPr>
            <w:tcW w:w="1531" w:type="dxa"/>
            <w:tcBorders>
              <w:top w:val="single" w:sz="6" w:space="0" w:color="000000"/>
              <w:bottom w:val="double" w:sz="6" w:space="0" w:color="000000"/>
            </w:tcBorders>
            <w:shd w:val="clear" w:color="auto" w:fill="FFFFFF" w:themeFill="background1"/>
            <w:vAlign w:val="center"/>
          </w:tcPr>
          <w:p w14:paraId="33A214B5" w14:textId="77777777" w:rsidR="0056738E" w:rsidRPr="00C42B7D" w:rsidDel="00C85CC9" w:rsidRDefault="0056738E" w:rsidP="007C2AEE">
            <w:pPr>
              <w:spacing w:after="0" w:line="240" w:lineRule="auto"/>
              <w:jc w:val="right"/>
              <w:rPr>
                <w:rFonts w:ascii="Arial" w:eastAsia="Batang" w:hAnsi="Arial" w:cs="Arial"/>
                <w:b/>
                <w:color w:val="262626"/>
                <w:sz w:val="18"/>
                <w:szCs w:val="18"/>
                <w:lang w:val="el-GR" w:eastAsia="el-GR"/>
              </w:rPr>
            </w:pPr>
            <w:r>
              <w:rPr>
                <w:rFonts w:ascii="Arial" w:eastAsia="Batang" w:hAnsi="Arial" w:cs="Arial"/>
                <w:b/>
                <w:color w:val="262626"/>
                <w:sz w:val="18"/>
                <w:szCs w:val="18"/>
                <w:lang w:val="en-US" w:eastAsia="el-GR"/>
              </w:rPr>
              <w:t>10,031,306</w:t>
            </w:r>
          </w:p>
        </w:tc>
        <w:tc>
          <w:tcPr>
            <w:tcW w:w="1531" w:type="dxa"/>
            <w:tcBorders>
              <w:top w:val="single" w:sz="6" w:space="0" w:color="000000"/>
              <w:bottom w:val="double" w:sz="6" w:space="0" w:color="000000"/>
            </w:tcBorders>
            <w:shd w:val="clear" w:color="auto" w:fill="auto"/>
            <w:vAlign w:val="center"/>
          </w:tcPr>
          <w:p w14:paraId="6C013F64" w14:textId="77777777" w:rsidR="0056738E" w:rsidRPr="00C42B7D" w:rsidRDefault="0056738E" w:rsidP="007C2AEE">
            <w:pPr>
              <w:spacing w:after="0" w:line="240" w:lineRule="auto"/>
              <w:jc w:val="right"/>
              <w:rPr>
                <w:rFonts w:ascii="Arial" w:eastAsia="Batang" w:hAnsi="Arial" w:cs="Arial"/>
                <w:color w:val="262626"/>
                <w:sz w:val="18"/>
                <w:szCs w:val="18"/>
                <w:lang w:val="el-GR" w:eastAsia="el-GR"/>
              </w:rPr>
            </w:pPr>
            <w:r>
              <w:rPr>
                <w:rFonts w:ascii="Arial" w:eastAsia="Batang" w:hAnsi="Arial" w:cs="Arial"/>
                <w:color w:val="262626"/>
                <w:sz w:val="18"/>
                <w:szCs w:val="18"/>
                <w:lang w:eastAsia="el-GR"/>
              </w:rPr>
              <w:t>9,821,788</w:t>
            </w:r>
          </w:p>
        </w:tc>
      </w:tr>
    </w:tbl>
    <w:p w14:paraId="50490EBE" w14:textId="77777777" w:rsidR="0056738E" w:rsidRDefault="0056738E" w:rsidP="0056738E">
      <w:pPr>
        <w:spacing w:after="0" w:line="240" w:lineRule="auto"/>
        <w:jc w:val="both"/>
        <w:rPr>
          <w:rFonts w:ascii="Arial" w:hAnsi="Arial" w:cs="Arial"/>
          <w:bCs/>
          <w:sz w:val="18"/>
          <w:szCs w:val="18"/>
        </w:rPr>
      </w:pPr>
    </w:p>
    <w:p w14:paraId="1DC7742E" w14:textId="77777777" w:rsidR="0056738E" w:rsidRDefault="0056738E" w:rsidP="0056738E">
      <w:pPr>
        <w:spacing w:after="0" w:line="240" w:lineRule="auto"/>
        <w:jc w:val="both"/>
        <w:rPr>
          <w:rFonts w:ascii="Arial" w:hAnsi="Arial" w:cs="Arial"/>
          <w:bCs/>
          <w:sz w:val="18"/>
          <w:szCs w:val="18"/>
          <w:lang w:val="el-GR"/>
        </w:rPr>
      </w:pPr>
      <w:r w:rsidRPr="00A03828">
        <w:rPr>
          <w:rFonts w:ascii="Arial" w:hAnsi="Arial" w:cs="Arial"/>
          <w:bCs/>
          <w:sz w:val="18"/>
          <w:szCs w:val="18"/>
          <w:lang w:val="el-GR"/>
        </w:rPr>
        <w:t>Το</w:t>
      </w:r>
      <w:r>
        <w:rPr>
          <w:rFonts w:ascii="Arial" w:hAnsi="Arial" w:cs="Arial"/>
          <w:bCs/>
          <w:sz w:val="18"/>
          <w:szCs w:val="18"/>
          <w:lang w:val="el-GR"/>
        </w:rPr>
        <w:t>ν</w:t>
      </w:r>
      <w:r w:rsidRPr="00A03828">
        <w:rPr>
          <w:rFonts w:ascii="Arial" w:hAnsi="Arial" w:cs="Arial"/>
          <w:bCs/>
          <w:sz w:val="18"/>
          <w:szCs w:val="18"/>
          <w:lang w:val="el-GR"/>
        </w:rPr>
        <w:t xml:space="preserve"> Σεπτέμβριο 2024, </w:t>
      </w:r>
      <w:r>
        <w:rPr>
          <w:rFonts w:ascii="Arial" w:hAnsi="Arial" w:cs="Arial"/>
          <w:bCs/>
          <w:sz w:val="18"/>
          <w:szCs w:val="18"/>
          <w:lang w:val="el-GR"/>
        </w:rPr>
        <w:t>το Συγκρότημα</w:t>
      </w:r>
      <w:r w:rsidRPr="00A03828">
        <w:rPr>
          <w:rFonts w:ascii="Arial" w:hAnsi="Arial" w:cs="Arial"/>
          <w:bCs/>
          <w:sz w:val="18"/>
          <w:szCs w:val="18"/>
          <w:lang w:val="el-GR"/>
        </w:rPr>
        <w:t xml:space="preserve"> συνήψε συμφωνία με </w:t>
      </w:r>
      <w:r>
        <w:rPr>
          <w:rFonts w:ascii="Arial" w:hAnsi="Arial" w:cs="Arial"/>
          <w:bCs/>
          <w:sz w:val="18"/>
          <w:szCs w:val="18"/>
          <w:lang w:val="el-GR"/>
        </w:rPr>
        <w:t>επενδυτικά ταμεία συνδεδεμένα</w:t>
      </w:r>
      <w:r w:rsidRPr="00A03828">
        <w:rPr>
          <w:rFonts w:ascii="Arial" w:hAnsi="Arial" w:cs="Arial"/>
          <w:bCs/>
          <w:sz w:val="18"/>
          <w:szCs w:val="18"/>
          <w:lang w:val="el-GR"/>
        </w:rPr>
        <w:t xml:space="preserve"> με την </w:t>
      </w:r>
      <w:r w:rsidRPr="00F40578">
        <w:rPr>
          <w:rFonts w:ascii="Arial" w:hAnsi="Arial" w:cs="Arial"/>
          <w:bCs/>
          <w:sz w:val="18"/>
          <w:szCs w:val="18"/>
        </w:rPr>
        <w:t>Cerberus</w:t>
      </w:r>
      <w:r w:rsidRPr="00A03828">
        <w:rPr>
          <w:rFonts w:ascii="Arial" w:hAnsi="Arial" w:cs="Arial"/>
          <w:bCs/>
          <w:sz w:val="18"/>
          <w:szCs w:val="18"/>
          <w:lang w:val="el-GR"/>
        </w:rPr>
        <w:t xml:space="preserve"> </w:t>
      </w:r>
      <w:r w:rsidRPr="00F40578">
        <w:rPr>
          <w:rFonts w:ascii="Arial" w:hAnsi="Arial" w:cs="Arial"/>
          <w:bCs/>
          <w:sz w:val="18"/>
          <w:szCs w:val="18"/>
        </w:rPr>
        <w:t>Global</w:t>
      </w:r>
      <w:r w:rsidRPr="00A03828">
        <w:rPr>
          <w:rFonts w:ascii="Arial" w:hAnsi="Arial" w:cs="Arial"/>
          <w:bCs/>
          <w:sz w:val="18"/>
          <w:szCs w:val="18"/>
          <w:lang w:val="el-GR"/>
        </w:rPr>
        <w:t xml:space="preserve"> </w:t>
      </w:r>
      <w:r w:rsidRPr="00F40578">
        <w:rPr>
          <w:rFonts w:ascii="Arial" w:hAnsi="Arial" w:cs="Arial"/>
          <w:bCs/>
          <w:sz w:val="18"/>
          <w:szCs w:val="18"/>
        </w:rPr>
        <w:t>Investments</w:t>
      </w:r>
      <w:r w:rsidRPr="00A03828">
        <w:rPr>
          <w:rFonts w:ascii="Arial" w:hAnsi="Arial" w:cs="Arial"/>
          <w:bCs/>
          <w:sz w:val="18"/>
          <w:szCs w:val="18"/>
          <w:lang w:val="el-GR"/>
        </w:rPr>
        <w:t xml:space="preserve"> </w:t>
      </w:r>
      <w:r w:rsidRPr="00F40578">
        <w:rPr>
          <w:rFonts w:ascii="Arial" w:hAnsi="Arial" w:cs="Arial"/>
          <w:bCs/>
          <w:sz w:val="18"/>
          <w:szCs w:val="18"/>
        </w:rPr>
        <w:t>B</w:t>
      </w:r>
      <w:r w:rsidRPr="00A03828">
        <w:rPr>
          <w:rFonts w:ascii="Arial" w:hAnsi="Arial" w:cs="Arial"/>
          <w:bCs/>
          <w:sz w:val="18"/>
          <w:szCs w:val="18"/>
          <w:lang w:val="el-GR"/>
        </w:rPr>
        <w:t>.</w:t>
      </w:r>
      <w:r w:rsidRPr="00F40578">
        <w:rPr>
          <w:rFonts w:ascii="Arial" w:hAnsi="Arial" w:cs="Arial"/>
          <w:bCs/>
          <w:sz w:val="18"/>
          <w:szCs w:val="18"/>
        </w:rPr>
        <w:t>V</w:t>
      </w:r>
      <w:r w:rsidRPr="00A03828">
        <w:rPr>
          <w:rFonts w:ascii="Arial" w:hAnsi="Arial" w:cs="Arial"/>
          <w:bCs/>
          <w:sz w:val="18"/>
          <w:szCs w:val="18"/>
          <w:lang w:val="el-GR"/>
        </w:rPr>
        <w:t xml:space="preserve">. για την πώληση ενός χαρτοφυλακίου μη εξυπηρετούμενων δανείων </w:t>
      </w:r>
      <w:r>
        <w:rPr>
          <w:rFonts w:ascii="Arial" w:hAnsi="Arial" w:cs="Arial"/>
          <w:bCs/>
          <w:sz w:val="18"/>
          <w:szCs w:val="18"/>
          <w:lang w:val="el-GR"/>
        </w:rPr>
        <w:t xml:space="preserve">που αποτελείται </w:t>
      </w:r>
      <w:r w:rsidRPr="00A03828">
        <w:rPr>
          <w:rFonts w:ascii="Arial" w:hAnsi="Arial" w:cs="Arial"/>
          <w:bCs/>
          <w:sz w:val="18"/>
          <w:szCs w:val="18"/>
          <w:lang w:val="el-GR"/>
        </w:rPr>
        <w:t xml:space="preserve">κυρίως </w:t>
      </w:r>
      <w:r>
        <w:rPr>
          <w:rFonts w:ascii="Arial" w:hAnsi="Arial" w:cs="Arial"/>
          <w:bCs/>
          <w:sz w:val="18"/>
          <w:szCs w:val="18"/>
          <w:lang w:val="el-GR"/>
        </w:rPr>
        <w:t>από</w:t>
      </w:r>
      <w:r w:rsidRPr="00854973" w:rsidDel="00854973">
        <w:rPr>
          <w:rFonts w:ascii="Arial" w:hAnsi="Arial" w:cs="Arial"/>
          <w:bCs/>
          <w:sz w:val="18"/>
          <w:szCs w:val="18"/>
          <w:lang w:val="el-GR"/>
        </w:rPr>
        <w:t xml:space="preserve"> </w:t>
      </w:r>
      <w:r>
        <w:rPr>
          <w:rFonts w:ascii="Arial" w:hAnsi="Arial" w:cs="Arial"/>
          <w:bCs/>
          <w:sz w:val="18"/>
          <w:szCs w:val="18"/>
          <w:lang w:val="el-GR"/>
        </w:rPr>
        <w:t>εξασφαλισμένα</w:t>
      </w:r>
      <w:r w:rsidRPr="00A03828">
        <w:rPr>
          <w:rFonts w:ascii="Arial" w:hAnsi="Arial" w:cs="Arial"/>
          <w:bCs/>
          <w:sz w:val="18"/>
          <w:szCs w:val="18"/>
          <w:lang w:val="el-GR"/>
        </w:rPr>
        <w:t xml:space="preserve"> </w:t>
      </w:r>
      <w:r>
        <w:rPr>
          <w:rFonts w:ascii="Arial" w:hAnsi="Arial" w:cs="Arial"/>
          <w:bCs/>
          <w:sz w:val="18"/>
          <w:szCs w:val="18"/>
          <w:lang w:val="el-GR"/>
        </w:rPr>
        <w:t>επιχειρηματικά δάνεια</w:t>
      </w:r>
      <w:r w:rsidRPr="00A03828">
        <w:rPr>
          <w:rFonts w:ascii="Arial" w:hAnsi="Arial" w:cs="Arial"/>
          <w:bCs/>
          <w:sz w:val="18"/>
          <w:szCs w:val="18"/>
          <w:lang w:val="el-GR"/>
        </w:rPr>
        <w:t xml:space="preserve"> με λογιστική αξία περίπου €27 εκατ. στις 30 Σεπτεμβρίου 2024 (η </w:t>
      </w:r>
      <w:r>
        <w:rPr>
          <w:rFonts w:ascii="Arial" w:hAnsi="Arial" w:cs="Arial"/>
          <w:bCs/>
          <w:sz w:val="18"/>
          <w:szCs w:val="18"/>
          <w:lang w:val="el-GR"/>
        </w:rPr>
        <w:t>‘Σ</w:t>
      </w:r>
      <w:r w:rsidRPr="00A03828">
        <w:rPr>
          <w:rFonts w:ascii="Arial" w:hAnsi="Arial" w:cs="Arial"/>
          <w:bCs/>
          <w:sz w:val="18"/>
          <w:szCs w:val="18"/>
          <w:lang w:val="el-GR"/>
        </w:rPr>
        <w:t>υναλλαγή</w:t>
      </w:r>
      <w:r>
        <w:rPr>
          <w:rFonts w:ascii="Arial" w:hAnsi="Arial" w:cs="Arial"/>
          <w:bCs/>
          <w:sz w:val="18"/>
          <w:szCs w:val="18"/>
          <w:lang w:val="el-GR"/>
        </w:rPr>
        <w:t xml:space="preserve"> πώλησης</w:t>
      </w:r>
      <w:r w:rsidRPr="00A03828">
        <w:rPr>
          <w:rFonts w:ascii="Arial" w:hAnsi="Arial" w:cs="Arial"/>
          <w:bCs/>
          <w:sz w:val="18"/>
          <w:szCs w:val="18"/>
          <w:lang w:val="el-GR"/>
        </w:rPr>
        <w:t xml:space="preserve">'). Η </w:t>
      </w:r>
      <w:r>
        <w:rPr>
          <w:rFonts w:ascii="Arial" w:hAnsi="Arial" w:cs="Arial"/>
          <w:bCs/>
          <w:sz w:val="18"/>
          <w:szCs w:val="18"/>
          <w:lang w:val="el-GR"/>
        </w:rPr>
        <w:t>Σ</w:t>
      </w:r>
      <w:r w:rsidRPr="00A03828">
        <w:rPr>
          <w:rFonts w:ascii="Arial" w:hAnsi="Arial" w:cs="Arial"/>
          <w:bCs/>
          <w:sz w:val="18"/>
          <w:szCs w:val="18"/>
          <w:lang w:val="el-GR"/>
        </w:rPr>
        <w:t xml:space="preserve">υναλλαγή πώλησης υπόκειται στις απαραίτητες εγκρίσεις και αναμένεται να ολοκληρωθεί εντός του πρώτου εξαμήνου του 2025. </w:t>
      </w:r>
    </w:p>
    <w:p w14:paraId="07C0C46F" w14:textId="77777777" w:rsidR="0056738E" w:rsidRDefault="0056738E" w:rsidP="0056738E">
      <w:pPr>
        <w:spacing w:after="0" w:line="240" w:lineRule="auto"/>
        <w:jc w:val="both"/>
        <w:rPr>
          <w:rFonts w:ascii="Arial" w:hAnsi="Arial" w:cs="Arial"/>
          <w:bCs/>
          <w:sz w:val="18"/>
          <w:szCs w:val="18"/>
          <w:lang w:val="el-GR"/>
        </w:rPr>
      </w:pPr>
    </w:p>
    <w:p w14:paraId="093C80E3" w14:textId="77777777" w:rsidR="0056738E" w:rsidRPr="00A03828" w:rsidRDefault="0056738E" w:rsidP="0056738E">
      <w:pPr>
        <w:spacing w:after="0" w:line="240" w:lineRule="auto"/>
        <w:jc w:val="both"/>
        <w:rPr>
          <w:rFonts w:ascii="Arial" w:hAnsi="Arial" w:cs="Arial"/>
          <w:bCs/>
          <w:sz w:val="18"/>
          <w:szCs w:val="18"/>
          <w:lang w:val="el-GR"/>
        </w:rPr>
      </w:pPr>
      <w:r w:rsidRPr="00A03828">
        <w:rPr>
          <w:rFonts w:ascii="Arial" w:hAnsi="Arial" w:cs="Arial"/>
          <w:bCs/>
          <w:sz w:val="18"/>
          <w:szCs w:val="18"/>
          <w:lang w:val="el-GR"/>
        </w:rPr>
        <w:t xml:space="preserve">Το σχετικό χαρτοφυλάκιο έχει ταξινομηθεί ως κατεχόμενο προς πώληση στις 30 Σεπτεμβρίου 2024. </w:t>
      </w:r>
      <w:r>
        <w:rPr>
          <w:rFonts w:ascii="Arial" w:hAnsi="Arial" w:cs="Arial"/>
          <w:bCs/>
          <w:sz w:val="18"/>
          <w:szCs w:val="18"/>
          <w:lang w:val="el-GR"/>
        </w:rPr>
        <w:t xml:space="preserve">Το εν λόγω χαρτοφυλάκιο δεν περιλαμβάνεται στην πληροφόρηση </w:t>
      </w:r>
      <w:r w:rsidRPr="00A03828">
        <w:rPr>
          <w:rFonts w:ascii="Arial" w:hAnsi="Arial" w:cs="Arial"/>
          <w:bCs/>
          <w:sz w:val="18"/>
          <w:szCs w:val="18"/>
          <w:lang w:val="el-GR"/>
        </w:rPr>
        <w:t>που παρέχ</w:t>
      </w:r>
      <w:r>
        <w:rPr>
          <w:rFonts w:ascii="Arial" w:hAnsi="Arial" w:cs="Arial"/>
          <w:bCs/>
          <w:sz w:val="18"/>
          <w:szCs w:val="18"/>
          <w:lang w:val="el-GR"/>
        </w:rPr>
        <w:t>ε</w:t>
      </w:r>
      <w:r w:rsidRPr="00A03828">
        <w:rPr>
          <w:rFonts w:ascii="Arial" w:hAnsi="Arial" w:cs="Arial"/>
          <w:bCs/>
          <w:sz w:val="18"/>
          <w:szCs w:val="18"/>
          <w:lang w:val="el-GR"/>
        </w:rPr>
        <w:t>ται για</w:t>
      </w:r>
      <w:r>
        <w:rPr>
          <w:rFonts w:ascii="Arial" w:hAnsi="Arial" w:cs="Arial"/>
          <w:bCs/>
          <w:sz w:val="18"/>
          <w:szCs w:val="18"/>
          <w:lang w:val="el-GR"/>
        </w:rPr>
        <w:t xml:space="preserve">  τα</w:t>
      </w:r>
      <w:r w:rsidRPr="00A03828">
        <w:rPr>
          <w:rFonts w:ascii="Arial" w:hAnsi="Arial" w:cs="Arial"/>
          <w:bCs/>
          <w:sz w:val="18"/>
          <w:szCs w:val="18"/>
          <w:lang w:val="el-GR"/>
        </w:rPr>
        <w:t xml:space="preserve"> δάνεια και απαιτήσεις </w:t>
      </w:r>
      <w:r>
        <w:rPr>
          <w:rFonts w:ascii="Arial" w:hAnsi="Arial" w:cs="Arial"/>
          <w:bCs/>
          <w:sz w:val="18"/>
          <w:szCs w:val="18"/>
          <w:lang w:val="el-GR"/>
        </w:rPr>
        <w:t>από</w:t>
      </w:r>
      <w:r w:rsidRPr="00A03828">
        <w:rPr>
          <w:rFonts w:ascii="Arial" w:hAnsi="Arial" w:cs="Arial"/>
          <w:bCs/>
          <w:sz w:val="18"/>
          <w:szCs w:val="18"/>
          <w:lang w:val="el-GR"/>
        </w:rPr>
        <w:t xml:space="preserve"> πελάτες </w:t>
      </w:r>
      <w:r>
        <w:rPr>
          <w:rFonts w:ascii="Arial" w:hAnsi="Arial" w:cs="Arial"/>
          <w:bCs/>
          <w:sz w:val="18"/>
          <w:szCs w:val="18"/>
          <w:lang w:val="el-GR"/>
        </w:rPr>
        <w:t>στα Μέρη</w:t>
      </w:r>
      <w:r w:rsidRPr="00A03828">
        <w:rPr>
          <w:rFonts w:ascii="Arial" w:hAnsi="Arial" w:cs="Arial"/>
          <w:bCs/>
          <w:sz w:val="18"/>
          <w:szCs w:val="18"/>
          <w:lang w:val="el-GR"/>
        </w:rPr>
        <w:t xml:space="preserve"> </w:t>
      </w:r>
      <w:r>
        <w:rPr>
          <w:rFonts w:ascii="Arial" w:hAnsi="Arial" w:cs="Arial"/>
          <w:bCs/>
          <w:sz w:val="18"/>
          <w:szCs w:val="18"/>
          <w:lang w:val="el-GR"/>
        </w:rPr>
        <w:t>‘</w:t>
      </w:r>
      <w:r w:rsidRPr="00A03828">
        <w:rPr>
          <w:rFonts w:ascii="Arial" w:hAnsi="Arial" w:cs="Arial"/>
          <w:bCs/>
          <w:sz w:val="18"/>
          <w:szCs w:val="18"/>
          <w:lang w:val="el-GR"/>
        </w:rPr>
        <w:t>ΣΤ</w:t>
      </w:r>
      <w:r>
        <w:rPr>
          <w:rFonts w:ascii="Arial" w:hAnsi="Arial" w:cs="Arial"/>
          <w:bCs/>
          <w:sz w:val="18"/>
          <w:szCs w:val="18"/>
          <w:lang w:val="el-GR"/>
        </w:rPr>
        <w:t>.</w:t>
      </w:r>
      <w:r w:rsidRPr="00A03828">
        <w:rPr>
          <w:rFonts w:ascii="Arial" w:hAnsi="Arial" w:cs="Arial"/>
          <w:bCs/>
          <w:sz w:val="18"/>
          <w:szCs w:val="18"/>
          <w:lang w:val="el-GR"/>
        </w:rPr>
        <w:t xml:space="preserve">4 </w:t>
      </w:r>
      <w:r w:rsidRPr="00472266">
        <w:rPr>
          <w:rFonts w:ascii="Arial" w:hAnsi="Arial" w:cs="Arial"/>
          <w:bCs/>
          <w:sz w:val="18"/>
          <w:szCs w:val="18"/>
          <w:lang w:val="el-GR"/>
        </w:rPr>
        <w:t>Συγκέντρωση πιστωτικού κινδύνου δανείων και απαιτήσεων από πελάτες</w:t>
      </w:r>
      <w:r>
        <w:rPr>
          <w:rFonts w:ascii="Arial" w:hAnsi="Arial" w:cs="Arial"/>
          <w:bCs/>
          <w:sz w:val="18"/>
          <w:szCs w:val="18"/>
          <w:lang w:val="el-GR"/>
        </w:rPr>
        <w:t>’</w:t>
      </w:r>
      <w:r w:rsidRPr="00A03828">
        <w:rPr>
          <w:rFonts w:ascii="Arial" w:hAnsi="Arial" w:cs="Arial"/>
          <w:bCs/>
          <w:sz w:val="18"/>
          <w:szCs w:val="18"/>
          <w:lang w:val="el-GR"/>
        </w:rPr>
        <w:t xml:space="preserve"> και </w:t>
      </w:r>
      <w:r>
        <w:rPr>
          <w:rFonts w:ascii="Arial" w:hAnsi="Arial" w:cs="Arial"/>
          <w:bCs/>
          <w:sz w:val="18"/>
          <w:szCs w:val="18"/>
          <w:lang w:val="el-GR"/>
        </w:rPr>
        <w:t xml:space="preserve">‘ΣΤ.5 </w:t>
      </w:r>
      <w:r w:rsidRPr="00472266">
        <w:rPr>
          <w:rFonts w:ascii="Arial" w:hAnsi="Arial" w:cs="Arial"/>
          <w:bCs/>
          <w:sz w:val="18"/>
          <w:szCs w:val="18"/>
          <w:lang w:val="el-GR"/>
        </w:rPr>
        <w:t>Ανάλυση χαρτοφυλακίου δανείων και απαιτήσεων από πελάτες ανά στάδιο</w:t>
      </w:r>
      <w:r>
        <w:rPr>
          <w:rFonts w:ascii="Arial" w:hAnsi="Arial" w:cs="Arial"/>
          <w:bCs/>
          <w:sz w:val="18"/>
          <w:szCs w:val="18"/>
          <w:lang w:val="el-GR"/>
        </w:rPr>
        <w:t>’</w:t>
      </w:r>
      <w:r w:rsidRPr="00A03828">
        <w:rPr>
          <w:rFonts w:ascii="Arial" w:hAnsi="Arial" w:cs="Arial"/>
          <w:bCs/>
          <w:sz w:val="18"/>
          <w:szCs w:val="18"/>
          <w:lang w:val="el-GR"/>
        </w:rPr>
        <w:t>.</w:t>
      </w:r>
    </w:p>
    <w:p w14:paraId="71293E88" w14:textId="77777777" w:rsidR="0056738E" w:rsidRPr="00F40578" w:rsidRDefault="0056738E" w:rsidP="0056738E">
      <w:pPr>
        <w:spacing w:after="0" w:line="240" w:lineRule="auto"/>
        <w:jc w:val="both"/>
        <w:rPr>
          <w:rFonts w:ascii="Arial" w:hAnsi="Arial" w:cs="Arial"/>
          <w:b/>
          <w:color w:val="FF9900"/>
          <w:szCs w:val="16"/>
          <w:lang w:val="el-GR"/>
        </w:rPr>
      </w:pPr>
    </w:p>
    <w:p w14:paraId="5650DED7" w14:textId="77777777" w:rsidR="0056738E" w:rsidRPr="00225473" w:rsidRDefault="0056738E" w:rsidP="0056738E">
      <w:pPr>
        <w:spacing w:after="120" w:line="240" w:lineRule="auto"/>
        <w:ind w:left="851" w:hanging="851"/>
        <w:jc w:val="both"/>
        <w:rPr>
          <w:rFonts w:ascii="Arial" w:eastAsia="Times New Roman" w:hAnsi="Arial" w:cs="Arial"/>
          <w:color w:val="000000"/>
          <w:sz w:val="4"/>
          <w:szCs w:val="4"/>
          <w:lang w:val="el-GR" w:eastAsia="en-US"/>
        </w:rPr>
      </w:pPr>
      <w:r w:rsidRPr="00E70647">
        <w:rPr>
          <w:rFonts w:ascii="Arial" w:hAnsi="Arial" w:cs="Arial"/>
          <w:b/>
          <w:color w:val="FF9900"/>
          <w:lang w:val="el-GR"/>
        </w:rPr>
        <w:t>ΣΤ.</w:t>
      </w:r>
      <w:r>
        <w:rPr>
          <w:rFonts w:ascii="Arial" w:hAnsi="Arial" w:cs="Arial"/>
          <w:b/>
          <w:color w:val="FF9900"/>
          <w:lang w:val="el-GR"/>
        </w:rPr>
        <w:t>4</w:t>
      </w:r>
      <w:r w:rsidRPr="001D7A91">
        <w:rPr>
          <w:rFonts w:ascii="Arial" w:hAnsi="Arial" w:cs="Arial"/>
          <w:b/>
          <w:color w:val="FF9900"/>
          <w:lang w:val="el-GR"/>
        </w:rPr>
        <w:t xml:space="preserve"> </w:t>
      </w:r>
      <w:r w:rsidRPr="00D066DE">
        <w:rPr>
          <w:rFonts w:ascii="Arial" w:hAnsi="Arial" w:cs="Arial"/>
          <w:b/>
          <w:color w:val="FF9900"/>
          <w:lang w:val="el-GR"/>
        </w:rPr>
        <w:tab/>
      </w:r>
      <w:r w:rsidRPr="001D7A91">
        <w:rPr>
          <w:rFonts w:ascii="Arial" w:hAnsi="Arial" w:cs="Arial"/>
          <w:b/>
          <w:color w:val="FF9900"/>
          <w:lang w:val="el-GR"/>
        </w:rPr>
        <w:t xml:space="preserve">Συγκέντρωση πιστωτικού κινδύνου δανείων και απαιτήσεων από πελάτες </w:t>
      </w:r>
    </w:p>
    <w:p w14:paraId="7781CC9F" w14:textId="77777777" w:rsidR="0056738E" w:rsidRPr="00B30AA2" w:rsidRDefault="0056738E" w:rsidP="0056738E">
      <w:pPr>
        <w:spacing w:after="0" w:line="240" w:lineRule="auto"/>
        <w:jc w:val="both"/>
        <w:rPr>
          <w:rFonts w:ascii="Arial" w:eastAsia="Times New Roman" w:hAnsi="Arial" w:cs="Arial"/>
          <w:sz w:val="18"/>
          <w:szCs w:val="18"/>
          <w:lang w:val="el-GR" w:eastAsia="en-US"/>
        </w:rPr>
      </w:pPr>
      <w:r w:rsidRPr="00F24A93">
        <w:rPr>
          <w:rFonts w:ascii="Arial" w:eastAsia="Times New Roman" w:hAnsi="Arial" w:cs="Arial"/>
          <w:sz w:val="18"/>
          <w:szCs w:val="18"/>
          <w:lang w:val="el-GR" w:eastAsia="en-US"/>
        </w:rPr>
        <w:t xml:space="preserve">Η συγκέντρωση πιστωτικού κινδύνου, ανά κλάδο </w:t>
      </w:r>
      <w:r>
        <w:rPr>
          <w:rFonts w:ascii="Arial" w:eastAsia="Times New Roman" w:hAnsi="Arial" w:cs="Arial"/>
          <w:sz w:val="18"/>
          <w:szCs w:val="18"/>
          <w:lang w:val="el-GR" w:eastAsia="en-US"/>
        </w:rPr>
        <w:t>δραστηριότητας (οικονομική δραστηριότητα)</w:t>
      </w:r>
      <w:r w:rsidRPr="00F24A93">
        <w:rPr>
          <w:rFonts w:ascii="Arial" w:eastAsia="Times New Roman" w:hAnsi="Arial" w:cs="Arial"/>
          <w:sz w:val="18"/>
          <w:szCs w:val="18"/>
          <w:lang w:val="el-GR" w:eastAsia="en-US"/>
        </w:rPr>
        <w:t xml:space="preserve"> και ανά πελατειακό τομέα, καθώς και ανά γεωγραφική περιοχή παρουσιάζεται πιο κάτω.</w:t>
      </w:r>
      <w:r>
        <w:rPr>
          <w:rFonts w:ascii="Arial" w:eastAsia="Times New Roman" w:hAnsi="Arial" w:cs="Arial"/>
          <w:sz w:val="18"/>
          <w:szCs w:val="18"/>
          <w:lang w:val="el-GR" w:eastAsia="en-US"/>
        </w:rPr>
        <w:t xml:space="preserve"> </w:t>
      </w:r>
    </w:p>
    <w:p w14:paraId="4993ECE4" w14:textId="77777777" w:rsidR="0056738E" w:rsidRDefault="0056738E" w:rsidP="0056738E">
      <w:pPr>
        <w:spacing w:after="0" w:line="240" w:lineRule="auto"/>
        <w:jc w:val="both"/>
        <w:rPr>
          <w:rFonts w:ascii="Arial" w:eastAsia="Times New Roman" w:hAnsi="Arial" w:cs="Arial"/>
          <w:sz w:val="18"/>
          <w:szCs w:val="18"/>
          <w:lang w:val="el-GR" w:eastAsia="en-US"/>
        </w:rPr>
      </w:pPr>
    </w:p>
    <w:p w14:paraId="4AF3CDDB" w14:textId="77777777" w:rsidR="0056738E" w:rsidRDefault="0056738E" w:rsidP="0056738E">
      <w:pPr>
        <w:spacing w:after="0" w:line="240" w:lineRule="auto"/>
        <w:jc w:val="both"/>
        <w:rPr>
          <w:rFonts w:ascii="Arial" w:eastAsia="Times New Roman" w:hAnsi="Arial" w:cs="Arial"/>
          <w:sz w:val="18"/>
          <w:szCs w:val="18"/>
          <w:lang w:val="el-GR" w:eastAsia="en-US"/>
        </w:rPr>
      </w:pPr>
      <w:r>
        <w:rPr>
          <w:rFonts w:ascii="Arial" w:eastAsia="Times New Roman" w:hAnsi="Arial" w:cs="Arial"/>
          <w:sz w:val="18"/>
          <w:szCs w:val="18"/>
          <w:lang w:val="el-GR" w:eastAsia="en-US"/>
        </w:rPr>
        <w:t>Η γεωγραφική ανάλυση, για σκοπούς της συγκέντρωσης πιστωτικού κινδύνου, βασίζεται στην Πολιτική Κινδύνου Χώρας του Συγκροτήματος που ακολουθείται για την παρακολούθηση των ανοιγμάτων του Συγκροτήματος, σύμφωνα με την οποία τα ανοίγματα αναλύονται ανά κίνδυνο χώρας στη βάση της χώρας διαμονής για τα φυσικά πρόσωπα και της χώρας εγγραφής για τα νομικά πρόσωπα.</w:t>
      </w:r>
    </w:p>
    <w:p w14:paraId="062D1B09" w14:textId="77777777" w:rsidR="0056738E" w:rsidRPr="001C3AA9" w:rsidRDefault="0056738E" w:rsidP="0056738E">
      <w:pPr>
        <w:spacing w:after="0" w:line="240" w:lineRule="auto"/>
        <w:jc w:val="both"/>
        <w:rPr>
          <w:rFonts w:ascii="Arial" w:eastAsia="Times New Roman" w:hAnsi="Arial" w:cs="Arial"/>
          <w:sz w:val="10"/>
          <w:szCs w:val="10"/>
          <w:lang w:val="el-GR" w:eastAsia="en-US"/>
        </w:rPr>
      </w:pPr>
    </w:p>
    <w:tbl>
      <w:tblPr>
        <w:tblW w:w="992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1134"/>
        <w:gridCol w:w="1134"/>
        <w:gridCol w:w="1134"/>
        <w:gridCol w:w="1134"/>
        <w:gridCol w:w="1134"/>
        <w:gridCol w:w="1417"/>
      </w:tblGrid>
      <w:tr w:rsidR="0056738E" w:rsidRPr="00910A4E" w14:paraId="062A6A71" w14:textId="77777777" w:rsidTr="007C2AEE">
        <w:trPr>
          <w:trHeight w:val="328"/>
          <w:jc w:val="center"/>
        </w:trPr>
        <w:tc>
          <w:tcPr>
            <w:tcW w:w="2835" w:type="dxa"/>
            <w:tcBorders>
              <w:top w:val="single" w:sz="4" w:space="0" w:color="BFBFBF" w:themeColor="background1" w:themeShade="BF"/>
            </w:tcBorders>
            <w:vAlign w:val="center"/>
          </w:tcPr>
          <w:p w14:paraId="0B72DEE5" w14:textId="77777777" w:rsidR="0056738E" w:rsidRPr="00151E9A" w:rsidRDefault="0056738E" w:rsidP="007C2AEE">
            <w:pPr>
              <w:shd w:val="clear" w:color="auto" w:fill="FFFFFF"/>
              <w:spacing w:after="0" w:line="240" w:lineRule="auto"/>
              <w:rPr>
                <w:rFonts w:ascii="Arial" w:eastAsia="Batang" w:hAnsi="Arial" w:cs="Arial"/>
                <w:b/>
                <w:color w:val="262626"/>
                <w:sz w:val="18"/>
                <w:szCs w:val="18"/>
                <w:lang w:eastAsia="en-US"/>
              </w:rPr>
            </w:pPr>
            <w:r>
              <w:rPr>
                <w:rFonts w:ascii="Arial" w:eastAsia="Batang" w:hAnsi="Arial" w:cs="Arial"/>
                <w:b/>
                <w:color w:val="262626"/>
                <w:sz w:val="18"/>
                <w:szCs w:val="18"/>
                <w:lang w:val="el-GR" w:eastAsia="en-US"/>
              </w:rPr>
              <w:t xml:space="preserve">30 </w:t>
            </w:r>
            <w:r w:rsidRPr="00001C90">
              <w:rPr>
                <w:rFonts w:ascii="Arial" w:eastAsia="Batang" w:hAnsi="Arial" w:cs="Arial"/>
                <w:b/>
                <w:color w:val="262626"/>
                <w:sz w:val="18"/>
                <w:szCs w:val="18"/>
                <w:lang w:val="el-GR" w:eastAsia="en-US"/>
              </w:rPr>
              <w:t>Σεπτεμβρίου</w:t>
            </w:r>
            <w:r>
              <w:rPr>
                <w:rFonts w:ascii="Arial" w:eastAsia="Batang" w:hAnsi="Arial" w:cs="Arial"/>
                <w:b/>
                <w:color w:val="262626"/>
                <w:sz w:val="18"/>
                <w:szCs w:val="18"/>
                <w:lang w:val="el-GR" w:eastAsia="en-US"/>
              </w:rPr>
              <w:t xml:space="preserve"> 2024</w:t>
            </w:r>
          </w:p>
        </w:tc>
        <w:tc>
          <w:tcPr>
            <w:tcW w:w="1134" w:type="dxa"/>
            <w:tcBorders>
              <w:top w:val="single" w:sz="4" w:space="0" w:color="BFBFBF" w:themeColor="background1" w:themeShade="BF"/>
            </w:tcBorders>
            <w:vAlign w:val="center"/>
          </w:tcPr>
          <w:p w14:paraId="50DDBAA0" w14:textId="77777777" w:rsidR="0056738E" w:rsidRPr="00151E9A" w:rsidRDefault="0056738E" w:rsidP="007C2AEE">
            <w:pPr>
              <w:shd w:val="clear" w:color="auto" w:fill="FFFFFF"/>
              <w:spacing w:after="0" w:line="240" w:lineRule="auto"/>
              <w:jc w:val="center"/>
              <w:rPr>
                <w:rFonts w:ascii="Arial" w:eastAsia="Batang" w:hAnsi="Arial" w:cs="Arial"/>
                <w:color w:val="262626"/>
                <w:sz w:val="18"/>
                <w:szCs w:val="18"/>
                <w:lang w:eastAsia="en-US"/>
              </w:rPr>
            </w:pPr>
            <w:r w:rsidRPr="009B5694">
              <w:rPr>
                <w:rFonts w:ascii="Arial" w:hAnsi="Arial" w:cs="Arial"/>
                <w:color w:val="262626"/>
                <w:sz w:val="18"/>
                <w:szCs w:val="18"/>
                <w:lang w:val="el-GR"/>
              </w:rPr>
              <w:t>Κύπρος</w:t>
            </w:r>
          </w:p>
        </w:tc>
        <w:tc>
          <w:tcPr>
            <w:tcW w:w="1134" w:type="dxa"/>
            <w:tcBorders>
              <w:top w:val="single" w:sz="4" w:space="0" w:color="BFBFBF" w:themeColor="background1" w:themeShade="BF"/>
            </w:tcBorders>
            <w:vAlign w:val="center"/>
          </w:tcPr>
          <w:p w14:paraId="654D783F" w14:textId="77777777" w:rsidR="0056738E" w:rsidRPr="00151E9A" w:rsidRDefault="0056738E" w:rsidP="007C2AEE">
            <w:pPr>
              <w:shd w:val="clear" w:color="auto" w:fill="FFFFFF"/>
              <w:spacing w:after="0" w:line="240" w:lineRule="auto"/>
              <w:jc w:val="center"/>
              <w:rPr>
                <w:rFonts w:ascii="Arial" w:eastAsia="Batang" w:hAnsi="Arial" w:cs="Arial"/>
                <w:color w:val="262626"/>
                <w:sz w:val="18"/>
                <w:szCs w:val="18"/>
                <w:lang w:eastAsia="en-US"/>
              </w:rPr>
            </w:pPr>
            <w:r>
              <w:rPr>
                <w:rFonts w:ascii="Arial" w:hAnsi="Arial" w:cs="Arial"/>
                <w:color w:val="262626"/>
                <w:sz w:val="18"/>
                <w:szCs w:val="18"/>
                <w:lang w:val="el-GR"/>
              </w:rPr>
              <w:t>Ελλάδα</w:t>
            </w:r>
          </w:p>
        </w:tc>
        <w:tc>
          <w:tcPr>
            <w:tcW w:w="1134" w:type="dxa"/>
            <w:tcBorders>
              <w:top w:val="single" w:sz="4" w:space="0" w:color="BFBFBF" w:themeColor="background1" w:themeShade="BF"/>
            </w:tcBorders>
            <w:vAlign w:val="center"/>
          </w:tcPr>
          <w:p w14:paraId="680AE6D8" w14:textId="77777777" w:rsidR="0056738E" w:rsidRDefault="0056738E" w:rsidP="007C2AEE">
            <w:pPr>
              <w:spacing w:after="0" w:line="240" w:lineRule="auto"/>
              <w:jc w:val="center"/>
              <w:rPr>
                <w:rFonts w:ascii="Arial" w:eastAsia="Batang" w:hAnsi="Arial" w:cs="Arial"/>
                <w:color w:val="262626"/>
                <w:sz w:val="18"/>
                <w:szCs w:val="18"/>
                <w:lang w:val="el-GR" w:eastAsia="en-US"/>
              </w:rPr>
            </w:pPr>
            <w:r>
              <w:rPr>
                <w:rFonts w:ascii="Arial" w:eastAsia="Batang" w:hAnsi="Arial" w:cs="Arial"/>
                <w:color w:val="262626"/>
                <w:sz w:val="18"/>
                <w:szCs w:val="18"/>
                <w:lang w:val="el-GR" w:eastAsia="en-US"/>
              </w:rPr>
              <w:t>Ηνωμένο</w:t>
            </w:r>
          </w:p>
          <w:p w14:paraId="0546E422" w14:textId="77777777" w:rsidR="0056738E" w:rsidRPr="00ED31DE" w:rsidRDefault="0056738E" w:rsidP="007C2AEE">
            <w:pPr>
              <w:shd w:val="clear" w:color="auto" w:fill="FFFFFF"/>
              <w:spacing w:after="0" w:line="240" w:lineRule="auto"/>
              <w:jc w:val="center"/>
              <w:rPr>
                <w:rFonts w:ascii="Arial" w:eastAsia="Batang" w:hAnsi="Arial" w:cs="Arial"/>
                <w:color w:val="262626"/>
                <w:sz w:val="18"/>
                <w:szCs w:val="18"/>
                <w:lang w:eastAsia="en-US"/>
              </w:rPr>
            </w:pPr>
            <w:r>
              <w:rPr>
                <w:rFonts w:ascii="Arial" w:eastAsia="Batang" w:hAnsi="Arial" w:cs="Arial"/>
                <w:color w:val="262626"/>
                <w:sz w:val="18"/>
                <w:szCs w:val="18"/>
                <w:lang w:val="el-GR" w:eastAsia="en-US"/>
              </w:rPr>
              <w:t>Βασίλειο</w:t>
            </w:r>
          </w:p>
        </w:tc>
        <w:tc>
          <w:tcPr>
            <w:tcW w:w="1134" w:type="dxa"/>
            <w:tcBorders>
              <w:top w:val="single" w:sz="4" w:space="0" w:color="BFBFBF" w:themeColor="background1" w:themeShade="BF"/>
            </w:tcBorders>
            <w:shd w:val="clear" w:color="auto" w:fill="auto"/>
            <w:vAlign w:val="center"/>
          </w:tcPr>
          <w:p w14:paraId="0BAAA2E7" w14:textId="77777777" w:rsidR="0056738E" w:rsidRPr="00151E9A" w:rsidRDefault="0056738E" w:rsidP="007C2AEE">
            <w:pPr>
              <w:shd w:val="clear" w:color="auto" w:fill="FFFFFF"/>
              <w:spacing w:after="0" w:line="240" w:lineRule="auto"/>
              <w:jc w:val="center"/>
              <w:rPr>
                <w:rFonts w:ascii="Arial" w:eastAsia="Batang" w:hAnsi="Arial" w:cs="Arial"/>
                <w:color w:val="262626"/>
                <w:sz w:val="18"/>
                <w:szCs w:val="18"/>
                <w:lang w:eastAsia="en-US"/>
              </w:rPr>
            </w:pPr>
            <w:r>
              <w:rPr>
                <w:rFonts w:ascii="Arial" w:hAnsi="Arial" w:cs="Arial"/>
                <w:color w:val="262626"/>
                <w:sz w:val="18"/>
                <w:szCs w:val="18"/>
                <w:lang w:val="el-GR"/>
              </w:rPr>
              <w:t>Ρωσία</w:t>
            </w:r>
          </w:p>
        </w:tc>
        <w:tc>
          <w:tcPr>
            <w:tcW w:w="1134" w:type="dxa"/>
            <w:tcBorders>
              <w:top w:val="single" w:sz="4" w:space="0" w:color="BFBFBF" w:themeColor="background1" w:themeShade="BF"/>
            </w:tcBorders>
            <w:vAlign w:val="center"/>
          </w:tcPr>
          <w:p w14:paraId="2C383463" w14:textId="77777777" w:rsidR="0056738E" w:rsidRPr="00151E9A" w:rsidRDefault="0056738E" w:rsidP="007C2AEE">
            <w:pPr>
              <w:shd w:val="clear" w:color="auto" w:fill="FFFFFF"/>
              <w:spacing w:after="0" w:line="240" w:lineRule="auto"/>
              <w:jc w:val="center"/>
              <w:rPr>
                <w:rFonts w:ascii="Arial" w:eastAsia="Batang" w:hAnsi="Arial" w:cs="Arial"/>
                <w:color w:val="262626"/>
                <w:sz w:val="18"/>
                <w:szCs w:val="18"/>
                <w:lang w:eastAsia="en-US"/>
              </w:rPr>
            </w:pPr>
            <w:r w:rsidRPr="009B5694">
              <w:rPr>
                <w:rFonts w:ascii="Arial" w:hAnsi="Arial" w:cs="Arial"/>
                <w:color w:val="262626"/>
                <w:sz w:val="18"/>
                <w:szCs w:val="18"/>
                <w:lang w:val="el-GR"/>
              </w:rPr>
              <w:t>Άλλες χώρες</w:t>
            </w:r>
          </w:p>
        </w:tc>
        <w:tc>
          <w:tcPr>
            <w:tcW w:w="1417" w:type="dxa"/>
            <w:tcBorders>
              <w:top w:val="single" w:sz="4" w:space="0" w:color="BFBFBF" w:themeColor="background1" w:themeShade="BF"/>
            </w:tcBorders>
            <w:shd w:val="clear" w:color="auto" w:fill="auto"/>
            <w:vAlign w:val="center"/>
          </w:tcPr>
          <w:p w14:paraId="033E83D9" w14:textId="77777777" w:rsidR="0056738E" w:rsidRDefault="0056738E" w:rsidP="007C2AEE">
            <w:pPr>
              <w:shd w:val="clear" w:color="auto" w:fill="FFFFFF"/>
              <w:spacing w:after="0" w:line="240" w:lineRule="auto"/>
              <w:ind w:left="-166"/>
              <w:jc w:val="center"/>
              <w:rPr>
                <w:rFonts w:ascii="Arial" w:eastAsia="Batang" w:hAnsi="Arial" w:cs="Arial"/>
                <w:b/>
                <w:color w:val="262626"/>
                <w:sz w:val="18"/>
                <w:szCs w:val="18"/>
                <w:lang w:val="el-GR" w:eastAsia="en-US"/>
              </w:rPr>
            </w:pPr>
            <w:r w:rsidRPr="00955C85">
              <w:rPr>
                <w:rFonts w:ascii="Arial" w:eastAsia="Batang" w:hAnsi="Arial" w:cs="Arial"/>
                <w:b/>
                <w:color w:val="262626"/>
                <w:sz w:val="18"/>
                <w:szCs w:val="18"/>
                <w:lang w:val="el-GR" w:eastAsia="en-US"/>
              </w:rPr>
              <w:t xml:space="preserve">  </w:t>
            </w:r>
            <w:r>
              <w:rPr>
                <w:rFonts w:ascii="Arial" w:eastAsia="Batang" w:hAnsi="Arial" w:cs="Arial"/>
                <w:b/>
                <w:color w:val="262626"/>
                <w:sz w:val="18"/>
                <w:szCs w:val="18"/>
                <w:lang w:val="el-GR" w:eastAsia="en-US"/>
              </w:rPr>
              <w:t>Μ</w:t>
            </w:r>
            <w:r w:rsidRPr="009B5694">
              <w:rPr>
                <w:rFonts w:ascii="Arial" w:eastAsia="Batang" w:hAnsi="Arial" w:cs="Arial"/>
                <w:b/>
                <w:color w:val="262626"/>
                <w:sz w:val="18"/>
                <w:szCs w:val="18"/>
                <w:lang w:val="el-GR" w:eastAsia="en-US"/>
              </w:rPr>
              <w:t>εικτά δάνεια</w:t>
            </w:r>
            <w:r>
              <w:rPr>
                <w:rFonts w:ascii="Arial" w:eastAsia="Batang" w:hAnsi="Arial" w:cs="Arial"/>
                <w:b/>
                <w:color w:val="262626"/>
                <w:sz w:val="18"/>
                <w:szCs w:val="18"/>
                <w:lang w:val="el-GR" w:eastAsia="en-US"/>
              </w:rPr>
              <w:t xml:space="preserve"> </w:t>
            </w:r>
          </w:p>
          <w:p w14:paraId="1054D30F" w14:textId="77777777" w:rsidR="0056738E" w:rsidRDefault="0056738E" w:rsidP="007C2AEE">
            <w:pPr>
              <w:shd w:val="clear" w:color="auto" w:fill="FFFFFF"/>
              <w:spacing w:after="0" w:line="240" w:lineRule="auto"/>
              <w:ind w:left="-166" w:right="-135"/>
              <w:jc w:val="center"/>
              <w:rPr>
                <w:rFonts w:ascii="Arial" w:eastAsia="Batang" w:hAnsi="Arial" w:cs="Arial"/>
                <w:b/>
                <w:color w:val="262626"/>
                <w:sz w:val="18"/>
                <w:szCs w:val="18"/>
                <w:lang w:val="el-GR" w:eastAsia="en-US"/>
              </w:rPr>
            </w:pPr>
            <w:r>
              <w:rPr>
                <w:rFonts w:ascii="Arial" w:eastAsia="Batang" w:hAnsi="Arial" w:cs="Arial"/>
                <w:b/>
                <w:color w:val="262626"/>
                <w:sz w:val="18"/>
                <w:szCs w:val="18"/>
                <w:lang w:val="el-GR" w:eastAsia="en-US"/>
              </w:rPr>
              <w:t xml:space="preserve">σε </w:t>
            </w:r>
          </w:p>
          <w:p w14:paraId="213194E9" w14:textId="77777777" w:rsidR="0056738E" w:rsidRPr="00C42B7D" w:rsidRDefault="0056738E" w:rsidP="007C2AEE">
            <w:pPr>
              <w:shd w:val="clear" w:color="auto" w:fill="FFFFFF"/>
              <w:spacing w:after="0" w:line="240" w:lineRule="auto"/>
              <w:ind w:left="-166" w:right="-135"/>
              <w:jc w:val="center"/>
              <w:rPr>
                <w:rFonts w:ascii="Arial" w:eastAsia="Batang" w:hAnsi="Arial" w:cs="Arial"/>
                <w:b/>
                <w:bCs/>
                <w:color w:val="262626"/>
                <w:sz w:val="18"/>
                <w:szCs w:val="18"/>
                <w:lang w:val="el-GR" w:eastAsia="en-US"/>
              </w:rPr>
            </w:pPr>
            <w:r>
              <w:rPr>
                <w:rFonts w:ascii="Arial" w:eastAsia="Batang" w:hAnsi="Arial" w:cs="Arial"/>
                <w:b/>
                <w:color w:val="262626"/>
                <w:sz w:val="18"/>
                <w:szCs w:val="18"/>
                <w:lang w:val="el-GR" w:eastAsia="en-US"/>
              </w:rPr>
              <w:t>αποσβεσμένο κόστος</w:t>
            </w:r>
          </w:p>
        </w:tc>
      </w:tr>
      <w:tr w:rsidR="0056738E" w:rsidRPr="00DE2C53" w14:paraId="7F8B457A" w14:textId="77777777" w:rsidTr="007C2AEE">
        <w:trPr>
          <w:trHeight w:val="227"/>
          <w:jc w:val="center"/>
        </w:trPr>
        <w:tc>
          <w:tcPr>
            <w:tcW w:w="2835" w:type="dxa"/>
            <w:vAlign w:val="center"/>
          </w:tcPr>
          <w:p w14:paraId="24422295"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b/>
                <w:bCs/>
                <w:color w:val="262626"/>
                <w:sz w:val="18"/>
                <w:szCs w:val="18"/>
                <w:lang w:eastAsia="el-GR"/>
              </w:rPr>
            </w:pPr>
            <w:proofErr w:type="spellStart"/>
            <w:r w:rsidRPr="009B5694">
              <w:rPr>
                <w:rFonts w:ascii="Arial" w:eastAsia="Batang" w:hAnsi="Arial" w:cs="Arial"/>
                <w:b/>
                <w:bCs/>
                <w:color w:val="262626"/>
                <w:sz w:val="18"/>
                <w:szCs w:val="18"/>
                <w:lang w:eastAsia="el-GR"/>
              </w:rPr>
              <w:t>Ανά</w:t>
            </w:r>
            <w:proofErr w:type="spellEnd"/>
            <w:r w:rsidRPr="009B5694">
              <w:rPr>
                <w:rFonts w:ascii="Arial" w:eastAsia="Batang" w:hAnsi="Arial" w:cs="Arial"/>
                <w:b/>
                <w:bCs/>
                <w:color w:val="262626"/>
                <w:sz w:val="18"/>
                <w:szCs w:val="18"/>
                <w:lang w:eastAsia="el-GR"/>
              </w:rPr>
              <w:t xml:space="preserve"> </w:t>
            </w:r>
            <w:proofErr w:type="spellStart"/>
            <w:r w:rsidRPr="009B5694">
              <w:rPr>
                <w:rFonts w:ascii="Arial" w:eastAsia="Batang" w:hAnsi="Arial" w:cs="Arial"/>
                <w:b/>
                <w:bCs/>
                <w:color w:val="262626"/>
                <w:sz w:val="18"/>
                <w:szCs w:val="18"/>
                <w:lang w:eastAsia="el-GR"/>
              </w:rPr>
              <w:t>κλάδο</w:t>
            </w:r>
            <w:proofErr w:type="spellEnd"/>
            <w:r w:rsidRPr="009B5694">
              <w:rPr>
                <w:rFonts w:ascii="Arial" w:eastAsia="Batang" w:hAnsi="Arial" w:cs="Arial"/>
                <w:b/>
                <w:bCs/>
                <w:color w:val="262626"/>
                <w:sz w:val="18"/>
                <w:szCs w:val="18"/>
                <w:lang w:eastAsia="el-GR"/>
              </w:rPr>
              <w:t xml:space="preserve"> </w:t>
            </w:r>
            <w:proofErr w:type="spellStart"/>
            <w:r w:rsidRPr="009B5694">
              <w:rPr>
                <w:rFonts w:ascii="Arial" w:eastAsia="Batang" w:hAnsi="Arial" w:cs="Arial"/>
                <w:b/>
                <w:bCs/>
                <w:color w:val="262626"/>
                <w:sz w:val="18"/>
                <w:szCs w:val="18"/>
                <w:lang w:eastAsia="el-GR"/>
              </w:rPr>
              <w:t>της</w:t>
            </w:r>
            <w:proofErr w:type="spellEnd"/>
            <w:r w:rsidRPr="009B5694">
              <w:rPr>
                <w:rFonts w:ascii="Arial" w:eastAsia="Batang" w:hAnsi="Arial" w:cs="Arial"/>
                <w:b/>
                <w:bCs/>
                <w:color w:val="262626"/>
                <w:sz w:val="18"/>
                <w:szCs w:val="18"/>
                <w:lang w:eastAsia="el-GR"/>
              </w:rPr>
              <w:t xml:space="preserve"> </w:t>
            </w:r>
            <w:proofErr w:type="spellStart"/>
            <w:r w:rsidRPr="009B5694">
              <w:rPr>
                <w:rFonts w:ascii="Arial" w:eastAsia="Batang" w:hAnsi="Arial" w:cs="Arial"/>
                <w:b/>
                <w:bCs/>
                <w:color w:val="262626"/>
                <w:sz w:val="18"/>
                <w:szCs w:val="18"/>
                <w:lang w:eastAsia="el-GR"/>
              </w:rPr>
              <w:t>οικονομί</w:t>
            </w:r>
            <w:proofErr w:type="spellEnd"/>
            <w:r w:rsidRPr="009B5694">
              <w:rPr>
                <w:rFonts w:ascii="Arial" w:eastAsia="Batang" w:hAnsi="Arial" w:cs="Arial"/>
                <w:b/>
                <w:bCs/>
                <w:color w:val="262626"/>
                <w:sz w:val="18"/>
                <w:szCs w:val="18"/>
                <w:lang w:eastAsia="el-GR"/>
              </w:rPr>
              <w:t>ας</w:t>
            </w:r>
          </w:p>
        </w:tc>
        <w:tc>
          <w:tcPr>
            <w:tcW w:w="1134" w:type="dxa"/>
            <w:vAlign w:val="center"/>
          </w:tcPr>
          <w:p w14:paraId="18356414"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Cs/>
                <w:color w:val="262626"/>
                <w:sz w:val="18"/>
                <w:szCs w:val="18"/>
                <w:lang w:eastAsia="en-US"/>
              </w:rPr>
            </w:pPr>
            <w:r w:rsidRPr="00151E9A">
              <w:rPr>
                <w:rFonts w:ascii="Arial" w:eastAsia="Batang" w:hAnsi="Arial" w:cs="Arial"/>
                <w:bCs/>
                <w:color w:val="262626"/>
                <w:sz w:val="18"/>
                <w:szCs w:val="18"/>
                <w:lang w:eastAsia="en-US"/>
              </w:rPr>
              <w:t>€000</w:t>
            </w:r>
          </w:p>
        </w:tc>
        <w:tc>
          <w:tcPr>
            <w:tcW w:w="1134" w:type="dxa"/>
            <w:vAlign w:val="center"/>
          </w:tcPr>
          <w:p w14:paraId="534D24B6"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Cs/>
                <w:color w:val="262626"/>
                <w:sz w:val="18"/>
                <w:szCs w:val="18"/>
                <w:lang w:eastAsia="en-US"/>
              </w:rPr>
            </w:pPr>
            <w:r w:rsidRPr="00151E9A">
              <w:rPr>
                <w:rFonts w:ascii="Arial" w:eastAsia="Batang" w:hAnsi="Arial" w:cs="Arial"/>
                <w:bCs/>
                <w:color w:val="262626"/>
                <w:sz w:val="18"/>
                <w:szCs w:val="18"/>
                <w:lang w:eastAsia="en-US"/>
              </w:rPr>
              <w:t>€000</w:t>
            </w:r>
          </w:p>
        </w:tc>
        <w:tc>
          <w:tcPr>
            <w:tcW w:w="1134" w:type="dxa"/>
            <w:vAlign w:val="center"/>
          </w:tcPr>
          <w:p w14:paraId="518644F7" w14:textId="77777777" w:rsidR="0056738E" w:rsidRPr="00ED31DE"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Cs/>
                <w:color w:val="262626"/>
                <w:sz w:val="18"/>
                <w:szCs w:val="18"/>
                <w:lang w:eastAsia="en-US"/>
              </w:rPr>
            </w:pPr>
            <w:r w:rsidRPr="006C6742">
              <w:rPr>
                <w:rFonts w:ascii="Arial" w:eastAsia="Batang" w:hAnsi="Arial" w:cs="Arial"/>
                <w:bCs/>
                <w:color w:val="262626"/>
                <w:sz w:val="18"/>
                <w:szCs w:val="18"/>
                <w:lang w:eastAsia="en-US"/>
              </w:rPr>
              <w:t>€000</w:t>
            </w:r>
          </w:p>
        </w:tc>
        <w:tc>
          <w:tcPr>
            <w:tcW w:w="1134" w:type="dxa"/>
            <w:vAlign w:val="center"/>
          </w:tcPr>
          <w:p w14:paraId="27109252"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Cs/>
                <w:color w:val="262626"/>
                <w:sz w:val="18"/>
                <w:szCs w:val="18"/>
                <w:lang w:eastAsia="en-US"/>
              </w:rPr>
            </w:pPr>
            <w:r w:rsidRPr="00151E9A">
              <w:rPr>
                <w:rFonts w:ascii="Arial" w:eastAsia="Batang" w:hAnsi="Arial" w:cs="Arial"/>
                <w:bCs/>
                <w:color w:val="262626"/>
                <w:sz w:val="18"/>
                <w:szCs w:val="18"/>
                <w:lang w:eastAsia="en-US"/>
              </w:rPr>
              <w:t>€000</w:t>
            </w:r>
          </w:p>
        </w:tc>
        <w:tc>
          <w:tcPr>
            <w:tcW w:w="1134" w:type="dxa"/>
            <w:shd w:val="clear" w:color="auto" w:fill="auto"/>
            <w:vAlign w:val="center"/>
          </w:tcPr>
          <w:p w14:paraId="41CA1E6B"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151E9A">
              <w:rPr>
                <w:rFonts w:ascii="Arial" w:eastAsia="Batang" w:hAnsi="Arial" w:cs="Arial"/>
                <w:bCs/>
                <w:color w:val="262626"/>
                <w:sz w:val="18"/>
                <w:szCs w:val="18"/>
                <w:lang w:eastAsia="en-US"/>
              </w:rPr>
              <w:t>€000</w:t>
            </w:r>
          </w:p>
        </w:tc>
        <w:tc>
          <w:tcPr>
            <w:tcW w:w="1417" w:type="dxa"/>
            <w:shd w:val="clear" w:color="auto" w:fill="auto"/>
            <w:vAlign w:val="center"/>
          </w:tcPr>
          <w:p w14:paraId="01FDC56B" w14:textId="77777777" w:rsidR="0056738E" w:rsidRPr="00151E9A" w:rsidRDefault="0056738E" w:rsidP="007C2AEE">
            <w:pPr>
              <w:shd w:val="clear" w:color="auto" w:fill="FFFFFF"/>
              <w:spacing w:after="0" w:line="240" w:lineRule="auto"/>
              <w:jc w:val="center"/>
              <w:rPr>
                <w:rFonts w:ascii="Arial" w:eastAsia="Batang" w:hAnsi="Arial" w:cs="Arial"/>
                <w:b/>
                <w:bCs/>
                <w:color w:val="262626"/>
                <w:sz w:val="18"/>
                <w:szCs w:val="18"/>
                <w:lang w:eastAsia="en-US"/>
              </w:rPr>
            </w:pPr>
            <w:r w:rsidRPr="00151E9A">
              <w:rPr>
                <w:rFonts w:ascii="Arial" w:eastAsia="Batang" w:hAnsi="Arial" w:cs="Arial"/>
                <w:b/>
                <w:bCs/>
                <w:color w:val="262626"/>
                <w:sz w:val="18"/>
                <w:szCs w:val="18"/>
                <w:lang w:eastAsia="en-US"/>
              </w:rPr>
              <w:t>€000</w:t>
            </w:r>
          </w:p>
        </w:tc>
      </w:tr>
      <w:tr w:rsidR="0056738E" w:rsidRPr="00DE2C53" w14:paraId="78152856" w14:textId="77777777" w:rsidTr="007C2AEE">
        <w:trPr>
          <w:trHeight w:val="227"/>
          <w:jc w:val="center"/>
        </w:trPr>
        <w:tc>
          <w:tcPr>
            <w:tcW w:w="2835" w:type="dxa"/>
            <w:vAlign w:val="center"/>
          </w:tcPr>
          <w:p w14:paraId="1CF54E97"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Εμ</w:t>
            </w:r>
            <w:proofErr w:type="spellEnd"/>
            <w:r w:rsidRPr="009B5694">
              <w:rPr>
                <w:rFonts w:ascii="Arial" w:hAnsi="Arial" w:cs="Arial"/>
                <w:color w:val="262626"/>
                <w:sz w:val="18"/>
                <w:szCs w:val="18"/>
                <w:lang w:val="en-US"/>
              </w:rPr>
              <w:t>πόριο</w:t>
            </w:r>
          </w:p>
        </w:tc>
        <w:tc>
          <w:tcPr>
            <w:tcW w:w="1134" w:type="dxa"/>
            <w:tcBorders>
              <w:top w:val="single" w:sz="4" w:space="0" w:color="C0C0C0"/>
              <w:left w:val="nil"/>
              <w:bottom w:val="single" w:sz="8" w:space="0" w:color="D3D3D3"/>
              <w:right w:val="single" w:sz="8" w:space="0" w:color="D3D3D3"/>
            </w:tcBorders>
            <w:shd w:val="clear" w:color="auto" w:fill="auto"/>
            <w:vAlign w:val="center"/>
          </w:tcPr>
          <w:p w14:paraId="09D4A53D" w14:textId="77777777" w:rsidR="0056738E" w:rsidRPr="00955C85"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n-US"/>
              </w:rPr>
            </w:pPr>
            <w:r>
              <w:rPr>
                <w:rFonts w:ascii="Arial" w:hAnsi="Arial" w:cs="Arial"/>
                <w:bCs/>
                <w:color w:val="262626"/>
                <w:sz w:val="18"/>
                <w:szCs w:val="18"/>
                <w:lang w:val="en-US"/>
              </w:rPr>
              <w:t>913,663</w:t>
            </w:r>
          </w:p>
        </w:tc>
        <w:tc>
          <w:tcPr>
            <w:tcW w:w="1134" w:type="dxa"/>
            <w:tcBorders>
              <w:top w:val="single" w:sz="4" w:space="0" w:color="C0C0C0"/>
              <w:left w:val="nil"/>
              <w:bottom w:val="single" w:sz="8" w:space="0" w:color="D3D3D3"/>
              <w:right w:val="single" w:sz="8" w:space="0" w:color="D3D3D3"/>
            </w:tcBorders>
            <w:shd w:val="clear" w:color="auto" w:fill="auto"/>
            <w:vAlign w:val="center"/>
          </w:tcPr>
          <w:p w14:paraId="3DD3D958"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8,582</w:t>
            </w:r>
          </w:p>
        </w:tc>
        <w:tc>
          <w:tcPr>
            <w:tcW w:w="1134" w:type="dxa"/>
            <w:tcBorders>
              <w:top w:val="single" w:sz="4" w:space="0" w:color="C0C0C0"/>
              <w:left w:val="nil"/>
              <w:bottom w:val="single" w:sz="8" w:space="0" w:color="D3D3D3"/>
              <w:right w:val="single" w:sz="8" w:space="0" w:color="D3D3D3"/>
            </w:tcBorders>
            <w:shd w:val="clear" w:color="auto" w:fill="auto"/>
            <w:vAlign w:val="center"/>
          </w:tcPr>
          <w:p w14:paraId="0345EA0D"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single" w:sz="4" w:space="0" w:color="C0C0C0"/>
              <w:left w:val="nil"/>
              <w:bottom w:val="single" w:sz="8" w:space="0" w:color="D3D3D3"/>
              <w:right w:val="single" w:sz="8" w:space="0" w:color="D3D3D3"/>
            </w:tcBorders>
            <w:shd w:val="clear" w:color="auto" w:fill="auto"/>
            <w:vAlign w:val="center"/>
          </w:tcPr>
          <w:p w14:paraId="2C30A979"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single" w:sz="4" w:space="0" w:color="C0C0C0"/>
              <w:left w:val="nil"/>
              <w:bottom w:val="single" w:sz="8" w:space="0" w:color="D3D3D3"/>
              <w:right w:val="single" w:sz="8" w:space="0" w:color="D3D3D3"/>
            </w:tcBorders>
            <w:shd w:val="clear" w:color="auto" w:fill="auto"/>
            <w:vAlign w:val="center"/>
          </w:tcPr>
          <w:p w14:paraId="61E25C00"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15,203</w:t>
            </w:r>
          </w:p>
        </w:tc>
        <w:tc>
          <w:tcPr>
            <w:tcW w:w="1417" w:type="dxa"/>
            <w:tcBorders>
              <w:top w:val="single" w:sz="4" w:space="0" w:color="C0C0C0"/>
              <w:left w:val="nil"/>
              <w:bottom w:val="single" w:sz="8" w:space="0" w:color="D3D3D3"/>
              <w:right w:val="single" w:sz="4" w:space="0" w:color="C0C0C0"/>
            </w:tcBorders>
            <w:shd w:val="clear" w:color="auto" w:fill="auto"/>
            <w:vAlign w:val="center"/>
          </w:tcPr>
          <w:p w14:paraId="43F06310" w14:textId="77777777" w:rsidR="0056738E" w:rsidRPr="004F4FFD" w:rsidRDefault="0056738E" w:rsidP="007C2AEE">
            <w:pPr>
              <w:keepNext/>
              <w:keepLines/>
              <w:shd w:val="clear" w:color="auto" w:fill="FFFFFF"/>
              <w:tabs>
                <w:tab w:val="right" w:pos="7560"/>
                <w:tab w:val="right" w:pos="9000"/>
              </w:tabs>
              <w:suppressAutoHyphens/>
              <w:spacing w:after="0" w:line="240" w:lineRule="auto"/>
              <w:jc w:val="right"/>
              <w:outlineLvl w:val="0"/>
              <w:rPr>
                <w:rFonts w:ascii="Arial" w:hAnsi="Arial" w:cs="Arial"/>
                <w:b/>
                <w:bCs/>
                <w:color w:val="262626"/>
                <w:sz w:val="18"/>
                <w:szCs w:val="18"/>
              </w:rPr>
            </w:pPr>
            <w:r>
              <w:rPr>
                <w:rFonts w:ascii="Arial" w:hAnsi="Arial" w:cs="Arial"/>
                <w:b/>
                <w:bCs/>
                <w:color w:val="262626"/>
                <w:sz w:val="18"/>
                <w:szCs w:val="18"/>
                <w:lang w:val="en-US"/>
              </w:rPr>
              <w:t>937,448</w:t>
            </w:r>
          </w:p>
        </w:tc>
      </w:tr>
      <w:tr w:rsidR="0056738E" w:rsidRPr="00DE2C53" w14:paraId="60535838" w14:textId="77777777" w:rsidTr="007C2AEE">
        <w:trPr>
          <w:trHeight w:val="227"/>
          <w:jc w:val="center"/>
        </w:trPr>
        <w:tc>
          <w:tcPr>
            <w:tcW w:w="2835" w:type="dxa"/>
            <w:vAlign w:val="center"/>
          </w:tcPr>
          <w:p w14:paraId="5EB96F0A" w14:textId="77777777" w:rsidR="0056738E" w:rsidRPr="00151E9A" w:rsidRDefault="0056738E" w:rsidP="007C2AEE">
            <w:pPr>
              <w:numPr>
                <w:ilvl w:val="12"/>
                <w:numId w:val="0"/>
              </w:numPr>
              <w:shd w:val="clear" w:color="auto" w:fill="FFFFFF"/>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Βιομηχ</w:t>
            </w:r>
            <w:proofErr w:type="spellEnd"/>
            <w:r w:rsidRPr="009B5694">
              <w:rPr>
                <w:rFonts w:ascii="Arial" w:hAnsi="Arial" w:cs="Arial"/>
                <w:color w:val="262626"/>
                <w:sz w:val="18"/>
                <w:szCs w:val="18"/>
                <w:lang w:val="en-US"/>
              </w:rPr>
              <w:t>ανία</w:t>
            </w:r>
          </w:p>
        </w:tc>
        <w:tc>
          <w:tcPr>
            <w:tcW w:w="1134" w:type="dxa"/>
            <w:tcBorders>
              <w:top w:val="nil"/>
              <w:left w:val="nil"/>
              <w:bottom w:val="single" w:sz="8" w:space="0" w:color="D3D3D3"/>
              <w:right w:val="single" w:sz="8" w:space="0" w:color="D3D3D3"/>
            </w:tcBorders>
            <w:shd w:val="clear" w:color="auto" w:fill="auto"/>
            <w:vAlign w:val="center"/>
          </w:tcPr>
          <w:p w14:paraId="0AE5BFF5"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276,709</w:t>
            </w:r>
          </w:p>
        </w:tc>
        <w:tc>
          <w:tcPr>
            <w:tcW w:w="1134" w:type="dxa"/>
            <w:tcBorders>
              <w:top w:val="nil"/>
              <w:left w:val="nil"/>
              <w:bottom w:val="single" w:sz="8" w:space="0" w:color="D3D3D3"/>
              <w:right w:val="single" w:sz="8" w:space="0" w:color="D3D3D3"/>
            </w:tcBorders>
            <w:shd w:val="clear" w:color="auto" w:fill="auto"/>
            <w:vAlign w:val="center"/>
          </w:tcPr>
          <w:p w14:paraId="2B01CE01"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43,075</w:t>
            </w:r>
          </w:p>
        </w:tc>
        <w:tc>
          <w:tcPr>
            <w:tcW w:w="1134" w:type="dxa"/>
            <w:tcBorders>
              <w:top w:val="nil"/>
              <w:left w:val="nil"/>
              <w:bottom w:val="single" w:sz="8" w:space="0" w:color="D3D3D3"/>
              <w:right w:val="single" w:sz="8" w:space="0" w:color="D3D3D3"/>
            </w:tcBorders>
            <w:shd w:val="clear" w:color="auto" w:fill="auto"/>
            <w:vAlign w:val="center"/>
          </w:tcPr>
          <w:p w14:paraId="7F48D872"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141</w:t>
            </w:r>
          </w:p>
        </w:tc>
        <w:tc>
          <w:tcPr>
            <w:tcW w:w="1134" w:type="dxa"/>
            <w:tcBorders>
              <w:top w:val="nil"/>
              <w:left w:val="nil"/>
              <w:bottom w:val="single" w:sz="8" w:space="0" w:color="D3D3D3"/>
              <w:right w:val="single" w:sz="8" w:space="0" w:color="D3D3D3"/>
            </w:tcBorders>
            <w:shd w:val="clear" w:color="auto" w:fill="auto"/>
            <w:vAlign w:val="center"/>
          </w:tcPr>
          <w:p w14:paraId="28A496AF"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nil"/>
              <w:left w:val="nil"/>
              <w:bottom w:val="single" w:sz="8" w:space="0" w:color="D3D3D3"/>
              <w:right w:val="single" w:sz="8" w:space="0" w:color="D3D3D3"/>
            </w:tcBorders>
            <w:shd w:val="clear" w:color="auto" w:fill="auto"/>
            <w:vAlign w:val="center"/>
          </w:tcPr>
          <w:p w14:paraId="4D35886C"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40,112</w:t>
            </w:r>
          </w:p>
        </w:tc>
        <w:tc>
          <w:tcPr>
            <w:tcW w:w="1417" w:type="dxa"/>
            <w:tcBorders>
              <w:top w:val="nil"/>
              <w:left w:val="nil"/>
              <w:bottom w:val="single" w:sz="8" w:space="0" w:color="D3D3D3"/>
              <w:right w:val="single" w:sz="4" w:space="0" w:color="C0C0C0"/>
            </w:tcBorders>
            <w:shd w:val="clear" w:color="auto" w:fill="auto"/>
            <w:vAlign w:val="center"/>
          </w:tcPr>
          <w:p w14:paraId="19BF70B4" w14:textId="77777777" w:rsidR="0056738E" w:rsidRPr="004F4FFD" w:rsidRDefault="0056738E" w:rsidP="007C2AEE">
            <w:pPr>
              <w:keepNext/>
              <w:keepLines/>
              <w:shd w:val="clear" w:color="auto" w:fill="FFFFFF"/>
              <w:tabs>
                <w:tab w:val="right" w:pos="7560"/>
                <w:tab w:val="right" w:pos="9000"/>
              </w:tabs>
              <w:suppressAutoHyphens/>
              <w:spacing w:after="0" w:line="240" w:lineRule="auto"/>
              <w:jc w:val="right"/>
              <w:outlineLvl w:val="0"/>
              <w:rPr>
                <w:rFonts w:ascii="Arial" w:hAnsi="Arial" w:cs="Arial"/>
                <w:b/>
                <w:bCs/>
                <w:color w:val="262626"/>
                <w:sz w:val="18"/>
                <w:szCs w:val="18"/>
              </w:rPr>
            </w:pPr>
            <w:r>
              <w:rPr>
                <w:rFonts w:ascii="Arial" w:hAnsi="Arial" w:cs="Arial"/>
                <w:b/>
                <w:bCs/>
                <w:color w:val="262626"/>
                <w:sz w:val="18"/>
                <w:szCs w:val="18"/>
                <w:lang w:val="en-US"/>
              </w:rPr>
              <w:t>360,037</w:t>
            </w:r>
          </w:p>
        </w:tc>
      </w:tr>
      <w:tr w:rsidR="0056738E" w:rsidRPr="00DE2C53" w14:paraId="6FD53F0D" w14:textId="77777777" w:rsidTr="007C2AEE">
        <w:trPr>
          <w:trHeight w:val="227"/>
          <w:jc w:val="center"/>
        </w:trPr>
        <w:tc>
          <w:tcPr>
            <w:tcW w:w="2835" w:type="dxa"/>
            <w:shd w:val="clear" w:color="auto" w:fill="auto"/>
            <w:vAlign w:val="center"/>
          </w:tcPr>
          <w:p w14:paraId="786C4A56"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Ξενοδοχεί</w:t>
            </w:r>
            <w:proofErr w:type="spellEnd"/>
            <w:r w:rsidRPr="009B5694">
              <w:rPr>
                <w:rFonts w:ascii="Arial" w:hAnsi="Arial" w:cs="Arial"/>
                <w:color w:val="262626"/>
                <w:sz w:val="18"/>
                <w:szCs w:val="18"/>
                <w:lang w:val="en-US"/>
              </w:rPr>
              <w:t xml:space="preserve">α και </w:t>
            </w:r>
            <w:r>
              <w:rPr>
                <w:rFonts w:ascii="Arial" w:hAnsi="Arial" w:cs="Arial"/>
                <w:color w:val="262626"/>
                <w:sz w:val="18"/>
                <w:szCs w:val="18"/>
                <w:lang w:val="el-GR"/>
              </w:rPr>
              <w:t>εστίαση</w:t>
            </w:r>
          </w:p>
        </w:tc>
        <w:tc>
          <w:tcPr>
            <w:tcW w:w="1134" w:type="dxa"/>
            <w:tcBorders>
              <w:top w:val="nil"/>
              <w:left w:val="nil"/>
              <w:bottom w:val="single" w:sz="8" w:space="0" w:color="D3D3D3"/>
              <w:right w:val="single" w:sz="8" w:space="0" w:color="D3D3D3"/>
            </w:tcBorders>
            <w:shd w:val="clear" w:color="auto" w:fill="auto"/>
            <w:vAlign w:val="center"/>
          </w:tcPr>
          <w:p w14:paraId="6D6CB7F4"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957,814</w:t>
            </w:r>
          </w:p>
        </w:tc>
        <w:tc>
          <w:tcPr>
            <w:tcW w:w="1134" w:type="dxa"/>
            <w:tcBorders>
              <w:top w:val="nil"/>
              <w:left w:val="nil"/>
              <w:bottom w:val="single" w:sz="8" w:space="0" w:color="D3D3D3"/>
              <w:right w:val="single" w:sz="8" w:space="0" w:color="D3D3D3"/>
            </w:tcBorders>
            <w:shd w:val="clear" w:color="auto" w:fill="auto"/>
            <w:vAlign w:val="center"/>
          </w:tcPr>
          <w:p w14:paraId="7EDA0F70"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33,809</w:t>
            </w:r>
          </w:p>
        </w:tc>
        <w:tc>
          <w:tcPr>
            <w:tcW w:w="1134" w:type="dxa"/>
            <w:tcBorders>
              <w:top w:val="nil"/>
              <w:left w:val="nil"/>
              <w:bottom w:val="single" w:sz="8" w:space="0" w:color="D3D3D3"/>
              <w:right w:val="single" w:sz="8" w:space="0" w:color="D3D3D3"/>
            </w:tcBorders>
            <w:shd w:val="clear" w:color="auto" w:fill="auto"/>
            <w:vAlign w:val="center"/>
          </w:tcPr>
          <w:p w14:paraId="0E8F2903"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38,152</w:t>
            </w:r>
          </w:p>
        </w:tc>
        <w:tc>
          <w:tcPr>
            <w:tcW w:w="1134" w:type="dxa"/>
            <w:tcBorders>
              <w:top w:val="nil"/>
              <w:left w:val="nil"/>
              <w:bottom w:val="single" w:sz="8" w:space="0" w:color="D3D3D3"/>
              <w:right w:val="single" w:sz="8" w:space="0" w:color="D3D3D3"/>
            </w:tcBorders>
            <w:shd w:val="clear" w:color="auto" w:fill="auto"/>
            <w:vAlign w:val="center"/>
          </w:tcPr>
          <w:p w14:paraId="25250C2B"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nil"/>
              <w:left w:val="nil"/>
              <w:bottom w:val="single" w:sz="8" w:space="0" w:color="D3D3D3"/>
              <w:right w:val="single" w:sz="8" w:space="0" w:color="D3D3D3"/>
            </w:tcBorders>
            <w:shd w:val="clear" w:color="auto" w:fill="auto"/>
            <w:vAlign w:val="center"/>
          </w:tcPr>
          <w:p w14:paraId="19508A51"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37,337</w:t>
            </w:r>
          </w:p>
        </w:tc>
        <w:tc>
          <w:tcPr>
            <w:tcW w:w="1417" w:type="dxa"/>
            <w:tcBorders>
              <w:top w:val="nil"/>
              <w:left w:val="nil"/>
              <w:bottom w:val="single" w:sz="8" w:space="0" w:color="D3D3D3"/>
              <w:right w:val="single" w:sz="4" w:space="0" w:color="C0C0C0"/>
            </w:tcBorders>
            <w:shd w:val="clear" w:color="auto" w:fill="auto"/>
            <w:vAlign w:val="center"/>
          </w:tcPr>
          <w:p w14:paraId="41D6FDD9" w14:textId="77777777" w:rsidR="0056738E" w:rsidRPr="004F4FFD" w:rsidRDefault="0056738E" w:rsidP="007C2AEE">
            <w:pPr>
              <w:keepNext/>
              <w:keepLines/>
              <w:shd w:val="clear" w:color="auto" w:fill="FFFFFF"/>
              <w:tabs>
                <w:tab w:val="right" w:pos="7560"/>
                <w:tab w:val="right" w:pos="9000"/>
              </w:tabs>
              <w:suppressAutoHyphens/>
              <w:spacing w:after="0" w:line="240" w:lineRule="auto"/>
              <w:jc w:val="right"/>
              <w:outlineLvl w:val="0"/>
              <w:rPr>
                <w:rFonts w:ascii="Arial" w:hAnsi="Arial" w:cs="Arial"/>
                <w:b/>
                <w:bCs/>
                <w:color w:val="262626"/>
                <w:sz w:val="18"/>
                <w:szCs w:val="18"/>
              </w:rPr>
            </w:pPr>
            <w:r>
              <w:rPr>
                <w:rFonts w:ascii="Arial" w:hAnsi="Arial" w:cs="Arial"/>
                <w:b/>
                <w:bCs/>
                <w:color w:val="262626"/>
                <w:sz w:val="18"/>
                <w:szCs w:val="18"/>
                <w:lang w:val="en-US"/>
              </w:rPr>
              <w:t>1,067,112</w:t>
            </w:r>
          </w:p>
        </w:tc>
      </w:tr>
      <w:tr w:rsidR="0056738E" w:rsidRPr="00DE2C53" w14:paraId="7FCB7CFF" w14:textId="77777777" w:rsidTr="007C2AEE">
        <w:trPr>
          <w:trHeight w:val="227"/>
          <w:jc w:val="center"/>
        </w:trPr>
        <w:tc>
          <w:tcPr>
            <w:tcW w:w="2835" w:type="dxa"/>
            <w:vAlign w:val="center"/>
          </w:tcPr>
          <w:p w14:paraId="62E0D207"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eastAsia="el-GR"/>
              </w:rPr>
            </w:pPr>
            <w:r w:rsidRPr="009B5694">
              <w:rPr>
                <w:rFonts w:ascii="Arial" w:hAnsi="Arial" w:cs="Arial"/>
                <w:color w:val="262626"/>
                <w:sz w:val="18"/>
                <w:szCs w:val="18"/>
                <w:lang w:val="en-US"/>
              </w:rPr>
              <w:t>Κατα</w:t>
            </w:r>
            <w:proofErr w:type="spellStart"/>
            <w:r w:rsidRPr="009B5694">
              <w:rPr>
                <w:rFonts w:ascii="Arial" w:hAnsi="Arial" w:cs="Arial"/>
                <w:color w:val="262626"/>
                <w:sz w:val="18"/>
                <w:szCs w:val="18"/>
                <w:lang w:val="en-US"/>
              </w:rPr>
              <w:t>σκευές</w:t>
            </w:r>
            <w:proofErr w:type="spellEnd"/>
          </w:p>
        </w:tc>
        <w:tc>
          <w:tcPr>
            <w:tcW w:w="1134" w:type="dxa"/>
            <w:tcBorders>
              <w:top w:val="nil"/>
              <w:left w:val="nil"/>
              <w:bottom w:val="single" w:sz="8" w:space="0" w:color="D3D3D3"/>
              <w:right w:val="single" w:sz="8" w:space="0" w:color="D3D3D3"/>
            </w:tcBorders>
            <w:shd w:val="clear" w:color="auto" w:fill="auto"/>
            <w:vAlign w:val="center"/>
          </w:tcPr>
          <w:p w14:paraId="65E63D91"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448,310</w:t>
            </w:r>
          </w:p>
        </w:tc>
        <w:tc>
          <w:tcPr>
            <w:tcW w:w="1134" w:type="dxa"/>
            <w:tcBorders>
              <w:top w:val="nil"/>
              <w:left w:val="nil"/>
              <w:bottom w:val="single" w:sz="8" w:space="0" w:color="D3D3D3"/>
              <w:right w:val="single" w:sz="8" w:space="0" w:color="D3D3D3"/>
            </w:tcBorders>
            <w:shd w:val="clear" w:color="auto" w:fill="auto"/>
            <w:vAlign w:val="center"/>
          </w:tcPr>
          <w:p w14:paraId="4CD4DA83"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35,347</w:t>
            </w:r>
          </w:p>
        </w:tc>
        <w:tc>
          <w:tcPr>
            <w:tcW w:w="1134" w:type="dxa"/>
            <w:tcBorders>
              <w:top w:val="nil"/>
              <w:left w:val="nil"/>
              <w:bottom w:val="single" w:sz="8" w:space="0" w:color="D3D3D3"/>
              <w:right w:val="single" w:sz="8" w:space="0" w:color="D3D3D3"/>
            </w:tcBorders>
            <w:shd w:val="clear" w:color="auto" w:fill="auto"/>
            <w:vAlign w:val="center"/>
          </w:tcPr>
          <w:p w14:paraId="1CCFB094"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nil"/>
              <w:left w:val="nil"/>
              <w:bottom w:val="single" w:sz="8" w:space="0" w:color="D3D3D3"/>
              <w:right w:val="single" w:sz="8" w:space="0" w:color="D3D3D3"/>
            </w:tcBorders>
            <w:shd w:val="clear" w:color="auto" w:fill="auto"/>
            <w:vAlign w:val="center"/>
          </w:tcPr>
          <w:p w14:paraId="66B5E133"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nil"/>
              <w:left w:val="nil"/>
              <w:bottom w:val="single" w:sz="8" w:space="0" w:color="D3D3D3"/>
              <w:right w:val="single" w:sz="8" w:space="0" w:color="D3D3D3"/>
            </w:tcBorders>
            <w:shd w:val="clear" w:color="auto" w:fill="auto"/>
            <w:vAlign w:val="center"/>
          </w:tcPr>
          <w:p w14:paraId="6A8D4DA6"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292</w:t>
            </w:r>
          </w:p>
        </w:tc>
        <w:tc>
          <w:tcPr>
            <w:tcW w:w="1417" w:type="dxa"/>
            <w:tcBorders>
              <w:top w:val="nil"/>
              <w:left w:val="nil"/>
              <w:bottom w:val="single" w:sz="8" w:space="0" w:color="D3D3D3"/>
              <w:right w:val="single" w:sz="4" w:space="0" w:color="C0C0C0"/>
            </w:tcBorders>
            <w:shd w:val="clear" w:color="auto" w:fill="auto"/>
            <w:vAlign w:val="center"/>
          </w:tcPr>
          <w:p w14:paraId="49E8B744" w14:textId="77777777" w:rsidR="0056738E" w:rsidRPr="004F4FFD" w:rsidRDefault="0056738E" w:rsidP="007C2AEE">
            <w:pPr>
              <w:keepNext/>
              <w:keepLines/>
              <w:shd w:val="clear" w:color="auto" w:fill="FFFFFF"/>
              <w:tabs>
                <w:tab w:val="right" w:pos="7560"/>
                <w:tab w:val="right" w:pos="9000"/>
              </w:tabs>
              <w:suppressAutoHyphens/>
              <w:spacing w:after="0" w:line="240" w:lineRule="auto"/>
              <w:jc w:val="right"/>
              <w:outlineLvl w:val="0"/>
              <w:rPr>
                <w:rFonts w:ascii="Arial" w:hAnsi="Arial" w:cs="Arial"/>
                <w:b/>
                <w:bCs/>
                <w:color w:val="262626"/>
                <w:sz w:val="18"/>
                <w:szCs w:val="18"/>
              </w:rPr>
            </w:pPr>
            <w:r>
              <w:rPr>
                <w:rFonts w:ascii="Arial" w:hAnsi="Arial" w:cs="Arial"/>
                <w:b/>
                <w:bCs/>
                <w:color w:val="262626"/>
                <w:sz w:val="18"/>
                <w:szCs w:val="18"/>
                <w:lang w:val="en-US"/>
              </w:rPr>
              <w:t>483,949</w:t>
            </w:r>
          </w:p>
        </w:tc>
      </w:tr>
      <w:tr w:rsidR="0056738E" w:rsidRPr="00DE2C53" w14:paraId="71F80417" w14:textId="77777777" w:rsidTr="007C2AEE">
        <w:trPr>
          <w:trHeight w:val="227"/>
          <w:jc w:val="center"/>
        </w:trPr>
        <w:tc>
          <w:tcPr>
            <w:tcW w:w="2835" w:type="dxa"/>
            <w:shd w:val="clear" w:color="auto" w:fill="auto"/>
            <w:vAlign w:val="center"/>
          </w:tcPr>
          <w:p w14:paraId="3C8745E9"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Ακίνητ</w:t>
            </w:r>
            <w:proofErr w:type="spellEnd"/>
            <w:r w:rsidRPr="009B5694">
              <w:rPr>
                <w:rFonts w:ascii="Arial" w:hAnsi="Arial" w:cs="Arial"/>
                <w:color w:val="262626"/>
                <w:sz w:val="18"/>
                <w:szCs w:val="18"/>
                <w:lang w:val="en-US"/>
              </w:rPr>
              <w:t>α</w:t>
            </w:r>
          </w:p>
        </w:tc>
        <w:tc>
          <w:tcPr>
            <w:tcW w:w="1134" w:type="dxa"/>
            <w:tcBorders>
              <w:top w:val="nil"/>
              <w:left w:val="nil"/>
              <w:bottom w:val="single" w:sz="8" w:space="0" w:color="D3D3D3"/>
              <w:right w:val="single" w:sz="8" w:space="0" w:color="D3D3D3"/>
            </w:tcBorders>
            <w:shd w:val="clear" w:color="auto" w:fill="auto"/>
            <w:vAlign w:val="center"/>
          </w:tcPr>
          <w:p w14:paraId="2C91DE7A"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817,815</w:t>
            </w:r>
          </w:p>
        </w:tc>
        <w:tc>
          <w:tcPr>
            <w:tcW w:w="1134" w:type="dxa"/>
            <w:tcBorders>
              <w:top w:val="nil"/>
              <w:left w:val="nil"/>
              <w:bottom w:val="single" w:sz="8" w:space="0" w:color="D3D3D3"/>
              <w:right w:val="single" w:sz="8" w:space="0" w:color="D3D3D3"/>
            </w:tcBorders>
            <w:shd w:val="clear" w:color="auto" w:fill="auto"/>
            <w:vAlign w:val="center"/>
          </w:tcPr>
          <w:p w14:paraId="7310B832"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109,935</w:t>
            </w:r>
          </w:p>
        </w:tc>
        <w:tc>
          <w:tcPr>
            <w:tcW w:w="1134" w:type="dxa"/>
            <w:tcBorders>
              <w:top w:val="nil"/>
              <w:left w:val="nil"/>
              <w:bottom w:val="single" w:sz="8" w:space="0" w:color="D3D3D3"/>
              <w:right w:val="single" w:sz="8" w:space="0" w:color="D3D3D3"/>
            </w:tcBorders>
            <w:shd w:val="clear" w:color="auto" w:fill="auto"/>
            <w:vAlign w:val="center"/>
          </w:tcPr>
          <w:p w14:paraId="63775A1C"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1,903</w:t>
            </w:r>
          </w:p>
        </w:tc>
        <w:tc>
          <w:tcPr>
            <w:tcW w:w="1134" w:type="dxa"/>
            <w:tcBorders>
              <w:top w:val="nil"/>
              <w:left w:val="nil"/>
              <w:bottom w:val="single" w:sz="8" w:space="0" w:color="D3D3D3"/>
              <w:right w:val="single" w:sz="8" w:space="0" w:color="D3D3D3"/>
            </w:tcBorders>
            <w:shd w:val="clear" w:color="auto" w:fill="auto"/>
            <w:vAlign w:val="center"/>
          </w:tcPr>
          <w:p w14:paraId="74C8DF6D"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nil"/>
              <w:left w:val="nil"/>
              <w:bottom w:val="single" w:sz="8" w:space="0" w:color="D3D3D3"/>
              <w:right w:val="single" w:sz="8" w:space="0" w:color="D3D3D3"/>
            </w:tcBorders>
            <w:shd w:val="clear" w:color="auto" w:fill="auto"/>
            <w:vAlign w:val="center"/>
          </w:tcPr>
          <w:p w14:paraId="59305115"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34,491</w:t>
            </w:r>
          </w:p>
        </w:tc>
        <w:tc>
          <w:tcPr>
            <w:tcW w:w="1417" w:type="dxa"/>
            <w:tcBorders>
              <w:top w:val="nil"/>
              <w:left w:val="nil"/>
              <w:bottom w:val="single" w:sz="8" w:space="0" w:color="D3D3D3"/>
              <w:right w:val="single" w:sz="4" w:space="0" w:color="C0C0C0"/>
            </w:tcBorders>
            <w:shd w:val="clear" w:color="auto" w:fill="auto"/>
            <w:vAlign w:val="center"/>
          </w:tcPr>
          <w:p w14:paraId="2DA36F77" w14:textId="77777777" w:rsidR="0056738E" w:rsidRPr="004F4FFD" w:rsidRDefault="0056738E" w:rsidP="007C2AEE">
            <w:pPr>
              <w:keepNext/>
              <w:keepLines/>
              <w:shd w:val="clear" w:color="auto" w:fill="FFFFFF"/>
              <w:tabs>
                <w:tab w:val="right" w:pos="7560"/>
                <w:tab w:val="right" w:pos="9000"/>
              </w:tabs>
              <w:suppressAutoHyphens/>
              <w:spacing w:after="0" w:line="240" w:lineRule="auto"/>
              <w:jc w:val="right"/>
              <w:outlineLvl w:val="0"/>
              <w:rPr>
                <w:rFonts w:ascii="Arial" w:hAnsi="Arial" w:cs="Arial"/>
                <w:b/>
                <w:bCs/>
                <w:color w:val="262626"/>
                <w:sz w:val="18"/>
                <w:szCs w:val="18"/>
              </w:rPr>
            </w:pPr>
            <w:r>
              <w:rPr>
                <w:rFonts w:ascii="Arial" w:hAnsi="Arial" w:cs="Arial"/>
                <w:b/>
                <w:bCs/>
                <w:color w:val="262626"/>
                <w:sz w:val="18"/>
                <w:szCs w:val="18"/>
                <w:lang w:val="en-US"/>
              </w:rPr>
              <w:t>964,144</w:t>
            </w:r>
          </w:p>
        </w:tc>
      </w:tr>
      <w:tr w:rsidR="0056738E" w:rsidRPr="00DE2C53" w14:paraId="4FE63E71" w14:textId="77777777" w:rsidTr="007C2AEE">
        <w:trPr>
          <w:trHeight w:val="227"/>
          <w:jc w:val="center"/>
        </w:trPr>
        <w:tc>
          <w:tcPr>
            <w:tcW w:w="2835" w:type="dxa"/>
            <w:shd w:val="clear" w:color="auto" w:fill="auto"/>
            <w:vAlign w:val="center"/>
          </w:tcPr>
          <w:p w14:paraId="52C1DAB8"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Ιδιώτες</w:t>
            </w:r>
            <w:proofErr w:type="spellEnd"/>
          </w:p>
        </w:tc>
        <w:tc>
          <w:tcPr>
            <w:tcW w:w="1134" w:type="dxa"/>
            <w:tcBorders>
              <w:top w:val="nil"/>
              <w:left w:val="nil"/>
              <w:bottom w:val="single" w:sz="8" w:space="0" w:color="D3D3D3"/>
              <w:right w:val="single" w:sz="8" w:space="0" w:color="D3D3D3"/>
            </w:tcBorders>
            <w:shd w:val="clear" w:color="auto" w:fill="auto"/>
            <w:vAlign w:val="center"/>
          </w:tcPr>
          <w:p w14:paraId="71F0A220"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4,660,347</w:t>
            </w:r>
          </w:p>
        </w:tc>
        <w:tc>
          <w:tcPr>
            <w:tcW w:w="1134" w:type="dxa"/>
            <w:tcBorders>
              <w:top w:val="nil"/>
              <w:left w:val="nil"/>
              <w:bottom w:val="single" w:sz="8" w:space="0" w:color="D3D3D3"/>
              <w:right w:val="single" w:sz="8" w:space="0" w:color="D3D3D3"/>
            </w:tcBorders>
            <w:shd w:val="clear" w:color="auto" w:fill="auto"/>
            <w:vAlign w:val="center"/>
          </w:tcPr>
          <w:p w14:paraId="3788AB4C"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7,706</w:t>
            </w:r>
          </w:p>
        </w:tc>
        <w:tc>
          <w:tcPr>
            <w:tcW w:w="1134" w:type="dxa"/>
            <w:tcBorders>
              <w:top w:val="nil"/>
              <w:left w:val="nil"/>
              <w:bottom w:val="single" w:sz="8" w:space="0" w:color="D3D3D3"/>
              <w:right w:val="single" w:sz="8" w:space="0" w:color="D3D3D3"/>
            </w:tcBorders>
            <w:shd w:val="clear" w:color="auto" w:fill="auto"/>
            <w:vAlign w:val="center"/>
          </w:tcPr>
          <w:p w14:paraId="11205E40"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39,231</w:t>
            </w:r>
          </w:p>
        </w:tc>
        <w:tc>
          <w:tcPr>
            <w:tcW w:w="1134" w:type="dxa"/>
            <w:tcBorders>
              <w:top w:val="nil"/>
              <w:left w:val="nil"/>
              <w:bottom w:val="single" w:sz="8" w:space="0" w:color="D3D3D3"/>
              <w:right w:val="single" w:sz="8" w:space="0" w:color="D3D3D3"/>
            </w:tcBorders>
            <w:shd w:val="clear" w:color="auto" w:fill="auto"/>
            <w:vAlign w:val="center"/>
          </w:tcPr>
          <w:p w14:paraId="21CC7659"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9,647</w:t>
            </w:r>
          </w:p>
        </w:tc>
        <w:tc>
          <w:tcPr>
            <w:tcW w:w="1134" w:type="dxa"/>
            <w:tcBorders>
              <w:top w:val="nil"/>
              <w:left w:val="nil"/>
              <w:bottom w:val="single" w:sz="8" w:space="0" w:color="D3D3D3"/>
              <w:right w:val="single" w:sz="8" w:space="0" w:color="D3D3D3"/>
            </w:tcBorders>
            <w:shd w:val="clear" w:color="auto" w:fill="auto"/>
            <w:vAlign w:val="center"/>
          </w:tcPr>
          <w:p w14:paraId="3BE4F78B"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43,905</w:t>
            </w:r>
          </w:p>
        </w:tc>
        <w:tc>
          <w:tcPr>
            <w:tcW w:w="1417" w:type="dxa"/>
            <w:tcBorders>
              <w:top w:val="nil"/>
              <w:left w:val="nil"/>
              <w:bottom w:val="single" w:sz="8" w:space="0" w:color="D3D3D3"/>
              <w:right w:val="single" w:sz="4" w:space="0" w:color="C0C0C0"/>
            </w:tcBorders>
            <w:shd w:val="clear" w:color="auto" w:fill="auto"/>
            <w:vAlign w:val="center"/>
          </w:tcPr>
          <w:p w14:paraId="59F966B6" w14:textId="77777777" w:rsidR="0056738E" w:rsidRPr="004F4FFD" w:rsidRDefault="0056738E" w:rsidP="007C2AEE">
            <w:pPr>
              <w:keepNext/>
              <w:keepLines/>
              <w:shd w:val="clear" w:color="auto" w:fill="FFFFFF"/>
              <w:tabs>
                <w:tab w:val="right" w:pos="7560"/>
                <w:tab w:val="right" w:pos="9000"/>
              </w:tabs>
              <w:suppressAutoHyphens/>
              <w:spacing w:after="0" w:line="240" w:lineRule="auto"/>
              <w:jc w:val="right"/>
              <w:outlineLvl w:val="0"/>
              <w:rPr>
                <w:rFonts w:ascii="Arial" w:hAnsi="Arial" w:cs="Arial"/>
                <w:b/>
                <w:bCs/>
                <w:color w:val="262626"/>
                <w:sz w:val="18"/>
                <w:szCs w:val="18"/>
              </w:rPr>
            </w:pPr>
            <w:r>
              <w:rPr>
                <w:rFonts w:ascii="Arial" w:hAnsi="Arial" w:cs="Arial"/>
                <w:b/>
                <w:bCs/>
                <w:color w:val="262626"/>
                <w:sz w:val="18"/>
                <w:szCs w:val="18"/>
                <w:lang w:val="en-US"/>
              </w:rPr>
              <w:t>4,760,836</w:t>
            </w:r>
          </w:p>
        </w:tc>
      </w:tr>
      <w:tr w:rsidR="0056738E" w:rsidRPr="00021387" w14:paraId="7CE32F3A" w14:textId="77777777" w:rsidTr="007C2AEE">
        <w:trPr>
          <w:trHeight w:val="227"/>
          <w:jc w:val="center"/>
        </w:trPr>
        <w:tc>
          <w:tcPr>
            <w:tcW w:w="2835" w:type="dxa"/>
            <w:vAlign w:val="center"/>
          </w:tcPr>
          <w:p w14:paraId="4EF64539"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eastAsia="el-GR"/>
              </w:rPr>
            </w:pPr>
            <w:r w:rsidRPr="009B5694">
              <w:rPr>
                <w:rFonts w:ascii="Arial" w:hAnsi="Arial" w:cs="Arial"/>
                <w:color w:val="262626"/>
                <w:sz w:val="18"/>
                <w:szCs w:val="18"/>
                <w:lang w:val="en-US"/>
              </w:rPr>
              <w:t>Επα</w:t>
            </w:r>
            <w:proofErr w:type="spellStart"/>
            <w:r w:rsidRPr="009B5694">
              <w:rPr>
                <w:rFonts w:ascii="Arial" w:hAnsi="Arial" w:cs="Arial"/>
                <w:color w:val="262626"/>
                <w:sz w:val="18"/>
                <w:szCs w:val="18"/>
                <w:lang w:val="en-US"/>
              </w:rPr>
              <w:t>γγελμ</w:t>
            </w:r>
            <w:proofErr w:type="spellEnd"/>
            <w:r w:rsidRPr="009B5694">
              <w:rPr>
                <w:rFonts w:ascii="Arial" w:hAnsi="Arial" w:cs="Arial"/>
                <w:color w:val="262626"/>
                <w:sz w:val="18"/>
                <w:szCs w:val="18"/>
                <w:lang w:val="en-US"/>
              </w:rPr>
              <w:t xml:space="preserve">ατικές και </w:t>
            </w:r>
            <w:proofErr w:type="spellStart"/>
            <w:r w:rsidRPr="009B5694">
              <w:rPr>
                <w:rFonts w:ascii="Arial" w:hAnsi="Arial" w:cs="Arial"/>
                <w:color w:val="262626"/>
                <w:sz w:val="18"/>
                <w:szCs w:val="18"/>
                <w:lang w:val="en-US"/>
              </w:rPr>
              <w:t>άλλες</w:t>
            </w:r>
            <w:proofErr w:type="spellEnd"/>
            <w:r w:rsidRPr="009B5694">
              <w:rPr>
                <w:rFonts w:ascii="Arial" w:hAnsi="Arial" w:cs="Arial"/>
                <w:color w:val="262626"/>
                <w:sz w:val="18"/>
                <w:szCs w:val="18"/>
                <w:lang w:val="en-US"/>
              </w:rPr>
              <w:t xml:space="preserve"> υπ</w:t>
            </w:r>
            <w:proofErr w:type="spellStart"/>
            <w:r w:rsidRPr="009B5694">
              <w:rPr>
                <w:rFonts w:ascii="Arial" w:hAnsi="Arial" w:cs="Arial"/>
                <w:color w:val="262626"/>
                <w:sz w:val="18"/>
                <w:szCs w:val="18"/>
                <w:lang w:val="en-US"/>
              </w:rPr>
              <w:t>ηρεσίες</w:t>
            </w:r>
            <w:proofErr w:type="spellEnd"/>
          </w:p>
        </w:tc>
        <w:tc>
          <w:tcPr>
            <w:tcW w:w="1134" w:type="dxa"/>
            <w:tcBorders>
              <w:top w:val="nil"/>
              <w:left w:val="nil"/>
              <w:bottom w:val="single" w:sz="8" w:space="0" w:color="D3D3D3"/>
              <w:right w:val="single" w:sz="8" w:space="0" w:color="D3D3D3"/>
            </w:tcBorders>
            <w:shd w:val="clear" w:color="auto" w:fill="auto"/>
            <w:vAlign w:val="center"/>
          </w:tcPr>
          <w:p w14:paraId="58CA832F"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570,148</w:t>
            </w:r>
          </w:p>
        </w:tc>
        <w:tc>
          <w:tcPr>
            <w:tcW w:w="1134" w:type="dxa"/>
            <w:tcBorders>
              <w:top w:val="nil"/>
              <w:left w:val="nil"/>
              <w:bottom w:val="single" w:sz="8" w:space="0" w:color="D3D3D3"/>
              <w:right w:val="single" w:sz="8" w:space="0" w:color="D3D3D3"/>
            </w:tcBorders>
            <w:shd w:val="clear" w:color="auto" w:fill="auto"/>
            <w:vAlign w:val="center"/>
          </w:tcPr>
          <w:p w14:paraId="6C1775FE"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568</w:t>
            </w:r>
          </w:p>
        </w:tc>
        <w:tc>
          <w:tcPr>
            <w:tcW w:w="1134" w:type="dxa"/>
            <w:tcBorders>
              <w:top w:val="nil"/>
              <w:left w:val="nil"/>
              <w:bottom w:val="single" w:sz="8" w:space="0" w:color="D3D3D3"/>
              <w:right w:val="single" w:sz="8" w:space="0" w:color="D3D3D3"/>
            </w:tcBorders>
            <w:shd w:val="clear" w:color="auto" w:fill="auto"/>
            <w:vAlign w:val="center"/>
          </w:tcPr>
          <w:p w14:paraId="5B167BE5"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5,196</w:t>
            </w:r>
          </w:p>
        </w:tc>
        <w:tc>
          <w:tcPr>
            <w:tcW w:w="1134" w:type="dxa"/>
            <w:tcBorders>
              <w:top w:val="nil"/>
              <w:left w:val="nil"/>
              <w:bottom w:val="single" w:sz="8" w:space="0" w:color="D3D3D3"/>
              <w:right w:val="single" w:sz="8" w:space="0" w:color="D3D3D3"/>
            </w:tcBorders>
            <w:shd w:val="clear" w:color="auto" w:fill="auto"/>
            <w:vAlign w:val="center"/>
          </w:tcPr>
          <w:p w14:paraId="089BEC51" w14:textId="77777777" w:rsidR="0056738E" w:rsidRPr="004F4FFD"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6</w:t>
            </w:r>
          </w:p>
        </w:tc>
        <w:tc>
          <w:tcPr>
            <w:tcW w:w="1134" w:type="dxa"/>
            <w:tcBorders>
              <w:top w:val="nil"/>
              <w:left w:val="nil"/>
              <w:bottom w:val="single" w:sz="8" w:space="0" w:color="D3D3D3"/>
              <w:right w:val="single" w:sz="8" w:space="0" w:color="D3D3D3"/>
            </w:tcBorders>
            <w:shd w:val="clear" w:color="auto" w:fill="auto"/>
            <w:vAlign w:val="center"/>
          </w:tcPr>
          <w:p w14:paraId="60C59705" w14:textId="77777777" w:rsidR="0056738E" w:rsidRPr="004F4FFD"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53,216</w:t>
            </w:r>
          </w:p>
        </w:tc>
        <w:tc>
          <w:tcPr>
            <w:tcW w:w="1417" w:type="dxa"/>
            <w:tcBorders>
              <w:top w:val="nil"/>
              <w:left w:val="nil"/>
              <w:bottom w:val="single" w:sz="8" w:space="0" w:color="D3D3D3"/>
              <w:right w:val="single" w:sz="4" w:space="0" w:color="C0C0C0"/>
            </w:tcBorders>
            <w:shd w:val="clear" w:color="auto" w:fill="auto"/>
            <w:vAlign w:val="center"/>
          </w:tcPr>
          <w:p w14:paraId="173F927B" w14:textId="77777777" w:rsidR="0056738E" w:rsidRPr="004F4FFD" w:rsidRDefault="0056738E" w:rsidP="007C2AEE">
            <w:pPr>
              <w:keepNext/>
              <w:keepLines/>
              <w:shd w:val="clear" w:color="auto" w:fill="FFFFFF"/>
              <w:tabs>
                <w:tab w:val="right" w:pos="7560"/>
                <w:tab w:val="right" w:pos="9000"/>
              </w:tabs>
              <w:suppressAutoHyphens/>
              <w:spacing w:after="0" w:line="240" w:lineRule="auto"/>
              <w:jc w:val="right"/>
              <w:outlineLvl w:val="0"/>
              <w:rPr>
                <w:rFonts w:ascii="Arial" w:hAnsi="Arial" w:cs="Arial"/>
                <w:b/>
                <w:bCs/>
                <w:color w:val="262626"/>
                <w:sz w:val="18"/>
                <w:szCs w:val="18"/>
              </w:rPr>
            </w:pPr>
            <w:r>
              <w:rPr>
                <w:rFonts w:ascii="Arial" w:hAnsi="Arial" w:cs="Arial"/>
                <w:b/>
                <w:bCs/>
                <w:color w:val="262626"/>
                <w:sz w:val="18"/>
                <w:szCs w:val="18"/>
                <w:lang w:val="en-US"/>
              </w:rPr>
              <w:t>629,134</w:t>
            </w:r>
          </w:p>
        </w:tc>
      </w:tr>
      <w:tr w:rsidR="0056738E" w:rsidRPr="00DE2C53" w14:paraId="5962B013" w14:textId="77777777" w:rsidTr="007C2AEE">
        <w:trPr>
          <w:trHeight w:val="227"/>
          <w:jc w:val="center"/>
        </w:trPr>
        <w:tc>
          <w:tcPr>
            <w:tcW w:w="2835" w:type="dxa"/>
            <w:vAlign w:val="center"/>
          </w:tcPr>
          <w:p w14:paraId="3297CD44" w14:textId="77777777" w:rsidR="0056738E" w:rsidRPr="00955C85" w:rsidRDefault="0056738E" w:rsidP="007C2AEE">
            <w:pPr>
              <w:numPr>
                <w:ilvl w:val="12"/>
                <w:numId w:val="0"/>
              </w:numPr>
              <w:shd w:val="clear" w:color="auto" w:fill="FFFFFF"/>
              <w:tabs>
                <w:tab w:val="left" w:pos="0"/>
                <w:tab w:val="left" w:pos="284"/>
                <w:tab w:val="left" w:pos="1416"/>
                <w:tab w:val="decimal" w:pos="4962"/>
                <w:tab w:val="decimal" w:pos="6521"/>
                <w:tab w:val="right" w:pos="7560"/>
                <w:tab w:val="decimal" w:pos="8220"/>
                <w:tab w:val="left" w:pos="8640"/>
                <w:tab w:val="right" w:pos="9000"/>
              </w:tabs>
              <w:suppressAutoHyphens/>
              <w:spacing w:after="0" w:line="240" w:lineRule="auto"/>
              <w:rPr>
                <w:rFonts w:ascii="Arial" w:hAnsi="Arial" w:cs="Arial"/>
                <w:color w:val="262626"/>
                <w:sz w:val="18"/>
                <w:szCs w:val="18"/>
                <w:lang w:val="el-GR"/>
              </w:rPr>
            </w:pPr>
            <w:r>
              <w:rPr>
                <w:rFonts w:ascii="Arial" w:hAnsi="Arial" w:cs="Arial"/>
                <w:color w:val="262626"/>
                <w:sz w:val="18"/>
                <w:szCs w:val="18"/>
                <w:lang w:val="el-GR"/>
              </w:rPr>
              <w:t>Ναυτιλία</w:t>
            </w:r>
          </w:p>
        </w:tc>
        <w:tc>
          <w:tcPr>
            <w:tcW w:w="1134" w:type="dxa"/>
            <w:tcBorders>
              <w:top w:val="single" w:sz="8" w:space="0" w:color="D3D3D3"/>
              <w:left w:val="single" w:sz="8" w:space="0" w:color="D3D3D3"/>
              <w:bottom w:val="single" w:sz="8" w:space="0" w:color="D3D3D3"/>
              <w:right w:val="single" w:sz="8" w:space="0" w:color="D3D3D3"/>
            </w:tcBorders>
            <w:shd w:val="clear" w:color="auto" w:fill="auto"/>
            <w:vAlign w:val="center"/>
          </w:tcPr>
          <w:p w14:paraId="04AA73A9" w14:textId="77777777" w:rsidR="0056738E"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35,548</w:t>
            </w:r>
          </w:p>
        </w:tc>
        <w:tc>
          <w:tcPr>
            <w:tcW w:w="1134" w:type="dxa"/>
            <w:tcBorders>
              <w:top w:val="single" w:sz="8" w:space="0" w:color="D3D3D3"/>
              <w:left w:val="nil"/>
              <w:bottom w:val="single" w:sz="8" w:space="0" w:color="D3D3D3"/>
              <w:right w:val="single" w:sz="8" w:space="0" w:color="D3D3D3"/>
            </w:tcBorders>
            <w:shd w:val="clear" w:color="auto" w:fill="auto"/>
            <w:vAlign w:val="center"/>
          </w:tcPr>
          <w:p w14:paraId="1A23D896" w14:textId="77777777" w:rsidR="0056738E"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25</w:t>
            </w:r>
          </w:p>
        </w:tc>
        <w:tc>
          <w:tcPr>
            <w:tcW w:w="1134" w:type="dxa"/>
            <w:tcBorders>
              <w:top w:val="single" w:sz="8" w:space="0" w:color="D3D3D3"/>
              <w:left w:val="nil"/>
              <w:bottom w:val="single" w:sz="8" w:space="0" w:color="D3D3D3"/>
              <w:right w:val="single" w:sz="8" w:space="0" w:color="D3D3D3"/>
            </w:tcBorders>
            <w:shd w:val="clear" w:color="auto" w:fill="auto"/>
            <w:vAlign w:val="center"/>
          </w:tcPr>
          <w:p w14:paraId="6C38C330" w14:textId="77777777" w:rsidR="0056738E"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single" w:sz="8" w:space="0" w:color="D3D3D3"/>
              <w:left w:val="nil"/>
              <w:bottom w:val="single" w:sz="8" w:space="0" w:color="D3D3D3"/>
              <w:right w:val="single" w:sz="8" w:space="0" w:color="D3D3D3"/>
            </w:tcBorders>
            <w:shd w:val="clear" w:color="auto" w:fill="auto"/>
            <w:vAlign w:val="center"/>
          </w:tcPr>
          <w:p w14:paraId="58A4FA54" w14:textId="77777777" w:rsidR="0056738E"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single" w:sz="8" w:space="0" w:color="D3D3D3"/>
              <w:left w:val="nil"/>
              <w:bottom w:val="single" w:sz="8" w:space="0" w:color="D3D3D3"/>
              <w:right w:val="single" w:sz="8" w:space="0" w:color="D3D3D3"/>
            </w:tcBorders>
            <w:shd w:val="clear" w:color="auto" w:fill="auto"/>
            <w:vAlign w:val="center"/>
          </w:tcPr>
          <w:p w14:paraId="4C2445F3" w14:textId="77777777" w:rsidR="0056738E"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211,549</w:t>
            </w:r>
          </w:p>
        </w:tc>
        <w:tc>
          <w:tcPr>
            <w:tcW w:w="1417" w:type="dxa"/>
            <w:tcBorders>
              <w:top w:val="single" w:sz="8" w:space="0" w:color="D3D3D3"/>
              <w:left w:val="nil"/>
              <w:bottom w:val="single" w:sz="8" w:space="0" w:color="D3D3D3"/>
              <w:right w:val="single" w:sz="4" w:space="0" w:color="C0C0C0"/>
            </w:tcBorders>
            <w:shd w:val="clear" w:color="auto" w:fill="auto"/>
            <w:vAlign w:val="center"/>
          </w:tcPr>
          <w:p w14:paraId="269C6886" w14:textId="77777777" w:rsidR="0056738E"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247,122</w:t>
            </w:r>
          </w:p>
        </w:tc>
      </w:tr>
      <w:tr w:rsidR="0056738E" w:rsidRPr="00DE2C53" w14:paraId="4F279374" w14:textId="77777777" w:rsidTr="007C2AEE">
        <w:trPr>
          <w:trHeight w:val="227"/>
          <w:jc w:val="center"/>
        </w:trPr>
        <w:tc>
          <w:tcPr>
            <w:tcW w:w="2835" w:type="dxa"/>
            <w:vAlign w:val="center"/>
          </w:tcPr>
          <w:p w14:paraId="3A09A91C" w14:textId="77777777" w:rsidR="0056738E" w:rsidRPr="00151E9A" w:rsidRDefault="0056738E" w:rsidP="007C2AEE">
            <w:pPr>
              <w:numPr>
                <w:ilvl w:val="12"/>
                <w:numId w:val="0"/>
              </w:numPr>
              <w:shd w:val="clear" w:color="auto" w:fill="FFFFFF"/>
              <w:tabs>
                <w:tab w:val="left" w:pos="0"/>
                <w:tab w:val="left" w:pos="284"/>
                <w:tab w:val="left" w:pos="1416"/>
                <w:tab w:val="decimal" w:pos="4962"/>
                <w:tab w:val="decimal" w:pos="6521"/>
                <w:tab w:val="right" w:pos="7560"/>
                <w:tab w:val="decimal" w:pos="8220"/>
                <w:tab w:val="left" w:pos="8640"/>
                <w:tab w:val="right" w:pos="9000"/>
              </w:tabs>
              <w:suppressAutoHyphen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Λοι</w:t>
            </w:r>
            <w:proofErr w:type="spellEnd"/>
            <w:r w:rsidRPr="009B5694">
              <w:rPr>
                <w:rFonts w:ascii="Arial" w:hAnsi="Arial" w:cs="Arial"/>
                <w:color w:val="262626"/>
                <w:sz w:val="18"/>
                <w:szCs w:val="18"/>
                <w:lang w:val="en-US"/>
              </w:rPr>
              <w:t xml:space="preserve">ποί </w:t>
            </w:r>
            <w:proofErr w:type="spellStart"/>
            <w:r w:rsidRPr="009B5694">
              <w:rPr>
                <w:rFonts w:ascii="Arial" w:hAnsi="Arial" w:cs="Arial"/>
                <w:color w:val="262626"/>
                <w:sz w:val="18"/>
                <w:szCs w:val="18"/>
                <w:lang w:val="en-US"/>
              </w:rPr>
              <w:t>κλάδοι</w:t>
            </w:r>
            <w:proofErr w:type="spellEnd"/>
          </w:p>
        </w:tc>
        <w:tc>
          <w:tcPr>
            <w:tcW w:w="1134" w:type="dxa"/>
            <w:tcBorders>
              <w:top w:val="single" w:sz="8" w:space="0" w:color="D3D3D3"/>
              <w:left w:val="single" w:sz="8" w:space="0" w:color="D3D3D3"/>
              <w:bottom w:val="single" w:sz="6" w:space="0" w:color="000000" w:themeColor="text1"/>
              <w:right w:val="single" w:sz="8" w:space="0" w:color="D3D3D3"/>
            </w:tcBorders>
            <w:shd w:val="clear" w:color="auto" w:fill="auto"/>
            <w:vAlign w:val="center"/>
          </w:tcPr>
          <w:p w14:paraId="1FA979B4" w14:textId="77777777" w:rsidR="0056738E" w:rsidRPr="004F4FFD"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547,539</w:t>
            </w:r>
          </w:p>
        </w:tc>
        <w:tc>
          <w:tcPr>
            <w:tcW w:w="1134" w:type="dxa"/>
            <w:tcBorders>
              <w:top w:val="single" w:sz="8" w:space="0" w:color="D3D3D3"/>
              <w:left w:val="nil"/>
              <w:bottom w:val="single" w:sz="6" w:space="0" w:color="000000" w:themeColor="text1"/>
              <w:right w:val="single" w:sz="8" w:space="0" w:color="D3D3D3"/>
            </w:tcBorders>
            <w:shd w:val="clear" w:color="auto" w:fill="auto"/>
            <w:vAlign w:val="center"/>
          </w:tcPr>
          <w:p w14:paraId="43AEC2C3" w14:textId="77777777" w:rsidR="0056738E" w:rsidRPr="004F4FFD"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14,881</w:t>
            </w:r>
          </w:p>
        </w:tc>
        <w:tc>
          <w:tcPr>
            <w:tcW w:w="1134" w:type="dxa"/>
            <w:tcBorders>
              <w:top w:val="single" w:sz="8" w:space="0" w:color="D3D3D3"/>
              <w:left w:val="nil"/>
              <w:bottom w:val="single" w:sz="6" w:space="0" w:color="000000" w:themeColor="text1"/>
              <w:right w:val="single" w:sz="8" w:space="0" w:color="D3D3D3"/>
            </w:tcBorders>
            <w:shd w:val="clear" w:color="auto" w:fill="auto"/>
            <w:vAlign w:val="center"/>
          </w:tcPr>
          <w:p w14:paraId="22727A8C" w14:textId="77777777" w:rsidR="0056738E" w:rsidRPr="004F4FFD"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single" w:sz="8" w:space="0" w:color="D3D3D3"/>
              <w:left w:val="nil"/>
              <w:bottom w:val="single" w:sz="6" w:space="0" w:color="000000" w:themeColor="text1"/>
              <w:right w:val="single" w:sz="8" w:space="0" w:color="D3D3D3"/>
            </w:tcBorders>
            <w:shd w:val="clear" w:color="auto" w:fill="auto"/>
            <w:vAlign w:val="center"/>
          </w:tcPr>
          <w:p w14:paraId="1CD4202F" w14:textId="77777777" w:rsidR="0056738E" w:rsidRPr="004F4FFD"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5</w:t>
            </w:r>
          </w:p>
        </w:tc>
        <w:tc>
          <w:tcPr>
            <w:tcW w:w="1134" w:type="dxa"/>
            <w:tcBorders>
              <w:top w:val="single" w:sz="8" w:space="0" w:color="D3D3D3"/>
              <w:left w:val="nil"/>
              <w:bottom w:val="single" w:sz="6" w:space="0" w:color="000000" w:themeColor="text1"/>
              <w:right w:val="single" w:sz="8" w:space="0" w:color="D3D3D3"/>
            </w:tcBorders>
            <w:shd w:val="clear" w:color="auto" w:fill="auto"/>
            <w:vAlign w:val="center"/>
          </w:tcPr>
          <w:p w14:paraId="10E35DF4" w14:textId="77777777" w:rsidR="0056738E" w:rsidRPr="004F4FFD"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45,925</w:t>
            </w:r>
          </w:p>
        </w:tc>
        <w:tc>
          <w:tcPr>
            <w:tcW w:w="1417" w:type="dxa"/>
            <w:tcBorders>
              <w:top w:val="single" w:sz="8" w:space="0" w:color="D3D3D3"/>
              <w:left w:val="nil"/>
              <w:bottom w:val="single" w:sz="6" w:space="0" w:color="000000" w:themeColor="text1"/>
              <w:right w:val="single" w:sz="4" w:space="0" w:color="C0C0C0"/>
            </w:tcBorders>
            <w:shd w:val="clear" w:color="auto" w:fill="auto"/>
            <w:vAlign w:val="center"/>
          </w:tcPr>
          <w:p w14:paraId="7D9819ED" w14:textId="77777777" w:rsidR="0056738E" w:rsidRPr="004F4FFD"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608,350</w:t>
            </w:r>
          </w:p>
        </w:tc>
      </w:tr>
      <w:tr w:rsidR="0056738E" w:rsidRPr="00DE2C53" w14:paraId="160DF57A" w14:textId="77777777" w:rsidTr="007C2AEE">
        <w:trPr>
          <w:trHeight w:val="227"/>
          <w:jc w:val="center"/>
        </w:trPr>
        <w:tc>
          <w:tcPr>
            <w:tcW w:w="2835" w:type="dxa"/>
            <w:vAlign w:val="center"/>
          </w:tcPr>
          <w:p w14:paraId="3C50BACF" w14:textId="77777777" w:rsidR="0056738E" w:rsidRPr="00F90A82" w:rsidRDefault="0056738E" w:rsidP="007C2AEE">
            <w:pPr>
              <w:shd w:val="clear" w:color="auto" w:fill="FFFFFF"/>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eastAsia="Batang" w:hAnsi="Arial" w:cs="Arial"/>
                <w:b/>
                <w:color w:val="262626"/>
                <w:sz w:val="18"/>
                <w:szCs w:val="18"/>
                <w:lang w:eastAsia="en-US"/>
              </w:rPr>
            </w:pPr>
          </w:p>
        </w:tc>
        <w:tc>
          <w:tcPr>
            <w:tcW w:w="1134" w:type="dxa"/>
            <w:tcBorders>
              <w:top w:val="single" w:sz="6" w:space="0" w:color="000000" w:themeColor="text1"/>
              <w:left w:val="nil"/>
              <w:bottom w:val="double" w:sz="6" w:space="0" w:color="000000" w:themeColor="text1"/>
              <w:right w:val="single" w:sz="4" w:space="0" w:color="BFBFBF" w:themeColor="background1" w:themeShade="BF"/>
            </w:tcBorders>
            <w:shd w:val="clear" w:color="auto" w:fill="auto"/>
            <w:vAlign w:val="center"/>
          </w:tcPr>
          <w:p w14:paraId="001B5FBC" w14:textId="77777777" w:rsidR="0056738E" w:rsidRPr="004F4FFD" w:rsidRDefault="0056738E" w:rsidP="007C2AEE">
            <w:pPr>
              <w:shd w:val="clear" w:color="auto" w:fill="FFFFFF"/>
              <w:tabs>
                <w:tab w:val="left" w:pos="0"/>
                <w:tab w:val="left" w:pos="282"/>
                <w:tab w:val="left" w:pos="72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9,227,893</w:t>
            </w:r>
          </w:p>
        </w:tc>
        <w:tc>
          <w:tcPr>
            <w:tcW w:w="1134" w:type="dxa"/>
            <w:tcBorders>
              <w:top w:val="single" w:sz="6" w:space="0" w:color="000000" w:themeColor="text1"/>
              <w:left w:val="single" w:sz="4" w:space="0" w:color="BFBFBF" w:themeColor="background1" w:themeShade="BF"/>
              <w:bottom w:val="double" w:sz="6" w:space="0" w:color="000000" w:themeColor="text1"/>
              <w:right w:val="single" w:sz="4" w:space="0" w:color="BFBFBF" w:themeColor="background1" w:themeShade="BF"/>
            </w:tcBorders>
            <w:shd w:val="clear" w:color="auto" w:fill="auto"/>
            <w:vAlign w:val="center"/>
          </w:tcPr>
          <w:p w14:paraId="35345C2E" w14:textId="77777777" w:rsidR="0056738E" w:rsidRPr="004F4FFD" w:rsidRDefault="0056738E" w:rsidP="007C2AEE">
            <w:pPr>
              <w:shd w:val="clear" w:color="auto" w:fill="FFFFFF"/>
              <w:tabs>
                <w:tab w:val="left" w:pos="0"/>
                <w:tab w:val="left" w:pos="282"/>
                <w:tab w:val="left" w:pos="72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253,928</w:t>
            </w:r>
          </w:p>
        </w:tc>
        <w:tc>
          <w:tcPr>
            <w:tcW w:w="1134" w:type="dxa"/>
            <w:tcBorders>
              <w:top w:val="single" w:sz="6" w:space="0" w:color="000000" w:themeColor="text1"/>
              <w:left w:val="single" w:sz="4" w:space="0" w:color="BFBFBF" w:themeColor="background1" w:themeShade="BF"/>
              <w:bottom w:val="double" w:sz="6" w:space="0" w:color="000000" w:themeColor="text1"/>
              <w:right w:val="single" w:sz="4" w:space="0" w:color="BFBFBF" w:themeColor="background1" w:themeShade="BF"/>
            </w:tcBorders>
            <w:shd w:val="clear" w:color="auto" w:fill="auto"/>
            <w:vAlign w:val="center"/>
          </w:tcPr>
          <w:p w14:paraId="34C122FC" w14:textId="77777777" w:rsidR="0056738E" w:rsidRPr="004F4FFD" w:rsidRDefault="0056738E" w:rsidP="007C2AEE">
            <w:pPr>
              <w:shd w:val="clear" w:color="auto" w:fill="FFFFFF"/>
              <w:tabs>
                <w:tab w:val="left" w:pos="0"/>
                <w:tab w:val="left" w:pos="282"/>
                <w:tab w:val="left" w:pos="72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84,623</w:t>
            </w:r>
          </w:p>
        </w:tc>
        <w:tc>
          <w:tcPr>
            <w:tcW w:w="1134" w:type="dxa"/>
            <w:tcBorders>
              <w:top w:val="single" w:sz="6" w:space="0" w:color="000000" w:themeColor="text1"/>
              <w:left w:val="single" w:sz="4" w:space="0" w:color="BFBFBF" w:themeColor="background1" w:themeShade="BF"/>
              <w:bottom w:val="double" w:sz="6" w:space="0" w:color="000000" w:themeColor="text1"/>
              <w:right w:val="single" w:sz="4" w:space="0" w:color="BFBFBF" w:themeColor="background1" w:themeShade="BF"/>
            </w:tcBorders>
            <w:shd w:val="clear" w:color="auto" w:fill="auto"/>
            <w:vAlign w:val="center"/>
          </w:tcPr>
          <w:p w14:paraId="7067F057"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9,658</w:t>
            </w:r>
          </w:p>
        </w:tc>
        <w:tc>
          <w:tcPr>
            <w:tcW w:w="1134" w:type="dxa"/>
            <w:tcBorders>
              <w:top w:val="single" w:sz="6" w:space="0" w:color="000000" w:themeColor="text1"/>
              <w:left w:val="single" w:sz="4" w:space="0" w:color="BFBFBF" w:themeColor="background1" w:themeShade="BF"/>
              <w:bottom w:val="double" w:sz="6" w:space="0" w:color="000000" w:themeColor="text1"/>
              <w:right w:val="single" w:sz="4" w:space="0" w:color="BFBFBF" w:themeColor="background1" w:themeShade="BF"/>
            </w:tcBorders>
            <w:shd w:val="clear" w:color="auto" w:fill="auto"/>
            <w:vAlign w:val="center"/>
          </w:tcPr>
          <w:p w14:paraId="5E7C2ECB"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482,030</w:t>
            </w:r>
          </w:p>
        </w:tc>
        <w:tc>
          <w:tcPr>
            <w:tcW w:w="1417" w:type="dxa"/>
            <w:tcBorders>
              <w:top w:val="single" w:sz="6" w:space="0" w:color="000000" w:themeColor="text1"/>
              <w:left w:val="single" w:sz="4" w:space="0" w:color="BFBFBF" w:themeColor="background1" w:themeShade="BF"/>
              <w:bottom w:val="double" w:sz="6" w:space="0" w:color="000000" w:themeColor="text1"/>
              <w:right w:val="single" w:sz="4" w:space="0" w:color="C0C0C0"/>
            </w:tcBorders>
            <w:shd w:val="clear" w:color="auto" w:fill="auto"/>
            <w:vAlign w:val="center"/>
          </w:tcPr>
          <w:p w14:paraId="5D1BFEE1" w14:textId="77777777" w:rsidR="0056738E" w:rsidRPr="004F4FFD"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10,058,132</w:t>
            </w:r>
          </w:p>
        </w:tc>
      </w:tr>
    </w:tbl>
    <w:p w14:paraId="308F06D6" w14:textId="77777777" w:rsidR="0056738E" w:rsidRDefault="0056738E" w:rsidP="0056738E"/>
    <w:p w14:paraId="7A061E73" w14:textId="77777777" w:rsidR="0056738E" w:rsidRDefault="0056738E" w:rsidP="0056738E">
      <w:r>
        <w:br w:type="page"/>
      </w:r>
    </w:p>
    <w:p w14:paraId="57CB1265" w14:textId="77777777" w:rsidR="0056738E" w:rsidRPr="00C30CF6" w:rsidRDefault="0056738E" w:rsidP="0056738E">
      <w:pPr>
        <w:spacing w:after="0" w:line="360" w:lineRule="auto"/>
        <w:ind w:left="851" w:hanging="851"/>
        <w:rPr>
          <w:rFonts w:ascii="Arial" w:hAnsi="Arial" w:cs="Arial"/>
          <w:b/>
          <w:color w:val="FF9900"/>
          <w:lang w:val="el-GR"/>
        </w:rPr>
      </w:pPr>
      <w:r>
        <w:rPr>
          <w:rFonts w:ascii="Arial" w:hAnsi="Arial" w:cs="Arial"/>
          <w:b/>
          <w:color w:val="FF9900"/>
          <w:szCs w:val="16"/>
          <w:lang w:val="el-GR"/>
        </w:rPr>
        <w:lastRenderedPageBreak/>
        <w:t>ΣΤ</w:t>
      </w:r>
      <w:r w:rsidRPr="00C30CF6">
        <w:rPr>
          <w:rFonts w:ascii="Arial" w:hAnsi="Arial" w:cs="Arial"/>
          <w:b/>
          <w:color w:val="FF9900"/>
          <w:szCs w:val="16"/>
          <w:lang w:val="el-GR"/>
        </w:rPr>
        <w:t xml:space="preserve">. </w:t>
      </w:r>
      <w:r w:rsidRPr="001E3958">
        <w:rPr>
          <w:rFonts w:ascii="Arial" w:hAnsi="Arial" w:cs="Arial"/>
          <w:b/>
          <w:color w:val="FF9900"/>
          <w:szCs w:val="16"/>
          <w:lang w:val="el-GR"/>
        </w:rPr>
        <w:tab/>
      </w:r>
      <w:r>
        <w:rPr>
          <w:rFonts w:ascii="Arial" w:hAnsi="Arial" w:cs="Arial"/>
          <w:b/>
          <w:color w:val="FF9900"/>
          <w:lang w:val="el-GR"/>
        </w:rPr>
        <w:t xml:space="preserve">Σημειώσεις </w:t>
      </w:r>
      <w:r w:rsidRPr="00DE031F">
        <w:rPr>
          <w:rFonts w:ascii="Arial" w:hAnsi="Arial" w:cs="Arial"/>
          <w:color w:val="FF9900"/>
          <w:lang w:val="el-GR"/>
        </w:rPr>
        <w:t>(συνέχεια)</w:t>
      </w:r>
    </w:p>
    <w:p w14:paraId="248D86D5" w14:textId="77777777" w:rsidR="0056738E" w:rsidRPr="00225473" w:rsidRDefault="0056738E" w:rsidP="0056738E">
      <w:pPr>
        <w:spacing w:after="120" w:line="240" w:lineRule="auto"/>
        <w:ind w:left="851" w:hanging="851"/>
        <w:jc w:val="both"/>
        <w:rPr>
          <w:rFonts w:ascii="Arial" w:eastAsia="Times New Roman" w:hAnsi="Arial" w:cs="Arial"/>
          <w:color w:val="000000"/>
          <w:sz w:val="4"/>
          <w:szCs w:val="4"/>
          <w:lang w:val="el-GR" w:eastAsia="en-US"/>
        </w:rPr>
      </w:pPr>
      <w:r w:rsidRPr="00E70647">
        <w:rPr>
          <w:rFonts w:ascii="Arial" w:hAnsi="Arial" w:cs="Arial"/>
          <w:b/>
          <w:color w:val="FF9900"/>
          <w:lang w:val="el-GR"/>
        </w:rPr>
        <w:t>ΣΤ.</w:t>
      </w:r>
      <w:r>
        <w:rPr>
          <w:rFonts w:ascii="Arial" w:hAnsi="Arial" w:cs="Arial"/>
          <w:b/>
          <w:color w:val="FF9900"/>
          <w:lang w:val="el-GR"/>
        </w:rPr>
        <w:t>4</w:t>
      </w:r>
      <w:r w:rsidRPr="001D7A91">
        <w:rPr>
          <w:rFonts w:ascii="Arial" w:hAnsi="Arial" w:cs="Arial"/>
          <w:b/>
          <w:color w:val="FF9900"/>
          <w:lang w:val="el-GR"/>
        </w:rPr>
        <w:t xml:space="preserve"> </w:t>
      </w:r>
      <w:r w:rsidRPr="00D066DE">
        <w:rPr>
          <w:rFonts w:ascii="Arial" w:hAnsi="Arial" w:cs="Arial"/>
          <w:b/>
          <w:color w:val="FF9900"/>
          <w:lang w:val="el-GR"/>
        </w:rPr>
        <w:tab/>
      </w:r>
      <w:r w:rsidRPr="001D7A91">
        <w:rPr>
          <w:rFonts w:ascii="Arial" w:hAnsi="Arial" w:cs="Arial"/>
          <w:b/>
          <w:color w:val="FF9900"/>
          <w:lang w:val="el-GR"/>
        </w:rPr>
        <w:t>Συγκέντρωση πιστωτικού κινδύνου δανείων και απαιτήσεων από πελάτες</w:t>
      </w:r>
      <w:r w:rsidRPr="00DE031F">
        <w:rPr>
          <w:rFonts w:ascii="Arial" w:hAnsi="Arial" w:cs="Arial"/>
          <w:color w:val="FF9900"/>
          <w:lang w:val="el-GR"/>
        </w:rPr>
        <w:t>(συνέχεια)</w:t>
      </w:r>
    </w:p>
    <w:tbl>
      <w:tblPr>
        <w:tblW w:w="10064"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977"/>
        <w:gridCol w:w="1134"/>
        <w:gridCol w:w="1134"/>
        <w:gridCol w:w="1134"/>
        <w:gridCol w:w="1134"/>
        <w:gridCol w:w="1134"/>
        <w:gridCol w:w="1417"/>
      </w:tblGrid>
      <w:tr w:rsidR="0056738E" w:rsidRPr="00910A4E" w14:paraId="1CEA32A3" w14:textId="77777777" w:rsidTr="007C2AEE">
        <w:trPr>
          <w:trHeight w:val="312"/>
          <w:jc w:val="center"/>
        </w:trPr>
        <w:tc>
          <w:tcPr>
            <w:tcW w:w="2977" w:type="dxa"/>
            <w:tcBorders>
              <w:top w:val="single" w:sz="4" w:space="0" w:color="BFBFBF" w:themeColor="background1" w:themeShade="BF"/>
            </w:tcBorders>
            <w:vAlign w:val="center"/>
          </w:tcPr>
          <w:p w14:paraId="647A608F"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b/>
                <w:bCs/>
                <w:color w:val="262626"/>
                <w:sz w:val="18"/>
                <w:szCs w:val="18"/>
                <w:lang w:eastAsia="el-GR"/>
              </w:rPr>
            </w:pPr>
            <w:r>
              <w:rPr>
                <w:rFonts w:ascii="Arial" w:eastAsia="Batang" w:hAnsi="Arial" w:cs="Arial"/>
                <w:b/>
                <w:color w:val="262626"/>
                <w:sz w:val="18"/>
                <w:szCs w:val="18"/>
                <w:lang w:val="el-GR" w:eastAsia="en-US"/>
              </w:rPr>
              <w:t xml:space="preserve">30 </w:t>
            </w:r>
            <w:r w:rsidRPr="00001C90">
              <w:rPr>
                <w:rFonts w:ascii="Arial" w:eastAsia="Batang" w:hAnsi="Arial" w:cs="Arial"/>
                <w:b/>
                <w:color w:val="262626"/>
                <w:sz w:val="18"/>
                <w:szCs w:val="18"/>
                <w:lang w:val="el-GR" w:eastAsia="en-US"/>
              </w:rPr>
              <w:t>Σεπτεμβρίου</w:t>
            </w:r>
            <w:r>
              <w:rPr>
                <w:rFonts w:ascii="Arial" w:eastAsia="Batang" w:hAnsi="Arial" w:cs="Arial"/>
                <w:b/>
                <w:color w:val="262626"/>
                <w:sz w:val="18"/>
                <w:szCs w:val="18"/>
                <w:lang w:val="el-GR" w:eastAsia="en-US"/>
              </w:rPr>
              <w:t xml:space="preserve"> 2024</w:t>
            </w:r>
          </w:p>
        </w:tc>
        <w:tc>
          <w:tcPr>
            <w:tcW w:w="1134" w:type="dxa"/>
            <w:tcBorders>
              <w:top w:val="single" w:sz="4" w:space="0" w:color="BFBFBF" w:themeColor="background1" w:themeShade="BF"/>
            </w:tcBorders>
            <w:vAlign w:val="center"/>
          </w:tcPr>
          <w:p w14:paraId="45D73D38"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9B5694">
              <w:rPr>
                <w:rFonts w:ascii="Arial" w:hAnsi="Arial" w:cs="Arial"/>
                <w:color w:val="262626"/>
                <w:sz w:val="18"/>
                <w:szCs w:val="18"/>
                <w:lang w:val="el-GR"/>
              </w:rPr>
              <w:t>Κύπρος</w:t>
            </w:r>
          </w:p>
        </w:tc>
        <w:tc>
          <w:tcPr>
            <w:tcW w:w="1134" w:type="dxa"/>
            <w:tcBorders>
              <w:top w:val="single" w:sz="4" w:space="0" w:color="BFBFBF" w:themeColor="background1" w:themeShade="BF"/>
            </w:tcBorders>
            <w:vAlign w:val="center"/>
          </w:tcPr>
          <w:p w14:paraId="6D545D11"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Pr>
                <w:rFonts w:ascii="Arial" w:hAnsi="Arial" w:cs="Arial"/>
                <w:color w:val="262626"/>
                <w:sz w:val="18"/>
                <w:szCs w:val="18"/>
                <w:lang w:val="el-GR"/>
              </w:rPr>
              <w:t>Ελλάδα</w:t>
            </w:r>
          </w:p>
        </w:tc>
        <w:tc>
          <w:tcPr>
            <w:tcW w:w="1134" w:type="dxa"/>
            <w:tcBorders>
              <w:top w:val="single" w:sz="4" w:space="0" w:color="BFBFBF" w:themeColor="background1" w:themeShade="BF"/>
            </w:tcBorders>
            <w:vAlign w:val="center"/>
          </w:tcPr>
          <w:p w14:paraId="58833934" w14:textId="77777777" w:rsidR="0056738E" w:rsidRDefault="0056738E" w:rsidP="007C2AEE">
            <w:pPr>
              <w:spacing w:after="0" w:line="240" w:lineRule="auto"/>
              <w:jc w:val="center"/>
              <w:rPr>
                <w:rFonts w:ascii="Arial" w:eastAsia="Batang" w:hAnsi="Arial" w:cs="Arial"/>
                <w:color w:val="262626"/>
                <w:sz w:val="18"/>
                <w:szCs w:val="18"/>
                <w:lang w:val="el-GR" w:eastAsia="en-US"/>
              </w:rPr>
            </w:pPr>
            <w:r>
              <w:rPr>
                <w:rFonts w:ascii="Arial" w:eastAsia="Batang" w:hAnsi="Arial" w:cs="Arial"/>
                <w:color w:val="262626"/>
                <w:sz w:val="18"/>
                <w:szCs w:val="18"/>
                <w:lang w:val="el-GR" w:eastAsia="en-US"/>
              </w:rPr>
              <w:t>Ηνωμένο</w:t>
            </w:r>
          </w:p>
          <w:p w14:paraId="3D366C9D"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Pr>
                <w:rFonts w:ascii="Arial" w:eastAsia="Batang" w:hAnsi="Arial" w:cs="Arial"/>
                <w:color w:val="262626"/>
                <w:sz w:val="18"/>
                <w:szCs w:val="18"/>
                <w:lang w:val="el-GR" w:eastAsia="en-US"/>
              </w:rPr>
              <w:t>Βασίλειο</w:t>
            </w:r>
          </w:p>
        </w:tc>
        <w:tc>
          <w:tcPr>
            <w:tcW w:w="1134" w:type="dxa"/>
            <w:tcBorders>
              <w:top w:val="single" w:sz="4" w:space="0" w:color="BFBFBF" w:themeColor="background1" w:themeShade="BF"/>
            </w:tcBorders>
            <w:shd w:val="clear" w:color="auto" w:fill="auto"/>
            <w:vAlign w:val="center"/>
          </w:tcPr>
          <w:p w14:paraId="6BF18C03"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Pr>
                <w:rFonts w:ascii="Arial" w:hAnsi="Arial" w:cs="Arial"/>
                <w:color w:val="262626"/>
                <w:sz w:val="18"/>
                <w:szCs w:val="18"/>
                <w:lang w:val="el-GR"/>
              </w:rPr>
              <w:t>Ρωσία</w:t>
            </w:r>
          </w:p>
        </w:tc>
        <w:tc>
          <w:tcPr>
            <w:tcW w:w="1134" w:type="dxa"/>
            <w:tcBorders>
              <w:top w:val="single" w:sz="4" w:space="0" w:color="BFBFBF" w:themeColor="background1" w:themeShade="BF"/>
            </w:tcBorders>
            <w:vAlign w:val="center"/>
          </w:tcPr>
          <w:p w14:paraId="2C954C26"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9B5694">
              <w:rPr>
                <w:rFonts w:ascii="Arial" w:hAnsi="Arial" w:cs="Arial"/>
                <w:color w:val="262626"/>
                <w:sz w:val="18"/>
                <w:szCs w:val="18"/>
                <w:lang w:val="el-GR"/>
              </w:rPr>
              <w:t>Άλλες χώρες</w:t>
            </w:r>
          </w:p>
        </w:tc>
        <w:tc>
          <w:tcPr>
            <w:tcW w:w="1417" w:type="dxa"/>
            <w:tcBorders>
              <w:top w:val="single" w:sz="4" w:space="0" w:color="BFBFBF" w:themeColor="background1" w:themeShade="BF"/>
            </w:tcBorders>
            <w:shd w:val="clear" w:color="auto" w:fill="auto"/>
            <w:vAlign w:val="center"/>
          </w:tcPr>
          <w:p w14:paraId="7697076C" w14:textId="77777777" w:rsidR="0056738E" w:rsidRDefault="0056738E" w:rsidP="007C2AEE">
            <w:pPr>
              <w:shd w:val="clear" w:color="auto" w:fill="FFFFFF"/>
              <w:spacing w:after="0" w:line="240" w:lineRule="auto"/>
              <w:ind w:left="-163"/>
              <w:jc w:val="center"/>
              <w:rPr>
                <w:rFonts w:ascii="Arial" w:eastAsia="Batang" w:hAnsi="Arial" w:cs="Arial"/>
                <w:b/>
                <w:color w:val="262626"/>
                <w:sz w:val="18"/>
                <w:szCs w:val="18"/>
                <w:lang w:val="el-GR" w:eastAsia="en-US"/>
              </w:rPr>
            </w:pPr>
            <w:r w:rsidRPr="00955C85">
              <w:rPr>
                <w:rFonts w:ascii="Arial" w:eastAsia="Batang" w:hAnsi="Arial" w:cs="Arial"/>
                <w:b/>
                <w:color w:val="262626"/>
                <w:sz w:val="18"/>
                <w:szCs w:val="18"/>
                <w:lang w:val="el-GR" w:eastAsia="en-US"/>
              </w:rPr>
              <w:t xml:space="preserve">  </w:t>
            </w:r>
            <w:r>
              <w:rPr>
                <w:rFonts w:ascii="Arial" w:eastAsia="Batang" w:hAnsi="Arial" w:cs="Arial"/>
                <w:b/>
                <w:color w:val="262626"/>
                <w:sz w:val="18"/>
                <w:szCs w:val="18"/>
                <w:lang w:val="el-GR" w:eastAsia="en-US"/>
              </w:rPr>
              <w:t>Μ</w:t>
            </w:r>
            <w:r w:rsidRPr="009B5694">
              <w:rPr>
                <w:rFonts w:ascii="Arial" w:eastAsia="Batang" w:hAnsi="Arial" w:cs="Arial"/>
                <w:b/>
                <w:color w:val="262626"/>
                <w:sz w:val="18"/>
                <w:szCs w:val="18"/>
                <w:lang w:val="el-GR" w:eastAsia="en-US"/>
              </w:rPr>
              <w:t>εικτά δάνεια</w:t>
            </w:r>
            <w:r>
              <w:rPr>
                <w:rFonts w:ascii="Arial" w:eastAsia="Batang" w:hAnsi="Arial" w:cs="Arial"/>
                <w:b/>
                <w:color w:val="262626"/>
                <w:sz w:val="18"/>
                <w:szCs w:val="18"/>
                <w:lang w:val="el-GR" w:eastAsia="en-US"/>
              </w:rPr>
              <w:t xml:space="preserve"> </w:t>
            </w:r>
          </w:p>
          <w:p w14:paraId="1B04AE3A" w14:textId="77777777" w:rsidR="0056738E" w:rsidRDefault="0056738E" w:rsidP="007C2AEE">
            <w:pPr>
              <w:shd w:val="clear" w:color="auto" w:fill="FFFFFF"/>
              <w:spacing w:after="0" w:line="240" w:lineRule="auto"/>
              <w:ind w:left="-166" w:right="-135"/>
              <w:jc w:val="center"/>
              <w:rPr>
                <w:rFonts w:ascii="Arial" w:eastAsia="Batang" w:hAnsi="Arial" w:cs="Arial"/>
                <w:b/>
                <w:color w:val="262626"/>
                <w:sz w:val="18"/>
                <w:szCs w:val="18"/>
                <w:lang w:val="el-GR" w:eastAsia="en-US"/>
              </w:rPr>
            </w:pPr>
            <w:r>
              <w:rPr>
                <w:rFonts w:ascii="Arial" w:eastAsia="Batang" w:hAnsi="Arial" w:cs="Arial"/>
                <w:b/>
                <w:color w:val="262626"/>
                <w:sz w:val="18"/>
                <w:szCs w:val="18"/>
                <w:lang w:val="el-GR" w:eastAsia="en-US"/>
              </w:rPr>
              <w:t xml:space="preserve">σε </w:t>
            </w:r>
          </w:p>
          <w:p w14:paraId="1D9CA171" w14:textId="77777777" w:rsidR="0056738E" w:rsidRPr="00C42B7D" w:rsidRDefault="0056738E" w:rsidP="007C2AEE">
            <w:pPr>
              <w:shd w:val="clear" w:color="auto" w:fill="FFFFFF"/>
              <w:tabs>
                <w:tab w:val="right" w:pos="7560"/>
                <w:tab w:val="right" w:pos="9000"/>
              </w:tabs>
              <w:suppressAutoHyphens/>
              <w:spacing w:after="0" w:line="240" w:lineRule="auto"/>
              <w:ind w:left="-163" w:right="-113"/>
              <w:jc w:val="center"/>
              <w:rPr>
                <w:rFonts w:ascii="Arial" w:eastAsia="Batang" w:hAnsi="Arial" w:cs="Arial"/>
                <w:b/>
                <w:bCs/>
                <w:color w:val="262626"/>
                <w:sz w:val="18"/>
                <w:szCs w:val="18"/>
                <w:lang w:val="el-GR" w:eastAsia="en-US"/>
              </w:rPr>
            </w:pPr>
            <w:r>
              <w:rPr>
                <w:rFonts w:ascii="Arial" w:eastAsia="Batang" w:hAnsi="Arial" w:cs="Arial"/>
                <w:b/>
                <w:color w:val="262626"/>
                <w:sz w:val="18"/>
                <w:szCs w:val="18"/>
                <w:lang w:val="el-GR" w:eastAsia="en-US"/>
              </w:rPr>
              <w:t>αποσβεσμένο κόστος</w:t>
            </w:r>
          </w:p>
        </w:tc>
      </w:tr>
      <w:tr w:rsidR="0056738E" w:rsidRPr="00DE2C53" w14:paraId="3B5A66C6" w14:textId="77777777" w:rsidTr="007C2AEE">
        <w:trPr>
          <w:trHeight w:val="227"/>
          <w:jc w:val="center"/>
        </w:trPr>
        <w:tc>
          <w:tcPr>
            <w:tcW w:w="2977" w:type="dxa"/>
            <w:vAlign w:val="center"/>
          </w:tcPr>
          <w:p w14:paraId="5FA54EBC"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eastAsia="el-GR"/>
              </w:rPr>
            </w:pPr>
            <w:r w:rsidRPr="009B5694">
              <w:rPr>
                <w:rFonts w:ascii="Arial" w:eastAsia="Batang" w:hAnsi="Arial" w:cs="Arial"/>
                <w:b/>
                <w:bCs/>
                <w:color w:val="262626"/>
                <w:sz w:val="18"/>
                <w:szCs w:val="18"/>
                <w:lang w:val="el-GR" w:eastAsia="el-GR"/>
              </w:rPr>
              <w:t>Ανά πελατειακό τομέα</w:t>
            </w:r>
          </w:p>
        </w:tc>
        <w:tc>
          <w:tcPr>
            <w:tcW w:w="1134" w:type="dxa"/>
            <w:tcBorders>
              <w:top w:val="single" w:sz="4" w:space="0" w:color="C0C0C0"/>
            </w:tcBorders>
            <w:vAlign w:val="center"/>
          </w:tcPr>
          <w:p w14:paraId="63CA72FD"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151E9A">
              <w:rPr>
                <w:rFonts w:ascii="Arial" w:eastAsia="Batang" w:hAnsi="Arial" w:cs="Arial"/>
                <w:bCs/>
                <w:color w:val="262626"/>
                <w:sz w:val="18"/>
                <w:szCs w:val="18"/>
                <w:lang w:eastAsia="en-US"/>
              </w:rPr>
              <w:t>€000</w:t>
            </w:r>
          </w:p>
        </w:tc>
        <w:tc>
          <w:tcPr>
            <w:tcW w:w="1134" w:type="dxa"/>
            <w:tcBorders>
              <w:top w:val="single" w:sz="4" w:space="0" w:color="C0C0C0"/>
            </w:tcBorders>
            <w:vAlign w:val="center"/>
          </w:tcPr>
          <w:p w14:paraId="68AA34F1"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151E9A">
              <w:rPr>
                <w:rFonts w:ascii="Arial" w:eastAsia="Batang" w:hAnsi="Arial" w:cs="Arial"/>
                <w:bCs/>
                <w:color w:val="262626"/>
                <w:sz w:val="18"/>
                <w:szCs w:val="18"/>
                <w:lang w:eastAsia="en-US"/>
              </w:rPr>
              <w:t>€000</w:t>
            </w:r>
          </w:p>
        </w:tc>
        <w:tc>
          <w:tcPr>
            <w:tcW w:w="1134" w:type="dxa"/>
            <w:tcBorders>
              <w:top w:val="single" w:sz="4" w:space="0" w:color="C0C0C0"/>
            </w:tcBorders>
            <w:vAlign w:val="center"/>
          </w:tcPr>
          <w:p w14:paraId="64BDE401"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6C6742">
              <w:rPr>
                <w:rFonts w:ascii="Arial" w:eastAsia="Batang" w:hAnsi="Arial" w:cs="Arial"/>
                <w:bCs/>
                <w:color w:val="262626"/>
                <w:sz w:val="18"/>
                <w:szCs w:val="18"/>
                <w:lang w:eastAsia="en-US"/>
              </w:rPr>
              <w:t>€000</w:t>
            </w:r>
          </w:p>
        </w:tc>
        <w:tc>
          <w:tcPr>
            <w:tcW w:w="1134" w:type="dxa"/>
            <w:tcBorders>
              <w:top w:val="single" w:sz="4" w:space="0" w:color="C0C0C0"/>
              <w:bottom w:val="single" w:sz="4" w:space="0" w:color="C0C0C0"/>
            </w:tcBorders>
            <w:vAlign w:val="center"/>
          </w:tcPr>
          <w:p w14:paraId="63E0EE20"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151E9A">
              <w:rPr>
                <w:rFonts w:ascii="Arial" w:eastAsia="Batang" w:hAnsi="Arial" w:cs="Arial"/>
                <w:bCs/>
                <w:color w:val="262626"/>
                <w:sz w:val="18"/>
                <w:szCs w:val="18"/>
                <w:lang w:eastAsia="en-US"/>
              </w:rPr>
              <w:t>€000</w:t>
            </w:r>
          </w:p>
        </w:tc>
        <w:tc>
          <w:tcPr>
            <w:tcW w:w="1134" w:type="dxa"/>
            <w:tcBorders>
              <w:top w:val="single" w:sz="4" w:space="0" w:color="C0C0C0"/>
              <w:bottom w:val="single" w:sz="4" w:space="0" w:color="C0C0C0"/>
            </w:tcBorders>
            <w:shd w:val="clear" w:color="auto" w:fill="auto"/>
            <w:vAlign w:val="center"/>
          </w:tcPr>
          <w:p w14:paraId="471C33D1"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151E9A">
              <w:rPr>
                <w:rFonts w:ascii="Arial" w:eastAsia="Batang" w:hAnsi="Arial" w:cs="Arial"/>
                <w:bCs/>
                <w:color w:val="262626"/>
                <w:sz w:val="18"/>
                <w:szCs w:val="18"/>
                <w:lang w:eastAsia="en-US"/>
              </w:rPr>
              <w:t>€000</w:t>
            </w:r>
          </w:p>
        </w:tc>
        <w:tc>
          <w:tcPr>
            <w:tcW w:w="1417" w:type="dxa"/>
            <w:tcBorders>
              <w:top w:val="single" w:sz="4" w:space="0" w:color="C0C0C0"/>
              <w:bottom w:val="single" w:sz="4" w:space="0" w:color="C0C0C0"/>
            </w:tcBorders>
            <w:shd w:val="clear" w:color="auto" w:fill="auto"/>
            <w:vAlign w:val="center"/>
          </w:tcPr>
          <w:p w14:paraId="1FFCABE0"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151E9A">
              <w:rPr>
                <w:rFonts w:ascii="Arial" w:eastAsia="Batang" w:hAnsi="Arial" w:cs="Arial"/>
                <w:b/>
                <w:bCs/>
                <w:color w:val="262626"/>
                <w:sz w:val="18"/>
                <w:szCs w:val="18"/>
                <w:lang w:eastAsia="en-US"/>
              </w:rPr>
              <w:t>€000</w:t>
            </w:r>
          </w:p>
        </w:tc>
      </w:tr>
      <w:tr w:rsidR="0056738E" w:rsidRPr="00DE2C53" w14:paraId="591482A4" w14:textId="77777777" w:rsidTr="007C2AEE">
        <w:trPr>
          <w:trHeight w:val="227"/>
          <w:jc w:val="center"/>
        </w:trPr>
        <w:tc>
          <w:tcPr>
            <w:tcW w:w="2977" w:type="dxa"/>
            <w:vAlign w:val="center"/>
          </w:tcPr>
          <w:p w14:paraId="16258ED4"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Μεγάλες</w:t>
            </w:r>
            <w:proofErr w:type="spellEnd"/>
            <w:r w:rsidRPr="009B5694">
              <w:rPr>
                <w:rFonts w:ascii="Arial" w:hAnsi="Arial" w:cs="Arial"/>
                <w:color w:val="262626"/>
                <w:sz w:val="18"/>
                <w:szCs w:val="18"/>
                <w:lang w:val="en-US"/>
              </w:rPr>
              <w:t xml:space="preserve"> επ</w:t>
            </w:r>
            <w:proofErr w:type="spellStart"/>
            <w:r w:rsidRPr="009B5694">
              <w:rPr>
                <w:rFonts w:ascii="Arial" w:hAnsi="Arial" w:cs="Arial"/>
                <w:color w:val="262626"/>
                <w:sz w:val="18"/>
                <w:szCs w:val="18"/>
                <w:lang w:val="en-US"/>
              </w:rPr>
              <w:t>ιχειρήσεις</w:t>
            </w:r>
            <w:proofErr w:type="spellEnd"/>
            <w:r w:rsidRPr="009B5694">
              <w:rPr>
                <w:rFonts w:ascii="Arial" w:eastAsia="Batang" w:hAnsi="Arial" w:cs="Arial"/>
                <w:color w:val="262626"/>
                <w:sz w:val="18"/>
                <w:szCs w:val="18"/>
                <w:lang w:eastAsia="el-GR"/>
              </w:rPr>
              <w:t xml:space="preserve"> </w:t>
            </w:r>
          </w:p>
        </w:tc>
        <w:tc>
          <w:tcPr>
            <w:tcW w:w="1134" w:type="dxa"/>
            <w:tcBorders>
              <w:top w:val="nil"/>
              <w:left w:val="nil"/>
              <w:bottom w:val="single" w:sz="8" w:space="0" w:color="D3D3D3"/>
              <w:right w:val="single" w:sz="8" w:space="0" w:color="D3D3D3"/>
            </w:tcBorders>
            <w:shd w:val="clear" w:color="auto" w:fill="auto"/>
            <w:vAlign w:val="center"/>
          </w:tcPr>
          <w:p w14:paraId="39E506C6" w14:textId="77777777" w:rsidR="0056738E" w:rsidRPr="00D17E65"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3,365,926</w:t>
            </w:r>
          </w:p>
        </w:tc>
        <w:tc>
          <w:tcPr>
            <w:tcW w:w="1134" w:type="dxa"/>
            <w:tcBorders>
              <w:top w:val="nil"/>
              <w:left w:val="nil"/>
              <w:bottom w:val="single" w:sz="8" w:space="0" w:color="D3D3D3"/>
              <w:right w:val="single" w:sz="8" w:space="0" w:color="D3D3D3"/>
            </w:tcBorders>
            <w:shd w:val="clear" w:color="auto" w:fill="auto"/>
            <w:vAlign w:val="center"/>
          </w:tcPr>
          <w:p w14:paraId="2241B6C5"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48,404</w:t>
            </w:r>
          </w:p>
        </w:tc>
        <w:tc>
          <w:tcPr>
            <w:tcW w:w="1134" w:type="dxa"/>
            <w:tcBorders>
              <w:top w:val="nil"/>
              <w:left w:val="nil"/>
              <w:bottom w:val="single" w:sz="8" w:space="0" w:color="D3D3D3"/>
              <w:right w:val="single" w:sz="8" w:space="0" w:color="D3D3D3"/>
            </w:tcBorders>
            <w:shd w:val="clear" w:color="auto" w:fill="auto"/>
            <w:vAlign w:val="center"/>
          </w:tcPr>
          <w:p w14:paraId="4E0D5911"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144</w:t>
            </w:r>
          </w:p>
        </w:tc>
        <w:tc>
          <w:tcPr>
            <w:tcW w:w="1134" w:type="dxa"/>
            <w:tcBorders>
              <w:top w:val="nil"/>
              <w:left w:val="nil"/>
              <w:bottom w:val="single" w:sz="8" w:space="0" w:color="D3D3D3"/>
              <w:right w:val="single" w:sz="8" w:space="0" w:color="D3D3D3"/>
            </w:tcBorders>
            <w:shd w:val="clear" w:color="auto" w:fill="auto"/>
            <w:vAlign w:val="center"/>
          </w:tcPr>
          <w:p w14:paraId="711EAF2C"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nil"/>
              <w:left w:val="nil"/>
              <w:bottom w:val="single" w:sz="8" w:space="0" w:color="D3D3D3"/>
              <w:right w:val="single" w:sz="8" w:space="0" w:color="D3D3D3"/>
            </w:tcBorders>
            <w:shd w:val="clear" w:color="auto" w:fill="auto"/>
            <w:vAlign w:val="center"/>
          </w:tcPr>
          <w:p w14:paraId="41332E8F"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1,720</w:t>
            </w:r>
          </w:p>
        </w:tc>
        <w:tc>
          <w:tcPr>
            <w:tcW w:w="1417" w:type="dxa"/>
            <w:tcBorders>
              <w:top w:val="nil"/>
              <w:left w:val="nil"/>
              <w:bottom w:val="single" w:sz="8" w:space="0" w:color="D3D3D3"/>
              <w:right w:val="single" w:sz="8" w:space="0" w:color="D3D3D3"/>
            </w:tcBorders>
            <w:shd w:val="clear" w:color="auto" w:fill="auto"/>
            <w:vAlign w:val="center"/>
          </w:tcPr>
          <w:p w14:paraId="638DFC4A"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3,416,194</w:t>
            </w:r>
          </w:p>
        </w:tc>
      </w:tr>
      <w:tr w:rsidR="0056738E" w:rsidRPr="00910A4E" w14:paraId="780A5D06" w14:textId="77777777" w:rsidTr="007C2AEE">
        <w:trPr>
          <w:trHeight w:val="227"/>
          <w:jc w:val="center"/>
        </w:trPr>
        <w:tc>
          <w:tcPr>
            <w:tcW w:w="2977" w:type="dxa"/>
            <w:vAlign w:val="center"/>
          </w:tcPr>
          <w:p w14:paraId="02E4ACAB" w14:textId="77777777" w:rsidR="0056738E" w:rsidRPr="0048278E"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val="el-GR" w:eastAsia="el-GR"/>
              </w:rPr>
            </w:pPr>
            <w:r>
              <w:rPr>
                <w:rFonts w:ascii="Arial" w:hAnsi="Arial" w:cs="Arial"/>
                <w:color w:val="262626"/>
                <w:sz w:val="18"/>
                <w:szCs w:val="18"/>
                <w:lang w:val="el-GR" w:eastAsia="el-GR"/>
              </w:rPr>
              <w:t xml:space="preserve">Κέντρο διεθνών εργασιών και Διεθνείς </w:t>
            </w:r>
            <w:r>
              <w:rPr>
                <w:rFonts w:ascii="Arial" w:hAnsi="Arial" w:cs="Arial"/>
                <w:color w:val="262626"/>
                <w:sz w:val="18"/>
                <w:szCs w:val="18"/>
                <w:lang w:val="el-GR"/>
              </w:rPr>
              <w:t>επιχειρήσεις</w:t>
            </w:r>
          </w:p>
        </w:tc>
        <w:tc>
          <w:tcPr>
            <w:tcW w:w="1134" w:type="dxa"/>
            <w:tcBorders>
              <w:top w:val="nil"/>
              <w:left w:val="nil"/>
              <w:bottom w:val="single" w:sz="8" w:space="0" w:color="D3D3D3"/>
              <w:right w:val="single" w:sz="8" w:space="0" w:color="D3D3D3"/>
            </w:tcBorders>
            <w:shd w:val="clear" w:color="auto" w:fill="auto"/>
            <w:vAlign w:val="center"/>
          </w:tcPr>
          <w:p w14:paraId="19C0BC7E"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p>
        </w:tc>
        <w:tc>
          <w:tcPr>
            <w:tcW w:w="1134" w:type="dxa"/>
            <w:tcBorders>
              <w:top w:val="nil"/>
              <w:left w:val="nil"/>
              <w:bottom w:val="single" w:sz="8" w:space="0" w:color="D3D3D3"/>
              <w:right w:val="single" w:sz="8" w:space="0" w:color="D3D3D3"/>
            </w:tcBorders>
            <w:shd w:val="clear" w:color="auto" w:fill="auto"/>
            <w:vAlign w:val="center"/>
          </w:tcPr>
          <w:p w14:paraId="120BF33D"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p>
        </w:tc>
        <w:tc>
          <w:tcPr>
            <w:tcW w:w="1134" w:type="dxa"/>
            <w:tcBorders>
              <w:top w:val="nil"/>
              <w:left w:val="nil"/>
              <w:bottom w:val="single" w:sz="8" w:space="0" w:color="D3D3D3"/>
              <w:right w:val="single" w:sz="8" w:space="0" w:color="D3D3D3"/>
            </w:tcBorders>
            <w:shd w:val="clear" w:color="auto" w:fill="auto"/>
            <w:vAlign w:val="center"/>
          </w:tcPr>
          <w:p w14:paraId="6F7F1DE2"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p>
        </w:tc>
        <w:tc>
          <w:tcPr>
            <w:tcW w:w="1134" w:type="dxa"/>
            <w:tcBorders>
              <w:top w:val="nil"/>
              <w:left w:val="nil"/>
              <w:bottom w:val="single" w:sz="8" w:space="0" w:color="D3D3D3"/>
              <w:right w:val="single" w:sz="8" w:space="0" w:color="D3D3D3"/>
            </w:tcBorders>
            <w:shd w:val="clear" w:color="auto" w:fill="auto"/>
            <w:vAlign w:val="center"/>
          </w:tcPr>
          <w:p w14:paraId="7AAA662D"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p>
        </w:tc>
        <w:tc>
          <w:tcPr>
            <w:tcW w:w="1134" w:type="dxa"/>
            <w:tcBorders>
              <w:top w:val="nil"/>
              <w:left w:val="nil"/>
              <w:bottom w:val="single" w:sz="8" w:space="0" w:color="D3D3D3"/>
              <w:right w:val="single" w:sz="8" w:space="0" w:color="D3D3D3"/>
            </w:tcBorders>
            <w:shd w:val="clear" w:color="auto" w:fill="auto"/>
            <w:vAlign w:val="center"/>
          </w:tcPr>
          <w:p w14:paraId="761ECEF2"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p>
        </w:tc>
        <w:tc>
          <w:tcPr>
            <w:tcW w:w="1417" w:type="dxa"/>
            <w:tcBorders>
              <w:top w:val="nil"/>
              <w:left w:val="nil"/>
              <w:bottom w:val="single" w:sz="8" w:space="0" w:color="D3D3D3"/>
              <w:right w:val="single" w:sz="8" w:space="0" w:color="D3D3D3"/>
            </w:tcBorders>
            <w:shd w:val="clear" w:color="auto" w:fill="auto"/>
            <w:vAlign w:val="center"/>
          </w:tcPr>
          <w:p w14:paraId="16F60AD5"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p>
        </w:tc>
      </w:tr>
      <w:tr w:rsidR="0056738E" w:rsidRPr="0048278E" w14:paraId="62F45A72" w14:textId="77777777" w:rsidTr="007C2AEE">
        <w:trPr>
          <w:trHeight w:val="227"/>
          <w:jc w:val="center"/>
        </w:trPr>
        <w:tc>
          <w:tcPr>
            <w:tcW w:w="2977" w:type="dxa"/>
            <w:vAlign w:val="center"/>
          </w:tcPr>
          <w:p w14:paraId="409FB29B" w14:textId="77777777" w:rsidR="0056738E" w:rsidRPr="0048278E" w:rsidRDefault="0056738E" w:rsidP="007C2AEE">
            <w:pPr>
              <w:numPr>
                <w:ilvl w:val="12"/>
                <w:numId w:val="0"/>
              </w:numPr>
              <w:shd w:val="clear" w:color="auto" w:fill="FFFFFF"/>
              <w:tabs>
                <w:tab w:val="left" w:pos="284"/>
              </w:tabs>
              <w:spacing w:after="0" w:line="240" w:lineRule="auto"/>
              <w:rPr>
                <w:rFonts w:ascii="Arial" w:hAnsi="Arial" w:cs="Arial"/>
                <w:color w:val="262626"/>
                <w:sz w:val="18"/>
                <w:szCs w:val="18"/>
                <w:lang w:val="el-GR" w:eastAsia="el-GR"/>
              </w:rPr>
            </w:pPr>
            <w:r w:rsidRPr="009B5694">
              <w:rPr>
                <w:rFonts w:ascii="Arial" w:eastAsia="Batang" w:hAnsi="Arial" w:cs="Arial"/>
                <w:color w:val="262626"/>
                <w:sz w:val="18"/>
                <w:szCs w:val="18"/>
                <w:lang w:eastAsia="el-GR"/>
              </w:rPr>
              <w:t xml:space="preserve">- </w:t>
            </w:r>
            <w:r>
              <w:rPr>
                <w:rFonts w:ascii="Arial" w:hAnsi="Arial" w:cs="Arial"/>
                <w:color w:val="262626"/>
                <w:sz w:val="18"/>
                <w:szCs w:val="18"/>
                <w:lang w:val="el-GR"/>
              </w:rPr>
              <w:t>Κέντρο διεθνών εργασιών</w:t>
            </w:r>
          </w:p>
        </w:tc>
        <w:tc>
          <w:tcPr>
            <w:tcW w:w="1134" w:type="dxa"/>
            <w:tcBorders>
              <w:top w:val="nil"/>
              <w:left w:val="nil"/>
              <w:bottom w:val="single" w:sz="8" w:space="0" w:color="D3D3D3"/>
              <w:right w:val="single" w:sz="8" w:space="0" w:color="D3D3D3"/>
            </w:tcBorders>
            <w:shd w:val="clear" w:color="auto" w:fill="auto"/>
            <w:vAlign w:val="center"/>
          </w:tcPr>
          <w:p w14:paraId="4993AEDD"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89,580</w:t>
            </w:r>
          </w:p>
        </w:tc>
        <w:tc>
          <w:tcPr>
            <w:tcW w:w="1134" w:type="dxa"/>
            <w:tcBorders>
              <w:top w:val="nil"/>
              <w:left w:val="nil"/>
              <w:bottom w:val="single" w:sz="8" w:space="0" w:color="D3D3D3"/>
              <w:right w:val="single" w:sz="8" w:space="0" w:color="D3D3D3"/>
            </w:tcBorders>
            <w:shd w:val="clear" w:color="auto" w:fill="auto"/>
            <w:vAlign w:val="center"/>
          </w:tcPr>
          <w:p w14:paraId="41A823DC"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1,513</w:t>
            </w:r>
          </w:p>
        </w:tc>
        <w:tc>
          <w:tcPr>
            <w:tcW w:w="1134" w:type="dxa"/>
            <w:tcBorders>
              <w:top w:val="nil"/>
              <w:left w:val="nil"/>
              <w:bottom w:val="single" w:sz="8" w:space="0" w:color="D3D3D3"/>
              <w:right w:val="single" w:sz="8" w:space="0" w:color="D3D3D3"/>
            </w:tcBorders>
            <w:shd w:val="clear" w:color="auto" w:fill="auto"/>
            <w:vAlign w:val="center"/>
          </w:tcPr>
          <w:p w14:paraId="6A748503"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5,112</w:t>
            </w:r>
          </w:p>
        </w:tc>
        <w:tc>
          <w:tcPr>
            <w:tcW w:w="1134" w:type="dxa"/>
            <w:tcBorders>
              <w:top w:val="nil"/>
              <w:left w:val="nil"/>
              <w:bottom w:val="single" w:sz="8" w:space="0" w:color="D3D3D3"/>
              <w:right w:val="single" w:sz="8" w:space="0" w:color="D3D3D3"/>
            </w:tcBorders>
            <w:shd w:val="clear" w:color="auto" w:fill="auto"/>
            <w:vAlign w:val="center"/>
          </w:tcPr>
          <w:p w14:paraId="131FB8FB"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5,807</w:t>
            </w:r>
          </w:p>
        </w:tc>
        <w:tc>
          <w:tcPr>
            <w:tcW w:w="1134" w:type="dxa"/>
            <w:tcBorders>
              <w:top w:val="nil"/>
              <w:left w:val="nil"/>
              <w:bottom w:val="single" w:sz="8" w:space="0" w:color="D3D3D3"/>
              <w:right w:val="single" w:sz="8" w:space="0" w:color="D3D3D3"/>
            </w:tcBorders>
            <w:shd w:val="clear" w:color="auto" w:fill="auto"/>
            <w:vAlign w:val="center"/>
          </w:tcPr>
          <w:p w14:paraId="43083672"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17,401</w:t>
            </w:r>
          </w:p>
        </w:tc>
        <w:tc>
          <w:tcPr>
            <w:tcW w:w="1417" w:type="dxa"/>
            <w:tcBorders>
              <w:top w:val="nil"/>
              <w:left w:val="nil"/>
              <w:bottom w:val="single" w:sz="8" w:space="0" w:color="D3D3D3"/>
              <w:right w:val="single" w:sz="8" w:space="0" w:color="D3D3D3"/>
            </w:tcBorders>
            <w:shd w:val="clear" w:color="auto" w:fill="auto"/>
            <w:vAlign w:val="center"/>
          </w:tcPr>
          <w:p w14:paraId="2D1D9546"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lang w:val="en-US"/>
              </w:rPr>
              <w:t>119,413</w:t>
            </w:r>
          </w:p>
        </w:tc>
      </w:tr>
      <w:tr w:rsidR="0056738E" w:rsidRPr="0048278E" w14:paraId="3D20AC7C" w14:textId="77777777" w:rsidTr="007C2AEE">
        <w:trPr>
          <w:trHeight w:val="227"/>
          <w:jc w:val="center"/>
        </w:trPr>
        <w:tc>
          <w:tcPr>
            <w:tcW w:w="2977" w:type="dxa"/>
            <w:shd w:val="clear" w:color="auto" w:fill="auto"/>
            <w:vAlign w:val="center"/>
          </w:tcPr>
          <w:p w14:paraId="533EB436" w14:textId="77777777" w:rsidR="0056738E" w:rsidRDefault="0056738E" w:rsidP="007C2AEE">
            <w:pPr>
              <w:numPr>
                <w:ilvl w:val="12"/>
                <w:numId w:val="0"/>
              </w:numPr>
              <w:shd w:val="clear" w:color="auto" w:fill="FFFFFF"/>
              <w:tabs>
                <w:tab w:val="left" w:pos="284"/>
              </w:tabs>
              <w:spacing w:after="0" w:line="240" w:lineRule="auto"/>
              <w:rPr>
                <w:rFonts w:ascii="Arial" w:hAnsi="Arial" w:cs="Arial"/>
                <w:color w:val="262626"/>
                <w:sz w:val="18"/>
                <w:szCs w:val="18"/>
                <w:lang w:val="el-GR" w:eastAsia="el-GR"/>
              </w:rPr>
            </w:pPr>
            <w:r w:rsidRPr="009B5694">
              <w:rPr>
                <w:rFonts w:ascii="Arial" w:eastAsia="Batang" w:hAnsi="Arial" w:cs="Arial"/>
                <w:color w:val="262626"/>
                <w:sz w:val="18"/>
                <w:szCs w:val="18"/>
                <w:lang w:val="el-GR" w:eastAsia="el-GR"/>
              </w:rPr>
              <w:t xml:space="preserve">- </w:t>
            </w:r>
            <w:r>
              <w:rPr>
                <w:rFonts w:ascii="Arial" w:hAnsi="Arial" w:cs="Arial"/>
                <w:color w:val="262626"/>
                <w:sz w:val="18"/>
                <w:szCs w:val="18"/>
                <w:lang w:val="el-GR"/>
              </w:rPr>
              <w:t>Διεθνείς επιχειρήσεις</w:t>
            </w:r>
          </w:p>
        </w:tc>
        <w:tc>
          <w:tcPr>
            <w:tcW w:w="1134" w:type="dxa"/>
            <w:tcBorders>
              <w:top w:val="nil"/>
              <w:left w:val="nil"/>
              <w:bottom w:val="single" w:sz="8" w:space="0" w:color="D3D3D3"/>
              <w:right w:val="single" w:sz="8" w:space="0" w:color="D3D3D3"/>
            </w:tcBorders>
            <w:shd w:val="clear" w:color="auto" w:fill="auto"/>
            <w:vAlign w:val="center"/>
          </w:tcPr>
          <w:p w14:paraId="27944B91"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148,493</w:t>
            </w:r>
          </w:p>
        </w:tc>
        <w:tc>
          <w:tcPr>
            <w:tcW w:w="1134" w:type="dxa"/>
            <w:tcBorders>
              <w:top w:val="nil"/>
              <w:left w:val="nil"/>
              <w:bottom w:val="single" w:sz="8" w:space="0" w:color="D3D3D3"/>
              <w:right w:val="single" w:sz="8" w:space="0" w:color="D3D3D3"/>
            </w:tcBorders>
            <w:shd w:val="clear" w:color="auto" w:fill="auto"/>
            <w:vAlign w:val="center"/>
          </w:tcPr>
          <w:p w14:paraId="7F23CC3E"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199,663</w:t>
            </w:r>
          </w:p>
        </w:tc>
        <w:tc>
          <w:tcPr>
            <w:tcW w:w="1134" w:type="dxa"/>
            <w:tcBorders>
              <w:top w:val="nil"/>
              <w:left w:val="nil"/>
              <w:bottom w:val="single" w:sz="8" w:space="0" w:color="D3D3D3"/>
              <w:right w:val="single" w:sz="8" w:space="0" w:color="D3D3D3"/>
            </w:tcBorders>
            <w:shd w:val="clear" w:color="auto" w:fill="auto"/>
            <w:vAlign w:val="center"/>
          </w:tcPr>
          <w:p w14:paraId="1B5F6D2C"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44,946</w:t>
            </w:r>
          </w:p>
        </w:tc>
        <w:tc>
          <w:tcPr>
            <w:tcW w:w="1134" w:type="dxa"/>
            <w:tcBorders>
              <w:top w:val="nil"/>
              <w:left w:val="nil"/>
              <w:bottom w:val="single" w:sz="8" w:space="0" w:color="D3D3D3"/>
              <w:right w:val="single" w:sz="8" w:space="0" w:color="D3D3D3"/>
            </w:tcBorders>
            <w:shd w:val="clear" w:color="auto" w:fill="auto"/>
            <w:vAlign w:val="center"/>
          </w:tcPr>
          <w:p w14:paraId="36EBF432"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w:t>
            </w:r>
          </w:p>
        </w:tc>
        <w:tc>
          <w:tcPr>
            <w:tcW w:w="1134" w:type="dxa"/>
            <w:tcBorders>
              <w:top w:val="nil"/>
              <w:left w:val="nil"/>
              <w:bottom w:val="single" w:sz="8" w:space="0" w:color="D3D3D3"/>
              <w:right w:val="single" w:sz="8" w:space="0" w:color="D3D3D3"/>
            </w:tcBorders>
            <w:shd w:val="clear" w:color="auto" w:fill="auto"/>
            <w:vAlign w:val="center"/>
          </w:tcPr>
          <w:p w14:paraId="1503F962"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431,713</w:t>
            </w:r>
          </w:p>
        </w:tc>
        <w:tc>
          <w:tcPr>
            <w:tcW w:w="1417" w:type="dxa"/>
            <w:tcBorders>
              <w:top w:val="nil"/>
              <w:left w:val="nil"/>
              <w:bottom w:val="single" w:sz="8" w:space="0" w:color="D3D3D3"/>
              <w:right w:val="single" w:sz="8" w:space="0" w:color="D3D3D3"/>
            </w:tcBorders>
            <w:shd w:val="clear" w:color="auto" w:fill="auto"/>
            <w:vAlign w:val="center"/>
          </w:tcPr>
          <w:p w14:paraId="5482E890" w14:textId="77777777" w:rsidR="0056738E" w:rsidRPr="0048278E"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lang w:val="en-US"/>
              </w:rPr>
              <w:t>824,815</w:t>
            </w:r>
          </w:p>
        </w:tc>
      </w:tr>
      <w:tr w:rsidR="0056738E" w:rsidRPr="00DE2C53" w14:paraId="3F0D6F08" w14:textId="77777777" w:rsidTr="007C2AEE">
        <w:trPr>
          <w:trHeight w:val="227"/>
          <w:jc w:val="center"/>
        </w:trPr>
        <w:tc>
          <w:tcPr>
            <w:tcW w:w="2977" w:type="dxa"/>
            <w:vAlign w:val="center"/>
          </w:tcPr>
          <w:p w14:paraId="2985F886" w14:textId="77777777" w:rsidR="0056738E" w:rsidRPr="00151E9A" w:rsidRDefault="0056738E" w:rsidP="007C2AEE">
            <w:pPr>
              <w:keepNext/>
              <w:keepLines/>
              <w:numPr>
                <w:ilvl w:val="12"/>
                <w:numId w:val="0"/>
              </w:numPr>
              <w:shd w:val="clear" w:color="auto" w:fill="FFFFFF"/>
              <w:tabs>
                <w:tab w:val="left" w:pos="284"/>
              </w:tabs>
              <w:spacing w:after="0" w:line="240" w:lineRule="auto"/>
              <w:outlineLvl w:val="0"/>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Μικρομεσ</w:t>
            </w:r>
            <w:proofErr w:type="spellEnd"/>
            <w:r w:rsidRPr="009B5694">
              <w:rPr>
                <w:rFonts w:ascii="Arial" w:hAnsi="Arial" w:cs="Arial"/>
                <w:color w:val="262626"/>
                <w:sz w:val="18"/>
                <w:szCs w:val="18"/>
                <w:lang w:val="en-US"/>
              </w:rPr>
              <w:t>αίες επ</w:t>
            </w:r>
            <w:proofErr w:type="spellStart"/>
            <w:r w:rsidRPr="009B5694">
              <w:rPr>
                <w:rFonts w:ascii="Arial" w:hAnsi="Arial" w:cs="Arial"/>
                <w:color w:val="262626"/>
                <w:sz w:val="18"/>
                <w:szCs w:val="18"/>
                <w:lang w:val="en-US"/>
              </w:rPr>
              <w:t>ιχειρήσεις</w:t>
            </w:r>
            <w:proofErr w:type="spellEnd"/>
          </w:p>
        </w:tc>
        <w:tc>
          <w:tcPr>
            <w:tcW w:w="1134" w:type="dxa"/>
            <w:tcBorders>
              <w:top w:val="nil"/>
              <w:left w:val="nil"/>
              <w:bottom w:val="single" w:sz="8" w:space="0" w:color="D3D3D3"/>
              <w:right w:val="single" w:sz="8" w:space="0" w:color="D3D3D3"/>
            </w:tcBorders>
            <w:shd w:val="clear" w:color="auto" w:fill="auto"/>
            <w:vAlign w:val="center"/>
          </w:tcPr>
          <w:p w14:paraId="139C009A"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954,458</w:t>
            </w:r>
          </w:p>
        </w:tc>
        <w:tc>
          <w:tcPr>
            <w:tcW w:w="1134" w:type="dxa"/>
            <w:tcBorders>
              <w:top w:val="nil"/>
              <w:left w:val="nil"/>
              <w:bottom w:val="single" w:sz="8" w:space="0" w:color="D3D3D3"/>
              <w:right w:val="single" w:sz="8" w:space="0" w:color="D3D3D3"/>
            </w:tcBorders>
            <w:shd w:val="clear" w:color="auto" w:fill="auto"/>
            <w:vAlign w:val="center"/>
          </w:tcPr>
          <w:p w14:paraId="62CFD834"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464</w:t>
            </w:r>
          </w:p>
        </w:tc>
        <w:tc>
          <w:tcPr>
            <w:tcW w:w="1134" w:type="dxa"/>
            <w:tcBorders>
              <w:top w:val="nil"/>
              <w:left w:val="nil"/>
              <w:bottom w:val="single" w:sz="8" w:space="0" w:color="D3D3D3"/>
              <w:right w:val="single" w:sz="8" w:space="0" w:color="D3D3D3"/>
            </w:tcBorders>
            <w:shd w:val="clear" w:color="auto" w:fill="auto"/>
            <w:vAlign w:val="center"/>
          </w:tcPr>
          <w:p w14:paraId="5AA62EF0"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1,129</w:t>
            </w:r>
          </w:p>
        </w:tc>
        <w:tc>
          <w:tcPr>
            <w:tcW w:w="1134" w:type="dxa"/>
            <w:tcBorders>
              <w:top w:val="nil"/>
              <w:left w:val="nil"/>
              <w:bottom w:val="single" w:sz="8" w:space="0" w:color="D3D3D3"/>
              <w:right w:val="single" w:sz="8" w:space="0" w:color="D3D3D3"/>
            </w:tcBorders>
            <w:shd w:val="clear" w:color="auto" w:fill="auto"/>
            <w:vAlign w:val="center"/>
          </w:tcPr>
          <w:p w14:paraId="3463842E"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nil"/>
              <w:left w:val="nil"/>
              <w:bottom w:val="single" w:sz="8" w:space="0" w:color="D3D3D3"/>
              <w:right w:val="single" w:sz="8" w:space="0" w:color="D3D3D3"/>
            </w:tcBorders>
            <w:shd w:val="clear" w:color="auto" w:fill="auto"/>
            <w:vAlign w:val="center"/>
          </w:tcPr>
          <w:p w14:paraId="68D2AE21"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2,284</w:t>
            </w:r>
          </w:p>
        </w:tc>
        <w:tc>
          <w:tcPr>
            <w:tcW w:w="1417" w:type="dxa"/>
            <w:tcBorders>
              <w:top w:val="nil"/>
              <w:left w:val="nil"/>
              <w:bottom w:val="single" w:sz="8" w:space="0" w:color="D3D3D3"/>
              <w:right w:val="single" w:sz="8" w:space="0" w:color="D3D3D3"/>
            </w:tcBorders>
            <w:shd w:val="clear" w:color="auto" w:fill="auto"/>
            <w:vAlign w:val="center"/>
          </w:tcPr>
          <w:p w14:paraId="756F0486"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958,335</w:t>
            </w:r>
          </w:p>
        </w:tc>
      </w:tr>
      <w:tr w:rsidR="0056738E" w:rsidRPr="00DE2C53" w14:paraId="2FF93BD0" w14:textId="77777777" w:rsidTr="007C2AEE">
        <w:trPr>
          <w:trHeight w:val="227"/>
          <w:jc w:val="center"/>
        </w:trPr>
        <w:tc>
          <w:tcPr>
            <w:tcW w:w="2977" w:type="dxa"/>
            <w:shd w:val="clear" w:color="auto" w:fill="auto"/>
            <w:vAlign w:val="center"/>
          </w:tcPr>
          <w:p w14:paraId="0169648B" w14:textId="77777777" w:rsidR="0056738E" w:rsidRPr="00151E9A" w:rsidRDefault="0056738E" w:rsidP="007C2AEE">
            <w:pPr>
              <w:keepNext/>
              <w:keepLines/>
              <w:numPr>
                <w:ilvl w:val="12"/>
                <w:numId w:val="0"/>
              </w:numPr>
              <w:shd w:val="clear" w:color="auto" w:fill="FFFFFF"/>
              <w:tabs>
                <w:tab w:val="left" w:pos="284"/>
              </w:tabs>
              <w:spacing w:after="0" w:line="240" w:lineRule="auto"/>
              <w:outlineLvl w:val="0"/>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Ιδιώτες</w:t>
            </w:r>
            <w:proofErr w:type="spellEnd"/>
          </w:p>
        </w:tc>
        <w:tc>
          <w:tcPr>
            <w:tcW w:w="1134" w:type="dxa"/>
            <w:tcBorders>
              <w:top w:val="nil"/>
              <w:left w:val="nil"/>
              <w:bottom w:val="single" w:sz="8" w:space="0" w:color="D3D3D3"/>
              <w:right w:val="single" w:sz="8" w:space="0" w:color="D3D3D3"/>
            </w:tcBorders>
            <w:shd w:val="clear" w:color="auto" w:fill="auto"/>
            <w:vAlign w:val="center"/>
          </w:tcPr>
          <w:p w14:paraId="4342EBC8"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tcBorders>
              <w:top w:val="nil"/>
              <w:left w:val="nil"/>
              <w:bottom w:val="single" w:sz="8" w:space="0" w:color="D3D3D3"/>
              <w:right w:val="single" w:sz="8" w:space="0" w:color="D3D3D3"/>
            </w:tcBorders>
            <w:shd w:val="clear" w:color="auto" w:fill="auto"/>
            <w:vAlign w:val="center"/>
          </w:tcPr>
          <w:p w14:paraId="795C35D7"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tcBorders>
              <w:top w:val="nil"/>
              <w:left w:val="nil"/>
              <w:bottom w:val="single" w:sz="8" w:space="0" w:color="D3D3D3"/>
              <w:right w:val="single" w:sz="8" w:space="0" w:color="D3D3D3"/>
            </w:tcBorders>
            <w:shd w:val="clear" w:color="auto" w:fill="auto"/>
            <w:vAlign w:val="center"/>
          </w:tcPr>
          <w:p w14:paraId="618A6AC5"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tcBorders>
              <w:top w:val="nil"/>
              <w:left w:val="nil"/>
              <w:bottom w:val="single" w:sz="8" w:space="0" w:color="D3D3D3"/>
              <w:right w:val="single" w:sz="8" w:space="0" w:color="D3D3D3"/>
            </w:tcBorders>
            <w:shd w:val="clear" w:color="auto" w:fill="auto"/>
            <w:vAlign w:val="center"/>
          </w:tcPr>
          <w:p w14:paraId="162EF68A"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tcBorders>
              <w:top w:val="nil"/>
              <w:left w:val="nil"/>
              <w:bottom w:val="single" w:sz="8" w:space="0" w:color="D3D3D3"/>
              <w:right w:val="single" w:sz="8" w:space="0" w:color="D3D3D3"/>
            </w:tcBorders>
            <w:shd w:val="clear" w:color="auto" w:fill="auto"/>
            <w:vAlign w:val="center"/>
          </w:tcPr>
          <w:p w14:paraId="22B4BFFC"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417" w:type="dxa"/>
            <w:tcBorders>
              <w:top w:val="nil"/>
              <w:left w:val="nil"/>
              <w:bottom w:val="single" w:sz="8" w:space="0" w:color="D3D3D3"/>
              <w:right w:val="single" w:sz="8" w:space="0" w:color="D3D3D3"/>
            </w:tcBorders>
            <w:shd w:val="clear" w:color="auto" w:fill="auto"/>
            <w:vAlign w:val="center"/>
          </w:tcPr>
          <w:p w14:paraId="0B35F4B3"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p>
        </w:tc>
      </w:tr>
      <w:tr w:rsidR="0056738E" w:rsidRPr="00DE2C53" w14:paraId="3DE05342" w14:textId="77777777" w:rsidTr="007C2AEE">
        <w:trPr>
          <w:trHeight w:val="227"/>
          <w:jc w:val="center"/>
        </w:trPr>
        <w:tc>
          <w:tcPr>
            <w:tcW w:w="2977" w:type="dxa"/>
            <w:vAlign w:val="center"/>
          </w:tcPr>
          <w:p w14:paraId="07786AAA" w14:textId="77777777" w:rsidR="0056738E" w:rsidRPr="00151E9A" w:rsidRDefault="0056738E" w:rsidP="007C2AEE">
            <w:pPr>
              <w:numPr>
                <w:ilvl w:val="12"/>
                <w:numId w:val="0"/>
              </w:numPr>
              <w:shd w:val="clear" w:color="auto" w:fill="FFFFFF"/>
              <w:tabs>
                <w:tab w:val="left" w:pos="175"/>
              </w:tabs>
              <w:spacing w:after="0" w:line="240" w:lineRule="auto"/>
              <w:rPr>
                <w:rFonts w:ascii="Arial" w:eastAsia="Batang" w:hAnsi="Arial" w:cs="Arial"/>
                <w:color w:val="262626"/>
                <w:sz w:val="18"/>
                <w:szCs w:val="18"/>
                <w:lang w:eastAsia="el-GR"/>
              </w:rPr>
            </w:pPr>
            <w:r w:rsidRPr="009B5694">
              <w:rPr>
                <w:rFonts w:ascii="Arial" w:eastAsia="Batang" w:hAnsi="Arial" w:cs="Arial"/>
                <w:color w:val="262626"/>
                <w:sz w:val="18"/>
                <w:szCs w:val="18"/>
                <w:lang w:eastAsia="el-GR"/>
              </w:rPr>
              <w:t xml:space="preserve">- </w:t>
            </w:r>
            <w:proofErr w:type="spellStart"/>
            <w:r w:rsidRPr="009B5694">
              <w:rPr>
                <w:rFonts w:ascii="Arial" w:hAnsi="Arial" w:cs="Arial"/>
                <w:color w:val="262626"/>
                <w:sz w:val="18"/>
                <w:szCs w:val="18"/>
                <w:lang w:val="en-US"/>
              </w:rPr>
              <w:t>στεγ</w:t>
            </w:r>
            <w:proofErr w:type="spellEnd"/>
            <w:r w:rsidRPr="009B5694">
              <w:rPr>
                <w:rFonts w:ascii="Arial" w:hAnsi="Arial" w:cs="Arial"/>
                <w:color w:val="262626"/>
                <w:sz w:val="18"/>
                <w:szCs w:val="18"/>
                <w:lang w:val="en-US"/>
              </w:rPr>
              <w:t>αστικά</w:t>
            </w:r>
            <w:r w:rsidRPr="009B5694">
              <w:rPr>
                <w:rFonts w:ascii="Arial" w:eastAsia="Batang" w:hAnsi="Arial" w:cs="Arial"/>
                <w:color w:val="262626"/>
                <w:sz w:val="18"/>
                <w:szCs w:val="18"/>
                <w:lang w:eastAsia="el-GR"/>
              </w:rPr>
              <w:t xml:space="preserve"> </w:t>
            </w:r>
          </w:p>
        </w:tc>
        <w:tc>
          <w:tcPr>
            <w:tcW w:w="1134" w:type="dxa"/>
            <w:tcBorders>
              <w:top w:val="nil"/>
              <w:left w:val="nil"/>
              <w:bottom w:val="single" w:sz="8" w:space="0" w:color="D3D3D3"/>
              <w:right w:val="single" w:sz="8" w:space="0" w:color="D3D3D3"/>
            </w:tcBorders>
            <w:shd w:val="clear" w:color="auto" w:fill="auto"/>
            <w:vAlign w:val="center"/>
          </w:tcPr>
          <w:p w14:paraId="31A0B5E7"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3,455,784</w:t>
            </w:r>
          </w:p>
        </w:tc>
        <w:tc>
          <w:tcPr>
            <w:tcW w:w="1134" w:type="dxa"/>
            <w:tcBorders>
              <w:top w:val="nil"/>
              <w:left w:val="nil"/>
              <w:bottom w:val="single" w:sz="8" w:space="0" w:color="D3D3D3"/>
              <w:right w:val="single" w:sz="8" w:space="0" w:color="D3D3D3"/>
            </w:tcBorders>
            <w:shd w:val="clear" w:color="auto" w:fill="auto"/>
            <w:vAlign w:val="center"/>
          </w:tcPr>
          <w:p w14:paraId="7D6F36F5"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2,354</w:t>
            </w:r>
          </w:p>
        </w:tc>
        <w:tc>
          <w:tcPr>
            <w:tcW w:w="1134" w:type="dxa"/>
            <w:tcBorders>
              <w:top w:val="nil"/>
              <w:left w:val="nil"/>
              <w:bottom w:val="single" w:sz="8" w:space="0" w:color="D3D3D3"/>
              <w:right w:val="single" w:sz="8" w:space="0" w:color="D3D3D3"/>
            </w:tcBorders>
            <w:shd w:val="clear" w:color="auto" w:fill="auto"/>
            <w:vAlign w:val="center"/>
          </w:tcPr>
          <w:p w14:paraId="2E9C3F41"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23,215</w:t>
            </w:r>
          </w:p>
        </w:tc>
        <w:tc>
          <w:tcPr>
            <w:tcW w:w="1134" w:type="dxa"/>
            <w:tcBorders>
              <w:top w:val="nil"/>
              <w:left w:val="nil"/>
              <w:bottom w:val="single" w:sz="8" w:space="0" w:color="D3D3D3"/>
              <w:right w:val="single" w:sz="8" w:space="0" w:color="D3D3D3"/>
            </w:tcBorders>
            <w:shd w:val="clear" w:color="auto" w:fill="auto"/>
            <w:vAlign w:val="center"/>
          </w:tcPr>
          <w:p w14:paraId="3B3369F8"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83</w:t>
            </w:r>
          </w:p>
        </w:tc>
        <w:tc>
          <w:tcPr>
            <w:tcW w:w="1134" w:type="dxa"/>
            <w:tcBorders>
              <w:top w:val="nil"/>
              <w:left w:val="nil"/>
              <w:bottom w:val="single" w:sz="8" w:space="0" w:color="D3D3D3"/>
              <w:right w:val="single" w:sz="8" w:space="0" w:color="D3D3D3"/>
            </w:tcBorders>
            <w:shd w:val="clear" w:color="auto" w:fill="auto"/>
            <w:vAlign w:val="center"/>
          </w:tcPr>
          <w:p w14:paraId="3E752244"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15,223</w:t>
            </w:r>
          </w:p>
        </w:tc>
        <w:tc>
          <w:tcPr>
            <w:tcW w:w="1417" w:type="dxa"/>
            <w:tcBorders>
              <w:top w:val="nil"/>
              <w:left w:val="nil"/>
              <w:bottom w:val="single" w:sz="8" w:space="0" w:color="D3D3D3"/>
              <w:right w:val="single" w:sz="8" w:space="0" w:color="D3D3D3"/>
            </w:tcBorders>
            <w:shd w:val="clear" w:color="auto" w:fill="auto"/>
            <w:vAlign w:val="center"/>
          </w:tcPr>
          <w:p w14:paraId="2EB05602"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3,496,659</w:t>
            </w:r>
          </w:p>
        </w:tc>
      </w:tr>
      <w:tr w:rsidR="0056738E" w:rsidRPr="00D57DDE" w14:paraId="3D3AD7B0" w14:textId="77777777" w:rsidTr="007C2AEE">
        <w:trPr>
          <w:trHeight w:val="227"/>
          <w:jc w:val="center"/>
        </w:trPr>
        <w:tc>
          <w:tcPr>
            <w:tcW w:w="2977" w:type="dxa"/>
            <w:shd w:val="clear" w:color="auto" w:fill="auto"/>
            <w:vAlign w:val="center"/>
          </w:tcPr>
          <w:p w14:paraId="61E6DE38" w14:textId="77777777" w:rsidR="0056738E" w:rsidRPr="00C42B7D" w:rsidRDefault="0056738E" w:rsidP="007C2AEE">
            <w:pPr>
              <w:numPr>
                <w:ilvl w:val="12"/>
                <w:numId w:val="0"/>
              </w:numPr>
              <w:shd w:val="clear" w:color="auto" w:fill="FFFFFF"/>
              <w:tabs>
                <w:tab w:val="left" w:pos="175"/>
              </w:tabs>
              <w:spacing w:after="0" w:line="240" w:lineRule="auto"/>
              <w:rPr>
                <w:rFonts w:ascii="Arial" w:eastAsia="Batang" w:hAnsi="Arial" w:cs="Arial"/>
                <w:color w:val="262626"/>
                <w:sz w:val="18"/>
                <w:szCs w:val="18"/>
                <w:lang w:val="el-GR" w:eastAsia="el-GR"/>
              </w:rPr>
            </w:pPr>
            <w:r w:rsidRPr="009B5694">
              <w:rPr>
                <w:rFonts w:ascii="Arial" w:eastAsia="Batang" w:hAnsi="Arial" w:cs="Arial"/>
                <w:color w:val="262626"/>
                <w:sz w:val="18"/>
                <w:szCs w:val="18"/>
                <w:lang w:val="el-GR" w:eastAsia="el-GR"/>
              </w:rPr>
              <w:t xml:space="preserve">- </w:t>
            </w:r>
            <w:r w:rsidRPr="009B5694">
              <w:rPr>
                <w:rFonts w:ascii="Arial" w:hAnsi="Arial" w:cs="Arial"/>
                <w:color w:val="262626"/>
                <w:sz w:val="18"/>
                <w:szCs w:val="18"/>
                <w:lang w:val="el-GR"/>
              </w:rPr>
              <w:t>καταναλωτικά, πιστωτικές κάρτες και λοιπά</w:t>
            </w:r>
          </w:p>
        </w:tc>
        <w:tc>
          <w:tcPr>
            <w:tcW w:w="1134" w:type="dxa"/>
            <w:tcBorders>
              <w:top w:val="nil"/>
              <w:left w:val="nil"/>
              <w:bottom w:val="single" w:sz="8" w:space="0" w:color="D3D3D3"/>
              <w:right w:val="single" w:sz="8" w:space="0" w:color="D3D3D3"/>
            </w:tcBorders>
            <w:shd w:val="clear" w:color="auto" w:fill="auto"/>
            <w:vAlign w:val="center"/>
          </w:tcPr>
          <w:p w14:paraId="70E802FA" w14:textId="77777777" w:rsidR="0056738E" w:rsidRPr="00041815"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rPr>
              <w:t>1,029,562</w:t>
            </w:r>
          </w:p>
        </w:tc>
        <w:tc>
          <w:tcPr>
            <w:tcW w:w="1134" w:type="dxa"/>
            <w:tcBorders>
              <w:top w:val="nil"/>
              <w:left w:val="nil"/>
              <w:bottom w:val="single" w:sz="8" w:space="0" w:color="D3D3D3"/>
              <w:right w:val="single" w:sz="8" w:space="0" w:color="D3D3D3"/>
            </w:tcBorders>
            <w:shd w:val="clear" w:color="auto" w:fill="auto"/>
            <w:vAlign w:val="center"/>
          </w:tcPr>
          <w:p w14:paraId="0FC71B99" w14:textId="77777777" w:rsidR="0056738E" w:rsidRPr="00041815"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rPr>
              <w:t>1,373</w:t>
            </w:r>
          </w:p>
        </w:tc>
        <w:tc>
          <w:tcPr>
            <w:tcW w:w="1134" w:type="dxa"/>
            <w:tcBorders>
              <w:top w:val="nil"/>
              <w:left w:val="nil"/>
              <w:bottom w:val="single" w:sz="8" w:space="0" w:color="D3D3D3"/>
              <w:right w:val="single" w:sz="8" w:space="0" w:color="D3D3D3"/>
            </w:tcBorders>
            <w:shd w:val="clear" w:color="auto" w:fill="auto"/>
            <w:vAlign w:val="center"/>
          </w:tcPr>
          <w:p w14:paraId="647A69E9" w14:textId="77777777" w:rsidR="0056738E" w:rsidRPr="00041815"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rPr>
              <w:t>389</w:t>
            </w:r>
          </w:p>
        </w:tc>
        <w:tc>
          <w:tcPr>
            <w:tcW w:w="1134" w:type="dxa"/>
            <w:tcBorders>
              <w:top w:val="nil"/>
              <w:left w:val="nil"/>
              <w:bottom w:val="single" w:sz="8" w:space="0" w:color="D3D3D3"/>
              <w:right w:val="single" w:sz="8" w:space="0" w:color="D3D3D3"/>
            </w:tcBorders>
            <w:shd w:val="clear" w:color="auto" w:fill="auto"/>
            <w:vAlign w:val="center"/>
          </w:tcPr>
          <w:p w14:paraId="473E0BBA" w14:textId="77777777" w:rsidR="0056738E" w:rsidRPr="00041815"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rPr>
              <w:t>-</w:t>
            </w:r>
          </w:p>
        </w:tc>
        <w:tc>
          <w:tcPr>
            <w:tcW w:w="1134" w:type="dxa"/>
            <w:tcBorders>
              <w:top w:val="nil"/>
              <w:left w:val="nil"/>
              <w:bottom w:val="single" w:sz="8" w:space="0" w:color="D3D3D3"/>
              <w:right w:val="single" w:sz="8" w:space="0" w:color="D3D3D3"/>
            </w:tcBorders>
            <w:shd w:val="clear" w:color="auto" w:fill="auto"/>
            <w:vAlign w:val="center"/>
          </w:tcPr>
          <w:p w14:paraId="3254B09E" w14:textId="77777777" w:rsidR="0056738E" w:rsidRPr="00041815" w:rsidDel="00F51C7C"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rPr>
              <w:t>5,435</w:t>
            </w:r>
          </w:p>
        </w:tc>
        <w:tc>
          <w:tcPr>
            <w:tcW w:w="1417" w:type="dxa"/>
            <w:tcBorders>
              <w:top w:val="nil"/>
              <w:left w:val="nil"/>
              <w:bottom w:val="single" w:sz="8" w:space="0" w:color="D3D3D3"/>
              <w:right w:val="single" w:sz="8" w:space="0" w:color="D3D3D3"/>
            </w:tcBorders>
            <w:shd w:val="clear" w:color="auto" w:fill="auto"/>
            <w:vAlign w:val="center"/>
          </w:tcPr>
          <w:p w14:paraId="76087343" w14:textId="77777777" w:rsidR="0056738E" w:rsidRPr="00041815" w:rsidDel="00F51C7C"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rPr>
              <w:t>1,036,759</w:t>
            </w:r>
          </w:p>
        </w:tc>
      </w:tr>
      <w:tr w:rsidR="0056738E" w:rsidRPr="00DE2C53" w14:paraId="57FA1D30" w14:textId="77777777" w:rsidTr="007C2AEE">
        <w:trPr>
          <w:trHeight w:val="227"/>
          <w:jc w:val="center"/>
        </w:trPr>
        <w:tc>
          <w:tcPr>
            <w:tcW w:w="2977" w:type="dxa"/>
            <w:vAlign w:val="center"/>
          </w:tcPr>
          <w:p w14:paraId="157148A4"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Αν</w:t>
            </w:r>
            <w:proofErr w:type="spellEnd"/>
            <w:r w:rsidRPr="009B5694">
              <w:rPr>
                <w:rFonts w:ascii="Arial" w:hAnsi="Arial" w:cs="Arial"/>
                <w:color w:val="262626"/>
                <w:sz w:val="18"/>
                <w:szCs w:val="18"/>
                <w:lang w:val="en-US"/>
              </w:rPr>
              <w:t xml:space="preserve">αδιαρθρώσεις </w:t>
            </w:r>
            <w:proofErr w:type="spellStart"/>
            <w:r w:rsidRPr="009B5694">
              <w:rPr>
                <w:rFonts w:ascii="Arial" w:hAnsi="Arial" w:cs="Arial"/>
                <w:color w:val="262626"/>
                <w:sz w:val="18"/>
                <w:szCs w:val="18"/>
                <w:lang w:val="en-US"/>
              </w:rPr>
              <w:t>χρεών</w:t>
            </w:r>
            <w:proofErr w:type="spellEnd"/>
          </w:p>
        </w:tc>
        <w:tc>
          <w:tcPr>
            <w:tcW w:w="1134" w:type="dxa"/>
            <w:tcBorders>
              <w:top w:val="nil"/>
              <w:left w:val="nil"/>
              <w:bottom w:val="single" w:sz="8" w:space="0" w:color="D3D3D3"/>
              <w:right w:val="single" w:sz="8" w:space="0" w:color="D3D3D3"/>
            </w:tcBorders>
            <w:shd w:val="clear" w:color="auto" w:fill="auto"/>
            <w:vAlign w:val="center"/>
          </w:tcPr>
          <w:p w14:paraId="35FC7CEB"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tcBorders>
              <w:top w:val="nil"/>
              <w:left w:val="nil"/>
              <w:bottom w:val="single" w:sz="8" w:space="0" w:color="D3D3D3"/>
              <w:right w:val="single" w:sz="8" w:space="0" w:color="D3D3D3"/>
            </w:tcBorders>
            <w:shd w:val="clear" w:color="auto" w:fill="auto"/>
            <w:vAlign w:val="center"/>
          </w:tcPr>
          <w:p w14:paraId="325105D5"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tcBorders>
              <w:top w:val="nil"/>
              <w:left w:val="nil"/>
              <w:bottom w:val="single" w:sz="8" w:space="0" w:color="D3D3D3"/>
              <w:right w:val="single" w:sz="8" w:space="0" w:color="D3D3D3"/>
            </w:tcBorders>
            <w:shd w:val="clear" w:color="auto" w:fill="auto"/>
            <w:vAlign w:val="center"/>
          </w:tcPr>
          <w:p w14:paraId="69599AA3"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tcBorders>
              <w:top w:val="nil"/>
              <w:left w:val="nil"/>
              <w:bottom w:val="single" w:sz="8" w:space="0" w:color="D3D3D3"/>
              <w:right w:val="single" w:sz="8" w:space="0" w:color="D3D3D3"/>
            </w:tcBorders>
            <w:shd w:val="clear" w:color="auto" w:fill="auto"/>
            <w:vAlign w:val="center"/>
          </w:tcPr>
          <w:p w14:paraId="2D8E4C63"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tcBorders>
              <w:top w:val="nil"/>
              <w:left w:val="nil"/>
              <w:bottom w:val="single" w:sz="8" w:space="0" w:color="D3D3D3"/>
              <w:right w:val="single" w:sz="8" w:space="0" w:color="D3D3D3"/>
            </w:tcBorders>
            <w:shd w:val="clear" w:color="auto" w:fill="auto"/>
            <w:vAlign w:val="center"/>
          </w:tcPr>
          <w:p w14:paraId="47153E64"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417" w:type="dxa"/>
            <w:tcBorders>
              <w:top w:val="nil"/>
              <w:left w:val="nil"/>
              <w:bottom w:val="single" w:sz="8" w:space="0" w:color="D3D3D3"/>
              <w:right w:val="single" w:sz="8" w:space="0" w:color="D3D3D3"/>
            </w:tcBorders>
            <w:shd w:val="clear" w:color="auto" w:fill="auto"/>
            <w:vAlign w:val="center"/>
          </w:tcPr>
          <w:p w14:paraId="150766A9"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p>
        </w:tc>
      </w:tr>
      <w:tr w:rsidR="0056738E" w:rsidRPr="00DE2C53" w14:paraId="16BCB03B" w14:textId="77777777" w:rsidTr="007C2AEE">
        <w:trPr>
          <w:trHeight w:val="227"/>
          <w:jc w:val="center"/>
        </w:trPr>
        <w:tc>
          <w:tcPr>
            <w:tcW w:w="2977" w:type="dxa"/>
            <w:vAlign w:val="center"/>
          </w:tcPr>
          <w:p w14:paraId="313E9254"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eastAsia="el-GR"/>
              </w:rPr>
            </w:pPr>
            <w:r w:rsidRPr="009B5694">
              <w:rPr>
                <w:rFonts w:ascii="Arial" w:eastAsia="Batang" w:hAnsi="Arial" w:cs="Arial"/>
                <w:color w:val="262626"/>
                <w:sz w:val="18"/>
                <w:szCs w:val="18"/>
                <w:lang w:eastAsia="el-GR"/>
              </w:rPr>
              <w:t xml:space="preserve">- </w:t>
            </w:r>
            <w:proofErr w:type="spellStart"/>
            <w:r w:rsidRPr="009B5694">
              <w:rPr>
                <w:rFonts w:ascii="Arial" w:hAnsi="Arial" w:cs="Arial"/>
                <w:color w:val="262626"/>
                <w:sz w:val="18"/>
                <w:szCs w:val="18"/>
                <w:lang w:val="en-US"/>
              </w:rPr>
              <w:t>μεγάλες</w:t>
            </w:r>
            <w:proofErr w:type="spellEnd"/>
            <w:r w:rsidRPr="009B5694">
              <w:rPr>
                <w:rFonts w:ascii="Arial" w:hAnsi="Arial" w:cs="Arial"/>
                <w:color w:val="262626"/>
                <w:sz w:val="18"/>
                <w:szCs w:val="18"/>
                <w:lang w:val="en-US"/>
              </w:rPr>
              <w:t xml:space="preserve"> επ</w:t>
            </w:r>
            <w:proofErr w:type="spellStart"/>
            <w:r w:rsidRPr="009B5694">
              <w:rPr>
                <w:rFonts w:ascii="Arial" w:hAnsi="Arial" w:cs="Arial"/>
                <w:color w:val="262626"/>
                <w:sz w:val="18"/>
                <w:szCs w:val="18"/>
                <w:lang w:val="en-US"/>
              </w:rPr>
              <w:t>ιχειρήσεις</w:t>
            </w:r>
            <w:proofErr w:type="spellEnd"/>
          </w:p>
        </w:tc>
        <w:tc>
          <w:tcPr>
            <w:tcW w:w="1134" w:type="dxa"/>
            <w:tcBorders>
              <w:top w:val="nil"/>
              <w:left w:val="nil"/>
              <w:bottom w:val="single" w:sz="8" w:space="0" w:color="D3D3D3"/>
              <w:right w:val="single" w:sz="8" w:space="0" w:color="D3D3D3"/>
            </w:tcBorders>
            <w:shd w:val="clear" w:color="auto" w:fill="auto"/>
            <w:vAlign w:val="center"/>
          </w:tcPr>
          <w:p w14:paraId="48807CD4"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16,515</w:t>
            </w:r>
          </w:p>
        </w:tc>
        <w:tc>
          <w:tcPr>
            <w:tcW w:w="1134" w:type="dxa"/>
            <w:tcBorders>
              <w:top w:val="nil"/>
              <w:left w:val="nil"/>
              <w:bottom w:val="single" w:sz="8" w:space="0" w:color="D3D3D3"/>
              <w:right w:val="single" w:sz="8" w:space="0" w:color="D3D3D3"/>
            </w:tcBorders>
            <w:shd w:val="clear" w:color="auto" w:fill="auto"/>
            <w:vAlign w:val="center"/>
          </w:tcPr>
          <w:p w14:paraId="0441A277"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nil"/>
              <w:left w:val="nil"/>
              <w:bottom w:val="single" w:sz="8" w:space="0" w:color="D3D3D3"/>
              <w:right w:val="single" w:sz="8" w:space="0" w:color="D3D3D3"/>
            </w:tcBorders>
            <w:shd w:val="clear" w:color="auto" w:fill="auto"/>
            <w:vAlign w:val="center"/>
          </w:tcPr>
          <w:p w14:paraId="650273B7"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1,081</w:t>
            </w:r>
          </w:p>
        </w:tc>
        <w:tc>
          <w:tcPr>
            <w:tcW w:w="1134" w:type="dxa"/>
            <w:tcBorders>
              <w:top w:val="nil"/>
              <w:left w:val="nil"/>
              <w:bottom w:val="single" w:sz="8" w:space="0" w:color="D3D3D3"/>
              <w:right w:val="single" w:sz="8" w:space="0" w:color="D3D3D3"/>
            </w:tcBorders>
            <w:shd w:val="clear" w:color="auto" w:fill="auto"/>
            <w:vAlign w:val="center"/>
          </w:tcPr>
          <w:p w14:paraId="2A1E0E12"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109</w:t>
            </w:r>
          </w:p>
        </w:tc>
        <w:tc>
          <w:tcPr>
            <w:tcW w:w="1134" w:type="dxa"/>
            <w:tcBorders>
              <w:top w:val="nil"/>
              <w:left w:val="nil"/>
              <w:bottom w:val="single" w:sz="8" w:space="0" w:color="D3D3D3"/>
              <w:right w:val="single" w:sz="8" w:space="0" w:color="D3D3D3"/>
            </w:tcBorders>
            <w:shd w:val="clear" w:color="auto" w:fill="auto"/>
            <w:vAlign w:val="center"/>
          </w:tcPr>
          <w:p w14:paraId="5E0E932B"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301</w:t>
            </w:r>
          </w:p>
        </w:tc>
        <w:tc>
          <w:tcPr>
            <w:tcW w:w="1417" w:type="dxa"/>
            <w:tcBorders>
              <w:top w:val="nil"/>
              <w:left w:val="nil"/>
              <w:bottom w:val="single" w:sz="8" w:space="0" w:color="D3D3D3"/>
              <w:right w:val="single" w:sz="8" w:space="0" w:color="D3D3D3"/>
            </w:tcBorders>
            <w:shd w:val="clear" w:color="auto" w:fill="auto"/>
            <w:vAlign w:val="center"/>
          </w:tcPr>
          <w:p w14:paraId="7030AF29"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18,006</w:t>
            </w:r>
          </w:p>
        </w:tc>
      </w:tr>
      <w:tr w:rsidR="0056738E" w:rsidRPr="00DE2C53" w14:paraId="15C5BD39" w14:textId="77777777" w:rsidTr="007C2AEE">
        <w:trPr>
          <w:trHeight w:val="227"/>
          <w:jc w:val="center"/>
        </w:trPr>
        <w:tc>
          <w:tcPr>
            <w:tcW w:w="2977" w:type="dxa"/>
            <w:shd w:val="clear" w:color="auto" w:fill="FFFFFF"/>
            <w:vAlign w:val="center"/>
          </w:tcPr>
          <w:p w14:paraId="5FC1967B"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eastAsia="el-GR"/>
              </w:rPr>
            </w:pPr>
            <w:r w:rsidRPr="009B5694">
              <w:rPr>
                <w:rFonts w:ascii="Arial" w:eastAsia="Batang" w:hAnsi="Arial" w:cs="Arial"/>
                <w:color w:val="262626"/>
                <w:sz w:val="18"/>
                <w:szCs w:val="18"/>
                <w:lang w:eastAsia="el-GR"/>
              </w:rPr>
              <w:t xml:space="preserve">- </w:t>
            </w:r>
            <w:proofErr w:type="spellStart"/>
            <w:r w:rsidRPr="009B5694">
              <w:rPr>
                <w:rFonts w:ascii="Arial" w:hAnsi="Arial" w:cs="Arial"/>
                <w:color w:val="262626"/>
                <w:sz w:val="18"/>
                <w:szCs w:val="18"/>
                <w:lang w:val="en-US"/>
              </w:rPr>
              <w:t>μικρομεσ</w:t>
            </w:r>
            <w:proofErr w:type="spellEnd"/>
            <w:r w:rsidRPr="009B5694">
              <w:rPr>
                <w:rFonts w:ascii="Arial" w:hAnsi="Arial" w:cs="Arial"/>
                <w:color w:val="262626"/>
                <w:sz w:val="18"/>
                <w:szCs w:val="18"/>
                <w:lang w:val="en-US"/>
              </w:rPr>
              <w:t>αίες επ</w:t>
            </w:r>
            <w:proofErr w:type="spellStart"/>
            <w:r w:rsidRPr="009B5694">
              <w:rPr>
                <w:rFonts w:ascii="Arial" w:hAnsi="Arial" w:cs="Arial"/>
                <w:color w:val="262626"/>
                <w:sz w:val="18"/>
                <w:szCs w:val="18"/>
                <w:lang w:val="en-US"/>
              </w:rPr>
              <w:t>ιχειρήσεις</w:t>
            </w:r>
            <w:proofErr w:type="spellEnd"/>
          </w:p>
        </w:tc>
        <w:tc>
          <w:tcPr>
            <w:tcW w:w="1134" w:type="dxa"/>
            <w:tcBorders>
              <w:top w:val="nil"/>
              <w:left w:val="nil"/>
              <w:bottom w:val="single" w:sz="8" w:space="0" w:color="D3D3D3"/>
              <w:right w:val="single" w:sz="8" w:space="0" w:color="D3D3D3"/>
            </w:tcBorders>
            <w:shd w:val="clear" w:color="auto" w:fill="auto"/>
            <w:vAlign w:val="center"/>
          </w:tcPr>
          <w:p w14:paraId="20B6DEBA"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22,649</w:t>
            </w:r>
          </w:p>
        </w:tc>
        <w:tc>
          <w:tcPr>
            <w:tcW w:w="1134" w:type="dxa"/>
            <w:tcBorders>
              <w:top w:val="nil"/>
              <w:left w:val="nil"/>
              <w:bottom w:val="single" w:sz="8" w:space="0" w:color="D3D3D3"/>
              <w:right w:val="single" w:sz="8" w:space="0" w:color="D3D3D3"/>
            </w:tcBorders>
            <w:shd w:val="clear" w:color="auto" w:fill="auto"/>
            <w:vAlign w:val="center"/>
          </w:tcPr>
          <w:p w14:paraId="228B4A95"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nil"/>
              <w:left w:val="nil"/>
              <w:bottom w:val="single" w:sz="8" w:space="0" w:color="D3D3D3"/>
              <w:right w:val="single" w:sz="8" w:space="0" w:color="D3D3D3"/>
            </w:tcBorders>
            <w:shd w:val="clear" w:color="auto" w:fill="auto"/>
            <w:vAlign w:val="center"/>
          </w:tcPr>
          <w:p w14:paraId="54B8F4C5"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158</w:t>
            </w:r>
          </w:p>
        </w:tc>
        <w:tc>
          <w:tcPr>
            <w:tcW w:w="1134" w:type="dxa"/>
            <w:tcBorders>
              <w:top w:val="nil"/>
              <w:left w:val="nil"/>
              <w:bottom w:val="single" w:sz="8" w:space="0" w:color="D3D3D3"/>
              <w:right w:val="single" w:sz="8" w:space="0" w:color="D3D3D3"/>
            </w:tcBorders>
            <w:shd w:val="clear" w:color="auto" w:fill="auto"/>
            <w:vAlign w:val="center"/>
          </w:tcPr>
          <w:p w14:paraId="5692FDB6"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nil"/>
              <w:left w:val="nil"/>
              <w:bottom w:val="single" w:sz="8" w:space="0" w:color="D3D3D3"/>
              <w:right w:val="single" w:sz="8" w:space="0" w:color="D3D3D3"/>
            </w:tcBorders>
            <w:shd w:val="clear" w:color="auto" w:fill="auto"/>
            <w:vAlign w:val="center"/>
          </w:tcPr>
          <w:p w14:paraId="601C0848"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99</w:t>
            </w:r>
          </w:p>
        </w:tc>
        <w:tc>
          <w:tcPr>
            <w:tcW w:w="1417" w:type="dxa"/>
            <w:tcBorders>
              <w:top w:val="nil"/>
              <w:left w:val="nil"/>
              <w:bottom w:val="single" w:sz="8" w:space="0" w:color="D3D3D3"/>
              <w:right w:val="single" w:sz="8" w:space="0" w:color="D3D3D3"/>
            </w:tcBorders>
            <w:shd w:val="clear" w:color="auto" w:fill="auto"/>
            <w:vAlign w:val="center"/>
          </w:tcPr>
          <w:p w14:paraId="2E7691D7"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22,906</w:t>
            </w:r>
          </w:p>
        </w:tc>
      </w:tr>
      <w:tr w:rsidR="0056738E" w:rsidRPr="00DE2C53" w14:paraId="78532515" w14:textId="77777777" w:rsidTr="007C2AEE">
        <w:trPr>
          <w:trHeight w:val="227"/>
          <w:jc w:val="center"/>
        </w:trPr>
        <w:tc>
          <w:tcPr>
            <w:tcW w:w="2977" w:type="dxa"/>
            <w:shd w:val="clear" w:color="auto" w:fill="FFFFFF"/>
            <w:vAlign w:val="center"/>
          </w:tcPr>
          <w:p w14:paraId="5DF8FE8F"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eastAsia="el-GR"/>
              </w:rPr>
            </w:pPr>
            <w:r w:rsidRPr="009B5694">
              <w:rPr>
                <w:rFonts w:ascii="Arial" w:eastAsia="Batang" w:hAnsi="Arial" w:cs="Arial"/>
                <w:color w:val="262626"/>
                <w:sz w:val="18"/>
                <w:szCs w:val="18"/>
                <w:lang w:eastAsia="el-GR"/>
              </w:rPr>
              <w:t xml:space="preserve">- </w:t>
            </w:r>
            <w:r w:rsidRPr="009B5694">
              <w:rPr>
                <w:rFonts w:ascii="Arial" w:hAnsi="Arial" w:cs="Arial"/>
                <w:color w:val="262626"/>
                <w:sz w:val="18"/>
                <w:szCs w:val="18"/>
                <w:lang w:val="el-GR"/>
              </w:rPr>
              <w:t>στεγαστικά</w:t>
            </w:r>
          </w:p>
        </w:tc>
        <w:tc>
          <w:tcPr>
            <w:tcW w:w="1134" w:type="dxa"/>
            <w:tcBorders>
              <w:top w:val="nil"/>
              <w:left w:val="nil"/>
              <w:bottom w:val="single" w:sz="8" w:space="0" w:color="D3D3D3"/>
              <w:right w:val="single" w:sz="8" w:space="0" w:color="D3D3D3"/>
            </w:tcBorders>
            <w:shd w:val="clear" w:color="auto" w:fill="auto"/>
            <w:vAlign w:val="center"/>
          </w:tcPr>
          <w:p w14:paraId="344A9F66"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45,621</w:t>
            </w:r>
          </w:p>
        </w:tc>
        <w:tc>
          <w:tcPr>
            <w:tcW w:w="1134" w:type="dxa"/>
            <w:tcBorders>
              <w:top w:val="nil"/>
              <w:left w:val="nil"/>
              <w:bottom w:val="single" w:sz="8" w:space="0" w:color="D3D3D3"/>
              <w:right w:val="single" w:sz="8" w:space="0" w:color="D3D3D3"/>
            </w:tcBorders>
            <w:shd w:val="clear" w:color="auto" w:fill="auto"/>
            <w:vAlign w:val="center"/>
          </w:tcPr>
          <w:p w14:paraId="2DD1D1AA"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nil"/>
              <w:left w:val="nil"/>
              <w:bottom w:val="single" w:sz="8" w:space="0" w:color="D3D3D3"/>
              <w:right w:val="single" w:sz="8" w:space="0" w:color="D3D3D3"/>
            </w:tcBorders>
            <w:shd w:val="clear" w:color="auto" w:fill="auto"/>
            <w:vAlign w:val="center"/>
          </w:tcPr>
          <w:p w14:paraId="656536C7"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764</w:t>
            </w:r>
          </w:p>
        </w:tc>
        <w:tc>
          <w:tcPr>
            <w:tcW w:w="1134" w:type="dxa"/>
            <w:tcBorders>
              <w:top w:val="nil"/>
              <w:left w:val="nil"/>
              <w:bottom w:val="single" w:sz="8" w:space="0" w:color="D3D3D3"/>
              <w:right w:val="single" w:sz="8" w:space="0" w:color="D3D3D3"/>
            </w:tcBorders>
            <w:shd w:val="clear" w:color="auto" w:fill="auto"/>
            <w:vAlign w:val="center"/>
          </w:tcPr>
          <w:p w14:paraId="76F37031"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124</w:t>
            </w:r>
          </w:p>
        </w:tc>
        <w:tc>
          <w:tcPr>
            <w:tcW w:w="1134" w:type="dxa"/>
            <w:tcBorders>
              <w:top w:val="nil"/>
              <w:left w:val="nil"/>
              <w:bottom w:val="single" w:sz="8" w:space="0" w:color="D3D3D3"/>
              <w:right w:val="single" w:sz="8" w:space="0" w:color="D3D3D3"/>
            </w:tcBorders>
            <w:shd w:val="clear" w:color="auto" w:fill="auto"/>
            <w:vAlign w:val="center"/>
          </w:tcPr>
          <w:p w14:paraId="74240A53"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105</w:t>
            </w:r>
          </w:p>
        </w:tc>
        <w:tc>
          <w:tcPr>
            <w:tcW w:w="1417" w:type="dxa"/>
            <w:tcBorders>
              <w:top w:val="nil"/>
              <w:left w:val="nil"/>
              <w:bottom w:val="single" w:sz="8" w:space="0" w:color="D3D3D3"/>
              <w:right w:val="single" w:sz="8" w:space="0" w:color="D3D3D3"/>
            </w:tcBorders>
            <w:shd w:val="clear" w:color="auto" w:fill="auto"/>
            <w:vAlign w:val="center"/>
          </w:tcPr>
          <w:p w14:paraId="25ACFC2E"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46,614</w:t>
            </w:r>
          </w:p>
        </w:tc>
      </w:tr>
      <w:tr w:rsidR="0056738E" w:rsidRPr="00DE2C53" w14:paraId="40114C7F" w14:textId="77777777" w:rsidTr="007C2AEE">
        <w:trPr>
          <w:trHeight w:val="227"/>
          <w:jc w:val="center"/>
        </w:trPr>
        <w:tc>
          <w:tcPr>
            <w:tcW w:w="2977" w:type="dxa"/>
            <w:shd w:val="clear" w:color="auto" w:fill="FFFFFF"/>
            <w:vAlign w:val="center"/>
          </w:tcPr>
          <w:p w14:paraId="28C2958F" w14:textId="77777777" w:rsidR="0056738E" w:rsidRPr="00151E9A" w:rsidRDefault="0056738E" w:rsidP="007C2AEE">
            <w:pPr>
              <w:numPr>
                <w:ilvl w:val="12"/>
                <w:numId w:val="0"/>
              </w:numPr>
              <w:shd w:val="clear" w:color="auto" w:fill="FFFFFF"/>
              <w:tabs>
                <w:tab w:val="left" w:pos="0"/>
                <w:tab w:val="left" w:pos="284"/>
                <w:tab w:val="left" w:pos="1416"/>
                <w:tab w:val="decimal" w:pos="4962"/>
                <w:tab w:val="decimal" w:pos="6521"/>
                <w:tab w:val="right" w:pos="7560"/>
                <w:tab w:val="decimal" w:pos="8220"/>
                <w:tab w:val="left" w:pos="8640"/>
                <w:tab w:val="right" w:pos="9000"/>
              </w:tabs>
              <w:suppressAutoHyphens/>
              <w:spacing w:after="0" w:line="240" w:lineRule="auto"/>
              <w:rPr>
                <w:rFonts w:ascii="Arial" w:eastAsia="Batang" w:hAnsi="Arial" w:cs="Arial"/>
                <w:color w:val="262626"/>
                <w:sz w:val="18"/>
                <w:szCs w:val="18"/>
                <w:lang w:eastAsia="el-GR"/>
              </w:rPr>
            </w:pPr>
            <w:r w:rsidRPr="009B5694">
              <w:rPr>
                <w:rFonts w:ascii="Arial" w:hAnsi="Arial" w:cs="Arial"/>
                <w:color w:val="262626"/>
                <w:sz w:val="18"/>
                <w:szCs w:val="18"/>
                <w:lang w:val="el-GR"/>
              </w:rPr>
              <w:t>- λοιπά καταναλωτικά</w:t>
            </w:r>
          </w:p>
        </w:tc>
        <w:tc>
          <w:tcPr>
            <w:tcW w:w="1134" w:type="dxa"/>
            <w:tcBorders>
              <w:top w:val="nil"/>
              <w:left w:val="nil"/>
              <w:bottom w:val="single" w:sz="8" w:space="0" w:color="D3D3D3"/>
              <w:right w:val="single" w:sz="8" w:space="0" w:color="D3D3D3"/>
            </w:tcBorders>
            <w:shd w:val="clear" w:color="auto" w:fill="auto"/>
            <w:vAlign w:val="center"/>
          </w:tcPr>
          <w:p w14:paraId="4BF05D66"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16,250</w:t>
            </w:r>
          </w:p>
        </w:tc>
        <w:tc>
          <w:tcPr>
            <w:tcW w:w="1134" w:type="dxa"/>
            <w:tcBorders>
              <w:top w:val="nil"/>
              <w:left w:val="nil"/>
              <w:bottom w:val="single" w:sz="8" w:space="0" w:color="D3D3D3"/>
              <w:right w:val="single" w:sz="8" w:space="0" w:color="D3D3D3"/>
            </w:tcBorders>
            <w:shd w:val="clear" w:color="auto" w:fill="auto"/>
            <w:vAlign w:val="center"/>
          </w:tcPr>
          <w:p w14:paraId="5F3BF2B6"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nil"/>
              <w:left w:val="nil"/>
              <w:bottom w:val="single" w:sz="8" w:space="0" w:color="D3D3D3"/>
              <w:right w:val="single" w:sz="8" w:space="0" w:color="D3D3D3"/>
            </w:tcBorders>
            <w:shd w:val="clear" w:color="auto" w:fill="auto"/>
            <w:vAlign w:val="center"/>
          </w:tcPr>
          <w:p w14:paraId="19DB1619"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3</w:t>
            </w:r>
          </w:p>
        </w:tc>
        <w:tc>
          <w:tcPr>
            <w:tcW w:w="1134" w:type="dxa"/>
            <w:tcBorders>
              <w:top w:val="nil"/>
              <w:left w:val="nil"/>
              <w:bottom w:val="single" w:sz="8" w:space="0" w:color="D3D3D3"/>
              <w:right w:val="single" w:sz="8" w:space="0" w:color="D3D3D3"/>
            </w:tcBorders>
            <w:shd w:val="clear" w:color="auto" w:fill="auto"/>
            <w:vAlign w:val="center"/>
          </w:tcPr>
          <w:p w14:paraId="04EB78BB"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nil"/>
              <w:left w:val="nil"/>
              <w:bottom w:val="single" w:sz="8" w:space="0" w:color="D3D3D3"/>
              <w:right w:val="single" w:sz="8" w:space="0" w:color="D3D3D3"/>
            </w:tcBorders>
            <w:shd w:val="clear" w:color="auto" w:fill="auto"/>
            <w:vAlign w:val="center"/>
          </w:tcPr>
          <w:p w14:paraId="58834186"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29</w:t>
            </w:r>
          </w:p>
        </w:tc>
        <w:tc>
          <w:tcPr>
            <w:tcW w:w="1417" w:type="dxa"/>
            <w:tcBorders>
              <w:top w:val="nil"/>
              <w:left w:val="nil"/>
              <w:bottom w:val="single" w:sz="8" w:space="0" w:color="D3D3D3"/>
              <w:right w:val="single" w:sz="8" w:space="0" w:color="D3D3D3"/>
            </w:tcBorders>
            <w:shd w:val="clear" w:color="auto" w:fill="auto"/>
            <w:vAlign w:val="center"/>
          </w:tcPr>
          <w:p w14:paraId="3E75963C"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16,282</w:t>
            </w:r>
          </w:p>
        </w:tc>
      </w:tr>
      <w:tr w:rsidR="0056738E" w:rsidRPr="00DE2C53" w14:paraId="0EA29EC0" w14:textId="77777777" w:rsidTr="007C2AEE">
        <w:trPr>
          <w:trHeight w:val="227"/>
          <w:jc w:val="center"/>
        </w:trPr>
        <w:tc>
          <w:tcPr>
            <w:tcW w:w="2977" w:type="dxa"/>
            <w:shd w:val="clear" w:color="auto" w:fill="FFFFFF"/>
            <w:vAlign w:val="center"/>
          </w:tcPr>
          <w:p w14:paraId="72B06FA9" w14:textId="77777777" w:rsidR="0056738E" w:rsidRPr="00151E9A" w:rsidRDefault="0056738E" w:rsidP="007C2AEE">
            <w:pPr>
              <w:numPr>
                <w:ilvl w:val="12"/>
                <w:numId w:val="0"/>
              </w:numPr>
              <w:shd w:val="clear" w:color="auto" w:fill="FFFFFF"/>
              <w:tabs>
                <w:tab w:val="left" w:pos="0"/>
                <w:tab w:val="left" w:pos="284"/>
                <w:tab w:val="left" w:pos="1416"/>
                <w:tab w:val="decimal" w:pos="4962"/>
                <w:tab w:val="decimal" w:pos="6521"/>
                <w:tab w:val="right" w:pos="7560"/>
                <w:tab w:val="decimal" w:pos="8220"/>
                <w:tab w:val="left" w:pos="8640"/>
                <w:tab w:val="right" w:pos="9000"/>
              </w:tabs>
              <w:suppressAutoHyphen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Αν</w:t>
            </w:r>
            <w:proofErr w:type="spellEnd"/>
            <w:r w:rsidRPr="009B5694">
              <w:rPr>
                <w:rFonts w:ascii="Arial" w:hAnsi="Arial" w:cs="Arial"/>
                <w:color w:val="262626"/>
                <w:sz w:val="18"/>
                <w:szCs w:val="18"/>
                <w:lang w:val="en-US"/>
              </w:rPr>
              <w:t xml:space="preserve">ακτήσεις </w:t>
            </w:r>
            <w:proofErr w:type="spellStart"/>
            <w:r w:rsidRPr="009B5694">
              <w:rPr>
                <w:rFonts w:ascii="Arial" w:hAnsi="Arial" w:cs="Arial"/>
                <w:color w:val="262626"/>
                <w:sz w:val="18"/>
                <w:szCs w:val="18"/>
                <w:lang w:val="en-US"/>
              </w:rPr>
              <w:t>χρεών</w:t>
            </w:r>
            <w:proofErr w:type="spellEnd"/>
          </w:p>
        </w:tc>
        <w:tc>
          <w:tcPr>
            <w:tcW w:w="1134" w:type="dxa"/>
            <w:tcBorders>
              <w:top w:val="nil"/>
              <w:left w:val="nil"/>
              <w:bottom w:val="single" w:sz="8" w:space="0" w:color="D3D3D3"/>
              <w:right w:val="single" w:sz="8" w:space="0" w:color="D3D3D3"/>
            </w:tcBorders>
            <w:shd w:val="clear" w:color="auto" w:fill="auto"/>
            <w:vAlign w:val="center"/>
          </w:tcPr>
          <w:p w14:paraId="75B8AA31"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tcBorders>
              <w:top w:val="nil"/>
              <w:left w:val="nil"/>
              <w:bottom w:val="single" w:sz="8" w:space="0" w:color="D3D3D3"/>
              <w:right w:val="single" w:sz="8" w:space="0" w:color="D3D3D3"/>
            </w:tcBorders>
            <w:shd w:val="clear" w:color="auto" w:fill="auto"/>
            <w:vAlign w:val="center"/>
          </w:tcPr>
          <w:p w14:paraId="4866071F"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tcBorders>
              <w:top w:val="nil"/>
              <w:left w:val="nil"/>
              <w:bottom w:val="single" w:sz="8" w:space="0" w:color="D3D3D3"/>
              <w:right w:val="single" w:sz="8" w:space="0" w:color="D3D3D3"/>
            </w:tcBorders>
            <w:shd w:val="clear" w:color="auto" w:fill="auto"/>
            <w:vAlign w:val="center"/>
          </w:tcPr>
          <w:p w14:paraId="0D2C0AB4"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tcBorders>
              <w:top w:val="nil"/>
              <w:left w:val="nil"/>
              <w:bottom w:val="single" w:sz="8" w:space="0" w:color="D3D3D3"/>
              <w:right w:val="single" w:sz="8" w:space="0" w:color="D3D3D3"/>
            </w:tcBorders>
            <w:shd w:val="clear" w:color="auto" w:fill="auto"/>
            <w:vAlign w:val="center"/>
          </w:tcPr>
          <w:p w14:paraId="6DA35815"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tcBorders>
              <w:top w:val="nil"/>
              <w:left w:val="nil"/>
              <w:bottom w:val="single" w:sz="8" w:space="0" w:color="D3D3D3"/>
              <w:right w:val="single" w:sz="8" w:space="0" w:color="D3D3D3"/>
            </w:tcBorders>
            <w:shd w:val="clear" w:color="auto" w:fill="auto"/>
            <w:vAlign w:val="center"/>
          </w:tcPr>
          <w:p w14:paraId="2E76FC6A"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417" w:type="dxa"/>
            <w:tcBorders>
              <w:top w:val="nil"/>
              <w:left w:val="nil"/>
              <w:bottom w:val="single" w:sz="8" w:space="0" w:color="D3D3D3"/>
              <w:right w:val="single" w:sz="8" w:space="0" w:color="D3D3D3"/>
            </w:tcBorders>
            <w:shd w:val="clear" w:color="auto" w:fill="auto"/>
            <w:vAlign w:val="center"/>
          </w:tcPr>
          <w:p w14:paraId="25BE3FCF"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p>
        </w:tc>
      </w:tr>
      <w:tr w:rsidR="0056738E" w:rsidRPr="00DE2C53" w14:paraId="4EAE71EF" w14:textId="77777777" w:rsidTr="007C2AEE">
        <w:trPr>
          <w:trHeight w:val="255"/>
          <w:jc w:val="center"/>
        </w:trPr>
        <w:tc>
          <w:tcPr>
            <w:tcW w:w="2977" w:type="dxa"/>
            <w:shd w:val="clear" w:color="auto" w:fill="FFFFFF"/>
            <w:vAlign w:val="center"/>
          </w:tcPr>
          <w:p w14:paraId="0FB0E838"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eastAsia="el-GR"/>
              </w:rPr>
            </w:pPr>
            <w:r w:rsidRPr="009B5694">
              <w:rPr>
                <w:rFonts w:ascii="Arial" w:eastAsia="Batang" w:hAnsi="Arial" w:cs="Arial"/>
                <w:color w:val="262626"/>
                <w:sz w:val="18"/>
                <w:szCs w:val="18"/>
                <w:lang w:eastAsia="el-GR"/>
              </w:rPr>
              <w:t xml:space="preserve">- </w:t>
            </w:r>
            <w:proofErr w:type="spellStart"/>
            <w:r w:rsidRPr="009B5694">
              <w:rPr>
                <w:rFonts w:ascii="Arial" w:hAnsi="Arial" w:cs="Arial"/>
                <w:color w:val="262626"/>
                <w:sz w:val="18"/>
                <w:szCs w:val="18"/>
                <w:lang w:val="en-US"/>
              </w:rPr>
              <w:t>μεγάλες</w:t>
            </w:r>
            <w:proofErr w:type="spellEnd"/>
            <w:r w:rsidRPr="009B5694">
              <w:rPr>
                <w:rFonts w:ascii="Arial" w:hAnsi="Arial" w:cs="Arial"/>
                <w:color w:val="262626"/>
                <w:sz w:val="18"/>
                <w:szCs w:val="18"/>
                <w:lang w:val="en-US"/>
              </w:rPr>
              <w:t xml:space="preserve"> επ</w:t>
            </w:r>
            <w:proofErr w:type="spellStart"/>
            <w:r w:rsidRPr="009B5694">
              <w:rPr>
                <w:rFonts w:ascii="Arial" w:hAnsi="Arial" w:cs="Arial"/>
                <w:color w:val="262626"/>
                <w:sz w:val="18"/>
                <w:szCs w:val="18"/>
                <w:lang w:val="en-US"/>
              </w:rPr>
              <w:t>ιχειρήσεις</w:t>
            </w:r>
            <w:proofErr w:type="spellEnd"/>
          </w:p>
        </w:tc>
        <w:tc>
          <w:tcPr>
            <w:tcW w:w="1134" w:type="dxa"/>
            <w:tcBorders>
              <w:top w:val="nil"/>
              <w:left w:val="nil"/>
              <w:bottom w:val="single" w:sz="8" w:space="0" w:color="D3D3D3"/>
              <w:right w:val="single" w:sz="8" w:space="0" w:color="D3D3D3"/>
            </w:tcBorders>
            <w:shd w:val="clear" w:color="auto" w:fill="auto"/>
            <w:vAlign w:val="center"/>
          </w:tcPr>
          <w:p w14:paraId="10C9763A"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4,035</w:t>
            </w:r>
          </w:p>
        </w:tc>
        <w:tc>
          <w:tcPr>
            <w:tcW w:w="1134" w:type="dxa"/>
            <w:tcBorders>
              <w:top w:val="nil"/>
              <w:left w:val="nil"/>
              <w:bottom w:val="single" w:sz="8" w:space="0" w:color="D3D3D3"/>
              <w:right w:val="single" w:sz="8" w:space="0" w:color="D3D3D3"/>
            </w:tcBorders>
            <w:shd w:val="clear" w:color="auto" w:fill="auto"/>
            <w:vAlign w:val="center"/>
          </w:tcPr>
          <w:p w14:paraId="1BC9464C"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w:t>
            </w:r>
          </w:p>
        </w:tc>
        <w:tc>
          <w:tcPr>
            <w:tcW w:w="1134" w:type="dxa"/>
            <w:tcBorders>
              <w:top w:val="nil"/>
              <w:left w:val="nil"/>
              <w:bottom w:val="single" w:sz="8" w:space="0" w:color="D3D3D3"/>
              <w:right w:val="single" w:sz="8" w:space="0" w:color="D3D3D3"/>
            </w:tcBorders>
            <w:shd w:val="clear" w:color="auto" w:fill="auto"/>
            <w:vAlign w:val="center"/>
          </w:tcPr>
          <w:p w14:paraId="139A8011"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32</w:t>
            </w:r>
          </w:p>
        </w:tc>
        <w:tc>
          <w:tcPr>
            <w:tcW w:w="1134" w:type="dxa"/>
            <w:tcBorders>
              <w:top w:val="nil"/>
              <w:left w:val="nil"/>
              <w:bottom w:val="single" w:sz="8" w:space="0" w:color="D3D3D3"/>
              <w:right w:val="single" w:sz="8" w:space="0" w:color="D3D3D3"/>
            </w:tcBorders>
            <w:shd w:val="clear" w:color="auto" w:fill="auto"/>
            <w:vAlign w:val="center"/>
          </w:tcPr>
          <w:p w14:paraId="292FD755"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158</w:t>
            </w:r>
          </w:p>
        </w:tc>
        <w:tc>
          <w:tcPr>
            <w:tcW w:w="1134" w:type="dxa"/>
            <w:tcBorders>
              <w:top w:val="nil"/>
              <w:left w:val="nil"/>
              <w:bottom w:val="single" w:sz="8" w:space="0" w:color="D3D3D3"/>
              <w:right w:val="single" w:sz="8" w:space="0" w:color="D3D3D3"/>
            </w:tcBorders>
            <w:shd w:val="clear" w:color="auto" w:fill="auto"/>
            <w:vAlign w:val="center"/>
          </w:tcPr>
          <w:p w14:paraId="2B649279"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283</w:t>
            </w:r>
          </w:p>
        </w:tc>
        <w:tc>
          <w:tcPr>
            <w:tcW w:w="1417" w:type="dxa"/>
            <w:tcBorders>
              <w:top w:val="nil"/>
              <w:left w:val="nil"/>
              <w:bottom w:val="single" w:sz="8" w:space="0" w:color="D3D3D3"/>
              <w:right w:val="single" w:sz="8" w:space="0" w:color="D3D3D3"/>
            </w:tcBorders>
            <w:shd w:val="clear" w:color="auto" w:fill="auto"/>
            <w:vAlign w:val="center"/>
          </w:tcPr>
          <w:p w14:paraId="4C540772"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4,508</w:t>
            </w:r>
          </w:p>
        </w:tc>
      </w:tr>
      <w:tr w:rsidR="0056738E" w:rsidRPr="00DE2C53" w14:paraId="703DDBBE" w14:textId="77777777" w:rsidTr="007C2AEE">
        <w:trPr>
          <w:trHeight w:val="227"/>
          <w:jc w:val="center"/>
        </w:trPr>
        <w:tc>
          <w:tcPr>
            <w:tcW w:w="2977" w:type="dxa"/>
            <w:shd w:val="clear" w:color="auto" w:fill="FFFFFF"/>
            <w:vAlign w:val="center"/>
          </w:tcPr>
          <w:p w14:paraId="1555CFA5"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eastAsia="el-GR"/>
              </w:rPr>
            </w:pPr>
            <w:r w:rsidRPr="009B5694">
              <w:rPr>
                <w:rFonts w:ascii="Arial" w:eastAsia="Batang" w:hAnsi="Arial" w:cs="Arial"/>
                <w:color w:val="262626"/>
                <w:sz w:val="18"/>
                <w:szCs w:val="18"/>
                <w:lang w:eastAsia="el-GR"/>
              </w:rPr>
              <w:t xml:space="preserve">- </w:t>
            </w:r>
            <w:proofErr w:type="spellStart"/>
            <w:r w:rsidRPr="009B5694">
              <w:rPr>
                <w:rFonts w:ascii="Arial" w:hAnsi="Arial" w:cs="Arial"/>
                <w:color w:val="262626"/>
                <w:sz w:val="18"/>
                <w:szCs w:val="18"/>
                <w:lang w:val="en-US"/>
              </w:rPr>
              <w:t>μικρομεσ</w:t>
            </w:r>
            <w:proofErr w:type="spellEnd"/>
            <w:r w:rsidRPr="009B5694">
              <w:rPr>
                <w:rFonts w:ascii="Arial" w:hAnsi="Arial" w:cs="Arial"/>
                <w:color w:val="262626"/>
                <w:sz w:val="18"/>
                <w:szCs w:val="18"/>
                <w:lang w:val="en-US"/>
              </w:rPr>
              <w:t>αίες επ</w:t>
            </w:r>
            <w:proofErr w:type="spellStart"/>
            <w:r w:rsidRPr="009B5694">
              <w:rPr>
                <w:rFonts w:ascii="Arial" w:hAnsi="Arial" w:cs="Arial"/>
                <w:color w:val="262626"/>
                <w:sz w:val="18"/>
                <w:szCs w:val="18"/>
                <w:lang w:val="en-US"/>
              </w:rPr>
              <w:t>ιχειρήσεις</w:t>
            </w:r>
            <w:proofErr w:type="spellEnd"/>
          </w:p>
        </w:tc>
        <w:tc>
          <w:tcPr>
            <w:tcW w:w="1134" w:type="dxa"/>
            <w:tcBorders>
              <w:top w:val="nil"/>
              <w:left w:val="nil"/>
              <w:bottom w:val="single" w:sz="8" w:space="0" w:color="D3D3D3"/>
              <w:right w:val="single" w:sz="8" w:space="0" w:color="D3D3D3"/>
            </w:tcBorders>
            <w:shd w:val="clear" w:color="auto" w:fill="auto"/>
            <w:vAlign w:val="center"/>
          </w:tcPr>
          <w:p w14:paraId="180B9D0C"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10,130</w:t>
            </w:r>
          </w:p>
        </w:tc>
        <w:tc>
          <w:tcPr>
            <w:tcW w:w="1134" w:type="dxa"/>
            <w:tcBorders>
              <w:top w:val="nil"/>
              <w:left w:val="nil"/>
              <w:bottom w:val="single" w:sz="8" w:space="0" w:color="D3D3D3"/>
              <w:right w:val="single" w:sz="8" w:space="0" w:color="D3D3D3"/>
            </w:tcBorders>
            <w:shd w:val="clear" w:color="auto" w:fill="auto"/>
            <w:vAlign w:val="center"/>
          </w:tcPr>
          <w:p w14:paraId="1094A05E"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w:t>
            </w:r>
          </w:p>
        </w:tc>
        <w:tc>
          <w:tcPr>
            <w:tcW w:w="1134" w:type="dxa"/>
            <w:tcBorders>
              <w:top w:val="nil"/>
              <w:left w:val="nil"/>
              <w:bottom w:val="single" w:sz="8" w:space="0" w:color="D3D3D3"/>
              <w:right w:val="single" w:sz="8" w:space="0" w:color="D3D3D3"/>
            </w:tcBorders>
            <w:shd w:val="clear" w:color="auto" w:fill="auto"/>
            <w:vAlign w:val="center"/>
          </w:tcPr>
          <w:p w14:paraId="30D8E2CF"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750</w:t>
            </w:r>
          </w:p>
        </w:tc>
        <w:tc>
          <w:tcPr>
            <w:tcW w:w="1134" w:type="dxa"/>
            <w:tcBorders>
              <w:top w:val="nil"/>
              <w:left w:val="nil"/>
              <w:bottom w:val="single" w:sz="8" w:space="0" w:color="D3D3D3"/>
              <w:right w:val="single" w:sz="8" w:space="0" w:color="D3D3D3"/>
            </w:tcBorders>
            <w:shd w:val="clear" w:color="auto" w:fill="auto"/>
            <w:vAlign w:val="center"/>
          </w:tcPr>
          <w:p w14:paraId="0B81DC92"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1,271</w:t>
            </w:r>
          </w:p>
        </w:tc>
        <w:tc>
          <w:tcPr>
            <w:tcW w:w="1134" w:type="dxa"/>
            <w:tcBorders>
              <w:top w:val="nil"/>
              <w:left w:val="nil"/>
              <w:bottom w:val="single" w:sz="8" w:space="0" w:color="D3D3D3"/>
              <w:right w:val="single" w:sz="8" w:space="0" w:color="D3D3D3"/>
            </w:tcBorders>
            <w:shd w:val="clear" w:color="auto" w:fill="auto"/>
            <w:vAlign w:val="center"/>
          </w:tcPr>
          <w:p w14:paraId="0FF77774"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1,032</w:t>
            </w:r>
          </w:p>
        </w:tc>
        <w:tc>
          <w:tcPr>
            <w:tcW w:w="1417" w:type="dxa"/>
            <w:tcBorders>
              <w:top w:val="nil"/>
              <w:left w:val="nil"/>
              <w:bottom w:val="single" w:sz="8" w:space="0" w:color="D3D3D3"/>
              <w:right w:val="single" w:sz="8" w:space="0" w:color="D3D3D3"/>
            </w:tcBorders>
            <w:shd w:val="clear" w:color="auto" w:fill="auto"/>
            <w:vAlign w:val="center"/>
          </w:tcPr>
          <w:p w14:paraId="23AE4947"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13,184</w:t>
            </w:r>
          </w:p>
        </w:tc>
      </w:tr>
      <w:tr w:rsidR="0056738E" w:rsidRPr="00DE2C53" w14:paraId="7656DB55" w14:textId="77777777" w:rsidTr="007C2AEE">
        <w:trPr>
          <w:trHeight w:val="227"/>
          <w:jc w:val="center"/>
        </w:trPr>
        <w:tc>
          <w:tcPr>
            <w:tcW w:w="2977" w:type="dxa"/>
            <w:shd w:val="clear" w:color="auto" w:fill="FFFFFF"/>
            <w:vAlign w:val="center"/>
          </w:tcPr>
          <w:p w14:paraId="1023F5A6"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eastAsia="el-GR"/>
              </w:rPr>
            </w:pPr>
            <w:r w:rsidRPr="009B5694">
              <w:rPr>
                <w:rFonts w:ascii="Arial" w:eastAsia="Batang" w:hAnsi="Arial" w:cs="Arial"/>
                <w:color w:val="262626"/>
                <w:sz w:val="18"/>
                <w:szCs w:val="18"/>
                <w:lang w:eastAsia="el-GR"/>
              </w:rPr>
              <w:t xml:space="preserve">- </w:t>
            </w:r>
            <w:proofErr w:type="spellStart"/>
            <w:r w:rsidRPr="009B5694">
              <w:rPr>
                <w:rFonts w:ascii="Arial" w:hAnsi="Arial" w:cs="Arial"/>
                <w:color w:val="262626"/>
                <w:sz w:val="18"/>
                <w:szCs w:val="18"/>
                <w:lang w:val="en-US"/>
              </w:rPr>
              <w:t>στεγ</w:t>
            </w:r>
            <w:proofErr w:type="spellEnd"/>
            <w:r w:rsidRPr="009B5694">
              <w:rPr>
                <w:rFonts w:ascii="Arial" w:hAnsi="Arial" w:cs="Arial"/>
                <w:color w:val="262626"/>
                <w:sz w:val="18"/>
                <w:szCs w:val="18"/>
                <w:lang w:val="en-US"/>
              </w:rPr>
              <w:t>αστικά</w:t>
            </w:r>
          </w:p>
        </w:tc>
        <w:tc>
          <w:tcPr>
            <w:tcW w:w="1134" w:type="dxa"/>
            <w:tcBorders>
              <w:top w:val="nil"/>
              <w:left w:val="nil"/>
              <w:bottom w:val="single" w:sz="8" w:space="0" w:color="D3D3D3"/>
              <w:right w:val="single" w:sz="8" w:space="0" w:color="D3D3D3"/>
            </w:tcBorders>
            <w:shd w:val="clear" w:color="auto" w:fill="auto"/>
            <w:vAlign w:val="center"/>
          </w:tcPr>
          <w:p w14:paraId="4E938AE4"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43,366</w:t>
            </w:r>
          </w:p>
        </w:tc>
        <w:tc>
          <w:tcPr>
            <w:tcW w:w="1134" w:type="dxa"/>
            <w:tcBorders>
              <w:top w:val="nil"/>
              <w:left w:val="nil"/>
              <w:bottom w:val="single" w:sz="8" w:space="0" w:color="D3D3D3"/>
              <w:right w:val="single" w:sz="8" w:space="0" w:color="D3D3D3"/>
            </w:tcBorders>
            <w:shd w:val="clear" w:color="auto" w:fill="auto"/>
            <w:vAlign w:val="center"/>
          </w:tcPr>
          <w:p w14:paraId="0D441F67"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135</w:t>
            </w:r>
          </w:p>
        </w:tc>
        <w:tc>
          <w:tcPr>
            <w:tcW w:w="1134" w:type="dxa"/>
            <w:tcBorders>
              <w:top w:val="nil"/>
              <w:left w:val="nil"/>
              <w:bottom w:val="single" w:sz="8" w:space="0" w:color="D3D3D3"/>
              <w:right w:val="single" w:sz="8" w:space="0" w:color="D3D3D3"/>
            </w:tcBorders>
            <w:shd w:val="clear" w:color="auto" w:fill="auto"/>
            <w:vAlign w:val="center"/>
          </w:tcPr>
          <w:p w14:paraId="09756C57"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6,337</w:t>
            </w:r>
          </w:p>
        </w:tc>
        <w:tc>
          <w:tcPr>
            <w:tcW w:w="1134" w:type="dxa"/>
            <w:tcBorders>
              <w:top w:val="nil"/>
              <w:left w:val="nil"/>
              <w:bottom w:val="single" w:sz="8" w:space="0" w:color="D3D3D3"/>
              <w:right w:val="single" w:sz="8" w:space="0" w:color="D3D3D3"/>
            </w:tcBorders>
            <w:shd w:val="clear" w:color="auto" w:fill="auto"/>
            <w:vAlign w:val="center"/>
          </w:tcPr>
          <w:p w14:paraId="78CA08BD"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1,805</w:t>
            </w:r>
          </w:p>
        </w:tc>
        <w:tc>
          <w:tcPr>
            <w:tcW w:w="1134" w:type="dxa"/>
            <w:tcBorders>
              <w:top w:val="nil"/>
              <w:left w:val="nil"/>
              <w:bottom w:val="single" w:sz="8" w:space="0" w:color="D3D3D3"/>
              <w:right w:val="single" w:sz="8" w:space="0" w:color="D3D3D3"/>
            </w:tcBorders>
            <w:shd w:val="clear" w:color="auto" w:fill="auto"/>
            <w:vAlign w:val="center"/>
          </w:tcPr>
          <w:p w14:paraId="79BE3145"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6,068</w:t>
            </w:r>
          </w:p>
        </w:tc>
        <w:tc>
          <w:tcPr>
            <w:tcW w:w="1417" w:type="dxa"/>
            <w:tcBorders>
              <w:top w:val="nil"/>
              <w:left w:val="nil"/>
              <w:bottom w:val="single" w:sz="8" w:space="0" w:color="D3D3D3"/>
              <w:right w:val="single" w:sz="8" w:space="0" w:color="D3D3D3"/>
            </w:tcBorders>
            <w:shd w:val="clear" w:color="auto" w:fill="auto"/>
            <w:vAlign w:val="center"/>
          </w:tcPr>
          <w:p w14:paraId="10751297"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57,711</w:t>
            </w:r>
          </w:p>
        </w:tc>
      </w:tr>
      <w:tr w:rsidR="0056738E" w:rsidRPr="00DE2C53" w14:paraId="1B239514" w14:textId="77777777" w:rsidTr="007C2AEE">
        <w:trPr>
          <w:trHeight w:val="227"/>
          <w:jc w:val="center"/>
        </w:trPr>
        <w:tc>
          <w:tcPr>
            <w:tcW w:w="2977" w:type="dxa"/>
            <w:shd w:val="clear" w:color="auto" w:fill="FFFFFF"/>
            <w:vAlign w:val="center"/>
          </w:tcPr>
          <w:p w14:paraId="7D2939B8" w14:textId="77777777" w:rsidR="0056738E" w:rsidRPr="00151E9A"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eastAsia="el-GR"/>
              </w:rPr>
            </w:pPr>
            <w:r w:rsidRPr="009B5694">
              <w:rPr>
                <w:rFonts w:ascii="Arial" w:eastAsia="Batang" w:hAnsi="Arial" w:cs="Arial"/>
                <w:color w:val="262626"/>
                <w:sz w:val="18"/>
                <w:szCs w:val="18"/>
                <w:lang w:eastAsia="el-GR"/>
              </w:rPr>
              <w:t xml:space="preserve">- </w:t>
            </w:r>
            <w:proofErr w:type="spellStart"/>
            <w:r w:rsidRPr="009B5694">
              <w:rPr>
                <w:rFonts w:ascii="Arial" w:hAnsi="Arial" w:cs="Arial"/>
                <w:color w:val="262626"/>
                <w:sz w:val="18"/>
                <w:szCs w:val="18"/>
                <w:lang w:val="en-US"/>
              </w:rPr>
              <w:t>λοι</w:t>
            </w:r>
            <w:proofErr w:type="spellEnd"/>
            <w:r w:rsidRPr="009B5694">
              <w:rPr>
                <w:rFonts w:ascii="Arial" w:hAnsi="Arial" w:cs="Arial"/>
                <w:color w:val="262626"/>
                <w:sz w:val="18"/>
                <w:szCs w:val="18"/>
                <w:lang w:val="en-US"/>
              </w:rPr>
              <w:t>πά κατανα</w:t>
            </w:r>
            <w:proofErr w:type="spellStart"/>
            <w:r w:rsidRPr="009B5694">
              <w:rPr>
                <w:rFonts w:ascii="Arial" w:hAnsi="Arial" w:cs="Arial"/>
                <w:color w:val="262626"/>
                <w:sz w:val="18"/>
                <w:szCs w:val="18"/>
                <w:lang w:val="en-US"/>
              </w:rPr>
              <w:t>λωτικά</w:t>
            </w:r>
            <w:proofErr w:type="spellEnd"/>
          </w:p>
        </w:tc>
        <w:tc>
          <w:tcPr>
            <w:tcW w:w="1134" w:type="dxa"/>
            <w:tcBorders>
              <w:top w:val="single" w:sz="8" w:space="0" w:color="D3D3D3"/>
              <w:left w:val="nil"/>
              <w:bottom w:val="single" w:sz="6" w:space="0" w:color="auto"/>
              <w:right w:val="single" w:sz="8" w:space="0" w:color="D3D3D3"/>
            </w:tcBorders>
            <w:shd w:val="clear" w:color="auto" w:fill="auto"/>
            <w:vAlign w:val="center"/>
          </w:tcPr>
          <w:p w14:paraId="31985323"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25,524</w:t>
            </w:r>
          </w:p>
        </w:tc>
        <w:tc>
          <w:tcPr>
            <w:tcW w:w="1134" w:type="dxa"/>
            <w:tcBorders>
              <w:top w:val="single" w:sz="8" w:space="0" w:color="D3D3D3"/>
              <w:left w:val="nil"/>
              <w:bottom w:val="single" w:sz="6" w:space="0" w:color="auto"/>
              <w:right w:val="single" w:sz="8" w:space="0" w:color="D3D3D3"/>
            </w:tcBorders>
            <w:shd w:val="clear" w:color="auto" w:fill="auto"/>
            <w:vAlign w:val="center"/>
          </w:tcPr>
          <w:p w14:paraId="3BBA32F7"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21</w:t>
            </w:r>
          </w:p>
        </w:tc>
        <w:tc>
          <w:tcPr>
            <w:tcW w:w="1134" w:type="dxa"/>
            <w:tcBorders>
              <w:top w:val="single" w:sz="8" w:space="0" w:color="D3D3D3"/>
              <w:left w:val="nil"/>
              <w:bottom w:val="single" w:sz="6" w:space="0" w:color="auto"/>
              <w:right w:val="single" w:sz="8" w:space="0" w:color="D3D3D3"/>
            </w:tcBorders>
            <w:shd w:val="clear" w:color="auto" w:fill="auto"/>
            <w:vAlign w:val="center"/>
          </w:tcPr>
          <w:p w14:paraId="714211FB"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563</w:t>
            </w:r>
          </w:p>
        </w:tc>
        <w:tc>
          <w:tcPr>
            <w:tcW w:w="1134" w:type="dxa"/>
            <w:tcBorders>
              <w:top w:val="single" w:sz="8" w:space="0" w:color="D3D3D3"/>
              <w:left w:val="nil"/>
              <w:bottom w:val="single" w:sz="6" w:space="0" w:color="auto"/>
              <w:right w:val="single" w:sz="8" w:space="0" w:color="D3D3D3"/>
            </w:tcBorders>
            <w:shd w:val="clear" w:color="auto" w:fill="auto"/>
            <w:vAlign w:val="center"/>
          </w:tcPr>
          <w:p w14:paraId="0EB8CBBD"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301</w:t>
            </w:r>
          </w:p>
        </w:tc>
        <w:tc>
          <w:tcPr>
            <w:tcW w:w="1134" w:type="dxa"/>
            <w:tcBorders>
              <w:top w:val="single" w:sz="8" w:space="0" w:color="D3D3D3"/>
              <w:left w:val="nil"/>
              <w:bottom w:val="single" w:sz="6" w:space="0" w:color="auto"/>
              <w:right w:val="single" w:sz="8" w:space="0" w:color="D3D3D3"/>
            </w:tcBorders>
            <w:shd w:val="clear" w:color="auto" w:fill="auto"/>
            <w:vAlign w:val="center"/>
          </w:tcPr>
          <w:p w14:paraId="626CC762"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lang w:val="en-US"/>
              </w:rPr>
              <w:t>337</w:t>
            </w:r>
          </w:p>
        </w:tc>
        <w:tc>
          <w:tcPr>
            <w:tcW w:w="1417" w:type="dxa"/>
            <w:tcBorders>
              <w:top w:val="single" w:sz="8" w:space="0" w:color="D3D3D3"/>
              <w:left w:val="nil"/>
              <w:bottom w:val="single" w:sz="6" w:space="0" w:color="auto"/>
              <w:right w:val="single" w:sz="8" w:space="0" w:color="D3D3D3"/>
            </w:tcBorders>
            <w:shd w:val="clear" w:color="auto" w:fill="auto"/>
            <w:vAlign w:val="center"/>
          </w:tcPr>
          <w:p w14:paraId="0229DD83"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26,746</w:t>
            </w:r>
          </w:p>
        </w:tc>
      </w:tr>
      <w:tr w:rsidR="0056738E" w:rsidRPr="00DE2C53" w14:paraId="32936B0C" w14:textId="77777777" w:rsidTr="007C2AEE">
        <w:trPr>
          <w:trHeight w:val="227"/>
          <w:jc w:val="center"/>
        </w:trPr>
        <w:tc>
          <w:tcPr>
            <w:tcW w:w="2977" w:type="dxa"/>
            <w:shd w:val="clear" w:color="auto" w:fill="FFFFFF"/>
            <w:vAlign w:val="center"/>
          </w:tcPr>
          <w:p w14:paraId="3F1AD35F" w14:textId="77777777" w:rsidR="0056738E" w:rsidRPr="00780A2F" w:rsidRDefault="0056738E" w:rsidP="007C2AEE">
            <w:pPr>
              <w:shd w:val="clear" w:color="auto" w:fill="FFFFFF"/>
              <w:tabs>
                <w:tab w:val="left" w:pos="0"/>
                <w:tab w:val="left" w:pos="284"/>
                <w:tab w:val="left" w:pos="2340"/>
                <w:tab w:val="decimal" w:pos="2976"/>
                <w:tab w:val="left" w:pos="4320"/>
                <w:tab w:val="decimal" w:pos="4818"/>
                <w:tab w:val="left" w:pos="6030"/>
                <w:tab w:val="left" w:pos="8100"/>
                <w:tab w:val="left" w:pos="8640"/>
              </w:tabs>
              <w:suppressAutoHyphens/>
              <w:spacing w:after="0" w:line="240" w:lineRule="auto"/>
              <w:rPr>
                <w:rFonts w:ascii="Arial" w:eastAsia="Batang" w:hAnsi="Arial" w:cs="Arial"/>
                <w:b/>
                <w:color w:val="262626"/>
                <w:sz w:val="18"/>
                <w:szCs w:val="18"/>
                <w:lang w:eastAsia="en-US"/>
              </w:rPr>
            </w:pPr>
          </w:p>
        </w:tc>
        <w:tc>
          <w:tcPr>
            <w:tcW w:w="1134" w:type="dxa"/>
            <w:tcBorders>
              <w:top w:val="single" w:sz="6" w:space="0" w:color="auto"/>
              <w:left w:val="nil"/>
              <w:bottom w:val="double" w:sz="4" w:space="0" w:color="auto"/>
              <w:right w:val="single" w:sz="4" w:space="0" w:color="BFBFBF" w:themeColor="background1" w:themeShade="BF"/>
            </w:tcBorders>
            <w:shd w:val="clear" w:color="auto" w:fill="auto"/>
            <w:vAlign w:val="center"/>
          </w:tcPr>
          <w:p w14:paraId="032BA959"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9,227,893</w:t>
            </w:r>
          </w:p>
        </w:tc>
        <w:tc>
          <w:tcPr>
            <w:tcW w:w="1134" w:type="dxa"/>
            <w:tcBorders>
              <w:top w:val="single" w:sz="6" w:space="0" w:color="auto"/>
              <w:left w:val="single" w:sz="4" w:space="0" w:color="BFBFBF" w:themeColor="background1" w:themeShade="BF"/>
              <w:bottom w:val="double" w:sz="4" w:space="0" w:color="auto"/>
              <w:right w:val="single" w:sz="4" w:space="0" w:color="BFBFBF" w:themeColor="background1" w:themeShade="BF"/>
            </w:tcBorders>
            <w:shd w:val="clear" w:color="auto" w:fill="auto"/>
            <w:vAlign w:val="center"/>
          </w:tcPr>
          <w:p w14:paraId="3D0C79E6"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253,928</w:t>
            </w:r>
          </w:p>
        </w:tc>
        <w:tc>
          <w:tcPr>
            <w:tcW w:w="1134" w:type="dxa"/>
            <w:tcBorders>
              <w:top w:val="single" w:sz="6" w:space="0" w:color="auto"/>
              <w:left w:val="single" w:sz="4" w:space="0" w:color="BFBFBF" w:themeColor="background1" w:themeShade="BF"/>
              <w:bottom w:val="double" w:sz="4" w:space="0" w:color="auto"/>
              <w:right w:val="single" w:sz="4" w:space="0" w:color="BFBFBF" w:themeColor="background1" w:themeShade="BF"/>
            </w:tcBorders>
            <w:shd w:val="clear" w:color="auto" w:fill="auto"/>
            <w:vAlign w:val="center"/>
          </w:tcPr>
          <w:p w14:paraId="22AD39BC"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84,623</w:t>
            </w:r>
          </w:p>
        </w:tc>
        <w:tc>
          <w:tcPr>
            <w:tcW w:w="1134" w:type="dxa"/>
            <w:tcBorders>
              <w:top w:val="single" w:sz="6" w:space="0" w:color="auto"/>
              <w:left w:val="single" w:sz="4" w:space="0" w:color="BFBFBF" w:themeColor="background1" w:themeShade="BF"/>
              <w:bottom w:val="double" w:sz="4" w:space="0" w:color="auto"/>
              <w:right w:val="single" w:sz="4" w:space="0" w:color="BFBFBF" w:themeColor="background1" w:themeShade="BF"/>
            </w:tcBorders>
            <w:shd w:val="clear" w:color="auto" w:fill="auto"/>
            <w:vAlign w:val="center"/>
          </w:tcPr>
          <w:p w14:paraId="6A8CAF38"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9,658</w:t>
            </w:r>
          </w:p>
        </w:tc>
        <w:tc>
          <w:tcPr>
            <w:tcW w:w="1134" w:type="dxa"/>
            <w:tcBorders>
              <w:top w:val="single" w:sz="6" w:space="0" w:color="auto"/>
              <w:left w:val="single" w:sz="4" w:space="0" w:color="BFBFBF" w:themeColor="background1" w:themeShade="BF"/>
              <w:bottom w:val="double" w:sz="4" w:space="0" w:color="auto"/>
              <w:right w:val="single" w:sz="4" w:space="0" w:color="BFBFBF" w:themeColor="background1" w:themeShade="BF"/>
            </w:tcBorders>
            <w:shd w:val="clear" w:color="auto" w:fill="auto"/>
            <w:vAlign w:val="center"/>
          </w:tcPr>
          <w:p w14:paraId="322AF3F3"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482,030</w:t>
            </w:r>
          </w:p>
        </w:tc>
        <w:tc>
          <w:tcPr>
            <w:tcW w:w="1417" w:type="dxa"/>
            <w:tcBorders>
              <w:top w:val="single" w:sz="6" w:space="0" w:color="auto"/>
              <w:left w:val="single" w:sz="4" w:space="0" w:color="BFBFBF" w:themeColor="background1" w:themeShade="BF"/>
              <w:bottom w:val="double" w:sz="4" w:space="0" w:color="auto"/>
              <w:right w:val="single" w:sz="4" w:space="0" w:color="BFBFBF" w:themeColor="background1" w:themeShade="BF"/>
            </w:tcBorders>
            <w:shd w:val="clear" w:color="auto" w:fill="auto"/>
            <w:vAlign w:val="center"/>
          </w:tcPr>
          <w:p w14:paraId="34DD8DBD" w14:textId="77777777" w:rsidR="0056738E" w:rsidRPr="00780A2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lang w:val="en-US"/>
              </w:rPr>
              <w:t>10,058,132</w:t>
            </w:r>
          </w:p>
        </w:tc>
      </w:tr>
    </w:tbl>
    <w:tbl>
      <w:tblPr>
        <w:tblpPr w:leftFromText="180" w:rightFromText="180" w:vertAnchor="text" w:horzAnchor="margin" w:tblpX="-25" w:tblpY="253"/>
        <w:tblW w:w="100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972"/>
        <w:gridCol w:w="1134"/>
        <w:gridCol w:w="1134"/>
        <w:gridCol w:w="1134"/>
        <w:gridCol w:w="1134"/>
        <w:gridCol w:w="1134"/>
        <w:gridCol w:w="1418"/>
      </w:tblGrid>
      <w:tr w:rsidR="0056738E" w:rsidRPr="00910A4E" w14:paraId="4F30853E" w14:textId="77777777" w:rsidTr="007C2AEE">
        <w:trPr>
          <w:trHeight w:val="286"/>
        </w:trPr>
        <w:tc>
          <w:tcPr>
            <w:tcW w:w="2972" w:type="dxa"/>
            <w:vAlign w:val="center"/>
          </w:tcPr>
          <w:p w14:paraId="5C7E679A" w14:textId="77777777" w:rsidR="0056738E" w:rsidRPr="0050492A" w:rsidRDefault="0056738E" w:rsidP="007C2AEE">
            <w:pPr>
              <w:numPr>
                <w:ilvl w:val="12"/>
                <w:numId w:val="0"/>
              </w:numPr>
              <w:tabs>
                <w:tab w:val="left" w:pos="284"/>
              </w:tabs>
              <w:spacing w:after="0" w:line="240" w:lineRule="auto"/>
              <w:rPr>
                <w:rFonts w:ascii="Arial" w:eastAsia="Batang" w:hAnsi="Arial" w:cs="Arial"/>
                <w:b/>
                <w:bCs/>
                <w:color w:val="262626"/>
                <w:sz w:val="18"/>
                <w:szCs w:val="18"/>
                <w:lang w:val="el-GR" w:eastAsia="el-GR"/>
              </w:rPr>
            </w:pPr>
            <w:r>
              <w:rPr>
                <w:rFonts w:ascii="Arial" w:eastAsia="Batang" w:hAnsi="Arial" w:cs="Arial"/>
                <w:b/>
                <w:bCs/>
                <w:color w:val="262626"/>
                <w:sz w:val="18"/>
                <w:szCs w:val="18"/>
                <w:lang w:eastAsia="el-GR"/>
              </w:rPr>
              <w:t xml:space="preserve">31 </w:t>
            </w:r>
            <w:r>
              <w:rPr>
                <w:rFonts w:ascii="Arial" w:eastAsia="Batang" w:hAnsi="Arial" w:cs="Arial"/>
                <w:b/>
                <w:bCs/>
                <w:color w:val="262626"/>
                <w:sz w:val="18"/>
                <w:szCs w:val="18"/>
                <w:lang w:val="el-GR" w:eastAsia="el-GR"/>
              </w:rPr>
              <w:t>Δεκεμβρίου 2023</w:t>
            </w:r>
          </w:p>
        </w:tc>
        <w:tc>
          <w:tcPr>
            <w:tcW w:w="1134" w:type="dxa"/>
            <w:vAlign w:val="center"/>
          </w:tcPr>
          <w:p w14:paraId="78595A48" w14:textId="77777777" w:rsidR="0056738E" w:rsidRPr="009B5694" w:rsidRDefault="0056738E" w:rsidP="007C2AEE">
            <w:pPr>
              <w:tabs>
                <w:tab w:val="right" w:pos="7560"/>
                <w:tab w:val="right" w:pos="9000"/>
              </w:tabs>
              <w:suppressAutoHyphens/>
              <w:spacing w:after="0" w:line="240" w:lineRule="auto"/>
              <w:jc w:val="center"/>
              <w:rPr>
                <w:rFonts w:ascii="Arial" w:eastAsia="Batang" w:hAnsi="Arial" w:cs="Arial"/>
                <w:bCs/>
                <w:color w:val="262626"/>
                <w:sz w:val="18"/>
                <w:szCs w:val="18"/>
                <w:lang w:eastAsia="en-US"/>
              </w:rPr>
            </w:pPr>
            <w:r w:rsidRPr="00984D76">
              <w:rPr>
                <w:rFonts w:ascii="Arial" w:hAnsi="Arial" w:cs="Arial"/>
                <w:color w:val="262626"/>
                <w:sz w:val="18"/>
                <w:szCs w:val="18"/>
                <w:lang w:val="el-GR"/>
              </w:rPr>
              <w:t>Κύπρος</w:t>
            </w:r>
          </w:p>
        </w:tc>
        <w:tc>
          <w:tcPr>
            <w:tcW w:w="1134" w:type="dxa"/>
            <w:vAlign w:val="center"/>
          </w:tcPr>
          <w:p w14:paraId="16E9661C" w14:textId="77777777" w:rsidR="0056738E" w:rsidRPr="009B5694" w:rsidRDefault="0056738E" w:rsidP="007C2AEE">
            <w:pPr>
              <w:spacing w:after="0" w:line="240" w:lineRule="auto"/>
              <w:jc w:val="center"/>
              <w:rPr>
                <w:rFonts w:ascii="Arial" w:eastAsia="Batang" w:hAnsi="Arial" w:cs="Arial"/>
                <w:bCs/>
                <w:color w:val="262626"/>
                <w:sz w:val="18"/>
                <w:szCs w:val="18"/>
                <w:lang w:eastAsia="en-US"/>
              </w:rPr>
            </w:pPr>
            <w:r w:rsidRPr="00984D76">
              <w:rPr>
                <w:rFonts w:ascii="Arial" w:hAnsi="Arial" w:cs="Arial"/>
                <w:color w:val="262626"/>
                <w:sz w:val="18"/>
                <w:szCs w:val="18"/>
                <w:lang w:val="el-GR"/>
              </w:rPr>
              <w:t>Ελλάδα</w:t>
            </w:r>
          </w:p>
        </w:tc>
        <w:tc>
          <w:tcPr>
            <w:tcW w:w="1134" w:type="dxa"/>
            <w:vAlign w:val="center"/>
          </w:tcPr>
          <w:p w14:paraId="12FEEDA8" w14:textId="77777777" w:rsidR="0056738E" w:rsidRPr="00984D76" w:rsidRDefault="0056738E" w:rsidP="007C2AEE">
            <w:pPr>
              <w:spacing w:after="0" w:line="240" w:lineRule="auto"/>
              <w:jc w:val="center"/>
              <w:rPr>
                <w:rFonts w:ascii="Arial" w:eastAsia="Batang" w:hAnsi="Arial" w:cs="Arial"/>
                <w:color w:val="262626"/>
                <w:sz w:val="18"/>
                <w:szCs w:val="18"/>
                <w:lang w:val="el-GR" w:eastAsia="en-US"/>
              </w:rPr>
            </w:pPr>
            <w:r w:rsidRPr="00984D76">
              <w:rPr>
                <w:rFonts w:ascii="Arial" w:eastAsia="Batang" w:hAnsi="Arial" w:cs="Arial"/>
                <w:color w:val="262626"/>
                <w:sz w:val="18"/>
                <w:szCs w:val="18"/>
                <w:lang w:val="el-GR" w:eastAsia="en-US"/>
              </w:rPr>
              <w:t>Ηνωμένο</w:t>
            </w:r>
          </w:p>
          <w:p w14:paraId="58F00352" w14:textId="77777777" w:rsidR="0056738E" w:rsidRPr="009B5694" w:rsidRDefault="0056738E" w:rsidP="007C2AEE">
            <w:pPr>
              <w:spacing w:after="0" w:line="240" w:lineRule="auto"/>
              <w:jc w:val="center"/>
              <w:rPr>
                <w:rFonts w:ascii="Arial" w:eastAsia="Batang" w:hAnsi="Arial" w:cs="Arial"/>
                <w:bCs/>
                <w:color w:val="262626"/>
                <w:sz w:val="18"/>
                <w:szCs w:val="18"/>
                <w:lang w:eastAsia="en-US"/>
              </w:rPr>
            </w:pPr>
            <w:r w:rsidRPr="00984D76">
              <w:rPr>
                <w:rFonts w:ascii="Arial" w:eastAsia="Batang" w:hAnsi="Arial" w:cs="Arial"/>
                <w:color w:val="262626"/>
                <w:sz w:val="18"/>
                <w:szCs w:val="18"/>
                <w:lang w:val="el-GR" w:eastAsia="en-US"/>
              </w:rPr>
              <w:t>Βασίλειο</w:t>
            </w:r>
          </w:p>
        </w:tc>
        <w:tc>
          <w:tcPr>
            <w:tcW w:w="1134" w:type="dxa"/>
            <w:shd w:val="clear" w:color="auto" w:fill="auto"/>
            <w:vAlign w:val="center"/>
          </w:tcPr>
          <w:p w14:paraId="0ABC50F6" w14:textId="77777777" w:rsidR="0056738E" w:rsidRPr="009B5694" w:rsidRDefault="0056738E" w:rsidP="007C2AEE">
            <w:pPr>
              <w:tabs>
                <w:tab w:val="right" w:pos="7560"/>
                <w:tab w:val="right" w:pos="9000"/>
              </w:tabs>
              <w:suppressAutoHyphens/>
              <w:spacing w:after="0" w:line="240" w:lineRule="auto"/>
              <w:jc w:val="center"/>
              <w:rPr>
                <w:rFonts w:ascii="Arial" w:eastAsia="Batang" w:hAnsi="Arial" w:cs="Arial"/>
                <w:bCs/>
                <w:color w:val="262626"/>
                <w:sz w:val="18"/>
                <w:szCs w:val="18"/>
                <w:lang w:eastAsia="en-US"/>
              </w:rPr>
            </w:pPr>
            <w:r w:rsidRPr="00984D76">
              <w:rPr>
                <w:rFonts w:ascii="Arial" w:hAnsi="Arial" w:cs="Arial"/>
                <w:color w:val="262626"/>
                <w:sz w:val="18"/>
                <w:szCs w:val="18"/>
                <w:lang w:val="el-GR"/>
              </w:rPr>
              <w:t>Ρωσία</w:t>
            </w:r>
          </w:p>
        </w:tc>
        <w:tc>
          <w:tcPr>
            <w:tcW w:w="1134" w:type="dxa"/>
            <w:vAlign w:val="center"/>
          </w:tcPr>
          <w:p w14:paraId="757A9D9E" w14:textId="77777777" w:rsidR="0056738E" w:rsidRPr="009B5694" w:rsidRDefault="0056738E" w:rsidP="007C2AEE">
            <w:pPr>
              <w:spacing w:after="0" w:line="240" w:lineRule="auto"/>
              <w:jc w:val="center"/>
              <w:rPr>
                <w:rFonts w:ascii="Arial" w:eastAsia="Batang" w:hAnsi="Arial" w:cs="Arial"/>
                <w:bCs/>
                <w:color w:val="262626"/>
                <w:sz w:val="18"/>
                <w:szCs w:val="18"/>
                <w:lang w:eastAsia="en-US"/>
              </w:rPr>
            </w:pPr>
            <w:r w:rsidRPr="00984D76">
              <w:rPr>
                <w:rFonts w:ascii="Arial" w:hAnsi="Arial" w:cs="Arial"/>
                <w:color w:val="262626"/>
                <w:sz w:val="18"/>
                <w:szCs w:val="18"/>
                <w:lang w:val="el-GR"/>
              </w:rPr>
              <w:t>Άλλες χώρες</w:t>
            </w:r>
          </w:p>
        </w:tc>
        <w:tc>
          <w:tcPr>
            <w:tcW w:w="1418" w:type="dxa"/>
            <w:shd w:val="clear" w:color="auto" w:fill="auto"/>
            <w:vAlign w:val="center"/>
          </w:tcPr>
          <w:p w14:paraId="7BFDB5B3" w14:textId="77777777" w:rsidR="0056738E" w:rsidRPr="00684BB4" w:rsidRDefault="0056738E" w:rsidP="007C2AEE">
            <w:pPr>
              <w:spacing w:after="0" w:line="240" w:lineRule="auto"/>
              <w:ind w:left="-120" w:right="-95"/>
              <w:jc w:val="center"/>
              <w:rPr>
                <w:rFonts w:ascii="Arial" w:eastAsia="Batang" w:hAnsi="Arial" w:cs="Arial"/>
                <w:b/>
                <w:bCs/>
                <w:color w:val="262626"/>
                <w:sz w:val="18"/>
                <w:szCs w:val="18"/>
                <w:lang w:val="el-GR" w:eastAsia="en-US"/>
              </w:rPr>
            </w:pPr>
            <w:r>
              <w:rPr>
                <w:rFonts w:ascii="Arial" w:eastAsia="Batang" w:hAnsi="Arial" w:cs="Arial"/>
                <w:b/>
                <w:color w:val="262626"/>
                <w:sz w:val="18"/>
                <w:szCs w:val="18"/>
                <w:lang w:val="el-GR" w:eastAsia="en-US"/>
              </w:rPr>
              <w:t>Μ</w:t>
            </w:r>
            <w:r w:rsidRPr="009B5694">
              <w:rPr>
                <w:rFonts w:ascii="Arial" w:eastAsia="Batang" w:hAnsi="Arial" w:cs="Arial"/>
                <w:b/>
                <w:color w:val="262626"/>
                <w:sz w:val="18"/>
                <w:szCs w:val="18"/>
                <w:lang w:val="el-GR" w:eastAsia="en-US"/>
              </w:rPr>
              <w:t>εικτά δάνεια</w:t>
            </w:r>
            <w:r>
              <w:rPr>
                <w:rFonts w:ascii="Arial" w:eastAsia="Batang" w:hAnsi="Arial" w:cs="Arial"/>
                <w:b/>
                <w:color w:val="262626"/>
                <w:sz w:val="18"/>
                <w:szCs w:val="18"/>
                <w:lang w:val="el-GR" w:eastAsia="en-US"/>
              </w:rPr>
              <w:t xml:space="preserve"> σε αποσβεσμένο κόστος</w:t>
            </w:r>
          </w:p>
        </w:tc>
      </w:tr>
      <w:tr w:rsidR="0056738E" w:rsidRPr="00EA13DA" w14:paraId="2F49C268" w14:textId="77777777" w:rsidTr="007C2AEE">
        <w:trPr>
          <w:trHeight w:val="286"/>
        </w:trPr>
        <w:tc>
          <w:tcPr>
            <w:tcW w:w="2972" w:type="dxa"/>
            <w:vAlign w:val="center"/>
          </w:tcPr>
          <w:p w14:paraId="1374870C" w14:textId="77777777" w:rsidR="0056738E" w:rsidRPr="009B5694" w:rsidRDefault="0056738E" w:rsidP="007C2AEE">
            <w:pPr>
              <w:numPr>
                <w:ilvl w:val="12"/>
                <w:numId w:val="0"/>
              </w:numPr>
              <w:tabs>
                <w:tab w:val="left" w:pos="284"/>
              </w:tabs>
              <w:spacing w:after="0" w:line="240" w:lineRule="auto"/>
              <w:rPr>
                <w:rFonts w:ascii="Arial" w:eastAsia="Batang" w:hAnsi="Arial" w:cs="Arial"/>
                <w:b/>
                <w:bCs/>
                <w:color w:val="262626"/>
                <w:sz w:val="18"/>
                <w:szCs w:val="18"/>
                <w:lang w:eastAsia="el-GR"/>
              </w:rPr>
            </w:pPr>
            <w:proofErr w:type="spellStart"/>
            <w:r w:rsidRPr="009B5694">
              <w:rPr>
                <w:rFonts w:ascii="Arial" w:eastAsia="Batang" w:hAnsi="Arial" w:cs="Arial"/>
                <w:b/>
                <w:bCs/>
                <w:color w:val="262626"/>
                <w:sz w:val="18"/>
                <w:szCs w:val="18"/>
                <w:lang w:eastAsia="el-GR"/>
              </w:rPr>
              <w:t>Ανά</w:t>
            </w:r>
            <w:proofErr w:type="spellEnd"/>
            <w:r w:rsidRPr="009B5694">
              <w:rPr>
                <w:rFonts w:ascii="Arial" w:eastAsia="Batang" w:hAnsi="Arial" w:cs="Arial"/>
                <w:b/>
                <w:bCs/>
                <w:color w:val="262626"/>
                <w:sz w:val="18"/>
                <w:szCs w:val="18"/>
                <w:lang w:eastAsia="el-GR"/>
              </w:rPr>
              <w:t xml:space="preserve"> </w:t>
            </w:r>
            <w:proofErr w:type="spellStart"/>
            <w:r w:rsidRPr="009B5694">
              <w:rPr>
                <w:rFonts w:ascii="Arial" w:eastAsia="Batang" w:hAnsi="Arial" w:cs="Arial"/>
                <w:b/>
                <w:bCs/>
                <w:color w:val="262626"/>
                <w:sz w:val="18"/>
                <w:szCs w:val="18"/>
                <w:lang w:eastAsia="el-GR"/>
              </w:rPr>
              <w:t>κλάδο</w:t>
            </w:r>
            <w:proofErr w:type="spellEnd"/>
            <w:r w:rsidRPr="009B5694">
              <w:rPr>
                <w:rFonts w:ascii="Arial" w:eastAsia="Batang" w:hAnsi="Arial" w:cs="Arial"/>
                <w:b/>
                <w:bCs/>
                <w:color w:val="262626"/>
                <w:sz w:val="18"/>
                <w:szCs w:val="18"/>
                <w:lang w:eastAsia="el-GR"/>
              </w:rPr>
              <w:t xml:space="preserve"> </w:t>
            </w:r>
            <w:proofErr w:type="spellStart"/>
            <w:r w:rsidRPr="009B5694">
              <w:rPr>
                <w:rFonts w:ascii="Arial" w:eastAsia="Batang" w:hAnsi="Arial" w:cs="Arial"/>
                <w:b/>
                <w:bCs/>
                <w:color w:val="262626"/>
                <w:sz w:val="18"/>
                <w:szCs w:val="18"/>
                <w:lang w:eastAsia="el-GR"/>
              </w:rPr>
              <w:t>της</w:t>
            </w:r>
            <w:proofErr w:type="spellEnd"/>
            <w:r w:rsidRPr="009B5694">
              <w:rPr>
                <w:rFonts w:ascii="Arial" w:eastAsia="Batang" w:hAnsi="Arial" w:cs="Arial"/>
                <w:b/>
                <w:bCs/>
                <w:color w:val="262626"/>
                <w:sz w:val="18"/>
                <w:szCs w:val="18"/>
                <w:lang w:eastAsia="el-GR"/>
              </w:rPr>
              <w:t xml:space="preserve"> </w:t>
            </w:r>
            <w:proofErr w:type="spellStart"/>
            <w:r w:rsidRPr="009B5694">
              <w:rPr>
                <w:rFonts w:ascii="Arial" w:eastAsia="Batang" w:hAnsi="Arial" w:cs="Arial"/>
                <w:b/>
                <w:bCs/>
                <w:color w:val="262626"/>
                <w:sz w:val="18"/>
                <w:szCs w:val="18"/>
                <w:lang w:eastAsia="el-GR"/>
              </w:rPr>
              <w:t>οικονομί</w:t>
            </w:r>
            <w:proofErr w:type="spellEnd"/>
            <w:r w:rsidRPr="009B5694">
              <w:rPr>
                <w:rFonts w:ascii="Arial" w:eastAsia="Batang" w:hAnsi="Arial" w:cs="Arial"/>
                <w:b/>
                <w:bCs/>
                <w:color w:val="262626"/>
                <w:sz w:val="18"/>
                <w:szCs w:val="18"/>
                <w:lang w:eastAsia="el-GR"/>
              </w:rPr>
              <w:t>ας</w:t>
            </w:r>
          </w:p>
        </w:tc>
        <w:tc>
          <w:tcPr>
            <w:tcW w:w="1134" w:type="dxa"/>
            <w:vAlign w:val="center"/>
          </w:tcPr>
          <w:p w14:paraId="786DA3EF" w14:textId="77777777" w:rsidR="0056738E" w:rsidRPr="009B5694" w:rsidRDefault="0056738E" w:rsidP="007C2AEE">
            <w:pPr>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9B5694">
              <w:rPr>
                <w:rFonts w:ascii="Arial" w:eastAsia="Batang" w:hAnsi="Arial" w:cs="Arial"/>
                <w:bCs/>
                <w:color w:val="262626"/>
                <w:sz w:val="18"/>
                <w:szCs w:val="18"/>
                <w:lang w:eastAsia="en-US"/>
              </w:rPr>
              <w:t>€000</w:t>
            </w:r>
          </w:p>
        </w:tc>
        <w:tc>
          <w:tcPr>
            <w:tcW w:w="1134" w:type="dxa"/>
            <w:vAlign w:val="center"/>
          </w:tcPr>
          <w:p w14:paraId="2136FA18" w14:textId="77777777" w:rsidR="0056738E" w:rsidRPr="009B5694" w:rsidRDefault="0056738E" w:rsidP="007C2AEE">
            <w:pPr>
              <w:spacing w:after="0" w:line="240" w:lineRule="auto"/>
              <w:jc w:val="center"/>
              <w:rPr>
                <w:rFonts w:ascii="Arial" w:eastAsia="Batang" w:hAnsi="Arial" w:cs="Arial"/>
                <w:bCs/>
                <w:color w:val="262626"/>
                <w:sz w:val="18"/>
                <w:szCs w:val="18"/>
                <w:lang w:eastAsia="en-US"/>
              </w:rPr>
            </w:pPr>
            <w:r w:rsidRPr="009B5694">
              <w:rPr>
                <w:rFonts w:ascii="Arial" w:eastAsia="Batang" w:hAnsi="Arial" w:cs="Arial"/>
                <w:bCs/>
                <w:color w:val="262626"/>
                <w:sz w:val="18"/>
                <w:szCs w:val="18"/>
                <w:lang w:eastAsia="en-US"/>
              </w:rPr>
              <w:t>€000</w:t>
            </w:r>
          </w:p>
        </w:tc>
        <w:tc>
          <w:tcPr>
            <w:tcW w:w="1134" w:type="dxa"/>
            <w:vAlign w:val="center"/>
          </w:tcPr>
          <w:p w14:paraId="55251E58" w14:textId="77777777" w:rsidR="0056738E" w:rsidRPr="00984D76" w:rsidRDefault="0056738E" w:rsidP="007C2AEE">
            <w:pPr>
              <w:spacing w:after="0" w:line="240" w:lineRule="auto"/>
              <w:jc w:val="center"/>
              <w:rPr>
                <w:rFonts w:ascii="Arial" w:eastAsia="Batang" w:hAnsi="Arial" w:cs="Arial"/>
                <w:bCs/>
                <w:color w:val="262626"/>
                <w:sz w:val="18"/>
                <w:szCs w:val="18"/>
                <w:lang w:eastAsia="en-US"/>
              </w:rPr>
            </w:pPr>
            <w:r w:rsidRPr="009B5694">
              <w:rPr>
                <w:rFonts w:ascii="Arial" w:eastAsia="Batang" w:hAnsi="Arial" w:cs="Arial"/>
                <w:bCs/>
                <w:color w:val="262626"/>
                <w:sz w:val="18"/>
                <w:szCs w:val="18"/>
                <w:lang w:eastAsia="en-US"/>
              </w:rPr>
              <w:t>€000</w:t>
            </w:r>
          </w:p>
        </w:tc>
        <w:tc>
          <w:tcPr>
            <w:tcW w:w="1134" w:type="dxa"/>
            <w:shd w:val="clear" w:color="auto" w:fill="auto"/>
            <w:vAlign w:val="center"/>
          </w:tcPr>
          <w:p w14:paraId="0C09F595" w14:textId="77777777" w:rsidR="0056738E" w:rsidRPr="009B5694" w:rsidRDefault="0056738E" w:rsidP="007C2AEE">
            <w:pPr>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9B5694">
              <w:rPr>
                <w:rFonts w:ascii="Arial" w:eastAsia="Batang" w:hAnsi="Arial" w:cs="Arial"/>
                <w:bCs/>
                <w:color w:val="262626"/>
                <w:sz w:val="18"/>
                <w:szCs w:val="18"/>
                <w:lang w:eastAsia="en-US"/>
              </w:rPr>
              <w:t>€000</w:t>
            </w:r>
          </w:p>
        </w:tc>
        <w:tc>
          <w:tcPr>
            <w:tcW w:w="1134" w:type="dxa"/>
            <w:vAlign w:val="center"/>
          </w:tcPr>
          <w:p w14:paraId="751EFFE9" w14:textId="77777777" w:rsidR="0056738E" w:rsidRPr="009B5694" w:rsidRDefault="0056738E" w:rsidP="007C2AEE">
            <w:pPr>
              <w:spacing w:after="0" w:line="240" w:lineRule="auto"/>
              <w:jc w:val="center"/>
              <w:rPr>
                <w:rFonts w:ascii="Arial" w:eastAsia="Batang" w:hAnsi="Arial" w:cs="Arial"/>
                <w:bCs/>
                <w:color w:val="262626"/>
                <w:sz w:val="18"/>
                <w:szCs w:val="18"/>
                <w:lang w:eastAsia="en-US"/>
              </w:rPr>
            </w:pPr>
            <w:r w:rsidRPr="009B5694">
              <w:rPr>
                <w:rFonts w:ascii="Arial" w:eastAsia="Batang" w:hAnsi="Arial" w:cs="Arial"/>
                <w:bCs/>
                <w:color w:val="262626"/>
                <w:sz w:val="18"/>
                <w:szCs w:val="18"/>
                <w:lang w:eastAsia="en-US"/>
              </w:rPr>
              <w:t>€000</w:t>
            </w:r>
          </w:p>
        </w:tc>
        <w:tc>
          <w:tcPr>
            <w:tcW w:w="1418" w:type="dxa"/>
            <w:shd w:val="clear" w:color="auto" w:fill="auto"/>
            <w:vAlign w:val="center"/>
          </w:tcPr>
          <w:p w14:paraId="414C82FC" w14:textId="77777777" w:rsidR="0056738E" w:rsidRPr="009B5694" w:rsidRDefault="0056738E" w:rsidP="007C2AEE">
            <w:pPr>
              <w:spacing w:after="0" w:line="240" w:lineRule="auto"/>
              <w:jc w:val="center"/>
              <w:rPr>
                <w:rFonts w:ascii="Arial" w:eastAsia="Batang" w:hAnsi="Arial" w:cs="Arial"/>
                <w:b/>
                <w:bCs/>
                <w:color w:val="262626"/>
                <w:sz w:val="18"/>
                <w:szCs w:val="18"/>
                <w:lang w:eastAsia="en-US"/>
              </w:rPr>
            </w:pPr>
            <w:r w:rsidRPr="009B5694">
              <w:rPr>
                <w:rFonts w:ascii="Arial" w:eastAsia="Batang" w:hAnsi="Arial" w:cs="Arial"/>
                <w:b/>
                <w:bCs/>
                <w:color w:val="262626"/>
                <w:sz w:val="18"/>
                <w:szCs w:val="18"/>
                <w:lang w:eastAsia="en-US"/>
              </w:rPr>
              <w:t>€000</w:t>
            </w:r>
          </w:p>
        </w:tc>
      </w:tr>
      <w:tr w:rsidR="0056738E" w:rsidRPr="00EA13DA" w14:paraId="707766CD" w14:textId="77777777" w:rsidTr="007C2AEE">
        <w:trPr>
          <w:trHeight w:val="286"/>
        </w:trPr>
        <w:tc>
          <w:tcPr>
            <w:tcW w:w="2972" w:type="dxa"/>
            <w:vAlign w:val="center"/>
          </w:tcPr>
          <w:p w14:paraId="3BB3E6D9"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Εμ</w:t>
            </w:r>
            <w:proofErr w:type="spellEnd"/>
            <w:r w:rsidRPr="009B5694">
              <w:rPr>
                <w:rFonts w:ascii="Arial" w:hAnsi="Arial" w:cs="Arial"/>
                <w:color w:val="262626"/>
                <w:sz w:val="18"/>
                <w:szCs w:val="18"/>
                <w:lang w:val="en-US"/>
              </w:rPr>
              <w:t>πόριο</w:t>
            </w:r>
          </w:p>
        </w:tc>
        <w:tc>
          <w:tcPr>
            <w:tcW w:w="1134" w:type="dxa"/>
            <w:vAlign w:val="center"/>
          </w:tcPr>
          <w:p w14:paraId="7FABEF37"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eastAsia="Batang" w:hAnsi="Arial" w:cs="Arial"/>
                <w:color w:val="262626"/>
                <w:sz w:val="18"/>
                <w:szCs w:val="18"/>
                <w:lang w:eastAsia="el-GR"/>
              </w:rPr>
              <w:t>868,039</w:t>
            </w:r>
          </w:p>
        </w:tc>
        <w:tc>
          <w:tcPr>
            <w:tcW w:w="1134" w:type="dxa"/>
            <w:vAlign w:val="center"/>
          </w:tcPr>
          <w:p w14:paraId="02050FC3"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eastAsia="Batang" w:hAnsi="Arial" w:cs="Arial"/>
                <w:color w:val="262626"/>
                <w:sz w:val="18"/>
                <w:szCs w:val="18"/>
                <w:lang w:eastAsia="el-GR"/>
              </w:rPr>
              <w:t>277</w:t>
            </w:r>
          </w:p>
        </w:tc>
        <w:tc>
          <w:tcPr>
            <w:tcW w:w="1134" w:type="dxa"/>
            <w:vAlign w:val="center"/>
          </w:tcPr>
          <w:p w14:paraId="173A6C35"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eastAsia="Batang" w:hAnsi="Arial" w:cs="Arial"/>
                <w:color w:val="262626"/>
                <w:sz w:val="18"/>
                <w:szCs w:val="18"/>
                <w:lang w:eastAsia="el-GR"/>
              </w:rPr>
              <w:t>40</w:t>
            </w:r>
          </w:p>
        </w:tc>
        <w:tc>
          <w:tcPr>
            <w:tcW w:w="1134" w:type="dxa"/>
            <w:vAlign w:val="center"/>
          </w:tcPr>
          <w:p w14:paraId="3755E1DB"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eastAsia="Batang" w:hAnsi="Arial" w:cs="Arial"/>
                <w:color w:val="262626"/>
                <w:sz w:val="18"/>
                <w:szCs w:val="18"/>
                <w:lang w:eastAsia="el-GR"/>
              </w:rPr>
              <w:t>-</w:t>
            </w:r>
          </w:p>
        </w:tc>
        <w:tc>
          <w:tcPr>
            <w:tcW w:w="1134" w:type="dxa"/>
            <w:shd w:val="clear" w:color="auto" w:fill="auto"/>
            <w:vAlign w:val="center"/>
          </w:tcPr>
          <w:p w14:paraId="74C66CAA" w14:textId="77777777" w:rsidR="0056738E" w:rsidRPr="00041815"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eastAsia="Batang" w:hAnsi="Arial" w:cs="Arial"/>
                <w:color w:val="262626"/>
                <w:sz w:val="18"/>
                <w:szCs w:val="18"/>
                <w:lang w:val="en-US" w:eastAsia="el-GR"/>
              </w:rPr>
              <w:t>15,340</w:t>
            </w:r>
          </w:p>
        </w:tc>
        <w:tc>
          <w:tcPr>
            <w:tcW w:w="1418" w:type="dxa"/>
            <w:shd w:val="clear" w:color="auto" w:fill="auto"/>
            <w:vAlign w:val="center"/>
          </w:tcPr>
          <w:p w14:paraId="7B43BB5A" w14:textId="77777777" w:rsidR="0056738E" w:rsidRPr="00D90F65" w:rsidRDefault="0056738E" w:rsidP="007C2AEE">
            <w:pPr>
              <w:keepNext/>
              <w:keepLines/>
              <w:shd w:val="clear" w:color="auto" w:fill="FFFFFF"/>
              <w:tabs>
                <w:tab w:val="right" w:pos="7560"/>
                <w:tab w:val="right" w:pos="9000"/>
              </w:tabs>
              <w:suppressAutoHyphens/>
              <w:spacing w:after="0" w:line="240" w:lineRule="auto"/>
              <w:jc w:val="right"/>
              <w:outlineLvl w:val="0"/>
              <w:rPr>
                <w:rFonts w:ascii="Arial" w:hAnsi="Arial" w:cs="Arial"/>
                <w:b/>
                <w:bCs/>
                <w:color w:val="262626"/>
                <w:sz w:val="18"/>
                <w:szCs w:val="18"/>
              </w:rPr>
            </w:pPr>
            <w:r>
              <w:rPr>
                <w:rFonts w:ascii="Arial" w:hAnsi="Arial" w:cs="Arial"/>
                <w:b/>
                <w:bCs/>
                <w:color w:val="262626"/>
                <w:sz w:val="18"/>
                <w:szCs w:val="18"/>
              </w:rPr>
              <w:t>883,696</w:t>
            </w:r>
          </w:p>
        </w:tc>
      </w:tr>
      <w:tr w:rsidR="0056738E" w:rsidRPr="00EA13DA" w14:paraId="0B214127" w14:textId="77777777" w:rsidTr="007C2AEE">
        <w:trPr>
          <w:trHeight w:val="286"/>
        </w:trPr>
        <w:tc>
          <w:tcPr>
            <w:tcW w:w="2972" w:type="dxa"/>
            <w:vAlign w:val="center"/>
          </w:tcPr>
          <w:p w14:paraId="2FAFB119" w14:textId="77777777" w:rsidR="0056738E" w:rsidRPr="009B5694" w:rsidRDefault="0056738E" w:rsidP="007C2AEE">
            <w:pPr>
              <w:numPr>
                <w:ilvl w:val="12"/>
                <w:numId w:val="0"/>
              </w:numPr>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Βιομηχ</w:t>
            </w:r>
            <w:proofErr w:type="spellEnd"/>
            <w:r w:rsidRPr="009B5694">
              <w:rPr>
                <w:rFonts w:ascii="Arial" w:hAnsi="Arial" w:cs="Arial"/>
                <w:color w:val="262626"/>
                <w:sz w:val="18"/>
                <w:szCs w:val="18"/>
                <w:lang w:val="en-US"/>
              </w:rPr>
              <w:t>ανία</w:t>
            </w:r>
          </w:p>
        </w:tc>
        <w:tc>
          <w:tcPr>
            <w:tcW w:w="1134" w:type="dxa"/>
            <w:vAlign w:val="center"/>
          </w:tcPr>
          <w:p w14:paraId="0229D1D8"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287,524</w:t>
            </w:r>
          </w:p>
        </w:tc>
        <w:tc>
          <w:tcPr>
            <w:tcW w:w="1134" w:type="dxa"/>
            <w:vAlign w:val="center"/>
          </w:tcPr>
          <w:p w14:paraId="19640311"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43,971</w:t>
            </w:r>
          </w:p>
        </w:tc>
        <w:tc>
          <w:tcPr>
            <w:tcW w:w="1134" w:type="dxa"/>
            <w:vAlign w:val="center"/>
          </w:tcPr>
          <w:p w14:paraId="2CD6747A"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192</w:t>
            </w:r>
          </w:p>
        </w:tc>
        <w:tc>
          <w:tcPr>
            <w:tcW w:w="1134" w:type="dxa"/>
            <w:vAlign w:val="center"/>
          </w:tcPr>
          <w:p w14:paraId="3A3F39DF"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w:t>
            </w:r>
          </w:p>
        </w:tc>
        <w:tc>
          <w:tcPr>
            <w:tcW w:w="1134" w:type="dxa"/>
            <w:shd w:val="clear" w:color="auto" w:fill="auto"/>
            <w:vAlign w:val="center"/>
          </w:tcPr>
          <w:p w14:paraId="269BF9C7"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31,194</w:t>
            </w:r>
          </w:p>
        </w:tc>
        <w:tc>
          <w:tcPr>
            <w:tcW w:w="1418" w:type="dxa"/>
            <w:shd w:val="clear" w:color="auto" w:fill="auto"/>
            <w:vAlign w:val="center"/>
          </w:tcPr>
          <w:p w14:paraId="48CA11FF" w14:textId="77777777" w:rsidR="0056738E" w:rsidRPr="00D90F65" w:rsidRDefault="0056738E" w:rsidP="007C2AEE">
            <w:pPr>
              <w:keepNext/>
              <w:keepLines/>
              <w:shd w:val="clear" w:color="auto" w:fill="FFFFFF"/>
              <w:tabs>
                <w:tab w:val="right" w:pos="7560"/>
                <w:tab w:val="right" w:pos="9000"/>
              </w:tabs>
              <w:suppressAutoHyphens/>
              <w:spacing w:after="0" w:line="240" w:lineRule="auto"/>
              <w:jc w:val="right"/>
              <w:outlineLvl w:val="0"/>
              <w:rPr>
                <w:rFonts w:ascii="Arial" w:hAnsi="Arial" w:cs="Arial"/>
                <w:b/>
                <w:bCs/>
                <w:color w:val="262626"/>
                <w:sz w:val="18"/>
                <w:szCs w:val="18"/>
              </w:rPr>
            </w:pPr>
            <w:r>
              <w:rPr>
                <w:rFonts w:ascii="Arial" w:hAnsi="Arial" w:cs="Arial"/>
                <w:b/>
                <w:bCs/>
                <w:color w:val="262626"/>
                <w:sz w:val="18"/>
                <w:szCs w:val="18"/>
              </w:rPr>
              <w:t>362,881</w:t>
            </w:r>
          </w:p>
        </w:tc>
      </w:tr>
      <w:tr w:rsidR="0056738E" w:rsidRPr="00EA13DA" w14:paraId="4FA4319D" w14:textId="77777777" w:rsidTr="007C2AEE">
        <w:trPr>
          <w:trHeight w:val="286"/>
        </w:trPr>
        <w:tc>
          <w:tcPr>
            <w:tcW w:w="2972" w:type="dxa"/>
            <w:shd w:val="clear" w:color="auto" w:fill="auto"/>
            <w:vAlign w:val="center"/>
          </w:tcPr>
          <w:p w14:paraId="15CD1CA8" w14:textId="77777777" w:rsidR="0056738E" w:rsidRPr="004207D7" w:rsidRDefault="0056738E" w:rsidP="007C2AEE">
            <w:pPr>
              <w:numPr>
                <w:ilvl w:val="12"/>
                <w:numId w:val="0"/>
              </w:numPr>
              <w:tabs>
                <w:tab w:val="left" w:pos="284"/>
              </w:tabs>
              <w:spacing w:after="0" w:line="240" w:lineRule="auto"/>
              <w:rPr>
                <w:rFonts w:ascii="Arial" w:eastAsia="Batang" w:hAnsi="Arial" w:cs="Arial"/>
                <w:color w:val="262626"/>
                <w:sz w:val="18"/>
                <w:szCs w:val="18"/>
                <w:lang w:val="el-GR" w:eastAsia="el-GR"/>
              </w:rPr>
            </w:pPr>
            <w:proofErr w:type="spellStart"/>
            <w:r w:rsidRPr="009B5694">
              <w:rPr>
                <w:rFonts w:ascii="Arial" w:hAnsi="Arial" w:cs="Arial"/>
                <w:color w:val="262626"/>
                <w:sz w:val="18"/>
                <w:szCs w:val="18"/>
                <w:lang w:val="en-US"/>
              </w:rPr>
              <w:t>Ξενοδοχεί</w:t>
            </w:r>
            <w:proofErr w:type="spellEnd"/>
            <w:r w:rsidRPr="009B5694">
              <w:rPr>
                <w:rFonts w:ascii="Arial" w:hAnsi="Arial" w:cs="Arial"/>
                <w:color w:val="262626"/>
                <w:sz w:val="18"/>
                <w:szCs w:val="18"/>
                <w:lang w:val="en-US"/>
              </w:rPr>
              <w:t xml:space="preserve">α και </w:t>
            </w:r>
            <w:r>
              <w:rPr>
                <w:rFonts w:ascii="Arial" w:hAnsi="Arial" w:cs="Arial"/>
                <w:color w:val="262626"/>
                <w:sz w:val="18"/>
                <w:szCs w:val="18"/>
                <w:lang w:val="el-GR"/>
              </w:rPr>
              <w:t>εστίαση</w:t>
            </w:r>
          </w:p>
        </w:tc>
        <w:tc>
          <w:tcPr>
            <w:tcW w:w="1134" w:type="dxa"/>
            <w:vAlign w:val="center"/>
          </w:tcPr>
          <w:p w14:paraId="78D1284D"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928,910</w:t>
            </w:r>
          </w:p>
        </w:tc>
        <w:tc>
          <w:tcPr>
            <w:tcW w:w="1134" w:type="dxa"/>
            <w:vAlign w:val="center"/>
          </w:tcPr>
          <w:p w14:paraId="0B0418EC"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29,454</w:t>
            </w:r>
          </w:p>
        </w:tc>
        <w:tc>
          <w:tcPr>
            <w:tcW w:w="1134" w:type="dxa"/>
            <w:vAlign w:val="center"/>
          </w:tcPr>
          <w:p w14:paraId="373CCE75"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36,704</w:t>
            </w:r>
          </w:p>
        </w:tc>
        <w:tc>
          <w:tcPr>
            <w:tcW w:w="1134" w:type="dxa"/>
            <w:vAlign w:val="center"/>
          </w:tcPr>
          <w:p w14:paraId="32C9253D"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w:t>
            </w:r>
          </w:p>
        </w:tc>
        <w:tc>
          <w:tcPr>
            <w:tcW w:w="1134" w:type="dxa"/>
            <w:shd w:val="clear" w:color="auto" w:fill="auto"/>
            <w:vAlign w:val="center"/>
          </w:tcPr>
          <w:p w14:paraId="69A65A9E"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39,368</w:t>
            </w:r>
          </w:p>
        </w:tc>
        <w:tc>
          <w:tcPr>
            <w:tcW w:w="1418" w:type="dxa"/>
            <w:shd w:val="clear" w:color="auto" w:fill="auto"/>
            <w:vAlign w:val="center"/>
          </w:tcPr>
          <w:p w14:paraId="2DEF47DA" w14:textId="77777777" w:rsidR="0056738E" w:rsidRPr="00D90F65" w:rsidRDefault="0056738E" w:rsidP="007C2AEE">
            <w:pPr>
              <w:keepNext/>
              <w:keepLines/>
              <w:shd w:val="clear" w:color="auto" w:fill="FFFFFF"/>
              <w:tabs>
                <w:tab w:val="right" w:pos="7560"/>
                <w:tab w:val="right" w:pos="9000"/>
              </w:tabs>
              <w:suppressAutoHyphens/>
              <w:spacing w:after="0" w:line="240" w:lineRule="auto"/>
              <w:jc w:val="right"/>
              <w:outlineLvl w:val="0"/>
              <w:rPr>
                <w:rFonts w:ascii="Arial" w:hAnsi="Arial" w:cs="Arial"/>
                <w:b/>
                <w:bCs/>
                <w:color w:val="262626"/>
                <w:sz w:val="18"/>
                <w:szCs w:val="18"/>
              </w:rPr>
            </w:pPr>
            <w:r>
              <w:rPr>
                <w:rFonts w:ascii="Arial" w:hAnsi="Arial" w:cs="Arial"/>
                <w:b/>
                <w:bCs/>
                <w:color w:val="262626"/>
                <w:sz w:val="18"/>
                <w:szCs w:val="18"/>
              </w:rPr>
              <w:t>1,034,436</w:t>
            </w:r>
          </w:p>
        </w:tc>
      </w:tr>
      <w:tr w:rsidR="0056738E" w:rsidRPr="00EA13DA" w14:paraId="7201905E" w14:textId="77777777" w:rsidTr="007C2AEE">
        <w:trPr>
          <w:trHeight w:val="286"/>
        </w:trPr>
        <w:tc>
          <w:tcPr>
            <w:tcW w:w="2972" w:type="dxa"/>
            <w:vAlign w:val="center"/>
          </w:tcPr>
          <w:p w14:paraId="69102F72"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r w:rsidRPr="009B5694">
              <w:rPr>
                <w:rFonts w:ascii="Arial" w:hAnsi="Arial" w:cs="Arial"/>
                <w:color w:val="262626"/>
                <w:sz w:val="18"/>
                <w:szCs w:val="18"/>
                <w:lang w:val="en-US"/>
              </w:rPr>
              <w:t>Κατα</w:t>
            </w:r>
            <w:proofErr w:type="spellStart"/>
            <w:r w:rsidRPr="009B5694">
              <w:rPr>
                <w:rFonts w:ascii="Arial" w:hAnsi="Arial" w:cs="Arial"/>
                <w:color w:val="262626"/>
                <w:sz w:val="18"/>
                <w:szCs w:val="18"/>
                <w:lang w:val="en-US"/>
              </w:rPr>
              <w:t>σκευές</w:t>
            </w:r>
            <w:proofErr w:type="spellEnd"/>
          </w:p>
        </w:tc>
        <w:tc>
          <w:tcPr>
            <w:tcW w:w="1134" w:type="dxa"/>
            <w:vAlign w:val="center"/>
          </w:tcPr>
          <w:p w14:paraId="2CF91955"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486,622</w:t>
            </w:r>
          </w:p>
        </w:tc>
        <w:tc>
          <w:tcPr>
            <w:tcW w:w="1134" w:type="dxa"/>
            <w:vAlign w:val="center"/>
          </w:tcPr>
          <w:p w14:paraId="6B4DA173"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8,332</w:t>
            </w:r>
          </w:p>
        </w:tc>
        <w:tc>
          <w:tcPr>
            <w:tcW w:w="1134" w:type="dxa"/>
            <w:vAlign w:val="center"/>
          </w:tcPr>
          <w:p w14:paraId="1C37B53C"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14</w:t>
            </w:r>
          </w:p>
        </w:tc>
        <w:tc>
          <w:tcPr>
            <w:tcW w:w="1134" w:type="dxa"/>
            <w:vAlign w:val="center"/>
          </w:tcPr>
          <w:p w14:paraId="20308D66"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w:t>
            </w:r>
          </w:p>
        </w:tc>
        <w:tc>
          <w:tcPr>
            <w:tcW w:w="1134" w:type="dxa"/>
            <w:shd w:val="clear" w:color="auto" w:fill="auto"/>
            <w:vAlign w:val="center"/>
          </w:tcPr>
          <w:p w14:paraId="01AD4A4A" w14:textId="77777777" w:rsidR="0056738E" w:rsidRPr="00041815"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331</w:t>
            </w:r>
          </w:p>
        </w:tc>
        <w:tc>
          <w:tcPr>
            <w:tcW w:w="1418" w:type="dxa"/>
            <w:shd w:val="clear" w:color="auto" w:fill="auto"/>
            <w:vAlign w:val="center"/>
          </w:tcPr>
          <w:p w14:paraId="7007B041" w14:textId="77777777" w:rsidR="0056738E" w:rsidRPr="00D90F65" w:rsidRDefault="0056738E" w:rsidP="007C2AEE">
            <w:pPr>
              <w:keepNext/>
              <w:keepLines/>
              <w:shd w:val="clear" w:color="auto" w:fill="FFFFFF"/>
              <w:tabs>
                <w:tab w:val="right" w:pos="7560"/>
                <w:tab w:val="right" w:pos="9000"/>
              </w:tabs>
              <w:suppressAutoHyphens/>
              <w:spacing w:after="0" w:line="240" w:lineRule="auto"/>
              <w:jc w:val="right"/>
              <w:outlineLvl w:val="0"/>
              <w:rPr>
                <w:rFonts w:ascii="Arial" w:hAnsi="Arial" w:cs="Arial"/>
                <w:b/>
                <w:bCs/>
                <w:color w:val="262626"/>
                <w:sz w:val="18"/>
                <w:szCs w:val="18"/>
              </w:rPr>
            </w:pPr>
            <w:r>
              <w:rPr>
                <w:rFonts w:ascii="Arial" w:hAnsi="Arial" w:cs="Arial"/>
                <w:b/>
                <w:bCs/>
                <w:color w:val="262626"/>
                <w:sz w:val="18"/>
                <w:szCs w:val="18"/>
              </w:rPr>
              <w:t>495,299</w:t>
            </w:r>
          </w:p>
        </w:tc>
      </w:tr>
      <w:tr w:rsidR="0056738E" w:rsidRPr="00EA13DA" w14:paraId="2BBE72CA" w14:textId="77777777" w:rsidTr="007C2AEE">
        <w:trPr>
          <w:trHeight w:val="286"/>
        </w:trPr>
        <w:tc>
          <w:tcPr>
            <w:tcW w:w="2972" w:type="dxa"/>
            <w:shd w:val="clear" w:color="auto" w:fill="auto"/>
            <w:vAlign w:val="center"/>
          </w:tcPr>
          <w:p w14:paraId="410C6680"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Ακίνητ</w:t>
            </w:r>
            <w:proofErr w:type="spellEnd"/>
            <w:r w:rsidRPr="009B5694">
              <w:rPr>
                <w:rFonts w:ascii="Arial" w:hAnsi="Arial" w:cs="Arial"/>
                <w:color w:val="262626"/>
                <w:sz w:val="18"/>
                <w:szCs w:val="18"/>
                <w:lang w:val="en-US"/>
              </w:rPr>
              <w:t>α</w:t>
            </w:r>
          </w:p>
        </w:tc>
        <w:tc>
          <w:tcPr>
            <w:tcW w:w="1134" w:type="dxa"/>
            <w:vAlign w:val="center"/>
          </w:tcPr>
          <w:p w14:paraId="13C51C30"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871,544</w:t>
            </w:r>
          </w:p>
        </w:tc>
        <w:tc>
          <w:tcPr>
            <w:tcW w:w="1134" w:type="dxa"/>
            <w:vAlign w:val="center"/>
          </w:tcPr>
          <w:p w14:paraId="0BD70F32"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108,635</w:t>
            </w:r>
          </w:p>
        </w:tc>
        <w:tc>
          <w:tcPr>
            <w:tcW w:w="1134" w:type="dxa"/>
            <w:vAlign w:val="center"/>
          </w:tcPr>
          <w:p w14:paraId="546E95A7"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1,863</w:t>
            </w:r>
          </w:p>
        </w:tc>
        <w:tc>
          <w:tcPr>
            <w:tcW w:w="1134" w:type="dxa"/>
            <w:vAlign w:val="center"/>
          </w:tcPr>
          <w:p w14:paraId="3170131E"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w:t>
            </w:r>
          </w:p>
        </w:tc>
        <w:tc>
          <w:tcPr>
            <w:tcW w:w="1134" w:type="dxa"/>
            <w:shd w:val="clear" w:color="auto" w:fill="auto"/>
            <w:vAlign w:val="center"/>
          </w:tcPr>
          <w:p w14:paraId="339A2B82" w14:textId="77777777" w:rsidR="0056738E" w:rsidRPr="00041815"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51,349</w:t>
            </w:r>
          </w:p>
        </w:tc>
        <w:tc>
          <w:tcPr>
            <w:tcW w:w="1418" w:type="dxa"/>
            <w:shd w:val="clear" w:color="auto" w:fill="auto"/>
            <w:vAlign w:val="center"/>
          </w:tcPr>
          <w:p w14:paraId="3C83EA40" w14:textId="77777777" w:rsidR="0056738E" w:rsidRPr="00D90F65" w:rsidRDefault="0056738E" w:rsidP="007C2AEE">
            <w:pPr>
              <w:keepNext/>
              <w:keepLines/>
              <w:shd w:val="clear" w:color="auto" w:fill="FFFFFF"/>
              <w:tabs>
                <w:tab w:val="right" w:pos="7560"/>
                <w:tab w:val="right" w:pos="9000"/>
              </w:tabs>
              <w:suppressAutoHyphens/>
              <w:spacing w:after="0" w:line="240" w:lineRule="auto"/>
              <w:jc w:val="right"/>
              <w:outlineLvl w:val="0"/>
              <w:rPr>
                <w:rFonts w:ascii="Arial" w:hAnsi="Arial" w:cs="Arial"/>
                <w:b/>
                <w:bCs/>
                <w:color w:val="262626"/>
                <w:sz w:val="18"/>
                <w:szCs w:val="18"/>
              </w:rPr>
            </w:pPr>
            <w:r>
              <w:rPr>
                <w:rFonts w:ascii="Arial" w:hAnsi="Arial" w:cs="Arial"/>
                <w:b/>
                <w:bCs/>
                <w:color w:val="262626"/>
                <w:sz w:val="18"/>
                <w:szCs w:val="18"/>
              </w:rPr>
              <w:t>1,033,391</w:t>
            </w:r>
          </w:p>
        </w:tc>
      </w:tr>
      <w:tr w:rsidR="0056738E" w:rsidRPr="00EA13DA" w14:paraId="6904CA7A" w14:textId="77777777" w:rsidTr="007C2AEE">
        <w:trPr>
          <w:trHeight w:val="286"/>
        </w:trPr>
        <w:tc>
          <w:tcPr>
            <w:tcW w:w="2972" w:type="dxa"/>
            <w:shd w:val="clear" w:color="auto" w:fill="auto"/>
            <w:vAlign w:val="center"/>
          </w:tcPr>
          <w:p w14:paraId="44468B8B"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Ιδιώτες</w:t>
            </w:r>
            <w:proofErr w:type="spellEnd"/>
          </w:p>
        </w:tc>
        <w:tc>
          <w:tcPr>
            <w:tcW w:w="1134" w:type="dxa"/>
            <w:vAlign w:val="center"/>
          </w:tcPr>
          <w:p w14:paraId="61643D5E" w14:textId="77777777" w:rsidR="0056738E" w:rsidRDefault="0056738E" w:rsidP="007C2AEE">
            <w:pPr>
              <w:shd w:val="clear" w:color="auto" w:fill="FFFFFF"/>
              <w:tabs>
                <w:tab w:val="right" w:pos="7560"/>
                <w:tab w:val="right" w:pos="9000"/>
              </w:tabs>
              <w:suppressAutoHyphens/>
              <w:spacing w:after="0" w:line="240" w:lineRule="auto"/>
              <w:ind w:left="-91"/>
              <w:jc w:val="right"/>
              <w:rPr>
                <w:rFonts w:ascii="Arial" w:hAnsi="Arial" w:cs="Arial"/>
                <w:bCs/>
                <w:color w:val="262626"/>
                <w:sz w:val="18"/>
                <w:szCs w:val="18"/>
              </w:rPr>
            </w:pPr>
            <w:r>
              <w:rPr>
                <w:rFonts w:ascii="Arial" w:hAnsi="Arial" w:cs="Arial"/>
                <w:bCs/>
                <w:color w:val="262626"/>
                <w:sz w:val="18"/>
                <w:szCs w:val="18"/>
              </w:rPr>
              <w:t>4,543,985</w:t>
            </w:r>
          </w:p>
        </w:tc>
        <w:tc>
          <w:tcPr>
            <w:tcW w:w="1134" w:type="dxa"/>
            <w:vAlign w:val="center"/>
          </w:tcPr>
          <w:p w14:paraId="5D93323D"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9,680</w:t>
            </w:r>
          </w:p>
        </w:tc>
        <w:tc>
          <w:tcPr>
            <w:tcW w:w="1134" w:type="dxa"/>
            <w:vAlign w:val="center"/>
          </w:tcPr>
          <w:p w14:paraId="72FB27FF"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56,074</w:t>
            </w:r>
          </w:p>
        </w:tc>
        <w:tc>
          <w:tcPr>
            <w:tcW w:w="1134" w:type="dxa"/>
            <w:vAlign w:val="center"/>
          </w:tcPr>
          <w:p w14:paraId="283A59AC"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12,075</w:t>
            </w:r>
          </w:p>
        </w:tc>
        <w:tc>
          <w:tcPr>
            <w:tcW w:w="1134" w:type="dxa"/>
            <w:shd w:val="clear" w:color="auto" w:fill="auto"/>
            <w:vAlign w:val="center"/>
          </w:tcPr>
          <w:p w14:paraId="618EF506" w14:textId="77777777" w:rsidR="0056738E" w:rsidRPr="00041815"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48,080</w:t>
            </w:r>
          </w:p>
        </w:tc>
        <w:tc>
          <w:tcPr>
            <w:tcW w:w="1418" w:type="dxa"/>
            <w:shd w:val="clear" w:color="auto" w:fill="auto"/>
            <w:vAlign w:val="center"/>
          </w:tcPr>
          <w:p w14:paraId="445AC357" w14:textId="77777777" w:rsidR="0056738E" w:rsidRPr="00D90F65" w:rsidRDefault="0056738E" w:rsidP="007C2AEE">
            <w:pPr>
              <w:keepNext/>
              <w:keepLines/>
              <w:shd w:val="clear" w:color="auto" w:fill="FFFFFF"/>
              <w:tabs>
                <w:tab w:val="right" w:pos="7560"/>
                <w:tab w:val="right" w:pos="9000"/>
              </w:tabs>
              <w:suppressAutoHyphens/>
              <w:spacing w:after="0" w:line="240" w:lineRule="auto"/>
              <w:jc w:val="right"/>
              <w:outlineLvl w:val="0"/>
              <w:rPr>
                <w:rFonts w:ascii="Arial" w:hAnsi="Arial" w:cs="Arial"/>
                <w:b/>
                <w:bCs/>
                <w:color w:val="262626"/>
                <w:sz w:val="18"/>
                <w:szCs w:val="18"/>
              </w:rPr>
            </w:pPr>
            <w:r>
              <w:rPr>
                <w:rFonts w:ascii="Arial" w:hAnsi="Arial" w:cs="Arial"/>
                <w:b/>
                <w:bCs/>
                <w:color w:val="262626"/>
                <w:sz w:val="18"/>
                <w:szCs w:val="18"/>
              </w:rPr>
              <w:t>4,669,894</w:t>
            </w:r>
          </w:p>
        </w:tc>
      </w:tr>
      <w:tr w:rsidR="0056738E" w:rsidRPr="00EA13DA" w14:paraId="3D0491C3" w14:textId="77777777" w:rsidTr="007C2AEE">
        <w:trPr>
          <w:trHeight w:val="286"/>
        </w:trPr>
        <w:tc>
          <w:tcPr>
            <w:tcW w:w="2972" w:type="dxa"/>
            <w:vAlign w:val="center"/>
          </w:tcPr>
          <w:p w14:paraId="77D89D68"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r w:rsidRPr="009B5694">
              <w:rPr>
                <w:rFonts w:ascii="Arial" w:hAnsi="Arial" w:cs="Arial"/>
                <w:color w:val="262626"/>
                <w:sz w:val="18"/>
                <w:szCs w:val="18"/>
                <w:lang w:val="en-US"/>
              </w:rPr>
              <w:t>Επα</w:t>
            </w:r>
            <w:proofErr w:type="spellStart"/>
            <w:r w:rsidRPr="009B5694">
              <w:rPr>
                <w:rFonts w:ascii="Arial" w:hAnsi="Arial" w:cs="Arial"/>
                <w:color w:val="262626"/>
                <w:sz w:val="18"/>
                <w:szCs w:val="18"/>
                <w:lang w:val="en-US"/>
              </w:rPr>
              <w:t>γγελμ</w:t>
            </w:r>
            <w:proofErr w:type="spellEnd"/>
            <w:r w:rsidRPr="009B5694">
              <w:rPr>
                <w:rFonts w:ascii="Arial" w:hAnsi="Arial" w:cs="Arial"/>
                <w:color w:val="262626"/>
                <w:sz w:val="18"/>
                <w:szCs w:val="18"/>
                <w:lang w:val="en-US"/>
              </w:rPr>
              <w:t xml:space="preserve">ατικές και </w:t>
            </w:r>
            <w:proofErr w:type="spellStart"/>
            <w:r w:rsidRPr="009B5694">
              <w:rPr>
                <w:rFonts w:ascii="Arial" w:hAnsi="Arial" w:cs="Arial"/>
                <w:color w:val="262626"/>
                <w:sz w:val="18"/>
                <w:szCs w:val="18"/>
                <w:lang w:val="en-US"/>
              </w:rPr>
              <w:t>άλλες</w:t>
            </w:r>
            <w:proofErr w:type="spellEnd"/>
            <w:r w:rsidRPr="009B5694">
              <w:rPr>
                <w:rFonts w:ascii="Arial" w:hAnsi="Arial" w:cs="Arial"/>
                <w:color w:val="262626"/>
                <w:sz w:val="18"/>
                <w:szCs w:val="18"/>
                <w:lang w:val="en-US"/>
              </w:rPr>
              <w:t xml:space="preserve"> υπ</w:t>
            </w:r>
            <w:proofErr w:type="spellStart"/>
            <w:r w:rsidRPr="009B5694">
              <w:rPr>
                <w:rFonts w:ascii="Arial" w:hAnsi="Arial" w:cs="Arial"/>
                <w:color w:val="262626"/>
                <w:sz w:val="18"/>
                <w:szCs w:val="18"/>
                <w:lang w:val="en-US"/>
              </w:rPr>
              <w:t>ηρεσίες</w:t>
            </w:r>
            <w:proofErr w:type="spellEnd"/>
          </w:p>
        </w:tc>
        <w:tc>
          <w:tcPr>
            <w:tcW w:w="1134" w:type="dxa"/>
            <w:tcBorders>
              <w:bottom w:val="single" w:sz="4" w:space="0" w:color="C0C0C0"/>
            </w:tcBorders>
            <w:vAlign w:val="center"/>
          </w:tcPr>
          <w:p w14:paraId="4C1B9EFC"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535,994</w:t>
            </w:r>
          </w:p>
        </w:tc>
        <w:tc>
          <w:tcPr>
            <w:tcW w:w="1134" w:type="dxa"/>
            <w:tcBorders>
              <w:bottom w:val="single" w:sz="4" w:space="0" w:color="C0C0C0"/>
            </w:tcBorders>
            <w:vAlign w:val="center"/>
          </w:tcPr>
          <w:p w14:paraId="5AAEFB4B"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572</w:t>
            </w:r>
          </w:p>
        </w:tc>
        <w:tc>
          <w:tcPr>
            <w:tcW w:w="1134" w:type="dxa"/>
            <w:tcBorders>
              <w:bottom w:val="single" w:sz="4" w:space="0" w:color="C0C0C0"/>
            </w:tcBorders>
            <w:vAlign w:val="center"/>
          </w:tcPr>
          <w:p w14:paraId="05EB4C9C"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5,242</w:t>
            </w:r>
          </w:p>
        </w:tc>
        <w:tc>
          <w:tcPr>
            <w:tcW w:w="1134" w:type="dxa"/>
            <w:tcBorders>
              <w:bottom w:val="single" w:sz="4" w:space="0" w:color="C0C0C0"/>
            </w:tcBorders>
            <w:vAlign w:val="center"/>
          </w:tcPr>
          <w:p w14:paraId="2EE6A06A"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352</w:t>
            </w:r>
          </w:p>
        </w:tc>
        <w:tc>
          <w:tcPr>
            <w:tcW w:w="1134" w:type="dxa"/>
            <w:tcBorders>
              <w:bottom w:val="single" w:sz="4" w:space="0" w:color="C0C0C0"/>
            </w:tcBorders>
            <w:shd w:val="clear" w:color="auto" w:fill="auto"/>
            <w:vAlign w:val="center"/>
          </w:tcPr>
          <w:p w14:paraId="60A4CEA2" w14:textId="77777777" w:rsidR="0056738E" w:rsidRPr="00041815"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54,846</w:t>
            </w:r>
          </w:p>
        </w:tc>
        <w:tc>
          <w:tcPr>
            <w:tcW w:w="1418" w:type="dxa"/>
            <w:tcBorders>
              <w:bottom w:val="single" w:sz="4" w:space="0" w:color="C0C0C0"/>
            </w:tcBorders>
            <w:shd w:val="clear" w:color="auto" w:fill="auto"/>
            <w:vAlign w:val="center"/>
          </w:tcPr>
          <w:p w14:paraId="2D980BAC" w14:textId="77777777" w:rsidR="0056738E" w:rsidRPr="00D90F65" w:rsidRDefault="0056738E" w:rsidP="007C2AEE">
            <w:pPr>
              <w:keepNext/>
              <w:keepLines/>
              <w:shd w:val="clear" w:color="auto" w:fill="FFFFFF"/>
              <w:tabs>
                <w:tab w:val="right" w:pos="7560"/>
                <w:tab w:val="right" w:pos="9000"/>
              </w:tabs>
              <w:suppressAutoHyphens/>
              <w:spacing w:after="0" w:line="240" w:lineRule="auto"/>
              <w:jc w:val="right"/>
              <w:outlineLvl w:val="0"/>
              <w:rPr>
                <w:rFonts w:ascii="Arial" w:hAnsi="Arial" w:cs="Arial"/>
                <w:b/>
                <w:bCs/>
                <w:color w:val="262626"/>
                <w:sz w:val="18"/>
                <w:szCs w:val="18"/>
              </w:rPr>
            </w:pPr>
            <w:r>
              <w:rPr>
                <w:rFonts w:ascii="Arial" w:hAnsi="Arial" w:cs="Arial"/>
                <w:b/>
                <w:bCs/>
                <w:color w:val="262626"/>
                <w:sz w:val="18"/>
                <w:szCs w:val="18"/>
              </w:rPr>
              <w:t>597,006</w:t>
            </w:r>
          </w:p>
        </w:tc>
      </w:tr>
      <w:tr w:rsidR="0056738E" w:rsidRPr="00EA13DA" w14:paraId="59D6CFFA" w14:textId="77777777" w:rsidTr="007C2AEE">
        <w:trPr>
          <w:trHeight w:val="286"/>
        </w:trPr>
        <w:tc>
          <w:tcPr>
            <w:tcW w:w="2972" w:type="dxa"/>
            <w:vAlign w:val="center"/>
          </w:tcPr>
          <w:p w14:paraId="7358BC3B" w14:textId="77777777" w:rsidR="0056738E" w:rsidRPr="009B5694" w:rsidRDefault="0056738E" w:rsidP="007C2AEE">
            <w:pPr>
              <w:numPr>
                <w:ilvl w:val="12"/>
                <w:numId w:val="0"/>
              </w:numPr>
              <w:tabs>
                <w:tab w:val="left" w:pos="284"/>
              </w:tabs>
              <w:spacing w:after="0" w:line="240" w:lineRule="auto"/>
              <w:rPr>
                <w:rFonts w:ascii="Arial" w:hAnsi="Arial" w:cs="Arial"/>
                <w:color w:val="262626"/>
                <w:sz w:val="18"/>
                <w:szCs w:val="18"/>
                <w:lang w:val="en-US"/>
              </w:rPr>
            </w:pPr>
            <w:r>
              <w:rPr>
                <w:rFonts w:ascii="Arial" w:hAnsi="Arial" w:cs="Arial"/>
                <w:color w:val="262626"/>
                <w:sz w:val="18"/>
                <w:szCs w:val="18"/>
                <w:lang w:val="el-GR"/>
              </w:rPr>
              <w:t>Ναυτιλία</w:t>
            </w:r>
          </w:p>
        </w:tc>
        <w:tc>
          <w:tcPr>
            <w:tcW w:w="1134" w:type="dxa"/>
            <w:tcBorders>
              <w:top w:val="single" w:sz="4" w:space="0" w:color="C0C0C0"/>
              <w:bottom w:val="single" w:sz="4" w:space="0" w:color="C0C0C0"/>
            </w:tcBorders>
            <w:vAlign w:val="center"/>
          </w:tcPr>
          <w:p w14:paraId="2E3A0DD5" w14:textId="77777777" w:rsidR="0056738E"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20,622</w:t>
            </w:r>
          </w:p>
        </w:tc>
        <w:tc>
          <w:tcPr>
            <w:tcW w:w="1134" w:type="dxa"/>
            <w:tcBorders>
              <w:top w:val="single" w:sz="4" w:space="0" w:color="C0C0C0"/>
              <w:bottom w:val="single" w:sz="4" w:space="0" w:color="C0C0C0"/>
            </w:tcBorders>
            <w:vAlign w:val="center"/>
          </w:tcPr>
          <w:p w14:paraId="04317B86" w14:textId="77777777" w:rsidR="0056738E"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15</w:t>
            </w:r>
          </w:p>
        </w:tc>
        <w:tc>
          <w:tcPr>
            <w:tcW w:w="1134" w:type="dxa"/>
            <w:tcBorders>
              <w:top w:val="single" w:sz="4" w:space="0" w:color="C0C0C0"/>
              <w:bottom w:val="single" w:sz="4" w:space="0" w:color="C0C0C0"/>
            </w:tcBorders>
            <w:vAlign w:val="center"/>
          </w:tcPr>
          <w:p w14:paraId="795C80AB" w14:textId="77777777" w:rsidR="0056738E"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w:t>
            </w:r>
          </w:p>
        </w:tc>
        <w:tc>
          <w:tcPr>
            <w:tcW w:w="1134" w:type="dxa"/>
            <w:tcBorders>
              <w:top w:val="single" w:sz="4" w:space="0" w:color="C0C0C0"/>
              <w:bottom w:val="single" w:sz="4" w:space="0" w:color="C0C0C0"/>
            </w:tcBorders>
            <w:vAlign w:val="center"/>
          </w:tcPr>
          <w:p w14:paraId="6CC11AC7" w14:textId="77777777" w:rsidR="0056738E"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w:t>
            </w:r>
          </w:p>
        </w:tc>
        <w:tc>
          <w:tcPr>
            <w:tcW w:w="1134" w:type="dxa"/>
            <w:tcBorders>
              <w:top w:val="single" w:sz="4" w:space="0" w:color="C0C0C0"/>
              <w:bottom w:val="single" w:sz="4" w:space="0" w:color="C0C0C0"/>
            </w:tcBorders>
            <w:shd w:val="clear" w:color="auto" w:fill="auto"/>
            <w:vAlign w:val="center"/>
          </w:tcPr>
          <w:p w14:paraId="472D2B78" w14:textId="77777777" w:rsidR="0056738E"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222,422</w:t>
            </w:r>
          </w:p>
        </w:tc>
        <w:tc>
          <w:tcPr>
            <w:tcW w:w="1418" w:type="dxa"/>
            <w:tcBorders>
              <w:top w:val="single" w:sz="4" w:space="0" w:color="C0C0C0"/>
              <w:bottom w:val="single" w:sz="4" w:space="0" w:color="C0C0C0"/>
            </w:tcBorders>
            <w:shd w:val="clear" w:color="auto" w:fill="auto"/>
            <w:vAlign w:val="center"/>
          </w:tcPr>
          <w:p w14:paraId="2AE97914" w14:textId="77777777" w:rsidR="0056738E" w:rsidRPr="00955C85"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243,059</w:t>
            </w:r>
          </w:p>
        </w:tc>
      </w:tr>
      <w:tr w:rsidR="0056738E" w:rsidRPr="00EA13DA" w14:paraId="797E9C59" w14:textId="77777777" w:rsidTr="007C2AEE">
        <w:trPr>
          <w:trHeight w:val="286"/>
        </w:trPr>
        <w:tc>
          <w:tcPr>
            <w:tcW w:w="2972" w:type="dxa"/>
            <w:vAlign w:val="center"/>
          </w:tcPr>
          <w:p w14:paraId="20F59040"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Λοι</w:t>
            </w:r>
            <w:proofErr w:type="spellEnd"/>
            <w:r w:rsidRPr="009B5694">
              <w:rPr>
                <w:rFonts w:ascii="Arial" w:hAnsi="Arial" w:cs="Arial"/>
                <w:color w:val="262626"/>
                <w:sz w:val="18"/>
                <w:szCs w:val="18"/>
                <w:lang w:val="en-US"/>
              </w:rPr>
              <w:t xml:space="preserve">ποί </w:t>
            </w:r>
            <w:proofErr w:type="spellStart"/>
            <w:r w:rsidRPr="009B5694">
              <w:rPr>
                <w:rFonts w:ascii="Arial" w:hAnsi="Arial" w:cs="Arial"/>
                <w:color w:val="262626"/>
                <w:sz w:val="18"/>
                <w:szCs w:val="18"/>
                <w:lang w:val="en-US"/>
              </w:rPr>
              <w:t>κλάδοι</w:t>
            </w:r>
            <w:proofErr w:type="spellEnd"/>
          </w:p>
        </w:tc>
        <w:tc>
          <w:tcPr>
            <w:tcW w:w="1134" w:type="dxa"/>
            <w:tcBorders>
              <w:top w:val="single" w:sz="4" w:space="0" w:color="C0C0C0"/>
              <w:bottom w:val="single" w:sz="6" w:space="0" w:color="000000" w:themeColor="text1"/>
            </w:tcBorders>
            <w:vAlign w:val="center"/>
          </w:tcPr>
          <w:p w14:paraId="07ABA658" w14:textId="77777777" w:rsidR="0056738E"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512,666</w:t>
            </w:r>
          </w:p>
        </w:tc>
        <w:tc>
          <w:tcPr>
            <w:tcW w:w="1134" w:type="dxa"/>
            <w:tcBorders>
              <w:top w:val="single" w:sz="4" w:space="0" w:color="C0C0C0"/>
              <w:bottom w:val="single" w:sz="6" w:space="0" w:color="000000" w:themeColor="text1"/>
            </w:tcBorders>
            <w:vAlign w:val="center"/>
          </w:tcPr>
          <w:p w14:paraId="5F192F32" w14:textId="77777777" w:rsidR="0056738E"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w:t>
            </w:r>
          </w:p>
        </w:tc>
        <w:tc>
          <w:tcPr>
            <w:tcW w:w="1134" w:type="dxa"/>
            <w:tcBorders>
              <w:top w:val="single" w:sz="4" w:space="0" w:color="C0C0C0"/>
              <w:bottom w:val="single" w:sz="6" w:space="0" w:color="000000" w:themeColor="text1"/>
            </w:tcBorders>
            <w:vAlign w:val="center"/>
          </w:tcPr>
          <w:p w14:paraId="643477F7" w14:textId="77777777" w:rsidR="0056738E" w:rsidRPr="00984D76"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w:t>
            </w:r>
          </w:p>
        </w:tc>
        <w:tc>
          <w:tcPr>
            <w:tcW w:w="1134" w:type="dxa"/>
            <w:tcBorders>
              <w:top w:val="single" w:sz="4" w:space="0" w:color="C0C0C0"/>
              <w:bottom w:val="single" w:sz="6" w:space="0" w:color="000000" w:themeColor="text1"/>
            </w:tcBorders>
            <w:vAlign w:val="center"/>
          </w:tcPr>
          <w:p w14:paraId="4BEB20A9" w14:textId="77777777" w:rsidR="0056738E" w:rsidRPr="00151E9A"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w:t>
            </w:r>
          </w:p>
        </w:tc>
        <w:tc>
          <w:tcPr>
            <w:tcW w:w="1134" w:type="dxa"/>
            <w:tcBorders>
              <w:top w:val="single" w:sz="4" w:space="0" w:color="C0C0C0"/>
              <w:bottom w:val="single" w:sz="6" w:space="0" w:color="000000" w:themeColor="text1"/>
            </w:tcBorders>
            <w:shd w:val="clear" w:color="auto" w:fill="auto"/>
            <w:vAlign w:val="center"/>
          </w:tcPr>
          <w:p w14:paraId="1650DCBF" w14:textId="77777777" w:rsidR="0056738E" w:rsidRPr="00151E9A"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30,184</w:t>
            </w:r>
          </w:p>
        </w:tc>
        <w:tc>
          <w:tcPr>
            <w:tcW w:w="1418" w:type="dxa"/>
            <w:tcBorders>
              <w:top w:val="single" w:sz="4" w:space="0" w:color="C0C0C0"/>
              <w:bottom w:val="single" w:sz="6" w:space="0" w:color="000000" w:themeColor="text1"/>
            </w:tcBorders>
            <w:shd w:val="clear" w:color="auto" w:fill="auto"/>
            <w:vAlign w:val="center"/>
          </w:tcPr>
          <w:p w14:paraId="37314DB3" w14:textId="77777777" w:rsidR="0056738E" w:rsidRPr="00D90F65" w:rsidRDefault="0056738E" w:rsidP="007C2AEE">
            <w:pPr>
              <w:shd w:val="clear" w:color="auto" w:fill="FFFFFF"/>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542,852</w:t>
            </w:r>
          </w:p>
        </w:tc>
      </w:tr>
      <w:tr w:rsidR="0056738E" w:rsidRPr="00EA13DA" w14:paraId="23D12506" w14:textId="77777777" w:rsidTr="007C2AEE">
        <w:trPr>
          <w:trHeight w:val="286"/>
        </w:trPr>
        <w:tc>
          <w:tcPr>
            <w:tcW w:w="2972" w:type="dxa"/>
            <w:vAlign w:val="center"/>
          </w:tcPr>
          <w:p w14:paraId="0940F7C0" w14:textId="77777777" w:rsidR="0056738E" w:rsidRPr="009B5694"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eastAsia="Batang" w:hAnsi="Arial" w:cs="Arial"/>
                <w:color w:val="262626"/>
                <w:sz w:val="18"/>
                <w:szCs w:val="18"/>
                <w:lang w:eastAsia="en-US"/>
              </w:rPr>
            </w:pPr>
          </w:p>
        </w:tc>
        <w:tc>
          <w:tcPr>
            <w:tcW w:w="1134" w:type="dxa"/>
            <w:tcBorders>
              <w:top w:val="single" w:sz="6" w:space="0" w:color="000000" w:themeColor="text1"/>
              <w:bottom w:val="double" w:sz="6" w:space="0" w:color="000000" w:themeColor="text1"/>
            </w:tcBorders>
            <w:vAlign w:val="center"/>
          </w:tcPr>
          <w:p w14:paraId="1C6D2624" w14:textId="77777777" w:rsidR="0056738E" w:rsidRDefault="0056738E" w:rsidP="007C2AEE">
            <w:pPr>
              <w:shd w:val="clear" w:color="auto" w:fill="FFFFFF"/>
              <w:tabs>
                <w:tab w:val="left" w:pos="282"/>
                <w:tab w:val="left" w:pos="720"/>
              </w:tabs>
              <w:suppressAutoHyphens/>
              <w:spacing w:after="0" w:line="240" w:lineRule="auto"/>
              <w:ind w:left="-91"/>
              <w:jc w:val="right"/>
              <w:rPr>
                <w:rFonts w:ascii="Arial" w:hAnsi="Arial" w:cs="Arial"/>
                <w:b/>
                <w:bCs/>
                <w:color w:val="262626"/>
                <w:sz w:val="18"/>
                <w:szCs w:val="18"/>
              </w:rPr>
            </w:pPr>
            <w:r>
              <w:rPr>
                <w:rFonts w:ascii="Arial" w:hAnsi="Arial" w:cs="Arial"/>
                <w:b/>
                <w:bCs/>
                <w:color w:val="262626"/>
                <w:sz w:val="18"/>
                <w:szCs w:val="18"/>
              </w:rPr>
              <w:t>9,055,906</w:t>
            </w:r>
          </w:p>
        </w:tc>
        <w:tc>
          <w:tcPr>
            <w:tcW w:w="1134" w:type="dxa"/>
            <w:tcBorders>
              <w:top w:val="single" w:sz="6" w:space="0" w:color="000000" w:themeColor="text1"/>
              <w:bottom w:val="double" w:sz="6" w:space="0" w:color="000000" w:themeColor="text1"/>
            </w:tcBorders>
            <w:vAlign w:val="center"/>
          </w:tcPr>
          <w:p w14:paraId="225CFF0F" w14:textId="77777777" w:rsidR="0056738E" w:rsidRDefault="0056738E" w:rsidP="007C2AEE">
            <w:pPr>
              <w:shd w:val="clear" w:color="auto" w:fill="FFFFFF"/>
              <w:tabs>
                <w:tab w:val="left" w:pos="0"/>
                <w:tab w:val="left" w:pos="282"/>
                <w:tab w:val="left" w:pos="72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200,936</w:t>
            </w:r>
          </w:p>
        </w:tc>
        <w:tc>
          <w:tcPr>
            <w:tcW w:w="1134" w:type="dxa"/>
            <w:tcBorders>
              <w:top w:val="single" w:sz="6" w:space="0" w:color="000000" w:themeColor="text1"/>
              <w:bottom w:val="double" w:sz="6" w:space="0" w:color="000000" w:themeColor="text1"/>
            </w:tcBorders>
            <w:vAlign w:val="center"/>
          </w:tcPr>
          <w:p w14:paraId="64B19CF7" w14:textId="77777777" w:rsidR="0056738E" w:rsidRPr="00984D76" w:rsidRDefault="0056738E" w:rsidP="007C2AEE">
            <w:pPr>
              <w:shd w:val="clear" w:color="auto" w:fill="FFFFFF"/>
              <w:tabs>
                <w:tab w:val="left" w:pos="0"/>
                <w:tab w:val="left" w:pos="282"/>
                <w:tab w:val="left" w:pos="720"/>
              </w:tabs>
              <w:suppressAutoHyphens/>
              <w:spacing w:after="0" w:line="240" w:lineRule="auto"/>
              <w:jc w:val="right"/>
              <w:rPr>
                <w:rFonts w:ascii="Arial" w:hAnsi="Arial" w:cs="Arial"/>
                <w:bCs/>
                <w:color w:val="262626"/>
                <w:sz w:val="18"/>
                <w:szCs w:val="18"/>
              </w:rPr>
            </w:pPr>
            <w:r>
              <w:rPr>
                <w:rFonts w:ascii="Arial" w:hAnsi="Arial" w:cs="Arial"/>
                <w:b/>
                <w:bCs/>
                <w:color w:val="262626"/>
                <w:sz w:val="18"/>
                <w:szCs w:val="18"/>
              </w:rPr>
              <w:t>100,129</w:t>
            </w:r>
          </w:p>
        </w:tc>
        <w:tc>
          <w:tcPr>
            <w:tcW w:w="1134" w:type="dxa"/>
            <w:tcBorders>
              <w:top w:val="single" w:sz="6" w:space="0" w:color="000000" w:themeColor="text1"/>
              <w:bottom w:val="double" w:sz="6" w:space="0" w:color="000000" w:themeColor="text1"/>
            </w:tcBorders>
            <w:vAlign w:val="center"/>
          </w:tcPr>
          <w:p w14:paraId="0CDFAA9E" w14:textId="77777777" w:rsidR="0056738E" w:rsidRPr="00151E9A" w:rsidRDefault="0056738E" w:rsidP="007C2AEE">
            <w:pPr>
              <w:shd w:val="clear" w:color="auto" w:fill="FFFFFF"/>
              <w:tabs>
                <w:tab w:val="left" w:pos="0"/>
                <w:tab w:val="left" w:pos="282"/>
                <w:tab w:val="left" w:pos="72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12,429</w:t>
            </w:r>
          </w:p>
        </w:tc>
        <w:tc>
          <w:tcPr>
            <w:tcW w:w="1134" w:type="dxa"/>
            <w:tcBorders>
              <w:top w:val="single" w:sz="6" w:space="0" w:color="000000" w:themeColor="text1"/>
              <w:bottom w:val="double" w:sz="6" w:space="0" w:color="000000" w:themeColor="text1"/>
            </w:tcBorders>
            <w:shd w:val="clear" w:color="auto" w:fill="auto"/>
            <w:vAlign w:val="center"/>
          </w:tcPr>
          <w:p w14:paraId="7BA11EAD" w14:textId="77777777" w:rsidR="0056738E" w:rsidRPr="00041815"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lang w:val="en-US"/>
              </w:rPr>
              <w:t>493,114</w:t>
            </w:r>
          </w:p>
        </w:tc>
        <w:tc>
          <w:tcPr>
            <w:tcW w:w="1418" w:type="dxa"/>
            <w:tcBorders>
              <w:top w:val="single" w:sz="6" w:space="0" w:color="000000" w:themeColor="text1"/>
              <w:bottom w:val="double" w:sz="6" w:space="0" w:color="000000" w:themeColor="text1"/>
            </w:tcBorders>
            <w:shd w:val="clear" w:color="auto" w:fill="auto"/>
            <w:vAlign w:val="center"/>
          </w:tcPr>
          <w:p w14:paraId="6F22C449"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9,862,514</w:t>
            </w:r>
          </w:p>
        </w:tc>
      </w:tr>
    </w:tbl>
    <w:p w14:paraId="29861E70" w14:textId="77777777" w:rsidR="0056738E" w:rsidRPr="00684BB4" w:rsidRDefault="0056738E" w:rsidP="0056738E">
      <w:pPr>
        <w:spacing w:after="0" w:line="360" w:lineRule="auto"/>
        <w:ind w:left="851" w:hanging="851"/>
        <w:jc w:val="both"/>
        <w:rPr>
          <w:rFonts w:ascii="Arial" w:eastAsia="Times New Roman" w:hAnsi="Arial" w:cs="Arial"/>
          <w:color w:val="000000"/>
          <w:sz w:val="18"/>
          <w:szCs w:val="18"/>
          <w:lang w:val="el-GR" w:eastAsia="en-US"/>
        </w:rPr>
      </w:pPr>
    </w:p>
    <w:p w14:paraId="194A7E90" w14:textId="77777777" w:rsidR="0056738E" w:rsidRDefault="0056738E" w:rsidP="0056738E"/>
    <w:p w14:paraId="59E625EA" w14:textId="77777777" w:rsidR="0056738E" w:rsidRDefault="0056738E" w:rsidP="0056738E">
      <w:r>
        <w:br w:type="page"/>
      </w:r>
    </w:p>
    <w:p w14:paraId="6D496669" w14:textId="77777777" w:rsidR="0056738E" w:rsidRDefault="0056738E" w:rsidP="0056738E">
      <w:pPr>
        <w:spacing w:after="0" w:line="360" w:lineRule="auto"/>
        <w:rPr>
          <w:rFonts w:ascii="Arial" w:hAnsi="Arial" w:cs="Arial"/>
          <w:b/>
          <w:color w:val="FF9900"/>
          <w:lang w:val="el-GR"/>
        </w:rPr>
      </w:pPr>
      <w:r>
        <w:rPr>
          <w:rFonts w:ascii="Arial" w:hAnsi="Arial" w:cs="Arial"/>
          <w:b/>
          <w:color w:val="FF9900"/>
          <w:szCs w:val="16"/>
          <w:lang w:val="el-GR"/>
        </w:rPr>
        <w:lastRenderedPageBreak/>
        <w:t>ΣΤ</w:t>
      </w:r>
      <w:r w:rsidRPr="00C30CF6">
        <w:rPr>
          <w:rFonts w:ascii="Arial" w:hAnsi="Arial" w:cs="Arial"/>
          <w:b/>
          <w:color w:val="FF9900"/>
          <w:szCs w:val="16"/>
          <w:lang w:val="el-GR"/>
        </w:rPr>
        <w:t xml:space="preserve">. </w:t>
      </w:r>
      <w:r w:rsidRPr="001E3958">
        <w:rPr>
          <w:rFonts w:ascii="Arial" w:hAnsi="Arial" w:cs="Arial"/>
          <w:b/>
          <w:color w:val="FF9900"/>
          <w:szCs w:val="16"/>
          <w:lang w:val="el-GR"/>
        </w:rPr>
        <w:tab/>
      </w:r>
      <w:r>
        <w:rPr>
          <w:rFonts w:ascii="Arial" w:hAnsi="Arial" w:cs="Arial"/>
          <w:b/>
          <w:color w:val="FF9900"/>
          <w:lang w:val="el-GR"/>
        </w:rPr>
        <w:t xml:space="preserve">Σημειώσεις </w:t>
      </w:r>
      <w:r w:rsidRPr="00DE031F">
        <w:rPr>
          <w:rFonts w:ascii="Arial" w:hAnsi="Arial" w:cs="Arial"/>
          <w:color w:val="FF9900"/>
          <w:lang w:val="el-GR"/>
        </w:rPr>
        <w:t>(συνέχεια)</w:t>
      </w:r>
    </w:p>
    <w:p w14:paraId="33EAB345" w14:textId="77777777" w:rsidR="0056738E" w:rsidRPr="00A03828" w:rsidRDefault="0056738E" w:rsidP="0056738E">
      <w:pPr>
        <w:rPr>
          <w:lang w:val="el-GR"/>
        </w:rPr>
      </w:pPr>
      <w:r w:rsidRPr="00E70647">
        <w:rPr>
          <w:rFonts w:ascii="Arial" w:hAnsi="Arial" w:cs="Arial"/>
          <w:b/>
          <w:color w:val="FF9900"/>
          <w:lang w:val="el-GR"/>
        </w:rPr>
        <w:t>ΣΤ.</w:t>
      </w:r>
      <w:r>
        <w:rPr>
          <w:rFonts w:ascii="Arial" w:hAnsi="Arial" w:cs="Arial"/>
          <w:b/>
          <w:color w:val="FF9900"/>
          <w:lang w:val="el-GR"/>
        </w:rPr>
        <w:t>4</w:t>
      </w:r>
      <w:r w:rsidRPr="001D7A91">
        <w:rPr>
          <w:rFonts w:ascii="Arial" w:hAnsi="Arial" w:cs="Arial"/>
          <w:b/>
          <w:color w:val="FF9900"/>
          <w:lang w:val="el-GR"/>
        </w:rPr>
        <w:t xml:space="preserve"> </w:t>
      </w:r>
      <w:r w:rsidRPr="00D066DE">
        <w:rPr>
          <w:rFonts w:ascii="Arial" w:hAnsi="Arial" w:cs="Arial"/>
          <w:b/>
          <w:color w:val="FF9900"/>
          <w:lang w:val="el-GR"/>
        </w:rPr>
        <w:tab/>
      </w:r>
      <w:r w:rsidRPr="001D7A91">
        <w:rPr>
          <w:rFonts w:ascii="Arial" w:hAnsi="Arial" w:cs="Arial"/>
          <w:b/>
          <w:color w:val="FF9900"/>
          <w:lang w:val="el-GR"/>
        </w:rPr>
        <w:t xml:space="preserve">Συγκέντρωση πιστωτικού κινδύνου δανείων και απαιτήσεων από πελάτες </w:t>
      </w:r>
      <w:r w:rsidRPr="00984D76">
        <w:rPr>
          <w:rFonts w:ascii="Arial" w:hAnsi="Arial" w:cs="Arial"/>
          <w:color w:val="FF9900"/>
          <w:lang w:val="el-GR"/>
        </w:rPr>
        <w:t>(συνέχεια)</w:t>
      </w:r>
    </w:p>
    <w:tbl>
      <w:tblPr>
        <w:tblW w:w="987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1134"/>
        <w:gridCol w:w="1134"/>
        <w:gridCol w:w="1134"/>
        <w:gridCol w:w="1139"/>
        <w:gridCol w:w="1134"/>
        <w:gridCol w:w="1361"/>
      </w:tblGrid>
      <w:tr w:rsidR="0056738E" w:rsidRPr="00910A4E" w14:paraId="71CC2068" w14:textId="77777777" w:rsidTr="007C2AEE">
        <w:trPr>
          <w:trHeight w:val="258"/>
        </w:trPr>
        <w:tc>
          <w:tcPr>
            <w:tcW w:w="2835" w:type="dxa"/>
            <w:vAlign w:val="center"/>
          </w:tcPr>
          <w:p w14:paraId="4DEC31E9" w14:textId="77777777" w:rsidR="0056738E" w:rsidRPr="00334CDF" w:rsidRDefault="0056738E" w:rsidP="007C2AEE">
            <w:pPr>
              <w:numPr>
                <w:ilvl w:val="12"/>
                <w:numId w:val="0"/>
              </w:numPr>
              <w:tabs>
                <w:tab w:val="left" w:pos="284"/>
              </w:tabs>
              <w:spacing w:after="0" w:line="240" w:lineRule="auto"/>
              <w:rPr>
                <w:rFonts w:ascii="Arial" w:eastAsia="Batang" w:hAnsi="Arial" w:cs="Arial"/>
                <w:b/>
                <w:bCs/>
                <w:color w:val="262626"/>
                <w:sz w:val="18"/>
                <w:szCs w:val="18"/>
                <w:lang w:val="el-GR" w:eastAsia="el-GR"/>
              </w:rPr>
            </w:pPr>
            <w:r>
              <w:rPr>
                <w:rFonts w:ascii="Arial" w:eastAsia="Batang" w:hAnsi="Arial" w:cs="Arial"/>
                <w:b/>
                <w:bCs/>
                <w:color w:val="262626"/>
                <w:sz w:val="18"/>
                <w:szCs w:val="18"/>
                <w:lang w:val="el-GR" w:eastAsia="el-GR"/>
              </w:rPr>
              <w:t>31 Δεκεμβρίου 2023</w:t>
            </w:r>
            <w:r>
              <w:rPr>
                <w:rFonts w:ascii="Arial" w:eastAsia="Batang" w:hAnsi="Arial" w:cs="Arial"/>
                <w:b/>
                <w:bCs/>
                <w:color w:val="262626"/>
                <w:sz w:val="18"/>
                <w:szCs w:val="18"/>
                <w:lang w:val="en-US" w:eastAsia="el-GR"/>
              </w:rPr>
              <w:t xml:space="preserve"> (</w:t>
            </w:r>
            <w:r>
              <w:rPr>
                <w:rFonts w:ascii="Arial" w:eastAsia="Batang" w:hAnsi="Arial" w:cs="Arial"/>
                <w:b/>
                <w:bCs/>
                <w:color w:val="262626"/>
                <w:sz w:val="18"/>
                <w:szCs w:val="18"/>
                <w:lang w:val="el-GR" w:eastAsia="el-GR"/>
              </w:rPr>
              <w:t>αναπροσαρμοσμένα)</w:t>
            </w:r>
          </w:p>
        </w:tc>
        <w:tc>
          <w:tcPr>
            <w:tcW w:w="1134" w:type="dxa"/>
            <w:vAlign w:val="center"/>
          </w:tcPr>
          <w:p w14:paraId="79439B4C" w14:textId="77777777" w:rsidR="0056738E" w:rsidRPr="00984D76"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Cs/>
                <w:color w:val="262626"/>
                <w:sz w:val="18"/>
                <w:szCs w:val="18"/>
                <w:lang w:eastAsia="en-US"/>
              </w:rPr>
            </w:pPr>
            <w:r w:rsidRPr="00984D76">
              <w:rPr>
                <w:rFonts w:ascii="Arial" w:hAnsi="Arial" w:cs="Arial"/>
                <w:color w:val="262626"/>
                <w:sz w:val="18"/>
                <w:szCs w:val="18"/>
                <w:lang w:val="el-GR"/>
              </w:rPr>
              <w:t>Κύπρος</w:t>
            </w:r>
          </w:p>
        </w:tc>
        <w:tc>
          <w:tcPr>
            <w:tcW w:w="1134" w:type="dxa"/>
            <w:vAlign w:val="center"/>
          </w:tcPr>
          <w:p w14:paraId="31A9A2C7" w14:textId="77777777" w:rsidR="0056738E" w:rsidRPr="00984D76"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Cs/>
                <w:color w:val="262626"/>
                <w:sz w:val="18"/>
                <w:szCs w:val="18"/>
                <w:lang w:eastAsia="en-US"/>
              </w:rPr>
            </w:pPr>
            <w:r w:rsidRPr="00984D76">
              <w:rPr>
                <w:rFonts w:ascii="Arial" w:hAnsi="Arial" w:cs="Arial"/>
                <w:color w:val="262626"/>
                <w:sz w:val="18"/>
                <w:szCs w:val="18"/>
                <w:lang w:val="el-GR"/>
              </w:rPr>
              <w:t>Ελλάδα</w:t>
            </w:r>
          </w:p>
        </w:tc>
        <w:tc>
          <w:tcPr>
            <w:tcW w:w="1134" w:type="dxa"/>
            <w:vAlign w:val="center"/>
          </w:tcPr>
          <w:p w14:paraId="53D682FC" w14:textId="77777777" w:rsidR="0056738E" w:rsidRPr="00984D76" w:rsidRDefault="0056738E" w:rsidP="007C2AEE">
            <w:pPr>
              <w:spacing w:after="0" w:line="240" w:lineRule="auto"/>
              <w:ind w:left="-136"/>
              <w:jc w:val="center"/>
              <w:rPr>
                <w:rFonts w:ascii="Arial" w:eastAsia="Batang" w:hAnsi="Arial" w:cs="Arial"/>
                <w:color w:val="262626"/>
                <w:sz w:val="18"/>
                <w:szCs w:val="18"/>
                <w:lang w:val="el-GR" w:eastAsia="en-US"/>
              </w:rPr>
            </w:pPr>
            <w:r w:rsidRPr="00984D76">
              <w:rPr>
                <w:rFonts w:ascii="Arial" w:eastAsia="Batang" w:hAnsi="Arial" w:cs="Arial"/>
                <w:color w:val="262626"/>
                <w:sz w:val="18"/>
                <w:szCs w:val="18"/>
                <w:lang w:val="el-GR" w:eastAsia="en-US"/>
              </w:rPr>
              <w:t>Ηνωμένο</w:t>
            </w:r>
          </w:p>
          <w:p w14:paraId="676BDD74" w14:textId="77777777" w:rsidR="0056738E" w:rsidRPr="00984D76" w:rsidRDefault="0056738E" w:rsidP="007C2AEE">
            <w:pPr>
              <w:shd w:val="clear" w:color="auto" w:fill="FFFFFF"/>
              <w:tabs>
                <w:tab w:val="right" w:pos="7560"/>
                <w:tab w:val="right" w:pos="9000"/>
              </w:tabs>
              <w:suppressAutoHyphens/>
              <w:spacing w:after="0" w:line="240" w:lineRule="auto"/>
              <w:ind w:left="-136" w:right="-45"/>
              <w:jc w:val="center"/>
              <w:rPr>
                <w:rFonts w:ascii="Arial" w:eastAsia="Batang" w:hAnsi="Arial" w:cs="Arial"/>
                <w:bCs/>
                <w:color w:val="262626"/>
                <w:sz w:val="18"/>
                <w:szCs w:val="18"/>
                <w:lang w:eastAsia="en-US"/>
              </w:rPr>
            </w:pPr>
            <w:r w:rsidRPr="00984D76">
              <w:rPr>
                <w:rFonts w:ascii="Arial" w:eastAsia="Batang" w:hAnsi="Arial" w:cs="Arial"/>
                <w:color w:val="262626"/>
                <w:sz w:val="18"/>
                <w:szCs w:val="18"/>
                <w:lang w:val="el-GR" w:eastAsia="en-US"/>
              </w:rPr>
              <w:t>Βασίλειο</w:t>
            </w:r>
          </w:p>
        </w:tc>
        <w:tc>
          <w:tcPr>
            <w:tcW w:w="1139" w:type="dxa"/>
            <w:shd w:val="clear" w:color="auto" w:fill="auto"/>
            <w:vAlign w:val="center"/>
          </w:tcPr>
          <w:p w14:paraId="301B982A" w14:textId="77777777" w:rsidR="0056738E" w:rsidRPr="00984D76"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Cs/>
                <w:color w:val="262626"/>
                <w:sz w:val="18"/>
                <w:szCs w:val="18"/>
                <w:lang w:eastAsia="en-US"/>
              </w:rPr>
            </w:pPr>
            <w:r w:rsidRPr="00984D76">
              <w:rPr>
                <w:rFonts w:ascii="Arial" w:hAnsi="Arial" w:cs="Arial"/>
                <w:color w:val="262626"/>
                <w:sz w:val="18"/>
                <w:szCs w:val="18"/>
                <w:lang w:val="el-GR"/>
              </w:rPr>
              <w:t>Ρωσία</w:t>
            </w:r>
          </w:p>
        </w:tc>
        <w:tc>
          <w:tcPr>
            <w:tcW w:w="1134" w:type="dxa"/>
            <w:vAlign w:val="center"/>
          </w:tcPr>
          <w:p w14:paraId="2DA941C0" w14:textId="77777777" w:rsidR="0056738E" w:rsidRPr="00984D76"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Cs/>
                <w:color w:val="262626"/>
                <w:sz w:val="18"/>
                <w:szCs w:val="18"/>
                <w:lang w:eastAsia="en-US"/>
              </w:rPr>
            </w:pPr>
            <w:r w:rsidRPr="00984D76">
              <w:rPr>
                <w:rFonts w:ascii="Arial" w:hAnsi="Arial" w:cs="Arial"/>
                <w:color w:val="262626"/>
                <w:sz w:val="18"/>
                <w:szCs w:val="18"/>
                <w:lang w:val="el-GR"/>
              </w:rPr>
              <w:t>Άλλες χώρες</w:t>
            </w:r>
          </w:p>
        </w:tc>
        <w:tc>
          <w:tcPr>
            <w:tcW w:w="1361" w:type="dxa"/>
            <w:shd w:val="clear" w:color="auto" w:fill="auto"/>
            <w:vAlign w:val="center"/>
          </w:tcPr>
          <w:p w14:paraId="514C28F5" w14:textId="77777777" w:rsidR="0056738E" w:rsidRPr="00D60454" w:rsidRDefault="0056738E" w:rsidP="007C2AEE">
            <w:pPr>
              <w:shd w:val="clear" w:color="auto" w:fill="FFFFFF"/>
              <w:tabs>
                <w:tab w:val="right" w:pos="7560"/>
                <w:tab w:val="right" w:pos="9000"/>
              </w:tabs>
              <w:suppressAutoHyphens/>
              <w:spacing w:after="0" w:line="240" w:lineRule="auto"/>
              <w:ind w:left="-119"/>
              <w:jc w:val="center"/>
              <w:rPr>
                <w:rFonts w:ascii="Arial" w:eastAsia="Batang" w:hAnsi="Arial" w:cs="Arial"/>
                <w:b/>
                <w:bCs/>
                <w:color w:val="262626"/>
                <w:sz w:val="18"/>
                <w:szCs w:val="18"/>
                <w:lang w:val="el-GR" w:eastAsia="en-US"/>
              </w:rPr>
            </w:pPr>
            <w:r>
              <w:rPr>
                <w:rFonts w:ascii="Arial" w:eastAsia="Batang" w:hAnsi="Arial" w:cs="Arial"/>
                <w:b/>
                <w:color w:val="262626"/>
                <w:sz w:val="18"/>
                <w:szCs w:val="18"/>
                <w:lang w:val="el-GR" w:eastAsia="en-US"/>
              </w:rPr>
              <w:t>Μ</w:t>
            </w:r>
            <w:r w:rsidRPr="009B5694">
              <w:rPr>
                <w:rFonts w:ascii="Arial" w:eastAsia="Batang" w:hAnsi="Arial" w:cs="Arial"/>
                <w:b/>
                <w:color w:val="262626"/>
                <w:sz w:val="18"/>
                <w:szCs w:val="18"/>
                <w:lang w:val="el-GR" w:eastAsia="en-US"/>
              </w:rPr>
              <w:t>εικτά δάνεια</w:t>
            </w:r>
            <w:r>
              <w:rPr>
                <w:rFonts w:ascii="Arial" w:eastAsia="Batang" w:hAnsi="Arial" w:cs="Arial"/>
                <w:b/>
                <w:color w:val="262626"/>
                <w:sz w:val="18"/>
                <w:szCs w:val="18"/>
                <w:lang w:val="el-GR" w:eastAsia="en-US"/>
              </w:rPr>
              <w:t xml:space="preserve"> σε αποσβεσμένο κόστος</w:t>
            </w:r>
          </w:p>
        </w:tc>
      </w:tr>
      <w:tr w:rsidR="0056738E" w:rsidRPr="00EA13DA" w14:paraId="17300E02" w14:textId="77777777" w:rsidTr="007C2AEE">
        <w:trPr>
          <w:trHeight w:val="286"/>
        </w:trPr>
        <w:tc>
          <w:tcPr>
            <w:tcW w:w="2835" w:type="dxa"/>
            <w:vAlign w:val="center"/>
          </w:tcPr>
          <w:p w14:paraId="3F043B14" w14:textId="77777777" w:rsidR="0056738E" w:rsidRPr="009B5694" w:rsidRDefault="0056738E" w:rsidP="007C2AEE">
            <w:pPr>
              <w:numPr>
                <w:ilvl w:val="12"/>
                <w:numId w:val="0"/>
              </w:numPr>
              <w:tabs>
                <w:tab w:val="left" w:pos="284"/>
              </w:tabs>
              <w:spacing w:after="0" w:line="240" w:lineRule="auto"/>
              <w:rPr>
                <w:rFonts w:ascii="Arial" w:eastAsia="Batang" w:hAnsi="Arial" w:cs="Arial"/>
                <w:b/>
                <w:bCs/>
                <w:color w:val="262626"/>
                <w:sz w:val="18"/>
                <w:szCs w:val="18"/>
                <w:lang w:val="el-GR" w:eastAsia="el-GR"/>
              </w:rPr>
            </w:pPr>
            <w:r w:rsidRPr="009B5694">
              <w:rPr>
                <w:rFonts w:ascii="Arial" w:eastAsia="Batang" w:hAnsi="Arial" w:cs="Arial"/>
                <w:b/>
                <w:bCs/>
                <w:color w:val="262626"/>
                <w:sz w:val="18"/>
                <w:szCs w:val="18"/>
                <w:lang w:val="el-GR" w:eastAsia="el-GR"/>
              </w:rPr>
              <w:t>Ανά πελατειακό τομέα</w:t>
            </w:r>
          </w:p>
        </w:tc>
        <w:tc>
          <w:tcPr>
            <w:tcW w:w="1134" w:type="dxa"/>
            <w:vAlign w:val="center"/>
          </w:tcPr>
          <w:p w14:paraId="205B4D80"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9B5694">
              <w:rPr>
                <w:rFonts w:ascii="Arial" w:eastAsia="Batang" w:hAnsi="Arial" w:cs="Arial"/>
                <w:bCs/>
                <w:color w:val="262626"/>
                <w:sz w:val="18"/>
                <w:szCs w:val="18"/>
                <w:lang w:eastAsia="en-US"/>
              </w:rPr>
              <w:t>€000</w:t>
            </w:r>
          </w:p>
        </w:tc>
        <w:tc>
          <w:tcPr>
            <w:tcW w:w="1134" w:type="dxa"/>
            <w:vAlign w:val="center"/>
          </w:tcPr>
          <w:p w14:paraId="69B8FC2B"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9B5694">
              <w:rPr>
                <w:rFonts w:ascii="Arial" w:eastAsia="Batang" w:hAnsi="Arial" w:cs="Arial"/>
                <w:bCs/>
                <w:color w:val="262626"/>
                <w:sz w:val="18"/>
                <w:szCs w:val="18"/>
                <w:lang w:eastAsia="en-US"/>
              </w:rPr>
              <w:t>€000</w:t>
            </w:r>
          </w:p>
        </w:tc>
        <w:tc>
          <w:tcPr>
            <w:tcW w:w="1134" w:type="dxa"/>
            <w:vAlign w:val="center"/>
          </w:tcPr>
          <w:p w14:paraId="78AEE133"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9B5694">
              <w:rPr>
                <w:rFonts w:ascii="Arial" w:eastAsia="Batang" w:hAnsi="Arial" w:cs="Arial"/>
                <w:bCs/>
                <w:color w:val="262626"/>
                <w:sz w:val="18"/>
                <w:szCs w:val="18"/>
                <w:lang w:eastAsia="en-US"/>
              </w:rPr>
              <w:t>€000</w:t>
            </w:r>
          </w:p>
        </w:tc>
        <w:tc>
          <w:tcPr>
            <w:tcW w:w="1139" w:type="dxa"/>
            <w:shd w:val="clear" w:color="auto" w:fill="auto"/>
            <w:vAlign w:val="center"/>
          </w:tcPr>
          <w:p w14:paraId="68024AB9"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9B5694">
              <w:rPr>
                <w:rFonts w:ascii="Arial" w:eastAsia="Batang" w:hAnsi="Arial" w:cs="Arial"/>
                <w:bCs/>
                <w:color w:val="262626"/>
                <w:sz w:val="18"/>
                <w:szCs w:val="18"/>
                <w:lang w:eastAsia="en-US"/>
              </w:rPr>
              <w:t>€000</w:t>
            </w:r>
          </w:p>
        </w:tc>
        <w:tc>
          <w:tcPr>
            <w:tcW w:w="1134" w:type="dxa"/>
            <w:vAlign w:val="center"/>
          </w:tcPr>
          <w:p w14:paraId="3AF99C4F"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9B5694">
              <w:rPr>
                <w:rFonts w:ascii="Arial" w:eastAsia="Batang" w:hAnsi="Arial" w:cs="Arial"/>
                <w:bCs/>
                <w:color w:val="262626"/>
                <w:sz w:val="18"/>
                <w:szCs w:val="18"/>
                <w:lang w:eastAsia="en-US"/>
              </w:rPr>
              <w:t>€000</w:t>
            </w:r>
          </w:p>
        </w:tc>
        <w:tc>
          <w:tcPr>
            <w:tcW w:w="1361" w:type="dxa"/>
            <w:shd w:val="clear" w:color="auto" w:fill="auto"/>
            <w:vAlign w:val="center"/>
          </w:tcPr>
          <w:p w14:paraId="14EE5B44" w14:textId="77777777" w:rsidR="0056738E" w:rsidRPr="00151E9A"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9B5694">
              <w:rPr>
                <w:rFonts w:ascii="Arial" w:eastAsia="Batang" w:hAnsi="Arial" w:cs="Arial"/>
                <w:b/>
                <w:bCs/>
                <w:color w:val="262626"/>
                <w:sz w:val="18"/>
                <w:szCs w:val="18"/>
                <w:lang w:eastAsia="en-US"/>
              </w:rPr>
              <w:t>€000</w:t>
            </w:r>
          </w:p>
        </w:tc>
      </w:tr>
      <w:tr w:rsidR="0056738E" w:rsidRPr="00EA13DA" w14:paraId="261D48CF" w14:textId="77777777" w:rsidTr="007C2AEE">
        <w:trPr>
          <w:trHeight w:val="286"/>
        </w:trPr>
        <w:tc>
          <w:tcPr>
            <w:tcW w:w="2835" w:type="dxa"/>
            <w:vAlign w:val="center"/>
          </w:tcPr>
          <w:p w14:paraId="29960F16"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Μεγάλες</w:t>
            </w:r>
            <w:proofErr w:type="spellEnd"/>
            <w:r w:rsidRPr="009B5694">
              <w:rPr>
                <w:rFonts w:ascii="Arial" w:hAnsi="Arial" w:cs="Arial"/>
                <w:color w:val="262626"/>
                <w:sz w:val="18"/>
                <w:szCs w:val="18"/>
                <w:lang w:val="en-US"/>
              </w:rPr>
              <w:t xml:space="preserve"> επ</w:t>
            </w:r>
            <w:proofErr w:type="spellStart"/>
            <w:r w:rsidRPr="009B5694">
              <w:rPr>
                <w:rFonts w:ascii="Arial" w:hAnsi="Arial" w:cs="Arial"/>
                <w:color w:val="262626"/>
                <w:sz w:val="18"/>
                <w:szCs w:val="18"/>
                <w:lang w:val="en-US"/>
              </w:rPr>
              <w:t>ιχειρήσεις</w:t>
            </w:r>
            <w:proofErr w:type="spellEnd"/>
            <w:r w:rsidRPr="009B5694">
              <w:rPr>
                <w:rFonts w:ascii="Arial" w:eastAsia="Batang" w:hAnsi="Arial" w:cs="Arial"/>
                <w:color w:val="262626"/>
                <w:sz w:val="18"/>
                <w:szCs w:val="18"/>
                <w:lang w:eastAsia="el-GR"/>
              </w:rPr>
              <w:t xml:space="preserve"> </w:t>
            </w:r>
          </w:p>
        </w:tc>
        <w:tc>
          <w:tcPr>
            <w:tcW w:w="1134" w:type="dxa"/>
            <w:vAlign w:val="center"/>
          </w:tcPr>
          <w:p w14:paraId="7CCD86D8" w14:textId="77777777" w:rsidR="0056738E" w:rsidRDefault="0056738E" w:rsidP="007C2AEE">
            <w:pPr>
              <w:shd w:val="clear" w:color="auto" w:fill="FFFFFF"/>
              <w:tabs>
                <w:tab w:val="right" w:pos="7560"/>
                <w:tab w:val="right" w:pos="9000"/>
              </w:tabs>
              <w:suppressAutoHyphens/>
              <w:spacing w:after="0" w:line="240" w:lineRule="auto"/>
              <w:ind w:left="-91"/>
              <w:jc w:val="right"/>
              <w:rPr>
                <w:rFonts w:ascii="Arial" w:hAnsi="Arial" w:cs="Arial"/>
                <w:bCs/>
                <w:color w:val="262626"/>
                <w:sz w:val="18"/>
                <w:szCs w:val="18"/>
              </w:rPr>
            </w:pPr>
            <w:r>
              <w:rPr>
                <w:rFonts w:ascii="Arial" w:hAnsi="Arial" w:cs="Arial"/>
                <w:bCs/>
                <w:color w:val="262626"/>
                <w:sz w:val="18"/>
                <w:szCs w:val="18"/>
              </w:rPr>
              <w:t>3,326,556</w:t>
            </w:r>
          </w:p>
        </w:tc>
        <w:tc>
          <w:tcPr>
            <w:tcW w:w="1134" w:type="dxa"/>
            <w:vAlign w:val="center"/>
          </w:tcPr>
          <w:p w14:paraId="73BB1416"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30,487</w:t>
            </w:r>
          </w:p>
        </w:tc>
        <w:tc>
          <w:tcPr>
            <w:tcW w:w="1134" w:type="dxa"/>
            <w:vAlign w:val="center"/>
          </w:tcPr>
          <w:p w14:paraId="6AFE8780"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193</w:t>
            </w:r>
          </w:p>
        </w:tc>
        <w:tc>
          <w:tcPr>
            <w:tcW w:w="1139" w:type="dxa"/>
            <w:tcBorders>
              <w:top w:val="single" w:sz="4" w:space="0" w:color="C0C0C0"/>
              <w:bottom w:val="single" w:sz="4" w:space="0" w:color="C0C0C0"/>
            </w:tcBorders>
            <w:vAlign w:val="center"/>
          </w:tcPr>
          <w:p w14:paraId="41A12EEA"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324</w:t>
            </w:r>
          </w:p>
        </w:tc>
        <w:tc>
          <w:tcPr>
            <w:tcW w:w="1134" w:type="dxa"/>
            <w:tcBorders>
              <w:top w:val="single" w:sz="4" w:space="0" w:color="C0C0C0"/>
              <w:bottom w:val="single" w:sz="4" w:space="0" w:color="C0C0C0"/>
            </w:tcBorders>
            <w:shd w:val="clear" w:color="auto" w:fill="auto"/>
            <w:vAlign w:val="center"/>
          </w:tcPr>
          <w:p w14:paraId="5F9192C2"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185</w:t>
            </w:r>
          </w:p>
        </w:tc>
        <w:tc>
          <w:tcPr>
            <w:tcW w:w="1361" w:type="dxa"/>
            <w:tcBorders>
              <w:top w:val="single" w:sz="4" w:space="0" w:color="C0C0C0"/>
              <w:bottom w:val="single" w:sz="4" w:space="0" w:color="C0C0C0"/>
            </w:tcBorders>
            <w:shd w:val="clear" w:color="auto" w:fill="auto"/>
            <w:vAlign w:val="center"/>
          </w:tcPr>
          <w:p w14:paraId="6EB80ED1" w14:textId="77777777" w:rsidR="0056738E" w:rsidRPr="00185BB4"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3,357,745</w:t>
            </w:r>
          </w:p>
        </w:tc>
      </w:tr>
      <w:tr w:rsidR="0056738E" w:rsidRPr="00910A4E" w14:paraId="611D990E" w14:textId="77777777" w:rsidTr="007C2AEE">
        <w:trPr>
          <w:trHeight w:val="286"/>
        </w:trPr>
        <w:tc>
          <w:tcPr>
            <w:tcW w:w="2835" w:type="dxa"/>
            <w:vAlign w:val="center"/>
          </w:tcPr>
          <w:p w14:paraId="4C7F01CB" w14:textId="77777777" w:rsidR="0056738E" w:rsidRPr="00325113" w:rsidRDefault="0056738E" w:rsidP="007C2AEE">
            <w:pPr>
              <w:numPr>
                <w:ilvl w:val="12"/>
                <w:numId w:val="0"/>
              </w:numPr>
              <w:tabs>
                <w:tab w:val="left" w:pos="284"/>
              </w:tabs>
              <w:spacing w:after="0" w:line="240" w:lineRule="auto"/>
              <w:rPr>
                <w:rFonts w:ascii="Arial" w:hAnsi="Arial" w:cs="Arial"/>
                <w:color w:val="262626"/>
                <w:sz w:val="18"/>
                <w:szCs w:val="18"/>
                <w:lang w:val="el-GR"/>
              </w:rPr>
            </w:pPr>
            <w:r>
              <w:rPr>
                <w:rFonts w:ascii="Arial" w:hAnsi="Arial" w:cs="Arial"/>
                <w:color w:val="262626"/>
                <w:sz w:val="18"/>
                <w:szCs w:val="18"/>
                <w:lang w:val="el-GR" w:eastAsia="el-GR"/>
              </w:rPr>
              <w:t xml:space="preserve">Κέντρο διεθνών εργασιών και Διεθνείς </w:t>
            </w:r>
            <w:r>
              <w:rPr>
                <w:rFonts w:ascii="Arial" w:hAnsi="Arial" w:cs="Arial"/>
                <w:color w:val="262626"/>
                <w:sz w:val="18"/>
                <w:szCs w:val="18"/>
                <w:lang w:val="el-GR"/>
              </w:rPr>
              <w:t>επιχειρήσεις</w:t>
            </w:r>
          </w:p>
        </w:tc>
        <w:tc>
          <w:tcPr>
            <w:tcW w:w="1134" w:type="dxa"/>
            <w:vAlign w:val="center"/>
          </w:tcPr>
          <w:p w14:paraId="3F74A55C" w14:textId="77777777" w:rsidR="0056738E" w:rsidRPr="00662450"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p>
        </w:tc>
        <w:tc>
          <w:tcPr>
            <w:tcW w:w="1134" w:type="dxa"/>
            <w:vAlign w:val="center"/>
          </w:tcPr>
          <w:p w14:paraId="78F88160" w14:textId="77777777" w:rsidR="0056738E" w:rsidRPr="00662450"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p>
        </w:tc>
        <w:tc>
          <w:tcPr>
            <w:tcW w:w="1134" w:type="dxa"/>
            <w:vAlign w:val="center"/>
          </w:tcPr>
          <w:p w14:paraId="70884099" w14:textId="77777777" w:rsidR="0056738E" w:rsidRPr="00662450"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p>
        </w:tc>
        <w:tc>
          <w:tcPr>
            <w:tcW w:w="1139" w:type="dxa"/>
            <w:tcBorders>
              <w:top w:val="single" w:sz="4" w:space="0" w:color="C0C0C0"/>
              <w:bottom w:val="single" w:sz="4" w:space="0" w:color="C0C0C0"/>
            </w:tcBorders>
            <w:vAlign w:val="center"/>
          </w:tcPr>
          <w:p w14:paraId="3623302F" w14:textId="77777777" w:rsidR="0056738E" w:rsidRPr="00662450"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p>
        </w:tc>
        <w:tc>
          <w:tcPr>
            <w:tcW w:w="1134" w:type="dxa"/>
            <w:tcBorders>
              <w:top w:val="single" w:sz="4" w:space="0" w:color="C0C0C0"/>
              <w:bottom w:val="single" w:sz="4" w:space="0" w:color="C0C0C0"/>
            </w:tcBorders>
            <w:shd w:val="clear" w:color="auto" w:fill="auto"/>
            <w:vAlign w:val="center"/>
          </w:tcPr>
          <w:p w14:paraId="7EFC45A0" w14:textId="77777777" w:rsidR="0056738E" w:rsidRPr="00041815"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p>
        </w:tc>
        <w:tc>
          <w:tcPr>
            <w:tcW w:w="1361" w:type="dxa"/>
            <w:tcBorders>
              <w:top w:val="single" w:sz="4" w:space="0" w:color="C0C0C0"/>
              <w:bottom w:val="single" w:sz="4" w:space="0" w:color="C0C0C0"/>
            </w:tcBorders>
            <w:shd w:val="clear" w:color="auto" w:fill="auto"/>
            <w:vAlign w:val="center"/>
          </w:tcPr>
          <w:p w14:paraId="2F080110" w14:textId="77777777" w:rsidR="0056738E" w:rsidRPr="00662450"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p>
        </w:tc>
      </w:tr>
      <w:tr w:rsidR="0056738E" w:rsidRPr="00EA13DA" w14:paraId="1B7B1B29" w14:textId="77777777" w:rsidTr="007C2AEE">
        <w:trPr>
          <w:trHeight w:val="286"/>
        </w:trPr>
        <w:tc>
          <w:tcPr>
            <w:tcW w:w="2835" w:type="dxa"/>
            <w:vAlign w:val="center"/>
          </w:tcPr>
          <w:p w14:paraId="47858A8C" w14:textId="77777777" w:rsidR="0056738E" w:rsidRDefault="0056738E" w:rsidP="007C2AEE">
            <w:pPr>
              <w:numPr>
                <w:ilvl w:val="12"/>
                <w:numId w:val="0"/>
              </w:numPr>
              <w:tabs>
                <w:tab w:val="left" w:pos="284"/>
              </w:tabs>
              <w:spacing w:after="0" w:line="240" w:lineRule="auto"/>
              <w:rPr>
                <w:rFonts w:ascii="Arial" w:hAnsi="Arial" w:cs="Arial"/>
                <w:color w:val="262626"/>
                <w:sz w:val="18"/>
                <w:szCs w:val="18"/>
                <w:lang w:val="el-GR" w:eastAsia="el-GR"/>
              </w:rPr>
            </w:pPr>
            <w:r w:rsidRPr="009B5694">
              <w:rPr>
                <w:rFonts w:ascii="Arial" w:eastAsia="Batang" w:hAnsi="Arial" w:cs="Arial"/>
                <w:color w:val="262626"/>
                <w:sz w:val="18"/>
                <w:szCs w:val="18"/>
                <w:lang w:eastAsia="el-GR"/>
              </w:rPr>
              <w:t xml:space="preserve">- </w:t>
            </w:r>
            <w:r>
              <w:rPr>
                <w:rFonts w:ascii="Arial" w:hAnsi="Arial" w:cs="Arial"/>
                <w:color w:val="262626"/>
                <w:sz w:val="18"/>
                <w:szCs w:val="18"/>
                <w:lang w:val="el-GR"/>
              </w:rPr>
              <w:t>Κέντρο διεθνών εργασιών</w:t>
            </w:r>
          </w:p>
        </w:tc>
        <w:tc>
          <w:tcPr>
            <w:tcW w:w="1134" w:type="dxa"/>
            <w:vAlign w:val="center"/>
          </w:tcPr>
          <w:p w14:paraId="6920FC3E"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87,127</w:t>
            </w:r>
          </w:p>
        </w:tc>
        <w:tc>
          <w:tcPr>
            <w:tcW w:w="1134" w:type="dxa"/>
            <w:vAlign w:val="center"/>
          </w:tcPr>
          <w:p w14:paraId="3179B921"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1,688</w:t>
            </w:r>
          </w:p>
        </w:tc>
        <w:tc>
          <w:tcPr>
            <w:tcW w:w="1134" w:type="dxa"/>
            <w:vAlign w:val="center"/>
          </w:tcPr>
          <w:p w14:paraId="25C00254"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6,544</w:t>
            </w:r>
          </w:p>
        </w:tc>
        <w:tc>
          <w:tcPr>
            <w:tcW w:w="1139" w:type="dxa"/>
            <w:tcBorders>
              <w:top w:val="single" w:sz="4" w:space="0" w:color="C0C0C0"/>
              <w:bottom w:val="single" w:sz="4" w:space="0" w:color="C0C0C0"/>
            </w:tcBorders>
            <w:vAlign w:val="center"/>
          </w:tcPr>
          <w:p w14:paraId="5226141A"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6,901</w:t>
            </w:r>
          </w:p>
        </w:tc>
        <w:tc>
          <w:tcPr>
            <w:tcW w:w="1134" w:type="dxa"/>
            <w:tcBorders>
              <w:top w:val="single" w:sz="4" w:space="0" w:color="C0C0C0"/>
              <w:bottom w:val="single" w:sz="4" w:space="0" w:color="C0C0C0"/>
            </w:tcBorders>
            <w:shd w:val="clear" w:color="auto" w:fill="auto"/>
            <w:vAlign w:val="center"/>
          </w:tcPr>
          <w:p w14:paraId="19DDFD25"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18,618</w:t>
            </w:r>
          </w:p>
        </w:tc>
        <w:tc>
          <w:tcPr>
            <w:tcW w:w="1361" w:type="dxa"/>
            <w:tcBorders>
              <w:top w:val="single" w:sz="4" w:space="0" w:color="C0C0C0"/>
              <w:bottom w:val="single" w:sz="4" w:space="0" w:color="C0C0C0"/>
            </w:tcBorders>
            <w:shd w:val="clear" w:color="auto" w:fill="auto"/>
            <w:vAlign w:val="center"/>
          </w:tcPr>
          <w:p w14:paraId="744523CB"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120,878</w:t>
            </w:r>
          </w:p>
        </w:tc>
      </w:tr>
      <w:tr w:rsidR="0056738E" w:rsidRPr="00EA13DA" w14:paraId="14C61946" w14:textId="77777777" w:rsidTr="007C2AEE">
        <w:trPr>
          <w:trHeight w:val="286"/>
        </w:trPr>
        <w:tc>
          <w:tcPr>
            <w:tcW w:w="2835" w:type="dxa"/>
            <w:shd w:val="clear" w:color="auto" w:fill="auto"/>
            <w:vAlign w:val="center"/>
          </w:tcPr>
          <w:p w14:paraId="5CCDA379" w14:textId="77777777" w:rsidR="0056738E" w:rsidRDefault="0056738E" w:rsidP="007C2AEE">
            <w:pPr>
              <w:numPr>
                <w:ilvl w:val="12"/>
                <w:numId w:val="0"/>
              </w:numPr>
              <w:tabs>
                <w:tab w:val="left" w:pos="284"/>
              </w:tabs>
              <w:spacing w:after="0" w:line="240" w:lineRule="auto"/>
              <w:rPr>
                <w:rFonts w:ascii="Arial" w:hAnsi="Arial" w:cs="Arial"/>
                <w:color w:val="262626"/>
                <w:sz w:val="18"/>
                <w:szCs w:val="18"/>
                <w:lang w:val="el-GR" w:eastAsia="el-GR"/>
              </w:rPr>
            </w:pPr>
            <w:r w:rsidRPr="009B5694">
              <w:rPr>
                <w:rFonts w:ascii="Arial" w:eastAsia="Batang" w:hAnsi="Arial" w:cs="Arial"/>
                <w:color w:val="262626"/>
                <w:sz w:val="18"/>
                <w:szCs w:val="18"/>
                <w:lang w:val="el-GR" w:eastAsia="el-GR"/>
              </w:rPr>
              <w:t xml:space="preserve">- </w:t>
            </w:r>
            <w:r>
              <w:rPr>
                <w:rFonts w:ascii="Arial" w:hAnsi="Arial" w:cs="Arial"/>
                <w:color w:val="262626"/>
                <w:sz w:val="18"/>
                <w:szCs w:val="18"/>
                <w:lang w:val="el-GR"/>
              </w:rPr>
              <w:t>Διεθνείς επιχειρήσεις</w:t>
            </w:r>
          </w:p>
        </w:tc>
        <w:tc>
          <w:tcPr>
            <w:tcW w:w="1134" w:type="dxa"/>
            <w:vAlign w:val="center"/>
          </w:tcPr>
          <w:p w14:paraId="58053FE8"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115,212</w:t>
            </w:r>
          </w:p>
        </w:tc>
        <w:tc>
          <w:tcPr>
            <w:tcW w:w="1134" w:type="dxa"/>
            <w:vAlign w:val="center"/>
          </w:tcPr>
          <w:p w14:paraId="5C719726"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164,103</w:t>
            </w:r>
          </w:p>
        </w:tc>
        <w:tc>
          <w:tcPr>
            <w:tcW w:w="1134" w:type="dxa"/>
            <w:vAlign w:val="center"/>
          </w:tcPr>
          <w:p w14:paraId="0CC06DEA"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43,401</w:t>
            </w:r>
          </w:p>
        </w:tc>
        <w:tc>
          <w:tcPr>
            <w:tcW w:w="1139" w:type="dxa"/>
            <w:tcBorders>
              <w:top w:val="single" w:sz="4" w:space="0" w:color="C0C0C0"/>
              <w:bottom w:val="single" w:sz="4" w:space="0" w:color="C0C0C0"/>
            </w:tcBorders>
            <w:vAlign w:val="center"/>
          </w:tcPr>
          <w:p w14:paraId="4D456D11"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w:t>
            </w:r>
          </w:p>
        </w:tc>
        <w:tc>
          <w:tcPr>
            <w:tcW w:w="1134" w:type="dxa"/>
            <w:tcBorders>
              <w:top w:val="single" w:sz="4" w:space="0" w:color="C0C0C0"/>
              <w:bottom w:val="single" w:sz="4" w:space="0" w:color="C0C0C0"/>
            </w:tcBorders>
            <w:shd w:val="clear" w:color="auto" w:fill="auto"/>
            <w:vAlign w:val="center"/>
          </w:tcPr>
          <w:p w14:paraId="7B7614D1"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rPr>
              <w:t>439,512</w:t>
            </w:r>
          </w:p>
        </w:tc>
        <w:tc>
          <w:tcPr>
            <w:tcW w:w="1361" w:type="dxa"/>
            <w:tcBorders>
              <w:top w:val="single" w:sz="4" w:space="0" w:color="C0C0C0"/>
              <w:bottom w:val="single" w:sz="4" w:space="0" w:color="C0C0C0"/>
            </w:tcBorders>
            <w:shd w:val="clear" w:color="auto" w:fill="auto"/>
            <w:vAlign w:val="center"/>
          </w:tcPr>
          <w:p w14:paraId="7C09887D"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762,228</w:t>
            </w:r>
          </w:p>
        </w:tc>
      </w:tr>
      <w:tr w:rsidR="0056738E" w:rsidRPr="00EA13DA" w14:paraId="3A446EFC" w14:textId="77777777" w:rsidTr="007C2AEE">
        <w:trPr>
          <w:trHeight w:val="286"/>
        </w:trPr>
        <w:tc>
          <w:tcPr>
            <w:tcW w:w="2835" w:type="dxa"/>
            <w:vAlign w:val="center"/>
          </w:tcPr>
          <w:p w14:paraId="0EC461A2"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Μικρομεσ</w:t>
            </w:r>
            <w:proofErr w:type="spellEnd"/>
            <w:r w:rsidRPr="009B5694">
              <w:rPr>
                <w:rFonts w:ascii="Arial" w:hAnsi="Arial" w:cs="Arial"/>
                <w:color w:val="262626"/>
                <w:sz w:val="18"/>
                <w:szCs w:val="18"/>
                <w:lang w:val="en-US"/>
              </w:rPr>
              <w:t>αίες επ</w:t>
            </w:r>
            <w:proofErr w:type="spellStart"/>
            <w:r w:rsidRPr="009B5694">
              <w:rPr>
                <w:rFonts w:ascii="Arial" w:hAnsi="Arial" w:cs="Arial"/>
                <w:color w:val="262626"/>
                <w:sz w:val="18"/>
                <w:szCs w:val="18"/>
                <w:lang w:val="en-US"/>
              </w:rPr>
              <w:t>ιχειρήσεις</w:t>
            </w:r>
            <w:proofErr w:type="spellEnd"/>
          </w:p>
        </w:tc>
        <w:tc>
          <w:tcPr>
            <w:tcW w:w="1134" w:type="dxa"/>
            <w:vAlign w:val="center"/>
          </w:tcPr>
          <w:p w14:paraId="1EE2371B" w14:textId="77777777" w:rsidR="0056738E" w:rsidRDefault="0056738E" w:rsidP="007C2AEE">
            <w:pPr>
              <w:shd w:val="clear" w:color="auto" w:fill="FFFFFF"/>
              <w:tabs>
                <w:tab w:val="right" w:pos="7560"/>
                <w:tab w:val="right" w:pos="9000"/>
              </w:tabs>
              <w:suppressAutoHyphens/>
              <w:spacing w:after="0" w:line="240" w:lineRule="auto"/>
              <w:ind w:left="-91"/>
              <w:jc w:val="right"/>
              <w:rPr>
                <w:rFonts w:ascii="Arial" w:hAnsi="Arial" w:cs="Arial"/>
                <w:bCs/>
                <w:color w:val="262626"/>
                <w:sz w:val="18"/>
                <w:szCs w:val="18"/>
              </w:rPr>
            </w:pPr>
            <w:r>
              <w:rPr>
                <w:rFonts w:ascii="Arial" w:hAnsi="Arial" w:cs="Arial"/>
                <w:bCs/>
                <w:color w:val="262626"/>
                <w:sz w:val="18"/>
                <w:szCs w:val="18"/>
              </w:rPr>
              <w:t>945,018</w:t>
            </w:r>
          </w:p>
        </w:tc>
        <w:tc>
          <w:tcPr>
            <w:tcW w:w="1134" w:type="dxa"/>
            <w:vAlign w:val="center"/>
          </w:tcPr>
          <w:p w14:paraId="6768C393"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482</w:t>
            </w:r>
          </w:p>
        </w:tc>
        <w:tc>
          <w:tcPr>
            <w:tcW w:w="1134" w:type="dxa"/>
            <w:vAlign w:val="center"/>
          </w:tcPr>
          <w:p w14:paraId="3923C428"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1,177</w:t>
            </w:r>
          </w:p>
        </w:tc>
        <w:tc>
          <w:tcPr>
            <w:tcW w:w="1139" w:type="dxa"/>
            <w:tcBorders>
              <w:top w:val="single" w:sz="4" w:space="0" w:color="C0C0C0"/>
              <w:bottom w:val="single" w:sz="4" w:space="0" w:color="C0C0C0"/>
            </w:tcBorders>
            <w:vAlign w:val="center"/>
          </w:tcPr>
          <w:p w14:paraId="2C28FFA2"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w:t>
            </w:r>
          </w:p>
        </w:tc>
        <w:tc>
          <w:tcPr>
            <w:tcW w:w="1134" w:type="dxa"/>
            <w:tcBorders>
              <w:top w:val="single" w:sz="4" w:space="0" w:color="C0C0C0"/>
              <w:bottom w:val="single" w:sz="4" w:space="0" w:color="C0C0C0"/>
            </w:tcBorders>
            <w:shd w:val="clear" w:color="auto" w:fill="auto"/>
            <w:vAlign w:val="center"/>
          </w:tcPr>
          <w:p w14:paraId="3BE3C02B" w14:textId="77777777" w:rsidR="0056738E" w:rsidRPr="00041815"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2,316</w:t>
            </w:r>
          </w:p>
        </w:tc>
        <w:tc>
          <w:tcPr>
            <w:tcW w:w="1361" w:type="dxa"/>
            <w:tcBorders>
              <w:top w:val="single" w:sz="4" w:space="0" w:color="C0C0C0"/>
              <w:bottom w:val="single" w:sz="4" w:space="0" w:color="C0C0C0"/>
            </w:tcBorders>
            <w:shd w:val="clear" w:color="auto" w:fill="auto"/>
            <w:vAlign w:val="center"/>
          </w:tcPr>
          <w:p w14:paraId="2B50150D" w14:textId="77777777" w:rsidR="0056738E" w:rsidRPr="00185BB4"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948,993</w:t>
            </w:r>
          </w:p>
        </w:tc>
      </w:tr>
      <w:tr w:rsidR="0056738E" w:rsidRPr="00EA13DA" w14:paraId="257A3A26" w14:textId="77777777" w:rsidTr="007C2AEE">
        <w:trPr>
          <w:trHeight w:val="286"/>
        </w:trPr>
        <w:tc>
          <w:tcPr>
            <w:tcW w:w="2835" w:type="dxa"/>
            <w:shd w:val="clear" w:color="auto" w:fill="auto"/>
            <w:vAlign w:val="center"/>
          </w:tcPr>
          <w:p w14:paraId="6E629C86"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Ιδιώτες</w:t>
            </w:r>
            <w:proofErr w:type="spellEnd"/>
          </w:p>
        </w:tc>
        <w:tc>
          <w:tcPr>
            <w:tcW w:w="1134" w:type="dxa"/>
            <w:vAlign w:val="center"/>
          </w:tcPr>
          <w:p w14:paraId="581BBEDC"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vAlign w:val="center"/>
          </w:tcPr>
          <w:p w14:paraId="3B75D344"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vAlign w:val="center"/>
          </w:tcPr>
          <w:p w14:paraId="3236AD46"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9" w:type="dxa"/>
            <w:tcBorders>
              <w:top w:val="single" w:sz="4" w:space="0" w:color="C0C0C0"/>
              <w:bottom w:val="single" w:sz="4" w:space="0" w:color="C0C0C0"/>
            </w:tcBorders>
            <w:vAlign w:val="center"/>
          </w:tcPr>
          <w:p w14:paraId="76A21A89"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tcBorders>
              <w:top w:val="single" w:sz="4" w:space="0" w:color="C0C0C0"/>
              <w:bottom w:val="single" w:sz="4" w:space="0" w:color="C0C0C0"/>
            </w:tcBorders>
            <w:shd w:val="clear" w:color="auto" w:fill="auto"/>
            <w:vAlign w:val="center"/>
          </w:tcPr>
          <w:p w14:paraId="43E0FE3E"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361" w:type="dxa"/>
            <w:tcBorders>
              <w:top w:val="single" w:sz="4" w:space="0" w:color="C0C0C0"/>
              <w:bottom w:val="single" w:sz="4" w:space="0" w:color="C0C0C0"/>
            </w:tcBorders>
            <w:shd w:val="clear" w:color="auto" w:fill="auto"/>
            <w:vAlign w:val="center"/>
          </w:tcPr>
          <w:p w14:paraId="29866FC2" w14:textId="77777777" w:rsidR="0056738E" w:rsidRPr="00185BB4"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p>
        </w:tc>
      </w:tr>
      <w:tr w:rsidR="0056738E" w:rsidRPr="00EA13DA" w14:paraId="6677FE63" w14:textId="77777777" w:rsidTr="007C2AEE">
        <w:trPr>
          <w:trHeight w:val="286"/>
        </w:trPr>
        <w:tc>
          <w:tcPr>
            <w:tcW w:w="2835" w:type="dxa"/>
            <w:vAlign w:val="center"/>
          </w:tcPr>
          <w:p w14:paraId="5D158105"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r w:rsidRPr="009B5694">
              <w:rPr>
                <w:rFonts w:ascii="Arial" w:eastAsia="Batang" w:hAnsi="Arial" w:cs="Arial"/>
                <w:color w:val="262626"/>
                <w:sz w:val="18"/>
                <w:szCs w:val="18"/>
                <w:lang w:eastAsia="el-GR"/>
              </w:rPr>
              <w:t xml:space="preserve">- </w:t>
            </w:r>
            <w:proofErr w:type="spellStart"/>
            <w:r w:rsidRPr="009B5694">
              <w:rPr>
                <w:rFonts w:ascii="Arial" w:hAnsi="Arial" w:cs="Arial"/>
                <w:color w:val="262626"/>
                <w:sz w:val="18"/>
                <w:szCs w:val="18"/>
                <w:lang w:val="en-US"/>
              </w:rPr>
              <w:t>στεγ</w:t>
            </w:r>
            <w:proofErr w:type="spellEnd"/>
            <w:r w:rsidRPr="009B5694">
              <w:rPr>
                <w:rFonts w:ascii="Arial" w:hAnsi="Arial" w:cs="Arial"/>
                <w:color w:val="262626"/>
                <w:sz w:val="18"/>
                <w:szCs w:val="18"/>
                <w:lang w:val="en-US"/>
              </w:rPr>
              <w:t>αστικά</w:t>
            </w:r>
            <w:r w:rsidRPr="009B5694">
              <w:rPr>
                <w:rFonts w:ascii="Arial" w:eastAsia="Batang" w:hAnsi="Arial" w:cs="Arial"/>
                <w:color w:val="262626"/>
                <w:sz w:val="18"/>
                <w:szCs w:val="18"/>
                <w:lang w:eastAsia="el-GR"/>
              </w:rPr>
              <w:t xml:space="preserve"> </w:t>
            </w:r>
          </w:p>
        </w:tc>
        <w:tc>
          <w:tcPr>
            <w:tcW w:w="1134" w:type="dxa"/>
            <w:vAlign w:val="center"/>
          </w:tcPr>
          <w:p w14:paraId="1D038605" w14:textId="77777777" w:rsidR="0056738E" w:rsidRDefault="0056738E" w:rsidP="007C2AEE">
            <w:pPr>
              <w:shd w:val="clear" w:color="auto" w:fill="FFFFFF"/>
              <w:tabs>
                <w:tab w:val="right" w:pos="7560"/>
                <w:tab w:val="right" w:pos="9000"/>
              </w:tabs>
              <w:suppressAutoHyphens/>
              <w:spacing w:after="0" w:line="240" w:lineRule="auto"/>
              <w:ind w:left="-233"/>
              <w:jc w:val="right"/>
              <w:rPr>
                <w:rFonts w:ascii="Arial" w:hAnsi="Arial" w:cs="Arial"/>
                <w:bCs/>
                <w:color w:val="262626"/>
                <w:sz w:val="18"/>
                <w:szCs w:val="18"/>
              </w:rPr>
            </w:pPr>
            <w:r>
              <w:rPr>
                <w:rFonts w:ascii="Arial" w:hAnsi="Arial" w:cs="Arial"/>
                <w:bCs/>
                <w:color w:val="262626"/>
                <w:sz w:val="18"/>
                <w:szCs w:val="18"/>
              </w:rPr>
              <w:t>3,369,111</w:t>
            </w:r>
          </w:p>
        </w:tc>
        <w:tc>
          <w:tcPr>
            <w:tcW w:w="1134" w:type="dxa"/>
            <w:vAlign w:val="center"/>
          </w:tcPr>
          <w:p w14:paraId="2B392231"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2,320</w:t>
            </w:r>
          </w:p>
        </w:tc>
        <w:tc>
          <w:tcPr>
            <w:tcW w:w="1134" w:type="dxa"/>
            <w:vAlign w:val="center"/>
          </w:tcPr>
          <w:p w14:paraId="49E18A5E"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27,728</w:t>
            </w:r>
          </w:p>
        </w:tc>
        <w:tc>
          <w:tcPr>
            <w:tcW w:w="1139" w:type="dxa"/>
            <w:tcBorders>
              <w:top w:val="single" w:sz="4" w:space="0" w:color="C0C0C0"/>
              <w:bottom w:val="single" w:sz="4" w:space="0" w:color="C0C0C0"/>
            </w:tcBorders>
            <w:vAlign w:val="center"/>
          </w:tcPr>
          <w:p w14:paraId="6C860672"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86</w:t>
            </w:r>
          </w:p>
        </w:tc>
        <w:tc>
          <w:tcPr>
            <w:tcW w:w="1134" w:type="dxa"/>
            <w:tcBorders>
              <w:top w:val="single" w:sz="4" w:space="0" w:color="C0C0C0"/>
              <w:bottom w:val="single" w:sz="4" w:space="0" w:color="C0C0C0"/>
            </w:tcBorders>
            <w:shd w:val="clear" w:color="auto" w:fill="auto"/>
            <w:vAlign w:val="center"/>
          </w:tcPr>
          <w:p w14:paraId="6CB23C7F" w14:textId="77777777" w:rsidR="0056738E" w:rsidRPr="00041815"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rPr>
              <w:t>17,634</w:t>
            </w:r>
          </w:p>
        </w:tc>
        <w:tc>
          <w:tcPr>
            <w:tcW w:w="1361" w:type="dxa"/>
            <w:tcBorders>
              <w:top w:val="single" w:sz="4" w:space="0" w:color="C0C0C0"/>
              <w:bottom w:val="single" w:sz="4" w:space="0" w:color="C0C0C0"/>
            </w:tcBorders>
            <w:shd w:val="clear" w:color="auto" w:fill="auto"/>
            <w:vAlign w:val="center"/>
          </w:tcPr>
          <w:p w14:paraId="0CC7C25C" w14:textId="77777777" w:rsidR="0056738E" w:rsidRPr="00185BB4"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3,416,879</w:t>
            </w:r>
          </w:p>
        </w:tc>
      </w:tr>
      <w:tr w:rsidR="0056738E" w:rsidRPr="00EA064F" w14:paraId="4F815727" w14:textId="77777777" w:rsidTr="007C2AEE">
        <w:trPr>
          <w:trHeight w:val="286"/>
        </w:trPr>
        <w:tc>
          <w:tcPr>
            <w:tcW w:w="2835" w:type="dxa"/>
            <w:shd w:val="clear" w:color="auto" w:fill="auto"/>
            <w:vAlign w:val="center"/>
          </w:tcPr>
          <w:p w14:paraId="24671A4C"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val="el-GR" w:eastAsia="el-GR"/>
              </w:rPr>
            </w:pPr>
            <w:r w:rsidRPr="009B5694">
              <w:rPr>
                <w:rFonts w:ascii="Arial" w:eastAsia="Batang" w:hAnsi="Arial" w:cs="Arial"/>
                <w:color w:val="262626"/>
                <w:sz w:val="18"/>
                <w:szCs w:val="18"/>
                <w:lang w:val="el-GR" w:eastAsia="el-GR"/>
              </w:rPr>
              <w:t xml:space="preserve">- </w:t>
            </w:r>
            <w:r w:rsidRPr="009B5694">
              <w:rPr>
                <w:rFonts w:ascii="Arial" w:hAnsi="Arial" w:cs="Arial"/>
                <w:color w:val="262626"/>
                <w:sz w:val="18"/>
                <w:szCs w:val="18"/>
                <w:lang w:val="el-GR"/>
              </w:rPr>
              <w:t>καταναλωτικά, πιστωτικές κάρτες και λοιπά</w:t>
            </w:r>
          </w:p>
        </w:tc>
        <w:tc>
          <w:tcPr>
            <w:tcW w:w="1134" w:type="dxa"/>
            <w:vAlign w:val="center"/>
          </w:tcPr>
          <w:p w14:paraId="22689287"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rPr>
              <w:t>956,834</w:t>
            </w:r>
          </w:p>
        </w:tc>
        <w:tc>
          <w:tcPr>
            <w:tcW w:w="1134" w:type="dxa"/>
            <w:vAlign w:val="center"/>
          </w:tcPr>
          <w:p w14:paraId="20CA125F"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rPr>
              <w:t>1,775</w:t>
            </w:r>
          </w:p>
        </w:tc>
        <w:tc>
          <w:tcPr>
            <w:tcW w:w="1134" w:type="dxa"/>
            <w:vAlign w:val="center"/>
          </w:tcPr>
          <w:p w14:paraId="032F8B60"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rPr>
              <w:t>480</w:t>
            </w:r>
          </w:p>
        </w:tc>
        <w:tc>
          <w:tcPr>
            <w:tcW w:w="1139" w:type="dxa"/>
            <w:tcBorders>
              <w:top w:val="single" w:sz="4" w:space="0" w:color="C0C0C0"/>
              <w:bottom w:val="single" w:sz="4" w:space="0" w:color="C0C0C0"/>
            </w:tcBorders>
            <w:vAlign w:val="center"/>
          </w:tcPr>
          <w:p w14:paraId="52029294" w14:textId="77777777" w:rsidR="0056738E" w:rsidRPr="00EA064F" w:rsidDel="00F51C7C"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rPr>
              <w:t>-</w:t>
            </w:r>
          </w:p>
        </w:tc>
        <w:tc>
          <w:tcPr>
            <w:tcW w:w="1134" w:type="dxa"/>
            <w:tcBorders>
              <w:top w:val="single" w:sz="4" w:space="0" w:color="C0C0C0"/>
              <w:bottom w:val="single" w:sz="4" w:space="0" w:color="C0C0C0"/>
            </w:tcBorders>
            <w:shd w:val="clear" w:color="auto" w:fill="auto"/>
            <w:vAlign w:val="center"/>
          </w:tcPr>
          <w:p w14:paraId="47BE1428" w14:textId="77777777" w:rsidR="0056738E" w:rsidRPr="004F3C76" w:rsidDel="00F51C7C"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rPr>
              <w:t>4,953</w:t>
            </w:r>
          </w:p>
        </w:tc>
        <w:tc>
          <w:tcPr>
            <w:tcW w:w="1361" w:type="dxa"/>
            <w:tcBorders>
              <w:top w:val="single" w:sz="4" w:space="0" w:color="C0C0C0"/>
              <w:bottom w:val="single" w:sz="4" w:space="0" w:color="C0C0C0"/>
            </w:tcBorders>
            <w:shd w:val="clear" w:color="auto" w:fill="auto"/>
            <w:vAlign w:val="center"/>
          </w:tcPr>
          <w:p w14:paraId="62180B96" w14:textId="77777777" w:rsidR="0056738E" w:rsidRPr="00EA064F" w:rsidDel="00F51C7C"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rPr>
              <w:t>964,042</w:t>
            </w:r>
          </w:p>
        </w:tc>
      </w:tr>
      <w:tr w:rsidR="0056738E" w:rsidRPr="00EA13DA" w14:paraId="19051677" w14:textId="77777777" w:rsidTr="007C2AEE">
        <w:trPr>
          <w:trHeight w:val="286"/>
        </w:trPr>
        <w:tc>
          <w:tcPr>
            <w:tcW w:w="2835" w:type="dxa"/>
            <w:vAlign w:val="center"/>
          </w:tcPr>
          <w:p w14:paraId="2FF94EF5"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Αν</w:t>
            </w:r>
            <w:proofErr w:type="spellEnd"/>
            <w:r w:rsidRPr="009B5694">
              <w:rPr>
                <w:rFonts w:ascii="Arial" w:hAnsi="Arial" w:cs="Arial"/>
                <w:color w:val="262626"/>
                <w:sz w:val="18"/>
                <w:szCs w:val="18"/>
                <w:lang w:val="en-US"/>
              </w:rPr>
              <w:t xml:space="preserve">αδιαρθρώσεις </w:t>
            </w:r>
            <w:proofErr w:type="spellStart"/>
            <w:r w:rsidRPr="009B5694">
              <w:rPr>
                <w:rFonts w:ascii="Arial" w:hAnsi="Arial" w:cs="Arial"/>
                <w:color w:val="262626"/>
                <w:sz w:val="18"/>
                <w:szCs w:val="18"/>
                <w:lang w:val="en-US"/>
              </w:rPr>
              <w:t>χρεών</w:t>
            </w:r>
            <w:proofErr w:type="spellEnd"/>
          </w:p>
        </w:tc>
        <w:tc>
          <w:tcPr>
            <w:tcW w:w="1134" w:type="dxa"/>
            <w:vAlign w:val="center"/>
          </w:tcPr>
          <w:p w14:paraId="0A56D40A"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vAlign w:val="center"/>
          </w:tcPr>
          <w:p w14:paraId="40113E9A"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vAlign w:val="center"/>
          </w:tcPr>
          <w:p w14:paraId="709B71E9"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9" w:type="dxa"/>
            <w:tcBorders>
              <w:top w:val="single" w:sz="4" w:space="0" w:color="C0C0C0"/>
              <w:bottom w:val="single" w:sz="4" w:space="0" w:color="C0C0C0"/>
            </w:tcBorders>
            <w:vAlign w:val="center"/>
          </w:tcPr>
          <w:p w14:paraId="166DDAED"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tcBorders>
              <w:top w:val="single" w:sz="4" w:space="0" w:color="C0C0C0"/>
              <w:bottom w:val="single" w:sz="4" w:space="0" w:color="C0C0C0"/>
            </w:tcBorders>
            <w:shd w:val="clear" w:color="auto" w:fill="auto"/>
            <w:vAlign w:val="center"/>
          </w:tcPr>
          <w:p w14:paraId="0F748380"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361" w:type="dxa"/>
            <w:tcBorders>
              <w:top w:val="single" w:sz="4" w:space="0" w:color="C0C0C0"/>
              <w:bottom w:val="single" w:sz="4" w:space="0" w:color="C0C0C0"/>
            </w:tcBorders>
            <w:shd w:val="clear" w:color="auto" w:fill="auto"/>
            <w:vAlign w:val="center"/>
          </w:tcPr>
          <w:p w14:paraId="03E59155" w14:textId="77777777" w:rsidR="0056738E" w:rsidRPr="00185BB4"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p>
        </w:tc>
      </w:tr>
      <w:tr w:rsidR="0056738E" w:rsidRPr="00EA13DA" w14:paraId="3BADB029" w14:textId="77777777" w:rsidTr="007C2AEE">
        <w:trPr>
          <w:trHeight w:val="286"/>
        </w:trPr>
        <w:tc>
          <w:tcPr>
            <w:tcW w:w="2835" w:type="dxa"/>
            <w:vAlign w:val="center"/>
          </w:tcPr>
          <w:p w14:paraId="733B89A0"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r w:rsidRPr="009B5694">
              <w:rPr>
                <w:rFonts w:ascii="Arial" w:eastAsia="Batang" w:hAnsi="Arial" w:cs="Arial"/>
                <w:color w:val="262626"/>
                <w:sz w:val="18"/>
                <w:szCs w:val="18"/>
                <w:lang w:eastAsia="el-GR"/>
              </w:rPr>
              <w:t xml:space="preserve">- </w:t>
            </w:r>
            <w:proofErr w:type="spellStart"/>
            <w:r w:rsidRPr="009B5694">
              <w:rPr>
                <w:rFonts w:ascii="Arial" w:hAnsi="Arial" w:cs="Arial"/>
                <w:color w:val="262626"/>
                <w:sz w:val="18"/>
                <w:szCs w:val="18"/>
                <w:lang w:val="en-US"/>
              </w:rPr>
              <w:t>μεγάλες</w:t>
            </w:r>
            <w:proofErr w:type="spellEnd"/>
            <w:r w:rsidRPr="009B5694">
              <w:rPr>
                <w:rFonts w:ascii="Arial" w:hAnsi="Arial" w:cs="Arial"/>
                <w:color w:val="262626"/>
                <w:sz w:val="18"/>
                <w:szCs w:val="18"/>
                <w:lang w:val="en-US"/>
              </w:rPr>
              <w:t xml:space="preserve"> επ</w:t>
            </w:r>
            <w:proofErr w:type="spellStart"/>
            <w:r w:rsidRPr="009B5694">
              <w:rPr>
                <w:rFonts w:ascii="Arial" w:hAnsi="Arial" w:cs="Arial"/>
                <w:color w:val="262626"/>
                <w:sz w:val="18"/>
                <w:szCs w:val="18"/>
                <w:lang w:val="en-US"/>
              </w:rPr>
              <w:t>ιχειρήσεις</w:t>
            </w:r>
            <w:proofErr w:type="spellEnd"/>
          </w:p>
        </w:tc>
        <w:tc>
          <w:tcPr>
            <w:tcW w:w="1134" w:type="dxa"/>
            <w:vAlign w:val="center"/>
          </w:tcPr>
          <w:p w14:paraId="4E1BBA62"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48,440</w:t>
            </w:r>
          </w:p>
        </w:tc>
        <w:tc>
          <w:tcPr>
            <w:tcW w:w="1134" w:type="dxa"/>
            <w:vAlign w:val="center"/>
          </w:tcPr>
          <w:p w14:paraId="18CA13CD"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w:t>
            </w:r>
          </w:p>
        </w:tc>
        <w:tc>
          <w:tcPr>
            <w:tcW w:w="1134" w:type="dxa"/>
            <w:vAlign w:val="center"/>
          </w:tcPr>
          <w:p w14:paraId="1B665CEB"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611</w:t>
            </w:r>
          </w:p>
        </w:tc>
        <w:tc>
          <w:tcPr>
            <w:tcW w:w="1139" w:type="dxa"/>
            <w:tcBorders>
              <w:top w:val="single" w:sz="4" w:space="0" w:color="C0C0C0"/>
              <w:bottom w:val="single" w:sz="4" w:space="0" w:color="C0C0C0"/>
            </w:tcBorders>
            <w:vAlign w:val="center"/>
          </w:tcPr>
          <w:p w14:paraId="410754C0"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w:t>
            </w:r>
          </w:p>
        </w:tc>
        <w:tc>
          <w:tcPr>
            <w:tcW w:w="1134" w:type="dxa"/>
            <w:tcBorders>
              <w:top w:val="single" w:sz="4" w:space="0" w:color="C0C0C0"/>
              <w:bottom w:val="single" w:sz="4" w:space="0" w:color="C0C0C0"/>
            </w:tcBorders>
            <w:shd w:val="clear" w:color="auto" w:fill="auto"/>
            <w:vAlign w:val="center"/>
          </w:tcPr>
          <w:p w14:paraId="514B1820" w14:textId="77777777" w:rsidR="0056738E" w:rsidRPr="00041815"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w:t>
            </w:r>
          </w:p>
        </w:tc>
        <w:tc>
          <w:tcPr>
            <w:tcW w:w="1361" w:type="dxa"/>
            <w:tcBorders>
              <w:top w:val="single" w:sz="4" w:space="0" w:color="C0C0C0"/>
              <w:bottom w:val="single" w:sz="4" w:space="0" w:color="C0C0C0"/>
            </w:tcBorders>
            <w:shd w:val="clear" w:color="auto" w:fill="auto"/>
            <w:vAlign w:val="center"/>
          </w:tcPr>
          <w:p w14:paraId="48E95D50" w14:textId="77777777" w:rsidR="0056738E" w:rsidRPr="00185BB4"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49,051</w:t>
            </w:r>
          </w:p>
        </w:tc>
      </w:tr>
      <w:tr w:rsidR="0056738E" w:rsidRPr="00EA13DA" w14:paraId="1A7B70B9" w14:textId="77777777" w:rsidTr="007C2AEE">
        <w:trPr>
          <w:trHeight w:val="286"/>
        </w:trPr>
        <w:tc>
          <w:tcPr>
            <w:tcW w:w="2835" w:type="dxa"/>
            <w:shd w:val="clear" w:color="auto" w:fill="FFFFFF"/>
            <w:vAlign w:val="center"/>
          </w:tcPr>
          <w:p w14:paraId="114BF687"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r w:rsidRPr="009B5694">
              <w:rPr>
                <w:rFonts w:ascii="Arial" w:eastAsia="Batang" w:hAnsi="Arial" w:cs="Arial"/>
                <w:color w:val="262626"/>
                <w:sz w:val="18"/>
                <w:szCs w:val="18"/>
                <w:lang w:eastAsia="el-GR"/>
              </w:rPr>
              <w:t xml:space="preserve">- </w:t>
            </w:r>
            <w:proofErr w:type="spellStart"/>
            <w:r w:rsidRPr="009B5694">
              <w:rPr>
                <w:rFonts w:ascii="Arial" w:hAnsi="Arial" w:cs="Arial"/>
                <w:color w:val="262626"/>
                <w:sz w:val="18"/>
                <w:szCs w:val="18"/>
                <w:lang w:val="en-US"/>
              </w:rPr>
              <w:t>μικρομεσ</w:t>
            </w:r>
            <w:proofErr w:type="spellEnd"/>
            <w:r w:rsidRPr="009B5694">
              <w:rPr>
                <w:rFonts w:ascii="Arial" w:hAnsi="Arial" w:cs="Arial"/>
                <w:color w:val="262626"/>
                <w:sz w:val="18"/>
                <w:szCs w:val="18"/>
                <w:lang w:val="en-US"/>
              </w:rPr>
              <w:t>αίες επ</w:t>
            </w:r>
            <w:proofErr w:type="spellStart"/>
            <w:r w:rsidRPr="009B5694">
              <w:rPr>
                <w:rFonts w:ascii="Arial" w:hAnsi="Arial" w:cs="Arial"/>
                <w:color w:val="262626"/>
                <w:sz w:val="18"/>
                <w:szCs w:val="18"/>
                <w:lang w:val="en-US"/>
              </w:rPr>
              <w:t>ιχειρήσεις</w:t>
            </w:r>
            <w:proofErr w:type="spellEnd"/>
          </w:p>
        </w:tc>
        <w:tc>
          <w:tcPr>
            <w:tcW w:w="1134" w:type="dxa"/>
            <w:vAlign w:val="center"/>
          </w:tcPr>
          <w:p w14:paraId="2A3D6685"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33,212</w:t>
            </w:r>
          </w:p>
        </w:tc>
        <w:tc>
          <w:tcPr>
            <w:tcW w:w="1134" w:type="dxa"/>
            <w:vAlign w:val="center"/>
          </w:tcPr>
          <w:p w14:paraId="1092CF1E"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w:t>
            </w:r>
          </w:p>
        </w:tc>
        <w:tc>
          <w:tcPr>
            <w:tcW w:w="1134" w:type="dxa"/>
            <w:vAlign w:val="center"/>
          </w:tcPr>
          <w:p w14:paraId="6B205A5B"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261</w:t>
            </w:r>
          </w:p>
        </w:tc>
        <w:tc>
          <w:tcPr>
            <w:tcW w:w="1139" w:type="dxa"/>
            <w:tcBorders>
              <w:top w:val="single" w:sz="4" w:space="0" w:color="C0C0C0"/>
              <w:bottom w:val="single" w:sz="4" w:space="0" w:color="C0C0C0"/>
            </w:tcBorders>
            <w:vAlign w:val="center"/>
          </w:tcPr>
          <w:p w14:paraId="5337588F"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532</w:t>
            </w:r>
          </w:p>
        </w:tc>
        <w:tc>
          <w:tcPr>
            <w:tcW w:w="1134" w:type="dxa"/>
            <w:tcBorders>
              <w:top w:val="single" w:sz="4" w:space="0" w:color="C0C0C0"/>
              <w:bottom w:val="single" w:sz="4" w:space="0" w:color="C0C0C0"/>
            </w:tcBorders>
            <w:shd w:val="clear" w:color="auto" w:fill="auto"/>
            <w:vAlign w:val="center"/>
          </w:tcPr>
          <w:p w14:paraId="0D4D3766"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61</w:t>
            </w:r>
          </w:p>
        </w:tc>
        <w:tc>
          <w:tcPr>
            <w:tcW w:w="1361" w:type="dxa"/>
            <w:tcBorders>
              <w:top w:val="single" w:sz="4" w:space="0" w:color="C0C0C0"/>
              <w:bottom w:val="single" w:sz="4" w:space="0" w:color="C0C0C0"/>
            </w:tcBorders>
            <w:shd w:val="clear" w:color="auto" w:fill="auto"/>
            <w:vAlign w:val="center"/>
          </w:tcPr>
          <w:p w14:paraId="6653088A" w14:textId="77777777" w:rsidR="0056738E" w:rsidRPr="00185BB4"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34,066</w:t>
            </w:r>
          </w:p>
        </w:tc>
      </w:tr>
      <w:tr w:rsidR="0056738E" w:rsidRPr="00EA13DA" w14:paraId="2E26C485" w14:textId="77777777" w:rsidTr="007C2AEE">
        <w:trPr>
          <w:trHeight w:val="286"/>
        </w:trPr>
        <w:tc>
          <w:tcPr>
            <w:tcW w:w="2835" w:type="dxa"/>
            <w:shd w:val="clear" w:color="auto" w:fill="FFFFFF"/>
            <w:vAlign w:val="center"/>
          </w:tcPr>
          <w:p w14:paraId="0CA033D7"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val="el-GR" w:eastAsia="el-GR"/>
              </w:rPr>
            </w:pPr>
            <w:r w:rsidRPr="009B5694">
              <w:rPr>
                <w:rFonts w:ascii="Arial" w:eastAsia="Batang" w:hAnsi="Arial" w:cs="Arial"/>
                <w:color w:val="262626"/>
                <w:sz w:val="18"/>
                <w:szCs w:val="18"/>
                <w:lang w:eastAsia="el-GR"/>
              </w:rPr>
              <w:t xml:space="preserve">- </w:t>
            </w:r>
            <w:r w:rsidRPr="009B5694">
              <w:rPr>
                <w:rFonts w:ascii="Arial" w:hAnsi="Arial" w:cs="Arial"/>
                <w:color w:val="262626"/>
                <w:sz w:val="18"/>
                <w:szCs w:val="18"/>
                <w:lang w:val="el-GR"/>
              </w:rPr>
              <w:t>στεγαστικά</w:t>
            </w:r>
          </w:p>
        </w:tc>
        <w:tc>
          <w:tcPr>
            <w:tcW w:w="1134" w:type="dxa"/>
            <w:vAlign w:val="center"/>
          </w:tcPr>
          <w:p w14:paraId="78F16F48"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57,685</w:t>
            </w:r>
          </w:p>
        </w:tc>
        <w:tc>
          <w:tcPr>
            <w:tcW w:w="1134" w:type="dxa"/>
            <w:vAlign w:val="center"/>
          </w:tcPr>
          <w:p w14:paraId="6147157D"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w:t>
            </w:r>
          </w:p>
        </w:tc>
        <w:tc>
          <w:tcPr>
            <w:tcW w:w="1134" w:type="dxa"/>
            <w:vAlign w:val="center"/>
          </w:tcPr>
          <w:p w14:paraId="7F1051D2"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2,468</w:t>
            </w:r>
          </w:p>
        </w:tc>
        <w:tc>
          <w:tcPr>
            <w:tcW w:w="1139" w:type="dxa"/>
            <w:tcBorders>
              <w:top w:val="single" w:sz="4" w:space="0" w:color="C0C0C0"/>
              <w:bottom w:val="single" w:sz="4" w:space="0" w:color="C0C0C0"/>
            </w:tcBorders>
            <w:vAlign w:val="center"/>
          </w:tcPr>
          <w:p w14:paraId="301FD755"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122</w:t>
            </w:r>
          </w:p>
        </w:tc>
        <w:tc>
          <w:tcPr>
            <w:tcW w:w="1134" w:type="dxa"/>
            <w:tcBorders>
              <w:top w:val="single" w:sz="4" w:space="0" w:color="C0C0C0"/>
              <w:bottom w:val="single" w:sz="4" w:space="0" w:color="C0C0C0"/>
            </w:tcBorders>
            <w:shd w:val="clear" w:color="auto" w:fill="auto"/>
            <w:vAlign w:val="center"/>
          </w:tcPr>
          <w:p w14:paraId="50949D09"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212</w:t>
            </w:r>
          </w:p>
        </w:tc>
        <w:tc>
          <w:tcPr>
            <w:tcW w:w="1361" w:type="dxa"/>
            <w:tcBorders>
              <w:top w:val="single" w:sz="4" w:space="0" w:color="C0C0C0"/>
              <w:bottom w:val="single" w:sz="4" w:space="0" w:color="C0C0C0"/>
            </w:tcBorders>
            <w:shd w:val="clear" w:color="auto" w:fill="auto"/>
            <w:vAlign w:val="center"/>
          </w:tcPr>
          <w:p w14:paraId="70595535" w14:textId="77777777" w:rsidR="0056738E" w:rsidRPr="00185BB4"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60,487</w:t>
            </w:r>
          </w:p>
        </w:tc>
      </w:tr>
      <w:tr w:rsidR="0056738E" w:rsidRPr="00EA13DA" w14:paraId="29E665E7" w14:textId="77777777" w:rsidTr="007C2AEE">
        <w:trPr>
          <w:trHeight w:val="286"/>
        </w:trPr>
        <w:tc>
          <w:tcPr>
            <w:tcW w:w="2835" w:type="dxa"/>
            <w:shd w:val="clear" w:color="auto" w:fill="FFFFFF"/>
            <w:vAlign w:val="center"/>
          </w:tcPr>
          <w:p w14:paraId="204DFC4F" w14:textId="77777777" w:rsidR="0056738E" w:rsidRPr="009B5694" w:rsidRDefault="0056738E" w:rsidP="007C2AEE">
            <w:pPr>
              <w:numPr>
                <w:ilvl w:val="12"/>
                <w:numId w:val="0"/>
              </w:numPr>
              <w:tabs>
                <w:tab w:val="left" w:pos="284"/>
              </w:tabs>
              <w:spacing w:after="0" w:line="240" w:lineRule="auto"/>
              <w:rPr>
                <w:rFonts w:ascii="Arial" w:hAnsi="Arial" w:cs="Arial"/>
                <w:color w:val="262626"/>
                <w:sz w:val="18"/>
                <w:szCs w:val="18"/>
                <w:lang w:val="el-GR"/>
              </w:rPr>
            </w:pPr>
            <w:r w:rsidRPr="009B5694">
              <w:rPr>
                <w:rFonts w:ascii="Arial" w:hAnsi="Arial" w:cs="Arial"/>
                <w:color w:val="262626"/>
                <w:sz w:val="18"/>
                <w:szCs w:val="18"/>
                <w:lang w:val="el-GR"/>
              </w:rPr>
              <w:t>- λοιπά καταναλωτικά</w:t>
            </w:r>
          </w:p>
        </w:tc>
        <w:tc>
          <w:tcPr>
            <w:tcW w:w="1134" w:type="dxa"/>
            <w:vAlign w:val="center"/>
          </w:tcPr>
          <w:p w14:paraId="6AD51BF1" w14:textId="77777777" w:rsidR="0056738E" w:rsidRPr="00073734"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19,164</w:t>
            </w:r>
          </w:p>
        </w:tc>
        <w:tc>
          <w:tcPr>
            <w:tcW w:w="1134" w:type="dxa"/>
            <w:vAlign w:val="center"/>
          </w:tcPr>
          <w:p w14:paraId="0C9DE411"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22</w:t>
            </w:r>
          </w:p>
        </w:tc>
        <w:tc>
          <w:tcPr>
            <w:tcW w:w="1134" w:type="dxa"/>
            <w:vAlign w:val="center"/>
          </w:tcPr>
          <w:p w14:paraId="204308DD"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w:t>
            </w:r>
          </w:p>
        </w:tc>
        <w:tc>
          <w:tcPr>
            <w:tcW w:w="1139" w:type="dxa"/>
            <w:tcBorders>
              <w:top w:val="single" w:sz="4" w:space="0" w:color="C0C0C0"/>
              <w:bottom w:val="single" w:sz="4" w:space="0" w:color="C0C0C0"/>
            </w:tcBorders>
            <w:vAlign w:val="center"/>
          </w:tcPr>
          <w:p w14:paraId="46B7D1F6"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w:t>
            </w:r>
          </w:p>
        </w:tc>
        <w:tc>
          <w:tcPr>
            <w:tcW w:w="1134" w:type="dxa"/>
            <w:tcBorders>
              <w:top w:val="single" w:sz="4" w:space="0" w:color="C0C0C0"/>
              <w:bottom w:val="single" w:sz="4" w:space="0" w:color="C0C0C0"/>
            </w:tcBorders>
            <w:shd w:val="clear" w:color="auto" w:fill="auto"/>
            <w:vAlign w:val="center"/>
          </w:tcPr>
          <w:p w14:paraId="14FEB5BE"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23</w:t>
            </w:r>
          </w:p>
        </w:tc>
        <w:tc>
          <w:tcPr>
            <w:tcW w:w="1361" w:type="dxa"/>
            <w:tcBorders>
              <w:top w:val="single" w:sz="4" w:space="0" w:color="C0C0C0"/>
              <w:bottom w:val="single" w:sz="4" w:space="0" w:color="C0C0C0"/>
            </w:tcBorders>
            <w:shd w:val="clear" w:color="auto" w:fill="auto"/>
            <w:vAlign w:val="center"/>
          </w:tcPr>
          <w:p w14:paraId="0A8EF8AB" w14:textId="77777777" w:rsidR="0056738E" w:rsidRPr="00073734"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lang w:val="en-US"/>
              </w:rPr>
              <w:t>19,211</w:t>
            </w:r>
          </w:p>
        </w:tc>
      </w:tr>
      <w:tr w:rsidR="0056738E" w:rsidRPr="00EA13DA" w14:paraId="665A4F03" w14:textId="77777777" w:rsidTr="007C2AEE">
        <w:trPr>
          <w:trHeight w:val="286"/>
        </w:trPr>
        <w:tc>
          <w:tcPr>
            <w:tcW w:w="2835" w:type="dxa"/>
            <w:shd w:val="clear" w:color="auto" w:fill="FFFFFF"/>
            <w:vAlign w:val="center"/>
          </w:tcPr>
          <w:p w14:paraId="06E02816"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proofErr w:type="spellStart"/>
            <w:r w:rsidRPr="009B5694">
              <w:rPr>
                <w:rFonts w:ascii="Arial" w:hAnsi="Arial" w:cs="Arial"/>
                <w:color w:val="262626"/>
                <w:sz w:val="18"/>
                <w:szCs w:val="18"/>
                <w:lang w:val="en-US"/>
              </w:rPr>
              <w:t>Αν</w:t>
            </w:r>
            <w:proofErr w:type="spellEnd"/>
            <w:r w:rsidRPr="009B5694">
              <w:rPr>
                <w:rFonts w:ascii="Arial" w:hAnsi="Arial" w:cs="Arial"/>
                <w:color w:val="262626"/>
                <w:sz w:val="18"/>
                <w:szCs w:val="18"/>
                <w:lang w:val="en-US"/>
              </w:rPr>
              <w:t xml:space="preserve">ακτήσεις </w:t>
            </w:r>
            <w:proofErr w:type="spellStart"/>
            <w:r w:rsidRPr="009B5694">
              <w:rPr>
                <w:rFonts w:ascii="Arial" w:hAnsi="Arial" w:cs="Arial"/>
                <w:color w:val="262626"/>
                <w:sz w:val="18"/>
                <w:szCs w:val="18"/>
                <w:lang w:val="en-US"/>
              </w:rPr>
              <w:t>χρεών</w:t>
            </w:r>
            <w:proofErr w:type="spellEnd"/>
          </w:p>
        </w:tc>
        <w:tc>
          <w:tcPr>
            <w:tcW w:w="1134" w:type="dxa"/>
            <w:vAlign w:val="center"/>
          </w:tcPr>
          <w:p w14:paraId="606E8D50"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vAlign w:val="center"/>
          </w:tcPr>
          <w:p w14:paraId="0C300E2F"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vAlign w:val="center"/>
          </w:tcPr>
          <w:p w14:paraId="2A9CC591"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9" w:type="dxa"/>
            <w:tcBorders>
              <w:top w:val="single" w:sz="4" w:space="0" w:color="C0C0C0"/>
              <w:bottom w:val="single" w:sz="4" w:space="0" w:color="C0C0C0"/>
            </w:tcBorders>
            <w:vAlign w:val="center"/>
          </w:tcPr>
          <w:p w14:paraId="5B5410C2"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34" w:type="dxa"/>
            <w:tcBorders>
              <w:top w:val="single" w:sz="4" w:space="0" w:color="C0C0C0"/>
              <w:bottom w:val="single" w:sz="4" w:space="0" w:color="C0C0C0"/>
            </w:tcBorders>
            <w:shd w:val="clear" w:color="auto" w:fill="auto"/>
            <w:vAlign w:val="center"/>
          </w:tcPr>
          <w:p w14:paraId="4313CE73"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361" w:type="dxa"/>
            <w:tcBorders>
              <w:top w:val="single" w:sz="4" w:space="0" w:color="C0C0C0"/>
              <w:bottom w:val="single" w:sz="4" w:space="0" w:color="C0C0C0"/>
            </w:tcBorders>
            <w:shd w:val="clear" w:color="auto" w:fill="auto"/>
            <w:vAlign w:val="center"/>
          </w:tcPr>
          <w:p w14:paraId="69E3E1CC" w14:textId="77777777" w:rsidR="0056738E" w:rsidRPr="00185BB4"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p>
        </w:tc>
      </w:tr>
      <w:tr w:rsidR="0056738E" w:rsidRPr="00EA13DA" w14:paraId="52B148A3" w14:textId="77777777" w:rsidTr="007C2AEE">
        <w:trPr>
          <w:trHeight w:val="286"/>
        </w:trPr>
        <w:tc>
          <w:tcPr>
            <w:tcW w:w="2835" w:type="dxa"/>
            <w:shd w:val="clear" w:color="auto" w:fill="FFFFFF"/>
            <w:vAlign w:val="center"/>
          </w:tcPr>
          <w:p w14:paraId="31960241"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r w:rsidRPr="009B5694">
              <w:rPr>
                <w:rFonts w:ascii="Arial" w:eastAsia="Batang" w:hAnsi="Arial" w:cs="Arial"/>
                <w:color w:val="262626"/>
                <w:sz w:val="18"/>
                <w:szCs w:val="18"/>
                <w:lang w:eastAsia="el-GR"/>
              </w:rPr>
              <w:t xml:space="preserve">- </w:t>
            </w:r>
            <w:proofErr w:type="spellStart"/>
            <w:r w:rsidRPr="009B5694">
              <w:rPr>
                <w:rFonts w:ascii="Arial" w:hAnsi="Arial" w:cs="Arial"/>
                <w:color w:val="262626"/>
                <w:sz w:val="18"/>
                <w:szCs w:val="18"/>
                <w:lang w:val="en-US"/>
              </w:rPr>
              <w:t>μεγάλες</w:t>
            </w:r>
            <w:proofErr w:type="spellEnd"/>
            <w:r w:rsidRPr="009B5694">
              <w:rPr>
                <w:rFonts w:ascii="Arial" w:hAnsi="Arial" w:cs="Arial"/>
                <w:color w:val="262626"/>
                <w:sz w:val="18"/>
                <w:szCs w:val="18"/>
                <w:lang w:val="en-US"/>
              </w:rPr>
              <w:t xml:space="preserve"> επ</w:t>
            </w:r>
            <w:proofErr w:type="spellStart"/>
            <w:r w:rsidRPr="009B5694">
              <w:rPr>
                <w:rFonts w:ascii="Arial" w:hAnsi="Arial" w:cs="Arial"/>
                <w:color w:val="262626"/>
                <w:sz w:val="18"/>
                <w:szCs w:val="18"/>
                <w:lang w:val="en-US"/>
              </w:rPr>
              <w:t>ιχειρήσεις</w:t>
            </w:r>
            <w:proofErr w:type="spellEnd"/>
          </w:p>
        </w:tc>
        <w:tc>
          <w:tcPr>
            <w:tcW w:w="1134" w:type="dxa"/>
            <w:vAlign w:val="center"/>
          </w:tcPr>
          <w:p w14:paraId="62E13B1F"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6,079</w:t>
            </w:r>
          </w:p>
        </w:tc>
        <w:tc>
          <w:tcPr>
            <w:tcW w:w="1134" w:type="dxa"/>
            <w:vAlign w:val="center"/>
          </w:tcPr>
          <w:p w14:paraId="75A60759"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w:t>
            </w:r>
          </w:p>
        </w:tc>
        <w:tc>
          <w:tcPr>
            <w:tcW w:w="1134" w:type="dxa"/>
            <w:vAlign w:val="center"/>
          </w:tcPr>
          <w:p w14:paraId="7D74E188"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182</w:t>
            </w:r>
          </w:p>
        </w:tc>
        <w:tc>
          <w:tcPr>
            <w:tcW w:w="1139" w:type="dxa"/>
            <w:tcBorders>
              <w:top w:val="single" w:sz="4" w:space="0" w:color="C0C0C0"/>
              <w:bottom w:val="single" w:sz="4" w:space="0" w:color="C0C0C0"/>
            </w:tcBorders>
            <w:vAlign w:val="center"/>
          </w:tcPr>
          <w:p w14:paraId="07FD1685"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173</w:t>
            </w:r>
          </w:p>
        </w:tc>
        <w:tc>
          <w:tcPr>
            <w:tcW w:w="1134" w:type="dxa"/>
            <w:tcBorders>
              <w:top w:val="single" w:sz="4" w:space="0" w:color="C0C0C0"/>
              <w:bottom w:val="single" w:sz="4" w:space="0" w:color="C0C0C0"/>
            </w:tcBorders>
            <w:shd w:val="clear" w:color="auto" w:fill="auto"/>
            <w:vAlign w:val="center"/>
          </w:tcPr>
          <w:p w14:paraId="1355A664"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911</w:t>
            </w:r>
          </w:p>
        </w:tc>
        <w:tc>
          <w:tcPr>
            <w:tcW w:w="1361" w:type="dxa"/>
            <w:tcBorders>
              <w:top w:val="single" w:sz="4" w:space="0" w:color="C0C0C0"/>
              <w:bottom w:val="single" w:sz="4" w:space="0" w:color="C0C0C0"/>
            </w:tcBorders>
            <w:shd w:val="clear" w:color="auto" w:fill="auto"/>
            <w:vAlign w:val="center"/>
          </w:tcPr>
          <w:p w14:paraId="57DCF509" w14:textId="77777777" w:rsidR="0056738E" w:rsidRPr="00185BB4"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7,345</w:t>
            </w:r>
          </w:p>
        </w:tc>
      </w:tr>
      <w:tr w:rsidR="0056738E" w:rsidRPr="00EA13DA" w14:paraId="51046D02" w14:textId="77777777" w:rsidTr="007C2AEE">
        <w:trPr>
          <w:trHeight w:val="286"/>
        </w:trPr>
        <w:tc>
          <w:tcPr>
            <w:tcW w:w="2835" w:type="dxa"/>
            <w:shd w:val="clear" w:color="auto" w:fill="FFFFFF"/>
            <w:vAlign w:val="center"/>
          </w:tcPr>
          <w:p w14:paraId="763C8468"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r w:rsidRPr="009B5694">
              <w:rPr>
                <w:rFonts w:ascii="Arial" w:eastAsia="Batang" w:hAnsi="Arial" w:cs="Arial"/>
                <w:color w:val="262626"/>
                <w:sz w:val="18"/>
                <w:szCs w:val="18"/>
                <w:lang w:eastAsia="el-GR"/>
              </w:rPr>
              <w:t xml:space="preserve">- </w:t>
            </w:r>
            <w:proofErr w:type="spellStart"/>
            <w:r w:rsidRPr="009B5694">
              <w:rPr>
                <w:rFonts w:ascii="Arial" w:hAnsi="Arial" w:cs="Arial"/>
                <w:color w:val="262626"/>
                <w:sz w:val="18"/>
                <w:szCs w:val="18"/>
                <w:lang w:val="en-US"/>
              </w:rPr>
              <w:t>μικρομεσ</w:t>
            </w:r>
            <w:proofErr w:type="spellEnd"/>
            <w:r w:rsidRPr="009B5694">
              <w:rPr>
                <w:rFonts w:ascii="Arial" w:hAnsi="Arial" w:cs="Arial"/>
                <w:color w:val="262626"/>
                <w:sz w:val="18"/>
                <w:szCs w:val="18"/>
                <w:lang w:val="en-US"/>
              </w:rPr>
              <w:t>αίες επ</w:t>
            </w:r>
            <w:proofErr w:type="spellStart"/>
            <w:r w:rsidRPr="009B5694">
              <w:rPr>
                <w:rFonts w:ascii="Arial" w:hAnsi="Arial" w:cs="Arial"/>
                <w:color w:val="262626"/>
                <w:sz w:val="18"/>
                <w:szCs w:val="18"/>
                <w:lang w:val="en-US"/>
              </w:rPr>
              <w:t>ιχειρήσεις</w:t>
            </w:r>
            <w:proofErr w:type="spellEnd"/>
          </w:p>
        </w:tc>
        <w:tc>
          <w:tcPr>
            <w:tcW w:w="1134" w:type="dxa"/>
            <w:vAlign w:val="center"/>
          </w:tcPr>
          <w:p w14:paraId="0AB078E7"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13,419</w:t>
            </w:r>
          </w:p>
        </w:tc>
        <w:tc>
          <w:tcPr>
            <w:tcW w:w="1134" w:type="dxa"/>
            <w:vAlign w:val="center"/>
          </w:tcPr>
          <w:p w14:paraId="2F1AF7C8"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w:t>
            </w:r>
          </w:p>
        </w:tc>
        <w:tc>
          <w:tcPr>
            <w:tcW w:w="1134" w:type="dxa"/>
            <w:vAlign w:val="center"/>
          </w:tcPr>
          <w:p w14:paraId="38A08089"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1,173</w:t>
            </w:r>
          </w:p>
        </w:tc>
        <w:tc>
          <w:tcPr>
            <w:tcW w:w="1139" w:type="dxa"/>
            <w:tcBorders>
              <w:top w:val="single" w:sz="4" w:space="0" w:color="C0C0C0"/>
              <w:bottom w:val="single" w:sz="4" w:space="0" w:color="C0C0C0"/>
            </w:tcBorders>
            <w:vAlign w:val="center"/>
          </w:tcPr>
          <w:p w14:paraId="006FC930"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1,623</w:t>
            </w:r>
          </w:p>
        </w:tc>
        <w:tc>
          <w:tcPr>
            <w:tcW w:w="1134" w:type="dxa"/>
            <w:tcBorders>
              <w:top w:val="single" w:sz="4" w:space="0" w:color="C0C0C0"/>
              <w:bottom w:val="single" w:sz="4" w:space="0" w:color="C0C0C0"/>
            </w:tcBorders>
            <w:shd w:val="clear" w:color="auto" w:fill="auto"/>
            <w:vAlign w:val="center"/>
          </w:tcPr>
          <w:p w14:paraId="5B85D981"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1,183</w:t>
            </w:r>
          </w:p>
        </w:tc>
        <w:tc>
          <w:tcPr>
            <w:tcW w:w="1361" w:type="dxa"/>
            <w:tcBorders>
              <w:top w:val="single" w:sz="4" w:space="0" w:color="C0C0C0"/>
              <w:bottom w:val="single" w:sz="4" w:space="0" w:color="C0C0C0"/>
            </w:tcBorders>
            <w:shd w:val="clear" w:color="auto" w:fill="auto"/>
            <w:vAlign w:val="center"/>
          </w:tcPr>
          <w:p w14:paraId="38F60401" w14:textId="77777777" w:rsidR="0056738E" w:rsidRPr="00185BB4"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17,399</w:t>
            </w:r>
          </w:p>
        </w:tc>
      </w:tr>
      <w:tr w:rsidR="0056738E" w:rsidRPr="00EA13DA" w14:paraId="33218C89" w14:textId="77777777" w:rsidTr="007C2AEE">
        <w:trPr>
          <w:trHeight w:val="286"/>
        </w:trPr>
        <w:tc>
          <w:tcPr>
            <w:tcW w:w="2835" w:type="dxa"/>
            <w:shd w:val="clear" w:color="auto" w:fill="FFFFFF"/>
            <w:vAlign w:val="center"/>
          </w:tcPr>
          <w:p w14:paraId="31D6CCFB"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r w:rsidRPr="009B5694">
              <w:rPr>
                <w:rFonts w:ascii="Arial" w:eastAsia="Batang" w:hAnsi="Arial" w:cs="Arial"/>
                <w:color w:val="262626"/>
                <w:sz w:val="18"/>
                <w:szCs w:val="18"/>
                <w:lang w:eastAsia="el-GR"/>
              </w:rPr>
              <w:t xml:space="preserve">- </w:t>
            </w:r>
            <w:proofErr w:type="spellStart"/>
            <w:r w:rsidRPr="009B5694">
              <w:rPr>
                <w:rFonts w:ascii="Arial" w:hAnsi="Arial" w:cs="Arial"/>
                <w:color w:val="262626"/>
                <w:sz w:val="18"/>
                <w:szCs w:val="18"/>
                <w:lang w:val="en-US"/>
              </w:rPr>
              <w:t>στεγ</w:t>
            </w:r>
            <w:proofErr w:type="spellEnd"/>
            <w:r w:rsidRPr="009B5694">
              <w:rPr>
                <w:rFonts w:ascii="Arial" w:hAnsi="Arial" w:cs="Arial"/>
                <w:color w:val="262626"/>
                <w:sz w:val="18"/>
                <w:szCs w:val="18"/>
                <w:lang w:val="en-US"/>
              </w:rPr>
              <w:t>αστικά</w:t>
            </w:r>
          </w:p>
        </w:tc>
        <w:tc>
          <w:tcPr>
            <w:tcW w:w="1134" w:type="dxa"/>
            <w:vAlign w:val="center"/>
          </w:tcPr>
          <w:p w14:paraId="18827833"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50,927</w:t>
            </w:r>
          </w:p>
        </w:tc>
        <w:tc>
          <w:tcPr>
            <w:tcW w:w="1134" w:type="dxa"/>
            <w:vAlign w:val="center"/>
          </w:tcPr>
          <w:p w14:paraId="604A0D26"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50</w:t>
            </w:r>
          </w:p>
        </w:tc>
        <w:tc>
          <w:tcPr>
            <w:tcW w:w="1134" w:type="dxa"/>
            <w:vAlign w:val="center"/>
          </w:tcPr>
          <w:p w14:paraId="13E755BB"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14,718</w:t>
            </w:r>
          </w:p>
        </w:tc>
        <w:tc>
          <w:tcPr>
            <w:tcW w:w="1139" w:type="dxa"/>
            <w:tcBorders>
              <w:top w:val="single" w:sz="4" w:space="0" w:color="C0C0C0"/>
              <w:bottom w:val="single" w:sz="4" w:space="0" w:color="C0C0C0"/>
            </w:tcBorders>
            <w:vAlign w:val="center"/>
          </w:tcPr>
          <w:p w14:paraId="2CD0A221"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2,399</w:t>
            </w:r>
          </w:p>
        </w:tc>
        <w:tc>
          <w:tcPr>
            <w:tcW w:w="1134" w:type="dxa"/>
            <w:tcBorders>
              <w:top w:val="single" w:sz="4" w:space="0" w:color="C0C0C0"/>
              <w:bottom w:val="single" w:sz="4" w:space="0" w:color="C0C0C0"/>
            </w:tcBorders>
            <w:shd w:val="clear" w:color="auto" w:fill="auto"/>
            <w:vAlign w:val="center"/>
          </w:tcPr>
          <w:p w14:paraId="5AE8927F" w14:textId="77777777" w:rsidR="0056738E" w:rsidRPr="00041815"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rPr>
              <w:t>7,231</w:t>
            </w:r>
          </w:p>
        </w:tc>
        <w:tc>
          <w:tcPr>
            <w:tcW w:w="1361" w:type="dxa"/>
            <w:tcBorders>
              <w:top w:val="single" w:sz="4" w:space="0" w:color="C0C0C0"/>
              <w:bottom w:val="single" w:sz="4" w:space="0" w:color="C0C0C0"/>
            </w:tcBorders>
            <w:shd w:val="clear" w:color="auto" w:fill="auto"/>
            <w:vAlign w:val="center"/>
          </w:tcPr>
          <w:p w14:paraId="2748E90E" w14:textId="77777777" w:rsidR="0056738E" w:rsidRPr="00185BB4"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75,325</w:t>
            </w:r>
          </w:p>
        </w:tc>
      </w:tr>
      <w:tr w:rsidR="0056738E" w:rsidRPr="00EA13DA" w14:paraId="7EE42768" w14:textId="77777777" w:rsidTr="007C2AEE">
        <w:trPr>
          <w:trHeight w:val="286"/>
        </w:trPr>
        <w:tc>
          <w:tcPr>
            <w:tcW w:w="2835" w:type="dxa"/>
            <w:shd w:val="clear" w:color="auto" w:fill="FFFFFF"/>
            <w:vAlign w:val="center"/>
          </w:tcPr>
          <w:p w14:paraId="2919446E" w14:textId="77777777" w:rsidR="0056738E" w:rsidRPr="009B5694" w:rsidRDefault="0056738E" w:rsidP="007C2AEE">
            <w:pPr>
              <w:numPr>
                <w:ilvl w:val="12"/>
                <w:numId w:val="0"/>
              </w:numPr>
              <w:tabs>
                <w:tab w:val="left" w:pos="284"/>
              </w:tabs>
              <w:spacing w:after="0" w:line="240" w:lineRule="auto"/>
              <w:rPr>
                <w:rFonts w:ascii="Arial" w:eastAsia="Batang" w:hAnsi="Arial" w:cs="Arial"/>
                <w:color w:val="262626"/>
                <w:sz w:val="18"/>
                <w:szCs w:val="18"/>
                <w:lang w:eastAsia="el-GR"/>
              </w:rPr>
            </w:pPr>
            <w:r w:rsidRPr="009B5694">
              <w:rPr>
                <w:rFonts w:ascii="Arial" w:eastAsia="Batang" w:hAnsi="Arial" w:cs="Arial"/>
                <w:color w:val="262626"/>
                <w:sz w:val="18"/>
                <w:szCs w:val="18"/>
                <w:lang w:eastAsia="el-GR"/>
              </w:rPr>
              <w:t xml:space="preserve">- </w:t>
            </w:r>
            <w:proofErr w:type="spellStart"/>
            <w:r w:rsidRPr="009B5694">
              <w:rPr>
                <w:rFonts w:ascii="Arial" w:hAnsi="Arial" w:cs="Arial"/>
                <w:color w:val="262626"/>
                <w:sz w:val="18"/>
                <w:szCs w:val="18"/>
                <w:lang w:val="en-US"/>
              </w:rPr>
              <w:t>λοι</w:t>
            </w:r>
            <w:proofErr w:type="spellEnd"/>
            <w:r w:rsidRPr="009B5694">
              <w:rPr>
                <w:rFonts w:ascii="Arial" w:hAnsi="Arial" w:cs="Arial"/>
                <w:color w:val="262626"/>
                <w:sz w:val="18"/>
                <w:szCs w:val="18"/>
                <w:lang w:val="en-US"/>
              </w:rPr>
              <w:t>πά κατανα</w:t>
            </w:r>
            <w:proofErr w:type="spellStart"/>
            <w:r w:rsidRPr="009B5694">
              <w:rPr>
                <w:rFonts w:ascii="Arial" w:hAnsi="Arial" w:cs="Arial"/>
                <w:color w:val="262626"/>
                <w:sz w:val="18"/>
                <w:szCs w:val="18"/>
                <w:lang w:val="en-US"/>
              </w:rPr>
              <w:t>λωτικά</w:t>
            </w:r>
            <w:proofErr w:type="spellEnd"/>
          </w:p>
        </w:tc>
        <w:tc>
          <w:tcPr>
            <w:tcW w:w="1134" w:type="dxa"/>
            <w:vAlign w:val="center"/>
          </w:tcPr>
          <w:p w14:paraId="4962EF93" w14:textId="77777777" w:rsidR="0056738E" w:rsidRPr="00073734"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27,122</w:t>
            </w:r>
          </w:p>
        </w:tc>
        <w:tc>
          <w:tcPr>
            <w:tcW w:w="1134" w:type="dxa"/>
            <w:vAlign w:val="center"/>
          </w:tcPr>
          <w:p w14:paraId="738DBC68"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8</w:t>
            </w:r>
          </w:p>
        </w:tc>
        <w:tc>
          <w:tcPr>
            <w:tcW w:w="1134" w:type="dxa"/>
            <w:vAlign w:val="center"/>
          </w:tcPr>
          <w:p w14:paraId="1F81D21A" w14:textId="77777777" w:rsidR="0056738E" w:rsidRPr="00984D76"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1,191</w:t>
            </w:r>
          </w:p>
        </w:tc>
        <w:tc>
          <w:tcPr>
            <w:tcW w:w="1139" w:type="dxa"/>
            <w:tcBorders>
              <w:top w:val="single" w:sz="4" w:space="0" w:color="C0C0C0"/>
              <w:bottom w:val="single" w:sz="4" w:space="0" w:color="C0C0C0"/>
            </w:tcBorders>
            <w:vAlign w:val="center"/>
          </w:tcPr>
          <w:p w14:paraId="5265EDB6"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269</w:t>
            </w:r>
          </w:p>
        </w:tc>
        <w:tc>
          <w:tcPr>
            <w:tcW w:w="1134" w:type="dxa"/>
            <w:tcBorders>
              <w:top w:val="single" w:sz="4" w:space="0" w:color="C0C0C0"/>
              <w:bottom w:val="single" w:sz="4" w:space="0" w:color="C0C0C0"/>
            </w:tcBorders>
            <w:shd w:val="clear" w:color="auto" w:fill="auto"/>
            <w:vAlign w:val="center"/>
          </w:tcPr>
          <w:p w14:paraId="2B5D36C9"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275</w:t>
            </w:r>
          </w:p>
        </w:tc>
        <w:tc>
          <w:tcPr>
            <w:tcW w:w="1361" w:type="dxa"/>
            <w:tcBorders>
              <w:top w:val="single" w:sz="4" w:space="0" w:color="C0C0C0"/>
              <w:bottom w:val="single" w:sz="4" w:space="0" w:color="C0C0C0"/>
            </w:tcBorders>
            <w:shd w:val="clear" w:color="auto" w:fill="auto"/>
            <w:vAlign w:val="center"/>
          </w:tcPr>
          <w:p w14:paraId="320B846D" w14:textId="77777777" w:rsidR="0056738E" w:rsidRPr="00073734"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lang w:val="en-US"/>
              </w:rPr>
              <w:t>28,865</w:t>
            </w:r>
          </w:p>
        </w:tc>
      </w:tr>
      <w:tr w:rsidR="0056738E" w:rsidRPr="00EA13DA" w14:paraId="21ABE14E" w14:textId="77777777" w:rsidTr="007C2AEE">
        <w:trPr>
          <w:trHeight w:val="286"/>
        </w:trPr>
        <w:tc>
          <w:tcPr>
            <w:tcW w:w="2835" w:type="dxa"/>
            <w:shd w:val="clear" w:color="auto" w:fill="FFFFFF"/>
            <w:vAlign w:val="center"/>
          </w:tcPr>
          <w:p w14:paraId="11C8AA82" w14:textId="77777777" w:rsidR="0056738E" w:rsidRPr="009B5694"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eastAsia="Batang" w:hAnsi="Arial" w:cs="Arial"/>
                <w:color w:val="262626"/>
                <w:sz w:val="18"/>
                <w:szCs w:val="18"/>
                <w:lang w:eastAsia="en-US"/>
              </w:rPr>
            </w:pPr>
          </w:p>
        </w:tc>
        <w:tc>
          <w:tcPr>
            <w:tcW w:w="1134" w:type="dxa"/>
            <w:tcBorders>
              <w:top w:val="single" w:sz="6" w:space="0" w:color="000000" w:themeColor="text1"/>
              <w:bottom w:val="double" w:sz="6" w:space="0" w:color="000000" w:themeColor="text1"/>
            </w:tcBorders>
            <w:vAlign w:val="center"/>
          </w:tcPr>
          <w:p w14:paraId="5A41FC17" w14:textId="77777777" w:rsidR="0056738E" w:rsidRDefault="0056738E" w:rsidP="007C2AEE">
            <w:pPr>
              <w:shd w:val="clear" w:color="auto" w:fill="FFFFFF"/>
              <w:tabs>
                <w:tab w:val="right" w:pos="7560"/>
                <w:tab w:val="right" w:pos="9000"/>
              </w:tabs>
              <w:suppressAutoHyphens/>
              <w:spacing w:after="0" w:line="240" w:lineRule="auto"/>
              <w:ind w:left="-91"/>
              <w:jc w:val="right"/>
              <w:rPr>
                <w:rFonts w:ascii="Arial" w:hAnsi="Arial" w:cs="Arial"/>
                <w:b/>
                <w:bCs/>
                <w:color w:val="262626"/>
                <w:sz w:val="18"/>
                <w:szCs w:val="18"/>
              </w:rPr>
            </w:pPr>
            <w:r>
              <w:rPr>
                <w:rFonts w:ascii="Arial" w:hAnsi="Arial" w:cs="Arial"/>
                <w:b/>
                <w:bCs/>
                <w:color w:val="262626"/>
                <w:sz w:val="18"/>
                <w:szCs w:val="18"/>
              </w:rPr>
              <w:t>9,055,906</w:t>
            </w:r>
          </w:p>
        </w:tc>
        <w:tc>
          <w:tcPr>
            <w:tcW w:w="1134" w:type="dxa"/>
            <w:tcBorders>
              <w:top w:val="single" w:sz="6" w:space="0" w:color="000000" w:themeColor="text1"/>
              <w:bottom w:val="double" w:sz="6" w:space="0" w:color="000000" w:themeColor="text1"/>
            </w:tcBorders>
            <w:vAlign w:val="center"/>
          </w:tcPr>
          <w:p w14:paraId="3070E768"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200,936</w:t>
            </w:r>
          </w:p>
        </w:tc>
        <w:tc>
          <w:tcPr>
            <w:tcW w:w="1134" w:type="dxa"/>
            <w:tcBorders>
              <w:top w:val="single" w:sz="6" w:space="0" w:color="000000" w:themeColor="text1"/>
              <w:bottom w:val="double" w:sz="6" w:space="0" w:color="000000" w:themeColor="text1"/>
            </w:tcBorders>
            <w:vAlign w:val="center"/>
          </w:tcPr>
          <w:p w14:paraId="766A4D94" w14:textId="77777777" w:rsidR="0056738E"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100,129</w:t>
            </w:r>
          </w:p>
        </w:tc>
        <w:tc>
          <w:tcPr>
            <w:tcW w:w="1139" w:type="dxa"/>
            <w:tcBorders>
              <w:top w:val="single" w:sz="6" w:space="0" w:color="000000" w:themeColor="text1"/>
              <w:bottom w:val="double" w:sz="6" w:space="0" w:color="000000" w:themeColor="text1"/>
            </w:tcBorders>
            <w:vAlign w:val="center"/>
          </w:tcPr>
          <w:p w14:paraId="672F2DEF"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12,429</w:t>
            </w:r>
          </w:p>
        </w:tc>
        <w:tc>
          <w:tcPr>
            <w:tcW w:w="1134" w:type="dxa"/>
            <w:tcBorders>
              <w:top w:val="single" w:sz="6" w:space="0" w:color="000000" w:themeColor="text1"/>
              <w:bottom w:val="double" w:sz="6" w:space="0" w:color="000000" w:themeColor="text1"/>
            </w:tcBorders>
            <w:shd w:val="clear" w:color="auto" w:fill="auto"/>
            <w:vAlign w:val="center"/>
          </w:tcPr>
          <w:p w14:paraId="18021DBE" w14:textId="77777777" w:rsidR="0056738E" w:rsidRPr="00041815"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lang w:val="en-US"/>
              </w:rPr>
              <w:t>493,114</w:t>
            </w:r>
          </w:p>
        </w:tc>
        <w:tc>
          <w:tcPr>
            <w:tcW w:w="1361" w:type="dxa"/>
            <w:tcBorders>
              <w:top w:val="single" w:sz="6" w:space="0" w:color="000000" w:themeColor="text1"/>
              <w:bottom w:val="double" w:sz="6" w:space="0" w:color="000000" w:themeColor="text1"/>
            </w:tcBorders>
            <w:shd w:val="clear" w:color="auto" w:fill="auto"/>
            <w:vAlign w:val="center"/>
          </w:tcPr>
          <w:p w14:paraId="243BB56D" w14:textId="77777777" w:rsidR="0056738E" w:rsidRPr="00151E9A"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9,862,514</w:t>
            </w:r>
          </w:p>
        </w:tc>
      </w:tr>
    </w:tbl>
    <w:p w14:paraId="59EF247B" w14:textId="77777777" w:rsidR="0056738E" w:rsidRPr="00053E32" w:rsidRDefault="0056738E" w:rsidP="0056738E">
      <w:pPr>
        <w:spacing w:after="0" w:line="240" w:lineRule="auto"/>
        <w:jc w:val="both"/>
        <w:rPr>
          <w:rFonts w:ascii="Arial" w:eastAsia="Batang" w:hAnsi="Arial" w:cs="Arial"/>
          <w:color w:val="262626"/>
          <w:sz w:val="18"/>
          <w:szCs w:val="24"/>
          <w:lang w:val="el-GR" w:eastAsia="en-US"/>
        </w:rPr>
      </w:pPr>
    </w:p>
    <w:p w14:paraId="465776E6" w14:textId="77777777" w:rsidR="0056738E" w:rsidRDefault="0056738E" w:rsidP="0056738E">
      <w:pPr>
        <w:spacing w:after="0" w:line="240" w:lineRule="auto"/>
        <w:jc w:val="both"/>
        <w:rPr>
          <w:rFonts w:ascii="Arial" w:eastAsia="Batang" w:hAnsi="Arial" w:cs="Arial"/>
          <w:bCs/>
          <w:color w:val="262626"/>
          <w:sz w:val="18"/>
          <w:szCs w:val="18"/>
          <w:lang w:val="el-GR" w:eastAsia="en-US"/>
        </w:rPr>
      </w:pPr>
      <w:r w:rsidRPr="00912DF5">
        <w:rPr>
          <w:rFonts w:ascii="Arial" w:eastAsia="Batang" w:hAnsi="Arial" w:cs="Arial"/>
          <w:color w:val="262626"/>
          <w:sz w:val="18"/>
          <w:szCs w:val="24"/>
          <w:lang w:val="el-GR" w:eastAsia="en-US"/>
        </w:rPr>
        <w:t xml:space="preserve">Τα δάνεια και απαιτήσεις από πελάτες περιλαμβάνουν δάνεια και απαιτήσεις στην Κύπρο με εξασφαλίσεις στην Ελλάδα λογιστικής αξίας </w:t>
      </w:r>
      <w:r w:rsidRPr="00A03828">
        <w:rPr>
          <w:rFonts w:ascii="Arial" w:eastAsia="Batang" w:hAnsi="Arial" w:cs="Arial"/>
          <w:color w:val="262626"/>
          <w:sz w:val="18"/>
          <w:szCs w:val="24"/>
          <w:lang w:val="el-GR" w:eastAsia="en-US"/>
        </w:rPr>
        <w:t xml:space="preserve">ύψους </w:t>
      </w:r>
      <w:r w:rsidRPr="00A03828">
        <w:rPr>
          <w:rFonts w:ascii="Arial" w:eastAsia="Batang" w:hAnsi="Arial" w:cs="Arial"/>
          <w:bCs/>
          <w:color w:val="262626"/>
          <w:sz w:val="18"/>
          <w:szCs w:val="18"/>
          <w:lang w:val="el-GR" w:eastAsia="en-US"/>
        </w:rPr>
        <w:t>€</w:t>
      </w:r>
      <w:r>
        <w:rPr>
          <w:rFonts w:ascii="Arial" w:eastAsia="Batang" w:hAnsi="Arial" w:cs="Arial"/>
          <w:bCs/>
          <w:color w:val="262626"/>
          <w:sz w:val="18"/>
          <w:szCs w:val="18"/>
          <w:lang w:val="el-GR" w:eastAsia="en-US"/>
        </w:rPr>
        <w:t>148,987</w:t>
      </w:r>
      <w:r w:rsidRPr="00A03828">
        <w:rPr>
          <w:rFonts w:ascii="Arial" w:eastAsia="Batang" w:hAnsi="Arial" w:cs="Arial"/>
          <w:bCs/>
          <w:color w:val="262626"/>
          <w:sz w:val="18"/>
          <w:szCs w:val="18"/>
          <w:lang w:val="el-GR" w:eastAsia="en-US"/>
        </w:rPr>
        <w:t xml:space="preserve"> χιλ</w:t>
      </w:r>
      <w:r w:rsidRPr="00C54F71">
        <w:rPr>
          <w:rFonts w:ascii="Arial" w:eastAsia="Batang" w:hAnsi="Arial" w:cs="Arial"/>
          <w:bCs/>
          <w:color w:val="262626"/>
          <w:sz w:val="18"/>
          <w:szCs w:val="18"/>
          <w:lang w:val="el-GR" w:eastAsia="en-US"/>
        </w:rPr>
        <w:t>.</w:t>
      </w:r>
      <w:r w:rsidRPr="001B653C">
        <w:rPr>
          <w:rFonts w:ascii="Arial" w:eastAsia="Batang" w:hAnsi="Arial" w:cs="Arial"/>
          <w:bCs/>
          <w:color w:val="262626"/>
          <w:sz w:val="18"/>
          <w:szCs w:val="18"/>
          <w:lang w:val="el-GR" w:eastAsia="en-US"/>
        </w:rPr>
        <w:t xml:space="preserve"> κα</w:t>
      </w:r>
      <w:r w:rsidRPr="00912DF5">
        <w:rPr>
          <w:rFonts w:ascii="Arial" w:eastAsia="Batang" w:hAnsi="Arial" w:cs="Arial"/>
          <w:bCs/>
          <w:color w:val="262626"/>
          <w:sz w:val="18"/>
          <w:szCs w:val="18"/>
          <w:lang w:val="el-GR" w:eastAsia="en-US"/>
        </w:rPr>
        <w:t xml:space="preserve">τά τις </w:t>
      </w:r>
      <w:r>
        <w:rPr>
          <w:rFonts w:ascii="Arial" w:eastAsia="Batang" w:hAnsi="Arial" w:cs="Arial"/>
          <w:bCs/>
          <w:color w:val="262626"/>
          <w:sz w:val="18"/>
          <w:szCs w:val="18"/>
          <w:lang w:val="el-GR" w:eastAsia="en-US"/>
        </w:rPr>
        <w:t xml:space="preserve">30 </w:t>
      </w:r>
      <w:r w:rsidRPr="006A365D">
        <w:rPr>
          <w:rFonts w:ascii="Arial" w:eastAsia="Batang" w:hAnsi="Arial" w:cs="Arial"/>
          <w:bCs/>
          <w:color w:val="262626"/>
          <w:sz w:val="18"/>
          <w:szCs w:val="18"/>
          <w:lang w:val="el-GR" w:eastAsia="en-US"/>
        </w:rPr>
        <w:t xml:space="preserve">Σεπτεμβρίου </w:t>
      </w:r>
      <w:r>
        <w:rPr>
          <w:rFonts w:ascii="Arial" w:eastAsia="Batang" w:hAnsi="Arial" w:cs="Arial"/>
          <w:bCs/>
          <w:color w:val="262626"/>
          <w:sz w:val="18"/>
          <w:szCs w:val="18"/>
          <w:lang w:val="el-GR" w:eastAsia="en-US"/>
        </w:rPr>
        <w:t>2024</w:t>
      </w:r>
      <w:r w:rsidRPr="00912DF5">
        <w:rPr>
          <w:rFonts w:ascii="Arial" w:eastAsia="Batang" w:hAnsi="Arial" w:cs="Arial"/>
          <w:bCs/>
          <w:color w:val="262626"/>
          <w:sz w:val="18"/>
          <w:szCs w:val="18"/>
          <w:lang w:val="el-GR" w:eastAsia="en-US"/>
        </w:rPr>
        <w:t xml:space="preserve"> (31 Δεκεμβρίου </w:t>
      </w:r>
      <w:r w:rsidRPr="00CF3341">
        <w:rPr>
          <w:rFonts w:ascii="Arial" w:eastAsia="Batang" w:hAnsi="Arial" w:cs="Arial"/>
          <w:bCs/>
          <w:color w:val="262626"/>
          <w:sz w:val="18"/>
          <w:szCs w:val="18"/>
          <w:lang w:val="el-GR" w:eastAsia="en-US"/>
        </w:rPr>
        <w:t>2023: €128,705 χιλ.).</w:t>
      </w:r>
    </w:p>
    <w:p w14:paraId="247924D5" w14:textId="77777777" w:rsidR="0056738E" w:rsidRDefault="0056738E" w:rsidP="0056738E">
      <w:pPr>
        <w:spacing w:after="0" w:line="240" w:lineRule="auto"/>
        <w:jc w:val="both"/>
        <w:rPr>
          <w:rFonts w:ascii="Arial" w:eastAsia="Batang" w:hAnsi="Arial" w:cs="Arial"/>
          <w:bCs/>
          <w:color w:val="262626"/>
          <w:sz w:val="18"/>
          <w:szCs w:val="18"/>
          <w:lang w:val="el-GR" w:eastAsia="en-US"/>
        </w:rPr>
      </w:pPr>
    </w:p>
    <w:p w14:paraId="5686B999" w14:textId="77777777" w:rsidR="0056738E" w:rsidRPr="00912DF5" w:rsidRDefault="0056738E" w:rsidP="0056738E">
      <w:pPr>
        <w:spacing w:after="0" w:line="240" w:lineRule="auto"/>
        <w:jc w:val="both"/>
        <w:rPr>
          <w:rFonts w:ascii="Arial" w:eastAsia="Batang" w:hAnsi="Arial" w:cs="Arial"/>
          <w:bCs/>
          <w:color w:val="262626"/>
          <w:sz w:val="18"/>
          <w:szCs w:val="18"/>
          <w:lang w:val="el-GR" w:eastAsia="en-US"/>
        </w:rPr>
      </w:pPr>
      <w:r>
        <w:rPr>
          <w:rFonts w:ascii="Arial" w:eastAsia="Batang" w:hAnsi="Arial" w:cs="Arial"/>
          <w:bCs/>
          <w:color w:val="262626"/>
          <w:sz w:val="18"/>
          <w:szCs w:val="18"/>
          <w:lang w:val="el-GR" w:eastAsia="en-US"/>
        </w:rPr>
        <w:t xml:space="preserve">Κατά τις 30 </w:t>
      </w:r>
      <w:r w:rsidRPr="006A365D">
        <w:rPr>
          <w:rFonts w:ascii="Arial" w:eastAsia="Batang" w:hAnsi="Arial" w:cs="Arial"/>
          <w:bCs/>
          <w:color w:val="262626"/>
          <w:sz w:val="18"/>
          <w:szCs w:val="18"/>
          <w:lang w:val="el-GR" w:eastAsia="en-US"/>
        </w:rPr>
        <w:t>Σεπτεμβρίου</w:t>
      </w:r>
      <w:r>
        <w:rPr>
          <w:rFonts w:ascii="Arial" w:eastAsia="Batang" w:hAnsi="Arial" w:cs="Arial"/>
          <w:bCs/>
          <w:color w:val="262626"/>
          <w:sz w:val="18"/>
          <w:szCs w:val="18"/>
          <w:lang w:val="el-GR" w:eastAsia="en-US"/>
        </w:rPr>
        <w:t xml:space="preserve"> 2024, τα δάνεια και </w:t>
      </w:r>
      <w:r w:rsidRPr="00CF3341">
        <w:rPr>
          <w:rFonts w:ascii="Arial" w:eastAsia="Batang" w:hAnsi="Arial" w:cs="Arial"/>
          <w:bCs/>
          <w:color w:val="262626"/>
          <w:sz w:val="18"/>
          <w:szCs w:val="18"/>
          <w:lang w:val="el-GR" w:eastAsia="en-US"/>
        </w:rPr>
        <w:t xml:space="preserve">απαιτήσεις από πελάτες που αναφέρονται στις ‘Άλλες χώρες’ περιλαμβάνουν ανοίγματα ύψους </w:t>
      </w:r>
      <w:r w:rsidRPr="00A03828">
        <w:rPr>
          <w:rFonts w:ascii="Arial" w:eastAsia="Batang" w:hAnsi="Arial" w:cs="Arial"/>
          <w:bCs/>
          <w:color w:val="262626"/>
          <w:sz w:val="18"/>
          <w:szCs w:val="18"/>
          <w:lang w:val="el-GR" w:eastAsia="en-US"/>
        </w:rPr>
        <w:t>€</w:t>
      </w:r>
      <w:r>
        <w:rPr>
          <w:rFonts w:ascii="Arial" w:eastAsia="Batang" w:hAnsi="Arial" w:cs="Arial"/>
          <w:bCs/>
          <w:color w:val="262626"/>
          <w:sz w:val="18"/>
          <w:szCs w:val="18"/>
          <w:lang w:val="el-GR" w:eastAsia="en-US"/>
        </w:rPr>
        <w:t>1</w:t>
      </w:r>
      <w:r w:rsidRPr="00A03828">
        <w:rPr>
          <w:rFonts w:ascii="Arial" w:eastAsia="Batang" w:hAnsi="Arial" w:cs="Arial"/>
          <w:bCs/>
          <w:color w:val="262626"/>
          <w:sz w:val="18"/>
          <w:szCs w:val="18"/>
          <w:lang w:val="el-GR" w:eastAsia="en-US"/>
        </w:rPr>
        <w:t>.</w:t>
      </w:r>
      <w:r>
        <w:rPr>
          <w:rFonts w:ascii="Arial" w:eastAsia="Batang" w:hAnsi="Arial" w:cs="Arial"/>
          <w:bCs/>
          <w:color w:val="262626"/>
          <w:sz w:val="18"/>
          <w:szCs w:val="18"/>
          <w:lang w:val="el-GR" w:eastAsia="en-US"/>
        </w:rPr>
        <w:t>2</w:t>
      </w:r>
      <w:r w:rsidRPr="00A03828">
        <w:rPr>
          <w:rFonts w:ascii="Arial" w:eastAsia="Batang" w:hAnsi="Arial" w:cs="Arial"/>
          <w:bCs/>
          <w:color w:val="262626"/>
          <w:sz w:val="18"/>
          <w:szCs w:val="18"/>
          <w:lang w:val="el-GR" w:eastAsia="en-US"/>
        </w:rPr>
        <w:t xml:space="preserve"> εκατ</w:t>
      </w:r>
      <w:r w:rsidRPr="00C54F71">
        <w:rPr>
          <w:rFonts w:ascii="Arial" w:eastAsia="Batang" w:hAnsi="Arial" w:cs="Arial"/>
          <w:bCs/>
          <w:color w:val="262626"/>
          <w:sz w:val="18"/>
          <w:szCs w:val="18"/>
          <w:lang w:val="el-GR" w:eastAsia="en-US"/>
        </w:rPr>
        <w:t>.</w:t>
      </w:r>
      <w:r w:rsidRPr="00CF3341">
        <w:rPr>
          <w:rFonts w:ascii="Arial" w:eastAsia="Batang" w:hAnsi="Arial" w:cs="Arial"/>
          <w:bCs/>
          <w:color w:val="262626"/>
          <w:sz w:val="18"/>
          <w:szCs w:val="18"/>
          <w:lang w:val="el-GR" w:eastAsia="en-US"/>
        </w:rPr>
        <w:t xml:space="preserve"> στην Ουκρανία (31 Δεκεμβρίου 2023: €1</w:t>
      </w:r>
      <w:r w:rsidRPr="00A03828">
        <w:rPr>
          <w:rFonts w:ascii="Arial" w:eastAsia="Batang" w:hAnsi="Arial" w:cs="Arial"/>
          <w:bCs/>
          <w:color w:val="262626"/>
          <w:sz w:val="18"/>
          <w:szCs w:val="18"/>
          <w:lang w:val="el-GR" w:eastAsia="en-US"/>
        </w:rPr>
        <w:t>.</w:t>
      </w:r>
      <w:r w:rsidRPr="00CF3341">
        <w:rPr>
          <w:rFonts w:ascii="Arial" w:eastAsia="Batang" w:hAnsi="Arial" w:cs="Arial"/>
          <w:bCs/>
          <w:color w:val="262626"/>
          <w:sz w:val="18"/>
          <w:szCs w:val="18"/>
          <w:lang w:val="el-GR" w:eastAsia="en-US"/>
        </w:rPr>
        <w:t xml:space="preserve">7 εκατ.) </w:t>
      </w:r>
      <w:r>
        <w:rPr>
          <w:rFonts w:ascii="Arial" w:eastAsia="Batang" w:hAnsi="Arial" w:cs="Arial"/>
          <w:bCs/>
          <w:color w:val="262626"/>
          <w:sz w:val="18"/>
          <w:szCs w:val="18"/>
          <w:lang w:val="el-GR" w:eastAsia="en-US"/>
        </w:rPr>
        <w:t xml:space="preserve">και </w:t>
      </w:r>
      <w:r w:rsidRPr="00A03828">
        <w:rPr>
          <w:rFonts w:ascii="Arial" w:eastAsia="Batang" w:hAnsi="Arial" w:cs="Arial"/>
          <w:bCs/>
          <w:color w:val="262626"/>
          <w:sz w:val="18"/>
          <w:szCs w:val="18"/>
          <w:lang w:val="el-GR" w:eastAsia="en-US"/>
        </w:rPr>
        <w:t>€</w:t>
      </w:r>
      <w:r>
        <w:rPr>
          <w:rFonts w:ascii="Arial" w:eastAsia="Batang" w:hAnsi="Arial" w:cs="Arial"/>
          <w:bCs/>
          <w:color w:val="262626"/>
          <w:sz w:val="18"/>
          <w:szCs w:val="18"/>
          <w:lang w:val="el-GR" w:eastAsia="en-US"/>
        </w:rPr>
        <w:t>5</w:t>
      </w:r>
      <w:r w:rsidRPr="00A03828">
        <w:rPr>
          <w:rFonts w:ascii="Arial" w:eastAsia="Batang" w:hAnsi="Arial" w:cs="Arial"/>
          <w:bCs/>
          <w:color w:val="262626"/>
          <w:sz w:val="18"/>
          <w:szCs w:val="18"/>
          <w:lang w:val="el-GR" w:eastAsia="en-US"/>
        </w:rPr>
        <w:t>.</w:t>
      </w:r>
      <w:r>
        <w:rPr>
          <w:rFonts w:ascii="Arial" w:eastAsia="Batang" w:hAnsi="Arial" w:cs="Arial"/>
          <w:bCs/>
          <w:color w:val="262626"/>
          <w:sz w:val="18"/>
          <w:szCs w:val="18"/>
          <w:lang w:val="el-GR" w:eastAsia="en-US"/>
        </w:rPr>
        <w:t>4</w:t>
      </w:r>
      <w:r w:rsidRPr="00A03828">
        <w:rPr>
          <w:rFonts w:ascii="Arial" w:eastAsia="Batang" w:hAnsi="Arial" w:cs="Arial"/>
          <w:bCs/>
          <w:color w:val="262626"/>
          <w:sz w:val="18"/>
          <w:szCs w:val="18"/>
          <w:lang w:val="el-GR" w:eastAsia="en-US"/>
        </w:rPr>
        <w:t xml:space="preserve"> εκατ</w:t>
      </w:r>
      <w:r w:rsidRPr="008731DC">
        <w:rPr>
          <w:rFonts w:ascii="Arial" w:eastAsia="Batang" w:hAnsi="Arial" w:cs="Arial"/>
          <w:bCs/>
          <w:color w:val="262626"/>
          <w:sz w:val="18"/>
          <w:szCs w:val="18"/>
          <w:lang w:val="el-GR" w:eastAsia="en-US"/>
        </w:rPr>
        <w:t>.</w:t>
      </w:r>
      <w:r>
        <w:rPr>
          <w:rFonts w:ascii="Arial" w:eastAsia="Batang" w:hAnsi="Arial" w:cs="Arial"/>
          <w:bCs/>
          <w:color w:val="262626"/>
          <w:sz w:val="18"/>
          <w:szCs w:val="18"/>
          <w:lang w:val="el-GR" w:eastAsia="en-US"/>
        </w:rPr>
        <w:t xml:space="preserve"> στο Ισραήλ </w:t>
      </w:r>
      <w:r w:rsidRPr="00CF3341">
        <w:rPr>
          <w:rFonts w:ascii="Arial" w:eastAsia="Batang" w:hAnsi="Arial" w:cs="Arial"/>
          <w:bCs/>
          <w:color w:val="262626"/>
          <w:sz w:val="18"/>
          <w:szCs w:val="18"/>
          <w:lang w:val="el-GR" w:eastAsia="en-US"/>
        </w:rPr>
        <w:t>(31 Δεκεμβρίου 2023: €</w:t>
      </w:r>
      <w:r>
        <w:rPr>
          <w:rFonts w:ascii="Arial" w:eastAsia="Batang" w:hAnsi="Arial" w:cs="Arial"/>
          <w:bCs/>
          <w:color w:val="262626"/>
          <w:sz w:val="18"/>
          <w:szCs w:val="18"/>
          <w:lang w:val="el-GR" w:eastAsia="en-US"/>
        </w:rPr>
        <w:t>4</w:t>
      </w:r>
      <w:r w:rsidRPr="00A03828">
        <w:rPr>
          <w:rFonts w:ascii="Arial" w:eastAsia="Batang" w:hAnsi="Arial" w:cs="Arial"/>
          <w:bCs/>
          <w:color w:val="262626"/>
          <w:sz w:val="18"/>
          <w:szCs w:val="18"/>
          <w:lang w:val="el-GR" w:eastAsia="en-US"/>
        </w:rPr>
        <w:t>.</w:t>
      </w:r>
      <w:r>
        <w:rPr>
          <w:rFonts w:ascii="Arial" w:eastAsia="Batang" w:hAnsi="Arial" w:cs="Arial"/>
          <w:bCs/>
          <w:color w:val="262626"/>
          <w:sz w:val="18"/>
          <w:szCs w:val="18"/>
          <w:lang w:val="el-GR" w:eastAsia="en-US"/>
        </w:rPr>
        <w:t>9</w:t>
      </w:r>
      <w:r w:rsidRPr="00CF3341">
        <w:rPr>
          <w:rFonts w:ascii="Arial" w:eastAsia="Batang" w:hAnsi="Arial" w:cs="Arial"/>
          <w:bCs/>
          <w:color w:val="262626"/>
          <w:sz w:val="18"/>
          <w:szCs w:val="18"/>
          <w:lang w:val="el-GR" w:eastAsia="en-US"/>
        </w:rPr>
        <w:t xml:space="preserve"> εκατ</w:t>
      </w:r>
      <w:r>
        <w:rPr>
          <w:rFonts w:ascii="Arial" w:eastAsia="Batang" w:hAnsi="Arial" w:cs="Arial"/>
          <w:bCs/>
          <w:color w:val="262626"/>
          <w:sz w:val="18"/>
          <w:szCs w:val="18"/>
          <w:lang w:val="el-GR" w:eastAsia="en-US"/>
        </w:rPr>
        <w:t>.).</w:t>
      </w:r>
    </w:p>
    <w:p w14:paraId="098B0198" w14:textId="77777777" w:rsidR="0056738E" w:rsidRPr="00D60454" w:rsidRDefault="0056738E" w:rsidP="0056738E">
      <w:pPr>
        <w:spacing w:after="0" w:line="240" w:lineRule="auto"/>
        <w:jc w:val="both"/>
        <w:rPr>
          <w:rFonts w:ascii="Arial" w:eastAsia="Batang" w:hAnsi="Arial" w:cs="Arial"/>
          <w:color w:val="262626"/>
          <w:sz w:val="18"/>
          <w:szCs w:val="24"/>
          <w:lang w:val="el-GR" w:eastAsia="en-US"/>
        </w:rPr>
      </w:pPr>
    </w:p>
    <w:p w14:paraId="34C8E3FC" w14:textId="77777777" w:rsidR="0056738E" w:rsidRDefault="0056738E" w:rsidP="0056738E">
      <w:pPr>
        <w:rPr>
          <w:rFonts w:ascii="Arial" w:hAnsi="Arial" w:cs="Arial"/>
          <w:b/>
          <w:color w:val="FF9900"/>
          <w:szCs w:val="16"/>
          <w:lang w:val="el-GR"/>
        </w:rPr>
      </w:pPr>
      <w:r>
        <w:rPr>
          <w:rFonts w:ascii="Arial" w:hAnsi="Arial" w:cs="Arial"/>
          <w:b/>
          <w:color w:val="FF9900"/>
          <w:szCs w:val="16"/>
          <w:lang w:val="el-GR"/>
        </w:rPr>
        <w:br w:type="page"/>
      </w:r>
    </w:p>
    <w:p w14:paraId="19DF0421" w14:textId="77777777" w:rsidR="0056738E" w:rsidRPr="00C30CF6" w:rsidRDefault="0056738E" w:rsidP="0056738E">
      <w:pPr>
        <w:spacing w:after="0" w:line="360" w:lineRule="auto"/>
        <w:ind w:left="851" w:hanging="851"/>
        <w:rPr>
          <w:rFonts w:ascii="Arial" w:hAnsi="Arial" w:cs="Arial"/>
          <w:b/>
          <w:color w:val="FF9900"/>
          <w:lang w:val="el-GR"/>
        </w:rPr>
      </w:pPr>
      <w:r>
        <w:rPr>
          <w:rFonts w:ascii="Arial" w:hAnsi="Arial" w:cs="Arial"/>
          <w:b/>
          <w:color w:val="FF9900"/>
          <w:szCs w:val="16"/>
          <w:lang w:val="el-GR"/>
        </w:rPr>
        <w:lastRenderedPageBreak/>
        <w:t>ΣΤ</w:t>
      </w:r>
      <w:r w:rsidRPr="00C30CF6">
        <w:rPr>
          <w:rFonts w:ascii="Arial" w:hAnsi="Arial" w:cs="Arial"/>
          <w:b/>
          <w:color w:val="FF9900"/>
          <w:szCs w:val="16"/>
          <w:lang w:val="el-GR"/>
        </w:rPr>
        <w:t xml:space="preserve">. </w:t>
      </w:r>
      <w:r w:rsidRPr="001E3958">
        <w:rPr>
          <w:rFonts w:ascii="Arial" w:hAnsi="Arial" w:cs="Arial"/>
          <w:b/>
          <w:color w:val="FF9900"/>
          <w:szCs w:val="16"/>
          <w:lang w:val="el-GR"/>
        </w:rPr>
        <w:tab/>
      </w:r>
      <w:r>
        <w:rPr>
          <w:rFonts w:ascii="Arial" w:hAnsi="Arial" w:cs="Arial"/>
          <w:b/>
          <w:color w:val="FF9900"/>
          <w:lang w:val="el-GR"/>
        </w:rPr>
        <w:t xml:space="preserve">Σημειώσεις </w:t>
      </w:r>
      <w:r w:rsidRPr="00DE031F">
        <w:rPr>
          <w:rFonts w:ascii="Arial" w:hAnsi="Arial" w:cs="Arial"/>
          <w:color w:val="FF9900"/>
          <w:lang w:val="el-GR"/>
        </w:rPr>
        <w:t>(συνέχεια)</w:t>
      </w:r>
    </w:p>
    <w:p w14:paraId="1BAE27B4" w14:textId="77777777" w:rsidR="0056738E" w:rsidRDefault="0056738E" w:rsidP="0056738E">
      <w:pPr>
        <w:spacing w:after="120" w:line="240" w:lineRule="auto"/>
        <w:ind w:left="851" w:hanging="851"/>
        <w:jc w:val="both"/>
        <w:rPr>
          <w:rFonts w:ascii="Arial" w:hAnsi="Arial" w:cs="Arial"/>
          <w:b/>
          <w:color w:val="FF9900"/>
          <w:lang w:val="el-GR"/>
        </w:rPr>
      </w:pPr>
      <w:r w:rsidRPr="001D7A91">
        <w:rPr>
          <w:rFonts w:ascii="Arial" w:hAnsi="Arial" w:cs="Arial"/>
          <w:b/>
          <w:color w:val="FF9900"/>
          <w:lang w:val="el-GR"/>
        </w:rPr>
        <w:t>ΣΤ.</w:t>
      </w:r>
      <w:r>
        <w:rPr>
          <w:rFonts w:ascii="Arial" w:hAnsi="Arial" w:cs="Arial"/>
          <w:b/>
          <w:color w:val="FF9900"/>
          <w:lang w:val="el-GR"/>
        </w:rPr>
        <w:t>5</w:t>
      </w:r>
      <w:r w:rsidRPr="00366709">
        <w:rPr>
          <w:rFonts w:ascii="Arial" w:hAnsi="Arial" w:cs="Arial"/>
          <w:b/>
          <w:color w:val="FF9900"/>
          <w:lang w:val="el-GR"/>
        </w:rPr>
        <w:t xml:space="preserve"> </w:t>
      </w:r>
      <w:r w:rsidRPr="00D066DE">
        <w:rPr>
          <w:rFonts w:ascii="Arial" w:hAnsi="Arial" w:cs="Arial"/>
          <w:b/>
          <w:color w:val="FF9900"/>
          <w:lang w:val="el-GR"/>
        </w:rPr>
        <w:tab/>
      </w:r>
      <w:r>
        <w:rPr>
          <w:rFonts w:ascii="Arial" w:hAnsi="Arial" w:cs="Arial"/>
          <w:b/>
          <w:color w:val="FF9900"/>
          <w:lang w:val="el-GR"/>
        </w:rPr>
        <w:t>Ανάλυση χαρτοφυλακίου δανείων και απαιτήσεων από πελάτες ανά στάδιο</w:t>
      </w:r>
    </w:p>
    <w:p w14:paraId="0335E356" w14:textId="77777777" w:rsidR="0056738E" w:rsidRPr="00D60454" w:rsidRDefault="0056738E" w:rsidP="0056738E">
      <w:pPr>
        <w:spacing w:after="120" w:line="240" w:lineRule="auto"/>
        <w:jc w:val="both"/>
        <w:rPr>
          <w:rFonts w:ascii="Arial" w:eastAsia="Batang" w:hAnsi="Arial" w:cs="Arial"/>
          <w:color w:val="262626"/>
          <w:sz w:val="18"/>
          <w:szCs w:val="18"/>
          <w:lang w:val="el-GR" w:eastAsia="el-GR"/>
        </w:rPr>
      </w:pPr>
      <w:r w:rsidRPr="00D60454">
        <w:rPr>
          <w:rFonts w:ascii="Arial" w:eastAsia="Batang" w:hAnsi="Arial" w:cs="Arial"/>
          <w:color w:val="262626"/>
          <w:sz w:val="18"/>
          <w:szCs w:val="18"/>
          <w:lang w:val="el-GR" w:eastAsia="el-GR"/>
        </w:rPr>
        <w:t xml:space="preserve">Οι </w:t>
      </w:r>
      <w:r>
        <w:rPr>
          <w:rFonts w:ascii="Arial" w:eastAsia="Batang" w:hAnsi="Arial" w:cs="Arial"/>
          <w:color w:val="262626"/>
          <w:sz w:val="18"/>
          <w:szCs w:val="18"/>
          <w:lang w:val="el-GR" w:eastAsia="el-GR"/>
        </w:rPr>
        <w:t>πιο κάτω πίνακες παρουσιάζουν τα μεικτά δάνεια και απαιτήσεις από πελάτες του Συγκροτήματος</w:t>
      </w:r>
      <w:r w:rsidRPr="00D17E65">
        <w:rPr>
          <w:rFonts w:ascii="Arial" w:eastAsia="Batang" w:hAnsi="Arial" w:cs="Arial"/>
          <w:color w:val="262626"/>
          <w:sz w:val="18"/>
          <w:szCs w:val="18"/>
          <w:lang w:val="el-GR" w:eastAsia="el-GR"/>
        </w:rPr>
        <w:t xml:space="preserve"> </w:t>
      </w:r>
      <w:r>
        <w:rPr>
          <w:rFonts w:ascii="Arial" w:eastAsia="Batang" w:hAnsi="Arial" w:cs="Arial"/>
          <w:color w:val="262626"/>
          <w:sz w:val="18"/>
          <w:szCs w:val="18"/>
          <w:lang w:val="el-GR" w:eastAsia="el-GR"/>
        </w:rPr>
        <w:t>που επιμετρούνται σε αποσβεσμένο κόστος ανά στάδιο.</w:t>
      </w:r>
    </w:p>
    <w:tbl>
      <w:tblPr>
        <w:tblW w:w="100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179"/>
        <w:gridCol w:w="1131"/>
        <w:gridCol w:w="1131"/>
        <w:gridCol w:w="1067"/>
        <w:gridCol w:w="1364"/>
        <w:gridCol w:w="1188"/>
      </w:tblGrid>
      <w:tr w:rsidR="0056738E" w:rsidRPr="00CE4F43" w14:paraId="07390436" w14:textId="77777777" w:rsidTr="007C2AEE">
        <w:trPr>
          <w:trHeight w:val="283"/>
          <w:jc w:val="center"/>
        </w:trPr>
        <w:tc>
          <w:tcPr>
            <w:tcW w:w="4179" w:type="dxa"/>
            <w:vMerge w:val="restart"/>
            <w:vAlign w:val="center"/>
          </w:tcPr>
          <w:p w14:paraId="455EFD89" w14:textId="77777777" w:rsidR="0056738E" w:rsidRPr="005E3387" w:rsidRDefault="0056738E" w:rsidP="007C2AEE">
            <w:pPr>
              <w:shd w:val="clear" w:color="auto" w:fill="FFFFFF"/>
              <w:spacing w:after="0" w:line="240" w:lineRule="auto"/>
              <w:jc w:val="both"/>
              <w:rPr>
                <w:rFonts w:ascii="Arial" w:eastAsia="Batang" w:hAnsi="Arial" w:cs="Arial"/>
                <w:b/>
                <w:bCs/>
                <w:color w:val="262626"/>
                <w:sz w:val="18"/>
                <w:szCs w:val="18"/>
                <w:lang w:val="el-GR" w:eastAsia="en-US"/>
              </w:rPr>
            </w:pPr>
            <w:r w:rsidRPr="006A365D">
              <w:rPr>
                <w:rFonts w:ascii="Arial" w:eastAsia="Batang" w:hAnsi="Arial" w:cs="Arial"/>
                <w:b/>
                <w:color w:val="262626"/>
                <w:sz w:val="18"/>
                <w:szCs w:val="18"/>
                <w:lang w:val="el-GR" w:eastAsia="en-US"/>
              </w:rPr>
              <w:t xml:space="preserve">30 Σεπτεμβρίου </w:t>
            </w:r>
            <w:r>
              <w:rPr>
                <w:rFonts w:ascii="Arial" w:eastAsia="Batang" w:hAnsi="Arial" w:cs="Arial"/>
                <w:b/>
                <w:color w:val="262626"/>
                <w:sz w:val="18"/>
                <w:szCs w:val="18"/>
                <w:lang w:val="el-GR" w:eastAsia="en-US"/>
              </w:rPr>
              <w:t>2024</w:t>
            </w:r>
          </w:p>
        </w:tc>
        <w:tc>
          <w:tcPr>
            <w:tcW w:w="1131" w:type="dxa"/>
            <w:shd w:val="clear" w:color="auto" w:fill="auto"/>
            <w:vAlign w:val="center"/>
          </w:tcPr>
          <w:p w14:paraId="68313973" w14:textId="77777777" w:rsidR="0056738E" w:rsidRPr="0036074B"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Cs/>
                <w:color w:val="262626"/>
                <w:sz w:val="18"/>
                <w:szCs w:val="18"/>
                <w:lang w:eastAsia="en-US"/>
              </w:rPr>
            </w:pPr>
            <w:r>
              <w:rPr>
                <w:rFonts w:ascii="Arial" w:hAnsi="Arial" w:cs="Arial"/>
                <w:color w:val="262626"/>
                <w:sz w:val="18"/>
                <w:szCs w:val="18"/>
                <w:lang w:val="el-GR"/>
              </w:rPr>
              <w:t>Στάδιο</w:t>
            </w:r>
            <w:r>
              <w:rPr>
                <w:rFonts w:ascii="Arial" w:hAnsi="Arial" w:cs="Arial"/>
                <w:color w:val="262626"/>
                <w:sz w:val="18"/>
                <w:szCs w:val="18"/>
                <w:lang w:val="en-US"/>
              </w:rPr>
              <w:t xml:space="preserve"> </w:t>
            </w:r>
            <w:r w:rsidRPr="00667349">
              <w:rPr>
                <w:rFonts w:ascii="Arial" w:hAnsi="Arial" w:cs="Arial"/>
                <w:color w:val="262626"/>
                <w:sz w:val="18"/>
                <w:szCs w:val="18"/>
              </w:rPr>
              <w:t>1</w:t>
            </w:r>
          </w:p>
        </w:tc>
        <w:tc>
          <w:tcPr>
            <w:tcW w:w="1131" w:type="dxa"/>
            <w:shd w:val="clear" w:color="auto" w:fill="auto"/>
            <w:vAlign w:val="center"/>
          </w:tcPr>
          <w:p w14:paraId="4375E8F6" w14:textId="77777777" w:rsidR="0056738E" w:rsidRPr="0036074B"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Cs/>
                <w:color w:val="262626"/>
                <w:sz w:val="18"/>
                <w:szCs w:val="18"/>
                <w:lang w:eastAsia="en-US"/>
              </w:rPr>
            </w:pPr>
            <w:r>
              <w:rPr>
                <w:rFonts w:ascii="Arial" w:hAnsi="Arial" w:cs="Arial"/>
                <w:color w:val="262626"/>
                <w:sz w:val="18"/>
                <w:szCs w:val="18"/>
                <w:lang w:val="el-GR"/>
              </w:rPr>
              <w:t>Στάδιο</w:t>
            </w:r>
            <w:r w:rsidRPr="00667349">
              <w:rPr>
                <w:rFonts w:ascii="Arial" w:hAnsi="Arial" w:cs="Arial"/>
                <w:color w:val="262626"/>
                <w:sz w:val="18"/>
                <w:szCs w:val="18"/>
              </w:rPr>
              <w:t xml:space="preserve"> 2</w:t>
            </w:r>
          </w:p>
        </w:tc>
        <w:tc>
          <w:tcPr>
            <w:tcW w:w="1067" w:type="dxa"/>
            <w:shd w:val="clear" w:color="auto" w:fill="auto"/>
            <w:vAlign w:val="center"/>
          </w:tcPr>
          <w:p w14:paraId="1D770CB2" w14:textId="77777777" w:rsidR="0056738E" w:rsidRPr="0036074B"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Cs/>
                <w:color w:val="262626"/>
                <w:sz w:val="18"/>
                <w:szCs w:val="18"/>
                <w:lang w:eastAsia="en-US"/>
              </w:rPr>
            </w:pPr>
            <w:r>
              <w:rPr>
                <w:rFonts w:ascii="Arial" w:hAnsi="Arial" w:cs="Arial"/>
                <w:color w:val="262626"/>
                <w:sz w:val="18"/>
                <w:szCs w:val="18"/>
                <w:lang w:val="el-GR"/>
              </w:rPr>
              <w:t>Στάδιο</w:t>
            </w:r>
            <w:r w:rsidRPr="00667349">
              <w:rPr>
                <w:rFonts w:ascii="Arial" w:hAnsi="Arial" w:cs="Arial"/>
                <w:color w:val="262626"/>
                <w:sz w:val="18"/>
                <w:szCs w:val="18"/>
              </w:rPr>
              <w:t xml:space="preserve"> 3</w:t>
            </w:r>
          </w:p>
        </w:tc>
        <w:tc>
          <w:tcPr>
            <w:tcW w:w="1364" w:type="dxa"/>
            <w:shd w:val="clear" w:color="auto" w:fill="auto"/>
            <w:vAlign w:val="center"/>
          </w:tcPr>
          <w:p w14:paraId="7B2ECEA5" w14:textId="77777777" w:rsidR="0056738E" w:rsidRPr="00EF3A7C"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Cs/>
                <w:color w:val="262626"/>
                <w:sz w:val="18"/>
                <w:szCs w:val="18"/>
                <w:lang w:val="el-GR" w:eastAsia="en-US"/>
              </w:rPr>
            </w:pPr>
            <w:proofErr w:type="spellStart"/>
            <w:r>
              <w:rPr>
                <w:rFonts w:ascii="Arial" w:hAnsi="Arial" w:cs="Arial"/>
                <w:color w:val="262626"/>
                <w:sz w:val="18"/>
                <w:szCs w:val="18"/>
                <w:lang w:val="el-GR"/>
              </w:rPr>
              <w:t>Απομειωμένα</w:t>
            </w:r>
            <w:proofErr w:type="spellEnd"/>
            <w:r>
              <w:rPr>
                <w:rFonts w:ascii="Arial" w:hAnsi="Arial" w:cs="Arial"/>
                <w:color w:val="262626"/>
                <w:sz w:val="18"/>
                <w:szCs w:val="18"/>
                <w:lang w:val="el-GR"/>
              </w:rPr>
              <w:t xml:space="preserve"> κατά την αρχική αναγνώριση (</w:t>
            </w:r>
            <w:r w:rsidRPr="00667349">
              <w:rPr>
                <w:rFonts w:ascii="Arial" w:hAnsi="Arial" w:cs="Arial"/>
                <w:color w:val="262626"/>
                <w:sz w:val="18"/>
                <w:szCs w:val="18"/>
              </w:rPr>
              <w:t>POCI</w:t>
            </w:r>
            <w:r>
              <w:rPr>
                <w:rFonts w:ascii="Arial" w:hAnsi="Arial" w:cs="Arial"/>
                <w:color w:val="262626"/>
                <w:sz w:val="18"/>
                <w:szCs w:val="18"/>
                <w:lang w:val="el-GR"/>
              </w:rPr>
              <w:t>)</w:t>
            </w:r>
          </w:p>
        </w:tc>
        <w:tc>
          <w:tcPr>
            <w:tcW w:w="1188" w:type="dxa"/>
            <w:shd w:val="clear" w:color="auto" w:fill="auto"/>
            <w:vAlign w:val="center"/>
          </w:tcPr>
          <w:p w14:paraId="4DBA82CE" w14:textId="77777777" w:rsidR="0056738E" w:rsidRPr="00EF3A7C"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val="el-GR" w:eastAsia="en-US"/>
              </w:rPr>
            </w:pPr>
            <w:r>
              <w:rPr>
                <w:rFonts w:ascii="Arial" w:hAnsi="Arial" w:cs="Arial"/>
                <w:b/>
                <w:color w:val="262626"/>
                <w:sz w:val="18"/>
                <w:szCs w:val="18"/>
                <w:lang w:val="el-GR"/>
              </w:rPr>
              <w:t>Σύνολο</w:t>
            </w:r>
          </w:p>
        </w:tc>
      </w:tr>
      <w:tr w:rsidR="0056738E" w:rsidRPr="00CE4F43" w14:paraId="2C5388AE" w14:textId="77777777" w:rsidTr="007C2AEE">
        <w:trPr>
          <w:trHeight w:val="255"/>
          <w:jc w:val="center"/>
        </w:trPr>
        <w:tc>
          <w:tcPr>
            <w:tcW w:w="4179" w:type="dxa"/>
            <w:vMerge/>
            <w:vAlign w:val="center"/>
          </w:tcPr>
          <w:p w14:paraId="31634A42" w14:textId="77777777" w:rsidR="0056738E" w:rsidRPr="0036074B" w:rsidRDefault="0056738E" w:rsidP="007C2AEE">
            <w:pPr>
              <w:numPr>
                <w:ilvl w:val="12"/>
                <w:numId w:val="0"/>
              </w:numPr>
              <w:shd w:val="clear" w:color="auto" w:fill="FFFFFF"/>
              <w:tabs>
                <w:tab w:val="left" w:pos="284"/>
              </w:tabs>
              <w:spacing w:after="0" w:line="240" w:lineRule="auto"/>
              <w:jc w:val="both"/>
              <w:rPr>
                <w:rFonts w:ascii="Arial" w:eastAsia="Batang" w:hAnsi="Arial" w:cs="Arial"/>
                <w:b/>
                <w:bCs/>
                <w:color w:val="262626"/>
                <w:sz w:val="18"/>
                <w:szCs w:val="18"/>
                <w:lang w:eastAsia="el-GR"/>
              </w:rPr>
            </w:pPr>
          </w:p>
        </w:tc>
        <w:tc>
          <w:tcPr>
            <w:tcW w:w="1131" w:type="dxa"/>
            <w:shd w:val="clear" w:color="auto" w:fill="auto"/>
            <w:vAlign w:val="center"/>
          </w:tcPr>
          <w:p w14:paraId="49249A1F" w14:textId="77777777" w:rsidR="0056738E" w:rsidRPr="0036074B"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36074B">
              <w:rPr>
                <w:rFonts w:ascii="Arial" w:eastAsia="Batang" w:hAnsi="Arial" w:cs="Arial"/>
                <w:bCs/>
                <w:color w:val="262626"/>
                <w:sz w:val="18"/>
                <w:szCs w:val="18"/>
                <w:lang w:eastAsia="en-US"/>
              </w:rPr>
              <w:t>€000</w:t>
            </w:r>
          </w:p>
        </w:tc>
        <w:tc>
          <w:tcPr>
            <w:tcW w:w="1131" w:type="dxa"/>
            <w:shd w:val="clear" w:color="auto" w:fill="auto"/>
            <w:vAlign w:val="center"/>
          </w:tcPr>
          <w:p w14:paraId="1C39706E" w14:textId="77777777" w:rsidR="0056738E" w:rsidRPr="0036074B"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36074B">
              <w:rPr>
                <w:rFonts w:ascii="Arial" w:eastAsia="Batang" w:hAnsi="Arial" w:cs="Arial"/>
                <w:bCs/>
                <w:color w:val="262626"/>
                <w:sz w:val="18"/>
                <w:szCs w:val="18"/>
                <w:lang w:eastAsia="en-US"/>
              </w:rPr>
              <w:t>€000</w:t>
            </w:r>
          </w:p>
        </w:tc>
        <w:tc>
          <w:tcPr>
            <w:tcW w:w="1067" w:type="dxa"/>
            <w:shd w:val="clear" w:color="auto" w:fill="auto"/>
            <w:vAlign w:val="center"/>
          </w:tcPr>
          <w:p w14:paraId="629AE548" w14:textId="77777777" w:rsidR="0056738E" w:rsidRPr="0036074B"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36074B">
              <w:rPr>
                <w:rFonts w:ascii="Arial" w:eastAsia="Batang" w:hAnsi="Arial" w:cs="Arial"/>
                <w:bCs/>
                <w:color w:val="262626"/>
                <w:sz w:val="18"/>
                <w:szCs w:val="18"/>
                <w:lang w:eastAsia="en-US"/>
              </w:rPr>
              <w:t>€000</w:t>
            </w:r>
          </w:p>
        </w:tc>
        <w:tc>
          <w:tcPr>
            <w:tcW w:w="1364" w:type="dxa"/>
            <w:shd w:val="clear" w:color="auto" w:fill="auto"/>
            <w:vAlign w:val="center"/>
          </w:tcPr>
          <w:p w14:paraId="6B5AD345" w14:textId="77777777" w:rsidR="0056738E" w:rsidRPr="0036074B"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36074B">
              <w:rPr>
                <w:rFonts w:ascii="Arial" w:eastAsia="Batang" w:hAnsi="Arial" w:cs="Arial"/>
                <w:bCs/>
                <w:color w:val="262626"/>
                <w:sz w:val="18"/>
                <w:szCs w:val="18"/>
                <w:lang w:eastAsia="en-US"/>
              </w:rPr>
              <w:t>€000</w:t>
            </w:r>
          </w:p>
        </w:tc>
        <w:tc>
          <w:tcPr>
            <w:tcW w:w="1188" w:type="dxa"/>
            <w:shd w:val="clear" w:color="auto" w:fill="auto"/>
            <w:vAlign w:val="center"/>
          </w:tcPr>
          <w:p w14:paraId="1667EF49" w14:textId="77777777" w:rsidR="0056738E" w:rsidRPr="0036074B" w:rsidRDefault="0056738E" w:rsidP="007C2AEE">
            <w:pPr>
              <w:shd w:val="clear" w:color="auto" w:fill="FFFFFF"/>
              <w:spacing w:after="0" w:line="240" w:lineRule="auto"/>
              <w:jc w:val="center"/>
              <w:rPr>
                <w:rFonts w:ascii="Arial" w:eastAsia="Batang" w:hAnsi="Arial" w:cs="Arial"/>
                <w:b/>
                <w:bCs/>
                <w:color w:val="262626"/>
                <w:sz w:val="18"/>
                <w:szCs w:val="18"/>
                <w:lang w:eastAsia="en-US"/>
              </w:rPr>
            </w:pPr>
            <w:r w:rsidRPr="0036074B">
              <w:rPr>
                <w:rFonts w:ascii="Arial" w:eastAsia="Batang" w:hAnsi="Arial" w:cs="Arial"/>
                <w:b/>
                <w:bCs/>
                <w:color w:val="262626"/>
                <w:sz w:val="18"/>
                <w:szCs w:val="18"/>
                <w:lang w:eastAsia="en-US"/>
              </w:rPr>
              <w:t>€000</w:t>
            </w:r>
          </w:p>
        </w:tc>
      </w:tr>
      <w:tr w:rsidR="0056738E" w:rsidRPr="009F7AC3" w14:paraId="35BB7511" w14:textId="77777777" w:rsidTr="007C2AEE">
        <w:trPr>
          <w:trHeight w:val="255"/>
          <w:jc w:val="center"/>
        </w:trPr>
        <w:tc>
          <w:tcPr>
            <w:tcW w:w="4179" w:type="dxa"/>
            <w:vAlign w:val="center"/>
          </w:tcPr>
          <w:p w14:paraId="1BAF47CA" w14:textId="77777777" w:rsidR="0056738E" w:rsidRPr="009A6478"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Pr>
                <w:rFonts w:ascii="Arial" w:eastAsia="Batang" w:hAnsi="Arial" w:cs="Arial"/>
                <w:color w:val="262626"/>
                <w:sz w:val="18"/>
                <w:szCs w:val="18"/>
                <w:lang w:val="el-GR" w:eastAsia="el-GR"/>
              </w:rPr>
              <w:t>Μεικτά δάνεια σε αποσβεσμένο κόστος πριν από την εναπομένουσα αναπροσαρμογή στην εύλογη αξία κατά την αρχική αναγνώριση</w:t>
            </w:r>
          </w:p>
        </w:tc>
        <w:tc>
          <w:tcPr>
            <w:tcW w:w="1131" w:type="dxa"/>
            <w:tcBorders>
              <w:top w:val="nil"/>
              <w:left w:val="nil"/>
              <w:bottom w:val="single" w:sz="8" w:space="0" w:color="C0C0C0"/>
              <w:right w:val="single" w:sz="8" w:space="0" w:color="C0C0C0"/>
            </w:tcBorders>
            <w:shd w:val="clear" w:color="auto" w:fill="auto"/>
            <w:vAlign w:val="center"/>
          </w:tcPr>
          <w:p w14:paraId="2E61DC49" w14:textId="77777777" w:rsidR="0056738E" w:rsidRPr="00F012C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val="el-GR" w:eastAsia="en-US"/>
              </w:rPr>
            </w:pPr>
            <w:r>
              <w:rPr>
                <w:rFonts w:ascii="Arial" w:eastAsia="Batang" w:hAnsi="Arial" w:cs="Arial"/>
                <w:bCs/>
                <w:color w:val="262626"/>
                <w:sz w:val="18"/>
                <w:szCs w:val="18"/>
                <w:lang w:eastAsia="en-US"/>
              </w:rPr>
              <w:t>8,952,044</w:t>
            </w:r>
          </w:p>
        </w:tc>
        <w:tc>
          <w:tcPr>
            <w:tcW w:w="1131" w:type="dxa"/>
            <w:tcBorders>
              <w:top w:val="nil"/>
              <w:left w:val="nil"/>
              <w:bottom w:val="single" w:sz="8" w:space="0" w:color="C0C0C0"/>
              <w:right w:val="single" w:sz="8" w:space="0" w:color="C0C0C0"/>
            </w:tcBorders>
            <w:shd w:val="clear" w:color="auto" w:fill="auto"/>
            <w:vAlign w:val="center"/>
          </w:tcPr>
          <w:p w14:paraId="7B4CB66E" w14:textId="77777777" w:rsidR="0056738E" w:rsidRPr="00F012C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val="el-GR" w:eastAsia="en-US"/>
              </w:rPr>
            </w:pPr>
            <w:r>
              <w:rPr>
                <w:rFonts w:ascii="Arial" w:eastAsia="Batang" w:hAnsi="Arial" w:cs="Arial"/>
                <w:bCs/>
                <w:color w:val="262626"/>
                <w:sz w:val="18"/>
                <w:szCs w:val="18"/>
                <w:lang w:eastAsia="en-US"/>
              </w:rPr>
              <w:t>893,755</w:t>
            </w:r>
          </w:p>
        </w:tc>
        <w:tc>
          <w:tcPr>
            <w:tcW w:w="1067" w:type="dxa"/>
            <w:tcBorders>
              <w:top w:val="nil"/>
              <w:left w:val="nil"/>
              <w:bottom w:val="single" w:sz="8" w:space="0" w:color="C0C0C0"/>
              <w:right w:val="single" w:sz="8" w:space="0" w:color="C0C0C0"/>
            </w:tcBorders>
            <w:shd w:val="clear" w:color="auto" w:fill="auto"/>
            <w:vAlign w:val="center"/>
          </w:tcPr>
          <w:p w14:paraId="48FF98F7" w14:textId="77777777" w:rsidR="0056738E" w:rsidRPr="00F012C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val="el-GR" w:eastAsia="en-US"/>
              </w:rPr>
            </w:pPr>
            <w:r>
              <w:rPr>
                <w:rFonts w:ascii="Arial" w:eastAsia="Batang" w:hAnsi="Arial" w:cs="Arial"/>
                <w:bCs/>
                <w:color w:val="262626"/>
                <w:sz w:val="18"/>
                <w:szCs w:val="18"/>
                <w:lang w:eastAsia="en-US"/>
              </w:rPr>
              <w:t>208,492</w:t>
            </w:r>
          </w:p>
        </w:tc>
        <w:tc>
          <w:tcPr>
            <w:tcW w:w="1364" w:type="dxa"/>
            <w:tcBorders>
              <w:top w:val="nil"/>
              <w:left w:val="nil"/>
              <w:bottom w:val="single" w:sz="8" w:space="0" w:color="C0C0C0"/>
              <w:right w:val="single" w:sz="8" w:space="0" w:color="C0C0C0"/>
            </w:tcBorders>
            <w:shd w:val="clear" w:color="auto" w:fill="auto"/>
            <w:vAlign w:val="center"/>
          </w:tcPr>
          <w:p w14:paraId="109C1114" w14:textId="77777777" w:rsidR="0056738E" w:rsidRPr="00F012C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val="el-GR" w:eastAsia="en-US"/>
              </w:rPr>
            </w:pPr>
            <w:r>
              <w:rPr>
                <w:rFonts w:ascii="Arial" w:eastAsia="Batang" w:hAnsi="Arial" w:cs="Arial"/>
                <w:bCs/>
                <w:color w:val="262626"/>
                <w:sz w:val="18"/>
                <w:szCs w:val="18"/>
                <w:lang w:eastAsia="en-US"/>
              </w:rPr>
              <w:t>66,618</w:t>
            </w:r>
          </w:p>
        </w:tc>
        <w:tc>
          <w:tcPr>
            <w:tcW w:w="1188" w:type="dxa"/>
            <w:tcBorders>
              <w:top w:val="nil"/>
              <w:left w:val="nil"/>
              <w:bottom w:val="single" w:sz="8" w:space="0" w:color="C0C0C0"/>
              <w:right w:val="single" w:sz="8" w:space="0" w:color="C0C0C0"/>
            </w:tcBorders>
            <w:shd w:val="clear" w:color="auto" w:fill="auto"/>
            <w:vAlign w:val="center"/>
          </w:tcPr>
          <w:p w14:paraId="4E47DB78" w14:textId="77777777" w:rsidR="0056738E" w:rsidRPr="000636C6"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10,120,909</w:t>
            </w:r>
          </w:p>
        </w:tc>
      </w:tr>
      <w:tr w:rsidR="0056738E" w:rsidRPr="009F7AC3" w14:paraId="330677CF" w14:textId="77777777" w:rsidTr="007C2AEE">
        <w:trPr>
          <w:trHeight w:val="255"/>
          <w:jc w:val="center"/>
        </w:trPr>
        <w:tc>
          <w:tcPr>
            <w:tcW w:w="4179" w:type="dxa"/>
            <w:shd w:val="clear" w:color="auto" w:fill="auto"/>
            <w:vAlign w:val="center"/>
          </w:tcPr>
          <w:p w14:paraId="7386EB48" w14:textId="77777777" w:rsidR="0056738E" w:rsidRPr="009A6478" w:rsidRDefault="0056738E" w:rsidP="007C2AEE">
            <w:pPr>
              <w:numPr>
                <w:ilvl w:val="12"/>
                <w:numId w:val="0"/>
              </w:numPr>
              <w:shd w:val="clear" w:color="auto" w:fill="FFFFFF"/>
              <w:tabs>
                <w:tab w:val="left" w:pos="284"/>
              </w:tabs>
              <w:spacing w:after="0" w:line="240" w:lineRule="auto"/>
              <w:jc w:val="both"/>
              <w:rPr>
                <w:rFonts w:ascii="Arial" w:eastAsia="Batang" w:hAnsi="Arial" w:cs="Arial"/>
                <w:sz w:val="18"/>
                <w:szCs w:val="18"/>
                <w:lang w:val="el-GR" w:eastAsia="el-GR"/>
              </w:rPr>
            </w:pPr>
            <w:r>
              <w:rPr>
                <w:rFonts w:ascii="Arial" w:eastAsia="Batang" w:hAnsi="Arial" w:cs="Arial"/>
                <w:sz w:val="18"/>
                <w:szCs w:val="18"/>
                <w:lang w:val="el-GR" w:eastAsia="el-GR"/>
              </w:rPr>
              <w:t>Εναπομένουσα αναπροσαρμογή στην εύλογη αξία κατά την αρχική αναγνώριση</w:t>
            </w:r>
          </w:p>
        </w:tc>
        <w:tc>
          <w:tcPr>
            <w:tcW w:w="1131" w:type="dxa"/>
            <w:tcBorders>
              <w:top w:val="single" w:sz="8" w:space="0" w:color="C0C0C0"/>
              <w:left w:val="nil"/>
              <w:bottom w:val="single" w:sz="6" w:space="0" w:color="000000" w:themeColor="text1"/>
              <w:right w:val="single" w:sz="8" w:space="0" w:color="C0C0C0"/>
            </w:tcBorders>
            <w:shd w:val="clear" w:color="auto" w:fill="auto"/>
            <w:vAlign w:val="center"/>
          </w:tcPr>
          <w:p w14:paraId="19FD2EC2" w14:textId="77777777" w:rsidR="0056738E" w:rsidRPr="00F012CB"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r>
              <w:rPr>
                <w:rFonts w:ascii="Arial" w:eastAsia="Batang" w:hAnsi="Arial" w:cs="Arial"/>
                <w:bCs/>
                <w:sz w:val="18"/>
                <w:szCs w:val="18"/>
                <w:lang w:eastAsia="en-US"/>
              </w:rPr>
              <w:t>(51,151)</w:t>
            </w:r>
          </w:p>
        </w:tc>
        <w:tc>
          <w:tcPr>
            <w:tcW w:w="1131" w:type="dxa"/>
            <w:tcBorders>
              <w:top w:val="single" w:sz="8" w:space="0" w:color="C0C0C0"/>
              <w:left w:val="nil"/>
              <w:bottom w:val="single" w:sz="6" w:space="0" w:color="000000" w:themeColor="text1"/>
              <w:right w:val="single" w:sz="8" w:space="0" w:color="C0C0C0"/>
            </w:tcBorders>
            <w:shd w:val="clear" w:color="auto" w:fill="auto"/>
            <w:vAlign w:val="center"/>
          </w:tcPr>
          <w:p w14:paraId="20F776DC" w14:textId="77777777" w:rsidR="0056738E" w:rsidRPr="00F012CB"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r>
              <w:rPr>
                <w:rFonts w:ascii="Arial" w:eastAsia="Batang" w:hAnsi="Arial" w:cs="Arial"/>
                <w:bCs/>
                <w:sz w:val="18"/>
                <w:szCs w:val="18"/>
                <w:lang w:eastAsia="en-US"/>
              </w:rPr>
              <w:t>(12,379)</w:t>
            </w:r>
          </w:p>
        </w:tc>
        <w:tc>
          <w:tcPr>
            <w:tcW w:w="1067" w:type="dxa"/>
            <w:tcBorders>
              <w:top w:val="single" w:sz="8" w:space="0" w:color="C0C0C0"/>
              <w:left w:val="nil"/>
              <w:bottom w:val="single" w:sz="6" w:space="0" w:color="000000" w:themeColor="text1"/>
              <w:right w:val="single" w:sz="8" w:space="0" w:color="C0C0C0"/>
            </w:tcBorders>
            <w:shd w:val="clear" w:color="auto" w:fill="auto"/>
            <w:vAlign w:val="center"/>
          </w:tcPr>
          <w:p w14:paraId="50979A1B" w14:textId="77777777" w:rsidR="0056738E" w:rsidRPr="00F012CB"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r>
              <w:rPr>
                <w:rFonts w:ascii="Arial" w:eastAsia="Batang" w:hAnsi="Arial" w:cs="Arial"/>
                <w:bCs/>
                <w:sz w:val="18"/>
                <w:szCs w:val="18"/>
                <w:lang w:eastAsia="en-US"/>
              </w:rPr>
              <w:t>2,227</w:t>
            </w:r>
          </w:p>
        </w:tc>
        <w:tc>
          <w:tcPr>
            <w:tcW w:w="1364" w:type="dxa"/>
            <w:tcBorders>
              <w:top w:val="single" w:sz="8" w:space="0" w:color="C0C0C0"/>
              <w:left w:val="nil"/>
              <w:bottom w:val="single" w:sz="6" w:space="0" w:color="000000" w:themeColor="text1"/>
              <w:right w:val="single" w:sz="8" w:space="0" w:color="C0C0C0"/>
            </w:tcBorders>
            <w:shd w:val="clear" w:color="auto" w:fill="auto"/>
            <w:vAlign w:val="center"/>
          </w:tcPr>
          <w:p w14:paraId="62FFE2E3" w14:textId="77777777" w:rsidR="0056738E" w:rsidRPr="00F012CB"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r>
              <w:rPr>
                <w:rFonts w:ascii="Arial" w:eastAsia="Batang" w:hAnsi="Arial" w:cs="Arial"/>
                <w:bCs/>
                <w:sz w:val="18"/>
                <w:szCs w:val="18"/>
                <w:lang w:eastAsia="en-US"/>
              </w:rPr>
              <w:t>(1,474)</w:t>
            </w:r>
          </w:p>
        </w:tc>
        <w:tc>
          <w:tcPr>
            <w:tcW w:w="1188" w:type="dxa"/>
            <w:tcBorders>
              <w:top w:val="single" w:sz="8" w:space="0" w:color="C0C0C0"/>
              <w:left w:val="nil"/>
              <w:bottom w:val="single" w:sz="6" w:space="0" w:color="000000" w:themeColor="text1"/>
              <w:right w:val="single" w:sz="8" w:space="0" w:color="C0C0C0"/>
            </w:tcBorders>
            <w:shd w:val="clear" w:color="auto" w:fill="auto"/>
            <w:vAlign w:val="center"/>
          </w:tcPr>
          <w:p w14:paraId="0DAFF995" w14:textId="77777777" w:rsidR="0056738E" w:rsidRPr="00F012CB"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sz w:val="18"/>
                <w:szCs w:val="18"/>
                <w:lang w:val="el-GR" w:eastAsia="en-US"/>
              </w:rPr>
            </w:pPr>
            <w:r>
              <w:rPr>
                <w:rFonts w:ascii="Arial" w:eastAsia="Batang" w:hAnsi="Arial" w:cs="Arial"/>
                <w:b/>
                <w:bCs/>
                <w:sz w:val="18"/>
                <w:szCs w:val="18"/>
                <w:lang w:eastAsia="en-US"/>
              </w:rPr>
              <w:t>(62,777)</w:t>
            </w:r>
          </w:p>
        </w:tc>
      </w:tr>
      <w:tr w:rsidR="0056738E" w:rsidRPr="009F7AC3" w14:paraId="6681000A" w14:textId="77777777" w:rsidTr="007C2AEE">
        <w:trPr>
          <w:trHeight w:val="255"/>
          <w:jc w:val="center"/>
        </w:trPr>
        <w:tc>
          <w:tcPr>
            <w:tcW w:w="4179" w:type="dxa"/>
            <w:shd w:val="clear" w:color="auto" w:fill="FFFFFF"/>
            <w:vAlign w:val="center"/>
          </w:tcPr>
          <w:p w14:paraId="1A2F2043" w14:textId="77777777" w:rsidR="0056738E" w:rsidRPr="009A6478" w:rsidRDefault="0056738E" w:rsidP="007C2AEE">
            <w:pPr>
              <w:shd w:val="clear" w:color="auto" w:fill="FFFFFF"/>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both"/>
              <w:rPr>
                <w:rFonts w:ascii="Arial" w:eastAsia="Batang" w:hAnsi="Arial" w:cs="Arial"/>
                <w:b/>
                <w:color w:val="262626"/>
                <w:sz w:val="18"/>
                <w:szCs w:val="18"/>
                <w:lang w:val="el-GR" w:eastAsia="en-US"/>
              </w:rPr>
            </w:pPr>
            <w:r>
              <w:rPr>
                <w:rFonts w:ascii="Arial" w:eastAsia="Batang" w:hAnsi="Arial" w:cs="Arial"/>
                <w:b/>
                <w:color w:val="262626"/>
                <w:sz w:val="18"/>
                <w:szCs w:val="18"/>
                <w:lang w:val="el-GR" w:eastAsia="en-US"/>
              </w:rPr>
              <w:t>Μεικτά δάνεια σε αποσβεσμένο κόστος</w:t>
            </w:r>
          </w:p>
        </w:tc>
        <w:tc>
          <w:tcPr>
            <w:tcW w:w="1131" w:type="dxa"/>
            <w:tcBorders>
              <w:top w:val="single" w:sz="6" w:space="0" w:color="000000" w:themeColor="text1"/>
              <w:left w:val="nil"/>
              <w:bottom w:val="double" w:sz="6" w:space="0" w:color="000000"/>
              <w:right w:val="single" w:sz="8" w:space="0" w:color="C0C0C0"/>
            </w:tcBorders>
            <w:shd w:val="clear" w:color="auto" w:fill="auto"/>
            <w:vAlign w:val="center"/>
          </w:tcPr>
          <w:p w14:paraId="1CF55893" w14:textId="77777777" w:rsidR="0056738E" w:rsidRPr="00F012C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8,900,893</w:t>
            </w:r>
          </w:p>
        </w:tc>
        <w:tc>
          <w:tcPr>
            <w:tcW w:w="1131" w:type="dxa"/>
            <w:tcBorders>
              <w:top w:val="single" w:sz="6" w:space="0" w:color="000000" w:themeColor="text1"/>
              <w:left w:val="nil"/>
              <w:bottom w:val="double" w:sz="6" w:space="0" w:color="000000"/>
              <w:right w:val="single" w:sz="8" w:space="0" w:color="C0C0C0"/>
            </w:tcBorders>
            <w:shd w:val="clear" w:color="auto" w:fill="auto"/>
            <w:vAlign w:val="center"/>
          </w:tcPr>
          <w:p w14:paraId="0B53B5A7" w14:textId="77777777" w:rsidR="0056738E" w:rsidRPr="00F012C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881,376</w:t>
            </w:r>
          </w:p>
        </w:tc>
        <w:tc>
          <w:tcPr>
            <w:tcW w:w="1067" w:type="dxa"/>
            <w:tcBorders>
              <w:top w:val="single" w:sz="6" w:space="0" w:color="000000" w:themeColor="text1"/>
              <w:left w:val="nil"/>
              <w:bottom w:val="double" w:sz="6" w:space="0" w:color="000000"/>
              <w:right w:val="single" w:sz="8" w:space="0" w:color="C0C0C0"/>
            </w:tcBorders>
            <w:shd w:val="clear" w:color="auto" w:fill="auto"/>
            <w:vAlign w:val="center"/>
          </w:tcPr>
          <w:p w14:paraId="256C8EA1" w14:textId="77777777" w:rsidR="0056738E" w:rsidRPr="00F012C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210,719</w:t>
            </w:r>
          </w:p>
        </w:tc>
        <w:tc>
          <w:tcPr>
            <w:tcW w:w="1364" w:type="dxa"/>
            <w:tcBorders>
              <w:top w:val="single" w:sz="6" w:space="0" w:color="000000" w:themeColor="text1"/>
              <w:left w:val="nil"/>
              <w:bottom w:val="double" w:sz="6" w:space="0" w:color="000000"/>
              <w:right w:val="single" w:sz="8" w:space="0" w:color="C0C0C0"/>
            </w:tcBorders>
            <w:shd w:val="clear" w:color="auto" w:fill="auto"/>
            <w:vAlign w:val="center"/>
          </w:tcPr>
          <w:p w14:paraId="50A86A7D" w14:textId="77777777" w:rsidR="0056738E" w:rsidRPr="00F012C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65,144</w:t>
            </w:r>
          </w:p>
        </w:tc>
        <w:tc>
          <w:tcPr>
            <w:tcW w:w="1188" w:type="dxa"/>
            <w:tcBorders>
              <w:top w:val="single" w:sz="6" w:space="0" w:color="000000" w:themeColor="text1"/>
              <w:left w:val="nil"/>
              <w:bottom w:val="double" w:sz="6" w:space="0" w:color="auto"/>
              <w:right w:val="single" w:sz="8" w:space="0" w:color="C0C0C0"/>
            </w:tcBorders>
            <w:shd w:val="clear" w:color="auto" w:fill="auto"/>
            <w:vAlign w:val="center"/>
          </w:tcPr>
          <w:p w14:paraId="680A197F" w14:textId="77777777" w:rsidR="0056738E" w:rsidRPr="00F012C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10,058,132</w:t>
            </w:r>
          </w:p>
        </w:tc>
      </w:tr>
      <w:tr w:rsidR="0056738E" w:rsidRPr="009F7AC3" w14:paraId="79F2D420" w14:textId="77777777" w:rsidTr="007C2AEE">
        <w:trPr>
          <w:trHeight w:val="283"/>
          <w:jc w:val="center"/>
        </w:trPr>
        <w:tc>
          <w:tcPr>
            <w:tcW w:w="4179" w:type="dxa"/>
            <w:tcBorders>
              <w:left w:val="nil"/>
              <w:bottom w:val="nil"/>
              <w:right w:val="nil"/>
            </w:tcBorders>
            <w:shd w:val="clear" w:color="auto" w:fill="FFFFFF"/>
            <w:vAlign w:val="center"/>
          </w:tcPr>
          <w:p w14:paraId="7DEB76D7" w14:textId="77777777" w:rsidR="0056738E" w:rsidRDefault="0056738E" w:rsidP="007C2AEE">
            <w:pPr>
              <w:shd w:val="clear" w:color="auto" w:fill="FFFFFF"/>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both"/>
              <w:rPr>
                <w:rFonts w:ascii="Arial" w:eastAsia="Batang" w:hAnsi="Arial" w:cs="Arial"/>
                <w:b/>
                <w:color w:val="262626"/>
                <w:sz w:val="18"/>
                <w:szCs w:val="18"/>
                <w:lang w:val="el-GR" w:eastAsia="en-US"/>
              </w:rPr>
            </w:pPr>
          </w:p>
        </w:tc>
        <w:tc>
          <w:tcPr>
            <w:tcW w:w="1131" w:type="dxa"/>
            <w:tcBorders>
              <w:top w:val="double" w:sz="6" w:space="0" w:color="auto"/>
              <w:left w:val="nil"/>
              <w:bottom w:val="nil"/>
              <w:right w:val="nil"/>
            </w:tcBorders>
            <w:shd w:val="clear" w:color="auto" w:fill="auto"/>
            <w:vAlign w:val="center"/>
          </w:tcPr>
          <w:p w14:paraId="4D3B15EF" w14:textId="77777777" w:rsidR="0056738E" w:rsidRPr="00A03828" w:rsidDel="00264973"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p>
        </w:tc>
        <w:tc>
          <w:tcPr>
            <w:tcW w:w="1131" w:type="dxa"/>
            <w:tcBorders>
              <w:top w:val="double" w:sz="6" w:space="0" w:color="auto"/>
              <w:left w:val="nil"/>
              <w:bottom w:val="nil"/>
              <w:right w:val="nil"/>
            </w:tcBorders>
            <w:shd w:val="clear" w:color="auto" w:fill="auto"/>
            <w:vAlign w:val="center"/>
          </w:tcPr>
          <w:p w14:paraId="6EC5472A" w14:textId="77777777" w:rsidR="0056738E" w:rsidRPr="00A03828" w:rsidDel="00264973"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p>
        </w:tc>
        <w:tc>
          <w:tcPr>
            <w:tcW w:w="1067" w:type="dxa"/>
            <w:tcBorders>
              <w:top w:val="double" w:sz="6" w:space="0" w:color="auto"/>
              <w:left w:val="nil"/>
              <w:bottom w:val="nil"/>
              <w:right w:val="nil"/>
            </w:tcBorders>
            <w:shd w:val="clear" w:color="auto" w:fill="auto"/>
            <w:vAlign w:val="center"/>
          </w:tcPr>
          <w:p w14:paraId="21481231" w14:textId="77777777" w:rsidR="0056738E" w:rsidRPr="00A03828" w:rsidDel="00264973"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p>
        </w:tc>
        <w:tc>
          <w:tcPr>
            <w:tcW w:w="1364" w:type="dxa"/>
            <w:tcBorders>
              <w:top w:val="double" w:sz="6" w:space="0" w:color="auto"/>
              <w:left w:val="nil"/>
              <w:bottom w:val="nil"/>
              <w:right w:val="nil"/>
            </w:tcBorders>
            <w:shd w:val="clear" w:color="auto" w:fill="auto"/>
            <w:vAlign w:val="center"/>
          </w:tcPr>
          <w:p w14:paraId="64EEA60F" w14:textId="77777777" w:rsidR="0056738E" w:rsidRPr="00A03828" w:rsidDel="00264973"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p>
        </w:tc>
        <w:tc>
          <w:tcPr>
            <w:tcW w:w="1188" w:type="dxa"/>
            <w:tcBorders>
              <w:top w:val="double" w:sz="6" w:space="0" w:color="auto"/>
              <w:left w:val="nil"/>
              <w:bottom w:val="nil"/>
              <w:right w:val="nil"/>
            </w:tcBorders>
            <w:shd w:val="clear" w:color="auto" w:fill="auto"/>
            <w:vAlign w:val="center"/>
          </w:tcPr>
          <w:p w14:paraId="3265797F" w14:textId="77777777" w:rsidR="0056738E" w:rsidRPr="00A03828" w:rsidDel="00264973"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p>
        </w:tc>
      </w:tr>
      <w:tr w:rsidR="0056738E" w:rsidRPr="00CE4F43" w14:paraId="32AD0E3E" w14:textId="77777777" w:rsidTr="007C2AEE">
        <w:trPr>
          <w:trHeight w:val="283"/>
          <w:jc w:val="center"/>
        </w:trPr>
        <w:tc>
          <w:tcPr>
            <w:tcW w:w="4179" w:type="dxa"/>
            <w:vMerge w:val="restart"/>
            <w:vAlign w:val="center"/>
          </w:tcPr>
          <w:p w14:paraId="73C0CB67" w14:textId="77777777" w:rsidR="0056738E" w:rsidRPr="005E3387" w:rsidRDefault="0056738E" w:rsidP="007C2AEE">
            <w:pPr>
              <w:shd w:val="clear" w:color="auto" w:fill="FFFFFF"/>
              <w:spacing w:after="0" w:line="240" w:lineRule="auto"/>
              <w:jc w:val="both"/>
              <w:rPr>
                <w:rFonts w:ascii="Arial" w:eastAsia="Batang" w:hAnsi="Arial" w:cs="Arial"/>
                <w:b/>
                <w:bCs/>
                <w:color w:val="262626"/>
                <w:sz w:val="18"/>
                <w:szCs w:val="18"/>
                <w:lang w:val="el-GR" w:eastAsia="en-US"/>
              </w:rPr>
            </w:pPr>
            <w:r>
              <w:rPr>
                <w:rFonts w:ascii="Arial" w:eastAsia="Batang" w:hAnsi="Arial" w:cs="Arial"/>
                <w:b/>
                <w:color w:val="262626"/>
                <w:sz w:val="18"/>
                <w:szCs w:val="18"/>
                <w:lang w:val="el-GR" w:eastAsia="en-US"/>
              </w:rPr>
              <w:t>31 Δεκεμβρίου</w:t>
            </w:r>
            <w:r>
              <w:rPr>
                <w:rFonts w:ascii="Arial" w:eastAsia="Batang" w:hAnsi="Arial" w:cs="Arial"/>
                <w:b/>
                <w:color w:val="262626"/>
                <w:sz w:val="18"/>
                <w:szCs w:val="18"/>
                <w:lang w:eastAsia="en-US"/>
              </w:rPr>
              <w:t xml:space="preserve"> 202</w:t>
            </w:r>
            <w:r>
              <w:rPr>
                <w:rFonts w:ascii="Arial" w:eastAsia="Batang" w:hAnsi="Arial" w:cs="Arial"/>
                <w:b/>
                <w:color w:val="262626"/>
                <w:sz w:val="18"/>
                <w:szCs w:val="18"/>
                <w:lang w:val="el-GR" w:eastAsia="en-US"/>
              </w:rPr>
              <w:t>3</w:t>
            </w:r>
          </w:p>
        </w:tc>
        <w:tc>
          <w:tcPr>
            <w:tcW w:w="1131" w:type="dxa"/>
            <w:shd w:val="clear" w:color="auto" w:fill="auto"/>
            <w:vAlign w:val="center"/>
          </w:tcPr>
          <w:p w14:paraId="46483151" w14:textId="77777777" w:rsidR="0056738E" w:rsidRPr="0036074B"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Cs/>
                <w:color w:val="262626"/>
                <w:sz w:val="18"/>
                <w:szCs w:val="18"/>
                <w:lang w:eastAsia="en-US"/>
              </w:rPr>
            </w:pPr>
            <w:r>
              <w:rPr>
                <w:rFonts w:ascii="Arial" w:hAnsi="Arial" w:cs="Arial"/>
                <w:color w:val="262626"/>
                <w:sz w:val="18"/>
                <w:szCs w:val="18"/>
                <w:lang w:val="el-GR"/>
              </w:rPr>
              <w:t>Στάδιο</w:t>
            </w:r>
            <w:r w:rsidRPr="00667349">
              <w:rPr>
                <w:rFonts w:ascii="Arial" w:hAnsi="Arial" w:cs="Arial"/>
                <w:color w:val="262626"/>
                <w:sz w:val="18"/>
                <w:szCs w:val="18"/>
              </w:rPr>
              <w:t>1</w:t>
            </w:r>
          </w:p>
        </w:tc>
        <w:tc>
          <w:tcPr>
            <w:tcW w:w="1131" w:type="dxa"/>
            <w:shd w:val="clear" w:color="auto" w:fill="auto"/>
            <w:vAlign w:val="center"/>
          </w:tcPr>
          <w:p w14:paraId="5A98D6DA" w14:textId="77777777" w:rsidR="0056738E" w:rsidRPr="0036074B"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Cs/>
                <w:color w:val="262626"/>
                <w:sz w:val="18"/>
                <w:szCs w:val="18"/>
                <w:lang w:eastAsia="en-US"/>
              </w:rPr>
            </w:pPr>
            <w:r>
              <w:rPr>
                <w:rFonts w:ascii="Arial" w:hAnsi="Arial" w:cs="Arial"/>
                <w:color w:val="262626"/>
                <w:sz w:val="18"/>
                <w:szCs w:val="18"/>
                <w:lang w:val="el-GR"/>
              </w:rPr>
              <w:t>Στάδιο</w:t>
            </w:r>
            <w:r w:rsidRPr="00667349">
              <w:rPr>
                <w:rFonts w:ascii="Arial" w:hAnsi="Arial" w:cs="Arial"/>
                <w:color w:val="262626"/>
                <w:sz w:val="18"/>
                <w:szCs w:val="18"/>
              </w:rPr>
              <w:t xml:space="preserve"> 2</w:t>
            </w:r>
          </w:p>
        </w:tc>
        <w:tc>
          <w:tcPr>
            <w:tcW w:w="1067" w:type="dxa"/>
            <w:shd w:val="clear" w:color="auto" w:fill="auto"/>
            <w:vAlign w:val="center"/>
          </w:tcPr>
          <w:p w14:paraId="34774EA6" w14:textId="77777777" w:rsidR="0056738E" w:rsidRPr="0036074B"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Cs/>
                <w:color w:val="262626"/>
                <w:sz w:val="18"/>
                <w:szCs w:val="18"/>
                <w:lang w:eastAsia="en-US"/>
              </w:rPr>
            </w:pPr>
            <w:r>
              <w:rPr>
                <w:rFonts w:ascii="Arial" w:hAnsi="Arial" w:cs="Arial"/>
                <w:color w:val="262626"/>
                <w:sz w:val="18"/>
                <w:szCs w:val="18"/>
                <w:lang w:val="el-GR"/>
              </w:rPr>
              <w:t>Στάδιο</w:t>
            </w:r>
            <w:r w:rsidRPr="00667349">
              <w:rPr>
                <w:rFonts w:ascii="Arial" w:hAnsi="Arial" w:cs="Arial"/>
                <w:color w:val="262626"/>
                <w:sz w:val="18"/>
                <w:szCs w:val="18"/>
              </w:rPr>
              <w:t xml:space="preserve"> 3</w:t>
            </w:r>
          </w:p>
        </w:tc>
        <w:tc>
          <w:tcPr>
            <w:tcW w:w="1364" w:type="dxa"/>
            <w:shd w:val="clear" w:color="auto" w:fill="auto"/>
            <w:vAlign w:val="center"/>
          </w:tcPr>
          <w:p w14:paraId="60110DE5" w14:textId="77777777" w:rsidR="0056738E" w:rsidRDefault="0056738E" w:rsidP="007C2AEE">
            <w:pPr>
              <w:shd w:val="clear" w:color="auto" w:fill="FFFFFF"/>
              <w:tabs>
                <w:tab w:val="right" w:pos="7560"/>
                <w:tab w:val="right" w:pos="9000"/>
              </w:tabs>
              <w:suppressAutoHyphens/>
              <w:spacing w:after="0" w:line="240" w:lineRule="auto"/>
              <w:ind w:left="-114"/>
              <w:jc w:val="center"/>
              <w:rPr>
                <w:rFonts w:ascii="Arial" w:hAnsi="Arial" w:cs="Arial"/>
                <w:color w:val="262626"/>
                <w:sz w:val="18"/>
                <w:szCs w:val="18"/>
                <w:lang w:val="el-GR"/>
              </w:rPr>
            </w:pPr>
            <w:proofErr w:type="spellStart"/>
            <w:r>
              <w:rPr>
                <w:rFonts w:ascii="Arial" w:hAnsi="Arial" w:cs="Arial"/>
                <w:color w:val="262626"/>
                <w:sz w:val="18"/>
                <w:szCs w:val="18"/>
                <w:lang w:val="el-GR"/>
              </w:rPr>
              <w:t>Απομειωμένα</w:t>
            </w:r>
            <w:proofErr w:type="spellEnd"/>
            <w:r>
              <w:rPr>
                <w:rFonts w:ascii="Arial" w:hAnsi="Arial" w:cs="Arial"/>
                <w:color w:val="262626"/>
                <w:sz w:val="18"/>
                <w:szCs w:val="18"/>
                <w:lang w:val="el-GR"/>
              </w:rPr>
              <w:t xml:space="preserve"> κατά την </w:t>
            </w:r>
          </w:p>
          <w:p w14:paraId="094EF0FF" w14:textId="77777777" w:rsidR="0056738E" w:rsidRPr="00F012CB" w:rsidRDefault="0056738E" w:rsidP="007C2AEE">
            <w:pPr>
              <w:shd w:val="clear" w:color="auto" w:fill="FFFFFF"/>
              <w:tabs>
                <w:tab w:val="right" w:pos="7560"/>
                <w:tab w:val="right" w:pos="9000"/>
              </w:tabs>
              <w:suppressAutoHyphens/>
              <w:spacing w:after="0" w:line="240" w:lineRule="auto"/>
              <w:ind w:left="-114"/>
              <w:jc w:val="center"/>
              <w:rPr>
                <w:rFonts w:ascii="Arial" w:eastAsia="Batang" w:hAnsi="Arial" w:cs="Arial"/>
                <w:bCs/>
                <w:color w:val="262626"/>
                <w:sz w:val="18"/>
                <w:szCs w:val="18"/>
                <w:lang w:val="el-GR" w:eastAsia="en-US"/>
              </w:rPr>
            </w:pPr>
            <w:r>
              <w:rPr>
                <w:rFonts w:ascii="Arial" w:hAnsi="Arial" w:cs="Arial"/>
                <w:color w:val="262626"/>
                <w:sz w:val="18"/>
                <w:szCs w:val="18"/>
                <w:lang w:val="el-GR"/>
              </w:rPr>
              <w:t>αρχική αναγνώριση (</w:t>
            </w:r>
            <w:r w:rsidRPr="00667349">
              <w:rPr>
                <w:rFonts w:ascii="Arial" w:hAnsi="Arial" w:cs="Arial"/>
                <w:color w:val="262626"/>
                <w:sz w:val="18"/>
                <w:szCs w:val="18"/>
              </w:rPr>
              <w:t>POCI</w:t>
            </w:r>
            <w:r>
              <w:rPr>
                <w:rFonts w:ascii="Arial" w:hAnsi="Arial" w:cs="Arial"/>
                <w:color w:val="262626"/>
                <w:sz w:val="18"/>
                <w:szCs w:val="18"/>
                <w:lang w:val="el-GR"/>
              </w:rPr>
              <w:t>)</w:t>
            </w:r>
          </w:p>
        </w:tc>
        <w:tc>
          <w:tcPr>
            <w:tcW w:w="1188" w:type="dxa"/>
            <w:shd w:val="clear" w:color="auto" w:fill="auto"/>
            <w:vAlign w:val="center"/>
          </w:tcPr>
          <w:p w14:paraId="34802235" w14:textId="77777777" w:rsidR="0056738E" w:rsidRPr="0036074B"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Pr>
                <w:rFonts w:ascii="Arial" w:hAnsi="Arial" w:cs="Arial"/>
                <w:b/>
                <w:color w:val="262626"/>
                <w:sz w:val="18"/>
                <w:szCs w:val="18"/>
                <w:lang w:val="el-GR"/>
              </w:rPr>
              <w:t>Σύνολο</w:t>
            </w:r>
          </w:p>
        </w:tc>
      </w:tr>
      <w:tr w:rsidR="0056738E" w:rsidRPr="00CE4F43" w14:paraId="66E99AD3" w14:textId="77777777" w:rsidTr="007C2AEE">
        <w:trPr>
          <w:trHeight w:val="255"/>
          <w:jc w:val="center"/>
        </w:trPr>
        <w:tc>
          <w:tcPr>
            <w:tcW w:w="4179" w:type="dxa"/>
            <w:vMerge/>
            <w:vAlign w:val="center"/>
          </w:tcPr>
          <w:p w14:paraId="340822D6" w14:textId="77777777" w:rsidR="0056738E" w:rsidRPr="0036074B" w:rsidRDefault="0056738E" w:rsidP="007C2AEE">
            <w:pPr>
              <w:numPr>
                <w:ilvl w:val="12"/>
                <w:numId w:val="0"/>
              </w:numPr>
              <w:shd w:val="clear" w:color="auto" w:fill="FFFFFF"/>
              <w:tabs>
                <w:tab w:val="left" w:pos="284"/>
              </w:tabs>
              <w:spacing w:after="0" w:line="240" w:lineRule="auto"/>
              <w:jc w:val="both"/>
              <w:rPr>
                <w:rFonts w:ascii="Arial" w:eastAsia="Batang" w:hAnsi="Arial" w:cs="Arial"/>
                <w:b/>
                <w:bCs/>
                <w:color w:val="262626"/>
                <w:sz w:val="18"/>
                <w:szCs w:val="18"/>
                <w:lang w:eastAsia="el-GR"/>
              </w:rPr>
            </w:pPr>
          </w:p>
        </w:tc>
        <w:tc>
          <w:tcPr>
            <w:tcW w:w="1131" w:type="dxa"/>
            <w:shd w:val="clear" w:color="auto" w:fill="auto"/>
            <w:vAlign w:val="center"/>
          </w:tcPr>
          <w:p w14:paraId="372D3C11" w14:textId="77777777" w:rsidR="0056738E" w:rsidRPr="0036074B"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36074B">
              <w:rPr>
                <w:rFonts w:ascii="Arial" w:eastAsia="Batang" w:hAnsi="Arial" w:cs="Arial"/>
                <w:bCs/>
                <w:color w:val="262626"/>
                <w:sz w:val="18"/>
                <w:szCs w:val="18"/>
                <w:lang w:eastAsia="en-US"/>
              </w:rPr>
              <w:t>€000</w:t>
            </w:r>
          </w:p>
        </w:tc>
        <w:tc>
          <w:tcPr>
            <w:tcW w:w="1131" w:type="dxa"/>
            <w:shd w:val="clear" w:color="auto" w:fill="auto"/>
            <w:vAlign w:val="center"/>
          </w:tcPr>
          <w:p w14:paraId="5D662739" w14:textId="77777777" w:rsidR="0056738E" w:rsidRPr="0036074B"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36074B">
              <w:rPr>
                <w:rFonts w:ascii="Arial" w:eastAsia="Batang" w:hAnsi="Arial" w:cs="Arial"/>
                <w:bCs/>
                <w:color w:val="262626"/>
                <w:sz w:val="18"/>
                <w:szCs w:val="18"/>
                <w:lang w:eastAsia="en-US"/>
              </w:rPr>
              <w:t>€000</w:t>
            </w:r>
          </w:p>
        </w:tc>
        <w:tc>
          <w:tcPr>
            <w:tcW w:w="1067" w:type="dxa"/>
            <w:shd w:val="clear" w:color="auto" w:fill="auto"/>
            <w:vAlign w:val="center"/>
          </w:tcPr>
          <w:p w14:paraId="32FBA7C0" w14:textId="77777777" w:rsidR="0056738E" w:rsidRPr="0036074B"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36074B">
              <w:rPr>
                <w:rFonts w:ascii="Arial" w:eastAsia="Batang" w:hAnsi="Arial" w:cs="Arial"/>
                <w:bCs/>
                <w:color w:val="262626"/>
                <w:sz w:val="18"/>
                <w:szCs w:val="18"/>
                <w:lang w:eastAsia="en-US"/>
              </w:rPr>
              <w:t>€000</w:t>
            </w:r>
          </w:p>
        </w:tc>
        <w:tc>
          <w:tcPr>
            <w:tcW w:w="1364" w:type="dxa"/>
            <w:shd w:val="clear" w:color="auto" w:fill="auto"/>
            <w:vAlign w:val="center"/>
          </w:tcPr>
          <w:p w14:paraId="7B5F35C1" w14:textId="77777777" w:rsidR="0056738E" w:rsidRPr="0036074B"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36074B">
              <w:rPr>
                <w:rFonts w:ascii="Arial" w:eastAsia="Batang" w:hAnsi="Arial" w:cs="Arial"/>
                <w:bCs/>
                <w:color w:val="262626"/>
                <w:sz w:val="18"/>
                <w:szCs w:val="18"/>
                <w:lang w:eastAsia="en-US"/>
              </w:rPr>
              <w:t>€000</w:t>
            </w:r>
          </w:p>
        </w:tc>
        <w:tc>
          <w:tcPr>
            <w:tcW w:w="1188" w:type="dxa"/>
            <w:shd w:val="clear" w:color="auto" w:fill="auto"/>
            <w:vAlign w:val="center"/>
          </w:tcPr>
          <w:p w14:paraId="0E9E387C" w14:textId="77777777" w:rsidR="0056738E" w:rsidRPr="0036074B" w:rsidRDefault="0056738E" w:rsidP="007C2AEE">
            <w:pPr>
              <w:shd w:val="clear" w:color="auto" w:fill="FFFFFF"/>
              <w:spacing w:after="0" w:line="240" w:lineRule="auto"/>
              <w:jc w:val="center"/>
              <w:rPr>
                <w:rFonts w:ascii="Arial" w:eastAsia="Batang" w:hAnsi="Arial" w:cs="Arial"/>
                <w:b/>
                <w:bCs/>
                <w:color w:val="262626"/>
                <w:sz w:val="18"/>
                <w:szCs w:val="18"/>
                <w:lang w:eastAsia="en-US"/>
              </w:rPr>
            </w:pPr>
            <w:r w:rsidRPr="0036074B">
              <w:rPr>
                <w:rFonts w:ascii="Arial" w:eastAsia="Batang" w:hAnsi="Arial" w:cs="Arial"/>
                <w:b/>
                <w:bCs/>
                <w:color w:val="262626"/>
                <w:sz w:val="18"/>
                <w:szCs w:val="18"/>
                <w:lang w:eastAsia="en-US"/>
              </w:rPr>
              <w:t>€000</w:t>
            </w:r>
          </w:p>
        </w:tc>
      </w:tr>
      <w:tr w:rsidR="0056738E" w:rsidRPr="00EA064F" w14:paraId="4242C622" w14:textId="77777777" w:rsidTr="007C2AEE">
        <w:trPr>
          <w:trHeight w:val="255"/>
          <w:jc w:val="center"/>
        </w:trPr>
        <w:tc>
          <w:tcPr>
            <w:tcW w:w="4179" w:type="dxa"/>
            <w:vAlign w:val="center"/>
          </w:tcPr>
          <w:p w14:paraId="2AE5902F" w14:textId="77777777" w:rsidR="0056738E" w:rsidRPr="00F012CB"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Pr>
                <w:rFonts w:ascii="Arial" w:eastAsia="Batang" w:hAnsi="Arial" w:cs="Arial"/>
                <w:color w:val="262626"/>
                <w:sz w:val="18"/>
                <w:szCs w:val="18"/>
                <w:lang w:val="el-GR" w:eastAsia="el-GR"/>
              </w:rPr>
              <w:t>Μεικτά δάνεια σε αποσβεσμένο κόστος πριν από την εναπομένουσα αναπροσαρμογή στην εύλογη αξία κατά την αρχική αναγνώριση</w:t>
            </w:r>
          </w:p>
        </w:tc>
        <w:tc>
          <w:tcPr>
            <w:tcW w:w="1131" w:type="dxa"/>
            <w:tcBorders>
              <w:bottom w:val="single" w:sz="4" w:space="0" w:color="C0C0C0"/>
            </w:tcBorders>
            <w:shd w:val="clear" w:color="auto" w:fill="auto"/>
            <w:vAlign w:val="center"/>
          </w:tcPr>
          <w:p w14:paraId="43D91465"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val="el-GR" w:eastAsia="en-US"/>
              </w:rPr>
            </w:pPr>
            <w:r>
              <w:rPr>
                <w:rFonts w:ascii="Arial" w:eastAsia="Batang" w:hAnsi="Arial" w:cs="Arial"/>
                <w:bCs/>
                <w:color w:val="262626"/>
                <w:sz w:val="18"/>
                <w:szCs w:val="18"/>
                <w:lang w:eastAsia="en-US"/>
              </w:rPr>
              <w:t>8,334,929</w:t>
            </w:r>
          </w:p>
        </w:tc>
        <w:tc>
          <w:tcPr>
            <w:tcW w:w="1131" w:type="dxa"/>
            <w:tcBorders>
              <w:bottom w:val="single" w:sz="4" w:space="0" w:color="C0C0C0"/>
            </w:tcBorders>
            <w:shd w:val="clear" w:color="auto" w:fill="auto"/>
            <w:vAlign w:val="center"/>
          </w:tcPr>
          <w:p w14:paraId="79F03ECE"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val="el-GR" w:eastAsia="en-US"/>
              </w:rPr>
            </w:pPr>
            <w:r>
              <w:rPr>
                <w:rFonts w:ascii="Arial" w:eastAsia="Batang" w:hAnsi="Arial" w:cs="Arial"/>
                <w:bCs/>
                <w:color w:val="262626"/>
                <w:sz w:val="18"/>
                <w:szCs w:val="18"/>
                <w:lang w:eastAsia="en-US"/>
              </w:rPr>
              <w:t>1,168,745</w:t>
            </w:r>
          </w:p>
        </w:tc>
        <w:tc>
          <w:tcPr>
            <w:tcW w:w="1067" w:type="dxa"/>
            <w:tcBorders>
              <w:bottom w:val="single" w:sz="4" w:space="0" w:color="C0C0C0"/>
            </w:tcBorders>
            <w:shd w:val="clear" w:color="auto" w:fill="auto"/>
            <w:vAlign w:val="center"/>
          </w:tcPr>
          <w:p w14:paraId="10A6560E"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val="el-GR" w:eastAsia="en-US"/>
              </w:rPr>
            </w:pPr>
            <w:r>
              <w:rPr>
                <w:rFonts w:ascii="Arial" w:eastAsia="Batang" w:hAnsi="Arial" w:cs="Arial"/>
                <w:bCs/>
                <w:color w:val="262626"/>
                <w:sz w:val="18"/>
                <w:szCs w:val="18"/>
                <w:lang w:eastAsia="en-US"/>
              </w:rPr>
              <w:t>328,177</w:t>
            </w:r>
          </w:p>
        </w:tc>
        <w:tc>
          <w:tcPr>
            <w:tcW w:w="1364" w:type="dxa"/>
            <w:tcBorders>
              <w:bottom w:val="single" w:sz="4" w:space="0" w:color="C0C0C0"/>
            </w:tcBorders>
            <w:shd w:val="clear" w:color="auto" w:fill="auto"/>
            <w:vAlign w:val="center"/>
          </w:tcPr>
          <w:p w14:paraId="58401C3E"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val="el-GR" w:eastAsia="en-US"/>
              </w:rPr>
            </w:pPr>
            <w:r>
              <w:rPr>
                <w:rFonts w:ascii="Arial" w:eastAsia="Batang" w:hAnsi="Arial" w:cs="Arial"/>
                <w:bCs/>
                <w:color w:val="262626"/>
                <w:sz w:val="18"/>
                <w:szCs w:val="18"/>
                <w:lang w:eastAsia="en-US"/>
              </w:rPr>
              <w:t>100,197</w:t>
            </w:r>
          </w:p>
        </w:tc>
        <w:tc>
          <w:tcPr>
            <w:tcW w:w="1188" w:type="dxa"/>
            <w:tcBorders>
              <w:bottom w:val="single" w:sz="4" w:space="0" w:color="C0C0C0"/>
            </w:tcBorders>
            <w:shd w:val="clear" w:color="auto" w:fill="auto"/>
            <w:vAlign w:val="center"/>
          </w:tcPr>
          <w:p w14:paraId="2E886977"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9,932,048</w:t>
            </w:r>
          </w:p>
        </w:tc>
      </w:tr>
      <w:tr w:rsidR="0056738E" w:rsidRPr="00EA064F" w14:paraId="4A797D2F" w14:textId="77777777" w:rsidTr="007C2AEE">
        <w:trPr>
          <w:trHeight w:val="255"/>
          <w:jc w:val="center"/>
        </w:trPr>
        <w:tc>
          <w:tcPr>
            <w:tcW w:w="4179" w:type="dxa"/>
            <w:shd w:val="clear" w:color="auto" w:fill="auto"/>
            <w:vAlign w:val="center"/>
          </w:tcPr>
          <w:p w14:paraId="16B7E045" w14:textId="77777777" w:rsidR="0056738E" w:rsidRPr="00F012CB" w:rsidRDefault="0056738E" w:rsidP="007C2AEE">
            <w:pPr>
              <w:numPr>
                <w:ilvl w:val="12"/>
                <w:numId w:val="0"/>
              </w:numPr>
              <w:shd w:val="clear" w:color="auto" w:fill="FFFFFF"/>
              <w:tabs>
                <w:tab w:val="left" w:pos="284"/>
              </w:tabs>
              <w:spacing w:after="0" w:line="240" w:lineRule="auto"/>
              <w:jc w:val="both"/>
              <w:rPr>
                <w:rFonts w:ascii="Arial" w:eastAsia="Batang" w:hAnsi="Arial" w:cs="Arial"/>
                <w:sz w:val="18"/>
                <w:szCs w:val="18"/>
                <w:lang w:val="el-GR" w:eastAsia="el-GR"/>
              </w:rPr>
            </w:pPr>
            <w:r>
              <w:rPr>
                <w:rFonts w:ascii="Arial" w:eastAsia="Batang" w:hAnsi="Arial" w:cs="Arial"/>
                <w:sz w:val="18"/>
                <w:szCs w:val="18"/>
                <w:lang w:val="el-GR" w:eastAsia="el-GR"/>
              </w:rPr>
              <w:t>Εναπομένουσα αναπροσαρμογή στην εύλογη αξία κατά την αρχική αναγνώριση</w:t>
            </w:r>
          </w:p>
        </w:tc>
        <w:tc>
          <w:tcPr>
            <w:tcW w:w="1131" w:type="dxa"/>
            <w:tcBorders>
              <w:bottom w:val="single" w:sz="6" w:space="0" w:color="000000" w:themeColor="text1"/>
            </w:tcBorders>
            <w:shd w:val="clear" w:color="auto" w:fill="auto"/>
            <w:vAlign w:val="center"/>
          </w:tcPr>
          <w:p w14:paraId="27236958" w14:textId="77777777" w:rsidR="0056738E" w:rsidRPr="00EA064F"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r>
              <w:rPr>
                <w:rFonts w:ascii="Arial" w:eastAsia="Batang" w:hAnsi="Arial" w:cs="Arial"/>
                <w:bCs/>
                <w:sz w:val="18"/>
                <w:szCs w:val="18"/>
                <w:lang w:eastAsia="en-US"/>
              </w:rPr>
              <w:t>(59,340)</w:t>
            </w:r>
          </w:p>
        </w:tc>
        <w:tc>
          <w:tcPr>
            <w:tcW w:w="1131" w:type="dxa"/>
            <w:tcBorders>
              <w:bottom w:val="single" w:sz="6" w:space="0" w:color="000000" w:themeColor="text1"/>
            </w:tcBorders>
            <w:shd w:val="clear" w:color="auto" w:fill="auto"/>
            <w:vAlign w:val="center"/>
          </w:tcPr>
          <w:p w14:paraId="148D2A3D" w14:textId="77777777" w:rsidR="0056738E" w:rsidRPr="00EA064F"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r>
              <w:rPr>
                <w:rFonts w:ascii="Arial" w:eastAsia="Batang" w:hAnsi="Arial" w:cs="Arial"/>
                <w:bCs/>
                <w:sz w:val="18"/>
                <w:szCs w:val="18"/>
                <w:lang w:eastAsia="en-US"/>
              </w:rPr>
              <w:t>(7,474)</w:t>
            </w:r>
          </w:p>
        </w:tc>
        <w:tc>
          <w:tcPr>
            <w:tcW w:w="1067" w:type="dxa"/>
            <w:tcBorders>
              <w:bottom w:val="single" w:sz="6" w:space="0" w:color="000000" w:themeColor="text1"/>
            </w:tcBorders>
            <w:shd w:val="clear" w:color="auto" w:fill="auto"/>
            <w:vAlign w:val="center"/>
          </w:tcPr>
          <w:p w14:paraId="069A34C4" w14:textId="77777777" w:rsidR="0056738E" w:rsidRPr="00EA064F"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r>
              <w:rPr>
                <w:rFonts w:ascii="Arial" w:eastAsia="Batang" w:hAnsi="Arial" w:cs="Arial"/>
                <w:bCs/>
                <w:sz w:val="18"/>
                <w:szCs w:val="18"/>
                <w:lang w:eastAsia="en-US"/>
              </w:rPr>
              <w:t>(1,294)</w:t>
            </w:r>
          </w:p>
        </w:tc>
        <w:tc>
          <w:tcPr>
            <w:tcW w:w="1364" w:type="dxa"/>
            <w:tcBorders>
              <w:bottom w:val="single" w:sz="6" w:space="0" w:color="000000" w:themeColor="text1"/>
            </w:tcBorders>
            <w:shd w:val="clear" w:color="auto" w:fill="auto"/>
            <w:vAlign w:val="center"/>
          </w:tcPr>
          <w:p w14:paraId="64E6E512" w14:textId="77777777" w:rsidR="0056738E" w:rsidRPr="00EA064F"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r>
              <w:rPr>
                <w:rFonts w:ascii="Arial" w:eastAsia="Batang" w:hAnsi="Arial" w:cs="Arial"/>
                <w:bCs/>
                <w:sz w:val="18"/>
                <w:szCs w:val="18"/>
                <w:lang w:eastAsia="en-US"/>
              </w:rPr>
              <w:t>(1,426)</w:t>
            </w:r>
          </w:p>
        </w:tc>
        <w:tc>
          <w:tcPr>
            <w:tcW w:w="1188" w:type="dxa"/>
            <w:tcBorders>
              <w:bottom w:val="single" w:sz="6" w:space="0" w:color="000000" w:themeColor="text1"/>
            </w:tcBorders>
            <w:shd w:val="clear" w:color="auto" w:fill="auto"/>
            <w:vAlign w:val="center"/>
          </w:tcPr>
          <w:p w14:paraId="08EEC147" w14:textId="77777777" w:rsidR="0056738E" w:rsidRPr="00EA064F"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sz w:val="18"/>
                <w:szCs w:val="18"/>
                <w:lang w:val="el-GR" w:eastAsia="en-US"/>
              </w:rPr>
            </w:pPr>
            <w:r>
              <w:rPr>
                <w:rFonts w:ascii="Arial" w:eastAsia="Batang" w:hAnsi="Arial" w:cs="Arial"/>
                <w:b/>
                <w:bCs/>
                <w:sz w:val="18"/>
                <w:szCs w:val="18"/>
                <w:lang w:val="en-US" w:eastAsia="en-US"/>
              </w:rPr>
              <w:t>(69,534)</w:t>
            </w:r>
          </w:p>
        </w:tc>
      </w:tr>
      <w:tr w:rsidR="0056738E" w:rsidRPr="00EA064F" w14:paraId="04917AEC" w14:textId="77777777" w:rsidTr="007C2AEE">
        <w:trPr>
          <w:trHeight w:val="255"/>
          <w:jc w:val="center"/>
        </w:trPr>
        <w:tc>
          <w:tcPr>
            <w:tcW w:w="4179" w:type="dxa"/>
            <w:shd w:val="clear" w:color="auto" w:fill="FFFFFF"/>
            <w:vAlign w:val="center"/>
          </w:tcPr>
          <w:p w14:paraId="31C45D5A" w14:textId="77777777" w:rsidR="0056738E" w:rsidRPr="00F012CB" w:rsidRDefault="0056738E" w:rsidP="007C2AEE">
            <w:pPr>
              <w:shd w:val="clear" w:color="auto" w:fill="FFFFFF"/>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both"/>
              <w:rPr>
                <w:rFonts w:ascii="Arial" w:eastAsia="Batang" w:hAnsi="Arial" w:cs="Arial"/>
                <w:color w:val="262626"/>
                <w:sz w:val="18"/>
                <w:szCs w:val="18"/>
                <w:lang w:val="el-GR" w:eastAsia="en-US"/>
              </w:rPr>
            </w:pPr>
            <w:r>
              <w:rPr>
                <w:rFonts w:ascii="Arial" w:eastAsia="Batang" w:hAnsi="Arial" w:cs="Arial"/>
                <w:b/>
                <w:color w:val="262626"/>
                <w:sz w:val="18"/>
                <w:szCs w:val="18"/>
                <w:lang w:val="el-GR" w:eastAsia="en-US"/>
              </w:rPr>
              <w:t>Μεικτά δάνεια σε αποσβεσμένο κόστος</w:t>
            </w:r>
          </w:p>
        </w:tc>
        <w:tc>
          <w:tcPr>
            <w:tcW w:w="1131" w:type="dxa"/>
            <w:tcBorders>
              <w:top w:val="single" w:sz="6" w:space="0" w:color="000000" w:themeColor="text1"/>
              <w:bottom w:val="double" w:sz="6" w:space="0" w:color="000000" w:themeColor="text1"/>
            </w:tcBorders>
            <w:shd w:val="clear" w:color="auto" w:fill="auto"/>
            <w:vAlign w:val="center"/>
          </w:tcPr>
          <w:p w14:paraId="553E010A"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8,275,589</w:t>
            </w:r>
          </w:p>
        </w:tc>
        <w:tc>
          <w:tcPr>
            <w:tcW w:w="1131" w:type="dxa"/>
            <w:tcBorders>
              <w:top w:val="single" w:sz="6" w:space="0" w:color="000000" w:themeColor="text1"/>
              <w:bottom w:val="double" w:sz="6" w:space="0" w:color="000000" w:themeColor="text1"/>
            </w:tcBorders>
            <w:shd w:val="clear" w:color="auto" w:fill="auto"/>
            <w:vAlign w:val="center"/>
          </w:tcPr>
          <w:p w14:paraId="46BAB114"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1,161,271</w:t>
            </w:r>
          </w:p>
        </w:tc>
        <w:tc>
          <w:tcPr>
            <w:tcW w:w="1067" w:type="dxa"/>
            <w:tcBorders>
              <w:top w:val="single" w:sz="6" w:space="0" w:color="000000" w:themeColor="text1"/>
              <w:bottom w:val="double" w:sz="6" w:space="0" w:color="000000" w:themeColor="text1"/>
            </w:tcBorders>
            <w:shd w:val="clear" w:color="auto" w:fill="auto"/>
            <w:vAlign w:val="center"/>
          </w:tcPr>
          <w:p w14:paraId="03281AF2"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326,883</w:t>
            </w:r>
          </w:p>
        </w:tc>
        <w:tc>
          <w:tcPr>
            <w:tcW w:w="1364" w:type="dxa"/>
            <w:tcBorders>
              <w:top w:val="single" w:sz="6" w:space="0" w:color="000000" w:themeColor="text1"/>
              <w:bottom w:val="double" w:sz="6" w:space="0" w:color="000000" w:themeColor="text1"/>
            </w:tcBorders>
            <w:shd w:val="clear" w:color="auto" w:fill="auto"/>
            <w:vAlign w:val="center"/>
          </w:tcPr>
          <w:p w14:paraId="349E5EC0"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98,771</w:t>
            </w:r>
          </w:p>
        </w:tc>
        <w:tc>
          <w:tcPr>
            <w:tcW w:w="1188" w:type="dxa"/>
            <w:tcBorders>
              <w:top w:val="single" w:sz="6" w:space="0" w:color="000000" w:themeColor="text1"/>
              <w:bottom w:val="double" w:sz="6" w:space="0" w:color="000000" w:themeColor="text1"/>
            </w:tcBorders>
            <w:shd w:val="clear" w:color="auto" w:fill="auto"/>
            <w:vAlign w:val="center"/>
          </w:tcPr>
          <w:p w14:paraId="3AA5C55E"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9,862,514</w:t>
            </w:r>
          </w:p>
        </w:tc>
      </w:tr>
    </w:tbl>
    <w:p w14:paraId="5C25660E" w14:textId="77777777" w:rsidR="0056738E" w:rsidRDefault="0056738E" w:rsidP="0056738E">
      <w:pPr>
        <w:spacing w:after="0" w:line="240" w:lineRule="auto"/>
        <w:rPr>
          <w:rFonts w:ascii="Arial" w:hAnsi="Arial" w:cs="Arial"/>
          <w:color w:val="262626"/>
          <w:sz w:val="18"/>
          <w:lang w:val="el-GR"/>
        </w:rPr>
      </w:pPr>
    </w:p>
    <w:p w14:paraId="21C91B60" w14:textId="77777777" w:rsidR="0056738E" w:rsidRPr="00053E32" w:rsidRDefault="0056738E" w:rsidP="0056738E">
      <w:pPr>
        <w:keepNext/>
        <w:tabs>
          <w:tab w:val="left" w:pos="0"/>
          <w:tab w:val="left" w:pos="720"/>
        </w:tabs>
        <w:suppressAutoHyphens/>
        <w:spacing w:after="120" w:line="240" w:lineRule="auto"/>
        <w:jc w:val="both"/>
        <w:outlineLvl w:val="0"/>
        <w:rPr>
          <w:rFonts w:ascii="Arial" w:hAnsi="Arial" w:cs="Arial"/>
          <w:color w:val="262626"/>
          <w:sz w:val="18"/>
          <w:lang w:val="el-GR"/>
        </w:rPr>
      </w:pPr>
      <w:r>
        <w:rPr>
          <w:rFonts w:ascii="Arial" w:hAnsi="Arial" w:cs="Arial"/>
          <w:color w:val="262626"/>
          <w:sz w:val="18"/>
          <w:lang w:val="el-GR"/>
        </w:rPr>
        <w:t>Οι πιο κάτω πίνακες παρουσιάζουν τα μεικτά δάνεια και απαιτήσεις από πελάτες</w:t>
      </w:r>
      <w:r>
        <w:rPr>
          <w:rFonts w:ascii="Arial" w:hAnsi="Arial" w:cs="Arial"/>
          <w:color w:val="262626"/>
          <w:sz w:val="18"/>
          <w:szCs w:val="18"/>
          <w:lang w:val="el-GR"/>
        </w:rPr>
        <w:t xml:space="preserve"> </w:t>
      </w:r>
      <w:r>
        <w:rPr>
          <w:rFonts w:ascii="Arial" w:hAnsi="Arial" w:cs="Arial"/>
          <w:color w:val="262626"/>
          <w:sz w:val="18"/>
          <w:lang w:val="el-GR"/>
        </w:rPr>
        <w:t xml:space="preserve">του Συγκροτήματος που επιμετρούνται </w:t>
      </w:r>
      <w:r w:rsidRPr="00FD79D8">
        <w:rPr>
          <w:rFonts w:ascii="Arial" w:hAnsi="Arial" w:cs="Arial"/>
          <w:color w:val="262626"/>
          <w:sz w:val="18"/>
          <w:lang w:val="el-GR"/>
        </w:rPr>
        <w:t>σε αποσβεσμένο κόστος</w:t>
      </w:r>
      <w:r>
        <w:rPr>
          <w:rFonts w:ascii="Arial" w:hAnsi="Arial" w:cs="Arial"/>
          <w:color w:val="262626"/>
          <w:sz w:val="18"/>
          <w:lang w:val="el-GR"/>
        </w:rPr>
        <w:t xml:space="preserve"> ανά στάδιο και</w:t>
      </w:r>
      <w:r w:rsidRPr="00FD79D8">
        <w:rPr>
          <w:rFonts w:ascii="Arial" w:hAnsi="Arial" w:cs="Arial"/>
          <w:color w:val="262626"/>
          <w:sz w:val="18"/>
          <w:lang w:val="el-GR"/>
        </w:rPr>
        <w:t xml:space="preserve"> ανά πελατειακό τομέα</w:t>
      </w:r>
      <w:r w:rsidRPr="00053E32">
        <w:rPr>
          <w:rFonts w:ascii="Arial" w:hAnsi="Arial" w:cs="Arial"/>
          <w:color w:val="262626"/>
          <w:sz w:val="18"/>
          <w:lang w:val="el-GR"/>
        </w:rPr>
        <w:t>:</w:t>
      </w:r>
    </w:p>
    <w:tbl>
      <w:tblPr>
        <w:tblW w:w="1003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195"/>
        <w:gridCol w:w="1134"/>
        <w:gridCol w:w="1134"/>
        <w:gridCol w:w="1134"/>
        <w:gridCol w:w="1304"/>
        <w:gridCol w:w="1134"/>
      </w:tblGrid>
      <w:tr w:rsidR="0056738E" w:rsidRPr="00295155" w14:paraId="63BA301B" w14:textId="77777777" w:rsidTr="007C2AEE">
        <w:trPr>
          <w:trHeight w:val="255"/>
          <w:jc w:val="center"/>
        </w:trPr>
        <w:tc>
          <w:tcPr>
            <w:tcW w:w="4195" w:type="dxa"/>
            <w:vAlign w:val="center"/>
          </w:tcPr>
          <w:p w14:paraId="3B2C081E" w14:textId="77777777" w:rsidR="0056738E" w:rsidRPr="00CC4715" w:rsidRDefault="0056738E" w:rsidP="007C2AEE">
            <w:pPr>
              <w:shd w:val="clear" w:color="auto" w:fill="FFFFFF"/>
              <w:spacing w:after="0" w:line="240" w:lineRule="auto"/>
              <w:jc w:val="both"/>
              <w:rPr>
                <w:rFonts w:ascii="Arial" w:eastAsia="Batang" w:hAnsi="Arial" w:cs="Arial"/>
                <w:b/>
                <w:bCs/>
                <w:color w:val="262626"/>
                <w:sz w:val="18"/>
                <w:szCs w:val="18"/>
                <w:lang w:val="el-GR" w:eastAsia="en-US"/>
              </w:rPr>
            </w:pPr>
            <w:r w:rsidRPr="006A365D">
              <w:rPr>
                <w:rFonts w:ascii="Arial" w:hAnsi="Arial" w:cs="Arial"/>
                <w:b/>
                <w:color w:val="262626"/>
                <w:sz w:val="18"/>
                <w:szCs w:val="18"/>
                <w:lang w:val="el-GR"/>
              </w:rPr>
              <w:t xml:space="preserve">30 Σεπτεμβρίου </w:t>
            </w:r>
            <w:r>
              <w:rPr>
                <w:rFonts w:ascii="Arial" w:hAnsi="Arial" w:cs="Arial"/>
                <w:b/>
                <w:color w:val="262626"/>
                <w:sz w:val="18"/>
                <w:szCs w:val="18"/>
                <w:lang w:val="el-GR"/>
              </w:rPr>
              <w:t>2024</w:t>
            </w:r>
          </w:p>
        </w:tc>
        <w:tc>
          <w:tcPr>
            <w:tcW w:w="1134" w:type="dxa"/>
            <w:shd w:val="clear" w:color="auto" w:fill="auto"/>
            <w:vAlign w:val="center"/>
          </w:tcPr>
          <w:p w14:paraId="2340435D" w14:textId="77777777" w:rsidR="0056738E" w:rsidRPr="00295155" w:rsidRDefault="0056738E" w:rsidP="007C2AEE">
            <w:pPr>
              <w:shd w:val="clear" w:color="auto" w:fill="FFFFFF"/>
              <w:spacing w:after="0" w:line="240" w:lineRule="auto"/>
              <w:jc w:val="center"/>
              <w:rPr>
                <w:rFonts w:ascii="Arial" w:eastAsia="Batang" w:hAnsi="Arial" w:cs="Arial"/>
                <w:color w:val="262626"/>
                <w:sz w:val="18"/>
                <w:szCs w:val="18"/>
                <w:lang w:eastAsia="en-US"/>
              </w:rPr>
            </w:pPr>
            <w:r w:rsidRPr="00295155">
              <w:rPr>
                <w:rFonts w:ascii="Arial" w:eastAsia="Batang" w:hAnsi="Arial" w:cs="Arial"/>
                <w:color w:val="262626"/>
                <w:sz w:val="18"/>
                <w:szCs w:val="18"/>
                <w:lang w:val="el-GR" w:eastAsia="el-GR"/>
              </w:rPr>
              <w:t>Στάδιο</w:t>
            </w:r>
            <w:r w:rsidRPr="00295155">
              <w:rPr>
                <w:rFonts w:ascii="Arial" w:eastAsia="Batang" w:hAnsi="Arial" w:cs="Arial"/>
                <w:color w:val="262626"/>
                <w:sz w:val="18"/>
                <w:szCs w:val="18"/>
                <w:lang w:eastAsia="en-US"/>
              </w:rPr>
              <w:t xml:space="preserve"> 1</w:t>
            </w:r>
          </w:p>
        </w:tc>
        <w:tc>
          <w:tcPr>
            <w:tcW w:w="1134" w:type="dxa"/>
            <w:shd w:val="clear" w:color="auto" w:fill="auto"/>
            <w:vAlign w:val="center"/>
          </w:tcPr>
          <w:p w14:paraId="7364FFCE" w14:textId="77777777" w:rsidR="0056738E" w:rsidRPr="00295155" w:rsidRDefault="0056738E" w:rsidP="007C2AEE">
            <w:pPr>
              <w:shd w:val="clear" w:color="auto" w:fill="FFFFFF"/>
              <w:spacing w:after="0" w:line="240" w:lineRule="auto"/>
              <w:jc w:val="center"/>
              <w:rPr>
                <w:rFonts w:ascii="Arial" w:eastAsia="Batang" w:hAnsi="Arial" w:cs="Arial"/>
                <w:color w:val="262626"/>
                <w:sz w:val="18"/>
                <w:szCs w:val="18"/>
                <w:lang w:eastAsia="en-US"/>
              </w:rPr>
            </w:pPr>
            <w:r w:rsidRPr="00295155">
              <w:rPr>
                <w:rFonts w:ascii="Arial" w:eastAsia="Batang" w:hAnsi="Arial" w:cs="Arial"/>
                <w:color w:val="262626"/>
                <w:sz w:val="18"/>
                <w:szCs w:val="18"/>
                <w:lang w:val="el-GR" w:eastAsia="el-GR"/>
              </w:rPr>
              <w:t>Στάδιο</w:t>
            </w:r>
            <w:r w:rsidRPr="00295155">
              <w:rPr>
                <w:rFonts w:ascii="Arial" w:eastAsia="Batang" w:hAnsi="Arial" w:cs="Arial"/>
                <w:color w:val="262626"/>
                <w:sz w:val="18"/>
                <w:szCs w:val="18"/>
                <w:lang w:eastAsia="en-US"/>
              </w:rPr>
              <w:t xml:space="preserve"> 2</w:t>
            </w:r>
          </w:p>
        </w:tc>
        <w:tc>
          <w:tcPr>
            <w:tcW w:w="1134" w:type="dxa"/>
            <w:shd w:val="clear" w:color="auto" w:fill="auto"/>
            <w:vAlign w:val="center"/>
          </w:tcPr>
          <w:p w14:paraId="04B66472" w14:textId="77777777" w:rsidR="0056738E" w:rsidRPr="00295155" w:rsidRDefault="0056738E" w:rsidP="007C2AEE">
            <w:pPr>
              <w:shd w:val="clear" w:color="auto" w:fill="FFFFFF"/>
              <w:spacing w:after="0" w:line="240" w:lineRule="auto"/>
              <w:jc w:val="center"/>
              <w:rPr>
                <w:rFonts w:ascii="Arial" w:eastAsia="Batang" w:hAnsi="Arial" w:cs="Arial"/>
                <w:color w:val="262626"/>
                <w:sz w:val="18"/>
                <w:szCs w:val="18"/>
                <w:lang w:eastAsia="en-US"/>
              </w:rPr>
            </w:pPr>
            <w:r w:rsidRPr="00295155">
              <w:rPr>
                <w:rFonts w:ascii="Arial" w:eastAsia="Batang" w:hAnsi="Arial" w:cs="Arial"/>
                <w:color w:val="262626"/>
                <w:sz w:val="18"/>
                <w:szCs w:val="18"/>
                <w:lang w:val="el-GR" w:eastAsia="el-GR"/>
              </w:rPr>
              <w:t>Στάδιο</w:t>
            </w:r>
            <w:r w:rsidRPr="00295155">
              <w:rPr>
                <w:rFonts w:ascii="Arial" w:eastAsia="Batang" w:hAnsi="Arial" w:cs="Arial"/>
                <w:color w:val="262626"/>
                <w:sz w:val="18"/>
                <w:szCs w:val="18"/>
                <w:lang w:eastAsia="en-US"/>
              </w:rPr>
              <w:t xml:space="preserve"> 3</w:t>
            </w:r>
          </w:p>
        </w:tc>
        <w:tc>
          <w:tcPr>
            <w:tcW w:w="1304" w:type="dxa"/>
            <w:shd w:val="clear" w:color="auto" w:fill="auto"/>
            <w:vAlign w:val="center"/>
          </w:tcPr>
          <w:p w14:paraId="64381E63" w14:textId="77777777" w:rsidR="0056738E" w:rsidRPr="00D17E65" w:rsidRDefault="0056738E" w:rsidP="007C2AEE">
            <w:pPr>
              <w:shd w:val="clear" w:color="auto" w:fill="FFFFFF"/>
              <w:spacing w:after="0" w:line="240" w:lineRule="auto"/>
              <w:ind w:left="-135" w:right="-126"/>
              <w:jc w:val="center"/>
              <w:rPr>
                <w:rFonts w:ascii="Arial" w:hAnsi="Arial" w:cs="Arial"/>
                <w:color w:val="262626"/>
                <w:sz w:val="18"/>
                <w:szCs w:val="18"/>
                <w:lang w:val="el-GR"/>
              </w:rPr>
            </w:pPr>
            <w:proofErr w:type="spellStart"/>
            <w:r>
              <w:rPr>
                <w:rFonts w:ascii="Arial" w:hAnsi="Arial" w:cs="Arial"/>
                <w:color w:val="262626"/>
                <w:sz w:val="18"/>
                <w:szCs w:val="18"/>
                <w:lang w:val="el-GR"/>
              </w:rPr>
              <w:t>Απομειωμένα</w:t>
            </w:r>
            <w:proofErr w:type="spellEnd"/>
            <w:r>
              <w:rPr>
                <w:rFonts w:ascii="Arial" w:hAnsi="Arial" w:cs="Arial"/>
                <w:color w:val="262626"/>
                <w:sz w:val="18"/>
                <w:szCs w:val="18"/>
                <w:lang w:val="el-GR"/>
              </w:rPr>
              <w:t xml:space="preserve"> κατά την </w:t>
            </w:r>
          </w:p>
          <w:p w14:paraId="57F2A5EA" w14:textId="77777777" w:rsidR="0056738E" w:rsidRPr="00295155" w:rsidRDefault="0056738E" w:rsidP="007C2AEE">
            <w:pPr>
              <w:shd w:val="clear" w:color="auto" w:fill="FFFFFF"/>
              <w:spacing w:after="0" w:line="240" w:lineRule="auto"/>
              <w:ind w:left="-135" w:right="-126"/>
              <w:jc w:val="center"/>
              <w:rPr>
                <w:rFonts w:ascii="Arial" w:eastAsia="Batang" w:hAnsi="Arial" w:cs="Arial"/>
                <w:color w:val="262626"/>
                <w:sz w:val="18"/>
                <w:szCs w:val="18"/>
                <w:lang w:val="el-GR" w:eastAsia="en-US"/>
              </w:rPr>
            </w:pPr>
            <w:r>
              <w:rPr>
                <w:rFonts w:ascii="Arial" w:hAnsi="Arial" w:cs="Arial"/>
                <w:color w:val="262626"/>
                <w:sz w:val="18"/>
                <w:szCs w:val="18"/>
                <w:lang w:val="el-GR"/>
              </w:rPr>
              <w:t>αρχική αναγνώριση (</w:t>
            </w:r>
            <w:r w:rsidRPr="00667349">
              <w:rPr>
                <w:rFonts w:ascii="Arial" w:hAnsi="Arial" w:cs="Arial"/>
                <w:color w:val="262626"/>
                <w:sz w:val="18"/>
                <w:szCs w:val="18"/>
              </w:rPr>
              <w:t>POCI</w:t>
            </w:r>
            <w:r>
              <w:rPr>
                <w:rFonts w:ascii="Arial" w:hAnsi="Arial" w:cs="Arial"/>
                <w:color w:val="262626"/>
                <w:sz w:val="18"/>
                <w:szCs w:val="18"/>
                <w:lang w:val="el-GR"/>
              </w:rPr>
              <w:t>)</w:t>
            </w:r>
          </w:p>
        </w:tc>
        <w:tc>
          <w:tcPr>
            <w:tcW w:w="1134" w:type="dxa"/>
            <w:shd w:val="clear" w:color="auto" w:fill="auto"/>
            <w:vAlign w:val="center"/>
          </w:tcPr>
          <w:p w14:paraId="12D3D5B5" w14:textId="77777777" w:rsidR="0056738E" w:rsidRPr="00295155" w:rsidRDefault="0056738E" w:rsidP="007C2AEE">
            <w:pPr>
              <w:shd w:val="clear" w:color="auto" w:fill="FFFFFF"/>
              <w:spacing w:after="0" w:line="240" w:lineRule="auto"/>
              <w:jc w:val="center"/>
              <w:rPr>
                <w:rFonts w:ascii="Arial" w:eastAsia="Batang" w:hAnsi="Arial" w:cs="Arial"/>
                <w:b/>
                <w:bCs/>
                <w:color w:val="262626"/>
                <w:sz w:val="18"/>
                <w:szCs w:val="18"/>
                <w:lang w:eastAsia="en-US"/>
              </w:rPr>
            </w:pPr>
            <w:r w:rsidRPr="00295155">
              <w:rPr>
                <w:rFonts w:ascii="Arial" w:eastAsia="Batang" w:hAnsi="Arial" w:cs="Arial"/>
                <w:b/>
                <w:color w:val="262626"/>
                <w:sz w:val="18"/>
                <w:szCs w:val="18"/>
                <w:lang w:val="el-GR" w:eastAsia="el-GR"/>
              </w:rPr>
              <w:t>Σύνολο</w:t>
            </w:r>
          </w:p>
        </w:tc>
      </w:tr>
      <w:tr w:rsidR="0056738E" w:rsidRPr="00295155" w14:paraId="7BB83336" w14:textId="77777777" w:rsidTr="007C2AEE">
        <w:trPr>
          <w:trHeight w:val="255"/>
          <w:jc w:val="center"/>
        </w:trPr>
        <w:tc>
          <w:tcPr>
            <w:tcW w:w="4195" w:type="dxa"/>
            <w:vAlign w:val="center"/>
          </w:tcPr>
          <w:p w14:paraId="78D47437" w14:textId="77777777" w:rsidR="0056738E" w:rsidRPr="00295155" w:rsidRDefault="0056738E" w:rsidP="007C2AEE">
            <w:pPr>
              <w:numPr>
                <w:ilvl w:val="12"/>
                <w:numId w:val="0"/>
              </w:numPr>
              <w:shd w:val="clear" w:color="auto" w:fill="FFFFFF"/>
              <w:tabs>
                <w:tab w:val="left" w:pos="284"/>
              </w:tabs>
              <w:spacing w:after="0" w:line="240" w:lineRule="auto"/>
              <w:rPr>
                <w:rFonts w:ascii="Arial" w:eastAsia="Batang" w:hAnsi="Arial" w:cs="Arial"/>
                <w:b/>
                <w:bCs/>
                <w:color w:val="262626"/>
                <w:sz w:val="18"/>
                <w:szCs w:val="18"/>
                <w:lang w:val="el-GR" w:eastAsia="el-GR"/>
              </w:rPr>
            </w:pPr>
            <w:r>
              <w:rPr>
                <w:rFonts w:ascii="Arial" w:eastAsia="Batang" w:hAnsi="Arial" w:cs="Arial"/>
                <w:b/>
                <w:bCs/>
                <w:color w:val="262626"/>
                <w:sz w:val="18"/>
                <w:szCs w:val="18"/>
                <w:lang w:val="el-GR" w:eastAsia="el-GR"/>
              </w:rPr>
              <w:t>Ανά πελατειακό τομέα</w:t>
            </w:r>
          </w:p>
        </w:tc>
        <w:tc>
          <w:tcPr>
            <w:tcW w:w="1134" w:type="dxa"/>
            <w:shd w:val="clear" w:color="auto" w:fill="auto"/>
            <w:vAlign w:val="center"/>
          </w:tcPr>
          <w:p w14:paraId="097B5E37" w14:textId="77777777" w:rsidR="0056738E" w:rsidRPr="00295155"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295155">
              <w:rPr>
                <w:rFonts w:ascii="Arial" w:eastAsia="Batang" w:hAnsi="Arial" w:cs="Arial"/>
                <w:bCs/>
                <w:color w:val="262626"/>
                <w:sz w:val="18"/>
                <w:szCs w:val="18"/>
                <w:lang w:eastAsia="en-US"/>
              </w:rPr>
              <w:t>€000</w:t>
            </w:r>
          </w:p>
        </w:tc>
        <w:tc>
          <w:tcPr>
            <w:tcW w:w="1134" w:type="dxa"/>
            <w:shd w:val="clear" w:color="auto" w:fill="auto"/>
            <w:vAlign w:val="center"/>
          </w:tcPr>
          <w:p w14:paraId="5CDA1DC0" w14:textId="77777777" w:rsidR="0056738E" w:rsidRPr="00295155"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295155">
              <w:rPr>
                <w:rFonts w:ascii="Arial" w:eastAsia="Batang" w:hAnsi="Arial" w:cs="Arial"/>
                <w:bCs/>
                <w:color w:val="262626"/>
                <w:sz w:val="18"/>
                <w:szCs w:val="18"/>
                <w:lang w:eastAsia="en-US"/>
              </w:rPr>
              <w:t>€000</w:t>
            </w:r>
          </w:p>
        </w:tc>
        <w:tc>
          <w:tcPr>
            <w:tcW w:w="1134" w:type="dxa"/>
            <w:shd w:val="clear" w:color="auto" w:fill="auto"/>
            <w:vAlign w:val="center"/>
          </w:tcPr>
          <w:p w14:paraId="36B42A50" w14:textId="77777777" w:rsidR="0056738E" w:rsidRPr="00295155"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295155">
              <w:rPr>
                <w:rFonts w:ascii="Arial" w:eastAsia="Batang" w:hAnsi="Arial" w:cs="Arial"/>
                <w:bCs/>
                <w:color w:val="262626"/>
                <w:sz w:val="18"/>
                <w:szCs w:val="18"/>
                <w:lang w:eastAsia="en-US"/>
              </w:rPr>
              <w:t>€000</w:t>
            </w:r>
          </w:p>
        </w:tc>
        <w:tc>
          <w:tcPr>
            <w:tcW w:w="1304" w:type="dxa"/>
            <w:shd w:val="clear" w:color="auto" w:fill="auto"/>
            <w:vAlign w:val="center"/>
          </w:tcPr>
          <w:p w14:paraId="38C8178E" w14:textId="77777777" w:rsidR="0056738E" w:rsidRPr="00295155"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color w:val="262626"/>
                <w:sz w:val="18"/>
                <w:szCs w:val="18"/>
                <w:lang w:eastAsia="en-US"/>
              </w:rPr>
            </w:pPr>
            <w:r w:rsidRPr="00295155">
              <w:rPr>
                <w:rFonts w:ascii="Arial" w:eastAsia="Batang" w:hAnsi="Arial" w:cs="Arial"/>
                <w:bCs/>
                <w:color w:val="262626"/>
                <w:sz w:val="18"/>
                <w:szCs w:val="18"/>
                <w:lang w:eastAsia="en-US"/>
              </w:rPr>
              <w:t>€000</w:t>
            </w:r>
          </w:p>
        </w:tc>
        <w:tc>
          <w:tcPr>
            <w:tcW w:w="1134" w:type="dxa"/>
            <w:shd w:val="clear" w:color="auto" w:fill="auto"/>
            <w:vAlign w:val="center"/>
          </w:tcPr>
          <w:p w14:paraId="6F3C69EA" w14:textId="77777777" w:rsidR="0056738E" w:rsidRPr="00295155" w:rsidRDefault="0056738E" w:rsidP="007C2AEE">
            <w:pPr>
              <w:shd w:val="clear" w:color="auto" w:fill="FFFFFF"/>
              <w:spacing w:after="0" w:line="240" w:lineRule="auto"/>
              <w:jc w:val="center"/>
              <w:rPr>
                <w:rFonts w:ascii="Arial" w:eastAsia="Batang" w:hAnsi="Arial" w:cs="Arial"/>
                <w:b/>
                <w:bCs/>
                <w:color w:val="262626"/>
                <w:sz w:val="18"/>
                <w:szCs w:val="18"/>
                <w:lang w:eastAsia="en-US"/>
              </w:rPr>
            </w:pPr>
            <w:r w:rsidRPr="00295155">
              <w:rPr>
                <w:rFonts w:ascii="Arial" w:eastAsia="Batang" w:hAnsi="Arial" w:cs="Arial"/>
                <w:b/>
                <w:bCs/>
                <w:color w:val="262626"/>
                <w:sz w:val="18"/>
                <w:szCs w:val="18"/>
                <w:lang w:eastAsia="en-US"/>
              </w:rPr>
              <w:t>€000</w:t>
            </w:r>
          </w:p>
        </w:tc>
      </w:tr>
      <w:tr w:rsidR="0056738E" w:rsidRPr="00295155" w14:paraId="22CF480D" w14:textId="77777777" w:rsidTr="007C2AEE">
        <w:trPr>
          <w:trHeight w:val="255"/>
          <w:jc w:val="center"/>
        </w:trPr>
        <w:tc>
          <w:tcPr>
            <w:tcW w:w="4195" w:type="dxa"/>
            <w:vAlign w:val="center"/>
          </w:tcPr>
          <w:p w14:paraId="64918C89" w14:textId="77777777" w:rsidR="0056738E" w:rsidRPr="00295155"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val="el-GR" w:eastAsia="el-GR"/>
              </w:rPr>
            </w:pPr>
            <w:r w:rsidRPr="00295155">
              <w:rPr>
                <w:rFonts w:ascii="Arial" w:eastAsia="Batang" w:hAnsi="Arial" w:cs="Arial"/>
                <w:color w:val="262626"/>
                <w:sz w:val="18"/>
                <w:szCs w:val="18"/>
                <w:lang w:val="el-GR" w:eastAsia="el-GR"/>
              </w:rPr>
              <w:t>Μεγάλες επιχειρήσεις</w:t>
            </w:r>
          </w:p>
        </w:tc>
        <w:tc>
          <w:tcPr>
            <w:tcW w:w="1134" w:type="dxa"/>
            <w:tcBorders>
              <w:top w:val="nil"/>
              <w:left w:val="nil"/>
              <w:bottom w:val="single" w:sz="8" w:space="0" w:color="C0C0C0"/>
              <w:right w:val="single" w:sz="8" w:space="0" w:color="C0C0C0"/>
            </w:tcBorders>
            <w:shd w:val="clear" w:color="auto" w:fill="auto"/>
            <w:vAlign w:val="center"/>
          </w:tcPr>
          <w:p w14:paraId="3EC94F97" w14:textId="77777777" w:rsidR="0056738E" w:rsidRPr="00CF0D8B" w:rsidRDefault="0056738E" w:rsidP="007C2AEE">
            <w:pPr>
              <w:shd w:val="clear" w:color="auto" w:fill="FFFFFF"/>
              <w:tabs>
                <w:tab w:val="right" w:pos="7560"/>
                <w:tab w:val="right" w:pos="9000"/>
              </w:tabs>
              <w:suppressAutoHyphens/>
              <w:spacing w:after="0" w:line="240" w:lineRule="auto"/>
              <w:ind w:left="-108"/>
              <w:jc w:val="right"/>
              <w:rPr>
                <w:rFonts w:ascii="Arial" w:eastAsia="Batang" w:hAnsi="Arial" w:cs="Arial"/>
                <w:bCs/>
                <w:color w:val="262626"/>
                <w:sz w:val="18"/>
                <w:szCs w:val="18"/>
                <w:lang w:val="el-GR" w:eastAsia="en-US"/>
              </w:rPr>
            </w:pPr>
            <w:r>
              <w:rPr>
                <w:rFonts w:ascii="Arial" w:eastAsia="Batang" w:hAnsi="Arial" w:cs="Arial"/>
                <w:bCs/>
                <w:color w:val="262626"/>
                <w:sz w:val="18"/>
                <w:szCs w:val="18"/>
                <w:lang w:val="en-US" w:eastAsia="en-US"/>
              </w:rPr>
              <w:t>2,927,560</w:t>
            </w:r>
          </w:p>
        </w:tc>
        <w:tc>
          <w:tcPr>
            <w:tcW w:w="1134" w:type="dxa"/>
            <w:tcBorders>
              <w:top w:val="nil"/>
              <w:left w:val="nil"/>
              <w:bottom w:val="single" w:sz="8" w:space="0" w:color="C0C0C0"/>
              <w:right w:val="single" w:sz="8" w:space="0" w:color="C0C0C0"/>
            </w:tcBorders>
            <w:shd w:val="clear" w:color="auto" w:fill="auto"/>
            <w:vAlign w:val="center"/>
          </w:tcPr>
          <w:p w14:paraId="4BFF3C4E"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val="en-US" w:eastAsia="en-US"/>
              </w:rPr>
              <w:t>444,321</w:t>
            </w:r>
          </w:p>
        </w:tc>
        <w:tc>
          <w:tcPr>
            <w:tcW w:w="1134" w:type="dxa"/>
            <w:tcBorders>
              <w:top w:val="nil"/>
              <w:left w:val="nil"/>
              <w:bottom w:val="single" w:sz="8" w:space="0" w:color="C0C0C0"/>
              <w:right w:val="single" w:sz="8" w:space="0" w:color="C0C0C0"/>
            </w:tcBorders>
            <w:shd w:val="clear" w:color="auto" w:fill="auto"/>
            <w:vAlign w:val="center"/>
          </w:tcPr>
          <w:p w14:paraId="19B95E1F"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val="en-US" w:eastAsia="en-US"/>
              </w:rPr>
              <w:t>31,536</w:t>
            </w:r>
          </w:p>
        </w:tc>
        <w:tc>
          <w:tcPr>
            <w:tcW w:w="1304" w:type="dxa"/>
            <w:tcBorders>
              <w:top w:val="nil"/>
              <w:left w:val="nil"/>
              <w:bottom w:val="single" w:sz="8" w:space="0" w:color="C0C0C0"/>
              <w:right w:val="single" w:sz="8" w:space="0" w:color="C0C0C0"/>
            </w:tcBorders>
            <w:shd w:val="clear" w:color="auto" w:fill="auto"/>
            <w:vAlign w:val="center"/>
          </w:tcPr>
          <w:p w14:paraId="775C804F" w14:textId="77777777" w:rsidR="0056738E" w:rsidRPr="00E41C56"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val="en-US" w:eastAsia="en-US"/>
              </w:rPr>
              <w:t>12,777</w:t>
            </w:r>
          </w:p>
        </w:tc>
        <w:tc>
          <w:tcPr>
            <w:tcW w:w="1134" w:type="dxa"/>
            <w:tcBorders>
              <w:top w:val="nil"/>
              <w:left w:val="nil"/>
              <w:bottom w:val="single" w:sz="8" w:space="0" w:color="C0C0C0"/>
              <w:right w:val="single" w:sz="8" w:space="0" w:color="C0C0C0"/>
            </w:tcBorders>
            <w:shd w:val="clear" w:color="auto" w:fill="auto"/>
            <w:vAlign w:val="center"/>
          </w:tcPr>
          <w:p w14:paraId="32B3479E" w14:textId="77777777" w:rsidR="0056738E" w:rsidRPr="00CF0D8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3,416,194</w:t>
            </w:r>
          </w:p>
        </w:tc>
      </w:tr>
      <w:tr w:rsidR="0056738E" w:rsidRPr="00910A4E" w14:paraId="327EE1DE" w14:textId="77777777" w:rsidTr="007C2AEE">
        <w:trPr>
          <w:trHeight w:val="255"/>
          <w:jc w:val="center"/>
        </w:trPr>
        <w:tc>
          <w:tcPr>
            <w:tcW w:w="4195" w:type="dxa"/>
            <w:vAlign w:val="center"/>
          </w:tcPr>
          <w:p w14:paraId="050BD16D" w14:textId="77777777" w:rsidR="0056738E" w:rsidRPr="00295155"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val="el-GR" w:eastAsia="el-GR"/>
              </w:rPr>
            </w:pPr>
            <w:r>
              <w:rPr>
                <w:rFonts w:ascii="Arial" w:hAnsi="Arial" w:cs="Arial"/>
                <w:color w:val="262626"/>
                <w:sz w:val="18"/>
                <w:szCs w:val="18"/>
                <w:lang w:val="el-GR" w:eastAsia="el-GR"/>
              </w:rPr>
              <w:t xml:space="preserve">Κέντρο διεθνών εργασιών και Διεθνείς </w:t>
            </w:r>
            <w:r>
              <w:rPr>
                <w:rFonts w:ascii="Arial" w:hAnsi="Arial" w:cs="Arial"/>
                <w:color w:val="262626"/>
                <w:sz w:val="18"/>
                <w:szCs w:val="18"/>
                <w:lang w:val="el-GR"/>
              </w:rPr>
              <w:t>επιχειρήσεις</w:t>
            </w:r>
          </w:p>
        </w:tc>
        <w:tc>
          <w:tcPr>
            <w:tcW w:w="1134" w:type="dxa"/>
            <w:tcBorders>
              <w:top w:val="nil"/>
              <w:left w:val="nil"/>
              <w:bottom w:val="single" w:sz="8" w:space="0" w:color="C0C0C0"/>
              <w:right w:val="single" w:sz="8" w:space="0" w:color="C0C0C0"/>
            </w:tcBorders>
            <w:shd w:val="clear" w:color="auto" w:fill="auto"/>
            <w:vAlign w:val="center"/>
          </w:tcPr>
          <w:p w14:paraId="316DE6A4" w14:textId="77777777" w:rsidR="0056738E" w:rsidRPr="002107E1" w:rsidDel="00F51C7C" w:rsidRDefault="0056738E" w:rsidP="007C2AEE">
            <w:pPr>
              <w:shd w:val="clear" w:color="auto" w:fill="FFFFFF"/>
              <w:tabs>
                <w:tab w:val="right" w:pos="7560"/>
                <w:tab w:val="right" w:pos="9000"/>
              </w:tabs>
              <w:suppressAutoHyphens/>
              <w:spacing w:after="0" w:line="240" w:lineRule="auto"/>
              <w:ind w:left="-108"/>
              <w:jc w:val="right"/>
              <w:rPr>
                <w:rFonts w:ascii="Arial" w:eastAsia="Batang" w:hAnsi="Arial" w:cs="Arial"/>
                <w:bCs/>
                <w:sz w:val="18"/>
                <w:szCs w:val="18"/>
                <w:lang w:val="el-GR" w:eastAsia="en-US"/>
              </w:rPr>
            </w:pPr>
          </w:p>
        </w:tc>
        <w:tc>
          <w:tcPr>
            <w:tcW w:w="1134" w:type="dxa"/>
            <w:tcBorders>
              <w:top w:val="nil"/>
              <w:left w:val="nil"/>
              <w:bottom w:val="single" w:sz="8" w:space="0" w:color="C0C0C0"/>
              <w:right w:val="single" w:sz="8" w:space="0" w:color="C0C0C0"/>
            </w:tcBorders>
            <w:shd w:val="clear" w:color="auto" w:fill="auto"/>
            <w:vAlign w:val="center"/>
          </w:tcPr>
          <w:p w14:paraId="6035E337" w14:textId="77777777" w:rsidR="0056738E" w:rsidRPr="002107E1"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p>
        </w:tc>
        <w:tc>
          <w:tcPr>
            <w:tcW w:w="1134" w:type="dxa"/>
            <w:tcBorders>
              <w:top w:val="nil"/>
              <w:left w:val="nil"/>
              <w:bottom w:val="single" w:sz="8" w:space="0" w:color="C0C0C0"/>
              <w:right w:val="single" w:sz="8" w:space="0" w:color="C0C0C0"/>
            </w:tcBorders>
            <w:shd w:val="clear" w:color="auto" w:fill="auto"/>
            <w:vAlign w:val="center"/>
          </w:tcPr>
          <w:p w14:paraId="0E5A9352" w14:textId="77777777" w:rsidR="0056738E" w:rsidRPr="002107E1"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p>
        </w:tc>
        <w:tc>
          <w:tcPr>
            <w:tcW w:w="1304" w:type="dxa"/>
            <w:tcBorders>
              <w:top w:val="nil"/>
              <w:left w:val="nil"/>
              <w:bottom w:val="single" w:sz="8" w:space="0" w:color="C0C0C0"/>
              <w:right w:val="single" w:sz="8" w:space="0" w:color="C0C0C0"/>
            </w:tcBorders>
            <w:shd w:val="clear" w:color="auto" w:fill="auto"/>
            <w:vAlign w:val="center"/>
          </w:tcPr>
          <w:p w14:paraId="43D25834" w14:textId="77777777" w:rsidR="0056738E" w:rsidRPr="002107E1"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p>
        </w:tc>
        <w:tc>
          <w:tcPr>
            <w:tcW w:w="1134" w:type="dxa"/>
            <w:tcBorders>
              <w:top w:val="nil"/>
              <w:left w:val="nil"/>
              <w:bottom w:val="single" w:sz="8" w:space="0" w:color="C0C0C0"/>
              <w:right w:val="single" w:sz="8" w:space="0" w:color="C0C0C0"/>
            </w:tcBorders>
            <w:shd w:val="clear" w:color="auto" w:fill="auto"/>
            <w:vAlign w:val="center"/>
          </w:tcPr>
          <w:p w14:paraId="778E8B32" w14:textId="77777777" w:rsidR="0056738E" w:rsidRPr="002107E1"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sz w:val="18"/>
                <w:szCs w:val="18"/>
                <w:lang w:val="el-GR" w:eastAsia="en-US"/>
              </w:rPr>
            </w:pPr>
          </w:p>
        </w:tc>
      </w:tr>
      <w:tr w:rsidR="0056738E" w:rsidRPr="002107E1" w14:paraId="50121156" w14:textId="77777777" w:rsidTr="007C2AEE">
        <w:trPr>
          <w:trHeight w:val="255"/>
          <w:jc w:val="center"/>
        </w:trPr>
        <w:tc>
          <w:tcPr>
            <w:tcW w:w="4195" w:type="dxa"/>
            <w:vAlign w:val="center"/>
          </w:tcPr>
          <w:p w14:paraId="48ABE048" w14:textId="77777777" w:rsidR="0056738E" w:rsidRDefault="0056738E" w:rsidP="007C2AEE">
            <w:pPr>
              <w:numPr>
                <w:ilvl w:val="12"/>
                <w:numId w:val="0"/>
              </w:numPr>
              <w:shd w:val="clear" w:color="auto" w:fill="FFFFFF"/>
              <w:tabs>
                <w:tab w:val="left" w:pos="284"/>
              </w:tabs>
              <w:spacing w:after="0" w:line="240" w:lineRule="auto"/>
              <w:rPr>
                <w:rFonts w:ascii="Arial" w:hAnsi="Arial" w:cs="Arial"/>
                <w:color w:val="262626"/>
                <w:sz w:val="18"/>
                <w:szCs w:val="18"/>
                <w:lang w:val="el-GR" w:eastAsia="el-GR"/>
              </w:rPr>
            </w:pPr>
            <w:r w:rsidRPr="009B5694">
              <w:rPr>
                <w:rFonts w:ascii="Arial" w:eastAsia="Batang" w:hAnsi="Arial" w:cs="Arial"/>
                <w:color w:val="262626"/>
                <w:sz w:val="18"/>
                <w:szCs w:val="18"/>
                <w:lang w:eastAsia="el-GR"/>
              </w:rPr>
              <w:t xml:space="preserve">- </w:t>
            </w:r>
            <w:r>
              <w:rPr>
                <w:rFonts w:ascii="Arial" w:hAnsi="Arial" w:cs="Arial"/>
                <w:color w:val="262626"/>
                <w:sz w:val="18"/>
                <w:szCs w:val="18"/>
                <w:lang w:val="el-GR"/>
              </w:rPr>
              <w:t>Κέντρο διεθνών εργασιών</w:t>
            </w:r>
          </w:p>
        </w:tc>
        <w:tc>
          <w:tcPr>
            <w:tcW w:w="1134" w:type="dxa"/>
            <w:tcBorders>
              <w:top w:val="nil"/>
              <w:left w:val="nil"/>
              <w:bottom w:val="single" w:sz="8" w:space="0" w:color="C0C0C0"/>
              <w:right w:val="single" w:sz="8" w:space="0" w:color="C0C0C0"/>
            </w:tcBorders>
            <w:shd w:val="clear" w:color="auto" w:fill="auto"/>
            <w:vAlign w:val="center"/>
          </w:tcPr>
          <w:p w14:paraId="04C813CF" w14:textId="77777777" w:rsidR="0056738E" w:rsidRPr="002107E1" w:rsidDel="00F51C7C" w:rsidRDefault="0056738E" w:rsidP="007C2AEE">
            <w:pPr>
              <w:shd w:val="clear" w:color="auto" w:fill="FFFFFF"/>
              <w:tabs>
                <w:tab w:val="right" w:pos="7560"/>
                <w:tab w:val="right" w:pos="9000"/>
              </w:tabs>
              <w:suppressAutoHyphens/>
              <w:spacing w:after="0" w:line="240" w:lineRule="auto"/>
              <w:ind w:left="-108"/>
              <w:jc w:val="right"/>
              <w:rPr>
                <w:rFonts w:ascii="Arial" w:eastAsia="Batang" w:hAnsi="Arial" w:cs="Arial"/>
                <w:bCs/>
                <w:sz w:val="18"/>
                <w:szCs w:val="18"/>
                <w:lang w:val="el-GR" w:eastAsia="en-US"/>
              </w:rPr>
            </w:pPr>
            <w:r>
              <w:rPr>
                <w:rFonts w:ascii="Arial" w:eastAsia="Batang" w:hAnsi="Arial" w:cs="Arial"/>
                <w:bCs/>
                <w:sz w:val="18"/>
                <w:szCs w:val="18"/>
                <w:lang w:val="en-US" w:eastAsia="en-US"/>
              </w:rPr>
              <w:t>101,274</w:t>
            </w:r>
          </w:p>
        </w:tc>
        <w:tc>
          <w:tcPr>
            <w:tcW w:w="1134" w:type="dxa"/>
            <w:tcBorders>
              <w:top w:val="nil"/>
              <w:left w:val="nil"/>
              <w:bottom w:val="single" w:sz="8" w:space="0" w:color="C0C0C0"/>
              <w:right w:val="single" w:sz="8" w:space="0" w:color="C0C0C0"/>
            </w:tcBorders>
            <w:shd w:val="clear" w:color="auto" w:fill="auto"/>
            <w:vAlign w:val="center"/>
          </w:tcPr>
          <w:p w14:paraId="0AACA406" w14:textId="77777777" w:rsidR="0056738E" w:rsidRPr="002107E1"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r>
              <w:rPr>
                <w:rFonts w:ascii="Arial" w:eastAsia="Batang" w:hAnsi="Arial" w:cs="Arial"/>
                <w:bCs/>
                <w:sz w:val="18"/>
                <w:szCs w:val="18"/>
                <w:lang w:val="en-US" w:eastAsia="en-US"/>
              </w:rPr>
              <w:t>17,985</w:t>
            </w:r>
          </w:p>
        </w:tc>
        <w:tc>
          <w:tcPr>
            <w:tcW w:w="1134" w:type="dxa"/>
            <w:tcBorders>
              <w:top w:val="nil"/>
              <w:left w:val="nil"/>
              <w:bottom w:val="single" w:sz="8" w:space="0" w:color="C0C0C0"/>
              <w:right w:val="single" w:sz="8" w:space="0" w:color="C0C0C0"/>
            </w:tcBorders>
            <w:shd w:val="clear" w:color="auto" w:fill="auto"/>
            <w:vAlign w:val="center"/>
          </w:tcPr>
          <w:p w14:paraId="1C1D3A05" w14:textId="77777777" w:rsidR="0056738E" w:rsidRPr="002107E1"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r>
              <w:rPr>
                <w:rFonts w:ascii="Arial" w:eastAsia="Batang" w:hAnsi="Arial" w:cs="Arial"/>
                <w:bCs/>
                <w:sz w:val="18"/>
                <w:szCs w:val="18"/>
                <w:lang w:val="en-US" w:eastAsia="en-US"/>
              </w:rPr>
              <w:t>39</w:t>
            </w:r>
          </w:p>
        </w:tc>
        <w:tc>
          <w:tcPr>
            <w:tcW w:w="1304" w:type="dxa"/>
            <w:tcBorders>
              <w:top w:val="nil"/>
              <w:left w:val="nil"/>
              <w:bottom w:val="single" w:sz="8" w:space="0" w:color="C0C0C0"/>
              <w:right w:val="single" w:sz="8" w:space="0" w:color="C0C0C0"/>
            </w:tcBorders>
            <w:shd w:val="clear" w:color="auto" w:fill="auto"/>
            <w:vAlign w:val="center"/>
          </w:tcPr>
          <w:p w14:paraId="2847A25E" w14:textId="77777777" w:rsidR="0056738E" w:rsidRPr="002107E1"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r>
              <w:rPr>
                <w:rFonts w:ascii="Arial" w:eastAsia="Batang" w:hAnsi="Arial" w:cs="Arial"/>
                <w:bCs/>
                <w:sz w:val="18"/>
                <w:szCs w:val="18"/>
                <w:lang w:val="en-US" w:eastAsia="en-US"/>
              </w:rPr>
              <w:t>115</w:t>
            </w:r>
          </w:p>
        </w:tc>
        <w:tc>
          <w:tcPr>
            <w:tcW w:w="1134" w:type="dxa"/>
            <w:tcBorders>
              <w:top w:val="nil"/>
              <w:left w:val="nil"/>
              <w:bottom w:val="single" w:sz="8" w:space="0" w:color="C0C0C0"/>
              <w:right w:val="single" w:sz="8" w:space="0" w:color="C0C0C0"/>
            </w:tcBorders>
            <w:shd w:val="clear" w:color="auto" w:fill="auto"/>
            <w:vAlign w:val="center"/>
          </w:tcPr>
          <w:p w14:paraId="5F2CADBD" w14:textId="77777777" w:rsidR="0056738E" w:rsidRPr="002107E1"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sz w:val="18"/>
                <w:szCs w:val="18"/>
                <w:lang w:val="el-GR" w:eastAsia="en-US"/>
              </w:rPr>
            </w:pPr>
            <w:r>
              <w:rPr>
                <w:rFonts w:ascii="Arial" w:eastAsia="Batang" w:hAnsi="Arial" w:cs="Arial"/>
                <w:b/>
                <w:bCs/>
                <w:sz w:val="18"/>
                <w:szCs w:val="18"/>
                <w:lang w:val="en-US" w:eastAsia="en-US"/>
              </w:rPr>
              <w:t>119,413</w:t>
            </w:r>
          </w:p>
        </w:tc>
      </w:tr>
      <w:tr w:rsidR="0056738E" w:rsidRPr="002107E1" w14:paraId="0EC9DAC2" w14:textId="77777777" w:rsidTr="007C2AEE">
        <w:trPr>
          <w:trHeight w:val="255"/>
          <w:jc w:val="center"/>
        </w:trPr>
        <w:tc>
          <w:tcPr>
            <w:tcW w:w="4195" w:type="dxa"/>
            <w:shd w:val="clear" w:color="auto" w:fill="auto"/>
            <w:vAlign w:val="center"/>
          </w:tcPr>
          <w:p w14:paraId="602FFCBD" w14:textId="77777777" w:rsidR="0056738E" w:rsidRDefault="0056738E" w:rsidP="007C2AEE">
            <w:pPr>
              <w:numPr>
                <w:ilvl w:val="12"/>
                <w:numId w:val="0"/>
              </w:numPr>
              <w:shd w:val="clear" w:color="auto" w:fill="FFFFFF"/>
              <w:tabs>
                <w:tab w:val="left" w:pos="284"/>
              </w:tabs>
              <w:spacing w:after="0" w:line="240" w:lineRule="auto"/>
              <w:rPr>
                <w:rFonts w:ascii="Arial" w:hAnsi="Arial" w:cs="Arial"/>
                <w:color w:val="262626"/>
                <w:sz w:val="18"/>
                <w:szCs w:val="18"/>
                <w:lang w:val="el-GR" w:eastAsia="el-GR"/>
              </w:rPr>
            </w:pPr>
            <w:r w:rsidRPr="009B5694">
              <w:rPr>
                <w:rFonts w:ascii="Arial" w:eastAsia="Batang" w:hAnsi="Arial" w:cs="Arial"/>
                <w:color w:val="262626"/>
                <w:sz w:val="18"/>
                <w:szCs w:val="18"/>
                <w:lang w:val="el-GR" w:eastAsia="el-GR"/>
              </w:rPr>
              <w:t xml:space="preserve">- </w:t>
            </w:r>
            <w:r>
              <w:rPr>
                <w:rFonts w:ascii="Arial" w:hAnsi="Arial" w:cs="Arial"/>
                <w:color w:val="262626"/>
                <w:sz w:val="18"/>
                <w:szCs w:val="18"/>
                <w:lang w:val="el-GR"/>
              </w:rPr>
              <w:t>Διεθνείς επιχειρήσεις</w:t>
            </w:r>
          </w:p>
        </w:tc>
        <w:tc>
          <w:tcPr>
            <w:tcW w:w="1134" w:type="dxa"/>
            <w:tcBorders>
              <w:top w:val="nil"/>
              <w:left w:val="nil"/>
              <w:bottom w:val="single" w:sz="8" w:space="0" w:color="C0C0C0"/>
              <w:right w:val="single" w:sz="8" w:space="0" w:color="C0C0C0"/>
            </w:tcBorders>
            <w:shd w:val="clear" w:color="auto" w:fill="auto"/>
            <w:vAlign w:val="center"/>
          </w:tcPr>
          <w:p w14:paraId="2BFFB91A" w14:textId="77777777" w:rsidR="0056738E" w:rsidRPr="002107E1" w:rsidDel="00F51C7C" w:rsidRDefault="0056738E" w:rsidP="007C2AEE">
            <w:pPr>
              <w:shd w:val="clear" w:color="auto" w:fill="FFFFFF"/>
              <w:tabs>
                <w:tab w:val="right" w:pos="7560"/>
                <w:tab w:val="right" w:pos="9000"/>
              </w:tabs>
              <w:suppressAutoHyphens/>
              <w:spacing w:after="0" w:line="240" w:lineRule="auto"/>
              <w:ind w:left="-108"/>
              <w:jc w:val="right"/>
              <w:rPr>
                <w:rFonts w:ascii="Arial" w:eastAsia="Batang" w:hAnsi="Arial" w:cs="Arial"/>
                <w:bCs/>
                <w:sz w:val="18"/>
                <w:szCs w:val="18"/>
                <w:lang w:val="el-GR" w:eastAsia="en-US"/>
              </w:rPr>
            </w:pPr>
            <w:r>
              <w:rPr>
                <w:rFonts w:ascii="Arial" w:eastAsia="Batang" w:hAnsi="Arial" w:cs="Arial"/>
                <w:bCs/>
                <w:sz w:val="18"/>
                <w:szCs w:val="18"/>
                <w:lang w:val="en-US" w:eastAsia="en-US"/>
              </w:rPr>
              <w:t>799,853</w:t>
            </w:r>
          </w:p>
        </w:tc>
        <w:tc>
          <w:tcPr>
            <w:tcW w:w="1134" w:type="dxa"/>
            <w:tcBorders>
              <w:top w:val="nil"/>
              <w:left w:val="nil"/>
              <w:bottom w:val="single" w:sz="8" w:space="0" w:color="C0C0C0"/>
              <w:right w:val="single" w:sz="8" w:space="0" w:color="C0C0C0"/>
            </w:tcBorders>
            <w:shd w:val="clear" w:color="auto" w:fill="auto"/>
            <w:vAlign w:val="center"/>
          </w:tcPr>
          <w:p w14:paraId="0C6CD724" w14:textId="77777777" w:rsidR="0056738E" w:rsidRPr="002107E1"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r>
              <w:rPr>
                <w:rFonts w:ascii="Arial" w:eastAsia="Batang" w:hAnsi="Arial" w:cs="Arial"/>
                <w:bCs/>
                <w:sz w:val="18"/>
                <w:szCs w:val="18"/>
                <w:lang w:val="en-US" w:eastAsia="en-US"/>
              </w:rPr>
              <w:t>24,911</w:t>
            </w:r>
          </w:p>
        </w:tc>
        <w:tc>
          <w:tcPr>
            <w:tcW w:w="1134" w:type="dxa"/>
            <w:tcBorders>
              <w:top w:val="nil"/>
              <w:left w:val="nil"/>
              <w:bottom w:val="single" w:sz="8" w:space="0" w:color="C0C0C0"/>
              <w:right w:val="single" w:sz="8" w:space="0" w:color="C0C0C0"/>
            </w:tcBorders>
            <w:shd w:val="clear" w:color="auto" w:fill="auto"/>
            <w:vAlign w:val="center"/>
          </w:tcPr>
          <w:p w14:paraId="46863880" w14:textId="77777777" w:rsidR="0056738E" w:rsidRPr="002107E1"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r>
              <w:rPr>
                <w:rFonts w:ascii="Arial" w:eastAsia="Batang" w:hAnsi="Arial" w:cs="Arial"/>
                <w:bCs/>
                <w:sz w:val="18"/>
                <w:szCs w:val="18"/>
                <w:lang w:val="en-US" w:eastAsia="en-US"/>
              </w:rPr>
              <w:t>41</w:t>
            </w:r>
          </w:p>
        </w:tc>
        <w:tc>
          <w:tcPr>
            <w:tcW w:w="1304" w:type="dxa"/>
            <w:tcBorders>
              <w:top w:val="nil"/>
              <w:left w:val="nil"/>
              <w:bottom w:val="single" w:sz="8" w:space="0" w:color="C0C0C0"/>
              <w:right w:val="single" w:sz="8" w:space="0" w:color="C0C0C0"/>
            </w:tcBorders>
            <w:shd w:val="clear" w:color="auto" w:fill="auto"/>
            <w:vAlign w:val="center"/>
          </w:tcPr>
          <w:p w14:paraId="263257B9" w14:textId="77777777" w:rsidR="0056738E" w:rsidRPr="002107E1"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sz w:val="18"/>
                <w:szCs w:val="18"/>
                <w:lang w:val="el-GR" w:eastAsia="en-US"/>
              </w:rPr>
            </w:pPr>
            <w:r>
              <w:rPr>
                <w:rFonts w:ascii="Arial" w:eastAsia="Batang" w:hAnsi="Arial" w:cs="Arial"/>
                <w:bCs/>
                <w:sz w:val="18"/>
                <w:szCs w:val="18"/>
                <w:lang w:val="en-US" w:eastAsia="en-US"/>
              </w:rPr>
              <w:t>10</w:t>
            </w:r>
          </w:p>
        </w:tc>
        <w:tc>
          <w:tcPr>
            <w:tcW w:w="1134" w:type="dxa"/>
            <w:tcBorders>
              <w:top w:val="nil"/>
              <w:left w:val="nil"/>
              <w:bottom w:val="single" w:sz="8" w:space="0" w:color="C0C0C0"/>
              <w:right w:val="single" w:sz="8" w:space="0" w:color="C0C0C0"/>
            </w:tcBorders>
            <w:shd w:val="clear" w:color="auto" w:fill="auto"/>
            <w:vAlign w:val="center"/>
          </w:tcPr>
          <w:p w14:paraId="745C2A26" w14:textId="77777777" w:rsidR="0056738E" w:rsidRPr="002107E1" w:rsidDel="00F51C7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sz w:val="18"/>
                <w:szCs w:val="18"/>
                <w:lang w:val="el-GR" w:eastAsia="en-US"/>
              </w:rPr>
            </w:pPr>
            <w:r>
              <w:rPr>
                <w:rFonts w:ascii="Arial" w:eastAsia="Batang" w:hAnsi="Arial" w:cs="Arial"/>
                <w:b/>
                <w:bCs/>
                <w:sz w:val="18"/>
                <w:szCs w:val="18"/>
                <w:lang w:val="en-US" w:eastAsia="en-US"/>
              </w:rPr>
              <w:t>824,815</w:t>
            </w:r>
          </w:p>
        </w:tc>
      </w:tr>
      <w:tr w:rsidR="0056738E" w:rsidRPr="00295155" w14:paraId="6CE86B79" w14:textId="77777777" w:rsidTr="007C2AEE">
        <w:trPr>
          <w:trHeight w:val="255"/>
          <w:jc w:val="center"/>
        </w:trPr>
        <w:tc>
          <w:tcPr>
            <w:tcW w:w="4195" w:type="dxa"/>
            <w:vAlign w:val="center"/>
          </w:tcPr>
          <w:p w14:paraId="70DA0E21" w14:textId="77777777" w:rsidR="0056738E" w:rsidRPr="00295155"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val="el-GR" w:eastAsia="el-GR"/>
              </w:rPr>
            </w:pPr>
            <w:r w:rsidRPr="00295155">
              <w:rPr>
                <w:rFonts w:ascii="Arial" w:eastAsia="Batang" w:hAnsi="Arial" w:cs="Arial"/>
                <w:color w:val="262626"/>
                <w:sz w:val="18"/>
                <w:szCs w:val="18"/>
                <w:lang w:val="el-GR" w:eastAsia="el-GR"/>
              </w:rPr>
              <w:t>Μικρομεσαίες επιχειρήσεις</w:t>
            </w:r>
          </w:p>
        </w:tc>
        <w:tc>
          <w:tcPr>
            <w:tcW w:w="1134" w:type="dxa"/>
            <w:tcBorders>
              <w:top w:val="nil"/>
              <w:left w:val="nil"/>
              <w:bottom w:val="single" w:sz="8" w:space="0" w:color="C0C0C0"/>
              <w:right w:val="single" w:sz="8" w:space="0" w:color="C0C0C0"/>
            </w:tcBorders>
            <w:shd w:val="clear" w:color="auto" w:fill="auto"/>
            <w:vAlign w:val="center"/>
          </w:tcPr>
          <w:p w14:paraId="785CF707" w14:textId="77777777" w:rsidR="0056738E" w:rsidRPr="00CF0D8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val="el-GR" w:eastAsia="en-US"/>
              </w:rPr>
            </w:pPr>
            <w:r>
              <w:rPr>
                <w:rFonts w:ascii="Arial" w:eastAsia="Batang" w:hAnsi="Arial" w:cs="Arial"/>
                <w:bCs/>
                <w:color w:val="262626"/>
                <w:sz w:val="18"/>
                <w:szCs w:val="18"/>
                <w:lang w:val="en-US" w:eastAsia="en-US"/>
              </w:rPr>
              <w:t>865,020</w:t>
            </w:r>
          </w:p>
        </w:tc>
        <w:tc>
          <w:tcPr>
            <w:tcW w:w="1134" w:type="dxa"/>
            <w:tcBorders>
              <w:top w:val="nil"/>
              <w:left w:val="nil"/>
              <w:bottom w:val="single" w:sz="8" w:space="0" w:color="C0C0C0"/>
              <w:right w:val="single" w:sz="8" w:space="0" w:color="C0C0C0"/>
            </w:tcBorders>
            <w:shd w:val="clear" w:color="auto" w:fill="auto"/>
            <w:vAlign w:val="center"/>
          </w:tcPr>
          <w:p w14:paraId="217DCF3E"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81,459</w:t>
            </w:r>
          </w:p>
        </w:tc>
        <w:tc>
          <w:tcPr>
            <w:tcW w:w="1134" w:type="dxa"/>
            <w:tcBorders>
              <w:top w:val="nil"/>
              <w:left w:val="nil"/>
              <w:bottom w:val="single" w:sz="8" w:space="0" w:color="C0C0C0"/>
              <w:right w:val="single" w:sz="8" w:space="0" w:color="C0C0C0"/>
            </w:tcBorders>
            <w:shd w:val="clear" w:color="auto" w:fill="auto"/>
            <w:vAlign w:val="center"/>
          </w:tcPr>
          <w:p w14:paraId="72842F33"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7,624</w:t>
            </w:r>
          </w:p>
        </w:tc>
        <w:tc>
          <w:tcPr>
            <w:tcW w:w="1304" w:type="dxa"/>
            <w:tcBorders>
              <w:top w:val="nil"/>
              <w:left w:val="nil"/>
              <w:bottom w:val="single" w:sz="8" w:space="0" w:color="C0C0C0"/>
              <w:right w:val="single" w:sz="8" w:space="0" w:color="C0C0C0"/>
            </w:tcBorders>
            <w:shd w:val="clear" w:color="auto" w:fill="auto"/>
            <w:vAlign w:val="center"/>
          </w:tcPr>
          <w:p w14:paraId="5413A1C6" w14:textId="77777777" w:rsidR="0056738E" w:rsidRPr="00E41C56"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4,232</w:t>
            </w:r>
          </w:p>
        </w:tc>
        <w:tc>
          <w:tcPr>
            <w:tcW w:w="1134" w:type="dxa"/>
            <w:tcBorders>
              <w:top w:val="nil"/>
              <w:left w:val="nil"/>
              <w:bottom w:val="single" w:sz="8" w:space="0" w:color="C0C0C0"/>
              <w:right w:val="single" w:sz="8" w:space="0" w:color="C0C0C0"/>
            </w:tcBorders>
            <w:shd w:val="clear" w:color="auto" w:fill="auto"/>
            <w:vAlign w:val="center"/>
          </w:tcPr>
          <w:p w14:paraId="103218A7" w14:textId="77777777" w:rsidR="0056738E" w:rsidRPr="00CF0D8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958,335</w:t>
            </w:r>
          </w:p>
        </w:tc>
      </w:tr>
      <w:tr w:rsidR="0056738E" w:rsidRPr="00295155" w14:paraId="1BC64356" w14:textId="77777777" w:rsidTr="007C2AEE">
        <w:trPr>
          <w:trHeight w:val="255"/>
          <w:jc w:val="center"/>
        </w:trPr>
        <w:tc>
          <w:tcPr>
            <w:tcW w:w="4195" w:type="dxa"/>
            <w:shd w:val="clear" w:color="auto" w:fill="auto"/>
            <w:vAlign w:val="center"/>
          </w:tcPr>
          <w:p w14:paraId="2B6FF2A0" w14:textId="77777777" w:rsidR="0056738E" w:rsidRPr="00295155"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val="el-GR" w:eastAsia="el-GR"/>
              </w:rPr>
            </w:pPr>
            <w:r w:rsidRPr="00295155">
              <w:rPr>
                <w:rFonts w:ascii="Arial" w:eastAsia="Batang" w:hAnsi="Arial" w:cs="Arial"/>
                <w:color w:val="262626"/>
                <w:sz w:val="18"/>
                <w:szCs w:val="18"/>
                <w:lang w:val="el-GR" w:eastAsia="el-GR"/>
              </w:rPr>
              <w:t>Ιδιώτες</w:t>
            </w:r>
          </w:p>
        </w:tc>
        <w:tc>
          <w:tcPr>
            <w:tcW w:w="1134" w:type="dxa"/>
            <w:tcBorders>
              <w:top w:val="nil"/>
              <w:left w:val="nil"/>
              <w:bottom w:val="single" w:sz="8" w:space="0" w:color="C0C0C0"/>
              <w:right w:val="single" w:sz="8" w:space="0" w:color="C0C0C0"/>
            </w:tcBorders>
            <w:shd w:val="clear" w:color="auto" w:fill="auto"/>
            <w:vAlign w:val="center"/>
          </w:tcPr>
          <w:p w14:paraId="00BBACBC"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p>
        </w:tc>
        <w:tc>
          <w:tcPr>
            <w:tcW w:w="1134" w:type="dxa"/>
            <w:tcBorders>
              <w:top w:val="nil"/>
              <w:left w:val="nil"/>
              <w:bottom w:val="single" w:sz="8" w:space="0" w:color="C0C0C0"/>
              <w:right w:val="single" w:sz="8" w:space="0" w:color="C0C0C0"/>
            </w:tcBorders>
            <w:shd w:val="clear" w:color="auto" w:fill="auto"/>
            <w:vAlign w:val="center"/>
          </w:tcPr>
          <w:p w14:paraId="3ADE5C26"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p>
        </w:tc>
        <w:tc>
          <w:tcPr>
            <w:tcW w:w="1134" w:type="dxa"/>
            <w:tcBorders>
              <w:top w:val="nil"/>
              <w:left w:val="nil"/>
              <w:bottom w:val="single" w:sz="8" w:space="0" w:color="C0C0C0"/>
              <w:right w:val="single" w:sz="8" w:space="0" w:color="C0C0C0"/>
            </w:tcBorders>
            <w:shd w:val="clear" w:color="auto" w:fill="auto"/>
            <w:vAlign w:val="center"/>
          </w:tcPr>
          <w:p w14:paraId="7F81EBF4"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p>
        </w:tc>
        <w:tc>
          <w:tcPr>
            <w:tcW w:w="1304" w:type="dxa"/>
            <w:tcBorders>
              <w:top w:val="nil"/>
              <w:left w:val="nil"/>
              <w:bottom w:val="single" w:sz="8" w:space="0" w:color="C0C0C0"/>
              <w:right w:val="single" w:sz="8" w:space="0" w:color="C0C0C0"/>
            </w:tcBorders>
            <w:shd w:val="clear" w:color="auto" w:fill="auto"/>
            <w:vAlign w:val="center"/>
          </w:tcPr>
          <w:p w14:paraId="3645E641"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p>
        </w:tc>
        <w:tc>
          <w:tcPr>
            <w:tcW w:w="1134" w:type="dxa"/>
            <w:tcBorders>
              <w:top w:val="nil"/>
              <w:left w:val="nil"/>
              <w:bottom w:val="single" w:sz="8" w:space="0" w:color="C0C0C0"/>
              <w:right w:val="single" w:sz="8" w:space="0" w:color="C0C0C0"/>
            </w:tcBorders>
            <w:shd w:val="clear" w:color="auto" w:fill="auto"/>
            <w:vAlign w:val="center"/>
          </w:tcPr>
          <w:p w14:paraId="329F13C5"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eastAsia="en-US"/>
              </w:rPr>
            </w:pPr>
          </w:p>
        </w:tc>
      </w:tr>
      <w:tr w:rsidR="0056738E" w:rsidRPr="00295155" w14:paraId="2AB7AA4B" w14:textId="77777777" w:rsidTr="007C2AEE">
        <w:trPr>
          <w:trHeight w:val="255"/>
          <w:jc w:val="center"/>
        </w:trPr>
        <w:tc>
          <w:tcPr>
            <w:tcW w:w="4195" w:type="dxa"/>
            <w:vAlign w:val="center"/>
          </w:tcPr>
          <w:p w14:paraId="2011FAC2"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στεγαστικά</w:t>
            </w:r>
            <w:r w:rsidRPr="00295155">
              <w:rPr>
                <w:rFonts w:ascii="Arial" w:eastAsia="Batang" w:hAnsi="Arial" w:cs="Arial"/>
                <w:color w:val="262626"/>
                <w:sz w:val="18"/>
                <w:szCs w:val="18"/>
                <w:lang w:eastAsia="el-GR"/>
              </w:rPr>
              <w:t xml:space="preserve"> </w:t>
            </w:r>
          </w:p>
        </w:tc>
        <w:tc>
          <w:tcPr>
            <w:tcW w:w="1134" w:type="dxa"/>
            <w:tcBorders>
              <w:top w:val="nil"/>
              <w:left w:val="nil"/>
              <w:bottom w:val="single" w:sz="8" w:space="0" w:color="C0C0C0"/>
              <w:right w:val="single" w:sz="8" w:space="0" w:color="C0C0C0"/>
            </w:tcBorders>
            <w:shd w:val="clear" w:color="auto" w:fill="auto"/>
            <w:vAlign w:val="center"/>
          </w:tcPr>
          <w:p w14:paraId="6CCDA703" w14:textId="77777777" w:rsidR="0056738E" w:rsidRPr="0036074B" w:rsidRDefault="0056738E" w:rsidP="007C2AEE">
            <w:pPr>
              <w:shd w:val="clear" w:color="auto" w:fill="FFFFFF"/>
              <w:tabs>
                <w:tab w:val="right" w:pos="7560"/>
                <w:tab w:val="right" w:pos="9000"/>
              </w:tabs>
              <w:suppressAutoHyphens/>
              <w:spacing w:after="0" w:line="240" w:lineRule="auto"/>
              <w:ind w:left="-108"/>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3,257,398</w:t>
            </w:r>
          </w:p>
        </w:tc>
        <w:tc>
          <w:tcPr>
            <w:tcW w:w="1134" w:type="dxa"/>
            <w:tcBorders>
              <w:top w:val="nil"/>
              <w:left w:val="nil"/>
              <w:bottom w:val="single" w:sz="8" w:space="0" w:color="C0C0C0"/>
              <w:right w:val="single" w:sz="8" w:space="0" w:color="C0C0C0"/>
            </w:tcBorders>
            <w:shd w:val="clear" w:color="auto" w:fill="auto"/>
            <w:vAlign w:val="center"/>
          </w:tcPr>
          <w:p w14:paraId="288D0352"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211,915</w:t>
            </w:r>
          </w:p>
        </w:tc>
        <w:tc>
          <w:tcPr>
            <w:tcW w:w="1134" w:type="dxa"/>
            <w:tcBorders>
              <w:top w:val="nil"/>
              <w:left w:val="nil"/>
              <w:bottom w:val="single" w:sz="8" w:space="0" w:color="C0C0C0"/>
              <w:right w:val="single" w:sz="8" w:space="0" w:color="C0C0C0"/>
            </w:tcBorders>
            <w:shd w:val="clear" w:color="auto" w:fill="auto"/>
            <w:vAlign w:val="center"/>
          </w:tcPr>
          <w:p w14:paraId="44C5238D"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17,635</w:t>
            </w:r>
          </w:p>
        </w:tc>
        <w:tc>
          <w:tcPr>
            <w:tcW w:w="1304" w:type="dxa"/>
            <w:tcBorders>
              <w:top w:val="nil"/>
              <w:left w:val="nil"/>
              <w:bottom w:val="single" w:sz="8" w:space="0" w:color="C0C0C0"/>
              <w:right w:val="single" w:sz="8" w:space="0" w:color="C0C0C0"/>
            </w:tcBorders>
            <w:shd w:val="clear" w:color="auto" w:fill="auto"/>
            <w:vAlign w:val="center"/>
          </w:tcPr>
          <w:p w14:paraId="59F1ABFE"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9,711</w:t>
            </w:r>
          </w:p>
        </w:tc>
        <w:tc>
          <w:tcPr>
            <w:tcW w:w="1134" w:type="dxa"/>
            <w:tcBorders>
              <w:top w:val="nil"/>
              <w:left w:val="nil"/>
              <w:bottom w:val="single" w:sz="8" w:space="0" w:color="C0C0C0"/>
              <w:right w:val="single" w:sz="8" w:space="0" w:color="C0C0C0"/>
            </w:tcBorders>
            <w:shd w:val="clear" w:color="auto" w:fill="auto"/>
            <w:vAlign w:val="center"/>
          </w:tcPr>
          <w:p w14:paraId="27600BF6"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3,496,659</w:t>
            </w:r>
          </w:p>
        </w:tc>
      </w:tr>
      <w:tr w:rsidR="0056738E" w:rsidRPr="009F7AC3" w14:paraId="084C6430" w14:textId="77777777" w:rsidTr="007C2AEE">
        <w:trPr>
          <w:trHeight w:val="255"/>
          <w:jc w:val="center"/>
        </w:trPr>
        <w:tc>
          <w:tcPr>
            <w:tcW w:w="4195" w:type="dxa"/>
            <w:shd w:val="clear" w:color="auto" w:fill="auto"/>
            <w:vAlign w:val="center"/>
          </w:tcPr>
          <w:p w14:paraId="630CD57D"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val="el-GR" w:eastAsia="el-GR"/>
              </w:rPr>
              <w:t>- καταναλωτικά, πιστωτικές κάρτες και λοιπά</w:t>
            </w:r>
          </w:p>
        </w:tc>
        <w:tc>
          <w:tcPr>
            <w:tcW w:w="1134" w:type="dxa"/>
            <w:tcBorders>
              <w:top w:val="nil"/>
              <w:left w:val="nil"/>
              <w:bottom w:val="single" w:sz="8" w:space="0" w:color="C0C0C0"/>
              <w:right w:val="single" w:sz="8" w:space="0" w:color="C0C0C0"/>
            </w:tcBorders>
            <w:shd w:val="clear" w:color="auto" w:fill="auto"/>
            <w:vAlign w:val="center"/>
          </w:tcPr>
          <w:p w14:paraId="7E66F8DE" w14:textId="77777777" w:rsidR="0056738E" w:rsidRPr="00F012C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val="el-GR" w:eastAsia="en-US"/>
              </w:rPr>
            </w:pPr>
            <w:r>
              <w:rPr>
                <w:rFonts w:ascii="Arial" w:eastAsia="Batang" w:hAnsi="Arial" w:cs="Arial"/>
                <w:bCs/>
                <w:color w:val="262626"/>
                <w:sz w:val="18"/>
                <w:szCs w:val="18"/>
                <w:lang w:eastAsia="en-US"/>
              </w:rPr>
              <w:t>932,486</w:t>
            </w:r>
          </w:p>
        </w:tc>
        <w:tc>
          <w:tcPr>
            <w:tcW w:w="1134" w:type="dxa"/>
            <w:tcBorders>
              <w:top w:val="nil"/>
              <w:left w:val="nil"/>
              <w:bottom w:val="single" w:sz="8" w:space="0" w:color="C0C0C0"/>
              <w:right w:val="single" w:sz="8" w:space="0" w:color="C0C0C0"/>
            </w:tcBorders>
            <w:shd w:val="clear" w:color="auto" w:fill="auto"/>
            <w:vAlign w:val="center"/>
          </w:tcPr>
          <w:p w14:paraId="4F666265" w14:textId="77777777" w:rsidR="0056738E" w:rsidRPr="00F012C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val="el-GR" w:eastAsia="en-US"/>
              </w:rPr>
            </w:pPr>
            <w:r>
              <w:rPr>
                <w:rFonts w:ascii="Arial" w:eastAsia="Batang" w:hAnsi="Arial" w:cs="Arial"/>
                <w:bCs/>
                <w:color w:val="262626"/>
                <w:sz w:val="18"/>
                <w:szCs w:val="18"/>
                <w:lang w:eastAsia="en-US"/>
              </w:rPr>
              <w:t>85,453</w:t>
            </w:r>
          </w:p>
        </w:tc>
        <w:tc>
          <w:tcPr>
            <w:tcW w:w="1134" w:type="dxa"/>
            <w:tcBorders>
              <w:top w:val="nil"/>
              <w:left w:val="nil"/>
              <w:bottom w:val="single" w:sz="8" w:space="0" w:color="C0C0C0"/>
              <w:right w:val="single" w:sz="8" w:space="0" w:color="C0C0C0"/>
            </w:tcBorders>
            <w:shd w:val="clear" w:color="auto" w:fill="auto"/>
            <w:vAlign w:val="center"/>
          </w:tcPr>
          <w:p w14:paraId="25D99F60" w14:textId="77777777" w:rsidR="0056738E" w:rsidRPr="00F012C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val="el-GR" w:eastAsia="en-US"/>
              </w:rPr>
            </w:pPr>
            <w:r>
              <w:rPr>
                <w:rFonts w:ascii="Arial" w:eastAsia="Batang" w:hAnsi="Arial" w:cs="Arial"/>
                <w:bCs/>
                <w:color w:val="262626"/>
                <w:sz w:val="18"/>
                <w:szCs w:val="18"/>
                <w:lang w:eastAsia="en-US"/>
              </w:rPr>
              <w:t>7,753</w:t>
            </w:r>
          </w:p>
        </w:tc>
        <w:tc>
          <w:tcPr>
            <w:tcW w:w="1304" w:type="dxa"/>
            <w:tcBorders>
              <w:top w:val="nil"/>
              <w:left w:val="nil"/>
              <w:bottom w:val="single" w:sz="8" w:space="0" w:color="C0C0C0"/>
              <w:right w:val="single" w:sz="8" w:space="0" w:color="C0C0C0"/>
            </w:tcBorders>
            <w:shd w:val="clear" w:color="auto" w:fill="auto"/>
            <w:vAlign w:val="center"/>
          </w:tcPr>
          <w:p w14:paraId="28C3E1D2" w14:textId="77777777" w:rsidR="0056738E" w:rsidRPr="00F012C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val="el-GR" w:eastAsia="en-US"/>
              </w:rPr>
            </w:pPr>
            <w:r>
              <w:rPr>
                <w:rFonts w:ascii="Arial" w:eastAsia="Batang" w:hAnsi="Arial" w:cs="Arial"/>
                <w:bCs/>
                <w:color w:val="262626"/>
                <w:sz w:val="18"/>
                <w:szCs w:val="18"/>
                <w:lang w:eastAsia="en-US"/>
              </w:rPr>
              <w:t>11,067</w:t>
            </w:r>
          </w:p>
        </w:tc>
        <w:tc>
          <w:tcPr>
            <w:tcW w:w="1134" w:type="dxa"/>
            <w:tcBorders>
              <w:top w:val="nil"/>
              <w:left w:val="nil"/>
              <w:bottom w:val="single" w:sz="8" w:space="0" w:color="C0C0C0"/>
              <w:right w:val="single" w:sz="8" w:space="0" w:color="C0C0C0"/>
            </w:tcBorders>
            <w:shd w:val="clear" w:color="auto" w:fill="auto"/>
            <w:vAlign w:val="center"/>
          </w:tcPr>
          <w:p w14:paraId="7DBAF4C0" w14:textId="77777777" w:rsidR="0056738E" w:rsidRPr="00F012C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1,036,759</w:t>
            </w:r>
          </w:p>
        </w:tc>
      </w:tr>
      <w:tr w:rsidR="0056738E" w:rsidRPr="00295155" w14:paraId="1A9B5664" w14:textId="77777777" w:rsidTr="007C2AEE">
        <w:trPr>
          <w:trHeight w:val="255"/>
          <w:jc w:val="center"/>
        </w:trPr>
        <w:tc>
          <w:tcPr>
            <w:tcW w:w="4195" w:type="dxa"/>
            <w:vAlign w:val="center"/>
          </w:tcPr>
          <w:p w14:paraId="75AC316B"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val="el-GR" w:eastAsia="el-GR"/>
              </w:rPr>
              <w:t>Αναδιαρθρώσεις χρεών</w:t>
            </w:r>
          </w:p>
        </w:tc>
        <w:tc>
          <w:tcPr>
            <w:tcW w:w="1134" w:type="dxa"/>
            <w:tcBorders>
              <w:top w:val="nil"/>
              <w:left w:val="nil"/>
              <w:bottom w:val="single" w:sz="8" w:space="0" w:color="C0C0C0"/>
              <w:right w:val="single" w:sz="8" w:space="0" w:color="C0C0C0"/>
            </w:tcBorders>
            <w:shd w:val="clear" w:color="auto" w:fill="auto"/>
            <w:vAlign w:val="center"/>
          </w:tcPr>
          <w:p w14:paraId="69F0C79C"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p>
        </w:tc>
        <w:tc>
          <w:tcPr>
            <w:tcW w:w="1134" w:type="dxa"/>
            <w:tcBorders>
              <w:top w:val="nil"/>
              <w:left w:val="nil"/>
              <w:bottom w:val="single" w:sz="8" w:space="0" w:color="C0C0C0"/>
              <w:right w:val="single" w:sz="8" w:space="0" w:color="C0C0C0"/>
            </w:tcBorders>
            <w:shd w:val="clear" w:color="auto" w:fill="auto"/>
            <w:vAlign w:val="center"/>
          </w:tcPr>
          <w:p w14:paraId="5526A1AF"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p>
        </w:tc>
        <w:tc>
          <w:tcPr>
            <w:tcW w:w="1134" w:type="dxa"/>
            <w:tcBorders>
              <w:top w:val="nil"/>
              <w:left w:val="nil"/>
              <w:bottom w:val="single" w:sz="8" w:space="0" w:color="C0C0C0"/>
              <w:right w:val="single" w:sz="8" w:space="0" w:color="C0C0C0"/>
            </w:tcBorders>
            <w:shd w:val="clear" w:color="auto" w:fill="auto"/>
            <w:vAlign w:val="center"/>
          </w:tcPr>
          <w:p w14:paraId="461593A3"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p>
        </w:tc>
        <w:tc>
          <w:tcPr>
            <w:tcW w:w="1304" w:type="dxa"/>
            <w:tcBorders>
              <w:top w:val="nil"/>
              <w:left w:val="nil"/>
              <w:bottom w:val="single" w:sz="8" w:space="0" w:color="C0C0C0"/>
              <w:right w:val="single" w:sz="8" w:space="0" w:color="C0C0C0"/>
            </w:tcBorders>
            <w:shd w:val="clear" w:color="auto" w:fill="auto"/>
            <w:vAlign w:val="center"/>
          </w:tcPr>
          <w:p w14:paraId="44CD9E9E"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p>
        </w:tc>
        <w:tc>
          <w:tcPr>
            <w:tcW w:w="1134" w:type="dxa"/>
            <w:tcBorders>
              <w:top w:val="nil"/>
              <w:left w:val="nil"/>
              <w:bottom w:val="single" w:sz="8" w:space="0" w:color="C0C0C0"/>
              <w:right w:val="single" w:sz="8" w:space="0" w:color="C0C0C0"/>
            </w:tcBorders>
            <w:shd w:val="clear" w:color="auto" w:fill="auto"/>
            <w:vAlign w:val="center"/>
          </w:tcPr>
          <w:p w14:paraId="1F4AFB67"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eastAsia="en-US"/>
              </w:rPr>
            </w:pPr>
          </w:p>
        </w:tc>
      </w:tr>
      <w:tr w:rsidR="0056738E" w:rsidRPr="00295155" w14:paraId="2E201794" w14:textId="77777777" w:rsidTr="007C2AEE">
        <w:trPr>
          <w:trHeight w:val="255"/>
          <w:jc w:val="center"/>
        </w:trPr>
        <w:tc>
          <w:tcPr>
            <w:tcW w:w="4195" w:type="dxa"/>
            <w:vAlign w:val="center"/>
          </w:tcPr>
          <w:p w14:paraId="544E081A"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μεγάλες επιχειρήσεις</w:t>
            </w:r>
          </w:p>
        </w:tc>
        <w:tc>
          <w:tcPr>
            <w:tcW w:w="1134" w:type="dxa"/>
            <w:tcBorders>
              <w:top w:val="nil"/>
              <w:left w:val="nil"/>
              <w:bottom w:val="single" w:sz="8" w:space="0" w:color="C0C0C0"/>
              <w:right w:val="single" w:sz="8" w:space="0" w:color="C0C0C0"/>
            </w:tcBorders>
            <w:shd w:val="clear" w:color="auto" w:fill="auto"/>
            <w:vAlign w:val="center"/>
          </w:tcPr>
          <w:p w14:paraId="5099BC1D" w14:textId="77777777" w:rsidR="0056738E" w:rsidRPr="0036074B"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1,399</w:t>
            </w:r>
          </w:p>
        </w:tc>
        <w:tc>
          <w:tcPr>
            <w:tcW w:w="1134" w:type="dxa"/>
            <w:tcBorders>
              <w:top w:val="nil"/>
              <w:left w:val="nil"/>
              <w:bottom w:val="single" w:sz="8" w:space="0" w:color="C0C0C0"/>
              <w:right w:val="single" w:sz="8" w:space="0" w:color="C0C0C0"/>
            </w:tcBorders>
            <w:shd w:val="clear" w:color="auto" w:fill="auto"/>
            <w:vAlign w:val="center"/>
          </w:tcPr>
          <w:p w14:paraId="34D2893D" w14:textId="77777777" w:rsidR="0056738E" w:rsidRPr="0036074B"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4,347</w:t>
            </w:r>
          </w:p>
        </w:tc>
        <w:tc>
          <w:tcPr>
            <w:tcW w:w="1134" w:type="dxa"/>
            <w:tcBorders>
              <w:top w:val="nil"/>
              <w:left w:val="nil"/>
              <w:bottom w:val="single" w:sz="8" w:space="0" w:color="C0C0C0"/>
              <w:right w:val="single" w:sz="8" w:space="0" w:color="C0C0C0"/>
            </w:tcBorders>
            <w:shd w:val="clear" w:color="auto" w:fill="auto"/>
            <w:vAlign w:val="center"/>
          </w:tcPr>
          <w:p w14:paraId="0BE7C7CC"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2,293</w:t>
            </w:r>
          </w:p>
        </w:tc>
        <w:tc>
          <w:tcPr>
            <w:tcW w:w="1304" w:type="dxa"/>
            <w:tcBorders>
              <w:top w:val="nil"/>
              <w:left w:val="nil"/>
              <w:bottom w:val="single" w:sz="8" w:space="0" w:color="C0C0C0"/>
              <w:right w:val="single" w:sz="8" w:space="0" w:color="C0C0C0"/>
            </w:tcBorders>
            <w:shd w:val="clear" w:color="auto" w:fill="auto"/>
            <w:vAlign w:val="center"/>
          </w:tcPr>
          <w:p w14:paraId="55E8A065"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9,967</w:t>
            </w:r>
          </w:p>
        </w:tc>
        <w:tc>
          <w:tcPr>
            <w:tcW w:w="1134" w:type="dxa"/>
            <w:tcBorders>
              <w:top w:val="nil"/>
              <w:left w:val="nil"/>
              <w:bottom w:val="single" w:sz="8" w:space="0" w:color="C0C0C0"/>
              <w:right w:val="single" w:sz="8" w:space="0" w:color="C0C0C0"/>
            </w:tcBorders>
            <w:shd w:val="clear" w:color="auto" w:fill="auto"/>
            <w:vAlign w:val="center"/>
          </w:tcPr>
          <w:p w14:paraId="585E20E0"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18,006</w:t>
            </w:r>
          </w:p>
        </w:tc>
      </w:tr>
      <w:tr w:rsidR="0056738E" w:rsidRPr="00295155" w14:paraId="51A1863B" w14:textId="77777777" w:rsidTr="007C2AEE">
        <w:trPr>
          <w:trHeight w:val="255"/>
          <w:jc w:val="center"/>
        </w:trPr>
        <w:tc>
          <w:tcPr>
            <w:tcW w:w="4195" w:type="dxa"/>
            <w:shd w:val="clear" w:color="auto" w:fill="FFFFFF"/>
            <w:vAlign w:val="center"/>
          </w:tcPr>
          <w:p w14:paraId="20355951"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μικρομεσαίες επιχειρήσεις</w:t>
            </w:r>
          </w:p>
        </w:tc>
        <w:tc>
          <w:tcPr>
            <w:tcW w:w="1134" w:type="dxa"/>
            <w:tcBorders>
              <w:top w:val="nil"/>
              <w:left w:val="nil"/>
              <w:bottom w:val="single" w:sz="8" w:space="0" w:color="C0C0C0"/>
              <w:right w:val="single" w:sz="8" w:space="0" w:color="C0C0C0"/>
            </w:tcBorders>
            <w:shd w:val="clear" w:color="auto" w:fill="auto"/>
            <w:vAlign w:val="center"/>
          </w:tcPr>
          <w:p w14:paraId="39B03604"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8,289</w:t>
            </w:r>
          </w:p>
        </w:tc>
        <w:tc>
          <w:tcPr>
            <w:tcW w:w="1134" w:type="dxa"/>
            <w:tcBorders>
              <w:top w:val="nil"/>
              <w:left w:val="nil"/>
              <w:bottom w:val="single" w:sz="8" w:space="0" w:color="C0C0C0"/>
              <w:right w:val="single" w:sz="8" w:space="0" w:color="C0C0C0"/>
            </w:tcBorders>
            <w:shd w:val="clear" w:color="auto" w:fill="auto"/>
            <w:vAlign w:val="center"/>
          </w:tcPr>
          <w:p w14:paraId="38151D22"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2,941</w:t>
            </w:r>
          </w:p>
        </w:tc>
        <w:tc>
          <w:tcPr>
            <w:tcW w:w="1134" w:type="dxa"/>
            <w:tcBorders>
              <w:top w:val="nil"/>
              <w:left w:val="nil"/>
              <w:bottom w:val="single" w:sz="8" w:space="0" w:color="C0C0C0"/>
              <w:right w:val="single" w:sz="8" w:space="0" w:color="C0C0C0"/>
            </w:tcBorders>
            <w:shd w:val="clear" w:color="auto" w:fill="auto"/>
            <w:vAlign w:val="center"/>
          </w:tcPr>
          <w:p w14:paraId="1D0B677D"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9,293</w:t>
            </w:r>
          </w:p>
        </w:tc>
        <w:tc>
          <w:tcPr>
            <w:tcW w:w="1304" w:type="dxa"/>
            <w:tcBorders>
              <w:top w:val="nil"/>
              <w:left w:val="nil"/>
              <w:bottom w:val="single" w:sz="8" w:space="0" w:color="C0C0C0"/>
              <w:right w:val="single" w:sz="8" w:space="0" w:color="C0C0C0"/>
            </w:tcBorders>
            <w:shd w:val="clear" w:color="auto" w:fill="auto"/>
            <w:vAlign w:val="center"/>
          </w:tcPr>
          <w:p w14:paraId="598DDA7C"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2,383</w:t>
            </w:r>
          </w:p>
        </w:tc>
        <w:tc>
          <w:tcPr>
            <w:tcW w:w="1134" w:type="dxa"/>
            <w:tcBorders>
              <w:top w:val="nil"/>
              <w:left w:val="nil"/>
              <w:bottom w:val="single" w:sz="8" w:space="0" w:color="C0C0C0"/>
              <w:right w:val="single" w:sz="8" w:space="0" w:color="C0C0C0"/>
            </w:tcBorders>
            <w:shd w:val="clear" w:color="auto" w:fill="auto"/>
            <w:vAlign w:val="center"/>
          </w:tcPr>
          <w:p w14:paraId="3203AA1A" w14:textId="77777777" w:rsidR="0056738E" w:rsidRPr="0036074B" w:rsidRDefault="0056738E" w:rsidP="007C2AEE">
            <w:pPr>
              <w:shd w:val="clear" w:color="auto" w:fill="FFFFFF"/>
              <w:tabs>
                <w:tab w:val="center" w:pos="4320"/>
                <w:tab w:val="right" w:pos="8640"/>
              </w:tab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22,906</w:t>
            </w:r>
          </w:p>
        </w:tc>
      </w:tr>
      <w:tr w:rsidR="0056738E" w:rsidRPr="00295155" w14:paraId="077EEE9E" w14:textId="77777777" w:rsidTr="007C2AEE">
        <w:trPr>
          <w:trHeight w:val="255"/>
          <w:jc w:val="center"/>
        </w:trPr>
        <w:tc>
          <w:tcPr>
            <w:tcW w:w="4195" w:type="dxa"/>
            <w:shd w:val="clear" w:color="auto" w:fill="FFFFFF"/>
            <w:vAlign w:val="center"/>
          </w:tcPr>
          <w:p w14:paraId="3CA756A8"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στεγαστικά</w:t>
            </w:r>
          </w:p>
        </w:tc>
        <w:tc>
          <w:tcPr>
            <w:tcW w:w="1134" w:type="dxa"/>
            <w:tcBorders>
              <w:top w:val="nil"/>
              <w:left w:val="nil"/>
              <w:bottom w:val="single" w:sz="8" w:space="0" w:color="C0C0C0"/>
              <w:right w:val="single" w:sz="8" w:space="0" w:color="C0C0C0"/>
            </w:tcBorders>
            <w:shd w:val="clear" w:color="auto" w:fill="auto"/>
            <w:vAlign w:val="center"/>
          </w:tcPr>
          <w:p w14:paraId="7AB440F9"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5,694</w:t>
            </w:r>
          </w:p>
        </w:tc>
        <w:tc>
          <w:tcPr>
            <w:tcW w:w="1134" w:type="dxa"/>
            <w:tcBorders>
              <w:top w:val="nil"/>
              <w:left w:val="nil"/>
              <w:bottom w:val="single" w:sz="8" w:space="0" w:color="C0C0C0"/>
              <w:right w:val="single" w:sz="8" w:space="0" w:color="C0C0C0"/>
            </w:tcBorders>
            <w:shd w:val="clear" w:color="auto" w:fill="auto"/>
            <w:vAlign w:val="center"/>
          </w:tcPr>
          <w:p w14:paraId="702D7768"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7,201</w:t>
            </w:r>
          </w:p>
        </w:tc>
        <w:tc>
          <w:tcPr>
            <w:tcW w:w="1134" w:type="dxa"/>
            <w:tcBorders>
              <w:top w:val="nil"/>
              <w:left w:val="nil"/>
              <w:bottom w:val="single" w:sz="8" w:space="0" w:color="C0C0C0"/>
              <w:right w:val="single" w:sz="8" w:space="0" w:color="C0C0C0"/>
            </w:tcBorders>
            <w:shd w:val="clear" w:color="auto" w:fill="auto"/>
            <w:vAlign w:val="center"/>
          </w:tcPr>
          <w:p w14:paraId="1B4AC0CD"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32,236</w:t>
            </w:r>
          </w:p>
        </w:tc>
        <w:tc>
          <w:tcPr>
            <w:tcW w:w="1304" w:type="dxa"/>
            <w:tcBorders>
              <w:top w:val="nil"/>
              <w:left w:val="nil"/>
              <w:bottom w:val="single" w:sz="8" w:space="0" w:color="C0C0C0"/>
              <w:right w:val="single" w:sz="8" w:space="0" w:color="C0C0C0"/>
            </w:tcBorders>
            <w:shd w:val="clear" w:color="auto" w:fill="auto"/>
            <w:vAlign w:val="center"/>
          </w:tcPr>
          <w:p w14:paraId="1DD3413B"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1,483</w:t>
            </w:r>
          </w:p>
        </w:tc>
        <w:tc>
          <w:tcPr>
            <w:tcW w:w="1134" w:type="dxa"/>
            <w:tcBorders>
              <w:top w:val="nil"/>
              <w:left w:val="nil"/>
              <w:bottom w:val="single" w:sz="8" w:space="0" w:color="C0C0C0"/>
              <w:right w:val="single" w:sz="8" w:space="0" w:color="C0C0C0"/>
            </w:tcBorders>
            <w:shd w:val="clear" w:color="auto" w:fill="auto"/>
            <w:vAlign w:val="center"/>
          </w:tcPr>
          <w:p w14:paraId="4C7A3638" w14:textId="77777777" w:rsidR="0056738E" w:rsidRPr="0036074B" w:rsidRDefault="0056738E" w:rsidP="007C2AEE">
            <w:pPr>
              <w:shd w:val="clear" w:color="auto" w:fill="FFFFFF"/>
              <w:tabs>
                <w:tab w:val="center" w:pos="4320"/>
                <w:tab w:val="right" w:pos="8640"/>
              </w:tab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46,614</w:t>
            </w:r>
          </w:p>
        </w:tc>
      </w:tr>
      <w:tr w:rsidR="0056738E" w:rsidRPr="00295155" w14:paraId="4B21533C" w14:textId="77777777" w:rsidTr="007C2AEE">
        <w:trPr>
          <w:trHeight w:val="255"/>
          <w:jc w:val="center"/>
        </w:trPr>
        <w:tc>
          <w:tcPr>
            <w:tcW w:w="4195" w:type="dxa"/>
            <w:shd w:val="clear" w:color="auto" w:fill="FFFFFF"/>
            <w:vAlign w:val="center"/>
          </w:tcPr>
          <w:p w14:paraId="2B94E8EF"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λοιπά καταναλωτικά</w:t>
            </w:r>
          </w:p>
        </w:tc>
        <w:tc>
          <w:tcPr>
            <w:tcW w:w="1134" w:type="dxa"/>
            <w:tcBorders>
              <w:top w:val="nil"/>
              <w:left w:val="nil"/>
              <w:bottom w:val="single" w:sz="8" w:space="0" w:color="C0C0C0"/>
              <w:right w:val="single" w:sz="8" w:space="0" w:color="C0C0C0"/>
            </w:tcBorders>
            <w:shd w:val="clear" w:color="auto" w:fill="auto"/>
            <w:vAlign w:val="center"/>
          </w:tcPr>
          <w:p w14:paraId="0AB8E1E2"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1,904</w:t>
            </w:r>
          </w:p>
        </w:tc>
        <w:tc>
          <w:tcPr>
            <w:tcW w:w="1134" w:type="dxa"/>
            <w:tcBorders>
              <w:top w:val="nil"/>
              <w:left w:val="nil"/>
              <w:bottom w:val="single" w:sz="8" w:space="0" w:color="C0C0C0"/>
              <w:right w:val="single" w:sz="8" w:space="0" w:color="C0C0C0"/>
            </w:tcBorders>
            <w:shd w:val="clear" w:color="auto" w:fill="auto"/>
            <w:vAlign w:val="center"/>
          </w:tcPr>
          <w:p w14:paraId="71BE5265"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831</w:t>
            </w:r>
          </w:p>
        </w:tc>
        <w:tc>
          <w:tcPr>
            <w:tcW w:w="1134" w:type="dxa"/>
            <w:tcBorders>
              <w:top w:val="nil"/>
              <w:left w:val="nil"/>
              <w:bottom w:val="single" w:sz="8" w:space="0" w:color="C0C0C0"/>
              <w:right w:val="single" w:sz="8" w:space="0" w:color="C0C0C0"/>
            </w:tcBorders>
            <w:shd w:val="clear" w:color="auto" w:fill="auto"/>
            <w:vAlign w:val="center"/>
          </w:tcPr>
          <w:p w14:paraId="2D6BEED8"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12,858</w:t>
            </w:r>
          </w:p>
        </w:tc>
        <w:tc>
          <w:tcPr>
            <w:tcW w:w="1304" w:type="dxa"/>
            <w:tcBorders>
              <w:top w:val="nil"/>
              <w:left w:val="nil"/>
              <w:bottom w:val="single" w:sz="8" w:space="0" w:color="C0C0C0"/>
              <w:right w:val="single" w:sz="8" w:space="0" w:color="C0C0C0"/>
            </w:tcBorders>
            <w:shd w:val="clear" w:color="auto" w:fill="auto"/>
            <w:vAlign w:val="center"/>
          </w:tcPr>
          <w:p w14:paraId="20B69B94"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689</w:t>
            </w:r>
          </w:p>
        </w:tc>
        <w:tc>
          <w:tcPr>
            <w:tcW w:w="1134" w:type="dxa"/>
            <w:tcBorders>
              <w:top w:val="nil"/>
              <w:left w:val="nil"/>
              <w:bottom w:val="single" w:sz="8" w:space="0" w:color="C0C0C0"/>
              <w:right w:val="single" w:sz="8" w:space="0" w:color="C0C0C0"/>
            </w:tcBorders>
            <w:shd w:val="clear" w:color="auto" w:fill="auto"/>
            <w:vAlign w:val="center"/>
          </w:tcPr>
          <w:p w14:paraId="187B3EB5" w14:textId="77777777" w:rsidR="0056738E" w:rsidRPr="0036074B" w:rsidRDefault="0056738E" w:rsidP="007C2AEE">
            <w:pPr>
              <w:shd w:val="clear" w:color="auto" w:fill="FFFFFF"/>
              <w:tabs>
                <w:tab w:val="center" w:pos="4320"/>
                <w:tab w:val="right" w:pos="8640"/>
              </w:tab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16,282</w:t>
            </w:r>
          </w:p>
        </w:tc>
      </w:tr>
      <w:tr w:rsidR="0056738E" w:rsidRPr="00295155" w14:paraId="69CFAA65" w14:textId="77777777" w:rsidTr="007C2AEE">
        <w:trPr>
          <w:trHeight w:val="255"/>
          <w:jc w:val="center"/>
        </w:trPr>
        <w:tc>
          <w:tcPr>
            <w:tcW w:w="4195" w:type="dxa"/>
            <w:shd w:val="clear" w:color="auto" w:fill="FFFFFF"/>
            <w:vAlign w:val="center"/>
          </w:tcPr>
          <w:p w14:paraId="58830873"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val="el-GR" w:eastAsia="el-GR"/>
              </w:rPr>
              <w:t>Ανακτήσεις χρεών</w:t>
            </w:r>
          </w:p>
        </w:tc>
        <w:tc>
          <w:tcPr>
            <w:tcW w:w="1134" w:type="dxa"/>
            <w:tcBorders>
              <w:top w:val="nil"/>
              <w:left w:val="nil"/>
              <w:bottom w:val="single" w:sz="8" w:space="0" w:color="C0C0C0"/>
              <w:right w:val="single" w:sz="8" w:space="0" w:color="C0C0C0"/>
            </w:tcBorders>
            <w:shd w:val="clear" w:color="auto" w:fill="auto"/>
            <w:vAlign w:val="center"/>
          </w:tcPr>
          <w:p w14:paraId="35E813F2"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p>
        </w:tc>
        <w:tc>
          <w:tcPr>
            <w:tcW w:w="1134" w:type="dxa"/>
            <w:tcBorders>
              <w:top w:val="nil"/>
              <w:left w:val="nil"/>
              <w:bottom w:val="single" w:sz="8" w:space="0" w:color="C0C0C0"/>
              <w:right w:val="single" w:sz="8" w:space="0" w:color="C0C0C0"/>
            </w:tcBorders>
            <w:shd w:val="clear" w:color="auto" w:fill="auto"/>
            <w:vAlign w:val="center"/>
          </w:tcPr>
          <w:p w14:paraId="23520189"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p>
        </w:tc>
        <w:tc>
          <w:tcPr>
            <w:tcW w:w="1134" w:type="dxa"/>
            <w:tcBorders>
              <w:top w:val="nil"/>
              <w:left w:val="nil"/>
              <w:bottom w:val="single" w:sz="8" w:space="0" w:color="C0C0C0"/>
              <w:right w:val="single" w:sz="8" w:space="0" w:color="C0C0C0"/>
            </w:tcBorders>
            <w:shd w:val="clear" w:color="auto" w:fill="auto"/>
            <w:vAlign w:val="center"/>
          </w:tcPr>
          <w:p w14:paraId="1C119759"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p>
        </w:tc>
        <w:tc>
          <w:tcPr>
            <w:tcW w:w="1304" w:type="dxa"/>
            <w:tcBorders>
              <w:top w:val="nil"/>
              <w:left w:val="nil"/>
              <w:bottom w:val="single" w:sz="8" w:space="0" w:color="C0C0C0"/>
              <w:right w:val="single" w:sz="8" w:space="0" w:color="C0C0C0"/>
            </w:tcBorders>
            <w:shd w:val="clear" w:color="auto" w:fill="auto"/>
            <w:vAlign w:val="center"/>
          </w:tcPr>
          <w:p w14:paraId="69E7FC1C"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p>
        </w:tc>
        <w:tc>
          <w:tcPr>
            <w:tcW w:w="1134" w:type="dxa"/>
            <w:tcBorders>
              <w:top w:val="nil"/>
              <w:left w:val="nil"/>
              <w:bottom w:val="single" w:sz="8" w:space="0" w:color="C0C0C0"/>
              <w:right w:val="single" w:sz="8" w:space="0" w:color="C0C0C0"/>
            </w:tcBorders>
            <w:shd w:val="clear" w:color="auto" w:fill="auto"/>
            <w:vAlign w:val="center"/>
          </w:tcPr>
          <w:p w14:paraId="03BFA2A8"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eastAsia="en-US"/>
              </w:rPr>
            </w:pPr>
          </w:p>
        </w:tc>
      </w:tr>
      <w:tr w:rsidR="0056738E" w:rsidRPr="00295155" w14:paraId="2B5E5D9B" w14:textId="77777777" w:rsidTr="007C2AEE">
        <w:trPr>
          <w:trHeight w:val="255"/>
          <w:jc w:val="center"/>
        </w:trPr>
        <w:tc>
          <w:tcPr>
            <w:tcW w:w="4195" w:type="dxa"/>
            <w:shd w:val="clear" w:color="auto" w:fill="FFFFFF"/>
            <w:vAlign w:val="center"/>
          </w:tcPr>
          <w:p w14:paraId="5EC8DAB4"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μεγάλες επιχειρήσεις</w:t>
            </w:r>
          </w:p>
        </w:tc>
        <w:tc>
          <w:tcPr>
            <w:tcW w:w="1134" w:type="dxa"/>
            <w:tcBorders>
              <w:top w:val="nil"/>
              <w:left w:val="nil"/>
              <w:bottom w:val="single" w:sz="8" w:space="0" w:color="C0C0C0"/>
              <w:right w:val="single" w:sz="8" w:space="0" w:color="C0C0C0"/>
            </w:tcBorders>
            <w:shd w:val="clear" w:color="auto" w:fill="auto"/>
            <w:vAlign w:val="center"/>
          </w:tcPr>
          <w:p w14:paraId="5A7B0873"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w:t>
            </w:r>
          </w:p>
        </w:tc>
        <w:tc>
          <w:tcPr>
            <w:tcW w:w="1134" w:type="dxa"/>
            <w:tcBorders>
              <w:top w:val="nil"/>
              <w:left w:val="nil"/>
              <w:bottom w:val="single" w:sz="8" w:space="0" w:color="C0C0C0"/>
              <w:right w:val="single" w:sz="8" w:space="0" w:color="C0C0C0"/>
            </w:tcBorders>
            <w:shd w:val="clear" w:color="auto" w:fill="auto"/>
            <w:vAlign w:val="center"/>
          </w:tcPr>
          <w:p w14:paraId="3D00148C"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w:t>
            </w:r>
          </w:p>
        </w:tc>
        <w:tc>
          <w:tcPr>
            <w:tcW w:w="1134" w:type="dxa"/>
            <w:tcBorders>
              <w:top w:val="nil"/>
              <w:left w:val="nil"/>
              <w:bottom w:val="single" w:sz="8" w:space="0" w:color="C0C0C0"/>
              <w:right w:val="single" w:sz="8" w:space="0" w:color="C0C0C0"/>
            </w:tcBorders>
            <w:shd w:val="clear" w:color="auto" w:fill="auto"/>
            <w:vAlign w:val="center"/>
          </w:tcPr>
          <w:p w14:paraId="4721007F"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3,764</w:t>
            </w:r>
          </w:p>
        </w:tc>
        <w:tc>
          <w:tcPr>
            <w:tcW w:w="1304" w:type="dxa"/>
            <w:tcBorders>
              <w:top w:val="nil"/>
              <w:left w:val="nil"/>
              <w:bottom w:val="single" w:sz="8" w:space="0" w:color="C0C0C0"/>
              <w:right w:val="single" w:sz="8" w:space="0" w:color="C0C0C0"/>
            </w:tcBorders>
            <w:shd w:val="clear" w:color="auto" w:fill="auto"/>
            <w:vAlign w:val="center"/>
          </w:tcPr>
          <w:p w14:paraId="581CE678"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744</w:t>
            </w:r>
          </w:p>
        </w:tc>
        <w:tc>
          <w:tcPr>
            <w:tcW w:w="1134" w:type="dxa"/>
            <w:tcBorders>
              <w:top w:val="nil"/>
              <w:left w:val="nil"/>
              <w:bottom w:val="single" w:sz="8" w:space="0" w:color="C0C0C0"/>
              <w:right w:val="single" w:sz="8" w:space="0" w:color="C0C0C0"/>
            </w:tcBorders>
            <w:shd w:val="clear" w:color="auto" w:fill="auto"/>
            <w:vAlign w:val="center"/>
          </w:tcPr>
          <w:p w14:paraId="67C27DBB"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4,508</w:t>
            </w:r>
          </w:p>
        </w:tc>
      </w:tr>
      <w:tr w:rsidR="0056738E" w:rsidRPr="00295155" w14:paraId="1D270846" w14:textId="77777777" w:rsidTr="007C2AEE">
        <w:trPr>
          <w:trHeight w:val="255"/>
          <w:jc w:val="center"/>
        </w:trPr>
        <w:tc>
          <w:tcPr>
            <w:tcW w:w="4195" w:type="dxa"/>
            <w:shd w:val="clear" w:color="auto" w:fill="FFFFFF"/>
            <w:vAlign w:val="center"/>
          </w:tcPr>
          <w:p w14:paraId="5E39C1A6"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μικρομεσαίες επιχειρήσεις</w:t>
            </w:r>
          </w:p>
        </w:tc>
        <w:tc>
          <w:tcPr>
            <w:tcW w:w="1134" w:type="dxa"/>
            <w:tcBorders>
              <w:top w:val="nil"/>
              <w:left w:val="nil"/>
              <w:bottom w:val="single" w:sz="8" w:space="0" w:color="C0C0C0"/>
              <w:right w:val="single" w:sz="8" w:space="0" w:color="C0C0C0"/>
            </w:tcBorders>
            <w:shd w:val="clear" w:color="auto" w:fill="auto"/>
            <w:vAlign w:val="center"/>
          </w:tcPr>
          <w:p w14:paraId="68C6DBF0"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w:t>
            </w:r>
          </w:p>
        </w:tc>
        <w:tc>
          <w:tcPr>
            <w:tcW w:w="1134" w:type="dxa"/>
            <w:tcBorders>
              <w:top w:val="nil"/>
              <w:left w:val="nil"/>
              <w:bottom w:val="single" w:sz="8" w:space="0" w:color="C0C0C0"/>
              <w:right w:val="single" w:sz="8" w:space="0" w:color="C0C0C0"/>
            </w:tcBorders>
            <w:shd w:val="clear" w:color="auto" w:fill="auto"/>
            <w:vAlign w:val="center"/>
          </w:tcPr>
          <w:p w14:paraId="2FF06FD6"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w:t>
            </w:r>
          </w:p>
        </w:tc>
        <w:tc>
          <w:tcPr>
            <w:tcW w:w="1134" w:type="dxa"/>
            <w:tcBorders>
              <w:top w:val="nil"/>
              <w:left w:val="nil"/>
              <w:bottom w:val="single" w:sz="8" w:space="0" w:color="C0C0C0"/>
              <w:right w:val="single" w:sz="8" w:space="0" w:color="C0C0C0"/>
            </w:tcBorders>
            <w:shd w:val="clear" w:color="auto" w:fill="auto"/>
            <w:vAlign w:val="center"/>
          </w:tcPr>
          <w:p w14:paraId="35FF42EE"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12,057</w:t>
            </w:r>
          </w:p>
        </w:tc>
        <w:tc>
          <w:tcPr>
            <w:tcW w:w="1304" w:type="dxa"/>
            <w:tcBorders>
              <w:top w:val="nil"/>
              <w:left w:val="nil"/>
              <w:bottom w:val="single" w:sz="8" w:space="0" w:color="C0C0C0"/>
              <w:right w:val="single" w:sz="8" w:space="0" w:color="C0C0C0"/>
            </w:tcBorders>
            <w:shd w:val="clear" w:color="auto" w:fill="auto"/>
            <w:vAlign w:val="center"/>
          </w:tcPr>
          <w:p w14:paraId="1CB7644D"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1,127</w:t>
            </w:r>
          </w:p>
        </w:tc>
        <w:tc>
          <w:tcPr>
            <w:tcW w:w="1134" w:type="dxa"/>
            <w:tcBorders>
              <w:top w:val="nil"/>
              <w:left w:val="nil"/>
              <w:bottom w:val="single" w:sz="8" w:space="0" w:color="C0C0C0"/>
              <w:right w:val="single" w:sz="8" w:space="0" w:color="C0C0C0"/>
            </w:tcBorders>
            <w:shd w:val="clear" w:color="auto" w:fill="auto"/>
            <w:vAlign w:val="center"/>
          </w:tcPr>
          <w:p w14:paraId="428FAE85"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13,184</w:t>
            </w:r>
          </w:p>
        </w:tc>
      </w:tr>
      <w:tr w:rsidR="0056738E" w:rsidRPr="00295155" w14:paraId="34626317" w14:textId="77777777" w:rsidTr="007C2AEE">
        <w:trPr>
          <w:trHeight w:val="255"/>
          <w:jc w:val="center"/>
        </w:trPr>
        <w:tc>
          <w:tcPr>
            <w:tcW w:w="4195" w:type="dxa"/>
            <w:shd w:val="clear" w:color="auto" w:fill="FFFFFF"/>
            <w:vAlign w:val="center"/>
          </w:tcPr>
          <w:p w14:paraId="7D7524BE"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στεγαστικά</w:t>
            </w:r>
          </w:p>
        </w:tc>
        <w:tc>
          <w:tcPr>
            <w:tcW w:w="1134" w:type="dxa"/>
            <w:tcBorders>
              <w:top w:val="nil"/>
              <w:left w:val="nil"/>
              <w:bottom w:val="single" w:sz="8" w:space="0" w:color="C0C0C0"/>
              <w:right w:val="single" w:sz="8" w:space="0" w:color="C0C0C0"/>
            </w:tcBorders>
            <w:shd w:val="clear" w:color="auto" w:fill="auto"/>
            <w:vAlign w:val="center"/>
          </w:tcPr>
          <w:p w14:paraId="120F7986"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w:t>
            </w:r>
          </w:p>
        </w:tc>
        <w:tc>
          <w:tcPr>
            <w:tcW w:w="1134" w:type="dxa"/>
            <w:tcBorders>
              <w:top w:val="nil"/>
              <w:left w:val="nil"/>
              <w:bottom w:val="single" w:sz="8" w:space="0" w:color="C0C0C0"/>
              <w:right w:val="single" w:sz="8" w:space="0" w:color="C0C0C0"/>
            </w:tcBorders>
            <w:shd w:val="clear" w:color="auto" w:fill="auto"/>
            <w:vAlign w:val="center"/>
          </w:tcPr>
          <w:p w14:paraId="76B5BDC0"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w:t>
            </w:r>
          </w:p>
        </w:tc>
        <w:tc>
          <w:tcPr>
            <w:tcW w:w="1134" w:type="dxa"/>
            <w:tcBorders>
              <w:top w:val="nil"/>
              <w:left w:val="nil"/>
              <w:bottom w:val="single" w:sz="8" w:space="0" w:color="C0C0C0"/>
              <w:right w:val="single" w:sz="8" w:space="0" w:color="C0C0C0"/>
            </w:tcBorders>
            <w:shd w:val="clear" w:color="auto" w:fill="auto"/>
            <w:vAlign w:val="center"/>
          </w:tcPr>
          <w:p w14:paraId="353D782B"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50,881</w:t>
            </w:r>
          </w:p>
        </w:tc>
        <w:tc>
          <w:tcPr>
            <w:tcW w:w="1304" w:type="dxa"/>
            <w:tcBorders>
              <w:top w:val="nil"/>
              <w:left w:val="nil"/>
              <w:bottom w:val="single" w:sz="8" w:space="0" w:color="C0C0C0"/>
              <w:right w:val="single" w:sz="8" w:space="0" w:color="C0C0C0"/>
            </w:tcBorders>
            <w:shd w:val="clear" w:color="auto" w:fill="auto"/>
            <w:vAlign w:val="center"/>
          </w:tcPr>
          <w:p w14:paraId="1237E88F"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6,830</w:t>
            </w:r>
          </w:p>
        </w:tc>
        <w:tc>
          <w:tcPr>
            <w:tcW w:w="1134" w:type="dxa"/>
            <w:tcBorders>
              <w:top w:val="nil"/>
              <w:left w:val="nil"/>
              <w:bottom w:val="single" w:sz="8" w:space="0" w:color="C0C0C0"/>
              <w:right w:val="single" w:sz="8" w:space="0" w:color="C0C0C0"/>
            </w:tcBorders>
            <w:shd w:val="clear" w:color="auto" w:fill="auto"/>
            <w:vAlign w:val="center"/>
          </w:tcPr>
          <w:p w14:paraId="05E16EC0"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57,711</w:t>
            </w:r>
          </w:p>
        </w:tc>
      </w:tr>
      <w:tr w:rsidR="0056738E" w:rsidRPr="00295155" w14:paraId="74036606" w14:textId="77777777" w:rsidTr="007C2AEE">
        <w:trPr>
          <w:trHeight w:val="255"/>
          <w:jc w:val="center"/>
        </w:trPr>
        <w:tc>
          <w:tcPr>
            <w:tcW w:w="4195" w:type="dxa"/>
            <w:shd w:val="clear" w:color="auto" w:fill="FFFFFF"/>
            <w:vAlign w:val="center"/>
          </w:tcPr>
          <w:p w14:paraId="3D802AB2"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λοιπά καταναλωτικά</w:t>
            </w:r>
          </w:p>
        </w:tc>
        <w:tc>
          <w:tcPr>
            <w:tcW w:w="1134" w:type="dxa"/>
            <w:tcBorders>
              <w:top w:val="single" w:sz="8" w:space="0" w:color="C0C0C0"/>
              <w:left w:val="nil"/>
              <w:bottom w:val="single" w:sz="6" w:space="0" w:color="auto"/>
              <w:right w:val="single" w:sz="8" w:space="0" w:color="C0C0C0"/>
            </w:tcBorders>
            <w:shd w:val="clear" w:color="auto" w:fill="auto"/>
            <w:vAlign w:val="center"/>
          </w:tcPr>
          <w:p w14:paraId="78F2B11F"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16</w:t>
            </w:r>
          </w:p>
        </w:tc>
        <w:tc>
          <w:tcPr>
            <w:tcW w:w="1134" w:type="dxa"/>
            <w:tcBorders>
              <w:top w:val="single" w:sz="8" w:space="0" w:color="C0C0C0"/>
              <w:left w:val="nil"/>
              <w:bottom w:val="single" w:sz="6" w:space="0" w:color="auto"/>
              <w:right w:val="single" w:sz="8" w:space="0" w:color="C0C0C0"/>
            </w:tcBorders>
            <w:shd w:val="clear" w:color="auto" w:fill="auto"/>
            <w:vAlign w:val="center"/>
          </w:tcPr>
          <w:p w14:paraId="1181F6E3"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12</w:t>
            </w:r>
          </w:p>
        </w:tc>
        <w:tc>
          <w:tcPr>
            <w:tcW w:w="1134" w:type="dxa"/>
            <w:tcBorders>
              <w:top w:val="single" w:sz="8" w:space="0" w:color="C0C0C0"/>
              <w:left w:val="nil"/>
              <w:bottom w:val="single" w:sz="6" w:space="0" w:color="auto"/>
              <w:right w:val="single" w:sz="8" w:space="0" w:color="C0C0C0"/>
            </w:tcBorders>
            <w:shd w:val="clear" w:color="auto" w:fill="auto"/>
            <w:vAlign w:val="center"/>
          </w:tcPr>
          <w:p w14:paraId="41E9296C"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22,709</w:t>
            </w:r>
          </w:p>
        </w:tc>
        <w:tc>
          <w:tcPr>
            <w:tcW w:w="1304" w:type="dxa"/>
            <w:tcBorders>
              <w:top w:val="single" w:sz="8" w:space="0" w:color="C0C0C0"/>
              <w:left w:val="nil"/>
              <w:bottom w:val="single" w:sz="6" w:space="0" w:color="auto"/>
              <w:right w:val="single" w:sz="8" w:space="0" w:color="C0C0C0"/>
            </w:tcBorders>
            <w:shd w:val="clear" w:color="auto" w:fill="auto"/>
            <w:vAlign w:val="center"/>
          </w:tcPr>
          <w:p w14:paraId="28E6EE9A"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Pr>
                <w:rFonts w:ascii="Arial" w:eastAsia="Batang" w:hAnsi="Arial" w:cs="Arial"/>
                <w:bCs/>
                <w:color w:val="262626"/>
                <w:sz w:val="18"/>
                <w:szCs w:val="18"/>
                <w:lang w:eastAsia="en-US"/>
              </w:rPr>
              <w:t>4,009</w:t>
            </w:r>
          </w:p>
        </w:tc>
        <w:tc>
          <w:tcPr>
            <w:tcW w:w="1134" w:type="dxa"/>
            <w:tcBorders>
              <w:top w:val="single" w:sz="8" w:space="0" w:color="C0C0C0"/>
              <w:left w:val="nil"/>
              <w:bottom w:val="single" w:sz="6" w:space="0" w:color="auto"/>
              <w:right w:val="single" w:sz="8" w:space="0" w:color="C0C0C0"/>
            </w:tcBorders>
            <w:shd w:val="clear" w:color="auto" w:fill="auto"/>
            <w:vAlign w:val="center"/>
          </w:tcPr>
          <w:p w14:paraId="3E5C3FAB"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26,746</w:t>
            </w:r>
          </w:p>
        </w:tc>
      </w:tr>
      <w:tr w:rsidR="0056738E" w:rsidRPr="00295155" w14:paraId="79FEFFF2" w14:textId="77777777" w:rsidTr="007C2AEE">
        <w:trPr>
          <w:trHeight w:val="255"/>
          <w:jc w:val="center"/>
        </w:trPr>
        <w:tc>
          <w:tcPr>
            <w:tcW w:w="4195" w:type="dxa"/>
            <w:shd w:val="clear" w:color="auto" w:fill="FFFFFF"/>
            <w:vAlign w:val="center"/>
          </w:tcPr>
          <w:p w14:paraId="416DEB64" w14:textId="77777777" w:rsidR="0056738E" w:rsidRPr="00295155" w:rsidRDefault="0056738E" w:rsidP="007C2AEE">
            <w:pPr>
              <w:shd w:val="clear" w:color="auto" w:fill="FFFFFF"/>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both"/>
              <w:rPr>
                <w:rFonts w:ascii="Arial" w:eastAsia="Batang" w:hAnsi="Arial" w:cs="Arial"/>
                <w:color w:val="262626"/>
                <w:sz w:val="18"/>
                <w:szCs w:val="18"/>
                <w:highlight w:val="yellow"/>
                <w:lang w:eastAsia="en-US"/>
              </w:rPr>
            </w:pPr>
          </w:p>
        </w:tc>
        <w:tc>
          <w:tcPr>
            <w:tcW w:w="1134" w:type="dxa"/>
            <w:tcBorders>
              <w:top w:val="single" w:sz="6" w:space="0" w:color="auto"/>
              <w:left w:val="nil"/>
              <w:bottom w:val="double" w:sz="6" w:space="0" w:color="auto"/>
              <w:right w:val="single" w:sz="8" w:space="0" w:color="C0C0C0"/>
            </w:tcBorders>
            <w:shd w:val="clear" w:color="auto" w:fill="auto"/>
            <w:vAlign w:val="center"/>
          </w:tcPr>
          <w:p w14:paraId="30EC34DE" w14:textId="77777777" w:rsidR="0056738E" w:rsidRPr="008A3E7B" w:rsidRDefault="0056738E" w:rsidP="007C2AEE">
            <w:pPr>
              <w:shd w:val="clear" w:color="auto" w:fill="FFFFFF"/>
              <w:tabs>
                <w:tab w:val="right" w:pos="7560"/>
                <w:tab w:val="right" w:pos="9000"/>
              </w:tabs>
              <w:suppressAutoHyphens/>
              <w:spacing w:after="0" w:line="240" w:lineRule="auto"/>
              <w:ind w:left="-108"/>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val="en-US" w:eastAsia="en-US"/>
              </w:rPr>
              <w:t>8,900,893</w:t>
            </w:r>
          </w:p>
        </w:tc>
        <w:tc>
          <w:tcPr>
            <w:tcW w:w="1134" w:type="dxa"/>
            <w:tcBorders>
              <w:top w:val="single" w:sz="6" w:space="0" w:color="auto"/>
              <w:left w:val="nil"/>
              <w:bottom w:val="double" w:sz="6" w:space="0" w:color="auto"/>
              <w:right w:val="single" w:sz="8" w:space="0" w:color="C0C0C0"/>
            </w:tcBorders>
            <w:shd w:val="clear" w:color="auto" w:fill="auto"/>
            <w:vAlign w:val="center"/>
          </w:tcPr>
          <w:p w14:paraId="70B504CF"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881,376</w:t>
            </w:r>
          </w:p>
        </w:tc>
        <w:tc>
          <w:tcPr>
            <w:tcW w:w="1134" w:type="dxa"/>
            <w:tcBorders>
              <w:top w:val="single" w:sz="6" w:space="0" w:color="auto"/>
              <w:left w:val="nil"/>
              <w:bottom w:val="double" w:sz="6" w:space="0" w:color="auto"/>
              <w:right w:val="single" w:sz="8" w:space="0" w:color="C0C0C0"/>
            </w:tcBorders>
            <w:shd w:val="clear" w:color="auto" w:fill="auto"/>
            <w:vAlign w:val="center"/>
          </w:tcPr>
          <w:p w14:paraId="6B866312" w14:textId="77777777" w:rsidR="0056738E" w:rsidRPr="008A3E7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val="en-US" w:eastAsia="en-US"/>
              </w:rPr>
              <w:t>210,719</w:t>
            </w:r>
          </w:p>
        </w:tc>
        <w:tc>
          <w:tcPr>
            <w:tcW w:w="1304" w:type="dxa"/>
            <w:tcBorders>
              <w:top w:val="single" w:sz="6" w:space="0" w:color="auto"/>
              <w:left w:val="nil"/>
              <w:bottom w:val="double" w:sz="6" w:space="0" w:color="auto"/>
              <w:right w:val="single" w:sz="8" w:space="0" w:color="C0C0C0"/>
            </w:tcBorders>
            <w:shd w:val="clear" w:color="auto" w:fill="auto"/>
            <w:vAlign w:val="center"/>
          </w:tcPr>
          <w:p w14:paraId="1D939CB5"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65,144</w:t>
            </w:r>
          </w:p>
        </w:tc>
        <w:tc>
          <w:tcPr>
            <w:tcW w:w="1134" w:type="dxa"/>
            <w:tcBorders>
              <w:top w:val="single" w:sz="6" w:space="0" w:color="auto"/>
              <w:left w:val="nil"/>
              <w:bottom w:val="double" w:sz="6" w:space="0" w:color="auto"/>
              <w:right w:val="single" w:sz="8" w:space="0" w:color="C0C0C0"/>
            </w:tcBorders>
            <w:shd w:val="clear" w:color="auto" w:fill="auto"/>
            <w:vAlign w:val="center"/>
          </w:tcPr>
          <w:p w14:paraId="42EF8646" w14:textId="77777777" w:rsidR="0056738E" w:rsidRPr="0036074B"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val="en-US" w:eastAsia="en-US"/>
              </w:rPr>
              <w:t>10,058,132</w:t>
            </w:r>
          </w:p>
        </w:tc>
      </w:tr>
      <w:tr w:rsidR="0056738E" w:rsidRPr="00295155" w14:paraId="3509346F" w14:textId="77777777" w:rsidTr="007C2AEE">
        <w:trPr>
          <w:trHeight w:val="283"/>
          <w:jc w:val="center"/>
        </w:trPr>
        <w:tc>
          <w:tcPr>
            <w:tcW w:w="4195" w:type="dxa"/>
            <w:tcBorders>
              <w:left w:val="nil"/>
              <w:bottom w:val="nil"/>
              <w:right w:val="nil"/>
            </w:tcBorders>
            <w:shd w:val="clear" w:color="auto" w:fill="FFFFFF"/>
            <w:vAlign w:val="center"/>
          </w:tcPr>
          <w:p w14:paraId="46ADE2EC" w14:textId="77777777" w:rsidR="0056738E" w:rsidRPr="00295155" w:rsidRDefault="0056738E" w:rsidP="007C2AEE">
            <w:pPr>
              <w:shd w:val="clear" w:color="auto" w:fill="FFFFFF"/>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both"/>
              <w:rPr>
                <w:rFonts w:ascii="Arial" w:eastAsia="Batang" w:hAnsi="Arial" w:cs="Arial"/>
                <w:color w:val="262626"/>
                <w:sz w:val="18"/>
                <w:szCs w:val="18"/>
                <w:highlight w:val="yellow"/>
                <w:lang w:eastAsia="en-US"/>
              </w:rPr>
            </w:pPr>
          </w:p>
        </w:tc>
        <w:tc>
          <w:tcPr>
            <w:tcW w:w="1134" w:type="dxa"/>
            <w:tcBorders>
              <w:top w:val="double" w:sz="6" w:space="0" w:color="auto"/>
              <w:left w:val="nil"/>
              <w:bottom w:val="nil"/>
              <w:right w:val="nil"/>
            </w:tcBorders>
            <w:shd w:val="clear" w:color="auto" w:fill="auto"/>
            <w:vAlign w:val="center"/>
          </w:tcPr>
          <w:p w14:paraId="17E742E4" w14:textId="77777777" w:rsidR="0056738E" w:rsidRDefault="0056738E" w:rsidP="007C2AEE">
            <w:pPr>
              <w:shd w:val="clear" w:color="auto" w:fill="FFFFFF"/>
              <w:tabs>
                <w:tab w:val="right" w:pos="7560"/>
                <w:tab w:val="right" w:pos="9000"/>
              </w:tabs>
              <w:suppressAutoHyphens/>
              <w:spacing w:after="0" w:line="240" w:lineRule="auto"/>
              <w:ind w:left="-108"/>
              <w:jc w:val="right"/>
              <w:rPr>
                <w:rFonts w:ascii="Arial" w:eastAsia="Batang" w:hAnsi="Arial" w:cs="Arial"/>
                <w:b/>
                <w:bCs/>
                <w:color w:val="262626"/>
                <w:sz w:val="18"/>
                <w:szCs w:val="18"/>
                <w:lang w:val="en-US" w:eastAsia="en-US"/>
              </w:rPr>
            </w:pPr>
          </w:p>
        </w:tc>
        <w:tc>
          <w:tcPr>
            <w:tcW w:w="1134" w:type="dxa"/>
            <w:tcBorders>
              <w:top w:val="double" w:sz="6" w:space="0" w:color="auto"/>
              <w:left w:val="nil"/>
              <w:bottom w:val="nil"/>
              <w:right w:val="nil"/>
            </w:tcBorders>
            <w:shd w:val="clear" w:color="auto" w:fill="auto"/>
            <w:vAlign w:val="center"/>
          </w:tcPr>
          <w:p w14:paraId="1DFDDF6D" w14:textId="77777777" w:rsidR="0056738E"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eastAsia="en-US"/>
              </w:rPr>
            </w:pPr>
          </w:p>
        </w:tc>
        <w:tc>
          <w:tcPr>
            <w:tcW w:w="1134" w:type="dxa"/>
            <w:tcBorders>
              <w:top w:val="double" w:sz="6" w:space="0" w:color="auto"/>
              <w:left w:val="nil"/>
              <w:bottom w:val="nil"/>
              <w:right w:val="nil"/>
            </w:tcBorders>
            <w:shd w:val="clear" w:color="auto" w:fill="auto"/>
            <w:vAlign w:val="center"/>
          </w:tcPr>
          <w:p w14:paraId="2F710DB9" w14:textId="77777777" w:rsidR="0056738E"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eastAsia="en-US"/>
              </w:rPr>
            </w:pPr>
          </w:p>
        </w:tc>
        <w:tc>
          <w:tcPr>
            <w:tcW w:w="1304" w:type="dxa"/>
            <w:tcBorders>
              <w:top w:val="double" w:sz="6" w:space="0" w:color="auto"/>
              <w:left w:val="nil"/>
              <w:bottom w:val="nil"/>
              <w:right w:val="nil"/>
            </w:tcBorders>
            <w:shd w:val="clear" w:color="auto" w:fill="auto"/>
            <w:vAlign w:val="center"/>
          </w:tcPr>
          <w:p w14:paraId="1F2843BB" w14:textId="77777777" w:rsidR="0056738E"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eastAsia="en-US"/>
              </w:rPr>
            </w:pPr>
          </w:p>
        </w:tc>
        <w:tc>
          <w:tcPr>
            <w:tcW w:w="1134" w:type="dxa"/>
            <w:tcBorders>
              <w:top w:val="double" w:sz="6" w:space="0" w:color="auto"/>
              <w:left w:val="nil"/>
              <w:bottom w:val="nil"/>
              <w:right w:val="nil"/>
            </w:tcBorders>
            <w:shd w:val="clear" w:color="auto" w:fill="auto"/>
            <w:vAlign w:val="center"/>
          </w:tcPr>
          <w:p w14:paraId="66BB2862" w14:textId="77777777" w:rsidR="0056738E"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8"/>
                <w:szCs w:val="18"/>
                <w:lang w:val="en-US" w:eastAsia="en-US"/>
              </w:rPr>
            </w:pPr>
          </w:p>
        </w:tc>
      </w:tr>
    </w:tbl>
    <w:p w14:paraId="3D2D5154" w14:textId="77777777" w:rsidR="0056738E" w:rsidRPr="00C30CF6" w:rsidRDefault="0056738E" w:rsidP="0056738E">
      <w:pPr>
        <w:spacing w:after="0" w:line="360" w:lineRule="auto"/>
        <w:ind w:left="851" w:hanging="851"/>
        <w:rPr>
          <w:rFonts w:ascii="Arial" w:hAnsi="Arial" w:cs="Arial"/>
          <w:b/>
          <w:color w:val="FF9900"/>
          <w:lang w:val="el-GR"/>
        </w:rPr>
      </w:pPr>
      <w:r>
        <w:rPr>
          <w:rFonts w:ascii="Arial" w:hAnsi="Arial" w:cs="Arial"/>
          <w:b/>
          <w:color w:val="FF9900"/>
          <w:szCs w:val="16"/>
          <w:lang w:val="el-GR"/>
        </w:rPr>
        <w:lastRenderedPageBreak/>
        <w:t>ΣΤ</w:t>
      </w:r>
      <w:r w:rsidRPr="00C30CF6">
        <w:rPr>
          <w:rFonts w:ascii="Arial" w:hAnsi="Arial" w:cs="Arial"/>
          <w:b/>
          <w:color w:val="FF9900"/>
          <w:szCs w:val="16"/>
          <w:lang w:val="el-GR"/>
        </w:rPr>
        <w:t xml:space="preserve">. </w:t>
      </w:r>
      <w:r w:rsidRPr="005F6B49">
        <w:rPr>
          <w:rFonts w:ascii="Arial" w:hAnsi="Arial" w:cs="Arial"/>
          <w:b/>
          <w:color w:val="FF9900"/>
          <w:szCs w:val="16"/>
          <w:lang w:val="el-GR"/>
        </w:rPr>
        <w:tab/>
      </w:r>
      <w:r>
        <w:rPr>
          <w:rFonts w:ascii="Arial" w:hAnsi="Arial" w:cs="Arial"/>
          <w:b/>
          <w:color w:val="FF9900"/>
          <w:lang w:val="el-GR"/>
        </w:rPr>
        <w:t xml:space="preserve">Σημειώσεις </w:t>
      </w:r>
      <w:r w:rsidRPr="007C60E2">
        <w:rPr>
          <w:rFonts w:ascii="Arial" w:hAnsi="Arial" w:cs="Arial"/>
          <w:color w:val="FF9900"/>
          <w:lang w:val="el-GR"/>
        </w:rPr>
        <w:t>(συνέχεια)</w:t>
      </w:r>
    </w:p>
    <w:p w14:paraId="0E95D68A" w14:textId="77777777" w:rsidR="0056738E" w:rsidRPr="00E72BB8" w:rsidRDefault="0056738E" w:rsidP="0056738E">
      <w:pPr>
        <w:spacing w:after="120" w:line="240" w:lineRule="auto"/>
        <w:ind w:left="851" w:hanging="851"/>
        <w:jc w:val="both"/>
        <w:rPr>
          <w:rFonts w:ascii="Arial" w:hAnsi="Arial" w:cs="Arial"/>
          <w:b/>
          <w:color w:val="FF9900"/>
          <w:lang w:val="el-GR"/>
        </w:rPr>
      </w:pPr>
      <w:r w:rsidRPr="001D7A91">
        <w:rPr>
          <w:rFonts w:ascii="Arial" w:hAnsi="Arial" w:cs="Arial"/>
          <w:b/>
          <w:color w:val="FF9900"/>
          <w:lang w:val="el-GR"/>
        </w:rPr>
        <w:t>ΣΤ.</w:t>
      </w:r>
      <w:r>
        <w:rPr>
          <w:rFonts w:ascii="Arial" w:hAnsi="Arial" w:cs="Arial"/>
          <w:b/>
          <w:color w:val="FF9900"/>
          <w:lang w:val="el-GR"/>
        </w:rPr>
        <w:t>5</w:t>
      </w:r>
      <w:r w:rsidRPr="00366709">
        <w:rPr>
          <w:rFonts w:ascii="Arial" w:hAnsi="Arial" w:cs="Arial"/>
          <w:b/>
          <w:color w:val="FF9900"/>
          <w:lang w:val="el-GR"/>
        </w:rPr>
        <w:t xml:space="preserve"> </w:t>
      </w:r>
      <w:r w:rsidRPr="00D066DE">
        <w:rPr>
          <w:rFonts w:ascii="Arial" w:hAnsi="Arial" w:cs="Arial"/>
          <w:b/>
          <w:color w:val="FF9900"/>
          <w:lang w:val="el-GR"/>
        </w:rPr>
        <w:tab/>
      </w:r>
      <w:r>
        <w:rPr>
          <w:rFonts w:ascii="Arial" w:hAnsi="Arial" w:cs="Arial"/>
          <w:b/>
          <w:color w:val="FF9900"/>
          <w:lang w:val="el-GR"/>
        </w:rPr>
        <w:t xml:space="preserve">Ανάλυση χαρτοφυλακίου δανείων και απαιτήσεων από πελάτες ανά στάδιο </w:t>
      </w:r>
      <w:r w:rsidRPr="00A10307">
        <w:rPr>
          <w:rFonts w:ascii="Arial" w:hAnsi="Arial" w:cs="Arial"/>
          <w:color w:val="FF9900"/>
          <w:lang w:val="el-GR"/>
        </w:rPr>
        <w:t>(συνέχεια)</w:t>
      </w:r>
    </w:p>
    <w:tbl>
      <w:tblPr>
        <w:tblW w:w="992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742"/>
        <w:gridCol w:w="1191"/>
        <w:gridCol w:w="1191"/>
        <w:gridCol w:w="1191"/>
        <w:gridCol w:w="1304"/>
        <w:gridCol w:w="1304"/>
      </w:tblGrid>
      <w:tr w:rsidR="0056738E" w:rsidRPr="00295155" w14:paraId="53C0C2D9" w14:textId="77777777" w:rsidTr="007C2AEE">
        <w:trPr>
          <w:trHeight w:val="283"/>
          <w:jc w:val="center"/>
        </w:trPr>
        <w:tc>
          <w:tcPr>
            <w:tcW w:w="3742" w:type="dxa"/>
            <w:vAlign w:val="center"/>
          </w:tcPr>
          <w:p w14:paraId="25542980" w14:textId="77777777" w:rsidR="0056738E" w:rsidRDefault="0056738E" w:rsidP="007C2AEE">
            <w:pPr>
              <w:shd w:val="clear" w:color="auto" w:fill="FFFFFF"/>
              <w:spacing w:after="0" w:line="240" w:lineRule="auto"/>
              <w:jc w:val="both"/>
              <w:rPr>
                <w:rFonts w:ascii="Arial" w:eastAsia="Batang" w:hAnsi="Arial" w:cs="Arial"/>
                <w:b/>
                <w:color w:val="262626"/>
                <w:sz w:val="18"/>
                <w:szCs w:val="18"/>
                <w:lang w:val="en-US" w:eastAsia="en-US"/>
              </w:rPr>
            </w:pPr>
            <w:r>
              <w:rPr>
                <w:rFonts w:ascii="Arial" w:eastAsia="Batang" w:hAnsi="Arial" w:cs="Arial"/>
                <w:b/>
                <w:color w:val="262626"/>
                <w:sz w:val="18"/>
                <w:szCs w:val="18"/>
                <w:lang w:val="el-GR" w:eastAsia="en-US"/>
              </w:rPr>
              <w:t>31 Δεκεμβρίου 20</w:t>
            </w:r>
            <w:r>
              <w:rPr>
                <w:rFonts w:ascii="Arial" w:eastAsia="Batang" w:hAnsi="Arial" w:cs="Arial"/>
                <w:b/>
                <w:color w:val="262626"/>
                <w:sz w:val="18"/>
                <w:szCs w:val="18"/>
                <w:lang w:val="en-US" w:eastAsia="en-US"/>
              </w:rPr>
              <w:t>2</w:t>
            </w:r>
            <w:r>
              <w:rPr>
                <w:rFonts w:ascii="Arial" w:eastAsia="Batang" w:hAnsi="Arial" w:cs="Arial"/>
                <w:b/>
                <w:color w:val="262626"/>
                <w:sz w:val="18"/>
                <w:szCs w:val="18"/>
                <w:lang w:val="el-GR" w:eastAsia="en-US"/>
              </w:rPr>
              <w:t xml:space="preserve">3 </w:t>
            </w:r>
          </w:p>
          <w:p w14:paraId="28C8E446" w14:textId="77777777" w:rsidR="0056738E" w:rsidRPr="00D60454" w:rsidRDefault="0056738E" w:rsidP="007C2AEE">
            <w:pPr>
              <w:shd w:val="clear" w:color="auto" w:fill="FFFFFF"/>
              <w:spacing w:after="0" w:line="240" w:lineRule="auto"/>
              <w:jc w:val="both"/>
              <w:rPr>
                <w:rFonts w:ascii="Arial" w:eastAsia="Batang" w:hAnsi="Arial" w:cs="Arial"/>
                <w:b/>
                <w:bCs/>
                <w:color w:val="262626"/>
                <w:sz w:val="18"/>
                <w:szCs w:val="18"/>
                <w:lang w:val="el-GR" w:eastAsia="en-US"/>
              </w:rPr>
            </w:pPr>
            <w:r>
              <w:rPr>
                <w:rFonts w:ascii="Arial" w:eastAsia="Batang" w:hAnsi="Arial" w:cs="Arial"/>
                <w:b/>
                <w:color w:val="262626"/>
                <w:sz w:val="18"/>
                <w:szCs w:val="18"/>
                <w:lang w:val="el-GR" w:eastAsia="en-US"/>
              </w:rPr>
              <w:t>(αναπροσαρμοσμένα)</w:t>
            </w:r>
          </w:p>
        </w:tc>
        <w:tc>
          <w:tcPr>
            <w:tcW w:w="1191" w:type="dxa"/>
            <w:shd w:val="clear" w:color="auto" w:fill="auto"/>
            <w:vAlign w:val="center"/>
          </w:tcPr>
          <w:p w14:paraId="3DEA23ED" w14:textId="77777777" w:rsidR="0056738E" w:rsidRPr="00284973" w:rsidRDefault="0056738E" w:rsidP="007C2AEE">
            <w:pPr>
              <w:shd w:val="clear" w:color="auto" w:fill="FFFFFF"/>
              <w:spacing w:after="0" w:line="240" w:lineRule="auto"/>
              <w:jc w:val="center"/>
              <w:rPr>
                <w:rFonts w:ascii="Arial" w:eastAsia="Batang" w:hAnsi="Arial" w:cs="Arial"/>
                <w:sz w:val="18"/>
                <w:szCs w:val="18"/>
                <w:lang w:eastAsia="en-US"/>
              </w:rPr>
            </w:pPr>
            <w:r w:rsidRPr="00284973">
              <w:rPr>
                <w:rFonts w:ascii="Arial" w:eastAsia="Batang" w:hAnsi="Arial" w:cs="Arial"/>
                <w:sz w:val="18"/>
                <w:szCs w:val="18"/>
                <w:lang w:val="el-GR" w:eastAsia="el-GR"/>
              </w:rPr>
              <w:t>Στάδιο</w:t>
            </w:r>
            <w:r w:rsidRPr="00284973">
              <w:rPr>
                <w:rFonts w:ascii="Arial" w:eastAsia="Batang" w:hAnsi="Arial" w:cs="Arial"/>
                <w:sz w:val="18"/>
                <w:szCs w:val="18"/>
                <w:lang w:eastAsia="en-US"/>
              </w:rPr>
              <w:t xml:space="preserve"> 1</w:t>
            </w:r>
          </w:p>
        </w:tc>
        <w:tc>
          <w:tcPr>
            <w:tcW w:w="1191" w:type="dxa"/>
            <w:shd w:val="clear" w:color="auto" w:fill="auto"/>
            <w:vAlign w:val="center"/>
          </w:tcPr>
          <w:p w14:paraId="5A711469" w14:textId="77777777" w:rsidR="0056738E" w:rsidRPr="00284973" w:rsidRDefault="0056738E" w:rsidP="007C2AEE">
            <w:pPr>
              <w:shd w:val="clear" w:color="auto" w:fill="FFFFFF"/>
              <w:spacing w:after="0" w:line="240" w:lineRule="auto"/>
              <w:jc w:val="center"/>
              <w:rPr>
                <w:rFonts w:ascii="Arial" w:eastAsia="Batang" w:hAnsi="Arial" w:cs="Arial"/>
                <w:sz w:val="18"/>
                <w:szCs w:val="18"/>
                <w:lang w:eastAsia="en-US"/>
              </w:rPr>
            </w:pPr>
            <w:r w:rsidRPr="00284973">
              <w:rPr>
                <w:rFonts w:ascii="Arial" w:eastAsia="Batang" w:hAnsi="Arial" w:cs="Arial"/>
                <w:sz w:val="18"/>
                <w:szCs w:val="18"/>
                <w:lang w:val="el-GR" w:eastAsia="el-GR"/>
              </w:rPr>
              <w:t>Στάδιο</w:t>
            </w:r>
            <w:r w:rsidRPr="00284973">
              <w:rPr>
                <w:rFonts w:ascii="Arial" w:eastAsia="Batang" w:hAnsi="Arial" w:cs="Arial"/>
                <w:sz w:val="18"/>
                <w:szCs w:val="18"/>
                <w:lang w:eastAsia="en-US"/>
              </w:rPr>
              <w:t xml:space="preserve"> 2</w:t>
            </w:r>
          </w:p>
        </w:tc>
        <w:tc>
          <w:tcPr>
            <w:tcW w:w="1191" w:type="dxa"/>
            <w:shd w:val="clear" w:color="auto" w:fill="auto"/>
            <w:vAlign w:val="center"/>
          </w:tcPr>
          <w:p w14:paraId="3F28EDC4" w14:textId="77777777" w:rsidR="0056738E" w:rsidRPr="00284973" w:rsidRDefault="0056738E" w:rsidP="007C2AEE">
            <w:pPr>
              <w:shd w:val="clear" w:color="auto" w:fill="FFFFFF"/>
              <w:spacing w:after="0" w:line="240" w:lineRule="auto"/>
              <w:jc w:val="center"/>
              <w:rPr>
                <w:rFonts w:ascii="Arial" w:eastAsia="Batang" w:hAnsi="Arial" w:cs="Arial"/>
                <w:sz w:val="18"/>
                <w:szCs w:val="18"/>
                <w:lang w:eastAsia="en-US"/>
              </w:rPr>
            </w:pPr>
            <w:r w:rsidRPr="00284973">
              <w:rPr>
                <w:rFonts w:ascii="Arial" w:eastAsia="Batang" w:hAnsi="Arial" w:cs="Arial"/>
                <w:sz w:val="18"/>
                <w:szCs w:val="18"/>
                <w:lang w:val="el-GR" w:eastAsia="el-GR"/>
              </w:rPr>
              <w:t>Στάδιο</w:t>
            </w:r>
            <w:r w:rsidRPr="00284973">
              <w:rPr>
                <w:rFonts w:ascii="Arial" w:eastAsia="Batang" w:hAnsi="Arial" w:cs="Arial"/>
                <w:sz w:val="18"/>
                <w:szCs w:val="18"/>
                <w:lang w:eastAsia="en-US"/>
              </w:rPr>
              <w:t xml:space="preserve"> 3</w:t>
            </w:r>
          </w:p>
        </w:tc>
        <w:tc>
          <w:tcPr>
            <w:tcW w:w="1304" w:type="dxa"/>
            <w:shd w:val="clear" w:color="auto" w:fill="auto"/>
            <w:vAlign w:val="center"/>
          </w:tcPr>
          <w:p w14:paraId="20364814" w14:textId="77777777" w:rsidR="0056738E" w:rsidRDefault="0056738E" w:rsidP="007C2AEE">
            <w:pPr>
              <w:shd w:val="clear" w:color="auto" w:fill="FFFFFF"/>
              <w:spacing w:after="0" w:line="240" w:lineRule="auto"/>
              <w:ind w:left="-135" w:right="-166"/>
              <w:jc w:val="center"/>
              <w:rPr>
                <w:rFonts w:ascii="Arial" w:eastAsia="Batang" w:hAnsi="Arial" w:cs="Arial"/>
                <w:sz w:val="18"/>
                <w:szCs w:val="18"/>
                <w:lang w:val="el-GR" w:eastAsia="el-GR"/>
              </w:rPr>
            </w:pPr>
            <w:proofErr w:type="spellStart"/>
            <w:r w:rsidRPr="00284973">
              <w:rPr>
                <w:rFonts w:ascii="Arial" w:eastAsia="Batang" w:hAnsi="Arial" w:cs="Arial"/>
                <w:sz w:val="18"/>
                <w:szCs w:val="18"/>
                <w:lang w:val="el-GR" w:eastAsia="el-GR"/>
              </w:rPr>
              <w:t>Απομειωμένα</w:t>
            </w:r>
            <w:proofErr w:type="spellEnd"/>
            <w:r w:rsidRPr="00284973">
              <w:rPr>
                <w:rFonts w:ascii="Arial" w:eastAsia="Batang" w:hAnsi="Arial" w:cs="Arial"/>
                <w:sz w:val="18"/>
                <w:szCs w:val="18"/>
                <w:lang w:val="el-GR" w:eastAsia="el-GR"/>
              </w:rPr>
              <w:t xml:space="preserve"> κατά την</w:t>
            </w:r>
          </w:p>
          <w:p w14:paraId="5D77F2DE" w14:textId="77777777" w:rsidR="0056738E" w:rsidRPr="00284973" w:rsidRDefault="0056738E" w:rsidP="007C2AEE">
            <w:pPr>
              <w:shd w:val="clear" w:color="auto" w:fill="FFFFFF"/>
              <w:spacing w:after="0" w:line="240" w:lineRule="auto"/>
              <w:ind w:left="-135" w:right="-166"/>
              <w:jc w:val="center"/>
              <w:rPr>
                <w:rFonts w:ascii="Arial" w:eastAsia="Batang" w:hAnsi="Arial" w:cs="Arial"/>
                <w:sz w:val="18"/>
                <w:szCs w:val="18"/>
                <w:lang w:val="el-GR" w:eastAsia="en-US"/>
              </w:rPr>
            </w:pPr>
            <w:r w:rsidRPr="00284973">
              <w:rPr>
                <w:rFonts w:ascii="Arial" w:eastAsia="Batang" w:hAnsi="Arial" w:cs="Arial"/>
                <w:sz w:val="18"/>
                <w:szCs w:val="18"/>
                <w:lang w:val="el-GR" w:eastAsia="el-GR"/>
              </w:rPr>
              <w:t>αρχική αναγνώριση (POCI)</w:t>
            </w:r>
          </w:p>
        </w:tc>
        <w:tc>
          <w:tcPr>
            <w:tcW w:w="1304" w:type="dxa"/>
            <w:shd w:val="clear" w:color="auto" w:fill="auto"/>
            <w:vAlign w:val="center"/>
          </w:tcPr>
          <w:p w14:paraId="5DAD130D" w14:textId="77777777" w:rsidR="0056738E" w:rsidRPr="00284973" w:rsidRDefault="0056738E" w:rsidP="007C2AEE">
            <w:pPr>
              <w:shd w:val="clear" w:color="auto" w:fill="FFFFFF"/>
              <w:spacing w:after="0" w:line="240" w:lineRule="auto"/>
              <w:jc w:val="center"/>
              <w:rPr>
                <w:rFonts w:ascii="Arial" w:eastAsia="Batang" w:hAnsi="Arial" w:cs="Arial"/>
                <w:b/>
                <w:bCs/>
                <w:sz w:val="18"/>
                <w:szCs w:val="18"/>
                <w:lang w:eastAsia="en-US"/>
              </w:rPr>
            </w:pPr>
            <w:r w:rsidRPr="00284973">
              <w:rPr>
                <w:rFonts w:ascii="Arial" w:eastAsia="Batang" w:hAnsi="Arial" w:cs="Arial"/>
                <w:b/>
                <w:sz w:val="18"/>
                <w:szCs w:val="18"/>
                <w:lang w:val="el-GR" w:eastAsia="el-GR"/>
              </w:rPr>
              <w:t>Σύνολο</w:t>
            </w:r>
          </w:p>
        </w:tc>
      </w:tr>
      <w:tr w:rsidR="0056738E" w:rsidRPr="00295155" w14:paraId="58A62488" w14:textId="77777777" w:rsidTr="007C2AEE">
        <w:trPr>
          <w:trHeight w:val="283"/>
          <w:jc w:val="center"/>
        </w:trPr>
        <w:tc>
          <w:tcPr>
            <w:tcW w:w="3742" w:type="dxa"/>
            <w:vAlign w:val="center"/>
          </w:tcPr>
          <w:p w14:paraId="24FFD29B" w14:textId="77777777" w:rsidR="0056738E" w:rsidRPr="00295155" w:rsidRDefault="0056738E" w:rsidP="007C2AEE">
            <w:pPr>
              <w:numPr>
                <w:ilvl w:val="12"/>
                <w:numId w:val="0"/>
              </w:numPr>
              <w:shd w:val="clear" w:color="auto" w:fill="FFFFFF"/>
              <w:tabs>
                <w:tab w:val="left" w:pos="284"/>
              </w:tabs>
              <w:spacing w:after="0" w:line="240" w:lineRule="auto"/>
              <w:rPr>
                <w:rFonts w:ascii="Arial" w:eastAsia="Batang" w:hAnsi="Arial" w:cs="Arial"/>
                <w:b/>
                <w:bCs/>
                <w:color w:val="262626"/>
                <w:sz w:val="18"/>
                <w:szCs w:val="18"/>
                <w:lang w:val="el-GR" w:eastAsia="el-GR"/>
              </w:rPr>
            </w:pPr>
            <w:r>
              <w:rPr>
                <w:rFonts w:ascii="Arial" w:eastAsia="Batang" w:hAnsi="Arial" w:cs="Arial"/>
                <w:b/>
                <w:bCs/>
                <w:color w:val="262626"/>
                <w:sz w:val="18"/>
                <w:szCs w:val="18"/>
                <w:lang w:val="el-GR" w:eastAsia="el-GR"/>
              </w:rPr>
              <w:t>Ανά πελατειακό τομέα</w:t>
            </w:r>
          </w:p>
        </w:tc>
        <w:tc>
          <w:tcPr>
            <w:tcW w:w="1191" w:type="dxa"/>
            <w:shd w:val="clear" w:color="auto" w:fill="auto"/>
            <w:vAlign w:val="center"/>
          </w:tcPr>
          <w:p w14:paraId="053F3AA3" w14:textId="77777777" w:rsidR="0056738E" w:rsidRPr="00284973"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sz w:val="18"/>
                <w:szCs w:val="18"/>
                <w:lang w:eastAsia="en-US"/>
              </w:rPr>
            </w:pPr>
            <w:r w:rsidRPr="00284973">
              <w:rPr>
                <w:rFonts w:ascii="Arial" w:eastAsia="Batang" w:hAnsi="Arial" w:cs="Arial"/>
                <w:bCs/>
                <w:sz w:val="18"/>
                <w:szCs w:val="18"/>
                <w:lang w:eastAsia="en-US"/>
              </w:rPr>
              <w:t>€000</w:t>
            </w:r>
          </w:p>
        </w:tc>
        <w:tc>
          <w:tcPr>
            <w:tcW w:w="1191" w:type="dxa"/>
            <w:shd w:val="clear" w:color="auto" w:fill="auto"/>
            <w:vAlign w:val="center"/>
          </w:tcPr>
          <w:p w14:paraId="65B926C6" w14:textId="77777777" w:rsidR="0056738E" w:rsidRPr="00284973"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sz w:val="18"/>
                <w:szCs w:val="18"/>
                <w:lang w:eastAsia="en-US"/>
              </w:rPr>
            </w:pPr>
            <w:r w:rsidRPr="00284973">
              <w:rPr>
                <w:rFonts w:ascii="Arial" w:eastAsia="Batang" w:hAnsi="Arial" w:cs="Arial"/>
                <w:bCs/>
                <w:sz w:val="18"/>
                <w:szCs w:val="18"/>
                <w:lang w:eastAsia="en-US"/>
              </w:rPr>
              <w:t>€000</w:t>
            </w:r>
          </w:p>
        </w:tc>
        <w:tc>
          <w:tcPr>
            <w:tcW w:w="1191" w:type="dxa"/>
            <w:shd w:val="clear" w:color="auto" w:fill="auto"/>
            <w:vAlign w:val="center"/>
          </w:tcPr>
          <w:p w14:paraId="0B11768A" w14:textId="77777777" w:rsidR="0056738E" w:rsidRPr="00284973"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sz w:val="18"/>
                <w:szCs w:val="18"/>
                <w:lang w:eastAsia="en-US"/>
              </w:rPr>
            </w:pPr>
            <w:r w:rsidRPr="00284973">
              <w:rPr>
                <w:rFonts w:ascii="Arial" w:eastAsia="Batang" w:hAnsi="Arial" w:cs="Arial"/>
                <w:bCs/>
                <w:sz w:val="18"/>
                <w:szCs w:val="18"/>
                <w:lang w:eastAsia="en-US"/>
              </w:rPr>
              <w:t>€000</w:t>
            </w:r>
          </w:p>
        </w:tc>
        <w:tc>
          <w:tcPr>
            <w:tcW w:w="1304" w:type="dxa"/>
            <w:shd w:val="clear" w:color="auto" w:fill="auto"/>
            <w:vAlign w:val="center"/>
          </w:tcPr>
          <w:p w14:paraId="37FD423B" w14:textId="77777777" w:rsidR="0056738E" w:rsidRPr="00284973" w:rsidRDefault="0056738E" w:rsidP="007C2AEE">
            <w:pPr>
              <w:shd w:val="clear" w:color="auto" w:fill="FFFFFF"/>
              <w:tabs>
                <w:tab w:val="right" w:pos="7560"/>
                <w:tab w:val="right" w:pos="9000"/>
              </w:tabs>
              <w:suppressAutoHyphens/>
              <w:spacing w:after="0" w:line="240" w:lineRule="auto"/>
              <w:jc w:val="center"/>
              <w:rPr>
                <w:rFonts w:ascii="Arial" w:eastAsia="Batang" w:hAnsi="Arial" w:cs="Arial"/>
                <w:b/>
                <w:bCs/>
                <w:sz w:val="18"/>
                <w:szCs w:val="18"/>
                <w:lang w:eastAsia="en-US"/>
              </w:rPr>
            </w:pPr>
            <w:r w:rsidRPr="00284973">
              <w:rPr>
                <w:rFonts w:ascii="Arial" w:eastAsia="Batang" w:hAnsi="Arial" w:cs="Arial"/>
                <w:bCs/>
                <w:sz w:val="18"/>
                <w:szCs w:val="18"/>
                <w:lang w:eastAsia="en-US"/>
              </w:rPr>
              <w:t>€000</w:t>
            </w:r>
          </w:p>
        </w:tc>
        <w:tc>
          <w:tcPr>
            <w:tcW w:w="1304" w:type="dxa"/>
            <w:shd w:val="clear" w:color="auto" w:fill="auto"/>
            <w:vAlign w:val="center"/>
          </w:tcPr>
          <w:p w14:paraId="09E2B0D2" w14:textId="77777777" w:rsidR="0056738E" w:rsidRPr="00284973" w:rsidRDefault="0056738E" w:rsidP="007C2AEE">
            <w:pPr>
              <w:shd w:val="clear" w:color="auto" w:fill="FFFFFF"/>
              <w:spacing w:after="0" w:line="240" w:lineRule="auto"/>
              <w:jc w:val="center"/>
              <w:rPr>
                <w:rFonts w:ascii="Arial" w:eastAsia="Batang" w:hAnsi="Arial" w:cs="Arial"/>
                <w:b/>
                <w:bCs/>
                <w:sz w:val="18"/>
                <w:szCs w:val="18"/>
                <w:lang w:eastAsia="en-US"/>
              </w:rPr>
            </w:pPr>
            <w:r w:rsidRPr="00284973">
              <w:rPr>
                <w:rFonts w:ascii="Arial" w:eastAsia="Batang" w:hAnsi="Arial" w:cs="Arial"/>
                <w:b/>
                <w:bCs/>
                <w:sz w:val="18"/>
                <w:szCs w:val="18"/>
                <w:lang w:eastAsia="en-US"/>
              </w:rPr>
              <w:t>€000</w:t>
            </w:r>
          </w:p>
        </w:tc>
      </w:tr>
      <w:tr w:rsidR="0056738E" w:rsidRPr="00295155" w14:paraId="601A7B02" w14:textId="77777777" w:rsidTr="007C2AEE">
        <w:trPr>
          <w:trHeight w:val="283"/>
          <w:jc w:val="center"/>
        </w:trPr>
        <w:tc>
          <w:tcPr>
            <w:tcW w:w="3742" w:type="dxa"/>
            <w:vAlign w:val="center"/>
          </w:tcPr>
          <w:p w14:paraId="78D450BE" w14:textId="77777777" w:rsidR="0056738E" w:rsidRPr="00295155"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val="el-GR" w:eastAsia="el-GR"/>
              </w:rPr>
            </w:pPr>
            <w:r w:rsidRPr="00295155">
              <w:rPr>
                <w:rFonts w:ascii="Arial" w:eastAsia="Batang" w:hAnsi="Arial" w:cs="Arial"/>
                <w:color w:val="262626"/>
                <w:sz w:val="18"/>
                <w:szCs w:val="18"/>
                <w:lang w:val="el-GR" w:eastAsia="el-GR"/>
              </w:rPr>
              <w:t>Μεγάλες επιχειρήσεις</w:t>
            </w:r>
          </w:p>
        </w:tc>
        <w:tc>
          <w:tcPr>
            <w:tcW w:w="1191" w:type="dxa"/>
            <w:shd w:val="clear" w:color="auto" w:fill="auto"/>
            <w:vAlign w:val="center"/>
          </w:tcPr>
          <w:p w14:paraId="042A72FA"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lang w:val="en-US"/>
              </w:rPr>
            </w:pPr>
            <w:r>
              <w:rPr>
                <w:rFonts w:ascii="Arial" w:hAnsi="Arial" w:cs="Arial"/>
                <w:color w:val="262626"/>
                <w:sz w:val="18"/>
                <w:szCs w:val="18"/>
                <w:lang w:val="en-US"/>
              </w:rPr>
              <w:t>2,709,523</w:t>
            </w:r>
          </w:p>
        </w:tc>
        <w:tc>
          <w:tcPr>
            <w:tcW w:w="1191" w:type="dxa"/>
            <w:shd w:val="clear" w:color="auto" w:fill="auto"/>
            <w:vAlign w:val="center"/>
          </w:tcPr>
          <w:p w14:paraId="6B898E4D"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lang w:val="en-US"/>
              </w:rPr>
            </w:pPr>
            <w:r>
              <w:rPr>
                <w:rFonts w:ascii="Arial" w:hAnsi="Arial" w:cs="Arial"/>
                <w:color w:val="262626"/>
                <w:sz w:val="18"/>
                <w:szCs w:val="18"/>
                <w:lang w:val="en-US"/>
              </w:rPr>
              <w:t>519,134</w:t>
            </w:r>
          </w:p>
        </w:tc>
        <w:tc>
          <w:tcPr>
            <w:tcW w:w="1191" w:type="dxa"/>
            <w:shd w:val="clear" w:color="auto" w:fill="auto"/>
            <w:vAlign w:val="center"/>
          </w:tcPr>
          <w:p w14:paraId="172503A1"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n-US"/>
              </w:rPr>
            </w:pPr>
            <w:r>
              <w:rPr>
                <w:rFonts w:ascii="Arial" w:hAnsi="Arial" w:cs="Arial"/>
                <w:bCs/>
                <w:color w:val="262626"/>
                <w:sz w:val="18"/>
                <w:szCs w:val="18"/>
                <w:lang w:val="en-US"/>
              </w:rPr>
              <w:t>96,289</w:t>
            </w:r>
          </w:p>
        </w:tc>
        <w:tc>
          <w:tcPr>
            <w:tcW w:w="1304" w:type="dxa"/>
            <w:shd w:val="clear" w:color="auto" w:fill="auto"/>
            <w:vAlign w:val="center"/>
          </w:tcPr>
          <w:p w14:paraId="02090172"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32,799</w:t>
            </w:r>
          </w:p>
        </w:tc>
        <w:tc>
          <w:tcPr>
            <w:tcW w:w="1304" w:type="dxa"/>
            <w:shd w:val="clear" w:color="auto" w:fill="auto"/>
            <w:vAlign w:val="center"/>
          </w:tcPr>
          <w:p w14:paraId="2E89309B"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n-US"/>
              </w:rPr>
            </w:pPr>
            <w:r>
              <w:rPr>
                <w:rFonts w:ascii="Arial" w:hAnsi="Arial" w:cs="Arial"/>
                <w:b/>
                <w:bCs/>
                <w:color w:val="262626"/>
                <w:sz w:val="18"/>
                <w:szCs w:val="18"/>
                <w:lang w:val="en-US"/>
              </w:rPr>
              <w:t>3,357,745</w:t>
            </w:r>
          </w:p>
        </w:tc>
      </w:tr>
      <w:tr w:rsidR="0056738E" w:rsidRPr="00910A4E" w14:paraId="7590740F" w14:textId="77777777" w:rsidTr="007C2AEE">
        <w:trPr>
          <w:trHeight w:val="283"/>
          <w:jc w:val="center"/>
        </w:trPr>
        <w:tc>
          <w:tcPr>
            <w:tcW w:w="3742" w:type="dxa"/>
            <w:vAlign w:val="center"/>
          </w:tcPr>
          <w:p w14:paraId="72EDDE41" w14:textId="77777777" w:rsidR="0056738E" w:rsidRPr="00295155"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val="el-GR" w:eastAsia="el-GR"/>
              </w:rPr>
            </w:pPr>
            <w:r>
              <w:rPr>
                <w:rFonts w:ascii="Arial" w:hAnsi="Arial" w:cs="Arial"/>
                <w:color w:val="262626"/>
                <w:sz w:val="18"/>
                <w:szCs w:val="18"/>
                <w:lang w:val="el-GR" w:eastAsia="el-GR"/>
              </w:rPr>
              <w:t xml:space="preserve">Κέντρο διεθνών εργασιών και Διεθνείς </w:t>
            </w:r>
            <w:r>
              <w:rPr>
                <w:rFonts w:ascii="Arial" w:hAnsi="Arial" w:cs="Arial"/>
                <w:color w:val="262626"/>
                <w:sz w:val="18"/>
                <w:szCs w:val="18"/>
                <w:lang w:val="el-GR"/>
              </w:rPr>
              <w:t>επιχειρήσεις</w:t>
            </w:r>
          </w:p>
        </w:tc>
        <w:tc>
          <w:tcPr>
            <w:tcW w:w="1191" w:type="dxa"/>
            <w:shd w:val="clear" w:color="auto" w:fill="auto"/>
            <w:vAlign w:val="center"/>
          </w:tcPr>
          <w:p w14:paraId="2A745E59" w14:textId="77777777" w:rsidR="0056738E" w:rsidRPr="002D2DAF"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lang w:val="el-GR"/>
              </w:rPr>
            </w:pPr>
          </w:p>
        </w:tc>
        <w:tc>
          <w:tcPr>
            <w:tcW w:w="1191" w:type="dxa"/>
            <w:shd w:val="clear" w:color="auto" w:fill="auto"/>
            <w:vAlign w:val="center"/>
          </w:tcPr>
          <w:p w14:paraId="4D544430" w14:textId="77777777" w:rsidR="0056738E" w:rsidRPr="002D2DAF"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lang w:val="el-GR"/>
              </w:rPr>
            </w:pPr>
          </w:p>
        </w:tc>
        <w:tc>
          <w:tcPr>
            <w:tcW w:w="1191" w:type="dxa"/>
            <w:shd w:val="clear" w:color="auto" w:fill="auto"/>
            <w:vAlign w:val="center"/>
          </w:tcPr>
          <w:p w14:paraId="34C8C6B2" w14:textId="77777777" w:rsidR="0056738E" w:rsidRPr="002D2DA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p>
        </w:tc>
        <w:tc>
          <w:tcPr>
            <w:tcW w:w="1304" w:type="dxa"/>
            <w:shd w:val="clear" w:color="auto" w:fill="auto"/>
            <w:vAlign w:val="center"/>
          </w:tcPr>
          <w:p w14:paraId="157B6BAA" w14:textId="77777777" w:rsidR="0056738E" w:rsidRPr="002D2DA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p>
        </w:tc>
        <w:tc>
          <w:tcPr>
            <w:tcW w:w="1304" w:type="dxa"/>
            <w:shd w:val="clear" w:color="auto" w:fill="auto"/>
            <w:vAlign w:val="center"/>
          </w:tcPr>
          <w:p w14:paraId="3ADE19CC" w14:textId="77777777" w:rsidR="0056738E" w:rsidRPr="002D2DA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p>
        </w:tc>
      </w:tr>
      <w:tr w:rsidR="0056738E" w:rsidRPr="002D2DAF" w14:paraId="0BA07F46" w14:textId="77777777" w:rsidTr="007C2AEE">
        <w:trPr>
          <w:trHeight w:val="283"/>
          <w:jc w:val="center"/>
        </w:trPr>
        <w:tc>
          <w:tcPr>
            <w:tcW w:w="3742" w:type="dxa"/>
            <w:vAlign w:val="center"/>
          </w:tcPr>
          <w:p w14:paraId="41C15232" w14:textId="77777777" w:rsidR="0056738E" w:rsidRDefault="0056738E" w:rsidP="007C2AEE">
            <w:pPr>
              <w:numPr>
                <w:ilvl w:val="12"/>
                <w:numId w:val="0"/>
              </w:numPr>
              <w:shd w:val="clear" w:color="auto" w:fill="FFFFFF"/>
              <w:tabs>
                <w:tab w:val="left" w:pos="284"/>
              </w:tabs>
              <w:spacing w:after="0" w:line="240" w:lineRule="auto"/>
              <w:rPr>
                <w:rFonts w:ascii="Arial" w:hAnsi="Arial" w:cs="Arial"/>
                <w:color w:val="262626"/>
                <w:sz w:val="18"/>
                <w:szCs w:val="18"/>
                <w:lang w:val="el-GR" w:eastAsia="el-GR"/>
              </w:rPr>
            </w:pPr>
            <w:r w:rsidRPr="009B5694">
              <w:rPr>
                <w:rFonts w:ascii="Arial" w:eastAsia="Batang" w:hAnsi="Arial" w:cs="Arial"/>
                <w:color w:val="262626"/>
                <w:sz w:val="18"/>
                <w:szCs w:val="18"/>
                <w:lang w:eastAsia="el-GR"/>
              </w:rPr>
              <w:t xml:space="preserve">- </w:t>
            </w:r>
            <w:r>
              <w:rPr>
                <w:rFonts w:ascii="Arial" w:hAnsi="Arial" w:cs="Arial"/>
                <w:color w:val="262626"/>
                <w:sz w:val="18"/>
                <w:szCs w:val="18"/>
                <w:lang w:val="el-GR"/>
              </w:rPr>
              <w:t>Κέντρο διεθνών εργασιών</w:t>
            </w:r>
          </w:p>
        </w:tc>
        <w:tc>
          <w:tcPr>
            <w:tcW w:w="1191" w:type="dxa"/>
            <w:shd w:val="clear" w:color="auto" w:fill="auto"/>
            <w:vAlign w:val="center"/>
          </w:tcPr>
          <w:p w14:paraId="307B0DA0" w14:textId="77777777" w:rsidR="0056738E" w:rsidRPr="002D2DAF"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lang w:val="en-US"/>
              </w:rPr>
              <w:t>99,009</w:t>
            </w:r>
          </w:p>
        </w:tc>
        <w:tc>
          <w:tcPr>
            <w:tcW w:w="1191" w:type="dxa"/>
            <w:shd w:val="clear" w:color="auto" w:fill="auto"/>
            <w:vAlign w:val="center"/>
          </w:tcPr>
          <w:p w14:paraId="7BC67535" w14:textId="77777777" w:rsidR="0056738E" w:rsidRPr="002D2DAF"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21,409</w:t>
            </w:r>
          </w:p>
        </w:tc>
        <w:tc>
          <w:tcPr>
            <w:tcW w:w="1191" w:type="dxa"/>
            <w:shd w:val="clear" w:color="auto" w:fill="auto"/>
            <w:vAlign w:val="center"/>
          </w:tcPr>
          <w:p w14:paraId="078B7A67" w14:textId="77777777" w:rsidR="0056738E" w:rsidRPr="002D2DA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320</w:t>
            </w:r>
          </w:p>
        </w:tc>
        <w:tc>
          <w:tcPr>
            <w:tcW w:w="1304" w:type="dxa"/>
            <w:shd w:val="clear" w:color="auto" w:fill="auto"/>
            <w:vAlign w:val="center"/>
          </w:tcPr>
          <w:p w14:paraId="0CE3768C" w14:textId="77777777" w:rsidR="0056738E" w:rsidRPr="002D2DA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rPr>
              <w:t>140</w:t>
            </w:r>
          </w:p>
        </w:tc>
        <w:tc>
          <w:tcPr>
            <w:tcW w:w="1304" w:type="dxa"/>
            <w:shd w:val="clear" w:color="auto" w:fill="auto"/>
            <w:vAlign w:val="center"/>
          </w:tcPr>
          <w:p w14:paraId="0D478406" w14:textId="77777777" w:rsidR="0056738E" w:rsidRPr="002D2DA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rPr>
              <w:t>120,878</w:t>
            </w:r>
          </w:p>
        </w:tc>
      </w:tr>
      <w:tr w:rsidR="0056738E" w:rsidRPr="002D2DAF" w14:paraId="4A10F2F3" w14:textId="77777777" w:rsidTr="007C2AEE">
        <w:trPr>
          <w:trHeight w:val="283"/>
          <w:jc w:val="center"/>
        </w:trPr>
        <w:tc>
          <w:tcPr>
            <w:tcW w:w="3742" w:type="dxa"/>
            <w:shd w:val="clear" w:color="auto" w:fill="auto"/>
            <w:vAlign w:val="center"/>
          </w:tcPr>
          <w:p w14:paraId="273F5089" w14:textId="77777777" w:rsidR="0056738E" w:rsidRDefault="0056738E" w:rsidP="007C2AEE">
            <w:pPr>
              <w:numPr>
                <w:ilvl w:val="12"/>
                <w:numId w:val="0"/>
              </w:numPr>
              <w:shd w:val="clear" w:color="auto" w:fill="FFFFFF"/>
              <w:tabs>
                <w:tab w:val="left" w:pos="284"/>
              </w:tabs>
              <w:spacing w:after="0" w:line="240" w:lineRule="auto"/>
              <w:rPr>
                <w:rFonts w:ascii="Arial" w:hAnsi="Arial" w:cs="Arial"/>
                <w:color w:val="262626"/>
                <w:sz w:val="18"/>
                <w:szCs w:val="18"/>
                <w:lang w:val="el-GR" w:eastAsia="el-GR"/>
              </w:rPr>
            </w:pPr>
            <w:r w:rsidRPr="009B5694">
              <w:rPr>
                <w:rFonts w:ascii="Arial" w:eastAsia="Batang" w:hAnsi="Arial" w:cs="Arial"/>
                <w:color w:val="262626"/>
                <w:sz w:val="18"/>
                <w:szCs w:val="18"/>
                <w:lang w:val="el-GR" w:eastAsia="el-GR"/>
              </w:rPr>
              <w:t xml:space="preserve">- </w:t>
            </w:r>
            <w:r>
              <w:rPr>
                <w:rFonts w:ascii="Arial" w:hAnsi="Arial" w:cs="Arial"/>
                <w:color w:val="262626"/>
                <w:sz w:val="18"/>
                <w:szCs w:val="18"/>
                <w:lang w:val="el-GR"/>
              </w:rPr>
              <w:t>Διεθνείς επιχειρήσεις</w:t>
            </w:r>
          </w:p>
        </w:tc>
        <w:tc>
          <w:tcPr>
            <w:tcW w:w="1191" w:type="dxa"/>
            <w:shd w:val="clear" w:color="auto" w:fill="auto"/>
            <w:vAlign w:val="center"/>
          </w:tcPr>
          <w:p w14:paraId="430162C6" w14:textId="77777777" w:rsidR="0056738E" w:rsidRPr="002D2DAF"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lang w:val="en-US"/>
              </w:rPr>
              <w:t>744,955</w:t>
            </w:r>
          </w:p>
        </w:tc>
        <w:tc>
          <w:tcPr>
            <w:tcW w:w="1191" w:type="dxa"/>
            <w:shd w:val="clear" w:color="auto" w:fill="auto"/>
            <w:vAlign w:val="center"/>
          </w:tcPr>
          <w:p w14:paraId="273718F4" w14:textId="77777777" w:rsidR="0056738E" w:rsidRPr="002D2DAF"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17,220</w:t>
            </w:r>
          </w:p>
        </w:tc>
        <w:tc>
          <w:tcPr>
            <w:tcW w:w="1191" w:type="dxa"/>
            <w:shd w:val="clear" w:color="auto" w:fill="auto"/>
            <w:vAlign w:val="center"/>
          </w:tcPr>
          <w:p w14:paraId="07C50603" w14:textId="77777777" w:rsidR="0056738E" w:rsidRPr="002D2DA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38</w:t>
            </w:r>
          </w:p>
        </w:tc>
        <w:tc>
          <w:tcPr>
            <w:tcW w:w="1304" w:type="dxa"/>
            <w:shd w:val="clear" w:color="auto" w:fill="auto"/>
            <w:vAlign w:val="center"/>
          </w:tcPr>
          <w:p w14:paraId="2C844B80" w14:textId="77777777" w:rsidR="0056738E" w:rsidRPr="002D2DA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rPr>
              <w:t>15</w:t>
            </w:r>
          </w:p>
        </w:tc>
        <w:tc>
          <w:tcPr>
            <w:tcW w:w="1304" w:type="dxa"/>
            <w:shd w:val="clear" w:color="auto" w:fill="auto"/>
            <w:vAlign w:val="center"/>
          </w:tcPr>
          <w:p w14:paraId="6A513FFE" w14:textId="77777777" w:rsidR="0056738E" w:rsidRPr="002D2DA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rPr>
              <w:t>762,228</w:t>
            </w:r>
          </w:p>
        </w:tc>
      </w:tr>
      <w:tr w:rsidR="0056738E" w:rsidRPr="00295155" w14:paraId="620911F3" w14:textId="77777777" w:rsidTr="007C2AEE">
        <w:trPr>
          <w:trHeight w:val="283"/>
          <w:jc w:val="center"/>
        </w:trPr>
        <w:tc>
          <w:tcPr>
            <w:tcW w:w="3742" w:type="dxa"/>
            <w:vAlign w:val="center"/>
          </w:tcPr>
          <w:p w14:paraId="074541E7" w14:textId="77777777" w:rsidR="0056738E" w:rsidRPr="00295155"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val="el-GR" w:eastAsia="el-GR"/>
              </w:rPr>
            </w:pPr>
            <w:r w:rsidRPr="00295155">
              <w:rPr>
                <w:rFonts w:ascii="Arial" w:eastAsia="Batang" w:hAnsi="Arial" w:cs="Arial"/>
                <w:color w:val="262626"/>
                <w:sz w:val="18"/>
                <w:szCs w:val="18"/>
                <w:lang w:val="el-GR" w:eastAsia="el-GR"/>
              </w:rPr>
              <w:t>Μικρομεσαίες επιχειρήσεις</w:t>
            </w:r>
          </w:p>
        </w:tc>
        <w:tc>
          <w:tcPr>
            <w:tcW w:w="1191" w:type="dxa"/>
            <w:shd w:val="clear" w:color="auto" w:fill="auto"/>
            <w:vAlign w:val="center"/>
          </w:tcPr>
          <w:p w14:paraId="06FDE46F"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lang w:val="en-US"/>
              </w:rPr>
            </w:pPr>
            <w:r>
              <w:rPr>
                <w:rFonts w:ascii="Arial" w:hAnsi="Arial" w:cs="Arial"/>
                <w:color w:val="262626"/>
                <w:sz w:val="18"/>
                <w:szCs w:val="18"/>
                <w:lang w:val="en-US"/>
              </w:rPr>
              <w:t>824,503</w:t>
            </w:r>
          </w:p>
        </w:tc>
        <w:tc>
          <w:tcPr>
            <w:tcW w:w="1191" w:type="dxa"/>
            <w:shd w:val="clear" w:color="auto" w:fill="auto"/>
            <w:vAlign w:val="center"/>
          </w:tcPr>
          <w:p w14:paraId="55311B90"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lang w:val="en-US"/>
              </w:rPr>
              <w:t>109,865</w:t>
            </w:r>
          </w:p>
        </w:tc>
        <w:tc>
          <w:tcPr>
            <w:tcW w:w="1191" w:type="dxa"/>
            <w:shd w:val="clear" w:color="auto" w:fill="auto"/>
            <w:vAlign w:val="center"/>
          </w:tcPr>
          <w:p w14:paraId="57FB47B7"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n-US"/>
              </w:rPr>
            </w:pPr>
            <w:r>
              <w:rPr>
                <w:rFonts w:ascii="Arial" w:hAnsi="Arial" w:cs="Arial"/>
                <w:bCs/>
                <w:color w:val="262626"/>
                <w:sz w:val="18"/>
                <w:szCs w:val="18"/>
                <w:lang w:val="en-US"/>
              </w:rPr>
              <w:t>5,583</w:t>
            </w:r>
          </w:p>
        </w:tc>
        <w:tc>
          <w:tcPr>
            <w:tcW w:w="1304" w:type="dxa"/>
            <w:shd w:val="clear" w:color="auto" w:fill="auto"/>
            <w:vAlign w:val="center"/>
          </w:tcPr>
          <w:p w14:paraId="5DFB209A"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9,042</w:t>
            </w:r>
          </w:p>
        </w:tc>
        <w:tc>
          <w:tcPr>
            <w:tcW w:w="1304" w:type="dxa"/>
            <w:shd w:val="clear" w:color="auto" w:fill="auto"/>
            <w:vAlign w:val="center"/>
          </w:tcPr>
          <w:p w14:paraId="061EAE15"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n-US"/>
              </w:rPr>
            </w:pPr>
            <w:r>
              <w:rPr>
                <w:rFonts w:ascii="Arial" w:hAnsi="Arial" w:cs="Arial"/>
                <w:b/>
                <w:bCs/>
                <w:color w:val="262626"/>
                <w:sz w:val="18"/>
                <w:szCs w:val="18"/>
                <w:lang w:val="en-US"/>
              </w:rPr>
              <w:t>948,993</w:t>
            </w:r>
          </w:p>
        </w:tc>
      </w:tr>
      <w:tr w:rsidR="0056738E" w:rsidRPr="00295155" w14:paraId="352B6AB3" w14:textId="77777777" w:rsidTr="007C2AEE">
        <w:trPr>
          <w:trHeight w:val="283"/>
          <w:jc w:val="center"/>
        </w:trPr>
        <w:tc>
          <w:tcPr>
            <w:tcW w:w="3742" w:type="dxa"/>
            <w:shd w:val="clear" w:color="auto" w:fill="auto"/>
            <w:vAlign w:val="center"/>
          </w:tcPr>
          <w:p w14:paraId="11028B92" w14:textId="77777777" w:rsidR="0056738E" w:rsidRPr="00295155" w:rsidRDefault="0056738E" w:rsidP="007C2AEE">
            <w:pPr>
              <w:numPr>
                <w:ilvl w:val="12"/>
                <w:numId w:val="0"/>
              </w:numPr>
              <w:shd w:val="clear" w:color="auto" w:fill="FFFFFF"/>
              <w:tabs>
                <w:tab w:val="left" w:pos="284"/>
              </w:tabs>
              <w:spacing w:after="0" w:line="240" w:lineRule="auto"/>
              <w:rPr>
                <w:rFonts w:ascii="Arial" w:eastAsia="Batang" w:hAnsi="Arial" w:cs="Arial"/>
                <w:color w:val="262626"/>
                <w:sz w:val="18"/>
                <w:szCs w:val="18"/>
                <w:lang w:val="el-GR" w:eastAsia="el-GR"/>
              </w:rPr>
            </w:pPr>
            <w:r w:rsidRPr="00295155">
              <w:rPr>
                <w:rFonts w:ascii="Arial" w:eastAsia="Batang" w:hAnsi="Arial" w:cs="Arial"/>
                <w:color w:val="262626"/>
                <w:sz w:val="18"/>
                <w:szCs w:val="18"/>
                <w:lang w:val="el-GR" w:eastAsia="el-GR"/>
              </w:rPr>
              <w:t>Ιδιώτες</w:t>
            </w:r>
          </w:p>
        </w:tc>
        <w:tc>
          <w:tcPr>
            <w:tcW w:w="1191" w:type="dxa"/>
            <w:shd w:val="clear" w:color="auto" w:fill="auto"/>
            <w:vAlign w:val="center"/>
          </w:tcPr>
          <w:p w14:paraId="29B10FEC"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rPr>
            </w:pPr>
          </w:p>
        </w:tc>
        <w:tc>
          <w:tcPr>
            <w:tcW w:w="1191" w:type="dxa"/>
            <w:shd w:val="clear" w:color="auto" w:fill="auto"/>
            <w:vAlign w:val="center"/>
          </w:tcPr>
          <w:p w14:paraId="08BC86D6"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rPr>
            </w:pPr>
          </w:p>
        </w:tc>
        <w:tc>
          <w:tcPr>
            <w:tcW w:w="1191" w:type="dxa"/>
            <w:shd w:val="clear" w:color="auto" w:fill="auto"/>
            <w:vAlign w:val="center"/>
          </w:tcPr>
          <w:p w14:paraId="438D78C3"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304" w:type="dxa"/>
            <w:shd w:val="clear" w:color="auto" w:fill="auto"/>
            <w:vAlign w:val="center"/>
          </w:tcPr>
          <w:p w14:paraId="255EB373"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304" w:type="dxa"/>
            <w:shd w:val="clear" w:color="auto" w:fill="auto"/>
            <w:vAlign w:val="center"/>
          </w:tcPr>
          <w:p w14:paraId="3D16F7C1"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p>
        </w:tc>
      </w:tr>
      <w:tr w:rsidR="0056738E" w:rsidRPr="00295155" w14:paraId="1C1D6F43" w14:textId="77777777" w:rsidTr="007C2AEE">
        <w:trPr>
          <w:trHeight w:val="283"/>
          <w:jc w:val="center"/>
        </w:trPr>
        <w:tc>
          <w:tcPr>
            <w:tcW w:w="3742" w:type="dxa"/>
            <w:vAlign w:val="center"/>
          </w:tcPr>
          <w:p w14:paraId="5DA928B9"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στεγαστικά</w:t>
            </w:r>
            <w:r w:rsidRPr="00295155">
              <w:rPr>
                <w:rFonts w:ascii="Arial" w:eastAsia="Batang" w:hAnsi="Arial" w:cs="Arial"/>
                <w:color w:val="262626"/>
                <w:sz w:val="18"/>
                <w:szCs w:val="18"/>
                <w:lang w:eastAsia="el-GR"/>
              </w:rPr>
              <w:t xml:space="preserve"> </w:t>
            </w:r>
          </w:p>
        </w:tc>
        <w:tc>
          <w:tcPr>
            <w:tcW w:w="1191" w:type="dxa"/>
            <w:shd w:val="clear" w:color="auto" w:fill="auto"/>
            <w:vAlign w:val="center"/>
          </w:tcPr>
          <w:p w14:paraId="3D8C16ED"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lang w:val="en-US"/>
              </w:rPr>
              <w:t>3,038,339</w:t>
            </w:r>
          </w:p>
        </w:tc>
        <w:tc>
          <w:tcPr>
            <w:tcW w:w="1191" w:type="dxa"/>
            <w:shd w:val="clear" w:color="auto" w:fill="auto"/>
            <w:vAlign w:val="center"/>
          </w:tcPr>
          <w:p w14:paraId="42585425"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lang w:val="en-US"/>
              </w:rPr>
              <w:t>345,135</w:t>
            </w:r>
          </w:p>
        </w:tc>
        <w:tc>
          <w:tcPr>
            <w:tcW w:w="1191" w:type="dxa"/>
            <w:shd w:val="clear" w:color="auto" w:fill="auto"/>
            <w:vAlign w:val="center"/>
          </w:tcPr>
          <w:p w14:paraId="51A0E54F"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23,508</w:t>
            </w:r>
          </w:p>
        </w:tc>
        <w:tc>
          <w:tcPr>
            <w:tcW w:w="1304" w:type="dxa"/>
            <w:shd w:val="clear" w:color="auto" w:fill="auto"/>
            <w:vAlign w:val="center"/>
          </w:tcPr>
          <w:p w14:paraId="2489E7AF"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9,897</w:t>
            </w:r>
          </w:p>
        </w:tc>
        <w:tc>
          <w:tcPr>
            <w:tcW w:w="1304" w:type="dxa"/>
            <w:shd w:val="clear" w:color="auto" w:fill="auto"/>
            <w:vAlign w:val="center"/>
          </w:tcPr>
          <w:p w14:paraId="5989F233"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lang w:val="en-US"/>
              </w:rPr>
              <w:t>3,416,879</w:t>
            </w:r>
          </w:p>
        </w:tc>
      </w:tr>
      <w:tr w:rsidR="0056738E" w:rsidRPr="00EA064F" w14:paraId="60774DEE" w14:textId="77777777" w:rsidTr="007C2AEE">
        <w:trPr>
          <w:trHeight w:val="283"/>
          <w:jc w:val="center"/>
        </w:trPr>
        <w:tc>
          <w:tcPr>
            <w:tcW w:w="3742" w:type="dxa"/>
            <w:shd w:val="clear" w:color="auto" w:fill="auto"/>
            <w:vAlign w:val="center"/>
          </w:tcPr>
          <w:p w14:paraId="304223EC"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val="el-GR" w:eastAsia="el-GR"/>
              </w:rPr>
              <w:t>- καταναλωτικά, πιστωτικές κάρτες και λοιπά</w:t>
            </w:r>
          </w:p>
        </w:tc>
        <w:tc>
          <w:tcPr>
            <w:tcW w:w="1191" w:type="dxa"/>
            <w:shd w:val="clear" w:color="auto" w:fill="auto"/>
            <w:vAlign w:val="center"/>
          </w:tcPr>
          <w:p w14:paraId="7468F29E"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836,679</w:t>
            </w:r>
          </w:p>
        </w:tc>
        <w:tc>
          <w:tcPr>
            <w:tcW w:w="1191" w:type="dxa"/>
            <w:shd w:val="clear" w:color="auto" w:fill="auto"/>
            <w:vAlign w:val="center"/>
          </w:tcPr>
          <w:p w14:paraId="79308816"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lang w:val="el-GR"/>
              </w:rPr>
            </w:pPr>
            <w:r>
              <w:rPr>
                <w:rFonts w:ascii="Arial" w:hAnsi="Arial" w:cs="Arial"/>
                <w:color w:val="262626"/>
                <w:sz w:val="18"/>
                <w:szCs w:val="18"/>
              </w:rPr>
              <w:t>103,710</w:t>
            </w:r>
          </w:p>
        </w:tc>
        <w:tc>
          <w:tcPr>
            <w:tcW w:w="1191" w:type="dxa"/>
            <w:shd w:val="clear" w:color="auto" w:fill="auto"/>
            <w:vAlign w:val="center"/>
          </w:tcPr>
          <w:p w14:paraId="55E1BB63"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9,814</w:t>
            </w:r>
          </w:p>
        </w:tc>
        <w:tc>
          <w:tcPr>
            <w:tcW w:w="1304" w:type="dxa"/>
            <w:shd w:val="clear" w:color="auto" w:fill="auto"/>
            <w:vAlign w:val="center"/>
          </w:tcPr>
          <w:p w14:paraId="4FDEA77F"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rPr>
              <w:t>13,839</w:t>
            </w:r>
          </w:p>
        </w:tc>
        <w:tc>
          <w:tcPr>
            <w:tcW w:w="1304" w:type="dxa"/>
            <w:shd w:val="clear" w:color="auto" w:fill="auto"/>
            <w:vAlign w:val="center"/>
          </w:tcPr>
          <w:p w14:paraId="2BCC8782" w14:textId="77777777" w:rsidR="0056738E" w:rsidRPr="00EA064F"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lang w:val="en-US"/>
              </w:rPr>
              <w:t>964,042</w:t>
            </w:r>
          </w:p>
        </w:tc>
      </w:tr>
      <w:tr w:rsidR="0056738E" w:rsidRPr="00295155" w14:paraId="6DA776D1" w14:textId="77777777" w:rsidTr="007C2AEE">
        <w:trPr>
          <w:trHeight w:val="283"/>
          <w:jc w:val="center"/>
        </w:trPr>
        <w:tc>
          <w:tcPr>
            <w:tcW w:w="3742" w:type="dxa"/>
            <w:vAlign w:val="center"/>
          </w:tcPr>
          <w:p w14:paraId="5BF59D25"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val="el-GR" w:eastAsia="el-GR"/>
              </w:rPr>
              <w:t>Αναδιαρθρώσεις χρεών</w:t>
            </w:r>
          </w:p>
        </w:tc>
        <w:tc>
          <w:tcPr>
            <w:tcW w:w="1191" w:type="dxa"/>
            <w:tcBorders>
              <w:bottom w:val="single" w:sz="4" w:space="0" w:color="C0C0C0"/>
            </w:tcBorders>
            <w:shd w:val="clear" w:color="auto" w:fill="auto"/>
            <w:vAlign w:val="center"/>
          </w:tcPr>
          <w:p w14:paraId="789A6DAE"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rPr>
            </w:pPr>
          </w:p>
        </w:tc>
        <w:tc>
          <w:tcPr>
            <w:tcW w:w="1191" w:type="dxa"/>
            <w:tcBorders>
              <w:bottom w:val="single" w:sz="4" w:space="0" w:color="C0C0C0"/>
            </w:tcBorders>
            <w:shd w:val="clear" w:color="auto" w:fill="auto"/>
            <w:vAlign w:val="center"/>
          </w:tcPr>
          <w:p w14:paraId="576E92DD"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color w:val="262626"/>
                <w:sz w:val="18"/>
                <w:szCs w:val="18"/>
              </w:rPr>
            </w:pPr>
          </w:p>
        </w:tc>
        <w:tc>
          <w:tcPr>
            <w:tcW w:w="1191" w:type="dxa"/>
            <w:tcBorders>
              <w:bottom w:val="single" w:sz="4" w:space="0" w:color="C0C0C0"/>
            </w:tcBorders>
            <w:shd w:val="clear" w:color="auto" w:fill="auto"/>
            <w:vAlign w:val="center"/>
          </w:tcPr>
          <w:p w14:paraId="4804FC6E"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304" w:type="dxa"/>
            <w:tcBorders>
              <w:bottom w:val="single" w:sz="4" w:space="0" w:color="C0C0C0"/>
            </w:tcBorders>
            <w:shd w:val="clear" w:color="auto" w:fill="auto"/>
            <w:vAlign w:val="center"/>
          </w:tcPr>
          <w:p w14:paraId="0254E121"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304" w:type="dxa"/>
            <w:tcBorders>
              <w:bottom w:val="single" w:sz="4" w:space="0" w:color="C0C0C0"/>
            </w:tcBorders>
            <w:shd w:val="clear" w:color="auto" w:fill="auto"/>
            <w:vAlign w:val="center"/>
          </w:tcPr>
          <w:p w14:paraId="0D4D6850"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p>
        </w:tc>
      </w:tr>
      <w:tr w:rsidR="0056738E" w:rsidRPr="00295155" w14:paraId="079D21B2" w14:textId="77777777" w:rsidTr="007C2AEE">
        <w:trPr>
          <w:trHeight w:val="283"/>
          <w:jc w:val="center"/>
        </w:trPr>
        <w:tc>
          <w:tcPr>
            <w:tcW w:w="3742" w:type="dxa"/>
            <w:vAlign w:val="center"/>
          </w:tcPr>
          <w:p w14:paraId="4C8611C6"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μεγάλες επιχειρήσεις</w:t>
            </w:r>
          </w:p>
        </w:tc>
        <w:tc>
          <w:tcPr>
            <w:tcW w:w="1191" w:type="dxa"/>
            <w:tcBorders>
              <w:bottom w:val="single" w:sz="4" w:space="0" w:color="C0C0C0"/>
            </w:tcBorders>
            <w:shd w:val="clear" w:color="auto" w:fill="auto"/>
            <w:vAlign w:val="center"/>
          </w:tcPr>
          <w:p w14:paraId="4E64AC2D" w14:textId="77777777" w:rsidR="0056738E" w:rsidRPr="00667349" w:rsidRDefault="0056738E" w:rsidP="007C2AEE">
            <w:pPr>
              <w:shd w:val="clear" w:color="auto" w:fill="FFFFFF"/>
              <w:tabs>
                <w:tab w:val="left" w:pos="0"/>
                <w:tab w:val="left" w:pos="282"/>
                <w:tab w:val="left" w:pos="72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3,770</w:t>
            </w:r>
          </w:p>
        </w:tc>
        <w:tc>
          <w:tcPr>
            <w:tcW w:w="1191" w:type="dxa"/>
            <w:tcBorders>
              <w:bottom w:val="single" w:sz="4" w:space="0" w:color="C0C0C0"/>
            </w:tcBorders>
            <w:shd w:val="clear" w:color="auto" w:fill="auto"/>
            <w:vAlign w:val="center"/>
          </w:tcPr>
          <w:p w14:paraId="072E0C9F"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n-US"/>
              </w:rPr>
            </w:pPr>
            <w:r>
              <w:rPr>
                <w:rFonts w:ascii="Arial" w:hAnsi="Arial" w:cs="Arial"/>
                <w:bCs/>
                <w:color w:val="262626"/>
                <w:sz w:val="18"/>
                <w:szCs w:val="18"/>
                <w:lang w:val="en-US"/>
              </w:rPr>
              <w:t>21,747</w:t>
            </w:r>
          </w:p>
        </w:tc>
        <w:tc>
          <w:tcPr>
            <w:tcW w:w="1191" w:type="dxa"/>
            <w:tcBorders>
              <w:bottom w:val="single" w:sz="4" w:space="0" w:color="C0C0C0"/>
            </w:tcBorders>
            <w:shd w:val="clear" w:color="auto" w:fill="auto"/>
            <w:vAlign w:val="center"/>
          </w:tcPr>
          <w:p w14:paraId="0CA6F42D"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13,461</w:t>
            </w:r>
          </w:p>
        </w:tc>
        <w:tc>
          <w:tcPr>
            <w:tcW w:w="1304" w:type="dxa"/>
            <w:tcBorders>
              <w:bottom w:val="single" w:sz="4" w:space="0" w:color="C0C0C0"/>
            </w:tcBorders>
            <w:shd w:val="clear" w:color="auto" w:fill="auto"/>
            <w:vAlign w:val="center"/>
          </w:tcPr>
          <w:p w14:paraId="7BF20F9A"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10,073</w:t>
            </w:r>
          </w:p>
        </w:tc>
        <w:tc>
          <w:tcPr>
            <w:tcW w:w="1304" w:type="dxa"/>
            <w:tcBorders>
              <w:bottom w:val="single" w:sz="4" w:space="0" w:color="C0C0C0"/>
            </w:tcBorders>
            <w:shd w:val="clear" w:color="auto" w:fill="auto"/>
            <w:vAlign w:val="center"/>
          </w:tcPr>
          <w:p w14:paraId="104D7C10"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n-US"/>
              </w:rPr>
            </w:pPr>
            <w:r>
              <w:rPr>
                <w:rFonts w:ascii="Arial" w:hAnsi="Arial" w:cs="Arial"/>
                <w:b/>
                <w:bCs/>
                <w:color w:val="262626"/>
                <w:sz w:val="18"/>
                <w:szCs w:val="18"/>
                <w:lang w:val="en-US"/>
              </w:rPr>
              <w:t>49,051</w:t>
            </w:r>
          </w:p>
        </w:tc>
      </w:tr>
      <w:tr w:rsidR="0056738E" w:rsidRPr="00295155" w14:paraId="6465A62A" w14:textId="77777777" w:rsidTr="007C2AEE">
        <w:trPr>
          <w:trHeight w:val="283"/>
          <w:jc w:val="center"/>
        </w:trPr>
        <w:tc>
          <w:tcPr>
            <w:tcW w:w="3742" w:type="dxa"/>
            <w:shd w:val="clear" w:color="auto" w:fill="FFFFFF"/>
            <w:vAlign w:val="center"/>
          </w:tcPr>
          <w:p w14:paraId="32225FC3"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μικρομεσαίες επιχειρήσεις</w:t>
            </w:r>
          </w:p>
        </w:tc>
        <w:tc>
          <w:tcPr>
            <w:tcW w:w="1191" w:type="dxa"/>
            <w:tcBorders>
              <w:top w:val="single" w:sz="4" w:space="0" w:color="C0C0C0"/>
            </w:tcBorders>
            <w:shd w:val="clear" w:color="auto" w:fill="auto"/>
            <w:vAlign w:val="center"/>
          </w:tcPr>
          <w:p w14:paraId="6BC09B39"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9,831</w:t>
            </w:r>
          </w:p>
        </w:tc>
        <w:tc>
          <w:tcPr>
            <w:tcW w:w="1191" w:type="dxa"/>
            <w:tcBorders>
              <w:top w:val="single" w:sz="4" w:space="0" w:color="C0C0C0"/>
            </w:tcBorders>
            <w:shd w:val="clear" w:color="auto" w:fill="auto"/>
            <w:vAlign w:val="center"/>
          </w:tcPr>
          <w:p w14:paraId="570FBC50"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8,089</w:t>
            </w:r>
          </w:p>
        </w:tc>
        <w:tc>
          <w:tcPr>
            <w:tcW w:w="1191" w:type="dxa"/>
            <w:tcBorders>
              <w:top w:val="single" w:sz="4" w:space="0" w:color="C0C0C0"/>
            </w:tcBorders>
            <w:shd w:val="clear" w:color="auto" w:fill="auto"/>
            <w:vAlign w:val="center"/>
          </w:tcPr>
          <w:p w14:paraId="11B82467"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13,715</w:t>
            </w:r>
          </w:p>
        </w:tc>
        <w:tc>
          <w:tcPr>
            <w:tcW w:w="1304" w:type="dxa"/>
            <w:tcBorders>
              <w:top w:val="single" w:sz="4" w:space="0" w:color="C0C0C0"/>
            </w:tcBorders>
            <w:shd w:val="clear" w:color="auto" w:fill="auto"/>
            <w:vAlign w:val="center"/>
          </w:tcPr>
          <w:p w14:paraId="60594700"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2,431</w:t>
            </w:r>
          </w:p>
        </w:tc>
        <w:tc>
          <w:tcPr>
            <w:tcW w:w="1304" w:type="dxa"/>
            <w:tcBorders>
              <w:top w:val="single" w:sz="4" w:space="0" w:color="C0C0C0"/>
            </w:tcBorders>
            <w:shd w:val="clear" w:color="auto" w:fill="auto"/>
            <w:vAlign w:val="center"/>
          </w:tcPr>
          <w:p w14:paraId="5C05C50F" w14:textId="77777777" w:rsidR="0056738E" w:rsidRPr="00667349" w:rsidRDefault="0056738E" w:rsidP="007C2AEE">
            <w:pPr>
              <w:pStyle w:val="Header"/>
              <w:shd w:val="clear" w:color="auto" w:fill="FFFFFF"/>
              <w:jc w:val="right"/>
              <w:rPr>
                <w:rFonts w:ascii="Arial" w:hAnsi="Arial" w:cs="Arial"/>
                <w:b/>
                <w:bCs/>
                <w:color w:val="262626"/>
                <w:sz w:val="18"/>
                <w:szCs w:val="18"/>
                <w:lang w:val="el-GR"/>
              </w:rPr>
            </w:pPr>
            <w:r>
              <w:rPr>
                <w:rFonts w:ascii="Arial" w:hAnsi="Arial" w:cs="Arial"/>
                <w:b/>
                <w:bCs/>
                <w:color w:val="262626"/>
                <w:sz w:val="18"/>
                <w:szCs w:val="18"/>
                <w:lang w:val="en-US"/>
              </w:rPr>
              <w:t>34,066</w:t>
            </w:r>
          </w:p>
        </w:tc>
      </w:tr>
      <w:tr w:rsidR="0056738E" w:rsidRPr="00295155" w14:paraId="5478B4A6" w14:textId="77777777" w:rsidTr="007C2AEE">
        <w:trPr>
          <w:trHeight w:val="283"/>
          <w:jc w:val="center"/>
        </w:trPr>
        <w:tc>
          <w:tcPr>
            <w:tcW w:w="3742" w:type="dxa"/>
            <w:shd w:val="clear" w:color="auto" w:fill="FFFFFF"/>
            <w:vAlign w:val="center"/>
          </w:tcPr>
          <w:p w14:paraId="2AA491AB"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στεγαστικά</w:t>
            </w:r>
          </w:p>
        </w:tc>
        <w:tc>
          <w:tcPr>
            <w:tcW w:w="1191" w:type="dxa"/>
            <w:shd w:val="clear" w:color="auto" w:fill="auto"/>
            <w:vAlign w:val="center"/>
          </w:tcPr>
          <w:p w14:paraId="067522FE"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6,450</w:t>
            </w:r>
          </w:p>
        </w:tc>
        <w:tc>
          <w:tcPr>
            <w:tcW w:w="1191" w:type="dxa"/>
            <w:shd w:val="clear" w:color="auto" w:fill="auto"/>
            <w:vAlign w:val="center"/>
          </w:tcPr>
          <w:p w14:paraId="56CC23E4"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12,429</w:t>
            </w:r>
          </w:p>
        </w:tc>
        <w:tc>
          <w:tcPr>
            <w:tcW w:w="1191" w:type="dxa"/>
            <w:shd w:val="clear" w:color="auto" w:fill="auto"/>
            <w:vAlign w:val="center"/>
          </w:tcPr>
          <w:p w14:paraId="7089D5D1"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39,696</w:t>
            </w:r>
          </w:p>
        </w:tc>
        <w:tc>
          <w:tcPr>
            <w:tcW w:w="1304" w:type="dxa"/>
            <w:shd w:val="clear" w:color="auto" w:fill="auto"/>
            <w:vAlign w:val="center"/>
          </w:tcPr>
          <w:p w14:paraId="72DC93A8"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1,912</w:t>
            </w:r>
          </w:p>
        </w:tc>
        <w:tc>
          <w:tcPr>
            <w:tcW w:w="1304" w:type="dxa"/>
            <w:shd w:val="clear" w:color="auto" w:fill="auto"/>
            <w:vAlign w:val="center"/>
          </w:tcPr>
          <w:p w14:paraId="1319810E" w14:textId="77777777" w:rsidR="0056738E" w:rsidRPr="00667349" w:rsidRDefault="0056738E" w:rsidP="007C2AEE">
            <w:pPr>
              <w:pStyle w:val="Header"/>
              <w:shd w:val="clear" w:color="auto" w:fill="FFFFFF"/>
              <w:jc w:val="right"/>
              <w:rPr>
                <w:rFonts w:ascii="Arial" w:hAnsi="Arial" w:cs="Arial"/>
                <w:b/>
                <w:bCs/>
                <w:color w:val="262626"/>
                <w:sz w:val="18"/>
                <w:szCs w:val="18"/>
                <w:lang w:val="el-GR"/>
              </w:rPr>
            </w:pPr>
            <w:r>
              <w:rPr>
                <w:rFonts w:ascii="Arial" w:hAnsi="Arial" w:cs="Arial"/>
                <w:b/>
                <w:bCs/>
                <w:color w:val="262626"/>
                <w:sz w:val="18"/>
                <w:szCs w:val="18"/>
                <w:lang w:val="en-US"/>
              </w:rPr>
              <w:t>60,487</w:t>
            </w:r>
          </w:p>
        </w:tc>
      </w:tr>
      <w:tr w:rsidR="0056738E" w:rsidRPr="00295155" w14:paraId="413F3E94" w14:textId="77777777" w:rsidTr="007C2AEE">
        <w:trPr>
          <w:trHeight w:val="283"/>
          <w:jc w:val="center"/>
        </w:trPr>
        <w:tc>
          <w:tcPr>
            <w:tcW w:w="3742" w:type="dxa"/>
            <w:shd w:val="clear" w:color="auto" w:fill="FFFFFF"/>
            <w:vAlign w:val="center"/>
          </w:tcPr>
          <w:p w14:paraId="35B737D8"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λοιπά καταναλωτικά</w:t>
            </w:r>
          </w:p>
        </w:tc>
        <w:tc>
          <w:tcPr>
            <w:tcW w:w="1191" w:type="dxa"/>
            <w:shd w:val="clear" w:color="auto" w:fill="auto"/>
            <w:vAlign w:val="center"/>
          </w:tcPr>
          <w:p w14:paraId="50E636C1"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2,471</w:t>
            </w:r>
          </w:p>
        </w:tc>
        <w:tc>
          <w:tcPr>
            <w:tcW w:w="1191" w:type="dxa"/>
            <w:shd w:val="clear" w:color="auto" w:fill="auto"/>
            <w:vAlign w:val="center"/>
          </w:tcPr>
          <w:p w14:paraId="2ACF696C"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2,533</w:t>
            </w:r>
          </w:p>
        </w:tc>
        <w:tc>
          <w:tcPr>
            <w:tcW w:w="1191" w:type="dxa"/>
            <w:shd w:val="clear" w:color="auto" w:fill="auto"/>
            <w:vAlign w:val="center"/>
          </w:tcPr>
          <w:p w14:paraId="720C2FDE" w14:textId="77777777" w:rsidR="0056738E" w:rsidRPr="00073734"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13,474</w:t>
            </w:r>
          </w:p>
        </w:tc>
        <w:tc>
          <w:tcPr>
            <w:tcW w:w="1304" w:type="dxa"/>
            <w:shd w:val="clear" w:color="auto" w:fill="auto"/>
            <w:vAlign w:val="center"/>
          </w:tcPr>
          <w:p w14:paraId="58955D78"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733</w:t>
            </w:r>
          </w:p>
        </w:tc>
        <w:tc>
          <w:tcPr>
            <w:tcW w:w="1304" w:type="dxa"/>
            <w:shd w:val="clear" w:color="auto" w:fill="auto"/>
            <w:vAlign w:val="center"/>
          </w:tcPr>
          <w:p w14:paraId="752FAE51" w14:textId="77777777" w:rsidR="0056738E" w:rsidRPr="00073734" w:rsidRDefault="0056738E" w:rsidP="007C2AEE">
            <w:pPr>
              <w:pStyle w:val="Header"/>
              <w:shd w:val="clear" w:color="auto" w:fill="FFFFFF"/>
              <w:jc w:val="right"/>
              <w:rPr>
                <w:rFonts w:ascii="Arial" w:hAnsi="Arial" w:cs="Arial"/>
                <w:b/>
                <w:bCs/>
                <w:color w:val="262626"/>
                <w:sz w:val="18"/>
                <w:szCs w:val="18"/>
                <w:lang w:val="el-GR"/>
              </w:rPr>
            </w:pPr>
            <w:r>
              <w:rPr>
                <w:rFonts w:ascii="Arial" w:hAnsi="Arial" w:cs="Arial"/>
                <w:b/>
                <w:bCs/>
                <w:color w:val="262626"/>
                <w:sz w:val="18"/>
                <w:szCs w:val="18"/>
                <w:lang w:val="en-US"/>
              </w:rPr>
              <w:t>19,211</w:t>
            </w:r>
          </w:p>
        </w:tc>
      </w:tr>
      <w:tr w:rsidR="0056738E" w:rsidRPr="00295155" w14:paraId="7759DDAE" w14:textId="77777777" w:rsidTr="007C2AEE">
        <w:trPr>
          <w:trHeight w:val="283"/>
          <w:jc w:val="center"/>
        </w:trPr>
        <w:tc>
          <w:tcPr>
            <w:tcW w:w="3742" w:type="dxa"/>
            <w:shd w:val="clear" w:color="auto" w:fill="FFFFFF"/>
            <w:vAlign w:val="center"/>
          </w:tcPr>
          <w:p w14:paraId="325095FF"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val="el-GR" w:eastAsia="el-GR"/>
              </w:rPr>
              <w:t>Ανακτήσεις χρεών</w:t>
            </w:r>
          </w:p>
        </w:tc>
        <w:tc>
          <w:tcPr>
            <w:tcW w:w="1191" w:type="dxa"/>
            <w:shd w:val="clear" w:color="auto" w:fill="auto"/>
            <w:vAlign w:val="center"/>
          </w:tcPr>
          <w:p w14:paraId="5897367F"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91" w:type="dxa"/>
            <w:shd w:val="clear" w:color="auto" w:fill="auto"/>
            <w:vAlign w:val="center"/>
          </w:tcPr>
          <w:p w14:paraId="3C127E54"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191" w:type="dxa"/>
            <w:shd w:val="clear" w:color="auto" w:fill="auto"/>
            <w:vAlign w:val="center"/>
          </w:tcPr>
          <w:p w14:paraId="2C852E57"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304" w:type="dxa"/>
            <w:shd w:val="clear" w:color="auto" w:fill="auto"/>
            <w:vAlign w:val="center"/>
          </w:tcPr>
          <w:p w14:paraId="0C4F8092"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p>
        </w:tc>
        <w:tc>
          <w:tcPr>
            <w:tcW w:w="1304" w:type="dxa"/>
            <w:shd w:val="clear" w:color="auto" w:fill="auto"/>
            <w:vAlign w:val="center"/>
          </w:tcPr>
          <w:p w14:paraId="61042705"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p>
        </w:tc>
      </w:tr>
      <w:tr w:rsidR="0056738E" w:rsidRPr="00295155" w14:paraId="0270C382" w14:textId="77777777" w:rsidTr="007C2AEE">
        <w:trPr>
          <w:trHeight w:val="283"/>
          <w:jc w:val="center"/>
        </w:trPr>
        <w:tc>
          <w:tcPr>
            <w:tcW w:w="3742" w:type="dxa"/>
            <w:shd w:val="clear" w:color="auto" w:fill="FFFFFF"/>
            <w:vAlign w:val="center"/>
          </w:tcPr>
          <w:p w14:paraId="4D9A4782"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μεγάλες επιχειρήσεις</w:t>
            </w:r>
          </w:p>
        </w:tc>
        <w:tc>
          <w:tcPr>
            <w:tcW w:w="1191" w:type="dxa"/>
            <w:shd w:val="clear" w:color="auto" w:fill="auto"/>
            <w:vAlign w:val="center"/>
          </w:tcPr>
          <w:p w14:paraId="32B62443"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w:t>
            </w:r>
          </w:p>
        </w:tc>
        <w:tc>
          <w:tcPr>
            <w:tcW w:w="1191" w:type="dxa"/>
            <w:shd w:val="clear" w:color="auto" w:fill="auto"/>
            <w:vAlign w:val="center"/>
          </w:tcPr>
          <w:p w14:paraId="1099F69C"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w:t>
            </w:r>
          </w:p>
        </w:tc>
        <w:tc>
          <w:tcPr>
            <w:tcW w:w="1191" w:type="dxa"/>
            <w:shd w:val="clear" w:color="auto" w:fill="auto"/>
            <w:vAlign w:val="center"/>
          </w:tcPr>
          <w:p w14:paraId="7D967118"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6,378</w:t>
            </w:r>
          </w:p>
        </w:tc>
        <w:tc>
          <w:tcPr>
            <w:tcW w:w="1304" w:type="dxa"/>
            <w:shd w:val="clear" w:color="auto" w:fill="auto"/>
            <w:vAlign w:val="center"/>
          </w:tcPr>
          <w:p w14:paraId="0F7DAF4A"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967</w:t>
            </w:r>
          </w:p>
        </w:tc>
        <w:tc>
          <w:tcPr>
            <w:tcW w:w="1304" w:type="dxa"/>
            <w:shd w:val="clear" w:color="auto" w:fill="auto"/>
            <w:vAlign w:val="center"/>
          </w:tcPr>
          <w:p w14:paraId="63BA703D"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lang w:val="en-US"/>
              </w:rPr>
              <w:t>7,345</w:t>
            </w:r>
          </w:p>
        </w:tc>
      </w:tr>
      <w:tr w:rsidR="0056738E" w:rsidRPr="00295155" w14:paraId="6C55969E" w14:textId="77777777" w:rsidTr="007C2AEE">
        <w:trPr>
          <w:trHeight w:val="283"/>
          <w:jc w:val="center"/>
        </w:trPr>
        <w:tc>
          <w:tcPr>
            <w:tcW w:w="3742" w:type="dxa"/>
            <w:shd w:val="clear" w:color="auto" w:fill="FFFFFF"/>
            <w:vAlign w:val="center"/>
          </w:tcPr>
          <w:p w14:paraId="3B09028E"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μικρομεσαίες επιχειρήσεις</w:t>
            </w:r>
          </w:p>
        </w:tc>
        <w:tc>
          <w:tcPr>
            <w:tcW w:w="1191" w:type="dxa"/>
            <w:shd w:val="clear" w:color="auto" w:fill="auto"/>
            <w:vAlign w:val="center"/>
          </w:tcPr>
          <w:p w14:paraId="63B3E17F"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w:t>
            </w:r>
          </w:p>
        </w:tc>
        <w:tc>
          <w:tcPr>
            <w:tcW w:w="1191" w:type="dxa"/>
            <w:shd w:val="clear" w:color="auto" w:fill="auto"/>
            <w:vAlign w:val="center"/>
          </w:tcPr>
          <w:p w14:paraId="06DEA2CD"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w:t>
            </w:r>
          </w:p>
        </w:tc>
        <w:tc>
          <w:tcPr>
            <w:tcW w:w="1191" w:type="dxa"/>
            <w:shd w:val="clear" w:color="auto" w:fill="auto"/>
            <w:vAlign w:val="center"/>
          </w:tcPr>
          <w:p w14:paraId="261847E6"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15,812</w:t>
            </w:r>
          </w:p>
        </w:tc>
        <w:tc>
          <w:tcPr>
            <w:tcW w:w="1304" w:type="dxa"/>
            <w:shd w:val="clear" w:color="auto" w:fill="auto"/>
            <w:vAlign w:val="center"/>
          </w:tcPr>
          <w:p w14:paraId="0C8B0997"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1,587</w:t>
            </w:r>
          </w:p>
        </w:tc>
        <w:tc>
          <w:tcPr>
            <w:tcW w:w="1304" w:type="dxa"/>
            <w:shd w:val="clear" w:color="auto" w:fill="auto"/>
            <w:vAlign w:val="center"/>
          </w:tcPr>
          <w:p w14:paraId="4CFBA0D3"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lang w:val="en-US"/>
              </w:rPr>
              <w:t>17,399</w:t>
            </w:r>
          </w:p>
        </w:tc>
      </w:tr>
      <w:tr w:rsidR="0056738E" w:rsidRPr="00295155" w14:paraId="07E2F193" w14:textId="77777777" w:rsidTr="007C2AEE">
        <w:trPr>
          <w:trHeight w:val="283"/>
          <w:jc w:val="center"/>
        </w:trPr>
        <w:tc>
          <w:tcPr>
            <w:tcW w:w="3742" w:type="dxa"/>
            <w:shd w:val="clear" w:color="auto" w:fill="FFFFFF"/>
            <w:vAlign w:val="center"/>
          </w:tcPr>
          <w:p w14:paraId="2A800EAE"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στεγαστικά</w:t>
            </w:r>
          </w:p>
        </w:tc>
        <w:tc>
          <w:tcPr>
            <w:tcW w:w="1191" w:type="dxa"/>
            <w:shd w:val="clear" w:color="auto" w:fill="auto"/>
            <w:vAlign w:val="center"/>
          </w:tcPr>
          <w:p w14:paraId="0DBFF69E"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w:t>
            </w:r>
          </w:p>
        </w:tc>
        <w:tc>
          <w:tcPr>
            <w:tcW w:w="1191" w:type="dxa"/>
            <w:shd w:val="clear" w:color="auto" w:fill="auto"/>
            <w:vAlign w:val="center"/>
          </w:tcPr>
          <w:p w14:paraId="1864B0DE"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w:t>
            </w:r>
          </w:p>
        </w:tc>
        <w:tc>
          <w:tcPr>
            <w:tcW w:w="1191" w:type="dxa"/>
            <w:shd w:val="clear" w:color="auto" w:fill="auto"/>
            <w:vAlign w:val="center"/>
          </w:tcPr>
          <w:p w14:paraId="69E1E13B"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65,070</w:t>
            </w:r>
          </w:p>
        </w:tc>
        <w:tc>
          <w:tcPr>
            <w:tcW w:w="1304" w:type="dxa"/>
            <w:shd w:val="clear" w:color="auto" w:fill="auto"/>
            <w:vAlign w:val="center"/>
          </w:tcPr>
          <w:p w14:paraId="198A7133"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10,255</w:t>
            </w:r>
          </w:p>
        </w:tc>
        <w:tc>
          <w:tcPr>
            <w:tcW w:w="1304" w:type="dxa"/>
            <w:shd w:val="clear" w:color="auto" w:fill="auto"/>
            <w:vAlign w:val="center"/>
          </w:tcPr>
          <w:p w14:paraId="6F25600E"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75,325</w:t>
            </w:r>
          </w:p>
        </w:tc>
      </w:tr>
      <w:tr w:rsidR="0056738E" w:rsidRPr="00295155" w14:paraId="5630C357" w14:textId="77777777" w:rsidTr="007C2AEE">
        <w:trPr>
          <w:trHeight w:val="283"/>
          <w:jc w:val="center"/>
        </w:trPr>
        <w:tc>
          <w:tcPr>
            <w:tcW w:w="3742" w:type="dxa"/>
            <w:shd w:val="clear" w:color="auto" w:fill="FFFFFF"/>
            <w:vAlign w:val="center"/>
          </w:tcPr>
          <w:p w14:paraId="285A4AE1" w14:textId="77777777" w:rsidR="0056738E" w:rsidRPr="00295155" w:rsidRDefault="0056738E" w:rsidP="007C2AEE">
            <w:pPr>
              <w:numPr>
                <w:ilvl w:val="12"/>
                <w:numId w:val="0"/>
              </w:numPr>
              <w:shd w:val="clear" w:color="auto" w:fill="FFFFFF"/>
              <w:tabs>
                <w:tab w:val="left" w:pos="284"/>
              </w:tabs>
              <w:spacing w:after="0" w:line="240" w:lineRule="auto"/>
              <w:jc w:val="both"/>
              <w:rPr>
                <w:rFonts w:ascii="Arial" w:eastAsia="Batang" w:hAnsi="Arial" w:cs="Arial"/>
                <w:color w:val="262626"/>
                <w:sz w:val="18"/>
                <w:szCs w:val="18"/>
                <w:lang w:val="el-GR" w:eastAsia="el-GR"/>
              </w:rPr>
            </w:pPr>
            <w:r w:rsidRPr="00295155">
              <w:rPr>
                <w:rFonts w:ascii="Arial" w:eastAsia="Batang" w:hAnsi="Arial" w:cs="Arial"/>
                <w:color w:val="262626"/>
                <w:sz w:val="18"/>
                <w:szCs w:val="18"/>
                <w:lang w:eastAsia="el-GR"/>
              </w:rPr>
              <w:t xml:space="preserve">- </w:t>
            </w:r>
            <w:r w:rsidRPr="00295155">
              <w:rPr>
                <w:rFonts w:ascii="Arial" w:eastAsia="Batang" w:hAnsi="Arial" w:cs="Arial"/>
                <w:color w:val="262626"/>
                <w:sz w:val="18"/>
                <w:szCs w:val="18"/>
                <w:lang w:val="el-GR" w:eastAsia="el-GR"/>
              </w:rPr>
              <w:t>λοιπά καταναλωτικά</w:t>
            </w:r>
          </w:p>
        </w:tc>
        <w:tc>
          <w:tcPr>
            <w:tcW w:w="1191" w:type="dxa"/>
            <w:tcBorders>
              <w:bottom w:val="single" w:sz="4" w:space="0" w:color="C0C0C0"/>
            </w:tcBorders>
            <w:shd w:val="clear" w:color="auto" w:fill="auto"/>
            <w:vAlign w:val="center"/>
          </w:tcPr>
          <w:p w14:paraId="2AF74F3D"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59</w:t>
            </w:r>
          </w:p>
        </w:tc>
        <w:tc>
          <w:tcPr>
            <w:tcW w:w="1191" w:type="dxa"/>
            <w:tcBorders>
              <w:bottom w:val="single" w:sz="4" w:space="0" w:color="C0C0C0"/>
            </w:tcBorders>
            <w:shd w:val="clear" w:color="auto" w:fill="auto"/>
            <w:vAlign w:val="center"/>
          </w:tcPr>
          <w:p w14:paraId="6CA7A528"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w:t>
            </w:r>
          </w:p>
        </w:tc>
        <w:tc>
          <w:tcPr>
            <w:tcW w:w="1191" w:type="dxa"/>
            <w:tcBorders>
              <w:bottom w:val="single" w:sz="4" w:space="0" w:color="C0C0C0"/>
            </w:tcBorders>
            <w:shd w:val="clear" w:color="auto" w:fill="auto"/>
            <w:vAlign w:val="center"/>
          </w:tcPr>
          <w:p w14:paraId="7677F31A" w14:textId="77777777" w:rsidR="0056738E" w:rsidRPr="00073734"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23,725</w:t>
            </w:r>
          </w:p>
        </w:tc>
        <w:tc>
          <w:tcPr>
            <w:tcW w:w="1304" w:type="dxa"/>
            <w:tcBorders>
              <w:bottom w:val="single" w:sz="4" w:space="0" w:color="C0C0C0"/>
            </w:tcBorders>
            <w:shd w:val="clear" w:color="auto" w:fill="auto"/>
            <w:vAlign w:val="center"/>
          </w:tcPr>
          <w:p w14:paraId="72B62B25"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Cs/>
                <w:color w:val="262626"/>
                <w:sz w:val="18"/>
                <w:szCs w:val="18"/>
                <w:lang w:val="el-GR"/>
              </w:rPr>
            </w:pPr>
            <w:r>
              <w:rPr>
                <w:rFonts w:ascii="Arial" w:hAnsi="Arial" w:cs="Arial"/>
                <w:bCs/>
                <w:color w:val="262626"/>
                <w:sz w:val="18"/>
                <w:szCs w:val="18"/>
                <w:lang w:val="en-US"/>
              </w:rPr>
              <w:t>5,081</w:t>
            </w:r>
          </w:p>
        </w:tc>
        <w:tc>
          <w:tcPr>
            <w:tcW w:w="1304" w:type="dxa"/>
            <w:tcBorders>
              <w:bottom w:val="single" w:sz="4" w:space="0" w:color="C0C0C0"/>
            </w:tcBorders>
            <w:shd w:val="clear" w:color="auto" w:fill="auto"/>
            <w:vAlign w:val="center"/>
          </w:tcPr>
          <w:p w14:paraId="51A230A3" w14:textId="77777777" w:rsidR="0056738E" w:rsidRPr="00073734"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lang w:val="en-US"/>
              </w:rPr>
              <w:t>28,865</w:t>
            </w:r>
          </w:p>
        </w:tc>
      </w:tr>
      <w:tr w:rsidR="0056738E" w:rsidRPr="00295155" w14:paraId="4F774AF1" w14:textId="77777777" w:rsidTr="007C2AEE">
        <w:trPr>
          <w:trHeight w:val="283"/>
          <w:jc w:val="center"/>
        </w:trPr>
        <w:tc>
          <w:tcPr>
            <w:tcW w:w="3742" w:type="dxa"/>
            <w:shd w:val="clear" w:color="auto" w:fill="FFFFFF"/>
            <w:vAlign w:val="center"/>
          </w:tcPr>
          <w:p w14:paraId="27C2D08D" w14:textId="77777777" w:rsidR="0056738E" w:rsidRPr="00295155" w:rsidRDefault="0056738E" w:rsidP="007C2AEE">
            <w:pPr>
              <w:shd w:val="clear" w:color="auto" w:fill="FFFFFF"/>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jc w:val="both"/>
              <w:rPr>
                <w:rFonts w:ascii="Arial" w:eastAsia="Batang" w:hAnsi="Arial" w:cs="Arial"/>
                <w:color w:val="262626"/>
                <w:sz w:val="18"/>
                <w:szCs w:val="18"/>
                <w:highlight w:val="yellow"/>
                <w:lang w:eastAsia="en-US"/>
              </w:rPr>
            </w:pPr>
          </w:p>
        </w:tc>
        <w:tc>
          <w:tcPr>
            <w:tcW w:w="1191" w:type="dxa"/>
            <w:tcBorders>
              <w:top w:val="single" w:sz="6" w:space="0" w:color="auto"/>
              <w:bottom w:val="double" w:sz="6" w:space="0" w:color="auto"/>
            </w:tcBorders>
            <w:shd w:val="clear" w:color="auto" w:fill="auto"/>
            <w:vAlign w:val="center"/>
          </w:tcPr>
          <w:p w14:paraId="77C772EF"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n-US"/>
              </w:rPr>
            </w:pPr>
            <w:r>
              <w:rPr>
                <w:rFonts w:ascii="Arial" w:hAnsi="Arial" w:cs="Arial"/>
                <w:b/>
                <w:bCs/>
                <w:color w:val="262626"/>
                <w:sz w:val="18"/>
                <w:szCs w:val="18"/>
                <w:lang w:val="en-US"/>
              </w:rPr>
              <w:t>8,275,589</w:t>
            </w:r>
          </w:p>
        </w:tc>
        <w:tc>
          <w:tcPr>
            <w:tcW w:w="1191" w:type="dxa"/>
            <w:tcBorders>
              <w:top w:val="single" w:sz="6" w:space="0" w:color="auto"/>
              <w:bottom w:val="double" w:sz="6" w:space="0" w:color="auto"/>
            </w:tcBorders>
            <w:shd w:val="clear" w:color="auto" w:fill="auto"/>
            <w:vAlign w:val="center"/>
          </w:tcPr>
          <w:p w14:paraId="39912021"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lang w:val="en-US"/>
              </w:rPr>
              <w:t>1,161,271</w:t>
            </w:r>
          </w:p>
        </w:tc>
        <w:tc>
          <w:tcPr>
            <w:tcW w:w="1191" w:type="dxa"/>
            <w:tcBorders>
              <w:top w:val="single" w:sz="6" w:space="0" w:color="auto"/>
              <w:bottom w:val="double" w:sz="6" w:space="0" w:color="auto"/>
            </w:tcBorders>
            <w:shd w:val="clear" w:color="auto" w:fill="auto"/>
            <w:vAlign w:val="center"/>
          </w:tcPr>
          <w:p w14:paraId="0F8A5BA5"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lang w:val="en-US"/>
              </w:rPr>
              <w:t>326,883</w:t>
            </w:r>
          </w:p>
        </w:tc>
        <w:tc>
          <w:tcPr>
            <w:tcW w:w="1304" w:type="dxa"/>
            <w:tcBorders>
              <w:top w:val="single" w:sz="6" w:space="0" w:color="auto"/>
              <w:bottom w:val="double" w:sz="6" w:space="0" w:color="auto"/>
            </w:tcBorders>
            <w:shd w:val="clear" w:color="auto" w:fill="auto"/>
            <w:vAlign w:val="center"/>
          </w:tcPr>
          <w:p w14:paraId="49EA919F"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lang w:val="en-US"/>
              </w:rPr>
              <w:t>98,771</w:t>
            </w:r>
          </w:p>
        </w:tc>
        <w:tc>
          <w:tcPr>
            <w:tcW w:w="1304" w:type="dxa"/>
            <w:tcBorders>
              <w:top w:val="single" w:sz="6" w:space="0" w:color="auto"/>
              <w:bottom w:val="double" w:sz="6" w:space="0" w:color="auto"/>
            </w:tcBorders>
            <w:shd w:val="clear" w:color="auto" w:fill="auto"/>
            <w:vAlign w:val="center"/>
          </w:tcPr>
          <w:p w14:paraId="46E161F2" w14:textId="77777777" w:rsidR="0056738E" w:rsidRPr="00667349" w:rsidRDefault="0056738E" w:rsidP="007C2AEE">
            <w:pPr>
              <w:shd w:val="clear" w:color="auto" w:fill="FFFFFF"/>
              <w:tabs>
                <w:tab w:val="right" w:pos="7560"/>
                <w:tab w:val="right" w:pos="9000"/>
              </w:tabs>
              <w:suppressAutoHyphens/>
              <w:spacing w:after="0" w:line="240" w:lineRule="auto"/>
              <w:jc w:val="right"/>
              <w:rPr>
                <w:rFonts w:ascii="Arial" w:hAnsi="Arial" w:cs="Arial"/>
                <w:b/>
                <w:bCs/>
                <w:color w:val="262626"/>
                <w:sz w:val="18"/>
                <w:szCs w:val="18"/>
                <w:lang w:val="en-US"/>
              </w:rPr>
            </w:pPr>
            <w:r>
              <w:rPr>
                <w:rFonts w:ascii="Arial" w:hAnsi="Arial" w:cs="Arial"/>
                <w:b/>
                <w:bCs/>
                <w:color w:val="262626"/>
                <w:sz w:val="18"/>
                <w:szCs w:val="18"/>
                <w:lang w:val="en-US"/>
              </w:rPr>
              <w:t>9,862,514</w:t>
            </w:r>
          </w:p>
        </w:tc>
      </w:tr>
    </w:tbl>
    <w:p w14:paraId="2E82EB13" w14:textId="77777777" w:rsidR="0056738E" w:rsidRPr="00053E32" w:rsidRDefault="0056738E" w:rsidP="0056738E">
      <w:pPr>
        <w:spacing w:after="0" w:line="240" w:lineRule="auto"/>
        <w:ind w:left="993" w:hanging="851"/>
        <w:rPr>
          <w:rFonts w:ascii="Arial" w:hAnsi="Arial" w:cs="Arial"/>
          <w:b/>
          <w:color w:val="FF9900"/>
          <w:szCs w:val="16"/>
          <w:lang w:val="el-GR"/>
        </w:rPr>
      </w:pPr>
    </w:p>
    <w:p w14:paraId="6F81047A" w14:textId="77777777" w:rsidR="0056738E" w:rsidRPr="00711ACD" w:rsidRDefault="0056738E" w:rsidP="0056738E">
      <w:pPr>
        <w:keepNext/>
        <w:tabs>
          <w:tab w:val="left" w:pos="1416"/>
          <w:tab w:val="decimal" w:pos="4962"/>
          <w:tab w:val="decimal" w:pos="6521"/>
          <w:tab w:val="right" w:pos="7560"/>
          <w:tab w:val="decimal" w:pos="8220"/>
          <w:tab w:val="left" w:pos="8640"/>
          <w:tab w:val="right" w:pos="9000"/>
        </w:tabs>
        <w:suppressAutoHyphens/>
        <w:spacing w:after="120" w:line="240" w:lineRule="auto"/>
        <w:ind w:left="851" w:right="-130" w:hanging="851"/>
        <w:jc w:val="both"/>
        <w:outlineLvl w:val="8"/>
        <w:rPr>
          <w:rFonts w:ascii="Arial" w:hAnsi="Arial" w:cs="Arial"/>
          <w:b/>
          <w:color w:val="FF9900"/>
          <w:szCs w:val="18"/>
          <w:lang w:val="el-GR"/>
        </w:rPr>
      </w:pPr>
      <w:r>
        <w:rPr>
          <w:rFonts w:ascii="Arial" w:hAnsi="Arial" w:cs="Arial"/>
          <w:b/>
          <w:color w:val="FF9900"/>
          <w:szCs w:val="18"/>
          <w:lang w:val="el-GR"/>
        </w:rPr>
        <w:t>ΣΤ</w:t>
      </w:r>
      <w:r w:rsidRPr="00711ACD">
        <w:rPr>
          <w:rFonts w:ascii="Arial" w:hAnsi="Arial" w:cs="Arial"/>
          <w:b/>
          <w:color w:val="FF9900"/>
          <w:szCs w:val="18"/>
          <w:lang w:val="el-GR"/>
        </w:rPr>
        <w:t>.</w:t>
      </w:r>
      <w:r>
        <w:rPr>
          <w:rFonts w:ascii="Arial" w:hAnsi="Arial" w:cs="Arial"/>
          <w:b/>
          <w:color w:val="FF9900"/>
          <w:szCs w:val="18"/>
          <w:lang w:val="el-GR"/>
        </w:rPr>
        <w:t>6</w:t>
      </w:r>
      <w:r w:rsidRPr="00711ACD">
        <w:rPr>
          <w:rFonts w:ascii="Arial" w:hAnsi="Arial" w:cs="Arial"/>
          <w:b/>
          <w:color w:val="FF9900"/>
          <w:szCs w:val="18"/>
          <w:lang w:val="el-GR"/>
        </w:rPr>
        <w:t xml:space="preserve"> </w:t>
      </w:r>
      <w:r w:rsidRPr="00711ACD">
        <w:rPr>
          <w:rFonts w:ascii="Arial" w:hAnsi="Arial" w:cs="Arial"/>
          <w:b/>
          <w:color w:val="FF9900"/>
          <w:szCs w:val="18"/>
          <w:lang w:val="el-GR"/>
        </w:rPr>
        <w:tab/>
      </w:r>
      <w:r>
        <w:rPr>
          <w:rFonts w:ascii="Arial" w:hAnsi="Arial" w:cs="Arial"/>
          <w:b/>
          <w:color w:val="FF9900"/>
          <w:szCs w:val="18"/>
          <w:lang w:val="el-GR"/>
        </w:rPr>
        <w:t>Πιστωτικές ζημιές για κάλυψη πιστωτικού κινδύνου από δάνεια και απαιτήσεις από πελάτες</w:t>
      </w:r>
    </w:p>
    <w:tbl>
      <w:tblPr>
        <w:tblW w:w="992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366"/>
        <w:gridCol w:w="1276"/>
        <w:gridCol w:w="1281"/>
      </w:tblGrid>
      <w:tr w:rsidR="0056738E" w:rsidRPr="00910A4E" w14:paraId="56A8BE64" w14:textId="77777777" w:rsidTr="007C2AEE">
        <w:trPr>
          <w:trHeight w:val="255"/>
          <w:jc w:val="center"/>
        </w:trPr>
        <w:tc>
          <w:tcPr>
            <w:tcW w:w="7366" w:type="dxa"/>
            <w:vMerge w:val="restart"/>
            <w:tcBorders>
              <w:top w:val="single" w:sz="4" w:space="0" w:color="C0C0C0"/>
              <w:left w:val="single" w:sz="4" w:space="0" w:color="C0C0C0"/>
            </w:tcBorders>
          </w:tcPr>
          <w:p w14:paraId="4395AE96" w14:textId="77777777" w:rsidR="0056738E" w:rsidRPr="00711ACD" w:rsidRDefault="0056738E" w:rsidP="007C2AEE">
            <w:pPr>
              <w:tabs>
                <w:tab w:val="left" w:pos="0"/>
                <w:tab w:val="left" w:pos="282"/>
                <w:tab w:val="left" w:pos="720"/>
              </w:tabs>
              <w:suppressAutoHyphens/>
              <w:spacing w:after="0" w:line="240" w:lineRule="auto"/>
              <w:jc w:val="right"/>
              <w:rPr>
                <w:rFonts w:ascii="Arial" w:hAnsi="Arial" w:cs="Arial"/>
                <w:color w:val="262626"/>
                <w:sz w:val="18"/>
                <w:szCs w:val="18"/>
                <w:lang w:val="el-GR"/>
              </w:rPr>
            </w:pPr>
            <w:r w:rsidRPr="00711ACD">
              <w:rPr>
                <w:rFonts w:ascii="Arial" w:hAnsi="Arial" w:cs="Arial"/>
                <w:color w:val="262626"/>
                <w:sz w:val="18"/>
                <w:szCs w:val="18"/>
                <w:lang w:val="el-GR"/>
              </w:rPr>
              <w:br w:type="page"/>
            </w:r>
          </w:p>
        </w:tc>
        <w:tc>
          <w:tcPr>
            <w:tcW w:w="2557" w:type="dxa"/>
            <w:gridSpan w:val="2"/>
            <w:tcBorders>
              <w:top w:val="single" w:sz="4" w:space="0" w:color="C0C0C0"/>
            </w:tcBorders>
            <w:vAlign w:val="center"/>
          </w:tcPr>
          <w:p w14:paraId="60578A7B" w14:textId="77777777" w:rsidR="0056738E" w:rsidRPr="00681991" w:rsidRDefault="0056738E" w:rsidP="007C2AEE">
            <w:pPr>
              <w:spacing w:after="0" w:line="240" w:lineRule="auto"/>
              <w:jc w:val="center"/>
              <w:rPr>
                <w:rFonts w:ascii="Arial" w:eastAsia="Batang" w:hAnsi="Arial" w:cs="Arial"/>
                <w:b/>
                <w:color w:val="262626"/>
                <w:sz w:val="18"/>
                <w:szCs w:val="16"/>
                <w:lang w:val="el-GR" w:eastAsia="en-US"/>
              </w:rPr>
            </w:pPr>
            <w:r>
              <w:rPr>
                <w:rFonts w:ascii="Arial" w:eastAsia="Batang" w:hAnsi="Arial" w:cs="Arial"/>
                <w:b/>
                <w:color w:val="262626"/>
                <w:sz w:val="18"/>
                <w:szCs w:val="16"/>
                <w:lang w:val="el-GR" w:eastAsia="en-US"/>
              </w:rPr>
              <w:t>Εννεάμηνο</w:t>
            </w:r>
            <w:r w:rsidRPr="00681991">
              <w:rPr>
                <w:rFonts w:ascii="Arial" w:eastAsia="Batang" w:hAnsi="Arial" w:cs="Arial"/>
                <w:b/>
                <w:color w:val="262626"/>
                <w:sz w:val="18"/>
                <w:szCs w:val="16"/>
                <w:lang w:val="el-GR" w:eastAsia="en-US"/>
              </w:rPr>
              <w:t xml:space="preserve"> που έληξε </w:t>
            </w:r>
            <w:r>
              <w:rPr>
                <w:rFonts w:ascii="Arial" w:eastAsia="Batang" w:hAnsi="Arial" w:cs="Arial"/>
                <w:b/>
                <w:color w:val="262626"/>
                <w:sz w:val="18"/>
                <w:szCs w:val="16"/>
                <w:lang w:val="el-GR" w:eastAsia="en-US"/>
              </w:rPr>
              <w:t>στις</w:t>
            </w:r>
            <w:r w:rsidRPr="00681991">
              <w:rPr>
                <w:rFonts w:ascii="Arial" w:eastAsia="Batang" w:hAnsi="Arial" w:cs="Arial"/>
                <w:b/>
                <w:color w:val="262626"/>
                <w:sz w:val="18"/>
                <w:szCs w:val="16"/>
                <w:lang w:val="el-GR" w:eastAsia="en-US"/>
              </w:rPr>
              <w:t xml:space="preserve"> </w:t>
            </w:r>
          </w:p>
          <w:p w14:paraId="1968704B" w14:textId="77777777" w:rsidR="0056738E" w:rsidRPr="006A365D" w:rsidRDefault="0056738E" w:rsidP="007C2AEE">
            <w:pPr>
              <w:pStyle w:val="BodyText3"/>
              <w:ind w:left="-93"/>
              <w:jc w:val="center"/>
              <w:rPr>
                <w:rFonts w:ascii="Arial" w:hAnsi="Arial" w:cs="Arial"/>
                <w:b/>
                <w:color w:val="262626"/>
                <w:sz w:val="18"/>
                <w:szCs w:val="18"/>
                <w:highlight w:val="yellow"/>
                <w:lang w:val="el-GR"/>
              </w:rPr>
            </w:pPr>
            <w:r w:rsidRPr="006A365D">
              <w:rPr>
                <w:rFonts w:ascii="Arial" w:eastAsia="Batang" w:hAnsi="Arial" w:cs="Arial"/>
                <w:b/>
                <w:color w:val="262626"/>
                <w:sz w:val="18"/>
                <w:szCs w:val="18"/>
                <w:lang w:val="el-GR" w:eastAsia="en-US"/>
              </w:rPr>
              <w:t>30 Σεπτεμβρίου</w:t>
            </w:r>
          </w:p>
        </w:tc>
      </w:tr>
      <w:tr w:rsidR="0056738E" w:rsidRPr="002F014C" w14:paraId="45171ADB" w14:textId="77777777" w:rsidTr="007C2AEE">
        <w:trPr>
          <w:trHeight w:val="283"/>
          <w:jc w:val="center"/>
        </w:trPr>
        <w:tc>
          <w:tcPr>
            <w:tcW w:w="7366" w:type="dxa"/>
            <w:vMerge/>
            <w:tcBorders>
              <w:left w:val="single" w:sz="4" w:space="0" w:color="C0C0C0"/>
            </w:tcBorders>
          </w:tcPr>
          <w:p w14:paraId="229CF7AB" w14:textId="77777777" w:rsidR="0056738E" w:rsidRPr="00711ACD" w:rsidRDefault="0056738E" w:rsidP="007C2AEE">
            <w:pPr>
              <w:tabs>
                <w:tab w:val="left" w:pos="0"/>
                <w:tab w:val="left" w:pos="282"/>
                <w:tab w:val="left" w:pos="720"/>
              </w:tabs>
              <w:suppressAutoHyphens/>
              <w:spacing w:after="0" w:line="240" w:lineRule="auto"/>
              <w:jc w:val="right"/>
              <w:rPr>
                <w:rFonts w:ascii="Arial" w:hAnsi="Arial" w:cs="Arial"/>
                <w:color w:val="262626"/>
                <w:sz w:val="18"/>
                <w:szCs w:val="18"/>
                <w:lang w:val="el-GR"/>
              </w:rPr>
            </w:pPr>
          </w:p>
        </w:tc>
        <w:tc>
          <w:tcPr>
            <w:tcW w:w="1276" w:type="dxa"/>
            <w:tcBorders>
              <w:top w:val="single" w:sz="4" w:space="0" w:color="C0C0C0"/>
            </w:tcBorders>
            <w:shd w:val="clear" w:color="auto" w:fill="auto"/>
            <w:vAlign w:val="center"/>
          </w:tcPr>
          <w:p w14:paraId="7AD61FD4" w14:textId="77777777" w:rsidR="0056738E" w:rsidRPr="00F76E73" w:rsidRDefault="0056738E" w:rsidP="007C2AEE">
            <w:pPr>
              <w:pStyle w:val="BodyText3"/>
              <w:ind w:left="-91"/>
              <w:jc w:val="center"/>
              <w:rPr>
                <w:rFonts w:ascii="Arial" w:hAnsi="Arial" w:cs="Arial"/>
                <w:b/>
                <w:color w:val="262626"/>
                <w:sz w:val="18"/>
                <w:szCs w:val="18"/>
                <w:lang w:val="el-GR"/>
              </w:rPr>
            </w:pPr>
            <w:r>
              <w:rPr>
                <w:rFonts w:ascii="Arial" w:hAnsi="Arial" w:cs="Arial"/>
                <w:b/>
                <w:color w:val="262626"/>
                <w:sz w:val="18"/>
                <w:szCs w:val="18"/>
              </w:rPr>
              <w:t>20</w:t>
            </w:r>
            <w:r>
              <w:rPr>
                <w:rFonts w:ascii="Arial" w:hAnsi="Arial" w:cs="Arial"/>
                <w:b/>
                <w:color w:val="262626"/>
                <w:sz w:val="18"/>
                <w:szCs w:val="18"/>
                <w:lang w:val="el-GR"/>
              </w:rPr>
              <w:t>24</w:t>
            </w:r>
          </w:p>
        </w:tc>
        <w:tc>
          <w:tcPr>
            <w:tcW w:w="1281" w:type="dxa"/>
            <w:tcBorders>
              <w:top w:val="single" w:sz="4" w:space="0" w:color="C0C0C0"/>
            </w:tcBorders>
            <w:shd w:val="clear" w:color="auto" w:fill="auto"/>
            <w:vAlign w:val="center"/>
          </w:tcPr>
          <w:p w14:paraId="038FF783" w14:textId="77777777" w:rsidR="0056738E" w:rsidRPr="002F2A9E" w:rsidRDefault="0056738E" w:rsidP="007C2AEE">
            <w:pPr>
              <w:pStyle w:val="BodyText3"/>
              <w:ind w:left="-91"/>
              <w:jc w:val="center"/>
              <w:rPr>
                <w:rFonts w:ascii="Arial" w:hAnsi="Arial" w:cs="Arial"/>
                <w:iCs/>
                <w:color w:val="262626"/>
                <w:sz w:val="18"/>
                <w:szCs w:val="18"/>
                <w:lang w:val="el-GR"/>
              </w:rPr>
            </w:pPr>
            <w:r>
              <w:rPr>
                <w:rFonts w:ascii="Arial" w:hAnsi="Arial" w:cs="Arial"/>
                <w:color w:val="262626"/>
                <w:sz w:val="18"/>
                <w:szCs w:val="18"/>
              </w:rPr>
              <w:t>20</w:t>
            </w:r>
            <w:r>
              <w:rPr>
                <w:rFonts w:ascii="Arial" w:hAnsi="Arial" w:cs="Arial"/>
                <w:color w:val="262626"/>
                <w:sz w:val="18"/>
                <w:szCs w:val="18"/>
                <w:lang w:val="el-GR"/>
              </w:rPr>
              <w:t>23</w:t>
            </w:r>
          </w:p>
        </w:tc>
      </w:tr>
      <w:tr w:rsidR="0056738E" w:rsidRPr="002F014C" w14:paraId="2CB868B7" w14:textId="77777777" w:rsidTr="007C2AEE">
        <w:trPr>
          <w:trHeight w:val="283"/>
          <w:jc w:val="center"/>
        </w:trPr>
        <w:tc>
          <w:tcPr>
            <w:tcW w:w="7366" w:type="dxa"/>
            <w:vMerge/>
            <w:tcBorders>
              <w:left w:val="single" w:sz="4" w:space="0" w:color="C0C0C0"/>
              <w:bottom w:val="single" w:sz="4" w:space="0" w:color="C0C0C0"/>
            </w:tcBorders>
            <w:vAlign w:val="center"/>
          </w:tcPr>
          <w:p w14:paraId="226E1B3A" w14:textId="77777777" w:rsidR="0056738E" w:rsidRPr="003A11FE" w:rsidRDefault="0056738E" w:rsidP="007C2AEE">
            <w:pPr>
              <w:tabs>
                <w:tab w:val="left" w:pos="0"/>
                <w:tab w:val="left" w:pos="282"/>
                <w:tab w:val="left" w:pos="720"/>
              </w:tabs>
              <w:suppressAutoHyphens/>
              <w:spacing w:after="0" w:line="240" w:lineRule="auto"/>
              <w:rPr>
                <w:rFonts w:ascii="Arial" w:eastAsia="Batang" w:hAnsi="Arial" w:cs="Arial"/>
                <w:bCs/>
                <w:color w:val="262626"/>
                <w:sz w:val="18"/>
                <w:szCs w:val="18"/>
                <w:lang w:eastAsia="en-US"/>
              </w:rPr>
            </w:pPr>
          </w:p>
        </w:tc>
        <w:tc>
          <w:tcPr>
            <w:tcW w:w="1276" w:type="dxa"/>
            <w:vAlign w:val="center"/>
          </w:tcPr>
          <w:p w14:paraId="75174779" w14:textId="77777777" w:rsidR="0056738E" w:rsidRPr="002F014C" w:rsidRDefault="0056738E" w:rsidP="007C2AEE">
            <w:pPr>
              <w:pStyle w:val="BodyText3"/>
              <w:ind w:left="-93"/>
              <w:jc w:val="center"/>
              <w:rPr>
                <w:rFonts w:ascii="Arial" w:hAnsi="Arial" w:cs="Arial"/>
                <w:b/>
                <w:bCs/>
                <w:i/>
                <w:iCs/>
                <w:color w:val="262626"/>
                <w:sz w:val="18"/>
                <w:szCs w:val="18"/>
              </w:rPr>
            </w:pPr>
            <w:r w:rsidRPr="002F014C">
              <w:rPr>
                <w:rFonts w:ascii="Arial" w:hAnsi="Arial" w:cs="Arial"/>
                <w:b/>
                <w:color w:val="262626"/>
                <w:sz w:val="18"/>
                <w:szCs w:val="18"/>
              </w:rPr>
              <w:t>€000</w:t>
            </w:r>
          </w:p>
        </w:tc>
        <w:tc>
          <w:tcPr>
            <w:tcW w:w="1281" w:type="dxa"/>
            <w:vAlign w:val="center"/>
          </w:tcPr>
          <w:p w14:paraId="191DF122" w14:textId="77777777" w:rsidR="0056738E" w:rsidRPr="002F014C" w:rsidRDefault="0056738E" w:rsidP="007C2AEE">
            <w:pPr>
              <w:pStyle w:val="BodyText3"/>
              <w:ind w:left="-93"/>
              <w:jc w:val="center"/>
              <w:rPr>
                <w:rFonts w:ascii="Arial" w:hAnsi="Arial" w:cs="Arial"/>
                <w:bCs/>
                <w:i/>
                <w:iCs/>
                <w:color w:val="262626"/>
                <w:sz w:val="18"/>
                <w:szCs w:val="18"/>
              </w:rPr>
            </w:pPr>
            <w:r w:rsidRPr="002F014C">
              <w:rPr>
                <w:rFonts w:ascii="Arial" w:hAnsi="Arial" w:cs="Arial"/>
                <w:color w:val="262626"/>
                <w:sz w:val="18"/>
                <w:szCs w:val="18"/>
              </w:rPr>
              <w:t>€000</w:t>
            </w:r>
          </w:p>
        </w:tc>
      </w:tr>
      <w:tr w:rsidR="0056738E" w:rsidRPr="00EA064F" w14:paraId="30447A01" w14:textId="77777777" w:rsidTr="007C2AEE">
        <w:trPr>
          <w:trHeight w:val="283"/>
          <w:jc w:val="center"/>
        </w:trPr>
        <w:tc>
          <w:tcPr>
            <w:tcW w:w="7366" w:type="dxa"/>
            <w:tcBorders>
              <w:top w:val="single" w:sz="4" w:space="0" w:color="C0C0C0"/>
            </w:tcBorders>
            <w:vAlign w:val="center"/>
          </w:tcPr>
          <w:p w14:paraId="3995F345" w14:textId="77777777" w:rsidR="0056738E" w:rsidRPr="00711ACD" w:rsidRDefault="0056738E" w:rsidP="007C2AEE">
            <w:pPr>
              <w:tabs>
                <w:tab w:val="left" w:pos="0"/>
                <w:tab w:val="left" w:pos="282"/>
                <w:tab w:val="left" w:pos="720"/>
              </w:tabs>
              <w:suppressAutoHyphens/>
              <w:spacing w:after="0" w:line="240" w:lineRule="auto"/>
              <w:rPr>
                <w:rFonts w:ascii="Arial" w:eastAsia="Batang" w:hAnsi="Arial" w:cs="Arial"/>
                <w:bCs/>
                <w:color w:val="262626"/>
                <w:sz w:val="18"/>
                <w:szCs w:val="18"/>
                <w:lang w:val="el-GR" w:eastAsia="en-US"/>
              </w:rPr>
            </w:pPr>
            <w:proofErr w:type="spellStart"/>
            <w:r>
              <w:rPr>
                <w:rFonts w:ascii="Arial" w:eastAsia="Batang" w:hAnsi="Arial" w:cs="Arial"/>
                <w:bCs/>
                <w:color w:val="262626"/>
                <w:sz w:val="18"/>
                <w:szCs w:val="18"/>
                <w:lang w:val="el-GR" w:eastAsia="en-US"/>
              </w:rPr>
              <w:t>Απομείωση</w:t>
            </w:r>
            <w:proofErr w:type="spellEnd"/>
            <w:r>
              <w:rPr>
                <w:rFonts w:ascii="Arial" w:eastAsia="Batang" w:hAnsi="Arial" w:cs="Arial"/>
                <w:bCs/>
                <w:color w:val="262626"/>
                <w:sz w:val="18"/>
                <w:szCs w:val="18"/>
                <w:lang w:val="el-GR" w:eastAsia="en-US"/>
              </w:rPr>
              <w:t xml:space="preserve"> μετά την αναστροφή σε δάνεια και απαιτήσεις από πελάτες</w:t>
            </w:r>
          </w:p>
        </w:tc>
        <w:tc>
          <w:tcPr>
            <w:tcW w:w="1276" w:type="dxa"/>
            <w:shd w:val="clear" w:color="auto" w:fill="auto"/>
            <w:vAlign w:val="center"/>
          </w:tcPr>
          <w:p w14:paraId="48A28026" w14:textId="77777777" w:rsidR="0056738E" w:rsidRPr="0056614C"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33,533</w:t>
            </w:r>
          </w:p>
        </w:tc>
        <w:tc>
          <w:tcPr>
            <w:tcW w:w="1281" w:type="dxa"/>
            <w:shd w:val="clear" w:color="auto" w:fill="auto"/>
            <w:vAlign w:val="center"/>
          </w:tcPr>
          <w:p w14:paraId="1D1B02BB" w14:textId="77777777" w:rsidR="0056738E" w:rsidRPr="006A365D"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Pr>
                <w:rFonts w:ascii="Arial" w:eastAsia="Batang" w:hAnsi="Arial" w:cs="Arial"/>
                <w:bCs/>
                <w:color w:val="262626"/>
                <w:sz w:val="18"/>
                <w:szCs w:val="18"/>
                <w:lang w:eastAsia="en-US"/>
              </w:rPr>
              <w:t>62,374</w:t>
            </w:r>
          </w:p>
        </w:tc>
      </w:tr>
      <w:tr w:rsidR="0056738E" w:rsidRPr="00EA064F" w14:paraId="538FCEE4" w14:textId="77777777" w:rsidTr="007C2AEE">
        <w:trPr>
          <w:trHeight w:val="283"/>
          <w:jc w:val="center"/>
        </w:trPr>
        <w:tc>
          <w:tcPr>
            <w:tcW w:w="7366" w:type="dxa"/>
            <w:vAlign w:val="center"/>
          </w:tcPr>
          <w:p w14:paraId="4E09496F" w14:textId="77777777" w:rsidR="0056738E" w:rsidRPr="00711ACD" w:rsidRDefault="0056738E" w:rsidP="007C2AEE">
            <w:pPr>
              <w:tabs>
                <w:tab w:val="left" w:pos="0"/>
                <w:tab w:val="left" w:pos="282"/>
                <w:tab w:val="left" w:pos="720"/>
              </w:tabs>
              <w:suppressAutoHyphens/>
              <w:spacing w:after="0" w:line="240" w:lineRule="auto"/>
              <w:rPr>
                <w:rFonts w:ascii="Arial" w:eastAsia="Batang" w:hAnsi="Arial" w:cs="Arial"/>
                <w:bCs/>
                <w:color w:val="262626"/>
                <w:sz w:val="18"/>
                <w:szCs w:val="18"/>
                <w:lang w:val="el-GR" w:eastAsia="en-US"/>
              </w:rPr>
            </w:pPr>
            <w:r>
              <w:rPr>
                <w:rFonts w:ascii="Arial" w:eastAsia="Batang" w:hAnsi="Arial" w:cs="Arial"/>
                <w:bCs/>
                <w:color w:val="262626"/>
                <w:sz w:val="18"/>
                <w:szCs w:val="18"/>
                <w:lang w:val="el-GR" w:eastAsia="en-US"/>
              </w:rPr>
              <w:t>Ανακτήσεις από προηγουμένως διαγραφέντα δάνεια και απαιτήσεις από πελάτες</w:t>
            </w:r>
          </w:p>
        </w:tc>
        <w:tc>
          <w:tcPr>
            <w:tcW w:w="1276" w:type="dxa"/>
            <w:shd w:val="clear" w:color="auto" w:fill="auto"/>
            <w:vAlign w:val="center"/>
          </w:tcPr>
          <w:p w14:paraId="555315B1" w14:textId="77777777" w:rsidR="0056738E" w:rsidRPr="00325113"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(8,206)</w:t>
            </w:r>
          </w:p>
        </w:tc>
        <w:tc>
          <w:tcPr>
            <w:tcW w:w="1281" w:type="dxa"/>
            <w:shd w:val="clear" w:color="auto" w:fill="auto"/>
            <w:vAlign w:val="center"/>
          </w:tcPr>
          <w:p w14:paraId="6F74167E" w14:textId="77777777" w:rsidR="0056738E" w:rsidRPr="006A365D"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Pr>
                <w:rFonts w:ascii="Arial" w:eastAsia="Batang" w:hAnsi="Arial" w:cs="Arial"/>
                <w:bCs/>
                <w:color w:val="262626"/>
                <w:sz w:val="18"/>
                <w:szCs w:val="18"/>
                <w:lang w:eastAsia="en-US"/>
              </w:rPr>
              <w:t>(10,310)</w:t>
            </w:r>
          </w:p>
        </w:tc>
      </w:tr>
      <w:tr w:rsidR="0056738E" w:rsidRPr="00EA064F" w14:paraId="44343FF2" w14:textId="77777777" w:rsidTr="007C2AEE">
        <w:trPr>
          <w:trHeight w:val="283"/>
          <w:jc w:val="center"/>
        </w:trPr>
        <w:tc>
          <w:tcPr>
            <w:tcW w:w="7366" w:type="dxa"/>
            <w:vAlign w:val="center"/>
          </w:tcPr>
          <w:p w14:paraId="4F00E90E" w14:textId="77777777" w:rsidR="0056738E" w:rsidRPr="00711ACD" w:rsidRDefault="0056738E" w:rsidP="007C2AEE">
            <w:pPr>
              <w:tabs>
                <w:tab w:val="left" w:pos="0"/>
                <w:tab w:val="left" w:pos="282"/>
                <w:tab w:val="left" w:pos="720"/>
              </w:tabs>
              <w:suppressAutoHyphens/>
              <w:spacing w:after="0" w:line="240" w:lineRule="auto"/>
              <w:rPr>
                <w:rFonts w:ascii="Arial" w:eastAsia="Batang" w:hAnsi="Arial" w:cs="Arial"/>
                <w:bCs/>
                <w:color w:val="262626"/>
                <w:sz w:val="18"/>
                <w:szCs w:val="18"/>
                <w:lang w:val="el-GR" w:eastAsia="en-US"/>
              </w:rPr>
            </w:pPr>
            <w:r>
              <w:rPr>
                <w:rFonts w:ascii="Arial" w:eastAsia="Batang" w:hAnsi="Arial" w:cs="Arial"/>
                <w:bCs/>
                <w:color w:val="262626"/>
                <w:sz w:val="18"/>
                <w:szCs w:val="18"/>
                <w:lang w:val="el-GR" w:eastAsia="en-US"/>
              </w:rPr>
              <w:t>Αλλαγές στις αναμενόμενες ταμειακές ροές</w:t>
            </w:r>
          </w:p>
        </w:tc>
        <w:tc>
          <w:tcPr>
            <w:tcW w:w="1276" w:type="dxa"/>
            <w:tcBorders>
              <w:bottom w:val="single" w:sz="4" w:space="0" w:color="C0C0C0"/>
            </w:tcBorders>
            <w:shd w:val="clear" w:color="auto" w:fill="auto"/>
            <w:vAlign w:val="center"/>
          </w:tcPr>
          <w:p w14:paraId="70F98AF6" w14:textId="77777777" w:rsidR="0056738E" w:rsidRPr="0056614C"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(571)</w:t>
            </w:r>
          </w:p>
        </w:tc>
        <w:tc>
          <w:tcPr>
            <w:tcW w:w="1281" w:type="dxa"/>
            <w:tcBorders>
              <w:bottom w:val="single" w:sz="4" w:space="0" w:color="C0C0C0"/>
            </w:tcBorders>
            <w:shd w:val="clear" w:color="auto" w:fill="auto"/>
            <w:vAlign w:val="center"/>
          </w:tcPr>
          <w:p w14:paraId="3054E725" w14:textId="77777777" w:rsidR="0056738E" w:rsidRPr="006A365D"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Pr>
                <w:rFonts w:ascii="Arial" w:eastAsia="Batang" w:hAnsi="Arial" w:cs="Arial"/>
                <w:bCs/>
                <w:color w:val="262626"/>
                <w:sz w:val="18"/>
                <w:szCs w:val="18"/>
                <w:lang w:eastAsia="en-US"/>
              </w:rPr>
              <w:t>(2,272)</w:t>
            </w:r>
          </w:p>
        </w:tc>
      </w:tr>
      <w:tr w:rsidR="0056738E" w:rsidRPr="00EA064F" w14:paraId="235F6B0A" w14:textId="77777777" w:rsidTr="007C2AEE">
        <w:trPr>
          <w:trHeight w:val="255"/>
          <w:jc w:val="center"/>
        </w:trPr>
        <w:tc>
          <w:tcPr>
            <w:tcW w:w="7366" w:type="dxa"/>
            <w:vAlign w:val="center"/>
          </w:tcPr>
          <w:p w14:paraId="23860806" w14:textId="77777777" w:rsidR="0056738E" w:rsidRPr="00711ACD" w:rsidRDefault="0056738E" w:rsidP="007C2AEE">
            <w:pPr>
              <w:tabs>
                <w:tab w:val="left" w:pos="0"/>
                <w:tab w:val="left" w:pos="282"/>
                <w:tab w:val="left" w:pos="720"/>
              </w:tabs>
              <w:suppressAutoHyphens/>
              <w:spacing w:after="0" w:line="240" w:lineRule="auto"/>
              <w:rPr>
                <w:rFonts w:ascii="Arial" w:eastAsia="Batang" w:hAnsi="Arial" w:cs="Arial"/>
                <w:bCs/>
                <w:color w:val="262626"/>
                <w:sz w:val="18"/>
                <w:szCs w:val="18"/>
                <w:lang w:val="el-GR" w:eastAsia="en-US"/>
              </w:rPr>
            </w:pPr>
            <w:r>
              <w:rPr>
                <w:rFonts w:ascii="Arial" w:eastAsia="Batang" w:hAnsi="Arial" w:cs="Arial"/>
                <w:bCs/>
                <w:color w:val="262626"/>
                <w:sz w:val="18"/>
                <w:szCs w:val="18"/>
                <w:lang w:val="el-GR" w:eastAsia="en-US"/>
              </w:rPr>
              <w:t>Χρηματοοικονομικές εγγυήσεις και ανειλημμένες υποχρεώσεις</w:t>
            </w:r>
          </w:p>
        </w:tc>
        <w:tc>
          <w:tcPr>
            <w:tcW w:w="1276" w:type="dxa"/>
            <w:tcBorders>
              <w:bottom w:val="single" w:sz="6" w:space="0" w:color="000000" w:themeColor="text1"/>
            </w:tcBorders>
            <w:shd w:val="clear" w:color="auto" w:fill="auto"/>
            <w:vAlign w:val="center"/>
          </w:tcPr>
          <w:p w14:paraId="67EE913D" w14:textId="77777777" w:rsidR="0056738E" w:rsidRPr="00325113"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(1,029)</w:t>
            </w:r>
          </w:p>
        </w:tc>
        <w:tc>
          <w:tcPr>
            <w:tcW w:w="1281" w:type="dxa"/>
            <w:tcBorders>
              <w:bottom w:val="single" w:sz="6" w:space="0" w:color="000000" w:themeColor="text1"/>
            </w:tcBorders>
            <w:shd w:val="clear" w:color="auto" w:fill="auto"/>
            <w:vAlign w:val="center"/>
          </w:tcPr>
          <w:p w14:paraId="4646C0CE" w14:textId="77777777" w:rsidR="0056738E" w:rsidRPr="006A365D"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l-GR" w:eastAsia="en-US"/>
              </w:rPr>
            </w:pPr>
            <w:r>
              <w:rPr>
                <w:rFonts w:ascii="Arial" w:eastAsia="Batang" w:hAnsi="Arial" w:cs="Arial"/>
                <w:bCs/>
                <w:color w:val="262626"/>
                <w:sz w:val="18"/>
                <w:szCs w:val="18"/>
                <w:lang w:eastAsia="en-US"/>
              </w:rPr>
              <w:t>540</w:t>
            </w:r>
          </w:p>
        </w:tc>
      </w:tr>
      <w:tr w:rsidR="0056738E" w:rsidRPr="00EA064F" w14:paraId="589A51C7" w14:textId="77777777" w:rsidTr="007C2AEE">
        <w:trPr>
          <w:trHeight w:val="283"/>
          <w:jc w:val="center"/>
        </w:trPr>
        <w:tc>
          <w:tcPr>
            <w:tcW w:w="7366" w:type="dxa"/>
            <w:tcBorders>
              <w:bottom w:val="single" w:sz="4" w:space="0" w:color="C0C0C0"/>
            </w:tcBorders>
            <w:vAlign w:val="center"/>
          </w:tcPr>
          <w:p w14:paraId="1E9A2E0F" w14:textId="77777777" w:rsidR="0056738E" w:rsidRPr="009B5694" w:rsidRDefault="0056738E" w:rsidP="007C2AEE">
            <w:pPr>
              <w:tabs>
                <w:tab w:val="left" w:pos="0"/>
                <w:tab w:val="left" w:pos="282"/>
                <w:tab w:val="left" w:pos="720"/>
              </w:tabs>
              <w:suppressAutoHyphens/>
              <w:spacing w:after="0" w:line="240" w:lineRule="auto"/>
              <w:rPr>
                <w:rFonts w:ascii="Arial" w:eastAsia="Batang" w:hAnsi="Arial" w:cs="Arial"/>
                <w:b/>
                <w:bCs/>
                <w:color w:val="262626"/>
                <w:sz w:val="18"/>
                <w:szCs w:val="18"/>
                <w:lang w:val="el-GR" w:eastAsia="en-US"/>
              </w:rPr>
            </w:pPr>
          </w:p>
        </w:tc>
        <w:tc>
          <w:tcPr>
            <w:tcW w:w="1276" w:type="dxa"/>
            <w:tcBorders>
              <w:top w:val="single" w:sz="6" w:space="0" w:color="000000" w:themeColor="text1"/>
              <w:bottom w:val="double" w:sz="6" w:space="0" w:color="000000" w:themeColor="text1"/>
            </w:tcBorders>
            <w:shd w:val="clear" w:color="auto" w:fill="auto"/>
            <w:vAlign w:val="center"/>
          </w:tcPr>
          <w:p w14:paraId="1BE5BD9C" w14:textId="77777777" w:rsidR="0056738E" w:rsidRPr="00325113"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23,727</w:t>
            </w:r>
          </w:p>
        </w:tc>
        <w:tc>
          <w:tcPr>
            <w:tcW w:w="1281" w:type="dxa"/>
            <w:tcBorders>
              <w:top w:val="single" w:sz="6" w:space="0" w:color="000000" w:themeColor="text1"/>
              <w:bottom w:val="double" w:sz="6" w:space="0" w:color="000000" w:themeColor="text1"/>
            </w:tcBorders>
            <w:shd w:val="clear" w:color="auto" w:fill="FFFFFF"/>
            <w:vAlign w:val="center"/>
          </w:tcPr>
          <w:p w14:paraId="57A7BA13" w14:textId="77777777" w:rsidR="0056738E" w:rsidRPr="006A365D"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val="en-US" w:eastAsia="en-US"/>
              </w:rPr>
            </w:pPr>
            <w:r>
              <w:rPr>
                <w:rFonts w:ascii="Arial" w:eastAsia="Batang" w:hAnsi="Arial" w:cs="Arial"/>
                <w:bCs/>
                <w:color w:val="262626"/>
                <w:sz w:val="18"/>
                <w:szCs w:val="18"/>
                <w:lang w:eastAsia="en-US"/>
              </w:rPr>
              <w:t>50,332</w:t>
            </w:r>
          </w:p>
        </w:tc>
      </w:tr>
    </w:tbl>
    <w:p w14:paraId="33402832" w14:textId="77777777" w:rsidR="0056738E" w:rsidRPr="00BB0E7C" w:rsidRDefault="0056738E" w:rsidP="0056738E">
      <w:pPr>
        <w:keepNext/>
        <w:tabs>
          <w:tab w:val="left" w:pos="1416"/>
          <w:tab w:val="decimal" w:pos="4962"/>
          <w:tab w:val="decimal" w:pos="6521"/>
          <w:tab w:val="right" w:pos="7560"/>
          <w:tab w:val="decimal" w:pos="8220"/>
          <w:tab w:val="left" w:pos="8640"/>
          <w:tab w:val="right" w:pos="9000"/>
        </w:tabs>
        <w:suppressAutoHyphens/>
        <w:spacing w:after="0" w:line="240" w:lineRule="auto"/>
        <w:ind w:left="851" w:right="-130" w:hanging="851"/>
        <w:jc w:val="both"/>
        <w:outlineLvl w:val="8"/>
        <w:rPr>
          <w:rFonts w:ascii="Arial" w:hAnsi="Arial" w:cs="Arial"/>
          <w:b/>
          <w:color w:val="FF9900"/>
          <w:sz w:val="18"/>
          <w:szCs w:val="18"/>
          <w:lang w:val="el-GR"/>
        </w:rPr>
      </w:pPr>
    </w:p>
    <w:p w14:paraId="3F52C507" w14:textId="77777777" w:rsidR="0056738E" w:rsidRDefault="0056738E" w:rsidP="0056738E">
      <w:pPr>
        <w:rPr>
          <w:rFonts w:ascii="Arial" w:eastAsia="Batang" w:hAnsi="Arial" w:cs="Arial"/>
          <w:color w:val="262626"/>
          <w:sz w:val="18"/>
          <w:szCs w:val="24"/>
          <w:lang w:val="el-GR" w:eastAsia="en-US"/>
        </w:rPr>
      </w:pPr>
      <w:r>
        <w:rPr>
          <w:rFonts w:ascii="Arial" w:eastAsia="Batang" w:hAnsi="Arial" w:cs="Arial"/>
          <w:color w:val="262626"/>
          <w:sz w:val="18"/>
          <w:szCs w:val="24"/>
          <w:lang w:val="el-GR" w:eastAsia="en-US"/>
        </w:rPr>
        <w:br w:type="page"/>
      </w:r>
    </w:p>
    <w:p w14:paraId="655D8697" w14:textId="77777777" w:rsidR="0056738E" w:rsidRPr="00C30CF6" w:rsidRDefault="0056738E" w:rsidP="0056738E">
      <w:pPr>
        <w:spacing w:after="0" w:line="360" w:lineRule="auto"/>
        <w:ind w:left="851" w:hanging="851"/>
        <w:rPr>
          <w:rFonts w:ascii="Arial" w:hAnsi="Arial" w:cs="Arial"/>
          <w:b/>
          <w:color w:val="FF9900"/>
          <w:lang w:val="el-GR"/>
        </w:rPr>
      </w:pPr>
      <w:r>
        <w:rPr>
          <w:rFonts w:ascii="Arial" w:hAnsi="Arial" w:cs="Arial"/>
          <w:b/>
          <w:color w:val="FF9900"/>
          <w:szCs w:val="16"/>
          <w:lang w:val="el-GR"/>
        </w:rPr>
        <w:lastRenderedPageBreak/>
        <w:t>ΣΤ</w:t>
      </w:r>
      <w:r w:rsidRPr="00C30CF6">
        <w:rPr>
          <w:rFonts w:ascii="Arial" w:hAnsi="Arial" w:cs="Arial"/>
          <w:b/>
          <w:color w:val="FF9900"/>
          <w:szCs w:val="16"/>
          <w:lang w:val="el-GR"/>
        </w:rPr>
        <w:t xml:space="preserve">. </w:t>
      </w:r>
      <w:r w:rsidRPr="005F6B49">
        <w:rPr>
          <w:rFonts w:ascii="Arial" w:hAnsi="Arial" w:cs="Arial"/>
          <w:b/>
          <w:color w:val="FF9900"/>
          <w:szCs w:val="16"/>
          <w:lang w:val="el-GR"/>
        </w:rPr>
        <w:tab/>
      </w:r>
      <w:r>
        <w:rPr>
          <w:rFonts w:ascii="Arial" w:hAnsi="Arial" w:cs="Arial"/>
          <w:b/>
          <w:color w:val="FF9900"/>
          <w:lang w:val="el-GR"/>
        </w:rPr>
        <w:t xml:space="preserve">Σημειώσεις </w:t>
      </w:r>
      <w:r w:rsidRPr="007C60E2">
        <w:rPr>
          <w:rFonts w:ascii="Arial" w:hAnsi="Arial" w:cs="Arial"/>
          <w:color w:val="FF9900"/>
          <w:lang w:val="el-GR"/>
        </w:rPr>
        <w:t>(συνέχεια)</w:t>
      </w:r>
    </w:p>
    <w:p w14:paraId="50014205" w14:textId="77777777" w:rsidR="0056738E" w:rsidRPr="00711ACD" w:rsidRDefault="0056738E" w:rsidP="0056738E">
      <w:pPr>
        <w:keepNext/>
        <w:tabs>
          <w:tab w:val="left" w:pos="1416"/>
          <w:tab w:val="decimal" w:pos="4962"/>
          <w:tab w:val="decimal" w:pos="6521"/>
          <w:tab w:val="right" w:pos="7560"/>
          <w:tab w:val="decimal" w:pos="8220"/>
          <w:tab w:val="left" w:pos="8640"/>
          <w:tab w:val="right" w:pos="9000"/>
        </w:tabs>
        <w:suppressAutoHyphens/>
        <w:spacing w:after="120" w:line="240" w:lineRule="auto"/>
        <w:ind w:left="851" w:right="-130" w:hanging="851"/>
        <w:jc w:val="both"/>
        <w:outlineLvl w:val="8"/>
        <w:rPr>
          <w:rFonts w:ascii="Arial" w:hAnsi="Arial" w:cs="Arial"/>
          <w:b/>
          <w:color w:val="FF9900"/>
          <w:szCs w:val="18"/>
          <w:lang w:val="el-GR"/>
        </w:rPr>
      </w:pPr>
      <w:r>
        <w:rPr>
          <w:rFonts w:ascii="Arial" w:hAnsi="Arial" w:cs="Arial"/>
          <w:b/>
          <w:color w:val="FF9900"/>
          <w:szCs w:val="18"/>
          <w:lang w:val="el-GR"/>
        </w:rPr>
        <w:t>ΣΤ</w:t>
      </w:r>
      <w:r w:rsidRPr="00711ACD">
        <w:rPr>
          <w:rFonts w:ascii="Arial" w:hAnsi="Arial" w:cs="Arial"/>
          <w:b/>
          <w:color w:val="FF9900"/>
          <w:szCs w:val="18"/>
          <w:lang w:val="el-GR"/>
        </w:rPr>
        <w:t>.</w:t>
      </w:r>
      <w:r>
        <w:rPr>
          <w:rFonts w:ascii="Arial" w:hAnsi="Arial" w:cs="Arial"/>
          <w:b/>
          <w:color w:val="FF9900"/>
          <w:szCs w:val="18"/>
          <w:lang w:val="el-GR"/>
        </w:rPr>
        <w:t>6</w:t>
      </w:r>
      <w:r w:rsidRPr="00711ACD">
        <w:rPr>
          <w:rFonts w:ascii="Arial" w:hAnsi="Arial" w:cs="Arial"/>
          <w:b/>
          <w:color w:val="FF9900"/>
          <w:szCs w:val="18"/>
          <w:lang w:val="el-GR"/>
        </w:rPr>
        <w:t xml:space="preserve"> </w:t>
      </w:r>
      <w:r w:rsidRPr="00711ACD">
        <w:rPr>
          <w:rFonts w:ascii="Arial" w:hAnsi="Arial" w:cs="Arial"/>
          <w:b/>
          <w:color w:val="FF9900"/>
          <w:szCs w:val="18"/>
          <w:lang w:val="el-GR"/>
        </w:rPr>
        <w:tab/>
      </w:r>
      <w:r>
        <w:rPr>
          <w:rFonts w:ascii="Arial" w:hAnsi="Arial" w:cs="Arial"/>
          <w:b/>
          <w:color w:val="FF9900"/>
          <w:szCs w:val="18"/>
          <w:lang w:val="el-GR"/>
        </w:rPr>
        <w:t xml:space="preserve">Πιστωτικές ζημιές για κάλυψη πιστωτικού κινδύνου για δάνεια και απαιτήσεις από πελάτες </w:t>
      </w:r>
      <w:r w:rsidRPr="007C60E2">
        <w:rPr>
          <w:rFonts w:ascii="Arial" w:hAnsi="Arial" w:cs="Arial"/>
          <w:color w:val="FF9900"/>
          <w:lang w:val="el-GR"/>
        </w:rPr>
        <w:t>(συνέχεια)</w:t>
      </w:r>
    </w:p>
    <w:p w14:paraId="5B4E9A9F" w14:textId="77777777" w:rsidR="0056738E" w:rsidRDefault="0056738E" w:rsidP="0056738E">
      <w:pPr>
        <w:keepNext/>
        <w:tabs>
          <w:tab w:val="left" w:pos="0"/>
          <w:tab w:val="left" w:pos="720"/>
          <w:tab w:val="left" w:pos="1416"/>
          <w:tab w:val="decimal" w:pos="4962"/>
          <w:tab w:val="decimal" w:pos="6521"/>
          <w:tab w:val="right" w:pos="7560"/>
          <w:tab w:val="decimal" w:pos="8220"/>
          <w:tab w:val="left" w:pos="8640"/>
          <w:tab w:val="right" w:pos="9000"/>
        </w:tabs>
        <w:suppressAutoHyphens/>
        <w:spacing w:after="120" w:line="240" w:lineRule="auto"/>
        <w:jc w:val="both"/>
        <w:outlineLvl w:val="8"/>
        <w:rPr>
          <w:rFonts w:ascii="Arial" w:eastAsia="Batang" w:hAnsi="Arial" w:cs="Arial"/>
          <w:color w:val="262626"/>
          <w:sz w:val="18"/>
          <w:szCs w:val="24"/>
          <w:lang w:val="el-GR" w:eastAsia="en-US"/>
        </w:rPr>
      </w:pPr>
      <w:r w:rsidRPr="001D7A91">
        <w:rPr>
          <w:rFonts w:ascii="Arial" w:eastAsia="Batang" w:hAnsi="Arial" w:cs="Arial"/>
          <w:color w:val="262626"/>
          <w:sz w:val="18"/>
          <w:szCs w:val="24"/>
          <w:lang w:val="el-GR" w:eastAsia="en-US"/>
        </w:rPr>
        <w:t>Η</w:t>
      </w:r>
      <w:r>
        <w:rPr>
          <w:rFonts w:ascii="Arial" w:eastAsia="Batang" w:hAnsi="Arial" w:cs="Arial"/>
          <w:color w:val="262626"/>
          <w:sz w:val="18"/>
          <w:szCs w:val="24"/>
          <w:lang w:val="el-GR" w:eastAsia="en-US"/>
        </w:rPr>
        <w:t xml:space="preserve"> κίνηση</w:t>
      </w:r>
      <w:r w:rsidRPr="001D7A91">
        <w:rPr>
          <w:rFonts w:ascii="Arial" w:eastAsia="Batang" w:hAnsi="Arial" w:cs="Arial"/>
          <w:color w:val="262626"/>
          <w:sz w:val="18"/>
          <w:szCs w:val="24"/>
          <w:lang w:val="el-GR" w:eastAsia="en-US"/>
        </w:rPr>
        <w:t xml:space="preserve"> </w:t>
      </w:r>
      <w:r>
        <w:rPr>
          <w:rFonts w:ascii="Arial" w:eastAsia="Batang" w:hAnsi="Arial" w:cs="Arial"/>
          <w:color w:val="262626"/>
          <w:sz w:val="18"/>
          <w:szCs w:val="24"/>
          <w:lang w:val="el-GR" w:eastAsia="en-US"/>
        </w:rPr>
        <w:t>στις αναμενόμενες πιστωτικές ζημιές</w:t>
      </w:r>
      <w:r w:rsidRPr="001D7A91">
        <w:rPr>
          <w:rFonts w:ascii="Arial" w:eastAsia="Batang" w:hAnsi="Arial" w:cs="Arial"/>
          <w:color w:val="262626"/>
          <w:sz w:val="18"/>
          <w:szCs w:val="24"/>
          <w:lang w:val="el-GR" w:eastAsia="en-US"/>
        </w:rPr>
        <w:t xml:space="preserve"> των δανείων και απαιτήσεων από </w:t>
      </w:r>
      <w:r w:rsidRPr="00DB1448">
        <w:rPr>
          <w:rFonts w:ascii="Arial" w:eastAsia="Batang" w:hAnsi="Arial" w:cs="Arial"/>
          <w:color w:val="262626"/>
          <w:sz w:val="18"/>
          <w:szCs w:val="24"/>
          <w:lang w:val="el-GR" w:eastAsia="en-US"/>
        </w:rPr>
        <w:t>πελάτες</w:t>
      </w:r>
      <w:r w:rsidRPr="00A03828">
        <w:rPr>
          <w:rFonts w:ascii="Arial" w:eastAsia="Batang" w:hAnsi="Arial" w:cs="Arial"/>
          <w:color w:val="262626"/>
          <w:sz w:val="18"/>
          <w:szCs w:val="24"/>
          <w:lang w:val="el-GR" w:eastAsia="en-US"/>
        </w:rPr>
        <w:t>,</w:t>
      </w:r>
      <w:r w:rsidRPr="00A03828">
        <w:rPr>
          <w:lang w:val="el-GR"/>
        </w:rPr>
        <w:t xml:space="preserve"> </w:t>
      </w:r>
      <w:r w:rsidRPr="00A03828">
        <w:rPr>
          <w:rFonts w:ascii="Arial" w:eastAsia="Batang" w:hAnsi="Arial" w:cs="Arial"/>
          <w:color w:val="262626"/>
          <w:sz w:val="18"/>
          <w:szCs w:val="24"/>
          <w:lang w:val="el-GR" w:eastAsia="en-US"/>
        </w:rPr>
        <w:t>περιλαμβανομένων των δανείων και απαιτήσεων από πελάτες που κατέχονται προς πώληση,</w:t>
      </w:r>
      <w:r>
        <w:rPr>
          <w:rFonts w:ascii="Arial" w:eastAsia="Batang" w:hAnsi="Arial" w:cs="Arial"/>
          <w:color w:val="262626"/>
          <w:sz w:val="18"/>
          <w:szCs w:val="24"/>
          <w:lang w:val="el-GR" w:eastAsia="en-US"/>
        </w:rPr>
        <w:t xml:space="preserve"> </w:t>
      </w:r>
      <w:r w:rsidRPr="00DB1448">
        <w:rPr>
          <w:rFonts w:ascii="Arial" w:eastAsia="Batang" w:hAnsi="Arial" w:cs="Arial"/>
          <w:color w:val="262626"/>
          <w:sz w:val="18"/>
          <w:szCs w:val="24"/>
          <w:lang w:val="el-GR" w:eastAsia="en-US"/>
        </w:rPr>
        <w:t xml:space="preserve">και </w:t>
      </w:r>
      <w:r>
        <w:rPr>
          <w:rFonts w:ascii="Arial" w:eastAsia="Batang" w:hAnsi="Arial" w:cs="Arial"/>
          <w:color w:val="262626"/>
          <w:sz w:val="18"/>
          <w:szCs w:val="24"/>
          <w:lang w:val="el-GR" w:eastAsia="en-US"/>
        </w:rPr>
        <w:t>η ανάλυση του υπολοίπου</w:t>
      </w:r>
      <w:r w:rsidRPr="00DB1448">
        <w:rPr>
          <w:rFonts w:ascii="Arial" w:eastAsia="Batang" w:hAnsi="Arial" w:cs="Arial"/>
          <w:color w:val="262626"/>
          <w:sz w:val="18"/>
          <w:szCs w:val="24"/>
          <w:lang w:val="el-GR" w:eastAsia="en-US"/>
        </w:rPr>
        <w:t xml:space="preserve"> </w:t>
      </w:r>
      <w:r>
        <w:rPr>
          <w:rFonts w:ascii="Arial" w:eastAsia="Batang" w:hAnsi="Arial" w:cs="Arial"/>
          <w:color w:val="262626"/>
          <w:sz w:val="18"/>
          <w:szCs w:val="24"/>
          <w:lang w:val="el-GR" w:eastAsia="en-US"/>
        </w:rPr>
        <w:t>ανά</w:t>
      </w:r>
      <w:r w:rsidRPr="00DB1448">
        <w:rPr>
          <w:rFonts w:ascii="Arial" w:eastAsia="Batang" w:hAnsi="Arial" w:cs="Arial"/>
          <w:color w:val="262626"/>
          <w:sz w:val="18"/>
          <w:szCs w:val="24"/>
          <w:lang w:val="el-GR" w:eastAsia="en-US"/>
        </w:rPr>
        <w:t xml:space="preserve"> στάδιο</w:t>
      </w:r>
      <w:r w:rsidRPr="001D7A91">
        <w:rPr>
          <w:rFonts w:ascii="Arial" w:eastAsia="Batang" w:hAnsi="Arial" w:cs="Arial"/>
          <w:color w:val="262626"/>
          <w:sz w:val="18"/>
          <w:szCs w:val="24"/>
          <w:lang w:val="el-GR" w:eastAsia="en-US"/>
        </w:rPr>
        <w:t xml:space="preserve"> παρουσιάζεται πιο κάτω:</w:t>
      </w:r>
    </w:p>
    <w:tbl>
      <w:tblPr>
        <w:tblW w:w="993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087"/>
        <w:gridCol w:w="1417"/>
        <w:gridCol w:w="1431"/>
      </w:tblGrid>
      <w:tr w:rsidR="0056738E" w:rsidRPr="00910A4E" w14:paraId="3A576FEA" w14:textId="77777777" w:rsidTr="007C2AEE">
        <w:trPr>
          <w:trHeight w:val="283"/>
          <w:jc w:val="center"/>
        </w:trPr>
        <w:tc>
          <w:tcPr>
            <w:tcW w:w="7087" w:type="dxa"/>
            <w:tcBorders>
              <w:top w:val="single" w:sz="4" w:space="0" w:color="C0C0C0"/>
              <w:left w:val="single" w:sz="4" w:space="0" w:color="C0C0C0"/>
              <w:right w:val="single" w:sz="4" w:space="0" w:color="C0C0C0"/>
            </w:tcBorders>
            <w:shd w:val="clear" w:color="auto" w:fill="auto"/>
            <w:vAlign w:val="center"/>
          </w:tcPr>
          <w:p w14:paraId="718EB9AC" w14:textId="77777777" w:rsidR="0056738E" w:rsidRPr="00EA064F" w:rsidRDefault="0056738E" w:rsidP="007C2AEE">
            <w:pPr>
              <w:widowControl w:val="0"/>
              <w:autoSpaceDE w:val="0"/>
              <w:autoSpaceDN w:val="0"/>
              <w:adjustRightInd w:val="0"/>
              <w:spacing w:after="0" w:line="240" w:lineRule="auto"/>
              <w:ind w:left="56"/>
              <w:rPr>
                <w:rFonts w:ascii="Arial" w:eastAsia="Batang" w:hAnsi="Arial" w:cs="Arial"/>
                <w:bCs/>
                <w:color w:val="262626"/>
                <w:sz w:val="18"/>
                <w:szCs w:val="18"/>
                <w:lang w:val="el-GR" w:eastAsia="en-US"/>
              </w:rPr>
            </w:pPr>
          </w:p>
        </w:tc>
        <w:tc>
          <w:tcPr>
            <w:tcW w:w="284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B75FB9E" w14:textId="77777777" w:rsidR="0056738E" w:rsidRPr="00681991" w:rsidRDefault="0056738E" w:rsidP="007C2AEE">
            <w:pPr>
              <w:spacing w:after="0" w:line="240" w:lineRule="auto"/>
              <w:jc w:val="center"/>
              <w:rPr>
                <w:rFonts w:ascii="Arial" w:eastAsia="Batang" w:hAnsi="Arial" w:cs="Arial"/>
                <w:b/>
                <w:color w:val="262626"/>
                <w:sz w:val="18"/>
                <w:szCs w:val="16"/>
                <w:lang w:val="el-GR" w:eastAsia="en-US"/>
              </w:rPr>
            </w:pPr>
            <w:r>
              <w:rPr>
                <w:rFonts w:ascii="Arial" w:eastAsia="Batang" w:hAnsi="Arial" w:cs="Arial"/>
                <w:b/>
                <w:color w:val="262626"/>
                <w:sz w:val="18"/>
                <w:szCs w:val="16"/>
                <w:lang w:val="el-GR" w:eastAsia="en-US"/>
              </w:rPr>
              <w:t>Εννεάμηνο</w:t>
            </w:r>
            <w:r w:rsidRPr="00681991">
              <w:rPr>
                <w:rFonts w:ascii="Arial" w:eastAsia="Batang" w:hAnsi="Arial" w:cs="Arial"/>
                <w:b/>
                <w:color w:val="262626"/>
                <w:sz w:val="18"/>
                <w:szCs w:val="16"/>
                <w:lang w:val="el-GR" w:eastAsia="en-US"/>
              </w:rPr>
              <w:t xml:space="preserve"> που έληξε στις </w:t>
            </w:r>
          </w:p>
          <w:p w14:paraId="484280E3" w14:textId="77777777" w:rsidR="0056738E" w:rsidRPr="00295155" w:rsidRDefault="0056738E" w:rsidP="007C2AEE">
            <w:pPr>
              <w:tabs>
                <w:tab w:val="left" w:pos="810"/>
              </w:tabs>
              <w:suppressAutoHyphens/>
              <w:spacing w:after="0" w:line="240" w:lineRule="auto"/>
              <w:jc w:val="center"/>
              <w:rPr>
                <w:rFonts w:ascii="Arial" w:eastAsia="Batang" w:hAnsi="Arial" w:cs="Arial"/>
                <w:b/>
                <w:iCs/>
                <w:color w:val="262626"/>
                <w:sz w:val="18"/>
                <w:szCs w:val="18"/>
                <w:lang w:val="el-GR" w:eastAsia="en-US"/>
              </w:rPr>
            </w:pPr>
            <w:r w:rsidRPr="00264973">
              <w:rPr>
                <w:rFonts w:ascii="Arial" w:eastAsia="Batang" w:hAnsi="Arial" w:cs="Arial"/>
                <w:b/>
                <w:color w:val="262626"/>
                <w:sz w:val="18"/>
                <w:szCs w:val="16"/>
                <w:lang w:val="el-GR" w:eastAsia="en-US"/>
              </w:rPr>
              <w:t>30 Σεπτεμβρίου</w:t>
            </w:r>
          </w:p>
        </w:tc>
      </w:tr>
      <w:tr w:rsidR="0056738E" w:rsidRPr="00295155" w14:paraId="3EFF6218" w14:textId="77777777" w:rsidTr="007C2AEE">
        <w:trPr>
          <w:trHeight w:val="283"/>
          <w:jc w:val="center"/>
        </w:trPr>
        <w:tc>
          <w:tcPr>
            <w:tcW w:w="7087" w:type="dxa"/>
            <w:tcBorders>
              <w:left w:val="single" w:sz="4" w:space="0" w:color="C0C0C0"/>
              <w:bottom w:val="single" w:sz="4" w:space="0" w:color="C0C0C0"/>
              <w:right w:val="single" w:sz="4" w:space="0" w:color="C0C0C0"/>
            </w:tcBorders>
            <w:shd w:val="clear" w:color="auto" w:fill="auto"/>
            <w:vAlign w:val="center"/>
          </w:tcPr>
          <w:p w14:paraId="476D299E" w14:textId="77777777" w:rsidR="0056738E" w:rsidRPr="00D60454"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eastAsia="Batang" w:hAnsi="Arial" w:cs="Arial"/>
                <w:b/>
                <w:bCs/>
                <w:color w:val="262626"/>
                <w:sz w:val="18"/>
                <w:szCs w:val="18"/>
                <w:lang w:val="el-GR" w:eastAsia="en-US"/>
              </w:rPr>
            </w:pP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E2626C" w14:textId="77777777" w:rsidR="0056738E" w:rsidRPr="00E80C95" w:rsidRDefault="0056738E" w:rsidP="007C2AEE">
            <w:pPr>
              <w:tabs>
                <w:tab w:val="right" w:pos="7560"/>
                <w:tab w:val="right" w:pos="9000"/>
              </w:tabs>
              <w:suppressAutoHyphens/>
              <w:spacing w:after="0" w:line="240" w:lineRule="auto"/>
              <w:jc w:val="center"/>
              <w:rPr>
                <w:rFonts w:ascii="Arial" w:eastAsia="Batang" w:hAnsi="Arial" w:cs="Arial"/>
                <w:b/>
                <w:bCs/>
                <w:iCs/>
                <w:color w:val="262626"/>
                <w:sz w:val="18"/>
                <w:szCs w:val="18"/>
                <w:lang w:eastAsia="en-US"/>
              </w:rPr>
            </w:pPr>
            <w:r>
              <w:rPr>
                <w:rFonts w:ascii="Arial" w:hAnsi="Arial" w:cs="Arial"/>
                <w:b/>
                <w:color w:val="262626"/>
                <w:sz w:val="18"/>
                <w:szCs w:val="18"/>
              </w:rPr>
              <w:t>20</w:t>
            </w:r>
            <w:r>
              <w:rPr>
                <w:rFonts w:ascii="Arial" w:hAnsi="Arial" w:cs="Arial"/>
                <w:b/>
                <w:color w:val="262626"/>
                <w:sz w:val="18"/>
                <w:szCs w:val="18"/>
                <w:lang w:val="el-GR"/>
              </w:rPr>
              <w:t>24</w:t>
            </w:r>
          </w:p>
        </w:tc>
        <w:tc>
          <w:tcPr>
            <w:tcW w:w="143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4E6A2C7" w14:textId="77777777" w:rsidR="0056738E" w:rsidRPr="00295155" w:rsidRDefault="0056738E" w:rsidP="007C2AEE">
            <w:pPr>
              <w:tabs>
                <w:tab w:val="right" w:pos="7560"/>
                <w:tab w:val="right" w:pos="9000"/>
              </w:tabs>
              <w:suppressAutoHyphens/>
              <w:spacing w:after="0" w:line="240" w:lineRule="auto"/>
              <w:jc w:val="center"/>
              <w:rPr>
                <w:rFonts w:ascii="Arial" w:eastAsia="Batang" w:hAnsi="Arial" w:cs="Arial"/>
                <w:b/>
                <w:bCs/>
                <w:iCs/>
                <w:color w:val="262626"/>
                <w:sz w:val="18"/>
                <w:szCs w:val="18"/>
                <w:lang w:eastAsia="en-US"/>
              </w:rPr>
            </w:pPr>
            <w:r>
              <w:rPr>
                <w:rFonts w:ascii="Arial" w:hAnsi="Arial" w:cs="Arial"/>
                <w:color w:val="262626"/>
                <w:sz w:val="18"/>
                <w:szCs w:val="18"/>
              </w:rPr>
              <w:t>20</w:t>
            </w:r>
            <w:r>
              <w:rPr>
                <w:rFonts w:ascii="Arial" w:hAnsi="Arial" w:cs="Arial"/>
                <w:color w:val="262626"/>
                <w:sz w:val="18"/>
                <w:szCs w:val="18"/>
                <w:lang w:val="el-GR"/>
              </w:rPr>
              <w:t>23</w:t>
            </w:r>
          </w:p>
        </w:tc>
      </w:tr>
      <w:tr w:rsidR="0056738E" w:rsidRPr="00295155" w14:paraId="6EF3D60B" w14:textId="77777777" w:rsidTr="007C2AEE">
        <w:trPr>
          <w:trHeight w:val="283"/>
          <w:jc w:val="center"/>
        </w:trPr>
        <w:tc>
          <w:tcPr>
            <w:tcW w:w="7087" w:type="dxa"/>
            <w:tcBorders>
              <w:left w:val="single" w:sz="4" w:space="0" w:color="C0C0C0"/>
              <w:bottom w:val="single" w:sz="4" w:space="0" w:color="C0C0C0"/>
              <w:right w:val="single" w:sz="4" w:space="0" w:color="C0C0C0"/>
            </w:tcBorders>
            <w:shd w:val="clear" w:color="auto" w:fill="auto"/>
            <w:vAlign w:val="center"/>
          </w:tcPr>
          <w:p w14:paraId="6662F63A" w14:textId="77777777" w:rsidR="0056738E" w:rsidRPr="00295155"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eastAsia="Batang" w:hAnsi="Arial" w:cs="Arial"/>
                <w:b/>
                <w:bCs/>
                <w:color w:val="262626"/>
                <w:sz w:val="18"/>
                <w:szCs w:val="18"/>
                <w:lang w:eastAsia="en-US"/>
              </w:rPr>
            </w:pP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D8D0228" w14:textId="77777777" w:rsidR="0056738E" w:rsidRPr="00D60454" w:rsidRDefault="0056738E" w:rsidP="007C2AEE">
            <w:pPr>
              <w:tabs>
                <w:tab w:val="right" w:pos="7560"/>
                <w:tab w:val="right" w:pos="9000"/>
              </w:tabs>
              <w:suppressAutoHyphens/>
              <w:spacing w:after="0" w:line="240" w:lineRule="auto"/>
              <w:jc w:val="center"/>
              <w:rPr>
                <w:rFonts w:ascii="Arial" w:eastAsia="Batang" w:hAnsi="Arial" w:cs="Arial"/>
                <w:b/>
                <w:bCs/>
                <w:iCs/>
                <w:color w:val="262626"/>
                <w:sz w:val="18"/>
                <w:szCs w:val="18"/>
                <w:lang w:eastAsia="en-US"/>
              </w:rPr>
            </w:pPr>
            <w:r w:rsidRPr="00D60454">
              <w:rPr>
                <w:rFonts w:ascii="Arial" w:eastAsia="Batang" w:hAnsi="Arial" w:cs="Arial"/>
                <w:b/>
                <w:bCs/>
                <w:iCs/>
                <w:color w:val="262626"/>
                <w:sz w:val="18"/>
                <w:szCs w:val="18"/>
                <w:lang w:eastAsia="en-US"/>
              </w:rPr>
              <w:t>€000</w:t>
            </w:r>
          </w:p>
        </w:tc>
        <w:tc>
          <w:tcPr>
            <w:tcW w:w="143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98B8BC" w14:textId="77777777" w:rsidR="0056738E" w:rsidRPr="00D60454" w:rsidRDefault="0056738E" w:rsidP="007C2AEE">
            <w:pPr>
              <w:tabs>
                <w:tab w:val="right" w:pos="7560"/>
                <w:tab w:val="right" w:pos="9000"/>
              </w:tabs>
              <w:suppressAutoHyphens/>
              <w:spacing w:after="0" w:line="240" w:lineRule="auto"/>
              <w:jc w:val="center"/>
              <w:rPr>
                <w:rFonts w:ascii="Arial" w:eastAsia="Batang" w:hAnsi="Arial" w:cs="Arial"/>
                <w:bCs/>
                <w:iCs/>
                <w:color w:val="262626"/>
                <w:sz w:val="18"/>
                <w:szCs w:val="18"/>
                <w:lang w:eastAsia="en-US"/>
              </w:rPr>
            </w:pPr>
            <w:r w:rsidRPr="00D60454">
              <w:rPr>
                <w:rFonts w:ascii="Arial" w:eastAsia="Batang" w:hAnsi="Arial" w:cs="Arial"/>
                <w:bCs/>
                <w:iCs/>
                <w:color w:val="262626"/>
                <w:sz w:val="18"/>
                <w:szCs w:val="18"/>
                <w:lang w:eastAsia="en-US"/>
              </w:rPr>
              <w:t>€000</w:t>
            </w:r>
          </w:p>
        </w:tc>
      </w:tr>
      <w:tr w:rsidR="0056738E" w:rsidRPr="00295155" w14:paraId="025EB635" w14:textId="77777777" w:rsidTr="007C2AEE">
        <w:trPr>
          <w:trHeight w:val="255"/>
          <w:jc w:val="center"/>
        </w:trPr>
        <w:tc>
          <w:tcPr>
            <w:tcW w:w="708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67445B" w14:textId="77777777" w:rsidR="0056738E" w:rsidRPr="00295155" w:rsidRDefault="0056738E" w:rsidP="007C2AEE">
            <w:pPr>
              <w:numPr>
                <w:ilvl w:val="12"/>
                <w:numId w:val="0"/>
              </w:numPr>
              <w:tabs>
                <w:tab w:val="left" w:pos="284"/>
              </w:tabs>
              <w:spacing w:after="0" w:line="240" w:lineRule="auto"/>
              <w:rPr>
                <w:rFonts w:ascii="Arial" w:eastAsia="Batang" w:hAnsi="Arial" w:cs="Arial"/>
                <w:bCs/>
                <w:color w:val="262626"/>
                <w:sz w:val="18"/>
                <w:szCs w:val="18"/>
                <w:lang w:eastAsia="el-GR"/>
              </w:rPr>
            </w:pPr>
            <w:r w:rsidRPr="00295155">
              <w:rPr>
                <w:rFonts w:ascii="Arial" w:eastAsia="Batang" w:hAnsi="Arial" w:cs="Arial"/>
                <w:bCs/>
                <w:color w:val="262626"/>
                <w:sz w:val="18"/>
                <w:szCs w:val="18"/>
                <w:lang w:eastAsia="el-GR"/>
              </w:rPr>
              <w:t xml:space="preserve">1 </w:t>
            </w:r>
            <w:r w:rsidRPr="00295155">
              <w:rPr>
                <w:rFonts w:ascii="Arial" w:eastAsia="Batang" w:hAnsi="Arial" w:cs="Arial"/>
                <w:bCs/>
                <w:color w:val="262626"/>
                <w:sz w:val="18"/>
                <w:szCs w:val="18"/>
                <w:lang w:val="el-GR" w:eastAsia="el-GR"/>
              </w:rPr>
              <w:t>Ιανουαρίου</w:t>
            </w:r>
            <w:r w:rsidRPr="00295155">
              <w:rPr>
                <w:rFonts w:ascii="Arial" w:eastAsia="Batang" w:hAnsi="Arial" w:cs="Arial"/>
                <w:bCs/>
                <w:color w:val="262626"/>
                <w:sz w:val="18"/>
                <w:szCs w:val="18"/>
                <w:lang w:eastAsia="el-GR"/>
              </w:rPr>
              <w:t xml:space="preserve"> </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3B62150" w14:textId="77777777" w:rsidR="0056738E" w:rsidRPr="00D60454" w:rsidRDefault="0056738E" w:rsidP="007C2AEE">
            <w:pPr>
              <w:tabs>
                <w:tab w:val="right" w:pos="7560"/>
                <w:tab w:val="right" w:pos="9000"/>
              </w:tabs>
              <w:suppressAutoHyphens/>
              <w:spacing w:after="0" w:line="240" w:lineRule="auto"/>
              <w:jc w:val="right"/>
              <w:rPr>
                <w:rFonts w:ascii="Arial" w:eastAsia="Batang" w:hAnsi="Arial" w:cs="Arial"/>
                <w:b/>
                <w:color w:val="262626"/>
                <w:sz w:val="18"/>
                <w:szCs w:val="18"/>
                <w:lang w:eastAsia="en-US"/>
              </w:rPr>
            </w:pPr>
            <w:r>
              <w:rPr>
                <w:rFonts w:ascii="Arial" w:eastAsia="Batang" w:hAnsi="Arial" w:cs="Arial"/>
                <w:b/>
                <w:color w:val="262626"/>
                <w:sz w:val="18"/>
                <w:szCs w:val="18"/>
                <w:lang w:eastAsia="en-US"/>
              </w:rPr>
              <w:t>179,453</w:t>
            </w:r>
          </w:p>
        </w:tc>
        <w:tc>
          <w:tcPr>
            <w:tcW w:w="1431" w:type="dxa"/>
            <w:tcBorders>
              <w:top w:val="single" w:sz="4" w:space="0" w:color="C0C0C0"/>
              <w:left w:val="single" w:sz="4" w:space="0" w:color="C0C0C0"/>
              <w:bottom w:val="single" w:sz="4" w:space="0" w:color="C0C0C0"/>
              <w:right w:val="single" w:sz="4" w:space="0" w:color="C0C0C0"/>
            </w:tcBorders>
            <w:vAlign w:val="center"/>
          </w:tcPr>
          <w:p w14:paraId="5D28D420" w14:textId="77777777" w:rsidR="0056738E" w:rsidRPr="006A365D" w:rsidRDefault="0056738E" w:rsidP="007C2AEE">
            <w:pPr>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sidRPr="00E81940">
              <w:rPr>
                <w:rFonts w:ascii="Arial" w:eastAsia="Batang" w:hAnsi="Arial" w:cs="Arial"/>
                <w:bCs/>
                <w:color w:val="262626"/>
                <w:sz w:val="18"/>
                <w:szCs w:val="18"/>
                <w:lang w:eastAsia="en-US"/>
              </w:rPr>
              <w:t>178,442</w:t>
            </w:r>
          </w:p>
        </w:tc>
      </w:tr>
      <w:tr w:rsidR="0056738E" w:rsidRPr="00295155" w14:paraId="226CAAE7" w14:textId="77777777" w:rsidTr="007C2AEE">
        <w:trPr>
          <w:trHeight w:val="283"/>
          <w:jc w:val="center"/>
        </w:trPr>
        <w:tc>
          <w:tcPr>
            <w:tcW w:w="708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680B5EC" w14:textId="77777777" w:rsidR="0056738E" w:rsidRPr="00295155" w:rsidRDefault="0056738E" w:rsidP="007C2AEE">
            <w:pPr>
              <w:numPr>
                <w:ilvl w:val="12"/>
                <w:numId w:val="0"/>
              </w:numPr>
              <w:tabs>
                <w:tab w:val="left" w:pos="284"/>
              </w:tabs>
              <w:spacing w:after="0" w:line="240" w:lineRule="auto"/>
              <w:rPr>
                <w:rFonts w:ascii="Arial" w:hAnsi="Arial" w:cs="Arial"/>
                <w:bCs/>
                <w:color w:val="262626"/>
                <w:sz w:val="18"/>
                <w:szCs w:val="18"/>
                <w:lang w:val="el-GR" w:eastAsia="el-GR"/>
              </w:rPr>
            </w:pPr>
            <w:r w:rsidRPr="00295155">
              <w:rPr>
                <w:rFonts w:ascii="Arial" w:hAnsi="Arial" w:cs="Arial"/>
                <w:bCs/>
                <w:color w:val="262626"/>
                <w:sz w:val="18"/>
                <w:szCs w:val="18"/>
                <w:lang w:val="el-GR" w:eastAsia="el-GR"/>
              </w:rPr>
              <w:t xml:space="preserve">Συναλλαγματικές και άλλες </w:t>
            </w:r>
            <w:r>
              <w:rPr>
                <w:rFonts w:ascii="Arial" w:hAnsi="Arial" w:cs="Arial"/>
                <w:bCs/>
                <w:color w:val="262626"/>
                <w:sz w:val="18"/>
                <w:szCs w:val="18"/>
                <w:lang w:val="el-GR" w:eastAsia="el-GR"/>
              </w:rPr>
              <w:t>μεταβολές</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CFC7BA" w14:textId="77777777" w:rsidR="0056738E" w:rsidRPr="00955C85" w:rsidRDefault="0056738E" w:rsidP="007C2AEE">
            <w:pPr>
              <w:tabs>
                <w:tab w:val="left" w:pos="2700"/>
                <w:tab w:val="right" w:pos="7560"/>
                <w:tab w:val="right" w:pos="9000"/>
              </w:tabs>
              <w:suppressAutoHyphens/>
              <w:spacing w:after="0" w:line="240" w:lineRule="auto"/>
              <w:jc w:val="right"/>
              <w:rPr>
                <w:rFonts w:ascii="Arial" w:eastAsia="Batang" w:hAnsi="Arial" w:cs="Arial"/>
                <w:b/>
                <w:color w:val="262626"/>
                <w:sz w:val="18"/>
                <w:szCs w:val="18"/>
                <w:lang w:val="en-US" w:eastAsia="en-US"/>
              </w:rPr>
            </w:pPr>
            <w:r>
              <w:rPr>
                <w:rFonts w:ascii="Arial" w:eastAsia="Batang" w:hAnsi="Arial" w:cs="Arial"/>
                <w:b/>
                <w:color w:val="262626"/>
                <w:sz w:val="18"/>
                <w:szCs w:val="18"/>
                <w:lang w:eastAsia="en-US"/>
              </w:rPr>
              <w:t>5</w:t>
            </w:r>
          </w:p>
        </w:tc>
        <w:tc>
          <w:tcPr>
            <w:tcW w:w="143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2DDC63" w14:textId="77777777" w:rsidR="0056738E" w:rsidRPr="006A365D" w:rsidRDefault="0056738E" w:rsidP="007C2AEE">
            <w:pPr>
              <w:tabs>
                <w:tab w:val="left" w:pos="2700"/>
                <w:tab w:val="right" w:pos="7560"/>
                <w:tab w:val="right" w:pos="9000"/>
              </w:tabs>
              <w:suppressAutoHyphens/>
              <w:spacing w:after="0" w:line="240" w:lineRule="auto"/>
              <w:jc w:val="right"/>
              <w:rPr>
                <w:rFonts w:ascii="Arial" w:eastAsia="Batang" w:hAnsi="Arial" w:cs="Arial"/>
                <w:bCs/>
                <w:color w:val="262626"/>
                <w:sz w:val="18"/>
                <w:szCs w:val="18"/>
                <w:lang w:eastAsia="en-US"/>
              </w:rPr>
            </w:pPr>
            <w:r w:rsidRPr="00E81940">
              <w:rPr>
                <w:rFonts w:ascii="Arial" w:eastAsia="Batang" w:hAnsi="Arial" w:cs="Arial"/>
                <w:bCs/>
                <w:color w:val="262626"/>
                <w:sz w:val="18"/>
                <w:szCs w:val="18"/>
                <w:lang w:eastAsia="en-US"/>
              </w:rPr>
              <w:t>35</w:t>
            </w:r>
          </w:p>
        </w:tc>
      </w:tr>
      <w:tr w:rsidR="0056738E" w:rsidRPr="00295155" w14:paraId="17AF10D6" w14:textId="77777777" w:rsidTr="007C2AEE">
        <w:trPr>
          <w:trHeight w:val="283"/>
          <w:jc w:val="center"/>
        </w:trPr>
        <w:tc>
          <w:tcPr>
            <w:tcW w:w="708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E5357D" w14:textId="77777777" w:rsidR="0056738E" w:rsidRPr="00295155" w:rsidRDefault="0056738E" w:rsidP="007C2AEE">
            <w:pPr>
              <w:numPr>
                <w:ilvl w:val="12"/>
                <w:numId w:val="0"/>
              </w:numPr>
              <w:tabs>
                <w:tab w:val="left" w:pos="284"/>
              </w:tabs>
              <w:spacing w:after="0" w:line="240" w:lineRule="auto"/>
              <w:rPr>
                <w:rFonts w:ascii="Arial" w:eastAsia="Batang" w:hAnsi="Arial" w:cs="Arial"/>
                <w:color w:val="262626"/>
                <w:sz w:val="18"/>
                <w:szCs w:val="18"/>
                <w:lang w:val="el-GR" w:eastAsia="el-GR"/>
              </w:rPr>
            </w:pPr>
            <w:r w:rsidRPr="00295155">
              <w:rPr>
                <w:rFonts w:ascii="Arial" w:eastAsia="Batang" w:hAnsi="Arial" w:cs="Arial"/>
                <w:color w:val="262626"/>
                <w:sz w:val="18"/>
                <w:szCs w:val="18"/>
                <w:lang w:val="el-GR" w:eastAsia="el-GR"/>
              </w:rPr>
              <w:t xml:space="preserve">Διαγραφές </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41C086" w14:textId="77777777" w:rsidR="0056738E" w:rsidRPr="00D60454" w:rsidRDefault="0056738E" w:rsidP="007C2AEE">
            <w:pPr>
              <w:tabs>
                <w:tab w:val="right" w:pos="7560"/>
                <w:tab w:val="right" w:pos="9000"/>
              </w:tabs>
              <w:suppressAutoHyphens/>
              <w:spacing w:after="0" w:line="240" w:lineRule="auto"/>
              <w:jc w:val="right"/>
              <w:rPr>
                <w:rFonts w:ascii="Arial" w:eastAsia="Batang" w:hAnsi="Arial" w:cs="Arial"/>
                <w:b/>
                <w:color w:val="262626"/>
                <w:sz w:val="18"/>
                <w:szCs w:val="18"/>
                <w:lang w:val="en-US" w:eastAsia="en-US"/>
              </w:rPr>
            </w:pPr>
            <w:r>
              <w:rPr>
                <w:rFonts w:ascii="Arial" w:eastAsia="Batang" w:hAnsi="Arial" w:cs="Arial"/>
                <w:b/>
                <w:color w:val="262626"/>
                <w:sz w:val="18"/>
                <w:szCs w:val="18"/>
                <w:lang w:eastAsia="en-US"/>
              </w:rPr>
              <w:t>(44,816)</w:t>
            </w:r>
          </w:p>
        </w:tc>
        <w:tc>
          <w:tcPr>
            <w:tcW w:w="143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E838C6C" w14:textId="77777777" w:rsidR="0056738E" w:rsidRPr="006A365D" w:rsidRDefault="0056738E" w:rsidP="007C2AEE">
            <w:pPr>
              <w:tabs>
                <w:tab w:val="right" w:pos="7560"/>
                <w:tab w:val="right" w:pos="9000"/>
              </w:tabs>
              <w:suppressAutoHyphens/>
              <w:spacing w:after="0" w:line="240" w:lineRule="auto"/>
              <w:jc w:val="right"/>
              <w:rPr>
                <w:rFonts w:ascii="Arial" w:eastAsia="Batang" w:hAnsi="Arial" w:cs="Arial"/>
                <w:bCs/>
                <w:color w:val="262626"/>
                <w:sz w:val="18"/>
                <w:szCs w:val="18"/>
                <w:lang w:val="en-US" w:eastAsia="en-US"/>
              </w:rPr>
            </w:pPr>
            <w:r w:rsidRPr="00E81940">
              <w:rPr>
                <w:rFonts w:ascii="Arial" w:eastAsia="Batang" w:hAnsi="Arial" w:cs="Arial"/>
                <w:bCs/>
                <w:color w:val="262626"/>
                <w:sz w:val="18"/>
                <w:szCs w:val="18"/>
                <w:lang w:eastAsia="en-US"/>
              </w:rPr>
              <w:t>(54,260)</w:t>
            </w:r>
          </w:p>
        </w:tc>
      </w:tr>
      <w:tr w:rsidR="0056738E" w:rsidRPr="00EA064F" w14:paraId="6A5F97E7" w14:textId="77777777" w:rsidTr="007C2AEE">
        <w:trPr>
          <w:trHeight w:val="283"/>
          <w:jc w:val="center"/>
        </w:trPr>
        <w:tc>
          <w:tcPr>
            <w:tcW w:w="708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259020" w14:textId="77777777" w:rsidR="0056738E" w:rsidRPr="00295155" w:rsidRDefault="0056738E" w:rsidP="007C2AEE">
            <w:pPr>
              <w:numPr>
                <w:ilvl w:val="12"/>
                <w:numId w:val="0"/>
              </w:numPr>
              <w:tabs>
                <w:tab w:val="left" w:pos="284"/>
              </w:tabs>
              <w:spacing w:after="0" w:line="240" w:lineRule="auto"/>
              <w:rPr>
                <w:rFonts w:ascii="Arial" w:eastAsia="Batang" w:hAnsi="Arial" w:cs="Arial"/>
                <w:color w:val="262626"/>
                <w:sz w:val="18"/>
                <w:szCs w:val="18"/>
                <w:lang w:val="el-GR" w:eastAsia="el-GR"/>
              </w:rPr>
            </w:pPr>
            <w:r>
              <w:rPr>
                <w:rFonts w:ascii="Arial" w:eastAsia="Batang" w:hAnsi="Arial" w:cs="Arial"/>
                <w:color w:val="262626"/>
                <w:sz w:val="18"/>
                <w:szCs w:val="18"/>
                <w:lang w:val="el-GR" w:eastAsia="el-GR"/>
              </w:rPr>
              <w:t>Τ</w:t>
            </w:r>
            <w:r w:rsidRPr="00295155">
              <w:rPr>
                <w:rFonts w:ascii="Arial" w:eastAsia="Batang" w:hAnsi="Arial" w:cs="Arial"/>
                <w:color w:val="262626"/>
                <w:sz w:val="18"/>
                <w:szCs w:val="18"/>
                <w:lang w:val="el-GR" w:eastAsia="el-GR"/>
              </w:rPr>
              <w:t>όκοι</w:t>
            </w:r>
            <w:r>
              <w:rPr>
                <w:rFonts w:ascii="Arial" w:eastAsia="Batang" w:hAnsi="Arial" w:cs="Arial"/>
                <w:color w:val="262626"/>
                <w:sz w:val="18"/>
                <w:szCs w:val="18"/>
                <w:lang w:val="el-GR" w:eastAsia="el-GR"/>
              </w:rPr>
              <w:t xml:space="preserve"> που (προβλέφθηκαν και</w:t>
            </w:r>
            <w:r w:rsidRPr="00CB718B">
              <w:rPr>
                <w:rFonts w:ascii="Arial" w:eastAsia="Batang" w:hAnsi="Arial" w:cs="Arial"/>
                <w:color w:val="262626"/>
                <w:sz w:val="18"/>
                <w:szCs w:val="18"/>
                <w:lang w:val="el-GR" w:eastAsia="el-GR"/>
              </w:rPr>
              <w:t>)</w:t>
            </w:r>
            <w:r>
              <w:rPr>
                <w:rFonts w:ascii="Arial" w:eastAsia="Batang" w:hAnsi="Arial" w:cs="Arial"/>
                <w:color w:val="262626"/>
                <w:sz w:val="18"/>
                <w:szCs w:val="18"/>
                <w:lang w:val="el-GR" w:eastAsia="el-GR"/>
              </w:rPr>
              <w:t xml:space="preserve"> δεν αναγνωρίστηκαν στην κατάσταση λογαριασμού αποτελεσμάτων</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16DFCF" w14:textId="77777777" w:rsidR="0056738E" w:rsidRPr="00041815" w:rsidRDefault="0056738E" w:rsidP="007C2AEE">
            <w:pPr>
              <w:tabs>
                <w:tab w:val="right" w:pos="7560"/>
                <w:tab w:val="right" w:pos="9000"/>
              </w:tabs>
              <w:suppressAutoHyphens/>
              <w:spacing w:after="0" w:line="240" w:lineRule="auto"/>
              <w:jc w:val="right"/>
              <w:rPr>
                <w:rFonts w:ascii="Arial" w:eastAsia="Batang" w:hAnsi="Arial" w:cs="Arial"/>
                <w:b/>
                <w:color w:val="262626"/>
                <w:sz w:val="18"/>
                <w:szCs w:val="18"/>
                <w:lang w:val="el-GR" w:eastAsia="en-US"/>
              </w:rPr>
            </w:pPr>
            <w:r>
              <w:rPr>
                <w:rFonts w:ascii="Arial" w:eastAsia="Batang" w:hAnsi="Arial" w:cs="Arial"/>
                <w:b/>
                <w:color w:val="262626"/>
                <w:sz w:val="18"/>
                <w:szCs w:val="18"/>
                <w:lang w:eastAsia="en-US"/>
              </w:rPr>
              <w:t>3,993</w:t>
            </w:r>
          </w:p>
        </w:tc>
        <w:tc>
          <w:tcPr>
            <w:tcW w:w="143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694ED48" w14:textId="77777777" w:rsidR="0056738E" w:rsidRPr="006A365D" w:rsidRDefault="0056738E" w:rsidP="007C2AEE">
            <w:pPr>
              <w:tabs>
                <w:tab w:val="right" w:pos="7560"/>
                <w:tab w:val="right" w:pos="9000"/>
              </w:tabs>
              <w:suppressAutoHyphens/>
              <w:spacing w:after="0" w:line="240" w:lineRule="auto"/>
              <w:jc w:val="right"/>
              <w:rPr>
                <w:rFonts w:ascii="Arial" w:eastAsia="Batang" w:hAnsi="Arial" w:cs="Arial"/>
                <w:bCs/>
                <w:color w:val="262626"/>
                <w:sz w:val="18"/>
                <w:szCs w:val="18"/>
                <w:lang w:val="el-GR" w:eastAsia="en-US"/>
              </w:rPr>
            </w:pPr>
            <w:r w:rsidRPr="00E81940">
              <w:rPr>
                <w:rFonts w:ascii="Arial" w:eastAsia="Batang" w:hAnsi="Arial" w:cs="Arial"/>
                <w:bCs/>
                <w:color w:val="262626"/>
                <w:sz w:val="18"/>
                <w:szCs w:val="18"/>
                <w:lang w:eastAsia="en-US"/>
              </w:rPr>
              <w:t>3,643</w:t>
            </w:r>
          </w:p>
        </w:tc>
      </w:tr>
      <w:tr w:rsidR="0056738E" w:rsidRPr="00E1628F" w14:paraId="33ED83F9" w14:textId="77777777" w:rsidTr="007C2AEE">
        <w:trPr>
          <w:trHeight w:val="283"/>
          <w:jc w:val="center"/>
        </w:trPr>
        <w:tc>
          <w:tcPr>
            <w:tcW w:w="708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0537452" w14:textId="77777777" w:rsidR="0056738E" w:rsidRPr="00295155" w:rsidRDefault="0056738E" w:rsidP="007C2AEE">
            <w:pPr>
              <w:numPr>
                <w:ilvl w:val="12"/>
                <w:numId w:val="0"/>
              </w:numPr>
              <w:tabs>
                <w:tab w:val="left" w:pos="284"/>
              </w:tabs>
              <w:spacing w:after="0" w:line="240" w:lineRule="auto"/>
              <w:ind w:right="-156"/>
              <w:rPr>
                <w:rFonts w:ascii="Arial" w:eastAsia="Batang" w:hAnsi="Arial" w:cs="Arial"/>
                <w:color w:val="262626"/>
                <w:sz w:val="18"/>
                <w:szCs w:val="18"/>
                <w:lang w:val="el-GR" w:eastAsia="el-GR"/>
              </w:rPr>
            </w:pPr>
            <w:r w:rsidRPr="00295155">
              <w:rPr>
                <w:rFonts w:ascii="Arial" w:eastAsia="Batang" w:hAnsi="Arial" w:cs="Arial"/>
                <w:color w:val="262626"/>
                <w:sz w:val="18"/>
                <w:szCs w:val="18"/>
                <w:lang w:val="el-GR" w:eastAsia="el-GR"/>
              </w:rPr>
              <w:t>Επιβάρυνση για την περίοδο</w:t>
            </w:r>
          </w:p>
        </w:tc>
        <w:tc>
          <w:tcPr>
            <w:tcW w:w="1417" w:type="dxa"/>
            <w:tcBorders>
              <w:top w:val="single" w:sz="4" w:space="0" w:color="C0C0C0"/>
              <w:left w:val="single" w:sz="4" w:space="0" w:color="C0C0C0"/>
              <w:bottom w:val="single" w:sz="6" w:space="0" w:color="000000" w:themeColor="text1"/>
              <w:right w:val="single" w:sz="4" w:space="0" w:color="C0C0C0"/>
            </w:tcBorders>
            <w:shd w:val="clear" w:color="auto" w:fill="auto"/>
            <w:vAlign w:val="center"/>
          </w:tcPr>
          <w:p w14:paraId="4CA27436" w14:textId="77777777" w:rsidR="0056738E" w:rsidRPr="00D60454" w:rsidRDefault="0056738E" w:rsidP="007C2AEE">
            <w:pPr>
              <w:tabs>
                <w:tab w:val="right" w:pos="7560"/>
                <w:tab w:val="right" w:pos="9000"/>
              </w:tabs>
              <w:suppressAutoHyphens/>
              <w:spacing w:after="0" w:line="240" w:lineRule="auto"/>
              <w:jc w:val="right"/>
              <w:rPr>
                <w:rFonts w:ascii="Arial" w:eastAsia="Batang" w:hAnsi="Arial" w:cs="Arial"/>
                <w:b/>
                <w:color w:val="262626"/>
                <w:sz w:val="18"/>
                <w:szCs w:val="18"/>
                <w:lang w:eastAsia="en-US"/>
              </w:rPr>
            </w:pPr>
            <w:r>
              <w:rPr>
                <w:rFonts w:ascii="Arial" w:eastAsia="Batang" w:hAnsi="Arial" w:cs="Arial"/>
                <w:b/>
                <w:color w:val="262626"/>
                <w:sz w:val="18"/>
                <w:szCs w:val="18"/>
                <w:lang w:eastAsia="en-US"/>
              </w:rPr>
              <w:t>33,533</w:t>
            </w:r>
          </w:p>
        </w:tc>
        <w:tc>
          <w:tcPr>
            <w:tcW w:w="1431" w:type="dxa"/>
            <w:tcBorders>
              <w:top w:val="single" w:sz="4" w:space="0" w:color="C0C0C0"/>
              <w:left w:val="single" w:sz="4" w:space="0" w:color="C0C0C0"/>
              <w:bottom w:val="single" w:sz="6" w:space="0" w:color="000000" w:themeColor="text1"/>
              <w:right w:val="single" w:sz="4" w:space="0" w:color="C0C0C0"/>
            </w:tcBorders>
            <w:shd w:val="clear" w:color="auto" w:fill="auto"/>
            <w:vAlign w:val="center"/>
          </w:tcPr>
          <w:p w14:paraId="0F51105D" w14:textId="77777777" w:rsidR="0056738E" w:rsidRPr="006A365D" w:rsidRDefault="0056738E" w:rsidP="007C2AEE">
            <w:pPr>
              <w:tabs>
                <w:tab w:val="right" w:pos="7560"/>
                <w:tab w:val="right" w:pos="9000"/>
              </w:tabs>
              <w:suppressAutoHyphens/>
              <w:spacing w:after="0" w:line="240" w:lineRule="auto"/>
              <w:jc w:val="right"/>
              <w:rPr>
                <w:rFonts w:ascii="Arial" w:eastAsia="Batang" w:hAnsi="Arial" w:cs="Arial"/>
                <w:bCs/>
                <w:color w:val="262626"/>
                <w:sz w:val="18"/>
                <w:szCs w:val="18"/>
                <w:lang w:eastAsia="en-US"/>
              </w:rPr>
            </w:pPr>
            <w:r w:rsidRPr="00E81940">
              <w:rPr>
                <w:rFonts w:ascii="Arial" w:eastAsia="Batang" w:hAnsi="Arial" w:cs="Arial"/>
                <w:bCs/>
                <w:color w:val="262626"/>
                <w:sz w:val="18"/>
                <w:szCs w:val="18"/>
                <w:lang w:eastAsia="en-US"/>
              </w:rPr>
              <w:t>62,374</w:t>
            </w:r>
          </w:p>
        </w:tc>
      </w:tr>
      <w:tr w:rsidR="0056738E" w:rsidRPr="00295155" w14:paraId="268AF8AF" w14:textId="77777777" w:rsidTr="007C2AEE">
        <w:trPr>
          <w:trHeight w:val="283"/>
          <w:jc w:val="center"/>
        </w:trPr>
        <w:tc>
          <w:tcPr>
            <w:tcW w:w="708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9ECA62C" w14:textId="77777777" w:rsidR="0056738E" w:rsidRPr="002F2A9E"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eastAsia="Batang" w:hAnsi="Arial" w:cs="Arial"/>
                <w:b/>
                <w:color w:val="262626"/>
                <w:sz w:val="18"/>
                <w:szCs w:val="18"/>
                <w:lang w:val="el-GR" w:eastAsia="en-US"/>
              </w:rPr>
            </w:pPr>
            <w:r w:rsidRPr="00264973">
              <w:rPr>
                <w:rFonts w:ascii="Arial" w:eastAsia="Batang" w:hAnsi="Arial" w:cs="Arial"/>
                <w:b/>
                <w:color w:val="262626"/>
                <w:sz w:val="18"/>
                <w:szCs w:val="18"/>
                <w:lang w:val="el-GR" w:eastAsia="en-US"/>
              </w:rPr>
              <w:t>30 Σεπτεμβρίου</w:t>
            </w:r>
          </w:p>
        </w:tc>
        <w:tc>
          <w:tcPr>
            <w:tcW w:w="1417" w:type="dxa"/>
            <w:tcBorders>
              <w:top w:val="single" w:sz="6" w:space="0" w:color="000000" w:themeColor="text1"/>
              <w:left w:val="single" w:sz="4" w:space="0" w:color="C0C0C0"/>
              <w:bottom w:val="double" w:sz="6" w:space="0" w:color="auto"/>
              <w:right w:val="single" w:sz="4" w:space="0" w:color="C0C0C0"/>
            </w:tcBorders>
            <w:shd w:val="clear" w:color="auto" w:fill="auto"/>
            <w:vAlign w:val="center"/>
          </w:tcPr>
          <w:p w14:paraId="46AFC119" w14:textId="77777777" w:rsidR="0056738E" w:rsidRPr="00391E8D" w:rsidRDefault="0056738E" w:rsidP="007C2AEE">
            <w:pPr>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172,168</w:t>
            </w:r>
          </w:p>
        </w:tc>
        <w:tc>
          <w:tcPr>
            <w:tcW w:w="1431" w:type="dxa"/>
            <w:tcBorders>
              <w:top w:val="single" w:sz="6" w:space="0" w:color="000000" w:themeColor="text1"/>
              <w:left w:val="single" w:sz="4" w:space="0" w:color="C0C0C0"/>
              <w:bottom w:val="double" w:sz="6" w:space="0" w:color="auto"/>
              <w:right w:val="single" w:sz="4" w:space="0" w:color="C0C0C0"/>
            </w:tcBorders>
            <w:vAlign w:val="center"/>
          </w:tcPr>
          <w:p w14:paraId="5F8FB120" w14:textId="77777777" w:rsidR="0056738E" w:rsidRPr="006A365D" w:rsidRDefault="0056738E" w:rsidP="007C2AEE">
            <w:pPr>
              <w:spacing w:after="0" w:line="240" w:lineRule="auto"/>
              <w:jc w:val="right"/>
              <w:rPr>
                <w:rFonts w:ascii="Arial" w:eastAsia="Batang" w:hAnsi="Arial" w:cs="Arial"/>
                <w:bCs/>
                <w:color w:val="262626"/>
                <w:sz w:val="18"/>
                <w:szCs w:val="18"/>
                <w:lang w:eastAsia="en-US"/>
              </w:rPr>
            </w:pPr>
            <w:r w:rsidRPr="00E81940">
              <w:rPr>
                <w:rFonts w:ascii="Arial" w:eastAsia="Batang" w:hAnsi="Arial" w:cs="Arial"/>
                <w:bCs/>
                <w:color w:val="262626"/>
                <w:sz w:val="18"/>
                <w:szCs w:val="18"/>
                <w:lang w:eastAsia="en-US"/>
              </w:rPr>
              <w:t>190,234</w:t>
            </w:r>
          </w:p>
        </w:tc>
      </w:tr>
      <w:tr w:rsidR="0056738E" w:rsidRPr="00295155" w14:paraId="57D7F67A" w14:textId="77777777" w:rsidTr="007C2AEE">
        <w:trPr>
          <w:trHeight w:val="283"/>
          <w:jc w:val="center"/>
        </w:trPr>
        <w:tc>
          <w:tcPr>
            <w:tcW w:w="708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73262B" w14:textId="77777777" w:rsidR="0056738E" w:rsidRPr="00295155"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eastAsia="Batang" w:hAnsi="Arial" w:cs="Arial"/>
                <w:color w:val="262626"/>
                <w:sz w:val="18"/>
                <w:szCs w:val="18"/>
                <w:lang w:eastAsia="en-US"/>
              </w:rPr>
            </w:pPr>
            <w:r w:rsidRPr="00295155">
              <w:rPr>
                <w:rFonts w:ascii="Arial" w:eastAsia="Batang" w:hAnsi="Arial" w:cs="Arial"/>
                <w:color w:val="262626"/>
                <w:sz w:val="18"/>
                <w:szCs w:val="18"/>
                <w:lang w:val="el-GR" w:eastAsia="en-US"/>
              </w:rPr>
              <w:t>Στάδιο</w:t>
            </w:r>
            <w:r w:rsidRPr="00295155">
              <w:rPr>
                <w:rFonts w:ascii="Arial" w:eastAsia="Batang" w:hAnsi="Arial" w:cs="Arial"/>
                <w:color w:val="262626"/>
                <w:sz w:val="18"/>
                <w:szCs w:val="18"/>
                <w:lang w:eastAsia="en-US"/>
              </w:rPr>
              <w:t xml:space="preserve"> 1</w:t>
            </w:r>
          </w:p>
        </w:tc>
        <w:tc>
          <w:tcPr>
            <w:tcW w:w="1417" w:type="dxa"/>
            <w:tcBorders>
              <w:top w:val="double" w:sz="6" w:space="0" w:color="auto"/>
              <w:left w:val="single" w:sz="4" w:space="0" w:color="C0C0C0"/>
              <w:bottom w:val="single" w:sz="4" w:space="0" w:color="C0C0C0"/>
              <w:right w:val="single" w:sz="4" w:space="0" w:color="C0C0C0"/>
            </w:tcBorders>
            <w:shd w:val="clear" w:color="auto" w:fill="auto"/>
            <w:vAlign w:val="center"/>
          </w:tcPr>
          <w:p w14:paraId="288C1C3C" w14:textId="77777777" w:rsidR="0056738E" w:rsidRPr="00D60454" w:rsidRDefault="0056738E" w:rsidP="007C2AEE">
            <w:pPr>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10,385</w:t>
            </w:r>
          </w:p>
        </w:tc>
        <w:tc>
          <w:tcPr>
            <w:tcW w:w="1431" w:type="dxa"/>
            <w:tcBorders>
              <w:top w:val="double" w:sz="6" w:space="0" w:color="auto"/>
              <w:left w:val="single" w:sz="4" w:space="0" w:color="C0C0C0"/>
              <w:bottom w:val="single" w:sz="4" w:space="0" w:color="C0C0C0"/>
              <w:right w:val="single" w:sz="4" w:space="0" w:color="C0C0C0"/>
            </w:tcBorders>
            <w:vAlign w:val="center"/>
          </w:tcPr>
          <w:p w14:paraId="2223F0C2" w14:textId="77777777" w:rsidR="0056738E" w:rsidRPr="006A365D" w:rsidRDefault="0056738E" w:rsidP="007C2AEE">
            <w:pPr>
              <w:spacing w:after="0" w:line="240" w:lineRule="auto"/>
              <w:jc w:val="right"/>
              <w:rPr>
                <w:rFonts w:ascii="Arial" w:eastAsia="Batang" w:hAnsi="Arial" w:cs="Arial"/>
                <w:bCs/>
                <w:color w:val="262626"/>
                <w:sz w:val="18"/>
                <w:szCs w:val="18"/>
                <w:lang w:val="en-US" w:eastAsia="en-US"/>
              </w:rPr>
            </w:pPr>
            <w:r w:rsidRPr="00E81940">
              <w:rPr>
                <w:rFonts w:ascii="Arial" w:eastAsia="Batang" w:hAnsi="Arial" w:cs="Arial"/>
                <w:bCs/>
                <w:color w:val="262626"/>
                <w:sz w:val="18"/>
                <w:szCs w:val="18"/>
                <w:lang w:eastAsia="en-US"/>
              </w:rPr>
              <w:t>24,473</w:t>
            </w:r>
          </w:p>
        </w:tc>
      </w:tr>
      <w:tr w:rsidR="0056738E" w:rsidRPr="00295155" w14:paraId="027F2A7D" w14:textId="77777777" w:rsidTr="007C2AEE">
        <w:trPr>
          <w:trHeight w:val="283"/>
          <w:jc w:val="center"/>
        </w:trPr>
        <w:tc>
          <w:tcPr>
            <w:tcW w:w="708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178269" w14:textId="77777777" w:rsidR="0056738E" w:rsidRPr="00295155"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eastAsia="Batang" w:hAnsi="Arial" w:cs="Arial"/>
                <w:color w:val="262626"/>
                <w:sz w:val="18"/>
                <w:szCs w:val="18"/>
                <w:lang w:eastAsia="en-US"/>
              </w:rPr>
            </w:pPr>
            <w:r w:rsidRPr="00295155">
              <w:rPr>
                <w:rFonts w:ascii="Arial" w:eastAsia="Batang" w:hAnsi="Arial" w:cs="Arial"/>
                <w:color w:val="262626"/>
                <w:sz w:val="18"/>
                <w:szCs w:val="18"/>
                <w:lang w:val="el-GR" w:eastAsia="en-US"/>
              </w:rPr>
              <w:t>Στάδιο</w:t>
            </w:r>
            <w:r w:rsidRPr="00295155">
              <w:rPr>
                <w:rFonts w:ascii="Arial" w:eastAsia="Batang" w:hAnsi="Arial" w:cs="Arial"/>
                <w:color w:val="262626"/>
                <w:sz w:val="18"/>
                <w:szCs w:val="18"/>
                <w:lang w:eastAsia="en-US"/>
              </w:rPr>
              <w:t xml:space="preserve"> 2</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F2B2B1" w14:textId="77777777" w:rsidR="0056738E" w:rsidRPr="00D60454" w:rsidRDefault="0056738E" w:rsidP="007C2AEE">
            <w:pPr>
              <w:spacing w:after="0" w:line="240" w:lineRule="auto"/>
              <w:jc w:val="right"/>
              <w:rPr>
                <w:rFonts w:ascii="Arial" w:eastAsia="Batang" w:hAnsi="Arial" w:cs="Arial"/>
                <w:b/>
                <w:bCs/>
                <w:color w:val="262626"/>
                <w:sz w:val="18"/>
                <w:szCs w:val="18"/>
                <w:lang w:val="en-US" w:eastAsia="en-US"/>
              </w:rPr>
            </w:pPr>
            <w:r>
              <w:rPr>
                <w:rFonts w:ascii="Arial" w:eastAsia="Batang" w:hAnsi="Arial" w:cs="Arial"/>
                <w:b/>
                <w:bCs/>
                <w:color w:val="262626"/>
                <w:sz w:val="18"/>
                <w:szCs w:val="18"/>
                <w:lang w:eastAsia="en-US"/>
              </w:rPr>
              <w:t>41,145</w:t>
            </w:r>
          </w:p>
        </w:tc>
        <w:tc>
          <w:tcPr>
            <w:tcW w:w="1431" w:type="dxa"/>
            <w:tcBorders>
              <w:top w:val="single" w:sz="4" w:space="0" w:color="C0C0C0"/>
              <w:left w:val="single" w:sz="4" w:space="0" w:color="C0C0C0"/>
              <w:bottom w:val="single" w:sz="4" w:space="0" w:color="C0C0C0"/>
              <w:right w:val="single" w:sz="4" w:space="0" w:color="C0C0C0"/>
            </w:tcBorders>
            <w:vAlign w:val="center"/>
          </w:tcPr>
          <w:p w14:paraId="04BDDACA" w14:textId="77777777" w:rsidR="0056738E" w:rsidRPr="006A365D" w:rsidRDefault="0056738E" w:rsidP="007C2AEE">
            <w:pPr>
              <w:spacing w:after="0" w:line="240" w:lineRule="auto"/>
              <w:jc w:val="right"/>
              <w:rPr>
                <w:rFonts w:ascii="Arial" w:eastAsia="Batang" w:hAnsi="Arial" w:cs="Arial"/>
                <w:bCs/>
                <w:color w:val="262626"/>
                <w:sz w:val="18"/>
                <w:szCs w:val="18"/>
                <w:lang w:val="en-US" w:eastAsia="en-US"/>
              </w:rPr>
            </w:pPr>
            <w:r w:rsidRPr="00E81940">
              <w:rPr>
                <w:rFonts w:ascii="Arial" w:eastAsia="Batang" w:hAnsi="Arial" w:cs="Arial"/>
                <w:bCs/>
                <w:color w:val="262626"/>
                <w:sz w:val="18"/>
                <w:szCs w:val="18"/>
                <w:lang w:eastAsia="en-US"/>
              </w:rPr>
              <w:t>35,462</w:t>
            </w:r>
          </w:p>
        </w:tc>
      </w:tr>
      <w:tr w:rsidR="0056738E" w:rsidRPr="00295155" w14:paraId="203313C3" w14:textId="77777777" w:rsidTr="007C2AEE">
        <w:trPr>
          <w:trHeight w:val="283"/>
          <w:jc w:val="center"/>
        </w:trPr>
        <w:tc>
          <w:tcPr>
            <w:tcW w:w="708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38DAC3D" w14:textId="77777777" w:rsidR="0056738E" w:rsidRPr="00295155"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eastAsia="Batang" w:hAnsi="Arial" w:cs="Arial"/>
                <w:color w:val="262626"/>
                <w:sz w:val="18"/>
                <w:szCs w:val="18"/>
                <w:lang w:eastAsia="en-US"/>
              </w:rPr>
            </w:pPr>
            <w:r w:rsidRPr="00295155">
              <w:rPr>
                <w:rFonts w:ascii="Arial" w:eastAsia="Batang" w:hAnsi="Arial" w:cs="Arial"/>
                <w:color w:val="262626"/>
                <w:sz w:val="18"/>
                <w:szCs w:val="18"/>
                <w:lang w:val="el-GR" w:eastAsia="en-US"/>
              </w:rPr>
              <w:t>Στάδιο</w:t>
            </w:r>
            <w:r w:rsidRPr="00295155">
              <w:rPr>
                <w:rFonts w:ascii="Arial" w:eastAsia="Batang" w:hAnsi="Arial" w:cs="Arial"/>
                <w:color w:val="262626"/>
                <w:sz w:val="18"/>
                <w:szCs w:val="18"/>
                <w:lang w:eastAsia="en-US"/>
              </w:rPr>
              <w:t xml:space="preserve"> 3</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158E28" w14:textId="77777777" w:rsidR="0056738E" w:rsidRPr="00391E8D" w:rsidRDefault="0056738E" w:rsidP="007C2AEE">
            <w:pPr>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100,768</w:t>
            </w:r>
          </w:p>
        </w:tc>
        <w:tc>
          <w:tcPr>
            <w:tcW w:w="1431" w:type="dxa"/>
            <w:tcBorders>
              <w:top w:val="single" w:sz="4" w:space="0" w:color="C0C0C0"/>
              <w:left w:val="single" w:sz="4" w:space="0" w:color="C0C0C0"/>
              <w:bottom w:val="single" w:sz="4" w:space="0" w:color="C0C0C0"/>
              <w:right w:val="single" w:sz="4" w:space="0" w:color="C0C0C0"/>
            </w:tcBorders>
            <w:vAlign w:val="center"/>
          </w:tcPr>
          <w:p w14:paraId="4EFB77E3" w14:textId="77777777" w:rsidR="0056738E" w:rsidRPr="006A365D" w:rsidRDefault="0056738E" w:rsidP="007C2AEE">
            <w:pPr>
              <w:spacing w:after="0" w:line="240" w:lineRule="auto"/>
              <w:jc w:val="right"/>
              <w:rPr>
                <w:rFonts w:ascii="Arial" w:eastAsia="Batang" w:hAnsi="Arial" w:cs="Arial"/>
                <w:bCs/>
                <w:color w:val="262626"/>
                <w:sz w:val="18"/>
                <w:szCs w:val="18"/>
                <w:lang w:val="en-US" w:eastAsia="en-US"/>
              </w:rPr>
            </w:pPr>
            <w:r w:rsidRPr="00E81940">
              <w:rPr>
                <w:rFonts w:ascii="Arial" w:eastAsia="Batang" w:hAnsi="Arial" w:cs="Arial"/>
                <w:bCs/>
                <w:color w:val="262626"/>
                <w:sz w:val="18"/>
                <w:szCs w:val="18"/>
                <w:lang w:eastAsia="en-US"/>
              </w:rPr>
              <w:t>110,966</w:t>
            </w:r>
          </w:p>
        </w:tc>
      </w:tr>
      <w:tr w:rsidR="0056738E" w:rsidRPr="00EA064F" w14:paraId="2F7C1813" w14:textId="77777777" w:rsidTr="007C2AEE">
        <w:trPr>
          <w:trHeight w:val="283"/>
          <w:jc w:val="center"/>
        </w:trPr>
        <w:tc>
          <w:tcPr>
            <w:tcW w:w="708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89E093" w14:textId="77777777" w:rsidR="0056738E" w:rsidRPr="00295155"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eastAsia="Batang" w:hAnsi="Arial" w:cs="Arial"/>
                <w:color w:val="262626"/>
                <w:sz w:val="18"/>
                <w:szCs w:val="18"/>
                <w:lang w:val="el-GR" w:eastAsia="en-US"/>
              </w:rPr>
            </w:pPr>
            <w:proofErr w:type="spellStart"/>
            <w:r w:rsidRPr="00295155">
              <w:rPr>
                <w:rFonts w:ascii="Arial" w:eastAsia="Batang" w:hAnsi="Arial" w:cs="Arial"/>
                <w:color w:val="262626"/>
                <w:sz w:val="18"/>
                <w:szCs w:val="18"/>
                <w:lang w:val="el-GR" w:eastAsia="en-US"/>
              </w:rPr>
              <w:t>Απομειωμένα</w:t>
            </w:r>
            <w:proofErr w:type="spellEnd"/>
            <w:r w:rsidRPr="00295155">
              <w:rPr>
                <w:rFonts w:ascii="Arial" w:eastAsia="Batang" w:hAnsi="Arial" w:cs="Arial"/>
                <w:color w:val="262626"/>
                <w:sz w:val="18"/>
                <w:szCs w:val="18"/>
                <w:lang w:val="el-GR" w:eastAsia="en-US"/>
              </w:rPr>
              <w:t xml:space="preserve"> κατά την αρχική αναγνώριση (</w:t>
            </w:r>
            <w:r w:rsidRPr="00295155">
              <w:rPr>
                <w:rFonts w:ascii="Arial" w:eastAsia="Batang" w:hAnsi="Arial" w:cs="Arial"/>
                <w:color w:val="262626"/>
                <w:sz w:val="18"/>
                <w:szCs w:val="18"/>
                <w:lang w:val="en-US" w:eastAsia="en-US"/>
              </w:rPr>
              <w:t>POCI</w:t>
            </w:r>
            <w:r w:rsidRPr="00295155">
              <w:rPr>
                <w:rFonts w:ascii="Arial" w:eastAsia="Batang" w:hAnsi="Arial" w:cs="Arial"/>
                <w:color w:val="262626"/>
                <w:sz w:val="18"/>
                <w:szCs w:val="18"/>
                <w:lang w:val="el-GR" w:eastAsia="en-US"/>
              </w:rPr>
              <w:t>)</w:t>
            </w:r>
          </w:p>
        </w:tc>
        <w:tc>
          <w:tcPr>
            <w:tcW w:w="1417" w:type="dxa"/>
            <w:tcBorders>
              <w:top w:val="single" w:sz="4" w:space="0" w:color="C0C0C0"/>
              <w:left w:val="single" w:sz="4" w:space="0" w:color="C0C0C0"/>
              <w:bottom w:val="single" w:sz="6" w:space="0" w:color="auto"/>
              <w:right w:val="single" w:sz="4" w:space="0" w:color="C0C0C0"/>
            </w:tcBorders>
            <w:shd w:val="clear" w:color="auto" w:fill="auto"/>
            <w:vAlign w:val="center"/>
          </w:tcPr>
          <w:p w14:paraId="5E796535" w14:textId="77777777" w:rsidR="0056738E" w:rsidRPr="00D60454" w:rsidRDefault="0056738E" w:rsidP="007C2AEE">
            <w:pPr>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19,870</w:t>
            </w:r>
          </w:p>
        </w:tc>
        <w:tc>
          <w:tcPr>
            <w:tcW w:w="1431" w:type="dxa"/>
            <w:tcBorders>
              <w:top w:val="single" w:sz="4" w:space="0" w:color="C0C0C0"/>
              <w:left w:val="single" w:sz="4" w:space="0" w:color="C0C0C0"/>
              <w:bottom w:val="single" w:sz="6" w:space="0" w:color="auto"/>
              <w:right w:val="single" w:sz="4" w:space="0" w:color="C0C0C0"/>
            </w:tcBorders>
            <w:vAlign w:val="center"/>
          </w:tcPr>
          <w:p w14:paraId="722C7B1E" w14:textId="77777777" w:rsidR="0056738E" w:rsidRPr="006A365D" w:rsidRDefault="0056738E" w:rsidP="007C2AEE">
            <w:pPr>
              <w:spacing w:after="0" w:line="240" w:lineRule="auto"/>
              <w:jc w:val="right"/>
              <w:rPr>
                <w:rFonts w:ascii="Arial" w:eastAsia="Batang" w:hAnsi="Arial" w:cs="Arial"/>
                <w:bCs/>
                <w:color w:val="262626"/>
                <w:sz w:val="18"/>
                <w:szCs w:val="18"/>
                <w:lang w:val="el-GR" w:eastAsia="en-US"/>
              </w:rPr>
            </w:pPr>
            <w:r w:rsidRPr="00E81940">
              <w:rPr>
                <w:rFonts w:ascii="Arial" w:eastAsia="Batang" w:hAnsi="Arial" w:cs="Arial"/>
                <w:bCs/>
                <w:color w:val="262626"/>
                <w:sz w:val="18"/>
                <w:szCs w:val="18"/>
                <w:lang w:eastAsia="en-US"/>
              </w:rPr>
              <w:t>19,333</w:t>
            </w:r>
          </w:p>
        </w:tc>
      </w:tr>
      <w:tr w:rsidR="0056738E" w:rsidRPr="00295155" w14:paraId="021761A6" w14:textId="77777777" w:rsidTr="007C2AEE">
        <w:trPr>
          <w:trHeight w:val="283"/>
          <w:jc w:val="center"/>
        </w:trPr>
        <w:tc>
          <w:tcPr>
            <w:tcW w:w="708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6B45337" w14:textId="77777777" w:rsidR="0056738E" w:rsidRPr="00295155"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eastAsia="Batang" w:hAnsi="Arial" w:cs="Arial"/>
                <w:b/>
                <w:color w:val="262626"/>
                <w:sz w:val="18"/>
                <w:szCs w:val="18"/>
                <w:lang w:val="el-GR" w:eastAsia="en-US"/>
              </w:rPr>
            </w:pPr>
            <w:r w:rsidRPr="00264973">
              <w:rPr>
                <w:rFonts w:ascii="Arial" w:eastAsia="Batang" w:hAnsi="Arial" w:cs="Arial"/>
                <w:b/>
                <w:color w:val="262626"/>
                <w:sz w:val="18"/>
                <w:szCs w:val="18"/>
                <w:lang w:val="el-GR" w:eastAsia="en-US"/>
              </w:rPr>
              <w:t>30 Σεπτεμβρίου</w:t>
            </w:r>
          </w:p>
        </w:tc>
        <w:tc>
          <w:tcPr>
            <w:tcW w:w="1417" w:type="dxa"/>
            <w:tcBorders>
              <w:top w:val="single" w:sz="6" w:space="0" w:color="auto"/>
              <w:left w:val="single" w:sz="4" w:space="0" w:color="C0C0C0"/>
              <w:bottom w:val="double" w:sz="6" w:space="0" w:color="auto"/>
              <w:right w:val="single" w:sz="4" w:space="0" w:color="C0C0C0"/>
            </w:tcBorders>
            <w:shd w:val="clear" w:color="auto" w:fill="auto"/>
            <w:vAlign w:val="center"/>
          </w:tcPr>
          <w:p w14:paraId="0EE9354F" w14:textId="77777777" w:rsidR="0056738E" w:rsidRPr="00391E8D" w:rsidRDefault="0056738E" w:rsidP="007C2AEE">
            <w:pPr>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eastAsia="en-US"/>
              </w:rPr>
              <w:t>172,168</w:t>
            </w:r>
          </w:p>
        </w:tc>
        <w:tc>
          <w:tcPr>
            <w:tcW w:w="1431" w:type="dxa"/>
            <w:tcBorders>
              <w:top w:val="single" w:sz="6" w:space="0" w:color="auto"/>
              <w:left w:val="single" w:sz="4" w:space="0" w:color="C0C0C0"/>
              <w:bottom w:val="double" w:sz="6" w:space="0" w:color="auto"/>
              <w:right w:val="single" w:sz="4" w:space="0" w:color="C0C0C0"/>
            </w:tcBorders>
            <w:vAlign w:val="center"/>
          </w:tcPr>
          <w:p w14:paraId="23AEC063" w14:textId="77777777" w:rsidR="0056738E" w:rsidRPr="006A365D" w:rsidRDefault="0056738E" w:rsidP="007C2AEE">
            <w:pPr>
              <w:spacing w:after="0" w:line="240" w:lineRule="auto"/>
              <w:jc w:val="right"/>
              <w:rPr>
                <w:rFonts w:ascii="Arial" w:eastAsia="Batang" w:hAnsi="Arial" w:cs="Arial"/>
                <w:bCs/>
                <w:color w:val="262626"/>
                <w:sz w:val="18"/>
                <w:szCs w:val="18"/>
                <w:lang w:eastAsia="en-US"/>
              </w:rPr>
            </w:pPr>
            <w:r w:rsidRPr="00E81940">
              <w:rPr>
                <w:rFonts w:ascii="Arial" w:eastAsia="Batang" w:hAnsi="Arial" w:cs="Arial"/>
                <w:bCs/>
                <w:color w:val="262626"/>
                <w:sz w:val="18"/>
                <w:szCs w:val="18"/>
                <w:lang w:eastAsia="en-US"/>
              </w:rPr>
              <w:t>190,234</w:t>
            </w:r>
          </w:p>
        </w:tc>
      </w:tr>
      <w:tr w:rsidR="0056738E" w:rsidRPr="00295155" w14:paraId="12E5EF70" w14:textId="77777777" w:rsidTr="007C2AEE">
        <w:trPr>
          <w:trHeight w:val="170"/>
          <w:jc w:val="center"/>
        </w:trPr>
        <w:tc>
          <w:tcPr>
            <w:tcW w:w="7087" w:type="dxa"/>
            <w:tcBorders>
              <w:top w:val="single" w:sz="4" w:space="0" w:color="C0C0C0"/>
              <w:left w:val="nil"/>
              <w:bottom w:val="nil"/>
              <w:right w:val="nil"/>
            </w:tcBorders>
            <w:shd w:val="clear" w:color="auto" w:fill="auto"/>
            <w:vAlign w:val="center"/>
          </w:tcPr>
          <w:p w14:paraId="5609BBF3" w14:textId="77777777" w:rsidR="0056738E"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eastAsia="Batang" w:hAnsi="Arial" w:cs="Arial"/>
                <w:b/>
                <w:color w:val="262626"/>
                <w:sz w:val="18"/>
                <w:szCs w:val="18"/>
                <w:lang w:val="el-GR" w:eastAsia="en-US"/>
              </w:rPr>
            </w:pPr>
          </w:p>
        </w:tc>
        <w:tc>
          <w:tcPr>
            <w:tcW w:w="1417" w:type="dxa"/>
            <w:tcBorders>
              <w:top w:val="double" w:sz="6" w:space="0" w:color="auto"/>
              <w:left w:val="nil"/>
              <w:bottom w:val="nil"/>
              <w:right w:val="nil"/>
            </w:tcBorders>
            <w:shd w:val="clear" w:color="auto" w:fill="auto"/>
            <w:vAlign w:val="center"/>
          </w:tcPr>
          <w:p w14:paraId="4E7C3E48" w14:textId="77777777" w:rsidR="0056738E" w:rsidRPr="00391E8D" w:rsidRDefault="0056738E" w:rsidP="007C2AEE">
            <w:pPr>
              <w:spacing w:after="0" w:line="240" w:lineRule="auto"/>
              <w:jc w:val="right"/>
              <w:rPr>
                <w:rFonts w:ascii="Arial" w:eastAsia="Batang" w:hAnsi="Arial" w:cs="Arial"/>
                <w:b/>
                <w:bCs/>
                <w:color w:val="262626"/>
                <w:sz w:val="18"/>
                <w:szCs w:val="18"/>
                <w:lang w:val="el-GR" w:eastAsia="en-US"/>
              </w:rPr>
            </w:pPr>
          </w:p>
        </w:tc>
        <w:tc>
          <w:tcPr>
            <w:tcW w:w="1431" w:type="dxa"/>
            <w:tcBorders>
              <w:top w:val="double" w:sz="6" w:space="0" w:color="auto"/>
              <w:left w:val="nil"/>
              <w:bottom w:val="nil"/>
              <w:right w:val="nil"/>
            </w:tcBorders>
            <w:shd w:val="clear" w:color="auto" w:fill="auto"/>
            <w:vAlign w:val="center"/>
          </w:tcPr>
          <w:p w14:paraId="0F6E3B4F" w14:textId="77777777" w:rsidR="0056738E" w:rsidRPr="00CF760D" w:rsidRDefault="0056738E" w:rsidP="007C2AEE">
            <w:pPr>
              <w:spacing w:after="0" w:line="240" w:lineRule="auto"/>
              <w:jc w:val="right"/>
              <w:rPr>
                <w:rFonts w:ascii="Arial" w:eastAsia="Batang" w:hAnsi="Arial" w:cs="Arial"/>
                <w:bCs/>
                <w:color w:val="262626"/>
                <w:sz w:val="18"/>
                <w:szCs w:val="18"/>
                <w:lang w:eastAsia="en-US"/>
              </w:rPr>
            </w:pPr>
          </w:p>
        </w:tc>
      </w:tr>
    </w:tbl>
    <w:p w14:paraId="1A1F55D6" w14:textId="77777777" w:rsidR="0056738E" w:rsidRPr="00B27FEB" w:rsidRDefault="0056738E" w:rsidP="0056738E">
      <w:pPr>
        <w:spacing w:after="120" w:line="240" w:lineRule="auto"/>
        <w:jc w:val="both"/>
        <w:rPr>
          <w:rFonts w:ascii="Arial" w:eastAsia="Batang" w:hAnsi="Arial" w:cs="Arial"/>
          <w:color w:val="262626"/>
          <w:sz w:val="18"/>
          <w:szCs w:val="18"/>
          <w:lang w:val="el-GR" w:eastAsia="en-US"/>
        </w:rPr>
      </w:pPr>
      <w:r>
        <w:rPr>
          <w:rFonts w:ascii="Arial" w:eastAsia="Batang" w:hAnsi="Arial" w:cs="Arial"/>
          <w:color w:val="262626"/>
          <w:sz w:val="18"/>
          <w:szCs w:val="18"/>
          <w:lang w:val="el-GR" w:eastAsia="en-US"/>
        </w:rPr>
        <w:t>Η επιβάρυνση για την περίοδο σε δάνεια και απαιτήσεις από πελάτες ανά στάδιο παρουσιάζεται στον πιο κάτω πίνακα</w:t>
      </w:r>
      <w:r w:rsidRPr="00BB0E7C">
        <w:rPr>
          <w:rFonts w:ascii="Arial" w:eastAsia="Batang" w:hAnsi="Arial" w:cs="Arial"/>
          <w:color w:val="262626"/>
          <w:sz w:val="18"/>
          <w:szCs w:val="18"/>
          <w:lang w:val="el-GR" w:eastAsia="en-US"/>
        </w:rPr>
        <w:t>:</w:t>
      </w:r>
    </w:p>
    <w:tbl>
      <w:tblPr>
        <w:tblW w:w="993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083"/>
        <w:gridCol w:w="1432"/>
        <w:gridCol w:w="1417"/>
      </w:tblGrid>
      <w:tr w:rsidR="0056738E" w:rsidRPr="007C2AEE" w14:paraId="44E8B5D4" w14:textId="77777777" w:rsidTr="007C2AEE">
        <w:trPr>
          <w:trHeight w:val="255"/>
          <w:jc w:val="center"/>
        </w:trPr>
        <w:tc>
          <w:tcPr>
            <w:tcW w:w="7083" w:type="dxa"/>
            <w:vMerge w:val="restart"/>
            <w:tcBorders>
              <w:top w:val="single" w:sz="4" w:space="0" w:color="C0C0C0"/>
              <w:left w:val="single" w:sz="4" w:space="0" w:color="C0C0C0"/>
            </w:tcBorders>
          </w:tcPr>
          <w:p w14:paraId="3F2CA46C" w14:textId="77777777" w:rsidR="0056738E" w:rsidRPr="00711ACD" w:rsidRDefault="0056738E" w:rsidP="007C2AEE">
            <w:pPr>
              <w:tabs>
                <w:tab w:val="left" w:pos="0"/>
                <w:tab w:val="left" w:pos="282"/>
                <w:tab w:val="left" w:pos="720"/>
              </w:tabs>
              <w:suppressAutoHyphens/>
              <w:spacing w:after="0" w:line="240" w:lineRule="auto"/>
              <w:jc w:val="right"/>
              <w:rPr>
                <w:rFonts w:ascii="Arial" w:hAnsi="Arial" w:cs="Arial"/>
                <w:color w:val="262626"/>
                <w:sz w:val="18"/>
                <w:szCs w:val="18"/>
                <w:lang w:val="el-GR"/>
              </w:rPr>
            </w:pPr>
            <w:r w:rsidRPr="00711ACD">
              <w:rPr>
                <w:rFonts w:ascii="Arial" w:hAnsi="Arial" w:cs="Arial"/>
                <w:color w:val="262626"/>
                <w:sz w:val="18"/>
                <w:szCs w:val="18"/>
                <w:lang w:val="el-GR"/>
              </w:rPr>
              <w:br w:type="page"/>
            </w:r>
          </w:p>
        </w:tc>
        <w:tc>
          <w:tcPr>
            <w:tcW w:w="2849" w:type="dxa"/>
            <w:gridSpan w:val="2"/>
            <w:tcBorders>
              <w:top w:val="single" w:sz="4" w:space="0" w:color="C0C0C0"/>
            </w:tcBorders>
            <w:vAlign w:val="center"/>
          </w:tcPr>
          <w:p w14:paraId="2EAC871F" w14:textId="77777777" w:rsidR="0056738E" w:rsidRPr="00681991" w:rsidRDefault="0056738E" w:rsidP="007C2AEE">
            <w:pPr>
              <w:spacing w:after="0" w:line="240" w:lineRule="auto"/>
              <w:jc w:val="center"/>
              <w:rPr>
                <w:rFonts w:ascii="Arial" w:eastAsia="Batang" w:hAnsi="Arial" w:cs="Arial"/>
                <w:b/>
                <w:color w:val="262626"/>
                <w:sz w:val="18"/>
                <w:szCs w:val="16"/>
                <w:lang w:val="el-GR" w:eastAsia="en-US"/>
              </w:rPr>
            </w:pPr>
            <w:r>
              <w:rPr>
                <w:rFonts w:ascii="Arial" w:eastAsia="Batang" w:hAnsi="Arial" w:cs="Arial"/>
                <w:b/>
                <w:color w:val="262626"/>
                <w:sz w:val="18"/>
                <w:szCs w:val="16"/>
                <w:lang w:val="el-GR" w:eastAsia="en-US"/>
              </w:rPr>
              <w:t>Εννεάμηνο</w:t>
            </w:r>
            <w:r w:rsidRPr="00681991">
              <w:rPr>
                <w:rFonts w:ascii="Arial" w:eastAsia="Batang" w:hAnsi="Arial" w:cs="Arial"/>
                <w:b/>
                <w:color w:val="262626"/>
                <w:sz w:val="18"/>
                <w:szCs w:val="16"/>
                <w:lang w:val="el-GR" w:eastAsia="en-US"/>
              </w:rPr>
              <w:t xml:space="preserve"> που έληξε στις </w:t>
            </w:r>
          </w:p>
          <w:p w14:paraId="2BC87978" w14:textId="77777777" w:rsidR="0056738E" w:rsidRPr="00711ACD" w:rsidRDefault="0056738E" w:rsidP="007C2AEE">
            <w:pPr>
              <w:pStyle w:val="BodyText3"/>
              <w:ind w:left="-93"/>
              <w:jc w:val="center"/>
              <w:rPr>
                <w:rFonts w:ascii="Arial" w:hAnsi="Arial" w:cs="Arial"/>
                <w:color w:val="262626"/>
                <w:sz w:val="18"/>
                <w:szCs w:val="18"/>
                <w:highlight w:val="yellow"/>
                <w:lang w:val="el-GR"/>
              </w:rPr>
            </w:pPr>
            <w:r w:rsidRPr="00264973">
              <w:rPr>
                <w:rFonts w:ascii="Arial" w:eastAsia="Batang" w:hAnsi="Arial" w:cs="Arial"/>
                <w:b/>
                <w:color w:val="262626"/>
                <w:sz w:val="18"/>
                <w:szCs w:val="16"/>
                <w:lang w:val="el-GR" w:eastAsia="en-US"/>
              </w:rPr>
              <w:t>30 Σεπτεμβρίου</w:t>
            </w:r>
          </w:p>
        </w:tc>
      </w:tr>
      <w:tr w:rsidR="0056738E" w:rsidRPr="002F014C" w14:paraId="5A6CE1D8" w14:textId="77777777" w:rsidTr="007C2AEE">
        <w:trPr>
          <w:trHeight w:val="283"/>
          <w:jc w:val="center"/>
        </w:trPr>
        <w:tc>
          <w:tcPr>
            <w:tcW w:w="7083" w:type="dxa"/>
            <w:vMerge/>
            <w:tcBorders>
              <w:left w:val="single" w:sz="4" w:space="0" w:color="C0C0C0"/>
            </w:tcBorders>
          </w:tcPr>
          <w:p w14:paraId="2E945990" w14:textId="77777777" w:rsidR="0056738E" w:rsidRPr="00711ACD" w:rsidRDefault="0056738E" w:rsidP="007C2AEE">
            <w:pPr>
              <w:tabs>
                <w:tab w:val="left" w:pos="0"/>
                <w:tab w:val="left" w:pos="282"/>
                <w:tab w:val="left" w:pos="720"/>
              </w:tabs>
              <w:suppressAutoHyphens/>
              <w:spacing w:after="0" w:line="240" w:lineRule="auto"/>
              <w:jc w:val="right"/>
              <w:rPr>
                <w:rFonts w:ascii="Arial" w:hAnsi="Arial" w:cs="Arial"/>
                <w:color w:val="262626"/>
                <w:sz w:val="18"/>
                <w:szCs w:val="18"/>
                <w:lang w:val="el-GR"/>
              </w:rPr>
            </w:pPr>
          </w:p>
        </w:tc>
        <w:tc>
          <w:tcPr>
            <w:tcW w:w="1432" w:type="dxa"/>
            <w:tcBorders>
              <w:top w:val="single" w:sz="4" w:space="0" w:color="C0C0C0"/>
            </w:tcBorders>
            <w:shd w:val="clear" w:color="auto" w:fill="auto"/>
            <w:vAlign w:val="center"/>
          </w:tcPr>
          <w:p w14:paraId="0C3CB119" w14:textId="77777777" w:rsidR="0056738E" w:rsidRPr="002D2DAF" w:rsidRDefault="0056738E" w:rsidP="007C2AEE">
            <w:pPr>
              <w:pStyle w:val="BodyText3"/>
              <w:ind w:left="-91"/>
              <w:jc w:val="center"/>
              <w:rPr>
                <w:rFonts w:ascii="Arial" w:hAnsi="Arial" w:cs="Arial"/>
                <w:b/>
                <w:color w:val="262626"/>
                <w:sz w:val="18"/>
                <w:szCs w:val="18"/>
                <w:lang w:val="el-GR"/>
              </w:rPr>
            </w:pPr>
            <w:r>
              <w:rPr>
                <w:rFonts w:ascii="Arial" w:hAnsi="Arial" w:cs="Arial"/>
                <w:b/>
                <w:color w:val="262626"/>
                <w:sz w:val="18"/>
                <w:szCs w:val="18"/>
              </w:rPr>
              <w:t>20</w:t>
            </w:r>
            <w:r>
              <w:rPr>
                <w:rFonts w:ascii="Arial" w:hAnsi="Arial" w:cs="Arial"/>
                <w:b/>
                <w:color w:val="262626"/>
                <w:sz w:val="18"/>
                <w:szCs w:val="18"/>
                <w:lang w:val="el-GR"/>
              </w:rPr>
              <w:t>24</w:t>
            </w:r>
          </w:p>
        </w:tc>
        <w:tc>
          <w:tcPr>
            <w:tcW w:w="1417" w:type="dxa"/>
            <w:tcBorders>
              <w:top w:val="single" w:sz="4" w:space="0" w:color="C0C0C0"/>
            </w:tcBorders>
            <w:shd w:val="clear" w:color="auto" w:fill="auto"/>
            <w:vAlign w:val="center"/>
          </w:tcPr>
          <w:p w14:paraId="0F62C003" w14:textId="77777777" w:rsidR="0056738E" w:rsidRPr="002D2DAF" w:rsidRDefault="0056738E" w:rsidP="007C2AEE">
            <w:pPr>
              <w:pStyle w:val="BodyText3"/>
              <w:ind w:left="-91"/>
              <w:jc w:val="center"/>
              <w:rPr>
                <w:rFonts w:ascii="Arial" w:hAnsi="Arial" w:cs="Arial"/>
                <w:iCs/>
                <w:color w:val="262626"/>
                <w:sz w:val="18"/>
                <w:szCs w:val="18"/>
                <w:lang w:val="el-GR"/>
              </w:rPr>
            </w:pPr>
            <w:r>
              <w:rPr>
                <w:rFonts w:ascii="Arial" w:hAnsi="Arial" w:cs="Arial"/>
                <w:color w:val="262626"/>
                <w:sz w:val="18"/>
                <w:szCs w:val="18"/>
              </w:rPr>
              <w:t>20</w:t>
            </w:r>
            <w:r>
              <w:rPr>
                <w:rFonts w:ascii="Arial" w:hAnsi="Arial" w:cs="Arial"/>
                <w:color w:val="262626"/>
                <w:sz w:val="18"/>
                <w:szCs w:val="18"/>
                <w:lang w:val="el-GR"/>
              </w:rPr>
              <w:t>23</w:t>
            </w:r>
          </w:p>
        </w:tc>
      </w:tr>
      <w:tr w:rsidR="0056738E" w:rsidRPr="002F014C" w14:paraId="550BE1E7" w14:textId="77777777" w:rsidTr="007C2AEE">
        <w:trPr>
          <w:trHeight w:val="283"/>
          <w:jc w:val="center"/>
        </w:trPr>
        <w:tc>
          <w:tcPr>
            <w:tcW w:w="7083" w:type="dxa"/>
            <w:vMerge/>
            <w:tcBorders>
              <w:left w:val="single" w:sz="4" w:space="0" w:color="C0C0C0"/>
              <w:bottom w:val="single" w:sz="4" w:space="0" w:color="C0C0C0"/>
            </w:tcBorders>
            <w:vAlign w:val="center"/>
          </w:tcPr>
          <w:p w14:paraId="1E21027F" w14:textId="77777777" w:rsidR="0056738E" w:rsidRPr="003A11FE" w:rsidRDefault="0056738E" w:rsidP="007C2AEE">
            <w:pPr>
              <w:tabs>
                <w:tab w:val="left" w:pos="0"/>
                <w:tab w:val="left" w:pos="282"/>
                <w:tab w:val="left" w:pos="720"/>
              </w:tabs>
              <w:suppressAutoHyphens/>
              <w:spacing w:after="0" w:line="240" w:lineRule="auto"/>
              <w:rPr>
                <w:rFonts w:ascii="Arial" w:eastAsia="Batang" w:hAnsi="Arial" w:cs="Arial"/>
                <w:bCs/>
                <w:color w:val="262626"/>
                <w:sz w:val="18"/>
                <w:szCs w:val="18"/>
                <w:lang w:eastAsia="en-US"/>
              </w:rPr>
            </w:pPr>
          </w:p>
        </w:tc>
        <w:tc>
          <w:tcPr>
            <w:tcW w:w="1432" w:type="dxa"/>
            <w:vAlign w:val="center"/>
          </w:tcPr>
          <w:p w14:paraId="7369929B" w14:textId="77777777" w:rsidR="0056738E" w:rsidRPr="002F014C" w:rsidRDefault="0056738E" w:rsidP="007C2AEE">
            <w:pPr>
              <w:pStyle w:val="BodyText3"/>
              <w:ind w:left="-93"/>
              <w:jc w:val="center"/>
              <w:rPr>
                <w:rFonts w:ascii="Arial" w:hAnsi="Arial" w:cs="Arial"/>
                <w:b/>
                <w:bCs/>
                <w:i/>
                <w:iCs/>
                <w:color w:val="262626"/>
                <w:sz w:val="18"/>
                <w:szCs w:val="18"/>
              </w:rPr>
            </w:pPr>
            <w:r w:rsidRPr="002F014C">
              <w:rPr>
                <w:rFonts w:ascii="Arial" w:hAnsi="Arial" w:cs="Arial"/>
                <w:b/>
                <w:color w:val="262626"/>
                <w:sz w:val="18"/>
                <w:szCs w:val="18"/>
              </w:rPr>
              <w:t>€000</w:t>
            </w:r>
          </w:p>
        </w:tc>
        <w:tc>
          <w:tcPr>
            <w:tcW w:w="1417" w:type="dxa"/>
            <w:vAlign w:val="center"/>
          </w:tcPr>
          <w:p w14:paraId="342A47A9" w14:textId="77777777" w:rsidR="0056738E" w:rsidRPr="002F014C" w:rsidRDefault="0056738E" w:rsidP="007C2AEE">
            <w:pPr>
              <w:pStyle w:val="BodyText3"/>
              <w:ind w:left="-93"/>
              <w:jc w:val="center"/>
              <w:rPr>
                <w:rFonts w:ascii="Arial" w:hAnsi="Arial" w:cs="Arial"/>
                <w:bCs/>
                <w:i/>
                <w:iCs/>
                <w:color w:val="262626"/>
                <w:sz w:val="18"/>
                <w:szCs w:val="18"/>
              </w:rPr>
            </w:pPr>
            <w:r w:rsidRPr="002F014C">
              <w:rPr>
                <w:rFonts w:ascii="Arial" w:hAnsi="Arial" w:cs="Arial"/>
                <w:color w:val="262626"/>
                <w:sz w:val="18"/>
                <w:szCs w:val="18"/>
              </w:rPr>
              <w:t>€000</w:t>
            </w:r>
          </w:p>
        </w:tc>
      </w:tr>
      <w:tr w:rsidR="0056738E" w:rsidRPr="004B5D54" w14:paraId="6E3F67DE" w14:textId="77777777" w:rsidTr="007C2AEE">
        <w:trPr>
          <w:trHeight w:val="283"/>
          <w:jc w:val="center"/>
        </w:trPr>
        <w:tc>
          <w:tcPr>
            <w:tcW w:w="7083" w:type="dxa"/>
            <w:tcBorders>
              <w:top w:val="single" w:sz="4" w:space="0" w:color="C0C0C0"/>
            </w:tcBorders>
            <w:vAlign w:val="center"/>
          </w:tcPr>
          <w:p w14:paraId="43E64E02" w14:textId="77777777" w:rsidR="0056738E" w:rsidRPr="00B27FEB" w:rsidRDefault="0056738E" w:rsidP="007C2AEE">
            <w:pPr>
              <w:tabs>
                <w:tab w:val="left" w:pos="0"/>
                <w:tab w:val="left" w:pos="282"/>
                <w:tab w:val="left" w:pos="720"/>
              </w:tabs>
              <w:suppressAutoHyphens/>
              <w:spacing w:after="0" w:line="240" w:lineRule="auto"/>
              <w:rPr>
                <w:rFonts w:ascii="Arial" w:eastAsia="Batang" w:hAnsi="Arial" w:cs="Arial"/>
                <w:bCs/>
                <w:color w:val="262626"/>
                <w:sz w:val="18"/>
                <w:szCs w:val="18"/>
                <w:lang w:val="el-GR" w:eastAsia="en-US"/>
              </w:rPr>
            </w:pPr>
            <w:r>
              <w:rPr>
                <w:rFonts w:ascii="Arial" w:eastAsia="Batang" w:hAnsi="Arial" w:cs="Arial"/>
                <w:bCs/>
                <w:color w:val="262626"/>
                <w:sz w:val="18"/>
                <w:szCs w:val="18"/>
                <w:lang w:val="el-GR" w:eastAsia="en-US"/>
              </w:rPr>
              <w:t>Στάδιο 1</w:t>
            </w:r>
          </w:p>
        </w:tc>
        <w:tc>
          <w:tcPr>
            <w:tcW w:w="1432" w:type="dxa"/>
            <w:shd w:val="clear" w:color="auto" w:fill="auto"/>
            <w:vAlign w:val="center"/>
          </w:tcPr>
          <w:p w14:paraId="754B7C90" w14:textId="77777777" w:rsidR="0056738E" w:rsidRPr="005370C9"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(22,512)</w:t>
            </w:r>
          </w:p>
        </w:tc>
        <w:tc>
          <w:tcPr>
            <w:tcW w:w="1417" w:type="dxa"/>
            <w:shd w:val="clear" w:color="auto" w:fill="auto"/>
            <w:vAlign w:val="center"/>
          </w:tcPr>
          <w:p w14:paraId="6BF69858" w14:textId="77777777" w:rsidR="0056738E" w:rsidRPr="006A365D"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eastAsia="en-US"/>
              </w:rPr>
            </w:pPr>
            <w:r w:rsidRPr="00E25891">
              <w:rPr>
                <w:rFonts w:ascii="Arial" w:eastAsia="Batang" w:hAnsi="Arial" w:cs="Arial"/>
                <w:color w:val="262626"/>
                <w:sz w:val="18"/>
                <w:szCs w:val="18"/>
                <w:lang w:eastAsia="en-US"/>
              </w:rPr>
              <w:t>(5,242)</w:t>
            </w:r>
          </w:p>
        </w:tc>
      </w:tr>
      <w:tr w:rsidR="0056738E" w:rsidRPr="004B5D54" w14:paraId="37916B3D" w14:textId="77777777" w:rsidTr="007C2AEE">
        <w:trPr>
          <w:trHeight w:val="283"/>
          <w:jc w:val="center"/>
        </w:trPr>
        <w:tc>
          <w:tcPr>
            <w:tcW w:w="7083" w:type="dxa"/>
            <w:vAlign w:val="center"/>
          </w:tcPr>
          <w:p w14:paraId="1180B240" w14:textId="77777777" w:rsidR="0056738E" w:rsidRPr="00711ACD" w:rsidRDefault="0056738E" w:rsidP="007C2AEE">
            <w:pPr>
              <w:tabs>
                <w:tab w:val="left" w:pos="0"/>
                <w:tab w:val="left" w:pos="282"/>
                <w:tab w:val="left" w:pos="720"/>
              </w:tabs>
              <w:suppressAutoHyphens/>
              <w:spacing w:after="0" w:line="240" w:lineRule="auto"/>
              <w:rPr>
                <w:rFonts w:ascii="Arial" w:eastAsia="Batang" w:hAnsi="Arial" w:cs="Arial"/>
                <w:bCs/>
                <w:color w:val="262626"/>
                <w:sz w:val="18"/>
                <w:szCs w:val="18"/>
                <w:lang w:val="el-GR" w:eastAsia="en-US"/>
              </w:rPr>
            </w:pPr>
            <w:r>
              <w:rPr>
                <w:rFonts w:ascii="Arial" w:eastAsia="Batang" w:hAnsi="Arial" w:cs="Arial"/>
                <w:bCs/>
                <w:color w:val="262626"/>
                <w:sz w:val="18"/>
                <w:szCs w:val="18"/>
                <w:lang w:val="el-GR" w:eastAsia="en-US"/>
              </w:rPr>
              <w:t>Στάδιο 2</w:t>
            </w:r>
          </w:p>
        </w:tc>
        <w:tc>
          <w:tcPr>
            <w:tcW w:w="1432" w:type="dxa"/>
            <w:tcBorders>
              <w:bottom w:val="single" w:sz="4" w:space="0" w:color="C0C0C0"/>
            </w:tcBorders>
            <w:shd w:val="clear" w:color="auto" w:fill="auto"/>
            <w:vAlign w:val="center"/>
          </w:tcPr>
          <w:p w14:paraId="11430BCF" w14:textId="77777777" w:rsidR="0056738E" w:rsidRPr="005370C9"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15,055</w:t>
            </w:r>
          </w:p>
        </w:tc>
        <w:tc>
          <w:tcPr>
            <w:tcW w:w="1417" w:type="dxa"/>
            <w:tcBorders>
              <w:bottom w:val="single" w:sz="4" w:space="0" w:color="C0C0C0"/>
            </w:tcBorders>
            <w:shd w:val="clear" w:color="auto" w:fill="auto"/>
            <w:vAlign w:val="center"/>
          </w:tcPr>
          <w:p w14:paraId="5428AD69" w14:textId="77777777" w:rsidR="0056738E" w:rsidRPr="006A365D"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eastAsia="en-US"/>
              </w:rPr>
            </w:pPr>
            <w:r w:rsidRPr="00E25891">
              <w:rPr>
                <w:rFonts w:ascii="Arial" w:eastAsia="Batang" w:hAnsi="Arial" w:cs="Arial"/>
                <w:color w:val="262626"/>
                <w:sz w:val="18"/>
                <w:szCs w:val="18"/>
                <w:lang w:eastAsia="en-US"/>
              </w:rPr>
              <w:t>16,485</w:t>
            </w:r>
          </w:p>
        </w:tc>
      </w:tr>
      <w:tr w:rsidR="0056738E" w:rsidRPr="004B5D54" w14:paraId="33CD3DFC" w14:textId="77777777" w:rsidTr="007C2AEE">
        <w:trPr>
          <w:trHeight w:val="283"/>
          <w:jc w:val="center"/>
        </w:trPr>
        <w:tc>
          <w:tcPr>
            <w:tcW w:w="7083" w:type="dxa"/>
            <w:vAlign w:val="center"/>
          </w:tcPr>
          <w:p w14:paraId="60CBD1AF" w14:textId="77777777" w:rsidR="0056738E" w:rsidRPr="000D149E" w:rsidRDefault="0056738E" w:rsidP="007C2AEE">
            <w:pPr>
              <w:tabs>
                <w:tab w:val="left" w:pos="0"/>
                <w:tab w:val="left" w:pos="282"/>
                <w:tab w:val="left" w:pos="720"/>
              </w:tabs>
              <w:suppressAutoHyphens/>
              <w:spacing w:after="0" w:line="240" w:lineRule="auto"/>
              <w:rPr>
                <w:rFonts w:ascii="Arial" w:eastAsia="Batang" w:hAnsi="Arial" w:cs="Arial"/>
                <w:bCs/>
                <w:color w:val="262626"/>
                <w:sz w:val="18"/>
                <w:szCs w:val="18"/>
                <w:lang w:val="el-GR" w:eastAsia="en-US"/>
              </w:rPr>
            </w:pPr>
            <w:r>
              <w:rPr>
                <w:rFonts w:ascii="Arial" w:eastAsia="Batang" w:hAnsi="Arial" w:cs="Arial"/>
                <w:bCs/>
                <w:color w:val="262626"/>
                <w:sz w:val="18"/>
                <w:szCs w:val="18"/>
                <w:lang w:val="el-GR" w:eastAsia="en-US"/>
              </w:rPr>
              <w:t xml:space="preserve">Στάδιο 3 </w:t>
            </w:r>
          </w:p>
        </w:tc>
        <w:tc>
          <w:tcPr>
            <w:tcW w:w="1432" w:type="dxa"/>
            <w:tcBorders>
              <w:bottom w:val="single" w:sz="6" w:space="0" w:color="auto"/>
            </w:tcBorders>
            <w:shd w:val="clear" w:color="auto" w:fill="auto"/>
            <w:vAlign w:val="center"/>
          </w:tcPr>
          <w:p w14:paraId="06380E34" w14:textId="77777777" w:rsidR="0056738E" w:rsidRPr="005370C9"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r>
              <w:rPr>
                <w:rFonts w:ascii="Arial" w:eastAsia="Batang" w:hAnsi="Arial" w:cs="Arial"/>
                <w:b/>
                <w:bCs/>
                <w:color w:val="262626"/>
                <w:sz w:val="18"/>
                <w:szCs w:val="18"/>
                <w:lang w:eastAsia="en-US"/>
              </w:rPr>
              <w:t>40,990</w:t>
            </w:r>
          </w:p>
        </w:tc>
        <w:tc>
          <w:tcPr>
            <w:tcW w:w="1417" w:type="dxa"/>
            <w:tcBorders>
              <w:bottom w:val="single" w:sz="6" w:space="0" w:color="auto"/>
            </w:tcBorders>
            <w:shd w:val="clear" w:color="auto" w:fill="auto"/>
            <w:vAlign w:val="center"/>
          </w:tcPr>
          <w:p w14:paraId="2F859C63" w14:textId="77777777" w:rsidR="0056738E" w:rsidRPr="006A365D"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eastAsia="en-US"/>
              </w:rPr>
            </w:pPr>
            <w:r w:rsidRPr="00E25891">
              <w:rPr>
                <w:rFonts w:ascii="Arial" w:eastAsia="Batang" w:hAnsi="Arial" w:cs="Arial"/>
                <w:color w:val="262626"/>
                <w:sz w:val="18"/>
                <w:szCs w:val="18"/>
                <w:lang w:eastAsia="en-US"/>
              </w:rPr>
              <w:t>51,131</w:t>
            </w:r>
          </w:p>
        </w:tc>
      </w:tr>
      <w:tr w:rsidR="0056738E" w:rsidRPr="004B5D54" w14:paraId="6D9D4F04" w14:textId="77777777" w:rsidTr="007C2AEE">
        <w:trPr>
          <w:trHeight w:val="255"/>
          <w:jc w:val="center"/>
        </w:trPr>
        <w:tc>
          <w:tcPr>
            <w:tcW w:w="7083" w:type="dxa"/>
            <w:vAlign w:val="center"/>
          </w:tcPr>
          <w:p w14:paraId="63CFB2FA" w14:textId="77777777" w:rsidR="0056738E" w:rsidRPr="009B5694" w:rsidRDefault="0056738E" w:rsidP="007C2AEE">
            <w:pPr>
              <w:tabs>
                <w:tab w:val="left" w:pos="0"/>
                <w:tab w:val="left" w:pos="282"/>
                <w:tab w:val="left" w:pos="720"/>
              </w:tabs>
              <w:suppressAutoHyphens/>
              <w:spacing w:after="0" w:line="240" w:lineRule="auto"/>
              <w:rPr>
                <w:rFonts w:ascii="Arial" w:eastAsia="Batang" w:hAnsi="Arial" w:cs="Arial"/>
                <w:b/>
                <w:bCs/>
                <w:color w:val="262626"/>
                <w:sz w:val="18"/>
                <w:szCs w:val="18"/>
                <w:lang w:val="el-GR" w:eastAsia="en-US"/>
              </w:rPr>
            </w:pPr>
          </w:p>
        </w:tc>
        <w:tc>
          <w:tcPr>
            <w:tcW w:w="1432" w:type="dxa"/>
            <w:tcBorders>
              <w:top w:val="single" w:sz="6" w:space="0" w:color="auto"/>
              <w:bottom w:val="double" w:sz="6" w:space="0" w:color="auto"/>
            </w:tcBorders>
            <w:shd w:val="clear" w:color="auto" w:fill="auto"/>
            <w:vAlign w:val="center"/>
          </w:tcPr>
          <w:p w14:paraId="32121722" w14:textId="77777777" w:rsidR="0056738E" w:rsidRPr="00A03828"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val="el-GR" w:eastAsia="en-US"/>
              </w:rPr>
            </w:pPr>
            <w:r>
              <w:rPr>
                <w:rFonts w:ascii="Arial" w:eastAsia="Batang" w:hAnsi="Arial" w:cs="Arial"/>
                <w:b/>
                <w:bCs/>
                <w:color w:val="262626"/>
                <w:sz w:val="18"/>
                <w:szCs w:val="18"/>
                <w:lang w:val="en-US" w:eastAsia="en-US"/>
              </w:rPr>
              <w:t>33,533</w:t>
            </w:r>
          </w:p>
        </w:tc>
        <w:tc>
          <w:tcPr>
            <w:tcW w:w="1417" w:type="dxa"/>
            <w:tcBorders>
              <w:top w:val="single" w:sz="6" w:space="0" w:color="auto"/>
              <w:bottom w:val="double" w:sz="6" w:space="0" w:color="auto"/>
            </w:tcBorders>
            <w:shd w:val="clear" w:color="auto" w:fill="auto"/>
            <w:vAlign w:val="center"/>
          </w:tcPr>
          <w:p w14:paraId="7B0E45EB" w14:textId="77777777" w:rsidR="0056738E" w:rsidRPr="006A365D" w:rsidRDefault="0056738E" w:rsidP="007C2AEE">
            <w:pPr>
              <w:tabs>
                <w:tab w:val="left" w:pos="0"/>
                <w:tab w:val="left" w:pos="282"/>
                <w:tab w:val="left" w:pos="720"/>
              </w:tabs>
              <w:suppressAutoHyphens/>
              <w:spacing w:after="0" w:line="240" w:lineRule="auto"/>
              <w:jc w:val="right"/>
              <w:rPr>
                <w:rFonts w:ascii="Arial" w:eastAsia="Batang" w:hAnsi="Arial" w:cs="Arial"/>
                <w:color w:val="262626"/>
                <w:sz w:val="18"/>
                <w:szCs w:val="18"/>
                <w:lang w:eastAsia="en-US"/>
              </w:rPr>
            </w:pPr>
            <w:r w:rsidRPr="00E25891">
              <w:rPr>
                <w:rFonts w:ascii="Arial" w:eastAsia="Batang" w:hAnsi="Arial" w:cs="Arial"/>
                <w:color w:val="262626"/>
                <w:sz w:val="18"/>
                <w:szCs w:val="18"/>
                <w:lang w:eastAsia="en-US"/>
              </w:rPr>
              <w:t>62,374</w:t>
            </w:r>
          </w:p>
        </w:tc>
      </w:tr>
      <w:tr w:rsidR="0056738E" w:rsidRPr="004B5D54" w14:paraId="356AC78A" w14:textId="77777777" w:rsidTr="007C2AEE">
        <w:trPr>
          <w:trHeight w:val="170"/>
          <w:jc w:val="center"/>
        </w:trPr>
        <w:tc>
          <w:tcPr>
            <w:tcW w:w="7083" w:type="dxa"/>
            <w:tcBorders>
              <w:left w:val="nil"/>
              <w:bottom w:val="nil"/>
              <w:right w:val="nil"/>
            </w:tcBorders>
            <w:vAlign w:val="center"/>
          </w:tcPr>
          <w:p w14:paraId="46ED3607" w14:textId="77777777" w:rsidR="0056738E" w:rsidRPr="009B5694" w:rsidRDefault="0056738E" w:rsidP="007C2AEE">
            <w:pPr>
              <w:tabs>
                <w:tab w:val="left" w:pos="0"/>
                <w:tab w:val="left" w:pos="282"/>
                <w:tab w:val="left" w:pos="720"/>
              </w:tabs>
              <w:suppressAutoHyphens/>
              <w:spacing w:after="0" w:line="240" w:lineRule="auto"/>
              <w:rPr>
                <w:rFonts w:ascii="Arial" w:eastAsia="Batang" w:hAnsi="Arial" w:cs="Arial"/>
                <w:b/>
                <w:bCs/>
                <w:color w:val="262626"/>
                <w:sz w:val="18"/>
                <w:szCs w:val="18"/>
                <w:lang w:val="el-GR" w:eastAsia="en-US"/>
              </w:rPr>
            </w:pPr>
          </w:p>
        </w:tc>
        <w:tc>
          <w:tcPr>
            <w:tcW w:w="1432" w:type="dxa"/>
            <w:tcBorders>
              <w:top w:val="double" w:sz="6" w:space="0" w:color="auto"/>
              <w:left w:val="nil"/>
              <w:bottom w:val="nil"/>
              <w:right w:val="nil"/>
            </w:tcBorders>
            <w:shd w:val="clear" w:color="auto" w:fill="auto"/>
            <w:vAlign w:val="center"/>
          </w:tcPr>
          <w:p w14:paraId="153E81D6" w14:textId="77777777" w:rsidR="0056738E" w:rsidRDefault="0056738E" w:rsidP="007C2AEE">
            <w:pPr>
              <w:tabs>
                <w:tab w:val="left" w:pos="0"/>
                <w:tab w:val="left" w:pos="282"/>
                <w:tab w:val="left" w:pos="720"/>
              </w:tabs>
              <w:suppressAutoHyphens/>
              <w:spacing w:after="0" w:line="240" w:lineRule="auto"/>
              <w:jc w:val="right"/>
              <w:rPr>
                <w:rFonts w:ascii="Arial" w:eastAsia="Batang" w:hAnsi="Arial" w:cs="Arial"/>
                <w:b/>
                <w:bCs/>
                <w:color w:val="262626"/>
                <w:sz w:val="18"/>
                <w:szCs w:val="18"/>
                <w:lang w:eastAsia="en-US"/>
              </w:rPr>
            </w:pPr>
          </w:p>
        </w:tc>
        <w:tc>
          <w:tcPr>
            <w:tcW w:w="1417" w:type="dxa"/>
            <w:tcBorders>
              <w:top w:val="double" w:sz="6" w:space="0" w:color="auto"/>
              <w:left w:val="nil"/>
              <w:bottom w:val="nil"/>
              <w:right w:val="nil"/>
            </w:tcBorders>
            <w:shd w:val="clear" w:color="auto" w:fill="auto"/>
            <w:vAlign w:val="center"/>
          </w:tcPr>
          <w:p w14:paraId="1A07B9AC" w14:textId="77777777" w:rsidR="0056738E" w:rsidRDefault="0056738E" w:rsidP="007C2AEE">
            <w:pPr>
              <w:tabs>
                <w:tab w:val="left" w:pos="0"/>
                <w:tab w:val="left" w:pos="282"/>
                <w:tab w:val="left" w:pos="720"/>
              </w:tabs>
              <w:suppressAutoHyphens/>
              <w:spacing w:after="0" w:line="240" w:lineRule="auto"/>
              <w:jc w:val="right"/>
              <w:rPr>
                <w:rFonts w:ascii="Arial" w:eastAsia="Batang" w:hAnsi="Arial" w:cs="Arial"/>
                <w:bCs/>
                <w:color w:val="262626"/>
                <w:sz w:val="18"/>
                <w:szCs w:val="18"/>
                <w:lang w:val="en-US" w:eastAsia="en-US"/>
              </w:rPr>
            </w:pPr>
          </w:p>
        </w:tc>
      </w:tr>
    </w:tbl>
    <w:p w14:paraId="5C75BA9E" w14:textId="77777777" w:rsidR="0056738E" w:rsidRPr="001405F4" w:rsidRDefault="0056738E" w:rsidP="0056738E">
      <w:pPr>
        <w:shd w:val="clear" w:color="auto" w:fill="FFFFFF"/>
        <w:spacing w:after="0" w:line="240" w:lineRule="auto"/>
        <w:jc w:val="both"/>
        <w:rPr>
          <w:rFonts w:ascii="Arial" w:eastAsia="Batang" w:hAnsi="Arial" w:cs="Arial"/>
          <w:color w:val="262626"/>
          <w:sz w:val="18"/>
          <w:szCs w:val="18"/>
          <w:lang w:val="el-GR" w:eastAsia="en-US"/>
        </w:rPr>
      </w:pPr>
      <w:r w:rsidRPr="00342DFC">
        <w:rPr>
          <w:rFonts w:ascii="Arial" w:eastAsia="Batang" w:hAnsi="Arial" w:cs="Arial"/>
          <w:color w:val="262626"/>
          <w:sz w:val="18"/>
          <w:szCs w:val="18"/>
          <w:lang w:val="el-GR" w:eastAsia="en-US"/>
        </w:rPr>
        <w:t xml:space="preserve">Κατά </w:t>
      </w:r>
      <w:r>
        <w:rPr>
          <w:rFonts w:ascii="Arial" w:eastAsia="Batang" w:hAnsi="Arial" w:cs="Arial"/>
          <w:color w:val="262626"/>
          <w:sz w:val="18"/>
          <w:szCs w:val="18"/>
          <w:lang w:val="el-GR" w:eastAsia="en-US"/>
        </w:rPr>
        <w:t>το εννεάμηνο</w:t>
      </w:r>
      <w:r w:rsidRPr="00D60454">
        <w:rPr>
          <w:rFonts w:ascii="Arial" w:eastAsia="Batang" w:hAnsi="Arial" w:cs="Arial"/>
          <w:color w:val="262626"/>
          <w:sz w:val="18"/>
          <w:szCs w:val="18"/>
          <w:lang w:val="el-GR" w:eastAsia="en-US"/>
        </w:rPr>
        <w:t xml:space="preserve"> που έληξ</w:t>
      </w:r>
      <w:r>
        <w:rPr>
          <w:rFonts w:ascii="Arial" w:eastAsia="Batang" w:hAnsi="Arial" w:cs="Arial"/>
          <w:color w:val="262626"/>
          <w:sz w:val="18"/>
          <w:szCs w:val="18"/>
          <w:lang w:val="el-GR" w:eastAsia="en-US"/>
        </w:rPr>
        <w:t>ε</w:t>
      </w:r>
      <w:r w:rsidRPr="00D60454">
        <w:rPr>
          <w:rFonts w:ascii="Arial" w:eastAsia="Batang" w:hAnsi="Arial" w:cs="Arial"/>
          <w:color w:val="262626"/>
          <w:sz w:val="18"/>
          <w:szCs w:val="18"/>
          <w:lang w:val="el-GR" w:eastAsia="en-US"/>
        </w:rPr>
        <w:t xml:space="preserve"> στις </w:t>
      </w:r>
      <w:r>
        <w:rPr>
          <w:rFonts w:ascii="Arial" w:eastAsia="Batang" w:hAnsi="Arial" w:cs="Arial"/>
          <w:color w:val="262626"/>
          <w:sz w:val="18"/>
          <w:szCs w:val="18"/>
          <w:lang w:val="el-GR" w:eastAsia="en-US"/>
        </w:rPr>
        <w:t>30 Σεπτεμβρίου 2024</w:t>
      </w:r>
      <w:r w:rsidRPr="00342DFC">
        <w:rPr>
          <w:rFonts w:ascii="Arial" w:eastAsia="Batang" w:hAnsi="Arial" w:cs="Arial"/>
          <w:color w:val="262626"/>
          <w:sz w:val="18"/>
          <w:szCs w:val="18"/>
          <w:lang w:val="el-GR" w:eastAsia="en-US"/>
        </w:rPr>
        <w:t xml:space="preserve">, οι συνολικές μη συμβατικές διαγραφές που </w:t>
      </w:r>
      <w:r>
        <w:rPr>
          <w:rFonts w:ascii="Arial" w:eastAsia="Batang" w:hAnsi="Arial" w:cs="Arial"/>
          <w:color w:val="262626"/>
          <w:sz w:val="18"/>
          <w:szCs w:val="18"/>
          <w:lang w:val="el-GR" w:eastAsia="en-US"/>
        </w:rPr>
        <w:t>καταχωρήθηκαν</w:t>
      </w:r>
      <w:r w:rsidRPr="00342DFC">
        <w:rPr>
          <w:rFonts w:ascii="Arial" w:eastAsia="Batang" w:hAnsi="Arial" w:cs="Arial"/>
          <w:color w:val="262626"/>
          <w:sz w:val="18"/>
          <w:szCs w:val="18"/>
          <w:lang w:val="el-GR" w:eastAsia="en-US"/>
        </w:rPr>
        <w:t xml:space="preserve"> από το Συγκρότημα </w:t>
      </w:r>
      <w:r>
        <w:rPr>
          <w:rFonts w:ascii="Arial" w:eastAsia="Batang" w:hAnsi="Arial" w:cs="Arial"/>
          <w:color w:val="262626"/>
          <w:sz w:val="18"/>
          <w:szCs w:val="18"/>
          <w:lang w:val="el-GR" w:eastAsia="en-US"/>
        </w:rPr>
        <w:t xml:space="preserve">ανήλθαν </w:t>
      </w:r>
      <w:r w:rsidRPr="00A03828">
        <w:rPr>
          <w:rFonts w:ascii="Arial" w:eastAsia="Batang" w:hAnsi="Arial" w:cs="Arial"/>
          <w:color w:val="262626"/>
          <w:sz w:val="18"/>
          <w:szCs w:val="18"/>
          <w:lang w:val="el-GR" w:eastAsia="en-US"/>
        </w:rPr>
        <w:t>σε €</w:t>
      </w:r>
      <w:r>
        <w:rPr>
          <w:rFonts w:ascii="Arial" w:eastAsia="Batang" w:hAnsi="Arial" w:cs="Arial"/>
          <w:color w:val="262626"/>
          <w:sz w:val="18"/>
          <w:szCs w:val="18"/>
          <w:lang w:val="el-GR" w:eastAsia="en-US"/>
        </w:rPr>
        <w:t>25,</w:t>
      </w:r>
      <w:r w:rsidRPr="00A03828">
        <w:rPr>
          <w:rFonts w:ascii="Arial" w:eastAsia="Batang" w:hAnsi="Arial" w:cs="Arial"/>
          <w:color w:val="262626"/>
          <w:sz w:val="18"/>
          <w:szCs w:val="18"/>
          <w:lang w:val="el-GR" w:eastAsia="en-US"/>
        </w:rPr>
        <w:t>349 χιλ</w:t>
      </w:r>
      <w:r w:rsidRPr="008731DC">
        <w:rPr>
          <w:rFonts w:ascii="Arial" w:eastAsia="Batang" w:hAnsi="Arial" w:cs="Arial"/>
          <w:color w:val="262626"/>
          <w:sz w:val="18"/>
          <w:szCs w:val="18"/>
          <w:lang w:val="el-GR" w:eastAsia="en-US"/>
        </w:rPr>
        <w:t>.</w:t>
      </w:r>
      <w:r w:rsidRPr="00334CDF">
        <w:rPr>
          <w:rFonts w:ascii="Arial" w:eastAsia="Batang" w:hAnsi="Arial" w:cs="Arial"/>
          <w:color w:val="262626"/>
          <w:sz w:val="18"/>
          <w:szCs w:val="18"/>
          <w:lang w:val="el-GR" w:eastAsia="en-US"/>
        </w:rPr>
        <w:t xml:space="preserve"> (</w:t>
      </w:r>
      <w:r>
        <w:rPr>
          <w:rFonts w:ascii="Arial" w:eastAsia="Batang" w:hAnsi="Arial" w:cs="Arial"/>
          <w:color w:val="262626"/>
          <w:sz w:val="18"/>
          <w:szCs w:val="18"/>
          <w:lang w:val="el-GR" w:eastAsia="en-US"/>
        </w:rPr>
        <w:t>εννεάμηνο</w:t>
      </w:r>
      <w:r w:rsidRPr="00334CDF">
        <w:rPr>
          <w:rFonts w:ascii="Arial" w:eastAsia="Batang" w:hAnsi="Arial" w:cs="Arial"/>
          <w:color w:val="262626"/>
          <w:sz w:val="18"/>
          <w:szCs w:val="18"/>
          <w:lang w:val="el-GR" w:eastAsia="en-US"/>
        </w:rPr>
        <w:t xml:space="preserve"> που έληξε στις </w:t>
      </w:r>
      <w:r>
        <w:rPr>
          <w:rFonts w:ascii="Arial" w:eastAsia="Batang" w:hAnsi="Arial" w:cs="Arial"/>
          <w:color w:val="262626"/>
          <w:sz w:val="18"/>
          <w:szCs w:val="18"/>
          <w:lang w:val="el-GR" w:eastAsia="en-US"/>
        </w:rPr>
        <w:t xml:space="preserve">30 Σεπτεμβρίου </w:t>
      </w:r>
      <w:r w:rsidRPr="00566B0B">
        <w:rPr>
          <w:rFonts w:ascii="Arial" w:eastAsia="Batang" w:hAnsi="Arial" w:cs="Arial"/>
          <w:color w:val="262626"/>
          <w:sz w:val="18"/>
          <w:szCs w:val="18"/>
          <w:lang w:val="el-GR" w:eastAsia="en-US"/>
        </w:rPr>
        <w:t>2023: €</w:t>
      </w:r>
      <w:r w:rsidRPr="00041815">
        <w:rPr>
          <w:rFonts w:ascii="Arial" w:eastAsia="Batang" w:hAnsi="Arial" w:cs="Arial"/>
          <w:color w:val="262626"/>
          <w:sz w:val="18"/>
          <w:szCs w:val="18"/>
          <w:lang w:val="el-GR" w:eastAsia="en-US"/>
        </w:rPr>
        <w:t>39</w:t>
      </w:r>
      <w:r w:rsidRPr="00213914">
        <w:rPr>
          <w:rFonts w:ascii="Arial" w:eastAsia="Batang" w:hAnsi="Arial" w:cs="Arial"/>
          <w:color w:val="262626"/>
          <w:sz w:val="18"/>
          <w:szCs w:val="18"/>
          <w:lang w:val="el-GR" w:eastAsia="en-US"/>
        </w:rPr>
        <w:t>,</w:t>
      </w:r>
      <w:r w:rsidRPr="00041815">
        <w:rPr>
          <w:rFonts w:ascii="Arial" w:eastAsia="Batang" w:hAnsi="Arial" w:cs="Arial"/>
          <w:color w:val="262626"/>
          <w:sz w:val="18"/>
          <w:szCs w:val="18"/>
          <w:lang w:val="el-GR" w:eastAsia="en-US"/>
        </w:rPr>
        <w:t>663</w:t>
      </w:r>
      <w:r w:rsidRPr="001C3AA9">
        <w:rPr>
          <w:rFonts w:ascii="Arial" w:eastAsia="Batang" w:hAnsi="Arial" w:cs="Arial"/>
          <w:color w:val="262626"/>
          <w:sz w:val="18"/>
          <w:szCs w:val="18"/>
          <w:lang w:val="el-GR" w:eastAsia="en-US"/>
        </w:rPr>
        <w:t xml:space="preserve"> </w:t>
      </w:r>
      <w:r w:rsidRPr="00566B0B">
        <w:rPr>
          <w:rFonts w:ascii="Arial" w:eastAsia="Batang" w:hAnsi="Arial" w:cs="Arial"/>
          <w:color w:val="262626"/>
          <w:sz w:val="18"/>
          <w:szCs w:val="18"/>
          <w:lang w:val="el-GR" w:eastAsia="en-US"/>
        </w:rPr>
        <w:t xml:space="preserve">χιλ.). Το συμβατικό ποσό που είναι σε εκκρεμότητα για χρηματοοικονομικά περιουσιακά στοιχεία που διαγράφηκαν κατά τη διάρκεια του </w:t>
      </w:r>
      <w:proofErr w:type="spellStart"/>
      <w:r>
        <w:rPr>
          <w:rFonts w:ascii="Arial" w:eastAsia="Batang" w:hAnsi="Arial" w:cs="Arial"/>
          <w:color w:val="262626"/>
          <w:sz w:val="18"/>
          <w:szCs w:val="18"/>
          <w:lang w:val="el-GR" w:eastAsia="en-US"/>
        </w:rPr>
        <w:t>εννεαμήνου</w:t>
      </w:r>
      <w:proofErr w:type="spellEnd"/>
      <w:r w:rsidRPr="00566B0B">
        <w:rPr>
          <w:rFonts w:ascii="Arial" w:eastAsia="Batang" w:hAnsi="Arial" w:cs="Arial"/>
          <w:color w:val="262626"/>
          <w:sz w:val="18"/>
          <w:szCs w:val="18"/>
          <w:lang w:val="el-GR" w:eastAsia="en-US"/>
        </w:rPr>
        <w:t xml:space="preserve"> που έληξε στις </w:t>
      </w:r>
      <w:r>
        <w:rPr>
          <w:rFonts w:ascii="Arial" w:eastAsia="Batang" w:hAnsi="Arial" w:cs="Arial"/>
          <w:color w:val="262626"/>
          <w:sz w:val="18"/>
          <w:szCs w:val="18"/>
          <w:lang w:val="el-GR" w:eastAsia="en-US"/>
        </w:rPr>
        <w:t xml:space="preserve">30 Σεπτεμβρίου </w:t>
      </w:r>
      <w:r w:rsidRPr="001405F4">
        <w:rPr>
          <w:rFonts w:ascii="Arial" w:eastAsia="Batang" w:hAnsi="Arial" w:cs="Arial"/>
          <w:color w:val="262626"/>
          <w:sz w:val="18"/>
          <w:szCs w:val="18"/>
          <w:lang w:val="el-GR" w:eastAsia="en-US"/>
        </w:rPr>
        <w:t xml:space="preserve">2024 και υπόκεινται ακόμη σε εκτέλεση ανέρχεται </w:t>
      </w:r>
      <w:r w:rsidRPr="00A03828">
        <w:rPr>
          <w:rFonts w:ascii="Arial" w:eastAsia="Batang" w:hAnsi="Arial" w:cs="Arial"/>
          <w:color w:val="262626"/>
          <w:sz w:val="18"/>
          <w:szCs w:val="18"/>
          <w:lang w:val="el-GR" w:eastAsia="en-US"/>
        </w:rPr>
        <w:t>σε €</w:t>
      </w:r>
      <w:r>
        <w:rPr>
          <w:rFonts w:ascii="Arial" w:eastAsia="Batang" w:hAnsi="Arial" w:cs="Arial"/>
          <w:color w:val="262626"/>
          <w:sz w:val="18"/>
          <w:szCs w:val="18"/>
          <w:lang w:val="el-GR" w:eastAsia="en-US"/>
        </w:rPr>
        <w:t>188,643</w:t>
      </w:r>
      <w:r w:rsidRPr="00A03828">
        <w:rPr>
          <w:rFonts w:ascii="Arial" w:eastAsia="Batang" w:hAnsi="Arial" w:cs="Arial"/>
          <w:color w:val="262626"/>
          <w:sz w:val="18"/>
          <w:szCs w:val="18"/>
          <w:lang w:val="el-GR" w:eastAsia="en-US"/>
        </w:rPr>
        <w:t xml:space="preserve"> χιλ</w:t>
      </w:r>
      <w:r w:rsidRPr="008731DC">
        <w:rPr>
          <w:rFonts w:ascii="Arial" w:eastAsia="Batang" w:hAnsi="Arial" w:cs="Arial"/>
          <w:color w:val="262626"/>
          <w:sz w:val="18"/>
          <w:szCs w:val="18"/>
          <w:lang w:val="el-GR" w:eastAsia="en-US"/>
        </w:rPr>
        <w:t>. (</w:t>
      </w:r>
      <w:r w:rsidRPr="001405F4">
        <w:rPr>
          <w:rFonts w:ascii="Arial" w:eastAsia="Batang" w:hAnsi="Arial" w:cs="Arial"/>
          <w:color w:val="262626"/>
          <w:sz w:val="18"/>
          <w:szCs w:val="18"/>
          <w:lang w:val="el-GR" w:eastAsia="en-US"/>
        </w:rPr>
        <w:t>31 Δεκεμβρίου 2023: €566,451 χιλ.).</w:t>
      </w:r>
    </w:p>
    <w:p w14:paraId="2B853629" w14:textId="77777777" w:rsidR="0056738E" w:rsidRPr="001405F4" w:rsidRDefault="0056738E" w:rsidP="0056738E">
      <w:pPr>
        <w:spacing w:after="0" w:line="240" w:lineRule="auto"/>
        <w:jc w:val="both"/>
        <w:rPr>
          <w:rFonts w:ascii="Arial" w:eastAsia="Batang" w:hAnsi="Arial" w:cs="Arial"/>
          <w:color w:val="262626"/>
          <w:sz w:val="18"/>
          <w:szCs w:val="18"/>
          <w:lang w:val="el-GR" w:eastAsia="en-US"/>
        </w:rPr>
      </w:pPr>
    </w:p>
    <w:p w14:paraId="307B98EA" w14:textId="77777777" w:rsidR="0056738E" w:rsidRDefault="0056738E" w:rsidP="0056738E">
      <w:pPr>
        <w:spacing w:after="0" w:line="240" w:lineRule="auto"/>
        <w:jc w:val="both"/>
        <w:rPr>
          <w:rFonts w:ascii="Arial" w:eastAsia="Batang" w:hAnsi="Arial" w:cs="Arial"/>
          <w:color w:val="262626"/>
          <w:sz w:val="18"/>
          <w:szCs w:val="18"/>
          <w:lang w:val="el-GR" w:eastAsia="en-US"/>
        </w:rPr>
      </w:pPr>
      <w:r w:rsidRPr="00E602B2">
        <w:rPr>
          <w:rFonts w:ascii="Arial" w:eastAsia="Batang" w:hAnsi="Arial" w:cs="Arial"/>
          <w:color w:val="262626"/>
          <w:sz w:val="18"/>
          <w:szCs w:val="18"/>
          <w:lang w:val="el-GR" w:eastAsia="en-US"/>
        </w:rPr>
        <w:t xml:space="preserve">Έχουν γίνει παραδοχές που αφορούν τις μελλοντικές μεταβολές στις αξίες ακινήτων, καθώς και τον χρονικό ορίζοντα της ρευστοποίησης της εξασφάλισης, το κόστος φορολογίας και τα έξοδα ανάκτησης και μετέπειτα πώλησης της εξασφάλισης καθώς και άλλες σχετικές εκπτώσεις τιμών. Έχει χρησιμοποιηθεί ο ανάλογος δείκτης ως βάση για τον υπολογισμό της </w:t>
      </w:r>
      <w:proofErr w:type="spellStart"/>
      <w:r w:rsidRPr="00E602B2">
        <w:rPr>
          <w:rFonts w:ascii="Arial" w:eastAsia="Batang" w:hAnsi="Arial" w:cs="Arial"/>
          <w:color w:val="262626"/>
          <w:sz w:val="18"/>
          <w:szCs w:val="18"/>
          <w:lang w:val="el-GR" w:eastAsia="en-US"/>
        </w:rPr>
        <w:t>επικαιροποιημένης</w:t>
      </w:r>
      <w:proofErr w:type="spellEnd"/>
      <w:r w:rsidRPr="00E602B2">
        <w:rPr>
          <w:rFonts w:ascii="Arial" w:eastAsia="Batang" w:hAnsi="Arial" w:cs="Arial"/>
          <w:color w:val="262626"/>
          <w:sz w:val="18"/>
          <w:szCs w:val="18"/>
          <w:lang w:val="el-GR" w:eastAsia="en-US"/>
        </w:rPr>
        <w:t xml:space="preserve"> αγοραίας αξίας των ακινήτων και γίνονται προσαρμογές σύμφωνα με την κρίση της διοίκησης όπου χρειάζεται, δεδομένης της δυσκολίας για την διαφοροποίηση μεταξύ βραχυπρόθεσμων επιπτώσεων και μακροπρόθεσμων διαρθρωτικών αλλαγών και της έλλειψης στοιχείων στην αγορά για σκοπούς σύγκρισης. Οι παραδοχές έγιναν με βάση ένα μακροοικονομικό σενάριο για μελλοντικές μεταβολές στις τιμές των ακινήτων και έχουν γίνει ποιοτικές προσαρμογές ή διορθώσεις για τον περιορισμό της προβλεπόμενης θετικής αύξησης τιμών ακινήτων στο 0% για όλα τα σενάρια για δάνεια και απαιτήσεις από πελάτες που έχουν ακίνητα ως εξασφαλίσεις.</w:t>
      </w:r>
    </w:p>
    <w:p w14:paraId="10A61091" w14:textId="77777777" w:rsidR="0056738E" w:rsidRDefault="0056738E" w:rsidP="0056738E">
      <w:pPr>
        <w:spacing w:after="0" w:line="240" w:lineRule="auto"/>
        <w:jc w:val="both"/>
        <w:rPr>
          <w:rFonts w:ascii="Arial" w:eastAsia="Batang" w:hAnsi="Arial" w:cs="Arial"/>
          <w:color w:val="262626"/>
          <w:sz w:val="18"/>
          <w:szCs w:val="18"/>
          <w:lang w:val="el-GR" w:eastAsia="en-US"/>
        </w:rPr>
      </w:pPr>
    </w:p>
    <w:p w14:paraId="4DD6500F" w14:textId="77777777" w:rsidR="0056738E" w:rsidRDefault="0056738E" w:rsidP="0056738E">
      <w:pPr>
        <w:spacing w:after="0" w:line="240" w:lineRule="auto"/>
        <w:jc w:val="both"/>
        <w:rPr>
          <w:rFonts w:ascii="Arial" w:eastAsia="Batang" w:hAnsi="Arial" w:cs="Arial"/>
          <w:color w:val="262626"/>
          <w:sz w:val="18"/>
          <w:szCs w:val="18"/>
          <w:lang w:val="el-GR" w:eastAsia="en-US"/>
        </w:rPr>
      </w:pPr>
    </w:p>
    <w:p w14:paraId="31CA30EF" w14:textId="77777777" w:rsidR="0056738E" w:rsidRDefault="0056738E" w:rsidP="0056738E">
      <w:pPr>
        <w:spacing w:after="0" w:line="240" w:lineRule="auto"/>
        <w:jc w:val="both"/>
        <w:rPr>
          <w:rFonts w:ascii="Arial" w:eastAsia="Batang" w:hAnsi="Arial" w:cs="Arial"/>
          <w:color w:val="262626"/>
          <w:sz w:val="18"/>
          <w:szCs w:val="18"/>
          <w:lang w:val="el-GR" w:eastAsia="en-US"/>
        </w:rPr>
      </w:pPr>
    </w:p>
    <w:p w14:paraId="34C4005D" w14:textId="77777777" w:rsidR="0056738E" w:rsidRDefault="0056738E" w:rsidP="0056738E">
      <w:pPr>
        <w:spacing w:after="0" w:line="240" w:lineRule="auto"/>
        <w:jc w:val="both"/>
        <w:rPr>
          <w:rFonts w:ascii="Arial" w:eastAsia="Batang" w:hAnsi="Arial" w:cs="Arial"/>
          <w:color w:val="262626"/>
          <w:sz w:val="18"/>
          <w:szCs w:val="18"/>
          <w:lang w:val="el-GR" w:eastAsia="en-US"/>
        </w:rPr>
      </w:pPr>
    </w:p>
    <w:p w14:paraId="5E4ECAD2" w14:textId="77777777" w:rsidR="0056738E" w:rsidRPr="00050B06" w:rsidRDefault="0056738E" w:rsidP="0056738E">
      <w:pPr>
        <w:rPr>
          <w:rFonts w:ascii="Arial" w:hAnsi="Arial" w:cs="Arial"/>
          <w:b/>
          <w:color w:val="FF9900"/>
          <w:szCs w:val="16"/>
          <w:lang w:val="el-GR"/>
        </w:rPr>
      </w:pPr>
      <w:r>
        <w:rPr>
          <w:rFonts w:ascii="Arial" w:hAnsi="Arial" w:cs="Arial"/>
          <w:b/>
          <w:color w:val="FF9900"/>
          <w:szCs w:val="16"/>
          <w:lang w:val="el-GR"/>
        </w:rPr>
        <w:br w:type="page"/>
      </w:r>
    </w:p>
    <w:p w14:paraId="0FC7CEBB" w14:textId="77777777" w:rsidR="0056738E" w:rsidRPr="00C30CF6" w:rsidRDefault="0056738E" w:rsidP="0056738E">
      <w:pPr>
        <w:spacing w:after="0" w:line="360" w:lineRule="auto"/>
        <w:ind w:left="851" w:hanging="851"/>
        <w:rPr>
          <w:rFonts w:ascii="Arial" w:hAnsi="Arial" w:cs="Arial"/>
          <w:b/>
          <w:color w:val="FF9900"/>
          <w:lang w:val="el-GR"/>
        </w:rPr>
      </w:pPr>
      <w:r>
        <w:rPr>
          <w:rFonts w:ascii="Arial" w:hAnsi="Arial" w:cs="Arial"/>
          <w:b/>
          <w:color w:val="FF9900"/>
          <w:szCs w:val="16"/>
          <w:lang w:val="el-GR"/>
        </w:rPr>
        <w:lastRenderedPageBreak/>
        <w:t>ΣΤ</w:t>
      </w:r>
      <w:r w:rsidRPr="00C30CF6">
        <w:rPr>
          <w:rFonts w:ascii="Arial" w:hAnsi="Arial" w:cs="Arial"/>
          <w:b/>
          <w:color w:val="FF9900"/>
          <w:szCs w:val="16"/>
          <w:lang w:val="el-GR"/>
        </w:rPr>
        <w:t xml:space="preserve">. </w:t>
      </w:r>
      <w:r w:rsidRPr="005F6B49">
        <w:rPr>
          <w:rFonts w:ascii="Arial" w:hAnsi="Arial" w:cs="Arial"/>
          <w:b/>
          <w:color w:val="FF9900"/>
          <w:szCs w:val="16"/>
          <w:lang w:val="el-GR"/>
        </w:rPr>
        <w:tab/>
      </w:r>
      <w:r>
        <w:rPr>
          <w:rFonts w:ascii="Arial" w:hAnsi="Arial" w:cs="Arial"/>
          <w:b/>
          <w:color w:val="FF9900"/>
          <w:lang w:val="el-GR"/>
        </w:rPr>
        <w:t xml:space="preserve">Σημειώσεις </w:t>
      </w:r>
      <w:r w:rsidRPr="007C60E2">
        <w:rPr>
          <w:rFonts w:ascii="Arial" w:hAnsi="Arial" w:cs="Arial"/>
          <w:color w:val="FF9900"/>
          <w:lang w:val="el-GR"/>
        </w:rPr>
        <w:t>(συνέχεια)</w:t>
      </w:r>
    </w:p>
    <w:p w14:paraId="7F5299BF" w14:textId="77777777" w:rsidR="0056738E" w:rsidRPr="00711ACD" w:rsidRDefault="0056738E" w:rsidP="0056738E">
      <w:pPr>
        <w:keepNext/>
        <w:tabs>
          <w:tab w:val="left" w:pos="1416"/>
          <w:tab w:val="decimal" w:pos="4962"/>
          <w:tab w:val="decimal" w:pos="6521"/>
          <w:tab w:val="right" w:pos="7560"/>
          <w:tab w:val="decimal" w:pos="8220"/>
          <w:tab w:val="left" w:pos="8640"/>
          <w:tab w:val="right" w:pos="9000"/>
        </w:tabs>
        <w:suppressAutoHyphens/>
        <w:spacing w:after="120" w:line="240" w:lineRule="auto"/>
        <w:ind w:left="851" w:right="-130" w:hanging="851"/>
        <w:jc w:val="both"/>
        <w:outlineLvl w:val="8"/>
        <w:rPr>
          <w:rFonts w:ascii="Arial" w:hAnsi="Arial" w:cs="Arial"/>
          <w:b/>
          <w:color w:val="FF9900"/>
          <w:szCs w:val="18"/>
          <w:lang w:val="el-GR"/>
        </w:rPr>
      </w:pPr>
      <w:r>
        <w:rPr>
          <w:rFonts w:ascii="Arial" w:hAnsi="Arial" w:cs="Arial"/>
          <w:b/>
          <w:color w:val="FF9900"/>
          <w:szCs w:val="18"/>
          <w:lang w:val="el-GR"/>
        </w:rPr>
        <w:t>ΣΤ</w:t>
      </w:r>
      <w:r w:rsidRPr="00711ACD">
        <w:rPr>
          <w:rFonts w:ascii="Arial" w:hAnsi="Arial" w:cs="Arial"/>
          <w:b/>
          <w:color w:val="FF9900"/>
          <w:szCs w:val="18"/>
          <w:lang w:val="el-GR"/>
        </w:rPr>
        <w:t>.</w:t>
      </w:r>
      <w:r>
        <w:rPr>
          <w:rFonts w:ascii="Arial" w:hAnsi="Arial" w:cs="Arial"/>
          <w:b/>
          <w:color w:val="FF9900"/>
          <w:szCs w:val="18"/>
          <w:lang w:val="el-GR"/>
        </w:rPr>
        <w:t>6</w:t>
      </w:r>
      <w:r w:rsidRPr="00711ACD">
        <w:rPr>
          <w:rFonts w:ascii="Arial" w:hAnsi="Arial" w:cs="Arial"/>
          <w:b/>
          <w:color w:val="FF9900"/>
          <w:szCs w:val="18"/>
          <w:lang w:val="el-GR"/>
        </w:rPr>
        <w:t xml:space="preserve"> </w:t>
      </w:r>
      <w:r w:rsidRPr="00711ACD">
        <w:rPr>
          <w:rFonts w:ascii="Arial" w:hAnsi="Arial" w:cs="Arial"/>
          <w:b/>
          <w:color w:val="FF9900"/>
          <w:szCs w:val="18"/>
          <w:lang w:val="el-GR"/>
        </w:rPr>
        <w:tab/>
      </w:r>
      <w:r>
        <w:rPr>
          <w:rFonts w:ascii="Arial" w:hAnsi="Arial" w:cs="Arial"/>
          <w:b/>
          <w:color w:val="FF9900"/>
          <w:szCs w:val="18"/>
          <w:lang w:val="el-GR"/>
        </w:rPr>
        <w:t xml:space="preserve">Πιστωτικές ζημιές για κάλυψη πιστωτικού κινδύνου για δάνεια και απαιτήσεις από πελάτες </w:t>
      </w:r>
      <w:r w:rsidRPr="007C60E2">
        <w:rPr>
          <w:rFonts w:ascii="Arial" w:hAnsi="Arial" w:cs="Arial"/>
          <w:color w:val="FF9900"/>
          <w:lang w:val="el-GR"/>
        </w:rPr>
        <w:t>(συνέχεια)</w:t>
      </w:r>
    </w:p>
    <w:p w14:paraId="1EE12EF9" w14:textId="77777777" w:rsidR="0056738E" w:rsidRPr="00E602B2" w:rsidRDefault="0056738E" w:rsidP="0056738E">
      <w:pPr>
        <w:spacing w:after="0" w:line="240" w:lineRule="auto"/>
        <w:jc w:val="both"/>
        <w:rPr>
          <w:rFonts w:ascii="Arial" w:eastAsia="Batang" w:hAnsi="Arial" w:cs="Arial"/>
          <w:color w:val="262626"/>
          <w:sz w:val="18"/>
          <w:szCs w:val="18"/>
          <w:lang w:val="el-GR" w:eastAsia="en-US"/>
        </w:rPr>
      </w:pPr>
      <w:r w:rsidRPr="00E602B2">
        <w:rPr>
          <w:rFonts w:ascii="Arial" w:eastAsia="Batang" w:hAnsi="Arial" w:cs="Arial"/>
          <w:color w:val="262626"/>
          <w:sz w:val="18"/>
          <w:szCs w:val="18"/>
          <w:lang w:val="el-GR" w:eastAsia="en-US"/>
        </w:rPr>
        <w:t xml:space="preserve">Στις 30 </w:t>
      </w:r>
      <w:r>
        <w:rPr>
          <w:rFonts w:ascii="Arial" w:eastAsia="Batang" w:hAnsi="Arial" w:cs="Arial"/>
          <w:color w:val="262626"/>
          <w:sz w:val="18"/>
          <w:szCs w:val="18"/>
          <w:lang w:val="el-GR" w:eastAsia="en-US"/>
        </w:rPr>
        <w:t>Σεπτεμβρίου</w:t>
      </w:r>
      <w:r w:rsidRPr="00E602B2">
        <w:rPr>
          <w:rFonts w:ascii="Arial" w:eastAsia="Batang" w:hAnsi="Arial" w:cs="Arial"/>
          <w:color w:val="262626"/>
          <w:sz w:val="18"/>
          <w:szCs w:val="18"/>
          <w:lang w:val="el-GR" w:eastAsia="en-US"/>
        </w:rPr>
        <w:t xml:space="preserve"> 2024, η </w:t>
      </w:r>
      <w:proofErr w:type="spellStart"/>
      <w:r w:rsidRPr="00E602B2">
        <w:rPr>
          <w:rFonts w:ascii="Arial" w:eastAsia="Batang" w:hAnsi="Arial" w:cs="Arial"/>
          <w:color w:val="262626"/>
          <w:sz w:val="18"/>
          <w:szCs w:val="18"/>
          <w:lang w:val="el-GR" w:eastAsia="en-US"/>
        </w:rPr>
        <w:t>μεσοσταθμισμένη</w:t>
      </w:r>
      <w:proofErr w:type="spellEnd"/>
      <w:r w:rsidRPr="00E602B2">
        <w:rPr>
          <w:rFonts w:ascii="Arial" w:eastAsia="Batang" w:hAnsi="Arial" w:cs="Arial"/>
          <w:color w:val="262626"/>
          <w:sz w:val="18"/>
          <w:szCs w:val="18"/>
          <w:lang w:val="el-GR" w:eastAsia="en-US"/>
        </w:rPr>
        <w:t xml:space="preserve"> έκπτωση τιμών (συμπεριλαμβανομένης της έλλειψης ρευστότητας και των εξόδων π</w:t>
      </w:r>
      <w:r>
        <w:rPr>
          <w:rFonts w:ascii="Arial" w:eastAsia="Batang" w:hAnsi="Arial" w:cs="Arial"/>
          <w:color w:val="262626"/>
          <w:sz w:val="18"/>
          <w:szCs w:val="18"/>
          <w:lang w:val="el-GR" w:eastAsia="en-US"/>
        </w:rPr>
        <w:t>ώ</w:t>
      </w:r>
      <w:r w:rsidRPr="00E602B2">
        <w:rPr>
          <w:rFonts w:ascii="Arial" w:eastAsia="Batang" w:hAnsi="Arial" w:cs="Arial"/>
          <w:color w:val="262626"/>
          <w:sz w:val="18"/>
          <w:szCs w:val="18"/>
          <w:lang w:val="el-GR" w:eastAsia="en-US"/>
        </w:rPr>
        <w:t>λ</w:t>
      </w:r>
      <w:r>
        <w:rPr>
          <w:rFonts w:ascii="Arial" w:eastAsia="Batang" w:hAnsi="Arial" w:cs="Arial"/>
          <w:color w:val="262626"/>
          <w:sz w:val="18"/>
          <w:szCs w:val="18"/>
          <w:lang w:val="el-GR" w:eastAsia="en-US"/>
        </w:rPr>
        <w:t>ησης</w:t>
      </w:r>
      <w:r w:rsidRPr="00E602B2">
        <w:rPr>
          <w:rFonts w:ascii="Arial" w:eastAsia="Batang" w:hAnsi="Arial" w:cs="Arial"/>
          <w:color w:val="262626"/>
          <w:sz w:val="18"/>
          <w:szCs w:val="18"/>
          <w:lang w:val="el-GR" w:eastAsia="en-US"/>
        </w:rPr>
        <w:t xml:space="preserve">) που χρησιμοποιήθηκε για τον υπολογισμό της πρόβλεψης για δάνεια και απαιτήσεις σε πελάτες (τόσο για τα ανοίγματα Σταδίου 1 και Σταδίου 2 όσο και για τα ανοίγματα του Σταδίου 3 που αξιολογούνται σε συλλογική βάση για σκοπούς των προβλέψεων) ανέρχεται περίπου στο </w:t>
      </w:r>
      <w:r w:rsidRPr="00A03828">
        <w:rPr>
          <w:rFonts w:ascii="Arial" w:eastAsia="Batang" w:hAnsi="Arial" w:cs="Arial"/>
          <w:color w:val="262626"/>
          <w:sz w:val="18"/>
          <w:szCs w:val="18"/>
          <w:lang w:val="el-GR" w:eastAsia="en-US"/>
        </w:rPr>
        <w:t>41.5%</w:t>
      </w:r>
      <w:r w:rsidRPr="00E602B2">
        <w:rPr>
          <w:rFonts w:ascii="Arial" w:eastAsia="Batang" w:hAnsi="Arial" w:cs="Arial"/>
          <w:color w:val="262626"/>
          <w:sz w:val="18"/>
          <w:szCs w:val="18"/>
          <w:lang w:val="el-GR" w:eastAsia="en-US"/>
        </w:rPr>
        <w:t xml:space="preserve"> στο βασικό σενάριο</w:t>
      </w:r>
      <w:r w:rsidRPr="00A03828">
        <w:rPr>
          <w:rFonts w:ascii="Arial" w:eastAsia="Batang" w:hAnsi="Arial" w:cs="Arial"/>
          <w:color w:val="262626"/>
          <w:sz w:val="18"/>
          <w:szCs w:val="18"/>
          <w:lang w:val="el-GR" w:eastAsia="en-US"/>
        </w:rPr>
        <w:t xml:space="preserve">, εξαιρουμένων </w:t>
      </w:r>
      <w:r>
        <w:rPr>
          <w:rFonts w:ascii="Arial" w:eastAsia="Batang" w:hAnsi="Arial" w:cs="Arial"/>
          <w:color w:val="262626"/>
          <w:sz w:val="18"/>
          <w:szCs w:val="18"/>
          <w:lang w:val="el-GR" w:eastAsia="en-US"/>
        </w:rPr>
        <w:t>των δανείων</w:t>
      </w:r>
      <w:r w:rsidRPr="00CB6027">
        <w:rPr>
          <w:rFonts w:ascii="Arial" w:eastAsia="Batang" w:hAnsi="Arial" w:cs="Arial"/>
          <w:color w:val="262626"/>
          <w:sz w:val="18"/>
          <w:szCs w:val="18"/>
          <w:lang w:val="el-GR" w:eastAsia="en-US"/>
        </w:rPr>
        <w:t xml:space="preserve"> </w:t>
      </w:r>
      <w:r w:rsidRPr="00A03828">
        <w:rPr>
          <w:rFonts w:ascii="Arial" w:eastAsia="Batang" w:hAnsi="Arial" w:cs="Arial"/>
          <w:color w:val="262626"/>
          <w:sz w:val="18"/>
          <w:szCs w:val="18"/>
          <w:lang w:val="el-GR" w:eastAsia="en-US"/>
        </w:rPr>
        <w:t xml:space="preserve">που </w:t>
      </w:r>
      <w:r w:rsidRPr="00915FBF">
        <w:rPr>
          <w:rFonts w:ascii="Arial" w:eastAsia="Batang" w:hAnsi="Arial" w:cs="Arial"/>
          <w:color w:val="262626"/>
          <w:sz w:val="18"/>
          <w:szCs w:val="24"/>
          <w:lang w:val="el-GR" w:eastAsia="en-US"/>
        </w:rPr>
        <w:t>κατέχονται προς πώληση</w:t>
      </w:r>
      <w:r w:rsidRPr="00E602B2">
        <w:rPr>
          <w:rFonts w:ascii="Arial" w:eastAsia="Batang" w:hAnsi="Arial" w:cs="Arial"/>
          <w:color w:val="262626"/>
          <w:sz w:val="18"/>
          <w:szCs w:val="18"/>
          <w:lang w:val="el-GR" w:eastAsia="en-US"/>
        </w:rPr>
        <w:t xml:space="preserve"> (31 Δεκεμβρίου 2023: περίπου 31.3%). Η αύξηση στο ποσοστό έκπτωση</w:t>
      </w:r>
      <w:r>
        <w:rPr>
          <w:rFonts w:ascii="Arial" w:eastAsia="Batang" w:hAnsi="Arial" w:cs="Arial"/>
          <w:color w:val="262626"/>
          <w:sz w:val="18"/>
          <w:szCs w:val="18"/>
          <w:lang w:val="el-GR" w:eastAsia="en-US"/>
        </w:rPr>
        <w:t>ς</w:t>
      </w:r>
      <w:r w:rsidRPr="00E602B2">
        <w:rPr>
          <w:rFonts w:ascii="Arial" w:eastAsia="Batang" w:hAnsi="Arial" w:cs="Arial"/>
          <w:color w:val="262626"/>
          <w:sz w:val="18"/>
          <w:szCs w:val="18"/>
          <w:lang w:val="el-GR" w:eastAsia="en-US"/>
        </w:rPr>
        <w:t xml:space="preserve"> τιμών οφείλεται κυρίως στη βαθμονόμηση του μοντέλου ρευστοποίησης εξασφαλίσεων κατά το </w:t>
      </w:r>
      <w:r>
        <w:rPr>
          <w:rFonts w:ascii="Arial" w:eastAsia="Batang" w:hAnsi="Arial" w:cs="Arial"/>
          <w:color w:val="262626"/>
          <w:sz w:val="18"/>
          <w:szCs w:val="18"/>
          <w:lang w:val="el-GR" w:eastAsia="en-US"/>
        </w:rPr>
        <w:t xml:space="preserve">εννεάμηνο </w:t>
      </w:r>
      <w:r w:rsidRPr="00E602B2">
        <w:rPr>
          <w:rFonts w:ascii="Arial" w:eastAsia="Batang" w:hAnsi="Arial" w:cs="Arial"/>
          <w:color w:val="262626"/>
          <w:sz w:val="18"/>
          <w:szCs w:val="18"/>
          <w:lang w:val="el-GR" w:eastAsia="en-US"/>
        </w:rPr>
        <w:t xml:space="preserve">του 2024, όπως εξηγείται </w:t>
      </w:r>
      <w:r>
        <w:rPr>
          <w:rFonts w:ascii="Arial" w:eastAsia="Batang" w:hAnsi="Arial" w:cs="Arial"/>
          <w:color w:val="262626"/>
          <w:sz w:val="18"/>
          <w:szCs w:val="18"/>
          <w:lang w:val="el-GR" w:eastAsia="en-US"/>
        </w:rPr>
        <w:t>στο μέρος</w:t>
      </w:r>
      <w:r w:rsidRPr="00E602B2">
        <w:rPr>
          <w:rFonts w:ascii="Arial" w:eastAsia="Batang" w:hAnsi="Arial" w:cs="Arial"/>
          <w:color w:val="262626"/>
          <w:sz w:val="18"/>
          <w:szCs w:val="18"/>
          <w:lang w:val="el-GR" w:eastAsia="en-US"/>
        </w:rPr>
        <w:t xml:space="preserve"> ‘Βαθμονόμηση μοντέλων ΔΠΧΑ 9 και εξάλειψη προσαρμογών σε σχέση με τις οικονομικές συνθήκες’</w:t>
      </w:r>
      <w:r>
        <w:rPr>
          <w:rFonts w:ascii="Arial" w:eastAsia="Batang" w:hAnsi="Arial" w:cs="Arial"/>
          <w:color w:val="262626"/>
          <w:sz w:val="18"/>
          <w:szCs w:val="18"/>
          <w:lang w:val="el-GR" w:eastAsia="en-US"/>
        </w:rPr>
        <w:t xml:space="preserve"> πιο κάτω</w:t>
      </w:r>
      <w:r w:rsidRPr="00E602B2">
        <w:rPr>
          <w:rFonts w:ascii="Arial" w:eastAsia="Batang" w:hAnsi="Arial" w:cs="Arial"/>
          <w:color w:val="262626"/>
          <w:sz w:val="18"/>
          <w:szCs w:val="18"/>
          <w:lang w:val="el-GR" w:eastAsia="en-US"/>
        </w:rPr>
        <w:t>.</w:t>
      </w:r>
    </w:p>
    <w:p w14:paraId="3FD3C03A" w14:textId="77777777" w:rsidR="0056738E" w:rsidRPr="00E602B2" w:rsidRDefault="0056738E" w:rsidP="0056738E">
      <w:pPr>
        <w:shd w:val="clear" w:color="auto" w:fill="FFFFFF"/>
        <w:autoSpaceDE w:val="0"/>
        <w:autoSpaceDN w:val="0"/>
        <w:adjustRightInd w:val="0"/>
        <w:spacing w:after="0" w:line="240" w:lineRule="auto"/>
        <w:jc w:val="both"/>
        <w:rPr>
          <w:rFonts w:ascii="Arial" w:eastAsia="Batang" w:hAnsi="Arial" w:cs="Arial"/>
          <w:color w:val="262626"/>
          <w:sz w:val="18"/>
          <w:szCs w:val="18"/>
          <w:lang w:val="el-GR" w:eastAsia="en-US"/>
        </w:rPr>
      </w:pPr>
    </w:p>
    <w:p w14:paraId="39824CA2" w14:textId="77777777" w:rsidR="0056738E" w:rsidRPr="00A03828" w:rsidRDefault="0056738E" w:rsidP="0056738E">
      <w:pPr>
        <w:shd w:val="clear" w:color="auto" w:fill="FFFFFF"/>
        <w:autoSpaceDE w:val="0"/>
        <w:autoSpaceDN w:val="0"/>
        <w:adjustRightInd w:val="0"/>
        <w:spacing w:after="0" w:line="240" w:lineRule="auto"/>
        <w:jc w:val="both"/>
        <w:rPr>
          <w:rFonts w:ascii="Arial" w:eastAsia="Batang" w:hAnsi="Arial" w:cs="Arial"/>
          <w:color w:val="262626"/>
          <w:sz w:val="18"/>
          <w:szCs w:val="18"/>
          <w:lang w:val="el-GR" w:eastAsia="en-US"/>
        </w:rPr>
      </w:pPr>
      <w:r w:rsidRPr="00E602B2">
        <w:rPr>
          <w:rFonts w:ascii="Arial" w:eastAsia="Batang" w:hAnsi="Arial" w:cs="Arial"/>
          <w:color w:val="262626"/>
          <w:sz w:val="18"/>
          <w:szCs w:val="18"/>
          <w:lang w:val="el-GR" w:eastAsia="en-US"/>
        </w:rPr>
        <w:t xml:space="preserve">Στις 30 </w:t>
      </w:r>
      <w:r>
        <w:rPr>
          <w:rFonts w:ascii="Arial" w:eastAsia="Batang" w:hAnsi="Arial" w:cs="Arial"/>
          <w:color w:val="262626"/>
          <w:sz w:val="18"/>
          <w:szCs w:val="18"/>
          <w:lang w:val="el-GR" w:eastAsia="en-US"/>
        </w:rPr>
        <w:t>Σεπτεμβρίου</w:t>
      </w:r>
      <w:r w:rsidRPr="00E602B2">
        <w:rPr>
          <w:rFonts w:ascii="Arial" w:eastAsia="Batang" w:hAnsi="Arial" w:cs="Arial"/>
          <w:color w:val="262626"/>
          <w:sz w:val="18"/>
          <w:szCs w:val="18"/>
          <w:lang w:val="el-GR" w:eastAsia="en-US"/>
        </w:rPr>
        <w:t xml:space="preserve"> 2024, το χρονικό πλαίσιο ανάκτησης των εξασφαλίσεων ακινήτων που χρησιμοποιήθηκε για</w:t>
      </w:r>
      <w:r>
        <w:rPr>
          <w:rFonts w:ascii="Arial" w:eastAsia="Batang" w:hAnsi="Arial" w:cs="Arial"/>
          <w:color w:val="262626"/>
          <w:sz w:val="18"/>
          <w:szCs w:val="18"/>
          <w:lang w:val="el-GR" w:eastAsia="en-US"/>
        </w:rPr>
        <w:t xml:space="preserve"> </w:t>
      </w:r>
      <w:r w:rsidRPr="00E602B2">
        <w:rPr>
          <w:rFonts w:ascii="Arial" w:eastAsia="Batang" w:hAnsi="Arial" w:cs="Arial"/>
          <w:color w:val="262626"/>
          <w:sz w:val="18"/>
          <w:szCs w:val="18"/>
          <w:lang w:val="el-GR" w:eastAsia="en-US"/>
        </w:rPr>
        <w:t>τον υπολογισμό της πρόβλεψης των δανείων και απαιτήσεων από πελάτες (τόσο για τα ανοίγματα</w:t>
      </w:r>
      <w:r>
        <w:rPr>
          <w:rFonts w:ascii="Arial" w:eastAsia="Batang" w:hAnsi="Arial" w:cs="Arial"/>
          <w:color w:val="262626"/>
          <w:sz w:val="18"/>
          <w:szCs w:val="18"/>
          <w:lang w:val="el-GR" w:eastAsia="en-US"/>
        </w:rPr>
        <w:t xml:space="preserve"> </w:t>
      </w:r>
      <w:r w:rsidRPr="00E602B2">
        <w:rPr>
          <w:rFonts w:ascii="Arial" w:eastAsia="Batang" w:hAnsi="Arial" w:cs="Arial"/>
          <w:color w:val="262626"/>
          <w:sz w:val="18"/>
          <w:szCs w:val="18"/>
          <w:lang w:val="el-GR" w:eastAsia="en-US"/>
        </w:rPr>
        <w:t>Σταδίου 1 και Σταδίου 2 όσο και για τα</w:t>
      </w:r>
      <w:r>
        <w:rPr>
          <w:rFonts w:ascii="Arial" w:eastAsia="Batang" w:hAnsi="Arial" w:cs="Arial"/>
          <w:color w:val="262626"/>
          <w:sz w:val="18"/>
          <w:szCs w:val="18"/>
          <w:lang w:val="el-GR" w:eastAsia="en-US"/>
        </w:rPr>
        <w:t xml:space="preserve"> </w:t>
      </w:r>
      <w:r w:rsidRPr="00E602B2">
        <w:rPr>
          <w:rFonts w:ascii="Arial" w:eastAsia="Batang" w:hAnsi="Arial" w:cs="Arial"/>
          <w:color w:val="262626"/>
          <w:sz w:val="18"/>
          <w:szCs w:val="18"/>
          <w:lang w:val="el-GR" w:eastAsia="en-US"/>
        </w:rPr>
        <w:t>ανοίγματα Σταδίου 3 που αξιολογούνται σε συλλογική βάση για</w:t>
      </w:r>
      <w:r>
        <w:rPr>
          <w:rFonts w:ascii="Arial" w:eastAsia="Batang" w:hAnsi="Arial" w:cs="Arial"/>
          <w:color w:val="262626"/>
          <w:sz w:val="18"/>
          <w:szCs w:val="18"/>
          <w:lang w:val="el-GR" w:eastAsia="en-US"/>
        </w:rPr>
        <w:t xml:space="preserve"> </w:t>
      </w:r>
      <w:r w:rsidRPr="00E602B2">
        <w:rPr>
          <w:rFonts w:ascii="Arial" w:eastAsia="Batang" w:hAnsi="Arial" w:cs="Arial"/>
          <w:color w:val="262626"/>
          <w:sz w:val="18"/>
          <w:szCs w:val="18"/>
          <w:lang w:val="el-GR" w:eastAsia="en-US"/>
        </w:rPr>
        <w:t xml:space="preserve">σκοπούς των προβλέψεων) </w:t>
      </w:r>
      <w:r>
        <w:rPr>
          <w:rFonts w:ascii="Arial" w:eastAsia="Batang" w:hAnsi="Arial" w:cs="Arial"/>
          <w:color w:val="262626"/>
          <w:sz w:val="18"/>
          <w:szCs w:val="18"/>
          <w:lang w:val="el-GR" w:eastAsia="en-US"/>
        </w:rPr>
        <w:t>εκτιμάται στα</w:t>
      </w:r>
      <w:r w:rsidRPr="00A03828">
        <w:rPr>
          <w:rFonts w:ascii="Arial" w:eastAsia="Batang" w:hAnsi="Arial" w:cs="Arial"/>
          <w:color w:val="262626"/>
          <w:sz w:val="18"/>
          <w:szCs w:val="18"/>
          <w:lang w:val="el-GR" w:eastAsia="en-US"/>
        </w:rPr>
        <w:t xml:space="preserve"> επτά έτη</w:t>
      </w:r>
      <w:r w:rsidRPr="00E602B2">
        <w:rPr>
          <w:rFonts w:ascii="Arial" w:eastAsia="Batang" w:hAnsi="Arial" w:cs="Arial"/>
          <w:color w:val="262626"/>
          <w:sz w:val="18"/>
          <w:szCs w:val="18"/>
          <w:lang w:val="el-GR" w:eastAsia="en-US"/>
        </w:rPr>
        <w:t xml:space="preserve"> </w:t>
      </w:r>
      <w:r>
        <w:rPr>
          <w:rFonts w:ascii="Arial" w:eastAsia="Batang" w:hAnsi="Arial" w:cs="Arial"/>
          <w:color w:val="262626"/>
          <w:sz w:val="18"/>
          <w:szCs w:val="18"/>
          <w:lang w:val="el-GR" w:eastAsia="en-US"/>
        </w:rPr>
        <w:t xml:space="preserve">κατά μέσο όρο </w:t>
      </w:r>
      <w:r w:rsidRPr="00E602B2">
        <w:rPr>
          <w:rFonts w:ascii="Arial" w:eastAsia="Batang" w:hAnsi="Arial" w:cs="Arial"/>
          <w:color w:val="262626"/>
          <w:sz w:val="18"/>
          <w:szCs w:val="18"/>
          <w:lang w:val="el-GR" w:eastAsia="en-US"/>
        </w:rPr>
        <w:t>για το βασικό σενάριο</w:t>
      </w:r>
      <w:r w:rsidRPr="00A03828">
        <w:rPr>
          <w:rFonts w:ascii="Arial" w:eastAsia="Batang" w:hAnsi="Arial" w:cs="Arial"/>
          <w:color w:val="262626"/>
          <w:sz w:val="18"/>
          <w:szCs w:val="18"/>
          <w:lang w:val="el-GR" w:eastAsia="en-US"/>
        </w:rPr>
        <w:t>,</w:t>
      </w:r>
      <w:r w:rsidRPr="0014146B">
        <w:rPr>
          <w:rFonts w:ascii="Arial" w:eastAsia="Batang" w:hAnsi="Arial" w:cs="Arial"/>
          <w:color w:val="262626"/>
          <w:sz w:val="18"/>
          <w:szCs w:val="18"/>
          <w:lang w:val="el-GR" w:eastAsia="en-US"/>
        </w:rPr>
        <w:t xml:space="preserve"> </w:t>
      </w:r>
      <w:r w:rsidRPr="00915FBF">
        <w:rPr>
          <w:rFonts w:ascii="Arial" w:eastAsia="Batang" w:hAnsi="Arial" w:cs="Arial"/>
          <w:color w:val="262626"/>
          <w:sz w:val="18"/>
          <w:szCs w:val="18"/>
          <w:lang w:val="el-GR" w:eastAsia="en-US"/>
        </w:rPr>
        <w:t xml:space="preserve">εξαιρουμένων </w:t>
      </w:r>
      <w:r>
        <w:rPr>
          <w:rFonts w:ascii="Arial" w:eastAsia="Batang" w:hAnsi="Arial" w:cs="Arial"/>
          <w:color w:val="262626"/>
          <w:sz w:val="18"/>
          <w:szCs w:val="18"/>
          <w:lang w:val="el-GR" w:eastAsia="en-US"/>
        </w:rPr>
        <w:t>των δανείων</w:t>
      </w:r>
      <w:r w:rsidRPr="00915FBF">
        <w:rPr>
          <w:rFonts w:ascii="Arial" w:eastAsia="Batang" w:hAnsi="Arial" w:cs="Arial"/>
          <w:color w:val="262626"/>
          <w:sz w:val="18"/>
          <w:szCs w:val="18"/>
          <w:lang w:val="el-GR" w:eastAsia="en-US"/>
        </w:rPr>
        <w:t xml:space="preserve"> που </w:t>
      </w:r>
      <w:r w:rsidRPr="00915FBF">
        <w:rPr>
          <w:rFonts w:ascii="Arial" w:eastAsia="Batang" w:hAnsi="Arial" w:cs="Arial"/>
          <w:color w:val="262626"/>
          <w:sz w:val="18"/>
          <w:szCs w:val="24"/>
          <w:lang w:val="el-GR" w:eastAsia="en-US"/>
        </w:rPr>
        <w:t>κατέχονται προς πώληση</w:t>
      </w:r>
      <w:r w:rsidRPr="00E602B2">
        <w:rPr>
          <w:rFonts w:ascii="Arial" w:eastAsia="Batang" w:hAnsi="Arial" w:cs="Arial"/>
          <w:color w:val="262626"/>
          <w:sz w:val="18"/>
          <w:szCs w:val="18"/>
          <w:lang w:val="el-GR" w:eastAsia="en-US"/>
        </w:rPr>
        <w:t xml:space="preserve"> (31</w:t>
      </w:r>
      <w:r>
        <w:rPr>
          <w:rFonts w:ascii="Arial" w:eastAsia="Batang" w:hAnsi="Arial" w:cs="Arial"/>
          <w:color w:val="262626"/>
          <w:sz w:val="18"/>
          <w:szCs w:val="18"/>
          <w:lang w:val="el-GR" w:eastAsia="en-US"/>
        </w:rPr>
        <w:t xml:space="preserve"> </w:t>
      </w:r>
      <w:r w:rsidRPr="00E602B2">
        <w:rPr>
          <w:rFonts w:ascii="Arial" w:eastAsia="Batang" w:hAnsi="Arial" w:cs="Arial"/>
          <w:color w:val="262626"/>
          <w:sz w:val="18"/>
          <w:szCs w:val="18"/>
          <w:lang w:val="el-GR" w:eastAsia="en-US"/>
        </w:rPr>
        <w:t>Δεκεμβρίου 2023: μέσος όρος έξι έτη).</w:t>
      </w:r>
    </w:p>
    <w:p w14:paraId="56C2BB57" w14:textId="77777777" w:rsidR="0056738E" w:rsidRPr="00A03828" w:rsidRDefault="0056738E" w:rsidP="0056738E">
      <w:pPr>
        <w:shd w:val="clear" w:color="auto" w:fill="FFFFFF"/>
        <w:autoSpaceDE w:val="0"/>
        <w:autoSpaceDN w:val="0"/>
        <w:adjustRightInd w:val="0"/>
        <w:spacing w:after="0" w:line="240" w:lineRule="auto"/>
        <w:jc w:val="both"/>
        <w:rPr>
          <w:rFonts w:ascii="Arial" w:eastAsia="Batang" w:hAnsi="Arial" w:cs="Arial"/>
          <w:color w:val="262626"/>
          <w:sz w:val="18"/>
          <w:szCs w:val="18"/>
          <w:lang w:val="el-GR" w:eastAsia="en-US"/>
        </w:rPr>
      </w:pPr>
    </w:p>
    <w:p w14:paraId="0799E64E" w14:textId="77777777" w:rsidR="0056738E" w:rsidRPr="00A03828" w:rsidRDefault="0056738E" w:rsidP="0056738E">
      <w:pPr>
        <w:shd w:val="clear" w:color="auto" w:fill="FFFFFF"/>
        <w:autoSpaceDE w:val="0"/>
        <w:autoSpaceDN w:val="0"/>
        <w:adjustRightInd w:val="0"/>
        <w:spacing w:after="0" w:line="240" w:lineRule="auto"/>
        <w:jc w:val="both"/>
        <w:rPr>
          <w:rFonts w:ascii="Arial" w:eastAsia="Batang" w:hAnsi="Arial" w:cs="Arial"/>
          <w:color w:val="262626"/>
          <w:sz w:val="18"/>
          <w:szCs w:val="18"/>
          <w:lang w:val="el-GR" w:eastAsia="en-US"/>
        </w:rPr>
      </w:pPr>
      <w:r w:rsidRPr="00A03828">
        <w:rPr>
          <w:rFonts w:ascii="Arial" w:eastAsia="Batang" w:hAnsi="Arial" w:cs="Arial"/>
          <w:color w:val="262626"/>
          <w:sz w:val="18"/>
          <w:szCs w:val="18"/>
          <w:lang w:val="el-GR" w:eastAsia="en-US"/>
        </w:rPr>
        <w:t xml:space="preserve">Για τον υπολογισμό απομείωσης σε ατομική βάση </w:t>
      </w:r>
      <w:r>
        <w:rPr>
          <w:rFonts w:ascii="Arial" w:eastAsia="Batang" w:hAnsi="Arial" w:cs="Arial"/>
          <w:color w:val="262626"/>
          <w:sz w:val="18"/>
          <w:szCs w:val="18"/>
          <w:lang w:val="el-GR" w:eastAsia="en-US"/>
        </w:rPr>
        <w:t>για τα ανοίγματα Σταδίου 3</w:t>
      </w:r>
      <w:r w:rsidRPr="00A03828">
        <w:rPr>
          <w:rFonts w:ascii="Arial" w:eastAsia="Batang" w:hAnsi="Arial" w:cs="Arial"/>
          <w:color w:val="262626"/>
          <w:sz w:val="18"/>
          <w:szCs w:val="18"/>
          <w:lang w:val="el-GR" w:eastAsia="en-US"/>
        </w:rPr>
        <w:t>, το χρονικό πλαίσιο ανάκτησης των εξασφαλίσεων και οι εκπτώσεις τιμών βασίστηκαν στα συγκεκριμένα δεδομένα και συνθήκες της κάθε περίπτωσης. Για συγκεκριμένες περιπτώσεις, μπορεί να ασκηθεί κρίση για την κατηγοριοποίηση σε στάδια κατά τη διάρκεια της αξιολόγησης σε ατομική βάση.</w:t>
      </w:r>
    </w:p>
    <w:p w14:paraId="3624EED1" w14:textId="77777777" w:rsidR="0056738E" w:rsidRPr="00A03828" w:rsidRDefault="0056738E" w:rsidP="0056738E">
      <w:pPr>
        <w:shd w:val="clear" w:color="auto" w:fill="FFFFFF"/>
        <w:autoSpaceDE w:val="0"/>
        <w:autoSpaceDN w:val="0"/>
        <w:adjustRightInd w:val="0"/>
        <w:spacing w:after="0" w:line="240" w:lineRule="auto"/>
        <w:jc w:val="both"/>
        <w:rPr>
          <w:rFonts w:ascii="Arial" w:eastAsia="Batang" w:hAnsi="Arial" w:cs="Arial"/>
          <w:color w:val="262626"/>
          <w:sz w:val="18"/>
          <w:szCs w:val="18"/>
          <w:lang w:val="el-GR" w:eastAsia="en-US"/>
        </w:rPr>
      </w:pPr>
    </w:p>
    <w:p w14:paraId="41EA8F68" w14:textId="77777777" w:rsidR="0056738E" w:rsidRPr="00D17E65" w:rsidRDefault="0056738E" w:rsidP="0056738E">
      <w:pPr>
        <w:autoSpaceDE w:val="0"/>
        <w:autoSpaceDN w:val="0"/>
        <w:adjustRightInd w:val="0"/>
        <w:spacing w:after="0" w:line="240" w:lineRule="auto"/>
        <w:jc w:val="both"/>
        <w:rPr>
          <w:rFonts w:ascii="Arial" w:eastAsia="Batang" w:hAnsi="Arial" w:cs="Arial"/>
          <w:color w:val="262626"/>
          <w:sz w:val="18"/>
          <w:szCs w:val="18"/>
          <w:lang w:val="el-GR" w:eastAsia="en-US"/>
        </w:rPr>
      </w:pPr>
      <w:r w:rsidRPr="00E602B2">
        <w:rPr>
          <w:rFonts w:ascii="Arial" w:eastAsia="Batang" w:hAnsi="Arial" w:cs="Arial"/>
          <w:color w:val="262626"/>
          <w:sz w:val="18"/>
          <w:szCs w:val="18"/>
          <w:lang w:val="el-GR" w:eastAsia="en-US"/>
        </w:rPr>
        <w:t>Οποιαδήποτε διαφοροποίηση σε αυτές τις παραδοχές ή διαφορά μεταξύ των παραδοχών που έγιναν και των</w:t>
      </w:r>
      <w:r>
        <w:rPr>
          <w:rFonts w:ascii="Arial" w:eastAsia="Batang" w:hAnsi="Arial" w:cs="Arial"/>
          <w:color w:val="262626"/>
          <w:sz w:val="18"/>
          <w:szCs w:val="18"/>
          <w:lang w:val="el-GR" w:eastAsia="en-US"/>
        </w:rPr>
        <w:t xml:space="preserve"> </w:t>
      </w:r>
      <w:r w:rsidRPr="00E602B2">
        <w:rPr>
          <w:rFonts w:ascii="Arial" w:eastAsia="Batang" w:hAnsi="Arial" w:cs="Arial"/>
          <w:color w:val="262626"/>
          <w:sz w:val="18"/>
          <w:szCs w:val="18"/>
          <w:lang w:val="el-GR" w:eastAsia="en-US"/>
        </w:rPr>
        <w:t>πραγματικών αποτελεσμάτων θα μπορούσαν να οδηγήσουν σε σημαντικές αλλαγές στα ποσά</w:t>
      </w:r>
      <w:r>
        <w:rPr>
          <w:rFonts w:ascii="Arial" w:eastAsia="Batang" w:hAnsi="Arial" w:cs="Arial"/>
          <w:color w:val="262626"/>
          <w:sz w:val="18"/>
          <w:szCs w:val="18"/>
          <w:lang w:val="el-GR" w:eastAsia="en-US"/>
        </w:rPr>
        <w:t xml:space="preserve"> </w:t>
      </w:r>
      <w:r w:rsidRPr="00E602B2">
        <w:rPr>
          <w:rFonts w:ascii="Arial" w:eastAsia="Batang" w:hAnsi="Arial" w:cs="Arial"/>
          <w:color w:val="262626"/>
          <w:sz w:val="18"/>
          <w:szCs w:val="18"/>
          <w:lang w:val="el-GR" w:eastAsia="en-US"/>
        </w:rPr>
        <w:t>των αναμενόμενων πιστωτικών ζημιών των δανείων και απαιτήσεων από πελάτες</w:t>
      </w:r>
      <w:r w:rsidRPr="00D17E65">
        <w:rPr>
          <w:rFonts w:ascii="Arial" w:eastAsia="Batang" w:hAnsi="Arial" w:cs="Arial"/>
          <w:color w:val="262626"/>
          <w:sz w:val="18"/>
          <w:szCs w:val="18"/>
          <w:lang w:val="el-GR" w:eastAsia="en-US"/>
        </w:rPr>
        <w:t>.</w:t>
      </w:r>
    </w:p>
    <w:p w14:paraId="5E8C6D8F" w14:textId="77777777" w:rsidR="0056738E" w:rsidRPr="00735F0A" w:rsidRDefault="0056738E" w:rsidP="0056738E">
      <w:pPr>
        <w:autoSpaceDE w:val="0"/>
        <w:autoSpaceDN w:val="0"/>
        <w:adjustRightInd w:val="0"/>
        <w:spacing w:after="0" w:line="240" w:lineRule="auto"/>
        <w:jc w:val="both"/>
        <w:rPr>
          <w:rFonts w:ascii="Arial" w:eastAsia="Batang" w:hAnsi="Arial" w:cs="Arial"/>
          <w:color w:val="262626"/>
          <w:sz w:val="18"/>
          <w:szCs w:val="18"/>
          <w:highlight w:val="yellow"/>
          <w:lang w:val="el-GR" w:eastAsia="en-US"/>
        </w:rPr>
      </w:pPr>
    </w:p>
    <w:p w14:paraId="4C53EC8D" w14:textId="77777777" w:rsidR="0056738E" w:rsidRPr="00735F0A" w:rsidRDefault="0056738E" w:rsidP="0056738E">
      <w:pPr>
        <w:autoSpaceDE w:val="0"/>
        <w:autoSpaceDN w:val="0"/>
        <w:adjustRightInd w:val="0"/>
        <w:spacing w:after="0" w:line="240" w:lineRule="auto"/>
        <w:jc w:val="both"/>
        <w:rPr>
          <w:rFonts w:ascii="Arial" w:eastAsia="Batang" w:hAnsi="Arial" w:cs="Arial"/>
          <w:color w:val="262626"/>
          <w:sz w:val="18"/>
          <w:szCs w:val="18"/>
          <w:highlight w:val="yellow"/>
          <w:lang w:val="el-GR" w:eastAsia="en-US"/>
        </w:rPr>
      </w:pPr>
      <w:bookmarkStart w:id="40" w:name="_Hlk166581342"/>
      <w:r>
        <w:rPr>
          <w:rFonts w:ascii="Arial" w:eastAsia="Batang" w:hAnsi="Arial" w:cs="Arial"/>
          <w:i/>
          <w:iCs/>
          <w:color w:val="262626"/>
          <w:sz w:val="18"/>
          <w:szCs w:val="18"/>
          <w:lang w:val="el-GR" w:eastAsia="en-US"/>
        </w:rPr>
        <w:t>Β</w:t>
      </w:r>
      <w:r w:rsidRPr="0004246D">
        <w:rPr>
          <w:rFonts w:ascii="Arial" w:eastAsia="Batang" w:hAnsi="Arial" w:cs="Arial"/>
          <w:i/>
          <w:iCs/>
          <w:color w:val="262626"/>
          <w:sz w:val="18"/>
          <w:szCs w:val="18"/>
          <w:lang w:val="el-GR" w:eastAsia="en-US"/>
        </w:rPr>
        <w:t>αθμονόμηση μοντέλων ΔΠΧΑ 9</w:t>
      </w:r>
      <w:r>
        <w:rPr>
          <w:rFonts w:ascii="Arial" w:eastAsia="Batang" w:hAnsi="Arial" w:cs="Arial"/>
          <w:i/>
          <w:iCs/>
          <w:color w:val="262626"/>
          <w:sz w:val="18"/>
          <w:szCs w:val="18"/>
          <w:lang w:val="el-GR" w:eastAsia="en-US"/>
        </w:rPr>
        <w:t xml:space="preserve"> και εξάλειψη των προσαρμογών σε σχέση με τις οικονομικές συνθήκες</w:t>
      </w:r>
    </w:p>
    <w:p w14:paraId="4AA6C2C0" w14:textId="77777777" w:rsidR="0056738E" w:rsidRDefault="0056738E" w:rsidP="0056738E">
      <w:pPr>
        <w:spacing w:after="0" w:line="240" w:lineRule="auto"/>
        <w:jc w:val="both"/>
        <w:rPr>
          <w:rFonts w:ascii="Arial" w:eastAsia="Batang" w:hAnsi="Arial" w:cs="Arial"/>
          <w:color w:val="262626"/>
          <w:sz w:val="18"/>
          <w:szCs w:val="18"/>
          <w:lang w:val="el-GR" w:eastAsia="en-US"/>
        </w:rPr>
      </w:pPr>
      <w:r w:rsidRPr="000834F5">
        <w:rPr>
          <w:rFonts w:ascii="Arial" w:eastAsia="Batang" w:hAnsi="Arial" w:cs="Arial"/>
          <w:color w:val="262626"/>
          <w:sz w:val="18"/>
          <w:szCs w:val="18"/>
          <w:lang w:val="el-GR" w:eastAsia="en-US"/>
        </w:rPr>
        <w:t xml:space="preserve">Κατά το </w:t>
      </w:r>
      <w:r>
        <w:rPr>
          <w:rFonts w:ascii="Arial" w:eastAsia="Batang" w:hAnsi="Arial" w:cs="Arial"/>
          <w:color w:val="262626"/>
          <w:sz w:val="18"/>
          <w:szCs w:val="18"/>
          <w:lang w:val="el-GR" w:eastAsia="en-US"/>
        </w:rPr>
        <w:t>εννεάμηνο</w:t>
      </w:r>
      <w:r w:rsidRPr="000834F5">
        <w:rPr>
          <w:rFonts w:ascii="Arial" w:eastAsia="Batang" w:hAnsi="Arial" w:cs="Arial"/>
          <w:color w:val="262626"/>
          <w:sz w:val="18"/>
          <w:szCs w:val="18"/>
          <w:lang w:val="el-GR" w:eastAsia="en-US"/>
        </w:rPr>
        <w:t xml:space="preserve"> που έληξε στις 30 </w:t>
      </w:r>
      <w:r>
        <w:rPr>
          <w:rFonts w:ascii="Arial" w:eastAsia="Batang" w:hAnsi="Arial" w:cs="Arial"/>
          <w:color w:val="262626"/>
          <w:sz w:val="18"/>
          <w:szCs w:val="18"/>
          <w:lang w:val="el-GR" w:eastAsia="en-US"/>
        </w:rPr>
        <w:t>Σεπτεμβρίου</w:t>
      </w:r>
      <w:r w:rsidRPr="000834F5">
        <w:rPr>
          <w:rFonts w:ascii="Arial" w:eastAsia="Batang" w:hAnsi="Arial" w:cs="Arial"/>
          <w:color w:val="262626"/>
          <w:sz w:val="18"/>
          <w:szCs w:val="18"/>
          <w:lang w:val="el-GR" w:eastAsia="en-US"/>
        </w:rPr>
        <w:t xml:space="preserve"> 2024, το Συγκρότημα πραγματοποίησε βαθμονόμηση των</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 xml:space="preserve">μοντέλων του ΔΠΧΑ 9, η οποία περιλάμβανε την επαναξιολόγηση και </w:t>
      </w:r>
      <w:proofErr w:type="spellStart"/>
      <w:r w:rsidRPr="000834F5">
        <w:rPr>
          <w:rFonts w:ascii="Arial" w:eastAsia="Batang" w:hAnsi="Arial" w:cs="Arial"/>
          <w:color w:val="262626"/>
          <w:sz w:val="18"/>
          <w:szCs w:val="18"/>
          <w:lang w:val="el-GR" w:eastAsia="en-US"/>
        </w:rPr>
        <w:t>επικαιροποίηση</w:t>
      </w:r>
      <w:proofErr w:type="spellEnd"/>
      <w:r w:rsidRPr="000834F5">
        <w:rPr>
          <w:rFonts w:ascii="Arial" w:eastAsia="Batang" w:hAnsi="Arial" w:cs="Arial"/>
          <w:color w:val="262626"/>
          <w:sz w:val="18"/>
          <w:szCs w:val="18"/>
          <w:lang w:val="el-GR" w:eastAsia="en-US"/>
        </w:rPr>
        <w:t xml:space="preserve"> των παραμέτρων του</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μοντέλου αναμενόμενων πιστωτικών ζημιών (πιθανότητα αθέτησης υποχρέωσης (</w:t>
      </w:r>
      <w:r w:rsidRPr="000834F5">
        <w:rPr>
          <w:rFonts w:ascii="Arial" w:eastAsia="Batang" w:hAnsi="Arial" w:cs="Arial"/>
          <w:color w:val="262626"/>
          <w:sz w:val="18"/>
          <w:szCs w:val="18"/>
          <w:lang w:eastAsia="en-US"/>
        </w:rPr>
        <w:t>PDs</w:t>
      </w:r>
      <w:r w:rsidRPr="000834F5">
        <w:rPr>
          <w:rFonts w:ascii="Arial" w:eastAsia="Batang" w:hAnsi="Arial" w:cs="Arial"/>
          <w:color w:val="262626"/>
          <w:sz w:val="18"/>
          <w:szCs w:val="18"/>
          <w:lang w:val="el-GR" w:eastAsia="en-US"/>
        </w:rPr>
        <w:t>), ζημιά από αθέτηση</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υποχρέωσης (</w:t>
      </w:r>
      <w:r w:rsidRPr="000834F5">
        <w:rPr>
          <w:rFonts w:ascii="Arial" w:eastAsia="Batang" w:hAnsi="Arial" w:cs="Arial"/>
          <w:color w:val="262626"/>
          <w:sz w:val="18"/>
          <w:szCs w:val="18"/>
          <w:lang w:eastAsia="en-US"/>
        </w:rPr>
        <w:t>LGDs</w:t>
      </w:r>
      <w:r w:rsidRPr="000834F5">
        <w:rPr>
          <w:rFonts w:ascii="Arial" w:eastAsia="Batang" w:hAnsi="Arial" w:cs="Arial"/>
          <w:color w:val="262626"/>
          <w:sz w:val="18"/>
          <w:szCs w:val="18"/>
          <w:lang w:val="el-GR" w:eastAsia="en-US"/>
        </w:rPr>
        <w:t>)</w:t>
      </w:r>
      <w:r>
        <w:rPr>
          <w:rFonts w:ascii="Arial" w:eastAsia="Batang" w:hAnsi="Arial" w:cs="Arial"/>
          <w:color w:val="262626"/>
          <w:sz w:val="18"/>
          <w:szCs w:val="18"/>
          <w:lang w:val="el-GR" w:eastAsia="en-US"/>
        </w:rPr>
        <w:t xml:space="preserve"> και</w:t>
      </w:r>
      <w:r w:rsidRPr="000834F5">
        <w:rPr>
          <w:rFonts w:ascii="Arial" w:eastAsia="Batang" w:hAnsi="Arial" w:cs="Arial"/>
          <w:color w:val="262626"/>
          <w:sz w:val="18"/>
          <w:szCs w:val="18"/>
          <w:lang w:val="el-GR" w:eastAsia="en-US"/>
        </w:rPr>
        <w:t xml:space="preserve"> πιθανότητα αποκατάστασης (</w:t>
      </w:r>
      <w:r w:rsidRPr="000834F5">
        <w:rPr>
          <w:rFonts w:ascii="Arial" w:eastAsia="Batang" w:hAnsi="Arial" w:cs="Arial"/>
          <w:color w:val="262626"/>
          <w:sz w:val="18"/>
          <w:szCs w:val="18"/>
          <w:lang w:eastAsia="en-US"/>
        </w:rPr>
        <w:t>cure</w:t>
      </w:r>
      <w:r w:rsidRPr="000834F5">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eastAsia="en-US"/>
        </w:rPr>
        <w:t>rates</w:t>
      </w:r>
      <w:r w:rsidRPr="000834F5">
        <w:rPr>
          <w:rFonts w:ascii="Arial" w:eastAsia="Batang" w:hAnsi="Arial" w:cs="Arial"/>
          <w:color w:val="262626"/>
          <w:sz w:val="18"/>
          <w:szCs w:val="18"/>
          <w:lang w:val="el-GR" w:eastAsia="en-US"/>
        </w:rPr>
        <w:t>)) και των ποσοτικών ορίων της σημαντικής</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αύξησης στον πιστωτικό κίνδυνο (‘</w:t>
      </w:r>
      <w:r w:rsidRPr="000834F5">
        <w:rPr>
          <w:rFonts w:ascii="Arial" w:eastAsia="Batang" w:hAnsi="Arial" w:cs="Arial"/>
          <w:color w:val="262626"/>
          <w:sz w:val="18"/>
          <w:szCs w:val="18"/>
          <w:lang w:eastAsia="en-US"/>
        </w:rPr>
        <w:t>SICR</w:t>
      </w:r>
      <w:r w:rsidRPr="000834F5">
        <w:rPr>
          <w:rFonts w:ascii="Arial" w:eastAsia="Batang" w:hAnsi="Arial" w:cs="Arial"/>
          <w:color w:val="262626"/>
          <w:sz w:val="18"/>
          <w:szCs w:val="18"/>
          <w:lang w:val="el-GR" w:eastAsia="en-US"/>
        </w:rPr>
        <w:t>’), ώστε να ενσωματωθούν στα μοντέλα οι επιδράσεις των πρόσφατων</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 xml:space="preserve">οικονομικών συνθηκών και </w:t>
      </w:r>
      <w:r>
        <w:rPr>
          <w:rFonts w:ascii="Arial" w:eastAsia="Batang" w:hAnsi="Arial" w:cs="Arial"/>
          <w:color w:val="262626"/>
          <w:sz w:val="18"/>
          <w:szCs w:val="18"/>
          <w:lang w:val="el-GR" w:eastAsia="en-US"/>
        </w:rPr>
        <w:t>ιστορικά δεδομένα</w:t>
      </w:r>
      <w:r w:rsidRPr="000834F5">
        <w:rPr>
          <w:rFonts w:ascii="Arial" w:eastAsia="Batang" w:hAnsi="Arial" w:cs="Arial"/>
          <w:color w:val="262626"/>
          <w:sz w:val="18"/>
          <w:szCs w:val="18"/>
          <w:lang w:val="el-GR" w:eastAsia="en-US"/>
        </w:rPr>
        <w:t>, που αντικατοπτρίζονταν προηγουμένως στις αναμενόμενες</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πιστωτικές ζημιές μέσω της χρήσης προσαρμογών. Επιπλέον, η βαθμονόμηση περιλάμβανε την</w:t>
      </w:r>
      <w:r>
        <w:rPr>
          <w:rFonts w:ascii="Arial" w:eastAsia="Batang" w:hAnsi="Arial" w:cs="Arial"/>
          <w:color w:val="262626"/>
          <w:sz w:val="18"/>
          <w:szCs w:val="18"/>
          <w:lang w:val="el-GR" w:eastAsia="en-US"/>
        </w:rPr>
        <w:t xml:space="preserve"> </w:t>
      </w:r>
      <w:proofErr w:type="spellStart"/>
      <w:r w:rsidRPr="000834F5">
        <w:rPr>
          <w:rFonts w:ascii="Arial" w:eastAsia="Batang" w:hAnsi="Arial" w:cs="Arial"/>
          <w:color w:val="262626"/>
          <w:sz w:val="18"/>
          <w:szCs w:val="18"/>
          <w:lang w:val="el-GR" w:eastAsia="en-US"/>
        </w:rPr>
        <w:t>επικαιροποίηση</w:t>
      </w:r>
      <w:proofErr w:type="spellEnd"/>
      <w:r w:rsidRPr="000834F5">
        <w:rPr>
          <w:rFonts w:ascii="Arial" w:eastAsia="Batang" w:hAnsi="Arial" w:cs="Arial"/>
          <w:color w:val="262626"/>
          <w:sz w:val="18"/>
          <w:szCs w:val="18"/>
          <w:lang w:val="el-GR" w:eastAsia="en-US"/>
        </w:rPr>
        <w:t xml:space="preserve"> και την αναθεώρηση της παραμέτρου ζημιά από αθέτηση υποχρέωσης (</w:t>
      </w:r>
      <w:r w:rsidRPr="000834F5">
        <w:rPr>
          <w:rFonts w:ascii="Arial" w:eastAsia="Batang" w:hAnsi="Arial" w:cs="Arial"/>
          <w:color w:val="262626"/>
          <w:sz w:val="18"/>
          <w:szCs w:val="18"/>
          <w:lang w:eastAsia="en-US"/>
        </w:rPr>
        <w:t>LGD</w:t>
      </w:r>
      <w:r w:rsidRPr="000834F5">
        <w:rPr>
          <w:rFonts w:ascii="Arial" w:eastAsia="Batang" w:hAnsi="Arial" w:cs="Arial"/>
          <w:color w:val="262626"/>
          <w:sz w:val="18"/>
          <w:szCs w:val="18"/>
          <w:lang w:val="el-GR" w:eastAsia="en-US"/>
        </w:rPr>
        <w:t xml:space="preserve">), ως μέρος </w:t>
      </w:r>
      <w:r>
        <w:rPr>
          <w:rFonts w:ascii="Arial" w:eastAsia="Batang" w:hAnsi="Arial" w:cs="Arial"/>
          <w:color w:val="262626"/>
          <w:sz w:val="18"/>
          <w:szCs w:val="18"/>
          <w:lang w:val="el-GR" w:eastAsia="en-US"/>
        </w:rPr>
        <w:t xml:space="preserve">της </w:t>
      </w:r>
      <w:r w:rsidRPr="000834F5">
        <w:rPr>
          <w:rFonts w:ascii="Arial" w:eastAsia="Batang" w:hAnsi="Arial" w:cs="Arial"/>
          <w:color w:val="262626"/>
          <w:sz w:val="18"/>
          <w:szCs w:val="18"/>
          <w:lang w:val="el-GR" w:eastAsia="en-US"/>
        </w:rPr>
        <w:t xml:space="preserve">αναθεώρησης και </w:t>
      </w:r>
      <w:proofErr w:type="spellStart"/>
      <w:r w:rsidRPr="000834F5">
        <w:rPr>
          <w:rFonts w:ascii="Arial" w:eastAsia="Batang" w:hAnsi="Arial" w:cs="Arial"/>
          <w:color w:val="262626"/>
          <w:sz w:val="18"/>
          <w:szCs w:val="18"/>
          <w:lang w:val="el-GR" w:eastAsia="en-US"/>
        </w:rPr>
        <w:t>επικαιροποίησης</w:t>
      </w:r>
      <w:proofErr w:type="spellEnd"/>
      <w:r w:rsidRPr="000834F5">
        <w:rPr>
          <w:rFonts w:ascii="Arial" w:eastAsia="Batang" w:hAnsi="Arial" w:cs="Arial"/>
          <w:color w:val="262626"/>
          <w:sz w:val="18"/>
          <w:szCs w:val="18"/>
          <w:lang w:val="el-GR" w:eastAsia="en-US"/>
        </w:rPr>
        <w:t xml:space="preserve"> των μοντέλων του Συγκροτήματος σε συνεχή βάση, ώστε να</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 xml:space="preserve">ενσωματώνονται </w:t>
      </w:r>
      <w:proofErr w:type="spellStart"/>
      <w:r w:rsidRPr="000834F5">
        <w:rPr>
          <w:rFonts w:ascii="Arial" w:eastAsia="Batang" w:hAnsi="Arial" w:cs="Arial"/>
          <w:color w:val="262626"/>
          <w:sz w:val="18"/>
          <w:szCs w:val="18"/>
          <w:lang w:val="el-GR" w:eastAsia="en-US"/>
        </w:rPr>
        <w:t>επικαιροποιημένα</w:t>
      </w:r>
      <w:proofErr w:type="spellEnd"/>
      <w:r w:rsidRPr="000834F5">
        <w:rPr>
          <w:rFonts w:ascii="Arial" w:eastAsia="Batang" w:hAnsi="Arial" w:cs="Arial"/>
          <w:color w:val="262626"/>
          <w:sz w:val="18"/>
          <w:szCs w:val="18"/>
          <w:lang w:val="el-GR" w:eastAsia="en-US"/>
        </w:rPr>
        <w:t xml:space="preserve"> δεδομένα και να αντικατοπτρίζουν τα διάφορα είδη ανάκτησης (</w:t>
      </w:r>
      <w:r w:rsidRPr="000834F5">
        <w:rPr>
          <w:rFonts w:ascii="Arial" w:eastAsia="Batang" w:hAnsi="Arial" w:cs="Arial"/>
          <w:color w:val="262626"/>
          <w:sz w:val="18"/>
          <w:szCs w:val="18"/>
          <w:lang w:eastAsia="en-US"/>
        </w:rPr>
        <w:t>realisation</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eastAsia="en-US"/>
        </w:rPr>
        <w:t>paths</w:t>
      </w:r>
      <w:r w:rsidRPr="000834F5">
        <w:rPr>
          <w:rFonts w:ascii="Arial" w:eastAsia="Batang" w:hAnsi="Arial" w:cs="Arial"/>
          <w:color w:val="262626"/>
          <w:sz w:val="18"/>
          <w:szCs w:val="18"/>
          <w:lang w:val="el-GR" w:eastAsia="en-US"/>
        </w:rPr>
        <w:t>) και τα ποσοστά που εφαρμόζονται σε αυτά</w:t>
      </w:r>
      <w:r w:rsidRPr="00D17E65">
        <w:rPr>
          <w:rFonts w:ascii="Arial" w:eastAsia="Batang" w:hAnsi="Arial" w:cs="Arial"/>
          <w:color w:val="262626"/>
          <w:sz w:val="18"/>
          <w:szCs w:val="18"/>
          <w:lang w:val="el-GR" w:eastAsia="en-US"/>
        </w:rPr>
        <w:t>.</w:t>
      </w:r>
    </w:p>
    <w:p w14:paraId="7A8A1E4E" w14:textId="77777777" w:rsidR="0056738E" w:rsidRDefault="0056738E" w:rsidP="0056738E">
      <w:pPr>
        <w:spacing w:after="0" w:line="240" w:lineRule="auto"/>
        <w:jc w:val="both"/>
        <w:rPr>
          <w:rFonts w:ascii="Arial" w:eastAsia="Batang" w:hAnsi="Arial" w:cs="Arial"/>
          <w:color w:val="262626"/>
          <w:sz w:val="18"/>
          <w:szCs w:val="18"/>
          <w:lang w:val="el-GR" w:eastAsia="en-US"/>
        </w:rPr>
      </w:pPr>
    </w:p>
    <w:p w14:paraId="1FB99F62" w14:textId="77777777" w:rsidR="0056738E" w:rsidRPr="00D17E65" w:rsidRDefault="0056738E" w:rsidP="0056738E">
      <w:pPr>
        <w:spacing w:after="0" w:line="240" w:lineRule="auto"/>
        <w:jc w:val="both"/>
        <w:rPr>
          <w:rFonts w:ascii="Arial" w:eastAsia="Batang" w:hAnsi="Arial" w:cs="Arial"/>
          <w:color w:val="262626"/>
          <w:sz w:val="18"/>
          <w:szCs w:val="18"/>
          <w:lang w:val="el-GR" w:eastAsia="en-US"/>
        </w:rPr>
      </w:pPr>
      <w:r w:rsidRPr="000834F5">
        <w:rPr>
          <w:rFonts w:ascii="Arial" w:eastAsia="Batang" w:hAnsi="Arial" w:cs="Arial"/>
          <w:color w:val="262626"/>
          <w:sz w:val="18"/>
          <w:szCs w:val="18"/>
          <w:lang w:val="el-GR" w:eastAsia="en-US"/>
        </w:rPr>
        <w:t>Συγκεκριμένα, το Συγκρότημα προχώρησε σε βαθμονόμηση των μοντέλων που επηρεάζουν την παράμετρο</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πιθανότητα αθέτησης (‘</w:t>
      </w:r>
      <w:r w:rsidRPr="000834F5">
        <w:rPr>
          <w:rFonts w:ascii="Arial" w:eastAsia="Batang" w:hAnsi="Arial" w:cs="Arial"/>
          <w:color w:val="262626"/>
          <w:sz w:val="18"/>
          <w:szCs w:val="18"/>
          <w:lang w:eastAsia="en-US"/>
        </w:rPr>
        <w:t>PD</w:t>
      </w:r>
      <w:r w:rsidRPr="000834F5">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eastAsia="en-US"/>
        </w:rPr>
        <w:t>macro</w:t>
      </w:r>
      <w:r w:rsidRPr="000834F5">
        <w:rPr>
          <w:rFonts w:ascii="Arial" w:eastAsia="Batang" w:hAnsi="Arial" w:cs="Arial"/>
          <w:color w:val="262626"/>
          <w:sz w:val="18"/>
          <w:szCs w:val="18"/>
          <w:lang w:val="el-GR" w:eastAsia="en-US"/>
        </w:rPr>
        <w:t>’), την παράμετρο σημαντική αύξηση στον πιστωτικό κίνδυνο (‘</w:t>
      </w:r>
      <w:r w:rsidRPr="000834F5">
        <w:rPr>
          <w:rFonts w:ascii="Arial" w:eastAsia="Batang" w:hAnsi="Arial" w:cs="Arial"/>
          <w:color w:val="262626"/>
          <w:sz w:val="18"/>
          <w:szCs w:val="18"/>
          <w:lang w:eastAsia="en-US"/>
        </w:rPr>
        <w:t>SICR</w:t>
      </w:r>
      <w:r w:rsidRPr="000834F5">
        <w:rPr>
          <w:rFonts w:ascii="Arial" w:eastAsia="Batang" w:hAnsi="Arial" w:cs="Arial"/>
          <w:color w:val="262626"/>
          <w:sz w:val="18"/>
          <w:szCs w:val="18"/>
          <w:lang w:val="el-GR" w:eastAsia="en-US"/>
        </w:rPr>
        <w:t>’), το</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μοντέλο πιθανότητας</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αποκατάστασης (</w:t>
      </w:r>
      <w:r w:rsidRPr="000834F5">
        <w:rPr>
          <w:rFonts w:ascii="Arial" w:eastAsia="Batang" w:hAnsi="Arial" w:cs="Arial"/>
          <w:color w:val="262626"/>
          <w:sz w:val="18"/>
          <w:szCs w:val="18"/>
          <w:lang w:eastAsia="en-US"/>
        </w:rPr>
        <w:t>cure</w:t>
      </w:r>
      <w:r w:rsidRPr="000834F5">
        <w:rPr>
          <w:rFonts w:ascii="Arial" w:eastAsia="Batang" w:hAnsi="Arial" w:cs="Arial"/>
          <w:color w:val="262626"/>
          <w:sz w:val="18"/>
          <w:szCs w:val="18"/>
          <w:lang w:val="el-GR" w:eastAsia="en-US"/>
        </w:rPr>
        <w:t xml:space="preserve"> </w:t>
      </w:r>
      <w:r>
        <w:rPr>
          <w:rFonts w:ascii="Arial" w:eastAsia="Batang" w:hAnsi="Arial" w:cs="Arial"/>
          <w:color w:val="262626"/>
          <w:sz w:val="18"/>
          <w:szCs w:val="18"/>
          <w:lang w:eastAsia="en-US"/>
        </w:rPr>
        <w:t>model</w:t>
      </w:r>
      <w:r w:rsidRPr="000834F5">
        <w:rPr>
          <w:rFonts w:ascii="Arial" w:eastAsia="Batang" w:hAnsi="Arial" w:cs="Arial"/>
          <w:color w:val="262626"/>
          <w:sz w:val="18"/>
          <w:szCs w:val="18"/>
          <w:lang w:val="el-GR" w:eastAsia="en-US"/>
        </w:rPr>
        <w:t>), και το μοντέλο ανάκτησης εξασφαλίσεων καθώς και στην</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εισαγωγή ενός κατώτατου ορίου για τη ζημιά από αθέτηση υποχρέωσης (</w:t>
      </w:r>
      <w:r w:rsidRPr="000834F5">
        <w:rPr>
          <w:rFonts w:ascii="Arial" w:eastAsia="Batang" w:hAnsi="Arial" w:cs="Arial"/>
          <w:color w:val="262626"/>
          <w:sz w:val="18"/>
          <w:szCs w:val="18"/>
          <w:lang w:eastAsia="en-US"/>
        </w:rPr>
        <w:t>LGD</w:t>
      </w:r>
      <w:r w:rsidRPr="000834F5">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eastAsia="en-US"/>
        </w:rPr>
        <w:t>floor</w:t>
      </w:r>
      <w:r w:rsidRPr="000834F5">
        <w:rPr>
          <w:rFonts w:ascii="Arial" w:eastAsia="Batang" w:hAnsi="Arial" w:cs="Arial"/>
          <w:color w:val="262626"/>
          <w:sz w:val="18"/>
          <w:szCs w:val="18"/>
          <w:lang w:val="el-GR" w:eastAsia="en-US"/>
        </w:rPr>
        <w:t>), όπως επεξηγείται</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παρακάτω:</w:t>
      </w:r>
    </w:p>
    <w:p w14:paraId="2F242E9F" w14:textId="77777777" w:rsidR="0056738E" w:rsidRPr="000834F5" w:rsidRDefault="0056738E" w:rsidP="0056738E">
      <w:pPr>
        <w:pStyle w:val="ListParagraph"/>
        <w:numPr>
          <w:ilvl w:val="0"/>
          <w:numId w:val="24"/>
        </w:numPr>
        <w:jc w:val="both"/>
        <w:rPr>
          <w:rFonts w:ascii="Arial" w:eastAsia="Batang" w:hAnsi="Arial" w:cs="Arial"/>
          <w:color w:val="262626"/>
          <w:sz w:val="18"/>
          <w:szCs w:val="18"/>
          <w:lang w:val="el-GR" w:eastAsia="en-US"/>
        </w:rPr>
      </w:pPr>
      <w:r w:rsidRPr="000834F5">
        <w:rPr>
          <w:rFonts w:ascii="Arial" w:eastAsia="Batang" w:hAnsi="Arial" w:cs="Arial"/>
          <w:color w:val="262626"/>
          <w:sz w:val="18"/>
          <w:szCs w:val="18"/>
          <w:lang w:val="el-GR" w:eastAsia="en-US"/>
        </w:rPr>
        <w:t>Η βαθμονόμηση του μοντέλου για τον προσδιορισμό της παραμέτρου πιθανότητα αθέτησης (‘</w:t>
      </w:r>
      <w:r w:rsidRPr="000834F5">
        <w:rPr>
          <w:rFonts w:ascii="Arial" w:eastAsia="Batang" w:hAnsi="Arial" w:cs="Arial"/>
          <w:color w:val="262626"/>
          <w:sz w:val="18"/>
          <w:szCs w:val="18"/>
          <w:lang w:eastAsia="en-US"/>
        </w:rPr>
        <w:t>PD</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eastAsia="en-US"/>
        </w:rPr>
        <w:t>macro</w:t>
      </w:r>
      <w:r w:rsidRPr="000834F5">
        <w:rPr>
          <w:rFonts w:ascii="Arial" w:eastAsia="Batang" w:hAnsi="Arial" w:cs="Arial"/>
          <w:color w:val="262626"/>
          <w:sz w:val="18"/>
          <w:szCs w:val="18"/>
          <w:lang w:val="el-GR" w:eastAsia="en-US"/>
        </w:rPr>
        <w:t>’) περιλάμβανε την εισαγωγή μεταβλητών που σχετίζονται με τον πληθωρισμό και τη</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 xml:space="preserve">συμπερίληψη ιστορικών δεδομένων της περιόδου μετά την πανδημία </w:t>
      </w:r>
      <w:r w:rsidRPr="000834F5">
        <w:rPr>
          <w:rFonts w:ascii="Arial" w:eastAsia="Batang" w:hAnsi="Arial" w:cs="Arial"/>
          <w:color w:val="262626"/>
          <w:sz w:val="18"/>
          <w:szCs w:val="18"/>
          <w:lang w:eastAsia="en-US"/>
        </w:rPr>
        <w:t>COVID</w:t>
      </w:r>
      <w:r w:rsidRPr="000834F5">
        <w:rPr>
          <w:rFonts w:ascii="Arial" w:eastAsia="Batang" w:hAnsi="Arial" w:cs="Arial"/>
          <w:color w:val="262626"/>
          <w:sz w:val="18"/>
          <w:szCs w:val="18"/>
          <w:lang w:val="el-GR" w:eastAsia="en-US"/>
        </w:rPr>
        <w:t>-19 για την αποτύπωση</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του περιβάλλοντος με χαμηλά ποσοστά αθέτησης, καθώς και την ενσωμάτωση μιας δυναμικής</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προσαρμογής για τη βαθμονόμηση (προς τα πάνω ή προς τα κάτω) της πρόβλεψης του μοντέλου στη</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βάση της σχέσης των ιστορικών προβλέψεων του μοντέλου και των πραγματικών παρατηρούμενων</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δεδομένων αθέτησης (διαρθρωτικές μεταβολές π.χ. μεταξύ μιας συγκεκριμένης μακροοικονομικής</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μεταβλητής και της τιμής της πιθανότητας αθέτησης (</w:t>
      </w:r>
      <w:r w:rsidRPr="000834F5">
        <w:rPr>
          <w:rFonts w:ascii="Arial" w:eastAsia="Batang" w:hAnsi="Arial" w:cs="Arial"/>
          <w:color w:val="262626"/>
          <w:sz w:val="18"/>
          <w:szCs w:val="18"/>
          <w:lang w:eastAsia="en-US"/>
        </w:rPr>
        <w:t>PD</w:t>
      </w:r>
      <w:r w:rsidRPr="000834F5">
        <w:rPr>
          <w:rFonts w:ascii="Arial" w:eastAsia="Batang" w:hAnsi="Arial" w:cs="Arial"/>
          <w:color w:val="262626"/>
          <w:sz w:val="18"/>
          <w:szCs w:val="18"/>
          <w:lang w:val="el-GR" w:eastAsia="en-US"/>
        </w:rPr>
        <w:t xml:space="preserve">)). Η επίδραση αυτής της βαθμονόμησης </w:t>
      </w:r>
      <w:r>
        <w:rPr>
          <w:rFonts w:ascii="Arial" w:eastAsia="Batang" w:hAnsi="Arial" w:cs="Arial"/>
          <w:color w:val="262626"/>
          <w:sz w:val="18"/>
          <w:szCs w:val="18"/>
          <w:lang w:val="el-GR" w:eastAsia="en-US"/>
        </w:rPr>
        <w:t xml:space="preserve">στις </w:t>
      </w:r>
      <w:r w:rsidRPr="000834F5">
        <w:rPr>
          <w:rFonts w:ascii="Arial" w:eastAsia="Batang" w:hAnsi="Arial" w:cs="Arial"/>
          <w:color w:val="262626"/>
          <w:sz w:val="18"/>
          <w:szCs w:val="18"/>
          <w:lang w:val="el-GR" w:eastAsia="en-US"/>
        </w:rPr>
        <w:t xml:space="preserve">αναμενόμενες πιστωτικές ζημιές ήταν </w:t>
      </w:r>
      <w:r w:rsidRPr="00A03828">
        <w:rPr>
          <w:rFonts w:ascii="Arial" w:eastAsia="Batang" w:hAnsi="Arial" w:cs="Arial"/>
          <w:color w:val="262626"/>
          <w:sz w:val="18"/>
          <w:szCs w:val="18"/>
          <w:lang w:val="el-GR" w:eastAsia="en-US"/>
        </w:rPr>
        <w:t>αναστροφή ύψους €8.1 εκατ</w:t>
      </w:r>
      <w:r w:rsidRPr="00B57B07">
        <w:rPr>
          <w:rFonts w:ascii="Arial" w:eastAsia="Batang" w:hAnsi="Arial" w:cs="Arial"/>
          <w:color w:val="262626"/>
          <w:sz w:val="18"/>
          <w:szCs w:val="18"/>
          <w:lang w:val="el-GR" w:eastAsia="en-US"/>
        </w:rPr>
        <w:t>.</w:t>
      </w:r>
      <w:r w:rsidRPr="000834F5">
        <w:rPr>
          <w:rFonts w:ascii="Arial" w:eastAsia="Batang" w:hAnsi="Arial" w:cs="Arial"/>
          <w:color w:val="262626"/>
          <w:sz w:val="18"/>
          <w:szCs w:val="18"/>
          <w:lang w:val="el-GR" w:eastAsia="en-US"/>
        </w:rPr>
        <w:t xml:space="preserve"> για το </w:t>
      </w:r>
      <w:r>
        <w:rPr>
          <w:rFonts w:ascii="Arial" w:eastAsia="Batang" w:hAnsi="Arial" w:cs="Arial"/>
          <w:color w:val="262626"/>
          <w:sz w:val="18"/>
          <w:szCs w:val="18"/>
          <w:lang w:val="el-GR" w:eastAsia="en-US"/>
        </w:rPr>
        <w:t>εννεάμηνο</w:t>
      </w:r>
      <w:r w:rsidRPr="000834F5">
        <w:rPr>
          <w:rFonts w:ascii="Arial" w:eastAsia="Batang" w:hAnsi="Arial" w:cs="Arial"/>
          <w:color w:val="262626"/>
          <w:sz w:val="18"/>
          <w:szCs w:val="18"/>
          <w:lang w:val="el-GR" w:eastAsia="en-US"/>
        </w:rPr>
        <w:t xml:space="preserve"> που έληξε στις 30</w:t>
      </w:r>
      <w:r>
        <w:rPr>
          <w:rFonts w:ascii="Arial" w:eastAsia="Batang" w:hAnsi="Arial" w:cs="Arial"/>
          <w:color w:val="262626"/>
          <w:sz w:val="18"/>
          <w:szCs w:val="18"/>
          <w:lang w:val="el-GR" w:eastAsia="en-US"/>
        </w:rPr>
        <w:t xml:space="preserve"> Σεπτεμβρίου</w:t>
      </w:r>
      <w:r w:rsidRPr="000834F5">
        <w:rPr>
          <w:rFonts w:ascii="Arial" w:eastAsia="Batang" w:hAnsi="Arial" w:cs="Arial"/>
          <w:color w:val="262626"/>
          <w:sz w:val="18"/>
          <w:szCs w:val="18"/>
          <w:lang w:val="el-GR" w:eastAsia="en-US"/>
        </w:rPr>
        <w:t xml:space="preserve"> 2024.</w:t>
      </w:r>
    </w:p>
    <w:p w14:paraId="1A1D5032" w14:textId="77777777" w:rsidR="0056738E" w:rsidRDefault="0056738E" w:rsidP="0056738E">
      <w:pPr>
        <w:pStyle w:val="ListParagraph"/>
        <w:numPr>
          <w:ilvl w:val="0"/>
          <w:numId w:val="24"/>
        </w:numPr>
        <w:jc w:val="both"/>
        <w:rPr>
          <w:rFonts w:ascii="Arial" w:eastAsia="Batang" w:hAnsi="Arial" w:cs="Arial"/>
          <w:color w:val="262626"/>
          <w:sz w:val="18"/>
          <w:szCs w:val="18"/>
          <w:lang w:val="el-GR" w:eastAsia="en-US"/>
        </w:rPr>
      </w:pPr>
      <w:r w:rsidRPr="000834F5">
        <w:rPr>
          <w:rFonts w:ascii="Arial" w:eastAsia="Batang" w:hAnsi="Arial" w:cs="Arial"/>
          <w:color w:val="262626"/>
          <w:sz w:val="18"/>
          <w:szCs w:val="18"/>
          <w:lang w:val="el-GR" w:eastAsia="en-US"/>
        </w:rPr>
        <w:t xml:space="preserve">Ως αποτέλεσμα της βαθμονόμησης της παραμέτρου πιθανότητα αθέτησης (‘PD </w:t>
      </w:r>
      <w:proofErr w:type="spellStart"/>
      <w:r w:rsidRPr="000834F5">
        <w:rPr>
          <w:rFonts w:ascii="Arial" w:eastAsia="Batang" w:hAnsi="Arial" w:cs="Arial"/>
          <w:color w:val="262626"/>
          <w:sz w:val="18"/>
          <w:szCs w:val="18"/>
          <w:lang w:val="el-GR" w:eastAsia="en-US"/>
        </w:rPr>
        <w:t>macro</w:t>
      </w:r>
      <w:proofErr w:type="spellEnd"/>
      <w:r w:rsidRPr="000834F5">
        <w:rPr>
          <w:rFonts w:ascii="Arial" w:eastAsia="Batang" w:hAnsi="Arial" w:cs="Arial"/>
          <w:color w:val="262626"/>
          <w:sz w:val="18"/>
          <w:szCs w:val="18"/>
          <w:lang w:val="el-GR" w:eastAsia="en-US"/>
        </w:rPr>
        <w:t>’), το μοντέλο γι</w:t>
      </w:r>
      <w:r>
        <w:rPr>
          <w:rFonts w:ascii="Arial" w:eastAsia="Batang" w:hAnsi="Arial" w:cs="Arial"/>
          <w:color w:val="262626"/>
          <w:sz w:val="18"/>
          <w:szCs w:val="18"/>
          <w:lang w:val="el-GR" w:eastAsia="en-US"/>
        </w:rPr>
        <w:t xml:space="preserve">α </w:t>
      </w:r>
      <w:r w:rsidRPr="000834F5">
        <w:rPr>
          <w:rFonts w:ascii="Arial" w:eastAsia="Batang" w:hAnsi="Arial" w:cs="Arial"/>
          <w:color w:val="262626"/>
          <w:sz w:val="18"/>
          <w:szCs w:val="18"/>
          <w:lang w:val="el-GR" w:eastAsia="en-US"/>
        </w:rPr>
        <w:t>τον προσδιορισμό της σημαντικής αύξησης στον πιστωτικό κίνδυνο (‘SICR’) επαναξιολογήθηκε</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εφαρμόζοντας μια μεθοδολογία στατιστικής ανάλυσης, και την εφαρμογή μιας απόλυτης τιμής ως όριο</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για τη σημαντική αύξηση στον πιστωτικό κίνδυνο, για αύξηση της σταθερότητας και της ακρίβειας. Η</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 xml:space="preserve">αντίστοιχη επίδραση στις αναμενόμενες πιστωτικές ζημιές ήταν </w:t>
      </w:r>
      <w:r w:rsidRPr="00A03828">
        <w:rPr>
          <w:rFonts w:ascii="Arial" w:eastAsia="Batang" w:hAnsi="Arial" w:cs="Arial"/>
          <w:color w:val="262626"/>
          <w:sz w:val="18"/>
          <w:szCs w:val="18"/>
          <w:lang w:val="el-GR" w:eastAsia="en-US"/>
        </w:rPr>
        <w:t>αναστροφή ύψους €1.4 εκατ</w:t>
      </w:r>
      <w:r w:rsidRPr="00B57B07">
        <w:rPr>
          <w:rFonts w:ascii="Arial" w:eastAsia="Batang" w:hAnsi="Arial" w:cs="Arial"/>
          <w:color w:val="262626"/>
          <w:sz w:val="18"/>
          <w:szCs w:val="18"/>
          <w:lang w:val="el-GR" w:eastAsia="en-US"/>
        </w:rPr>
        <w:t>. για το</w:t>
      </w:r>
      <w:r>
        <w:rPr>
          <w:rFonts w:ascii="Arial" w:eastAsia="Batang" w:hAnsi="Arial" w:cs="Arial"/>
          <w:color w:val="262626"/>
          <w:sz w:val="18"/>
          <w:szCs w:val="18"/>
          <w:lang w:val="el-GR" w:eastAsia="en-US"/>
        </w:rPr>
        <w:t xml:space="preserve"> εννεάμηνο</w:t>
      </w:r>
      <w:r w:rsidRPr="000834F5">
        <w:rPr>
          <w:rFonts w:ascii="Arial" w:eastAsia="Batang" w:hAnsi="Arial" w:cs="Arial"/>
          <w:color w:val="262626"/>
          <w:sz w:val="18"/>
          <w:szCs w:val="18"/>
          <w:lang w:val="el-GR" w:eastAsia="en-US"/>
        </w:rPr>
        <w:t xml:space="preserve"> που έληξε στις 30 </w:t>
      </w:r>
      <w:r>
        <w:rPr>
          <w:rFonts w:ascii="Arial" w:eastAsia="Batang" w:hAnsi="Arial" w:cs="Arial"/>
          <w:color w:val="262626"/>
          <w:sz w:val="18"/>
          <w:szCs w:val="18"/>
          <w:lang w:val="el-GR" w:eastAsia="en-US"/>
        </w:rPr>
        <w:t>Σεπτεμβρίου</w:t>
      </w:r>
      <w:r w:rsidRPr="000834F5">
        <w:rPr>
          <w:rFonts w:ascii="Arial" w:eastAsia="Batang" w:hAnsi="Arial" w:cs="Arial"/>
          <w:color w:val="262626"/>
          <w:sz w:val="18"/>
          <w:szCs w:val="18"/>
          <w:lang w:val="el-GR" w:eastAsia="en-US"/>
        </w:rPr>
        <w:t xml:space="preserve"> 2024 και καθαρή μεταφορά δανείων και απαιτήσεων από πελάτες</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που επηρεάστηκαν, από το Στάδιο 2 στο Στάδιο 1.</w:t>
      </w:r>
    </w:p>
    <w:p w14:paraId="719A5E1C" w14:textId="77777777" w:rsidR="0056738E" w:rsidRPr="00A03828" w:rsidRDefault="0056738E" w:rsidP="0056738E">
      <w:pPr>
        <w:pStyle w:val="ListParagraph"/>
        <w:numPr>
          <w:ilvl w:val="0"/>
          <w:numId w:val="24"/>
        </w:numPr>
        <w:jc w:val="both"/>
        <w:rPr>
          <w:rFonts w:ascii="Arial" w:eastAsia="Batang" w:hAnsi="Arial" w:cs="Arial"/>
          <w:color w:val="262626"/>
          <w:sz w:val="18"/>
          <w:szCs w:val="18"/>
          <w:lang w:val="el-GR" w:eastAsia="en-US"/>
        </w:rPr>
      </w:pPr>
      <w:r w:rsidRPr="000834F5">
        <w:rPr>
          <w:rFonts w:ascii="Arial" w:eastAsia="Batang" w:hAnsi="Arial" w:cs="Arial"/>
          <w:color w:val="262626"/>
          <w:sz w:val="18"/>
          <w:szCs w:val="18"/>
          <w:lang w:val="el-GR" w:eastAsia="en-US"/>
        </w:rPr>
        <w:t>Όσον αφορά το μοντέλο πιθανότητας αποκατάστασης, εισήχθη μια διαφορετική περίοδος</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αποκατάστασης για κάθε μακροοικονομικό σενάριο μετά από μια λεπτομερή στατιστική ανάλυση</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 xml:space="preserve">εξετάζοντας τη σχέση των ποσοστών αποκατάστασης με </w:t>
      </w:r>
      <w:r>
        <w:rPr>
          <w:rFonts w:ascii="Arial" w:eastAsia="Batang" w:hAnsi="Arial" w:cs="Arial"/>
          <w:color w:val="262626"/>
          <w:sz w:val="18"/>
          <w:szCs w:val="18"/>
          <w:lang w:val="el-GR" w:eastAsia="en-US"/>
        </w:rPr>
        <w:t xml:space="preserve">τις </w:t>
      </w:r>
      <w:r w:rsidRPr="000834F5">
        <w:rPr>
          <w:rFonts w:ascii="Arial" w:eastAsia="Batang" w:hAnsi="Arial" w:cs="Arial"/>
          <w:color w:val="262626"/>
          <w:sz w:val="18"/>
          <w:szCs w:val="18"/>
          <w:lang w:val="el-GR" w:eastAsia="en-US"/>
        </w:rPr>
        <w:t>μακροοικονομικές μεταβλητές και</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καταλήγοντας στο συμπέρασμα ότι η περίοδος αποκατάστασης θα πρέπει να διαφοροποιείται στο</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επίπεδο του σεναρίου. Η αντίστοιχη επίδραση στις αναμενόμενες πιστωτικές ζημιές ήταν χρέωση</w:t>
      </w:r>
      <w:r>
        <w:rPr>
          <w:rFonts w:ascii="Arial" w:eastAsia="Batang" w:hAnsi="Arial" w:cs="Arial"/>
          <w:color w:val="262626"/>
          <w:sz w:val="18"/>
          <w:szCs w:val="18"/>
          <w:lang w:val="el-GR" w:eastAsia="en-US"/>
        </w:rPr>
        <w:t xml:space="preserve"> </w:t>
      </w:r>
      <w:r w:rsidRPr="00A03828">
        <w:rPr>
          <w:rFonts w:ascii="Arial" w:eastAsia="Batang" w:hAnsi="Arial" w:cs="Arial"/>
          <w:color w:val="262626"/>
          <w:sz w:val="18"/>
          <w:szCs w:val="18"/>
          <w:lang w:val="el-GR" w:eastAsia="en-US"/>
        </w:rPr>
        <w:t xml:space="preserve">ύψους €2.1 εκατ. για το </w:t>
      </w:r>
      <w:r>
        <w:rPr>
          <w:rFonts w:ascii="Arial" w:eastAsia="Batang" w:hAnsi="Arial" w:cs="Arial"/>
          <w:color w:val="262626"/>
          <w:sz w:val="18"/>
          <w:szCs w:val="18"/>
          <w:lang w:val="el-GR" w:eastAsia="en-US"/>
        </w:rPr>
        <w:t>εννεάμηνο</w:t>
      </w:r>
      <w:r w:rsidRPr="000834F5">
        <w:rPr>
          <w:rFonts w:ascii="Arial" w:eastAsia="Batang" w:hAnsi="Arial" w:cs="Arial"/>
          <w:color w:val="262626"/>
          <w:sz w:val="18"/>
          <w:szCs w:val="18"/>
          <w:lang w:val="el-GR" w:eastAsia="en-US"/>
        </w:rPr>
        <w:t xml:space="preserve"> που έληξε στις 30 </w:t>
      </w:r>
      <w:r>
        <w:rPr>
          <w:rFonts w:ascii="Arial" w:eastAsia="Batang" w:hAnsi="Arial" w:cs="Arial"/>
          <w:color w:val="262626"/>
          <w:sz w:val="18"/>
          <w:szCs w:val="18"/>
          <w:lang w:val="el-GR" w:eastAsia="en-US"/>
        </w:rPr>
        <w:t>Σεπτεμβρίου</w:t>
      </w:r>
      <w:r w:rsidRPr="000834F5">
        <w:rPr>
          <w:rFonts w:ascii="Arial" w:eastAsia="Batang" w:hAnsi="Arial" w:cs="Arial"/>
          <w:color w:val="262626"/>
          <w:sz w:val="18"/>
          <w:szCs w:val="18"/>
          <w:lang w:val="el-GR" w:eastAsia="en-US"/>
        </w:rPr>
        <w:t xml:space="preserve"> 2024.</w:t>
      </w:r>
    </w:p>
    <w:p w14:paraId="4A19511B" w14:textId="77777777" w:rsidR="0056738E" w:rsidRPr="00A03828" w:rsidRDefault="0056738E" w:rsidP="0056738E">
      <w:pPr>
        <w:rPr>
          <w:rFonts w:ascii="Arial" w:eastAsia="Batang" w:hAnsi="Arial" w:cs="Arial"/>
          <w:color w:val="262626"/>
          <w:sz w:val="18"/>
          <w:szCs w:val="18"/>
          <w:lang w:val="el-GR" w:eastAsia="en-US"/>
        </w:rPr>
      </w:pPr>
      <w:r w:rsidRPr="00A03828">
        <w:rPr>
          <w:rFonts w:ascii="Arial" w:eastAsia="Batang" w:hAnsi="Arial" w:cs="Arial"/>
          <w:color w:val="262626"/>
          <w:sz w:val="18"/>
          <w:szCs w:val="18"/>
          <w:lang w:val="el-GR" w:eastAsia="en-US"/>
        </w:rPr>
        <w:br w:type="page"/>
      </w:r>
    </w:p>
    <w:p w14:paraId="4849593E" w14:textId="77777777" w:rsidR="0056738E" w:rsidRPr="00D6733D" w:rsidRDefault="0056738E" w:rsidP="0056738E">
      <w:pPr>
        <w:spacing w:after="0" w:line="360" w:lineRule="auto"/>
        <w:ind w:left="851" w:hanging="851"/>
        <w:rPr>
          <w:rFonts w:ascii="Arial" w:hAnsi="Arial" w:cs="Arial"/>
          <w:b/>
          <w:color w:val="FF9900"/>
          <w:lang w:val="el-GR"/>
        </w:rPr>
      </w:pPr>
      <w:r w:rsidRPr="00D6733D">
        <w:rPr>
          <w:rFonts w:ascii="Arial" w:hAnsi="Arial" w:cs="Arial"/>
          <w:b/>
          <w:color w:val="FF9900"/>
          <w:szCs w:val="16"/>
          <w:lang w:val="el-GR"/>
        </w:rPr>
        <w:lastRenderedPageBreak/>
        <w:t xml:space="preserve">ΣΤ. </w:t>
      </w:r>
      <w:r w:rsidRPr="00D6733D">
        <w:rPr>
          <w:rFonts w:ascii="Arial" w:hAnsi="Arial" w:cs="Arial"/>
          <w:b/>
          <w:color w:val="FF9900"/>
          <w:szCs w:val="16"/>
          <w:lang w:val="el-GR"/>
        </w:rPr>
        <w:tab/>
      </w:r>
      <w:r w:rsidRPr="00D6733D">
        <w:rPr>
          <w:rFonts w:ascii="Arial" w:hAnsi="Arial" w:cs="Arial"/>
          <w:b/>
          <w:color w:val="FF9900"/>
          <w:lang w:val="el-GR"/>
        </w:rPr>
        <w:t xml:space="preserve">Σημειώσεις </w:t>
      </w:r>
      <w:r w:rsidRPr="00D6733D">
        <w:rPr>
          <w:rFonts w:ascii="Arial" w:hAnsi="Arial" w:cs="Arial"/>
          <w:color w:val="FF9900"/>
          <w:lang w:val="el-GR"/>
        </w:rPr>
        <w:t>(συνέχεια)</w:t>
      </w:r>
    </w:p>
    <w:p w14:paraId="40F17099" w14:textId="77777777" w:rsidR="0056738E" w:rsidRPr="000834F5" w:rsidRDefault="0056738E" w:rsidP="0056738E">
      <w:pPr>
        <w:keepNext/>
        <w:tabs>
          <w:tab w:val="left" w:pos="1416"/>
          <w:tab w:val="decimal" w:pos="4962"/>
          <w:tab w:val="decimal" w:pos="6521"/>
          <w:tab w:val="right" w:pos="7560"/>
          <w:tab w:val="decimal" w:pos="8220"/>
          <w:tab w:val="left" w:pos="8640"/>
          <w:tab w:val="right" w:pos="9000"/>
        </w:tabs>
        <w:suppressAutoHyphens/>
        <w:spacing w:after="120" w:line="240" w:lineRule="auto"/>
        <w:ind w:left="851" w:right="-130" w:hanging="851"/>
        <w:jc w:val="both"/>
        <w:outlineLvl w:val="8"/>
        <w:rPr>
          <w:rFonts w:ascii="Arial" w:hAnsi="Arial" w:cs="Arial"/>
          <w:color w:val="FF9900"/>
          <w:lang w:val="el-GR"/>
        </w:rPr>
      </w:pPr>
      <w:r>
        <w:rPr>
          <w:rFonts w:ascii="Arial" w:hAnsi="Arial" w:cs="Arial"/>
          <w:b/>
          <w:color w:val="FF9900"/>
          <w:szCs w:val="18"/>
          <w:lang w:val="el-GR"/>
        </w:rPr>
        <w:t>ΣΤ</w:t>
      </w:r>
      <w:r w:rsidRPr="00711ACD">
        <w:rPr>
          <w:rFonts w:ascii="Arial" w:hAnsi="Arial" w:cs="Arial"/>
          <w:b/>
          <w:color w:val="FF9900"/>
          <w:szCs w:val="18"/>
          <w:lang w:val="el-GR"/>
        </w:rPr>
        <w:t>.</w:t>
      </w:r>
      <w:r>
        <w:rPr>
          <w:rFonts w:ascii="Arial" w:hAnsi="Arial" w:cs="Arial"/>
          <w:b/>
          <w:color w:val="FF9900"/>
          <w:szCs w:val="18"/>
          <w:lang w:val="el-GR"/>
        </w:rPr>
        <w:t>6</w:t>
      </w:r>
      <w:r w:rsidRPr="00711ACD">
        <w:rPr>
          <w:rFonts w:ascii="Arial" w:hAnsi="Arial" w:cs="Arial"/>
          <w:b/>
          <w:color w:val="FF9900"/>
          <w:szCs w:val="18"/>
          <w:lang w:val="el-GR"/>
        </w:rPr>
        <w:t xml:space="preserve"> </w:t>
      </w:r>
      <w:r w:rsidRPr="00711ACD">
        <w:rPr>
          <w:rFonts w:ascii="Arial" w:hAnsi="Arial" w:cs="Arial"/>
          <w:b/>
          <w:color w:val="FF9900"/>
          <w:szCs w:val="18"/>
          <w:lang w:val="el-GR"/>
        </w:rPr>
        <w:tab/>
      </w:r>
      <w:r>
        <w:rPr>
          <w:rFonts w:ascii="Arial" w:hAnsi="Arial" w:cs="Arial"/>
          <w:b/>
          <w:color w:val="FF9900"/>
          <w:szCs w:val="18"/>
          <w:lang w:val="el-GR"/>
        </w:rPr>
        <w:t xml:space="preserve">Πιστωτικές ζημιές για κάλυψη πιστωτικού κινδύνου για δάνεια και απαιτήσεις από πελάτες </w:t>
      </w:r>
      <w:r w:rsidRPr="007C60E2">
        <w:rPr>
          <w:rFonts w:ascii="Arial" w:hAnsi="Arial" w:cs="Arial"/>
          <w:color w:val="FF9900"/>
          <w:lang w:val="el-GR"/>
        </w:rPr>
        <w:t>(συνέχεια)</w:t>
      </w:r>
    </w:p>
    <w:p w14:paraId="09796597" w14:textId="77777777" w:rsidR="0056738E" w:rsidRDefault="0056738E" w:rsidP="0056738E">
      <w:pPr>
        <w:pStyle w:val="ListParagraph"/>
        <w:numPr>
          <w:ilvl w:val="0"/>
          <w:numId w:val="24"/>
        </w:numPr>
        <w:jc w:val="both"/>
        <w:rPr>
          <w:rFonts w:ascii="Arial" w:eastAsia="Batang" w:hAnsi="Arial" w:cs="Arial"/>
          <w:color w:val="262626"/>
          <w:sz w:val="18"/>
          <w:szCs w:val="18"/>
          <w:lang w:val="el-GR" w:eastAsia="en-US"/>
        </w:rPr>
      </w:pPr>
      <w:r w:rsidRPr="000834F5">
        <w:rPr>
          <w:rFonts w:ascii="Arial" w:eastAsia="Batang" w:hAnsi="Arial" w:cs="Arial"/>
          <w:color w:val="262626"/>
          <w:sz w:val="18"/>
          <w:szCs w:val="18"/>
          <w:lang w:val="el-GR" w:eastAsia="en-US"/>
        </w:rPr>
        <w:t>Ως αποτέλεσμα των βαθμονομήσεων (i)-(</w:t>
      </w:r>
      <w:proofErr w:type="spellStart"/>
      <w:r w:rsidRPr="000834F5">
        <w:rPr>
          <w:rFonts w:ascii="Arial" w:eastAsia="Batang" w:hAnsi="Arial" w:cs="Arial"/>
          <w:color w:val="262626"/>
          <w:sz w:val="18"/>
          <w:szCs w:val="18"/>
          <w:lang w:val="el-GR" w:eastAsia="en-US"/>
        </w:rPr>
        <w:t>iii</w:t>
      </w:r>
      <w:proofErr w:type="spellEnd"/>
      <w:r w:rsidRPr="000834F5">
        <w:rPr>
          <w:rFonts w:ascii="Arial" w:eastAsia="Batang" w:hAnsi="Arial" w:cs="Arial"/>
          <w:color w:val="262626"/>
          <w:sz w:val="18"/>
          <w:szCs w:val="18"/>
          <w:lang w:val="el-GR" w:eastAsia="en-US"/>
        </w:rPr>
        <w:t>), το Συγκρότημα προχώρησε στην εξάλειψη των</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προσαρμογών του προηγούμενου έτους που εφαρμόστηκαν στο πλαίσιο των επικρατούντων</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οικονομικών συνθηκών (όπως περιγράφεται</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στη Σημείωση 5.2 στις ετήσιες ενοποιημένες οικονομικές</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 xml:space="preserve">καταστάσεις για το έτος που έληξε στις 31 Δεκεμβρίου 2023) με αντίστοιχη επίδραση </w:t>
      </w:r>
      <w:r>
        <w:rPr>
          <w:rFonts w:ascii="Arial" w:eastAsia="Batang" w:hAnsi="Arial" w:cs="Arial"/>
          <w:color w:val="262626"/>
          <w:sz w:val="18"/>
          <w:szCs w:val="18"/>
          <w:lang w:val="el-GR" w:eastAsia="en-US"/>
        </w:rPr>
        <w:t xml:space="preserve">στις </w:t>
      </w:r>
      <w:r w:rsidRPr="000834F5">
        <w:rPr>
          <w:rFonts w:ascii="Arial" w:eastAsia="Batang" w:hAnsi="Arial" w:cs="Arial"/>
          <w:color w:val="262626"/>
          <w:sz w:val="18"/>
          <w:szCs w:val="18"/>
          <w:lang w:val="el-GR" w:eastAsia="en-US"/>
        </w:rPr>
        <w:t xml:space="preserve">αναμενόμενες πιστωτικές ζημιές </w:t>
      </w:r>
      <w:r>
        <w:rPr>
          <w:rFonts w:ascii="Arial" w:eastAsia="Batang" w:hAnsi="Arial" w:cs="Arial"/>
          <w:color w:val="262626"/>
          <w:sz w:val="18"/>
          <w:szCs w:val="18"/>
          <w:lang w:val="el-GR" w:eastAsia="en-US"/>
        </w:rPr>
        <w:t xml:space="preserve">την </w:t>
      </w:r>
      <w:r w:rsidRPr="000834F5">
        <w:rPr>
          <w:rFonts w:ascii="Arial" w:eastAsia="Batang" w:hAnsi="Arial" w:cs="Arial"/>
          <w:color w:val="262626"/>
          <w:sz w:val="18"/>
          <w:szCs w:val="18"/>
          <w:lang w:val="el-GR" w:eastAsia="en-US"/>
        </w:rPr>
        <w:t>αναστροφή ύψους €</w:t>
      </w:r>
      <w:r>
        <w:rPr>
          <w:rFonts w:ascii="Arial" w:eastAsia="Batang" w:hAnsi="Arial" w:cs="Arial"/>
          <w:color w:val="262626"/>
          <w:sz w:val="18"/>
          <w:szCs w:val="18"/>
          <w:lang w:val="el-GR" w:eastAsia="en-US"/>
        </w:rPr>
        <w:t>15.7</w:t>
      </w:r>
      <w:r w:rsidRPr="00A03828">
        <w:rPr>
          <w:rFonts w:ascii="Arial" w:eastAsia="Batang" w:hAnsi="Arial" w:cs="Arial"/>
          <w:color w:val="262626"/>
          <w:sz w:val="18"/>
          <w:szCs w:val="18"/>
          <w:lang w:val="el-GR" w:eastAsia="en-US"/>
        </w:rPr>
        <w:t xml:space="preserve"> εκατ. για το </w:t>
      </w:r>
      <w:r>
        <w:rPr>
          <w:rFonts w:ascii="Arial" w:eastAsia="Batang" w:hAnsi="Arial" w:cs="Arial"/>
          <w:color w:val="262626"/>
          <w:sz w:val="18"/>
          <w:szCs w:val="18"/>
          <w:lang w:val="el-GR" w:eastAsia="en-US"/>
        </w:rPr>
        <w:t>εννεάμηνο</w:t>
      </w:r>
      <w:r w:rsidRPr="000834F5">
        <w:rPr>
          <w:rFonts w:ascii="Arial" w:eastAsia="Batang" w:hAnsi="Arial" w:cs="Arial"/>
          <w:color w:val="262626"/>
          <w:sz w:val="18"/>
          <w:szCs w:val="18"/>
          <w:lang w:val="el-GR" w:eastAsia="en-US"/>
        </w:rPr>
        <w:t xml:space="preserve"> που έληξε στις 30</w:t>
      </w:r>
      <w:r>
        <w:rPr>
          <w:rFonts w:ascii="Arial" w:eastAsia="Batang" w:hAnsi="Arial" w:cs="Arial"/>
          <w:color w:val="262626"/>
          <w:sz w:val="18"/>
          <w:szCs w:val="18"/>
          <w:lang w:val="el-GR" w:eastAsia="en-US"/>
        </w:rPr>
        <w:t xml:space="preserve"> Σεπτεμβρίου</w:t>
      </w:r>
      <w:r w:rsidRPr="000834F5">
        <w:rPr>
          <w:rFonts w:ascii="Arial" w:eastAsia="Batang" w:hAnsi="Arial" w:cs="Arial"/>
          <w:color w:val="262626"/>
          <w:sz w:val="18"/>
          <w:szCs w:val="18"/>
          <w:lang w:val="el-GR" w:eastAsia="en-US"/>
        </w:rPr>
        <w:t xml:space="preserve"> 2024.</w:t>
      </w:r>
    </w:p>
    <w:p w14:paraId="113B1AB0" w14:textId="77777777" w:rsidR="0056738E" w:rsidRDefault="0056738E" w:rsidP="0056738E">
      <w:pPr>
        <w:pStyle w:val="ListParagraph"/>
        <w:numPr>
          <w:ilvl w:val="0"/>
          <w:numId w:val="24"/>
        </w:numPr>
        <w:jc w:val="both"/>
        <w:rPr>
          <w:rFonts w:ascii="Arial" w:eastAsia="Batang" w:hAnsi="Arial" w:cs="Arial"/>
          <w:color w:val="262626"/>
          <w:sz w:val="18"/>
          <w:szCs w:val="18"/>
          <w:lang w:val="el-GR" w:eastAsia="en-US"/>
        </w:rPr>
      </w:pPr>
      <w:r w:rsidRPr="000834F5">
        <w:rPr>
          <w:rFonts w:ascii="Arial" w:eastAsia="Batang" w:hAnsi="Arial" w:cs="Arial"/>
          <w:color w:val="262626"/>
          <w:sz w:val="18"/>
          <w:szCs w:val="18"/>
          <w:lang w:val="el-GR" w:eastAsia="en-US"/>
        </w:rPr>
        <w:t>Για το μοντέλο ανάκτησης εξασφαλίσεων και τα είδη ανάκτησης που εφαρμόζονται (</w:t>
      </w:r>
      <w:proofErr w:type="spellStart"/>
      <w:r w:rsidRPr="000834F5">
        <w:rPr>
          <w:rFonts w:ascii="Arial" w:eastAsia="Batang" w:hAnsi="Arial" w:cs="Arial"/>
          <w:color w:val="262626"/>
          <w:sz w:val="18"/>
          <w:szCs w:val="18"/>
          <w:lang w:val="el-GR" w:eastAsia="en-US"/>
        </w:rPr>
        <w:t>realisation</w:t>
      </w:r>
      <w:proofErr w:type="spellEnd"/>
      <w:r w:rsidRPr="000834F5">
        <w:rPr>
          <w:rFonts w:ascii="Arial" w:eastAsia="Batang" w:hAnsi="Arial" w:cs="Arial"/>
          <w:color w:val="262626"/>
          <w:sz w:val="18"/>
          <w:szCs w:val="18"/>
          <w:lang w:val="el-GR" w:eastAsia="en-US"/>
        </w:rPr>
        <w:t xml:space="preserve"> </w:t>
      </w:r>
      <w:proofErr w:type="spellStart"/>
      <w:r w:rsidRPr="000834F5">
        <w:rPr>
          <w:rFonts w:ascii="Arial" w:eastAsia="Batang" w:hAnsi="Arial" w:cs="Arial"/>
          <w:color w:val="262626"/>
          <w:sz w:val="18"/>
          <w:szCs w:val="18"/>
          <w:lang w:val="el-GR" w:eastAsia="en-US"/>
        </w:rPr>
        <w:t>paths</w:t>
      </w:r>
      <w:proofErr w:type="spellEnd"/>
      <w:r w:rsidRPr="000834F5">
        <w:rPr>
          <w:rFonts w:ascii="Arial" w:eastAsia="Batang" w:hAnsi="Arial" w:cs="Arial"/>
          <w:color w:val="262626"/>
          <w:sz w:val="18"/>
          <w:szCs w:val="18"/>
          <w:lang w:val="el-GR" w:eastAsia="en-US"/>
        </w:rPr>
        <w:t>),</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 xml:space="preserve">το Συγκρότημα έχει </w:t>
      </w:r>
      <w:proofErr w:type="spellStart"/>
      <w:r w:rsidRPr="000834F5">
        <w:rPr>
          <w:rFonts w:ascii="Arial" w:eastAsia="Batang" w:hAnsi="Arial" w:cs="Arial"/>
          <w:color w:val="262626"/>
          <w:sz w:val="18"/>
          <w:szCs w:val="18"/>
          <w:lang w:val="el-GR" w:eastAsia="en-US"/>
        </w:rPr>
        <w:t>επικαιροποιήσει</w:t>
      </w:r>
      <w:proofErr w:type="spellEnd"/>
      <w:r w:rsidRPr="000834F5">
        <w:rPr>
          <w:rFonts w:ascii="Arial" w:eastAsia="Batang" w:hAnsi="Arial" w:cs="Arial"/>
          <w:color w:val="262626"/>
          <w:sz w:val="18"/>
          <w:szCs w:val="18"/>
          <w:lang w:val="el-GR" w:eastAsia="en-US"/>
        </w:rPr>
        <w:t xml:space="preserve"> την παράμετρο ζημιάς από αθέτηση υποχρέωσης σε σχέση με την</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 xml:space="preserve">μέθοδο ανάκτησης μέσω </w:t>
      </w:r>
      <w:r>
        <w:rPr>
          <w:rFonts w:ascii="Arial" w:eastAsia="Batang" w:hAnsi="Arial" w:cs="Arial"/>
          <w:color w:val="262626"/>
          <w:sz w:val="18"/>
          <w:szCs w:val="18"/>
          <w:lang w:val="el-GR" w:eastAsia="en-US"/>
        </w:rPr>
        <w:t>της πώλησης</w:t>
      </w:r>
      <w:r w:rsidRPr="000834F5">
        <w:rPr>
          <w:rFonts w:ascii="Arial" w:eastAsia="Batang" w:hAnsi="Arial" w:cs="Arial"/>
          <w:color w:val="262626"/>
          <w:sz w:val="18"/>
          <w:szCs w:val="18"/>
          <w:lang w:val="el-GR" w:eastAsia="en-US"/>
        </w:rPr>
        <w:t xml:space="preserve"> χαρτοφυλακίου, αυξάνοντας την πιθανότητα από αυτή τη μέθοδο</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 xml:space="preserve">ανάκτησης. Η αντίστοιχη επίδραση στις αναμενόμενες πιστωτικές ζημιές ήταν χρέωση </w:t>
      </w:r>
      <w:r w:rsidRPr="00A03828">
        <w:rPr>
          <w:rFonts w:ascii="Arial" w:eastAsia="Batang" w:hAnsi="Arial" w:cs="Arial"/>
          <w:color w:val="262626"/>
          <w:sz w:val="18"/>
          <w:szCs w:val="18"/>
          <w:lang w:val="el-GR" w:eastAsia="en-US"/>
        </w:rPr>
        <w:t xml:space="preserve">ύψους €19.2 εκατ. για το </w:t>
      </w:r>
      <w:r>
        <w:rPr>
          <w:rFonts w:ascii="Arial" w:eastAsia="Batang" w:hAnsi="Arial" w:cs="Arial"/>
          <w:color w:val="262626"/>
          <w:sz w:val="18"/>
          <w:szCs w:val="18"/>
          <w:lang w:val="el-GR" w:eastAsia="en-US"/>
        </w:rPr>
        <w:t>εννεάμηνο</w:t>
      </w:r>
      <w:r w:rsidRPr="000834F5">
        <w:rPr>
          <w:rFonts w:ascii="Arial" w:eastAsia="Batang" w:hAnsi="Arial" w:cs="Arial"/>
          <w:color w:val="262626"/>
          <w:sz w:val="18"/>
          <w:szCs w:val="18"/>
          <w:lang w:val="el-GR" w:eastAsia="en-US"/>
        </w:rPr>
        <w:t xml:space="preserve"> που έληξε στις 30 </w:t>
      </w:r>
      <w:r>
        <w:rPr>
          <w:rFonts w:ascii="Arial" w:eastAsia="Batang" w:hAnsi="Arial" w:cs="Arial"/>
          <w:color w:val="262626"/>
          <w:sz w:val="18"/>
          <w:szCs w:val="18"/>
          <w:lang w:val="el-GR" w:eastAsia="en-US"/>
        </w:rPr>
        <w:t>Σεπτεμβρίου</w:t>
      </w:r>
      <w:r w:rsidRPr="000834F5">
        <w:rPr>
          <w:rFonts w:ascii="Arial" w:eastAsia="Batang" w:hAnsi="Arial" w:cs="Arial"/>
          <w:color w:val="262626"/>
          <w:sz w:val="18"/>
          <w:szCs w:val="18"/>
          <w:lang w:val="el-GR" w:eastAsia="en-US"/>
        </w:rPr>
        <w:t xml:space="preserve"> 2024</w:t>
      </w:r>
      <w:r>
        <w:rPr>
          <w:rFonts w:ascii="Arial" w:eastAsia="Batang" w:hAnsi="Arial" w:cs="Arial"/>
          <w:color w:val="262626"/>
          <w:sz w:val="18"/>
          <w:szCs w:val="18"/>
          <w:lang w:val="el-GR" w:eastAsia="en-US"/>
        </w:rPr>
        <w:t>.</w:t>
      </w:r>
    </w:p>
    <w:p w14:paraId="237B9AB2" w14:textId="77777777" w:rsidR="0056738E" w:rsidRPr="00A03828" w:rsidRDefault="0056738E" w:rsidP="0056738E">
      <w:pPr>
        <w:pStyle w:val="ListParagraph"/>
        <w:numPr>
          <w:ilvl w:val="0"/>
          <w:numId w:val="24"/>
        </w:numPr>
        <w:jc w:val="both"/>
        <w:rPr>
          <w:rFonts w:ascii="Arial" w:eastAsia="Batang" w:hAnsi="Arial" w:cs="Arial"/>
          <w:color w:val="262626"/>
          <w:sz w:val="18"/>
          <w:szCs w:val="18"/>
          <w:lang w:val="el-GR" w:eastAsia="en-US"/>
        </w:rPr>
      </w:pPr>
      <w:r w:rsidRPr="00A03828">
        <w:rPr>
          <w:rFonts w:ascii="Arial" w:eastAsia="Batang" w:hAnsi="Arial" w:cs="Arial"/>
          <w:color w:val="262626"/>
          <w:sz w:val="18"/>
          <w:szCs w:val="18"/>
          <w:lang w:val="el-GR" w:eastAsia="en-US"/>
        </w:rPr>
        <w:t xml:space="preserve">Τέλος, το Συγκρότημα έχει ενσωματώσει μια κατώτατη τιμή για τη ζημιά από αθέτηση υποχρέωσης (LGD </w:t>
      </w:r>
      <w:proofErr w:type="spellStart"/>
      <w:r w:rsidRPr="00A03828">
        <w:rPr>
          <w:rFonts w:ascii="Arial" w:eastAsia="Batang" w:hAnsi="Arial" w:cs="Arial"/>
          <w:color w:val="262626"/>
          <w:sz w:val="18"/>
          <w:szCs w:val="18"/>
          <w:lang w:val="el-GR" w:eastAsia="en-US"/>
        </w:rPr>
        <w:t>floor</w:t>
      </w:r>
      <w:proofErr w:type="spellEnd"/>
      <w:r w:rsidRPr="00A03828">
        <w:rPr>
          <w:rFonts w:ascii="Arial" w:eastAsia="Batang" w:hAnsi="Arial" w:cs="Arial"/>
          <w:color w:val="262626"/>
          <w:sz w:val="18"/>
          <w:szCs w:val="18"/>
          <w:lang w:val="el-GR" w:eastAsia="en-US"/>
        </w:rPr>
        <w:t xml:space="preserve">) η οποία προνοεί ένα ελάχιστο συντελεστή ζημιάς (που λειτουργεί ως κατώτατο όριο) ανεξάρτητα από τον τρόπο ανάκτησης και την αξία των εξασφαλίσεων. Αυτό το κατώτατο όριο στη ζημιά από αθέτηση υποχρέωσης εισάχθηκε για να αποτυπώσει την υποκειμενικότητα και την αβεβαιότητα που εμπεριέχεται στις παραδοχές ανάκτησης (δηλαδή στο ανακτήσιμο ποσό των εξασφαλίσεων, τη μέγιστη περίοδο ανάκτησης και λοιπά) που επηρεάζει το ποσό ανάκτησης. Η αντίστοιχη επίδραση στις αναμενόμενες πιστωτικές ζημιές ήταν χρέωση ύψους €20.0 εκατ. για το </w:t>
      </w:r>
      <w:r>
        <w:rPr>
          <w:rFonts w:ascii="Arial" w:eastAsia="Batang" w:hAnsi="Arial" w:cs="Arial"/>
          <w:color w:val="262626"/>
          <w:sz w:val="18"/>
          <w:szCs w:val="18"/>
          <w:lang w:val="el-GR" w:eastAsia="en-US"/>
        </w:rPr>
        <w:t>εννεάμηνο</w:t>
      </w:r>
      <w:r w:rsidRPr="00A03828">
        <w:rPr>
          <w:rFonts w:ascii="Arial" w:eastAsia="Batang" w:hAnsi="Arial" w:cs="Arial"/>
          <w:color w:val="262626"/>
          <w:sz w:val="18"/>
          <w:szCs w:val="18"/>
          <w:lang w:val="el-GR" w:eastAsia="en-US"/>
        </w:rPr>
        <w:t xml:space="preserve"> που έληξε στις 30 Σεπτεμβρίου 2024.</w:t>
      </w:r>
    </w:p>
    <w:p w14:paraId="57EA6073" w14:textId="77777777" w:rsidR="0056738E" w:rsidRPr="00A03828" w:rsidRDefault="0056738E" w:rsidP="0056738E">
      <w:pPr>
        <w:pStyle w:val="ListParagraph"/>
        <w:jc w:val="both"/>
        <w:rPr>
          <w:rFonts w:ascii="Arial" w:eastAsia="Batang" w:hAnsi="Arial" w:cs="Arial"/>
          <w:color w:val="262626"/>
          <w:sz w:val="18"/>
          <w:szCs w:val="18"/>
          <w:lang w:val="el-GR" w:eastAsia="en-US"/>
        </w:rPr>
      </w:pPr>
    </w:p>
    <w:p w14:paraId="5583080C" w14:textId="77777777" w:rsidR="0056738E" w:rsidRPr="00A03828" w:rsidRDefault="0056738E" w:rsidP="0056738E">
      <w:pPr>
        <w:spacing w:after="0" w:line="240" w:lineRule="auto"/>
        <w:jc w:val="both"/>
        <w:rPr>
          <w:rFonts w:ascii="Arial" w:eastAsia="Batang" w:hAnsi="Arial" w:cs="Arial"/>
          <w:color w:val="262626"/>
          <w:sz w:val="18"/>
          <w:szCs w:val="18"/>
          <w:lang w:val="el-GR" w:eastAsia="en-US"/>
        </w:rPr>
      </w:pPr>
      <w:r w:rsidRPr="00A03828">
        <w:rPr>
          <w:rFonts w:ascii="Arial" w:eastAsia="Batang" w:hAnsi="Arial" w:cs="Arial"/>
          <w:color w:val="262626"/>
          <w:sz w:val="18"/>
          <w:szCs w:val="18"/>
          <w:lang w:val="el-GR" w:eastAsia="en-US"/>
        </w:rPr>
        <w:t>Τα μοντέλα ΔΠΧΑ 9 αναθεωρούνται σε τακτά χρονικά διαστήματα για να ενσωματώσουν την πιο πρόσφατη διαθέσιμη πληροφόρηση και για να διασφαλιστεί ικανοποιητική απόδοση καθώς και ότι είναι επαρκώς αντιπροσωπευτικά όταν εφαρμόζονται στο υφιστάμενο χαρτοφυλάκιο για τον υπολογισμό των αναμενόμενων πιστωτικών ζημιών.</w:t>
      </w:r>
    </w:p>
    <w:p w14:paraId="1ED8A042" w14:textId="77777777" w:rsidR="0056738E" w:rsidRPr="00A03828" w:rsidRDefault="0056738E" w:rsidP="0056738E">
      <w:pPr>
        <w:spacing w:after="0" w:line="240" w:lineRule="auto"/>
        <w:jc w:val="both"/>
        <w:rPr>
          <w:rFonts w:ascii="Arial" w:eastAsia="Batang" w:hAnsi="Arial" w:cs="Arial"/>
          <w:color w:val="262626"/>
          <w:sz w:val="18"/>
          <w:szCs w:val="18"/>
          <w:lang w:val="el-GR" w:eastAsia="en-US"/>
        </w:rPr>
      </w:pPr>
    </w:p>
    <w:p w14:paraId="7788CD07" w14:textId="77777777" w:rsidR="0056738E" w:rsidRPr="006C134F" w:rsidRDefault="0056738E" w:rsidP="0056738E">
      <w:pPr>
        <w:spacing w:after="0" w:line="240" w:lineRule="auto"/>
        <w:jc w:val="both"/>
        <w:rPr>
          <w:rFonts w:ascii="Arial" w:eastAsia="Batang" w:hAnsi="Arial" w:cs="Arial"/>
          <w:color w:val="262626"/>
          <w:sz w:val="18"/>
          <w:szCs w:val="18"/>
          <w:lang w:val="el-GR" w:eastAsia="en-US"/>
        </w:rPr>
      </w:pPr>
      <w:r w:rsidRPr="00A03828">
        <w:rPr>
          <w:rFonts w:ascii="Arial" w:eastAsia="Batang" w:hAnsi="Arial" w:cs="Arial"/>
          <w:color w:val="262626"/>
          <w:sz w:val="18"/>
          <w:szCs w:val="18"/>
          <w:lang w:val="el-GR" w:eastAsia="en-US"/>
        </w:rPr>
        <w:t>Το Συγκρότημα κατέβαλε βέλτιστη προσπάθεια κατά την άσκηση κρίσης</w:t>
      </w:r>
      <w:r>
        <w:rPr>
          <w:rFonts w:ascii="Arial" w:eastAsia="Batang" w:hAnsi="Arial" w:cs="Arial"/>
          <w:color w:val="262626"/>
          <w:sz w:val="18"/>
          <w:szCs w:val="18"/>
          <w:lang w:val="el-GR" w:eastAsia="en-US"/>
        </w:rPr>
        <w:t>,</w:t>
      </w:r>
      <w:r w:rsidRPr="00A03828">
        <w:rPr>
          <w:rFonts w:ascii="Arial" w:eastAsia="Batang" w:hAnsi="Arial" w:cs="Arial"/>
          <w:color w:val="262626"/>
          <w:sz w:val="18"/>
          <w:szCs w:val="18"/>
          <w:lang w:val="el-GR" w:eastAsia="en-US"/>
        </w:rPr>
        <w:t xml:space="preserve"> ούτως ώστε να εξετάσει όλες τις εύλογες και βάσιμες πληροφορίες που ήταν διαθέσιμες κατά την αξιολόγηση των αναμενόμενων πιστωτικών ζημιών στις </w:t>
      </w:r>
      <w:r w:rsidRPr="000834F5">
        <w:rPr>
          <w:rFonts w:ascii="Arial" w:eastAsia="Batang" w:hAnsi="Arial" w:cs="Arial"/>
          <w:color w:val="262626"/>
          <w:sz w:val="18"/>
          <w:szCs w:val="18"/>
          <w:lang w:val="el-GR" w:eastAsia="en-US"/>
        </w:rPr>
        <w:t xml:space="preserve">30 </w:t>
      </w:r>
      <w:r>
        <w:rPr>
          <w:rFonts w:ascii="Arial" w:eastAsia="Batang" w:hAnsi="Arial" w:cs="Arial"/>
          <w:color w:val="262626"/>
          <w:sz w:val="18"/>
          <w:szCs w:val="18"/>
          <w:lang w:val="el-GR" w:eastAsia="en-US"/>
        </w:rPr>
        <w:t>Σεπτεμβρίου</w:t>
      </w:r>
      <w:r w:rsidRPr="000834F5">
        <w:rPr>
          <w:rFonts w:ascii="Arial" w:eastAsia="Batang" w:hAnsi="Arial" w:cs="Arial"/>
          <w:color w:val="262626"/>
          <w:sz w:val="18"/>
          <w:szCs w:val="18"/>
          <w:lang w:val="el-GR" w:eastAsia="en-US"/>
        </w:rPr>
        <w:t xml:space="preserve"> 2024</w:t>
      </w:r>
      <w:r w:rsidRPr="00A03828">
        <w:rPr>
          <w:rFonts w:ascii="Arial" w:eastAsia="Batang" w:hAnsi="Arial" w:cs="Arial"/>
          <w:color w:val="262626"/>
          <w:sz w:val="18"/>
          <w:szCs w:val="18"/>
          <w:lang w:val="el-GR" w:eastAsia="en-US"/>
        </w:rPr>
        <w:t>. Το Συγκρότημα θα συνεχίσει να αξιολογεί τις αναμενόμενες πιστωτικές ζημιές και τις σχετικές οικονομικές προοπτικές σε τριμηνιαία βάση, ούτως ώστε οποιεσδήποτε αλλαγές προκύπτουν από την αβεβαιότητα στις μακροοικονομικές προοπτικές και γεωπολιτικές εξελίξεις, να αντικατοπτρίζονται έγκαιρα.</w:t>
      </w:r>
    </w:p>
    <w:p w14:paraId="562E8991" w14:textId="77777777" w:rsidR="0056738E" w:rsidRPr="000834F5" w:rsidRDefault="0056738E" w:rsidP="0056738E">
      <w:pPr>
        <w:pStyle w:val="ListParagraph"/>
        <w:jc w:val="both"/>
        <w:rPr>
          <w:rFonts w:ascii="Arial" w:eastAsia="Batang" w:hAnsi="Arial" w:cs="Arial"/>
          <w:color w:val="262626"/>
          <w:sz w:val="18"/>
          <w:szCs w:val="18"/>
          <w:lang w:val="el-GR" w:eastAsia="en-US"/>
        </w:rPr>
      </w:pPr>
    </w:p>
    <w:bookmarkEnd w:id="40"/>
    <w:p w14:paraId="52605B9D" w14:textId="77777777" w:rsidR="0056738E" w:rsidRPr="00D17E65" w:rsidRDefault="0056738E" w:rsidP="0056738E">
      <w:pPr>
        <w:spacing w:after="0" w:line="240" w:lineRule="auto"/>
        <w:jc w:val="both"/>
        <w:rPr>
          <w:rFonts w:ascii="Arial" w:eastAsia="Batang" w:hAnsi="Arial" w:cs="Arial"/>
          <w:i/>
          <w:iCs/>
          <w:color w:val="262626"/>
          <w:sz w:val="18"/>
          <w:szCs w:val="18"/>
          <w:lang w:val="el-GR" w:eastAsia="en-US"/>
        </w:rPr>
      </w:pPr>
      <w:proofErr w:type="spellStart"/>
      <w:r w:rsidRPr="00D17E65">
        <w:rPr>
          <w:rFonts w:ascii="Arial" w:eastAsia="Batang" w:hAnsi="Arial" w:cs="Arial"/>
          <w:i/>
          <w:iCs/>
          <w:color w:val="262626"/>
          <w:sz w:val="18"/>
          <w:szCs w:val="18"/>
          <w:lang w:val="el-GR" w:eastAsia="en-US"/>
        </w:rPr>
        <w:t>Τμηματοποίηση</w:t>
      </w:r>
      <w:proofErr w:type="spellEnd"/>
      <w:r w:rsidRPr="00D17E65">
        <w:rPr>
          <w:rFonts w:ascii="Arial" w:eastAsia="Batang" w:hAnsi="Arial" w:cs="Arial"/>
          <w:i/>
          <w:iCs/>
          <w:color w:val="262626"/>
          <w:sz w:val="18"/>
          <w:szCs w:val="18"/>
          <w:lang w:val="el-GR" w:eastAsia="en-US"/>
        </w:rPr>
        <w:t xml:space="preserve"> χαρτοφυλακίου</w:t>
      </w:r>
    </w:p>
    <w:p w14:paraId="55A76B01" w14:textId="77777777" w:rsidR="0056738E" w:rsidRDefault="0056738E" w:rsidP="0056738E">
      <w:pPr>
        <w:autoSpaceDE w:val="0"/>
        <w:autoSpaceDN w:val="0"/>
        <w:adjustRightInd w:val="0"/>
        <w:spacing w:after="0" w:line="240" w:lineRule="auto"/>
        <w:jc w:val="both"/>
        <w:rPr>
          <w:rFonts w:ascii="Arial" w:eastAsia="Batang" w:hAnsi="Arial" w:cs="Arial"/>
          <w:color w:val="262626"/>
          <w:sz w:val="18"/>
          <w:szCs w:val="18"/>
          <w:lang w:val="el-GR" w:eastAsia="en-US"/>
        </w:rPr>
      </w:pPr>
      <w:r w:rsidRPr="000834F5">
        <w:rPr>
          <w:rFonts w:ascii="Arial" w:eastAsia="Batang" w:hAnsi="Arial" w:cs="Arial"/>
          <w:color w:val="262626"/>
          <w:sz w:val="18"/>
          <w:szCs w:val="18"/>
          <w:lang w:val="el-GR" w:eastAsia="en-US"/>
        </w:rPr>
        <w:t>Η αξιολόγηση απομείωσης σε ατομική βάση πραγματοποιείται όχι μόνο για περιουσιακά στοιχεία που είναι</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σημαντικά σε ατομική βάση, αλλά και για ανοίγματα που πληρούν συγκεκριμένα κριτήρια που καθορίζονται</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από τη διοίκηση. Τα κριτήρια επιλογής για τις εκθέσεις που αξιολογούνται σε ατομική βάση βασίζονται στην</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κρίση της διοίκησης και αναθεωρούνται σε τριμηνιαία βάση από την Υπηρεσία Διαχείρισης Κινδύνων και</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αναπροσαρμόζονται ή ενισχύονται εάν κριθεί αναγκαίο. Λόγω των πολέμων στην Ουκρανία και τη Μέση</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Ανατολή, τα κριτήρια επιλογής ενισχύθηκαν περαιτέρω ούτως ώστε να περιλαμβάνουν σημαντικά ανοίγματα</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πελατών με διαβατήριο από ή τόπο διαμονής τη Ρωσία, την Ουκρανία ή τη Λευκορωσία και/ή επιχειρηματικές</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δραστηριότητες εντός των εν λόγω χωρών και σημαντικά ανοίγματα όπου η πηγή αποπληρωμής προέρχεται</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από το Ισραήλ.</w:t>
      </w:r>
    </w:p>
    <w:p w14:paraId="12C0DE75" w14:textId="77777777" w:rsidR="0056738E" w:rsidRDefault="0056738E" w:rsidP="0056738E">
      <w:pPr>
        <w:autoSpaceDE w:val="0"/>
        <w:autoSpaceDN w:val="0"/>
        <w:adjustRightInd w:val="0"/>
        <w:spacing w:after="0" w:line="240" w:lineRule="auto"/>
        <w:jc w:val="both"/>
        <w:rPr>
          <w:rFonts w:ascii="Arial" w:eastAsia="Batang" w:hAnsi="Arial" w:cs="Arial"/>
          <w:color w:val="262626"/>
          <w:sz w:val="18"/>
          <w:szCs w:val="18"/>
          <w:lang w:val="el-GR" w:eastAsia="en-US"/>
        </w:rPr>
      </w:pPr>
    </w:p>
    <w:p w14:paraId="0C22E0DC" w14:textId="77777777" w:rsidR="0056738E" w:rsidRPr="00EE2EEA" w:rsidRDefault="0056738E" w:rsidP="0056738E">
      <w:pPr>
        <w:spacing w:after="0" w:line="360" w:lineRule="auto"/>
        <w:ind w:left="851" w:hanging="851"/>
        <w:jc w:val="both"/>
        <w:rPr>
          <w:rFonts w:ascii="Arial" w:hAnsi="Arial" w:cs="Arial"/>
          <w:b/>
          <w:color w:val="FF9900"/>
          <w:szCs w:val="18"/>
          <w:lang w:val="el-GR"/>
        </w:rPr>
      </w:pPr>
      <w:r>
        <w:rPr>
          <w:rFonts w:ascii="Arial" w:hAnsi="Arial" w:cs="Arial"/>
          <w:b/>
          <w:color w:val="FF9900"/>
          <w:szCs w:val="18"/>
          <w:lang w:val="el-GR"/>
        </w:rPr>
        <w:t xml:space="preserve">ΣΤ.7 </w:t>
      </w:r>
      <w:r w:rsidRPr="00D066DE">
        <w:rPr>
          <w:rFonts w:ascii="Arial" w:hAnsi="Arial" w:cs="Arial"/>
          <w:b/>
          <w:color w:val="FF9900"/>
          <w:szCs w:val="18"/>
          <w:lang w:val="el-GR"/>
        </w:rPr>
        <w:tab/>
      </w:r>
      <w:r w:rsidRPr="00B40F20">
        <w:rPr>
          <w:rFonts w:ascii="Arial" w:hAnsi="Arial" w:cs="Arial"/>
          <w:b/>
          <w:color w:val="FF9900"/>
          <w:szCs w:val="18"/>
          <w:lang w:val="el-GR"/>
        </w:rPr>
        <w:t xml:space="preserve">Δάνεια και απαιτήσεις από πελάτες που έχουν τύχει </w:t>
      </w:r>
      <w:r>
        <w:rPr>
          <w:rFonts w:ascii="Arial" w:hAnsi="Arial" w:cs="Arial"/>
          <w:b/>
          <w:color w:val="FF9900"/>
          <w:szCs w:val="18"/>
          <w:lang w:val="el-GR"/>
        </w:rPr>
        <w:t>ρύθμισης</w:t>
      </w:r>
    </w:p>
    <w:p w14:paraId="31190DCC" w14:textId="77777777" w:rsidR="0056738E" w:rsidRPr="00DA73D6" w:rsidRDefault="0056738E" w:rsidP="0056738E">
      <w:pPr>
        <w:shd w:val="clear" w:color="auto" w:fill="FFFFFF"/>
        <w:autoSpaceDE w:val="0"/>
        <w:autoSpaceDN w:val="0"/>
        <w:adjustRightInd w:val="0"/>
        <w:spacing w:after="120" w:line="240" w:lineRule="auto"/>
        <w:jc w:val="both"/>
        <w:rPr>
          <w:rFonts w:ascii="Arial" w:hAnsi="Arial" w:cs="Arial"/>
          <w:sz w:val="18"/>
          <w:szCs w:val="18"/>
          <w:lang w:val="el-GR"/>
        </w:rPr>
      </w:pPr>
      <w:r w:rsidRPr="009773F6">
        <w:rPr>
          <w:rFonts w:ascii="Arial" w:hAnsi="Arial" w:cs="Arial"/>
          <w:sz w:val="18"/>
          <w:szCs w:val="18"/>
          <w:lang w:val="el-GR"/>
        </w:rPr>
        <w:t xml:space="preserve">Ο </w:t>
      </w:r>
      <w:r>
        <w:rPr>
          <w:rFonts w:ascii="Arial" w:hAnsi="Arial" w:cs="Arial"/>
          <w:sz w:val="18"/>
          <w:szCs w:val="18"/>
          <w:lang w:val="el-GR"/>
        </w:rPr>
        <w:t>παρακάτω</w:t>
      </w:r>
      <w:r w:rsidRPr="009773F6">
        <w:rPr>
          <w:rFonts w:ascii="Arial" w:hAnsi="Arial" w:cs="Arial"/>
          <w:sz w:val="18"/>
          <w:szCs w:val="18"/>
          <w:lang w:val="el-GR"/>
        </w:rPr>
        <w:t xml:space="preserve"> π</w:t>
      </w:r>
      <w:r>
        <w:rPr>
          <w:rFonts w:ascii="Arial" w:hAnsi="Arial" w:cs="Arial"/>
          <w:sz w:val="18"/>
          <w:szCs w:val="18"/>
          <w:lang w:val="el-GR"/>
        </w:rPr>
        <w:t>ίνακας παρουσιάζει τα δάνεια και απαιτήσεις από πελάτες του Συγκροτήματος που έχουν τύχει ρύθμισης ανά στάδιο,</w:t>
      </w:r>
      <w:r w:rsidRPr="00A03828">
        <w:rPr>
          <w:rFonts w:ascii="Arial" w:hAnsi="Arial" w:cs="Arial"/>
          <w:sz w:val="18"/>
          <w:szCs w:val="18"/>
          <w:lang w:val="el-GR"/>
        </w:rPr>
        <w:t xml:space="preserve"> εξαιρουμένων εκείνων που κατέχονται προς πώληση.</w:t>
      </w:r>
    </w:p>
    <w:tbl>
      <w:tblPr>
        <w:tblW w:w="975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917"/>
        <w:gridCol w:w="1417"/>
        <w:gridCol w:w="1417"/>
      </w:tblGrid>
      <w:tr w:rsidR="0056738E" w:rsidRPr="00B53F28" w14:paraId="4D3792C7" w14:textId="77777777" w:rsidTr="007C2AEE">
        <w:trPr>
          <w:trHeight w:val="340"/>
          <w:jc w:val="center"/>
        </w:trPr>
        <w:tc>
          <w:tcPr>
            <w:tcW w:w="6917" w:type="dxa"/>
            <w:vAlign w:val="center"/>
          </w:tcPr>
          <w:p w14:paraId="29331597" w14:textId="77777777" w:rsidR="0056738E" w:rsidRPr="00053E32" w:rsidRDefault="0056738E" w:rsidP="007C2AEE">
            <w:pPr>
              <w:pStyle w:val="BodyTextIndent"/>
              <w:tabs>
                <w:tab w:val="left" w:pos="284"/>
              </w:tabs>
              <w:spacing w:after="0" w:line="240" w:lineRule="auto"/>
              <w:ind w:left="0"/>
              <w:rPr>
                <w:rFonts w:ascii="Arial" w:hAnsi="Arial" w:cs="Arial"/>
                <w:b/>
                <w:bCs/>
                <w:color w:val="262626"/>
                <w:sz w:val="18"/>
                <w:szCs w:val="18"/>
                <w:lang w:val="el-GR"/>
              </w:rPr>
            </w:pPr>
          </w:p>
        </w:tc>
        <w:tc>
          <w:tcPr>
            <w:tcW w:w="1417" w:type="dxa"/>
            <w:shd w:val="clear" w:color="auto" w:fill="FFFFFF"/>
            <w:vAlign w:val="center"/>
          </w:tcPr>
          <w:p w14:paraId="27D00A76" w14:textId="77777777" w:rsidR="0056738E" w:rsidRPr="00BF7133" w:rsidRDefault="0056738E" w:rsidP="007C2AEE">
            <w:pPr>
              <w:spacing w:after="0" w:line="240" w:lineRule="auto"/>
              <w:ind w:left="-98" w:right="-118"/>
              <w:jc w:val="center"/>
              <w:rPr>
                <w:rFonts w:ascii="Arial" w:hAnsi="Arial" w:cs="Arial"/>
                <w:color w:val="262626"/>
                <w:sz w:val="18"/>
                <w:szCs w:val="18"/>
                <w:lang w:val="el-GR"/>
              </w:rPr>
            </w:pPr>
            <w:r w:rsidRPr="006A365D">
              <w:rPr>
                <w:rFonts w:ascii="Arial" w:hAnsi="Arial" w:cs="Arial"/>
                <w:b/>
                <w:color w:val="262626"/>
                <w:sz w:val="18"/>
                <w:szCs w:val="18"/>
                <w:lang w:val="el-GR"/>
              </w:rPr>
              <w:t xml:space="preserve">30 Σεπτεμβρίου </w:t>
            </w:r>
            <w:r>
              <w:rPr>
                <w:rFonts w:ascii="Arial" w:hAnsi="Arial" w:cs="Arial"/>
                <w:b/>
                <w:color w:val="262626"/>
                <w:sz w:val="18"/>
                <w:szCs w:val="18"/>
                <w:lang w:val="el-GR"/>
              </w:rPr>
              <w:t>2024</w:t>
            </w:r>
          </w:p>
        </w:tc>
        <w:tc>
          <w:tcPr>
            <w:tcW w:w="1417" w:type="dxa"/>
            <w:shd w:val="clear" w:color="auto" w:fill="FFFFFF"/>
            <w:vAlign w:val="center"/>
          </w:tcPr>
          <w:p w14:paraId="732E2B14" w14:textId="77777777" w:rsidR="0056738E" w:rsidRPr="002D2DAF" w:rsidRDefault="0056738E" w:rsidP="007C2AEE">
            <w:pPr>
              <w:spacing w:after="0" w:line="240" w:lineRule="auto"/>
              <w:jc w:val="center"/>
              <w:rPr>
                <w:rFonts w:ascii="Arial" w:hAnsi="Arial" w:cs="Arial"/>
                <w:color w:val="262626"/>
                <w:sz w:val="18"/>
                <w:szCs w:val="18"/>
                <w:lang w:val="el-GR"/>
              </w:rPr>
            </w:pPr>
            <w:r w:rsidRPr="00D60454">
              <w:rPr>
                <w:rFonts w:ascii="Arial" w:hAnsi="Arial" w:cs="Arial"/>
                <w:color w:val="262626"/>
                <w:sz w:val="18"/>
                <w:szCs w:val="18"/>
              </w:rPr>
              <w:t xml:space="preserve">31 </w:t>
            </w:r>
            <w:r w:rsidRPr="00D60454">
              <w:rPr>
                <w:rFonts w:ascii="Arial" w:hAnsi="Arial" w:cs="Arial"/>
                <w:color w:val="262626"/>
                <w:sz w:val="18"/>
                <w:szCs w:val="18"/>
                <w:lang w:val="el-GR"/>
              </w:rPr>
              <w:t>Δεκεμβρίου</w:t>
            </w:r>
            <w:r w:rsidRPr="00D60454">
              <w:rPr>
                <w:rFonts w:ascii="Arial" w:hAnsi="Arial" w:cs="Arial"/>
                <w:color w:val="262626"/>
                <w:sz w:val="18"/>
                <w:szCs w:val="18"/>
              </w:rPr>
              <w:t xml:space="preserve"> 202</w:t>
            </w:r>
            <w:r>
              <w:rPr>
                <w:rFonts w:ascii="Arial" w:hAnsi="Arial" w:cs="Arial"/>
                <w:color w:val="262626"/>
                <w:sz w:val="18"/>
                <w:szCs w:val="18"/>
                <w:lang w:val="el-GR"/>
              </w:rPr>
              <w:t>3</w:t>
            </w:r>
          </w:p>
        </w:tc>
      </w:tr>
      <w:tr w:rsidR="0056738E" w:rsidRPr="0079189C" w14:paraId="4FC8094E" w14:textId="77777777" w:rsidTr="007C2AEE">
        <w:trPr>
          <w:trHeight w:val="283"/>
          <w:jc w:val="center"/>
        </w:trPr>
        <w:tc>
          <w:tcPr>
            <w:tcW w:w="6917" w:type="dxa"/>
            <w:vAlign w:val="center"/>
          </w:tcPr>
          <w:p w14:paraId="6806C783" w14:textId="77777777" w:rsidR="0056738E" w:rsidRPr="00AD7C9E" w:rsidRDefault="0056738E" w:rsidP="007C2AEE">
            <w:pPr>
              <w:pStyle w:val="BodyTextIndent"/>
              <w:tabs>
                <w:tab w:val="left" w:pos="284"/>
              </w:tabs>
              <w:spacing w:after="0" w:line="240" w:lineRule="auto"/>
              <w:ind w:left="0"/>
              <w:rPr>
                <w:rFonts w:ascii="Arial" w:hAnsi="Arial" w:cs="Arial"/>
                <w:color w:val="262626"/>
                <w:sz w:val="18"/>
                <w:szCs w:val="18"/>
              </w:rPr>
            </w:pPr>
          </w:p>
        </w:tc>
        <w:tc>
          <w:tcPr>
            <w:tcW w:w="1417" w:type="dxa"/>
            <w:shd w:val="clear" w:color="auto" w:fill="FFFFFF"/>
            <w:vAlign w:val="center"/>
          </w:tcPr>
          <w:p w14:paraId="6720EA05" w14:textId="77777777" w:rsidR="0056738E" w:rsidRPr="00AD7C9E" w:rsidRDefault="0056738E" w:rsidP="007C2AEE">
            <w:pPr>
              <w:tabs>
                <w:tab w:val="right" w:pos="7560"/>
                <w:tab w:val="right" w:pos="9000"/>
              </w:tabs>
              <w:suppressAutoHyphens/>
              <w:spacing w:after="0" w:line="240" w:lineRule="auto"/>
              <w:jc w:val="center"/>
              <w:rPr>
                <w:rFonts w:ascii="Arial" w:hAnsi="Arial" w:cs="Arial"/>
                <w:b/>
                <w:bCs/>
                <w:color w:val="262626"/>
                <w:sz w:val="18"/>
                <w:szCs w:val="18"/>
              </w:rPr>
            </w:pPr>
            <w:r w:rsidRPr="00AD7C9E">
              <w:rPr>
                <w:rFonts w:ascii="Arial" w:hAnsi="Arial" w:cs="Arial"/>
                <w:b/>
                <w:bCs/>
                <w:color w:val="262626"/>
                <w:sz w:val="18"/>
                <w:szCs w:val="18"/>
              </w:rPr>
              <w:t>€000</w:t>
            </w:r>
          </w:p>
        </w:tc>
        <w:tc>
          <w:tcPr>
            <w:tcW w:w="1417" w:type="dxa"/>
            <w:shd w:val="clear" w:color="auto" w:fill="FFFFFF"/>
            <w:vAlign w:val="center"/>
          </w:tcPr>
          <w:p w14:paraId="74BE9E33" w14:textId="77777777" w:rsidR="0056738E" w:rsidRPr="00EE2F65" w:rsidRDefault="0056738E" w:rsidP="007C2AEE">
            <w:pPr>
              <w:tabs>
                <w:tab w:val="right" w:pos="7560"/>
                <w:tab w:val="right" w:pos="9000"/>
              </w:tabs>
              <w:suppressAutoHyphens/>
              <w:spacing w:after="0" w:line="240" w:lineRule="auto"/>
              <w:jc w:val="center"/>
              <w:rPr>
                <w:rFonts w:ascii="Arial" w:hAnsi="Arial" w:cs="Arial"/>
                <w:color w:val="262626"/>
                <w:sz w:val="18"/>
                <w:szCs w:val="18"/>
              </w:rPr>
            </w:pPr>
            <w:r w:rsidRPr="00EE2F65">
              <w:rPr>
                <w:rFonts w:ascii="Arial" w:hAnsi="Arial" w:cs="Arial"/>
                <w:color w:val="262626"/>
                <w:sz w:val="18"/>
                <w:szCs w:val="18"/>
              </w:rPr>
              <w:t>€000</w:t>
            </w:r>
          </w:p>
        </w:tc>
      </w:tr>
      <w:tr w:rsidR="0056738E" w:rsidRPr="0079189C" w14:paraId="7DE6525A" w14:textId="77777777" w:rsidTr="007C2AEE">
        <w:trPr>
          <w:trHeight w:val="283"/>
          <w:jc w:val="center"/>
        </w:trPr>
        <w:tc>
          <w:tcPr>
            <w:tcW w:w="6917" w:type="dxa"/>
            <w:vAlign w:val="center"/>
          </w:tcPr>
          <w:p w14:paraId="4819DC10" w14:textId="77777777" w:rsidR="0056738E" w:rsidRPr="00AD7C9E" w:rsidRDefault="0056738E" w:rsidP="007C2AEE">
            <w:pPr>
              <w:pStyle w:val="BodyTextIndent"/>
              <w:tabs>
                <w:tab w:val="left" w:pos="284"/>
              </w:tabs>
              <w:spacing w:after="0" w:line="240" w:lineRule="auto"/>
              <w:ind w:left="0"/>
              <w:rPr>
                <w:rFonts w:ascii="Arial" w:hAnsi="Arial" w:cs="Arial"/>
                <w:bCs/>
                <w:color w:val="262626"/>
                <w:sz w:val="18"/>
                <w:szCs w:val="18"/>
              </w:rPr>
            </w:pPr>
            <w:r>
              <w:rPr>
                <w:rFonts w:ascii="Arial" w:eastAsia="Batang" w:hAnsi="Arial" w:cs="Arial"/>
                <w:bCs/>
                <w:color w:val="262626"/>
                <w:sz w:val="18"/>
                <w:szCs w:val="18"/>
                <w:lang w:val="el-GR" w:eastAsia="en-US"/>
              </w:rPr>
              <w:t>Στάδιο 1</w:t>
            </w:r>
          </w:p>
        </w:tc>
        <w:tc>
          <w:tcPr>
            <w:tcW w:w="1417" w:type="dxa"/>
            <w:shd w:val="clear" w:color="auto" w:fill="auto"/>
            <w:vAlign w:val="center"/>
          </w:tcPr>
          <w:p w14:paraId="231C2CC7" w14:textId="77777777" w:rsidR="0056738E" w:rsidRPr="00AD7C9E" w:rsidRDefault="0056738E" w:rsidP="007C2AEE">
            <w:pPr>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w:t>
            </w:r>
          </w:p>
        </w:tc>
        <w:tc>
          <w:tcPr>
            <w:tcW w:w="1417" w:type="dxa"/>
            <w:vAlign w:val="center"/>
          </w:tcPr>
          <w:p w14:paraId="0AEE9567" w14:textId="77777777" w:rsidR="0056738E" w:rsidRPr="00AA1C09" w:rsidRDefault="0056738E" w:rsidP="007C2AEE">
            <w:pPr>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Cs/>
                <w:color w:val="262626"/>
                <w:sz w:val="18"/>
                <w:szCs w:val="18"/>
              </w:rPr>
              <w:t>-</w:t>
            </w:r>
          </w:p>
        </w:tc>
      </w:tr>
      <w:tr w:rsidR="0056738E" w:rsidRPr="0079189C" w14:paraId="634BA7E9" w14:textId="77777777" w:rsidTr="007C2AEE">
        <w:trPr>
          <w:trHeight w:val="283"/>
          <w:jc w:val="center"/>
        </w:trPr>
        <w:tc>
          <w:tcPr>
            <w:tcW w:w="6917" w:type="dxa"/>
            <w:vAlign w:val="center"/>
          </w:tcPr>
          <w:p w14:paraId="07F240E8" w14:textId="77777777" w:rsidR="0056738E" w:rsidRPr="00AD7C9E" w:rsidRDefault="0056738E" w:rsidP="007C2AEE">
            <w:pPr>
              <w:pStyle w:val="BodyTextIndent"/>
              <w:tabs>
                <w:tab w:val="left" w:pos="284"/>
              </w:tabs>
              <w:spacing w:after="0" w:line="240" w:lineRule="auto"/>
              <w:ind w:left="0"/>
              <w:rPr>
                <w:rFonts w:ascii="Arial" w:hAnsi="Arial" w:cs="Arial"/>
                <w:bCs/>
                <w:color w:val="262626"/>
                <w:sz w:val="18"/>
                <w:szCs w:val="18"/>
              </w:rPr>
            </w:pPr>
            <w:r>
              <w:rPr>
                <w:rFonts w:ascii="Arial" w:eastAsia="Batang" w:hAnsi="Arial" w:cs="Arial"/>
                <w:bCs/>
                <w:color w:val="262626"/>
                <w:sz w:val="18"/>
                <w:szCs w:val="18"/>
                <w:lang w:val="el-GR" w:eastAsia="en-US"/>
              </w:rPr>
              <w:t>Στάδιο 2</w:t>
            </w:r>
          </w:p>
        </w:tc>
        <w:tc>
          <w:tcPr>
            <w:tcW w:w="1417" w:type="dxa"/>
            <w:shd w:val="clear" w:color="auto" w:fill="auto"/>
            <w:vAlign w:val="center"/>
          </w:tcPr>
          <w:p w14:paraId="73B0C1A5" w14:textId="77777777" w:rsidR="0056738E" w:rsidRPr="00AD7C9E" w:rsidRDefault="0056738E" w:rsidP="007C2AEE">
            <w:pPr>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196,572</w:t>
            </w:r>
          </w:p>
        </w:tc>
        <w:tc>
          <w:tcPr>
            <w:tcW w:w="1417" w:type="dxa"/>
            <w:vAlign w:val="center"/>
          </w:tcPr>
          <w:p w14:paraId="5F01CE13" w14:textId="77777777" w:rsidR="0056738E" w:rsidRPr="00AA1C09" w:rsidRDefault="0056738E" w:rsidP="007C2AEE">
            <w:pPr>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Cs/>
                <w:color w:val="262626"/>
                <w:sz w:val="18"/>
                <w:szCs w:val="18"/>
              </w:rPr>
              <w:t>261,091</w:t>
            </w:r>
          </w:p>
        </w:tc>
      </w:tr>
      <w:tr w:rsidR="0056738E" w:rsidRPr="0079189C" w14:paraId="21215D52" w14:textId="77777777" w:rsidTr="007C2AEE">
        <w:trPr>
          <w:trHeight w:val="283"/>
          <w:jc w:val="center"/>
        </w:trPr>
        <w:tc>
          <w:tcPr>
            <w:tcW w:w="6917" w:type="dxa"/>
            <w:vAlign w:val="center"/>
          </w:tcPr>
          <w:p w14:paraId="68757CE5" w14:textId="77777777" w:rsidR="0056738E" w:rsidRPr="00AD7C9E" w:rsidRDefault="0056738E" w:rsidP="007C2AEE">
            <w:pPr>
              <w:pStyle w:val="BodyTextIndent"/>
              <w:tabs>
                <w:tab w:val="left" w:pos="284"/>
              </w:tabs>
              <w:spacing w:after="0" w:line="240" w:lineRule="auto"/>
              <w:ind w:left="0"/>
              <w:rPr>
                <w:rFonts w:ascii="Arial" w:hAnsi="Arial" w:cs="Arial"/>
                <w:bCs/>
                <w:color w:val="262626"/>
                <w:sz w:val="18"/>
                <w:szCs w:val="18"/>
              </w:rPr>
            </w:pPr>
            <w:r>
              <w:rPr>
                <w:rFonts w:ascii="Arial" w:eastAsia="Batang" w:hAnsi="Arial" w:cs="Arial"/>
                <w:bCs/>
                <w:color w:val="262626"/>
                <w:sz w:val="18"/>
                <w:szCs w:val="18"/>
                <w:lang w:val="el-GR" w:eastAsia="en-US"/>
              </w:rPr>
              <w:t>Στάδιο 3</w:t>
            </w:r>
          </w:p>
        </w:tc>
        <w:tc>
          <w:tcPr>
            <w:tcW w:w="1417" w:type="dxa"/>
            <w:shd w:val="clear" w:color="auto" w:fill="auto"/>
            <w:vAlign w:val="center"/>
          </w:tcPr>
          <w:p w14:paraId="7E454291" w14:textId="77777777" w:rsidR="0056738E" w:rsidRPr="00AD7C9E" w:rsidRDefault="0056738E" w:rsidP="007C2AEE">
            <w:pPr>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
                <w:bCs/>
                <w:color w:val="262626"/>
                <w:sz w:val="18"/>
                <w:szCs w:val="18"/>
              </w:rPr>
              <w:t>105,463</w:t>
            </w:r>
          </w:p>
        </w:tc>
        <w:tc>
          <w:tcPr>
            <w:tcW w:w="1417" w:type="dxa"/>
            <w:vAlign w:val="center"/>
          </w:tcPr>
          <w:p w14:paraId="4217ABA9" w14:textId="77777777" w:rsidR="0056738E" w:rsidRPr="00AA1C09" w:rsidRDefault="0056738E" w:rsidP="007C2AEE">
            <w:pPr>
              <w:tabs>
                <w:tab w:val="right" w:pos="7560"/>
                <w:tab w:val="right" w:pos="9000"/>
              </w:tabs>
              <w:suppressAutoHyphens/>
              <w:spacing w:after="0" w:line="240" w:lineRule="auto"/>
              <w:jc w:val="right"/>
              <w:rPr>
                <w:rFonts w:ascii="Arial" w:hAnsi="Arial" w:cs="Arial"/>
                <w:b/>
                <w:bCs/>
                <w:color w:val="262626"/>
                <w:sz w:val="18"/>
                <w:szCs w:val="18"/>
              </w:rPr>
            </w:pPr>
            <w:r>
              <w:rPr>
                <w:rFonts w:ascii="Arial" w:hAnsi="Arial" w:cs="Arial"/>
                <w:bCs/>
                <w:color w:val="262626"/>
                <w:sz w:val="18"/>
                <w:szCs w:val="18"/>
              </w:rPr>
              <w:t>173,728</w:t>
            </w:r>
          </w:p>
        </w:tc>
      </w:tr>
      <w:tr w:rsidR="0056738E" w:rsidRPr="00EA064F" w14:paraId="3EEF7FD0" w14:textId="77777777" w:rsidTr="007C2AEE">
        <w:trPr>
          <w:trHeight w:val="283"/>
          <w:jc w:val="center"/>
        </w:trPr>
        <w:tc>
          <w:tcPr>
            <w:tcW w:w="6917" w:type="dxa"/>
            <w:vAlign w:val="center"/>
          </w:tcPr>
          <w:p w14:paraId="1805CDFC" w14:textId="77777777" w:rsidR="0056738E" w:rsidRPr="00F727A1" w:rsidRDefault="0056738E" w:rsidP="007C2AEE">
            <w:pPr>
              <w:pStyle w:val="BodyTextIndent"/>
              <w:tabs>
                <w:tab w:val="left" w:pos="284"/>
              </w:tabs>
              <w:spacing w:after="0" w:line="240" w:lineRule="auto"/>
              <w:ind w:left="0"/>
              <w:rPr>
                <w:rFonts w:ascii="Arial" w:hAnsi="Arial" w:cs="Arial"/>
                <w:color w:val="262626"/>
                <w:sz w:val="18"/>
                <w:szCs w:val="18"/>
                <w:lang w:val="el-GR"/>
              </w:rPr>
            </w:pPr>
            <w:proofErr w:type="spellStart"/>
            <w:r w:rsidRPr="00295155">
              <w:rPr>
                <w:rFonts w:ascii="Arial" w:eastAsia="Batang" w:hAnsi="Arial" w:cs="Arial"/>
                <w:color w:val="262626"/>
                <w:sz w:val="18"/>
                <w:szCs w:val="18"/>
                <w:lang w:val="el-GR" w:eastAsia="en-US"/>
              </w:rPr>
              <w:t>Απομειωμένα</w:t>
            </w:r>
            <w:proofErr w:type="spellEnd"/>
            <w:r w:rsidRPr="00295155">
              <w:rPr>
                <w:rFonts w:ascii="Arial" w:eastAsia="Batang" w:hAnsi="Arial" w:cs="Arial"/>
                <w:color w:val="262626"/>
                <w:sz w:val="18"/>
                <w:szCs w:val="18"/>
                <w:lang w:val="el-GR" w:eastAsia="en-US"/>
              </w:rPr>
              <w:t xml:space="preserve"> κατά την αρχική αναγνώριση (</w:t>
            </w:r>
            <w:r w:rsidRPr="00295155">
              <w:rPr>
                <w:rFonts w:ascii="Arial" w:eastAsia="Batang" w:hAnsi="Arial" w:cs="Arial"/>
                <w:color w:val="262626"/>
                <w:sz w:val="18"/>
                <w:szCs w:val="18"/>
                <w:lang w:val="en-US" w:eastAsia="en-US"/>
              </w:rPr>
              <w:t>POCI</w:t>
            </w:r>
            <w:r w:rsidRPr="00295155">
              <w:rPr>
                <w:rFonts w:ascii="Arial" w:eastAsia="Batang" w:hAnsi="Arial" w:cs="Arial"/>
                <w:color w:val="262626"/>
                <w:sz w:val="18"/>
                <w:szCs w:val="18"/>
                <w:lang w:val="el-GR" w:eastAsia="en-US"/>
              </w:rPr>
              <w:t>)</w:t>
            </w:r>
          </w:p>
        </w:tc>
        <w:tc>
          <w:tcPr>
            <w:tcW w:w="1417" w:type="dxa"/>
            <w:tcBorders>
              <w:bottom w:val="single" w:sz="6" w:space="0" w:color="auto"/>
            </w:tcBorders>
            <w:shd w:val="clear" w:color="auto" w:fill="auto"/>
            <w:vAlign w:val="center"/>
          </w:tcPr>
          <w:p w14:paraId="31BC030E" w14:textId="77777777" w:rsidR="0056738E" w:rsidRPr="00EA064F" w:rsidRDefault="0056738E" w:rsidP="007C2AEE">
            <w:pPr>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rPr>
              <w:t>28,153</w:t>
            </w:r>
          </w:p>
        </w:tc>
        <w:tc>
          <w:tcPr>
            <w:tcW w:w="1417" w:type="dxa"/>
            <w:tcBorders>
              <w:bottom w:val="single" w:sz="6" w:space="0" w:color="auto"/>
            </w:tcBorders>
            <w:vAlign w:val="center"/>
          </w:tcPr>
          <w:p w14:paraId="14CE0701" w14:textId="77777777" w:rsidR="0056738E" w:rsidRPr="00955C85" w:rsidRDefault="0056738E" w:rsidP="007C2AEE">
            <w:pPr>
              <w:tabs>
                <w:tab w:val="right" w:pos="7560"/>
                <w:tab w:val="right" w:pos="9000"/>
              </w:tabs>
              <w:suppressAutoHyphens/>
              <w:spacing w:after="0" w:line="240" w:lineRule="auto"/>
              <w:jc w:val="right"/>
              <w:rPr>
                <w:rFonts w:ascii="Arial" w:hAnsi="Arial" w:cs="Arial"/>
                <w:bCs/>
                <w:color w:val="262626"/>
                <w:sz w:val="18"/>
                <w:szCs w:val="18"/>
              </w:rPr>
            </w:pPr>
            <w:r>
              <w:rPr>
                <w:rFonts w:ascii="Arial" w:hAnsi="Arial" w:cs="Arial"/>
                <w:bCs/>
                <w:color w:val="262626"/>
                <w:sz w:val="18"/>
                <w:szCs w:val="18"/>
              </w:rPr>
              <w:t>20,921</w:t>
            </w:r>
          </w:p>
        </w:tc>
      </w:tr>
      <w:tr w:rsidR="0056738E" w:rsidRPr="00EA064F" w14:paraId="53E70010" w14:textId="77777777" w:rsidTr="007C2AEE">
        <w:trPr>
          <w:trHeight w:val="283"/>
          <w:jc w:val="center"/>
        </w:trPr>
        <w:tc>
          <w:tcPr>
            <w:tcW w:w="6917" w:type="dxa"/>
            <w:vAlign w:val="center"/>
          </w:tcPr>
          <w:p w14:paraId="05072F39" w14:textId="77777777" w:rsidR="0056738E" w:rsidRPr="00EA064F"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color w:val="262626"/>
                <w:sz w:val="18"/>
                <w:szCs w:val="18"/>
                <w:highlight w:val="yellow"/>
                <w:lang w:val="el-GR"/>
              </w:rPr>
            </w:pPr>
          </w:p>
        </w:tc>
        <w:tc>
          <w:tcPr>
            <w:tcW w:w="1417" w:type="dxa"/>
            <w:tcBorders>
              <w:top w:val="single" w:sz="6" w:space="0" w:color="auto"/>
              <w:bottom w:val="double" w:sz="6" w:space="0" w:color="auto"/>
            </w:tcBorders>
            <w:shd w:val="clear" w:color="auto" w:fill="auto"/>
            <w:vAlign w:val="center"/>
          </w:tcPr>
          <w:p w14:paraId="7FAB5D51" w14:textId="77777777" w:rsidR="0056738E" w:rsidRPr="00EA064F" w:rsidRDefault="0056738E" w:rsidP="007C2AEE">
            <w:pPr>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
                <w:bCs/>
                <w:color w:val="262626"/>
                <w:sz w:val="18"/>
                <w:szCs w:val="18"/>
              </w:rPr>
              <w:t>330,188</w:t>
            </w:r>
          </w:p>
        </w:tc>
        <w:tc>
          <w:tcPr>
            <w:tcW w:w="1417" w:type="dxa"/>
            <w:tcBorders>
              <w:top w:val="single" w:sz="6" w:space="0" w:color="auto"/>
              <w:bottom w:val="double" w:sz="6" w:space="0" w:color="auto"/>
            </w:tcBorders>
            <w:vAlign w:val="center"/>
          </w:tcPr>
          <w:p w14:paraId="6C27F4CB" w14:textId="77777777" w:rsidR="0056738E" w:rsidRPr="00AA1C09" w:rsidRDefault="0056738E" w:rsidP="007C2AEE">
            <w:pPr>
              <w:tabs>
                <w:tab w:val="right" w:pos="7560"/>
                <w:tab w:val="right" w:pos="9000"/>
              </w:tabs>
              <w:suppressAutoHyphens/>
              <w:spacing w:after="0" w:line="240" w:lineRule="auto"/>
              <w:jc w:val="right"/>
              <w:rPr>
                <w:rFonts w:ascii="Arial" w:hAnsi="Arial" w:cs="Arial"/>
                <w:b/>
                <w:bCs/>
                <w:color w:val="262626"/>
                <w:sz w:val="18"/>
                <w:szCs w:val="18"/>
                <w:lang w:val="el-GR"/>
              </w:rPr>
            </w:pPr>
            <w:r>
              <w:rPr>
                <w:rFonts w:ascii="Arial" w:hAnsi="Arial" w:cs="Arial"/>
                <w:bCs/>
                <w:color w:val="262626"/>
                <w:sz w:val="18"/>
                <w:szCs w:val="18"/>
              </w:rPr>
              <w:t>455,740</w:t>
            </w:r>
          </w:p>
        </w:tc>
      </w:tr>
      <w:tr w:rsidR="0056738E" w:rsidRPr="00EA064F" w14:paraId="5D5D0F0F" w14:textId="77777777" w:rsidTr="007C2AEE">
        <w:trPr>
          <w:trHeight w:val="340"/>
          <w:jc w:val="center"/>
        </w:trPr>
        <w:tc>
          <w:tcPr>
            <w:tcW w:w="6917" w:type="dxa"/>
            <w:tcBorders>
              <w:left w:val="nil"/>
              <w:bottom w:val="nil"/>
              <w:right w:val="nil"/>
            </w:tcBorders>
            <w:vAlign w:val="center"/>
          </w:tcPr>
          <w:p w14:paraId="5FFA4A71" w14:textId="77777777" w:rsidR="0056738E" w:rsidRPr="00EA064F" w:rsidRDefault="0056738E" w:rsidP="007C2AEE">
            <w:pPr>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color w:val="262626"/>
                <w:sz w:val="18"/>
                <w:szCs w:val="18"/>
                <w:highlight w:val="yellow"/>
                <w:lang w:val="el-GR"/>
              </w:rPr>
            </w:pPr>
          </w:p>
        </w:tc>
        <w:tc>
          <w:tcPr>
            <w:tcW w:w="1417" w:type="dxa"/>
            <w:tcBorders>
              <w:top w:val="double" w:sz="6" w:space="0" w:color="auto"/>
              <w:left w:val="nil"/>
              <w:bottom w:val="nil"/>
              <w:right w:val="nil"/>
            </w:tcBorders>
            <w:shd w:val="clear" w:color="auto" w:fill="auto"/>
            <w:vAlign w:val="center"/>
          </w:tcPr>
          <w:p w14:paraId="2006A8B8" w14:textId="77777777" w:rsidR="0056738E" w:rsidRPr="00EA064F" w:rsidRDefault="0056738E" w:rsidP="007C2AEE">
            <w:pPr>
              <w:tabs>
                <w:tab w:val="right" w:pos="7560"/>
                <w:tab w:val="right" w:pos="9000"/>
              </w:tabs>
              <w:suppressAutoHyphens/>
              <w:spacing w:after="0" w:line="240" w:lineRule="auto"/>
              <w:jc w:val="right"/>
              <w:rPr>
                <w:rFonts w:ascii="Arial" w:hAnsi="Arial" w:cs="Arial"/>
                <w:b/>
                <w:bCs/>
                <w:color w:val="262626"/>
                <w:sz w:val="18"/>
                <w:szCs w:val="18"/>
                <w:lang w:val="el-GR"/>
              </w:rPr>
            </w:pPr>
          </w:p>
        </w:tc>
        <w:tc>
          <w:tcPr>
            <w:tcW w:w="1417" w:type="dxa"/>
            <w:tcBorders>
              <w:top w:val="double" w:sz="6" w:space="0" w:color="auto"/>
              <w:left w:val="nil"/>
              <w:bottom w:val="nil"/>
              <w:right w:val="nil"/>
            </w:tcBorders>
            <w:vAlign w:val="center"/>
          </w:tcPr>
          <w:p w14:paraId="3A836240" w14:textId="77777777" w:rsidR="0056738E" w:rsidRPr="00AA1C09" w:rsidRDefault="0056738E" w:rsidP="007C2AEE">
            <w:pPr>
              <w:tabs>
                <w:tab w:val="right" w:pos="7560"/>
                <w:tab w:val="right" w:pos="9000"/>
              </w:tabs>
              <w:suppressAutoHyphens/>
              <w:spacing w:after="0" w:line="240" w:lineRule="auto"/>
              <w:jc w:val="right"/>
              <w:rPr>
                <w:rFonts w:ascii="Arial" w:hAnsi="Arial" w:cs="Arial"/>
                <w:bCs/>
                <w:color w:val="262626"/>
                <w:sz w:val="18"/>
                <w:szCs w:val="18"/>
              </w:rPr>
            </w:pPr>
          </w:p>
        </w:tc>
      </w:tr>
    </w:tbl>
    <w:p w14:paraId="56179C2C" w14:textId="77777777" w:rsidR="0056738E" w:rsidRPr="00F243FF" w:rsidRDefault="0056738E" w:rsidP="0056738E">
      <w:pPr>
        <w:spacing w:after="0" w:line="360" w:lineRule="auto"/>
        <w:ind w:left="851" w:hanging="851"/>
        <w:jc w:val="both"/>
        <w:rPr>
          <w:rFonts w:ascii="Arial" w:eastAsia="Batang" w:hAnsi="Arial" w:cs="Arial"/>
          <w:color w:val="262626"/>
          <w:sz w:val="18"/>
          <w:szCs w:val="18"/>
          <w:lang w:val="el-GR" w:eastAsia="en-US"/>
        </w:rPr>
      </w:pPr>
      <w:r w:rsidRPr="00F243FF">
        <w:rPr>
          <w:rFonts w:ascii="Arial" w:hAnsi="Arial" w:cs="Arial"/>
          <w:b/>
          <w:color w:val="FF9900"/>
          <w:szCs w:val="18"/>
          <w:lang w:val="el-GR"/>
        </w:rPr>
        <w:t>ΣΤ.8</w:t>
      </w:r>
      <w:r w:rsidRPr="00F243FF">
        <w:rPr>
          <w:rFonts w:ascii="Arial" w:hAnsi="Arial" w:cs="Arial"/>
          <w:b/>
          <w:color w:val="FF9900"/>
          <w:szCs w:val="18"/>
          <w:lang w:val="el-GR"/>
        </w:rPr>
        <w:tab/>
        <w:t>Επιδικίες, υπό διαιτησία διαφορές, κανονιστικά και άλλα θέματα</w:t>
      </w:r>
    </w:p>
    <w:p w14:paraId="62CF2923" w14:textId="77777777" w:rsidR="0056738E" w:rsidRPr="008A3E7B" w:rsidRDefault="0056738E" w:rsidP="0056738E">
      <w:pPr>
        <w:pStyle w:val="Bodytxt2"/>
        <w:spacing w:before="0"/>
        <w:rPr>
          <w:rFonts w:ascii="Arial" w:eastAsia="Batang" w:hAnsi="Arial" w:cs="Arial"/>
          <w:color w:val="262626"/>
          <w:lang w:val="el-GR" w:eastAsia="en-US"/>
        </w:rPr>
      </w:pPr>
      <w:r w:rsidRPr="008A3E7B">
        <w:rPr>
          <w:rFonts w:ascii="Arial" w:eastAsia="Batang" w:hAnsi="Arial" w:cs="Arial"/>
          <w:color w:val="262626"/>
          <w:lang w:val="el-GR" w:eastAsia="en-US"/>
        </w:rPr>
        <w:t xml:space="preserve">Το Συγκρότημα, στο πλαίσιο των συνήθων δραστηριοτήτων του, </w:t>
      </w:r>
      <w:r>
        <w:rPr>
          <w:rFonts w:ascii="Arial" w:eastAsia="Batang" w:hAnsi="Arial" w:cs="Arial"/>
          <w:color w:val="262626"/>
          <w:lang w:val="el-GR" w:eastAsia="en-US"/>
        </w:rPr>
        <w:t xml:space="preserve">εμπλέκεται σε διαφορές και νομικές διαδικασίες, και </w:t>
      </w:r>
      <w:r w:rsidRPr="008A3E7B">
        <w:rPr>
          <w:rFonts w:ascii="Arial" w:eastAsia="Batang" w:hAnsi="Arial" w:cs="Arial"/>
          <w:color w:val="262626"/>
          <w:lang w:val="el-GR" w:eastAsia="en-US"/>
        </w:rPr>
        <w:t xml:space="preserve">υπόκειται σε έρευνες και ανακρίσεις, αιτήματα για παροχή πληροφοριών, ελέγχους, έρευνες, και άλλες διαδικασίες από τις εποπτικές αρχές, κυβερνητικούς και άλλους δημόσιους φορείς, πραγματικές και επαπειλούμενες, που αφορούν την </w:t>
      </w:r>
      <w:proofErr w:type="spellStart"/>
      <w:r w:rsidRPr="008A3E7B">
        <w:rPr>
          <w:rFonts w:ascii="Arial" w:eastAsia="Batang" w:hAnsi="Arial" w:cs="Arial"/>
          <w:color w:val="262626"/>
          <w:lang w:val="el-GR" w:eastAsia="en-US"/>
        </w:rPr>
        <w:t>καταλληλότητα</w:t>
      </w:r>
      <w:proofErr w:type="spellEnd"/>
      <w:r w:rsidRPr="008A3E7B">
        <w:rPr>
          <w:rFonts w:ascii="Arial" w:eastAsia="Batang" w:hAnsi="Arial" w:cs="Arial"/>
          <w:color w:val="262626"/>
          <w:lang w:val="el-GR" w:eastAsia="en-US"/>
        </w:rPr>
        <w:t xml:space="preserve"> και την επάρκεια των συμβουλών που δόθηκαν στους πελάτες ή την μη παροχή συμβουλών, τις πρακτικές δανεισμού και τιμολόγησης, </w:t>
      </w:r>
      <w:r>
        <w:rPr>
          <w:rFonts w:ascii="Arial" w:eastAsia="Batang" w:hAnsi="Arial" w:cs="Arial"/>
          <w:color w:val="262626"/>
          <w:lang w:val="el-GR" w:eastAsia="en-US"/>
        </w:rPr>
        <w:t>τις υποχρεώσεις του Συγκροτήματος σε σχέση με</w:t>
      </w:r>
      <w:r w:rsidRPr="008A3E7B">
        <w:rPr>
          <w:rFonts w:ascii="Arial" w:eastAsia="Batang" w:hAnsi="Arial" w:cs="Arial"/>
          <w:color w:val="262626"/>
          <w:lang w:val="el-GR" w:eastAsia="en-US"/>
        </w:rPr>
        <w:t xml:space="preserve"> θέματα πωλήσεων και </w:t>
      </w:r>
      <w:r>
        <w:rPr>
          <w:rFonts w:ascii="Arial" w:eastAsia="Batang" w:hAnsi="Arial" w:cs="Arial"/>
          <w:color w:val="262626"/>
          <w:lang w:val="el-GR" w:eastAsia="en-US"/>
        </w:rPr>
        <w:t>τη γνωστοποίηση</w:t>
      </w:r>
      <w:r w:rsidRPr="008A3E7B">
        <w:rPr>
          <w:rFonts w:ascii="Arial" w:eastAsia="Batang" w:hAnsi="Arial" w:cs="Arial"/>
          <w:color w:val="262626"/>
          <w:lang w:val="el-GR" w:eastAsia="en-US"/>
        </w:rPr>
        <w:t xml:space="preserve"> πληροφοριών, </w:t>
      </w:r>
      <w:r>
        <w:rPr>
          <w:rFonts w:ascii="Arial" w:eastAsia="Batang" w:hAnsi="Arial" w:cs="Arial"/>
          <w:color w:val="262626"/>
          <w:lang w:val="el-GR" w:eastAsia="en-US"/>
        </w:rPr>
        <w:t>σε σχέση με απαιτήσεις αναφοράς και θέματα ασφάλειας πληροφοριών</w:t>
      </w:r>
      <w:r w:rsidRPr="008A3E7B">
        <w:rPr>
          <w:rFonts w:ascii="Arial" w:eastAsia="Batang" w:hAnsi="Arial" w:cs="Arial"/>
          <w:color w:val="262626"/>
          <w:lang w:val="el-GR" w:eastAsia="en-US"/>
        </w:rPr>
        <w:t xml:space="preserve"> και διάφορα άλλα θέματα. Επιπρόσθετα, ως αποτέλεσμα της επιδείνωσης της Κυπριακής οικονομίας και του τραπεζικού τομέα το 2012 και την μετέπειτα αναδιάρθρωση της BOC PCL το 2013 ως αποτέλεσμα των Διαταγμάτων Διάσωσης με Ίδια Μέσα, η BOC PCL υπόκειται σε μεγάλο αριθμό νομικών διαδικασιών και ερευνών που είτε προηγούνται, ή προκύπτουν από γεγονότα που συνέβησαν κατά τη διάρκεια της περιόδου των Διαταγμάτων Διάσωσης με Ίδια Μέσα. </w:t>
      </w:r>
    </w:p>
    <w:p w14:paraId="406A05CC" w14:textId="77777777" w:rsidR="0056738E" w:rsidRPr="00D6733D" w:rsidRDefault="0056738E" w:rsidP="0056738E">
      <w:pPr>
        <w:spacing w:after="0" w:line="360" w:lineRule="auto"/>
        <w:ind w:left="851" w:hanging="851"/>
        <w:rPr>
          <w:rFonts w:ascii="Arial" w:hAnsi="Arial" w:cs="Arial"/>
          <w:b/>
          <w:color w:val="FF9900"/>
          <w:lang w:val="el-GR"/>
        </w:rPr>
      </w:pPr>
      <w:r w:rsidRPr="00D6733D">
        <w:rPr>
          <w:rFonts w:ascii="Arial" w:hAnsi="Arial" w:cs="Arial"/>
          <w:b/>
          <w:color w:val="FF9900"/>
          <w:szCs w:val="16"/>
          <w:lang w:val="el-GR"/>
        </w:rPr>
        <w:lastRenderedPageBreak/>
        <w:t xml:space="preserve">ΣΤ. </w:t>
      </w:r>
      <w:r w:rsidRPr="00D6733D">
        <w:rPr>
          <w:rFonts w:ascii="Arial" w:hAnsi="Arial" w:cs="Arial"/>
          <w:b/>
          <w:color w:val="FF9900"/>
          <w:szCs w:val="16"/>
          <w:lang w:val="el-GR"/>
        </w:rPr>
        <w:tab/>
      </w:r>
      <w:r w:rsidRPr="00D6733D">
        <w:rPr>
          <w:rFonts w:ascii="Arial" w:hAnsi="Arial" w:cs="Arial"/>
          <w:b/>
          <w:color w:val="FF9900"/>
          <w:lang w:val="el-GR"/>
        </w:rPr>
        <w:t xml:space="preserve">Σημειώσεις </w:t>
      </w:r>
      <w:r w:rsidRPr="00D6733D">
        <w:rPr>
          <w:rFonts w:ascii="Arial" w:hAnsi="Arial" w:cs="Arial"/>
          <w:color w:val="FF9900"/>
          <w:lang w:val="el-GR"/>
        </w:rPr>
        <w:t>(συνέχεια)</w:t>
      </w:r>
    </w:p>
    <w:p w14:paraId="3E6D3408" w14:textId="77777777" w:rsidR="0056738E" w:rsidRPr="00F243FF" w:rsidRDefault="0056738E" w:rsidP="0056738E">
      <w:pPr>
        <w:spacing w:after="0" w:line="360" w:lineRule="auto"/>
        <w:ind w:left="851" w:hanging="851"/>
        <w:jc w:val="both"/>
        <w:rPr>
          <w:rFonts w:ascii="Arial" w:eastAsia="Batang" w:hAnsi="Arial" w:cs="Arial"/>
          <w:color w:val="262626"/>
          <w:sz w:val="18"/>
          <w:szCs w:val="18"/>
          <w:lang w:val="el-GR" w:eastAsia="en-US"/>
        </w:rPr>
      </w:pPr>
      <w:r w:rsidRPr="00F243FF">
        <w:rPr>
          <w:rFonts w:ascii="Arial" w:hAnsi="Arial" w:cs="Arial"/>
          <w:b/>
          <w:color w:val="FF9900"/>
          <w:szCs w:val="18"/>
          <w:lang w:val="el-GR"/>
        </w:rPr>
        <w:t>ΣΤ.8</w:t>
      </w:r>
      <w:r w:rsidRPr="00F243FF">
        <w:rPr>
          <w:rFonts w:ascii="Arial" w:hAnsi="Arial" w:cs="Arial"/>
          <w:b/>
          <w:color w:val="FF9900"/>
          <w:szCs w:val="18"/>
          <w:lang w:val="el-GR"/>
        </w:rPr>
        <w:tab/>
        <w:t>Επιδικίες, υπό διαιτησία διαφορές, κανονιστικά και άλλα θέματα</w:t>
      </w:r>
      <w:r>
        <w:rPr>
          <w:rFonts w:ascii="Arial" w:eastAsia="Batang" w:hAnsi="Arial" w:cs="Arial"/>
          <w:color w:val="262626"/>
          <w:sz w:val="18"/>
          <w:szCs w:val="18"/>
          <w:lang w:val="el-GR" w:eastAsia="en-US"/>
        </w:rPr>
        <w:t xml:space="preserve"> </w:t>
      </w:r>
      <w:r w:rsidRPr="00D6733D">
        <w:rPr>
          <w:rFonts w:ascii="Arial" w:hAnsi="Arial" w:cs="Arial"/>
          <w:color w:val="FF9900"/>
          <w:lang w:val="el-GR"/>
        </w:rPr>
        <w:t>(συνέχεια)</w:t>
      </w:r>
    </w:p>
    <w:p w14:paraId="7E71F756" w14:textId="77777777" w:rsidR="0056738E" w:rsidRPr="00A03828" w:rsidRDefault="0056738E" w:rsidP="0056738E">
      <w:pPr>
        <w:pStyle w:val="Bodytxt2"/>
        <w:spacing w:before="0"/>
        <w:rPr>
          <w:rFonts w:ascii="Arial" w:eastAsia="Batang" w:hAnsi="Arial" w:cs="Arial"/>
          <w:color w:val="262626"/>
          <w:lang w:val="el-GR" w:eastAsia="en-US"/>
        </w:rPr>
      </w:pPr>
      <w:r w:rsidRPr="00D579E5">
        <w:rPr>
          <w:rFonts w:ascii="Arial" w:eastAsia="Batang" w:hAnsi="Arial" w:cs="Arial"/>
          <w:color w:val="262626"/>
          <w:lang w:val="el-GR" w:eastAsia="en-US"/>
        </w:rPr>
        <w:t>Αναγνωρίστηκαν προβλέψεις για εκείνες τις περιπτώσεις για τις οποίες το Συγκρότημα είναι σε θέση</w:t>
      </w:r>
      <w:r>
        <w:rPr>
          <w:rFonts w:ascii="Arial" w:eastAsia="Batang" w:hAnsi="Arial" w:cs="Arial"/>
          <w:color w:val="262626"/>
          <w:lang w:val="el-GR" w:eastAsia="en-US"/>
        </w:rPr>
        <w:t xml:space="preserve"> </w:t>
      </w:r>
      <w:r w:rsidRPr="00D579E5">
        <w:rPr>
          <w:rFonts w:ascii="Arial" w:eastAsia="Batang" w:hAnsi="Arial" w:cs="Arial"/>
          <w:color w:val="262626"/>
          <w:lang w:val="el-GR" w:eastAsia="en-US"/>
        </w:rPr>
        <w:t>να υπολογίσει πιθανές ζημιές. Η αναγνώριση οποιασδήποτε πρόβλεψης δεν συνιστά παραδοχή</w:t>
      </w:r>
      <w:r>
        <w:rPr>
          <w:rFonts w:ascii="Arial" w:eastAsia="Batang" w:hAnsi="Arial" w:cs="Arial"/>
          <w:color w:val="262626"/>
          <w:lang w:val="el-GR" w:eastAsia="en-US"/>
        </w:rPr>
        <w:t xml:space="preserve"> αδικήματος</w:t>
      </w:r>
      <w:r w:rsidRPr="00D579E5">
        <w:rPr>
          <w:rFonts w:ascii="Arial" w:eastAsia="Batang" w:hAnsi="Arial" w:cs="Arial"/>
          <w:color w:val="262626"/>
          <w:lang w:val="el-GR" w:eastAsia="en-US"/>
        </w:rPr>
        <w:t xml:space="preserve"> ή νομικής ευθύνης.</w:t>
      </w:r>
      <w:r w:rsidRPr="00A03828">
        <w:rPr>
          <w:rFonts w:ascii="Arial" w:eastAsia="Batang" w:hAnsi="Arial" w:cs="Arial"/>
          <w:color w:val="262626"/>
          <w:lang w:val="el-GR" w:eastAsia="en-US"/>
        </w:rPr>
        <w:t xml:space="preserve"> </w:t>
      </w:r>
      <w:r w:rsidRPr="008A3E7B">
        <w:rPr>
          <w:rFonts w:ascii="Arial" w:eastAsia="Batang" w:hAnsi="Arial" w:cs="Arial"/>
          <w:color w:val="262626"/>
          <w:lang w:val="el-GR" w:eastAsia="en-US"/>
        </w:rPr>
        <w:t>Υπάρχουν επίσης περιπτώσεις όπου το Συγκρότημα μπορεί να συνάψει συμφωνία διακανονισμού. Αυτό μπορεί να συμβεί μόνο εάν</w:t>
      </w:r>
      <w:r>
        <w:rPr>
          <w:rFonts w:ascii="Arial" w:eastAsia="Batang" w:hAnsi="Arial" w:cs="Arial"/>
          <w:color w:val="262626"/>
          <w:lang w:val="el-GR" w:eastAsia="en-US"/>
        </w:rPr>
        <w:t xml:space="preserve"> αυτός</w:t>
      </w:r>
      <w:r w:rsidRPr="008A3E7B">
        <w:rPr>
          <w:rFonts w:ascii="Arial" w:eastAsia="Batang" w:hAnsi="Arial" w:cs="Arial"/>
          <w:color w:val="262626"/>
          <w:lang w:val="el-GR" w:eastAsia="en-US"/>
        </w:rPr>
        <w:t xml:space="preserve"> ο διακανονισμός είναι προς το </w:t>
      </w:r>
      <w:r>
        <w:rPr>
          <w:rFonts w:ascii="Arial" w:eastAsia="Batang" w:hAnsi="Arial" w:cs="Arial"/>
          <w:color w:val="262626"/>
          <w:lang w:val="el-GR" w:eastAsia="en-US"/>
        </w:rPr>
        <w:t>όφελος</w:t>
      </w:r>
      <w:r w:rsidRPr="008A3E7B">
        <w:rPr>
          <w:rFonts w:ascii="Arial" w:eastAsia="Batang" w:hAnsi="Arial" w:cs="Arial"/>
          <w:color w:val="262626"/>
          <w:lang w:val="el-GR" w:eastAsia="en-US"/>
        </w:rPr>
        <w:t xml:space="preserve"> της BOC PCL (ο διακανονισμός αυτός δεν συνιστά παραδοχή αδικήματος) και πραγματοποιείται μόνο μετά από νομική συμβουλή και </w:t>
      </w:r>
      <w:r>
        <w:rPr>
          <w:rFonts w:ascii="Arial" w:eastAsia="Batang" w:hAnsi="Arial" w:cs="Arial"/>
          <w:color w:val="262626"/>
          <w:lang w:val="el-GR" w:eastAsia="en-US"/>
        </w:rPr>
        <w:t>μετά από</w:t>
      </w:r>
      <w:r w:rsidRPr="008A3E7B">
        <w:rPr>
          <w:rFonts w:ascii="Arial" w:eastAsia="Batang" w:hAnsi="Arial" w:cs="Arial"/>
          <w:color w:val="262626"/>
          <w:lang w:val="el-GR" w:eastAsia="en-US"/>
        </w:rPr>
        <w:t xml:space="preserve"> όλες </w:t>
      </w:r>
      <w:r>
        <w:rPr>
          <w:rFonts w:ascii="Arial" w:eastAsia="Batang" w:hAnsi="Arial" w:cs="Arial"/>
          <w:color w:val="262626"/>
          <w:lang w:val="el-GR" w:eastAsia="en-US"/>
        </w:rPr>
        <w:t>τις</w:t>
      </w:r>
      <w:r w:rsidRPr="008A3E7B">
        <w:rPr>
          <w:rFonts w:ascii="Arial" w:eastAsia="Batang" w:hAnsi="Arial" w:cs="Arial"/>
          <w:color w:val="262626"/>
          <w:lang w:val="el-GR" w:eastAsia="en-US"/>
        </w:rPr>
        <w:t xml:space="preserve"> εγκρίσεις από τα αρμόδια όργανα της διοίκησης.</w:t>
      </w:r>
      <w:r w:rsidRPr="00A03828">
        <w:rPr>
          <w:rFonts w:ascii="Arial" w:eastAsia="Batang" w:hAnsi="Arial" w:cs="Arial"/>
          <w:color w:val="262626"/>
          <w:lang w:val="el-GR" w:eastAsia="en-US"/>
        </w:rPr>
        <w:t xml:space="preserve"> Παρόλο που η έκβαση αυτών των θεμάτων είναι από τη φύση τους αβέβαιη, η διοίκηση πιστεύει ότι, με βάση τη διαθέσιμη πληροφόρηση, έχουν γίνει κατάλληλες προβλέψεις σε σχέση με τις νομικές διαδικασίες, τα κανονιστικά και άλλα θέματα στις 30 Σεπτεμβρίου 2024, και ως εκ τούτου δεν προβλέπεται ότι αυτά τα θέματα, όταν ολοκληρωθούν, θα έχουν σημαντική επίδραση στη χρηματοοικονομική θέση του Συγκροτήματος. Λεπτομέρειες για τις σημαντικές υποθέσεις που βρίσκονται σε εξέλιξη γνωστοποιούνται στην Ενδιάμεση Οικονομική Έκθεση 2024.</w:t>
      </w:r>
    </w:p>
    <w:p w14:paraId="752A95AD" w14:textId="77777777" w:rsidR="0056738E" w:rsidRDefault="0056738E" w:rsidP="0056738E">
      <w:pPr>
        <w:autoSpaceDE w:val="0"/>
        <w:autoSpaceDN w:val="0"/>
        <w:adjustRightInd w:val="0"/>
        <w:spacing w:after="0" w:line="240" w:lineRule="auto"/>
        <w:jc w:val="both"/>
        <w:rPr>
          <w:rFonts w:ascii="Arial" w:eastAsia="Batang" w:hAnsi="Arial" w:cs="Arial"/>
          <w:color w:val="262626"/>
          <w:sz w:val="18"/>
          <w:szCs w:val="18"/>
          <w:lang w:val="el-GR" w:eastAsia="en-US"/>
        </w:rPr>
      </w:pPr>
    </w:p>
    <w:p w14:paraId="7DBCFC5D" w14:textId="77777777" w:rsidR="0056738E" w:rsidRPr="00041815" w:rsidRDefault="0056738E" w:rsidP="0056738E">
      <w:pPr>
        <w:rPr>
          <w:rFonts w:ascii="Arial" w:hAnsi="Arial" w:cs="Arial"/>
          <w:color w:val="262626"/>
          <w:sz w:val="18"/>
          <w:lang w:val="el-GR"/>
        </w:rPr>
      </w:pPr>
      <w:r>
        <w:rPr>
          <w:rFonts w:ascii="Arial" w:hAnsi="Arial" w:cs="Arial"/>
          <w:b/>
          <w:color w:val="FF9900"/>
          <w:szCs w:val="18"/>
          <w:lang w:val="el-GR"/>
        </w:rPr>
        <w:br w:type="page"/>
      </w:r>
    </w:p>
    <w:p w14:paraId="562A78FD" w14:textId="77777777" w:rsidR="0056738E" w:rsidRPr="00041815" w:rsidRDefault="0056738E" w:rsidP="0056738E">
      <w:pPr>
        <w:tabs>
          <w:tab w:val="left" w:pos="540"/>
        </w:tabs>
        <w:spacing w:after="0" w:line="240" w:lineRule="auto"/>
        <w:rPr>
          <w:rFonts w:ascii="Arial" w:hAnsi="Arial" w:cs="Arial"/>
          <w:color w:val="262626"/>
          <w:sz w:val="18"/>
          <w:lang w:val="el-GR"/>
        </w:rPr>
        <w:sectPr w:rsidR="0056738E" w:rsidRPr="00041815" w:rsidSect="0056738E">
          <w:headerReference w:type="default" r:id="rId18"/>
          <w:pgSz w:w="11909" w:h="16834"/>
          <w:pgMar w:top="851" w:right="929" w:bottom="851" w:left="907" w:header="720" w:footer="731" w:gutter="0"/>
          <w:cols w:space="720"/>
          <w:docGrid w:linePitch="326"/>
        </w:sectPr>
      </w:pPr>
    </w:p>
    <w:p w14:paraId="36706FD5" w14:textId="77777777" w:rsidR="0056738E" w:rsidRPr="00022E44" w:rsidRDefault="0056738E" w:rsidP="0056738E">
      <w:pPr>
        <w:keepNext/>
        <w:tabs>
          <w:tab w:val="left" w:pos="1416"/>
          <w:tab w:val="decimal" w:pos="4962"/>
          <w:tab w:val="decimal" w:pos="6521"/>
          <w:tab w:val="right" w:pos="7560"/>
          <w:tab w:val="decimal" w:pos="8220"/>
          <w:tab w:val="left" w:pos="8640"/>
          <w:tab w:val="right" w:pos="9000"/>
        </w:tabs>
        <w:suppressAutoHyphens/>
        <w:spacing w:after="120" w:line="240" w:lineRule="auto"/>
        <w:ind w:left="851" w:right="-130" w:hanging="851"/>
        <w:jc w:val="both"/>
        <w:outlineLvl w:val="8"/>
        <w:rPr>
          <w:rFonts w:ascii="Arial" w:hAnsi="Arial" w:cs="Arial"/>
          <w:color w:val="FF9900"/>
          <w:szCs w:val="18"/>
          <w:lang w:val="el-GR"/>
        </w:rPr>
      </w:pPr>
      <w:r w:rsidRPr="00E55CD1">
        <w:rPr>
          <w:rFonts w:ascii="Arial" w:hAnsi="Arial" w:cs="Arial"/>
          <w:b/>
          <w:color w:val="FF9900"/>
          <w:szCs w:val="18"/>
          <w:lang w:val="el-GR"/>
        </w:rPr>
        <w:lastRenderedPageBreak/>
        <w:t>Ζ</w:t>
      </w:r>
      <w:r w:rsidRPr="00022E44">
        <w:rPr>
          <w:rFonts w:ascii="Arial" w:hAnsi="Arial" w:cs="Arial"/>
          <w:b/>
          <w:color w:val="FF9900"/>
          <w:szCs w:val="18"/>
          <w:lang w:val="el-GR"/>
        </w:rPr>
        <w:t xml:space="preserve">. </w:t>
      </w:r>
      <w:r w:rsidRPr="00022E44">
        <w:rPr>
          <w:rFonts w:ascii="Arial" w:hAnsi="Arial" w:cs="Arial"/>
          <w:b/>
          <w:color w:val="FF9900"/>
          <w:szCs w:val="18"/>
          <w:lang w:val="el-GR"/>
        </w:rPr>
        <w:tab/>
      </w:r>
      <w:bookmarkStart w:id="41" w:name="_Hlk119393697"/>
      <w:r w:rsidRPr="00E55CD1">
        <w:rPr>
          <w:rFonts w:ascii="Arial" w:hAnsi="Arial" w:cs="Arial"/>
          <w:b/>
          <w:color w:val="FF9900"/>
          <w:szCs w:val="18"/>
          <w:lang w:val="el-GR"/>
        </w:rPr>
        <w:t xml:space="preserve">Επιπρόσθετες Γνωστοποιήσεις Διαχείρισης Κινδύνων και Κεφαλαίου </w:t>
      </w:r>
      <w:bookmarkEnd w:id="41"/>
    </w:p>
    <w:p w14:paraId="127F03C4" w14:textId="77777777" w:rsidR="0056738E" w:rsidRPr="004F0C3A" w:rsidRDefault="0056738E" w:rsidP="0056738E">
      <w:pPr>
        <w:keepNext/>
        <w:tabs>
          <w:tab w:val="left" w:pos="1416"/>
          <w:tab w:val="decimal" w:pos="4962"/>
          <w:tab w:val="decimal" w:pos="6521"/>
          <w:tab w:val="right" w:pos="7560"/>
          <w:tab w:val="decimal" w:pos="8220"/>
          <w:tab w:val="left" w:pos="8640"/>
          <w:tab w:val="right" w:pos="9000"/>
        </w:tabs>
        <w:suppressAutoHyphens/>
        <w:spacing w:after="120" w:line="240" w:lineRule="auto"/>
        <w:ind w:left="851" w:right="-130" w:hanging="851"/>
        <w:jc w:val="both"/>
        <w:outlineLvl w:val="8"/>
        <w:rPr>
          <w:rFonts w:ascii="Arial" w:hAnsi="Arial" w:cs="Arial"/>
          <w:color w:val="FF9900"/>
          <w:szCs w:val="18"/>
          <w:lang w:val="el-GR"/>
        </w:rPr>
      </w:pPr>
      <w:r w:rsidRPr="00022E44">
        <w:rPr>
          <w:rFonts w:ascii="Arial" w:hAnsi="Arial" w:cs="Arial"/>
          <w:b/>
          <w:color w:val="FF9900"/>
          <w:szCs w:val="18"/>
          <w:lang w:val="el-GR"/>
        </w:rPr>
        <w:t xml:space="preserve">Ζ.1 </w:t>
      </w:r>
      <w:r w:rsidRPr="00022E44">
        <w:rPr>
          <w:rFonts w:ascii="Arial" w:hAnsi="Arial" w:cs="Arial"/>
          <w:b/>
          <w:color w:val="FF9900"/>
          <w:szCs w:val="18"/>
          <w:lang w:val="el-GR"/>
        </w:rPr>
        <w:tab/>
        <w:t xml:space="preserve">Επιπρόσθετες γνωστοποιήσεις </w:t>
      </w:r>
      <w:r>
        <w:rPr>
          <w:rFonts w:ascii="Arial" w:hAnsi="Arial" w:cs="Arial"/>
          <w:b/>
          <w:color w:val="FF9900"/>
          <w:szCs w:val="18"/>
          <w:lang w:val="el-GR"/>
        </w:rPr>
        <w:t>Π</w:t>
      </w:r>
      <w:r w:rsidRPr="00022E44">
        <w:rPr>
          <w:rFonts w:ascii="Arial" w:hAnsi="Arial" w:cs="Arial"/>
          <w:b/>
          <w:color w:val="FF9900"/>
          <w:szCs w:val="18"/>
          <w:lang w:val="el-GR"/>
        </w:rPr>
        <w:t>ιστωτικού κινδύνου</w:t>
      </w:r>
    </w:p>
    <w:p w14:paraId="2DC03153" w14:textId="77777777" w:rsidR="0056738E" w:rsidRPr="00053E32" w:rsidRDefault="0056738E" w:rsidP="0056738E">
      <w:pPr>
        <w:spacing w:after="120" w:line="240" w:lineRule="auto"/>
        <w:ind w:left="851" w:hanging="851"/>
        <w:jc w:val="both"/>
        <w:rPr>
          <w:rFonts w:ascii="Arial" w:hAnsi="Arial" w:cs="Arial"/>
          <w:color w:val="262626"/>
          <w:sz w:val="18"/>
          <w:lang w:val="el-GR"/>
        </w:rPr>
      </w:pPr>
      <w:r w:rsidRPr="00E723B9">
        <w:rPr>
          <w:rFonts w:ascii="Arial" w:hAnsi="Arial" w:cs="Arial"/>
          <w:color w:val="262626"/>
          <w:sz w:val="18"/>
          <w:lang w:val="el-GR"/>
        </w:rPr>
        <w:t>Οι πιο κάτω πίνακες παρουσιάζουν ανάλυση των δανείων και απαιτήσεων από πελάτες με βάση τα πρότυπα της ΕΑΤ</w:t>
      </w:r>
      <w:r w:rsidRPr="00053E32">
        <w:rPr>
          <w:rFonts w:ascii="Arial" w:hAnsi="Arial" w:cs="Arial"/>
          <w:color w:val="262626"/>
          <w:sz w:val="18"/>
          <w:lang w:val="el-GR"/>
        </w:rPr>
        <w:t>.</w:t>
      </w:r>
    </w:p>
    <w:tbl>
      <w:tblPr>
        <w:tblW w:w="1502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175"/>
        <w:gridCol w:w="1502"/>
        <w:gridCol w:w="1417"/>
        <w:gridCol w:w="1418"/>
        <w:gridCol w:w="1417"/>
        <w:gridCol w:w="1843"/>
        <w:gridCol w:w="1417"/>
        <w:gridCol w:w="1418"/>
        <w:gridCol w:w="1417"/>
      </w:tblGrid>
      <w:tr w:rsidR="0056738E" w:rsidRPr="007C2AEE" w14:paraId="31E0FB8C" w14:textId="77777777" w:rsidTr="007C2AEE">
        <w:trPr>
          <w:trHeight w:val="227"/>
          <w:jc w:val="center"/>
        </w:trPr>
        <w:tc>
          <w:tcPr>
            <w:tcW w:w="3175" w:type="dxa"/>
            <w:vMerge w:val="restart"/>
            <w:vAlign w:val="center"/>
          </w:tcPr>
          <w:p w14:paraId="4130FCB1" w14:textId="77777777" w:rsidR="0056738E" w:rsidRPr="00873272" w:rsidRDefault="0056738E" w:rsidP="007C2AEE">
            <w:pPr>
              <w:shd w:val="clear" w:color="auto" w:fill="FFFFFF"/>
              <w:tabs>
                <w:tab w:val="right" w:pos="7560"/>
                <w:tab w:val="right" w:pos="9000"/>
              </w:tabs>
              <w:suppressAutoHyphens/>
              <w:spacing w:after="0" w:line="240" w:lineRule="auto"/>
              <w:rPr>
                <w:rFonts w:ascii="Arial" w:hAnsi="Arial" w:cs="Arial"/>
                <w:b/>
                <w:bCs/>
                <w:color w:val="262626"/>
                <w:sz w:val="14"/>
                <w:szCs w:val="14"/>
                <w:lang w:val="el-GR"/>
              </w:rPr>
            </w:pPr>
            <w:r w:rsidRPr="00873272">
              <w:rPr>
                <w:rFonts w:ascii="Arial" w:hAnsi="Arial" w:cs="Arial"/>
                <w:b/>
                <w:color w:val="262626"/>
                <w:sz w:val="14"/>
                <w:szCs w:val="14"/>
                <w:lang w:val="el-GR"/>
              </w:rPr>
              <w:br w:type="page"/>
            </w:r>
          </w:p>
          <w:p w14:paraId="0F5AED58" w14:textId="77777777" w:rsidR="0056738E" w:rsidRPr="00873272" w:rsidRDefault="0056738E" w:rsidP="007C2AEE">
            <w:pPr>
              <w:widowControl w:val="0"/>
              <w:autoSpaceDE w:val="0"/>
              <w:autoSpaceDN w:val="0"/>
              <w:adjustRightInd w:val="0"/>
              <w:spacing w:after="0" w:line="240" w:lineRule="auto"/>
              <w:ind w:left="56"/>
              <w:rPr>
                <w:rFonts w:ascii="Arial" w:hAnsi="Arial" w:cs="Arial"/>
                <w:b/>
                <w:bCs/>
                <w:color w:val="262626"/>
                <w:sz w:val="14"/>
                <w:szCs w:val="14"/>
                <w:lang w:val="el-GR"/>
              </w:rPr>
            </w:pPr>
            <w:r>
              <w:rPr>
                <w:rFonts w:ascii="Arial" w:eastAsia="Times New Roman" w:hAnsi="Arial" w:cs="Arial"/>
                <w:b/>
                <w:bCs/>
                <w:color w:val="000000"/>
                <w:sz w:val="14"/>
                <w:szCs w:val="14"/>
                <w:lang w:val="el-GR"/>
              </w:rPr>
              <w:t>30 Σεπτεμβρίου 2024</w:t>
            </w:r>
          </w:p>
        </w:tc>
        <w:tc>
          <w:tcPr>
            <w:tcW w:w="5754" w:type="dxa"/>
            <w:gridSpan w:val="4"/>
            <w:shd w:val="clear" w:color="auto" w:fill="auto"/>
            <w:vAlign w:val="center"/>
          </w:tcPr>
          <w:p w14:paraId="2E4FF0AF" w14:textId="77777777" w:rsidR="0056738E" w:rsidRPr="00873272" w:rsidRDefault="0056738E" w:rsidP="007C2AEE">
            <w:pPr>
              <w:spacing w:after="0" w:line="240" w:lineRule="auto"/>
              <w:jc w:val="center"/>
              <w:rPr>
                <w:rFonts w:ascii="Arial" w:hAnsi="Arial" w:cs="Arial"/>
                <w:b/>
                <w:sz w:val="14"/>
                <w:szCs w:val="14"/>
                <w:lang w:val="el-GR"/>
              </w:rPr>
            </w:pPr>
            <w:r w:rsidRPr="00873272">
              <w:rPr>
                <w:rFonts w:ascii="Arial" w:hAnsi="Arial" w:cs="Arial"/>
                <w:b/>
                <w:bCs/>
                <w:color w:val="262626"/>
                <w:sz w:val="14"/>
                <w:szCs w:val="14"/>
                <w:lang w:val="el-GR"/>
              </w:rPr>
              <w:t>Μεικτά δάνεια και απαιτήσεις από πελάτες</w:t>
            </w:r>
          </w:p>
        </w:tc>
        <w:tc>
          <w:tcPr>
            <w:tcW w:w="6095" w:type="dxa"/>
            <w:gridSpan w:val="4"/>
            <w:shd w:val="clear" w:color="auto" w:fill="auto"/>
            <w:vAlign w:val="center"/>
          </w:tcPr>
          <w:p w14:paraId="4BD12764" w14:textId="77777777" w:rsidR="0056738E" w:rsidRPr="00873272" w:rsidRDefault="0056738E" w:rsidP="007C2AEE">
            <w:pPr>
              <w:spacing w:after="0" w:line="240" w:lineRule="auto"/>
              <w:jc w:val="center"/>
              <w:rPr>
                <w:rFonts w:ascii="Arial" w:hAnsi="Arial" w:cs="Arial"/>
                <w:b/>
                <w:sz w:val="14"/>
                <w:szCs w:val="14"/>
                <w:lang w:val="el-GR"/>
              </w:rPr>
            </w:pPr>
            <w:r w:rsidRPr="00873272">
              <w:rPr>
                <w:rFonts w:ascii="Arial" w:hAnsi="Arial" w:cs="Arial"/>
                <w:b/>
                <w:bCs/>
                <w:color w:val="262626"/>
                <w:sz w:val="14"/>
                <w:szCs w:val="14"/>
                <w:lang w:val="el-GR"/>
              </w:rPr>
              <w:t xml:space="preserve">Συσσωρευμένες </w:t>
            </w:r>
            <w:proofErr w:type="spellStart"/>
            <w:r w:rsidRPr="00873272">
              <w:rPr>
                <w:rFonts w:ascii="Arial" w:hAnsi="Arial" w:cs="Arial"/>
                <w:b/>
                <w:bCs/>
                <w:color w:val="262626"/>
                <w:sz w:val="14"/>
                <w:szCs w:val="14"/>
                <w:lang w:val="el-GR"/>
              </w:rPr>
              <w:t>απομειώσεις</w:t>
            </w:r>
            <w:proofErr w:type="spellEnd"/>
            <w:r w:rsidRPr="00873272">
              <w:rPr>
                <w:rFonts w:ascii="Arial" w:hAnsi="Arial" w:cs="Arial"/>
                <w:b/>
                <w:bCs/>
                <w:color w:val="262626"/>
                <w:sz w:val="14"/>
                <w:szCs w:val="14"/>
                <w:lang w:val="el-GR"/>
              </w:rPr>
              <w:t>, συσσωρευμένες αρνητικές μεταβολές στην εύλογη αξία λόγω πιστωτικού κινδύνου και προβλέψεις</w:t>
            </w:r>
          </w:p>
        </w:tc>
      </w:tr>
      <w:tr w:rsidR="0056738E" w:rsidRPr="007C2AEE" w14:paraId="20618705" w14:textId="77777777" w:rsidTr="007C2AEE">
        <w:trPr>
          <w:trHeight w:val="283"/>
          <w:jc w:val="center"/>
        </w:trPr>
        <w:tc>
          <w:tcPr>
            <w:tcW w:w="3175" w:type="dxa"/>
            <w:vMerge/>
            <w:vAlign w:val="center"/>
          </w:tcPr>
          <w:p w14:paraId="1F1F09FF" w14:textId="77777777" w:rsidR="0056738E" w:rsidRPr="00873272" w:rsidRDefault="0056738E" w:rsidP="007C2AEE">
            <w:pPr>
              <w:widowControl w:val="0"/>
              <w:autoSpaceDE w:val="0"/>
              <w:autoSpaceDN w:val="0"/>
              <w:adjustRightInd w:val="0"/>
              <w:spacing w:after="0" w:line="240" w:lineRule="auto"/>
              <w:ind w:left="56"/>
              <w:rPr>
                <w:rFonts w:ascii="Arial" w:hAnsi="Arial" w:cs="Arial"/>
                <w:b/>
                <w:bCs/>
                <w:sz w:val="14"/>
                <w:szCs w:val="14"/>
                <w:lang w:val="el-GR"/>
              </w:rPr>
            </w:pPr>
          </w:p>
        </w:tc>
        <w:tc>
          <w:tcPr>
            <w:tcW w:w="1502" w:type="dxa"/>
            <w:vMerge w:val="restart"/>
            <w:shd w:val="clear" w:color="auto" w:fill="auto"/>
            <w:vAlign w:val="center"/>
          </w:tcPr>
          <w:p w14:paraId="04CF30D7"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r w:rsidRPr="00873272">
              <w:rPr>
                <w:rFonts w:ascii="Arial" w:hAnsi="Arial" w:cs="Arial"/>
                <w:b/>
                <w:bCs/>
                <w:color w:val="262626"/>
                <w:sz w:val="14"/>
                <w:szCs w:val="14"/>
                <w:lang w:val="el-GR"/>
              </w:rPr>
              <w:t>Μεικτά δάνεια και απαιτήσεις από πελάτες</w:t>
            </w:r>
            <w:r w:rsidRPr="00873272">
              <w:rPr>
                <w:rFonts w:ascii="Arial" w:hAnsi="Arial" w:cs="Arial"/>
                <w:b/>
                <w:bCs/>
                <w:color w:val="262626"/>
                <w:sz w:val="14"/>
                <w:szCs w:val="14"/>
                <w:vertAlign w:val="superscript"/>
                <w:lang w:val="el-GR"/>
              </w:rPr>
              <w:t>1,2</w:t>
            </w:r>
          </w:p>
        </w:tc>
        <w:tc>
          <w:tcPr>
            <w:tcW w:w="1417" w:type="dxa"/>
            <w:vMerge w:val="restart"/>
            <w:shd w:val="clear" w:color="auto" w:fill="auto"/>
            <w:vAlign w:val="center"/>
          </w:tcPr>
          <w:p w14:paraId="1B915A3C"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r w:rsidRPr="00873272">
              <w:rPr>
                <w:rFonts w:ascii="Arial" w:hAnsi="Arial" w:cs="Arial"/>
                <w:b/>
                <w:bCs/>
                <w:color w:val="262626"/>
                <w:sz w:val="14"/>
                <w:szCs w:val="14"/>
                <w:lang w:val="el-GR"/>
              </w:rPr>
              <w:t>Από τα οποία</w:t>
            </w:r>
            <w:r w:rsidRPr="00873272">
              <w:rPr>
                <w:rFonts w:ascii="Arial" w:hAnsi="Arial" w:cs="Arial"/>
                <w:b/>
                <w:bCs/>
                <w:color w:val="262626"/>
                <w:sz w:val="14"/>
                <w:szCs w:val="14"/>
                <w:lang w:val="en-US"/>
              </w:rPr>
              <w:t>:</w:t>
            </w:r>
            <w:r w:rsidRPr="00873272">
              <w:rPr>
                <w:rFonts w:ascii="Arial" w:hAnsi="Arial" w:cs="Arial"/>
                <w:b/>
                <w:bCs/>
                <w:color w:val="262626"/>
                <w:sz w:val="14"/>
                <w:szCs w:val="14"/>
                <w:lang w:val="el-GR"/>
              </w:rPr>
              <w:t xml:space="preserve"> </w:t>
            </w:r>
          </w:p>
          <w:p w14:paraId="323F7721"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r w:rsidRPr="00873272">
              <w:rPr>
                <w:rFonts w:ascii="Arial" w:hAnsi="Arial" w:cs="Arial"/>
                <w:b/>
                <w:bCs/>
                <w:color w:val="262626"/>
                <w:sz w:val="14"/>
                <w:szCs w:val="14"/>
                <w:lang w:val="el-GR"/>
              </w:rPr>
              <w:t>ΜΕΔ</w:t>
            </w:r>
          </w:p>
        </w:tc>
        <w:tc>
          <w:tcPr>
            <w:tcW w:w="2835" w:type="dxa"/>
            <w:gridSpan w:val="2"/>
            <w:shd w:val="clear" w:color="auto" w:fill="auto"/>
            <w:vAlign w:val="center"/>
          </w:tcPr>
          <w:p w14:paraId="47CA03D4"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r w:rsidRPr="00873272">
              <w:rPr>
                <w:rFonts w:ascii="Arial" w:hAnsi="Arial" w:cs="Arial"/>
                <w:b/>
                <w:bCs/>
                <w:color w:val="262626"/>
                <w:sz w:val="14"/>
                <w:szCs w:val="14"/>
                <w:lang w:val="el-GR"/>
              </w:rPr>
              <w:t>Από τα οποία έτυχαν ρύθμισης</w:t>
            </w:r>
          </w:p>
        </w:tc>
        <w:tc>
          <w:tcPr>
            <w:tcW w:w="1843" w:type="dxa"/>
            <w:vMerge w:val="restart"/>
            <w:shd w:val="clear" w:color="auto" w:fill="auto"/>
            <w:vAlign w:val="center"/>
          </w:tcPr>
          <w:p w14:paraId="2C01C9DD" w14:textId="77777777" w:rsidR="0056738E" w:rsidRPr="00873272" w:rsidRDefault="0056738E" w:rsidP="007C2AEE">
            <w:pPr>
              <w:shd w:val="clear" w:color="auto" w:fill="FFFFFF"/>
              <w:tabs>
                <w:tab w:val="right" w:pos="7560"/>
                <w:tab w:val="right" w:pos="9000"/>
              </w:tabs>
              <w:suppressAutoHyphens/>
              <w:spacing w:after="0"/>
              <w:jc w:val="center"/>
              <w:rPr>
                <w:rFonts w:ascii="Arial" w:hAnsi="Arial" w:cs="Arial"/>
                <w:b/>
                <w:bCs/>
                <w:color w:val="262626"/>
                <w:sz w:val="14"/>
                <w:szCs w:val="14"/>
                <w:lang w:val="el-GR"/>
              </w:rPr>
            </w:pPr>
            <w:r w:rsidRPr="00873272">
              <w:rPr>
                <w:rFonts w:ascii="Arial" w:hAnsi="Arial" w:cs="Arial"/>
                <w:b/>
                <w:bCs/>
                <w:color w:val="262626"/>
                <w:sz w:val="14"/>
                <w:szCs w:val="14"/>
                <w:lang w:val="el-GR"/>
              </w:rPr>
              <w:t xml:space="preserve">Συσσωρευμένες </w:t>
            </w:r>
            <w:proofErr w:type="spellStart"/>
            <w:r w:rsidRPr="00873272">
              <w:rPr>
                <w:rFonts w:ascii="Arial" w:hAnsi="Arial" w:cs="Arial"/>
                <w:b/>
                <w:bCs/>
                <w:color w:val="262626"/>
                <w:sz w:val="14"/>
                <w:szCs w:val="14"/>
                <w:lang w:val="el-GR"/>
              </w:rPr>
              <w:t>απομειώσεις</w:t>
            </w:r>
            <w:proofErr w:type="spellEnd"/>
            <w:r w:rsidRPr="00873272">
              <w:rPr>
                <w:rFonts w:ascii="Arial" w:hAnsi="Arial" w:cs="Arial"/>
                <w:b/>
                <w:bCs/>
                <w:color w:val="262626"/>
                <w:sz w:val="14"/>
                <w:szCs w:val="14"/>
                <w:lang w:val="el-GR"/>
              </w:rPr>
              <w:t>, συσσωρευμένες αρνητικές μεταβολές στην εύλογη αξία λόγω πιστωτικού κινδύνου και προβλέψεις</w:t>
            </w:r>
            <w:r w:rsidRPr="00873272" w:rsidDel="000A130C">
              <w:rPr>
                <w:rFonts w:ascii="Arial" w:hAnsi="Arial" w:cs="Arial"/>
                <w:b/>
                <w:bCs/>
                <w:color w:val="262626"/>
                <w:sz w:val="14"/>
                <w:szCs w:val="14"/>
                <w:shd w:val="clear" w:color="auto" w:fill="FFFF00"/>
                <w:lang w:val="el-GR"/>
              </w:rPr>
              <w:t xml:space="preserve"> </w:t>
            </w:r>
          </w:p>
        </w:tc>
        <w:tc>
          <w:tcPr>
            <w:tcW w:w="1417" w:type="dxa"/>
            <w:vMerge w:val="restart"/>
            <w:vAlign w:val="center"/>
          </w:tcPr>
          <w:p w14:paraId="5BA9E1B3"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r w:rsidRPr="00873272">
              <w:rPr>
                <w:rFonts w:ascii="Arial" w:hAnsi="Arial" w:cs="Arial"/>
                <w:b/>
                <w:bCs/>
                <w:color w:val="262626"/>
                <w:sz w:val="14"/>
                <w:szCs w:val="14"/>
                <w:lang w:val="el-GR"/>
              </w:rPr>
              <w:t>Από τα οποία</w:t>
            </w:r>
            <w:r w:rsidRPr="00873272">
              <w:rPr>
                <w:rFonts w:ascii="Arial" w:hAnsi="Arial" w:cs="Arial"/>
                <w:b/>
                <w:bCs/>
                <w:color w:val="262626"/>
                <w:sz w:val="14"/>
                <w:szCs w:val="14"/>
                <w:lang w:val="en-US"/>
              </w:rPr>
              <w:t>:</w:t>
            </w:r>
            <w:r w:rsidRPr="00873272">
              <w:rPr>
                <w:rFonts w:ascii="Arial" w:hAnsi="Arial" w:cs="Arial"/>
                <w:b/>
                <w:bCs/>
                <w:color w:val="262626"/>
                <w:sz w:val="14"/>
                <w:szCs w:val="14"/>
                <w:lang w:val="el-GR"/>
              </w:rPr>
              <w:t xml:space="preserve"> ΜΕΔ</w:t>
            </w:r>
          </w:p>
        </w:tc>
        <w:tc>
          <w:tcPr>
            <w:tcW w:w="2835" w:type="dxa"/>
            <w:gridSpan w:val="2"/>
            <w:vAlign w:val="center"/>
          </w:tcPr>
          <w:p w14:paraId="1F4475A2"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r w:rsidRPr="00873272">
              <w:rPr>
                <w:rFonts w:ascii="Arial" w:hAnsi="Arial" w:cs="Arial"/>
                <w:b/>
                <w:bCs/>
                <w:color w:val="262626"/>
                <w:sz w:val="14"/>
                <w:szCs w:val="14"/>
                <w:lang w:val="el-GR"/>
              </w:rPr>
              <w:t>Από τα οποία έτυχαν ρύθμισης</w:t>
            </w:r>
          </w:p>
        </w:tc>
      </w:tr>
      <w:tr w:rsidR="0056738E" w:rsidRPr="00974DDF" w14:paraId="55DCB931" w14:textId="77777777" w:rsidTr="007C2AEE">
        <w:trPr>
          <w:trHeight w:val="57"/>
          <w:jc w:val="center"/>
        </w:trPr>
        <w:tc>
          <w:tcPr>
            <w:tcW w:w="3175" w:type="dxa"/>
            <w:vMerge/>
            <w:vAlign w:val="center"/>
          </w:tcPr>
          <w:p w14:paraId="58858303" w14:textId="77777777" w:rsidR="0056738E" w:rsidRPr="00873272" w:rsidRDefault="0056738E" w:rsidP="007C2AEE">
            <w:pPr>
              <w:pStyle w:val="BodyTextIndent"/>
              <w:shd w:val="clear" w:color="auto" w:fill="FFFFFF"/>
              <w:tabs>
                <w:tab w:val="left" w:pos="284"/>
              </w:tabs>
              <w:spacing w:after="0" w:line="240" w:lineRule="auto"/>
              <w:ind w:left="0"/>
              <w:rPr>
                <w:rFonts w:ascii="Arial" w:hAnsi="Arial" w:cs="Arial"/>
                <w:b/>
                <w:bCs/>
                <w:sz w:val="14"/>
                <w:szCs w:val="14"/>
                <w:lang w:val="el-GR"/>
              </w:rPr>
            </w:pPr>
          </w:p>
        </w:tc>
        <w:tc>
          <w:tcPr>
            <w:tcW w:w="1502" w:type="dxa"/>
            <w:vMerge/>
            <w:shd w:val="clear" w:color="auto" w:fill="auto"/>
            <w:vAlign w:val="center"/>
          </w:tcPr>
          <w:p w14:paraId="14FFECC6"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p>
        </w:tc>
        <w:tc>
          <w:tcPr>
            <w:tcW w:w="1417" w:type="dxa"/>
            <w:vMerge/>
            <w:vAlign w:val="center"/>
          </w:tcPr>
          <w:p w14:paraId="392B23E0"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p>
        </w:tc>
        <w:tc>
          <w:tcPr>
            <w:tcW w:w="1418" w:type="dxa"/>
            <w:shd w:val="clear" w:color="auto" w:fill="auto"/>
            <w:vAlign w:val="center"/>
          </w:tcPr>
          <w:p w14:paraId="470C07D7" w14:textId="77777777" w:rsidR="0056738E" w:rsidRPr="00873272" w:rsidRDefault="0056738E" w:rsidP="007C2AEE">
            <w:pPr>
              <w:shd w:val="clear" w:color="auto" w:fill="FFFFFF"/>
              <w:tabs>
                <w:tab w:val="right" w:pos="7560"/>
                <w:tab w:val="right" w:pos="9000"/>
              </w:tabs>
              <w:suppressAutoHyphens/>
              <w:spacing w:after="0" w:line="240" w:lineRule="auto"/>
              <w:ind w:left="-108" w:right="-63"/>
              <w:jc w:val="center"/>
              <w:rPr>
                <w:rFonts w:ascii="Arial" w:hAnsi="Arial" w:cs="Arial"/>
                <w:b/>
                <w:bCs/>
                <w:color w:val="262626"/>
                <w:sz w:val="14"/>
                <w:szCs w:val="14"/>
                <w:lang w:val="el-GR"/>
              </w:rPr>
            </w:pPr>
            <w:r w:rsidRPr="00873272">
              <w:rPr>
                <w:rFonts w:ascii="Arial" w:hAnsi="Arial" w:cs="Arial"/>
                <w:b/>
                <w:bCs/>
                <w:color w:val="262626"/>
                <w:sz w:val="14"/>
                <w:szCs w:val="14"/>
                <w:lang w:val="el-GR"/>
              </w:rPr>
              <w:t>Συνολικά δάνεια με ρυθμιστικά μέτρα</w:t>
            </w:r>
          </w:p>
        </w:tc>
        <w:tc>
          <w:tcPr>
            <w:tcW w:w="1417" w:type="dxa"/>
            <w:shd w:val="clear" w:color="auto" w:fill="auto"/>
            <w:vAlign w:val="center"/>
          </w:tcPr>
          <w:p w14:paraId="3395972D"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r w:rsidRPr="00873272">
              <w:rPr>
                <w:rFonts w:ascii="Arial" w:hAnsi="Arial" w:cs="Arial"/>
                <w:b/>
                <w:bCs/>
                <w:color w:val="262626"/>
                <w:sz w:val="14"/>
                <w:szCs w:val="14"/>
                <w:lang w:val="el-GR"/>
              </w:rPr>
              <w:t>Από τα οποία</w:t>
            </w:r>
            <w:r w:rsidRPr="00873272">
              <w:rPr>
                <w:rFonts w:ascii="Arial" w:hAnsi="Arial" w:cs="Arial"/>
                <w:b/>
                <w:bCs/>
                <w:color w:val="262626"/>
                <w:sz w:val="14"/>
                <w:szCs w:val="14"/>
                <w:lang w:val="en-US"/>
              </w:rPr>
              <w:t>:</w:t>
            </w:r>
            <w:r w:rsidRPr="00873272">
              <w:rPr>
                <w:rFonts w:ascii="Arial" w:hAnsi="Arial" w:cs="Arial"/>
                <w:b/>
                <w:bCs/>
                <w:color w:val="262626"/>
                <w:sz w:val="14"/>
                <w:szCs w:val="14"/>
                <w:lang w:val="el-GR"/>
              </w:rPr>
              <w:t xml:space="preserve"> ΜΕΔ</w:t>
            </w:r>
          </w:p>
        </w:tc>
        <w:tc>
          <w:tcPr>
            <w:tcW w:w="1843" w:type="dxa"/>
            <w:vMerge/>
            <w:shd w:val="clear" w:color="auto" w:fill="auto"/>
            <w:vAlign w:val="center"/>
          </w:tcPr>
          <w:p w14:paraId="0CD56B8C"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p>
        </w:tc>
        <w:tc>
          <w:tcPr>
            <w:tcW w:w="1417" w:type="dxa"/>
            <w:vMerge/>
            <w:shd w:val="clear" w:color="auto" w:fill="auto"/>
            <w:vAlign w:val="center"/>
          </w:tcPr>
          <w:p w14:paraId="728B974C"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p>
        </w:tc>
        <w:tc>
          <w:tcPr>
            <w:tcW w:w="1418" w:type="dxa"/>
            <w:shd w:val="clear" w:color="auto" w:fill="auto"/>
            <w:vAlign w:val="center"/>
          </w:tcPr>
          <w:p w14:paraId="70383CB6" w14:textId="77777777" w:rsidR="0056738E" w:rsidRPr="00873272" w:rsidRDefault="0056738E" w:rsidP="007C2AEE">
            <w:pPr>
              <w:shd w:val="clear" w:color="auto" w:fill="FFFFFF"/>
              <w:tabs>
                <w:tab w:val="right" w:pos="7560"/>
                <w:tab w:val="right" w:pos="9000"/>
              </w:tabs>
              <w:suppressAutoHyphens/>
              <w:spacing w:after="0" w:line="240" w:lineRule="auto"/>
              <w:ind w:left="-108"/>
              <w:jc w:val="center"/>
              <w:rPr>
                <w:rFonts w:ascii="Arial" w:hAnsi="Arial" w:cs="Arial"/>
                <w:bCs/>
                <w:color w:val="262626"/>
                <w:sz w:val="14"/>
                <w:szCs w:val="14"/>
                <w:lang w:val="el-GR"/>
              </w:rPr>
            </w:pPr>
            <w:r w:rsidRPr="00873272">
              <w:rPr>
                <w:rFonts w:ascii="Arial" w:hAnsi="Arial" w:cs="Arial"/>
                <w:b/>
                <w:bCs/>
                <w:color w:val="262626"/>
                <w:sz w:val="14"/>
                <w:szCs w:val="14"/>
                <w:lang w:val="el-GR"/>
              </w:rPr>
              <w:t>Συνολικά δάνεια με ρυθμιστικά μέτρα</w:t>
            </w:r>
          </w:p>
        </w:tc>
        <w:tc>
          <w:tcPr>
            <w:tcW w:w="1417" w:type="dxa"/>
            <w:shd w:val="clear" w:color="auto" w:fill="auto"/>
            <w:vAlign w:val="center"/>
          </w:tcPr>
          <w:p w14:paraId="387E06EE"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r w:rsidRPr="00873272">
              <w:rPr>
                <w:rFonts w:ascii="Arial" w:hAnsi="Arial" w:cs="Arial"/>
                <w:b/>
                <w:bCs/>
                <w:color w:val="262626"/>
                <w:sz w:val="14"/>
                <w:szCs w:val="14"/>
                <w:lang w:val="el-GR"/>
              </w:rPr>
              <w:t>Από τα οποία</w:t>
            </w:r>
            <w:r w:rsidRPr="00873272">
              <w:rPr>
                <w:rFonts w:ascii="Arial" w:hAnsi="Arial" w:cs="Arial"/>
                <w:b/>
                <w:bCs/>
                <w:color w:val="262626"/>
                <w:sz w:val="14"/>
                <w:szCs w:val="14"/>
                <w:lang w:val="en-US"/>
              </w:rPr>
              <w:t>:</w:t>
            </w:r>
            <w:r w:rsidRPr="00873272">
              <w:rPr>
                <w:rFonts w:ascii="Arial" w:hAnsi="Arial" w:cs="Arial"/>
                <w:b/>
                <w:bCs/>
                <w:color w:val="262626"/>
                <w:sz w:val="14"/>
                <w:szCs w:val="14"/>
                <w:lang w:val="el-GR"/>
              </w:rPr>
              <w:t xml:space="preserve"> ΜΕΔ</w:t>
            </w:r>
          </w:p>
        </w:tc>
      </w:tr>
      <w:tr w:rsidR="0056738E" w:rsidRPr="00974DDF" w14:paraId="10965FDC" w14:textId="77777777" w:rsidTr="007C2AEE">
        <w:trPr>
          <w:trHeight w:val="227"/>
          <w:jc w:val="center"/>
        </w:trPr>
        <w:tc>
          <w:tcPr>
            <w:tcW w:w="3175" w:type="dxa"/>
            <w:vMerge/>
            <w:vAlign w:val="center"/>
          </w:tcPr>
          <w:p w14:paraId="0FB979C0" w14:textId="77777777" w:rsidR="0056738E" w:rsidRPr="00873272" w:rsidRDefault="0056738E" w:rsidP="007C2AEE">
            <w:pPr>
              <w:pStyle w:val="BodyTextIndent"/>
              <w:shd w:val="clear" w:color="auto" w:fill="FFFFFF"/>
              <w:tabs>
                <w:tab w:val="left" w:pos="284"/>
              </w:tabs>
              <w:spacing w:after="0" w:line="240" w:lineRule="auto"/>
              <w:ind w:left="0"/>
              <w:rPr>
                <w:rFonts w:ascii="Arial" w:hAnsi="Arial" w:cs="Arial"/>
                <w:b/>
                <w:sz w:val="14"/>
                <w:szCs w:val="14"/>
                <w:lang w:val="el-GR"/>
              </w:rPr>
            </w:pPr>
          </w:p>
        </w:tc>
        <w:tc>
          <w:tcPr>
            <w:tcW w:w="1502" w:type="dxa"/>
            <w:shd w:val="clear" w:color="auto" w:fill="FFFFFF"/>
            <w:vAlign w:val="center"/>
          </w:tcPr>
          <w:p w14:paraId="59807245"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rPr>
            </w:pPr>
            <w:r w:rsidRPr="00873272">
              <w:rPr>
                <w:rFonts w:ascii="Arial" w:hAnsi="Arial" w:cs="Arial"/>
                <w:b/>
                <w:bCs/>
                <w:color w:val="262626"/>
                <w:sz w:val="14"/>
                <w:szCs w:val="14"/>
              </w:rPr>
              <w:t>€000</w:t>
            </w:r>
          </w:p>
        </w:tc>
        <w:tc>
          <w:tcPr>
            <w:tcW w:w="1417" w:type="dxa"/>
            <w:shd w:val="clear" w:color="auto" w:fill="FFFFFF"/>
            <w:vAlign w:val="center"/>
          </w:tcPr>
          <w:p w14:paraId="2FACB1C3"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rPr>
            </w:pPr>
            <w:r w:rsidRPr="00873272">
              <w:rPr>
                <w:rFonts w:ascii="Arial" w:hAnsi="Arial" w:cs="Arial"/>
                <w:b/>
                <w:bCs/>
                <w:color w:val="262626"/>
                <w:sz w:val="14"/>
                <w:szCs w:val="14"/>
              </w:rPr>
              <w:t>€000</w:t>
            </w:r>
          </w:p>
        </w:tc>
        <w:tc>
          <w:tcPr>
            <w:tcW w:w="1418" w:type="dxa"/>
            <w:shd w:val="clear" w:color="auto" w:fill="auto"/>
            <w:vAlign w:val="center"/>
          </w:tcPr>
          <w:p w14:paraId="0F2C4083"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rPr>
            </w:pPr>
            <w:r w:rsidRPr="00873272">
              <w:rPr>
                <w:rFonts w:ascii="Arial" w:hAnsi="Arial" w:cs="Arial"/>
                <w:b/>
                <w:bCs/>
                <w:color w:val="262626"/>
                <w:sz w:val="14"/>
                <w:szCs w:val="14"/>
              </w:rPr>
              <w:t>€000</w:t>
            </w:r>
          </w:p>
        </w:tc>
        <w:tc>
          <w:tcPr>
            <w:tcW w:w="1417" w:type="dxa"/>
            <w:shd w:val="clear" w:color="auto" w:fill="auto"/>
            <w:vAlign w:val="center"/>
          </w:tcPr>
          <w:p w14:paraId="2FB39DAF"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rPr>
            </w:pPr>
            <w:r w:rsidRPr="00873272">
              <w:rPr>
                <w:rFonts w:ascii="Arial" w:hAnsi="Arial" w:cs="Arial"/>
                <w:b/>
                <w:bCs/>
                <w:color w:val="262626"/>
                <w:sz w:val="14"/>
                <w:szCs w:val="14"/>
              </w:rPr>
              <w:t>€000</w:t>
            </w:r>
          </w:p>
        </w:tc>
        <w:tc>
          <w:tcPr>
            <w:tcW w:w="1843" w:type="dxa"/>
            <w:shd w:val="clear" w:color="auto" w:fill="auto"/>
            <w:vAlign w:val="center"/>
          </w:tcPr>
          <w:p w14:paraId="18B50FFA"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rPr>
            </w:pPr>
            <w:r w:rsidRPr="00873272">
              <w:rPr>
                <w:rFonts w:ascii="Arial" w:hAnsi="Arial" w:cs="Arial"/>
                <w:b/>
                <w:bCs/>
                <w:color w:val="262626"/>
                <w:sz w:val="14"/>
                <w:szCs w:val="14"/>
              </w:rPr>
              <w:t>€000</w:t>
            </w:r>
          </w:p>
        </w:tc>
        <w:tc>
          <w:tcPr>
            <w:tcW w:w="1417" w:type="dxa"/>
            <w:shd w:val="clear" w:color="auto" w:fill="auto"/>
            <w:vAlign w:val="center"/>
          </w:tcPr>
          <w:p w14:paraId="7532B5A5"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rPr>
            </w:pPr>
            <w:r w:rsidRPr="00873272">
              <w:rPr>
                <w:rFonts w:ascii="Arial" w:hAnsi="Arial" w:cs="Arial"/>
                <w:b/>
                <w:bCs/>
                <w:color w:val="262626"/>
                <w:sz w:val="14"/>
                <w:szCs w:val="14"/>
              </w:rPr>
              <w:t>€000</w:t>
            </w:r>
          </w:p>
        </w:tc>
        <w:tc>
          <w:tcPr>
            <w:tcW w:w="1418" w:type="dxa"/>
            <w:shd w:val="clear" w:color="auto" w:fill="auto"/>
            <w:vAlign w:val="center"/>
          </w:tcPr>
          <w:p w14:paraId="356F7440"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rPr>
            </w:pPr>
            <w:r w:rsidRPr="00873272">
              <w:rPr>
                <w:rFonts w:ascii="Arial" w:hAnsi="Arial" w:cs="Arial"/>
                <w:b/>
                <w:bCs/>
                <w:color w:val="262626"/>
                <w:sz w:val="14"/>
                <w:szCs w:val="14"/>
              </w:rPr>
              <w:t>€000</w:t>
            </w:r>
          </w:p>
        </w:tc>
        <w:tc>
          <w:tcPr>
            <w:tcW w:w="1417" w:type="dxa"/>
            <w:shd w:val="clear" w:color="auto" w:fill="auto"/>
            <w:vAlign w:val="center"/>
          </w:tcPr>
          <w:p w14:paraId="0FCB9817" w14:textId="77777777" w:rsidR="0056738E" w:rsidRPr="00873272"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rPr>
            </w:pPr>
            <w:r w:rsidRPr="00873272">
              <w:rPr>
                <w:rFonts w:ascii="Arial" w:hAnsi="Arial" w:cs="Arial"/>
                <w:b/>
                <w:bCs/>
                <w:color w:val="262626"/>
                <w:sz w:val="14"/>
                <w:szCs w:val="14"/>
              </w:rPr>
              <w:t>€000</w:t>
            </w:r>
          </w:p>
        </w:tc>
      </w:tr>
      <w:tr w:rsidR="0056738E" w:rsidRPr="007C2AEE" w14:paraId="07E430BD" w14:textId="77777777" w:rsidTr="007C2AEE">
        <w:trPr>
          <w:trHeight w:val="227"/>
          <w:jc w:val="center"/>
        </w:trPr>
        <w:tc>
          <w:tcPr>
            <w:tcW w:w="3175" w:type="dxa"/>
            <w:vAlign w:val="center"/>
          </w:tcPr>
          <w:p w14:paraId="73E8228E" w14:textId="77777777" w:rsidR="0056738E" w:rsidRPr="00873272" w:rsidRDefault="0056738E" w:rsidP="007C2AEE">
            <w:pPr>
              <w:pStyle w:val="BodyTextIndent"/>
              <w:shd w:val="clear" w:color="auto" w:fill="FFFFFF"/>
              <w:tabs>
                <w:tab w:val="left" w:pos="284"/>
              </w:tabs>
              <w:spacing w:after="0" w:line="240" w:lineRule="auto"/>
              <w:ind w:left="0"/>
              <w:rPr>
                <w:rFonts w:ascii="Arial" w:hAnsi="Arial" w:cs="Arial"/>
                <w:b/>
                <w:color w:val="262626"/>
                <w:sz w:val="14"/>
                <w:szCs w:val="14"/>
                <w:lang w:val="el-GR"/>
              </w:rPr>
            </w:pPr>
            <w:r w:rsidRPr="00873272">
              <w:rPr>
                <w:rFonts w:ascii="Arial" w:hAnsi="Arial" w:cs="Arial"/>
                <w:b/>
                <w:color w:val="262626"/>
                <w:sz w:val="14"/>
                <w:szCs w:val="14"/>
                <w:lang w:val="el-GR"/>
              </w:rPr>
              <w:t>Δάνεια και απαιτήσεις από πελάτες</w:t>
            </w:r>
          </w:p>
        </w:tc>
        <w:tc>
          <w:tcPr>
            <w:tcW w:w="1502" w:type="dxa"/>
            <w:shd w:val="clear" w:color="auto" w:fill="auto"/>
            <w:vAlign w:val="center"/>
          </w:tcPr>
          <w:p w14:paraId="2B82A529"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p>
        </w:tc>
        <w:tc>
          <w:tcPr>
            <w:tcW w:w="1417" w:type="dxa"/>
            <w:shd w:val="clear" w:color="auto" w:fill="auto"/>
            <w:vAlign w:val="center"/>
          </w:tcPr>
          <w:p w14:paraId="4E06EE3C"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4"/>
                <w:szCs w:val="14"/>
                <w:lang w:val="el-GR" w:eastAsia="en-US"/>
              </w:rPr>
            </w:pPr>
          </w:p>
        </w:tc>
        <w:tc>
          <w:tcPr>
            <w:tcW w:w="1418" w:type="dxa"/>
            <w:shd w:val="clear" w:color="auto" w:fill="auto"/>
            <w:vAlign w:val="center"/>
          </w:tcPr>
          <w:p w14:paraId="7AEE538D"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4"/>
                <w:szCs w:val="14"/>
                <w:lang w:val="el-GR" w:eastAsia="en-US"/>
              </w:rPr>
            </w:pPr>
          </w:p>
        </w:tc>
        <w:tc>
          <w:tcPr>
            <w:tcW w:w="1417" w:type="dxa"/>
            <w:shd w:val="clear" w:color="auto" w:fill="auto"/>
            <w:vAlign w:val="center"/>
          </w:tcPr>
          <w:p w14:paraId="24084DAC"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4"/>
                <w:szCs w:val="14"/>
                <w:lang w:val="el-GR" w:eastAsia="en-US"/>
              </w:rPr>
            </w:pPr>
          </w:p>
        </w:tc>
        <w:tc>
          <w:tcPr>
            <w:tcW w:w="1843" w:type="dxa"/>
            <w:shd w:val="clear" w:color="auto" w:fill="auto"/>
            <w:vAlign w:val="center"/>
          </w:tcPr>
          <w:p w14:paraId="6D98864A"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p>
        </w:tc>
        <w:tc>
          <w:tcPr>
            <w:tcW w:w="1417" w:type="dxa"/>
            <w:shd w:val="clear" w:color="auto" w:fill="auto"/>
            <w:vAlign w:val="center"/>
          </w:tcPr>
          <w:p w14:paraId="0F64B7AD"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4"/>
                <w:szCs w:val="14"/>
                <w:lang w:val="el-GR" w:eastAsia="en-US"/>
              </w:rPr>
            </w:pPr>
          </w:p>
        </w:tc>
        <w:tc>
          <w:tcPr>
            <w:tcW w:w="1418" w:type="dxa"/>
            <w:shd w:val="clear" w:color="auto" w:fill="auto"/>
            <w:vAlign w:val="center"/>
          </w:tcPr>
          <w:p w14:paraId="25E725D1"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4"/>
                <w:szCs w:val="14"/>
                <w:lang w:val="el-GR" w:eastAsia="en-US"/>
              </w:rPr>
            </w:pPr>
          </w:p>
        </w:tc>
        <w:tc>
          <w:tcPr>
            <w:tcW w:w="1417" w:type="dxa"/>
            <w:shd w:val="clear" w:color="auto" w:fill="auto"/>
            <w:vAlign w:val="center"/>
          </w:tcPr>
          <w:p w14:paraId="2FA27EB8"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4"/>
                <w:szCs w:val="14"/>
                <w:lang w:val="el-GR" w:eastAsia="en-US"/>
              </w:rPr>
            </w:pPr>
          </w:p>
        </w:tc>
      </w:tr>
      <w:tr w:rsidR="0056738E" w:rsidRPr="00974DDF" w14:paraId="6B092774" w14:textId="77777777" w:rsidTr="007C2AEE">
        <w:trPr>
          <w:trHeight w:val="227"/>
          <w:jc w:val="center"/>
        </w:trPr>
        <w:tc>
          <w:tcPr>
            <w:tcW w:w="3175" w:type="dxa"/>
            <w:vAlign w:val="center"/>
          </w:tcPr>
          <w:p w14:paraId="582E789B" w14:textId="77777777" w:rsidR="0056738E" w:rsidRPr="00873272" w:rsidRDefault="0056738E" w:rsidP="007C2AEE">
            <w:pPr>
              <w:pStyle w:val="BodyTextIndent"/>
              <w:shd w:val="clear" w:color="auto" w:fill="FFFFFF"/>
              <w:tabs>
                <w:tab w:val="left" w:pos="284"/>
              </w:tabs>
              <w:spacing w:after="0" w:line="240" w:lineRule="auto"/>
              <w:ind w:left="0"/>
              <w:rPr>
                <w:rFonts w:ascii="Arial" w:hAnsi="Arial" w:cs="Arial"/>
                <w:b/>
                <w:sz w:val="14"/>
                <w:szCs w:val="14"/>
              </w:rPr>
            </w:pPr>
            <w:proofErr w:type="spellStart"/>
            <w:r w:rsidRPr="00873272">
              <w:rPr>
                <w:rFonts w:ascii="Arial" w:hAnsi="Arial" w:cs="Arial"/>
                <w:b/>
                <w:color w:val="262626"/>
                <w:sz w:val="14"/>
                <w:szCs w:val="14"/>
              </w:rPr>
              <w:t>Γενικές</w:t>
            </w:r>
            <w:proofErr w:type="spellEnd"/>
            <w:r w:rsidRPr="00873272">
              <w:rPr>
                <w:rFonts w:ascii="Arial" w:hAnsi="Arial" w:cs="Arial"/>
                <w:b/>
                <w:color w:val="262626"/>
                <w:sz w:val="14"/>
                <w:szCs w:val="14"/>
              </w:rPr>
              <w:t xml:space="preserve"> </w:t>
            </w:r>
            <w:proofErr w:type="spellStart"/>
            <w:r w:rsidRPr="00873272">
              <w:rPr>
                <w:rFonts w:ascii="Arial" w:hAnsi="Arial" w:cs="Arial"/>
                <w:b/>
                <w:color w:val="262626"/>
                <w:sz w:val="14"/>
                <w:szCs w:val="14"/>
              </w:rPr>
              <w:t>κυ</w:t>
            </w:r>
            <w:proofErr w:type="spellEnd"/>
            <w:r w:rsidRPr="00873272">
              <w:rPr>
                <w:rFonts w:ascii="Arial" w:hAnsi="Arial" w:cs="Arial"/>
                <w:b/>
                <w:color w:val="262626"/>
                <w:sz w:val="14"/>
                <w:szCs w:val="14"/>
              </w:rPr>
              <w:t>βερνήσεις</w:t>
            </w:r>
          </w:p>
        </w:tc>
        <w:tc>
          <w:tcPr>
            <w:tcW w:w="1502" w:type="dxa"/>
            <w:shd w:val="clear" w:color="auto" w:fill="auto"/>
            <w:vAlign w:val="center"/>
          </w:tcPr>
          <w:p w14:paraId="09D5CA1F"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eastAsia="en-US"/>
              </w:rPr>
            </w:pPr>
            <w:r w:rsidRPr="00A03828">
              <w:rPr>
                <w:rFonts w:ascii="Arial" w:eastAsia="Batang" w:hAnsi="Arial" w:cs="Arial"/>
                <w:b/>
                <w:bCs/>
                <w:color w:val="262626"/>
                <w:sz w:val="14"/>
                <w:szCs w:val="14"/>
                <w:lang w:eastAsia="en-US"/>
              </w:rPr>
              <w:t>78,846</w:t>
            </w:r>
          </w:p>
        </w:tc>
        <w:tc>
          <w:tcPr>
            <w:tcW w:w="1417" w:type="dxa"/>
            <w:shd w:val="clear" w:color="auto" w:fill="auto"/>
            <w:vAlign w:val="center"/>
          </w:tcPr>
          <w:p w14:paraId="69B7CBBE"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eastAsia="en-US"/>
              </w:rPr>
            </w:pPr>
            <w:r w:rsidRPr="00A03828">
              <w:rPr>
                <w:rFonts w:ascii="Arial" w:eastAsia="Batang" w:hAnsi="Arial" w:cs="Arial"/>
                <w:b/>
                <w:bCs/>
                <w:color w:val="262626"/>
                <w:sz w:val="14"/>
                <w:szCs w:val="14"/>
                <w:lang w:eastAsia="en-US"/>
              </w:rPr>
              <w:t>-</w:t>
            </w:r>
          </w:p>
        </w:tc>
        <w:tc>
          <w:tcPr>
            <w:tcW w:w="1418" w:type="dxa"/>
            <w:shd w:val="clear" w:color="auto" w:fill="auto"/>
            <w:vAlign w:val="center"/>
          </w:tcPr>
          <w:p w14:paraId="4B1038FA"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eastAsia="en-US"/>
              </w:rPr>
            </w:pPr>
            <w:r w:rsidRPr="00A03828">
              <w:rPr>
                <w:rFonts w:ascii="Arial" w:eastAsia="Batang" w:hAnsi="Arial" w:cs="Arial"/>
                <w:b/>
                <w:bCs/>
                <w:color w:val="262626"/>
                <w:sz w:val="14"/>
                <w:szCs w:val="14"/>
                <w:lang w:eastAsia="en-US"/>
              </w:rPr>
              <w:t>-</w:t>
            </w:r>
          </w:p>
        </w:tc>
        <w:tc>
          <w:tcPr>
            <w:tcW w:w="1417" w:type="dxa"/>
            <w:shd w:val="clear" w:color="auto" w:fill="auto"/>
            <w:vAlign w:val="center"/>
          </w:tcPr>
          <w:p w14:paraId="48669973"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eastAsia="en-US"/>
              </w:rPr>
            </w:pPr>
            <w:r w:rsidRPr="00A03828">
              <w:rPr>
                <w:rFonts w:ascii="Arial" w:eastAsia="Batang" w:hAnsi="Arial" w:cs="Arial"/>
                <w:b/>
                <w:bCs/>
                <w:color w:val="262626"/>
                <w:sz w:val="14"/>
                <w:szCs w:val="14"/>
                <w:lang w:eastAsia="en-US"/>
              </w:rPr>
              <w:t>-</w:t>
            </w:r>
          </w:p>
        </w:tc>
        <w:tc>
          <w:tcPr>
            <w:tcW w:w="1843" w:type="dxa"/>
            <w:shd w:val="clear" w:color="auto" w:fill="auto"/>
            <w:vAlign w:val="center"/>
          </w:tcPr>
          <w:p w14:paraId="2319A752"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eastAsia="en-US"/>
              </w:rPr>
            </w:pPr>
            <w:r w:rsidRPr="00A03828">
              <w:rPr>
                <w:rFonts w:ascii="Arial" w:eastAsia="Batang" w:hAnsi="Arial" w:cs="Arial"/>
                <w:b/>
                <w:bCs/>
                <w:color w:val="262626"/>
                <w:sz w:val="14"/>
                <w:szCs w:val="14"/>
                <w:lang w:eastAsia="en-US"/>
              </w:rPr>
              <w:t>6</w:t>
            </w:r>
          </w:p>
        </w:tc>
        <w:tc>
          <w:tcPr>
            <w:tcW w:w="1417" w:type="dxa"/>
            <w:shd w:val="clear" w:color="auto" w:fill="auto"/>
            <w:vAlign w:val="center"/>
          </w:tcPr>
          <w:p w14:paraId="2A34C6C3"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eastAsia="en-US"/>
              </w:rPr>
            </w:pPr>
            <w:r w:rsidRPr="00A03828">
              <w:rPr>
                <w:rFonts w:ascii="Arial" w:eastAsia="Batang" w:hAnsi="Arial" w:cs="Arial"/>
                <w:b/>
                <w:bCs/>
                <w:color w:val="262626"/>
                <w:sz w:val="14"/>
                <w:szCs w:val="14"/>
                <w:lang w:eastAsia="en-US"/>
              </w:rPr>
              <w:t>-</w:t>
            </w:r>
          </w:p>
        </w:tc>
        <w:tc>
          <w:tcPr>
            <w:tcW w:w="1418" w:type="dxa"/>
            <w:shd w:val="clear" w:color="auto" w:fill="auto"/>
            <w:vAlign w:val="center"/>
          </w:tcPr>
          <w:p w14:paraId="45B9F5BD"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eastAsia="en-US"/>
              </w:rPr>
            </w:pPr>
            <w:r w:rsidRPr="00A03828">
              <w:rPr>
                <w:rFonts w:ascii="Arial" w:eastAsia="Batang" w:hAnsi="Arial" w:cs="Arial"/>
                <w:b/>
                <w:bCs/>
                <w:color w:val="262626"/>
                <w:sz w:val="14"/>
                <w:szCs w:val="14"/>
                <w:lang w:eastAsia="en-US"/>
              </w:rPr>
              <w:t>-</w:t>
            </w:r>
          </w:p>
        </w:tc>
        <w:tc>
          <w:tcPr>
            <w:tcW w:w="1417" w:type="dxa"/>
            <w:shd w:val="clear" w:color="auto" w:fill="auto"/>
            <w:vAlign w:val="center"/>
          </w:tcPr>
          <w:p w14:paraId="0A1537C5"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eastAsia="en-US"/>
              </w:rPr>
            </w:pPr>
            <w:r w:rsidRPr="00A03828">
              <w:rPr>
                <w:rFonts w:ascii="Arial" w:eastAsia="Batang" w:hAnsi="Arial" w:cs="Arial"/>
                <w:b/>
                <w:bCs/>
                <w:color w:val="262626"/>
                <w:sz w:val="14"/>
                <w:szCs w:val="14"/>
                <w:lang w:eastAsia="en-US"/>
              </w:rPr>
              <w:t>-</w:t>
            </w:r>
          </w:p>
        </w:tc>
      </w:tr>
      <w:tr w:rsidR="0056738E" w:rsidRPr="00974DDF" w14:paraId="3A5F76EA" w14:textId="77777777" w:rsidTr="007C2AEE">
        <w:trPr>
          <w:trHeight w:val="227"/>
          <w:jc w:val="center"/>
        </w:trPr>
        <w:tc>
          <w:tcPr>
            <w:tcW w:w="3175" w:type="dxa"/>
            <w:shd w:val="clear" w:color="auto" w:fill="auto"/>
            <w:vAlign w:val="center"/>
          </w:tcPr>
          <w:p w14:paraId="593B7165" w14:textId="77777777" w:rsidR="0056738E" w:rsidRPr="00873272" w:rsidRDefault="0056738E" w:rsidP="007C2AEE">
            <w:pPr>
              <w:pStyle w:val="BodyTextIndent"/>
              <w:shd w:val="clear" w:color="auto" w:fill="FFFFFF"/>
              <w:tabs>
                <w:tab w:val="left" w:pos="284"/>
              </w:tabs>
              <w:spacing w:after="0" w:line="240" w:lineRule="auto"/>
              <w:ind w:left="0"/>
              <w:rPr>
                <w:rFonts w:ascii="Arial" w:hAnsi="Arial" w:cs="Arial"/>
                <w:b/>
                <w:sz w:val="14"/>
                <w:szCs w:val="14"/>
              </w:rPr>
            </w:pPr>
            <w:proofErr w:type="spellStart"/>
            <w:r w:rsidRPr="00873272">
              <w:rPr>
                <w:rFonts w:ascii="Arial" w:hAnsi="Arial" w:cs="Arial"/>
                <w:b/>
                <w:color w:val="262626"/>
                <w:sz w:val="14"/>
                <w:szCs w:val="14"/>
              </w:rPr>
              <w:t>Άλλες</w:t>
            </w:r>
            <w:proofErr w:type="spellEnd"/>
            <w:r w:rsidRPr="00873272">
              <w:rPr>
                <w:rFonts w:ascii="Arial" w:hAnsi="Arial" w:cs="Arial"/>
                <w:b/>
                <w:color w:val="262626"/>
                <w:sz w:val="14"/>
                <w:szCs w:val="14"/>
              </w:rPr>
              <w:t xml:space="preserve"> </w:t>
            </w:r>
            <w:proofErr w:type="spellStart"/>
            <w:r w:rsidRPr="00873272">
              <w:rPr>
                <w:rFonts w:ascii="Arial" w:hAnsi="Arial" w:cs="Arial"/>
                <w:b/>
                <w:color w:val="262626"/>
                <w:sz w:val="14"/>
                <w:szCs w:val="14"/>
              </w:rPr>
              <w:t>χρημ</w:t>
            </w:r>
            <w:proofErr w:type="spellEnd"/>
            <w:r w:rsidRPr="00873272">
              <w:rPr>
                <w:rFonts w:ascii="Arial" w:hAnsi="Arial" w:cs="Arial"/>
                <w:b/>
                <w:color w:val="262626"/>
                <w:sz w:val="14"/>
                <w:szCs w:val="14"/>
              </w:rPr>
              <w:t>ατοπιστωτικές επ</w:t>
            </w:r>
            <w:proofErr w:type="spellStart"/>
            <w:r w:rsidRPr="00873272">
              <w:rPr>
                <w:rFonts w:ascii="Arial" w:hAnsi="Arial" w:cs="Arial"/>
                <w:b/>
                <w:color w:val="262626"/>
                <w:sz w:val="14"/>
                <w:szCs w:val="14"/>
              </w:rPr>
              <w:t>ιχειρήσεις</w:t>
            </w:r>
            <w:proofErr w:type="spellEnd"/>
          </w:p>
        </w:tc>
        <w:tc>
          <w:tcPr>
            <w:tcW w:w="1502" w:type="dxa"/>
            <w:shd w:val="clear" w:color="auto" w:fill="auto"/>
            <w:vAlign w:val="center"/>
          </w:tcPr>
          <w:p w14:paraId="587A0B07"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color w:val="262626"/>
                <w:sz w:val="14"/>
                <w:szCs w:val="14"/>
                <w:lang w:val="en-US" w:eastAsia="en-US"/>
              </w:rPr>
              <w:t>255,310</w:t>
            </w:r>
          </w:p>
        </w:tc>
        <w:tc>
          <w:tcPr>
            <w:tcW w:w="1417" w:type="dxa"/>
            <w:shd w:val="clear" w:color="auto" w:fill="auto"/>
            <w:vAlign w:val="center"/>
          </w:tcPr>
          <w:p w14:paraId="5D05F57D"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color w:val="262626"/>
                <w:sz w:val="14"/>
                <w:szCs w:val="14"/>
                <w:lang w:val="en-US" w:eastAsia="en-US"/>
              </w:rPr>
              <w:t>538</w:t>
            </w:r>
          </w:p>
        </w:tc>
        <w:tc>
          <w:tcPr>
            <w:tcW w:w="1418" w:type="dxa"/>
            <w:shd w:val="clear" w:color="auto" w:fill="auto"/>
            <w:vAlign w:val="center"/>
          </w:tcPr>
          <w:p w14:paraId="48A7B678"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color w:val="262626"/>
                <w:sz w:val="14"/>
                <w:szCs w:val="14"/>
                <w:lang w:val="en-US" w:eastAsia="en-US"/>
              </w:rPr>
              <w:t>34,794</w:t>
            </w:r>
          </w:p>
        </w:tc>
        <w:tc>
          <w:tcPr>
            <w:tcW w:w="1417" w:type="dxa"/>
            <w:shd w:val="clear" w:color="auto" w:fill="auto"/>
            <w:vAlign w:val="center"/>
          </w:tcPr>
          <w:p w14:paraId="650FEF4F"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color w:val="262626"/>
                <w:sz w:val="14"/>
                <w:szCs w:val="14"/>
                <w:lang w:val="en-US" w:eastAsia="en-US"/>
              </w:rPr>
              <w:t>468</w:t>
            </w:r>
          </w:p>
        </w:tc>
        <w:tc>
          <w:tcPr>
            <w:tcW w:w="1843" w:type="dxa"/>
            <w:shd w:val="clear" w:color="auto" w:fill="auto"/>
            <w:vAlign w:val="center"/>
          </w:tcPr>
          <w:p w14:paraId="2F5CA21C"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color w:val="262626"/>
                <w:sz w:val="14"/>
                <w:szCs w:val="14"/>
                <w:lang w:val="en-US" w:eastAsia="en-US"/>
              </w:rPr>
              <w:t>3,456</w:t>
            </w:r>
          </w:p>
        </w:tc>
        <w:tc>
          <w:tcPr>
            <w:tcW w:w="1417" w:type="dxa"/>
            <w:shd w:val="clear" w:color="auto" w:fill="auto"/>
            <w:vAlign w:val="center"/>
          </w:tcPr>
          <w:p w14:paraId="0FC3E20B"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color w:val="262626"/>
                <w:sz w:val="14"/>
                <w:szCs w:val="14"/>
                <w:lang w:val="en-US" w:eastAsia="en-US"/>
              </w:rPr>
              <w:t>373</w:t>
            </w:r>
          </w:p>
        </w:tc>
        <w:tc>
          <w:tcPr>
            <w:tcW w:w="1418" w:type="dxa"/>
            <w:shd w:val="clear" w:color="auto" w:fill="auto"/>
            <w:vAlign w:val="center"/>
          </w:tcPr>
          <w:p w14:paraId="68C3799D"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color w:val="262626"/>
                <w:sz w:val="14"/>
                <w:szCs w:val="14"/>
                <w:lang w:val="en-US" w:eastAsia="en-US"/>
              </w:rPr>
              <w:t>1,223</w:t>
            </w:r>
          </w:p>
        </w:tc>
        <w:tc>
          <w:tcPr>
            <w:tcW w:w="1417" w:type="dxa"/>
            <w:shd w:val="clear" w:color="auto" w:fill="auto"/>
            <w:vAlign w:val="center"/>
          </w:tcPr>
          <w:p w14:paraId="2E1D7007"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color w:val="262626"/>
                <w:sz w:val="14"/>
                <w:szCs w:val="14"/>
                <w:lang w:val="en-US" w:eastAsia="en-US"/>
              </w:rPr>
              <w:t>306</w:t>
            </w:r>
          </w:p>
        </w:tc>
      </w:tr>
      <w:tr w:rsidR="0056738E" w:rsidRPr="00974DDF" w14:paraId="57AD6587" w14:textId="77777777" w:rsidTr="007C2AEE">
        <w:trPr>
          <w:trHeight w:val="227"/>
          <w:jc w:val="center"/>
        </w:trPr>
        <w:tc>
          <w:tcPr>
            <w:tcW w:w="3175" w:type="dxa"/>
            <w:vAlign w:val="center"/>
          </w:tcPr>
          <w:p w14:paraId="7B61B596" w14:textId="77777777" w:rsidR="0056738E" w:rsidRPr="00873272" w:rsidRDefault="0056738E" w:rsidP="007C2AEE">
            <w:pPr>
              <w:pStyle w:val="BodyTextIndent"/>
              <w:shd w:val="clear" w:color="auto" w:fill="FFFFFF"/>
              <w:tabs>
                <w:tab w:val="left" w:pos="284"/>
              </w:tabs>
              <w:spacing w:after="0" w:line="240" w:lineRule="auto"/>
              <w:ind w:left="0"/>
              <w:rPr>
                <w:rFonts w:ascii="Arial" w:hAnsi="Arial" w:cs="Arial"/>
                <w:b/>
                <w:sz w:val="14"/>
                <w:szCs w:val="14"/>
              </w:rPr>
            </w:pPr>
            <w:proofErr w:type="spellStart"/>
            <w:r w:rsidRPr="00873272">
              <w:rPr>
                <w:rFonts w:ascii="Arial" w:hAnsi="Arial" w:cs="Arial"/>
                <w:b/>
                <w:color w:val="262626"/>
                <w:sz w:val="14"/>
                <w:szCs w:val="14"/>
              </w:rPr>
              <w:t>Μη</w:t>
            </w:r>
            <w:proofErr w:type="spellEnd"/>
            <w:r>
              <w:rPr>
                <w:rFonts w:ascii="Arial" w:hAnsi="Arial" w:cs="Arial"/>
                <w:b/>
                <w:color w:val="262626"/>
                <w:sz w:val="14"/>
                <w:szCs w:val="14"/>
                <w:lang w:val="el-GR"/>
              </w:rPr>
              <w:t>-</w:t>
            </w:r>
            <w:proofErr w:type="spellStart"/>
            <w:r w:rsidRPr="00873272">
              <w:rPr>
                <w:rFonts w:ascii="Arial" w:hAnsi="Arial" w:cs="Arial"/>
                <w:b/>
                <w:color w:val="262626"/>
                <w:sz w:val="14"/>
                <w:szCs w:val="14"/>
              </w:rPr>
              <w:t>χρημ</w:t>
            </w:r>
            <w:proofErr w:type="spellEnd"/>
            <w:r w:rsidRPr="00873272">
              <w:rPr>
                <w:rFonts w:ascii="Arial" w:hAnsi="Arial" w:cs="Arial"/>
                <w:b/>
                <w:color w:val="262626"/>
                <w:sz w:val="14"/>
                <w:szCs w:val="14"/>
              </w:rPr>
              <w:t>ατοπιστωτικές επ</w:t>
            </w:r>
            <w:proofErr w:type="spellStart"/>
            <w:r w:rsidRPr="00873272">
              <w:rPr>
                <w:rFonts w:ascii="Arial" w:hAnsi="Arial" w:cs="Arial"/>
                <w:b/>
                <w:color w:val="262626"/>
                <w:sz w:val="14"/>
                <w:szCs w:val="14"/>
              </w:rPr>
              <w:t>ιχειρήσεις</w:t>
            </w:r>
            <w:proofErr w:type="spellEnd"/>
          </w:p>
        </w:tc>
        <w:tc>
          <w:tcPr>
            <w:tcW w:w="1502" w:type="dxa"/>
            <w:shd w:val="clear" w:color="auto" w:fill="auto"/>
            <w:vAlign w:val="center"/>
          </w:tcPr>
          <w:p w14:paraId="6E803FBD"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color w:val="262626"/>
                <w:sz w:val="14"/>
                <w:szCs w:val="14"/>
                <w:lang w:val="en-US" w:eastAsia="en-US"/>
              </w:rPr>
              <w:t>4,989,179</w:t>
            </w:r>
          </w:p>
        </w:tc>
        <w:tc>
          <w:tcPr>
            <w:tcW w:w="1417" w:type="dxa"/>
            <w:shd w:val="clear" w:color="auto" w:fill="auto"/>
            <w:vAlign w:val="center"/>
          </w:tcPr>
          <w:p w14:paraId="491A266D"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color w:val="262626"/>
                <w:sz w:val="14"/>
                <w:szCs w:val="14"/>
                <w:lang w:val="en-US" w:eastAsia="en-US"/>
              </w:rPr>
              <w:t>83,786</w:t>
            </w:r>
          </w:p>
        </w:tc>
        <w:tc>
          <w:tcPr>
            <w:tcW w:w="1418" w:type="dxa"/>
            <w:shd w:val="clear" w:color="auto" w:fill="auto"/>
            <w:vAlign w:val="center"/>
          </w:tcPr>
          <w:p w14:paraId="0B410BAD"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color w:val="262626"/>
                <w:sz w:val="14"/>
                <w:szCs w:val="14"/>
                <w:lang w:val="en-US" w:eastAsia="en-US"/>
              </w:rPr>
              <w:t>142,377</w:t>
            </w:r>
          </w:p>
        </w:tc>
        <w:tc>
          <w:tcPr>
            <w:tcW w:w="1417" w:type="dxa"/>
            <w:shd w:val="clear" w:color="auto" w:fill="auto"/>
            <w:vAlign w:val="center"/>
          </w:tcPr>
          <w:p w14:paraId="5969AAC9"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color w:val="262626"/>
                <w:sz w:val="14"/>
                <w:szCs w:val="14"/>
                <w:lang w:val="en-US" w:eastAsia="en-US"/>
              </w:rPr>
              <w:t>59,440</w:t>
            </w:r>
          </w:p>
        </w:tc>
        <w:tc>
          <w:tcPr>
            <w:tcW w:w="1843" w:type="dxa"/>
            <w:shd w:val="clear" w:color="auto" w:fill="auto"/>
            <w:vAlign w:val="center"/>
          </w:tcPr>
          <w:p w14:paraId="45C9D10A"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color w:val="262626"/>
                <w:sz w:val="14"/>
                <w:szCs w:val="14"/>
                <w:lang w:val="en-US" w:eastAsia="en-US"/>
              </w:rPr>
              <w:t>60,808</w:t>
            </w:r>
          </w:p>
        </w:tc>
        <w:tc>
          <w:tcPr>
            <w:tcW w:w="1417" w:type="dxa"/>
            <w:shd w:val="clear" w:color="auto" w:fill="auto"/>
            <w:vAlign w:val="center"/>
          </w:tcPr>
          <w:p w14:paraId="6A653550"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color w:val="262626"/>
                <w:sz w:val="14"/>
                <w:szCs w:val="14"/>
                <w:lang w:val="en-US" w:eastAsia="en-US"/>
              </w:rPr>
              <w:t>40,203</w:t>
            </w:r>
          </w:p>
        </w:tc>
        <w:tc>
          <w:tcPr>
            <w:tcW w:w="1418" w:type="dxa"/>
            <w:shd w:val="clear" w:color="auto" w:fill="auto"/>
            <w:vAlign w:val="center"/>
          </w:tcPr>
          <w:p w14:paraId="47BB1F3F"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color w:val="262626"/>
                <w:sz w:val="14"/>
                <w:szCs w:val="14"/>
                <w:lang w:val="en-US" w:eastAsia="en-US"/>
              </w:rPr>
              <w:t>31,540</w:t>
            </w:r>
          </w:p>
        </w:tc>
        <w:tc>
          <w:tcPr>
            <w:tcW w:w="1417" w:type="dxa"/>
            <w:shd w:val="clear" w:color="auto" w:fill="auto"/>
            <w:vAlign w:val="center"/>
          </w:tcPr>
          <w:p w14:paraId="70AA7DEA"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color w:val="262626"/>
                <w:sz w:val="14"/>
                <w:szCs w:val="14"/>
                <w:lang w:val="en-US" w:eastAsia="en-US"/>
              </w:rPr>
              <w:t>29,895</w:t>
            </w:r>
          </w:p>
        </w:tc>
      </w:tr>
      <w:tr w:rsidR="0056738E" w:rsidRPr="00D57DDE" w14:paraId="085B83D8" w14:textId="77777777" w:rsidTr="007C2AEE">
        <w:trPr>
          <w:trHeight w:val="227"/>
          <w:jc w:val="center"/>
        </w:trPr>
        <w:tc>
          <w:tcPr>
            <w:tcW w:w="3175" w:type="dxa"/>
            <w:shd w:val="clear" w:color="auto" w:fill="auto"/>
            <w:vAlign w:val="center"/>
          </w:tcPr>
          <w:p w14:paraId="321CDF0F" w14:textId="77777777" w:rsidR="0056738E" w:rsidRPr="00873272" w:rsidRDefault="0056738E" w:rsidP="007C2AEE">
            <w:pPr>
              <w:pStyle w:val="BodyTextIndent"/>
              <w:shd w:val="clear" w:color="auto" w:fill="FFFFFF"/>
              <w:tabs>
                <w:tab w:val="left" w:pos="284"/>
              </w:tabs>
              <w:spacing w:after="0" w:line="240" w:lineRule="auto"/>
              <w:ind w:left="0"/>
              <w:rPr>
                <w:rFonts w:ascii="Arial" w:hAnsi="Arial" w:cs="Arial"/>
                <w:i/>
                <w:sz w:val="14"/>
                <w:szCs w:val="14"/>
                <w:lang w:val="el-GR"/>
              </w:rPr>
            </w:pPr>
            <w:r w:rsidRPr="00873272">
              <w:rPr>
                <w:rFonts w:ascii="Arial" w:hAnsi="Arial" w:cs="Arial"/>
                <w:i/>
                <w:color w:val="262626"/>
                <w:sz w:val="14"/>
                <w:szCs w:val="14"/>
                <w:lang w:val="el-GR"/>
              </w:rPr>
              <w:t>Από τις οποίες: Μικρομεσαίες επιχειρήσεις</w:t>
            </w:r>
            <w:r w:rsidRPr="00873272">
              <w:rPr>
                <w:rFonts w:ascii="Arial" w:hAnsi="Arial" w:cs="Arial"/>
                <w:i/>
                <w:color w:val="262626"/>
                <w:sz w:val="14"/>
                <w:szCs w:val="14"/>
                <w:vertAlign w:val="superscript"/>
                <w:lang w:val="el-GR"/>
              </w:rPr>
              <w:t>3</w:t>
            </w:r>
            <w:r w:rsidRPr="00873272">
              <w:rPr>
                <w:rFonts w:ascii="Arial" w:hAnsi="Arial" w:cs="Arial"/>
                <w:i/>
                <w:sz w:val="14"/>
                <w:szCs w:val="14"/>
                <w:vertAlign w:val="superscript"/>
                <w:lang w:val="el-GR"/>
              </w:rPr>
              <w:t xml:space="preserve"> </w:t>
            </w:r>
          </w:p>
        </w:tc>
        <w:tc>
          <w:tcPr>
            <w:tcW w:w="1502" w:type="dxa"/>
            <w:shd w:val="clear" w:color="auto" w:fill="auto"/>
            <w:vAlign w:val="center"/>
          </w:tcPr>
          <w:p w14:paraId="18A61553"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2,873,144</w:t>
            </w:r>
          </w:p>
        </w:tc>
        <w:tc>
          <w:tcPr>
            <w:tcW w:w="1417" w:type="dxa"/>
            <w:shd w:val="clear" w:color="auto" w:fill="auto"/>
            <w:vAlign w:val="center"/>
          </w:tcPr>
          <w:p w14:paraId="368CC095"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70,828</w:t>
            </w:r>
          </w:p>
        </w:tc>
        <w:tc>
          <w:tcPr>
            <w:tcW w:w="1418" w:type="dxa"/>
            <w:shd w:val="clear" w:color="auto" w:fill="auto"/>
            <w:vAlign w:val="center"/>
          </w:tcPr>
          <w:p w14:paraId="50C4ED25"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121,130</w:t>
            </w:r>
          </w:p>
        </w:tc>
        <w:tc>
          <w:tcPr>
            <w:tcW w:w="1417" w:type="dxa"/>
            <w:shd w:val="clear" w:color="auto" w:fill="auto"/>
            <w:vAlign w:val="center"/>
          </w:tcPr>
          <w:p w14:paraId="2DCA7631"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48,926</w:t>
            </w:r>
          </w:p>
        </w:tc>
        <w:tc>
          <w:tcPr>
            <w:tcW w:w="1843" w:type="dxa"/>
            <w:shd w:val="clear" w:color="auto" w:fill="auto"/>
            <w:vAlign w:val="center"/>
          </w:tcPr>
          <w:p w14:paraId="4B24EFCC"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39,783</w:t>
            </w:r>
          </w:p>
        </w:tc>
        <w:tc>
          <w:tcPr>
            <w:tcW w:w="1417" w:type="dxa"/>
            <w:shd w:val="clear" w:color="auto" w:fill="auto"/>
            <w:vAlign w:val="center"/>
          </w:tcPr>
          <w:p w14:paraId="63102F36"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29,585</w:t>
            </w:r>
          </w:p>
        </w:tc>
        <w:tc>
          <w:tcPr>
            <w:tcW w:w="1418" w:type="dxa"/>
            <w:shd w:val="clear" w:color="auto" w:fill="auto"/>
            <w:vAlign w:val="center"/>
          </w:tcPr>
          <w:p w14:paraId="7EF01D1B"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21,102</w:t>
            </w:r>
          </w:p>
        </w:tc>
        <w:tc>
          <w:tcPr>
            <w:tcW w:w="1417" w:type="dxa"/>
            <w:shd w:val="clear" w:color="auto" w:fill="auto"/>
            <w:vAlign w:val="center"/>
          </w:tcPr>
          <w:p w14:paraId="5C9983A0"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19,824</w:t>
            </w:r>
          </w:p>
        </w:tc>
      </w:tr>
      <w:tr w:rsidR="0056738E" w:rsidRPr="00D57DDE" w14:paraId="43505017" w14:textId="77777777" w:rsidTr="007C2AEE">
        <w:trPr>
          <w:trHeight w:val="227"/>
          <w:jc w:val="center"/>
        </w:trPr>
        <w:tc>
          <w:tcPr>
            <w:tcW w:w="3175" w:type="dxa"/>
            <w:shd w:val="clear" w:color="auto" w:fill="auto"/>
            <w:vAlign w:val="center"/>
          </w:tcPr>
          <w:p w14:paraId="39DDAC78" w14:textId="77777777" w:rsidR="0056738E" w:rsidRPr="00873272" w:rsidRDefault="0056738E" w:rsidP="007C2AEE">
            <w:pPr>
              <w:pStyle w:val="BodyTextIndent"/>
              <w:shd w:val="clear" w:color="auto" w:fill="FFFFFF"/>
              <w:tabs>
                <w:tab w:val="left" w:pos="284"/>
              </w:tabs>
              <w:spacing w:after="0" w:line="240" w:lineRule="auto"/>
              <w:ind w:left="0"/>
              <w:rPr>
                <w:rFonts w:ascii="Arial" w:hAnsi="Arial" w:cs="Arial"/>
                <w:i/>
                <w:sz w:val="14"/>
                <w:szCs w:val="14"/>
                <w:lang w:val="el-GR"/>
              </w:rPr>
            </w:pPr>
            <w:r w:rsidRPr="00873272">
              <w:rPr>
                <w:rFonts w:ascii="Arial" w:hAnsi="Arial" w:cs="Arial"/>
                <w:i/>
                <w:color w:val="262626"/>
                <w:sz w:val="14"/>
                <w:szCs w:val="14"/>
                <w:lang w:val="el-GR"/>
              </w:rPr>
              <w:t>Από τις οποίες: Εμπορικών ακινήτων</w:t>
            </w:r>
            <w:r w:rsidRPr="00873272">
              <w:rPr>
                <w:rFonts w:ascii="Arial" w:hAnsi="Arial" w:cs="Arial"/>
                <w:i/>
                <w:color w:val="262626"/>
                <w:sz w:val="14"/>
                <w:szCs w:val="14"/>
                <w:vertAlign w:val="superscript"/>
                <w:lang w:val="el-GR"/>
              </w:rPr>
              <w:t>3</w:t>
            </w:r>
            <w:r w:rsidRPr="00873272">
              <w:rPr>
                <w:rFonts w:ascii="Arial" w:hAnsi="Arial" w:cs="Arial"/>
                <w:i/>
                <w:sz w:val="14"/>
                <w:szCs w:val="14"/>
                <w:vertAlign w:val="superscript"/>
                <w:lang w:val="el-GR"/>
              </w:rPr>
              <w:t xml:space="preserve"> </w:t>
            </w:r>
          </w:p>
        </w:tc>
        <w:tc>
          <w:tcPr>
            <w:tcW w:w="1502" w:type="dxa"/>
            <w:shd w:val="clear" w:color="auto" w:fill="auto"/>
            <w:vAlign w:val="center"/>
          </w:tcPr>
          <w:p w14:paraId="082E3783"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3,576,722</w:t>
            </w:r>
          </w:p>
        </w:tc>
        <w:tc>
          <w:tcPr>
            <w:tcW w:w="1417" w:type="dxa"/>
            <w:shd w:val="clear" w:color="auto" w:fill="auto"/>
            <w:vAlign w:val="center"/>
          </w:tcPr>
          <w:p w14:paraId="70144DBD"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71,975</w:t>
            </w:r>
          </w:p>
        </w:tc>
        <w:tc>
          <w:tcPr>
            <w:tcW w:w="1418" w:type="dxa"/>
            <w:shd w:val="clear" w:color="auto" w:fill="auto"/>
            <w:vAlign w:val="center"/>
          </w:tcPr>
          <w:p w14:paraId="55F751DB"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117,068</w:t>
            </w:r>
          </w:p>
        </w:tc>
        <w:tc>
          <w:tcPr>
            <w:tcW w:w="1417" w:type="dxa"/>
            <w:shd w:val="clear" w:color="auto" w:fill="auto"/>
            <w:vAlign w:val="center"/>
          </w:tcPr>
          <w:p w14:paraId="0C0C24B0"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55,972</w:t>
            </w:r>
          </w:p>
        </w:tc>
        <w:tc>
          <w:tcPr>
            <w:tcW w:w="1843" w:type="dxa"/>
            <w:shd w:val="clear" w:color="auto" w:fill="auto"/>
            <w:vAlign w:val="center"/>
          </w:tcPr>
          <w:p w14:paraId="48E83D84"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47,529</w:t>
            </w:r>
          </w:p>
        </w:tc>
        <w:tc>
          <w:tcPr>
            <w:tcW w:w="1417" w:type="dxa"/>
            <w:shd w:val="clear" w:color="auto" w:fill="auto"/>
            <w:vAlign w:val="center"/>
          </w:tcPr>
          <w:p w14:paraId="108CD908"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33,332</w:t>
            </w:r>
          </w:p>
        </w:tc>
        <w:tc>
          <w:tcPr>
            <w:tcW w:w="1418" w:type="dxa"/>
            <w:shd w:val="clear" w:color="auto" w:fill="auto"/>
            <w:vAlign w:val="center"/>
          </w:tcPr>
          <w:p w14:paraId="066EC6DA"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29,463</w:t>
            </w:r>
          </w:p>
        </w:tc>
        <w:tc>
          <w:tcPr>
            <w:tcW w:w="1417" w:type="dxa"/>
            <w:shd w:val="clear" w:color="auto" w:fill="auto"/>
            <w:vAlign w:val="center"/>
          </w:tcPr>
          <w:p w14:paraId="62CF3C7C"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28,311</w:t>
            </w:r>
          </w:p>
        </w:tc>
      </w:tr>
      <w:tr w:rsidR="0056738E" w:rsidRPr="007C2AEE" w14:paraId="2042B993" w14:textId="77777777" w:rsidTr="007C2AEE">
        <w:trPr>
          <w:trHeight w:val="227"/>
          <w:jc w:val="center"/>
        </w:trPr>
        <w:tc>
          <w:tcPr>
            <w:tcW w:w="3175" w:type="dxa"/>
            <w:vAlign w:val="center"/>
          </w:tcPr>
          <w:p w14:paraId="7B1D6389" w14:textId="77777777" w:rsidR="0056738E" w:rsidRPr="00A03828" w:rsidRDefault="0056738E" w:rsidP="007C2AEE">
            <w:pPr>
              <w:pStyle w:val="BodyTextIndent"/>
              <w:shd w:val="clear" w:color="auto" w:fill="FFFFFF"/>
              <w:tabs>
                <w:tab w:val="left" w:pos="284"/>
              </w:tabs>
              <w:spacing w:after="0" w:line="240" w:lineRule="auto"/>
              <w:ind w:left="0"/>
              <w:rPr>
                <w:rFonts w:ascii="Arial" w:hAnsi="Arial" w:cs="Arial"/>
                <w:b/>
                <w:i/>
                <w:iCs/>
                <w:sz w:val="14"/>
                <w:szCs w:val="14"/>
                <w:lang w:val="el-GR"/>
              </w:rPr>
            </w:pPr>
            <w:r w:rsidRPr="00A03828">
              <w:rPr>
                <w:rFonts w:ascii="Arial" w:hAnsi="Arial" w:cs="Arial"/>
                <w:b/>
                <w:i/>
                <w:iCs/>
                <w:color w:val="262626"/>
                <w:sz w:val="14"/>
                <w:szCs w:val="14"/>
                <w:lang w:val="el-GR"/>
              </w:rPr>
              <w:t>Μη-χρηματοπιστωτικές επιχειρήσεις ανά κλάδο</w:t>
            </w:r>
          </w:p>
        </w:tc>
        <w:tc>
          <w:tcPr>
            <w:tcW w:w="1502" w:type="dxa"/>
            <w:shd w:val="clear" w:color="auto" w:fill="auto"/>
            <w:vAlign w:val="center"/>
          </w:tcPr>
          <w:p w14:paraId="31806F2A"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p>
        </w:tc>
        <w:tc>
          <w:tcPr>
            <w:tcW w:w="1417" w:type="dxa"/>
            <w:shd w:val="clear" w:color="auto" w:fill="auto"/>
            <w:vAlign w:val="center"/>
          </w:tcPr>
          <w:p w14:paraId="2735636B"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p>
        </w:tc>
        <w:tc>
          <w:tcPr>
            <w:tcW w:w="1418" w:type="dxa"/>
            <w:shd w:val="clear" w:color="auto" w:fill="auto"/>
            <w:vAlign w:val="center"/>
          </w:tcPr>
          <w:p w14:paraId="4633CC73"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p>
        </w:tc>
        <w:tc>
          <w:tcPr>
            <w:tcW w:w="1417" w:type="dxa"/>
            <w:shd w:val="clear" w:color="auto" w:fill="auto"/>
            <w:vAlign w:val="center"/>
          </w:tcPr>
          <w:p w14:paraId="4C3723AE"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p>
        </w:tc>
        <w:tc>
          <w:tcPr>
            <w:tcW w:w="1843" w:type="dxa"/>
            <w:shd w:val="clear" w:color="auto" w:fill="auto"/>
            <w:vAlign w:val="center"/>
          </w:tcPr>
          <w:p w14:paraId="7A60A41F"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p>
        </w:tc>
        <w:tc>
          <w:tcPr>
            <w:tcW w:w="1417" w:type="dxa"/>
            <w:shd w:val="clear" w:color="auto" w:fill="auto"/>
            <w:vAlign w:val="center"/>
          </w:tcPr>
          <w:p w14:paraId="68853843"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p>
        </w:tc>
        <w:tc>
          <w:tcPr>
            <w:tcW w:w="1418" w:type="dxa"/>
            <w:shd w:val="clear" w:color="auto" w:fill="auto"/>
            <w:vAlign w:val="center"/>
          </w:tcPr>
          <w:p w14:paraId="59CC5E0C"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p>
        </w:tc>
        <w:tc>
          <w:tcPr>
            <w:tcW w:w="1417" w:type="dxa"/>
            <w:shd w:val="clear" w:color="auto" w:fill="auto"/>
            <w:vAlign w:val="center"/>
          </w:tcPr>
          <w:p w14:paraId="1040C7EE"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p>
        </w:tc>
      </w:tr>
      <w:tr w:rsidR="0056738E" w:rsidRPr="00974DDF" w14:paraId="3B5D94A3" w14:textId="77777777" w:rsidTr="007C2AEE">
        <w:trPr>
          <w:trHeight w:val="227"/>
          <w:jc w:val="center"/>
        </w:trPr>
        <w:tc>
          <w:tcPr>
            <w:tcW w:w="3175" w:type="dxa"/>
            <w:vAlign w:val="center"/>
          </w:tcPr>
          <w:p w14:paraId="3AD5F426" w14:textId="77777777" w:rsidR="0056738E" w:rsidRPr="00852625" w:rsidRDefault="0056738E" w:rsidP="007C2AEE">
            <w:pPr>
              <w:pStyle w:val="BodyTextIndent"/>
              <w:shd w:val="clear" w:color="auto" w:fill="FFFFFF"/>
              <w:tabs>
                <w:tab w:val="left" w:pos="284"/>
              </w:tabs>
              <w:spacing w:after="0" w:line="240" w:lineRule="auto"/>
              <w:ind w:left="0"/>
              <w:rPr>
                <w:rFonts w:ascii="Arial" w:hAnsi="Arial" w:cs="Arial"/>
                <w:i/>
                <w:iCs/>
                <w:sz w:val="14"/>
                <w:szCs w:val="14"/>
              </w:rPr>
            </w:pPr>
            <w:r w:rsidRPr="00852625">
              <w:rPr>
                <w:rFonts w:ascii="Arial" w:hAnsi="Arial" w:cs="Arial"/>
                <w:i/>
                <w:iCs/>
                <w:color w:val="262626"/>
                <w:sz w:val="14"/>
                <w:szCs w:val="14"/>
              </w:rPr>
              <w:t>Κατα</w:t>
            </w:r>
            <w:proofErr w:type="spellStart"/>
            <w:r w:rsidRPr="00852625">
              <w:rPr>
                <w:rFonts w:ascii="Arial" w:hAnsi="Arial" w:cs="Arial"/>
                <w:i/>
                <w:iCs/>
                <w:color w:val="262626"/>
                <w:sz w:val="14"/>
                <w:szCs w:val="14"/>
              </w:rPr>
              <w:t>σκευές</w:t>
            </w:r>
            <w:proofErr w:type="spellEnd"/>
          </w:p>
        </w:tc>
        <w:tc>
          <w:tcPr>
            <w:tcW w:w="1502" w:type="dxa"/>
            <w:shd w:val="clear" w:color="auto" w:fill="auto"/>
            <w:vAlign w:val="center"/>
          </w:tcPr>
          <w:p w14:paraId="3D04350A"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r w:rsidRPr="00A03828">
              <w:rPr>
                <w:rFonts w:ascii="Arial" w:eastAsia="Batang" w:hAnsi="Arial" w:cs="Arial"/>
                <w:b/>
                <w:bCs/>
                <w:i/>
                <w:iCs/>
                <w:color w:val="262626"/>
                <w:sz w:val="14"/>
                <w:szCs w:val="14"/>
                <w:lang w:val="en-US" w:eastAsia="en-US"/>
              </w:rPr>
              <w:t>476,274</w:t>
            </w:r>
          </w:p>
        </w:tc>
        <w:tc>
          <w:tcPr>
            <w:tcW w:w="1417" w:type="dxa"/>
            <w:shd w:val="clear" w:color="auto" w:fill="auto"/>
            <w:vAlign w:val="center"/>
          </w:tcPr>
          <w:p w14:paraId="6573954D"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b/>
                <w:bCs/>
                <w:i/>
                <w:iCs/>
                <w:sz w:val="14"/>
                <w:szCs w:val="14"/>
                <w:lang w:val="en-US" w:eastAsia="en-US"/>
              </w:rPr>
              <w:t>3,070</w:t>
            </w:r>
          </w:p>
        </w:tc>
        <w:tc>
          <w:tcPr>
            <w:tcW w:w="1418" w:type="dxa"/>
            <w:shd w:val="clear" w:color="auto" w:fill="auto"/>
            <w:vAlign w:val="center"/>
          </w:tcPr>
          <w:p w14:paraId="1E338E8E" w14:textId="77777777" w:rsidR="0056738E" w:rsidRPr="00A03828"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417" w:type="dxa"/>
            <w:shd w:val="clear" w:color="auto" w:fill="auto"/>
            <w:vAlign w:val="center"/>
          </w:tcPr>
          <w:p w14:paraId="3AF0A06C" w14:textId="77777777" w:rsidR="0056738E" w:rsidRPr="00A03828"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843" w:type="dxa"/>
            <w:shd w:val="clear" w:color="auto" w:fill="auto"/>
            <w:vAlign w:val="center"/>
          </w:tcPr>
          <w:p w14:paraId="3C4729F9"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b/>
                <w:bCs/>
                <w:i/>
                <w:iCs/>
                <w:sz w:val="14"/>
                <w:szCs w:val="14"/>
                <w:lang w:val="en-US" w:eastAsia="en-US"/>
              </w:rPr>
              <w:t>7,610</w:t>
            </w:r>
          </w:p>
        </w:tc>
        <w:tc>
          <w:tcPr>
            <w:tcW w:w="1417" w:type="dxa"/>
            <w:shd w:val="clear" w:color="auto" w:fill="auto"/>
            <w:vAlign w:val="center"/>
          </w:tcPr>
          <w:p w14:paraId="11220E07"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8" w:type="dxa"/>
            <w:shd w:val="clear" w:color="auto" w:fill="auto"/>
            <w:vAlign w:val="center"/>
          </w:tcPr>
          <w:p w14:paraId="6280CA7A"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7" w:type="dxa"/>
            <w:shd w:val="clear" w:color="auto" w:fill="auto"/>
            <w:vAlign w:val="center"/>
          </w:tcPr>
          <w:p w14:paraId="01E4A369"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r>
      <w:tr w:rsidR="0056738E" w:rsidRPr="00974DDF" w14:paraId="29E1B183" w14:textId="77777777" w:rsidTr="007C2AEE">
        <w:trPr>
          <w:trHeight w:val="227"/>
          <w:jc w:val="center"/>
        </w:trPr>
        <w:tc>
          <w:tcPr>
            <w:tcW w:w="3175" w:type="dxa"/>
            <w:vAlign w:val="center"/>
          </w:tcPr>
          <w:p w14:paraId="101C127A" w14:textId="77777777" w:rsidR="0056738E" w:rsidRPr="00852625" w:rsidRDefault="0056738E" w:rsidP="007C2AEE">
            <w:pPr>
              <w:pStyle w:val="BodyTextIndent"/>
              <w:shd w:val="clear" w:color="auto" w:fill="FFFFFF"/>
              <w:tabs>
                <w:tab w:val="left" w:pos="284"/>
              </w:tabs>
              <w:spacing w:after="0" w:line="240" w:lineRule="auto"/>
              <w:ind w:left="0"/>
              <w:rPr>
                <w:rFonts w:ascii="Arial" w:hAnsi="Arial" w:cs="Arial"/>
                <w:i/>
                <w:iCs/>
                <w:sz w:val="14"/>
                <w:szCs w:val="14"/>
              </w:rPr>
            </w:pPr>
            <w:proofErr w:type="spellStart"/>
            <w:r w:rsidRPr="00852625">
              <w:rPr>
                <w:rFonts w:ascii="Arial" w:hAnsi="Arial" w:cs="Arial"/>
                <w:i/>
                <w:iCs/>
                <w:color w:val="262626"/>
                <w:sz w:val="14"/>
                <w:szCs w:val="14"/>
              </w:rPr>
              <w:t>Χονδρικό</w:t>
            </w:r>
            <w:proofErr w:type="spellEnd"/>
            <w:r w:rsidRPr="00852625">
              <w:rPr>
                <w:rFonts w:ascii="Arial" w:hAnsi="Arial" w:cs="Arial"/>
                <w:i/>
                <w:iCs/>
                <w:color w:val="262626"/>
                <w:sz w:val="14"/>
                <w:szCs w:val="14"/>
              </w:rPr>
              <w:t xml:space="preserve"> και </w:t>
            </w:r>
            <w:proofErr w:type="spellStart"/>
            <w:r w:rsidRPr="00852625">
              <w:rPr>
                <w:rFonts w:ascii="Arial" w:hAnsi="Arial" w:cs="Arial"/>
                <w:i/>
                <w:iCs/>
                <w:color w:val="262626"/>
                <w:sz w:val="14"/>
                <w:szCs w:val="14"/>
              </w:rPr>
              <w:t>λι</w:t>
            </w:r>
            <w:proofErr w:type="spellEnd"/>
            <w:r w:rsidRPr="00852625">
              <w:rPr>
                <w:rFonts w:ascii="Arial" w:hAnsi="Arial" w:cs="Arial"/>
                <w:i/>
                <w:iCs/>
                <w:color w:val="262626"/>
                <w:sz w:val="14"/>
                <w:szCs w:val="14"/>
              </w:rPr>
              <w:t xml:space="preserve">ανικό </w:t>
            </w:r>
            <w:proofErr w:type="spellStart"/>
            <w:r w:rsidRPr="00852625">
              <w:rPr>
                <w:rFonts w:ascii="Arial" w:hAnsi="Arial" w:cs="Arial"/>
                <w:i/>
                <w:iCs/>
                <w:color w:val="262626"/>
                <w:sz w:val="14"/>
                <w:szCs w:val="14"/>
              </w:rPr>
              <w:t>εμ</w:t>
            </w:r>
            <w:proofErr w:type="spellEnd"/>
            <w:r w:rsidRPr="00852625">
              <w:rPr>
                <w:rFonts w:ascii="Arial" w:hAnsi="Arial" w:cs="Arial"/>
                <w:i/>
                <w:iCs/>
                <w:color w:val="262626"/>
                <w:sz w:val="14"/>
                <w:szCs w:val="14"/>
              </w:rPr>
              <w:t>πόριο</w:t>
            </w:r>
          </w:p>
        </w:tc>
        <w:tc>
          <w:tcPr>
            <w:tcW w:w="1502" w:type="dxa"/>
            <w:shd w:val="clear" w:color="auto" w:fill="auto"/>
            <w:vAlign w:val="center"/>
          </w:tcPr>
          <w:p w14:paraId="1FFD93F6"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r w:rsidRPr="00A03828">
              <w:rPr>
                <w:rFonts w:ascii="Arial" w:eastAsia="Batang" w:hAnsi="Arial" w:cs="Arial"/>
                <w:b/>
                <w:bCs/>
                <w:i/>
                <w:iCs/>
                <w:color w:val="262626"/>
                <w:sz w:val="14"/>
                <w:szCs w:val="14"/>
                <w:lang w:val="en-US" w:eastAsia="en-US"/>
              </w:rPr>
              <w:t>924,463</w:t>
            </w:r>
          </w:p>
        </w:tc>
        <w:tc>
          <w:tcPr>
            <w:tcW w:w="1417" w:type="dxa"/>
            <w:shd w:val="clear" w:color="auto" w:fill="auto"/>
            <w:vAlign w:val="center"/>
          </w:tcPr>
          <w:p w14:paraId="5E21FC56"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b/>
                <w:bCs/>
                <w:i/>
                <w:iCs/>
                <w:sz w:val="14"/>
                <w:szCs w:val="14"/>
                <w:lang w:val="en-US" w:eastAsia="en-US"/>
              </w:rPr>
              <w:t>22,128</w:t>
            </w:r>
          </w:p>
        </w:tc>
        <w:tc>
          <w:tcPr>
            <w:tcW w:w="1418" w:type="dxa"/>
            <w:shd w:val="clear" w:color="auto" w:fill="auto"/>
            <w:vAlign w:val="center"/>
          </w:tcPr>
          <w:p w14:paraId="58DA6361" w14:textId="77777777" w:rsidR="0056738E" w:rsidRPr="00A03828"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417" w:type="dxa"/>
            <w:shd w:val="clear" w:color="auto" w:fill="auto"/>
            <w:vAlign w:val="center"/>
          </w:tcPr>
          <w:p w14:paraId="4D236EE8" w14:textId="77777777" w:rsidR="0056738E" w:rsidRPr="00A03828"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843" w:type="dxa"/>
            <w:shd w:val="clear" w:color="auto" w:fill="auto"/>
            <w:vAlign w:val="center"/>
          </w:tcPr>
          <w:p w14:paraId="63629EFC"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b/>
                <w:bCs/>
                <w:i/>
                <w:iCs/>
                <w:sz w:val="14"/>
                <w:szCs w:val="14"/>
                <w:lang w:val="en-US" w:eastAsia="en-US"/>
              </w:rPr>
              <w:t>11,753</w:t>
            </w:r>
          </w:p>
        </w:tc>
        <w:tc>
          <w:tcPr>
            <w:tcW w:w="1417" w:type="dxa"/>
            <w:shd w:val="clear" w:color="auto" w:fill="auto"/>
            <w:vAlign w:val="center"/>
          </w:tcPr>
          <w:p w14:paraId="597A082E"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8" w:type="dxa"/>
            <w:shd w:val="clear" w:color="auto" w:fill="auto"/>
            <w:vAlign w:val="center"/>
          </w:tcPr>
          <w:p w14:paraId="3998B65C"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7" w:type="dxa"/>
            <w:shd w:val="clear" w:color="auto" w:fill="auto"/>
            <w:vAlign w:val="center"/>
          </w:tcPr>
          <w:p w14:paraId="3298C59C"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r>
      <w:tr w:rsidR="0056738E" w:rsidRPr="00974DDF" w14:paraId="3A10CF9B" w14:textId="77777777" w:rsidTr="007C2AEE">
        <w:trPr>
          <w:trHeight w:val="227"/>
          <w:jc w:val="center"/>
        </w:trPr>
        <w:tc>
          <w:tcPr>
            <w:tcW w:w="3175" w:type="dxa"/>
            <w:vAlign w:val="center"/>
          </w:tcPr>
          <w:p w14:paraId="5263BF23" w14:textId="77777777" w:rsidR="0056738E" w:rsidRPr="00852625" w:rsidRDefault="0056738E" w:rsidP="007C2AEE">
            <w:pPr>
              <w:pStyle w:val="BodyTextIndent"/>
              <w:shd w:val="clear" w:color="auto" w:fill="FFFFFF"/>
              <w:tabs>
                <w:tab w:val="left" w:pos="284"/>
              </w:tabs>
              <w:spacing w:after="0" w:line="240" w:lineRule="auto"/>
              <w:ind w:left="0"/>
              <w:rPr>
                <w:rFonts w:ascii="Arial" w:hAnsi="Arial" w:cs="Arial"/>
                <w:i/>
                <w:iCs/>
                <w:sz w:val="14"/>
                <w:szCs w:val="14"/>
                <w:lang w:val="el-GR"/>
              </w:rPr>
            </w:pPr>
            <w:proofErr w:type="spellStart"/>
            <w:r w:rsidRPr="00852625">
              <w:rPr>
                <w:rFonts w:ascii="Arial" w:hAnsi="Arial" w:cs="Arial"/>
                <w:i/>
                <w:iCs/>
                <w:color w:val="262626"/>
                <w:sz w:val="14"/>
                <w:szCs w:val="14"/>
              </w:rPr>
              <w:t>Ξενοδοχεί</w:t>
            </w:r>
            <w:proofErr w:type="spellEnd"/>
            <w:r w:rsidRPr="00852625">
              <w:rPr>
                <w:rFonts w:ascii="Arial" w:hAnsi="Arial" w:cs="Arial"/>
                <w:i/>
                <w:iCs/>
                <w:color w:val="262626"/>
                <w:sz w:val="14"/>
                <w:szCs w:val="14"/>
              </w:rPr>
              <w:t xml:space="preserve">α και </w:t>
            </w:r>
            <w:r w:rsidRPr="00852625">
              <w:rPr>
                <w:rFonts w:ascii="Arial" w:hAnsi="Arial" w:cs="Arial"/>
                <w:i/>
                <w:iCs/>
                <w:color w:val="262626"/>
                <w:sz w:val="14"/>
                <w:szCs w:val="14"/>
                <w:lang w:val="el-GR"/>
              </w:rPr>
              <w:t>εστίαση</w:t>
            </w:r>
          </w:p>
        </w:tc>
        <w:tc>
          <w:tcPr>
            <w:tcW w:w="1502" w:type="dxa"/>
            <w:shd w:val="clear" w:color="auto" w:fill="auto"/>
            <w:vAlign w:val="center"/>
          </w:tcPr>
          <w:p w14:paraId="57A885AB"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r w:rsidRPr="00A03828">
              <w:rPr>
                <w:rFonts w:ascii="Arial" w:eastAsia="Batang" w:hAnsi="Arial" w:cs="Arial"/>
                <w:b/>
                <w:bCs/>
                <w:i/>
                <w:iCs/>
                <w:color w:val="262626"/>
                <w:sz w:val="14"/>
                <w:szCs w:val="14"/>
                <w:lang w:eastAsia="en-US"/>
              </w:rPr>
              <w:t>1,194,478</w:t>
            </w:r>
          </w:p>
        </w:tc>
        <w:tc>
          <w:tcPr>
            <w:tcW w:w="1417" w:type="dxa"/>
            <w:shd w:val="clear" w:color="auto" w:fill="auto"/>
            <w:vAlign w:val="center"/>
          </w:tcPr>
          <w:p w14:paraId="771CD6CC"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b/>
                <w:bCs/>
                <w:i/>
                <w:iCs/>
                <w:sz w:val="14"/>
                <w:szCs w:val="14"/>
                <w:lang w:eastAsia="en-US"/>
              </w:rPr>
              <w:t>1,675</w:t>
            </w:r>
          </w:p>
        </w:tc>
        <w:tc>
          <w:tcPr>
            <w:tcW w:w="1418" w:type="dxa"/>
            <w:shd w:val="clear" w:color="auto" w:fill="auto"/>
            <w:vAlign w:val="center"/>
          </w:tcPr>
          <w:p w14:paraId="28693C9B" w14:textId="77777777" w:rsidR="0056738E" w:rsidRPr="00A03828"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417" w:type="dxa"/>
            <w:shd w:val="clear" w:color="auto" w:fill="auto"/>
            <w:vAlign w:val="center"/>
          </w:tcPr>
          <w:p w14:paraId="6846E0BF" w14:textId="77777777" w:rsidR="0056738E" w:rsidRPr="00A03828"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843" w:type="dxa"/>
            <w:shd w:val="clear" w:color="auto" w:fill="auto"/>
            <w:vAlign w:val="center"/>
          </w:tcPr>
          <w:p w14:paraId="0228E272"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b/>
                <w:bCs/>
                <w:i/>
                <w:iCs/>
                <w:sz w:val="14"/>
                <w:szCs w:val="14"/>
                <w:lang w:eastAsia="en-US"/>
              </w:rPr>
              <w:t>3,015</w:t>
            </w:r>
          </w:p>
        </w:tc>
        <w:tc>
          <w:tcPr>
            <w:tcW w:w="1417" w:type="dxa"/>
            <w:shd w:val="clear" w:color="auto" w:fill="auto"/>
            <w:vAlign w:val="center"/>
          </w:tcPr>
          <w:p w14:paraId="7583E7D5"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8" w:type="dxa"/>
            <w:shd w:val="clear" w:color="auto" w:fill="auto"/>
            <w:vAlign w:val="center"/>
          </w:tcPr>
          <w:p w14:paraId="6061CDF7"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7" w:type="dxa"/>
            <w:shd w:val="clear" w:color="auto" w:fill="auto"/>
            <w:vAlign w:val="center"/>
          </w:tcPr>
          <w:p w14:paraId="232769C1"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r>
      <w:tr w:rsidR="0056738E" w:rsidRPr="00974DDF" w14:paraId="45435DAC" w14:textId="77777777" w:rsidTr="007C2AEE">
        <w:trPr>
          <w:trHeight w:val="227"/>
          <w:jc w:val="center"/>
        </w:trPr>
        <w:tc>
          <w:tcPr>
            <w:tcW w:w="3175" w:type="dxa"/>
            <w:vAlign w:val="center"/>
          </w:tcPr>
          <w:p w14:paraId="31F93385" w14:textId="77777777" w:rsidR="0056738E" w:rsidRPr="00852625" w:rsidRDefault="0056738E" w:rsidP="007C2AEE">
            <w:pPr>
              <w:pStyle w:val="BodyTextIndent"/>
              <w:shd w:val="clear" w:color="auto" w:fill="FFFFFF"/>
              <w:tabs>
                <w:tab w:val="left" w:pos="284"/>
              </w:tabs>
              <w:spacing w:after="0" w:line="240" w:lineRule="auto"/>
              <w:ind w:left="0"/>
              <w:rPr>
                <w:rFonts w:ascii="Arial" w:hAnsi="Arial" w:cs="Arial"/>
                <w:i/>
                <w:iCs/>
                <w:sz w:val="14"/>
                <w:szCs w:val="14"/>
              </w:rPr>
            </w:pPr>
            <w:proofErr w:type="spellStart"/>
            <w:r w:rsidRPr="00852625">
              <w:rPr>
                <w:rFonts w:ascii="Arial" w:hAnsi="Arial" w:cs="Arial"/>
                <w:i/>
                <w:iCs/>
                <w:color w:val="262626"/>
                <w:sz w:val="14"/>
                <w:szCs w:val="14"/>
              </w:rPr>
              <w:t>Ακίνητ</w:t>
            </w:r>
            <w:proofErr w:type="spellEnd"/>
            <w:r w:rsidRPr="00852625">
              <w:rPr>
                <w:rFonts w:ascii="Arial" w:hAnsi="Arial" w:cs="Arial"/>
                <w:i/>
                <w:iCs/>
                <w:color w:val="262626"/>
                <w:sz w:val="14"/>
                <w:szCs w:val="14"/>
              </w:rPr>
              <w:t>α</w:t>
            </w:r>
          </w:p>
        </w:tc>
        <w:tc>
          <w:tcPr>
            <w:tcW w:w="1502" w:type="dxa"/>
            <w:shd w:val="clear" w:color="auto" w:fill="auto"/>
            <w:vAlign w:val="center"/>
          </w:tcPr>
          <w:p w14:paraId="403A305C"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r w:rsidRPr="00A03828">
              <w:rPr>
                <w:rFonts w:ascii="Arial" w:eastAsia="Batang" w:hAnsi="Arial" w:cs="Arial"/>
                <w:b/>
                <w:bCs/>
                <w:i/>
                <w:iCs/>
                <w:color w:val="262626"/>
                <w:sz w:val="14"/>
                <w:szCs w:val="14"/>
                <w:lang w:val="en-US" w:eastAsia="en-US"/>
              </w:rPr>
              <w:t>950,902</w:t>
            </w:r>
          </w:p>
        </w:tc>
        <w:tc>
          <w:tcPr>
            <w:tcW w:w="1417" w:type="dxa"/>
            <w:shd w:val="clear" w:color="auto" w:fill="auto"/>
            <w:vAlign w:val="center"/>
          </w:tcPr>
          <w:p w14:paraId="135E185C"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b/>
                <w:bCs/>
                <w:i/>
                <w:iCs/>
                <w:sz w:val="14"/>
                <w:szCs w:val="14"/>
                <w:lang w:val="en-US" w:eastAsia="en-US"/>
              </w:rPr>
              <w:t>21,281</w:t>
            </w:r>
          </w:p>
        </w:tc>
        <w:tc>
          <w:tcPr>
            <w:tcW w:w="1418" w:type="dxa"/>
            <w:shd w:val="clear" w:color="auto" w:fill="auto"/>
            <w:vAlign w:val="center"/>
          </w:tcPr>
          <w:p w14:paraId="1BD93A38" w14:textId="77777777" w:rsidR="0056738E" w:rsidRPr="00A03828"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417" w:type="dxa"/>
            <w:shd w:val="clear" w:color="auto" w:fill="auto"/>
            <w:vAlign w:val="center"/>
          </w:tcPr>
          <w:p w14:paraId="779B440B" w14:textId="77777777" w:rsidR="0056738E" w:rsidRPr="00A03828"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843" w:type="dxa"/>
            <w:shd w:val="clear" w:color="auto" w:fill="auto"/>
            <w:vAlign w:val="center"/>
          </w:tcPr>
          <w:p w14:paraId="1A8E41B3"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b/>
                <w:bCs/>
                <w:i/>
                <w:iCs/>
                <w:sz w:val="14"/>
                <w:szCs w:val="14"/>
                <w:lang w:val="en-US" w:eastAsia="en-US"/>
              </w:rPr>
              <w:t>12,500</w:t>
            </w:r>
          </w:p>
        </w:tc>
        <w:tc>
          <w:tcPr>
            <w:tcW w:w="1417" w:type="dxa"/>
            <w:shd w:val="clear" w:color="auto" w:fill="auto"/>
            <w:vAlign w:val="center"/>
          </w:tcPr>
          <w:p w14:paraId="5E7B327D"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8" w:type="dxa"/>
            <w:shd w:val="clear" w:color="auto" w:fill="auto"/>
            <w:vAlign w:val="center"/>
          </w:tcPr>
          <w:p w14:paraId="374CC3AC"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7" w:type="dxa"/>
            <w:shd w:val="clear" w:color="auto" w:fill="auto"/>
            <w:vAlign w:val="center"/>
          </w:tcPr>
          <w:p w14:paraId="16FB644B"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r>
      <w:tr w:rsidR="0056738E" w:rsidRPr="00974DDF" w14:paraId="2A18DCC3" w14:textId="77777777" w:rsidTr="007C2AEE">
        <w:trPr>
          <w:trHeight w:val="227"/>
          <w:jc w:val="center"/>
        </w:trPr>
        <w:tc>
          <w:tcPr>
            <w:tcW w:w="3175" w:type="dxa"/>
            <w:vAlign w:val="center"/>
          </w:tcPr>
          <w:p w14:paraId="446D73D0" w14:textId="77777777" w:rsidR="0056738E" w:rsidRPr="00852625" w:rsidRDefault="0056738E" w:rsidP="007C2AEE">
            <w:pPr>
              <w:pStyle w:val="BodyTextIndent"/>
              <w:shd w:val="clear" w:color="auto" w:fill="FFFFFF"/>
              <w:tabs>
                <w:tab w:val="left" w:pos="284"/>
              </w:tabs>
              <w:spacing w:after="0" w:line="240" w:lineRule="auto"/>
              <w:ind w:left="0"/>
              <w:rPr>
                <w:rFonts w:ascii="Arial" w:hAnsi="Arial" w:cs="Arial"/>
                <w:i/>
                <w:iCs/>
                <w:sz w:val="14"/>
                <w:szCs w:val="14"/>
                <w:lang w:val="el-GR"/>
              </w:rPr>
            </w:pPr>
            <w:r w:rsidRPr="00852625">
              <w:rPr>
                <w:rFonts w:ascii="Arial" w:hAnsi="Arial" w:cs="Arial"/>
                <w:i/>
                <w:iCs/>
                <w:color w:val="262626"/>
                <w:sz w:val="14"/>
                <w:szCs w:val="14"/>
                <w:lang w:val="el-GR"/>
              </w:rPr>
              <w:t>Βιομηχανία</w:t>
            </w:r>
          </w:p>
        </w:tc>
        <w:tc>
          <w:tcPr>
            <w:tcW w:w="1502" w:type="dxa"/>
            <w:shd w:val="clear" w:color="auto" w:fill="auto"/>
            <w:vAlign w:val="center"/>
          </w:tcPr>
          <w:p w14:paraId="3600D4B8"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r w:rsidRPr="00A03828">
              <w:rPr>
                <w:rFonts w:ascii="Arial" w:eastAsia="Batang" w:hAnsi="Arial" w:cs="Arial"/>
                <w:b/>
                <w:bCs/>
                <w:i/>
                <w:iCs/>
                <w:color w:val="262626"/>
                <w:sz w:val="14"/>
                <w:szCs w:val="14"/>
                <w:lang w:val="en-US" w:eastAsia="en-US"/>
              </w:rPr>
              <w:t>357,052</w:t>
            </w:r>
          </w:p>
        </w:tc>
        <w:tc>
          <w:tcPr>
            <w:tcW w:w="1417" w:type="dxa"/>
            <w:shd w:val="clear" w:color="auto" w:fill="auto"/>
            <w:vAlign w:val="center"/>
          </w:tcPr>
          <w:p w14:paraId="58ED6EBC"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b/>
                <w:bCs/>
                <w:i/>
                <w:iCs/>
                <w:sz w:val="14"/>
                <w:szCs w:val="14"/>
                <w:lang w:val="en-US" w:eastAsia="en-US"/>
              </w:rPr>
              <w:t>3,607</w:t>
            </w:r>
          </w:p>
        </w:tc>
        <w:tc>
          <w:tcPr>
            <w:tcW w:w="1418" w:type="dxa"/>
            <w:shd w:val="clear" w:color="auto" w:fill="auto"/>
            <w:vAlign w:val="center"/>
          </w:tcPr>
          <w:p w14:paraId="27BDFE9C" w14:textId="77777777" w:rsidR="0056738E" w:rsidRPr="00A03828"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417" w:type="dxa"/>
            <w:shd w:val="clear" w:color="auto" w:fill="auto"/>
            <w:vAlign w:val="center"/>
          </w:tcPr>
          <w:p w14:paraId="3EDD781F" w14:textId="77777777" w:rsidR="0056738E" w:rsidRPr="00A03828"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843" w:type="dxa"/>
            <w:shd w:val="clear" w:color="auto" w:fill="auto"/>
            <w:vAlign w:val="center"/>
          </w:tcPr>
          <w:p w14:paraId="515601BF"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b/>
                <w:bCs/>
                <w:i/>
                <w:iCs/>
                <w:sz w:val="14"/>
                <w:szCs w:val="14"/>
                <w:lang w:val="en-US" w:eastAsia="en-US"/>
              </w:rPr>
              <w:t>2,678</w:t>
            </w:r>
          </w:p>
        </w:tc>
        <w:tc>
          <w:tcPr>
            <w:tcW w:w="1417" w:type="dxa"/>
            <w:shd w:val="clear" w:color="auto" w:fill="auto"/>
            <w:vAlign w:val="center"/>
          </w:tcPr>
          <w:p w14:paraId="6B8DD6F9"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8" w:type="dxa"/>
            <w:shd w:val="clear" w:color="auto" w:fill="auto"/>
            <w:vAlign w:val="center"/>
          </w:tcPr>
          <w:p w14:paraId="3B7CFF73"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7" w:type="dxa"/>
            <w:shd w:val="clear" w:color="auto" w:fill="auto"/>
            <w:vAlign w:val="center"/>
          </w:tcPr>
          <w:p w14:paraId="4560B552"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r>
      <w:tr w:rsidR="0056738E" w:rsidRPr="00974DDF" w14:paraId="0466623B" w14:textId="77777777" w:rsidTr="007C2AEE">
        <w:trPr>
          <w:trHeight w:val="227"/>
          <w:jc w:val="center"/>
        </w:trPr>
        <w:tc>
          <w:tcPr>
            <w:tcW w:w="3175" w:type="dxa"/>
            <w:vAlign w:val="center"/>
          </w:tcPr>
          <w:p w14:paraId="16D9F3BE" w14:textId="77777777" w:rsidR="0056738E" w:rsidRPr="00852625" w:rsidRDefault="0056738E" w:rsidP="007C2AEE">
            <w:pPr>
              <w:pStyle w:val="BodyTextIndent"/>
              <w:shd w:val="clear" w:color="auto" w:fill="FFFFFF"/>
              <w:tabs>
                <w:tab w:val="left" w:pos="284"/>
              </w:tabs>
              <w:spacing w:after="0" w:line="240" w:lineRule="auto"/>
              <w:ind w:left="0"/>
              <w:rPr>
                <w:rFonts w:ascii="Arial" w:hAnsi="Arial" w:cs="Arial"/>
                <w:i/>
                <w:iCs/>
                <w:sz w:val="14"/>
                <w:szCs w:val="14"/>
              </w:rPr>
            </w:pPr>
            <w:r w:rsidRPr="00852625">
              <w:rPr>
                <w:rFonts w:ascii="Arial" w:hAnsi="Arial" w:cs="Arial"/>
                <w:i/>
                <w:iCs/>
                <w:color w:val="262626"/>
                <w:sz w:val="14"/>
                <w:szCs w:val="14"/>
                <w:lang w:val="el-GR"/>
              </w:rPr>
              <w:t>Άλλοι</w:t>
            </w:r>
            <w:r w:rsidRPr="00852625">
              <w:rPr>
                <w:rFonts w:ascii="Arial" w:hAnsi="Arial" w:cs="Arial"/>
                <w:i/>
                <w:iCs/>
                <w:color w:val="262626"/>
                <w:sz w:val="14"/>
                <w:szCs w:val="14"/>
              </w:rPr>
              <w:t xml:space="preserve"> </w:t>
            </w:r>
            <w:proofErr w:type="spellStart"/>
            <w:r w:rsidRPr="00852625">
              <w:rPr>
                <w:rFonts w:ascii="Arial" w:hAnsi="Arial" w:cs="Arial"/>
                <w:i/>
                <w:iCs/>
                <w:color w:val="262626"/>
                <w:sz w:val="14"/>
                <w:szCs w:val="14"/>
              </w:rPr>
              <w:t>κλάδοι</w:t>
            </w:r>
            <w:proofErr w:type="spellEnd"/>
          </w:p>
        </w:tc>
        <w:tc>
          <w:tcPr>
            <w:tcW w:w="1502" w:type="dxa"/>
            <w:shd w:val="clear" w:color="auto" w:fill="auto"/>
            <w:vAlign w:val="center"/>
          </w:tcPr>
          <w:p w14:paraId="42687DC4"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r w:rsidRPr="00A03828">
              <w:rPr>
                <w:rFonts w:ascii="Arial" w:eastAsia="Batang" w:hAnsi="Arial" w:cs="Arial"/>
                <w:b/>
                <w:bCs/>
                <w:i/>
                <w:iCs/>
                <w:color w:val="262626"/>
                <w:sz w:val="14"/>
                <w:szCs w:val="14"/>
                <w:lang w:val="en-US" w:eastAsia="en-US"/>
              </w:rPr>
              <w:t>1,086,010</w:t>
            </w:r>
          </w:p>
        </w:tc>
        <w:tc>
          <w:tcPr>
            <w:tcW w:w="1417" w:type="dxa"/>
            <w:shd w:val="clear" w:color="auto" w:fill="auto"/>
            <w:vAlign w:val="center"/>
          </w:tcPr>
          <w:p w14:paraId="3DAD9574"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b/>
                <w:bCs/>
                <w:i/>
                <w:iCs/>
                <w:sz w:val="14"/>
                <w:szCs w:val="14"/>
                <w:lang w:val="en-US" w:eastAsia="en-US"/>
              </w:rPr>
              <w:t>32,025</w:t>
            </w:r>
          </w:p>
        </w:tc>
        <w:tc>
          <w:tcPr>
            <w:tcW w:w="1418" w:type="dxa"/>
            <w:shd w:val="clear" w:color="auto" w:fill="auto"/>
            <w:vAlign w:val="center"/>
          </w:tcPr>
          <w:p w14:paraId="474B6765" w14:textId="77777777" w:rsidR="0056738E" w:rsidRPr="00A03828"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417" w:type="dxa"/>
            <w:shd w:val="clear" w:color="auto" w:fill="auto"/>
            <w:vAlign w:val="center"/>
          </w:tcPr>
          <w:p w14:paraId="32CA68E1" w14:textId="77777777" w:rsidR="0056738E" w:rsidRPr="00A03828"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843" w:type="dxa"/>
            <w:shd w:val="clear" w:color="auto" w:fill="auto"/>
            <w:vAlign w:val="center"/>
          </w:tcPr>
          <w:p w14:paraId="1A265BC1"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b/>
                <w:bCs/>
                <w:i/>
                <w:iCs/>
                <w:sz w:val="14"/>
                <w:szCs w:val="14"/>
                <w:lang w:val="en-US" w:eastAsia="en-US"/>
              </w:rPr>
              <w:t>23,252</w:t>
            </w:r>
          </w:p>
        </w:tc>
        <w:tc>
          <w:tcPr>
            <w:tcW w:w="1417" w:type="dxa"/>
            <w:shd w:val="clear" w:color="auto" w:fill="auto"/>
            <w:vAlign w:val="center"/>
          </w:tcPr>
          <w:p w14:paraId="4C9AB0B0"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8" w:type="dxa"/>
            <w:shd w:val="clear" w:color="auto" w:fill="auto"/>
            <w:vAlign w:val="center"/>
          </w:tcPr>
          <w:p w14:paraId="657924E7"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7" w:type="dxa"/>
            <w:shd w:val="clear" w:color="auto" w:fill="auto"/>
            <w:vAlign w:val="center"/>
          </w:tcPr>
          <w:p w14:paraId="7389B15E" w14:textId="77777777" w:rsidR="0056738E" w:rsidRPr="00A03828"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r>
      <w:tr w:rsidR="0056738E" w:rsidRPr="00974DDF" w14:paraId="625E4F50" w14:textId="77777777" w:rsidTr="007C2AEE">
        <w:trPr>
          <w:trHeight w:val="227"/>
          <w:jc w:val="center"/>
        </w:trPr>
        <w:tc>
          <w:tcPr>
            <w:tcW w:w="3175" w:type="dxa"/>
            <w:vAlign w:val="center"/>
          </w:tcPr>
          <w:p w14:paraId="66D3274E" w14:textId="77777777" w:rsidR="0056738E" w:rsidRPr="00873272" w:rsidRDefault="0056738E" w:rsidP="007C2AEE">
            <w:pPr>
              <w:pStyle w:val="BodyTextIndent"/>
              <w:shd w:val="clear" w:color="auto" w:fill="FFFFFF"/>
              <w:tabs>
                <w:tab w:val="left" w:pos="284"/>
              </w:tabs>
              <w:spacing w:after="0" w:line="240" w:lineRule="auto"/>
              <w:ind w:left="0"/>
              <w:rPr>
                <w:rFonts w:ascii="Arial" w:hAnsi="Arial" w:cs="Arial"/>
                <w:b/>
                <w:sz w:val="14"/>
                <w:szCs w:val="14"/>
              </w:rPr>
            </w:pPr>
            <w:proofErr w:type="spellStart"/>
            <w:r w:rsidRPr="00873272">
              <w:rPr>
                <w:rFonts w:ascii="Arial" w:hAnsi="Arial" w:cs="Arial"/>
                <w:b/>
                <w:color w:val="262626"/>
                <w:sz w:val="14"/>
                <w:szCs w:val="14"/>
              </w:rPr>
              <w:t>Νοικοκυριά</w:t>
            </w:r>
            <w:proofErr w:type="spellEnd"/>
          </w:p>
        </w:tc>
        <w:tc>
          <w:tcPr>
            <w:tcW w:w="1502" w:type="dxa"/>
            <w:shd w:val="clear" w:color="auto" w:fill="auto"/>
            <w:vAlign w:val="center"/>
          </w:tcPr>
          <w:p w14:paraId="4D97CC2D"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val="en-US" w:eastAsia="en-US"/>
              </w:rPr>
              <w:t>4,865,861</w:t>
            </w:r>
          </w:p>
        </w:tc>
        <w:tc>
          <w:tcPr>
            <w:tcW w:w="1417" w:type="dxa"/>
            <w:shd w:val="clear" w:color="auto" w:fill="auto"/>
            <w:vAlign w:val="center"/>
          </w:tcPr>
          <w:p w14:paraId="5380C951"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val="en-US" w:eastAsia="en-US"/>
              </w:rPr>
              <w:t>164,072</w:t>
            </w:r>
          </w:p>
        </w:tc>
        <w:tc>
          <w:tcPr>
            <w:tcW w:w="1418" w:type="dxa"/>
            <w:shd w:val="clear" w:color="auto" w:fill="auto"/>
            <w:vAlign w:val="center"/>
          </w:tcPr>
          <w:p w14:paraId="0EB802A5"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val="en-US" w:eastAsia="en-US"/>
              </w:rPr>
              <w:t>153,017</w:t>
            </w:r>
          </w:p>
        </w:tc>
        <w:tc>
          <w:tcPr>
            <w:tcW w:w="1417" w:type="dxa"/>
            <w:shd w:val="clear" w:color="auto" w:fill="auto"/>
            <w:vAlign w:val="center"/>
          </w:tcPr>
          <w:p w14:paraId="444A1BBA"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val="en-US" w:eastAsia="en-US"/>
              </w:rPr>
              <w:t>70,464</w:t>
            </w:r>
          </w:p>
        </w:tc>
        <w:tc>
          <w:tcPr>
            <w:tcW w:w="1843" w:type="dxa"/>
            <w:shd w:val="clear" w:color="auto" w:fill="auto"/>
            <w:vAlign w:val="center"/>
          </w:tcPr>
          <w:p w14:paraId="6A1699B7"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93,620</w:t>
            </w:r>
          </w:p>
        </w:tc>
        <w:tc>
          <w:tcPr>
            <w:tcW w:w="1417" w:type="dxa"/>
            <w:shd w:val="clear" w:color="auto" w:fill="auto"/>
            <w:vAlign w:val="center"/>
          </w:tcPr>
          <w:p w14:paraId="0013F7F2" w14:textId="77777777" w:rsidR="0056738E" w:rsidRPr="00A03828" w:rsidRDefault="0056738E" w:rsidP="007C2AEE">
            <w:pPr>
              <w:shd w:val="clear" w:color="auto" w:fill="FFFFFF"/>
              <w:tabs>
                <w:tab w:val="right" w:pos="7560"/>
                <w:tab w:val="right" w:pos="9000"/>
              </w:tabs>
              <w:suppressAutoHyphens/>
              <w:spacing w:after="0" w:line="240" w:lineRule="auto"/>
              <w:ind w:left="-116"/>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val="en-US" w:eastAsia="en-US"/>
              </w:rPr>
              <w:t>64,247</w:t>
            </w:r>
          </w:p>
        </w:tc>
        <w:tc>
          <w:tcPr>
            <w:tcW w:w="1418" w:type="dxa"/>
            <w:shd w:val="clear" w:color="auto" w:fill="auto"/>
            <w:vAlign w:val="center"/>
          </w:tcPr>
          <w:p w14:paraId="191BB910"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val="en-US" w:eastAsia="en-US"/>
              </w:rPr>
              <w:t>30,825</w:t>
            </w:r>
          </w:p>
        </w:tc>
        <w:tc>
          <w:tcPr>
            <w:tcW w:w="1417" w:type="dxa"/>
            <w:shd w:val="clear" w:color="auto" w:fill="auto"/>
            <w:vAlign w:val="center"/>
          </w:tcPr>
          <w:p w14:paraId="57974C7E"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val="en-US" w:eastAsia="en-US"/>
              </w:rPr>
              <w:t>24,442</w:t>
            </w:r>
          </w:p>
        </w:tc>
      </w:tr>
      <w:tr w:rsidR="0056738E" w:rsidRPr="00D57DDE" w14:paraId="64498CAE" w14:textId="77777777" w:rsidTr="007C2AEE">
        <w:trPr>
          <w:trHeight w:val="227"/>
          <w:jc w:val="center"/>
        </w:trPr>
        <w:tc>
          <w:tcPr>
            <w:tcW w:w="3175" w:type="dxa"/>
            <w:vAlign w:val="center"/>
          </w:tcPr>
          <w:p w14:paraId="57159A03" w14:textId="77777777" w:rsidR="0056738E" w:rsidRPr="00873272" w:rsidRDefault="0056738E" w:rsidP="007C2AEE">
            <w:pPr>
              <w:shd w:val="clear" w:color="auto" w:fill="FFFFFF"/>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i/>
                <w:sz w:val="14"/>
                <w:szCs w:val="14"/>
                <w:lang w:val="el-GR"/>
              </w:rPr>
            </w:pPr>
            <w:r w:rsidRPr="00873272">
              <w:rPr>
                <w:rFonts w:ascii="Arial" w:hAnsi="Arial" w:cs="Arial"/>
                <w:i/>
                <w:color w:val="262626"/>
                <w:sz w:val="14"/>
                <w:szCs w:val="14"/>
                <w:lang w:val="el-GR"/>
              </w:rPr>
              <w:t>Από τα οποία: Στεγαστικά δάνεια</w:t>
            </w:r>
            <w:r w:rsidRPr="00873272">
              <w:rPr>
                <w:rFonts w:ascii="Arial" w:hAnsi="Arial" w:cs="Arial"/>
                <w:i/>
                <w:color w:val="262626"/>
                <w:sz w:val="14"/>
                <w:szCs w:val="14"/>
                <w:vertAlign w:val="superscript"/>
                <w:lang w:val="el-GR"/>
              </w:rPr>
              <w:t>3</w:t>
            </w:r>
          </w:p>
        </w:tc>
        <w:tc>
          <w:tcPr>
            <w:tcW w:w="1502" w:type="dxa"/>
            <w:tcBorders>
              <w:bottom w:val="single" w:sz="4" w:space="0" w:color="BFBFBF" w:themeColor="background1" w:themeShade="BF"/>
            </w:tcBorders>
            <w:shd w:val="clear" w:color="auto" w:fill="FFFFFF"/>
            <w:vAlign w:val="center"/>
          </w:tcPr>
          <w:p w14:paraId="72C238C8"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3,760,094</w:t>
            </w:r>
          </w:p>
        </w:tc>
        <w:tc>
          <w:tcPr>
            <w:tcW w:w="1417" w:type="dxa"/>
            <w:tcBorders>
              <w:bottom w:val="single" w:sz="4" w:space="0" w:color="BFBFBF" w:themeColor="background1" w:themeShade="BF"/>
            </w:tcBorders>
            <w:shd w:val="clear" w:color="auto" w:fill="FFFFFF"/>
            <w:vAlign w:val="center"/>
          </w:tcPr>
          <w:p w14:paraId="20094CBD"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129,018</w:t>
            </w:r>
          </w:p>
        </w:tc>
        <w:tc>
          <w:tcPr>
            <w:tcW w:w="1418" w:type="dxa"/>
            <w:tcBorders>
              <w:bottom w:val="single" w:sz="4" w:space="0" w:color="BFBFBF" w:themeColor="background1" w:themeShade="BF"/>
            </w:tcBorders>
            <w:shd w:val="clear" w:color="auto" w:fill="FFFFFF"/>
            <w:vAlign w:val="center"/>
          </w:tcPr>
          <w:p w14:paraId="1FD1C0B5"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135,329</w:t>
            </w:r>
          </w:p>
        </w:tc>
        <w:tc>
          <w:tcPr>
            <w:tcW w:w="1417" w:type="dxa"/>
            <w:tcBorders>
              <w:bottom w:val="single" w:sz="4" w:space="0" w:color="BFBFBF" w:themeColor="background1" w:themeShade="BF"/>
            </w:tcBorders>
            <w:shd w:val="clear" w:color="auto" w:fill="FFFFFF"/>
            <w:vAlign w:val="center"/>
          </w:tcPr>
          <w:p w14:paraId="4CDAB59F"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60,278</w:t>
            </w:r>
          </w:p>
        </w:tc>
        <w:tc>
          <w:tcPr>
            <w:tcW w:w="1843" w:type="dxa"/>
            <w:tcBorders>
              <w:bottom w:val="single" w:sz="4" w:space="0" w:color="BFBFBF" w:themeColor="background1" w:themeShade="BF"/>
            </w:tcBorders>
            <w:shd w:val="clear" w:color="auto" w:fill="FFFFFF"/>
            <w:vAlign w:val="center"/>
          </w:tcPr>
          <w:p w14:paraId="7D7674BE"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61,606</w:t>
            </w:r>
          </w:p>
        </w:tc>
        <w:tc>
          <w:tcPr>
            <w:tcW w:w="1417" w:type="dxa"/>
            <w:tcBorders>
              <w:bottom w:val="single" w:sz="4" w:space="0" w:color="BFBFBF" w:themeColor="background1" w:themeShade="BF"/>
            </w:tcBorders>
            <w:shd w:val="clear" w:color="auto" w:fill="FFFFFF"/>
            <w:vAlign w:val="center"/>
          </w:tcPr>
          <w:p w14:paraId="44699103"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42,512</w:t>
            </w:r>
          </w:p>
        </w:tc>
        <w:tc>
          <w:tcPr>
            <w:tcW w:w="1418" w:type="dxa"/>
            <w:tcBorders>
              <w:bottom w:val="single" w:sz="4" w:space="0" w:color="BFBFBF" w:themeColor="background1" w:themeShade="BF"/>
            </w:tcBorders>
            <w:shd w:val="clear" w:color="auto" w:fill="FFFFFF"/>
            <w:vAlign w:val="center"/>
          </w:tcPr>
          <w:p w14:paraId="20ED00D3"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25,172</w:t>
            </w:r>
          </w:p>
        </w:tc>
        <w:tc>
          <w:tcPr>
            <w:tcW w:w="1417" w:type="dxa"/>
            <w:tcBorders>
              <w:bottom w:val="single" w:sz="4" w:space="0" w:color="BFBFBF" w:themeColor="background1" w:themeShade="BF"/>
            </w:tcBorders>
            <w:shd w:val="clear" w:color="auto" w:fill="FFFFFF"/>
            <w:vAlign w:val="center"/>
          </w:tcPr>
          <w:p w14:paraId="3F45653C"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19,520</w:t>
            </w:r>
          </w:p>
        </w:tc>
      </w:tr>
      <w:tr w:rsidR="0056738E" w:rsidRPr="00D57DDE" w14:paraId="012B81F3" w14:textId="77777777" w:rsidTr="007C2AEE">
        <w:trPr>
          <w:trHeight w:val="227"/>
          <w:jc w:val="center"/>
        </w:trPr>
        <w:tc>
          <w:tcPr>
            <w:tcW w:w="3175" w:type="dxa"/>
            <w:vAlign w:val="center"/>
          </w:tcPr>
          <w:p w14:paraId="74A6DFE6" w14:textId="77777777" w:rsidR="0056738E" w:rsidRPr="00873272" w:rsidRDefault="0056738E" w:rsidP="007C2AEE">
            <w:pPr>
              <w:shd w:val="clear" w:color="auto" w:fill="FFFFFF"/>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i/>
                <w:sz w:val="14"/>
                <w:szCs w:val="14"/>
                <w:lang w:val="el-GR"/>
              </w:rPr>
            </w:pPr>
            <w:r w:rsidRPr="00873272">
              <w:rPr>
                <w:rFonts w:ascii="Arial" w:hAnsi="Arial" w:cs="Arial"/>
                <w:i/>
                <w:color w:val="262626"/>
                <w:sz w:val="14"/>
                <w:szCs w:val="14"/>
                <w:lang w:val="el-GR"/>
              </w:rPr>
              <w:t>Από τα οποία: Καταναλωτικά δάνεια</w:t>
            </w:r>
            <w:r w:rsidRPr="00873272">
              <w:rPr>
                <w:rFonts w:ascii="Arial" w:hAnsi="Arial" w:cs="Arial"/>
                <w:i/>
                <w:color w:val="262626"/>
                <w:sz w:val="14"/>
                <w:szCs w:val="14"/>
                <w:vertAlign w:val="superscript"/>
                <w:lang w:val="el-GR"/>
              </w:rPr>
              <w:t>3</w:t>
            </w:r>
          </w:p>
        </w:tc>
        <w:tc>
          <w:tcPr>
            <w:tcW w:w="1502" w:type="dxa"/>
            <w:tcBorders>
              <w:bottom w:val="single" w:sz="6" w:space="0" w:color="auto"/>
            </w:tcBorders>
            <w:shd w:val="clear" w:color="auto" w:fill="FFFFFF"/>
            <w:vAlign w:val="center"/>
          </w:tcPr>
          <w:p w14:paraId="40E881F3"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642,962</w:t>
            </w:r>
          </w:p>
        </w:tc>
        <w:tc>
          <w:tcPr>
            <w:tcW w:w="1417" w:type="dxa"/>
            <w:tcBorders>
              <w:bottom w:val="single" w:sz="6" w:space="0" w:color="auto"/>
            </w:tcBorders>
            <w:shd w:val="clear" w:color="auto" w:fill="FFFFFF"/>
            <w:vAlign w:val="center"/>
          </w:tcPr>
          <w:p w14:paraId="32CE29CF"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26,441</w:t>
            </w:r>
          </w:p>
        </w:tc>
        <w:tc>
          <w:tcPr>
            <w:tcW w:w="1418" w:type="dxa"/>
            <w:tcBorders>
              <w:bottom w:val="single" w:sz="6" w:space="0" w:color="auto"/>
            </w:tcBorders>
            <w:shd w:val="clear" w:color="auto" w:fill="FFFFFF"/>
            <w:vAlign w:val="center"/>
          </w:tcPr>
          <w:p w14:paraId="2A26BE92"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16,835</w:t>
            </w:r>
          </w:p>
        </w:tc>
        <w:tc>
          <w:tcPr>
            <w:tcW w:w="1417" w:type="dxa"/>
            <w:tcBorders>
              <w:bottom w:val="single" w:sz="6" w:space="0" w:color="auto"/>
            </w:tcBorders>
            <w:shd w:val="clear" w:color="auto" w:fill="FFFFFF"/>
            <w:vAlign w:val="center"/>
          </w:tcPr>
          <w:p w14:paraId="2B69AEBF"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9,470</w:t>
            </w:r>
          </w:p>
        </w:tc>
        <w:tc>
          <w:tcPr>
            <w:tcW w:w="1843" w:type="dxa"/>
            <w:tcBorders>
              <w:bottom w:val="single" w:sz="6" w:space="0" w:color="auto"/>
            </w:tcBorders>
            <w:shd w:val="clear" w:color="auto" w:fill="FFFFFF"/>
            <w:vAlign w:val="center"/>
          </w:tcPr>
          <w:p w14:paraId="1061A8B6"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21,290</w:t>
            </w:r>
          </w:p>
        </w:tc>
        <w:tc>
          <w:tcPr>
            <w:tcW w:w="1417" w:type="dxa"/>
            <w:tcBorders>
              <w:bottom w:val="single" w:sz="6" w:space="0" w:color="auto"/>
            </w:tcBorders>
            <w:shd w:val="clear" w:color="auto" w:fill="FFFFFF"/>
            <w:vAlign w:val="center"/>
          </w:tcPr>
          <w:p w14:paraId="0D9200FF"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15,159</w:t>
            </w:r>
          </w:p>
        </w:tc>
        <w:tc>
          <w:tcPr>
            <w:tcW w:w="1418" w:type="dxa"/>
            <w:tcBorders>
              <w:bottom w:val="single" w:sz="6" w:space="0" w:color="auto"/>
            </w:tcBorders>
            <w:shd w:val="clear" w:color="auto" w:fill="FFFFFF"/>
            <w:vAlign w:val="center"/>
          </w:tcPr>
          <w:p w14:paraId="353CF6ED"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4,994</w:t>
            </w:r>
          </w:p>
        </w:tc>
        <w:tc>
          <w:tcPr>
            <w:tcW w:w="1417" w:type="dxa"/>
            <w:tcBorders>
              <w:bottom w:val="single" w:sz="6" w:space="0" w:color="auto"/>
            </w:tcBorders>
            <w:shd w:val="clear" w:color="auto" w:fill="FFFFFF"/>
            <w:vAlign w:val="center"/>
          </w:tcPr>
          <w:p w14:paraId="7ED9B617" w14:textId="77777777" w:rsidR="0056738E" w:rsidRPr="00A03828"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b/>
                <w:bCs/>
                <w:i/>
                <w:color w:val="262626"/>
                <w:sz w:val="14"/>
                <w:szCs w:val="14"/>
                <w:lang w:eastAsia="en-US"/>
              </w:rPr>
              <w:t>4,130</w:t>
            </w:r>
          </w:p>
        </w:tc>
      </w:tr>
      <w:tr w:rsidR="0056738E" w:rsidRPr="00974DDF" w14:paraId="7938F67D" w14:textId="77777777" w:rsidTr="007C2AEE">
        <w:trPr>
          <w:trHeight w:val="227"/>
          <w:jc w:val="center"/>
        </w:trPr>
        <w:tc>
          <w:tcPr>
            <w:tcW w:w="3175" w:type="dxa"/>
            <w:vAlign w:val="center"/>
          </w:tcPr>
          <w:p w14:paraId="7D2508D6" w14:textId="77777777" w:rsidR="0056738E" w:rsidRPr="00873272" w:rsidRDefault="0056738E" w:rsidP="007C2AEE">
            <w:pPr>
              <w:shd w:val="clear" w:color="auto" w:fill="FFFFFF"/>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b/>
                <w:color w:val="262626"/>
                <w:sz w:val="14"/>
                <w:szCs w:val="14"/>
                <w:lang w:val="el-GR"/>
              </w:rPr>
            </w:pPr>
          </w:p>
        </w:tc>
        <w:tc>
          <w:tcPr>
            <w:tcW w:w="1502" w:type="dxa"/>
            <w:tcBorders>
              <w:top w:val="single" w:sz="6" w:space="0" w:color="auto"/>
              <w:bottom w:val="single" w:sz="6" w:space="0" w:color="BFBFBF" w:themeColor="background1" w:themeShade="BF"/>
            </w:tcBorders>
            <w:shd w:val="clear" w:color="auto" w:fill="FFFFFF"/>
            <w:vAlign w:val="center"/>
          </w:tcPr>
          <w:p w14:paraId="10D0F77A"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10,189,196</w:t>
            </w:r>
          </w:p>
        </w:tc>
        <w:tc>
          <w:tcPr>
            <w:tcW w:w="1417" w:type="dxa"/>
            <w:tcBorders>
              <w:top w:val="single" w:sz="6" w:space="0" w:color="auto"/>
              <w:bottom w:val="single" w:sz="6" w:space="0" w:color="BFBFBF" w:themeColor="background1" w:themeShade="BF"/>
            </w:tcBorders>
            <w:shd w:val="clear" w:color="auto" w:fill="FFFFFF"/>
            <w:vAlign w:val="center"/>
          </w:tcPr>
          <w:p w14:paraId="3BB2BA65"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248,396</w:t>
            </w:r>
          </w:p>
        </w:tc>
        <w:tc>
          <w:tcPr>
            <w:tcW w:w="1418" w:type="dxa"/>
            <w:tcBorders>
              <w:top w:val="single" w:sz="6" w:space="0" w:color="auto"/>
              <w:bottom w:val="single" w:sz="6" w:space="0" w:color="BFBFBF" w:themeColor="background1" w:themeShade="BF"/>
            </w:tcBorders>
            <w:shd w:val="clear" w:color="auto" w:fill="FFFFFF"/>
            <w:vAlign w:val="center"/>
          </w:tcPr>
          <w:p w14:paraId="52A57B93"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330,188</w:t>
            </w:r>
          </w:p>
        </w:tc>
        <w:tc>
          <w:tcPr>
            <w:tcW w:w="1417" w:type="dxa"/>
            <w:tcBorders>
              <w:top w:val="single" w:sz="6" w:space="0" w:color="auto"/>
              <w:bottom w:val="single" w:sz="6" w:space="0" w:color="BFBFBF" w:themeColor="background1" w:themeShade="BF"/>
            </w:tcBorders>
            <w:shd w:val="clear" w:color="auto" w:fill="FFFFFF"/>
            <w:vAlign w:val="center"/>
          </w:tcPr>
          <w:p w14:paraId="318289CC"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130,372</w:t>
            </w:r>
          </w:p>
        </w:tc>
        <w:tc>
          <w:tcPr>
            <w:tcW w:w="1843" w:type="dxa"/>
            <w:tcBorders>
              <w:top w:val="single" w:sz="6" w:space="0" w:color="auto"/>
              <w:bottom w:val="single" w:sz="6" w:space="0" w:color="BFBFBF" w:themeColor="background1" w:themeShade="BF"/>
            </w:tcBorders>
            <w:shd w:val="clear" w:color="auto" w:fill="FFFFFF"/>
            <w:vAlign w:val="center"/>
          </w:tcPr>
          <w:p w14:paraId="77ED3750"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157,890</w:t>
            </w:r>
          </w:p>
        </w:tc>
        <w:tc>
          <w:tcPr>
            <w:tcW w:w="1417" w:type="dxa"/>
            <w:tcBorders>
              <w:top w:val="single" w:sz="6" w:space="0" w:color="auto"/>
              <w:bottom w:val="single" w:sz="6" w:space="0" w:color="BFBFBF" w:themeColor="background1" w:themeShade="BF"/>
            </w:tcBorders>
            <w:shd w:val="clear" w:color="auto" w:fill="FFFFFF"/>
            <w:vAlign w:val="center"/>
          </w:tcPr>
          <w:p w14:paraId="627000F4"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104,823</w:t>
            </w:r>
          </w:p>
        </w:tc>
        <w:tc>
          <w:tcPr>
            <w:tcW w:w="1418" w:type="dxa"/>
            <w:tcBorders>
              <w:top w:val="single" w:sz="6" w:space="0" w:color="auto"/>
              <w:bottom w:val="single" w:sz="6" w:space="0" w:color="BFBFBF" w:themeColor="background1" w:themeShade="BF"/>
            </w:tcBorders>
            <w:shd w:val="clear" w:color="auto" w:fill="FFFFFF"/>
            <w:vAlign w:val="center"/>
          </w:tcPr>
          <w:p w14:paraId="7DE18B72"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63,588</w:t>
            </w:r>
          </w:p>
        </w:tc>
        <w:tc>
          <w:tcPr>
            <w:tcW w:w="1417" w:type="dxa"/>
            <w:tcBorders>
              <w:top w:val="single" w:sz="6" w:space="0" w:color="auto"/>
              <w:bottom w:val="single" w:sz="6" w:space="0" w:color="BFBFBF" w:themeColor="background1" w:themeShade="BF"/>
            </w:tcBorders>
            <w:shd w:val="clear" w:color="auto" w:fill="FFFFFF"/>
            <w:vAlign w:val="center"/>
          </w:tcPr>
          <w:p w14:paraId="50AF8974"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val="en-US" w:eastAsia="en-US"/>
              </w:rPr>
              <w:t>54,643</w:t>
            </w:r>
          </w:p>
        </w:tc>
      </w:tr>
      <w:tr w:rsidR="0056738E" w:rsidRPr="00974DDF" w14:paraId="4AF24227" w14:textId="77777777" w:rsidTr="007C2AEE">
        <w:trPr>
          <w:trHeight w:val="227"/>
          <w:jc w:val="center"/>
        </w:trPr>
        <w:tc>
          <w:tcPr>
            <w:tcW w:w="3175" w:type="dxa"/>
            <w:vAlign w:val="center"/>
          </w:tcPr>
          <w:p w14:paraId="195500F7" w14:textId="77777777" w:rsidR="0056738E" w:rsidRPr="00A051DD" w:rsidRDefault="0056738E" w:rsidP="007C2AEE">
            <w:pPr>
              <w:shd w:val="clear" w:color="auto" w:fill="FFFFFF"/>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b/>
                <w:color w:val="262626"/>
                <w:sz w:val="14"/>
                <w:szCs w:val="14"/>
                <w:lang w:val="el-GR"/>
              </w:rPr>
            </w:pPr>
            <w:r>
              <w:rPr>
                <w:rFonts w:ascii="Arial" w:hAnsi="Arial" w:cs="Arial"/>
                <w:b/>
                <w:color w:val="262626"/>
                <w:sz w:val="14"/>
                <w:szCs w:val="14"/>
                <w:lang w:val="el-GR"/>
              </w:rPr>
              <w:t>Δάνεια και απαιτήσεις από πελάτες που κατέχονται προς πώληση</w:t>
            </w:r>
          </w:p>
        </w:tc>
        <w:tc>
          <w:tcPr>
            <w:tcW w:w="1502" w:type="dxa"/>
            <w:tcBorders>
              <w:top w:val="single" w:sz="6" w:space="0" w:color="BFBFBF" w:themeColor="background1" w:themeShade="BF"/>
              <w:bottom w:val="single" w:sz="6" w:space="0" w:color="auto"/>
            </w:tcBorders>
            <w:shd w:val="clear" w:color="auto" w:fill="FFFFFF"/>
            <w:vAlign w:val="center"/>
          </w:tcPr>
          <w:p w14:paraId="6D12B867"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26,56</w:t>
            </w:r>
            <w:r w:rsidRPr="00A03828">
              <w:rPr>
                <w:rFonts w:ascii="Arial" w:eastAsia="Batang" w:hAnsi="Arial" w:cs="Arial"/>
                <w:b/>
                <w:bCs/>
                <w:iCs/>
                <w:color w:val="262626"/>
                <w:sz w:val="14"/>
                <w:szCs w:val="14"/>
                <w:lang w:val="el-GR" w:eastAsia="en-US"/>
              </w:rPr>
              <w:t>8</w:t>
            </w:r>
          </w:p>
        </w:tc>
        <w:tc>
          <w:tcPr>
            <w:tcW w:w="1417" w:type="dxa"/>
            <w:tcBorders>
              <w:top w:val="single" w:sz="6" w:space="0" w:color="BFBFBF" w:themeColor="background1" w:themeShade="BF"/>
              <w:bottom w:val="single" w:sz="6" w:space="0" w:color="auto"/>
            </w:tcBorders>
            <w:shd w:val="clear" w:color="auto" w:fill="FFFFFF"/>
            <w:vAlign w:val="center"/>
          </w:tcPr>
          <w:p w14:paraId="02393BDC"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26,568</w:t>
            </w:r>
          </w:p>
        </w:tc>
        <w:tc>
          <w:tcPr>
            <w:tcW w:w="1418" w:type="dxa"/>
            <w:tcBorders>
              <w:top w:val="single" w:sz="6" w:space="0" w:color="BFBFBF" w:themeColor="background1" w:themeShade="BF"/>
              <w:bottom w:val="single" w:sz="6" w:space="0" w:color="auto"/>
            </w:tcBorders>
            <w:shd w:val="clear" w:color="auto" w:fill="FFFFFF"/>
            <w:vAlign w:val="center"/>
          </w:tcPr>
          <w:p w14:paraId="68BA24E3"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21</w:t>
            </w:r>
          </w:p>
        </w:tc>
        <w:tc>
          <w:tcPr>
            <w:tcW w:w="1417" w:type="dxa"/>
            <w:tcBorders>
              <w:top w:val="single" w:sz="6" w:space="0" w:color="BFBFBF" w:themeColor="background1" w:themeShade="BF"/>
              <w:bottom w:val="single" w:sz="6" w:space="0" w:color="auto"/>
            </w:tcBorders>
            <w:shd w:val="clear" w:color="auto" w:fill="FFFFFF"/>
            <w:vAlign w:val="center"/>
          </w:tcPr>
          <w:p w14:paraId="4825FAA0"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21</w:t>
            </w:r>
          </w:p>
        </w:tc>
        <w:tc>
          <w:tcPr>
            <w:tcW w:w="1843" w:type="dxa"/>
            <w:tcBorders>
              <w:top w:val="single" w:sz="6" w:space="0" w:color="BFBFBF" w:themeColor="background1" w:themeShade="BF"/>
              <w:bottom w:val="single" w:sz="6" w:space="0" w:color="auto"/>
            </w:tcBorders>
            <w:shd w:val="clear" w:color="auto" w:fill="FFFFFF"/>
            <w:vAlign w:val="center"/>
          </w:tcPr>
          <w:p w14:paraId="740C94A7"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14,27</w:t>
            </w:r>
            <w:r w:rsidRPr="00A03828">
              <w:rPr>
                <w:rFonts w:ascii="Arial" w:eastAsia="Batang" w:hAnsi="Arial" w:cs="Arial"/>
                <w:b/>
                <w:bCs/>
                <w:iCs/>
                <w:color w:val="262626"/>
                <w:sz w:val="14"/>
                <w:szCs w:val="14"/>
                <w:lang w:val="el-GR" w:eastAsia="en-US"/>
              </w:rPr>
              <w:t>8</w:t>
            </w:r>
          </w:p>
        </w:tc>
        <w:tc>
          <w:tcPr>
            <w:tcW w:w="1417" w:type="dxa"/>
            <w:tcBorders>
              <w:top w:val="single" w:sz="6" w:space="0" w:color="BFBFBF" w:themeColor="background1" w:themeShade="BF"/>
              <w:bottom w:val="single" w:sz="6" w:space="0" w:color="auto"/>
            </w:tcBorders>
            <w:shd w:val="clear" w:color="auto" w:fill="FFFFFF"/>
            <w:vAlign w:val="center"/>
          </w:tcPr>
          <w:p w14:paraId="21AFC447"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14,27</w:t>
            </w:r>
            <w:r w:rsidRPr="00A03828">
              <w:rPr>
                <w:rFonts w:ascii="Arial" w:eastAsia="Batang" w:hAnsi="Arial" w:cs="Arial"/>
                <w:b/>
                <w:bCs/>
                <w:iCs/>
                <w:color w:val="262626"/>
                <w:sz w:val="14"/>
                <w:szCs w:val="14"/>
                <w:lang w:val="el-GR" w:eastAsia="en-US"/>
              </w:rPr>
              <w:t>8</w:t>
            </w:r>
          </w:p>
        </w:tc>
        <w:tc>
          <w:tcPr>
            <w:tcW w:w="1418" w:type="dxa"/>
            <w:tcBorders>
              <w:top w:val="single" w:sz="6" w:space="0" w:color="BFBFBF" w:themeColor="background1" w:themeShade="BF"/>
              <w:bottom w:val="single" w:sz="6" w:space="0" w:color="auto"/>
            </w:tcBorders>
            <w:shd w:val="clear" w:color="auto" w:fill="FFFFFF"/>
            <w:vAlign w:val="center"/>
          </w:tcPr>
          <w:p w14:paraId="6F09AA23"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5</w:t>
            </w:r>
          </w:p>
        </w:tc>
        <w:tc>
          <w:tcPr>
            <w:tcW w:w="1417" w:type="dxa"/>
            <w:tcBorders>
              <w:top w:val="single" w:sz="6" w:space="0" w:color="BFBFBF" w:themeColor="background1" w:themeShade="BF"/>
              <w:bottom w:val="single" w:sz="6" w:space="0" w:color="auto"/>
            </w:tcBorders>
            <w:shd w:val="clear" w:color="auto" w:fill="FFFFFF"/>
            <w:vAlign w:val="center"/>
          </w:tcPr>
          <w:p w14:paraId="60D0F274"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val="en-US" w:eastAsia="en-US"/>
              </w:rPr>
              <w:t>5</w:t>
            </w:r>
          </w:p>
        </w:tc>
      </w:tr>
      <w:tr w:rsidR="0056738E" w:rsidRPr="00974DDF" w14:paraId="04C12A4D" w14:textId="77777777" w:rsidTr="007C2AEE">
        <w:trPr>
          <w:trHeight w:val="255"/>
          <w:jc w:val="center"/>
        </w:trPr>
        <w:tc>
          <w:tcPr>
            <w:tcW w:w="3175" w:type="dxa"/>
            <w:vAlign w:val="center"/>
          </w:tcPr>
          <w:p w14:paraId="4AE0AF3B" w14:textId="77777777" w:rsidR="0056738E" w:rsidRPr="00873272" w:rsidRDefault="0056738E" w:rsidP="007C2AEE">
            <w:pPr>
              <w:shd w:val="clear" w:color="auto" w:fill="FFFFFF"/>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b/>
                <w:color w:val="262626"/>
                <w:sz w:val="14"/>
                <w:szCs w:val="14"/>
                <w:lang w:val="el-GR"/>
              </w:rPr>
            </w:pPr>
            <w:r w:rsidRPr="00873272">
              <w:rPr>
                <w:rFonts w:ascii="Arial" w:hAnsi="Arial" w:cs="Arial"/>
                <w:b/>
                <w:color w:val="262626"/>
                <w:sz w:val="14"/>
                <w:szCs w:val="14"/>
                <w:lang w:val="el-GR"/>
              </w:rPr>
              <w:t>Σύνολο στον ισολογισμό</w:t>
            </w:r>
          </w:p>
        </w:tc>
        <w:tc>
          <w:tcPr>
            <w:tcW w:w="1502" w:type="dxa"/>
            <w:tcBorders>
              <w:top w:val="single" w:sz="6" w:space="0" w:color="auto"/>
              <w:bottom w:val="double" w:sz="6" w:space="0" w:color="auto"/>
            </w:tcBorders>
            <w:shd w:val="clear" w:color="auto" w:fill="FFFFFF"/>
            <w:vAlign w:val="center"/>
          </w:tcPr>
          <w:p w14:paraId="28AF34D7"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10,215,76</w:t>
            </w:r>
            <w:r w:rsidRPr="00A03828">
              <w:rPr>
                <w:rFonts w:ascii="Arial" w:eastAsia="Batang" w:hAnsi="Arial" w:cs="Arial"/>
                <w:b/>
                <w:bCs/>
                <w:iCs/>
                <w:color w:val="262626"/>
                <w:sz w:val="14"/>
                <w:szCs w:val="14"/>
                <w:lang w:val="el-GR" w:eastAsia="en-US"/>
              </w:rPr>
              <w:t>4</w:t>
            </w:r>
          </w:p>
        </w:tc>
        <w:tc>
          <w:tcPr>
            <w:tcW w:w="1417" w:type="dxa"/>
            <w:tcBorders>
              <w:top w:val="single" w:sz="6" w:space="0" w:color="auto"/>
              <w:bottom w:val="double" w:sz="6" w:space="0" w:color="auto"/>
            </w:tcBorders>
            <w:shd w:val="clear" w:color="auto" w:fill="FFFFFF"/>
            <w:vAlign w:val="center"/>
          </w:tcPr>
          <w:p w14:paraId="648ADDBE"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274,964</w:t>
            </w:r>
          </w:p>
        </w:tc>
        <w:tc>
          <w:tcPr>
            <w:tcW w:w="1418" w:type="dxa"/>
            <w:tcBorders>
              <w:top w:val="single" w:sz="6" w:space="0" w:color="auto"/>
              <w:bottom w:val="double" w:sz="6" w:space="0" w:color="auto"/>
            </w:tcBorders>
            <w:shd w:val="clear" w:color="auto" w:fill="FFFFFF"/>
            <w:vAlign w:val="center"/>
          </w:tcPr>
          <w:p w14:paraId="3E69A05C"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330,209</w:t>
            </w:r>
          </w:p>
        </w:tc>
        <w:tc>
          <w:tcPr>
            <w:tcW w:w="1417" w:type="dxa"/>
            <w:tcBorders>
              <w:top w:val="single" w:sz="6" w:space="0" w:color="auto"/>
              <w:bottom w:val="double" w:sz="6" w:space="0" w:color="auto"/>
            </w:tcBorders>
            <w:shd w:val="clear" w:color="auto" w:fill="FFFFFF"/>
            <w:vAlign w:val="center"/>
          </w:tcPr>
          <w:p w14:paraId="7539B732"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130,393</w:t>
            </w:r>
          </w:p>
        </w:tc>
        <w:tc>
          <w:tcPr>
            <w:tcW w:w="1843" w:type="dxa"/>
            <w:tcBorders>
              <w:top w:val="single" w:sz="6" w:space="0" w:color="auto"/>
              <w:bottom w:val="double" w:sz="6" w:space="0" w:color="auto"/>
            </w:tcBorders>
            <w:shd w:val="clear" w:color="auto" w:fill="FFFFFF"/>
            <w:vAlign w:val="center"/>
          </w:tcPr>
          <w:p w14:paraId="4235E7D5"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172,16</w:t>
            </w:r>
            <w:r w:rsidRPr="00A03828">
              <w:rPr>
                <w:rFonts w:ascii="Arial" w:eastAsia="Batang" w:hAnsi="Arial" w:cs="Arial"/>
                <w:b/>
                <w:bCs/>
                <w:iCs/>
                <w:color w:val="262626"/>
                <w:sz w:val="14"/>
                <w:szCs w:val="14"/>
                <w:lang w:val="el-GR" w:eastAsia="en-US"/>
              </w:rPr>
              <w:t>8</w:t>
            </w:r>
          </w:p>
        </w:tc>
        <w:tc>
          <w:tcPr>
            <w:tcW w:w="1417" w:type="dxa"/>
            <w:tcBorders>
              <w:top w:val="single" w:sz="6" w:space="0" w:color="auto"/>
              <w:bottom w:val="double" w:sz="6" w:space="0" w:color="auto"/>
            </w:tcBorders>
            <w:shd w:val="clear" w:color="auto" w:fill="FFFFFF"/>
            <w:vAlign w:val="center"/>
          </w:tcPr>
          <w:p w14:paraId="290BBB29"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119,10</w:t>
            </w:r>
            <w:r w:rsidRPr="00A03828">
              <w:rPr>
                <w:rFonts w:ascii="Arial" w:eastAsia="Batang" w:hAnsi="Arial" w:cs="Arial"/>
                <w:b/>
                <w:bCs/>
                <w:iCs/>
                <w:color w:val="262626"/>
                <w:sz w:val="14"/>
                <w:szCs w:val="14"/>
                <w:lang w:val="el-GR" w:eastAsia="en-US"/>
              </w:rPr>
              <w:t>1</w:t>
            </w:r>
          </w:p>
        </w:tc>
        <w:tc>
          <w:tcPr>
            <w:tcW w:w="1418" w:type="dxa"/>
            <w:tcBorders>
              <w:top w:val="single" w:sz="6" w:space="0" w:color="auto"/>
              <w:bottom w:val="double" w:sz="6" w:space="0" w:color="auto"/>
            </w:tcBorders>
            <w:shd w:val="clear" w:color="auto" w:fill="FFFFFF"/>
            <w:vAlign w:val="center"/>
          </w:tcPr>
          <w:p w14:paraId="4217D322"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eastAsia="en-US"/>
              </w:rPr>
              <w:t>63,593</w:t>
            </w:r>
          </w:p>
        </w:tc>
        <w:tc>
          <w:tcPr>
            <w:tcW w:w="1417" w:type="dxa"/>
            <w:tcBorders>
              <w:top w:val="single" w:sz="6" w:space="0" w:color="auto"/>
              <w:bottom w:val="double" w:sz="6" w:space="0" w:color="auto"/>
            </w:tcBorders>
            <w:shd w:val="clear" w:color="auto" w:fill="FFFFFF"/>
            <w:vAlign w:val="center"/>
          </w:tcPr>
          <w:p w14:paraId="270BA4E2"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b/>
                <w:bCs/>
                <w:iCs/>
                <w:color w:val="262626"/>
                <w:sz w:val="14"/>
                <w:szCs w:val="14"/>
                <w:lang w:val="en-US" w:eastAsia="en-US"/>
              </w:rPr>
              <w:t>54,648</w:t>
            </w:r>
          </w:p>
        </w:tc>
      </w:tr>
      <w:tr w:rsidR="0056738E" w:rsidRPr="00974DDF" w14:paraId="3AF96130" w14:textId="77777777" w:rsidTr="007C2AEE">
        <w:trPr>
          <w:trHeight w:val="255"/>
          <w:jc w:val="center"/>
        </w:trPr>
        <w:tc>
          <w:tcPr>
            <w:tcW w:w="15024" w:type="dxa"/>
            <w:gridSpan w:val="9"/>
            <w:vAlign w:val="center"/>
          </w:tcPr>
          <w:p w14:paraId="0180884B" w14:textId="77777777" w:rsidR="0056738E" w:rsidRPr="00873272"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eastAsia="en-US"/>
              </w:rPr>
            </w:pPr>
          </w:p>
        </w:tc>
      </w:tr>
      <w:tr w:rsidR="0056738E" w:rsidRPr="007C2AEE" w14:paraId="394C86B4" w14:textId="77777777" w:rsidTr="007C2AEE">
        <w:trPr>
          <w:trHeight w:val="255"/>
          <w:jc w:val="center"/>
        </w:trPr>
        <w:tc>
          <w:tcPr>
            <w:tcW w:w="15024" w:type="dxa"/>
            <w:gridSpan w:val="9"/>
            <w:vAlign w:val="center"/>
          </w:tcPr>
          <w:p w14:paraId="0C125445" w14:textId="77777777" w:rsidR="0056738E" w:rsidRPr="00A051DD" w:rsidRDefault="0056738E" w:rsidP="007C2AEE">
            <w:pPr>
              <w:pStyle w:val="FootnoteText"/>
              <w:spacing w:before="120"/>
              <w:jc w:val="both"/>
              <w:rPr>
                <w:rFonts w:ascii="Arial" w:hAnsi="Arial" w:cs="Arial"/>
                <w:sz w:val="14"/>
                <w:szCs w:val="14"/>
                <w:lang w:val="el-GR"/>
              </w:rPr>
            </w:pPr>
            <w:r w:rsidRPr="00873272">
              <w:rPr>
                <w:rFonts w:ascii="Arial" w:eastAsia="Batang" w:hAnsi="Arial" w:cs="Arial"/>
                <w:color w:val="262626"/>
                <w:sz w:val="14"/>
                <w:szCs w:val="14"/>
                <w:vertAlign w:val="superscript"/>
                <w:lang w:val="el-GR" w:eastAsia="en-US"/>
              </w:rPr>
              <w:t xml:space="preserve">1. </w:t>
            </w:r>
            <w:r>
              <w:rPr>
                <w:rFonts w:ascii="Arial" w:eastAsia="Batang" w:hAnsi="Arial" w:cs="Arial"/>
                <w:color w:val="262626"/>
                <w:sz w:val="14"/>
                <w:szCs w:val="14"/>
                <w:vertAlign w:val="superscript"/>
                <w:lang w:val="el-GR" w:eastAsia="en-US"/>
              </w:rPr>
              <w:t xml:space="preserve"> </w:t>
            </w:r>
            <w:r w:rsidRPr="00974DDF">
              <w:rPr>
                <w:rFonts w:ascii="Arial" w:hAnsi="Arial" w:cs="Arial"/>
                <w:sz w:val="14"/>
                <w:szCs w:val="14"/>
                <w:lang w:val="el-GR"/>
              </w:rPr>
              <w:t xml:space="preserve">Μη συμπεριλαμβανομένων δανείων και απαιτήσεων από κεντρικές τράπεζες και χρηματοπιστωτικά </w:t>
            </w:r>
            <w:r w:rsidRPr="00544878">
              <w:rPr>
                <w:rFonts w:ascii="Arial" w:hAnsi="Arial" w:cs="Arial"/>
                <w:sz w:val="14"/>
                <w:szCs w:val="14"/>
                <w:lang w:val="el-GR"/>
              </w:rPr>
              <w:t>ιδρύματα</w:t>
            </w:r>
            <w:r w:rsidRPr="00A03828">
              <w:rPr>
                <w:rFonts w:ascii="Arial" w:hAnsi="Arial" w:cs="Arial"/>
                <w:sz w:val="14"/>
                <w:szCs w:val="14"/>
                <w:lang w:val="el-GR"/>
              </w:rPr>
              <w:t xml:space="preserve"> </w:t>
            </w:r>
            <w:r w:rsidRPr="00544878">
              <w:rPr>
                <w:rFonts w:ascii="Arial" w:hAnsi="Arial" w:cs="Arial"/>
                <w:sz w:val="14"/>
                <w:szCs w:val="14"/>
                <w:lang w:val="el-GR"/>
              </w:rPr>
              <w:t>και</w:t>
            </w:r>
            <w:r w:rsidRPr="00A03828">
              <w:rPr>
                <w:rFonts w:ascii="Arial" w:hAnsi="Arial" w:cs="Arial"/>
                <w:sz w:val="14"/>
                <w:szCs w:val="14"/>
                <w:lang w:val="el-GR"/>
              </w:rPr>
              <w:t xml:space="preserve"> συμφωνίες </w:t>
            </w:r>
            <w:proofErr w:type="spellStart"/>
            <w:r w:rsidRPr="00A03828">
              <w:rPr>
                <w:rFonts w:ascii="Arial" w:hAnsi="Arial" w:cs="Arial"/>
                <w:sz w:val="14"/>
                <w:szCs w:val="14"/>
                <w:lang w:val="el-GR"/>
              </w:rPr>
              <w:t>επαναπώλησης</w:t>
            </w:r>
            <w:proofErr w:type="spellEnd"/>
            <w:r w:rsidRPr="00A03828">
              <w:rPr>
                <w:rFonts w:ascii="Arial" w:hAnsi="Arial" w:cs="Arial"/>
                <w:sz w:val="14"/>
                <w:szCs w:val="14"/>
                <w:lang w:val="el-GR"/>
              </w:rPr>
              <w:t xml:space="preserve"> τίτλων.</w:t>
            </w:r>
          </w:p>
          <w:p w14:paraId="3637943D" w14:textId="77777777" w:rsidR="0056738E" w:rsidRPr="00873272" w:rsidRDefault="0056738E" w:rsidP="007C2AEE">
            <w:pPr>
              <w:pStyle w:val="FootnoteText"/>
              <w:jc w:val="both"/>
              <w:rPr>
                <w:rFonts w:ascii="Arial" w:hAnsi="Arial" w:cs="Arial"/>
                <w:sz w:val="14"/>
                <w:szCs w:val="14"/>
                <w:lang w:val="el-GR"/>
              </w:rPr>
            </w:pPr>
            <w:r w:rsidRPr="00873272">
              <w:rPr>
                <w:rFonts w:ascii="Arial" w:eastAsia="Batang" w:hAnsi="Arial" w:cs="Arial"/>
                <w:color w:val="262626"/>
                <w:sz w:val="14"/>
                <w:szCs w:val="14"/>
                <w:vertAlign w:val="superscript"/>
                <w:lang w:val="el-GR" w:eastAsia="en-US"/>
              </w:rPr>
              <w:t xml:space="preserve">2. </w:t>
            </w:r>
            <w:r>
              <w:rPr>
                <w:rFonts w:ascii="Arial" w:eastAsia="Batang" w:hAnsi="Arial" w:cs="Arial"/>
                <w:color w:val="262626"/>
                <w:sz w:val="14"/>
                <w:szCs w:val="14"/>
                <w:vertAlign w:val="superscript"/>
                <w:lang w:val="el-GR" w:eastAsia="en-US"/>
              </w:rPr>
              <w:t xml:space="preserve"> </w:t>
            </w:r>
            <w:r w:rsidRPr="00974DDF">
              <w:rPr>
                <w:rFonts w:ascii="Arial" w:hAnsi="Arial" w:cs="Arial"/>
                <w:sz w:val="14"/>
                <w:szCs w:val="14"/>
                <w:lang w:val="el-GR"/>
              </w:rPr>
              <w:t>Η αναπροσαρμογή στην εναπομένουσα εύλογη αξία κατά την αρχική αναγνώριση (αφορά κυρίως τα δάνεια και απαιτήσεις από πελάτες που αποκτήθηκαν ως μέρος της εξαγοράς ορισμένων δραστηριοτήτων της Λαϊκής Τράπεζας και υπολογίζεται ως η διαφορά μεταξύ του συμβατικού ποσού που είναι σε εκκρεμότητα και της εύλογης αξίας των δανείων που αποκτήθηκαν και φέρει αρνητικό υπόλοιπο) περιλαμβάνεται στα μεικτά υπόλοιπα των δανείων και κατά συνέπεια επιφέρει μείωση στα μεικτά υπόλοιπα των δανείων και απαιτήσεων από πελάτες.</w:t>
            </w:r>
          </w:p>
          <w:p w14:paraId="0D3EB258" w14:textId="77777777" w:rsidR="0056738E" w:rsidRPr="00873272" w:rsidRDefault="0056738E" w:rsidP="007C2AEE">
            <w:pPr>
              <w:pStyle w:val="FootnoteText"/>
              <w:spacing w:after="120"/>
              <w:jc w:val="both"/>
              <w:rPr>
                <w:rFonts w:ascii="Arial" w:eastAsia="Batang" w:hAnsi="Arial" w:cs="Arial"/>
                <w:b/>
                <w:bCs/>
                <w:color w:val="262626"/>
                <w:sz w:val="14"/>
                <w:szCs w:val="14"/>
                <w:lang w:val="el-GR" w:eastAsia="en-US"/>
              </w:rPr>
            </w:pPr>
            <w:r w:rsidRPr="00873272">
              <w:rPr>
                <w:rFonts w:ascii="Arial" w:eastAsia="Batang" w:hAnsi="Arial" w:cs="Arial"/>
                <w:color w:val="262626"/>
                <w:sz w:val="14"/>
                <w:szCs w:val="14"/>
                <w:vertAlign w:val="superscript"/>
                <w:lang w:val="el-GR" w:eastAsia="en-US"/>
              </w:rPr>
              <w:t xml:space="preserve">3. </w:t>
            </w:r>
            <w:r>
              <w:rPr>
                <w:rFonts w:ascii="Arial" w:eastAsia="Batang" w:hAnsi="Arial" w:cs="Arial"/>
                <w:color w:val="262626"/>
                <w:sz w:val="14"/>
                <w:szCs w:val="14"/>
                <w:vertAlign w:val="superscript"/>
                <w:lang w:val="el-GR" w:eastAsia="en-US"/>
              </w:rPr>
              <w:t xml:space="preserve"> </w:t>
            </w:r>
            <w:r w:rsidRPr="00974DDF">
              <w:rPr>
                <w:rFonts w:ascii="Arial" w:hAnsi="Arial" w:cs="Arial"/>
                <w:sz w:val="14"/>
                <w:szCs w:val="14"/>
                <w:lang w:val="el-GR"/>
              </w:rPr>
              <w:t>Οι αναλύσεις που παρουσιάζονται στις κατηγορίες ‘μη</w:t>
            </w:r>
            <w:r>
              <w:rPr>
                <w:rFonts w:ascii="Arial" w:hAnsi="Arial" w:cs="Arial"/>
                <w:sz w:val="14"/>
                <w:szCs w:val="14"/>
                <w:lang w:val="el-GR"/>
              </w:rPr>
              <w:t>-</w:t>
            </w:r>
            <w:r w:rsidRPr="00974DDF">
              <w:rPr>
                <w:rFonts w:ascii="Arial" w:hAnsi="Arial" w:cs="Arial"/>
                <w:sz w:val="14"/>
                <w:szCs w:val="14"/>
                <w:lang w:val="el-GR"/>
              </w:rPr>
              <w:t>χρηματοπιστωτικές επιχειρήσεις’ και ‘νοικοκυριά’ δεν προστίθενται μεταξύ τους, γιατί συγκεκριμένοι πελάτες μπορεί να καταχωρούνται και στις δύο κατηγορίες.</w:t>
            </w:r>
          </w:p>
        </w:tc>
      </w:tr>
    </w:tbl>
    <w:p w14:paraId="47D86BBA" w14:textId="77777777" w:rsidR="0056738E" w:rsidRDefault="0056738E" w:rsidP="0056738E">
      <w:pPr>
        <w:rPr>
          <w:rFonts w:ascii="Arial" w:hAnsi="Arial" w:cs="Arial"/>
          <w:b/>
          <w:color w:val="FF9900"/>
          <w:szCs w:val="18"/>
          <w:lang w:val="el-GR"/>
        </w:rPr>
      </w:pPr>
      <w:r>
        <w:rPr>
          <w:rFonts w:ascii="Arial" w:hAnsi="Arial" w:cs="Arial"/>
          <w:b/>
          <w:color w:val="FF9900"/>
          <w:szCs w:val="18"/>
          <w:lang w:val="el-GR"/>
        </w:rPr>
        <w:br w:type="page"/>
      </w:r>
    </w:p>
    <w:p w14:paraId="54A98B39" w14:textId="77777777" w:rsidR="0056738E" w:rsidRPr="00022E44" w:rsidRDefault="0056738E" w:rsidP="0056738E">
      <w:pPr>
        <w:keepNext/>
        <w:tabs>
          <w:tab w:val="left" w:pos="1416"/>
          <w:tab w:val="decimal" w:pos="4962"/>
          <w:tab w:val="decimal" w:pos="6521"/>
          <w:tab w:val="right" w:pos="7560"/>
          <w:tab w:val="decimal" w:pos="8220"/>
          <w:tab w:val="left" w:pos="8640"/>
          <w:tab w:val="right" w:pos="9000"/>
        </w:tabs>
        <w:suppressAutoHyphens/>
        <w:spacing w:after="120" w:line="240" w:lineRule="auto"/>
        <w:ind w:left="851" w:right="-130" w:hanging="851"/>
        <w:jc w:val="both"/>
        <w:outlineLvl w:val="8"/>
        <w:rPr>
          <w:rFonts w:ascii="Arial" w:hAnsi="Arial" w:cs="Arial"/>
          <w:color w:val="FF9900"/>
          <w:szCs w:val="18"/>
          <w:lang w:val="el-GR"/>
        </w:rPr>
      </w:pPr>
      <w:r w:rsidRPr="00E55CD1">
        <w:rPr>
          <w:rFonts w:ascii="Arial" w:hAnsi="Arial" w:cs="Arial"/>
          <w:b/>
          <w:color w:val="FF9900"/>
          <w:szCs w:val="18"/>
          <w:lang w:val="el-GR"/>
        </w:rPr>
        <w:lastRenderedPageBreak/>
        <w:t>Ζ</w:t>
      </w:r>
      <w:r w:rsidRPr="00022E44">
        <w:rPr>
          <w:rFonts w:ascii="Arial" w:hAnsi="Arial" w:cs="Arial"/>
          <w:b/>
          <w:color w:val="FF9900"/>
          <w:szCs w:val="18"/>
          <w:lang w:val="el-GR"/>
        </w:rPr>
        <w:t xml:space="preserve">. </w:t>
      </w:r>
      <w:r w:rsidRPr="00022E44">
        <w:rPr>
          <w:rFonts w:ascii="Arial" w:hAnsi="Arial" w:cs="Arial"/>
          <w:b/>
          <w:color w:val="FF9900"/>
          <w:szCs w:val="18"/>
          <w:lang w:val="el-GR"/>
        </w:rPr>
        <w:tab/>
      </w:r>
      <w:r w:rsidRPr="00E55CD1">
        <w:rPr>
          <w:rFonts w:ascii="Arial" w:hAnsi="Arial" w:cs="Arial"/>
          <w:b/>
          <w:color w:val="FF9900"/>
          <w:szCs w:val="18"/>
          <w:lang w:val="el-GR"/>
        </w:rPr>
        <w:t xml:space="preserve">Επιπρόσθετες Γνωστοποιήσεις Διαχείρισης Κινδύνων και Κεφαλαίου </w:t>
      </w:r>
      <w:r w:rsidRPr="00022E44">
        <w:rPr>
          <w:rFonts w:ascii="Arial" w:hAnsi="Arial" w:cs="Arial"/>
          <w:color w:val="FF9900"/>
          <w:szCs w:val="18"/>
          <w:lang w:val="el-GR"/>
        </w:rPr>
        <w:t>(συνέχεια)</w:t>
      </w:r>
    </w:p>
    <w:p w14:paraId="074EDC95" w14:textId="77777777" w:rsidR="0056738E" w:rsidRPr="00022E44" w:rsidRDefault="0056738E" w:rsidP="0056738E">
      <w:pPr>
        <w:keepNext/>
        <w:tabs>
          <w:tab w:val="left" w:pos="1416"/>
          <w:tab w:val="decimal" w:pos="4962"/>
          <w:tab w:val="decimal" w:pos="6521"/>
          <w:tab w:val="right" w:pos="7560"/>
          <w:tab w:val="decimal" w:pos="8220"/>
          <w:tab w:val="left" w:pos="8640"/>
          <w:tab w:val="right" w:pos="9000"/>
        </w:tabs>
        <w:suppressAutoHyphens/>
        <w:spacing w:after="120" w:line="240" w:lineRule="auto"/>
        <w:ind w:left="851" w:right="-130" w:hanging="851"/>
        <w:jc w:val="both"/>
        <w:outlineLvl w:val="8"/>
        <w:rPr>
          <w:rFonts w:ascii="Arial" w:hAnsi="Arial" w:cs="Arial"/>
          <w:color w:val="FF9900"/>
          <w:szCs w:val="18"/>
          <w:lang w:val="el-GR"/>
        </w:rPr>
      </w:pPr>
      <w:r w:rsidRPr="00022E44">
        <w:rPr>
          <w:rFonts w:ascii="Arial" w:hAnsi="Arial" w:cs="Arial"/>
          <w:b/>
          <w:color w:val="FF9900"/>
          <w:szCs w:val="18"/>
          <w:lang w:val="el-GR"/>
        </w:rPr>
        <w:t xml:space="preserve">Ζ.1 </w:t>
      </w:r>
      <w:r w:rsidRPr="00022E44">
        <w:rPr>
          <w:rFonts w:ascii="Arial" w:hAnsi="Arial" w:cs="Arial"/>
          <w:b/>
          <w:color w:val="FF9900"/>
          <w:szCs w:val="18"/>
          <w:lang w:val="el-GR"/>
        </w:rPr>
        <w:tab/>
        <w:t xml:space="preserve">Επιπρόσθετες γνωστοποιήσεις </w:t>
      </w:r>
      <w:r>
        <w:rPr>
          <w:rFonts w:ascii="Arial" w:hAnsi="Arial" w:cs="Arial"/>
          <w:b/>
          <w:color w:val="FF9900"/>
          <w:szCs w:val="18"/>
          <w:lang w:val="el-GR"/>
        </w:rPr>
        <w:t>Π</w:t>
      </w:r>
      <w:r w:rsidRPr="00022E44">
        <w:rPr>
          <w:rFonts w:ascii="Arial" w:hAnsi="Arial" w:cs="Arial"/>
          <w:b/>
          <w:color w:val="FF9900"/>
          <w:szCs w:val="18"/>
          <w:lang w:val="el-GR"/>
        </w:rPr>
        <w:t>ιστωτικού κινδύνου</w:t>
      </w:r>
      <w:r w:rsidRPr="00022E44">
        <w:rPr>
          <w:rFonts w:ascii="Arial" w:hAnsi="Arial" w:cs="Arial"/>
          <w:color w:val="FF9900"/>
          <w:szCs w:val="18"/>
          <w:lang w:val="el-GR"/>
        </w:rPr>
        <w:t xml:space="preserve"> (συν</w:t>
      </w:r>
      <w:r>
        <w:rPr>
          <w:rFonts w:ascii="Arial" w:hAnsi="Arial" w:cs="Arial"/>
          <w:color w:val="FF9900"/>
          <w:szCs w:val="18"/>
          <w:lang w:val="el-GR"/>
        </w:rPr>
        <w:t>έχεια)</w:t>
      </w:r>
    </w:p>
    <w:tbl>
      <w:tblPr>
        <w:tblW w:w="1497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172"/>
        <w:gridCol w:w="1501"/>
        <w:gridCol w:w="1416"/>
        <w:gridCol w:w="1410"/>
        <w:gridCol w:w="1409"/>
        <w:gridCol w:w="1835"/>
        <w:gridCol w:w="1409"/>
        <w:gridCol w:w="1410"/>
        <w:gridCol w:w="1408"/>
      </w:tblGrid>
      <w:tr w:rsidR="0056738E" w:rsidRPr="007C2AEE" w14:paraId="78811F50" w14:textId="77777777" w:rsidTr="007C2AEE">
        <w:trPr>
          <w:trHeight w:val="227"/>
          <w:jc w:val="center"/>
        </w:trPr>
        <w:tc>
          <w:tcPr>
            <w:tcW w:w="3172" w:type="dxa"/>
            <w:vMerge w:val="restart"/>
            <w:vAlign w:val="center"/>
          </w:tcPr>
          <w:p w14:paraId="7770EF8E" w14:textId="77777777" w:rsidR="0056738E" w:rsidRPr="00A20BBC" w:rsidRDefault="0056738E" w:rsidP="007C2AEE">
            <w:pPr>
              <w:shd w:val="clear" w:color="auto" w:fill="FFFFFF"/>
              <w:tabs>
                <w:tab w:val="right" w:pos="7560"/>
                <w:tab w:val="right" w:pos="9000"/>
              </w:tabs>
              <w:suppressAutoHyphens/>
              <w:spacing w:after="0" w:line="240" w:lineRule="auto"/>
              <w:rPr>
                <w:rFonts w:ascii="Arial" w:hAnsi="Arial" w:cs="Arial"/>
                <w:b/>
                <w:bCs/>
                <w:color w:val="262626"/>
                <w:sz w:val="14"/>
                <w:szCs w:val="14"/>
                <w:lang w:val="el-GR"/>
              </w:rPr>
            </w:pPr>
            <w:r w:rsidRPr="00A20BBC">
              <w:rPr>
                <w:rFonts w:ascii="Arial" w:hAnsi="Arial" w:cs="Arial"/>
                <w:b/>
                <w:color w:val="262626"/>
                <w:sz w:val="14"/>
                <w:szCs w:val="14"/>
                <w:lang w:val="el-GR"/>
              </w:rPr>
              <w:br w:type="page"/>
            </w:r>
          </w:p>
          <w:p w14:paraId="42A319F7" w14:textId="77777777" w:rsidR="0056738E" w:rsidRPr="00A20BBC" w:rsidRDefault="0056738E" w:rsidP="007C2AEE">
            <w:pPr>
              <w:widowControl w:val="0"/>
              <w:autoSpaceDE w:val="0"/>
              <w:autoSpaceDN w:val="0"/>
              <w:adjustRightInd w:val="0"/>
              <w:spacing w:after="0" w:line="240" w:lineRule="auto"/>
              <w:ind w:left="56"/>
              <w:rPr>
                <w:rFonts w:ascii="Arial" w:hAnsi="Arial" w:cs="Arial"/>
                <w:b/>
                <w:bCs/>
                <w:color w:val="262626"/>
                <w:sz w:val="14"/>
                <w:szCs w:val="14"/>
                <w:lang w:val="el-GR"/>
              </w:rPr>
            </w:pPr>
            <w:r w:rsidRPr="00A03828">
              <w:rPr>
                <w:rFonts w:ascii="Arial" w:eastAsia="Times New Roman" w:hAnsi="Arial" w:cs="Arial"/>
                <w:b/>
                <w:bCs/>
                <w:color w:val="000000"/>
                <w:sz w:val="14"/>
                <w:szCs w:val="14"/>
              </w:rPr>
              <w:t xml:space="preserve">31 </w:t>
            </w:r>
            <w:proofErr w:type="spellStart"/>
            <w:r w:rsidRPr="00A03828">
              <w:rPr>
                <w:rFonts w:ascii="Arial" w:eastAsia="Times New Roman" w:hAnsi="Arial" w:cs="Arial"/>
                <w:b/>
                <w:bCs/>
                <w:color w:val="000000"/>
                <w:sz w:val="14"/>
                <w:szCs w:val="14"/>
              </w:rPr>
              <w:t>Δεκεμ</w:t>
            </w:r>
            <w:proofErr w:type="spellEnd"/>
            <w:r w:rsidRPr="00A03828">
              <w:rPr>
                <w:rFonts w:ascii="Arial" w:eastAsia="Times New Roman" w:hAnsi="Arial" w:cs="Arial"/>
                <w:b/>
                <w:bCs/>
                <w:color w:val="000000"/>
                <w:sz w:val="14"/>
                <w:szCs w:val="14"/>
              </w:rPr>
              <w:t>βρίου 20</w:t>
            </w:r>
            <w:r w:rsidRPr="00A03828">
              <w:rPr>
                <w:rFonts w:ascii="Arial" w:eastAsia="Times New Roman" w:hAnsi="Arial" w:cs="Arial"/>
                <w:b/>
                <w:bCs/>
                <w:color w:val="000000"/>
                <w:sz w:val="14"/>
                <w:szCs w:val="14"/>
                <w:lang w:val="el-GR"/>
              </w:rPr>
              <w:t>23</w:t>
            </w:r>
          </w:p>
        </w:tc>
        <w:tc>
          <w:tcPr>
            <w:tcW w:w="5736" w:type="dxa"/>
            <w:gridSpan w:val="4"/>
            <w:tcBorders>
              <w:top w:val="single" w:sz="4" w:space="0" w:color="BFBFBF"/>
              <w:left w:val="single" w:sz="4" w:space="0" w:color="BFBFBF"/>
              <w:bottom w:val="single" w:sz="4" w:space="0" w:color="BFBFBF"/>
              <w:right w:val="single" w:sz="4" w:space="0" w:color="BFBFBF"/>
            </w:tcBorders>
            <w:vAlign w:val="center"/>
          </w:tcPr>
          <w:p w14:paraId="0627EA7B" w14:textId="77777777" w:rsidR="0056738E" w:rsidRPr="00A20BBC" w:rsidRDefault="0056738E" w:rsidP="007C2AEE">
            <w:pPr>
              <w:spacing w:after="0" w:line="240" w:lineRule="auto"/>
              <w:jc w:val="center"/>
              <w:rPr>
                <w:rFonts w:ascii="Arial" w:hAnsi="Arial" w:cs="Arial"/>
                <w:b/>
                <w:sz w:val="14"/>
                <w:szCs w:val="14"/>
                <w:lang w:val="el-GR"/>
              </w:rPr>
            </w:pPr>
            <w:r w:rsidRPr="00A03828">
              <w:rPr>
                <w:rFonts w:ascii="Arial" w:eastAsia="Times New Roman" w:hAnsi="Arial" w:cs="Arial"/>
                <w:b/>
                <w:bCs/>
                <w:color w:val="262626"/>
                <w:sz w:val="14"/>
                <w:szCs w:val="14"/>
                <w:lang w:val="el-GR"/>
              </w:rPr>
              <w:t>Μεικτά δάνεια και απαιτήσεις από πελάτες</w:t>
            </w:r>
          </w:p>
        </w:tc>
        <w:tc>
          <w:tcPr>
            <w:tcW w:w="6062" w:type="dxa"/>
            <w:gridSpan w:val="4"/>
            <w:tcBorders>
              <w:top w:val="single" w:sz="4" w:space="0" w:color="BFBFBF"/>
              <w:left w:val="single" w:sz="4" w:space="0" w:color="BFBFBF"/>
              <w:bottom w:val="single" w:sz="4" w:space="0" w:color="BFBFBF"/>
              <w:right w:val="single" w:sz="4" w:space="0" w:color="BFBFBF"/>
            </w:tcBorders>
            <w:vAlign w:val="center"/>
          </w:tcPr>
          <w:p w14:paraId="445B2AAE" w14:textId="77777777" w:rsidR="0056738E" w:rsidRPr="00A20BBC" w:rsidRDefault="0056738E" w:rsidP="007C2AEE">
            <w:pPr>
              <w:spacing w:after="0" w:line="240" w:lineRule="auto"/>
              <w:jc w:val="center"/>
              <w:rPr>
                <w:rFonts w:ascii="Arial" w:hAnsi="Arial" w:cs="Arial"/>
                <w:b/>
                <w:sz w:val="14"/>
                <w:szCs w:val="14"/>
                <w:lang w:val="el-GR"/>
              </w:rPr>
            </w:pPr>
            <w:r w:rsidRPr="00A03828">
              <w:rPr>
                <w:rFonts w:ascii="Arial" w:eastAsia="Times New Roman" w:hAnsi="Arial" w:cs="Arial"/>
                <w:b/>
                <w:bCs/>
                <w:color w:val="262626"/>
                <w:sz w:val="14"/>
                <w:szCs w:val="14"/>
                <w:lang w:val="el-GR"/>
              </w:rPr>
              <w:t xml:space="preserve">Συσσωρευμένες </w:t>
            </w:r>
            <w:proofErr w:type="spellStart"/>
            <w:r w:rsidRPr="00A03828">
              <w:rPr>
                <w:rFonts w:ascii="Arial" w:eastAsia="Times New Roman" w:hAnsi="Arial" w:cs="Arial"/>
                <w:b/>
                <w:bCs/>
                <w:color w:val="262626"/>
                <w:sz w:val="14"/>
                <w:szCs w:val="14"/>
                <w:lang w:val="el-GR"/>
              </w:rPr>
              <w:t>απομειώσεις</w:t>
            </w:r>
            <w:proofErr w:type="spellEnd"/>
            <w:r w:rsidRPr="00A03828">
              <w:rPr>
                <w:rFonts w:ascii="Arial" w:eastAsia="Times New Roman" w:hAnsi="Arial" w:cs="Arial"/>
                <w:b/>
                <w:bCs/>
                <w:color w:val="262626"/>
                <w:sz w:val="14"/>
                <w:szCs w:val="14"/>
                <w:lang w:val="el-GR"/>
              </w:rPr>
              <w:t>, συσσωρευμένες αρνητικές μεταβολές στην εύλογη αξία λόγω πιστωτικού κινδύνου και προβλέψεις</w:t>
            </w:r>
          </w:p>
        </w:tc>
      </w:tr>
      <w:tr w:rsidR="0056738E" w:rsidRPr="007C2AEE" w14:paraId="03234A31" w14:textId="77777777" w:rsidTr="007C2AEE">
        <w:trPr>
          <w:trHeight w:val="283"/>
          <w:jc w:val="center"/>
        </w:trPr>
        <w:tc>
          <w:tcPr>
            <w:tcW w:w="3172" w:type="dxa"/>
            <w:vMerge/>
            <w:vAlign w:val="center"/>
          </w:tcPr>
          <w:p w14:paraId="0C9B328E" w14:textId="77777777" w:rsidR="0056738E" w:rsidRPr="00A20BBC" w:rsidRDefault="0056738E" w:rsidP="007C2AEE">
            <w:pPr>
              <w:widowControl w:val="0"/>
              <w:autoSpaceDE w:val="0"/>
              <w:autoSpaceDN w:val="0"/>
              <w:adjustRightInd w:val="0"/>
              <w:spacing w:after="0" w:line="240" w:lineRule="auto"/>
              <w:ind w:left="56"/>
              <w:rPr>
                <w:rFonts w:ascii="Arial" w:hAnsi="Arial" w:cs="Arial"/>
                <w:b/>
                <w:bCs/>
                <w:sz w:val="14"/>
                <w:szCs w:val="14"/>
                <w:lang w:val="el-GR"/>
              </w:rPr>
            </w:pPr>
          </w:p>
        </w:tc>
        <w:tc>
          <w:tcPr>
            <w:tcW w:w="1501" w:type="dxa"/>
            <w:vMerge w:val="restart"/>
            <w:tcBorders>
              <w:top w:val="single" w:sz="4" w:space="0" w:color="BFBFBF"/>
              <w:left w:val="single" w:sz="4" w:space="0" w:color="BFBFBF"/>
              <w:bottom w:val="single" w:sz="4" w:space="0" w:color="BFBFBF"/>
              <w:right w:val="single" w:sz="4" w:space="0" w:color="BFBFBF"/>
            </w:tcBorders>
            <w:vAlign w:val="center"/>
          </w:tcPr>
          <w:p w14:paraId="38EF3A0B"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r w:rsidRPr="00A03828">
              <w:rPr>
                <w:rFonts w:ascii="Arial" w:eastAsia="Times New Roman" w:hAnsi="Arial" w:cs="Arial"/>
                <w:b/>
                <w:bCs/>
                <w:color w:val="262626"/>
                <w:sz w:val="14"/>
                <w:szCs w:val="14"/>
                <w:lang w:val="el-GR"/>
              </w:rPr>
              <w:t>Μεικτά δάνεια και απαιτήσεις από πελάτες</w:t>
            </w:r>
            <w:r w:rsidRPr="00A03828">
              <w:rPr>
                <w:rFonts w:ascii="Arial" w:eastAsia="Times New Roman" w:hAnsi="Arial" w:cs="Arial"/>
                <w:b/>
                <w:bCs/>
                <w:color w:val="262626"/>
                <w:sz w:val="14"/>
                <w:szCs w:val="14"/>
                <w:vertAlign w:val="superscript"/>
                <w:lang w:val="el-GR"/>
              </w:rPr>
              <w:t>1,2</w:t>
            </w:r>
          </w:p>
        </w:tc>
        <w:tc>
          <w:tcPr>
            <w:tcW w:w="1416" w:type="dxa"/>
            <w:vMerge w:val="restart"/>
            <w:tcBorders>
              <w:top w:val="single" w:sz="4" w:space="0" w:color="BFBFBF"/>
              <w:left w:val="single" w:sz="4" w:space="0" w:color="BFBFBF"/>
              <w:bottom w:val="single" w:sz="4" w:space="0" w:color="BFBFBF"/>
              <w:right w:val="single" w:sz="4" w:space="0" w:color="BFBFBF"/>
            </w:tcBorders>
            <w:vAlign w:val="center"/>
          </w:tcPr>
          <w:p w14:paraId="4C928446" w14:textId="77777777" w:rsidR="0056738E" w:rsidRPr="00A03828" w:rsidRDefault="0056738E" w:rsidP="007C2AEE">
            <w:pPr>
              <w:shd w:val="clear" w:color="auto" w:fill="FFFFFF"/>
              <w:tabs>
                <w:tab w:val="right" w:pos="7560"/>
                <w:tab w:val="right" w:pos="9000"/>
              </w:tabs>
              <w:suppressAutoHyphens/>
              <w:spacing w:after="0" w:line="240" w:lineRule="auto"/>
              <w:ind w:left="-106"/>
              <w:jc w:val="center"/>
              <w:rPr>
                <w:rFonts w:ascii="Arial" w:eastAsia="Times New Roman" w:hAnsi="Arial" w:cs="Arial"/>
                <w:b/>
                <w:bCs/>
                <w:color w:val="262626"/>
                <w:sz w:val="14"/>
                <w:szCs w:val="14"/>
                <w:lang w:val="el-GR"/>
              </w:rPr>
            </w:pPr>
            <w:r w:rsidRPr="00A03828">
              <w:rPr>
                <w:rFonts w:ascii="Arial" w:eastAsia="Times New Roman" w:hAnsi="Arial" w:cs="Arial"/>
                <w:b/>
                <w:bCs/>
                <w:color w:val="262626"/>
                <w:sz w:val="14"/>
                <w:szCs w:val="14"/>
                <w:lang w:val="el-GR"/>
              </w:rPr>
              <w:t>Από τα οποία</w:t>
            </w:r>
            <w:r w:rsidRPr="00A03828">
              <w:rPr>
                <w:rFonts w:ascii="Arial" w:eastAsia="Times New Roman" w:hAnsi="Arial" w:cs="Arial"/>
                <w:b/>
                <w:bCs/>
                <w:color w:val="262626"/>
                <w:sz w:val="14"/>
                <w:szCs w:val="14"/>
                <w:lang w:val="en-US"/>
              </w:rPr>
              <w:t>:</w:t>
            </w:r>
            <w:r w:rsidRPr="00A03828">
              <w:rPr>
                <w:rFonts w:ascii="Arial" w:eastAsia="Times New Roman" w:hAnsi="Arial" w:cs="Arial"/>
                <w:b/>
                <w:bCs/>
                <w:color w:val="262626"/>
                <w:sz w:val="14"/>
                <w:szCs w:val="14"/>
                <w:lang w:val="el-GR"/>
              </w:rPr>
              <w:t xml:space="preserve"> </w:t>
            </w:r>
          </w:p>
          <w:p w14:paraId="2BE947D3"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r w:rsidRPr="00A03828">
              <w:rPr>
                <w:rFonts w:ascii="Arial" w:eastAsia="Times New Roman" w:hAnsi="Arial" w:cs="Arial"/>
                <w:b/>
                <w:bCs/>
                <w:color w:val="262626"/>
                <w:sz w:val="14"/>
                <w:szCs w:val="14"/>
                <w:lang w:val="el-GR"/>
              </w:rPr>
              <w:t>ΜΕΔ</w:t>
            </w:r>
          </w:p>
        </w:tc>
        <w:tc>
          <w:tcPr>
            <w:tcW w:w="2819" w:type="dxa"/>
            <w:gridSpan w:val="2"/>
            <w:shd w:val="clear" w:color="auto" w:fill="auto"/>
            <w:vAlign w:val="center"/>
          </w:tcPr>
          <w:p w14:paraId="2F752DB0"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r w:rsidRPr="00A03828">
              <w:rPr>
                <w:rFonts w:ascii="Arial" w:eastAsia="Times New Roman" w:hAnsi="Arial" w:cs="Arial"/>
                <w:b/>
                <w:bCs/>
                <w:color w:val="262626"/>
                <w:sz w:val="14"/>
                <w:szCs w:val="14"/>
                <w:lang w:val="el-GR"/>
              </w:rPr>
              <w:t>Από τα οποία έτυχαν ρύθμισης</w:t>
            </w:r>
          </w:p>
        </w:tc>
        <w:tc>
          <w:tcPr>
            <w:tcW w:w="1835" w:type="dxa"/>
            <w:vMerge w:val="restart"/>
            <w:shd w:val="clear" w:color="auto" w:fill="auto"/>
            <w:vAlign w:val="center"/>
          </w:tcPr>
          <w:p w14:paraId="3D669014" w14:textId="77777777" w:rsidR="0056738E" w:rsidRPr="00A20BBC" w:rsidRDefault="0056738E" w:rsidP="007C2AEE">
            <w:pPr>
              <w:shd w:val="clear" w:color="auto" w:fill="FFFFFF"/>
              <w:tabs>
                <w:tab w:val="right" w:pos="7560"/>
                <w:tab w:val="right" w:pos="9000"/>
              </w:tabs>
              <w:suppressAutoHyphens/>
              <w:spacing w:after="0"/>
              <w:jc w:val="center"/>
              <w:rPr>
                <w:rFonts w:ascii="Arial" w:hAnsi="Arial" w:cs="Arial"/>
                <w:b/>
                <w:bCs/>
                <w:color w:val="262626"/>
                <w:sz w:val="14"/>
                <w:szCs w:val="14"/>
                <w:lang w:val="el-GR"/>
              </w:rPr>
            </w:pPr>
            <w:r w:rsidRPr="00A03828">
              <w:rPr>
                <w:rFonts w:ascii="Arial" w:eastAsia="Times New Roman" w:hAnsi="Arial" w:cs="Arial"/>
                <w:b/>
                <w:bCs/>
                <w:color w:val="262626"/>
                <w:sz w:val="14"/>
                <w:szCs w:val="14"/>
                <w:lang w:val="el-GR"/>
              </w:rPr>
              <w:t xml:space="preserve">Συσσωρευμένες </w:t>
            </w:r>
            <w:proofErr w:type="spellStart"/>
            <w:r w:rsidRPr="00A03828">
              <w:rPr>
                <w:rFonts w:ascii="Arial" w:eastAsia="Times New Roman" w:hAnsi="Arial" w:cs="Arial"/>
                <w:b/>
                <w:bCs/>
                <w:color w:val="262626"/>
                <w:sz w:val="14"/>
                <w:szCs w:val="14"/>
                <w:lang w:val="el-GR"/>
              </w:rPr>
              <w:t>απομειώσεις</w:t>
            </w:r>
            <w:proofErr w:type="spellEnd"/>
            <w:r w:rsidRPr="00A03828">
              <w:rPr>
                <w:rFonts w:ascii="Arial" w:eastAsia="Times New Roman" w:hAnsi="Arial" w:cs="Arial"/>
                <w:b/>
                <w:bCs/>
                <w:color w:val="262626"/>
                <w:sz w:val="14"/>
                <w:szCs w:val="14"/>
                <w:lang w:val="el-GR"/>
              </w:rPr>
              <w:t>, συσσωρευμένες αρνητικές μεταβολές στην εύλογη αξία λόγω πιστωτικού κινδύνου και προβλέψεις</w:t>
            </w:r>
          </w:p>
        </w:tc>
        <w:tc>
          <w:tcPr>
            <w:tcW w:w="1409" w:type="dxa"/>
            <w:vMerge w:val="restart"/>
            <w:vAlign w:val="center"/>
          </w:tcPr>
          <w:p w14:paraId="22B2329F"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r w:rsidRPr="00A03828">
              <w:rPr>
                <w:rFonts w:ascii="Arial" w:eastAsia="Times New Roman" w:hAnsi="Arial" w:cs="Arial"/>
                <w:b/>
                <w:bCs/>
                <w:color w:val="262626"/>
                <w:sz w:val="14"/>
                <w:szCs w:val="14"/>
                <w:lang w:val="el-GR"/>
              </w:rPr>
              <w:t>Από τα οποία</w:t>
            </w:r>
            <w:r w:rsidRPr="00A03828">
              <w:rPr>
                <w:rFonts w:ascii="Arial" w:eastAsia="Times New Roman" w:hAnsi="Arial" w:cs="Arial"/>
                <w:b/>
                <w:bCs/>
                <w:color w:val="262626"/>
                <w:sz w:val="14"/>
                <w:szCs w:val="14"/>
                <w:lang w:val="en-US"/>
              </w:rPr>
              <w:t>:</w:t>
            </w:r>
            <w:r w:rsidRPr="00A03828">
              <w:rPr>
                <w:rFonts w:ascii="Arial" w:eastAsia="Times New Roman" w:hAnsi="Arial" w:cs="Arial"/>
                <w:b/>
                <w:bCs/>
                <w:color w:val="262626"/>
                <w:sz w:val="14"/>
                <w:szCs w:val="14"/>
                <w:lang w:val="el-GR"/>
              </w:rPr>
              <w:t xml:space="preserve"> ΜΕΔ</w:t>
            </w:r>
          </w:p>
        </w:tc>
        <w:tc>
          <w:tcPr>
            <w:tcW w:w="2818" w:type="dxa"/>
            <w:gridSpan w:val="2"/>
            <w:vAlign w:val="center"/>
          </w:tcPr>
          <w:p w14:paraId="294CD20F"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r w:rsidRPr="00A20BBC">
              <w:rPr>
                <w:rFonts w:ascii="Arial" w:hAnsi="Arial" w:cs="Arial"/>
                <w:b/>
                <w:bCs/>
                <w:color w:val="262626"/>
                <w:sz w:val="14"/>
                <w:szCs w:val="14"/>
                <w:lang w:val="el-GR"/>
              </w:rPr>
              <w:t>Από τα οποία έτυχαν ρύθμισης</w:t>
            </w:r>
          </w:p>
        </w:tc>
      </w:tr>
      <w:tr w:rsidR="0056738E" w:rsidRPr="00A20BBC" w14:paraId="209975EE" w14:textId="77777777" w:rsidTr="007C2AEE">
        <w:trPr>
          <w:trHeight w:val="57"/>
          <w:jc w:val="center"/>
        </w:trPr>
        <w:tc>
          <w:tcPr>
            <w:tcW w:w="3172" w:type="dxa"/>
            <w:vMerge/>
            <w:vAlign w:val="center"/>
          </w:tcPr>
          <w:p w14:paraId="7BE1EAE0" w14:textId="77777777" w:rsidR="0056738E" w:rsidRPr="00A20BBC" w:rsidRDefault="0056738E" w:rsidP="007C2AEE">
            <w:pPr>
              <w:pStyle w:val="BodyTextIndent"/>
              <w:shd w:val="clear" w:color="auto" w:fill="FFFFFF"/>
              <w:tabs>
                <w:tab w:val="left" w:pos="284"/>
              </w:tabs>
              <w:spacing w:after="0" w:line="240" w:lineRule="auto"/>
              <w:ind w:left="0"/>
              <w:rPr>
                <w:rFonts w:ascii="Arial" w:hAnsi="Arial" w:cs="Arial"/>
                <w:b/>
                <w:bCs/>
                <w:sz w:val="14"/>
                <w:szCs w:val="14"/>
                <w:lang w:val="el-GR"/>
              </w:rPr>
            </w:pPr>
          </w:p>
        </w:tc>
        <w:tc>
          <w:tcPr>
            <w:tcW w:w="1501" w:type="dxa"/>
            <w:vMerge/>
            <w:shd w:val="clear" w:color="auto" w:fill="auto"/>
            <w:vAlign w:val="center"/>
          </w:tcPr>
          <w:p w14:paraId="24FC929C"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p>
        </w:tc>
        <w:tc>
          <w:tcPr>
            <w:tcW w:w="1416" w:type="dxa"/>
            <w:vMerge/>
            <w:vAlign w:val="center"/>
          </w:tcPr>
          <w:p w14:paraId="08911F33"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p>
        </w:tc>
        <w:tc>
          <w:tcPr>
            <w:tcW w:w="1410" w:type="dxa"/>
            <w:tcBorders>
              <w:top w:val="single" w:sz="4" w:space="0" w:color="BFBFBF"/>
              <w:left w:val="single" w:sz="4" w:space="0" w:color="BFBFBF"/>
              <w:bottom w:val="single" w:sz="4" w:space="0" w:color="BFBFBF"/>
              <w:right w:val="single" w:sz="4" w:space="0" w:color="BFBFBF"/>
            </w:tcBorders>
            <w:vAlign w:val="center"/>
          </w:tcPr>
          <w:p w14:paraId="4266A7AB" w14:textId="77777777" w:rsidR="0056738E" w:rsidRPr="00A20BBC" w:rsidRDefault="0056738E" w:rsidP="007C2AEE">
            <w:pPr>
              <w:shd w:val="clear" w:color="auto" w:fill="FFFFFF"/>
              <w:tabs>
                <w:tab w:val="right" w:pos="7560"/>
                <w:tab w:val="right" w:pos="9000"/>
              </w:tabs>
              <w:suppressAutoHyphens/>
              <w:spacing w:after="0" w:line="240" w:lineRule="auto"/>
              <w:ind w:left="-108" w:right="-63"/>
              <w:jc w:val="center"/>
              <w:rPr>
                <w:rFonts w:ascii="Arial" w:hAnsi="Arial" w:cs="Arial"/>
                <w:b/>
                <w:bCs/>
                <w:color w:val="262626"/>
                <w:sz w:val="14"/>
                <w:szCs w:val="14"/>
                <w:lang w:val="el-GR"/>
              </w:rPr>
            </w:pPr>
            <w:r w:rsidRPr="00A03828">
              <w:rPr>
                <w:rFonts w:ascii="Arial" w:eastAsia="Times New Roman" w:hAnsi="Arial" w:cs="Arial"/>
                <w:b/>
                <w:bCs/>
                <w:color w:val="262626"/>
                <w:sz w:val="14"/>
                <w:szCs w:val="14"/>
                <w:lang w:val="el-GR"/>
              </w:rPr>
              <w:t>Συνολικά δάνεια με ρυθμιστικά μέτρα</w:t>
            </w:r>
          </w:p>
        </w:tc>
        <w:tc>
          <w:tcPr>
            <w:tcW w:w="1409" w:type="dxa"/>
            <w:tcBorders>
              <w:top w:val="single" w:sz="4" w:space="0" w:color="BFBFBF"/>
              <w:left w:val="single" w:sz="4" w:space="0" w:color="BFBFBF"/>
              <w:bottom w:val="single" w:sz="4" w:space="0" w:color="BFBFBF"/>
              <w:right w:val="single" w:sz="4" w:space="0" w:color="BFBFBF"/>
            </w:tcBorders>
            <w:vAlign w:val="center"/>
          </w:tcPr>
          <w:p w14:paraId="773B112D"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r w:rsidRPr="00A03828">
              <w:rPr>
                <w:rFonts w:ascii="Arial" w:eastAsia="Times New Roman" w:hAnsi="Arial" w:cs="Arial"/>
                <w:b/>
                <w:bCs/>
                <w:color w:val="262626"/>
                <w:sz w:val="14"/>
                <w:szCs w:val="14"/>
                <w:lang w:val="el-GR"/>
              </w:rPr>
              <w:t>Από τα οποία</w:t>
            </w:r>
            <w:r w:rsidRPr="00A03828">
              <w:rPr>
                <w:rFonts w:ascii="Arial" w:eastAsia="Times New Roman" w:hAnsi="Arial" w:cs="Arial"/>
                <w:b/>
                <w:bCs/>
                <w:color w:val="262626"/>
                <w:sz w:val="14"/>
                <w:szCs w:val="14"/>
                <w:lang w:val="en-US"/>
              </w:rPr>
              <w:t>:</w:t>
            </w:r>
            <w:r w:rsidRPr="00A03828">
              <w:rPr>
                <w:rFonts w:ascii="Arial" w:eastAsia="Times New Roman" w:hAnsi="Arial" w:cs="Arial"/>
                <w:b/>
                <w:bCs/>
                <w:color w:val="262626"/>
                <w:sz w:val="14"/>
                <w:szCs w:val="14"/>
                <w:lang w:val="el-GR"/>
              </w:rPr>
              <w:t xml:space="preserve"> ΜΕΔ</w:t>
            </w:r>
          </w:p>
        </w:tc>
        <w:tc>
          <w:tcPr>
            <w:tcW w:w="1835" w:type="dxa"/>
            <w:vMerge/>
            <w:shd w:val="clear" w:color="auto" w:fill="auto"/>
            <w:vAlign w:val="center"/>
          </w:tcPr>
          <w:p w14:paraId="300EE52F"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p>
        </w:tc>
        <w:tc>
          <w:tcPr>
            <w:tcW w:w="1409" w:type="dxa"/>
            <w:vMerge/>
            <w:shd w:val="clear" w:color="auto" w:fill="auto"/>
            <w:vAlign w:val="center"/>
          </w:tcPr>
          <w:p w14:paraId="467AFD09"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p>
        </w:tc>
        <w:tc>
          <w:tcPr>
            <w:tcW w:w="1410" w:type="dxa"/>
            <w:shd w:val="clear" w:color="auto" w:fill="auto"/>
            <w:vAlign w:val="center"/>
          </w:tcPr>
          <w:p w14:paraId="774A2E9D" w14:textId="77777777" w:rsidR="0056738E" w:rsidRPr="00A20BBC" w:rsidRDefault="0056738E" w:rsidP="007C2AEE">
            <w:pPr>
              <w:shd w:val="clear" w:color="auto" w:fill="FFFFFF"/>
              <w:tabs>
                <w:tab w:val="right" w:pos="7560"/>
                <w:tab w:val="right" w:pos="9000"/>
              </w:tabs>
              <w:suppressAutoHyphens/>
              <w:spacing w:after="0" w:line="240" w:lineRule="auto"/>
              <w:ind w:left="-108"/>
              <w:jc w:val="center"/>
              <w:rPr>
                <w:rFonts w:ascii="Arial" w:hAnsi="Arial" w:cs="Arial"/>
                <w:bCs/>
                <w:color w:val="262626"/>
                <w:sz w:val="14"/>
                <w:szCs w:val="14"/>
                <w:lang w:val="el-GR"/>
              </w:rPr>
            </w:pPr>
            <w:r w:rsidRPr="00A03828">
              <w:rPr>
                <w:rFonts w:ascii="Arial" w:eastAsia="Times New Roman" w:hAnsi="Arial" w:cs="Arial"/>
                <w:b/>
                <w:bCs/>
                <w:color w:val="262626"/>
                <w:sz w:val="14"/>
                <w:szCs w:val="14"/>
                <w:lang w:val="el-GR"/>
              </w:rPr>
              <w:t>Συνολικά δάνεια με ρυθμιστικά μέτρα</w:t>
            </w:r>
          </w:p>
        </w:tc>
        <w:tc>
          <w:tcPr>
            <w:tcW w:w="1408" w:type="dxa"/>
            <w:shd w:val="clear" w:color="auto" w:fill="auto"/>
            <w:vAlign w:val="center"/>
          </w:tcPr>
          <w:p w14:paraId="73EB2FE6"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lang w:val="el-GR"/>
              </w:rPr>
            </w:pPr>
            <w:r w:rsidRPr="00A03828">
              <w:rPr>
                <w:rFonts w:ascii="Arial" w:eastAsia="Times New Roman" w:hAnsi="Arial" w:cs="Arial"/>
                <w:b/>
                <w:bCs/>
                <w:color w:val="262626"/>
                <w:sz w:val="14"/>
                <w:szCs w:val="14"/>
                <w:lang w:val="el-GR"/>
              </w:rPr>
              <w:t>Από τα οποία</w:t>
            </w:r>
            <w:r w:rsidRPr="00A03828">
              <w:rPr>
                <w:rFonts w:ascii="Arial" w:eastAsia="Times New Roman" w:hAnsi="Arial" w:cs="Arial"/>
                <w:b/>
                <w:bCs/>
                <w:color w:val="262626"/>
                <w:sz w:val="14"/>
                <w:szCs w:val="14"/>
                <w:lang w:val="en-US"/>
              </w:rPr>
              <w:t>:</w:t>
            </w:r>
            <w:r w:rsidRPr="00A03828">
              <w:rPr>
                <w:rFonts w:ascii="Arial" w:eastAsia="Times New Roman" w:hAnsi="Arial" w:cs="Arial"/>
                <w:b/>
                <w:bCs/>
                <w:color w:val="262626"/>
                <w:sz w:val="14"/>
                <w:szCs w:val="14"/>
                <w:lang w:val="el-GR"/>
              </w:rPr>
              <w:t xml:space="preserve"> ΜΕΔ</w:t>
            </w:r>
          </w:p>
        </w:tc>
      </w:tr>
      <w:tr w:rsidR="0056738E" w:rsidRPr="00A20BBC" w14:paraId="1D9C7F2D" w14:textId="77777777" w:rsidTr="007C2AEE">
        <w:trPr>
          <w:trHeight w:val="227"/>
          <w:jc w:val="center"/>
        </w:trPr>
        <w:tc>
          <w:tcPr>
            <w:tcW w:w="3172" w:type="dxa"/>
            <w:vMerge/>
            <w:vAlign w:val="center"/>
          </w:tcPr>
          <w:p w14:paraId="3A4DEA2D" w14:textId="77777777" w:rsidR="0056738E" w:rsidRPr="00A20BBC" w:rsidRDefault="0056738E" w:rsidP="007C2AEE">
            <w:pPr>
              <w:pStyle w:val="BodyTextIndent"/>
              <w:shd w:val="clear" w:color="auto" w:fill="FFFFFF"/>
              <w:tabs>
                <w:tab w:val="left" w:pos="284"/>
              </w:tabs>
              <w:spacing w:after="0" w:line="240" w:lineRule="auto"/>
              <w:ind w:left="0"/>
              <w:rPr>
                <w:rFonts w:ascii="Arial" w:hAnsi="Arial" w:cs="Arial"/>
                <w:b/>
                <w:sz w:val="14"/>
                <w:szCs w:val="14"/>
                <w:lang w:val="el-GR"/>
              </w:rPr>
            </w:pPr>
          </w:p>
        </w:tc>
        <w:tc>
          <w:tcPr>
            <w:tcW w:w="1501" w:type="dxa"/>
            <w:shd w:val="clear" w:color="auto" w:fill="FFFFFF"/>
            <w:vAlign w:val="center"/>
          </w:tcPr>
          <w:p w14:paraId="5A1D9B76"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rPr>
            </w:pPr>
            <w:r w:rsidRPr="00A20BBC">
              <w:rPr>
                <w:rFonts w:ascii="Arial" w:hAnsi="Arial" w:cs="Arial"/>
                <w:b/>
                <w:bCs/>
                <w:color w:val="262626"/>
                <w:sz w:val="14"/>
                <w:szCs w:val="14"/>
              </w:rPr>
              <w:t>€000</w:t>
            </w:r>
          </w:p>
        </w:tc>
        <w:tc>
          <w:tcPr>
            <w:tcW w:w="1416" w:type="dxa"/>
            <w:shd w:val="clear" w:color="auto" w:fill="FFFFFF"/>
            <w:vAlign w:val="center"/>
          </w:tcPr>
          <w:p w14:paraId="3CE1D2E9"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rPr>
            </w:pPr>
            <w:r w:rsidRPr="00A20BBC">
              <w:rPr>
                <w:rFonts w:ascii="Arial" w:hAnsi="Arial" w:cs="Arial"/>
                <w:b/>
                <w:bCs/>
                <w:color w:val="262626"/>
                <w:sz w:val="14"/>
                <w:szCs w:val="14"/>
              </w:rPr>
              <w:t>€000</w:t>
            </w:r>
          </w:p>
        </w:tc>
        <w:tc>
          <w:tcPr>
            <w:tcW w:w="1410" w:type="dxa"/>
            <w:shd w:val="clear" w:color="auto" w:fill="auto"/>
            <w:vAlign w:val="center"/>
          </w:tcPr>
          <w:p w14:paraId="3E6514B4"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rPr>
            </w:pPr>
            <w:r w:rsidRPr="00A20BBC">
              <w:rPr>
                <w:rFonts w:ascii="Arial" w:hAnsi="Arial" w:cs="Arial"/>
                <w:b/>
                <w:bCs/>
                <w:color w:val="262626"/>
                <w:sz w:val="14"/>
                <w:szCs w:val="14"/>
              </w:rPr>
              <w:t>€000</w:t>
            </w:r>
          </w:p>
        </w:tc>
        <w:tc>
          <w:tcPr>
            <w:tcW w:w="1409" w:type="dxa"/>
            <w:shd w:val="clear" w:color="auto" w:fill="auto"/>
            <w:vAlign w:val="center"/>
          </w:tcPr>
          <w:p w14:paraId="46D811FC"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rPr>
            </w:pPr>
            <w:r w:rsidRPr="00A20BBC">
              <w:rPr>
                <w:rFonts w:ascii="Arial" w:hAnsi="Arial" w:cs="Arial"/>
                <w:b/>
                <w:bCs/>
                <w:color w:val="262626"/>
                <w:sz w:val="14"/>
                <w:szCs w:val="14"/>
              </w:rPr>
              <w:t>€000</w:t>
            </w:r>
          </w:p>
        </w:tc>
        <w:tc>
          <w:tcPr>
            <w:tcW w:w="1835" w:type="dxa"/>
            <w:shd w:val="clear" w:color="auto" w:fill="auto"/>
            <w:vAlign w:val="center"/>
          </w:tcPr>
          <w:p w14:paraId="6A36CD28"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rPr>
            </w:pPr>
            <w:r w:rsidRPr="00A20BBC">
              <w:rPr>
                <w:rFonts w:ascii="Arial" w:hAnsi="Arial" w:cs="Arial"/>
                <w:b/>
                <w:bCs/>
                <w:color w:val="262626"/>
                <w:sz w:val="14"/>
                <w:szCs w:val="14"/>
              </w:rPr>
              <w:t>€000</w:t>
            </w:r>
          </w:p>
        </w:tc>
        <w:tc>
          <w:tcPr>
            <w:tcW w:w="1409" w:type="dxa"/>
            <w:shd w:val="clear" w:color="auto" w:fill="auto"/>
            <w:vAlign w:val="center"/>
          </w:tcPr>
          <w:p w14:paraId="536964DA"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rPr>
            </w:pPr>
            <w:r w:rsidRPr="00A20BBC">
              <w:rPr>
                <w:rFonts w:ascii="Arial" w:hAnsi="Arial" w:cs="Arial"/>
                <w:b/>
                <w:bCs/>
                <w:color w:val="262626"/>
                <w:sz w:val="14"/>
                <w:szCs w:val="14"/>
              </w:rPr>
              <w:t>€000</w:t>
            </w:r>
          </w:p>
        </w:tc>
        <w:tc>
          <w:tcPr>
            <w:tcW w:w="1410" w:type="dxa"/>
            <w:shd w:val="clear" w:color="auto" w:fill="auto"/>
            <w:vAlign w:val="center"/>
          </w:tcPr>
          <w:p w14:paraId="0D4ED990"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rPr>
            </w:pPr>
            <w:r w:rsidRPr="00A20BBC">
              <w:rPr>
                <w:rFonts w:ascii="Arial" w:hAnsi="Arial" w:cs="Arial"/>
                <w:b/>
                <w:bCs/>
                <w:color w:val="262626"/>
                <w:sz w:val="14"/>
                <w:szCs w:val="14"/>
              </w:rPr>
              <w:t>€000</w:t>
            </w:r>
          </w:p>
        </w:tc>
        <w:tc>
          <w:tcPr>
            <w:tcW w:w="1408" w:type="dxa"/>
            <w:shd w:val="clear" w:color="auto" w:fill="auto"/>
            <w:vAlign w:val="center"/>
          </w:tcPr>
          <w:p w14:paraId="24FD1F0A" w14:textId="77777777" w:rsidR="0056738E" w:rsidRPr="00A20BBC" w:rsidRDefault="0056738E" w:rsidP="007C2AEE">
            <w:pPr>
              <w:shd w:val="clear" w:color="auto" w:fill="FFFFFF"/>
              <w:tabs>
                <w:tab w:val="right" w:pos="7560"/>
                <w:tab w:val="right" w:pos="9000"/>
              </w:tabs>
              <w:suppressAutoHyphens/>
              <w:spacing w:after="0" w:line="240" w:lineRule="auto"/>
              <w:jc w:val="center"/>
              <w:rPr>
                <w:rFonts w:ascii="Arial" w:hAnsi="Arial" w:cs="Arial"/>
                <w:b/>
                <w:bCs/>
                <w:color w:val="262626"/>
                <w:sz w:val="14"/>
                <w:szCs w:val="14"/>
              </w:rPr>
            </w:pPr>
            <w:r w:rsidRPr="00A20BBC">
              <w:rPr>
                <w:rFonts w:ascii="Arial" w:hAnsi="Arial" w:cs="Arial"/>
                <w:b/>
                <w:bCs/>
                <w:color w:val="262626"/>
                <w:sz w:val="14"/>
                <w:szCs w:val="14"/>
              </w:rPr>
              <w:t>€000</w:t>
            </w:r>
          </w:p>
        </w:tc>
      </w:tr>
      <w:tr w:rsidR="0056738E" w:rsidRPr="007C2AEE" w14:paraId="31D16211" w14:textId="77777777" w:rsidTr="007C2AEE">
        <w:trPr>
          <w:trHeight w:val="227"/>
          <w:jc w:val="center"/>
        </w:trPr>
        <w:tc>
          <w:tcPr>
            <w:tcW w:w="3172" w:type="dxa"/>
            <w:vAlign w:val="center"/>
          </w:tcPr>
          <w:p w14:paraId="17C7B233" w14:textId="77777777" w:rsidR="0056738E" w:rsidRPr="00A20BBC" w:rsidRDefault="0056738E" w:rsidP="007C2AEE">
            <w:pPr>
              <w:pStyle w:val="BodyTextIndent"/>
              <w:shd w:val="clear" w:color="auto" w:fill="FFFFFF"/>
              <w:tabs>
                <w:tab w:val="left" w:pos="284"/>
              </w:tabs>
              <w:spacing w:after="0" w:line="240" w:lineRule="auto"/>
              <w:ind w:left="0"/>
              <w:rPr>
                <w:rFonts w:ascii="Arial" w:hAnsi="Arial" w:cs="Arial"/>
                <w:b/>
                <w:color w:val="262626"/>
                <w:sz w:val="14"/>
                <w:szCs w:val="14"/>
                <w:lang w:val="el-GR"/>
              </w:rPr>
            </w:pPr>
            <w:r w:rsidRPr="00A20BBC">
              <w:rPr>
                <w:rFonts w:ascii="Arial" w:hAnsi="Arial" w:cs="Arial"/>
                <w:b/>
                <w:color w:val="262626"/>
                <w:sz w:val="14"/>
                <w:szCs w:val="14"/>
                <w:lang w:val="el-GR"/>
              </w:rPr>
              <w:t>Δάνεια και απαιτήσεις από πελάτες</w:t>
            </w:r>
          </w:p>
        </w:tc>
        <w:tc>
          <w:tcPr>
            <w:tcW w:w="1501" w:type="dxa"/>
            <w:shd w:val="clear" w:color="auto" w:fill="auto"/>
            <w:vAlign w:val="center"/>
          </w:tcPr>
          <w:p w14:paraId="630C01A0"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p>
        </w:tc>
        <w:tc>
          <w:tcPr>
            <w:tcW w:w="1416" w:type="dxa"/>
            <w:shd w:val="clear" w:color="auto" w:fill="auto"/>
            <w:vAlign w:val="center"/>
          </w:tcPr>
          <w:p w14:paraId="5EA752AE"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4"/>
                <w:szCs w:val="14"/>
                <w:lang w:val="el-GR" w:eastAsia="en-US"/>
              </w:rPr>
            </w:pPr>
          </w:p>
        </w:tc>
        <w:tc>
          <w:tcPr>
            <w:tcW w:w="1410" w:type="dxa"/>
            <w:shd w:val="clear" w:color="auto" w:fill="auto"/>
            <w:vAlign w:val="center"/>
          </w:tcPr>
          <w:p w14:paraId="541BCB34"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4"/>
                <w:szCs w:val="14"/>
                <w:lang w:val="el-GR" w:eastAsia="en-US"/>
              </w:rPr>
            </w:pPr>
          </w:p>
        </w:tc>
        <w:tc>
          <w:tcPr>
            <w:tcW w:w="1409" w:type="dxa"/>
            <w:shd w:val="clear" w:color="auto" w:fill="auto"/>
            <w:vAlign w:val="center"/>
          </w:tcPr>
          <w:p w14:paraId="494F7C9B"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4"/>
                <w:szCs w:val="14"/>
                <w:lang w:val="el-GR" w:eastAsia="en-US"/>
              </w:rPr>
            </w:pPr>
          </w:p>
        </w:tc>
        <w:tc>
          <w:tcPr>
            <w:tcW w:w="1835" w:type="dxa"/>
            <w:shd w:val="clear" w:color="auto" w:fill="auto"/>
            <w:vAlign w:val="center"/>
          </w:tcPr>
          <w:p w14:paraId="096C23AC"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p>
        </w:tc>
        <w:tc>
          <w:tcPr>
            <w:tcW w:w="1409" w:type="dxa"/>
            <w:shd w:val="clear" w:color="auto" w:fill="auto"/>
            <w:vAlign w:val="center"/>
          </w:tcPr>
          <w:p w14:paraId="14A13D67"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4"/>
                <w:szCs w:val="14"/>
                <w:lang w:val="el-GR" w:eastAsia="en-US"/>
              </w:rPr>
            </w:pPr>
          </w:p>
        </w:tc>
        <w:tc>
          <w:tcPr>
            <w:tcW w:w="1410" w:type="dxa"/>
            <w:shd w:val="clear" w:color="auto" w:fill="auto"/>
            <w:vAlign w:val="center"/>
          </w:tcPr>
          <w:p w14:paraId="08BD4993"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4"/>
                <w:szCs w:val="14"/>
                <w:lang w:val="el-GR" w:eastAsia="en-US"/>
              </w:rPr>
            </w:pPr>
          </w:p>
        </w:tc>
        <w:tc>
          <w:tcPr>
            <w:tcW w:w="1408" w:type="dxa"/>
            <w:shd w:val="clear" w:color="auto" w:fill="auto"/>
            <w:vAlign w:val="center"/>
          </w:tcPr>
          <w:p w14:paraId="60BC45DF"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Cs/>
                <w:color w:val="262626"/>
                <w:sz w:val="14"/>
                <w:szCs w:val="14"/>
                <w:lang w:val="el-GR" w:eastAsia="en-US"/>
              </w:rPr>
            </w:pPr>
          </w:p>
        </w:tc>
      </w:tr>
      <w:tr w:rsidR="0056738E" w:rsidRPr="00A20BBC" w14:paraId="55EBA110" w14:textId="77777777" w:rsidTr="007C2AEE">
        <w:trPr>
          <w:trHeight w:val="227"/>
          <w:jc w:val="center"/>
        </w:trPr>
        <w:tc>
          <w:tcPr>
            <w:tcW w:w="3172" w:type="dxa"/>
            <w:vAlign w:val="center"/>
          </w:tcPr>
          <w:p w14:paraId="48ABE8C9" w14:textId="77777777" w:rsidR="0056738E" w:rsidRPr="00A20BBC" w:rsidRDefault="0056738E" w:rsidP="007C2AEE">
            <w:pPr>
              <w:pStyle w:val="BodyTextIndent"/>
              <w:shd w:val="clear" w:color="auto" w:fill="FFFFFF"/>
              <w:tabs>
                <w:tab w:val="left" w:pos="284"/>
              </w:tabs>
              <w:spacing w:after="0" w:line="240" w:lineRule="auto"/>
              <w:ind w:left="0"/>
              <w:rPr>
                <w:rFonts w:ascii="Arial" w:hAnsi="Arial" w:cs="Arial"/>
                <w:b/>
                <w:sz w:val="14"/>
                <w:szCs w:val="14"/>
              </w:rPr>
            </w:pPr>
            <w:proofErr w:type="spellStart"/>
            <w:r w:rsidRPr="00A20BBC">
              <w:rPr>
                <w:rFonts w:ascii="Arial" w:hAnsi="Arial" w:cs="Arial"/>
                <w:b/>
                <w:color w:val="262626"/>
                <w:sz w:val="14"/>
                <w:szCs w:val="14"/>
              </w:rPr>
              <w:t>Γενικές</w:t>
            </w:r>
            <w:proofErr w:type="spellEnd"/>
            <w:r w:rsidRPr="00A20BBC">
              <w:rPr>
                <w:rFonts w:ascii="Arial" w:hAnsi="Arial" w:cs="Arial"/>
                <w:b/>
                <w:color w:val="262626"/>
                <w:sz w:val="14"/>
                <w:szCs w:val="14"/>
              </w:rPr>
              <w:t xml:space="preserve"> </w:t>
            </w:r>
            <w:proofErr w:type="spellStart"/>
            <w:r w:rsidRPr="00A20BBC">
              <w:rPr>
                <w:rFonts w:ascii="Arial" w:hAnsi="Arial" w:cs="Arial"/>
                <w:b/>
                <w:color w:val="262626"/>
                <w:sz w:val="14"/>
                <w:szCs w:val="14"/>
              </w:rPr>
              <w:t>κυ</w:t>
            </w:r>
            <w:proofErr w:type="spellEnd"/>
            <w:r w:rsidRPr="00A20BBC">
              <w:rPr>
                <w:rFonts w:ascii="Arial" w:hAnsi="Arial" w:cs="Arial"/>
                <w:b/>
                <w:color w:val="262626"/>
                <w:sz w:val="14"/>
                <w:szCs w:val="14"/>
              </w:rPr>
              <w:t>βερνήσεις</w:t>
            </w:r>
          </w:p>
        </w:tc>
        <w:tc>
          <w:tcPr>
            <w:tcW w:w="1501" w:type="dxa"/>
            <w:shd w:val="clear" w:color="auto" w:fill="auto"/>
            <w:vAlign w:val="center"/>
          </w:tcPr>
          <w:p w14:paraId="060E5338"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eastAsia="en-US"/>
              </w:rPr>
            </w:pPr>
            <w:r w:rsidRPr="00A03828">
              <w:rPr>
                <w:rFonts w:ascii="Arial" w:eastAsia="Batang" w:hAnsi="Arial" w:cs="Arial"/>
                <w:color w:val="262626"/>
                <w:sz w:val="14"/>
                <w:szCs w:val="14"/>
              </w:rPr>
              <w:t>35,249</w:t>
            </w:r>
          </w:p>
        </w:tc>
        <w:tc>
          <w:tcPr>
            <w:tcW w:w="1416" w:type="dxa"/>
            <w:shd w:val="clear" w:color="auto" w:fill="auto"/>
            <w:vAlign w:val="center"/>
          </w:tcPr>
          <w:p w14:paraId="6E9B49E8"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eastAsia="en-US"/>
              </w:rPr>
            </w:pPr>
            <w:r w:rsidRPr="00A03828">
              <w:rPr>
                <w:rFonts w:ascii="Arial" w:eastAsia="Batang" w:hAnsi="Arial" w:cs="Arial"/>
                <w:color w:val="262626"/>
                <w:sz w:val="14"/>
                <w:szCs w:val="14"/>
              </w:rPr>
              <w:t>-</w:t>
            </w:r>
          </w:p>
        </w:tc>
        <w:tc>
          <w:tcPr>
            <w:tcW w:w="1410" w:type="dxa"/>
            <w:shd w:val="clear" w:color="auto" w:fill="auto"/>
            <w:vAlign w:val="center"/>
          </w:tcPr>
          <w:p w14:paraId="566F3CD2"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eastAsia="en-US"/>
              </w:rPr>
            </w:pPr>
            <w:r w:rsidRPr="00A03828">
              <w:rPr>
                <w:rFonts w:ascii="Arial" w:eastAsia="Batang" w:hAnsi="Arial" w:cs="Arial"/>
                <w:color w:val="262626"/>
                <w:sz w:val="14"/>
                <w:szCs w:val="14"/>
              </w:rPr>
              <w:t>-</w:t>
            </w:r>
          </w:p>
        </w:tc>
        <w:tc>
          <w:tcPr>
            <w:tcW w:w="1409" w:type="dxa"/>
            <w:shd w:val="clear" w:color="auto" w:fill="auto"/>
            <w:vAlign w:val="center"/>
          </w:tcPr>
          <w:p w14:paraId="047D21BB"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eastAsia="en-US"/>
              </w:rPr>
            </w:pPr>
            <w:r w:rsidRPr="00A03828">
              <w:rPr>
                <w:rFonts w:ascii="Arial" w:eastAsia="Batang" w:hAnsi="Arial" w:cs="Arial"/>
                <w:color w:val="262626"/>
                <w:sz w:val="14"/>
                <w:szCs w:val="14"/>
              </w:rPr>
              <w:t>-</w:t>
            </w:r>
          </w:p>
        </w:tc>
        <w:tc>
          <w:tcPr>
            <w:tcW w:w="1835" w:type="dxa"/>
            <w:shd w:val="clear" w:color="auto" w:fill="auto"/>
            <w:vAlign w:val="center"/>
          </w:tcPr>
          <w:p w14:paraId="4F83A374"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eastAsia="en-US"/>
              </w:rPr>
            </w:pPr>
            <w:r w:rsidRPr="00A03828">
              <w:rPr>
                <w:rFonts w:ascii="Arial" w:eastAsia="Batang" w:hAnsi="Arial" w:cs="Arial"/>
                <w:color w:val="262626"/>
                <w:sz w:val="14"/>
                <w:szCs w:val="14"/>
              </w:rPr>
              <w:t>6</w:t>
            </w:r>
          </w:p>
        </w:tc>
        <w:tc>
          <w:tcPr>
            <w:tcW w:w="1409" w:type="dxa"/>
            <w:shd w:val="clear" w:color="auto" w:fill="auto"/>
            <w:vAlign w:val="center"/>
          </w:tcPr>
          <w:p w14:paraId="08226C8A"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eastAsia="en-US"/>
              </w:rPr>
            </w:pPr>
            <w:r w:rsidRPr="00A03828">
              <w:rPr>
                <w:rFonts w:ascii="Arial" w:eastAsia="Batang" w:hAnsi="Arial" w:cs="Arial"/>
                <w:color w:val="262626"/>
                <w:sz w:val="14"/>
                <w:szCs w:val="14"/>
              </w:rPr>
              <w:t>-</w:t>
            </w:r>
          </w:p>
        </w:tc>
        <w:tc>
          <w:tcPr>
            <w:tcW w:w="1410" w:type="dxa"/>
            <w:shd w:val="clear" w:color="auto" w:fill="auto"/>
            <w:vAlign w:val="center"/>
          </w:tcPr>
          <w:p w14:paraId="2BAAA3FB"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eastAsia="en-US"/>
              </w:rPr>
            </w:pPr>
            <w:r w:rsidRPr="00A03828">
              <w:rPr>
                <w:rFonts w:ascii="Arial" w:eastAsia="Batang" w:hAnsi="Arial" w:cs="Arial"/>
                <w:color w:val="262626"/>
                <w:sz w:val="14"/>
                <w:szCs w:val="14"/>
              </w:rPr>
              <w:t>-</w:t>
            </w:r>
          </w:p>
        </w:tc>
        <w:tc>
          <w:tcPr>
            <w:tcW w:w="1408" w:type="dxa"/>
            <w:shd w:val="clear" w:color="auto" w:fill="auto"/>
            <w:vAlign w:val="center"/>
          </w:tcPr>
          <w:p w14:paraId="4C61905A"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eastAsia="en-US"/>
              </w:rPr>
            </w:pPr>
            <w:r w:rsidRPr="00A03828">
              <w:rPr>
                <w:rFonts w:ascii="Arial" w:eastAsia="Batang" w:hAnsi="Arial" w:cs="Arial"/>
                <w:color w:val="262626"/>
                <w:sz w:val="14"/>
                <w:szCs w:val="14"/>
              </w:rPr>
              <w:t>-</w:t>
            </w:r>
          </w:p>
        </w:tc>
      </w:tr>
      <w:tr w:rsidR="0056738E" w:rsidRPr="00A20BBC" w14:paraId="6C180252" w14:textId="77777777" w:rsidTr="007C2AEE">
        <w:trPr>
          <w:trHeight w:val="227"/>
          <w:jc w:val="center"/>
        </w:trPr>
        <w:tc>
          <w:tcPr>
            <w:tcW w:w="3172" w:type="dxa"/>
            <w:shd w:val="clear" w:color="auto" w:fill="auto"/>
            <w:vAlign w:val="center"/>
          </w:tcPr>
          <w:p w14:paraId="4B8ED0E2" w14:textId="77777777" w:rsidR="0056738E" w:rsidRPr="00A20BBC" w:rsidRDefault="0056738E" w:rsidP="007C2AEE">
            <w:pPr>
              <w:pStyle w:val="BodyTextIndent"/>
              <w:shd w:val="clear" w:color="auto" w:fill="FFFFFF"/>
              <w:tabs>
                <w:tab w:val="left" w:pos="284"/>
              </w:tabs>
              <w:spacing w:after="0" w:line="240" w:lineRule="auto"/>
              <w:ind w:left="0"/>
              <w:rPr>
                <w:rFonts w:ascii="Arial" w:hAnsi="Arial" w:cs="Arial"/>
                <w:b/>
                <w:sz w:val="14"/>
                <w:szCs w:val="14"/>
              </w:rPr>
            </w:pPr>
            <w:proofErr w:type="spellStart"/>
            <w:r w:rsidRPr="00A20BBC">
              <w:rPr>
                <w:rFonts w:ascii="Arial" w:hAnsi="Arial" w:cs="Arial"/>
                <w:b/>
                <w:color w:val="262626"/>
                <w:sz w:val="14"/>
                <w:szCs w:val="14"/>
              </w:rPr>
              <w:t>Άλλες</w:t>
            </w:r>
            <w:proofErr w:type="spellEnd"/>
            <w:r w:rsidRPr="00A20BBC">
              <w:rPr>
                <w:rFonts w:ascii="Arial" w:hAnsi="Arial" w:cs="Arial"/>
                <w:b/>
                <w:color w:val="262626"/>
                <w:sz w:val="14"/>
                <w:szCs w:val="14"/>
              </w:rPr>
              <w:t xml:space="preserve"> </w:t>
            </w:r>
            <w:proofErr w:type="spellStart"/>
            <w:r w:rsidRPr="00A20BBC">
              <w:rPr>
                <w:rFonts w:ascii="Arial" w:hAnsi="Arial" w:cs="Arial"/>
                <w:b/>
                <w:color w:val="262626"/>
                <w:sz w:val="14"/>
                <w:szCs w:val="14"/>
              </w:rPr>
              <w:t>χρημ</w:t>
            </w:r>
            <w:proofErr w:type="spellEnd"/>
            <w:r w:rsidRPr="00A20BBC">
              <w:rPr>
                <w:rFonts w:ascii="Arial" w:hAnsi="Arial" w:cs="Arial"/>
                <w:b/>
                <w:color w:val="262626"/>
                <w:sz w:val="14"/>
                <w:szCs w:val="14"/>
              </w:rPr>
              <w:t>ατοπιστωτικές επ</w:t>
            </w:r>
            <w:proofErr w:type="spellStart"/>
            <w:r w:rsidRPr="00A20BBC">
              <w:rPr>
                <w:rFonts w:ascii="Arial" w:hAnsi="Arial" w:cs="Arial"/>
                <w:b/>
                <w:color w:val="262626"/>
                <w:sz w:val="14"/>
                <w:szCs w:val="14"/>
              </w:rPr>
              <w:t>ιχειρήσεις</w:t>
            </w:r>
            <w:proofErr w:type="spellEnd"/>
          </w:p>
        </w:tc>
        <w:tc>
          <w:tcPr>
            <w:tcW w:w="1501" w:type="dxa"/>
            <w:shd w:val="clear" w:color="auto" w:fill="auto"/>
            <w:vAlign w:val="center"/>
          </w:tcPr>
          <w:p w14:paraId="40F0416C"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253,077</w:t>
            </w:r>
          </w:p>
        </w:tc>
        <w:tc>
          <w:tcPr>
            <w:tcW w:w="1416" w:type="dxa"/>
            <w:shd w:val="clear" w:color="auto" w:fill="auto"/>
            <w:vAlign w:val="center"/>
          </w:tcPr>
          <w:p w14:paraId="5C0AA579"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805</w:t>
            </w:r>
          </w:p>
        </w:tc>
        <w:tc>
          <w:tcPr>
            <w:tcW w:w="1410" w:type="dxa"/>
            <w:shd w:val="clear" w:color="auto" w:fill="auto"/>
            <w:vAlign w:val="center"/>
          </w:tcPr>
          <w:p w14:paraId="1F7AF99C"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1,201</w:t>
            </w:r>
          </w:p>
        </w:tc>
        <w:tc>
          <w:tcPr>
            <w:tcW w:w="1409" w:type="dxa"/>
            <w:shd w:val="clear" w:color="auto" w:fill="auto"/>
            <w:vAlign w:val="center"/>
          </w:tcPr>
          <w:p w14:paraId="4BC6A9AB"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448</w:t>
            </w:r>
          </w:p>
        </w:tc>
        <w:tc>
          <w:tcPr>
            <w:tcW w:w="1835" w:type="dxa"/>
            <w:shd w:val="clear" w:color="auto" w:fill="auto"/>
            <w:vAlign w:val="center"/>
          </w:tcPr>
          <w:p w14:paraId="1F67D05A"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4,247</w:t>
            </w:r>
          </w:p>
        </w:tc>
        <w:tc>
          <w:tcPr>
            <w:tcW w:w="1409" w:type="dxa"/>
            <w:shd w:val="clear" w:color="auto" w:fill="auto"/>
            <w:vAlign w:val="center"/>
          </w:tcPr>
          <w:p w14:paraId="6CB0CE41"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378</w:t>
            </w:r>
          </w:p>
        </w:tc>
        <w:tc>
          <w:tcPr>
            <w:tcW w:w="1410" w:type="dxa"/>
            <w:shd w:val="clear" w:color="auto" w:fill="auto"/>
            <w:vAlign w:val="center"/>
          </w:tcPr>
          <w:p w14:paraId="55E59158"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308</w:t>
            </w:r>
          </w:p>
        </w:tc>
        <w:tc>
          <w:tcPr>
            <w:tcW w:w="1408" w:type="dxa"/>
            <w:shd w:val="clear" w:color="auto" w:fill="auto"/>
            <w:vAlign w:val="center"/>
          </w:tcPr>
          <w:p w14:paraId="6305AF03"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305</w:t>
            </w:r>
          </w:p>
        </w:tc>
      </w:tr>
      <w:tr w:rsidR="0056738E" w:rsidRPr="00A20BBC" w14:paraId="1FCA35FF" w14:textId="77777777" w:rsidTr="007C2AEE">
        <w:trPr>
          <w:trHeight w:val="227"/>
          <w:jc w:val="center"/>
        </w:trPr>
        <w:tc>
          <w:tcPr>
            <w:tcW w:w="3172" w:type="dxa"/>
            <w:vAlign w:val="center"/>
          </w:tcPr>
          <w:p w14:paraId="701DE3C5" w14:textId="77777777" w:rsidR="0056738E" w:rsidRPr="00A20BBC" w:rsidRDefault="0056738E" w:rsidP="007C2AEE">
            <w:pPr>
              <w:pStyle w:val="BodyTextIndent"/>
              <w:shd w:val="clear" w:color="auto" w:fill="FFFFFF"/>
              <w:tabs>
                <w:tab w:val="left" w:pos="284"/>
              </w:tabs>
              <w:spacing w:after="0" w:line="240" w:lineRule="auto"/>
              <w:ind w:left="0"/>
              <w:rPr>
                <w:rFonts w:ascii="Arial" w:hAnsi="Arial" w:cs="Arial"/>
                <w:b/>
                <w:sz w:val="14"/>
                <w:szCs w:val="14"/>
              </w:rPr>
            </w:pPr>
            <w:proofErr w:type="spellStart"/>
            <w:r w:rsidRPr="00A20BBC">
              <w:rPr>
                <w:rFonts w:ascii="Arial" w:hAnsi="Arial" w:cs="Arial"/>
                <w:b/>
                <w:color w:val="262626"/>
                <w:sz w:val="14"/>
                <w:szCs w:val="14"/>
              </w:rPr>
              <w:t>Μη</w:t>
            </w:r>
            <w:proofErr w:type="spellEnd"/>
            <w:r w:rsidRPr="00A20BBC">
              <w:rPr>
                <w:rFonts w:ascii="Arial" w:hAnsi="Arial" w:cs="Arial"/>
                <w:b/>
                <w:color w:val="262626"/>
                <w:sz w:val="14"/>
                <w:szCs w:val="14"/>
                <w:lang w:val="el-GR"/>
              </w:rPr>
              <w:t>-</w:t>
            </w:r>
            <w:proofErr w:type="spellStart"/>
            <w:r w:rsidRPr="00A20BBC">
              <w:rPr>
                <w:rFonts w:ascii="Arial" w:hAnsi="Arial" w:cs="Arial"/>
                <w:b/>
                <w:color w:val="262626"/>
                <w:sz w:val="14"/>
                <w:szCs w:val="14"/>
              </w:rPr>
              <w:t>χρημ</w:t>
            </w:r>
            <w:proofErr w:type="spellEnd"/>
            <w:r w:rsidRPr="00A20BBC">
              <w:rPr>
                <w:rFonts w:ascii="Arial" w:hAnsi="Arial" w:cs="Arial"/>
                <w:b/>
                <w:color w:val="262626"/>
                <w:sz w:val="14"/>
                <w:szCs w:val="14"/>
              </w:rPr>
              <w:t>ατοπιστωτικές επ</w:t>
            </w:r>
            <w:proofErr w:type="spellStart"/>
            <w:r w:rsidRPr="00A20BBC">
              <w:rPr>
                <w:rFonts w:ascii="Arial" w:hAnsi="Arial" w:cs="Arial"/>
                <w:b/>
                <w:color w:val="262626"/>
                <w:sz w:val="14"/>
                <w:szCs w:val="14"/>
              </w:rPr>
              <w:t>ιχειρήσεις</w:t>
            </w:r>
            <w:proofErr w:type="spellEnd"/>
          </w:p>
        </w:tc>
        <w:tc>
          <w:tcPr>
            <w:tcW w:w="1501" w:type="dxa"/>
            <w:shd w:val="clear" w:color="auto" w:fill="auto"/>
            <w:vAlign w:val="center"/>
          </w:tcPr>
          <w:p w14:paraId="45B7F0A1"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lang w:val="en-US"/>
              </w:rPr>
              <w:t>4,931,801</w:t>
            </w:r>
          </w:p>
        </w:tc>
        <w:tc>
          <w:tcPr>
            <w:tcW w:w="1416" w:type="dxa"/>
            <w:shd w:val="clear" w:color="auto" w:fill="auto"/>
            <w:vAlign w:val="center"/>
          </w:tcPr>
          <w:p w14:paraId="3C973844"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155,212</w:t>
            </w:r>
          </w:p>
        </w:tc>
        <w:tc>
          <w:tcPr>
            <w:tcW w:w="1410" w:type="dxa"/>
            <w:shd w:val="clear" w:color="auto" w:fill="auto"/>
            <w:vAlign w:val="center"/>
          </w:tcPr>
          <w:p w14:paraId="10565223"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258,469</w:t>
            </w:r>
          </w:p>
        </w:tc>
        <w:tc>
          <w:tcPr>
            <w:tcW w:w="1409" w:type="dxa"/>
            <w:shd w:val="clear" w:color="auto" w:fill="auto"/>
            <w:vAlign w:val="center"/>
          </w:tcPr>
          <w:p w14:paraId="5A99BC7D"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95,156</w:t>
            </w:r>
          </w:p>
        </w:tc>
        <w:tc>
          <w:tcPr>
            <w:tcW w:w="1835" w:type="dxa"/>
            <w:shd w:val="clear" w:color="auto" w:fill="auto"/>
            <w:vAlign w:val="center"/>
          </w:tcPr>
          <w:p w14:paraId="56E0F4F4"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lang w:val="en-US"/>
              </w:rPr>
              <w:t>91,640</w:t>
            </w:r>
          </w:p>
        </w:tc>
        <w:tc>
          <w:tcPr>
            <w:tcW w:w="1409" w:type="dxa"/>
            <w:shd w:val="clear" w:color="auto" w:fill="auto"/>
            <w:vAlign w:val="center"/>
          </w:tcPr>
          <w:p w14:paraId="0F2223EA"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61,097</w:t>
            </w:r>
          </w:p>
        </w:tc>
        <w:tc>
          <w:tcPr>
            <w:tcW w:w="1410" w:type="dxa"/>
            <w:shd w:val="clear" w:color="auto" w:fill="auto"/>
            <w:vAlign w:val="center"/>
          </w:tcPr>
          <w:p w14:paraId="2BC8715F"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37,355</w:t>
            </w:r>
          </w:p>
        </w:tc>
        <w:tc>
          <w:tcPr>
            <w:tcW w:w="1408" w:type="dxa"/>
            <w:shd w:val="clear" w:color="auto" w:fill="auto"/>
            <w:vAlign w:val="center"/>
          </w:tcPr>
          <w:p w14:paraId="43B2072E"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33,472</w:t>
            </w:r>
          </w:p>
        </w:tc>
      </w:tr>
      <w:tr w:rsidR="0056738E" w:rsidRPr="00A20BBC" w14:paraId="69CA8E10" w14:textId="77777777" w:rsidTr="007C2AEE">
        <w:trPr>
          <w:trHeight w:val="227"/>
          <w:jc w:val="center"/>
        </w:trPr>
        <w:tc>
          <w:tcPr>
            <w:tcW w:w="3172" w:type="dxa"/>
            <w:shd w:val="clear" w:color="auto" w:fill="auto"/>
            <w:vAlign w:val="center"/>
          </w:tcPr>
          <w:p w14:paraId="2B8639A6" w14:textId="77777777" w:rsidR="0056738E" w:rsidRPr="00A20BBC" w:rsidRDefault="0056738E" w:rsidP="007C2AEE">
            <w:pPr>
              <w:pStyle w:val="BodyTextIndent"/>
              <w:shd w:val="clear" w:color="auto" w:fill="FFFFFF"/>
              <w:tabs>
                <w:tab w:val="left" w:pos="284"/>
              </w:tabs>
              <w:spacing w:after="0" w:line="240" w:lineRule="auto"/>
              <w:ind w:left="0"/>
              <w:rPr>
                <w:rFonts w:ascii="Arial" w:hAnsi="Arial" w:cs="Arial"/>
                <w:i/>
                <w:sz w:val="14"/>
                <w:szCs w:val="14"/>
                <w:lang w:val="el-GR"/>
              </w:rPr>
            </w:pPr>
            <w:r w:rsidRPr="00A20BBC">
              <w:rPr>
                <w:rFonts w:ascii="Arial" w:hAnsi="Arial" w:cs="Arial"/>
                <w:i/>
                <w:color w:val="262626"/>
                <w:sz w:val="14"/>
                <w:szCs w:val="14"/>
                <w:lang w:val="el-GR"/>
              </w:rPr>
              <w:t>Από τις οποίες: Μικρομεσαίες επιχειρήσεις</w:t>
            </w:r>
            <w:r w:rsidRPr="00A20BBC">
              <w:rPr>
                <w:rFonts w:ascii="Arial" w:hAnsi="Arial" w:cs="Arial"/>
                <w:i/>
                <w:color w:val="262626"/>
                <w:sz w:val="14"/>
                <w:szCs w:val="14"/>
                <w:vertAlign w:val="superscript"/>
                <w:lang w:val="el-GR"/>
              </w:rPr>
              <w:t>3</w:t>
            </w:r>
            <w:r w:rsidRPr="00A20BBC">
              <w:rPr>
                <w:rFonts w:ascii="Arial" w:hAnsi="Arial" w:cs="Arial"/>
                <w:i/>
                <w:sz w:val="14"/>
                <w:szCs w:val="14"/>
                <w:vertAlign w:val="superscript"/>
                <w:lang w:val="el-GR"/>
              </w:rPr>
              <w:t xml:space="preserve"> </w:t>
            </w:r>
          </w:p>
        </w:tc>
        <w:tc>
          <w:tcPr>
            <w:tcW w:w="1501" w:type="dxa"/>
            <w:shd w:val="clear" w:color="auto" w:fill="auto"/>
            <w:vAlign w:val="center"/>
          </w:tcPr>
          <w:p w14:paraId="575E701E"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3,017,909</w:t>
            </w:r>
          </w:p>
        </w:tc>
        <w:tc>
          <w:tcPr>
            <w:tcW w:w="1416" w:type="dxa"/>
            <w:shd w:val="clear" w:color="auto" w:fill="auto"/>
            <w:vAlign w:val="center"/>
          </w:tcPr>
          <w:p w14:paraId="5D000E6E"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125,600</w:t>
            </w:r>
          </w:p>
        </w:tc>
        <w:tc>
          <w:tcPr>
            <w:tcW w:w="1410" w:type="dxa"/>
            <w:shd w:val="clear" w:color="auto" w:fill="auto"/>
            <w:vAlign w:val="center"/>
          </w:tcPr>
          <w:p w14:paraId="66368280"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161,086</w:t>
            </w:r>
          </w:p>
        </w:tc>
        <w:tc>
          <w:tcPr>
            <w:tcW w:w="1409" w:type="dxa"/>
            <w:shd w:val="clear" w:color="auto" w:fill="auto"/>
            <w:vAlign w:val="center"/>
          </w:tcPr>
          <w:p w14:paraId="543961F5"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69,551</w:t>
            </w:r>
          </w:p>
        </w:tc>
        <w:tc>
          <w:tcPr>
            <w:tcW w:w="1835" w:type="dxa"/>
            <w:shd w:val="clear" w:color="auto" w:fill="auto"/>
            <w:vAlign w:val="center"/>
          </w:tcPr>
          <w:p w14:paraId="386FDEB4"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66,104</w:t>
            </w:r>
          </w:p>
        </w:tc>
        <w:tc>
          <w:tcPr>
            <w:tcW w:w="1409" w:type="dxa"/>
            <w:shd w:val="clear" w:color="auto" w:fill="auto"/>
            <w:vAlign w:val="center"/>
          </w:tcPr>
          <w:p w14:paraId="36BF6C0B"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48,370</w:t>
            </w:r>
          </w:p>
        </w:tc>
        <w:tc>
          <w:tcPr>
            <w:tcW w:w="1410" w:type="dxa"/>
            <w:shd w:val="clear" w:color="auto" w:fill="auto"/>
            <w:vAlign w:val="center"/>
          </w:tcPr>
          <w:p w14:paraId="68A0B4DD"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25,743</w:t>
            </w:r>
          </w:p>
        </w:tc>
        <w:tc>
          <w:tcPr>
            <w:tcW w:w="1408" w:type="dxa"/>
            <w:shd w:val="clear" w:color="auto" w:fill="auto"/>
            <w:vAlign w:val="center"/>
          </w:tcPr>
          <w:p w14:paraId="78477E70"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22,814</w:t>
            </w:r>
          </w:p>
        </w:tc>
      </w:tr>
      <w:tr w:rsidR="0056738E" w:rsidRPr="00A20BBC" w14:paraId="311E1FB1" w14:textId="77777777" w:rsidTr="007C2AEE">
        <w:trPr>
          <w:trHeight w:val="227"/>
          <w:jc w:val="center"/>
        </w:trPr>
        <w:tc>
          <w:tcPr>
            <w:tcW w:w="3172" w:type="dxa"/>
            <w:shd w:val="clear" w:color="auto" w:fill="auto"/>
            <w:vAlign w:val="center"/>
          </w:tcPr>
          <w:p w14:paraId="1AB8F3ED" w14:textId="77777777" w:rsidR="0056738E" w:rsidRPr="00A20BBC" w:rsidRDefault="0056738E" w:rsidP="007C2AEE">
            <w:pPr>
              <w:pStyle w:val="BodyTextIndent"/>
              <w:shd w:val="clear" w:color="auto" w:fill="FFFFFF"/>
              <w:tabs>
                <w:tab w:val="left" w:pos="284"/>
              </w:tabs>
              <w:spacing w:after="0" w:line="240" w:lineRule="auto"/>
              <w:ind w:left="0"/>
              <w:rPr>
                <w:rFonts w:ascii="Arial" w:hAnsi="Arial" w:cs="Arial"/>
                <w:i/>
                <w:sz w:val="14"/>
                <w:szCs w:val="14"/>
                <w:lang w:val="el-GR"/>
              </w:rPr>
            </w:pPr>
            <w:r w:rsidRPr="00A20BBC">
              <w:rPr>
                <w:rFonts w:ascii="Arial" w:hAnsi="Arial" w:cs="Arial"/>
                <w:i/>
                <w:color w:val="262626"/>
                <w:sz w:val="14"/>
                <w:szCs w:val="14"/>
                <w:lang w:val="el-GR"/>
              </w:rPr>
              <w:t>Από τις οποίες: Εμπορικών ακινήτων</w:t>
            </w:r>
            <w:r w:rsidRPr="00A20BBC">
              <w:rPr>
                <w:rFonts w:ascii="Arial" w:hAnsi="Arial" w:cs="Arial"/>
                <w:i/>
                <w:color w:val="262626"/>
                <w:sz w:val="14"/>
                <w:szCs w:val="14"/>
                <w:vertAlign w:val="superscript"/>
                <w:lang w:val="el-GR"/>
              </w:rPr>
              <w:t>3</w:t>
            </w:r>
            <w:r w:rsidRPr="00A20BBC">
              <w:rPr>
                <w:rFonts w:ascii="Arial" w:hAnsi="Arial" w:cs="Arial"/>
                <w:i/>
                <w:sz w:val="14"/>
                <w:szCs w:val="14"/>
                <w:vertAlign w:val="superscript"/>
                <w:lang w:val="el-GR"/>
              </w:rPr>
              <w:t xml:space="preserve"> </w:t>
            </w:r>
          </w:p>
        </w:tc>
        <w:tc>
          <w:tcPr>
            <w:tcW w:w="1501" w:type="dxa"/>
            <w:shd w:val="clear" w:color="auto" w:fill="auto"/>
            <w:vAlign w:val="center"/>
          </w:tcPr>
          <w:p w14:paraId="44728518"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3,567,684</w:t>
            </w:r>
          </w:p>
        </w:tc>
        <w:tc>
          <w:tcPr>
            <w:tcW w:w="1416" w:type="dxa"/>
            <w:shd w:val="clear" w:color="auto" w:fill="auto"/>
            <w:vAlign w:val="center"/>
          </w:tcPr>
          <w:p w14:paraId="7868B3D2"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136,152</w:t>
            </w:r>
          </w:p>
        </w:tc>
        <w:tc>
          <w:tcPr>
            <w:tcW w:w="1410" w:type="dxa"/>
            <w:shd w:val="clear" w:color="auto" w:fill="auto"/>
            <w:vAlign w:val="center"/>
          </w:tcPr>
          <w:p w14:paraId="63C771C7"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228,516</w:t>
            </w:r>
          </w:p>
        </w:tc>
        <w:tc>
          <w:tcPr>
            <w:tcW w:w="1409" w:type="dxa"/>
            <w:shd w:val="clear" w:color="auto" w:fill="auto"/>
            <w:vAlign w:val="center"/>
          </w:tcPr>
          <w:p w14:paraId="7564CE1C"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90,842</w:t>
            </w:r>
          </w:p>
        </w:tc>
        <w:tc>
          <w:tcPr>
            <w:tcW w:w="1835" w:type="dxa"/>
            <w:shd w:val="clear" w:color="auto" w:fill="auto"/>
            <w:vAlign w:val="center"/>
          </w:tcPr>
          <w:p w14:paraId="3743FAD0"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66,458</w:t>
            </w:r>
          </w:p>
        </w:tc>
        <w:tc>
          <w:tcPr>
            <w:tcW w:w="1409" w:type="dxa"/>
            <w:shd w:val="clear" w:color="auto" w:fill="auto"/>
            <w:vAlign w:val="center"/>
          </w:tcPr>
          <w:p w14:paraId="45F9D41B"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50,862</w:t>
            </w:r>
          </w:p>
        </w:tc>
        <w:tc>
          <w:tcPr>
            <w:tcW w:w="1410" w:type="dxa"/>
            <w:shd w:val="clear" w:color="auto" w:fill="auto"/>
            <w:vAlign w:val="center"/>
          </w:tcPr>
          <w:p w14:paraId="1C4AE1C8"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33,774</w:t>
            </w:r>
          </w:p>
        </w:tc>
        <w:tc>
          <w:tcPr>
            <w:tcW w:w="1408" w:type="dxa"/>
            <w:shd w:val="clear" w:color="auto" w:fill="auto"/>
            <w:vAlign w:val="center"/>
          </w:tcPr>
          <w:p w14:paraId="7FC4848D"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31,716</w:t>
            </w:r>
          </w:p>
        </w:tc>
      </w:tr>
      <w:tr w:rsidR="0056738E" w:rsidRPr="007C2AEE" w14:paraId="4B435E9A" w14:textId="77777777" w:rsidTr="007C2AEE">
        <w:trPr>
          <w:trHeight w:val="227"/>
          <w:jc w:val="center"/>
        </w:trPr>
        <w:tc>
          <w:tcPr>
            <w:tcW w:w="3172" w:type="dxa"/>
            <w:vAlign w:val="center"/>
          </w:tcPr>
          <w:p w14:paraId="6BB2968D" w14:textId="77777777" w:rsidR="0056738E" w:rsidRPr="00A20BBC" w:rsidRDefault="0056738E" w:rsidP="007C2AEE">
            <w:pPr>
              <w:pStyle w:val="BodyTextIndent"/>
              <w:shd w:val="clear" w:color="auto" w:fill="FFFFFF"/>
              <w:tabs>
                <w:tab w:val="left" w:pos="284"/>
              </w:tabs>
              <w:spacing w:after="0" w:line="240" w:lineRule="auto"/>
              <w:ind w:left="0"/>
              <w:rPr>
                <w:rFonts w:ascii="Arial" w:hAnsi="Arial" w:cs="Arial"/>
                <w:b/>
                <w:i/>
                <w:iCs/>
                <w:sz w:val="14"/>
                <w:szCs w:val="14"/>
                <w:lang w:val="el-GR"/>
              </w:rPr>
            </w:pPr>
            <w:r w:rsidRPr="00A20BBC">
              <w:rPr>
                <w:rFonts w:ascii="Arial" w:hAnsi="Arial" w:cs="Arial"/>
                <w:b/>
                <w:i/>
                <w:iCs/>
                <w:color w:val="262626"/>
                <w:sz w:val="14"/>
                <w:szCs w:val="14"/>
                <w:lang w:val="el-GR"/>
              </w:rPr>
              <w:t>Μη-χρηματοπιστωτικές επιχειρήσεις ανά κλάδο</w:t>
            </w:r>
          </w:p>
        </w:tc>
        <w:tc>
          <w:tcPr>
            <w:tcW w:w="1501" w:type="dxa"/>
            <w:shd w:val="clear" w:color="auto" w:fill="auto"/>
            <w:vAlign w:val="center"/>
          </w:tcPr>
          <w:p w14:paraId="3D46837A"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p>
        </w:tc>
        <w:tc>
          <w:tcPr>
            <w:tcW w:w="1416" w:type="dxa"/>
            <w:shd w:val="clear" w:color="auto" w:fill="auto"/>
            <w:vAlign w:val="center"/>
          </w:tcPr>
          <w:p w14:paraId="552EBAA8"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p>
        </w:tc>
        <w:tc>
          <w:tcPr>
            <w:tcW w:w="1410" w:type="dxa"/>
            <w:shd w:val="clear" w:color="auto" w:fill="auto"/>
            <w:vAlign w:val="center"/>
          </w:tcPr>
          <w:p w14:paraId="7CBBA8FA"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p>
        </w:tc>
        <w:tc>
          <w:tcPr>
            <w:tcW w:w="1409" w:type="dxa"/>
            <w:shd w:val="clear" w:color="auto" w:fill="auto"/>
            <w:vAlign w:val="center"/>
          </w:tcPr>
          <w:p w14:paraId="464E78E1"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p>
        </w:tc>
        <w:tc>
          <w:tcPr>
            <w:tcW w:w="1835" w:type="dxa"/>
            <w:shd w:val="clear" w:color="auto" w:fill="auto"/>
            <w:vAlign w:val="center"/>
          </w:tcPr>
          <w:p w14:paraId="4B802588"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p>
        </w:tc>
        <w:tc>
          <w:tcPr>
            <w:tcW w:w="1409" w:type="dxa"/>
            <w:shd w:val="clear" w:color="auto" w:fill="auto"/>
            <w:vAlign w:val="center"/>
          </w:tcPr>
          <w:p w14:paraId="0E2CAB6D"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p>
        </w:tc>
        <w:tc>
          <w:tcPr>
            <w:tcW w:w="1410" w:type="dxa"/>
            <w:shd w:val="clear" w:color="auto" w:fill="auto"/>
            <w:vAlign w:val="center"/>
          </w:tcPr>
          <w:p w14:paraId="62B91FFB"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p>
        </w:tc>
        <w:tc>
          <w:tcPr>
            <w:tcW w:w="1408" w:type="dxa"/>
            <w:shd w:val="clear" w:color="auto" w:fill="auto"/>
            <w:vAlign w:val="center"/>
          </w:tcPr>
          <w:p w14:paraId="730CC08A"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p>
        </w:tc>
      </w:tr>
      <w:tr w:rsidR="0056738E" w:rsidRPr="00A20BBC" w14:paraId="241A6130" w14:textId="77777777" w:rsidTr="007C2AEE">
        <w:trPr>
          <w:trHeight w:val="227"/>
          <w:jc w:val="center"/>
        </w:trPr>
        <w:tc>
          <w:tcPr>
            <w:tcW w:w="3172" w:type="dxa"/>
            <w:vAlign w:val="center"/>
          </w:tcPr>
          <w:p w14:paraId="72910625" w14:textId="77777777" w:rsidR="0056738E" w:rsidRPr="00A20BBC" w:rsidRDefault="0056738E" w:rsidP="007C2AEE">
            <w:pPr>
              <w:pStyle w:val="BodyTextIndent"/>
              <w:shd w:val="clear" w:color="auto" w:fill="FFFFFF"/>
              <w:tabs>
                <w:tab w:val="left" w:pos="284"/>
              </w:tabs>
              <w:spacing w:after="0" w:line="240" w:lineRule="auto"/>
              <w:ind w:left="0"/>
              <w:rPr>
                <w:rFonts w:ascii="Arial" w:hAnsi="Arial" w:cs="Arial"/>
                <w:i/>
                <w:iCs/>
                <w:sz w:val="14"/>
                <w:szCs w:val="14"/>
              </w:rPr>
            </w:pPr>
            <w:r w:rsidRPr="00A20BBC">
              <w:rPr>
                <w:rFonts w:ascii="Arial" w:hAnsi="Arial" w:cs="Arial"/>
                <w:i/>
                <w:iCs/>
                <w:color w:val="262626"/>
                <w:sz w:val="14"/>
                <w:szCs w:val="14"/>
              </w:rPr>
              <w:t>Κατα</w:t>
            </w:r>
            <w:proofErr w:type="spellStart"/>
            <w:r w:rsidRPr="00A20BBC">
              <w:rPr>
                <w:rFonts w:ascii="Arial" w:hAnsi="Arial" w:cs="Arial"/>
                <w:i/>
                <w:iCs/>
                <w:color w:val="262626"/>
                <w:sz w:val="14"/>
                <w:szCs w:val="14"/>
              </w:rPr>
              <w:t>σκευές</w:t>
            </w:r>
            <w:proofErr w:type="spellEnd"/>
          </w:p>
        </w:tc>
        <w:tc>
          <w:tcPr>
            <w:tcW w:w="1501" w:type="dxa"/>
            <w:shd w:val="clear" w:color="auto" w:fill="auto"/>
            <w:vAlign w:val="center"/>
          </w:tcPr>
          <w:p w14:paraId="40A5AF3B"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r w:rsidRPr="00A03828">
              <w:rPr>
                <w:rFonts w:ascii="Arial" w:eastAsia="Batang" w:hAnsi="Arial" w:cs="Arial"/>
                <w:i/>
                <w:iCs/>
                <w:color w:val="262626"/>
                <w:sz w:val="14"/>
                <w:szCs w:val="14"/>
              </w:rPr>
              <w:t>484,893</w:t>
            </w:r>
          </w:p>
        </w:tc>
        <w:tc>
          <w:tcPr>
            <w:tcW w:w="1416" w:type="dxa"/>
            <w:shd w:val="clear" w:color="auto" w:fill="auto"/>
            <w:vAlign w:val="center"/>
          </w:tcPr>
          <w:p w14:paraId="2F403297"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i/>
                <w:iCs/>
                <w:color w:val="262626"/>
                <w:sz w:val="14"/>
                <w:szCs w:val="14"/>
              </w:rPr>
              <w:t>24,873</w:t>
            </w:r>
          </w:p>
        </w:tc>
        <w:tc>
          <w:tcPr>
            <w:tcW w:w="1410" w:type="dxa"/>
            <w:shd w:val="clear" w:color="auto" w:fill="auto"/>
            <w:vAlign w:val="center"/>
          </w:tcPr>
          <w:p w14:paraId="4CE1A19F" w14:textId="77777777" w:rsidR="0056738E" w:rsidRPr="00A20BBC"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409" w:type="dxa"/>
            <w:shd w:val="clear" w:color="auto" w:fill="auto"/>
            <w:vAlign w:val="center"/>
          </w:tcPr>
          <w:p w14:paraId="070237A4" w14:textId="77777777" w:rsidR="0056738E" w:rsidRPr="00A20BBC"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835" w:type="dxa"/>
            <w:shd w:val="clear" w:color="auto" w:fill="auto"/>
            <w:vAlign w:val="center"/>
          </w:tcPr>
          <w:p w14:paraId="7B1D511C"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i/>
                <w:iCs/>
                <w:sz w:val="14"/>
                <w:szCs w:val="14"/>
                <w:lang w:val="en-US"/>
              </w:rPr>
              <w:t>8,585</w:t>
            </w:r>
          </w:p>
        </w:tc>
        <w:tc>
          <w:tcPr>
            <w:tcW w:w="1409" w:type="dxa"/>
            <w:shd w:val="clear" w:color="auto" w:fill="auto"/>
            <w:vAlign w:val="center"/>
          </w:tcPr>
          <w:p w14:paraId="2EBDAAC4"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0" w:type="dxa"/>
            <w:shd w:val="clear" w:color="auto" w:fill="auto"/>
            <w:vAlign w:val="center"/>
          </w:tcPr>
          <w:p w14:paraId="3D4CE3F7"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08" w:type="dxa"/>
            <w:shd w:val="clear" w:color="auto" w:fill="auto"/>
            <w:vAlign w:val="center"/>
          </w:tcPr>
          <w:p w14:paraId="49D24E80"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r>
      <w:tr w:rsidR="0056738E" w:rsidRPr="00A20BBC" w14:paraId="01AE0AAA" w14:textId="77777777" w:rsidTr="007C2AEE">
        <w:trPr>
          <w:trHeight w:val="227"/>
          <w:jc w:val="center"/>
        </w:trPr>
        <w:tc>
          <w:tcPr>
            <w:tcW w:w="3172" w:type="dxa"/>
            <w:vAlign w:val="center"/>
          </w:tcPr>
          <w:p w14:paraId="230F3C5D" w14:textId="77777777" w:rsidR="0056738E" w:rsidRPr="00A20BBC" w:rsidRDefault="0056738E" w:rsidP="007C2AEE">
            <w:pPr>
              <w:pStyle w:val="BodyTextIndent"/>
              <w:shd w:val="clear" w:color="auto" w:fill="FFFFFF"/>
              <w:tabs>
                <w:tab w:val="left" w:pos="284"/>
              </w:tabs>
              <w:spacing w:after="0" w:line="240" w:lineRule="auto"/>
              <w:ind w:left="0"/>
              <w:rPr>
                <w:rFonts w:ascii="Arial" w:hAnsi="Arial" w:cs="Arial"/>
                <w:i/>
                <w:iCs/>
                <w:sz w:val="14"/>
                <w:szCs w:val="14"/>
              </w:rPr>
            </w:pPr>
            <w:proofErr w:type="spellStart"/>
            <w:r w:rsidRPr="00A20BBC">
              <w:rPr>
                <w:rFonts w:ascii="Arial" w:hAnsi="Arial" w:cs="Arial"/>
                <w:i/>
                <w:iCs/>
                <w:color w:val="262626"/>
                <w:sz w:val="14"/>
                <w:szCs w:val="14"/>
              </w:rPr>
              <w:t>Χονδρικό</w:t>
            </w:r>
            <w:proofErr w:type="spellEnd"/>
            <w:r w:rsidRPr="00A20BBC">
              <w:rPr>
                <w:rFonts w:ascii="Arial" w:hAnsi="Arial" w:cs="Arial"/>
                <w:i/>
                <w:iCs/>
                <w:color w:val="262626"/>
                <w:sz w:val="14"/>
                <w:szCs w:val="14"/>
              </w:rPr>
              <w:t xml:space="preserve"> και </w:t>
            </w:r>
            <w:proofErr w:type="spellStart"/>
            <w:r w:rsidRPr="00A20BBC">
              <w:rPr>
                <w:rFonts w:ascii="Arial" w:hAnsi="Arial" w:cs="Arial"/>
                <w:i/>
                <w:iCs/>
                <w:color w:val="262626"/>
                <w:sz w:val="14"/>
                <w:szCs w:val="14"/>
              </w:rPr>
              <w:t>λι</w:t>
            </w:r>
            <w:proofErr w:type="spellEnd"/>
            <w:r w:rsidRPr="00A20BBC">
              <w:rPr>
                <w:rFonts w:ascii="Arial" w:hAnsi="Arial" w:cs="Arial"/>
                <w:i/>
                <w:iCs/>
                <w:color w:val="262626"/>
                <w:sz w:val="14"/>
                <w:szCs w:val="14"/>
              </w:rPr>
              <w:t xml:space="preserve">ανικό </w:t>
            </w:r>
            <w:proofErr w:type="spellStart"/>
            <w:r w:rsidRPr="00A20BBC">
              <w:rPr>
                <w:rFonts w:ascii="Arial" w:hAnsi="Arial" w:cs="Arial"/>
                <w:i/>
                <w:iCs/>
                <w:color w:val="262626"/>
                <w:sz w:val="14"/>
                <w:szCs w:val="14"/>
              </w:rPr>
              <w:t>εμ</w:t>
            </w:r>
            <w:proofErr w:type="spellEnd"/>
            <w:r w:rsidRPr="00A20BBC">
              <w:rPr>
                <w:rFonts w:ascii="Arial" w:hAnsi="Arial" w:cs="Arial"/>
                <w:i/>
                <w:iCs/>
                <w:color w:val="262626"/>
                <w:sz w:val="14"/>
                <w:szCs w:val="14"/>
              </w:rPr>
              <w:t>πόριο</w:t>
            </w:r>
          </w:p>
        </w:tc>
        <w:tc>
          <w:tcPr>
            <w:tcW w:w="1501" w:type="dxa"/>
            <w:shd w:val="clear" w:color="auto" w:fill="auto"/>
            <w:vAlign w:val="center"/>
          </w:tcPr>
          <w:p w14:paraId="1A8B9208"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r w:rsidRPr="00A03828">
              <w:rPr>
                <w:rFonts w:ascii="Arial" w:eastAsia="Batang" w:hAnsi="Arial" w:cs="Arial"/>
                <w:i/>
                <w:iCs/>
                <w:color w:val="262626"/>
                <w:sz w:val="14"/>
                <w:szCs w:val="14"/>
                <w:lang w:val="en-US"/>
              </w:rPr>
              <w:t>869,753</w:t>
            </w:r>
          </w:p>
        </w:tc>
        <w:tc>
          <w:tcPr>
            <w:tcW w:w="1416" w:type="dxa"/>
            <w:shd w:val="clear" w:color="auto" w:fill="auto"/>
            <w:vAlign w:val="center"/>
          </w:tcPr>
          <w:p w14:paraId="776DF300"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i/>
                <w:iCs/>
                <w:color w:val="262626"/>
                <w:sz w:val="14"/>
                <w:szCs w:val="14"/>
              </w:rPr>
              <w:t>37,739</w:t>
            </w:r>
          </w:p>
        </w:tc>
        <w:tc>
          <w:tcPr>
            <w:tcW w:w="1410" w:type="dxa"/>
            <w:shd w:val="clear" w:color="auto" w:fill="auto"/>
            <w:vAlign w:val="center"/>
          </w:tcPr>
          <w:p w14:paraId="50104CBF" w14:textId="77777777" w:rsidR="0056738E" w:rsidRPr="00A20BBC"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409" w:type="dxa"/>
            <w:shd w:val="clear" w:color="auto" w:fill="auto"/>
            <w:vAlign w:val="center"/>
          </w:tcPr>
          <w:p w14:paraId="1C5D1E12" w14:textId="77777777" w:rsidR="0056738E" w:rsidRPr="00A20BBC"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835" w:type="dxa"/>
            <w:shd w:val="clear" w:color="auto" w:fill="auto"/>
            <w:vAlign w:val="center"/>
          </w:tcPr>
          <w:p w14:paraId="3B57547B"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i/>
                <w:iCs/>
                <w:sz w:val="14"/>
                <w:szCs w:val="14"/>
                <w:lang w:val="en-US"/>
              </w:rPr>
              <w:t>22,936</w:t>
            </w:r>
          </w:p>
        </w:tc>
        <w:tc>
          <w:tcPr>
            <w:tcW w:w="1409" w:type="dxa"/>
            <w:shd w:val="clear" w:color="auto" w:fill="auto"/>
            <w:vAlign w:val="center"/>
          </w:tcPr>
          <w:p w14:paraId="2050D883"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0" w:type="dxa"/>
            <w:shd w:val="clear" w:color="auto" w:fill="auto"/>
            <w:vAlign w:val="center"/>
          </w:tcPr>
          <w:p w14:paraId="588EEDA9"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08" w:type="dxa"/>
            <w:shd w:val="clear" w:color="auto" w:fill="auto"/>
            <w:vAlign w:val="center"/>
          </w:tcPr>
          <w:p w14:paraId="7E403E96"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r>
      <w:tr w:rsidR="0056738E" w:rsidRPr="00A20BBC" w14:paraId="21B0AC4A" w14:textId="77777777" w:rsidTr="007C2AEE">
        <w:trPr>
          <w:trHeight w:val="227"/>
          <w:jc w:val="center"/>
        </w:trPr>
        <w:tc>
          <w:tcPr>
            <w:tcW w:w="3172" w:type="dxa"/>
            <w:vAlign w:val="center"/>
          </w:tcPr>
          <w:p w14:paraId="0CDBCD24" w14:textId="77777777" w:rsidR="0056738E" w:rsidRPr="00A20BBC" w:rsidRDefault="0056738E" w:rsidP="007C2AEE">
            <w:pPr>
              <w:pStyle w:val="BodyTextIndent"/>
              <w:shd w:val="clear" w:color="auto" w:fill="FFFFFF"/>
              <w:tabs>
                <w:tab w:val="left" w:pos="284"/>
              </w:tabs>
              <w:spacing w:after="0" w:line="240" w:lineRule="auto"/>
              <w:ind w:left="0"/>
              <w:rPr>
                <w:rFonts w:ascii="Arial" w:hAnsi="Arial" w:cs="Arial"/>
                <w:i/>
                <w:iCs/>
                <w:sz w:val="14"/>
                <w:szCs w:val="14"/>
                <w:lang w:val="el-GR"/>
              </w:rPr>
            </w:pPr>
            <w:proofErr w:type="spellStart"/>
            <w:r w:rsidRPr="00A20BBC">
              <w:rPr>
                <w:rFonts w:ascii="Arial" w:hAnsi="Arial" w:cs="Arial"/>
                <w:i/>
                <w:iCs/>
                <w:color w:val="262626"/>
                <w:sz w:val="14"/>
                <w:szCs w:val="14"/>
              </w:rPr>
              <w:t>Ξενοδοχεί</w:t>
            </w:r>
            <w:proofErr w:type="spellEnd"/>
            <w:r w:rsidRPr="00A20BBC">
              <w:rPr>
                <w:rFonts w:ascii="Arial" w:hAnsi="Arial" w:cs="Arial"/>
                <w:i/>
                <w:iCs/>
                <w:color w:val="262626"/>
                <w:sz w:val="14"/>
                <w:szCs w:val="14"/>
              </w:rPr>
              <w:t xml:space="preserve">α και </w:t>
            </w:r>
            <w:r w:rsidRPr="00A20BBC">
              <w:rPr>
                <w:rFonts w:ascii="Arial" w:hAnsi="Arial" w:cs="Arial"/>
                <w:i/>
                <w:iCs/>
                <w:color w:val="262626"/>
                <w:sz w:val="14"/>
                <w:szCs w:val="14"/>
                <w:lang w:val="el-GR"/>
              </w:rPr>
              <w:t>εστίαση</w:t>
            </w:r>
          </w:p>
        </w:tc>
        <w:tc>
          <w:tcPr>
            <w:tcW w:w="1501" w:type="dxa"/>
            <w:shd w:val="clear" w:color="auto" w:fill="auto"/>
            <w:vAlign w:val="center"/>
          </w:tcPr>
          <w:p w14:paraId="67598617"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r w:rsidRPr="00A03828">
              <w:rPr>
                <w:rFonts w:ascii="Arial" w:eastAsia="Batang" w:hAnsi="Arial" w:cs="Arial"/>
                <w:i/>
                <w:iCs/>
                <w:color w:val="262626"/>
                <w:sz w:val="14"/>
                <w:szCs w:val="14"/>
              </w:rPr>
              <w:t>1,169,399</w:t>
            </w:r>
          </w:p>
        </w:tc>
        <w:tc>
          <w:tcPr>
            <w:tcW w:w="1416" w:type="dxa"/>
            <w:shd w:val="clear" w:color="auto" w:fill="auto"/>
            <w:vAlign w:val="center"/>
          </w:tcPr>
          <w:p w14:paraId="707A1109"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i/>
                <w:iCs/>
                <w:color w:val="262626"/>
                <w:sz w:val="14"/>
                <w:szCs w:val="14"/>
              </w:rPr>
              <w:t>14,310</w:t>
            </w:r>
          </w:p>
        </w:tc>
        <w:tc>
          <w:tcPr>
            <w:tcW w:w="1410" w:type="dxa"/>
            <w:shd w:val="clear" w:color="auto" w:fill="auto"/>
            <w:vAlign w:val="center"/>
          </w:tcPr>
          <w:p w14:paraId="15EC7E62" w14:textId="77777777" w:rsidR="0056738E" w:rsidRPr="00A20BBC"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409" w:type="dxa"/>
            <w:shd w:val="clear" w:color="auto" w:fill="auto"/>
            <w:vAlign w:val="center"/>
          </w:tcPr>
          <w:p w14:paraId="2CB92FAC" w14:textId="77777777" w:rsidR="0056738E" w:rsidRPr="00A20BBC"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835" w:type="dxa"/>
            <w:shd w:val="clear" w:color="auto" w:fill="auto"/>
            <w:vAlign w:val="center"/>
          </w:tcPr>
          <w:p w14:paraId="5766AA8E"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i/>
                <w:iCs/>
                <w:sz w:val="14"/>
                <w:szCs w:val="14"/>
              </w:rPr>
              <w:t>9,657</w:t>
            </w:r>
          </w:p>
        </w:tc>
        <w:tc>
          <w:tcPr>
            <w:tcW w:w="1409" w:type="dxa"/>
            <w:shd w:val="clear" w:color="auto" w:fill="auto"/>
            <w:vAlign w:val="center"/>
          </w:tcPr>
          <w:p w14:paraId="18A9F7F5"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0" w:type="dxa"/>
            <w:shd w:val="clear" w:color="auto" w:fill="auto"/>
            <w:vAlign w:val="center"/>
          </w:tcPr>
          <w:p w14:paraId="4B9A3AD5"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08" w:type="dxa"/>
            <w:shd w:val="clear" w:color="auto" w:fill="auto"/>
            <w:vAlign w:val="center"/>
          </w:tcPr>
          <w:p w14:paraId="76CFEC7F"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r>
      <w:tr w:rsidR="0056738E" w:rsidRPr="00A20BBC" w14:paraId="5D7F657F" w14:textId="77777777" w:rsidTr="007C2AEE">
        <w:trPr>
          <w:trHeight w:val="227"/>
          <w:jc w:val="center"/>
        </w:trPr>
        <w:tc>
          <w:tcPr>
            <w:tcW w:w="3172" w:type="dxa"/>
            <w:vAlign w:val="center"/>
          </w:tcPr>
          <w:p w14:paraId="11CE58F2" w14:textId="77777777" w:rsidR="0056738E" w:rsidRPr="00A20BBC" w:rsidRDefault="0056738E" w:rsidP="007C2AEE">
            <w:pPr>
              <w:pStyle w:val="BodyTextIndent"/>
              <w:shd w:val="clear" w:color="auto" w:fill="FFFFFF"/>
              <w:tabs>
                <w:tab w:val="left" w:pos="284"/>
              </w:tabs>
              <w:spacing w:after="0" w:line="240" w:lineRule="auto"/>
              <w:ind w:left="0"/>
              <w:rPr>
                <w:rFonts w:ascii="Arial" w:hAnsi="Arial" w:cs="Arial"/>
                <w:i/>
                <w:iCs/>
                <w:sz w:val="14"/>
                <w:szCs w:val="14"/>
              </w:rPr>
            </w:pPr>
            <w:proofErr w:type="spellStart"/>
            <w:r w:rsidRPr="00A20BBC">
              <w:rPr>
                <w:rFonts w:ascii="Arial" w:hAnsi="Arial" w:cs="Arial"/>
                <w:i/>
                <w:iCs/>
                <w:color w:val="262626"/>
                <w:sz w:val="14"/>
                <w:szCs w:val="14"/>
              </w:rPr>
              <w:t>Ακίνητ</w:t>
            </w:r>
            <w:proofErr w:type="spellEnd"/>
            <w:r w:rsidRPr="00A20BBC">
              <w:rPr>
                <w:rFonts w:ascii="Arial" w:hAnsi="Arial" w:cs="Arial"/>
                <w:i/>
                <w:iCs/>
                <w:color w:val="262626"/>
                <w:sz w:val="14"/>
                <w:szCs w:val="14"/>
              </w:rPr>
              <w:t>α</w:t>
            </w:r>
          </w:p>
        </w:tc>
        <w:tc>
          <w:tcPr>
            <w:tcW w:w="1501" w:type="dxa"/>
            <w:shd w:val="clear" w:color="auto" w:fill="auto"/>
            <w:vAlign w:val="center"/>
          </w:tcPr>
          <w:p w14:paraId="3436E906"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r w:rsidRPr="00A03828">
              <w:rPr>
                <w:rFonts w:ascii="Arial" w:eastAsia="Batang" w:hAnsi="Arial" w:cs="Arial"/>
                <w:i/>
                <w:iCs/>
                <w:color w:val="262626"/>
                <w:sz w:val="14"/>
                <w:szCs w:val="14"/>
              </w:rPr>
              <w:t>1,019,544</w:t>
            </w:r>
          </w:p>
        </w:tc>
        <w:tc>
          <w:tcPr>
            <w:tcW w:w="1416" w:type="dxa"/>
            <w:shd w:val="clear" w:color="auto" w:fill="auto"/>
            <w:vAlign w:val="center"/>
          </w:tcPr>
          <w:p w14:paraId="39964BFE"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i/>
                <w:iCs/>
                <w:color w:val="262626"/>
                <w:sz w:val="14"/>
                <w:szCs w:val="14"/>
              </w:rPr>
              <w:t>40,296</w:t>
            </w:r>
          </w:p>
        </w:tc>
        <w:tc>
          <w:tcPr>
            <w:tcW w:w="1410" w:type="dxa"/>
            <w:shd w:val="clear" w:color="auto" w:fill="auto"/>
            <w:vAlign w:val="center"/>
          </w:tcPr>
          <w:p w14:paraId="55EE2DAF" w14:textId="77777777" w:rsidR="0056738E" w:rsidRPr="00A20BBC"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409" w:type="dxa"/>
            <w:shd w:val="clear" w:color="auto" w:fill="auto"/>
            <w:vAlign w:val="center"/>
          </w:tcPr>
          <w:p w14:paraId="2D5B6752" w14:textId="77777777" w:rsidR="0056738E" w:rsidRPr="00A20BBC"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835" w:type="dxa"/>
            <w:shd w:val="clear" w:color="auto" w:fill="auto"/>
            <w:vAlign w:val="center"/>
          </w:tcPr>
          <w:p w14:paraId="269778FA"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i/>
                <w:iCs/>
                <w:sz w:val="14"/>
                <w:szCs w:val="14"/>
                <w:lang w:val="en-US"/>
              </w:rPr>
              <w:t>23,461</w:t>
            </w:r>
          </w:p>
        </w:tc>
        <w:tc>
          <w:tcPr>
            <w:tcW w:w="1409" w:type="dxa"/>
            <w:shd w:val="clear" w:color="auto" w:fill="auto"/>
            <w:vAlign w:val="center"/>
          </w:tcPr>
          <w:p w14:paraId="1C08CD8A"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0" w:type="dxa"/>
            <w:shd w:val="clear" w:color="auto" w:fill="auto"/>
            <w:vAlign w:val="center"/>
          </w:tcPr>
          <w:p w14:paraId="18C1DBE3"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08" w:type="dxa"/>
            <w:shd w:val="clear" w:color="auto" w:fill="auto"/>
            <w:vAlign w:val="center"/>
          </w:tcPr>
          <w:p w14:paraId="601D4225"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r>
      <w:tr w:rsidR="0056738E" w:rsidRPr="00A20BBC" w14:paraId="5DB892F3" w14:textId="77777777" w:rsidTr="007C2AEE">
        <w:trPr>
          <w:trHeight w:val="227"/>
          <w:jc w:val="center"/>
        </w:trPr>
        <w:tc>
          <w:tcPr>
            <w:tcW w:w="3172" w:type="dxa"/>
            <w:vAlign w:val="center"/>
          </w:tcPr>
          <w:p w14:paraId="7B65B417" w14:textId="77777777" w:rsidR="0056738E" w:rsidRPr="00A20BBC" w:rsidRDefault="0056738E" w:rsidP="007C2AEE">
            <w:pPr>
              <w:pStyle w:val="BodyTextIndent"/>
              <w:shd w:val="clear" w:color="auto" w:fill="FFFFFF"/>
              <w:tabs>
                <w:tab w:val="left" w:pos="284"/>
              </w:tabs>
              <w:spacing w:after="0" w:line="240" w:lineRule="auto"/>
              <w:ind w:left="0"/>
              <w:rPr>
                <w:rFonts w:ascii="Arial" w:hAnsi="Arial" w:cs="Arial"/>
                <w:i/>
                <w:iCs/>
                <w:sz w:val="14"/>
                <w:szCs w:val="14"/>
                <w:lang w:val="el-GR"/>
              </w:rPr>
            </w:pPr>
            <w:r w:rsidRPr="00A20BBC">
              <w:rPr>
                <w:rFonts w:ascii="Arial" w:hAnsi="Arial" w:cs="Arial"/>
                <w:i/>
                <w:iCs/>
                <w:color w:val="262626"/>
                <w:sz w:val="14"/>
                <w:szCs w:val="14"/>
                <w:lang w:val="el-GR"/>
              </w:rPr>
              <w:t>Βιομηχανία</w:t>
            </w:r>
          </w:p>
        </w:tc>
        <w:tc>
          <w:tcPr>
            <w:tcW w:w="1501" w:type="dxa"/>
            <w:shd w:val="clear" w:color="auto" w:fill="auto"/>
            <w:vAlign w:val="center"/>
          </w:tcPr>
          <w:p w14:paraId="07BAD955"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r w:rsidRPr="00A03828">
              <w:rPr>
                <w:rFonts w:ascii="Arial" w:eastAsia="Batang" w:hAnsi="Arial" w:cs="Arial"/>
                <w:i/>
                <w:iCs/>
                <w:color w:val="262626"/>
                <w:sz w:val="14"/>
                <w:szCs w:val="14"/>
              </w:rPr>
              <w:t>359,874</w:t>
            </w:r>
          </w:p>
        </w:tc>
        <w:tc>
          <w:tcPr>
            <w:tcW w:w="1416" w:type="dxa"/>
            <w:shd w:val="clear" w:color="auto" w:fill="auto"/>
            <w:vAlign w:val="center"/>
          </w:tcPr>
          <w:p w14:paraId="263058D7"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i/>
                <w:iCs/>
                <w:color w:val="262626"/>
                <w:sz w:val="14"/>
                <w:szCs w:val="14"/>
              </w:rPr>
              <w:t>3,852</w:t>
            </w:r>
          </w:p>
        </w:tc>
        <w:tc>
          <w:tcPr>
            <w:tcW w:w="1410" w:type="dxa"/>
            <w:shd w:val="clear" w:color="auto" w:fill="auto"/>
            <w:vAlign w:val="center"/>
          </w:tcPr>
          <w:p w14:paraId="27CCE41C" w14:textId="77777777" w:rsidR="0056738E" w:rsidRPr="00A20BBC"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409" w:type="dxa"/>
            <w:shd w:val="clear" w:color="auto" w:fill="auto"/>
            <w:vAlign w:val="center"/>
          </w:tcPr>
          <w:p w14:paraId="7A57BBE4" w14:textId="77777777" w:rsidR="0056738E" w:rsidRPr="00A20BBC"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835" w:type="dxa"/>
            <w:shd w:val="clear" w:color="auto" w:fill="auto"/>
            <w:vAlign w:val="center"/>
          </w:tcPr>
          <w:p w14:paraId="12D0231A"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i/>
                <w:iCs/>
                <w:sz w:val="14"/>
                <w:szCs w:val="14"/>
                <w:lang w:val="en-US"/>
              </w:rPr>
              <w:t>4,589</w:t>
            </w:r>
          </w:p>
        </w:tc>
        <w:tc>
          <w:tcPr>
            <w:tcW w:w="1409" w:type="dxa"/>
            <w:shd w:val="clear" w:color="auto" w:fill="auto"/>
            <w:vAlign w:val="center"/>
          </w:tcPr>
          <w:p w14:paraId="55DF46EE"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0" w:type="dxa"/>
            <w:shd w:val="clear" w:color="auto" w:fill="auto"/>
            <w:vAlign w:val="center"/>
          </w:tcPr>
          <w:p w14:paraId="71B0F1EC"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08" w:type="dxa"/>
            <w:shd w:val="clear" w:color="auto" w:fill="auto"/>
            <w:vAlign w:val="center"/>
          </w:tcPr>
          <w:p w14:paraId="2C3DE64B"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r>
      <w:tr w:rsidR="0056738E" w:rsidRPr="00A20BBC" w14:paraId="4298BF60" w14:textId="77777777" w:rsidTr="007C2AEE">
        <w:trPr>
          <w:trHeight w:val="227"/>
          <w:jc w:val="center"/>
        </w:trPr>
        <w:tc>
          <w:tcPr>
            <w:tcW w:w="3172" w:type="dxa"/>
            <w:vAlign w:val="center"/>
          </w:tcPr>
          <w:p w14:paraId="0CEA6DF7" w14:textId="77777777" w:rsidR="0056738E" w:rsidRPr="00A20BBC" w:rsidRDefault="0056738E" w:rsidP="007C2AEE">
            <w:pPr>
              <w:pStyle w:val="BodyTextIndent"/>
              <w:shd w:val="clear" w:color="auto" w:fill="FFFFFF"/>
              <w:tabs>
                <w:tab w:val="left" w:pos="284"/>
              </w:tabs>
              <w:spacing w:after="0" w:line="240" w:lineRule="auto"/>
              <w:ind w:left="0"/>
              <w:rPr>
                <w:rFonts w:ascii="Arial" w:hAnsi="Arial" w:cs="Arial"/>
                <w:i/>
                <w:iCs/>
                <w:sz w:val="14"/>
                <w:szCs w:val="14"/>
              </w:rPr>
            </w:pPr>
            <w:r w:rsidRPr="00A20BBC">
              <w:rPr>
                <w:rFonts w:ascii="Arial" w:hAnsi="Arial" w:cs="Arial"/>
                <w:i/>
                <w:iCs/>
                <w:color w:val="262626"/>
                <w:sz w:val="14"/>
                <w:szCs w:val="14"/>
                <w:lang w:val="el-GR"/>
              </w:rPr>
              <w:t>Άλλοι</w:t>
            </w:r>
            <w:r w:rsidRPr="00A20BBC">
              <w:rPr>
                <w:rFonts w:ascii="Arial" w:hAnsi="Arial" w:cs="Arial"/>
                <w:i/>
                <w:iCs/>
                <w:color w:val="262626"/>
                <w:sz w:val="14"/>
                <w:szCs w:val="14"/>
              </w:rPr>
              <w:t xml:space="preserve"> </w:t>
            </w:r>
            <w:proofErr w:type="spellStart"/>
            <w:r w:rsidRPr="00A20BBC">
              <w:rPr>
                <w:rFonts w:ascii="Arial" w:hAnsi="Arial" w:cs="Arial"/>
                <w:i/>
                <w:iCs/>
                <w:color w:val="262626"/>
                <w:sz w:val="14"/>
                <w:szCs w:val="14"/>
              </w:rPr>
              <w:t>κλάδοι</w:t>
            </w:r>
            <w:proofErr w:type="spellEnd"/>
          </w:p>
        </w:tc>
        <w:tc>
          <w:tcPr>
            <w:tcW w:w="1501" w:type="dxa"/>
            <w:shd w:val="clear" w:color="auto" w:fill="auto"/>
            <w:vAlign w:val="center"/>
          </w:tcPr>
          <w:p w14:paraId="18894F9C"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color w:val="262626"/>
                <w:sz w:val="14"/>
                <w:szCs w:val="14"/>
                <w:lang w:val="el-GR" w:eastAsia="en-US"/>
              </w:rPr>
            </w:pPr>
            <w:r w:rsidRPr="00A03828">
              <w:rPr>
                <w:rFonts w:ascii="Arial" w:eastAsia="Batang" w:hAnsi="Arial" w:cs="Arial"/>
                <w:i/>
                <w:iCs/>
                <w:color w:val="262626"/>
                <w:sz w:val="14"/>
                <w:szCs w:val="14"/>
              </w:rPr>
              <w:t>1,028,338</w:t>
            </w:r>
          </w:p>
        </w:tc>
        <w:tc>
          <w:tcPr>
            <w:tcW w:w="1416" w:type="dxa"/>
            <w:shd w:val="clear" w:color="auto" w:fill="auto"/>
            <w:vAlign w:val="center"/>
          </w:tcPr>
          <w:p w14:paraId="66BFD3F5"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i/>
                <w:iCs/>
                <w:color w:val="262626"/>
                <w:sz w:val="14"/>
                <w:szCs w:val="14"/>
              </w:rPr>
              <w:t>34,142</w:t>
            </w:r>
          </w:p>
        </w:tc>
        <w:tc>
          <w:tcPr>
            <w:tcW w:w="1410" w:type="dxa"/>
            <w:shd w:val="clear" w:color="auto" w:fill="auto"/>
            <w:vAlign w:val="center"/>
          </w:tcPr>
          <w:p w14:paraId="6833585C" w14:textId="77777777" w:rsidR="0056738E" w:rsidRPr="00A20BBC"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409" w:type="dxa"/>
            <w:shd w:val="clear" w:color="auto" w:fill="auto"/>
            <w:vAlign w:val="center"/>
          </w:tcPr>
          <w:p w14:paraId="14D1B304" w14:textId="77777777" w:rsidR="0056738E" w:rsidRPr="00A20BBC" w:rsidRDefault="0056738E" w:rsidP="007C2AEE">
            <w:pPr>
              <w:shd w:val="clear" w:color="auto" w:fill="BFBFBF"/>
              <w:spacing w:after="0" w:line="240" w:lineRule="auto"/>
              <w:jc w:val="right"/>
              <w:rPr>
                <w:rFonts w:ascii="Arial" w:eastAsia="Batang" w:hAnsi="Arial" w:cs="Arial"/>
                <w:b/>
                <w:bCs/>
                <w:i/>
                <w:iCs/>
                <w:sz w:val="14"/>
                <w:szCs w:val="14"/>
                <w:lang w:eastAsia="en-US"/>
              </w:rPr>
            </w:pPr>
          </w:p>
        </w:tc>
        <w:tc>
          <w:tcPr>
            <w:tcW w:w="1835" w:type="dxa"/>
            <w:shd w:val="clear" w:color="auto" w:fill="auto"/>
            <w:vAlign w:val="center"/>
          </w:tcPr>
          <w:p w14:paraId="4BCD6204"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iCs/>
                <w:sz w:val="14"/>
                <w:szCs w:val="14"/>
                <w:lang w:val="el-GR" w:eastAsia="en-US"/>
              </w:rPr>
            </w:pPr>
            <w:r w:rsidRPr="00A03828">
              <w:rPr>
                <w:rFonts w:ascii="Arial" w:eastAsia="Batang" w:hAnsi="Arial" w:cs="Arial"/>
                <w:i/>
                <w:iCs/>
                <w:sz w:val="14"/>
                <w:szCs w:val="14"/>
                <w:lang w:val="en-US"/>
              </w:rPr>
              <w:t>22,412</w:t>
            </w:r>
          </w:p>
        </w:tc>
        <w:tc>
          <w:tcPr>
            <w:tcW w:w="1409" w:type="dxa"/>
            <w:shd w:val="clear" w:color="auto" w:fill="auto"/>
            <w:vAlign w:val="center"/>
          </w:tcPr>
          <w:p w14:paraId="21360AD2"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10" w:type="dxa"/>
            <w:shd w:val="clear" w:color="auto" w:fill="auto"/>
            <w:vAlign w:val="center"/>
          </w:tcPr>
          <w:p w14:paraId="3149EC30"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c>
          <w:tcPr>
            <w:tcW w:w="1408" w:type="dxa"/>
            <w:shd w:val="clear" w:color="auto" w:fill="auto"/>
            <w:vAlign w:val="center"/>
          </w:tcPr>
          <w:p w14:paraId="7BF6B55E" w14:textId="77777777" w:rsidR="0056738E" w:rsidRPr="00A20BBC" w:rsidRDefault="0056738E" w:rsidP="007C2AEE">
            <w:pPr>
              <w:shd w:val="clear" w:color="auto" w:fill="BFBFBF"/>
              <w:spacing w:after="0" w:line="240" w:lineRule="auto"/>
              <w:jc w:val="right"/>
              <w:rPr>
                <w:rFonts w:ascii="Arial" w:eastAsia="Batang" w:hAnsi="Arial" w:cs="Arial"/>
                <w:b/>
                <w:bCs/>
                <w:i/>
                <w:iCs/>
                <w:color w:val="262626"/>
                <w:sz w:val="14"/>
                <w:szCs w:val="14"/>
                <w:lang w:eastAsia="en-US"/>
              </w:rPr>
            </w:pPr>
          </w:p>
        </w:tc>
      </w:tr>
      <w:tr w:rsidR="0056738E" w:rsidRPr="00A20BBC" w14:paraId="2EF9F12F" w14:textId="77777777" w:rsidTr="007C2AEE">
        <w:trPr>
          <w:trHeight w:val="227"/>
          <w:jc w:val="center"/>
        </w:trPr>
        <w:tc>
          <w:tcPr>
            <w:tcW w:w="3172" w:type="dxa"/>
            <w:vAlign w:val="center"/>
          </w:tcPr>
          <w:p w14:paraId="78F292D3" w14:textId="77777777" w:rsidR="0056738E" w:rsidRPr="00A20BBC" w:rsidRDefault="0056738E" w:rsidP="007C2AEE">
            <w:pPr>
              <w:pStyle w:val="BodyTextIndent"/>
              <w:shd w:val="clear" w:color="auto" w:fill="FFFFFF"/>
              <w:tabs>
                <w:tab w:val="left" w:pos="284"/>
              </w:tabs>
              <w:spacing w:after="0" w:line="240" w:lineRule="auto"/>
              <w:ind w:left="0"/>
              <w:rPr>
                <w:rFonts w:ascii="Arial" w:hAnsi="Arial" w:cs="Arial"/>
                <w:b/>
                <w:sz w:val="14"/>
                <w:szCs w:val="14"/>
              </w:rPr>
            </w:pPr>
            <w:proofErr w:type="spellStart"/>
            <w:r w:rsidRPr="00A20BBC">
              <w:rPr>
                <w:rFonts w:ascii="Arial" w:hAnsi="Arial" w:cs="Arial"/>
                <w:b/>
                <w:color w:val="262626"/>
                <w:sz w:val="14"/>
                <w:szCs w:val="14"/>
              </w:rPr>
              <w:t>Νοικοκυριά</w:t>
            </w:r>
            <w:proofErr w:type="spellEnd"/>
          </w:p>
        </w:tc>
        <w:tc>
          <w:tcPr>
            <w:tcW w:w="1501" w:type="dxa"/>
            <w:shd w:val="clear" w:color="auto" w:fill="auto"/>
            <w:vAlign w:val="center"/>
          </w:tcPr>
          <w:p w14:paraId="0CF79766"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4,781,114</w:t>
            </w:r>
          </w:p>
        </w:tc>
        <w:tc>
          <w:tcPr>
            <w:tcW w:w="1416" w:type="dxa"/>
            <w:shd w:val="clear" w:color="auto" w:fill="auto"/>
            <w:vAlign w:val="center"/>
          </w:tcPr>
          <w:p w14:paraId="1177E984"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207,883</w:t>
            </w:r>
          </w:p>
        </w:tc>
        <w:tc>
          <w:tcPr>
            <w:tcW w:w="1410" w:type="dxa"/>
            <w:shd w:val="clear" w:color="auto" w:fill="auto"/>
            <w:vAlign w:val="center"/>
          </w:tcPr>
          <w:p w14:paraId="40462F0A"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lang w:val="en-US"/>
              </w:rPr>
              <w:t>196,070</w:t>
            </w:r>
          </w:p>
        </w:tc>
        <w:tc>
          <w:tcPr>
            <w:tcW w:w="1409" w:type="dxa"/>
            <w:shd w:val="clear" w:color="auto" w:fill="auto"/>
            <w:vAlign w:val="center"/>
          </w:tcPr>
          <w:p w14:paraId="5F87746A"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lang w:val="en-US"/>
              </w:rPr>
              <w:t>96,019</w:t>
            </w:r>
          </w:p>
        </w:tc>
        <w:tc>
          <w:tcPr>
            <w:tcW w:w="1835" w:type="dxa"/>
            <w:shd w:val="clear" w:color="auto" w:fill="auto"/>
            <w:vAlign w:val="center"/>
          </w:tcPr>
          <w:p w14:paraId="6A89E1EB"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lang w:val="en-US"/>
              </w:rPr>
              <w:t>83,560</w:t>
            </w:r>
          </w:p>
        </w:tc>
        <w:tc>
          <w:tcPr>
            <w:tcW w:w="1409" w:type="dxa"/>
            <w:shd w:val="clear" w:color="auto" w:fill="auto"/>
            <w:vAlign w:val="center"/>
          </w:tcPr>
          <w:p w14:paraId="46ACE54A" w14:textId="77777777" w:rsidR="0056738E" w:rsidRPr="00A20BBC" w:rsidRDefault="0056738E" w:rsidP="007C2AEE">
            <w:pPr>
              <w:shd w:val="clear" w:color="auto" w:fill="FFFFFF"/>
              <w:tabs>
                <w:tab w:val="right" w:pos="7560"/>
                <w:tab w:val="right" w:pos="9000"/>
              </w:tabs>
              <w:suppressAutoHyphens/>
              <w:spacing w:after="0" w:line="240" w:lineRule="auto"/>
              <w:ind w:left="-116"/>
              <w:jc w:val="right"/>
              <w:rPr>
                <w:rFonts w:ascii="Arial" w:eastAsia="Batang" w:hAnsi="Arial" w:cs="Arial"/>
                <w:b/>
                <w:bCs/>
                <w:color w:val="262626"/>
                <w:sz w:val="14"/>
                <w:szCs w:val="14"/>
                <w:lang w:val="el-GR" w:eastAsia="en-US"/>
              </w:rPr>
            </w:pPr>
            <w:r w:rsidRPr="00A03828">
              <w:rPr>
                <w:rFonts w:ascii="Arial" w:eastAsia="Batang" w:hAnsi="Arial" w:cs="Arial"/>
                <w:i/>
                <w:iCs/>
                <w:color w:val="262626"/>
                <w:sz w:val="14"/>
                <w:szCs w:val="14"/>
              </w:rPr>
              <w:t>58,962</w:t>
            </w:r>
          </w:p>
        </w:tc>
        <w:tc>
          <w:tcPr>
            <w:tcW w:w="1410" w:type="dxa"/>
            <w:shd w:val="clear" w:color="auto" w:fill="auto"/>
            <w:vAlign w:val="center"/>
          </w:tcPr>
          <w:p w14:paraId="71E51774"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i/>
                <w:iCs/>
                <w:color w:val="262626"/>
                <w:sz w:val="14"/>
                <w:szCs w:val="14"/>
              </w:rPr>
              <w:t>30,330</w:t>
            </w:r>
          </w:p>
        </w:tc>
        <w:tc>
          <w:tcPr>
            <w:tcW w:w="1408" w:type="dxa"/>
            <w:shd w:val="clear" w:color="auto" w:fill="auto"/>
            <w:vAlign w:val="center"/>
          </w:tcPr>
          <w:p w14:paraId="7CC1B998"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i/>
                <w:iCs/>
                <w:color w:val="262626"/>
                <w:sz w:val="14"/>
                <w:szCs w:val="14"/>
              </w:rPr>
              <w:t>25,227</w:t>
            </w:r>
          </w:p>
        </w:tc>
      </w:tr>
      <w:tr w:rsidR="0056738E" w:rsidRPr="00A20BBC" w14:paraId="2BABFCB0" w14:textId="77777777" w:rsidTr="007C2AEE">
        <w:trPr>
          <w:trHeight w:val="227"/>
          <w:jc w:val="center"/>
        </w:trPr>
        <w:tc>
          <w:tcPr>
            <w:tcW w:w="3172" w:type="dxa"/>
            <w:vAlign w:val="center"/>
          </w:tcPr>
          <w:p w14:paraId="45A66061" w14:textId="77777777" w:rsidR="0056738E" w:rsidRPr="00A20BBC" w:rsidRDefault="0056738E" w:rsidP="007C2AEE">
            <w:pPr>
              <w:shd w:val="clear" w:color="auto" w:fill="FFFFFF"/>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i/>
                <w:sz w:val="14"/>
                <w:szCs w:val="14"/>
                <w:lang w:val="el-GR"/>
              </w:rPr>
            </w:pPr>
            <w:r w:rsidRPr="00A20BBC">
              <w:rPr>
                <w:rFonts w:ascii="Arial" w:hAnsi="Arial" w:cs="Arial"/>
                <w:i/>
                <w:color w:val="262626"/>
                <w:sz w:val="14"/>
                <w:szCs w:val="14"/>
                <w:lang w:val="el-GR"/>
              </w:rPr>
              <w:t>Από τα οποία: Στεγαστικά δάνεια</w:t>
            </w:r>
            <w:r w:rsidRPr="00A20BBC">
              <w:rPr>
                <w:rFonts w:ascii="Arial" w:hAnsi="Arial" w:cs="Arial"/>
                <w:i/>
                <w:color w:val="262626"/>
                <w:sz w:val="14"/>
                <w:szCs w:val="14"/>
                <w:vertAlign w:val="superscript"/>
                <w:lang w:val="el-GR"/>
              </w:rPr>
              <w:t>3</w:t>
            </w:r>
          </w:p>
        </w:tc>
        <w:tc>
          <w:tcPr>
            <w:tcW w:w="1501" w:type="dxa"/>
            <w:tcBorders>
              <w:bottom w:val="single" w:sz="4" w:space="0" w:color="BFBFBF"/>
            </w:tcBorders>
            <w:shd w:val="clear" w:color="auto" w:fill="FFFFFF"/>
            <w:vAlign w:val="center"/>
          </w:tcPr>
          <w:p w14:paraId="1ACC4DF2"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3,726,056</w:t>
            </w:r>
          </w:p>
        </w:tc>
        <w:tc>
          <w:tcPr>
            <w:tcW w:w="1416" w:type="dxa"/>
            <w:tcBorders>
              <w:bottom w:val="single" w:sz="4" w:space="0" w:color="BFBFBF"/>
            </w:tcBorders>
            <w:shd w:val="clear" w:color="auto" w:fill="FFFFFF"/>
            <w:vAlign w:val="center"/>
          </w:tcPr>
          <w:p w14:paraId="2AD6F530"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169,734</w:t>
            </w:r>
          </w:p>
        </w:tc>
        <w:tc>
          <w:tcPr>
            <w:tcW w:w="1410" w:type="dxa"/>
            <w:tcBorders>
              <w:bottom w:val="single" w:sz="4" w:space="0" w:color="BFBFBF"/>
            </w:tcBorders>
            <w:shd w:val="clear" w:color="auto" w:fill="FFFFFF"/>
            <w:vAlign w:val="center"/>
          </w:tcPr>
          <w:p w14:paraId="1388F5BA"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173,407</w:t>
            </w:r>
          </w:p>
        </w:tc>
        <w:tc>
          <w:tcPr>
            <w:tcW w:w="1409" w:type="dxa"/>
            <w:tcBorders>
              <w:bottom w:val="single" w:sz="4" w:space="0" w:color="BFBFBF"/>
            </w:tcBorders>
            <w:shd w:val="clear" w:color="auto" w:fill="auto"/>
            <w:vAlign w:val="center"/>
          </w:tcPr>
          <w:p w14:paraId="08479865"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83,445</w:t>
            </w:r>
          </w:p>
        </w:tc>
        <w:tc>
          <w:tcPr>
            <w:tcW w:w="1835" w:type="dxa"/>
            <w:tcBorders>
              <w:bottom w:val="single" w:sz="4" w:space="0" w:color="BFBFBF"/>
            </w:tcBorders>
            <w:shd w:val="clear" w:color="auto" w:fill="FFFFFF"/>
            <w:vAlign w:val="center"/>
          </w:tcPr>
          <w:p w14:paraId="3DAE1A88"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52,863</w:t>
            </w:r>
          </w:p>
        </w:tc>
        <w:tc>
          <w:tcPr>
            <w:tcW w:w="1409" w:type="dxa"/>
            <w:tcBorders>
              <w:bottom w:val="single" w:sz="4" w:space="0" w:color="BFBFBF"/>
            </w:tcBorders>
            <w:shd w:val="clear" w:color="auto" w:fill="FFFFFF"/>
            <w:vAlign w:val="center"/>
          </w:tcPr>
          <w:p w14:paraId="5B3CA3F4"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39,732</w:t>
            </w:r>
          </w:p>
        </w:tc>
        <w:tc>
          <w:tcPr>
            <w:tcW w:w="1410" w:type="dxa"/>
            <w:tcBorders>
              <w:bottom w:val="single" w:sz="4" w:space="0" w:color="BFBFBF"/>
            </w:tcBorders>
            <w:shd w:val="clear" w:color="auto" w:fill="FFFFFF"/>
            <w:vAlign w:val="center"/>
          </w:tcPr>
          <w:p w14:paraId="406AAB98"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25,119</w:t>
            </w:r>
          </w:p>
        </w:tc>
        <w:tc>
          <w:tcPr>
            <w:tcW w:w="1408" w:type="dxa"/>
            <w:tcBorders>
              <w:bottom w:val="single" w:sz="4" w:space="0" w:color="BFBFBF"/>
            </w:tcBorders>
            <w:shd w:val="clear" w:color="auto" w:fill="FFFFFF"/>
            <w:vAlign w:val="center"/>
          </w:tcPr>
          <w:p w14:paraId="5745CBE5"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20,849</w:t>
            </w:r>
          </w:p>
        </w:tc>
      </w:tr>
      <w:tr w:rsidR="0056738E" w:rsidRPr="00A20BBC" w14:paraId="58CFF0FA" w14:textId="77777777" w:rsidTr="007C2AEE">
        <w:trPr>
          <w:trHeight w:val="227"/>
          <w:jc w:val="center"/>
        </w:trPr>
        <w:tc>
          <w:tcPr>
            <w:tcW w:w="3172" w:type="dxa"/>
            <w:vAlign w:val="center"/>
          </w:tcPr>
          <w:p w14:paraId="0009C661" w14:textId="77777777" w:rsidR="0056738E" w:rsidRPr="00A20BBC" w:rsidRDefault="0056738E" w:rsidP="007C2AEE">
            <w:pPr>
              <w:shd w:val="clear" w:color="auto" w:fill="FFFFFF"/>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i/>
                <w:sz w:val="14"/>
                <w:szCs w:val="14"/>
                <w:lang w:val="el-GR"/>
              </w:rPr>
            </w:pPr>
            <w:r w:rsidRPr="00A20BBC">
              <w:rPr>
                <w:rFonts w:ascii="Arial" w:hAnsi="Arial" w:cs="Arial"/>
                <w:i/>
                <w:color w:val="262626"/>
                <w:sz w:val="14"/>
                <w:szCs w:val="14"/>
                <w:lang w:val="el-GR"/>
              </w:rPr>
              <w:t>Από τα οποία: Καταναλωτικά δάνεια</w:t>
            </w:r>
            <w:r w:rsidRPr="00A20BBC">
              <w:rPr>
                <w:rFonts w:ascii="Arial" w:hAnsi="Arial" w:cs="Arial"/>
                <w:i/>
                <w:color w:val="262626"/>
                <w:sz w:val="14"/>
                <w:szCs w:val="14"/>
                <w:vertAlign w:val="superscript"/>
                <w:lang w:val="el-GR"/>
              </w:rPr>
              <w:t>3</w:t>
            </w:r>
          </w:p>
        </w:tc>
        <w:tc>
          <w:tcPr>
            <w:tcW w:w="1501" w:type="dxa"/>
            <w:tcBorders>
              <w:bottom w:val="single" w:sz="6" w:space="0" w:color="auto"/>
            </w:tcBorders>
            <w:shd w:val="clear" w:color="auto" w:fill="FFFFFF"/>
            <w:vAlign w:val="center"/>
          </w:tcPr>
          <w:p w14:paraId="120C33EF"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590,945</w:t>
            </w:r>
          </w:p>
        </w:tc>
        <w:tc>
          <w:tcPr>
            <w:tcW w:w="1416" w:type="dxa"/>
            <w:tcBorders>
              <w:bottom w:val="single" w:sz="6" w:space="0" w:color="auto"/>
            </w:tcBorders>
            <w:shd w:val="clear" w:color="auto" w:fill="FFFFFF"/>
            <w:vAlign w:val="center"/>
          </w:tcPr>
          <w:p w14:paraId="7931103E"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29,347</w:t>
            </w:r>
          </w:p>
        </w:tc>
        <w:tc>
          <w:tcPr>
            <w:tcW w:w="1410" w:type="dxa"/>
            <w:tcBorders>
              <w:bottom w:val="single" w:sz="6" w:space="0" w:color="auto"/>
            </w:tcBorders>
            <w:shd w:val="clear" w:color="auto" w:fill="FFFFFF"/>
            <w:vAlign w:val="center"/>
          </w:tcPr>
          <w:p w14:paraId="6A491FC3"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21,312</w:t>
            </w:r>
          </w:p>
        </w:tc>
        <w:tc>
          <w:tcPr>
            <w:tcW w:w="1409" w:type="dxa"/>
            <w:tcBorders>
              <w:bottom w:val="single" w:sz="4" w:space="0" w:color="auto"/>
            </w:tcBorders>
            <w:shd w:val="clear" w:color="auto" w:fill="auto"/>
            <w:vAlign w:val="center"/>
          </w:tcPr>
          <w:p w14:paraId="1254729B"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12,704</w:t>
            </w:r>
          </w:p>
        </w:tc>
        <w:tc>
          <w:tcPr>
            <w:tcW w:w="1835" w:type="dxa"/>
            <w:tcBorders>
              <w:bottom w:val="single" w:sz="6" w:space="0" w:color="auto"/>
            </w:tcBorders>
            <w:shd w:val="clear" w:color="auto" w:fill="FFFFFF"/>
            <w:vAlign w:val="center"/>
          </w:tcPr>
          <w:p w14:paraId="4CBD53F6"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21,108</w:t>
            </w:r>
          </w:p>
        </w:tc>
        <w:tc>
          <w:tcPr>
            <w:tcW w:w="1409" w:type="dxa"/>
            <w:tcBorders>
              <w:bottom w:val="single" w:sz="6" w:space="0" w:color="auto"/>
            </w:tcBorders>
            <w:shd w:val="clear" w:color="auto" w:fill="FFFFFF"/>
            <w:vAlign w:val="center"/>
          </w:tcPr>
          <w:p w14:paraId="164AF24A"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13,357</w:t>
            </w:r>
          </w:p>
        </w:tc>
        <w:tc>
          <w:tcPr>
            <w:tcW w:w="1410" w:type="dxa"/>
            <w:tcBorders>
              <w:bottom w:val="single" w:sz="6" w:space="0" w:color="auto"/>
            </w:tcBorders>
            <w:shd w:val="clear" w:color="auto" w:fill="FFFFFF"/>
            <w:vAlign w:val="center"/>
          </w:tcPr>
          <w:p w14:paraId="543DC644"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4,897</w:t>
            </w:r>
          </w:p>
        </w:tc>
        <w:tc>
          <w:tcPr>
            <w:tcW w:w="1408" w:type="dxa"/>
            <w:tcBorders>
              <w:bottom w:val="single" w:sz="6" w:space="0" w:color="auto"/>
            </w:tcBorders>
            <w:shd w:val="clear" w:color="auto" w:fill="FFFFFF"/>
            <w:vAlign w:val="center"/>
          </w:tcPr>
          <w:p w14:paraId="60EC002F"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i/>
                <w:color w:val="262626"/>
                <w:sz w:val="14"/>
                <w:szCs w:val="14"/>
                <w:lang w:val="el-GR" w:eastAsia="en-US"/>
              </w:rPr>
            </w:pPr>
            <w:r w:rsidRPr="00A03828">
              <w:rPr>
                <w:rFonts w:ascii="Arial" w:eastAsia="Batang" w:hAnsi="Arial" w:cs="Arial"/>
                <w:i/>
                <w:iCs/>
                <w:color w:val="262626"/>
                <w:sz w:val="14"/>
                <w:szCs w:val="14"/>
              </w:rPr>
              <w:t>4,157</w:t>
            </w:r>
          </w:p>
        </w:tc>
      </w:tr>
      <w:tr w:rsidR="0056738E" w:rsidRPr="00A20BBC" w14:paraId="7F10FE0A" w14:textId="77777777" w:rsidTr="007C2AEE">
        <w:trPr>
          <w:trHeight w:val="255"/>
          <w:jc w:val="center"/>
        </w:trPr>
        <w:tc>
          <w:tcPr>
            <w:tcW w:w="3172" w:type="dxa"/>
            <w:vAlign w:val="center"/>
          </w:tcPr>
          <w:p w14:paraId="3C5C81DC" w14:textId="77777777" w:rsidR="0056738E" w:rsidRPr="00A20BBC" w:rsidRDefault="0056738E" w:rsidP="007C2AEE">
            <w:pPr>
              <w:shd w:val="clear" w:color="auto" w:fill="FFFFFF"/>
              <w:tabs>
                <w:tab w:val="left" w:pos="0"/>
                <w:tab w:val="left" w:pos="282"/>
                <w:tab w:val="left" w:pos="2340"/>
                <w:tab w:val="decimal" w:pos="2976"/>
                <w:tab w:val="left" w:pos="4320"/>
                <w:tab w:val="decimal" w:pos="4818"/>
                <w:tab w:val="left" w:pos="6030"/>
                <w:tab w:val="left" w:pos="8100"/>
                <w:tab w:val="left" w:pos="8640"/>
              </w:tabs>
              <w:suppressAutoHyphens/>
              <w:spacing w:after="0" w:line="240" w:lineRule="auto"/>
              <w:rPr>
                <w:rFonts w:ascii="Arial" w:hAnsi="Arial" w:cs="Arial"/>
                <w:b/>
                <w:color w:val="262626"/>
                <w:sz w:val="14"/>
                <w:szCs w:val="14"/>
                <w:lang w:val="el-GR"/>
              </w:rPr>
            </w:pPr>
            <w:r w:rsidRPr="00A20BBC">
              <w:rPr>
                <w:rFonts w:ascii="Arial" w:hAnsi="Arial" w:cs="Arial"/>
                <w:b/>
                <w:color w:val="262626"/>
                <w:sz w:val="14"/>
                <w:szCs w:val="14"/>
                <w:lang w:val="el-GR"/>
              </w:rPr>
              <w:t>Σύνολο στον ισολογισμό</w:t>
            </w:r>
          </w:p>
        </w:tc>
        <w:tc>
          <w:tcPr>
            <w:tcW w:w="1501" w:type="dxa"/>
            <w:tcBorders>
              <w:top w:val="single" w:sz="4" w:space="0" w:color="auto"/>
              <w:bottom w:val="double" w:sz="6" w:space="0" w:color="000000"/>
            </w:tcBorders>
            <w:shd w:val="clear" w:color="auto" w:fill="FFFFFF"/>
            <w:vAlign w:val="center"/>
          </w:tcPr>
          <w:p w14:paraId="43EEA2FF" w14:textId="77777777" w:rsidR="0056738E" w:rsidRPr="00A20BBC" w:rsidRDefault="0056738E" w:rsidP="007C2AEE">
            <w:pPr>
              <w:shd w:val="clear" w:color="auto" w:fill="FFFFFF"/>
              <w:tabs>
                <w:tab w:val="right" w:pos="7560"/>
                <w:tab w:val="right" w:pos="900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10,001,241</w:t>
            </w:r>
          </w:p>
        </w:tc>
        <w:tc>
          <w:tcPr>
            <w:tcW w:w="1416" w:type="dxa"/>
            <w:tcBorders>
              <w:top w:val="single" w:sz="4" w:space="0" w:color="auto"/>
              <w:bottom w:val="double" w:sz="6" w:space="0" w:color="000000"/>
            </w:tcBorders>
            <w:shd w:val="clear" w:color="auto" w:fill="FFFFFF"/>
            <w:vAlign w:val="center"/>
          </w:tcPr>
          <w:p w14:paraId="34EFF4D1"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lang w:val="en-US"/>
              </w:rPr>
              <w:t>363,900</w:t>
            </w:r>
          </w:p>
        </w:tc>
        <w:tc>
          <w:tcPr>
            <w:tcW w:w="1410" w:type="dxa"/>
            <w:tcBorders>
              <w:top w:val="single" w:sz="4" w:space="0" w:color="auto"/>
              <w:bottom w:val="double" w:sz="6" w:space="0" w:color="000000"/>
            </w:tcBorders>
            <w:shd w:val="clear" w:color="auto" w:fill="FFFFFF"/>
            <w:vAlign w:val="center"/>
          </w:tcPr>
          <w:p w14:paraId="748FCA24"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lang w:val="en-US"/>
              </w:rPr>
              <w:t>455,740</w:t>
            </w:r>
          </w:p>
        </w:tc>
        <w:tc>
          <w:tcPr>
            <w:tcW w:w="1409" w:type="dxa"/>
            <w:tcBorders>
              <w:top w:val="single" w:sz="4" w:space="0" w:color="auto"/>
              <w:bottom w:val="double" w:sz="6" w:space="0" w:color="000000"/>
            </w:tcBorders>
            <w:shd w:val="clear" w:color="auto" w:fill="FFFFFF"/>
            <w:vAlign w:val="center"/>
          </w:tcPr>
          <w:p w14:paraId="4B4ACD93"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lang w:val="en-US"/>
              </w:rPr>
              <w:t>191,623</w:t>
            </w:r>
          </w:p>
        </w:tc>
        <w:tc>
          <w:tcPr>
            <w:tcW w:w="1835" w:type="dxa"/>
            <w:tcBorders>
              <w:top w:val="single" w:sz="4" w:space="0" w:color="auto"/>
              <w:bottom w:val="double" w:sz="6" w:space="0" w:color="000000"/>
            </w:tcBorders>
            <w:shd w:val="clear" w:color="auto" w:fill="FFFFFF"/>
            <w:vAlign w:val="center"/>
          </w:tcPr>
          <w:p w14:paraId="0FBD5C0B"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rPr>
              <w:t>179,453</w:t>
            </w:r>
          </w:p>
        </w:tc>
        <w:tc>
          <w:tcPr>
            <w:tcW w:w="1409" w:type="dxa"/>
            <w:tcBorders>
              <w:top w:val="single" w:sz="4" w:space="0" w:color="auto"/>
              <w:bottom w:val="double" w:sz="6" w:space="0" w:color="000000"/>
            </w:tcBorders>
            <w:shd w:val="clear" w:color="auto" w:fill="FFFFFF"/>
            <w:vAlign w:val="center"/>
          </w:tcPr>
          <w:p w14:paraId="6E80CB17"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lang w:val="en-US"/>
              </w:rPr>
              <w:t>120,437</w:t>
            </w:r>
          </w:p>
        </w:tc>
        <w:tc>
          <w:tcPr>
            <w:tcW w:w="1410" w:type="dxa"/>
            <w:tcBorders>
              <w:top w:val="single" w:sz="4" w:space="0" w:color="auto"/>
              <w:bottom w:val="double" w:sz="6" w:space="0" w:color="000000"/>
            </w:tcBorders>
            <w:shd w:val="clear" w:color="auto" w:fill="FFFFFF"/>
            <w:vAlign w:val="center"/>
          </w:tcPr>
          <w:p w14:paraId="5DFC1AEE"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lang w:val="en-US"/>
              </w:rPr>
              <w:t>67,993</w:t>
            </w:r>
          </w:p>
        </w:tc>
        <w:tc>
          <w:tcPr>
            <w:tcW w:w="1408" w:type="dxa"/>
            <w:tcBorders>
              <w:top w:val="single" w:sz="4" w:space="0" w:color="auto"/>
              <w:bottom w:val="double" w:sz="6" w:space="0" w:color="000000"/>
            </w:tcBorders>
            <w:shd w:val="clear" w:color="auto" w:fill="FFFFFF"/>
            <w:vAlign w:val="center"/>
          </w:tcPr>
          <w:p w14:paraId="2BA1F3C1" w14:textId="77777777" w:rsidR="0056738E" w:rsidRPr="00A20BBC"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val="el-GR" w:eastAsia="en-US"/>
              </w:rPr>
            </w:pPr>
            <w:r w:rsidRPr="00A03828">
              <w:rPr>
                <w:rFonts w:ascii="Arial" w:eastAsia="Batang" w:hAnsi="Arial" w:cs="Arial"/>
                <w:color w:val="262626"/>
                <w:sz w:val="14"/>
                <w:szCs w:val="14"/>
                <w:lang w:val="en-US"/>
              </w:rPr>
              <w:t>59,004</w:t>
            </w:r>
          </w:p>
        </w:tc>
      </w:tr>
      <w:tr w:rsidR="0056738E" w:rsidRPr="00974DDF" w14:paraId="66178C48" w14:textId="77777777" w:rsidTr="007C2AEE">
        <w:trPr>
          <w:trHeight w:val="255"/>
          <w:jc w:val="center"/>
        </w:trPr>
        <w:tc>
          <w:tcPr>
            <w:tcW w:w="14970" w:type="dxa"/>
            <w:gridSpan w:val="9"/>
            <w:vAlign w:val="center"/>
          </w:tcPr>
          <w:p w14:paraId="49EEB80C" w14:textId="77777777" w:rsidR="0056738E" w:rsidRPr="00873272" w:rsidRDefault="0056738E" w:rsidP="007C2AEE">
            <w:pPr>
              <w:shd w:val="clear" w:color="auto" w:fill="FFFFFF"/>
              <w:tabs>
                <w:tab w:val="left" w:pos="0"/>
                <w:tab w:val="left" w:pos="282"/>
                <w:tab w:val="left" w:pos="720"/>
              </w:tabs>
              <w:suppressAutoHyphens/>
              <w:spacing w:after="0" w:line="240" w:lineRule="auto"/>
              <w:jc w:val="right"/>
              <w:rPr>
                <w:rFonts w:ascii="Arial" w:eastAsia="Batang" w:hAnsi="Arial" w:cs="Arial"/>
                <w:b/>
                <w:bCs/>
                <w:color w:val="262626"/>
                <w:sz w:val="14"/>
                <w:szCs w:val="14"/>
                <w:lang w:eastAsia="en-US"/>
              </w:rPr>
            </w:pPr>
          </w:p>
        </w:tc>
      </w:tr>
      <w:tr w:rsidR="0056738E" w:rsidRPr="007C2AEE" w14:paraId="734704B4" w14:textId="77777777" w:rsidTr="007C2AEE">
        <w:trPr>
          <w:trHeight w:val="255"/>
          <w:jc w:val="center"/>
        </w:trPr>
        <w:tc>
          <w:tcPr>
            <w:tcW w:w="14970" w:type="dxa"/>
            <w:gridSpan w:val="9"/>
            <w:vAlign w:val="center"/>
          </w:tcPr>
          <w:p w14:paraId="306DA3E3" w14:textId="77777777" w:rsidR="0056738E" w:rsidRPr="00484E1E" w:rsidRDefault="0056738E" w:rsidP="007C2AEE">
            <w:pPr>
              <w:keepLines/>
              <w:spacing w:after="0" w:line="200" w:lineRule="atLeast"/>
              <w:ind w:left="288"/>
              <w:jc w:val="both"/>
              <w:rPr>
                <w:rFonts w:ascii="Arial" w:eastAsia="Times New Roman" w:hAnsi="Arial" w:cs="Arial"/>
                <w:spacing w:val="-5"/>
                <w:sz w:val="14"/>
                <w:szCs w:val="14"/>
                <w:lang w:val="el-GR"/>
              </w:rPr>
            </w:pPr>
            <w:r w:rsidRPr="00484E1E">
              <w:rPr>
                <w:rFonts w:ascii="Arial" w:eastAsia="Batang" w:hAnsi="Arial" w:cs="Arial"/>
                <w:color w:val="262626"/>
                <w:spacing w:val="-5"/>
                <w:sz w:val="16"/>
                <w:szCs w:val="16"/>
                <w:vertAlign w:val="superscript"/>
                <w:lang w:val="el-GR" w:eastAsia="en-US"/>
              </w:rPr>
              <w:t xml:space="preserve">1. </w:t>
            </w:r>
            <w:r w:rsidRPr="00484E1E">
              <w:rPr>
                <w:rFonts w:ascii="Arial" w:eastAsia="Times New Roman" w:hAnsi="Arial" w:cs="Arial"/>
                <w:spacing w:val="-5"/>
                <w:sz w:val="14"/>
                <w:szCs w:val="14"/>
                <w:lang w:val="el-GR"/>
              </w:rPr>
              <w:t xml:space="preserve">Μη συμπεριλαμβανομένων δανείων και απαιτήσεων από κεντρικές τράπεζες και χρηματοπιστωτικά ιδρύματα και συμφωνίες </w:t>
            </w:r>
            <w:proofErr w:type="spellStart"/>
            <w:r w:rsidRPr="00484E1E">
              <w:rPr>
                <w:rFonts w:ascii="Arial" w:eastAsia="Times New Roman" w:hAnsi="Arial" w:cs="Arial"/>
                <w:spacing w:val="-5"/>
                <w:sz w:val="14"/>
                <w:szCs w:val="14"/>
                <w:lang w:val="el-GR"/>
              </w:rPr>
              <w:t>επαναπώλησης</w:t>
            </w:r>
            <w:proofErr w:type="spellEnd"/>
            <w:r w:rsidRPr="00484E1E">
              <w:rPr>
                <w:rFonts w:ascii="Arial" w:eastAsia="Times New Roman" w:hAnsi="Arial" w:cs="Arial"/>
                <w:spacing w:val="-5"/>
                <w:sz w:val="14"/>
                <w:szCs w:val="14"/>
                <w:lang w:val="el-GR"/>
              </w:rPr>
              <w:t xml:space="preserve"> τίτλων.</w:t>
            </w:r>
          </w:p>
          <w:p w14:paraId="79350D5C" w14:textId="77777777" w:rsidR="0056738E" w:rsidRPr="00484E1E" w:rsidRDefault="0056738E" w:rsidP="007C2AEE">
            <w:pPr>
              <w:keepLines/>
              <w:spacing w:after="0" w:line="200" w:lineRule="atLeast"/>
              <w:ind w:left="288"/>
              <w:jc w:val="both"/>
              <w:rPr>
                <w:rFonts w:ascii="Tahoma" w:eastAsia="Times New Roman" w:hAnsi="Tahoma" w:cs="Times New Roman"/>
                <w:spacing w:val="-5"/>
                <w:sz w:val="16"/>
                <w:szCs w:val="20"/>
                <w:lang w:val="el-GR"/>
              </w:rPr>
            </w:pPr>
            <w:r w:rsidRPr="00484E1E">
              <w:rPr>
                <w:rFonts w:ascii="Arial" w:eastAsia="Batang" w:hAnsi="Arial" w:cs="Arial"/>
                <w:color w:val="262626"/>
                <w:spacing w:val="-5"/>
                <w:sz w:val="16"/>
                <w:szCs w:val="16"/>
                <w:vertAlign w:val="superscript"/>
                <w:lang w:val="el-GR" w:eastAsia="en-US"/>
              </w:rPr>
              <w:t xml:space="preserve">2. </w:t>
            </w:r>
            <w:r w:rsidRPr="00484E1E">
              <w:rPr>
                <w:rFonts w:ascii="Arial" w:eastAsia="Times New Roman" w:hAnsi="Arial" w:cs="Arial"/>
                <w:spacing w:val="-5"/>
                <w:sz w:val="14"/>
                <w:szCs w:val="14"/>
                <w:lang w:val="el-GR"/>
              </w:rPr>
              <w:t>Η αναπροσαρμογή στην εναπομένουσα εύλογη αξία κατά την αρχική αναγνώριση (αφορά κυρίως τα δάνεια και απαιτήσεις από πελάτες που αποκτήθηκαν ως μέρος της εξαγοράς ορισμένων δραστηριοτήτων της Λαϊκής Τράπεζας και υπολογίζεται ως η διαφορά μεταξύ του συμβατικού ποσού που είναι σε εκκρεμότητα και της εύλογης αξίας των δανείων που αποκτήθηκαν και φέρει αρνητικό υπόλοιπο) περιλαμβάνεται στα μεικτά υπόλοιπα των δανείων και κατά συνέπεια επιφέρει μείωση στα μεικτά υπόλοιπα των δανείων και απαιτήσεων από πελάτες.</w:t>
            </w:r>
          </w:p>
          <w:p w14:paraId="034E70B8" w14:textId="77777777" w:rsidR="0056738E" w:rsidRPr="00873272" w:rsidRDefault="0056738E" w:rsidP="007C2AEE">
            <w:pPr>
              <w:pStyle w:val="FootnoteText"/>
              <w:spacing w:after="120"/>
              <w:ind w:left="313"/>
              <w:jc w:val="both"/>
              <w:rPr>
                <w:rFonts w:ascii="Arial" w:eastAsia="Batang" w:hAnsi="Arial" w:cs="Arial"/>
                <w:b/>
                <w:bCs/>
                <w:color w:val="262626"/>
                <w:sz w:val="14"/>
                <w:szCs w:val="14"/>
                <w:lang w:val="el-GR" w:eastAsia="en-US"/>
              </w:rPr>
            </w:pPr>
            <w:r w:rsidRPr="00BD2748">
              <w:rPr>
                <w:rFonts w:ascii="Arial" w:eastAsia="Batang" w:hAnsi="Arial" w:cs="Arial"/>
                <w:b/>
                <w:bCs/>
                <w:color w:val="262626"/>
                <w:spacing w:val="-5"/>
                <w:sz w:val="16"/>
                <w:szCs w:val="16"/>
                <w:vertAlign w:val="superscript"/>
                <w:lang w:val="el-GR" w:eastAsia="en-US"/>
              </w:rPr>
              <w:t xml:space="preserve">3. </w:t>
            </w:r>
            <w:r w:rsidRPr="00BD2748">
              <w:rPr>
                <w:rFonts w:ascii="Arial" w:hAnsi="Arial" w:cs="Arial"/>
                <w:spacing w:val="-5"/>
                <w:sz w:val="14"/>
                <w:szCs w:val="14"/>
                <w:lang w:val="el-GR"/>
              </w:rPr>
              <w:t>Οι αναλύσεις που παρουσιάζονται στις κατηγορίες ‘μη-χρηματοπιστωτικές επιχειρήσεις’ και ‘νοικοκυριά’ δεν προστίθενται μεταξύ τους, γιατί συγκεκριμένοι πελάτες μπορεί να καταχωρούνται και στις δύο κατηγορίες.</w:t>
            </w:r>
          </w:p>
        </w:tc>
      </w:tr>
    </w:tbl>
    <w:p w14:paraId="068C60A3" w14:textId="77777777" w:rsidR="0056738E" w:rsidRDefault="0056738E" w:rsidP="0056738E">
      <w:pPr>
        <w:rPr>
          <w:rFonts w:ascii="Verdana" w:hAnsi="Verdana"/>
          <w:color w:val="262626"/>
          <w:sz w:val="18"/>
          <w:lang w:val="el-GR"/>
        </w:rPr>
      </w:pPr>
    </w:p>
    <w:p w14:paraId="5263FF57" w14:textId="77777777" w:rsidR="0056738E" w:rsidRDefault="0056738E" w:rsidP="0056738E">
      <w:pPr>
        <w:rPr>
          <w:rFonts w:ascii="Verdana" w:hAnsi="Verdana"/>
          <w:color w:val="262626"/>
          <w:sz w:val="18"/>
          <w:lang w:val="el-GR"/>
        </w:rPr>
      </w:pPr>
    </w:p>
    <w:p w14:paraId="61479A4C" w14:textId="77777777" w:rsidR="0056738E" w:rsidRDefault="0056738E" w:rsidP="0056738E">
      <w:pPr>
        <w:rPr>
          <w:rFonts w:ascii="Verdana" w:hAnsi="Verdana"/>
          <w:color w:val="262626"/>
          <w:sz w:val="18"/>
          <w:lang w:val="el-GR"/>
        </w:rPr>
        <w:sectPr w:rsidR="0056738E" w:rsidSect="0056738E">
          <w:headerReference w:type="default" r:id="rId19"/>
          <w:pgSz w:w="16834" w:h="11909" w:orient="landscape"/>
          <w:pgMar w:top="907" w:right="851" w:bottom="929" w:left="993" w:header="720" w:footer="731" w:gutter="0"/>
          <w:cols w:space="720"/>
          <w:docGrid w:linePitch="326"/>
        </w:sectPr>
      </w:pPr>
    </w:p>
    <w:p w14:paraId="12F752D1" w14:textId="77777777" w:rsidR="0056738E" w:rsidRPr="00022E44" w:rsidRDefault="0056738E" w:rsidP="0056738E">
      <w:pPr>
        <w:keepNext/>
        <w:tabs>
          <w:tab w:val="left" w:pos="1416"/>
          <w:tab w:val="decimal" w:pos="4962"/>
          <w:tab w:val="decimal" w:pos="6521"/>
          <w:tab w:val="right" w:pos="7560"/>
          <w:tab w:val="decimal" w:pos="8220"/>
          <w:tab w:val="left" w:pos="8640"/>
          <w:tab w:val="right" w:pos="9000"/>
        </w:tabs>
        <w:suppressAutoHyphens/>
        <w:spacing w:after="120" w:line="240" w:lineRule="auto"/>
        <w:ind w:left="851" w:right="-130" w:hanging="851"/>
        <w:jc w:val="both"/>
        <w:outlineLvl w:val="8"/>
        <w:rPr>
          <w:rFonts w:ascii="Arial" w:hAnsi="Arial" w:cs="Arial"/>
          <w:color w:val="FF9900"/>
          <w:szCs w:val="18"/>
          <w:lang w:val="el-GR"/>
        </w:rPr>
      </w:pPr>
      <w:r w:rsidRPr="00E55CD1">
        <w:rPr>
          <w:rFonts w:ascii="Arial" w:hAnsi="Arial" w:cs="Arial"/>
          <w:b/>
          <w:color w:val="FF9900"/>
          <w:szCs w:val="18"/>
          <w:lang w:val="el-GR"/>
        </w:rPr>
        <w:lastRenderedPageBreak/>
        <w:t>Ζ</w:t>
      </w:r>
      <w:r w:rsidRPr="00022E44">
        <w:rPr>
          <w:rFonts w:ascii="Arial" w:hAnsi="Arial" w:cs="Arial"/>
          <w:b/>
          <w:color w:val="FF9900"/>
          <w:szCs w:val="18"/>
          <w:lang w:val="el-GR"/>
        </w:rPr>
        <w:t xml:space="preserve">. </w:t>
      </w:r>
      <w:r w:rsidRPr="00022E44">
        <w:rPr>
          <w:rFonts w:ascii="Arial" w:hAnsi="Arial" w:cs="Arial"/>
          <w:b/>
          <w:color w:val="FF9900"/>
          <w:szCs w:val="18"/>
          <w:lang w:val="el-GR"/>
        </w:rPr>
        <w:tab/>
      </w:r>
      <w:r w:rsidRPr="00E55CD1">
        <w:rPr>
          <w:rFonts w:ascii="Arial" w:hAnsi="Arial" w:cs="Arial"/>
          <w:b/>
          <w:color w:val="FF9900"/>
          <w:szCs w:val="18"/>
          <w:lang w:val="el-GR"/>
        </w:rPr>
        <w:t xml:space="preserve">Επιπρόσθετες Γνωστοποιήσεις Διαχείρισης Κινδύνων και Κεφαλαίου </w:t>
      </w:r>
      <w:r w:rsidRPr="00022E44">
        <w:rPr>
          <w:rFonts w:ascii="Arial" w:hAnsi="Arial" w:cs="Arial"/>
          <w:color w:val="FF9900"/>
          <w:szCs w:val="18"/>
          <w:lang w:val="el-GR"/>
        </w:rPr>
        <w:t>(συνέχεια)</w:t>
      </w:r>
    </w:p>
    <w:p w14:paraId="3530E369" w14:textId="77777777" w:rsidR="0056738E" w:rsidRPr="00022E44" w:rsidRDefault="0056738E" w:rsidP="0056738E">
      <w:pPr>
        <w:keepNext/>
        <w:tabs>
          <w:tab w:val="left" w:pos="1416"/>
          <w:tab w:val="decimal" w:pos="4962"/>
          <w:tab w:val="decimal" w:pos="6521"/>
          <w:tab w:val="right" w:pos="7560"/>
          <w:tab w:val="decimal" w:pos="8220"/>
          <w:tab w:val="left" w:pos="8640"/>
          <w:tab w:val="right" w:pos="9000"/>
        </w:tabs>
        <w:suppressAutoHyphens/>
        <w:spacing w:after="120" w:line="240" w:lineRule="auto"/>
        <w:ind w:left="851" w:right="-130" w:hanging="851"/>
        <w:jc w:val="both"/>
        <w:outlineLvl w:val="8"/>
        <w:rPr>
          <w:rFonts w:ascii="Arial" w:hAnsi="Arial" w:cs="Arial"/>
          <w:color w:val="FF9900"/>
          <w:szCs w:val="18"/>
          <w:lang w:val="el-GR"/>
        </w:rPr>
      </w:pPr>
      <w:r w:rsidRPr="00022E44">
        <w:rPr>
          <w:rFonts w:ascii="Arial" w:hAnsi="Arial" w:cs="Arial"/>
          <w:b/>
          <w:color w:val="FF9900"/>
          <w:szCs w:val="18"/>
          <w:lang w:val="el-GR"/>
        </w:rPr>
        <w:t>Ζ</w:t>
      </w:r>
      <w:r>
        <w:rPr>
          <w:rFonts w:ascii="Arial" w:hAnsi="Arial" w:cs="Arial"/>
          <w:b/>
          <w:color w:val="FF9900"/>
          <w:szCs w:val="18"/>
          <w:lang w:val="el-GR"/>
        </w:rPr>
        <w:t>.2</w:t>
      </w:r>
      <w:r w:rsidRPr="00022E44">
        <w:rPr>
          <w:rFonts w:ascii="Arial" w:hAnsi="Arial" w:cs="Arial"/>
          <w:b/>
          <w:color w:val="FF9900"/>
          <w:szCs w:val="18"/>
          <w:lang w:val="el-GR"/>
        </w:rPr>
        <w:t xml:space="preserve"> </w:t>
      </w:r>
      <w:r w:rsidRPr="00022E44">
        <w:rPr>
          <w:rFonts w:ascii="Arial" w:hAnsi="Arial" w:cs="Arial"/>
          <w:b/>
          <w:color w:val="FF9900"/>
          <w:szCs w:val="18"/>
          <w:lang w:val="el-GR"/>
        </w:rPr>
        <w:tab/>
      </w:r>
      <w:r>
        <w:rPr>
          <w:rFonts w:ascii="Arial" w:hAnsi="Arial" w:cs="Arial"/>
          <w:b/>
          <w:color w:val="FF9900"/>
          <w:szCs w:val="18"/>
          <w:lang w:val="el-GR"/>
        </w:rPr>
        <w:t>Διαχείριση κεφαλαίου</w:t>
      </w:r>
    </w:p>
    <w:p w14:paraId="2F90F190" w14:textId="77777777" w:rsidR="0056738E" w:rsidRPr="00A41DBD" w:rsidRDefault="0056738E" w:rsidP="0056738E">
      <w:pPr>
        <w:spacing w:after="0" w:line="240" w:lineRule="auto"/>
        <w:jc w:val="both"/>
        <w:rPr>
          <w:rFonts w:ascii="Arial" w:eastAsia="Batang" w:hAnsi="Arial" w:cs="Arial"/>
          <w:color w:val="262626"/>
          <w:sz w:val="18"/>
          <w:szCs w:val="18"/>
          <w:lang w:val="el-GR" w:eastAsia="en-US"/>
        </w:rPr>
      </w:pPr>
      <w:r w:rsidRPr="000834F5">
        <w:rPr>
          <w:rFonts w:ascii="Arial" w:eastAsia="Batang" w:hAnsi="Arial" w:cs="Arial"/>
          <w:color w:val="262626"/>
          <w:sz w:val="18"/>
          <w:szCs w:val="18"/>
          <w:lang w:val="el-GR" w:eastAsia="en-US"/>
        </w:rPr>
        <w:t xml:space="preserve">Ο κύριος στόχος της διαχείρισης κεφαλαίου του Συγκροτήματος είναι η διασφάλιση της συμμόρφωσης με </w:t>
      </w:r>
      <w:r>
        <w:rPr>
          <w:rFonts w:ascii="Arial" w:eastAsia="Batang" w:hAnsi="Arial" w:cs="Arial"/>
          <w:color w:val="262626"/>
          <w:sz w:val="18"/>
          <w:szCs w:val="18"/>
          <w:lang w:val="el-GR" w:eastAsia="en-US"/>
        </w:rPr>
        <w:t xml:space="preserve">τις </w:t>
      </w:r>
      <w:r w:rsidRPr="000834F5">
        <w:rPr>
          <w:rFonts w:ascii="Arial" w:eastAsia="Batang" w:hAnsi="Arial" w:cs="Arial"/>
          <w:color w:val="262626"/>
          <w:sz w:val="18"/>
          <w:szCs w:val="18"/>
          <w:lang w:val="el-GR" w:eastAsia="en-US"/>
        </w:rPr>
        <w:t>σχετικές εποπτικές κεφαλαιακές απαιτήσεις και η διατήρηση υγιών δεικτών κεφαλαιακής επάρκειας για την</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κάλυψη των επιχειρηματικών κινδύνων, την υποστήριξη της στρατηγικής του Συγκροτήματος και τη</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μεγιστοποίηση της αξίας για τους μετόχους</w:t>
      </w:r>
      <w:r w:rsidRPr="00A41DBD">
        <w:rPr>
          <w:rFonts w:ascii="Arial" w:eastAsia="Batang" w:hAnsi="Arial" w:cs="Arial"/>
          <w:color w:val="262626"/>
          <w:sz w:val="18"/>
          <w:szCs w:val="18"/>
          <w:lang w:val="el-GR" w:eastAsia="en-US"/>
        </w:rPr>
        <w:t>.</w:t>
      </w:r>
    </w:p>
    <w:p w14:paraId="668FE08D" w14:textId="77777777" w:rsidR="0056738E" w:rsidRPr="00A41DBD" w:rsidRDefault="0056738E" w:rsidP="0056738E">
      <w:pPr>
        <w:spacing w:after="0" w:line="240" w:lineRule="auto"/>
        <w:jc w:val="both"/>
        <w:rPr>
          <w:rFonts w:ascii="Arial" w:eastAsia="Batang" w:hAnsi="Arial" w:cs="Arial"/>
          <w:color w:val="262626"/>
          <w:sz w:val="18"/>
          <w:szCs w:val="18"/>
          <w:lang w:val="el-GR" w:eastAsia="en-US"/>
        </w:rPr>
      </w:pPr>
    </w:p>
    <w:p w14:paraId="38A666C0" w14:textId="77777777" w:rsidR="0056738E" w:rsidRPr="00A41DBD" w:rsidRDefault="0056738E" w:rsidP="0056738E">
      <w:pPr>
        <w:spacing w:after="0" w:line="240" w:lineRule="auto"/>
        <w:jc w:val="both"/>
        <w:rPr>
          <w:rFonts w:ascii="Arial" w:eastAsia="Batang" w:hAnsi="Arial" w:cs="Arial"/>
          <w:color w:val="262626"/>
          <w:sz w:val="18"/>
          <w:szCs w:val="18"/>
          <w:lang w:val="el-GR" w:eastAsia="en-US"/>
        </w:rPr>
      </w:pPr>
      <w:r w:rsidRPr="000834F5">
        <w:rPr>
          <w:rFonts w:ascii="Arial" w:eastAsia="Batang" w:hAnsi="Arial" w:cs="Arial"/>
          <w:color w:val="262626"/>
          <w:sz w:val="18"/>
          <w:szCs w:val="18"/>
          <w:lang w:val="el-GR" w:eastAsia="en-US"/>
        </w:rPr>
        <w:t>Οι κανονισμοί κεφαλαιακής επάρκειας σε ισχύ, εφαρμόστηκαν μέσω του Κανονισμού Κεφαλαιακών Απαιτήσεων</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(CRR) και της Οδηγίας Κεφαλαιακών Απαιτήσεων (CRD) και τέθηκαν σε ισχύ την 1 Ιανουαρίου 2014 με κάποιες</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διατάξεις να εφαρμόζονται σταδιακά. Ο Κανονισμός Κεφαλαιακών Απαιτήσεων (CRR) και η Οδηγία Κεφαλαιακών</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Απαιτήσεων (CRD) ενσωμάτωσαν τα νέα πρότυπα της Βασιλείας ΙΙΙ, αναφορικά με τα κεφάλαια, τη ρευστότητα</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 xml:space="preserve">και τη </w:t>
      </w:r>
      <w:proofErr w:type="spellStart"/>
      <w:r w:rsidRPr="000834F5">
        <w:rPr>
          <w:rFonts w:ascii="Arial" w:eastAsia="Batang" w:hAnsi="Arial" w:cs="Arial"/>
          <w:color w:val="262626"/>
          <w:sz w:val="18"/>
          <w:szCs w:val="18"/>
          <w:lang w:val="el-GR" w:eastAsia="en-US"/>
        </w:rPr>
        <w:t>μόχλευση</w:t>
      </w:r>
      <w:proofErr w:type="spellEnd"/>
      <w:r w:rsidRPr="000834F5">
        <w:rPr>
          <w:rFonts w:ascii="Arial" w:eastAsia="Batang" w:hAnsi="Arial" w:cs="Arial"/>
          <w:color w:val="262626"/>
          <w:sz w:val="18"/>
          <w:szCs w:val="18"/>
          <w:lang w:val="el-GR" w:eastAsia="en-US"/>
        </w:rPr>
        <w:t>, στο νομοθετικό πλαίσιο της Ευρωπαϊκής Ένωσης (ΕΕ). Ο Κανονισμός Κεφαλαιακών Απαιτήσεων</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 xml:space="preserve">(CRR) καθορίζει τις εποπτικές απαιτήσεις για τήρηση κεφαλαίων, ρευστότητας και </w:t>
      </w:r>
      <w:proofErr w:type="spellStart"/>
      <w:r w:rsidRPr="000834F5">
        <w:rPr>
          <w:rFonts w:ascii="Arial" w:eastAsia="Batang" w:hAnsi="Arial" w:cs="Arial"/>
          <w:color w:val="262626"/>
          <w:sz w:val="18"/>
          <w:szCs w:val="18"/>
          <w:lang w:val="el-GR" w:eastAsia="en-US"/>
        </w:rPr>
        <w:t>μόχλευσης</w:t>
      </w:r>
      <w:proofErr w:type="spellEnd"/>
      <w:r w:rsidRPr="000834F5">
        <w:rPr>
          <w:rFonts w:ascii="Arial" w:eastAsia="Batang" w:hAnsi="Arial" w:cs="Arial"/>
          <w:color w:val="262626"/>
          <w:sz w:val="18"/>
          <w:szCs w:val="18"/>
          <w:lang w:val="el-GR" w:eastAsia="en-US"/>
        </w:rPr>
        <w:t xml:space="preserve"> για πιστωτικά</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ιδρύματα</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και είναι άμεσα εφαρμόσιμος σε όλα τα κράτη μέλη της ΕΕ. Η Οδηγία Κεφαλαιακών Απαιτήσεων (CRD)</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ρυθμίζει την πρόσβαση σε δραστηριότητες για λήψη καταθέσεων και θέματα εσωτερικής διακυβέρνησης</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συμπεριλαμβανομένων των αμοιβών, της σύνθεσης του διοικητικού συμβουλίου και της διαφάνειας. Σε αντίθεση</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με τον Κανονισμό Κεφαλαιακών Απαιτήσεων (CRR), τα κράτη μέλη ήταν υποχρεωμένα να ενσωματώσουν την</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Οδηγία Κεφαλαιακών Απαιτήσεων (CRD) στη νομοθεσία τους, δίνοντας με αυτό τον τρόπο τη δυνατότητα στην</w:t>
      </w:r>
      <w:r>
        <w:rPr>
          <w:rFonts w:ascii="Arial" w:eastAsia="Batang" w:hAnsi="Arial" w:cs="Arial"/>
          <w:color w:val="262626"/>
          <w:sz w:val="18"/>
          <w:szCs w:val="18"/>
          <w:lang w:val="el-GR" w:eastAsia="en-US"/>
        </w:rPr>
        <w:t xml:space="preserve"> </w:t>
      </w:r>
      <w:r w:rsidRPr="000834F5">
        <w:rPr>
          <w:rFonts w:ascii="Arial" w:eastAsia="Batang" w:hAnsi="Arial" w:cs="Arial"/>
          <w:color w:val="262626"/>
          <w:sz w:val="18"/>
          <w:szCs w:val="18"/>
          <w:lang w:val="el-GR" w:eastAsia="en-US"/>
        </w:rPr>
        <w:t>εποπτική αρχή του κάθε κράτους να επιβάλλει πρόσθετες απαιτήσεις για κεφαλαιακά αποθέματα</w:t>
      </w:r>
      <w:r w:rsidRPr="00A41DBD">
        <w:rPr>
          <w:rFonts w:ascii="Arial" w:eastAsia="Batang" w:hAnsi="Arial" w:cs="Arial"/>
          <w:color w:val="262626"/>
          <w:sz w:val="18"/>
          <w:szCs w:val="18"/>
          <w:lang w:val="el-GR" w:eastAsia="en-US"/>
        </w:rPr>
        <w:t xml:space="preserve">. </w:t>
      </w:r>
    </w:p>
    <w:p w14:paraId="62C0B24F" w14:textId="77777777" w:rsidR="0056738E" w:rsidRPr="00A41DBD" w:rsidRDefault="0056738E" w:rsidP="0056738E">
      <w:pPr>
        <w:spacing w:after="0" w:line="240" w:lineRule="auto"/>
        <w:jc w:val="both"/>
        <w:rPr>
          <w:rFonts w:ascii="Arial" w:eastAsia="Batang" w:hAnsi="Arial" w:cs="Arial"/>
          <w:color w:val="262626"/>
          <w:sz w:val="18"/>
          <w:szCs w:val="18"/>
          <w:lang w:val="el-GR" w:eastAsia="en-US"/>
        </w:rPr>
      </w:pPr>
      <w:r w:rsidRPr="00A41DBD" w:rsidDel="00CF2AD3">
        <w:rPr>
          <w:rFonts w:ascii="Arial" w:eastAsia="Batang" w:hAnsi="Arial" w:cs="Arial"/>
          <w:color w:val="262626"/>
          <w:sz w:val="18"/>
          <w:szCs w:val="18"/>
          <w:lang w:val="el-GR" w:eastAsia="en-US"/>
        </w:rPr>
        <w:t xml:space="preserve"> </w:t>
      </w:r>
    </w:p>
    <w:p w14:paraId="15856362" w14:textId="77777777" w:rsidR="0056738E" w:rsidRPr="00BF7133" w:rsidRDefault="0056738E" w:rsidP="0056738E">
      <w:pPr>
        <w:spacing w:after="0" w:line="240" w:lineRule="auto"/>
        <w:jc w:val="both"/>
        <w:rPr>
          <w:rFonts w:ascii="Arial" w:eastAsia="Batang" w:hAnsi="Arial" w:cs="Arial"/>
          <w:color w:val="262626"/>
          <w:sz w:val="18"/>
          <w:szCs w:val="18"/>
          <w:lang w:val="el-GR" w:eastAsia="en-US"/>
        </w:rPr>
      </w:pPr>
      <w:r w:rsidRPr="00BF7133">
        <w:rPr>
          <w:rFonts w:ascii="Arial" w:eastAsia="Batang" w:hAnsi="Arial" w:cs="Arial"/>
          <w:color w:val="262626"/>
          <w:sz w:val="18"/>
          <w:szCs w:val="18"/>
          <w:lang w:val="el-GR" w:eastAsia="en-US"/>
        </w:rPr>
        <w:t>Στις 27 Ιουνίου 2019, τέθηκαν σε εφαρμογή οι αναθεωρημένοι κανονισμοί για το κεφάλαιο και τη ρευστότητα (ο Κανονισμός (ΕΕ) 2019/876 (Κανονισμός Κεφαλαιακών Απαιτήσεων II (CRR II) και η Οδηγία (ΕΕ) 2019/878 (Οδηγία Κεφαλαιακών Απαιτήσεων V (CRD V)). Επειδή πρόκειται για τροποποιητικό κανονισμό, ισχύουν οι υφιστάμενες διατάξεις του Κανονισμού Κεφαλαιακών Απαιτήσεων (CRR), εκτός εάν έχουν τροποποιηθεί από τον Κανονισμό Κεφαλαιακών Απαιτήσεων II (CRR II). Συγκεκριμένες διατάξεις τέθηκαν άμεσα σε εφαρμογή (κυρίως σε σχέση με την Ελάχιστη Απαίτηση Ιδίων Κεφαλαίων και Επιλέξιμων Υποχρεώσεων (MREL)), αλλά οι περισσότερες αλλαγές τέθηκαν σε εφαρμογή από τον Ιούνιο 2021. Οι βασικές αλλαγές που εισήχθησαν περιλαμβάνουν μεταξύ άλλων, αλλαγές στα κριτήρια καταλληλόλητας για τα Κεφάλαια Κοινών Μετοχών Κατηγορίας 1 (CET1), τα Πρόσθετα Κεφάλαια Κατηγορίας 1 (ΑΤ1), και τα Κεφάλαια Κατηγορίας 2 (T2), εισαγωγή απαιτήσεων για την Ελάχιστη Απαίτηση Ιδίων Κεφαλαίων και Επιλέξιμων Υποχρεώσεων (MREL) και τη δεσμευτική</w:t>
      </w:r>
      <w:r w:rsidRPr="00A03828">
        <w:rPr>
          <w:rFonts w:ascii="Arial" w:eastAsia="Batang" w:hAnsi="Arial" w:cs="Arial"/>
          <w:color w:val="262626"/>
          <w:sz w:val="18"/>
          <w:szCs w:val="18"/>
          <w:lang w:val="el-GR" w:eastAsia="en-US"/>
        </w:rPr>
        <w:t xml:space="preserve"> </w:t>
      </w:r>
      <w:r w:rsidRPr="00BF7133">
        <w:rPr>
          <w:rFonts w:ascii="Arial" w:eastAsia="Batang" w:hAnsi="Arial" w:cs="Arial"/>
          <w:color w:val="262626"/>
          <w:sz w:val="18"/>
          <w:szCs w:val="18"/>
          <w:lang w:val="el-GR" w:eastAsia="en-US"/>
        </w:rPr>
        <w:t xml:space="preserve">απαίτηση για τον Δείκτη </w:t>
      </w:r>
      <w:proofErr w:type="spellStart"/>
      <w:r w:rsidRPr="00BF7133">
        <w:rPr>
          <w:rFonts w:ascii="Arial" w:eastAsia="Batang" w:hAnsi="Arial" w:cs="Arial"/>
          <w:color w:val="262626"/>
          <w:sz w:val="18"/>
          <w:szCs w:val="18"/>
          <w:lang w:val="el-GR" w:eastAsia="en-US"/>
        </w:rPr>
        <w:t>Μόχλευσης</w:t>
      </w:r>
      <w:proofErr w:type="spellEnd"/>
      <w:r w:rsidRPr="00BF7133">
        <w:rPr>
          <w:rFonts w:ascii="Arial" w:eastAsia="Batang" w:hAnsi="Arial" w:cs="Arial"/>
          <w:color w:val="262626"/>
          <w:sz w:val="18"/>
          <w:szCs w:val="18"/>
          <w:lang w:val="el-GR" w:eastAsia="en-US"/>
        </w:rPr>
        <w:t xml:space="preserve"> (όπως ορίζεται στον Κανονισμό Κεφαλαιακών Απαιτήσεων (CRR)) και τον</w:t>
      </w:r>
      <w:r w:rsidRPr="00A03828">
        <w:rPr>
          <w:rFonts w:ascii="Arial" w:eastAsia="Batang" w:hAnsi="Arial" w:cs="Arial"/>
          <w:color w:val="262626"/>
          <w:sz w:val="18"/>
          <w:szCs w:val="18"/>
          <w:lang w:val="el-GR" w:eastAsia="en-US"/>
        </w:rPr>
        <w:t xml:space="preserve"> </w:t>
      </w:r>
      <w:r w:rsidRPr="00BF7133">
        <w:rPr>
          <w:rFonts w:ascii="Arial" w:eastAsia="Batang" w:hAnsi="Arial" w:cs="Arial"/>
          <w:color w:val="262626"/>
          <w:sz w:val="18"/>
          <w:szCs w:val="18"/>
          <w:lang w:val="el-GR" w:eastAsia="en-US"/>
        </w:rPr>
        <w:t>Δείκτη Καθαρής Σταθερής Χρηματοδότησης (ΔΚΣΧ).</w:t>
      </w:r>
    </w:p>
    <w:p w14:paraId="3942628C" w14:textId="77777777" w:rsidR="0056738E" w:rsidRPr="00A41DBD" w:rsidRDefault="0056738E" w:rsidP="0056738E">
      <w:pPr>
        <w:spacing w:after="0" w:line="240" w:lineRule="auto"/>
        <w:jc w:val="both"/>
        <w:rPr>
          <w:rFonts w:ascii="Arial" w:eastAsia="Batang" w:hAnsi="Arial" w:cs="Arial"/>
          <w:color w:val="262626"/>
          <w:sz w:val="18"/>
          <w:szCs w:val="18"/>
          <w:lang w:val="el-GR" w:eastAsia="en-US"/>
        </w:rPr>
      </w:pPr>
      <w:r w:rsidRPr="00A41DBD" w:rsidDel="00CF2AD3">
        <w:rPr>
          <w:rFonts w:ascii="Arial" w:eastAsia="Batang" w:hAnsi="Arial" w:cs="Arial"/>
          <w:color w:val="262626"/>
          <w:sz w:val="18"/>
          <w:szCs w:val="18"/>
          <w:lang w:val="el-GR" w:eastAsia="en-US"/>
        </w:rPr>
        <w:t xml:space="preserve"> </w:t>
      </w:r>
    </w:p>
    <w:p w14:paraId="42CB5453" w14:textId="77777777" w:rsidR="0056738E" w:rsidRPr="00BF7133" w:rsidRDefault="0056738E" w:rsidP="0056738E">
      <w:pPr>
        <w:autoSpaceDE w:val="0"/>
        <w:autoSpaceDN w:val="0"/>
        <w:spacing w:after="0" w:line="240" w:lineRule="auto"/>
        <w:jc w:val="both"/>
        <w:rPr>
          <w:rFonts w:ascii="Arial" w:eastAsia="Batang" w:hAnsi="Arial" w:cs="Arial"/>
          <w:color w:val="262626"/>
          <w:sz w:val="18"/>
          <w:szCs w:val="18"/>
          <w:lang w:val="el-GR" w:eastAsia="en-US"/>
        </w:rPr>
      </w:pPr>
      <w:r w:rsidRPr="00BF7133">
        <w:rPr>
          <w:rFonts w:ascii="Arial" w:eastAsia="Batang" w:hAnsi="Arial" w:cs="Arial"/>
          <w:color w:val="262626"/>
          <w:sz w:val="18"/>
          <w:szCs w:val="18"/>
          <w:lang w:val="el-GR" w:eastAsia="en-US"/>
        </w:rPr>
        <w:t>Οι τροποποιήσεις που τέθηκαν σε εφαρμογή στις 28 Ιουνίου 2021 είναι επιπρόσθετες αυτών που τέθηκαν σε ισχύ τον Ιούνιο 2020 μέσω του Κανονισμού (ΕΕ) 2020/873, ο οποίος, μεταξύ άλλων, επίσπευσε την εφαρμογή ορισμένων τροποποιήσεων του Κανονισμού Κεφαλαιακών Απαιτήσεων II (CRR II) προς αντιμετώπιση της πανδημίας του COVID-19. Οι κυριότερες τροποποιήσεις του Κανονισμού (ΕΕ) 2020/873 που επηρέασαν τους δείκτες κεφαλαίου του Συγκροτήματος σχετίζονται με την επίσπευση της εφαρμογής του νέου συντελεστή έκπτωσης για ΜΜΕ (χαμηλότερα σταθμισμένα ως προς τον κίνδυνο περιουσιακά στοιχεία (</w:t>
      </w:r>
      <w:proofErr w:type="spellStart"/>
      <w:r w:rsidRPr="00BF7133">
        <w:rPr>
          <w:rFonts w:ascii="Arial" w:eastAsia="Batang" w:hAnsi="Arial" w:cs="Arial"/>
          <w:color w:val="262626"/>
          <w:sz w:val="18"/>
          <w:szCs w:val="18"/>
          <w:lang w:val="el-GR" w:eastAsia="en-US"/>
        </w:rPr>
        <w:t>RWAs</w:t>
      </w:r>
      <w:proofErr w:type="spellEnd"/>
      <w:r w:rsidRPr="00BF7133">
        <w:rPr>
          <w:rFonts w:ascii="Arial" w:eastAsia="Batang" w:hAnsi="Arial" w:cs="Arial"/>
          <w:color w:val="262626"/>
          <w:sz w:val="18"/>
          <w:szCs w:val="18"/>
          <w:lang w:val="el-GR" w:eastAsia="en-US"/>
        </w:rPr>
        <w:t xml:space="preserve">)), με την επέκταση των μεταβατικών ρυθμίσεων του ΔΠΧΑ 9 και την εισαγωγή περαιτέρω μέτρων ελάφρυνσης της επίπτωσης στον δείκτη Κεφαλαίου Κοινών Μετοχών Κατηγορίας 1 (CET1) επιτρέποντας στα ιδρύματα να προσθέτουν στο Κεφάλαιο Κοινών Μετοχών Κατηγορίας 1 (CET1) οποιαδήποτε αύξηση στις αναμενόμενες πιστωτικές ζημιές που αναγνωρίστηκαν το 2020 και 2021 σχετικά με τα χρηματοοικονομικά περιουσιακά στοιχεία που δεν είναι </w:t>
      </w:r>
      <w:proofErr w:type="spellStart"/>
      <w:r w:rsidRPr="00BF7133">
        <w:rPr>
          <w:rFonts w:ascii="Arial" w:eastAsia="Batang" w:hAnsi="Arial" w:cs="Arial"/>
          <w:color w:val="262626"/>
          <w:sz w:val="18"/>
          <w:szCs w:val="18"/>
          <w:lang w:val="el-GR" w:eastAsia="en-US"/>
        </w:rPr>
        <w:t>απομειωμένης</w:t>
      </w:r>
      <w:proofErr w:type="spellEnd"/>
      <w:r w:rsidRPr="00BF7133">
        <w:rPr>
          <w:rFonts w:ascii="Arial" w:eastAsia="Batang" w:hAnsi="Arial" w:cs="Arial"/>
          <w:color w:val="262626"/>
          <w:sz w:val="18"/>
          <w:szCs w:val="18"/>
          <w:lang w:val="el-GR" w:eastAsia="en-US"/>
        </w:rPr>
        <w:t xml:space="preserve"> πιστωτικής αξίας με τη σταδιακή μείωση της αναπροσαρμογής να αρχίζει από το 2022 (μείωση αναπροσαρμογής στο 25% το 2022, 50% το 2023 και 75% το 2024) και επισπεύδοντας την εφαρμογή των αλλαγών στην εποπτική μεταχείριση των άυλων περιουσιακών στοιχείων λογισμικού, όπως τροποποιήθηκε από τον Κανονισμό Κεφαλαιακών Απαιτήσεων II (CRR II) (τέθηκε σε ισχύ τον Δεκέμβριο 2020).</w:t>
      </w:r>
    </w:p>
    <w:p w14:paraId="0D6EC83A" w14:textId="77777777" w:rsidR="0056738E" w:rsidRPr="00BF7133" w:rsidRDefault="0056738E" w:rsidP="0056738E">
      <w:pPr>
        <w:autoSpaceDE w:val="0"/>
        <w:autoSpaceDN w:val="0"/>
        <w:spacing w:after="0" w:line="240" w:lineRule="auto"/>
        <w:jc w:val="both"/>
        <w:rPr>
          <w:rFonts w:ascii="Arial" w:eastAsia="Batang" w:hAnsi="Arial" w:cs="Arial"/>
          <w:color w:val="262626"/>
          <w:sz w:val="18"/>
          <w:szCs w:val="18"/>
          <w:lang w:val="el-GR" w:eastAsia="en-US"/>
        </w:rPr>
      </w:pPr>
    </w:p>
    <w:p w14:paraId="6E0404E7" w14:textId="77777777" w:rsidR="0056738E" w:rsidRDefault="0056738E" w:rsidP="0056738E">
      <w:pPr>
        <w:spacing w:after="0" w:line="240" w:lineRule="auto"/>
        <w:jc w:val="both"/>
        <w:rPr>
          <w:rFonts w:ascii="Arial" w:eastAsia="Batang" w:hAnsi="Arial" w:cs="Arial"/>
          <w:color w:val="262626"/>
          <w:sz w:val="18"/>
          <w:szCs w:val="18"/>
          <w:lang w:val="en-US" w:eastAsia="en-US"/>
        </w:rPr>
      </w:pPr>
      <w:r w:rsidRPr="00BF7133">
        <w:rPr>
          <w:rFonts w:ascii="Arial" w:eastAsia="Batang" w:hAnsi="Arial" w:cs="Arial"/>
          <w:color w:val="262626"/>
          <w:sz w:val="18"/>
          <w:szCs w:val="18"/>
          <w:lang w:val="el-GR" w:eastAsia="en-US"/>
        </w:rPr>
        <w:t>Τον Οκτώβριο του 2021, η Ευρωπαϊκή Επιτροπή υιοθέτησε νομοθετικές προτάσεις για περαιτέρω τροποποιήσεις στον Κανονισμό Κεφαλαιακών Απαιτήσεων (CRR), στην Οδηγία Κεφαλαιακών Απαιτήσεων (CRD) και στην Οδηγία για Ανάκαμψη και Εξυγίανση Πιστωτικών Ιδρυμάτων και Επιχειρήσεων Επενδύσεων (BRRD) (το ‘Τραπεζικό  Πακέτο 2021’). Μεταξύ άλλων, το Τραπεζικό Πακέτο 2021 θα εφαρμόσει ορισμένα μέρη της Βασιλείας ΙΙΙ που δεν έχουν ακόμη ενσωματωθεί στη νομοθεσία της ΕΕ. Το Τραπεζικό Πακέτο 2021 περιλαμβάνει</w:t>
      </w:r>
      <w:r w:rsidRPr="00A41DBD">
        <w:rPr>
          <w:rFonts w:ascii="Arial" w:eastAsia="Batang" w:hAnsi="Arial" w:cs="Arial"/>
          <w:color w:val="262626"/>
          <w:sz w:val="18"/>
          <w:szCs w:val="18"/>
          <w:lang w:val="el-GR" w:eastAsia="en-US"/>
        </w:rPr>
        <w:t>:</w:t>
      </w:r>
    </w:p>
    <w:p w14:paraId="2B3CF5B9" w14:textId="77777777" w:rsidR="0056738E" w:rsidRPr="00A03828" w:rsidRDefault="0056738E" w:rsidP="0056738E">
      <w:pPr>
        <w:spacing w:after="0" w:line="240" w:lineRule="auto"/>
        <w:jc w:val="both"/>
        <w:rPr>
          <w:rFonts w:ascii="Arial" w:eastAsia="Batang" w:hAnsi="Arial" w:cs="Arial"/>
          <w:color w:val="262626"/>
          <w:sz w:val="18"/>
          <w:szCs w:val="18"/>
          <w:lang w:val="en-US" w:eastAsia="en-US"/>
        </w:rPr>
      </w:pPr>
    </w:p>
    <w:p w14:paraId="5CAB91F2" w14:textId="77777777" w:rsidR="0056738E" w:rsidRPr="00BF7133" w:rsidRDefault="0056738E" w:rsidP="0056738E">
      <w:pPr>
        <w:numPr>
          <w:ilvl w:val="0"/>
          <w:numId w:val="20"/>
        </w:numPr>
        <w:spacing w:after="0" w:line="240" w:lineRule="auto"/>
        <w:jc w:val="both"/>
        <w:rPr>
          <w:rFonts w:ascii="Arial" w:eastAsia="Batang" w:hAnsi="Arial" w:cs="Arial"/>
          <w:color w:val="262626"/>
          <w:sz w:val="18"/>
          <w:szCs w:val="18"/>
          <w:lang w:val="el-GR" w:eastAsia="en-US"/>
        </w:rPr>
      </w:pPr>
      <w:bookmarkStart w:id="42" w:name="_Hlk115859485"/>
      <w:r w:rsidRPr="00BF7133">
        <w:rPr>
          <w:rFonts w:ascii="Arial" w:eastAsia="Batang" w:hAnsi="Arial" w:cs="Arial"/>
          <w:color w:val="262626"/>
          <w:sz w:val="18"/>
          <w:szCs w:val="18"/>
          <w:lang w:val="el-GR" w:eastAsia="en-US"/>
        </w:rPr>
        <w:t>πρόταση για Κανονισμό (που συνήθως αναφέρεται ως ‘Κανονισμός Κεφαλαιακών Απαιτήσεων III (CRR III)’) με σκοπό την τροποποίηση του Κανονισμού Κεφαλαιακών Απαιτήσεων (CRR) όσον αφορά, μεταξύ άλλων, τις απαιτήσεις σχετικά με τον πιστωτικό κίνδυνο, τον κίνδυνο προσαρμογής της πιστωτικής αποτίμησης, το λειτουργικό κίνδυνο, τον κίνδυνο αγοράς και το ‘</w:t>
      </w:r>
      <w:proofErr w:type="spellStart"/>
      <w:r w:rsidRPr="00BF7133">
        <w:rPr>
          <w:rFonts w:ascii="Arial" w:eastAsia="Batang" w:hAnsi="Arial" w:cs="Arial"/>
          <w:color w:val="262626"/>
          <w:sz w:val="18"/>
          <w:szCs w:val="18"/>
          <w:lang w:val="el-GR" w:eastAsia="en-US"/>
        </w:rPr>
        <w:t>output</w:t>
      </w:r>
      <w:proofErr w:type="spellEnd"/>
      <w:r w:rsidRPr="00BF7133">
        <w:rPr>
          <w:rFonts w:ascii="Arial" w:eastAsia="Batang" w:hAnsi="Arial" w:cs="Arial"/>
          <w:color w:val="262626"/>
          <w:sz w:val="18"/>
          <w:szCs w:val="18"/>
          <w:lang w:val="el-GR" w:eastAsia="en-US"/>
        </w:rPr>
        <w:t xml:space="preserve"> </w:t>
      </w:r>
      <w:proofErr w:type="spellStart"/>
      <w:r w:rsidRPr="00BF7133">
        <w:rPr>
          <w:rFonts w:ascii="Arial" w:eastAsia="Batang" w:hAnsi="Arial" w:cs="Arial"/>
          <w:color w:val="262626"/>
          <w:sz w:val="18"/>
          <w:szCs w:val="18"/>
          <w:lang w:val="el-GR" w:eastAsia="en-US"/>
        </w:rPr>
        <w:t>floor</w:t>
      </w:r>
      <w:proofErr w:type="spellEnd"/>
      <w:r w:rsidRPr="00BF7133">
        <w:rPr>
          <w:rFonts w:ascii="Arial" w:eastAsia="Batang" w:hAnsi="Arial" w:cs="Arial"/>
          <w:color w:val="262626"/>
          <w:sz w:val="18"/>
          <w:szCs w:val="18"/>
          <w:lang w:val="el-GR" w:eastAsia="en-US"/>
        </w:rPr>
        <w:t>’,</w:t>
      </w:r>
    </w:p>
    <w:p w14:paraId="3D0AE5A7" w14:textId="77777777" w:rsidR="0056738E" w:rsidRPr="00BF7133" w:rsidRDefault="0056738E" w:rsidP="0056738E">
      <w:pPr>
        <w:numPr>
          <w:ilvl w:val="0"/>
          <w:numId w:val="20"/>
        </w:numPr>
        <w:spacing w:after="0" w:line="240" w:lineRule="auto"/>
        <w:jc w:val="both"/>
        <w:rPr>
          <w:rFonts w:ascii="Arial" w:eastAsia="Batang" w:hAnsi="Arial" w:cs="Arial"/>
          <w:color w:val="262626"/>
          <w:sz w:val="18"/>
          <w:szCs w:val="18"/>
          <w:lang w:val="el-GR" w:eastAsia="en-US"/>
        </w:rPr>
      </w:pPr>
      <w:r w:rsidRPr="00BF7133">
        <w:rPr>
          <w:rFonts w:ascii="Arial" w:eastAsia="Batang" w:hAnsi="Arial" w:cs="Arial"/>
          <w:color w:val="262626"/>
          <w:sz w:val="18"/>
          <w:szCs w:val="18"/>
          <w:lang w:val="el-GR" w:eastAsia="en-US"/>
        </w:rPr>
        <w:t>πρόταση για Οδηγία (που συνήθως αναφέρεται ως ‘Οδηγία Κεφαλαιακών Απαιτήσεων VI (CRD VI)’) με σκοπό την τροποποίηση της Οδηγίας Κεφαλαιακών Απαιτήσεων (CRD) όσον αφορά, μεταξύ άλλων, τις απαιτήσεις σε σχέση με τις εποπτικές εξουσίες, τις κυρώσεις, τα υποκαταστήματα τρίτων χωρών και τους περιβαλλοντικούς, κοινωνικούς και σχετικούς με τη διακυβέρνηση κινδύνους (ESG), και</w:t>
      </w:r>
    </w:p>
    <w:p w14:paraId="6619115B" w14:textId="77777777" w:rsidR="0056738E" w:rsidRPr="00BF7133" w:rsidRDefault="0056738E" w:rsidP="0056738E">
      <w:pPr>
        <w:numPr>
          <w:ilvl w:val="0"/>
          <w:numId w:val="20"/>
        </w:numPr>
        <w:spacing w:after="0" w:line="240" w:lineRule="auto"/>
        <w:jc w:val="both"/>
        <w:rPr>
          <w:rFonts w:ascii="Arial" w:eastAsia="Batang" w:hAnsi="Arial" w:cs="Arial"/>
          <w:color w:val="262626"/>
          <w:sz w:val="18"/>
          <w:szCs w:val="18"/>
          <w:lang w:val="el-GR" w:eastAsia="en-US"/>
        </w:rPr>
      </w:pPr>
      <w:r w:rsidRPr="00BF7133">
        <w:rPr>
          <w:rFonts w:ascii="Arial" w:eastAsia="Batang" w:hAnsi="Arial" w:cs="Arial"/>
          <w:color w:val="262626"/>
          <w:sz w:val="18"/>
          <w:szCs w:val="18"/>
          <w:lang w:val="el-GR" w:eastAsia="en-US"/>
        </w:rPr>
        <w:t>πρόταση για Κανονισμό για τροποποίηση του Κανονισμού Κεφαλαιακών Απαιτήσεων (CRR) και της Οδηγίας για Ανάκαμψη και Εξυγίανση Πιστωτικών Ιδρυμάτων και Επιχειρήσεων Επενδύσεων (BRRD) όσον αφορά, μεταξύ άλλων, τις απαιτήσεις σε σχέση με τον προληπτικό εποπτικό χειρισμό των παγκόσμια συστημικά σημαντικών ιδρυμάτων (G-SII) με στρατηγική έναρξης διαδικασίας εξυγίανσης από πολλαπλά σημεία εισόδου και τη μεθοδολογία για την έμμεση συμμετοχή σε επιλέξιμα μέσα για ικανοποίηση της Ελάχιστης Απαίτησης Ιδίων Κεφαλαίων και Επιλέξιμων Υποχρεώσεων (MREL).</w:t>
      </w:r>
    </w:p>
    <w:bookmarkEnd w:id="42"/>
    <w:p w14:paraId="6ABBBA28" w14:textId="77777777" w:rsidR="0056738E" w:rsidRDefault="0056738E" w:rsidP="0056738E">
      <w:pPr>
        <w:rPr>
          <w:rFonts w:ascii="Arial" w:eastAsia="Batang" w:hAnsi="Arial" w:cs="Arial"/>
          <w:color w:val="262626"/>
          <w:sz w:val="18"/>
          <w:szCs w:val="18"/>
          <w:lang w:val="el-GR" w:eastAsia="en-US"/>
        </w:rPr>
      </w:pPr>
      <w:r>
        <w:rPr>
          <w:rFonts w:ascii="Arial" w:eastAsia="Batang" w:hAnsi="Arial" w:cs="Arial"/>
          <w:color w:val="262626"/>
          <w:sz w:val="18"/>
          <w:szCs w:val="18"/>
          <w:lang w:val="el-GR" w:eastAsia="en-US"/>
        </w:rPr>
        <w:br w:type="page"/>
      </w:r>
    </w:p>
    <w:p w14:paraId="3EE1722A" w14:textId="77777777" w:rsidR="0056738E" w:rsidRPr="00022E44" w:rsidRDefault="0056738E" w:rsidP="0056738E">
      <w:pPr>
        <w:spacing w:after="0" w:line="360" w:lineRule="auto"/>
        <w:ind w:left="851" w:hanging="851"/>
        <w:jc w:val="both"/>
        <w:rPr>
          <w:rFonts w:ascii="Arial" w:hAnsi="Arial" w:cs="Arial"/>
          <w:color w:val="FF9900"/>
          <w:szCs w:val="18"/>
          <w:lang w:val="el-GR"/>
        </w:rPr>
      </w:pPr>
      <w:r w:rsidRPr="00E55CD1">
        <w:rPr>
          <w:rFonts w:ascii="Arial" w:hAnsi="Arial" w:cs="Arial"/>
          <w:b/>
          <w:color w:val="FF9900"/>
          <w:szCs w:val="18"/>
          <w:lang w:val="el-GR"/>
        </w:rPr>
        <w:lastRenderedPageBreak/>
        <w:t>Ζ</w:t>
      </w:r>
      <w:r w:rsidRPr="00022E44">
        <w:rPr>
          <w:rFonts w:ascii="Arial" w:hAnsi="Arial" w:cs="Arial"/>
          <w:b/>
          <w:color w:val="FF9900"/>
          <w:szCs w:val="18"/>
          <w:lang w:val="el-GR"/>
        </w:rPr>
        <w:t xml:space="preserve">. </w:t>
      </w:r>
      <w:r w:rsidRPr="00022E44">
        <w:rPr>
          <w:rFonts w:ascii="Arial" w:hAnsi="Arial" w:cs="Arial"/>
          <w:b/>
          <w:color w:val="FF9900"/>
          <w:szCs w:val="18"/>
          <w:lang w:val="el-GR"/>
        </w:rPr>
        <w:tab/>
      </w:r>
      <w:r w:rsidRPr="00E55CD1">
        <w:rPr>
          <w:rFonts w:ascii="Arial" w:hAnsi="Arial" w:cs="Arial"/>
          <w:b/>
          <w:color w:val="FF9900"/>
          <w:szCs w:val="18"/>
          <w:lang w:val="el-GR"/>
        </w:rPr>
        <w:t xml:space="preserve">Επιπρόσθετες Γνωστοποιήσεις Διαχείρισης Κινδύνων και Κεφαλαίου </w:t>
      </w:r>
      <w:r w:rsidRPr="00022E44">
        <w:rPr>
          <w:rFonts w:ascii="Arial" w:hAnsi="Arial" w:cs="Arial"/>
          <w:color w:val="FF9900"/>
          <w:szCs w:val="18"/>
          <w:lang w:val="el-GR"/>
        </w:rPr>
        <w:t>(συνέχεια)</w:t>
      </w:r>
    </w:p>
    <w:p w14:paraId="69E582BB" w14:textId="77777777" w:rsidR="0056738E" w:rsidRPr="00022E44" w:rsidRDefault="0056738E" w:rsidP="0056738E">
      <w:pPr>
        <w:keepNext/>
        <w:tabs>
          <w:tab w:val="left" w:pos="1416"/>
          <w:tab w:val="decimal" w:pos="4962"/>
          <w:tab w:val="decimal" w:pos="6521"/>
          <w:tab w:val="right" w:pos="7560"/>
          <w:tab w:val="decimal" w:pos="8220"/>
          <w:tab w:val="left" w:pos="8640"/>
          <w:tab w:val="right" w:pos="9000"/>
        </w:tabs>
        <w:suppressAutoHyphens/>
        <w:spacing w:after="120" w:line="240" w:lineRule="auto"/>
        <w:ind w:left="851" w:right="-130" w:hanging="851"/>
        <w:jc w:val="both"/>
        <w:outlineLvl w:val="8"/>
        <w:rPr>
          <w:rFonts w:ascii="Arial" w:hAnsi="Arial" w:cs="Arial"/>
          <w:color w:val="FF9900"/>
          <w:szCs w:val="18"/>
          <w:lang w:val="el-GR"/>
        </w:rPr>
      </w:pPr>
      <w:r w:rsidRPr="00022E44">
        <w:rPr>
          <w:rFonts w:ascii="Arial" w:hAnsi="Arial" w:cs="Arial"/>
          <w:b/>
          <w:color w:val="FF9900"/>
          <w:szCs w:val="18"/>
          <w:lang w:val="el-GR"/>
        </w:rPr>
        <w:t>Ζ</w:t>
      </w:r>
      <w:r>
        <w:rPr>
          <w:rFonts w:ascii="Arial" w:hAnsi="Arial" w:cs="Arial"/>
          <w:b/>
          <w:color w:val="FF9900"/>
          <w:szCs w:val="18"/>
          <w:lang w:val="el-GR"/>
        </w:rPr>
        <w:t>.2</w:t>
      </w:r>
      <w:r w:rsidRPr="00022E44">
        <w:rPr>
          <w:rFonts w:ascii="Arial" w:hAnsi="Arial" w:cs="Arial"/>
          <w:b/>
          <w:color w:val="FF9900"/>
          <w:szCs w:val="18"/>
          <w:lang w:val="el-GR"/>
        </w:rPr>
        <w:t xml:space="preserve"> </w:t>
      </w:r>
      <w:r w:rsidRPr="00022E44">
        <w:rPr>
          <w:rFonts w:ascii="Arial" w:hAnsi="Arial" w:cs="Arial"/>
          <w:b/>
          <w:color w:val="FF9900"/>
          <w:szCs w:val="18"/>
          <w:lang w:val="el-GR"/>
        </w:rPr>
        <w:tab/>
      </w:r>
      <w:r>
        <w:rPr>
          <w:rFonts w:ascii="Arial" w:hAnsi="Arial" w:cs="Arial"/>
          <w:b/>
          <w:color w:val="FF9900"/>
          <w:szCs w:val="18"/>
          <w:lang w:val="el-GR"/>
        </w:rPr>
        <w:t>Διαχείριση κεφαλαίου</w:t>
      </w:r>
      <w:r w:rsidRPr="00022E44">
        <w:rPr>
          <w:rFonts w:ascii="Arial" w:hAnsi="Arial" w:cs="Arial"/>
          <w:color w:val="FF9900"/>
          <w:szCs w:val="18"/>
          <w:lang w:val="el-GR"/>
        </w:rPr>
        <w:t xml:space="preserve"> (συνέχεια)</w:t>
      </w:r>
    </w:p>
    <w:p w14:paraId="24D53918" w14:textId="77777777" w:rsidR="0056738E" w:rsidRPr="00A41DBD" w:rsidRDefault="0056738E" w:rsidP="0056738E">
      <w:pPr>
        <w:autoSpaceDE w:val="0"/>
        <w:autoSpaceDN w:val="0"/>
        <w:spacing w:after="0" w:line="240" w:lineRule="auto"/>
        <w:jc w:val="both"/>
        <w:rPr>
          <w:rFonts w:ascii="Arial" w:eastAsia="Batang" w:hAnsi="Arial" w:cs="Arial"/>
          <w:color w:val="262626"/>
          <w:sz w:val="18"/>
          <w:szCs w:val="18"/>
          <w:lang w:val="el-GR" w:eastAsia="en-US"/>
        </w:rPr>
      </w:pPr>
      <w:r w:rsidRPr="00BF7133">
        <w:rPr>
          <w:rFonts w:ascii="Arial" w:eastAsia="Batang" w:hAnsi="Arial" w:cs="Arial"/>
          <w:color w:val="262626"/>
          <w:sz w:val="18"/>
          <w:szCs w:val="18"/>
          <w:lang w:val="el-GR" w:eastAsia="en-US"/>
        </w:rPr>
        <w:t>Στην περίπτωση των προτεινόμενων τροποποιήσεων της Οδηγίας Κεφαλαιακών Απαιτήσεων (CRD) και της Οδηγίας για Ανάκαμψη και Εξυγίανση Πιστωτικών Ιδρυμάτων και Επιχειρήσεων Επενδύσεων (BRRD), οι όροι και η ισχύς τους θα εξαρτηθούν, εν μέρει, από τον τρόπο ενσωμάτωσής τους στη νομοθεσία κάθε κράτους μέλους</w:t>
      </w:r>
      <w:r w:rsidRPr="00A41DBD">
        <w:rPr>
          <w:rFonts w:ascii="Arial" w:eastAsia="Batang" w:hAnsi="Arial" w:cs="Arial"/>
          <w:color w:val="262626"/>
          <w:sz w:val="18"/>
          <w:szCs w:val="18"/>
          <w:lang w:val="el-GR" w:eastAsia="en-US"/>
        </w:rPr>
        <w:t>.</w:t>
      </w:r>
    </w:p>
    <w:p w14:paraId="22FC1C8C" w14:textId="77777777" w:rsidR="0056738E" w:rsidRPr="00A20BBC" w:rsidRDefault="0056738E" w:rsidP="0056738E">
      <w:pPr>
        <w:autoSpaceDE w:val="0"/>
        <w:autoSpaceDN w:val="0"/>
        <w:spacing w:after="0" w:line="240" w:lineRule="auto"/>
        <w:jc w:val="both"/>
        <w:rPr>
          <w:rFonts w:ascii="Arial" w:eastAsia="Batang" w:hAnsi="Arial" w:cs="Arial"/>
          <w:color w:val="262626"/>
          <w:sz w:val="18"/>
          <w:szCs w:val="18"/>
          <w:lang w:val="el-GR" w:eastAsia="en-US"/>
        </w:rPr>
      </w:pPr>
    </w:p>
    <w:p w14:paraId="3CDFDDA2" w14:textId="77777777" w:rsidR="0056738E" w:rsidRPr="00A41DBD" w:rsidRDefault="0056738E" w:rsidP="0056738E">
      <w:pPr>
        <w:autoSpaceDE w:val="0"/>
        <w:autoSpaceDN w:val="0"/>
        <w:spacing w:after="0" w:line="240" w:lineRule="auto"/>
        <w:jc w:val="both"/>
        <w:rPr>
          <w:rFonts w:ascii="Arial" w:eastAsia="Batang" w:hAnsi="Arial" w:cs="Arial"/>
          <w:color w:val="262626"/>
          <w:sz w:val="18"/>
          <w:szCs w:val="18"/>
          <w:lang w:val="el-GR" w:eastAsia="en-US"/>
        </w:rPr>
      </w:pPr>
      <w:r w:rsidRPr="00BF7133">
        <w:rPr>
          <w:rFonts w:ascii="Arial" w:eastAsia="Batang" w:hAnsi="Arial" w:cs="Arial"/>
          <w:color w:val="262626"/>
          <w:sz w:val="18"/>
          <w:szCs w:val="18"/>
          <w:lang w:val="el-GR" w:eastAsia="en-US"/>
        </w:rPr>
        <w:t xml:space="preserve">Τον Δεκέμβριο 2023, τα προπαρασκευαστικά όργανα του Συμβουλίου και του Ευρωπαϊκού Κοινοβουλίου ενέκριναν τις τροποποιήσεις στον Κανονισμό Κεφαλαιακών Απαιτήσεων (CRR) και στην Οδηγία Κεφαλαιακών Απαιτήσεων (CRD) και τα νομικά κείμενα δημοσιεύθηκαν στους ισοτόπους του Συμβουλίου και του Κοινοβουλίου. Τον Απρίλιο 2024, το Ευρωπαϊκό Κοινοβούλιο ψήφισε την υιοθέτηση των τροποποιήσεων στον Κανονισμό Κεφαλαιακών Απαιτήσεων (CRR) και στην Οδηγία Κεφαλαιακών Απαιτήσεων (CRD)ˑ ο Κανονισμός (ΕΕ) 2024/1623 (γνωστός ως CRR III) και η Οδηγία (ΕΕ) 2024/1619 (γνωστή ως CRD VI) δημοσιεύτηκαν στην επίσημη εφημερίδα της Ευρωπαϊκής Ένωσης, με έναρξη ισχύος 20 μέρες από την ημερομηνία δημοσίευσής τους. Οι περισσότερες </w:t>
      </w:r>
      <w:r>
        <w:rPr>
          <w:rFonts w:ascii="Arial" w:eastAsia="Batang" w:hAnsi="Arial" w:cs="Arial"/>
          <w:color w:val="262626"/>
          <w:sz w:val="18"/>
          <w:szCs w:val="18"/>
          <w:lang w:val="el-GR" w:eastAsia="en-US"/>
        </w:rPr>
        <w:t xml:space="preserve">τροποποιημένες </w:t>
      </w:r>
      <w:r w:rsidRPr="00BF7133">
        <w:rPr>
          <w:rFonts w:ascii="Arial" w:eastAsia="Batang" w:hAnsi="Arial" w:cs="Arial"/>
          <w:color w:val="262626"/>
          <w:sz w:val="18"/>
          <w:szCs w:val="18"/>
          <w:lang w:val="el-GR" w:eastAsia="en-US"/>
        </w:rPr>
        <w:t>διατάξεις του CRR III θα τεθούν σε ισχύ την 1 Ιανουαρίου 2025 και ορισμένα μέτρα αναμένεται να υπόκεινται σε μεταβατικές ρυθμίσεις ή να εφαρμοστούν σταδιακά. Τα κράτη μέλη θα πρέπει να εγκρίνουν και να δημοσιεύσουν, έως τις 10 Ιανουαρίου 2026, τις νομοθετικές, κανονιστικές και διοικητικές διατάξεις που είναι αναγκαίες για τη συμμόρφωση με την οδηγία CRD VI και να εφαρμόζουν τα εν λόγω μέτρα στην πλειονότητά τους από τις 11 Ιανουαρίου 2026</w:t>
      </w:r>
      <w:r w:rsidRPr="00A41DBD">
        <w:rPr>
          <w:rFonts w:ascii="Arial" w:eastAsia="Batang" w:hAnsi="Arial" w:cs="Arial"/>
          <w:color w:val="262626"/>
          <w:sz w:val="18"/>
          <w:szCs w:val="18"/>
          <w:lang w:val="el-GR" w:eastAsia="en-US"/>
        </w:rPr>
        <w:t>.</w:t>
      </w:r>
    </w:p>
    <w:p w14:paraId="73466139" w14:textId="77777777" w:rsidR="0056738E" w:rsidRPr="00A20BBC" w:rsidRDefault="0056738E" w:rsidP="0056738E">
      <w:pPr>
        <w:spacing w:after="0" w:line="240" w:lineRule="auto"/>
        <w:jc w:val="both"/>
        <w:rPr>
          <w:rFonts w:ascii="Arial" w:eastAsia="Batang" w:hAnsi="Arial" w:cs="Arial"/>
          <w:color w:val="262626"/>
          <w:sz w:val="18"/>
          <w:szCs w:val="18"/>
          <w:lang w:val="el-GR" w:eastAsia="en-US"/>
        </w:rPr>
      </w:pPr>
    </w:p>
    <w:p w14:paraId="6E0CAB95" w14:textId="77777777" w:rsidR="0056738E" w:rsidRPr="002947E0" w:rsidRDefault="0056738E" w:rsidP="0056738E">
      <w:pPr>
        <w:autoSpaceDE w:val="0"/>
        <w:autoSpaceDN w:val="0"/>
        <w:spacing w:after="0" w:line="240" w:lineRule="auto"/>
        <w:jc w:val="both"/>
        <w:rPr>
          <w:rFonts w:ascii="Arial" w:eastAsia="Batang" w:hAnsi="Arial" w:cs="Arial"/>
          <w:color w:val="262626"/>
          <w:sz w:val="18"/>
          <w:szCs w:val="18"/>
          <w:lang w:val="el-GR" w:eastAsia="en-US"/>
        </w:rPr>
      </w:pPr>
      <w:r w:rsidRPr="00BF7133">
        <w:rPr>
          <w:rFonts w:ascii="Arial" w:eastAsia="Batang" w:hAnsi="Arial" w:cs="Arial"/>
          <w:color w:val="262626"/>
          <w:sz w:val="18"/>
          <w:szCs w:val="18"/>
          <w:lang w:val="el-GR" w:eastAsia="en-US"/>
        </w:rPr>
        <w:t xml:space="preserve">Στις 30 </w:t>
      </w:r>
      <w:r>
        <w:rPr>
          <w:rFonts w:ascii="Arial" w:eastAsia="Batang" w:hAnsi="Arial" w:cs="Arial"/>
          <w:color w:val="262626"/>
          <w:sz w:val="18"/>
          <w:szCs w:val="18"/>
          <w:lang w:val="el-GR" w:eastAsia="en-US"/>
        </w:rPr>
        <w:t>Σεπτεμβρίου</w:t>
      </w:r>
      <w:r w:rsidRPr="00BF7133">
        <w:rPr>
          <w:rFonts w:ascii="Arial" w:eastAsia="Batang" w:hAnsi="Arial" w:cs="Arial"/>
          <w:color w:val="262626"/>
          <w:sz w:val="18"/>
          <w:szCs w:val="18"/>
          <w:lang w:val="el-GR" w:eastAsia="en-US"/>
        </w:rPr>
        <w:t xml:space="preserve"> 2024 ο</w:t>
      </w:r>
      <w:r>
        <w:rPr>
          <w:rFonts w:ascii="Arial" w:eastAsia="Batang" w:hAnsi="Arial" w:cs="Arial"/>
          <w:color w:val="262626"/>
          <w:sz w:val="18"/>
          <w:szCs w:val="18"/>
          <w:lang w:val="el-GR" w:eastAsia="en-US"/>
        </w:rPr>
        <w:t xml:space="preserve"> εποπτικός</w:t>
      </w:r>
      <w:r w:rsidRPr="00BF7133">
        <w:rPr>
          <w:rFonts w:ascii="Arial" w:eastAsia="Batang" w:hAnsi="Arial" w:cs="Arial"/>
          <w:color w:val="262626"/>
          <w:sz w:val="18"/>
          <w:szCs w:val="18"/>
          <w:lang w:val="el-GR" w:eastAsia="en-US"/>
        </w:rPr>
        <w:t xml:space="preserve"> δείκτης Κεφαλαίου Κοινών Μετοχών Κατηγορίας 1 (CET1) του Συγκροτήματος ανέρχεται σε 18.</w:t>
      </w:r>
      <w:r>
        <w:rPr>
          <w:rFonts w:ascii="Arial" w:eastAsia="Batang" w:hAnsi="Arial" w:cs="Arial"/>
          <w:color w:val="262626"/>
          <w:sz w:val="18"/>
          <w:szCs w:val="18"/>
          <w:lang w:val="el-GR" w:eastAsia="en-US"/>
        </w:rPr>
        <w:t>6</w:t>
      </w:r>
      <w:r w:rsidRPr="00BF7133">
        <w:rPr>
          <w:rFonts w:ascii="Arial" w:eastAsia="Batang" w:hAnsi="Arial" w:cs="Arial"/>
          <w:color w:val="262626"/>
          <w:sz w:val="18"/>
          <w:szCs w:val="18"/>
          <w:lang w:val="el-GR" w:eastAsia="en-US"/>
        </w:rPr>
        <w:t>% και ο δείκτης Συνολικών Κεφαλαίων για εποπτικούς σκοπούς ανέρχεται σε 23.</w:t>
      </w:r>
      <w:r>
        <w:rPr>
          <w:rFonts w:ascii="Arial" w:eastAsia="Batang" w:hAnsi="Arial" w:cs="Arial"/>
          <w:color w:val="262626"/>
          <w:sz w:val="18"/>
          <w:szCs w:val="18"/>
          <w:lang w:val="el-GR" w:eastAsia="en-US"/>
        </w:rPr>
        <w:t>7</w:t>
      </w:r>
      <w:r w:rsidRPr="00BF7133">
        <w:rPr>
          <w:rFonts w:ascii="Arial" w:eastAsia="Batang" w:hAnsi="Arial" w:cs="Arial"/>
          <w:color w:val="262626"/>
          <w:sz w:val="18"/>
          <w:szCs w:val="18"/>
          <w:lang w:val="el-GR" w:eastAsia="en-US"/>
        </w:rPr>
        <w:t xml:space="preserve">%. </w:t>
      </w:r>
      <w:proofErr w:type="spellStart"/>
      <w:r w:rsidRPr="00BF7133">
        <w:rPr>
          <w:rFonts w:ascii="Arial" w:eastAsia="Batang" w:hAnsi="Arial" w:cs="Arial"/>
          <w:color w:val="262626"/>
          <w:sz w:val="18"/>
          <w:szCs w:val="18"/>
          <w:lang w:val="el-GR" w:eastAsia="en-US"/>
        </w:rPr>
        <w:t>Oι</w:t>
      </w:r>
      <w:proofErr w:type="spellEnd"/>
      <w:r w:rsidRPr="00BF7133">
        <w:rPr>
          <w:rFonts w:ascii="Arial" w:eastAsia="Batang" w:hAnsi="Arial" w:cs="Arial"/>
          <w:color w:val="262626"/>
          <w:sz w:val="18"/>
          <w:szCs w:val="18"/>
          <w:lang w:val="el-GR" w:eastAsia="en-US"/>
        </w:rPr>
        <w:t xml:space="preserve"> δείκτες στις 30 </w:t>
      </w:r>
      <w:r>
        <w:rPr>
          <w:rFonts w:ascii="Arial" w:eastAsia="Batang" w:hAnsi="Arial" w:cs="Arial"/>
          <w:color w:val="262626"/>
          <w:sz w:val="18"/>
          <w:szCs w:val="18"/>
          <w:lang w:val="el-GR" w:eastAsia="en-US"/>
        </w:rPr>
        <w:t>Σεπτεμβρίου</w:t>
      </w:r>
      <w:r w:rsidRPr="00BF7133">
        <w:rPr>
          <w:rFonts w:ascii="Arial" w:eastAsia="Batang" w:hAnsi="Arial" w:cs="Arial"/>
          <w:color w:val="262626"/>
          <w:sz w:val="18"/>
          <w:szCs w:val="18"/>
          <w:lang w:val="el-GR" w:eastAsia="en-US"/>
        </w:rPr>
        <w:t xml:space="preserve"> 2024 περιλαμβάνουν </w:t>
      </w:r>
      <w:proofErr w:type="spellStart"/>
      <w:r w:rsidRPr="00BF7133">
        <w:rPr>
          <w:rFonts w:ascii="Arial" w:eastAsia="Batang" w:hAnsi="Arial" w:cs="Arial"/>
          <w:color w:val="262626"/>
          <w:sz w:val="18"/>
          <w:szCs w:val="18"/>
          <w:lang w:val="el-GR" w:eastAsia="en-US"/>
        </w:rPr>
        <w:t>επισκοπημένα</w:t>
      </w:r>
      <w:proofErr w:type="spellEnd"/>
      <w:r w:rsidRPr="00BF7133">
        <w:rPr>
          <w:rFonts w:ascii="Arial" w:eastAsia="Batang" w:hAnsi="Arial" w:cs="Arial"/>
          <w:color w:val="262626"/>
          <w:sz w:val="18"/>
          <w:szCs w:val="18"/>
          <w:lang w:val="el-GR" w:eastAsia="en-US"/>
        </w:rPr>
        <w:t xml:space="preserve"> κέρδη για το εξάμηνο που έληξε στις 30 </w:t>
      </w:r>
      <w:r>
        <w:rPr>
          <w:rFonts w:ascii="Arial" w:eastAsia="Batang" w:hAnsi="Arial" w:cs="Arial"/>
          <w:color w:val="262626"/>
          <w:sz w:val="18"/>
          <w:szCs w:val="18"/>
          <w:lang w:val="el-GR" w:eastAsia="en-US"/>
        </w:rPr>
        <w:t>Ιουνίου</w:t>
      </w:r>
      <w:r w:rsidRPr="00BF7133">
        <w:rPr>
          <w:rFonts w:ascii="Arial" w:eastAsia="Batang" w:hAnsi="Arial" w:cs="Arial"/>
          <w:color w:val="262626"/>
          <w:sz w:val="18"/>
          <w:szCs w:val="18"/>
          <w:lang w:val="el-GR" w:eastAsia="en-US"/>
        </w:rPr>
        <w:t xml:space="preserve"> 2024 βάσει της απόφασης (ΕΕ) (2015/656) της ΕΚΤ σχετικά με τις προϋποθέσεις υπό τις οποίες επιτρέπεται να συμπεριληφθούν ενδιάμεσα κέρδη ή κέρδη τελικής χρήσης στο Κεφάλαιο Κοινών Μετοχών Κατηγορίας 1 (CET1) σύμφωνα με το άρθρο 26 παράγραφος 2 του Κανονισμού Κεφαλαιακών Απαιτήσεων (CRR), και πρόβλεψη για διανομή σε ποσοστό 50% της προσαρμοσμένης επαναλαμβανόμενης κερδοφορίας του Συγκροτήματος για την περίοδο, </w:t>
      </w:r>
      <w:r>
        <w:rPr>
          <w:rFonts w:ascii="Arial" w:eastAsia="Batang" w:hAnsi="Arial" w:cs="Arial"/>
          <w:color w:val="262626"/>
          <w:sz w:val="18"/>
          <w:szCs w:val="18"/>
          <w:lang w:val="el-GR" w:eastAsia="en-US"/>
        </w:rPr>
        <w:t>το οποίο</w:t>
      </w:r>
      <w:r w:rsidRPr="00BF7133">
        <w:rPr>
          <w:rFonts w:ascii="Arial" w:eastAsia="Batang" w:hAnsi="Arial" w:cs="Arial"/>
          <w:color w:val="262626"/>
          <w:sz w:val="18"/>
          <w:szCs w:val="18"/>
          <w:lang w:val="el-GR" w:eastAsia="en-US"/>
        </w:rPr>
        <w:t xml:space="preserve"> αντιστοιχεί στο υψηλότερο ποσοστό της εγκεκριμένης πολιτικής διανομής του Συγκροτήματος σύμφωνα με τις αρχές του Κατ’ εξουσιοδότηση Κανονισμού (ΕΕ) αριθ. 241/2014 σε σχέση με προβλέψιμα μερίσματα και επιβαρύνσεις, ως περιγράφεται περαιτέρω στο Μέρος ‘Διανομές’</w:t>
      </w:r>
      <w:r>
        <w:rPr>
          <w:rFonts w:ascii="Arial" w:eastAsia="Batang" w:hAnsi="Arial" w:cs="Arial"/>
          <w:color w:val="262626"/>
          <w:sz w:val="18"/>
          <w:szCs w:val="18"/>
          <w:lang w:val="el-GR" w:eastAsia="en-US"/>
        </w:rPr>
        <w:t xml:space="preserve"> στην ‘Ανάλυση Ισολογισμού’ του</w:t>
      </w:r>
      <w:r w:rsidRPr="002947E0">
        <w:rPr>
          <w:rFonts w:ascii="Arial" w:eastAsia="Batang" w:hAnsi="Arial" w:cs="Arial"/>
          <w:color w:val="262626"/>
          <w:sz w:val="18"/>
          <w:szCs w:val="18"/>
          <w:lang w:val="el-GR" w:eastAsia="en-US"/>
        </w:rPr>
        <w:t xml:space="preserve"> Μέρο</w:t>
      </w:r>
      <w:r>
        <w:rPr>
          <w:rFonts w:ascii="Arial" w:eastAsia="Batang" w:hAnsi="Arial" w:cs="Arial"/>
          <w:color w:val="262626"/>
          <w:sz w:val="18"/>
          <w:szCs w:val="18"/>
          <w:lang w:val="el-GR" w:eastAsia="en-US"/>
        </w:rPr>
        <w:t>υ</w:t>
      </w:r>
      <w:r w:rsidRPr="002947E0">
        <w:rPr>
          <w:rFonts w:ascii="Arial" w:eastAsia="Batang" w:hAnsi="Arial" w:cs="Arial"/>
          <w:color w:val="262626"/>
          <w:sz w:val="18"/>
          <w:szCs w:val="18"/>
          <w:lang w:val="el-GR" w:eastAsia="en-US"/>
        </w:rPr>
        <w:t>ς Α</w:t>
      </w:r>
      <w:r>
        <w:rPr>
          <w:rFonts w:ascii="Arial" w:eastAsia="Batang" w:hAnsi="Arial" w:cs="Arial"/>
          <w:color w:val="262626"/>
          <w:sz w:val="18"/>
          <w:szCs w:val="18"/>
          <w:lang w:val="el-GR" w:eastAsia="en-US"/>
        </w:rPr>
        <w:t xml:space="preserve"> πιο πάνω</w:t>
      </w:r>
      <w:r w:rsidRPr="00BF7133">
        <w:rPr>
          <w:rFonts w:ascii="Arial" w:eastAsia="Batang" w:hAnsi="Arial" w:cs="Arial"/>
          <w:color w:val="262626"/>
          <w:sz w:val="18"/>
          <w:szCs w:val="18"/>
          <w:lang w:val="el-GR" w:eastAsia="en-US"/>
        </w:rPr>
        <w:t>.</w:t>
      </w:r>
      <w:r>
        <w:rPr>
          <w:rFonts w:ascii="Arial" w:eastAsia="Batang" w:hAnsi="Arial" w:cs="Arial"/>
          <w:color w:val="262626"/>
          <w:sz w:val="18"/>
          <w:szCs w:val="18"/>
          <w:lang w:val="el-GR" w:eastAsia="en-US"/>
        </w:rPr>
        <w:t xml:space="preserve"> </w:t>
      </w:r>
      <w:r w:rsidRPr="00DA73D6">
        <w:rPr>
          <w:rFonts w:ascii="Arial" w:eastAsia="Batang" w:hAnsi="Arial" w:cs="Arial"/>
          <w:color w:val="262626"/>
          <w:sz w:val="18"/>
          <w:szCs w:val="18"/>
          <w:lang w:val="el-GR" w:eastAsia="en-US"/>
        </w:rPr>
        <w:t xml:space="preserve">Συμπεριλαμβανομένων των μη </w:t>
      </w:r>
      <w:proofErr w:type="spellStart"/>
      <w:r w:rsidRPr="00DA73D6">
        <w:rPr>
          <w:rFonts w:ascii="Arial" w:eastAsia="Batang" w:hAnsi="Arial" w:cs="Arial"/>
          <w:color w:val="262626"/>
          <w:sz w:val="18"/>
          <w:szCs w:val="18"/>
          <w:lang w:val="el-GR" w:eastAsia="en-US"/>
        </w:rPr>
        <w:t>επισκοπημένων</w:t>
      </w:r>
      <w:proofErr w:type="spellEnd"/>
      <w:r w:rsidRPr="00DA73D6">
        <w:rPr>
          <w:rFonts w:ascii="Arial" w:eastAsia="Batang" w:hAnsi="Arial" w:cs="Arial"/>
          <w:color w:val="262626"/>
          <w:sz w:val="18"/>
          <w:szCs w:val="18"/>
          <w:lang w:val="el-GR" w:eastAsia="en-US"/>
        </w:rPr>
        <w:t xml:space="preserve"> κερδών για το τρίμηνο που έληξε στις 30 Σεπτεμβρίου 2024 και πρόβλεψης για διανομή σε ποσοστό 50% της προσαρμοσμένης επαναλαμβανόμενης κερδοφορίας του Συγκροτήματος για την περίοδο, ο δείκτης Κεφαλαίου Κοινών Μετοχών Κατηγορίας 1 (CET1) και ο δείκτης Συνολικών Κεφαλαίων ανέρχονται σε 19.1% και 24.3%, αντίστοιχα, στις 30 Σεπτεμβρίου 2024.</w:t>
      </w:r>
    </w:p>
    <w:p w14:paraId="771F7846" w14:textId="77777777" w:rsidR="0056738E" w:rsidRPr="00A20BBC" w:rsidRDefault="0056738E" w:rsidP="0056738E">
      <w:pPr>
        <w:autoSpaceDE w:val="0"/>
        <w:autoSpaceDN w:val="0"/>
        <w:spacing w:after="0" w:line="240" w:lineRule="auto"/>
        <w:jc w:val="both"/>
        <w:rPr>
          <w:rFonts w:ascii="Arial" w:eastAsia="Batang" w:hAnsi="Arial" w:cs="Arial"/>
          <w:color w:val="262626"/>
          <w:sz w:val="18"/>
          <w:szCs w:val="18"/>
          <w:lang w:val="el-GR" w:eastAsia="en-US"/>
        </w:rPr>
      </w:pPr>
    </w:p>
    <w:p w14:paraId="0D560D18" w14:textId="77777777" w:rsidR="0056738E" w:rsidRDefault="0056738E" w:rsidP="0056738E">
      <w:pPr>
        <w:autoSpaceDE w:val="0"/>
        <w:autoSpaceDN w:val="0"/>
        <w:spacing w:after="0" w:line="240" w:lineRule="auto"/>
        <w:jc w:val="both"/>
        <w:rPr>
          <w:rFonts w:ascii="Arial" w:eastAsia="Batang" w:hAnsi="Arial" w:cs="Arial"/>
          <w:color w:val="262626"/>
          <w:sz w:val="18"/>
          <w:szCs w:val="18"/>
          <w:lang w:val="el-GR" w:eastAsia="en-US"/>
        </w:rPr>
      </w:pPr>
      <w:r w:rsidRPr="00585DE2">
        <w:rPr>
          <w:rFonts w:ascii="Arial" w:eastAsia="Batang" w:hAnsi="Arial" w:cs="Arial"/>
          <w:color w:val="262626"/>
          <w:sz w:val="18"/>
          <w:szCs w:val="18"/>
          <w:lang w:val="el-GR" w:eastAsia="en-US"/>
        </w:rPr>
        <w:t xml:space="preserve">Οι ελάχιστες κεφαλαιακές απαιτήσεις του </w:t>
      </w:r>
      <w:r>
        <w:rPr>
          <w:rFonts w:ascii="Arial" w:eastAsia="Batang" w:hAnsi="Arial" w:cs="Arial"/>
          <w:color w:val="262626"/>
          <w:sz w:val="18"/>
          <w:szCs w:val="18"/>
          <w:lang w:val="el-GR" w:eastAsia="en-US"/>
        </w:rPr>
        <w:t>Συγκροτήματος</w:t>
      </w:r>
      <w:r w:rsidRPr="00585DE2">
        <w:rPr>
          <w:rFonts w:ascii="Arial" w:eastAsia="Batang" w:hAnsi="Arial" w:cs="Arial"/>
          <w:color w:val="262626"/>
          <w:sz w:val="18"/>
          <w:szCs w:val="18"/>
          <w:lang w:val="el-GR" w:eastAsia="en-US"/>
        </w:rPr>
        <w:t xml:space="preserve"> παρουσιάζονται παρακάτω</w:t>
      </w:r>
      <w:r w:rsidRPr="0065654A">
        <w:rPr>
          <w:rFonts w:ascii="Arial" w:eastAsia="Batang" w:hAnsi="Arial" w:cs="Arial"/>
          <w:color w:val="262626"/>
          <w:sz w:val="18"/>
          <w:szCs w:val="18"/>
          <w:lang w:val="el-GR" w:eastAsia="en-US"/>
        </w:rPr>
        <w:t>:</w:t>
      </w:r>
    </w:p>
    <w:p w14:paraId="39410858" w14:textId="77777777" w:rsidR="0056738E" w:rsidRPr="00A03828" w:rsidRDefault="0056738E" w:rsidP="0056738E">
      <w:pPr>
        <w:autoSpaceDE w:val="0"/>
        <w:autoSpaceDN w:val="0"/>
        <w:spacing w:after="0" w:line="240" w:lineRule="auto"/>
        <w:jc w:val="both"/>
        <w:rPr>
          <w:rFonts w:ascii="Arial" w:eastAsia="Batang" w:hAnsi="Arial" w:cs="Arial"/>
          <w:color w:val="262626"/>
          <w:sz w:val="8"/>
          <w:szCs w:val="8"/>
          <w:lang w:val="el-GR" w:eastAsia="en-US"/>
        </w:rPr>
      </w:pPr>
    </w:p>
    <w:tbl>
      <w:tblPr>
        <w:tblStyle w:val="GridTable5Dark-Accent51"/>
        <w:tblW w:w="955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6685"/>
        <w:gridCol w:w="1436"/>
        <w:gridCol w:w="1437"/>
      </w:tblGrid>
      <w:tr w:rsidR="0056738E" w:rsidRPr="006528B7" w14:paraId="0D240005" w14:textId="77777777" w:rsidTr="007C2AEE">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685"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0EE9DB68" w14:textId="77777777" w:rsidR="0056738E" w:rsidRPr="004B3AAA" w:rsidRDefault="0056738E" w:rsidP="007C2AEE">
            <w:pPr>
              <w:autoSpaceDE w:val="0"/>
              <w:autoSpaceDN w:val="0"/>
              <w:adjustRightInd w:val="0"/>
              <w:rPr>
                <w:rFonts w:ascii="Arial" w:eastAsia="Batang" w:hAnsi="Arial" w:cs="Arial"/>
                <w:color w:val="auto"/>
                <w:sz w:val="18"/>
                <w:szCs w:val="24"/>
                <w:lang w:val="el-GR"/>
              </w:rPr>
            </w:pPr>
            <w:r w:rsidRPr="004B3AAA">
              <w:rPr>
                <w:rFonts w:ascii="Arial" w:eastAsia="Batang" w:hAnsi="Arial" w:cs="Arial"/>
                <w:color w:val="auto"/>
                <w:sz w:val="18"/>
                <w:szCs w:val="24"/>
                <w:lang w:val="el-GR"/>
              </w:rPr>
              <w:t>Ελάχιστες Εποπτικές Κεφαλαιακές Απαιτήσεις Κεφαλαίου Κοινών Μετοχών Κατηγορίας 1 (</w:t>
            </w:r>
            <w:r w:rsidRPr="004B3AAA">
              <w:rPr>
                <w:rFonts w:ascii="Arial" w:eastAsia="Batang" w:hAnsi="Arial" w:cs="Arial"/>
                <w:color w:val="auto"/>
                <w:sz w:val="18"/>
                <w:szCs w:val="24"/>
              </w:rPr>
              <w:t>CET</w:t>
            </w:r>
            <w:r w:rsidRPr="004B3AAA">
              <w:rPr>
                <w:rFonts w:ascii="Arial" w:eastAsia="Batang" w:hAnsi="Arial" w:cs="Arial"/>
                <w:color w:val="auto"/>
                <w:sz w:val="18"/>
                <w:szCs w:val="24"/>
                <w:lang w:val="el-GR"/>
              </w:rPr>
              <w:t>1)</w:t>
            </w:r>
          </w:p>
        </w:tc>
        <w:tc>
          <w:tcPr>
            <w:tcW w:w="1436"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3C92EA8A" w14:textId="77777777" w:rsidR="0056738E" w:rsidRPr="00E0028A" w:rsidRDefault="0056738E" w:rsidP="007C2AEE">
            <w:pPr>
              <w:autoSpaceDE w:val="0"/>
              <w:autoSpaceDN w:val="0"/>
              <w:adjustRightInd w:val="0"/>
              <w:ind w:left="-151" w:right="-180"/>
              <w:jc w:val="center"/>
              <w:cnfStyle w:val="100000000000" w:firstRow="1" w:lastRow="0" w:firstColumn="0" w:lastColumn="0" w:oddVBand="0" w:evenVBand="0" w:oddHBand="0" w:evenHBand="0" w:firstRowFirstColumn="0" w:firstRowLastColumn="0" w:lastRowFirstColumn="0" w:lastRowLastColumn="0"/>
              <w:rPr>
                <w:rFonts w:ascii="Arial" w:eastAsia="Batang" w:hAnsi="Arial" w:cs="Arial"/>
                <w:color w:val="auto"/>
                <w:sz w:val="18"/>
                <w:szCs w:val="24"/>
                <w:lang w:val="el-GR"/>
              </w:rPr>
            </w:pPr>
            <w:r w:rsidRPr="006A365D">
              <w:rPr>
                <w:rFonts w:ascii="Arial" w:hAnsi="Arial" w:cs="Arial"/>
                <w:color w:val="262626"/>
                <w:sz w:val="18"/>
                <w:szCs w:val="18"/>
                <w:lang w:val="el-GR"/>
              </w:rPr>
              <w:t xml:space="preserve">30 Σεπτεμβρίου </w:t>
            </w:r>
            <w:r>
              <w:rPr>
                <w:rFonts w:ascii="Arial" w:hAnsi="Arial" w:cs="Arial"/>
                <w:color w:val="262626"/>
                <w:sz w:val="18"/>
                <w:szCs w:val="18"/>
                <w:lang w:val="el-GR"/>
              </w:rPr>
              <w:t>2024</w:t>
            </w:r>
          </w:p>
        </w:tc>
        <w:tc>
          <w:tcPr>
            <w:tcW w:w="1437"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6B3C8E17" w14:textId="77777777" w:rsidR="0056738E" w:rsidRPr="00E0028A" w:rsidRDefault="0056738E" w:rsidP="007C2AEE">
            <w:pPr>
              <w:autoSpaceDE w:val="0"/>
              <w:autoSpaceDN w:val="0"/>
              <w:adjustRightInd w:val="0"/>
              <w:ind w:left="-151" w:right="-180"/>
              <w:jc w:val="center"/>
              <w:cnfStyle w:val="100000000000" w:firstRow="1" w:lastRow="0" w:firstColumn="0" w:lastColumn="0" w:oddVBand="0" w:evenVBand="0" w:oddHBand="0" w:evenHBand="0" w:firstRowFirstColumn="0" w:firstRowLastColumn="0" w:lastRowFirstColumn="0" w:lastRowLastColumn="0"/>
              <w:rPr>
                <w:rFonts w:ascii="Arial" w:eastAsia="Batang" w:hAnsi="Arial" w:cs="Arial"/>
                <w:color w:val="auto"/>
                <w:sz w:val="18"/>
                <w:szCs w:val="24"/>
                <w:lang w:val="el-GR"/>
              </w:rPr>
            </w:pPr>
            <w:r w:rsidRPr="00E0028A">
              <w:rPr>
                <w:rFonts w:ascii="Arial" w:eastAsia="Batang" w:hAnsi="Arial" w:cs="Arial"/>
                <w:color w:val="auto"/>
                <w:sz w:val="18"/>
                <w:szCs w:val="24"/>
                <w:lang w:val="el-GR"/>
              </w:rPr>
              <w:t>2023</w:t>
            </w:r>
          </w:p>
        </w:tc>
      </w:tr>
      <w:tr w:rsidR="0056738E" w:rsidRPr="00C6609A" w14:paraId="2B3D3C95" w14:textId="77777777" w:rsidTr="007C2AE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685" w:type="dxa"/>
            <w:tcBorders>
              <w:left w:val="single" w:sz="4" w:space="0" w:color="A6A6A6" w:themeColor="background1" w:themeShade="A6"/>
            </w:tcBorders>
            <w:shd w:val="clear" w:color="auto" w:fill="auto"/>
            <w:vAlign w:val="center"/>
          </w:tcPr>
          <w:p w14:paraId="39217671" w14:textId="77777777" w:rsidR="0056738E" w:rsidRPr="004B3AAA" w:rsidRDefault="0056738E" w:rsidP="007C2AEE">
            <w:pPr>
              <w:autoSpaceDE w:val="0"/>
              <w:autoSpaceDN w:val="0"/>
              <w:adjustRightInd w:val="0"/>
              <w:rPr>
                <w:rFonts w:ascii="Arial" w:eastAsia="Batang" w:hAnsi="Arial" w:cs="Arial"/>
                <w:b w:val="0"/>
                <w:color w:val="auto"/>
                <w:sz w:val="18"/>
                <w:szCs w:val="24"/>
                <w:lang w:val="el-GR"/>
              </w:rPr>
            </w:pPr>
            <w:r w:rsidRPr="004B3AAA">
              <w:rPr>
                <w:rFonts w:ascii="Arial" w:eastAsia="Batang" w:hAnsi="Arial" w:cs="Arial"/>
                <w:b w:val="0"/>
                <w:color w:val="auto"/>
                <w:sz w:val="18"/>
                <w:szCs w:val="24"/>
                <w:lang w:val="el-GR"/>
              </w:rPr>
              <w:t xml:space="preserve">Πυλώνας </w:t>
            </w:r>
            <w:r w:rsidRPr="004B3AAA">
              <w:rPr>
                <w:rFonts w:ascii="Arial" w:eastAsia="Batang" w:hAnsi="Arial" w:cs="Arial"/>
                <w:b w:val="0"/>
                <w:color w:val="auto"/>
                <w:sz w:val="18"/>
                <w:szCs w:val="24"/>
              </w:rPr>
              <w:t>I</w:t>
            </w:r>
            <w:r w:rsidRPr="004B3AAA">
              <w:rPr>
                <w:rFonts w:ascii="Arial" w:eastAsia="Batang" w:hAnsi="Arial" w:cs="Arial"/>
                <w:b w:val="0"/>
                <w:color w:val="auto"/>
                <w:sz w:val="18"/>
                <w:szCs w:val="24"/>
                <w:lang w:val="el-GR"/>
              </w:rPr>
              <w:t xml:space="preserve"> – Απαιτήσεις Κεφαλαίου Κοινών Μετοχών Κατηγορίας 1 (</w:t>
            </w:r>
            <w:r w:rsidRPr="004B3AAA">
              <w:rPr>
                <w:rFonts w:ascii="Arial" w:eastAsia="Batang" w:hAnsi="Arial" w:cs="Arial"/>
                <w:b w:val="0"/>
                <w:color w:val="auto"/>
                <w:sz w:val="18"/>
                <w:szCs w:val="24"/>
              </w:rPr>
              <w:t>CET</w:t>
            </w:r>
            <w:r w:rsidRPr="004B3AAA">
              <w:rPr>
                <w:rFonts w:ascii="Arial" w:eastAsia="Batang" w:hAnsi="Arial" w:cs="Arial"/>
                <w:b w:val="0"/>
                <w:color w:val="auto"/>
                <w:sz w:val="18"/>
                <w:szCs w:val="24"/>
                <w:lang w:val="el-GR"/>
              </w:rPr>
              <w:t>1)</w:t>
            </w:r>
          </w:p>
        </w:tc>
        <w:tc>
          <w:tcPr>
            <w:tcW w:w="143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3C9907C" w14:textId="77777777" w:rsidR="0056738E" w:rsidRPr="00A03828" w:rsidRDefault="0056738E" w:rsidP="007C2A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262626"/>
                <w:kern w:val="2"/>
                <w:sz w:val="18"/>
                <w14:ligatures w14:val="standardContextual"/>
              </w:rPr>
            </w:pPr>
            <w:r w:rsidRPr="00A03828">
              <w:rPr>
                <w:rFonts w:ascii="Arial" w:eastAsia="Times New Roman" w:hAnsi="Arial" w:cs="Arial"/>
                <w:b/>
                <w:color w:val="262626"/>
                <w:kern w:val="2"/>
                <w:sz w:val="18"/>
                <w14:ligatures w14:val="standardContextual"/>
              </w:rPr>
              <w:t>4.50%</w:t>
            </w:r>
          </w:p>
        </w:tc>
        <w:tc>
          <w:tcPr>
            <w:tcW w:w="143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6B8D12A" w14:textId="77777777" w:rsidR="0056738E" w:rsidRPr="00A03828" w:rsidRDefault="0056738E" w:rsidP="007C2A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62626"/>
                <w:kern w:val="2"/>
                <w:sz w:val="18"/>
                <w14:ligatures w14:val="standardContextual"/>
              </w:rPr>
            </w:pPr>
            <w:r w:rsidRPr="00A03828">
              <w:rPr>
                <w:rFonts w:ascii="Arial" w:eastAsia="Times New Roman" w:hAnsi="Arial" w:cs="Arial"/>
                <w:bCs/>
                <w:color w:val="262626"/>
                <w:kern w:val="2"/>
                <w:sz w:val="18"/>
                <w14:ligatures w14:val="standardContextual"/>
              </w:rPr>
              <w:t>4.50%</w:t>
            </w:r>
          </w:p>
        </w:tc>
      </w:tr>
      <w:tr w:rsidR="0056738E" w:rsidRPr="009E747E" w14:paraId="5BEDC6BC" w14:textId="77777777" w:rsidTr="007C2AEE">
        <w:trPr>
          <w:trHeight w:val="283"/>
          <w:jc w:val="center"/>
        </w:trPr>
        <w:tc>
          <w:tcPr>
            <w:cnfStyle w:val="001000000000" w:firstRow="0" w:lastRow="0" w:firstColumn="1" w:lastColumn="0" w:oddVBand="0" w:evenVBand="0" w:oddHBand="0" w:evenHBand="0" w:firstRowFirstColumn="0" w:firstRowLastColumn="0" w:lastRowFirstColumn="0" w:lastRowLastColumn="0"/>
            <w:tcW w:w="6685" w:type="dxa"/>
            <w:tcBorders>
              <w:left w:val="single" w:sz="4" w:space="0" w:color="A6A6A6" w:themeColor="background1" w:themeShade="A6"/>
            </w:tcBorders>
            <w:shd w:val="clear" w:color="auto" w:fill="auto"/>
            <w:vAlign w:val="center"/>
          </w:tcPr>
          <w:p w14:paraId="6749F193" w14:textId="77777777" w:rsidR="0056738E" w:rsidRPr="004B3AAA" w:rsidRDefault="0056738E" w:rsidP="007C2AEE">
            <w:pPr>
              <w:autoSpaceDE w:val="0"/>
              <w:autoSpaceDN w:val="0"/>
              <w:adjustRightInd w:val="0"/>
              <w:rPr>
                <w:rFonts w:ascii="Arial" w:eastAsia="Batang" w:hAnsi="Arial" w:cs="Arial"/>
                <w:b w:val="0"/>
                <w:color w:val="auto"/>
                <w:sz w:val="18"/>
                <w:szCs w:val="24"/>
                <w:lang w:val="el-GR"/>
              </w:rPr>
            </w:pPr>
            <w:r w:rsidRPr="004B3AAA">
              <w:rPr>
                <w:rFonts w:ascii="Arial" w:eastAsia="Batang" w:hAnsi="Arial" w:cs="Arial"/>
                <w:b w:val="0"/>
                <w:color w:val="auto"/>
                <w:sz w:val="18"/>
                <w:szCs w:val="24"/>
                <w:lang w:val="el-GR"/>
              </w:rPr>
              <w:t xml:space="preserve">Πυλώνας </w:t>
            </w:r>
            <w:r w:rsidRPr="004B3AAA">
              <w:rPr>
                <w:rFonts w:ascii="Arial" w:eastAsia="Batang" w:hAnsi="Arial" w:cs="Arial"/>
                <w:b w:val="0"/>
                <w:color w:val="auto"/>
                <w:sz w:val="18"/>
                <w:szCs w:val="24"/>
              </w:rPr>
              <w:t>II</w:t>
            </w:r>
            <w:r w:rsidRPr="004B3AAA">
              <w:rPr>
                <w:rFonts w:ascii="Arial" w:eastAsia="Batang" w:hAnsi="Arial" w:cs="Arial"/>
                <w:b w:val="0"/>
                <w:color w:val="auto"/>
                <w:sz w:val="18"/>
                <w:szCs w:val="24"/>
                <w:lang w:val="el-GR"/>
              </w:rPr>
              <w:t xml:space="preserve"> – Απαιτήσεις Κεφαλαίου Κοινών Μετοχών Κατηγορίας 1 (</w:t>
            </w:r>
            <w:r w:rsidRPr="004B3AAA">
              <w:rPr>
                <w:rFonts w:ascii="Arial" w:eastAsia="Batang" w:hAnsi="Arial" w:cs="Arial"/>
                <w:b w:val="0"/>
                <w:color w:val="auto"/>
                <w:sz w:val="18"/>
                <w:szCs w:val="24"/>
              </w:rPr>
              <w:t>CET</w:t>
            </w:r>
            <w:r w:rsidRPr="004B3AAA">
              <w:rPr>
                <w:rFonts w:ascii="Arial" w:eastAsia="Batang" w:hAnsi="Arial" w:cs="Arial"/>
                <w:b w:val="0"/>
                <w:color w:val="auto"/>
                <w:sz w:val="18"/>
                <w:szCs w:val="24"/>
                <w:lang w:val="el-GR"/>
              </w:rPr>
              <w:t>1)</w:t>
            </w:r>
          </w:p>
        </w:tc>
        <w:tc>
          <w:tcPr>
            <w:tcW w:w="143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C57F41" w14:textId="77777777" w:rsidR="0056738E" w:rsidRPr="00A03828" w:rsidRDefault="0056738E" w:rsidP="007C2A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262626"/>
                <w:kern w:val="2"/>
                <w:sz w:val="18"/>
                <w14:ligatures w14:val="standardContextual"/>
              </w:rPr>
            </w:pPr>
            <w:r w:rsidRPr="00A03828">
              <w:rPr>
                <w:rFonts w:ascii="Arial" w:eastAsia="Times New Roman" w:hAnsi="Arial" w:cs="Arial"/>
                <w:b/>
                <w:color w:val="262626"/>
                <w:kern w:val="2"/>
                <w:sz w:val="18"/>
                <w14:ligatures w14:val="standardContextual"/>
              </w:rPr>
              <w:t>1.55%</w:t>
            </w:r>
          </w:p>
        </w:tc>
        <w:tc>
          <w:tcPr>
            <w:tcW w:w="143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AF94D7" w14:textId="77777777" w:rsidR="0056738E" w:rsidRPr="00A03828" w:rsidRDefault="0056738E" w:rsidP="007C2A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62626"/>
                <w:kern w:val="2"/>
                <w:sz w:val="18"/>
                <w14:ligatures w14:val="standardContextual"/>
              </w:rPr>
            </w:pPr>
            <w:r w:rsidRPr="00A03828">
              <w:rPr>
                <w:rFonts w:ascii="Arial" w:eastAsia="Times New Roman" w:hAnsi="Arial" w:cs="Arial"/>
                <w:bCs/>
                <w:color w:val="262626"/>
                <w:kern w:val="2"/>
                <w:sz w:val="18"/>
                <w14:ligatures w14:val="standardContextual"/>
              </w:rPr>
              <w:t>1.73%</w:t>
            </w:r>
          </w:p>
        </w:tc>
      </w:tr>
      <w:tr w:rsidR="0056738E" w:rsidRPr="009E747E" w14:paraId="04498F5E" w14:textId="77777777" w:rsidTr="007C2AE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6A6A6" w:themeColor="background1" w:themeShade="A6"/>
            </w:tcBorders>
            <w:shd w:val="clear" w:color="auto" w:fill="auto"/>
            <w:vAlign w:val="center"/>
          </w:tcPr>
          <w:p w14:paraId="4BEDF0D7" w14:textId="77777777" w:rsidR="0056738E" w:rsidRPr="004B3AAA" w:rsidRDefault="0056738E" w:rsidP="007C2AEE">
            <w:pPr>
              <w:autoSpaceDE w:val="0"/>
              <w:autoSpaceDN w:val="0"/>
              <w:adjustRightInd w:val="0"/>
              <w:rPr>
                <w:rFonts w:ascii="Arial" w:eastAsia="Batang" w:hAnsi="Arial" w:cs="Arial"/>
                <w:b w:val="0"/>
                <w:color w:val="auto"/>
                <w:sz w:val="18"/>
                <w:szCs w:val="24"/>
                <w:lang w:val="el-GR"/>
              </w:rPr>
            </w:pPr>
            <w:r w:rsidRPr="004B3AAA">
              <w:rPr>
                <w:rFonts w:ascii="Arial" w:eastAsia="Batang" w:hAnsi="Arial" w:cs="Arial"/>
                <w:b w:val="0"/>
                <w:color w:val="auto"/>
                <w:sz w:val="18"/>
                <w:szCs w:val="24"/>
                <w:lang w:val="el-GR"/>
              </w:rPr>
              <w:t>Απόθεμα Ασφαλείας Διατήρησης Κεφαλαίου (</w:t>
            </w:r>
            <w:r w:rsidRPr="004B3AAA">
              <w:rPr>
                <w:rFonts w:ascii="Arial" w:eastAsia="Batang" w:hAnsi="Arial" w:cs="Arial"/>
                <w:b w:val="0"/>
                <w:color w:val="auto"/>
                <w:sz w:val="18"/>
                <w:szCs w:val="24"/>
              </w:rPr>
              <w:t>CCB</w:t>
            </w:r>
            <w:r w:rsidRPr="004B3AAA">
              <w:rPr>
                <w:rFonts w:ascii="Arial" w:eastAsia="Batang" w:hAnsi="Arial" w:cs="Arial"/>
                <w:b w:val="0"/>
                <w:color w:val="auto"/>
                <w:sz w:val="18"/>
                <w:szCs w:val="24"/>
                <w:lang w:val="el-GR"/>
              </w:rPr>
              <w:t>)*</w:t>
            </w:r>
          </w:p>
        </w:tc>
        <w:tc>
          <w:tcPr>
            <w:tcW w:w="0"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shd w:val="clear" w:color="auto" w:fill="auto"/>
            <w:vAlign w:val="center"/>
          </w:tcPr>
          <w:p w14:paraId="023D3A15" w14:textId="77777777" w:rsidR="0056738E" w:rsidRPr="00A03828" w:rsidRDefault="0056738E" w:rsidP="007C2A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262626"/>
                <w:kern w:val="2"/>
                <w:sz w:val="18"/>
                <w14:ligatures w14:val="standardContextual"/>
              </w:rPr>
            </w:pPr>
            <w:r w:rsidRPr="00A03828">
              <w:rPr>
                <w:rFonts w:ascii="Arial" w:eastAsia="Times New Roman" w:hAnsi="Arial" w:cs="Arial"/>
                <w:b/>
                <w:color w:val="262626"/>
                <w:kern w:val="2"/>
                <w:sz w:val="18"/>
                <w14:ligatures w14:val="standardContextual"/>
              </w:rPr>
              <w:t>2.50%</w:t>
            </w:r>
          </w:p>
        </w:tc>
        <w:tc>
          <w:tcPr>
            <w:tcW w:w="0"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shd w:val="clear" w:color="auto" w:fill="auto"/>
            <w:vAlign w:val="center"/>
          </w:tcPr>
          <w:p w14:paraId="01E9E02B" w14:textId="77777777" w:rsidR="0056738E" w:rsidRPr="00A03828" w:rsidRDefault="0056738E" w:rsidP="007C2A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62626"/>
                <w:kern w:val="2"/>
                <w:sz w:val="18"/>
                <w14:ligatures w14:val="standardContextual"/>
              </w:rPr>
            </w:pPr>
            <w:r w:rsidRPr="00A03828">
              <w:rPr>
                <w:rFonts w:ascii="Arial" w:eastAsia="Times New Roman" w:hAnsi="Arial" w:cs="Arial"/>
                <w:bCs/>
                <w:color w:val="262626"/>
                <w:kern w:val="2"/>
                <w:sz w:val="18"/>
                <w14:ligatures w14:val="standardContextual"/>
              </w:rPr>
              <w:t>2.50%</w:t>
            </w:r>
          </w:p>
        </w:tc>
      </w:tr>
      <w:tr w:rsidR="0056738E" w:rsidRPr="009E747E" w14:paraId="54E9DFDA" w14:textId="77777777" w:rsidTr="007C2AEE">
        <w:trPr>
          <w:trHeight w:val="283"/>
          <w:jc w:val="center"/>
        </w:trPr>
        <w:tc>
          <w:tcPr>
            <w:cnfStyle w:val="001000000000" w:firstRow="0" w:lastRow="0" w:firstColumn="1" w:lastColumn="0" w:oddVBand="0" w:evenVBand="0" w:oddHBand="0" w:evenHBand="0" w:firstRowFirstColumn="0" w:firstRowLastColumn="0" w:lastRowFirstColumn="0" w:lastRowLastColumn="0"/>
            <w:tcW w:w="6685" w:type="dxa"/>
            <w:tcBorders>
              <w:left w:val="single" w:sz="4" w:space="0" w:color="A6A6A6" w:themeColor="background1" w:themeShade="A6"/>
            </w:tcBorders>
            <w:shd w:val="clear" w:color="auto" w:fill="auto"/>
            <w:vAlign w:val="center"/>
          </w:tcPr>
          <w:p w14:paraId="150DC70A" w14:textId="77777777" w:rsidR="0056738E" w:rsidRPr="004B3AAA" w:rsidRDefault="0056738E" w:rsidP="007C2AEE">
            <w:pPr>
              <w:autoSpaceDE w:val="0"/>
              <w:autoSpaceDN w:val="0"/>
              <w:adjustRightInd w:val="0"/>
              <w:rPr>
                <w:rFonts w:ascii="Arial" w:eastAsia="Batang" w:hAnsi="Arial" w:cs="Arial"/>
                <w:b w:val="0"/>
                <w:color w:val="auto"/>
                <w:sz w:val="18"/>
                <w:szCs w:val="24"/>
                <w:lang w:val="el-GR"/>
              </w:rPr>
            </w:pPr>
            <w:r w:rsidRPr="004B3AAA">
              <w:rPr>
                <w:rFonts w:ascii="Arial" w:eastAsia="Batang" w:hAnsi="Arial" w:cs="Arial"/>
                <w:b w:val="0"/>
                <w:color w:val="auto"/>
                <w:sz w:val="18"/>
                <w:szCs w:val="24"/>
                <w:lang w:val="el-GR"/>
              </w:rPr>
              <w:t>Απόθεμα Ασφαλείας Άλλων Συστημικά Σημαντικών Ιδρυμάτων (</w:t>
            </w:r>
            <w:r w:rsidRPr="004B3AAA">
              <w:rPr>
                <w:rFonts w:ascii="Arial" w:eastAsia="Batang" w:hAnsi="Arial" w:cs="Arial"/>
                <w:b w:val="0"/>
                <w:color w:val="auto"/>
                <w:sz w:val="18"/>
                <w:szCs w:val="24"/>
              </w:rPr>
              <w:t>O</w:t>
            </w:r>
            <w:r w:rsidRPr="004B3AAA">
              <w:rPr>
                <w:rFonts w:ascii="Arial" w:eastAsia="Batang" w:hAnsi="Arial" w:cs="Arial"/>
                <w:b w:val="0"/>
                <w:color w:val="auto"/>
                <w:sz w:val="18"/>
                <w:szCs w:val="24"/>
                <w:lang w:val="el-GR"/>
              </w:rPr>
              <w:t>-</w:t>
            </w:r>
            <w:r w:rsidRPr="004B3AAA">
              <w:rPr>
                <w:rFonts w:ascii="Arial" w:eastAsia="Batang" w:hAnsi="Arial" w:cs="Arial"/>
                <w:b w:val="0"/>
                <w:color w:val="auto"/>
                <w:sz w:val="18"/>
                <w:szCs w:val="24"/>
              </w:rPr>
              <w:t>SII</w:t>
            </w:r>
            <w:r w:rsidRPr="004B3AAA">
              <w:rPr>
                <w:rFonts w:ascii="Arial" w:eastAsia="Batang" w:hAnsi="Arial" w:cs="Arial"/>
                <w:b w:val="0"/>
                <w:color w:val="auto"/>
                <w:sz w:val="18"/>
                <w:szCs w:val="24"/>
                <w:lang w:val="el-GR"/>
              </w:rPr>
              <w:t>)</w:t>
            </w:r>
            <w:r w:rsidRPr="00041815">
              <w:rPr>
                <w:rFonts w:ascii="Arial" w:eastAsia="Batang" w:hAnsi="Arial" w:cs="Arial"/>
                <w:sz w:val="18"/>
                <w:szCs w:val="24"/>
                <w:lang w:val="el-GR"/>
              </w:rPr>
              <w:t>*</w:t>
            </w:r>
            <w:r w:rsidRPr="004B3AAA">
              <w:rPr>
                <w:rFonts w:ascii="Arial" w:eastAsia="Batang" w:hAnsi="Arial" w:cs="Arial"/>
                <w:b w:val="0"/>
                <w:color w:val="auto"/>
                <w:sz w:val="18"/>
                <w:szCs w:val="24"/>
                <w:lang w:val="el-GR"/>
              </w:rPr>
              <w:t>*</w:t>
            </w:r>
            <w:r>
              <w:rPr>
                <w:rFonts w:ascii="Arial" w:eastAsia="Batang" w:hAnsi="Arial" w:cs="Arial"/>
                <w:b w:val="0"/>
                <w:color w:val="auto"/>
                <w:sz w:val="18"/>
                <w:szCs w:val="24"/>
                <w:lang w:val="el-GR"/>
              </w:rPr>
              <w:t>*</w:t>
            </w:r>
          </w:p>
        </w:tc>
        <w:tc>
          <w:tcPr>
            <w:tcW w:w="1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9977D4" w14:textId="77777777" w:rsidR="0056738E" w:rsidRPr="00A03828" w:rsidRDefault="0056738E" w:rsidP="007C2A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262626"/>
                <w:kern w:val="2"/>
                <w:sz w:val="18"/>
                <w14:ligatures w14:val="standardContextual"/>
              </w:rPr>
            </w:pPr>
            <w:r w:rsidRPr="00A03828">
              <w:rPr>
                <w:rFonts w:ascii="Arial" w:eastAsia="Times New Roman" w:hAnsi="Arial" w:cs="Arial"/>
                <w:b/>
                <w:color w:val="262626"/>
                <w:kern w:val="2"/>
                <w:sz w:val="18"/>
                <w14:ligatures w14:val="standardContextual"/>
              </w:rPr>
              <w:t>1.875%</w:t>
            </w: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96DEB0" w14:textId="77777777" w:rsidR="0056738E" w:rsidRPr="00A03828" w:rsidRDefault="0056738E" w:rsidP="007C2A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62626"/>
                <w:kern w:val="2"/>
                <w:sz w:val="18"/>
                <w14:ligatures w14:val="standardContextual"/>
              </w:rPr>
            </w:pPr>
            <w:r w:rsidRPr="00A03828">
              <w:rPr>
                <w:rFonts w:ascii="Arial" w:eastAsia="Times New Roman" w:hAnsi="Arial" w:cs="Arial"/>
                <w:bCs/>
                <w:color w:val="262626"/>
                <w:kern w:val="2"/>
                <w:sz w:val="18"/>
                <w14:ligatures w14:val="standardContextual"/>
              </w:rPr>
              <w:t>1.50%</w:t>
            </w:r>
          </w:p>
        </w:tc>
      </w:tr>
      <w:tr w:rsidR="0056738E" w:rsidRPr="009E747E" w14:paraId="174DE89C" w14:textId="77777777" w:rsidTr="007C2AE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BFBFBF" w:themeColor="background1" w:themeShade="BF"/>
              <w:right w:val="single" w:sz="6" w:space="0" w:color="BFBFBF" w:themeColor="background1" w:themeShade="BF"/>
            </w:tcBorders>
            <w:shd w:val="clear" w:color="auto" w:fill="auto"/>
            <w:vAlign w:val="center"/>
          </w:tcPr>
          <w:p w14:paraId="2B3D86D6" w14:textId="77777777" w:rsidR="0056738E" w:rsidRPr="00955C85" w:rsidRDefault="0056738E" w:rsidP="007C2AEE">
            <w:pPr>
              <w:autoSpaceDE w:val="0"/>
              <w:autoSpaceDN w:val="0"/>
              <w:adjustRightInd w:val="0"/>
              <w:rPr>
                <w:rFonts w:ascii="Arial" w:eastAsia="Batang" w:hAnsi="Arial" w:cs="Arial"/>
                <w:b w:val="0"/>
                <w:bCs w:val="0"/>
                <w:sz w:val="18"/>
                <w:szCs w:val="24"/>
                <w:lang w:val="el-GR"/>
              </w:rPr>
            </w:pPr>
            <w:proofErr w:type="spellStart"/>
            <w:r w:rsidRPr="0098181F">
              <w:rPr>
                <w:rFonts w:ascii="Arial" w:hAnsi="Arial" w:cs="Arial"/>
                <w:b w:val="0"/>
                <w:bCs w:val="0"/>
                <w:color w:val="262626"/>
                <w:sz w:val="18"/>
                <w:lang w:val="el-GR"/>
              </w:rPr>
              <w:t>Αντικυκλικό</w:t>
            </w:r>
            <w:proofErr w:type="spellEnd"/>
            <w:r w:rsidRPr="0098181F">
              <w:rPr>
                <w:rFonts w:ascii="Arial" w:hAnsi="Arial" w:cs="Arial"/>
                <w:b w:val="0"/>
                <w:bCs w:val="0"/>
                <w:color w:val="262626"/>
                <w:sz w:val="18"/>
                <w:lang w:val="el-GR"/>
              </w:rPr>
              <w:t xml:space="preserve"> Κεφαλαιακό Απόθεμα </w:t>
            </w:r>
            <w:r w:rsidRPr="00423BB9">
              <w:rPr>
                <w:rFonts w:ascii="Arial" w:hAnsi="Arial" w:cs="Arial"/>
                <w:b w:val="0"/>
                <w:bCs w:val="0"/>
                <w:color w:val="262626"/>
                <w:sz w:val="18"/>
                <w:lang w:val="el-GR"/>
              </w:rPr>
              <w:t>Ασφαλείας</w:t>
            </w:r>
            <w:r w:rsidRPr="00423BB9">
              <w:rPr>
                <w:rFonts w:ascii="Arial" w:hAnsi="Arial" w:cs="Arial"/>
                <w:color w:val="262626"/>
                <w:sz w:val="18"/>
                <w:lang w:val="el-GR"/>
              </w:rPr>
              <w:t xml:space="preserve"> </w:t>
            </w:r>
            <w:r w:rsidRPr="00955C85">
              <w:rPr>
                <w:rFonts w:ascii="Arial" w:hAnsi="Arial" w:cs="Arial"/>
                <w:color w:val="262626"/>
                <w:sz w:val="18"/>
                <w:lang w:val="el-GR"/>
              </w:rPr>
              <w:t>(</w:t>
            </w:r>
            <w:proofErr w:type="spellStart"/>
            <w:r w:rsidRPr="00423BB9">
              <w:rPr>
                <w:rFonts w:ascii="Arial" w:hAnsi="Arial" w:cs="Arial"/>
                <w:color w:val="262626"/>
                <w:sz w:val="18"/>
              </w:rPr>
              <w:t>CcyB</w:t>
            </w:r>
            <w:proofErr w:type="spellEnd"/>
            <w:r w:rsidRPr="00955C85">
              <w:rPr>
                <w:rFonts w:ascii="Arial" w:hAnsi="Arial" w:cs="Arial"/>
                <w:color w:val="262626"/>
                <w:sz w:val="18"/>
                <w:lang w:val="el-GR"/>
              </w:rPr>
              <w:t>)</w:t>
            </w:r>
          </w:p>
        </w:tc>
        <w:tc>
          <w:tcPr>
            <w:tcW w:w="0" w:type="dxa"/>
            <w:tcBorders>
              <w:top w:val="single" w:sz="4" w:space="0" w:color="BFBFBF" w:themeColor="background1" w:themeShade="BF"/>
              <w:left w:val="single" w:sz="6" w:space="0" w:color="BFBFBF" w:themeColor="background1" w:themeShade="BF"/>
              <w:bottom w:val="single" w:sz="6" w:space="0" w:color="000000" w:themeColor="text1"/>
              <w:right w:val="single" w:sz="6" w:space="0" w:color="BFBFBF" w:themeColor="background1" w:themeShade="BF"/>
            </w:tcBorders>
            <w:shd w:val="clear" w:color="auto" w:fill="auto"/>
            <w:vAlign w:val="center"/>
          </w:tcPr>
          <w:p w14:paraId="726A9502" w14:textId="77777777" w:rsidR="0056738E" w:rsidRPr="00A03828" w:rsidDel="00B06EF3" w:rsidRDefault="0056738E" w:rsidP="007C2A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262626"/>
                <w:kern w:val="2"/>
                <w:sz w:val="18"/>
                <w14:ligatures w14:val="standardContextual"/>
              </w:rPr>
            </w:pPr>
            <w:r w:rsidRPr="00A03828">
              <w:rPr>
                <w:rFonts w:ascii="Arial" w:eastAsia="Times New Roman" w:hAnsi="Arial" w:cs="Arial"/>
                <w:b/>
                <w:color w:val="262626"/>
                <w:kern w:val="2"/>
                <w:sz w:val="18"/>
                <w14:ligatures w14:val="standardContextual"/>
              </w:rPr>
              <w:t>0.93%</w:t>
            </w:r>
          </w:p>
        </w:tc>
        <w:tc>
          <w:tcPr>
            <w:tcW w:w="0" w:type="dxa"/>
            <w:tcBorders>
              <w:top w:val="single" w:sz="4" w:space="0" w:color="BFBFBF" w:themeColor="background1" w:themeShade="BF"/>
              <w:left w:val="single" w:sz="6" w:space="0" w:color="BFBFBF" w:themeColor="background1" w:themeShade="BF"/>
              <w:bottom w:val="single" w:sz="6" w:space="0" w:color="000000" w:themeColor="text1"/>
              <w:right w:val="single" w:sz="6" w:space="0" w:color="BFBFBF" w:themeColor="background1" w:themeShade="BF"/>
            </w:tcBorders>
            <w:shd w:val="clear" w:color="auto" w:fill="auto"/>
            <w:vAlign w:val="center"/>
          </w:tcPr>
          <w:p w14:paraId="7DE362B0" w14:textId="77777777" w:rsidR="0056738E" w:rsidRPr="00A03828" w:rsidDel="00B06EF3" w:rsidRDefault="0056738E" w:rsidP="007C2A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62626"/>
                <w:kern w:val="2"/>
                <w:sz w:val="18"/>
                <w14:ligatures w14:val="standardContextual"/>
              </w:rPr>
            </w:pPr>
            <w:r w:rsidRPr="00A03828">
              <w:rPr>
                <w:rFonts w:ascii="Arial" w:eastAsia="Times New Roman" w:hAnsi="Arial" w:cs="Arial"/>
                <w:bCs/>
                <w:color w:val="262626"/>
                <w:kern w:val="2"/>
                <w:sz w:val="18"/>
                <w14:ligatures w14:val="standardContextual"/>
              </w:rPr>
              <w:t>0.48%</w:t>
            </w:r>
          </w:p>
        </w:tc>
      </w:tr>
      <w:tr w:rsidR="0056738E" w:rsidRPr="00C6609A" w14:paraId="316975F3" w14:textId="77777777" w:rsidTr="007C2AEE">
        <w:trPr>
          <w:trHeight w:val="283"/>
          <w:jc w:val="center"/>
        </w:trPr>
        <w:tc>
          <w:tcPr>
            <w:cnfStyle w:val="001000000000" w:firstRow="0" w:lastRow="0" w:firstColumn="1" w:lastColumn="0" w:oddVBand="0" w:evenVBand="0" w:oddHBand="0" w:evenHBand="0" w:firstRowFirstColumn="0" w:firstRowLastColumn="0" w:lastRowFirstColumn="0" w:lastRowLastColumn="0"/>
            <w:tcW w:w="6685" w:type="dxa"/>
            <w:tcBorders>
              <w:left w:val="single" w:sz="4" w:space="0" w:color="A6A6A6" w:themeColor="background1" w:themeShade="A6"/>
              <w:bottom w:val="single" w:sz="4" w:space="0" w:color="A6A6A6" w:themeColor="background1" w:themeShade="A6"/>
            </w:tcBorders>
            <w:shd w:val="clear" w:color="auto" w:fill="auto"/>
            <w:vAlign w:val="center"/>
          </w:tcPr>
          <w:p w14:paraId="22E16717" w14:textId="77777777" w:rsidR="0056738E" w:rsidRPr="004B3AAA" w:rsidRDefault="0056738E" w:rsidP="007C2AEE">
            <w:pPr>
              <w:autoSpaceDE w:val="0"/>
              <w:autoSpaceDN w:val="0"/>
              <w:adjustRightInd w:val="0"/>
              <w:rPr>
                <w:rFonts w:ascii="Arial" w:eastAsia="Batang" w:hAnsi="Arial" w:cs="Arial"/>
                <w:color w:val="auto"/>
                <w:sz w:val="18"/>
                <w:szCs w:val="24"/>
                <w:lang w:val="el-GR"/>
              </w:rPr>
            </w:pPr>
            <w:r w:rsidRPr="004B3AAA">
              <w:rPr>
                <w:rFonts w:ascii="Arial" w:eastAsia="Batang" w:hAnsi="Arial" w:cs="Arial"/>
                <w:color w:val="auto"/>
                <w:sz w:val="18"/>
                <w:szCs w:val="24"/>
                <w:lang w:val="el-GR"/>
              </w:rPr>
              <w:t xml:space="preserve">Ελάχιστες </w:t>
            </w:r>
            <w:r>
              <w:rPr>
                <w:rFonts w:ascii="Arial" w:eastAsia="Batang" w:hAnsi="Arial" w:cs="Arial"/>
                <w:color w:val="auto"/>
                <w:sz w:val="18"/>
                <w:szCs w:val="24"/>
                <w:lang w:val="el-GR"/>
              </w:rPr>
              <w:t xml:space="preserve">Εποπτικές </w:t>
            </w:r>
            <w:r w:rsidRPr="004B3AAA">
              <w:rPr>
                <w:rFonts w:ascii="Arial" w:eastAsia="Batang" w:hAnsi="Arial" w:cs="Arial"/>
                <w:color w:val="auto"/>
                <w:sz w:val="18"/>
                <w:szCs w:val="24"/>
                <w:lang w:val="el-GR"/>
              </w:rPr>
              <w:t>Κεφαλαιακές Απαιτήσεις Κεφαλαίου Κοινών Μετόχων Κατηγορίας 1 (CET1)</w:t>
            </w:r>
          </w:p>
        </w:tc>
        <w:tc>
          <w:tcPr>
            <w:tcW w:w="1436" w:type="dxa"/>
            <w:tcBorders>
              <w:top w:val="single" w:sz="6" w:space="0" w:color="000000" w:themeColor="text1"/>
              <w:left w:val="single" w:sz="6" w:space="0" w:color="BFBFBF" w:themeColor="background1" w:themeShade="BF"/>
              <w:bottom w:val="double" w:sz="6" w:space="0" w:color="000000" w:themeColor="text1"/>
              <w:right w:val="single" w:sz="6" w:space="0" w:color="BFBFBF" w:themeColor="background1" w:themeShade="BF"/>
            </w:tcBorders>
            <w:shd w:val="clear" w:color="auto" w:fill="auto"/>
            <w:vAlign w:val="center"/>
          </w:tcPr>
          <w:p w14:paraId="3C3C9C98" w14:textId="77777777" w:rsidR="0056738E" w:rsidRPr="00A03828" w:rsidRDefault="0056738E" w:rsidP="007C2A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262626"/>
                <w:kern w:val="2"/>
                <w:sz w:val="18"/>
                <w14:ligatures w14:val="standardContextual"/>
              </w:rPr>
            </w:pPr>
            <w:r w:rsidRPr="00A03828">
              <w:rPr>
                <w:rFonts w:ascii="Arial" w:eastAsia="Times New Roman" w:hAnsi="Arial" w:cs="Arial"/>
                <w:b/>
                <w:color w:val="262626"/>
                <w:kern w:val="2"/>
                <w:sz w:val="18"/>
                <w14:ligatures w14:val="standardContextual"/>
              </w:rPr>
              <w:t>11.36%</w:t>
            </w:r>
          </w:p>
        </w:tc>
        <w:tc>
          <w:tcPr>
            <w:tcW w:w="1437" w:type="dxa"/>
            <w:tcBorders>
              <w:top w:val="single" w:sz="6" w:space="0" w:color="000000" w:themeColor="text1"/>
              <w:left w:val="single" w:sz="6" w:space="0" w:color="BFBFBF" w:themeColor="background1" w:themeShade="BF"/>
              <w:bottom w:val="double" w:sz="6" w:space="0" w:color="000000" w:themeColor="text1"/>
              <w:right w:val="single" w:sz="6" w:space="0" w:color="BFBFBF" w:themeColor="background1" w:themeShade="BF"/>
            </w:tcBorders>
            <w:shd w:val="clear" w:color="auto" w:fill="auto"/>
            <w:vAlign w:val="center"/>
          </w:tcPr>
          <w:p w14:paraId="7C5058BE" w14:textId="77777777" w:rsidR="0056738E" w:rsidRPr="00A03828" w:rsidRDefault="0056738E" w:rsidP="007C2A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62626"/>
                <w:kern w:val="2"/>
                <w:sz w:val="18"/>
                <w14:ligatures w14:val="standardContextual"/>
              </w:rPr>
            </w:pPr>
            <w:r w:rsidRPr="00A03828">
              <w:rPr>
                <w:rFonts w:ascii="Arial" w:eastAsia="Times New Roman" w:hAnsi="Arial" w:cs="Arial"/>
                <w:bCs/>
                <w:color w:val="262626"/>
                <w:kern w:val="2"/>
                <w:sz w:val="18"/>
                <w14:ligatures w14:val="standardContextual"/>
              </w:rPr>
              <w:t>10.72%</w:t>
            </w:r>
          </w:p>
        </w:tc>
      </w:tr>
    </w:tbl>
    <w:p w14:paraId="35DEA7BF" w14:textId="77777777" w:rsidR="0056738E" w:rsidRPr="00A03828" w:rsidRDefault="0056738E" w:rsidP="0056738E">
      <w:pPr>
        <w:autoSpaceDE w:val="0"/>
        <w:autoSpaceDN w:val="0"/>
        <w:adjustRightInd w:val="0"/>
        <w:spacing w:after="0" w:line="240" w:lineRule="auto"/>
        <w:ind w:left="-284" w:firstLine="567"/>
        <w:jc w:val="both"/>
        <w:rPr>
          <w:rFonts w:ascii="Verdana" w:eastAsia="Batang" w:hAnsi="Verdana" w:cs="Arial"/>
          <w:i/>
          <w:iCs/>
          <w:color w:val="262626"/>
          <w:sz w:val="4"/>
          <w:szCs w:val="4"/>
          <w:lang w:val="el-GR" w:eastAsia="en-US"/>
        </w:rPr>
      </w:pPr>
    </w:p>
    <w:p w14:paraId="39D61444" w14:textId="77777777" w:rsidR="0056738E" w:rsidRPr="00CC6960" w:rsidRDefault="0056738E" w:rsidP="0056738E">
      <w:pPr>
        <w:autoSpaceDE w:val="0"/>
        <w:autoSpaceDN w:val="0"/>
        <w:adjustRightInd w:val="0"/>
        <w:spacing w:after="0" w:line="240" w:lineRule="auto"/>
        <w:ind w:left="-284" w:firstLine="567"/>
        <w:jc w:val="both"/>
        <w:rPr>
          <w:rFonts w:ascii="Verdana" w:eastAsia="Batang" w:hAnsi="Verdana" w:cs="Arial"/>
          <w:i/>
          <w:iCs/>
          <w:color w:val="262626"/>
          <w:sz w:val="14"/>
          <w:szCs w:val="14"/>
          <w:lang w:val="el-GR" w:eastAsia="en-US"/>
        </w:rPr>
      </w:pPr>
      <w:r w:rsidRPr="00CC6960">
        <w:rPr>
          <w:rFonts w:ascii="Verdana" w:eastAsia="Batang" w:hAnsi="Verdana" w:cs="Arial"/>
          <w:i/>
          <w:iCs/>
          <w:color w:val="262626"/>
          <w:sz w:val="14"/>
          <w:szCs w:val="14"/>
          <w:lang w:val="el-GR" w:eastAsia="en-US"/>
        </w:rPr>
        <w:t>* Σε πλήρη εφαρμογή από την 1 Ιανουαρίου 2019</w:t>
      </w:r>
    </w:p>
    <w:p w14:paraId="64D45249" w14:textId="77777777" w:rsidR="0056738E" w:rsidRPr="00CC6960" w:rsidRDefault="0056738E" w:rsidP="0056738E">
      <w:pPr>
        <w:autoSpaceDE w:val="0"/>
        <w:autoSpaceDN w:val="0"/>
        <w:adjustRightInd w:val="0"/>
        <w:spacing w:after="0" w:line="240" w:lineRule="auto"/>
        <w:ind w:left="-284" w:firstLine="568"/>
        <w:jc w:val="both"/>
        <w:rPr>
          <w:rFonts w:ascii="Verdana" w:eastAsia="Batang" w:hAnsi="Verdana" w:cs="Arial"/>
          <w:i/>
          <w:iCs/>
          <w:color w:val="262626"/>
          <w:sz w:val="14"/>
          <w:szCs w:val="14"/>
          <w:lang w:val="el-GR" w:eastAsia="en-US"/>
        </w:rPr>
      </w:pPr>
      <w:r w:rsidRPr="00CC6960">
        <w:rPr>
          <w:rFonts w:ascii="Verdana" w:eastAsia="Batang" w:hAnsi="Verdana" w:cs="Arial"/>
          <w:i/>
          <w:iCs/>
          <w:color w:val="262626"/>
          <w:sz w:val="14"/>
          <w:szCs w:val="14"/>
          <w:lang w:val="el-GR" w:eastAsia="en-US"/>
        </w:rPr>
        <w:t>*</w:t>
      </w:r>
      <w:r w:rsidRPr="00E004DA">
        <w:rPr>
          <w:rFonts w:ascii="Verdana" w:eastAsia="Batang" w:hAnsi="Verdana" w:cs="Arial"/>
          <w:i/>
          <w:iCs/>
          <w:color w:val="262626"/>
          <w:sz w:val="14"/>
          <w:szCs w:val="14"/>
          <w:lang w:val="el-GR" w:eastAsia="en-US"/>
        </w:rPr>
        <w:t>*</w:t>
      </w:r>
      <w:r w:rsidRPr="00CC6960">
        <w:rPr>
          <w:rFonts w:ascii="Verdana" w:eastAsia="Batang" w:hAnsi="Verdana" w:cs="Arial"/>
          <w:i/>
          <w:iCs/>
          <w:color w:val="262626"/>
          <w:sz w:val="14"/>
          <w:szCs w:val="14"/>
          <w:lang w:val="el-GR" w:eastAsia="en-US"/>
        </w:rPr>
        <w:t xml:space="preserve"> </w:t>
      </w:r>
      <w:r w:rsidRPr="00EB42BA">
        <w:rPr>
          <w:rFonts w:ascii="Verdana" w:eastAsia="Batang" w:hAnsi="Verdana" w:cs="Arial"/>
          <w:i/>
          <w:iCs/>
          <w:color w:val="262626"/>
          <w:sz w:val="14"/>
          <w:szCs w:val="14"/>
          <w:lang w:val="el-GR" w:eastAsia="en-US"/>
        </w:rPr>
        <w:t>Αναμενόμενη αύξηση 0.</w:t>
      </w:r>
      <w:r>
        <w:rPr>
          <w:rFonts w:ascii="Verdana" w:eastAsia="Batang" w:hAnsi="Verdana" w:cs="Arial"/>
          <w:i/>
          <w:iCs/>
          <w:color w:val="262626"/>
          <w:sz w:val="14"/>
          <w:szCs w:val="14"/>
          <w:lang w:val="el-GR" w:eastAsia="en-US"/>
        </w:rPr>
        <w:t>0625</w:t>
      </w:r>
      <w:r w:rsidRPr="00EB42BA">
        <w:rPr>
          <w:rFonts w:ascii="Verdana" w:eastAsia="Batang" w:hAnsi="Verdana" w:cs="Arial"/>
          <w:i/>
          <w:iCs/>
          <w:color w:val="262626"/>
          <w:sz w:val="14"/>
          <w:szCs w:val="14"/>
          <w:lang w:val="el-GR" w:eastAsia="en-US"/>
        </w:rPr>
        <w:t>% ανά έτος, έως ότου εφαρμοστεί πλήρως την 1 Ιανουαρίου 202</w:t>
      </w:r>
      <w:r>
        <w:rPr>
          <w:rFonts w:ascii="Verdana" w:eastAsia="Batang" w:hAnsi="Verdana" w:cs="Arial"/>
          <w:i/>
          <w:iCs/>
          <w:color w:val="262626"/>
          <w:sz w:val="14"/>
          <w:szCs w:val="14"/>
          <w:lang w:val="el-GR" w:eastAsia="en-US"/>
        </w:rPr>
        <w:t>6</w:t>
      </w:r>
      <w:r w:rsidRPr="00EB42BA">
        <w:rPr>
          <w:rFonts w:ascii="Verdana" w:eastAsia="Batang" w:hAnsi="Verdana" w:cs="Arial"/>
          <w:i/>
          <w:iCs/>
          <w:color w:val="262626"/>
          <w:sz w:val="14"/>
          <w:szCs w:val="14"/>
          <w:lang w:val="el-GR" w:eastAsia="en-US"/>
        </w:rPr>
        <w:t xml:space="preserve"> </w:t>
      </w:r>
      <w:r>
        <w:rPr>
          <w:rFonts w:ascii="Verdana" w:eastAsia="Batang" w:hAnsi="Verdana" w:cs="Arial"/>
          <w:i/>
          <w:iCs/>
          <w:color w:val="262626"/>
          <w:sz w:val="14"/>
          <w:szCs w:val="14"/>
          <w:lang w:val="el-GR" w:eastAsia="en-US"/>
        </w:rPr>
        <w:t>στο</w:t>
      </w:r>
      <w:r w:rsidRPr="00EB42BA">
        <w:rPr>
          <w:rFonts w:ascii="Verdana" w:eastAsia="Batang" w:hAnsi="Verdana" w:cs="Arial"/>
          <w:i/>
          <w:iCs/>
          <w:color w:val="262626"/>
          <w:sz w:val="14"/>
          <w:szCs w:val="14"/>
          <w:lang w:val="el-GR" w:eastAsia="en-US"/>
        </w:rPr>
        <w:t xml:space="preserve"> 2.</w:t>
      </w:r>
      <w:r>
        <w:rPr>
          <w:rFonts w:ascii="Verdana" w:eastAsia="Batang" w:hAnsi="Verdana" w:cs="Arial"/>
          <w:i/>
          <w:iCs/>
          <w:color w:val="262626"/>
          <w:sz w:val="14"/>
          <w:szCs w:val="14"/>
          <w:lang w:val="el-GR" w:eastAsia="en-US"/>
        </w:rPr>
        <w:t>00</w:t>
      </w:r>
      <w:r w:rsidRPr="00EB42BA">
        <w:rPr>
          <w:rFonts w:ascii="Verdana" w:eastAsia="Batang" w:hAnsi="Verdana" w:cs="Arial"/>
          <w:i/>
          <w:iCs/>
          <w:color w:val="262626"/>
          <w:sz w:val="14"/>
          <w:szCs w:val="14"/>
          <w:lang w:val="el-GR" w:eastAsia="en-US"/>
        </w:rPr>
        <w:t>%.</w:t>
      </w:r>
    </w:p>
    <w:p w14:paraId="4065B5B4" w14:textId="77777777" w:rsidR="0056738E" w:rsidRPr="00A03828" w:rsidRDefault="0056738E" w:rsidP="0056738E">
      <w:pPr>
        <w:spacing w:after="0" w:line="240" w:lineRule="auto"/>
        <w:jc w:val="both"/>
        <w:rPr>
          <w:rFonts w:ascii="Verdana" w:eastAsia="Batang" w:hAnsi="Verdana" w:cs="Arial"/>
          <w:color w:val="262626"/>
          <w:sz w:val="8"/>
          <w:szCs w:val="8"/>
          <w:lang w:val="el-GR" w:eastAsia="en-US"/>
        </w:rPr>
      </w:pPr>
    </w:p>
    <w:tbl>
      <w:tblPr>
        <w:tblStyle w:val="GridTable5Dark-Accent51"/>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15"/>
        <w:gridCol w:w="1435"/>
        <w:gridCol w:w="1437"/>
      </w:tblGrid>
      <w:tr w:rsidR="0056738E" w:rsidRPr="006528B7" w14:paraId="7109D102" w14:textId="77777777" w:rsidTr="007C2AEE">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615"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18F8858C" w14:textId="77777777" w:rsidR="0056738E" w:rsidRPr="006528B7" w:rsidRDefault="0056738E" w:rsidP="007C2AEE">
            <w:pPr>
              <w:autoSpaceDE w:val="0"/>
              <w:autoSpaceDN w:val="0"/>
              <w:adjustRightInd w:val="0"/>
              <w:rPr>
                <w:rFonts w:ascii="Arial" w:eastAsia="Batang" w:hAnsi="Arial" w:cs="Arial"/>
                <w:color w:val="auto"/>
                <w:sz w:val="18"/>
                <w:szCs w:val="24"/>
                <w:lang w:val="el-GR"/>
              </w:rPr>
            </w:pPr>
            <w:r w:rsidRPr="006528B7">
              <w:rPr>
                <w:rFonts w:ascii="Arial" w:eastAsia="Batang" w:hAnsi="Arial" w:cs="Arial"/>
                <w:color w:val="auto"/>
                <w:sz w:val="18"/>
                <w:szCs w:val="24"/>
                <w:lang w:val="el-GR"/>
              </w:rPr>
              <w:t>Ελάχιστες</w:t>
            </w:r>
            <w:r>
              <w:rPr>
                <w:rFonts w:ascii="Arial" w:eastAsia="Batang" w:hAnsi="Arial" w:cs="Arial"/>
                <w:color w:val="auto"/>
                <w:sz w:val="18"/>
                <w:szCs w:val="24"/>
                <w:lang w:val="el-GR"/>
              </w:rPr>
              <w:t xml:space="preserve"> Εποπτικές</w:t>
            </w:r>
            <w:r w:rsidRPr="006528B7">
              <w:rPr>
                <w:rFonts w:ascii="Arial" w:eastAsia="Batang" w:hAnsi="Arial" w:cs="Arial"/>
                <w:color w:val="auto"/>
                <w:sz w:val="18"/>
                <w:szCs w:val="24"/>
                <w:lang w:val="el-GR"/>
              </w:rPr>
              <w:t xml:space="preserve"> Απαιτήσεις Συνολικών Ιδίων Κεφαλαίων </w:t>
            </w:r>
          </w:p>
        </w:tc>
        <w:tc>
          <w:tcPr>
            <w:tcW w:w="1435"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11280675" w14:textId="77777777" w:rsidR="0056738E" w:rsidRPr="00E0028A" w:rsidRDefault="0056738E" w:rsidP="007C2AEE">
            <w:pPr>
              <w:tabs>
                <w:tab w:val="left" w:pos="57"/>
              </w:tabs>
              <w:autoSpaceDE w:val="0"/>
              <w:autoSpaceDN w:val="0"/>
              <w:adjustRightInd w:val="0"/>
              <w:ind w:left="-233" w:right="-109"/>
              <w:jc w:val="center"/>
              <w:cnfStyle w:val="100000000000" w:firstRow="1" w:lastRow="0" w:firstColumn="0" w:lastColumn="0" w:oddVBand="0" w:evenVBand="0" w:oddHBand="0" w:evenHBand="0" w:firstRowFirstColumn="0" w:firstRowLastColumn="0" w:lastRowFirstColumn="0" w:lastRowLastColumn="0"/>
              <w:rPr>
                <w:rFonts w:ascii="Arial" w:eastAsia="Batang" w:hAnsi="Arial" w:cs="Arial"/>
                <w:color w:val="auto"/>
                <w:sz w:val="18"/>
                <w:szCs w:val="24"/>
                <w:lang w:val="el-GR"/>
              </w:rPr>
            </w:pPr>
            <w:r w:rsidRPr="00E0028A">
              <w:rPr>
                <w:rFonts w:ascii="Arial" w:eastAsia="Batang" w:hAnsi="Arial" w:cs="Arial"/>
                <w:sz w:val="18"/>
                <w:szCs w:val="24"/>
                <w:lang w:val="el-GR"/>
              </w:rPr>
              <w:t xml:space="preserve">  </w:t>
            </w:r>
            <w:r w:rsidRPr="006A365D">
              <w:rPr>
                <w:rFonts w:ascii="Arial" w:hAnsi="Arial" w:cs="Arial"/>
                <w:color w:val="262626"/>
                <w:sz w:val="18"/>
                <w:szCs w:val="18"/>
                <w:lang w:val="el-GR"/>
              </w:rPr>
              <w:t xml:space="preserve">30 Σεπτεμβρίου </w:t>
            </w:r>
            <w:r>
              <w:rPr>
                <w:rFonts w:ascii="Arial" w:hAnsi="Arial" w:cs="Arial"/>
                <w:color w:val="262626"/>
                <w:sz w:val="18"/>
                <w:szCs w:val="18"/>
                <w:lang w:val="el-GR"/>
              </w:rPr>
              <w:t>2024</w:t>
            </w:r>
          </w:p>
        </w:tc>
        <w:tc>
          <w:tcPr>
            <w:tcW w:w="1437"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478C6BA1" w14:textId="77777777" w:rsidR="0056738E" w:rsidRPr="00E0028A" w:rsidRDefault="0056738E" w:rsidP="007C2AEE">
            <w:pPr>
              <w:autoSpaceDE w:val="0"/>
              <w:autoSpaceDN w:val="0"/>
              <w:adjustRightInd w:val="0"/>
              <w:ind w:left="-114" w:right="-117"/>
              <w:jc w:val="center"/>
              <w:cnfStyle w:val="100000000000" w:firstRow="1" w:lastRow="0" w:firstColumn="0" w:lastColumn="0" w:oddVBand="0" w:evenVBand="0" w:oddHBand="0" w:evenHBand="0" w:firstRowFirstColumn="0" w:firstRowLastColumn="0" w:lastRowFirstColumn="0" w:lastRowLastColumn="0"/>
              <w:rPr>
                <w:rFonts w:ascii="Arial" w:eastAsia="Batang" w:hAnsi="Arial" w:cs="Arial"/>
                <w:color w:val="auto"/>
                <w:sz w:val="18"/>
                <w:szCs w:val="24"/>
                <w:lang w:val="el-GR"/>
              </w:rPr>
            </w:pPr>
            <w:r w:rsidRPr="00E0028A">
              <w:rPr>
                <w:rFonts w:ascii="Arial" w:eastAsia="Batang" w:hAnsi="Arial" w:cs="Arial"/>
                <w:color w:val="auto"/>
                <w:sz w:val="18"/>
                <w:szCs w:val="24"/>
                <w:lang w:val="el-GR"/>
              </w:rPr>
              <w:t>2023</w:t>
            </w:r>
          </w:p>
        </w:tc>
      </w:tr>
      <w:tr w:rsidR="0056738E" w:rsidRPr="009E747E" w14:paraId="22D89036" w14:textId="77777777" w:rsidTr="007C2AE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615" w:type="dxa"/>
            <w:tcBorders>
              <w:left w:val="single" w:sz="4" w:space="0" w:color="A6A6A6" w:themeColor="background1" w:themeShade="A6"/>
            </w:tcBorders>
            <w:shd w:val="clear" w:color="auto" w:fill="auto"/>
            <w:vAlign w:val="center"/>
          </w:tcPr>
          <w:p w14:paraId="20A42B8B" w14:textId="77777777" w:rsidR="0056738E" w:rsidRPr="006528B7" w:rsidRDefault="0056738E" w:rsidP="007C2AEE">
            <w:pPr>
              <w:autoSpaceDE w:val="0"/>
              <w:autoSpaceDN w:val="0"/>
              <w:adjustRightInd w:val="0"/>
              <w:rPr>
                <w:rFonts w:ascii="Arial" w:eastAsia="Batang" w:hAnsi="Arial" w:cs="Arial"/>
                <w:b w:val="0"/>
                <w:color w:val="auto"/>
                <w:sz w:val="18"/>
                <w:szCs w:val="24"/>
                <w:lang w:val="el-GR"/>
              </w:rPr>
            </w:pPr>
            <w:r w:rsidRPr="006528B7">
              <w:rPr>
                <w:rFonts w:ascii="Arial" w:eastAsia="Batang" w:hAnsi="Arial" w:cs="Arial"/>
                <w:b w:val="0"/>
                <w:color w:val="auto"/>
                <w:sz w:val="18"/>
                <w:szCs w:val="24"/>
                <w:lang w:val="el-GR"/>
              </w:rPr>
              <w:t xml:space="preserve">Πυλώνας </w:t>
            </w:r>
            <w:r w:rsidRPr="006528B7">
              <w:rPr>
                <w:rFonts w:ascii="Arial" w:eastAsia="Batang" w:hAnsi="Arial" w:cs="Arial"/>
                <w:b w:val="0"/>
                <w:color w:val="auto"/>
                <w:sz w:val="18"/>
                <w:szCs w:val="24"/>
              </w:rPr>
              <w:t>I</w:t>
            </w:r>
            <w:r w:rsidRPr="006528B7">
              <w:rPr>
                <w:rFonts w:ascii="Arial" w:eastAsia="Batang" w:hAnsi="Arial" w:cs="Arial"/>
                <w:b w:val="0"/>
                <w:color w:val="auto"/>
                <w:sz w:val="18"/>
                <w:szCs w:val="24"/>
                <w:lang w:val="el-GR"/>
              </w:rPr>
              <w:t xml:space="preserve"> – Απαιτήσεις  Συνολικών Ιδίων Κεφαλαίων</w:t>
            </w:r>
          </w:p>
        </w:tc>
        <w:tc>
          <w:tcPr>
            <w:tcW w:w="14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5274A0A" w14:textId="77777777" w:rsidR="0056738E" w:rsidRPr="007C4796" w:rsidRDefault="0056738E" w:rsidP="007C2A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Verdana" w:hAnsi="Arial" w:cs="Arial"/>
                <w:color w:val="000000"/>
                <w:sz w:val="18"/>
                <w:szCs w:val="24"/>
                <w:lang w:val="el-GR"/>
              </w:rPr>
            </w:pPr>
            <w:r w:rsidRPr="00E81940">
              <w:rPr>
                <w:rFonts w:ascii="Arial" w:hAnsi="Arial" w:cs="Arial"/>
                <w:b/>
                <w:color w:val="262626"/>
                <w:kern w:val="2"/>
                <w:sz w:val="18"/>
                <w14:ligatures w14:val="standardContextual"/>
              </w:rPr>
              <w:t>8.00%</w:t>
            </w:r>
          </w:p>
        </w:tc>
        <w:tc>
          <w:tcPr>
            <w:tcW w:w="143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F50339A" w14:textId="77777777" w:rsidR="0056738E" w:rsidRPr="00E0028A" w:rsidRDefault="0056738E" w:rsidP="007C2A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Batang" w:hAnsi="Arial" w:cs="Arial"/>
                <w:sz w:val="18"/>
                <w:szCs w:val="18"/>
                <w:lang w:val="el-GR"/>
              </w:rPr>
            </w:pPr>
            <w:r w:rsidRPr="00487C44">
              <w:rPr>
                <w:rFonts w:ascii="Arial" w:eastAsia="Verdana" w:hAnsi="Arial" w:cs="Arial"/>
                <w:color w:val="000000"/>
                <w:sz w:val="18"/>
                <w:szCs w:val="24"/>
              </w:rPr>
              <w:t>8.00%</w:t>
            </w:r>
          </w:p>
        </w:tc>
      </w:tr>
      <w:tr w:rsidR="0056738E" w:rsidRPr="009E747E" w14:paraId="799C6ED8" w14:textId="77777777" w:rsidTr="007C2AEE">
        <w:trPr>
          <w:trHeight w:val="283"/>
          <w:jc w:val="center"/>
        </w:trPr>
        <w:tc>
          <w:tcPr>
            <w:cnfStyle w:val="001000000000" w:firstRow="0" w:lastRow="0" w:firstColumn="1" w:lastColumn="0" w:oddVBand="0" w:evenVBand="0" w:oddHBand="0" w:evenHBand="0" w:firstRowFirstColumn="0" w:firstRowLastColumn="0" w:lastRowFirstColumn="0" w:lastRowLastColumn="0"/>
            <w:tcW w:w="6615" w:type="dxa"/>
            <w:tcBorders>
              <w:left w:val="single" w:sz="4" w:space="0" w:color="A6A6A6" w:themeColor="background1" w:themeShade="A6"/>
            </w:tcBorders>
            <w:shd w:val="clear" w:color="auto" w:fill="auto"/>
            <w:vAlign w:val="center"/>
          </w:tcPr>
          <w:p w14:paraId="6921255B" w14:textId="77777777" w:rsidR="0056738E" w:rsidRPr="006528B7" w:rsidRDefault="0056738E" w:rsidP="007C2AEE">
            <w:pPr>
              <w:autoSpaceDE w:val="0"/>
              <w:autoSpaceDN w:val="0"/>
              <w:adjustRightInd w:val="0"/>
              <w:rPr>
                <w:rFonts w:ascii="Arial" w:eastAsia="Batang" w:hAnsi="Arial" w:cs="Arial"/>
                <w:b w:val="0"/>
                <w:color w:val="auto"/>
                <w:sz w:val="18"/>
                <w:szCs w:val="24"/>
                <w:lang w:val="el-GR"/>
              </w:rPr>
            </w:pPr>
            <w:r w:rsidRPr="006528B7">
              <w:rPr>
                <w:rFonts w:ascii="Arial" w:eastAsia="Batang" w:hAnsi="Arial" w:cs="Arial"/>
                <w:b w:val="0"/>
                <w:color w:val="auto"/>
                <w:sz w:val="18"/>
                <w:szCs w:val="24"/>
                <w:lang w:val="el-GR"/>
              </w:rPr>
              <w:t xml:space="preserve">Πυλώνας </w:t>
            </w:r>
            <w:r w:rsidRPr="006528B7">
              <w:rPr>
                <w:rFonts w:ascii="Arial" w:eastAsia="Batang" w:hAnsi="Arial" w:cs="Arial"/>
                <w:b w:val="0"/>
                <w:color w:val="auto"/>
                <w:sz w:val="18"/>
                <w:szCs w:val="24"/>
              </w:rPr>
              <w:t>II</w:t>
            </w:r>
            <w:r w:rsidRPr="006528B7">
              <w:rPr>
                <w:rFonts w:ascii="Arial" w:eastAsia="Batang" w:hAnsi="Arial" w:cs="Arial"/>
                <w:b w:val="0"/>
                <w:color w:val="auto"/>
                <w:sz w:val="18"/>
                <w:szCs w:val="24"/>
                <w:lang w:val="el-GR"/>
              </w:rPr>
              <w:t xml:space="preserve"> – Απαιτήσεις Συνολικών Ιδίων Κεφαλαίων</w:t>
            </w:r>
          </w:p>
        </w:tc>
        <w:tc>
          <w:tcPr>
            <w:tcW w:w="14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7A307AC" w14:textId="77777777" w:rsidR="0056738E" w:rsidRPr="007C4796" w:rsidRDefault="0056738E" w:rsidP="007C2A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Verdana" w:hAnsi="Arial" w:cs="Arial"/>
                <w:color w:val="000000"/>
                <w:sz w:val="18"/>
                <w:szCs w:val="24"/>
                <w:lang w:val="el-GR"/>
              </w:rPr>
            </w:pPr>
            <w:r w:rsidRPr="00E81940">
              <w:rPr>
                <w:rFonts w:ascii="Arial" w:hAnsi="Arial" w:cs="Arial"/>
                <w:b/>
                <w:color w:val="262626"/>
                <w:kern w:val="2"/>
                <w:sz w:val="18"/>
                <w14:ligatures w14:val="standardContextual"/>
              </w:rPr>
              <w:t>2.75%</w:t>
            </w:r>
          </w:p>
        </w:tc>
        <w:tc>
          <w:tcPr>
            <w:tcW w:w="143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46A35BE" w14:textId="77777777" w:rsidR="0056738E" w:rsidRPr="00E0028A" w:rsidRDefault="0056738E" w:rsidP="007C2A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Batang" w:hAnsi="Arial" w:cs="Arial"/>
                <w:sz w:val="18"/>
                <w:szCs w:val="18"/>
                <w:lang w:val="el-GR"/>
              </w:rPr>
            </w:pPr>
            <w:r w:rsidRPr="00487C44">
              <w:rPr>
                <w:rFonts w:ascii="Arial" w:eastAsia="Verdana" w:hAnsi="Arial" w:cs="Arial"/>
                <w:color w:val="000000"/>
                <w:sz w:val="18"/>
                <w:szCs w:val="24"/>
              </w:rPr>
              <w:t>3.08%</w:t>
            </w:r>
          </w:p>
        </w:tc>
      </w:tr>
      <w:tr w:rsidR="0056738E" w:rsidRPr="009E747E" w14:paraId="4067644E" w14:textId="77777777" w:rsidTr="007C2AE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615" w:type="dxa"/>
            <w:tcBorders>
              <w:left w:val="single" w:sz="4" w:space="0" w:color="A6A6A6" w:themeColor="background1" w:themeShade="A6"/>
            </w:tcBorders>
            <w:shd w:val="clear" w:color="auto" w:fill="auto"/>
            <w:vAlign w:val="center"/>
          </w:tcPr>
          <w:p w14:paraId="015556D9" w14:textId="77777777" w:rsidR="0056738E" w:rsidRPr="006528B7" w:rsidRDefault="0056738E" w:rsidP="007C2AEE">
            <w:pPr>
              <w:autoSpaceDE w:val="0"/>
              <w:autoSpaceDN w:val="0"/>
              <w:adjustRightInd w:val="0"/>
              <w:rPr>
                <w:rFonts w:ascii="Arial" w:eastAsia="Batang" w:hAnsi="Arial" w:cs="Arial"/>
                <w:b w:val="0"/>
                <w:color w:val="auto"/>
                <w:sz w:val="18"/>
                <w:szCs w:val="24"/>
                <w:lang w:val="el-GR"/>
              </w:rPr>
            </w:pPr>
            <w:r w:rsidRPr="006528B7">
              <w:rPr>
                <w:rFonts w:ascii="Arial" w:eastAsia="Batang" w:hAnsi="Arial" w:cs="Arial"/>
                <w:b w:val="0"/>
                <w:color w:val="auto"/>
                <w:sz w:val="18"/>
                <w:szCs w:val="24"/>
                <w:lang w:val="el-GR"/>
              </w:rPr>
              <w:t>Απόθεμα Ασφαλείας Διατήρησης Κεφαλαίου (</w:t>
            </w:r>
            <w:r w:rsidRPr="006528B7">
              <w:rPr>
                <w:rFonts w:ascii="Arial" w:eastAsia="Batang" w:hAnsi="Arial" w:cs="Arial"/>
                <w:b w:val="0"/>
                <w:color w:val="auto"/>
                <w:sz w:val="18"/>
                <w:szCs w:val="24"/>
              </w:rPr>
              <w:t>CCB</w:t>
            </w:r>
            <w:r w:rsidRPr="006528B7">
              <w:rPr>
                <w:rFonts w:ascii="Arial" w:eastAsia="Batang" w:hAnsi="Arial" w:cs="Arial"/>
                <w:b w:val="0"/>
                <w:color w:val="auto"/>
                <w:sz w:val="18"/>
                <w:szCs w:val="24"/>
                <w:lang w:val="el-GR"/>
              </w:rPr>
              <w:t>)*</w:t>
            </w:r>
          </w:p>
        </w:tc>
        <w:tc>
          <w:tcPr>
            <w:tcW w:w="14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F17868" w14:textId="77777777" w:rsidR="0056738E" w:rsidRPr="007C4796" w:rsidRDefault="0056738E" w:rsidP="007C2A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Verdana" w:hAnsi="Arial" w:cs="Arial"/>
                <w:color w:val="000000"/>
                <w:sz w:val="18"/>
                <w:szCs w:val="24"/>
                <w:lang w:val="el-GR"/>
              </w:rPr>
            </w:pPr>
            <w:r w:rsidRPr="00E81940">
              <w:rPr>
                <w:rFonts w:ascii="Arial" w:hAnsi="Arial" w:cs="Arial"/>
                <w:b/>
                <w:color w:val="262626"/>
                <w:kern w:val="2"/>
                <w:sz w:val="18"/>
                <w14:ligatures w14:val="standardContextual"/>
              </w:rPr>
              <w:t>2.50%</w:t>
            </w:r>
          </w:p>
        </w:tc>
        <w:tc>
          <w:tcPr>
            <w:tcW w:w="143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7A502C0" w14:textId="77777777" w:rsidR="0056738E" w:rsidRPr="00E0028A" w:rsidRDefault="0056738E" w:rsidP="007C2A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Batang" w:hAnsi="Arial" w:cs="Arial"/>
                <w:sz w:val="18"/>
                <w:szCs w:val="18"/>
                <w:lang w:val="el-GR"/>
              </w:rPr>
            </w:pPr>
            <w:r w:rsidRPr="00487C44">
              <w:rPr>
                <w:rFonts w:ascii="Arial" w:eastAsia="Verdana" w:hAnsi="Arial" w:cs="Arial"/>
                <w:color w:val="000000"/>
                <w:sz w:val="18"/>
                <w:szCs w:val="24"/>
              </w:rPr>
              <w:t>2.50%</w:t>
            </w:r>
          </w:p>
        </w:tc>
      </w:tr>
      <w:tr w:rsidR="0056738E" w:rsidRPr="009E747E" w14:paraId="23F881BE" w14:textId="77777777" w:rsidTr="007C2AEE">
        <w:trPr>
          <w:trHeight w:val="283"/>
          <w:jc w:val="center"/>
        </w:trPr>
        <w:tc>
          <w:tcPr>
            <w:cnfStyle w:val="001000000000" w:firstRow="0" w:lastRow="0" w:firstColumn="1" w:lastColumn="0" w:oddVBand="0" w:evenVBand="0" w:oddHBand="0" w:evenHBand="0" w:firstRowFirstColumn="0" w:firstRowLastColumn="0" w:lastRowFirstColumn="0" w:lastRowLastColumn="0"/>
            <w:tcW w:w="6615" w:type="dxa"/>
            <w:tcBorders>
              <w:left w:val="single" w:sz="4" w:space="0" w:color="A6A6A6" w:themeColor="background1" w:themeShade="A6"/>
              <w:bottom w:val="single" w:sz="4" w:space="0" w:color="A6A6A6" w:themeColor="background1" w:themeShade="A6"/>
            </w:tcBorders>
            <w:shd w:val="clear" w:color="auto" w:fill="auto"/>
            <w:vAlign w:val="center"/>
          </w:tcPr>
          <w:p w14:paraId="597FD508" w14:textId="77777777" w:rsidR="0056738E" w:rsidRPr="006528B7" w:rsidRDefault="0056738E" w:rsidP="007C2AEE">
            <w:pPr>
              <w:autoSpaceDE w:val="0"/>
              <w:autoSpaceDN w:val="0"/>
              <w:adjustRightInd w:val="0"/>
              <w:rPr>
                <w:rFonts w:ascii="Arial" w:eastAsia="Batang" w:hAnsi="Arial" w:cs="Arial"/>
                <w:b w:val="0"/>
                <w:color w:val="auto"/>
                <w:sz w:val="18"/>
                <w:szCs w:val="24"/>
                <w:lang w:val="el-GR"/>
              </w:rPr>
            </w:pPr>
            <w:r w:rsidRPr="006528B7">
              <w:rPr>
                <w:rFonts w:ascii="Arial" w:eastAsia="Batang" w:hAnsi="Arial" w:cs="Arial"/>
                <w:b w:val="0"/>
                <w:color w:val="auto"/>
                <w:sz w:val="18"/>
                <w:szCs w:val="24"/>
                <w:lang w:val="el-GR"/>
              </w:rPr>
              <w:t>Απόθεμα Ασφαλείας Άλλων Συστημικά Σημαντικών Ιδρυμάτων (</w:t>
            </w:r>
            <w:r w:rsidRPr="006528B7">
              <w:rPr>
                <w:rFonts w:ascii="Arial" w:eastAsia="Batang" w:hAnsi="Arial" w:cs="Arial"/>
                <w:b w:val="0"/>
                <w:color w:val="auto"/>
                <w:sz w:val="18"/>
                <w:szCs w:val="24"/>
              </w:rPr>
              <w:t>O</w:t>
            </w:r>
            <w:r w:rsidRPr="006528B7">
              <w:rPr>
                <w:rFonts w:ascii="Arial" w:eastAsia="Batang" w:hAnsi="Arial" w:cs="Arial"/>
                <w:b w:val="0"/>
                <w:color w:val="auto"/>
                <w:sz w:val="18"/>
                <w:szCs w:val="24"/>
                <w:lang w:val="el-GR"/>
              </w:rPr>
              <w:t>-</w:t>
            </w:r>
            <w:r w:rsidRPr="006528B7">
              <w:rPr>
                <w:rFonts w:ascii="Arial" w:eastAsia="Batang" w:hAnsi="Arial" w:cs="Arial"/>
                <w:b w:val="0"/>
                <w:color w:val="auto"/>
                <w:sz w:val="18"/>
                <w:szCs w:val="24"/>
              </w:rPr>
              <w:t>SII</w:t>
            </w:r>
            <w:r w:rsidRPr="006528B7">
              <w:rPr>
                <w:rFonts w:ascii="Arial" w:eastAsia="Batang" w:hAnsi="Arial" w:cs="Arial"/>
                <w:b w:val="0"/>
                <w:color w:val="auto"/>
                <w:sz w:val="18"/>
                <w:szCs w:val="24"/>
                <w:lang w:val="el-GR"/>
              </w:rPr>
              <w:t>)</w:t>
            </w:r>
            <w:r w:rsidRPr="004B3AAA">
              <w:rPr>
                <w:rFonts w:ascii="Arial" w:eastAsia="Batang" w:hAnsi="Arial" w:cs="Arial"/>
                <w:b w:val="0"/>
                <w:color w:val="auto"/>
                <w:sz w:val="18"/>
                <w:szCs w:val="24"/>
                <w:lang w:val="el-GR"/>
              </w:rPr>
              <w:t>**</w:t>
            </w:r>
          </w:p>
        </w:tc>
        <w:tc>
          <w:tcPr>
            <w:tcW w:w="1435"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shd w:val="clear" w:color="auto" w:fill="auto"/>
            <w:vAlign w:val="center"/>
          </w:tcPr>
          <w:p w14:paraId="181C85CD" w14:textId="77777777" w:rsidR="0056738E" w:rsidRPr="007C4796" w:rsidRDefault="0056738E" w:rsidP="007C2A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Verdana" w:hAnsi="Arial" w:cs="Arial"/>
                <w:color w:val="000000"/>
                <w:sz w:val="18"/>
                <w:szCs w:val="24"/>
                <w:lang w:val="el-GR"/>
              </w:rPr>
            </w:pPr>
            <w:r w:rsidRPr="00E81940">
              <w:rPr>
                <w:rFonts w:ascii="Arial" w:hAnsi="Arial" w:cs="Arial"/>
                <w:b/>
                <w:color w:val="262626"/>
                <w:kern w:val="2"/>
                <w:sz w:val="18"/>
                <w14:ligatures w14:val="standardContextual"/>
              </w:rPr>
              <w:t>1.875%</w:t>
            </w:r>
          </w:p>
        </w:tc>
        <w:tc>
          <w:tcPr>
            <w:tcW w:w="143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shd w:val="clear" w:color="auto" w:fill="auto"/>
            <w:vAlign w:val="center"/>
          </w:tcPr>
          <w:p w14:paraId="1945C08C" w14:textId="77777777" w:rsidR="0056738E" w:rsidRPr="00E0028A" w:rsidRDefault="0056738E" w:rsidP="007C2A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Batang" w:hAnsi="Arial" w:cs="Arial"/>
                <w:sz w:val="18"/>
                <w:szCs w:val="18"/>
                <w:lang w:val="el-GR"/>
              </w:rPr>
            </w:pPr>
            <w:r w:rsidRPr="00487C44">
              <w:rPr>
                <w:rFonts w:ascii="Arial" w:eastAsia="Verdana" w:hAnsi="Arial" w:cs="Arial"/>
                <w:color w:val="000000"/>
                <w:sz w:val="18"/>
                <w:szCs w:val="24"/>
              </w:rPr>
              <w:t>1.50%</w:t>
            </w:r>
          </w:p>
        </w:tc>
      </w:tr>
      <w:tr w:rsidR="0056738E" w:rsidRPr="009E747E" w14:paraId="2D04E17B" w14:textId="77777777" w:rsidTr="007C2AE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615" w:type="dxa"/>
            <w:tcBorders>
              <w:left w:val="single" w:sz="4" w:space="0" w:color="BFBFBF" w:themeColor="background1" w:themeShade="BF"/>
              <w:right w:val="single" w:sz="6" w:space="0" w:color="BFBFBF" w:themeColor="background1" w:themeShade="BF"/>
            </w:tcBorders>
            <w:shd w:val="clear" w:color="auto" w:fill="auto"/>
            <w:vAlign w:val="center"/>
          </w:tcPr>
          <w:p w14:paraId="0F96296C" w14:textId="77777777" w:rsidR="0056738E" w:rsidRPr="00955C85" w:rsidRDefault="0056738E" w:rsidP="007C2AEE">
            <w:pPr>
              <w:autoSpaceDE w:val="0"/>
              <w:autoSpaceDN w:val="0"/>
              <w:adjustRightInd w:val="0"/>
              <w:rPr>
                <w:rFonts w:ascii="Arial" w:eastAsia="Batang" w:hAnsi="Arial" w:cs="Arial"/>
                <w:b w:val="0"/>
                <w:bCs w:val="0"/>
                <w:sz w:val="18"/>
                <w:szCs w:val="24"/>
                <w:lang w:val="el-GR"/>
              </w:rPr>
            </w:pPr>
            <w:proofErr w:type="spellStart"/>
            <w:r w:rsidRPr="00955C85">
              <w:rPr>
                <w:rFonts w:ascii="Arial" w:hAnsi="Arial" w:cs="Arial"/>
                <w:color w:val="262626"/>
                <w:sz w:val="18"/>
                <w:lang w:val="el-GR"/>
              </w:rPr>
              <w:t>Αντικυκλικό</w:t>
            </w:r>
            <w:proofErr w:type="spellEnd"/>
            <w:r w:rsidRPr="00955C85">
              <w:rPr>
                <w:rFonts w:ascii="Arial" w:hAnsi="Arial" w:cs="Arial"/>
                <w:color w:val="262626"/>
                <w:sz w:val="18"/>
                <w:lang w:val="el-GR"/>
              </w:rPr>
              <w:t xml:space="preserve"> Κεφαλαιακό Απόθεμα Ασφαλείας (</w:t>
            </w:r>
            <w:proofErr w:type="spellStart"/>
            <w:r w:rsidRPr="00423BB9">
              <w:rPr>
                <w:rFonts w:ascii="Arial" w:hAnsi="Arial" w:cs="Arial"/>
                <w:color w:val="262626"/>
                <w:sz w:val="18"/>
              </w:rPr>
              <w:t>CcyB</w:t>
            </w:r>
            <w:proofErr w:type="spellEnd"/>
            <w:r w:rsidRPr="00955C85">
              <w:rPr>
                <w:rFonts w:ascii="Arial" w:hAnsi="Arial" w:cs="Arial"/>
                <w:color w:val="262626"/>
                <w:sz w:val="18"/>
                <w:lang w:val="el-GR"/>
              </w:rPr>
              <w:t>)</w:t>
            </w:r>
          </w:p>
        </w:tc>
        <w:tc>
          <w:tcPr>
            <w:tcW w:w="1435" w:type="dxa"/>
            <w:tcBorders>
              <w:top w:val="single" w:sz="4" w:space="0" w:color="BFBFBF" w:themeColor="background1" w:themeShade="BF"/>
              <w:left w:val="single" w:sz="6" w:space="0" w:color="BFBFBF" w:themeColor="background1" w:themeShade="BF"/>
              <w:bottom w:val="single" w:sz="6" w:space="0" w:color="000000" w:themeColor="text1"/>
              <w:right w:val="single" w:sz="6" w:space="0" w:color="BFBFBF" w:themeColor="background1" w:themeShade="BF"/>
            </w:tcBorders>
            <w:shd w:val="clear" w:color="auto" w:fill="auto"/>
            <w:vAlign w:val="center"/>
          </w:tcPr>
          <w:p w14:paraId="0EBFCE15" w14:textId="77777777" w:rsidR="0056738E" w:rsidRPr="007C4796" w:rsidDel="00B06EF3" w:rsidRDefault="0056738E" w:rsidP="007C2A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Verdana" w:hAnsi="Arial" w:cs="Arial"/>
                <w:color w:val="000000"/>
                <w:sz w:val="18"/>
                <w:szCs w:val="24"/>
                <w:lang w:val="el-GR"/>
              </w:rPr>
            </w:pPr>
            <w:r w:rsidRPr="00E81940">
              <w:rPr>
                <w:rFonts w:ascii="Arial" w:hAnsi="Arial" w:cs="Arial"/>
                <w:b/>
                <w:bCs/>
                <w:color w:val="262626"/>
                <w:kern w:val="2"/>
                <w:sz w:val="18"/>
                <w14:ligatures w14:val="standardContextual"/>
              </w:rPr>
              <w:t>0.93%</w:t>
            </w:r>
          </w:p>
        </w:tc>
        <w:tc>
          <w:tcPr>
            <w:tcW w:w="1437" w:type="dxa"/>
            <w:tcBorders>
              <w:top w:val="single" w:sz="4" w:space="0" w:color="BFBFBF" w:themeColor="background1" w:themeShade="BF"/>
              <w:left w:val="single" w:sz="6" w:space="0" w:color="BFBFBF" w:themeColor="background1" w:themeShade="BF"/>
              <w:bottom w:val="single" w:sz="6" w:space="0" w:color="000000" w:themeColor="text1"/>
              <w:right w:val="single" w:sz="6" w:space="0" w:color="BFBFBF" w:themeColor="background1" w:themeShade="BF"/>
            </w:tcBorders>
            <w:shd w:val="clear" w:color="auto" w:fill="auto"/>
            <w:vAlign w:val="center"/>
          </w:tcPr>
          <w:p w14:paraId="6F51B7CB" w14:textId="77777777" w:rsidR="0056738E" w:rsidRPr="00E0028A" w:rsidDel="00B06EF3" w:rsidRDefault="0056738E" w:rsidP="007C2AE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Verdana" w:hAnsi="Arial" w:cs="Arial"/>
                <w:color w:val="000000"/>
                <w:sz w:val="18"/>
              </w:rPr>
            </w:pPr>
            <w:r w:rsidRPr="00487C44">
              <w:rPr>
                <w:rFonts w:ascii="Arial" w:eastAsia="Verdana" w:hAnsi="Arial" w:cs="Arial"/>
                <w:color w:val="252525"/>
                <w:sz w:val="18"/>
                <w:szCs w:val="24"/>
              </w:rPr>
              <w:t>0.48%</w:t>
            </w:r>
          </w:p>
        </w:tc>
      </w:tr>
      <w:tr w:rsidR="0056738E" w:rsidRPr="00C6609A" w14:paraId="1CDBD68E" w14:textId="77777777" w:rsidTr="007C2AEE">
        <w:trPr>
          <w:trHeight w:val="283"/>
          <w:jc w:val="center"/>
        </w:trPr>
        <w:tc>
          <w:tcPr>
            <w:cnfStyle w:val="001000000000" w:firstRow="0" w:lastRow="0" w:firstColumn="1" w:lastColumn="0" w:oddVBand="0" w:evenVBand="0" w:oddHBand="0" w:evenHBand="0" w:firstRowFirstColumn="0" w:firstRowLastColumn="0" w:lastRowFirstColumn="0" w:lastRowLastColumn="0"/>
            <w:tcW w:w="6615" w:type="dxa"/>
            <w:tcBorders>
              <w:left w:val="single" w:sz="4" w:space="0" w:color="A6A6A6" w:themeColor="background1" w:themeShade="A6"/>
              <w:bottom w:val="single" w:sz="4" w:space="0" w:color="BFBFBF" w:themeColor="background1" w:themeShade="BF"/>
            </w:tcBorders>
            <w:shd w:val="clear" w:color="auto" w:fill="auto"/>
            <w:vAlign w:val="center"/>
          </w:tcPr>
          <w:p w14:paraId="2F4AF38B" w14:textId="77777777" w:rsidR="0056738E" w:rsidRPr="006528B7" w:rsidRDefault="0056738E" w:rsidP="007C2AEE">
            <w:pPr>
              <w:autoSpaceDE w:val="0"/>
              <w:autoSpaceDN w:val="0"/>
              <w:adjustRightInd w:val="0"/>
              <w:rPr>
                <w:rFonts w:ascii="Arial" w:eastAsia="Batang" w:hAnsi="Arial" w:cs="Arial"/>
                <w:color w:val="auto"/>
                <w:sz w:val="18"/>
                <w:szCs w:val="24"/>
                <w:lang w:val="el-GR"/>
              </w:rPr>
            </w:pPr>
            <w:r w:rsidRPr="006528B7">
              <w:rPr>
                <w:rFonts w:ascii="Arial" w:eastAsia="Batang" w:hAnsi="Arial" w:cs="Arial"/>
                <w:color w:val="auto"/>
                <w:sz w:val="18"/>
                <w:szCs w:val="24"/>
                <w:lang w:val="el-GR"/>
              </w:rPr>
              <w:t xml:space="preserve">Ελάχιστες </w:t>
            </w:r>
            <w:r>
              <w:rPr>
                <w:rFonts w:ascii="Arial" w:eastAsia="Batang" w:hAnsi="Arial" w:cs="Arial"/>
                <w:color w:val="auto"/>
                <w:sz w:val="18"/>
                <w:szCs w:val="24"/>
                <w:lang w:val="el-GR"/>
              </w:rPr>
              <w:t xml:space="preserve">Εποπτικές </w:t>
            </w:r>
            <w:r w:rsidRPr="006528B7">
              <w:rPr>
                <w:rFonts w:ascii="Arial" w:eastAsia="Batang" w:hAnsi="Arial" w:cs="Arial"/>
                <w:color w:val="auto"/>
                <w:sz w:val="18"/>
                <w:szCs w:val="24"/>
                <w:lang w:val="el-GR"/>
              </w:rPr>
              <w:t>Απαιτήσεις Συνολικών Ιδίων Κεφαλαίων</w:t>
            </w:r>
          </w:p>
        </w:tc>
        <w:tc>
          <w:tcPr>
            <w:tcW w:w="1435" w:type="dxa"/>
            <w:tcBorders>
              <w:top w:val="single" w:sz="6" w:space="0" w:color="000000" w:themeColor="text1"/>
              <w:left w:val="single" w:sz="6" w:space="0" w:color="BFBFBF" w:themeColor="background1" w:themeShade="BF"/>
              <w:bottom w:val="double" w:sz="6" w:space="0" w:color="000000" w:themeColor="text1"/>
              <w:right w:val="single" w:sz="6" w:space="0" w:color="BFBFBF" w:themeColor="background1" w:themeShade="BF"/>
            </w:tcBorders>
            <w:shd w:val="clear" w:color="auto" w:fill="auto"/>
            <w:vAlign w:val="center"/>
          </w:tcPr>
          <w:p w14:paraId="696DD663" w14:textId="77777777" w:rsidR="0056738E" w:rsidRPr="007C4796" w:rsidRDefault="0056738E" w:rsidP="007C2A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Verdana" w:hAnsi="Arial" w:cs="Arial"/>
                <w:b/>
                <w:bCs/>
                <w:color w:val="000000"/>
                <w:sz w:val="18"/>
                <w:szCs w:val="24"/>
                <w:lang w:val="el-GR"/>
              </w:rPr>
            </w:pPr>
            <w:r w:rsidRPr="00E81940">
              <w:rPr>
                <w:rFonts w:ascii="Arial" w:hAnsi="Arial" w:cs="Arial"/>
                <w:b/>
                <w:color w:val="262626"/>
                <w:kern w:val="2"/>
                <w:sz w:val="18"/>
                <w14:ligatures w14:val="standardContextual"/>
              </w:rPr>
              <w:t>16.06%</w:t>
            </w:r>
          </w:p>
        </w:tc>
        <w:tc>
          <w:tcPr>
            <w:tcW w:w="1437" w:type="dxa"/>
            <w:tcBorders>
              <w:top w:val="single" w:sz="6" w:space="0" w:color="000000" w:themeColor="text1"/>
              <w:left w:val="single" w:sz="6" w:space="0" w:color="BFBFBF" w:themeColor="background1" w:themeShade="BF"/>
              <w:bottom w:val="double" w:sz="6" w:space="0" w:color="000000" w:themeColor="text1"/>
              <w:right w:val="single" w:sz="6" w:space="0" w:color="BFBFBF" w:themeColor="background1" w:themeShade="BF"/>
            </w:tcBorders>
            <w:shd w:val="clear" w:color="auto" w:fill="auto"/>
            <w:vAlign w:val="center"/>
          </w:tcPr>
          <w:p w14:paraId="35C68B54" w14:textId="77777777" w:rsidR="0056738E" w:rsidRPr="00E0028A" w:rsidRDefault="0056738E" w:rsidP="007C2AE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Batang" w:hAnsi="Arial" w:cs="Arial"/>
                <w:b/>
                <w:bCs/>
                <w:sz w:val="18"/>
                <w:szCs w:val="18"/>
                <w:lang w:val="el-GR"/>
              </w:rPr>
            </w:pPr>
            <w:r w:rsidRPr="00487C44">
              <w:rPr>
                <w:rFonts w:ascii="Arial" w:eastAsia="Verdana" w:hAnsi="Arial" w:cs="Arial"/>
                <w:bCs/>
                <w:color w:val="000000"/>
                <w:sz w:val="18"/>
                <w:szCs w:val="24"/>
              </w:rPr>
              <w:t>15.56%</w:t>
            </w:r>
          </w:p>
        </w:tc>
      </w:tr>
    </w:tbl>
    <w:p w14:paraId="38C2D28A" w14:textId="77777777" w:rsidR="0056738E" w:rsidRPr="00A03828" w:rsidRDefault="0056738E" w:rsidP="0056738E">
      <w:pPr>
        <w:autoSpaceDE w:val="0"/>
        <w:autoSpaceDN w:val="0"/>
        <w:adjustRightInd w:val="0"/>
        <w:spacing w:after="0" w:line="240" w:lineRule="auto"/>
        <w:ind w:left="-284" w:firstLine="568"/>
        <w:jc w:val="both"/>
        <w:rPr>
          <w:rFonts w:ascii="Verdana" w:eastAsia="Batang" w:hAnsi="Verdana" w:cs="Arial"/>
          <w:i/>
          <w:iCs/>
          <w:color w:val="262626"/>
          <w:sz w:val="4"/>
          <w:szCs w:val="4"/>
          <w:lang w:val="el-GR" w:eastAsia="en-US"/>
        </w:rPr>
      </w:pPr>
    </w:p>
    <w:p w14:paraId="2513C084" w14:textId="77777777" w:rsidR="0056738E" w:rsidRDefault="0056738E" w:rsidP="0056738E">
      <w:pPr>
        <w:autoSpaceDE w:val="0"/>
        <w:autoSpaceDN w:val="0"/>
        <w:adjustRightInd w:val="0"/>
        <w:spacing w:after="0" w:line="240" w:lineRule="auto"/>
        <w:ind w:left="-284" w:firstLine="568"/>
        <w:jc w:val="both"/>
        <w:rPr>
          <w:rFonts w:ascii="Verdana" w:eastAsia="Batang" w:hAnsi="Verdana" w:cs="Arial"/>
          <w:i/>
          <w:iCs/>
          <w:color w:val="262626"/>
          <w:sz w:val="14"/>
          <w:szCs w:val="14"/>
          <w:lang w:val="el-GR" w:eastAsia="en-US"/>
        </w:rPr>
      </w:pPr>
      <w:r w:rsidRPr="005000C3">
        <w:rPr>
          <w:rFonts w:ascii="Verdana" w:eastAsia="Batang" w:hAnsi="Verdana" w:cs="Arial"/>
          <w:i/>
          <w:iCs/>
          <w:color w:val="262626"/>
          <w:sz w:val="14"/>
          <w:szCs w:val="14"/>
          <w:lang w:val="el-GR" w:eastAsia="en-US"/>
        </w:rPr>
        <w:t>* Σε πλήρη εφαρμογή από την 1 Ιανουαρίου 2019</w:t>
      </w:r>
    </w:p>
    <w:p w14:paraId="01CD4D44" w14:textId="77777777" w:rsidR="0056738E" w:rsidRDefault="0056738E" w:rsidP="0056738E">
      <w:pPr>
        <w:autoSpaceDE w:val="0"/>
        <w:autoSpaceDN w:val="0"/>
        <w:adjustRightInd w:val="0"/>
        <w:spacing w:after="0" w:line="240" w:lineRule="auto"/>
        <w:ind w:left="-284" w:firstLine="568"/>
        <w:jc w:val="both"/>
        <w:rPr>
          <w:rFonts w:ascii="Verdana" w:eastAsia="Batang" w:hAnsi="Verdana" w:cs="Arial"/>
          <w:i/>
          <w:iCs/>
          <w:color w:val="262626"/>
          <w:sz w:val="14"/>
          <w:szCs w:val="14"/>
          <w:lang w:val="el-GR" w:eastAsia="en-US"/>
        </w:rPr>
      </w:pPr>
      <w:r w:rsidRPr="005000C3">
        <w:rPr>
          <w:rFonts w:ascii="Verdana" w:eastAsia="Batang" w:hAnsi="Verdana" w:cs="Arial"/>
          <w:i/>
          <w:iCs/>
          <w:color w:val="262626"/>
          <w:sz w:val="14"/>
          <w:szCs w:val="14"/>
          <w:lang w:val="el-GR" w:eastAsia="en-US"/>
        </w:rPr>
        <w:t>*</w:t>
      </w:r>
      <w:r w:rsidRPr="00E004DA">
        <w:rPr>
          <w:rFonts w:ascii="Verdana" w:eastAsia="Batang" w:hAnsi="Verdana" w:cs="Arial"/>
          <w:i/>
          <w:iCs/>
          <w:color w:val="262626"/>
          <w:sz w:val="14"/>
          <w:szCs w:val="14"/>
          <w:lang w:val="el-GR" w:eastAsia="en-US"/>
        </w:rPr>
        <w:t>*</w:t>
      </w:r>
      <w:r w:rsidRPr="005000C3">
        <w:rPr>
          <w:rFonts w:ascii="Verdana" w:eastAsia="Batang" w:hAnsi="Verdana" w:cs="Arial"/>
          <w:i/>
          <w:iCs/>
          <w:color w:val="262626"/>
          <w:sz w:val="14"/>
          <w:szCs w:val="14"/>
          <w:lang w:val="el-GR" w:eastAsia="en-US"/>
        </w:rPr>
        <w:t xml:space="preserve"> </w:t>
      </w:r>
      <w:r>
        <w:rPr>
          <w:rFonts w:ascii="Verdana" w:eastAsia="Batang" w:hAnsi="Verdana" w:cs="Arial"/>
          <w:i/>
          <w:iCs/>
          <w:color w:val="262626"/>
          <w:sz w:val="14"/>
          <w:szCs w:val="14"/>
          <w:lang w:val="el-GR" w:eastAsia="en-US"/>
        </w:rPr>
        <w:t>Αναμενόμενη αύξηση</w:t>
      </w:r>
      <w:r w:rsidRPr="00CC6960">
        <w:rPr>
          <w:rFonts w:ascii="Verdana" w:eastAsia="Batang" w:hAnsi="Verdana" w:cs="Arial"/>
          <w:i/>
          <w:iCs/>
          <w:color w:val="262626"/>
          <w:sz w:val="14"/>
          <w:szCs w:val="14"/>
          <w:lang w:val="el-GR" w:eastAsia="en-US"/>
        </w:rPr>
        <w:t xml:space="preserve"> 0.</w:t>
      </w:r>
      <w:r>
        <w:rPr>
          <w:rFonts w:ascii="Verdana" w:eastAsia="Batang" w:hAnsi="Verdana" w:cs="Arial"/>
          <w:i/>
          <w:iCs/>
          <w:color w:val="262626"/>
          <w:sz w:val="14"/>
          <w:szCs w:val="14"/>
          <w:lang w:val="el-GR" w:eastAsia="en-US"/>
        </w:rPr>
        <w:t>0625</w:t>
      </w:r>
      <w:r w:rsidRPr="00CC6960">
        <w:rPr>
          <w:rFonts w:ascii="Verdana" w:eastAsia="Batang" w:hAnsi="Verdana" w:cs="Arial"/>
          <w:i/>
          <w:iCs/>
          <w:color w:val="262626"/>
          <w:sz w:val="14"/>
          <w:szCs w:val="14"/>
          <w:lang w:val="el-GR" w:eastAsia="en-US"/>
        </w:rPr>
        <w:t xml:space="preserve">% </w:t>
      </w:r>
      <w:r>
        <w:rPr>
          <w:rFonts w:ascii="Verdana" w:eastAsia="Batang" w:hAnsi="Verdana" w:cs="Arial"/>
          <w:i/>
          <w:iCs/>
          <w:color w:val="262626"/>
          <w:sz w:val="14"/>
          <w:szCs w:val="14"/>
          <w:lang w:val="el-GR" w:eastAsia="en-US"/>
        </w:rPr>
        <w:t>ανά έτος, έως ότου εφαρμοστεί πλήρως την 1 Ιανουαρίου 2026 στο 2.00%.</w:t>
      </w:r>
    </w:p>
    <w:p w14:paraId="3C19DDDB" w14:textId="77777777" w:rsidR="0056738E" w:rsidRPr="00CB3B7E" w:rsidRDefault="0056738E" w:rsidP="0056738E">
      <w:pPr>
        <w:spacing w:after="0" w:line="240" w:lineRule="auto"/>
        <w:rPr>
          <w:rFonts w:ascii="Arial" w:hAnsi="Arial" w:cs="Arial"/>
          <w:color w:val="262626"/>
          <w:sz w:val="18"/>
          <w:szCs w:val="18"/>
          <w:lang w:val="el-GR"/>
        </w:rPr>
      </w:pPr>
    </w:p>
    <w:p w14:paraId="4760DE39" w14:textId="77777777" w:rsidR="0056738E" w:rsidRDefault="0056738E" w:rsidP="0056738E">
      <w:pPr>
        <w:autoSpaceDE w:val="0"/>
        <w:autoSpaceDN w:val="0"/>
        <w:spacing w:after="0" w:line="240" w:lineRule="auto"/>
        <w:jc w:val="both"/>
        <w:rPr>
          <w:rFonts w:ascii="Arial" w:eastAsia="Batang" w:hAnsi="Arial" w:cs="Arial"/>
          <w:color w:val="262626"/>
          <w:sz w:val="18"/>
          <w:szCs w:val="18"/>
          <w:lang w:val="el-GR" w:eastAsia="en-US"/>
        </w:rPr>
      </w:pPr>
      <w:r w:rsidRPr="00BF7133">
        <w:rPr>
          <w:rFonts w:ascii="Arial" w:eastAsia="Batang" w:hAnsi="Arial" w:cs="Arial"/>
          <w:color w:val="262626"/>
          <w:sz w:val="18"/>
          <w:szCs w:val="18"/>
          <w:lang w:val="el-GR" w:eastAsia="en-US"/>
        </w:rPr>
        <w:t>Η ελάχιστη απαίτηση του Πυλώνα Ι για τον Συνολικό Δείκτη Κεφαλαιακής Επάρκειας που ανέρχεται στο 8.00%,</w:t>
      </w:r>
      <w:r>
        <w:rPr>
          <w:rFonts w:ascii="Arial" w:eastAsia="Batang" w:hAnsi="Arial" w:cs="Arial"/>
          <w:color w:val="262626"/>
          <w:sz w:val="18"/>
          <w:szCs w:val="18"/>
          <w:lang w:val="el-GR" w:eastAsia="en-US"/>
        </w:rPr>
        <w:t xml:space="preserve"> </w:t>
      </w:r>
      <w:r w:rsidRPr="00BF7133">
        <w:rPr>
          <w:rFonts w:ascii="Arial" w:eastAsia="Batang" w:hAnsi="Arial" w:cs="Arial"/>
          <w:color w:val="262626"/>
          <w:sz w:val="18"/>
          <w:szCs w:val="18"/>
          <w:lang w:val="el-GR" w:eastAsia="en-US"/>
        </w:rPr>
        <w:t>δύναται να επιτευχθεί, επιπρόσθετα από τον δείκτη Κεφαλαίου Κοινών Μετοχών Κατηγορίας 1 (</w:t>
      </w:r>
      <w:r w:rsidRPr="00BF7133">
        <w:rPr>
          <w:rFonts w:ascii="Arial" w:eastAsia="Batang" w:hAnsi="Arial" w:cs="Arial"/>
          <w:color w:val="262626"/>
          <w:sz w:val="18"/>
          <w:szCs w:val="18"/>
          <w:lang w:eastAsia="en-US"/>
        </w:rPr>
        <w:t>CET</w:t>
      </w:r>
      <w:r w:rsidRPr="00BF7133">
        <w:rPr>
          <w:rFonts w:ascii="Arial" w:eastAsia="Batang" w:hAnsi="Arial" w:cs="Arial"/>
          <w:color w:val="262626"/>
          <w:sz w:val="18"/>
          <w:szCs w:val="18"/>
          <w:lang w:val="el-GR" w:eastAsia="en-US"/>
        </w:rPr>
        <w:t>1) ύψους</w:t>
      </w:r>
      <w:r>
        <w:rPr>
          <w:rFonts w:ascii="Arial" w:eastAsia="Batang" w:hAnsi="Arial" w:cs="Arial"/>
          <w:color w:val="262626"/>
          <w:sz w:val="18"/>
          <w:szCs w:val="18"/>
          <w:lang w:val="el-GR" w:eastAsia="en-US"/>
        </w:rPr>
        <w:t xml:space="preserve"> </w:t>
      </w:r>
      <w:r w:rsidRPr="00BF7133">
        <w:rPr>
          <w:rFonts w:ascii="Arial" w:eastAsia="Batang" w:hAnsi="Arial" w:cs="Arial"/>
          <w:color w:val="262626"/>
          <w:sz w:val="18"/>
          <w:szCs w:val="18"/>
          <w:lang w:val="el-GR" w:eastAsia="en-US"/>
        </w:rPr>
        <w:t>4.50%, μέχρι 1.50% με Πρόσθετα Κεφάλαια Κατηγορίας 1 (ΑΤ1) και μέχρι 2.00% με Κεφάλαια Κατηγορίας 2</w:t>
      </w:r>
      <w:r>
        <w:rPr>
          <w:rFonts w:ascii="Arial" w:eastAsia="Batang" w:hAnsi="Arial" w:cs="Arial"/>
          <w:color w:val="262626"/>
          <w:sz w:val="18"/>
          <w:szCs w:val="18"/>
          <w:lang w:val="el-GR" w:eastAsia="en-US"/>
        </w:rPr>
        <w:t xml:space="preserve"> </w:t>
      </w:r>
      <w:r w:rsidRPr="00BF7133">
        <w:rPr>
          <w:rFonts w:ascii="Arial" w:eastAsia="Batang" w:hAnsi="Arial" w:cs="Arial"/>
          <w:color w:val="262626"/>
          <w:sz w:val="18"/>
          <w:szCs w:val="18"/>
          <w:lang w:val="el-GR" w:eastAsia="en-US"/>
        </w:rPr>
        <w:t>(</w:t>
      </w:r>
      <w:r w:rsidRPr="00BF7133">
        <w:rPr>
          <w:rFonts w:ascii="Arial" w:eastAsia="Batang" w:hAnsi="Arial" w:cs="Arial"/>
          <w:color w:val="262626"/>
          <w:sz w:val="18"/>
          <w:szCs w:val="18"/>
          <w:lang w:eastAsia="en-US"/>
        </w:rPr>
        <w:t>T</w:t>
      </w:r>
      <w:r w:rsidRPr="00BF7133">
        <w:rPr>
          <w:rFonts w:ascii="Arial" w:eastAsia="Batang" w:hAnsi="Arial" w:cs="Arial"/>
          <w:color w:val="262626"/>
          <w:sz w:val="18"/>
          <w:szCs w:val="18"/>
          <w:lang w:val="el-GR" w:eastAsia="en-US"/>
        </w:rPr>
        <w:t>2).</w:t>
      </w:r>
    </w:p>
    <w:p w14:paraId="6A39FC02" w14:textId="77777777" w:rsidR="0056738E" w:rsidRPr="00A20BBC" w:rsidRDefault="0056738E" w:rsidP="0056738E">
      <w:pPr>
        <w:autoSpaceDE w:val="0"/>
        <w:autoSpaceDN w:val="0"/>
        <w:spacing w:after="0" w:line="240" w:lineRule="auto"/>
        <w:jc w:val="both"/>
        <w:rPr>
          <w:rFonts w:ascii="Arial" w:eastAsia="Batang" w:hAnsi="Arial" w:cs="Arial"/>
          <w:color w:val="262626"/>
          <w:sz w:val="18"/>
          <w:szCs w:val="18"/>
          <w:lang w:val="el-GR" w:eastAsia="en-US"/>
        </w:rPr>
      </w:pPr>
    </w:p>
    <w:p w14:paraId="4D85C79F" w14:textId="77777777" w:rsidR="0056738E" w:rsidRDefault="0056738E" w:rsidP="0056738E">
      <w:pPr>
        <w:rPr>
          <w:rFonts w:ascii="Arial" w:eastAsia="Batang" w:hAnsi="Arial" w:cs="Arial"/>
          <w:color w:val="262626"/>
          <w:sz w:val="18"/>
          <w:szCs w:val="18"/>
          <w:lang w:val="el-GR" w:eastAsia="en-US"/>
        </w:rPr>
      </w:pPr>
      <w:r>
        <w:rPr>
          <w:rFonts w:ascii="Arial" w:eastAsia="Batang" w:hAnsi="Arial" w:cs="Arial"/>
          <w:color w:val="262626"/>
          <w:sz w:val="18"/>
          <w:szCs w:val="18"/>
          <w:lang w:val="el-GR" w:eastAsia="en-US"/>
        </w:rPr>
        <w:br w:type="page"/>
      </w:r>
    </w:p>
    <w:p w14:paraId="2047F202" w14:textId="77777777" w:rsidR="0056738E" w:rsidRPr="00022E44" w:rsidRDefault="0056738E" w:rsidP="0056738E">
      <w:pPr>
        <w:spacing w:after="0" w:line="360" w:lineRule="auto"/>
        <w:ind w:left="851" w:hanging="851"/>
        <w:jc w:val="both"/>
        <w:rPr>
          <w:rFonts w:ascii="Arial" w:hAnsi="Arial" w:cs="Arial"/>
          <w:color w:val="FF9900"/>
          <w:szCs w:val="18"/>
          <w:lang w:val="el-GR"/>
        </w:rPr>
      </w:pPr>
      <w:r w:rsidRPr="00E55CD1">
        <w:rPr>
          <w:rFonts w:ascii="Arial" w:hAnsi="Arial" w:cs="Arial"/>
          <w:b/>
          <w:color w:val="FF9900"/>
          <w:szCs w:val="18"/>
          <w:lang w:val="el-GR"/>
        </w:rPr>
        <w:lastRenderedPageBreak/>
        <w:t>Ζ</w:t>
      </w:r>
      <w:r w:rsidRPr="00022E44">
        <w:rPr>
          <w:rFonts w:ascii="Arial" w:hAnsi="Arial" w:cs="Arial"/>
          <w:b/>
          <w:color w:val="FF9900"/>
          <w:szCs w:val="18"/>
          <w:lang w:val="el-GR"/>
        </w:rPr>
        <w:t xml:space="preserve">. </w:t>
      </w:r>
      <w:r w:rsidRPr="00022E44">
        <w:rPr>
          <w:rFonts w:ascii="Arial" w:hAnsi="Arial" w:cs="Arial"/>
          <w:b/>
          <w:color w:val="FF9900"/>
          <w:szCs w:val="18"/>
          <w:lang w:val="el-GR"/>
        </w:rPr>
        <w:tab/>
      </w:r>
      <w:r w:rsidRPr="00E55CD1">
        <w:rPr>
          <w:rFonts w:ascii="Arial" w:hAnsi="Arial" w:cs="Arial"/>
          <w:b/>
          <w:color w:val="FF9900"/>
          <w:szCs w:val="18"/>
          <w:lang w:val="el-GR"/>
        </w:rPr>
        <w:t xml:space="preserve">Επιπρόσθετες Γνωστοποιήσεις Διαχείρισης Κινδύνων και Κεφαλαίου </w:t>
      </w:r>
      <w:r w:rsidRPr="00022E44">
        <w:rPr>
          <w:rFonts w:ascii="Arial" w:hAnsi="Arial" w:cs="Arial"/>
          <w:color w:val="FF9900"/>
          <w:szCs w:val="18"/>
          <w:lang w:val="el-GR"/>
        </w:rPr>
        <w:t>(συνέχεια)</w:t>
      </w:r>
    </w:p>
    <w:p w14:paraId="031C0900" w14:textId="77777777" w:rsidR="0056738E" w:rsidRPr="0077190A" w:rsidRDefault="0056738E" w:rsidP="0056738E">
      <w:pPr>
        <w:keepNext/>
        <w:tabs>
          <w:tab w:val="left" w:pos="1416"/>
          <w:tab w:val="decimal" w:pos="4962"/>
          <w:tab w:val="decimal" w:pos="6521"/>
          <w:tab w:val="right" w:pos="7560"/>
          <w:tab w:val="decimal" w:pos="8220"/>
          <w:tab w:val="left" w:pos="8640"/>
          <w:tab w:val="right" w:pos="9000"/>
        </w:tabs>
        <w:suppressAutoHyphens/>
        <w:spacing w:after="0" w:line="360" w:lineRule="auto"/>
        <w:ind w:right="-130"/>
        <w:jc w:val="both"/>
        <w:outlineLvl w:val="8"/>
        <w:rPr>
          <w:rFonts w:ascii="Arial" w:eastAsia="Times New Roman" w:hAnsi="Arial" w:cs="Arial"/>
          <w:color w:val="202124"/>
          <w:sz w:val="18"/>
          <w:szCs w:val="18"/>
          <w:lang w:val="el-GR"/>
        </w:rPr>
      </w:pPr>
      <w:r w:rsidRPr="00022E44">
        <w:rPr>
          <w:rFonts w:ascii="Arial" w:hAnsi="Arial" w:cs="Arial"/>
          <w:b/>
          <w:color w:val="FF9900"/>
          <w:szCs w:val="18"/>
          <w:lang w:val="el-GR"/>
        </w:rPr>
        <w:t>Ζ</w:t>
      </w:r>
      <w:r>
        <w:rPr>
          <w:rFonts w:ascii="Arial" w:hAnsi="Arial" w:cs="Arial"/>
          <w:b/>
          <w:color w:val="FF9900"/>
          <w:szCs w:val="18"/>
          <w:lang w:val="el-GR"/>
        </w:rPr>
        <w:t>.2</w:t>
      </w:r>
      <w:r w:rsidRPr="00022E44">
        <w:rPr>
          <w:rFonts w:ascii="Arial" w:hAnsi="Arial" w:cs="Arial"/>
          <w:b/>
          <w:color w:val="FF9900"/>
          <w:szCs w:val="18"/>
          <w:lang w:val="el-GR"/>
        </w:rPr>
        <w:t xml:space="preserve"> </w:t>
      </w:r>
      <w:r>
        <w:rPr>
          <w:rFonts w:ascii="Arial" w:hAnsi="Arial" w:cs="Arial"/>
          <w:b/>
          <w:color w:val="FF9900"/>
          <w:szCs w:val="18"/>
          <w:lang w:val="el-GR"/>
        </w:rPr>
        <w:t xml:space="preserve">       Διαχείριση κεφαλαίου</w:t>
      </w:r>
      <w:r w:rsidRPr="00022E44">
        <w:rPr>
          <w:rFonts w:ascii="Arial" w:hAnsi="Arial" w:cs="Arial"/>
          <w:color w:val="FF9900"/>
          <w:szCs w:val="18"/>
          <w:lang w:val="el-GR"/>
        </w:rPr>
        <w:t xml:space="preserve"> (συνέχεια)</w:t>
      </w:r>
    </w:p>
    <w:p w14:paraId="65920968" w14:textId="77777777" w:rsidR="0056738E" w:rsidRDefault="0056738E" w:rsidP="0056738E">
      <w:pPr>
        <w:autoSpaceDE w:val="0"/>
        <w:autoSpaceDN w:val="0"/>
        <w:spacing w:after="0" w:line="240" w:lineRule="auto"/>
        <w:jc w:val="both"/>
        <w:rPr>
          <w:rFonts w:ascii="Arial" w:eastAsia="Batang" w:hAnsi="Arial" w:cs="Arial"/>
          <w:color w:val="262626"/>
          <w:sz w:val="18"/>
          <w:szCs w:val="18"/>
          <w:lang w:val="el-GR" w:eastAsia="en-US"/>
        </w:rPr>
      </w:pPr>
      <w:r w:rsidRPr="0077190A">
        <w:rPr>
          <w:rFonts w:ascii="Arial" w:eastAsia="Batang" w:hAnsi="Arial" w:cs="Arial"/>
          <w:color w:val="262626"/>
          <w:sz w:val="18"/>
          <w:szCs w:val="18"/>
          <w:lang w:val="el-GR" w:eastAsia="en-US"/>
        </w:rPr>
        <w:t xml:space="preserve">Το Συγκρότημα υπόκειται επίσης σε επιπρόσθετες κεφαλαιακές απαιτήσεις για ρίσκα που δεν καλύπτονται από </w:t>
      </w:r>
      <w:r>
        <w:rPr>
          <w:rFonts w:ascii="Arial" w:eastAsia="Batang" w:hAnsi="Arial" w:cs="Arial"/>
          <w:color w:val="262626"/>
          <w:sz w:val="18"/>
          <w:szCs w:val="18"/>
          <w:lang w:val="el-GR" w:eastAsia="en-US"/>
        </w:rPr>
        <w:t xml:space="preserve">τις </w:t>
      </w:r>
      <w:r w:rsidRPr="0077190A">
        <w:rPr>
          <w:rFonts w:ascii="Arial" w:eastAsia="Batang" w:hAnsi="Arial" w:cs="Arial"/>
          <w:color w:val="262626"/>
          <w:sz w:val="18"/>
          <w:szCs w:val="18"/>
          <w:lang w:val="el-GR" w:eastAsia="en-US"/>
        </w:rPr>
        <w:t>απαιτήσεις του Πυλώνα Ι (συμπληρωματικές απαιτήσεις Πυλώνα ΙΙ). Το ισχύον νομοθετικό πλαίσιο επιτρέπει τη</w:t>
      </w:r>
      <w:r>
        <w:rPr>
          <w:rFonts w:ascii="Arial" w:eastAsia="Batang" w:hAnsi="Arial" w:cs="Arial"/>
          <w:color w:val="262626"/>
          <w:sz w:val="18"/>
          <w:szCs w:val="18"/>
          <w:lang w:val="el-GR" w:eastAsia="en-US"/>
        </w:rPr>
        <w:t xml:space="preserve"> </w:t>
      </w:r>
      <w:r w:rsidRPr="0077190A">
        <w:rPr>
          <w:rFonts w:ascii="Arial" w:eastAsia="Batang" w:hAnsi="Arial" w:cs="Arial"/>
          <w:color w:val="262626"/>
          <w:sz w:val="18"/>
          <w:szCs w:val="18"/>
          <w:lang w:val="el-GR" w:eastAsia="en-US"/>
        </w:rPr>
        <w:t>χρήση</w:t>
      </w:r>
      <w:r>
        <w:rPr>
          <w:rFonts w:ascii="Arial" w:eastAsia="Batang" w:hAnsi="Arial" w:cs="Arial"/>
          <w:color w:val="262626"/>
          <w:sz w:val="18"/>
          <w:szCs w:val="18"/>
          <w:lang w:val="el-GR" w:eastAsia="en-US"/>
        </w:rPr>
        <w:t xml:space="preserve"> </w:t>
      </w:r>
      <w:r w:rsidRPr="0077190A">
        <w:rPr>
          <w:rFonts w:ascii="Arial" w:eastAsia="Batang" w:hAnsi="Arial" w:cs="Arial"/>
          <w:color w:val="262626"/>
          <w:sz w:val="18"/>
          <w:szCs w:val="18"/>
          <w:lang w:val="el-GR" w:eastAsia="en-US"/>
        </w:rPr>
        <w:t>Πρόσθετων Κεφαλαίων Κατηγορίας 1 (AT1) και Κεφαλαίων Κατηγορίας 2 (T2) για κάλυψη μέρους των εν</w:t>
      </w:r>
      <w:r>
        <w:rPr>
          <w:rFonts w:ascii="Arial" w:eastAsia="Batang" w:hAnsi="Arial" w:cs="Arial"/>
          <w:color w:val="262626"/>
          <w:sz w:val="18"/>
          <w:szCs w:val="18"/>
          <w:lang w:val="el-GR" w:eastAsia="en-US"/>
        </w:rPr>
        <w:t xml:space="preserve"> </w:t>
      </w:r>
      <w:r w:rsidRPr="0077190A">
        <w:rPr>
          <w:rFonts w:ascii="Arial" w:eastAsia="Batang" w:hAnsi="Arial" w:cs="Arial"/>
          <w:color w:val="262626"/>
          <w:sz w:val="18"/>
          <w:szCs w:val="18"/>
          <w:lang w:val="el-GR" w:eastAsia="en-US"/>
        </w:rPr>
        <w:t>λόγω απαιτήσεων του Πυλώνα ΙΙ (P2R) και δεν απαιτεί αποκλειστικά τη χρήση Κεφαλαίου Κοινών Μετοχών</w:t>
      </w:r>
      <w:r>
        <w:rPr>
          <w:rFonts w:ascii="Arial" w:eastAsia="Batang" w:hAnsi="Arial" w:cs="Arial"/>
          <w:color w:val="262626"/>
          <w:sz w:val="18"/>
          <w:szCs w:val="18"/>
          <w:lang w:val="el-GR" w:eastAsia="en-US"/>
        </w:rPr>
        <w:t xml:space="preserve"> </w:t>
      </w:r>
      <w:r w:rsidRPr="0077190A">
        <w:rPr>
          <w:rFonts w:ascii="Arial" w:eastAsia="Batang" w:hAnsi="Arial" w:cs="Arial"/>
          <w:color w:val="262626"/>
          <w:sz w:val="18"/>
          <w:szCs w:val="18"/>
          <w:lang w:val="el-GR" w:eastAsia="en-US"/>
        </w:rPr>
        <w:t>Κατηγορίας 1 (CET1).</w:t>
      </w:r>
    </w:p>
    <w:p w14:paraId="2E7FD4C5" w14:textId="77777777" w:rsidR="0056738E" w:rsidRDefault="0056738E" w:rsidP="0056738E">
      <w:pPr>
        <w:autoSpaceDE w:val="0"/>
        <w:autoSpaceDN w:val="0"/>
        <w:spacing w:after="0" w:line="240" w:lineRule="auto"/>
        <w:jc w:val="both"/>
        <w:rPr>
          <w:rFonts w:ascii="Arial" w:eastAsia="Batang" w:hAnsi="Arial" w:cs="Arial"/>
          <w:color w:val="262626"/>
          <w:sz w:val="18"/>
          <w:szCs w:val="18"/>
          <w:lang w:val="el-GR" w:eastAsia="en-US"/>
        </w:rPr>
      </w:pPr>
    </w:p>
    <w:p w14:paraId="791248F4" w14:textId="77777777" w:rsidR="0056738E" w:rsidRDefault="0056738E" w:rsidP="0056738E">
      <w:pPr>
        <w:autoSpaceDE w:val="0"/>
        <w:autoSpaceDN w:val="0"/>
        <w:spacing w:after="0" w:line="240" w:lineRule="auto"/>
        <w:jc w:val="both"/>
        <w:rPr>
          <w:rFonts w:ascii="Arial" w:eastAsia="Batang" w:hAnsi="Arial" w:cs="Arial"/>
          <w:color w:val="262626"/>
          <w:sz w:val="18"/>
          <w:szCs w:val="18"/>
          <w:lang w:val="el-GR" w:eastAsia="en-US"/>
        </w:rPr>
      </w:pPr>
      <w:r w:rsidRPr="0077190A">
        <w:rPr>
          <w:rFonts w:ascii="Arial" w:eastAsia="Batang" w:hAnsi="Arial" w:cs="Arial"/>
          <w:color w:val="262626"/>
          <w:sz w:val="18"/>
          <w:szCs w:val="18"/>
          <w:lang w:val="el-GR" w:eastAsia="en-US"/>
        </w:rPr>
        <w:t xml:space="preserve">Η κεφαλαιακή θέση του Συγκροτήματος και της BOC PCL στις 30 </w:t>
      </w:r>
      <w:r>
        <w:rPr>
          <w:rFonts w:ascii="Arial" w:eastAsia="Batang" w:hAnsi="Arial" w:cs="Arial"/>
          <w:color w:val="262626"/>
          <w:sz w:val="18"/>
          <w:szCs w:val="18"/>
          <w:lang w:val="el-GR" w:eastAsia="en-US"/>
        </w:rPr>
        <w:t>Σεπτεμβρίου</w:t>
      </w:r>
      <w:r w:rsidRPr="00BF7133">
        <w:rPr>
          <w:rFonts w:ascii="Arial" w:eastAsia="Batang" w:hAnsi="Arial" w:cs="Arial"/>
          <w:color w:val="262626"/>
          <w:sz w:val="18"/>
          <w:szCs w:val="18"/>
          <w:lang w:val="el-GR" w:eastAsia="en-US"/>
        </w:rPr>
        <w:t xml:space="preserve"> </w:t>
      </w:r>
      <w:r w:rsidRPr="0077190A">
        <w:rPr>
          <w:rFonts w:ascii="Arial" w:eastAsia="Batang" w:hAnsi="Arial" w:cs="Arial"/>
          <w:color w:val="262626"/>
          <w:sz w:val="18"/>
          <w:szCs w:val="18"/>
          <w:lang w:val="el-GR" w:eastAsia="en-US"/>
        </w:rPr>
        <w:t>2024 υπερβαίνει τόσο τις κεφαλαιακές</w:t>
      </w:r>
      <w:r>
        <w:rPr>
          <w:rFonts w:ascii="Arial" w:eastAsia="Batang" w:hAnsi="Arial" w:cs="Arial"/>
          <w:color w:val="262626"/>
          <w:sz w:val="18"/>
          <w:szCs w:val="18"/>
          <w:lang w:val="el-GR" w:eastAsia="en-US"/>
        </w:rPr>
        <w:t xml:space="preserve"> </w:t>
      </w:r>
      <w:r w:rsidRPr="0077190A">
        <w:rPr>
          <w:rFonts w:ascii="Arial" w:eastAsia="Batang" w:hAnsi="Arial" w:cs="Arial"/>
          <w:color w:val="262626"/>
          <w:sz w:val="18"/>
          <w:szCs w:val="18"/>
          <w:lang w:val="el-GR" w:eastAsia="en-US"/>
        </w:rPr>
        <w:t>απαιτήσεις του Πυλώνα I όσο και τις συμπληρωματικές απαιτήσεις του Πυλώνα ΙΙ (P2R). Ωστόσο, οι</w:t>
      </w:r>
      <w:r>
        <w:rPr>
          <w:rFonts w:ascii="Arial" w:eastAsia="Batang" w:hAnsi="Arial" w:cs="Arial"/>
          <w:color w:val="262626"/>
          <w:sz w:val="18"/>
          <w:szCs w:val="18"/>
          <w:lang w:val="el-GR" w:eastAsia="en-US"/>
        </w:rPr>
        <w:t xml:space="preserve"> </w:t>
      </w:r>
      <w:r w:rsidRPr="0077190A">
        <w:rPr>
          <w:rFonts w:ascii="Arial" w:eastAsia="Batang" w:hAnsi="Arial" w:cs="Arial"/>
          <w:color w:val="262626"/>
          <w:sz w:val="18"/>
          <w:szCs w:val="18"/>
          <w:lang w:val="el-GR" w:eastAsia="en-US"/>
        </w:rPr>
        <w:t>συμπληρωματικές κεφαλαιακές απαιτήσεις για τον Πυλώνα ΙΙ (P2R) γίνονται σε συγκεκριμένη χρονική στιγμή και</w:t>
      </w:r>
      <w:r>
        <w:rPr>
          <w:rFonts w:ascii="Arial" w:eastAsia="Batang" w:hAnsi="Arial" w:cs="Arial"/>
          <w:color w:val="262626"/>
          <w:sz w:val="18"/>
          <w:szCs w:val="18"/>
          <w:lang w:val="el-GR" w:eastAsia="en-US"/>
        </w:rPr>
        <w:t xml:space="preserve"> </w:t>
      </w:r>
      <w:r w:rsidRPr="0077190A">
        <w:rPr>
          <w:rFonts w:ascii="Arial" w:eastAsia="Batang" w:hAnsi="Arial" w:cs="Arial"/>
          <w:color w:val="262626"/>
          <w:sz w:val="18"/>
          <w:szCs w:val="18"/>
          <w:lang w:val="el-GR" w:eastAsia="en-US"/>
        </w:rPr>
        <w:t>συνεπώς υπόκεινται σε αλλαγές με την πάροδο του χρόνου</w:t>
      </w:r>
      <w:r>
        <w:rPr>
          <w:rFonts w:ascii="Arial" w:eastAsia="Batang" w:hAnsi="Arial" w:cs="Arial"/>
          <w:color w:val="262626"/>
          <w:sz w:val="18"/>
          <w:szCs w:val="18"/>
          <w:lang w:val="el-GR" w:eastAsia="en-US"/>
        </w:rPr>
        <w:t>.</w:t>
      </w:r>
    </w:p>
    <w:p w14:paraId="4D85AC1B" w14:textId="77777777" w:rsidR="0056738E" w:rsidRPr="00A41DBD" w:rsidRDefault="0056738E" w:rsidP="0056738E">
      <w:pPr>
        <w:autoSpaceDE w:val="0"/>
        <w:autoSpaceDN w:val="0"/>
        <w:spacing w:after="0" w:line="240" w:lineRule="auto"/>
        <w:jc w:val="both"/>
        <w:rPr>
          <w:rFonts w:ascii="Arial" w:eastAsia="Batang" w:hAnsi="Arial" w:cs="Arial"/>
          <w:color w:val="262626"/>
          <w:sz w:val="18"/>
          <w:szCs w:val="18"/>
          <w:lang w:val="el-GR" w:eastAsia="en-US"/>
        </w:rPr>
      </w:pPr>
    </w:p>
    <w:p w14:paraId="1C285E34" w14:textId="77777777" w:rsidR="0056738E" w:rsidRDefault="0056738E" w:rsidP="0056738E">
      <w:pPr>
        <w:spacing w:after="0" w:line="240" w:lineRule="auto"/>
        <w:jc w:val="both"/>
        <w:rPr>
          <w:rFonts w:ascii="Arial" w:eastAsia="Batang" w:hAnsi="Arial" w:cs="Arial"/>
          <w:color w:val="262626"/>
          <w:sz w:val="18"/>
          <w:szCs w:val="18"/>
          <w:lang w:val="el-GR" w:eastAsia="en-US"/>
        </w:rPr>
      </w:pPr>
      <w:r w:rsidRPr="0077190A">
        <w:rPr>
          <w:rFonts w:ascii="Arial" w:eastAsia="Batang" w:hAnsi="Arial" w:cs="Arial"/>
          <w:color w:val="262626"/>
          <w:sz w:val="18"/>
          <w:szCs w:val="18"/>
          <w:lang w:val="el-GR" w:eastAsia="en-US"/>
        </w:rPr>
        <w:t xml:space="preserve">Η ΚΤΚ με βάση τις διατάξεις του </w:t>
      </w:r>
      <w:proofErr w:type="spellStart"/>
      <w:r w:rsidRPr="0077190A">
        <w:rPr>
          <w:rFonts w:ascii="Arial" w:eastAsia="Batang" w:hAnsi="Arial" w:cs="Arial"/>
          <w:color w:val="262626"/>
          <w:sz w:val="18"/>
          <w:szCs w:val="18"/>
          <w:lang w:val="el-GR" w:eastAsia="en-US"/>
        </w:rPr>
        <w:t>Μακροπροληπτικής</w:t>
      </w:r>
      <w:proofErr w:type="spellEnd"/>
      <w:r w:rsidRPr="0077190A">
        <w:rPr>
          <w:rFonts w:ascii="Arial" w:eastAsia="Batang" w:hAnsi="Arial" w:cs="Arial"/>
          <w:color w:val="262626"/>
          <w:sz w:val="18"/>
          <w:szCs w:val="18"/>
          <w:lang w:val="el-GR" w:eastAsia="en-US"/>
        </w:rPr>
        <w:t xml:space="preserve"> Εποπτείας των Ιδρυμάτων Νόμου του 2015, καθορίζει σε</w:t>
      </w:r>
      <w:r>
        <w:rPr>
          <w:rFonts w:ascii="Arial" w:eastAsia="Batang" w:hAnsi="Arial" w:cs="Arial"/>
          <w:color w:val="262626"/>
          <w:sz w:val="18"/>
          <w:szCs w:val="18"/>
          <w:lang w:val="el-GR" w:eastAsia="en-US"/>
        </w:rPr>
        <w:t xml:space="preserve"> </w:t>
      </w:r>
      <w:r w:rsidRPr="0077190A">
        <w:rPr>
          <w:rFonts w:ascii="Arial" w:eastAsia="Batang" w:hAnsi="Arial" w:cs="Arial"/>
          <w:color w:val="262626"/>
          <w:sz w:val="18"/>
          <w:szCs w:val="18"/>
          <w:lang w:val="el-GR" w:eastAsia="en-US"/>
        </w:rPr>
        <w:t xml:space="preserve">τριμηνιαία βάση το ύψος του ποσοστού του </w:t>
      </w:r>
      <w:proofErr w:type="spellStart"/>
      <w:r w:rsidRPr="0077190A">
        <w:rPr>
          <w:rFonts w:ascii="Arial" w:eastAsia="Batang" w:hAnsi="Arial" w:cs="Arial"/>
          <w:color w:val="262626"/>
          <w:sz w:val="18"/>
          <w:szCs w:val="18"/>
          <w:lang w:val="el-GR" w:eastAsia="en-US"/>
        </w:rPr>
        <w:t>Αντικυκλικού</w:t>
      </w:r>
      <w:proofErr w:type="spellEnd"/>
      <w:r w:rsidRPr="0077190A">
        <w:rPr>
          <w:rFonts w:ascii="Arial" w:eastAsia="Batang" w:hAnsi="Arial" w:cs="Arial"/>
          <w:color w:val="262626"/>
          <w:sz w:val="18"/>
          <w:szCs w:val="18"/>
          <w:lang w:val="el-GR" w:eastAsia="en-US"/>
        </w:rPr>
        <w:t xml:space="preserve"> Κεφαλαιακού Αποθέματος Ασφαλείας (</w:t>
      </w:r>
      <w:proofErr w:type="spellStart"/>
      <w:r w:rsidRPr="0077190A">
        <w:rPr>
          <w:rFonts w:ascii="Arial" w:eastAsia="Batang" w:hAnsi="Arial" w:cs="Arial"/>
          <w:color w:val="262626"/>
          <w:sz w:val="18"/>
          <w:szCs w:val="18"/>
          <w:lang w:val="el-GR" w:eastAsia="en-US"/>
        </w:rPr>
        <w:t>CcyB</w:t>
      </w:r>
      <w:proofErr w:type="spellEnd"/>
      <w:r w:rsidRPr="0077190A">
        <w:rPr>
          <w:rFonts w:ascii="Arial" w:eastAsia="Batang" w:hAnsi="Arial" w:cs="Arial"/>
          <w:color w:val="262626"/>
          <w:sz w:val="18"/>
          <w:szCs w:val="18"/>
          <w:lang w:val="el-GR" w:eastAsia="en-US"/>
        </w:rPr>
        <w:t xml:space="preserve">), </w:t>
      </w:r>
      <w:r>
        <w:rPr>
          <w:rFonts w:ascii="Arial" w:eastAsia="Batang" w:hAnsi="Arial" w:cs="Arial"/>
          <w:color w:val="262626"/>
          <w:sz w:val="18"/>
          <w:szCs w:val="18"/>
          <w:lang w:val="el-GR" w:eastAsia="en-US"/>
        </w:rPr>
        <w:t xml:space="preserve">όπως </w:t>
      </w:r>
      <w:r w:rsidRPr="0077190A">
        <w:rPr>
          <w:rFonts w:ascii="Arial" w:eastAsia="Batang" w:hAnsi="Arial" w:cs="Arial"/>
          <w:color w:val="262626"/>
          <w:sz w:val="18"/>
          <w:szCs w:val="18"/>
          <w:lang w:val="el-GR" w:eastAsia="en-US"/>
        </w:rPr>
        <w:t>προκύπτει από τη μεθοδολογία που αναφέρεται στον εν λόγω νόμο</w:t>
      </w:r>
      <w:r>
        <w:rPr>
          <w:rFonts w:ascii="Arial" w:eastAsia="Batang" w:hAnsi="Arial" w:cs="Arial"/>
          <w:color w:val="262626"/>
          <w:sz w:val="18"/>
          <w:szCs w:val="18"/>
          <w:lang w:val="el-GR" w:eastAsia="en-US"/>
        </w:rPr>
        <w:t>.</w:t>
      </w:r>
    </w:p>
    <w:p w14:paraId="53B2B4ED" w14:textId="77777777" w:rsidR="0056738E" w:rsidRPr="00A41DBD" w:rsidRDefault="0056738E" w:rsidP="0056738E">
      <w:pPr>
        <w:spacing w:after="0" w:line="240" w:lineRule="auto"/>
        <w:jc w:val="both"/>
        <w:rPr>
          <w:rFonts w:ascii="Arial" w:eastAsia="Batang" w:hAnsi="Arial" w:cs="Arial"/>
          <w:color w:val="262626"/>
          <w:sz w:val="18"/>
          <w:szCs w:val="18"/>
          <w:lang w:val="el-GR" w:eastAsia="en-US"/>
        </w:rPr>
      </w:pPr>
    </w:p>
    <w:p w14:paraId="09D3BF3E" w14:textId="77777777" w:rsidR="0056738E" w:rsidRPr="001C1A37" w:rsidRDefault="0056738E" w:rsidP="0056738E">
      <w:pPr>
        <w:autoSpaceDE w:val="0"/>
        <w:autoSpaceDN w:val="0"/>
        <w:spacing w:after="0" w:line="240" w:lineRule="auto"/>
        <w:jc w:val="both"/>
        <w:rPr>
          <w:rFonts w:ascii="Arial" w:eastAsia="Batang" w:hAnsi="Arial" w:cs="Arial"/>
          <w:color w:val="262626"/>
          <w:sz w:val="18"/>
          <w:szCs w:val="18"/>
          <w:lang w:val="el-GR" w:eastAsia="en-US"/>
        </w:rPr>
      </w:pPr>
      <w:r w:rsidRPr="001C1A37">
        <w:rPr>
          <w:rFonts w:ascii="Arial" w:eastAsia="Batang" w:hAnsi="Arial" w:cs="Arial"/>
          <w:color w:val="262626"/>
          <w:sz w:val="18"/>
          <w:szCs w:val="18"/>
          <w:lang w:val="el-GR" w:eastAsia="en-US"/>
        </w:rPr>
        <w:t xml:space="preserve">Στις 30 Νοεμβρίου 2022, η ΚΤΚ, στα πλαίσια της αναθεωρημένης μεθοδολογίας που περιγράφεται στη </w:t>
      </w:r>
      <w:proofErr w:type="spellStart"/>
      <w:r w:rsidRPr="001C1A37">
        <w:rPr>
          <w:rFonts w:ascii="Arial" w:eastAsia="Batang" w:hAnsi="Arial" w:cs="Arial"/>
          <w:color w:val="262626"/>
          <w:sz w:val="18"/>
          <w:szCs w:val="18"/>
          <w:lang w:val="el-GR" w:eastAsia="en-US"/>
        </w:rPr>
        <w:t>μακροπροληπτική</w:t>
      </w:r>
      <w:proofErr w:type="spellEnd"/>
      <w:r w:rsidRPr="001C1A37">
        <w:rPr>
          <w:rFonts w:ascii="Arial" w:eastAsia="Batang" w:hAnsi="Arial" w:cs="Arial"/>
          <w:color w:val="262626"/>
          <w:sz w:val="18"/>
          <w:szCs w:val="18"/>
          <w:lang w:val="el-GR" w:eastAsia="en-US"/>
        </w:rPr>
        <w:t xml:space="preserve"> πολιτική της, αποφάσισε να αυξήσει το ποσοστό του </w:t>
      </w:r>
      <w:proofErr w:type="spellStart"/>
      <w:r w:rsidRPr="001C1A37">
        <w:rPr>
          <w:rFonts w:ascii="Arial" w:eastAsia="Batang" w:hAnsi="Arial" w:cs="Arial"/>
          <w:color w:val="262626"/>
          <w:sz w:val="18"/>
          <w:szCs w:val="18"/>
          <w:lang w:val="el-GR" w:eastAsia="en-US"/>
        </w:rPr>
        <w:t>Αντικυκλικού</w:t>
      </w:r>
      <w:proofErr w:type="spellEnd"/>
      <w:r w:rsidRPr="001C1A37">
        <w:rPr>
          <w:rFonts w:ascii="Arial" w:eastAsia="Batang" w:hAnsi="Arial" w:cs="Arial"/>
          <w:color w:val="262626"/>
          <w:sz w:val="18"/>
          <w:szCs w:val="18"/>
          <w:lang w:val="el-GR" w:eastAsia="en-US"/>
        </w:rPr>
        <w:t xml:space="preserve"> Κεφαλαιακού Αποθέματος Ασφαλείας (</w:t>
      </w:r>
      <w:proofErr w:type="spellStart"/>
      <w:r w:rsidRPr="001C1A37">
        <w:rPr>
          <w:rFonts w:ascii="Arial" w:eastAsia="Batang" w:hAnsi="Arial" w:cs="Arial"/>
          <w:color w:val="262626"/>
          <w:sz w:val="18"/>
          <w:szCs w:val="18"/>
          <w:lang w:val="el-GR" w:eastAsia="en-US"/>
        </w:rPr>
        <w:t>CcyB</w:t>
      </w:r>
      <w:proofErr w:type="spellEnd"/>
      <w:r w:rsidRPr="001C1A37">
        <w:rPr>
          <w:rFonts w:ascii="Arial" w:eastAsia="Batang" w:hAnsi="Arial" w:cs="Arial"/>
          <w:color w:val="262626"/>
          <w:sz w:val="18"/>
          <w:szCs w:val="18"/>
          <w:lang w:val="el-GR" w:eastAsia="en-US"/>
        </w:rPr>
        <w:t xml:space="preserve">) από 0.00% σε 0.50% του συνολικού ποσού για σταθμισμένα σε κίνδυνο ανοίγματα στην Κύπρο του κάθε </w:t>
      </w:r>
      <w:proofErr w:type="spellStart"/>
      <w:r w:rsidRPr="001C1A37">
        <w:rPr>
          <w:rFonts w:ascii="Arial" w:eastAsia="Batang" w:hAnsi="Arial" w:cs="Arial"/>
          <w:color w:val="262626"/>
          <w:sz w:val="18"/>
          <w:szCs w:val="18"/>
          <w:lang w:val="el-GR" w:eastAsia="en-US"/>
        </w:rPr>
        <w:t>αδειοδοτημένου</w:t>
      </w:r>
      <w:proofErr w:type="spellEnd"/>
      <w:r w:rsidRPr="001C1A37">
        <w:rPr>
          <w:rFonts w:ascii="Arial" w:eastAsia="Batang" w:hAnsi="Arial" w:cs="Arial"/>
          <w:color w:val="262626"/>
          <w:sz w:val="18"/>
          <w:szCs w:val="18"/>
          <w:lang w:val="el-GR" w:eastAsia="en-US"/>
        </w:rPr>
        <w:t xml:space="preserve"> πιστωτικού ιδρύματος που έχει συσταθεί στην Κύπρο, με ισχύ από τις 30 Νοεμβρίου 2023. Επιπλέον, στις 2 Ιουνίου 2023, η ΚΤΚ ανακοίνωσε την απόφασή της να αυξήσει το ποσοστό του </w:t>
      </w:r>
      <w:proofErr w:type="spellStart"/>
      <w:r w:rsidRPr="001C1A37">
        <w:rPr>
          <w:rFonts w:ascii="Arial" w:eastAsia="Batang" w:hAnsi="Arial" w:cs="Arial"/>
          <w:color w:val="262626"/>
          <w:sz w:val="18"/>
          <w:szCs w:val="18"/>
          <w:lang w:val="el-GR" w:eastAsia="en-US"/>
        </w:rPr>
        <w:t>Αντικυκλικού</w:t>
      </w:r>
      <w:proofErr w:type="spellEnd"/>
      <w:r w:rsidRPr="001C1A37">
        <w:rPr>
          <w:rFonts w:ascii="Arial" w:eastAsia="Batang" w:hAnsi="Arial" w:cs="Arial"/>
          <w:color w:val="262626"/>
          <w:sz w:val="18"/>
          <w:szCs w:val="18"/>
          <w:lang w:val="el-GR" w:eastAsia="en-US"/>
        </w:rPr>
        <w:t xml:space="preserve"> Κεφαλαιακού Αποθέματος Ασφαλείας (</w:t>
      </w:r>
      <w:proofErr w:type="spellStart"/>
      <w:r w:rsidRPr="001C1A37">
        <w:rPr>
          <w:rFonts w:ascii="Arial" w:eastAsia="Batang" w:hAnsi="Arial" w:cs="Arial"/>
          <w:color w:val="262626"/>
          <w:sz w:val="18"/>
          <w:szCs w:val="18"/>
          <w:lang w:val="el-GR" w:eastAsia="en-US"/>
        </w:rPr>
        <w:t>CcyB</w:t>
      </w:r>
      <w:proofErr w:type="spellEnd"/>
      <w:r w:rsidRPr="001C1A37">
        <w:rPr>
          <w:rFonts w:ascii="Arial" w:eastAsia="Batang" w:hAnsi="Arial" w:cs="Arial"/>
          <w:color w:val="262626"/>
          <w:sz w:val="18"/>
          <w:szCs w:val="18"/>
          <w:lang w:val="el-GR" w:eastAsia="en-US"/>
        </w:rPr>
        <w:t xml:space="preserve">) στο 1.00% του συνολικού ποσού για σταθμισμένα σε κίνδυνο ανοίγματα στην Κύπρο, με ισχύ από τις 2 Ιουνίου 2024. Το ποσοστό του </w:t>
      </w:r>
      <w:proofErr w:type="spellStart"/>
      <w:r w:rsidRPr="001C1A37">
        <w:rPr>
          <w:rFonts w:ascii="Arial" w:eastAsia="Batang" w:hAnsi="Arial" w:cs="Arial"/>
          <w:color w:val="262626"/>
          <w:sz w:val="18"/>
          <w:szCs w:val="18"/>
          <w:lang w:val="el-GR" w:eastAsia="en-US"/>
        </w:rPr>
        <w:t>Αντικυκλικού</w:t>
      </w:r>
      <w:proofErr w:type="spellEnd"/>
      <w:r w:rsidRPr="001C1A37">
        <w:rPr>
          <w:rFonts w:ascii="Arial" w:eastAsia="Batang" w:hAnsi="Arial" w:cs="Arial"/>
          <w:color w:val="262626"/>
          <w:sz w:val="18"/>
          <w:szCs w:val="18"/>
          <w:lang w:val="el-GR" w:eastAsia="en-US"/>
        </w:rPr>
        <w:t xml:space="preserve"> Κεφαλαιακού Αποθέματος Ασφαλείας (</w:t>
      </w:r>
      <w:proofErr w:type="spellStart"/>
      <w:r w:rsidRPr="001C1A37">
        <w:rPr>
          <w:rFonts w:ascii="Arial" w:eastAsia="Batang" w:hAnsi="Arial" w:cs="Arial"/>
          <w:color w:val="262626"/>
          <w:sz w:val="18"/>
          <w:szCs w:val="18"/>
          <w:lang w:val="el-GR" w:eastAsia="en-US"/>
        </w:rPr>
        <w:t>CcyB</w:t>
      </w:r>
      <w:proofErr w:type="spellEnd"/>
      <w:r w:rsidRPr="001C1A37">
        <w:rPr>
          <w:rFonts w:ascii="Arial" w:eastAsia="Batang" w:hAnsi="Arial" w:cs="Arial"/>
          <w:color w:val="262626"/>
          <w:sz w:val="18"/>
          <w:szCs w:val="18"/>
          <w:lang w:val="el-GR" w:eastAsia="en-US"/>
        </w:rPr>
        <w:t xml:space="preserve">) του Συγκροτήματος στις 30 </w:t>
      </w:r>
      <w:r>
        <w:rPr>
          <w:rFonts w:ascii="Arial" w:eastAsia="Batang" w:hAnsi="Arial" w:cs="Arial"/>
          <w:color w:val="262626"/>
          <w:sz w:val="18"/>
          <w:szCs w:val="18"/>
          <w:lang w:val="el-GR" w:eastAsia="en-US"/>
        </w:rPr>
        <w:t>Σεπτεμβρίου</w:t>
      </w:r>
      <w:r w:rsidRPr="00BF7133">
        <w:rPr>
          <w:rFonts w:ascii="Arial" w:eastAsia="Batang" w:hAnsi="Arial" w:cs="Arial"/>
          <w:color w:val="262626"/>
          <w:sz w:val="18"/>
          <w:szCs w:val="18"/>
          <w:lang w:val="el-GR" w:eastAsia="en-US"/>
        </w:rPr>
        <w:t xml:space="preserve"> </w:t>
      </w:r>
      <w:r w:rsidRPr="001C1A37">
        <w:rPr>
          <w:rFonts w:ascii="Arial" w:eastAsia="Batang" w:hAnsi="Arial" w:cs="Arial"/>
          <w:color w:val="262626"/>
          <w:sz w:val="18"/>
          <w:szCs w:val="18"/>
          <w:lang w:val="el-GR" w:eastAsia="en-US"/>
        </w:rPr>
        <w:t>2024 έχει υπολογιστεί σε περίπου 0.9</w:t>
      </w:r>
      <w:r w:rsidRPr="00A03828">
        <w:rPr>
          <w:rFonts w:ascii="Arial" w:eastAsia="Batang" w:hAnsi="Arial" w:cs="Arial"/>
          <w:color w:val="262626"/>
          <w:sz w:val="18"/>
          <w:szCs w:val="18"/>
          <w:lang w:val="el-GR" w:eastAsia="en-US"/>
        </w:rPr>
        <w:t>3</w:t>
      </w:r>
      <w:r w:rsidRPr="001C1A37">
        <w:rPr>
          <w:rFonts w:ascii="Arial" w:eastAsia="Batang" w:hAnsi="Arial" w:cs="Arial"/>
          <w:color w:val="262626"/>
          <w:sz w:val="18"/>
          <w:szCs w:val="18"/>
          <w:lang w:val="el-GR" w:eastAsia="en-US"/>
        </w:rPr>
        <w:t>% (31 Δεκεμβρίου 2023: 0.48%).</w:t>
      </w:r>
    </w:p>
    <w:p w14:paraId="1B5C6A85" w14:textId="77777777" w:rsidR="0056738E" w:rsidRPr="001C1A37" w:rsidRDefault="0056738E" w:rsidP="0056738E">
      <w:pPr>
        <w:autoSpaceDE w:val="0"/>
        <w:autoSpaceDN w:val="0"/>
        <w:spacing w:after="0" w:line="240" w:lineRule="auto"/>
        <w:jc w:val="both"/>
        <w:rPr>
          <w:rFonts w:ascii="Arial" w:hAnsi="Arial" w:cs="Arial"/>
          <w:color w:val="262626"/>
          <w:sz w:val="18"/>
          <w:lang w:val="el-GR"/>
        </w:rPr>
      </w:pPr>
    </w:p>
    <w:p w14:paraId="436F1E3F" w14:textId="77777777" w:rsidR="0056738E" w:rsidRPr="007C4796" w:rsidRDefault="0056738E" w:rsidP="0056738E">
      <w:pPr>
        <w:autoSpaceDE w:val="0"/>
        <w:autoSpaceDN w:val="0"/>
        <w:spacing w:after="0" w:line="240" w:lineRule="auto"/>
        <w:jc w:val="both"/>
        <w:rPr>
          <w:rFonts w:ascii="Arial" w:eastAsia="Batang" w:hAnsi="Arial" w:cs="Arial"/>
          <w:color w:val="262626"/>
          <w:sz w:val="18"/>
          <w:szCs w:val="18"/>
          <w:lang w:val="el-GR" w:eastAsia="en-US"/>
        </w:rPr>
      </w:pPr>
      <w:r w:rsidRPr="001C1A37">
        <w:rPr>
          <w:rFonts w:ascii="Arial" w:eastAsia="Batang" w:hAnsi="Arial" w:cs="Arial"/>
          <w:color w:val="262626"/>
          <w:sz w:val="18"/>
          <w:szCs w:val="18"/>
          <w:lang w:val="el-GR" w:eastAsia="en-US"/>
        </w:rPr>
        <w:t>Σύμφωνα με τις διατάξεις του πιο πάνω νόμου, η ΚΤΚ είναι επίσης η αρμόδια αρχή για τον προσδιορισμό των Άλλων Συστημικά Σημαντικών Ιδρυμάτων (O-SII) και για τον καθορισμό του Αποθέματος Ασφαλείας O-SII των εν λόγω συστημικά σημαντικών τραπεζών. Η BOC PCL έχει προσδιοριστεί ως O-SII. Το ποσοστό του Αποθέματος Ασφαλείας O-SII κατά την 31 Δεκεμβρίου 2023 ανερχόταν στο 1.50% και αυξήθηκε κατά 37.5 μονάδες βάσης σε 1.875% την 1 Ιανουαρίου 2024, σε συνέχεια αναθεώρησης του ποσοστού Αποθέματος Ασφαλείας O-SII από την ΚΤΚ τον Οκτώβριο 2023. Τον Απρίλιο 2024, μετά από αναθεώρηση από την ΚΤΚ της πολιτικής της για τον καθορισμό των πιστωτικών ιδρυμάτων που πληρούν τον ορισμό των Άλλων Συστημικά Σημαντικών Ιδρυμάτων (O-SII) και τον καθορισμό Αποθέματος Ασφαλείας O-SII που πρέπει να τηρείται, το Απόθεμα Ασφαλείας O-SII του Συγκροτήματος καθορίστηκε σε 2.00% από την 1 Ιανουαρίου 2026 (σε σχέση με την προηγούμενη αξιολόγηση που διενεργήθηκε τον Οκτώβριο 2023 και καθορισμό σε 2.25% από την 1 Ιανουαρίου 2025) με σταδιακή εφαρμογή κατά 6.25 μονάδες βάσης ετησίως σε 1.9375% την 1 Ιανουαρίου 2025 και σε 2.00% την 1 Ιανουαρίου 2026, από το υφιστάμενο ποσοστό ύψους 1.875%</w:t>
      </w:r>
      <w:r w:rsidRPr="00A41DBD">
        <w:rPr>
          <w:rFonts w:ascii="Arial" w:eastAsia="Batang" w:hAnsi="Arial" w:cs="Arial"/>
          <w:color w:val="262626"/>
          <w:sz w:val="18"/>
          <w:szCs w:val="18"/>
          <w:lang w:val="el-GR" w:eastAsia="en-US"/>
        </w:rPr>
        <w:t>.</w:t>
      </w:r>
      <w:r>
        <w:rPr>
          <w:rFonts w:ascii="Arial" w:eastAsia="Batang" w:hAnsi="Arial" w:cs="Arial"/>
          <w:color w:val="262626"/>
          <w:sz w:val="18"/>
          <w:szCs w:val="18"/>
          <w:lang w:val="el-GR" w:eastAsia="en-US"/>
        </w:rPr>
        <w:t xml:space="preserve"> </w:t>
      </w:r>
    </w:p>
    <w:p w14:paraId="18E83DFE" w14:textId="77777777" w:rsidR="0056738E" w:rsidRPr="007C4796" w:rsidRDefault="0056738E" w:rsidP="0056738E">
      <w:pPr>
        <w:autoSpaceDE w:val="0"/>
        <w:autoSpaceDN w:val="0"/>
        <w:spacing w:after="0" w:line="240" w:lineRule="auto"/>
        <w:jc w:val="both"/>
        <w:rPr>
          <w:rFonts w:ascii="Arial" w:eastAsia="Batang" w:hAnsi="Arial" w:cs="Arial"/>
          <w:color w:val="262626"/>
          <w:sz w:val="18"/>
          <w:szCs w:val="18"/>
          <w:lang w:val="el-GR" w:eastAsia="en-US"/>
        </w:rPr>
      </w:pPr>
    </w:p>
    <w:p w14:paraId="209EEA5B" w14:textId="77777777" w:rsidR="0056738E" w:rsidRPr="00A03828" w:rsidRDefault="0056738E" w:rsidP="0056738E">
      <w:pPr>
        <w:autoSpaceDE w:val="0"/>
        <w:autoSpaceDN w:val="0"/>
        <w:spacing w:after="0" w:line="240" w:lineRule="auto"/>
        <w:rPr>
          <w:rFonts w:ascii="Arial" w:eastAsia="Batang" w:hAnsi="Arial" w:cs="Arial"/>
          <w:color w:val="262626"/>
          <w:sz w:val="18"/>
          <w:szCs w:val="18"/>
          <w:lang w:val="el-GR" w:eastAsia="en-US"/>
        </w:rPr>
      </w:pPr>
      <w:r w:rsidRPr="001C1A37">
        <w:rPr>
          <w:rFonts w:ascii="Arial" w:eastAsia="Batang" w:hAnsi="Arial" w:cs="Arial"/>
          <w:color w:val="262626"/>
          <w:sz w:val="18"/>
          <w:szCs w:val="18"/>
          <w:lang w:val="el-GR" w:eastAsia="en-US"/>
        </w:rPr>
        <w:t>Η ΕΚΤ επίσης καθορίζει ποσοστό μη δημόσιας καθοδήγησης για διατήρηση πρόσθετου αποθέματος Κοινών</w:t>
      </w:r>
      <w:r w:rsidRPr="00A03828">
        <w:rPr>
          <w:rFonts w:ascii="Arial" w:eastAsia="Batang" w:hAnsi="Arial" w:cs="Arial"/>
          <w:color w:val="262626"/>
          <w:sz w:val="18"/>
          <w:szCs w:val="18"/>
          <w:lang w:val="el-GR" w:eastAsia="en-US"/>
        </w:rPr>
        <w:t xml:space="preserve"> </w:t>
      </w:r>
      <w:r w:rsidRPr="001C1A37">
        <w:rPr>
          <w:rFonts w:ascii="Arial" w:eastAsia="Batang" w:hAnsi="Arial" w:cs="Arial"/>
          <w:color w:val="262626"/>
          <w:sz w:val="18"/>
          <w:szCs w:val="18"/>
          <w:lang w:val="el-GR" w:eastAsia="en-US"/>
        </w:rPr>
        <w:t>Μετοχών Κατηγορίας 1 (</w:t>
      </w:r>
      <w:r w:rsidRPr="001C1A37">
        <w:rPr>
          <w:rFonts w:ascii="Arial" w:eastAsia="Batang" w:hAnsi="Arial" w:cs="Arial"/>
          <w:color w:val="262626"/>
          <w:sz w:val="18"/>
          <w:szCs w:val="18"/>
          <w:lang w:eastAsia="en-US"/>
        </w:rPr>
        <w:t>CET</w:t>
      </w:r>
      <w:r w:rsidRPr="001C1A37">
        <w:rPr>
          <w:rFonts w:ascii="Arial" w:eastAsia="Batang" w:hAnsi="Arial" w:cs="Arial"/>
          <w:color w:val="262626"/>
          <w:sz w:val="18"/>
          <w:szCs w:val="18"/>
          <w:lang w:val="el-GR" w:eastAsia="en-US"/>
        </w:rPr>
        <w:t>1) Πυλώνα ΙΙ (</w:t>
      </w:r>
      <w:r w:rsidRPr="001C1A37">
        <w:rPr>
          <w:rFonts w:ascii="Arial" w:eastAsia="Batang" w:hAnsi="Arial" w:cs="Arial"/>
          <w:color w:val="262626"/>
          <w:sz w:val="18"/>
          <w:szCs w:val="18"/>
          <w:lang w:eastAsia="en-US"/>
        </w:rPr>
        <w:t>P</w:t>
      </w:r>
      <w:r w:rsidRPr="001C1A37">
        <w:rPr>
          <w:rFonts w:ascii="Arial" w:eastAsia="Batang" w:hAnsi="Arial" w:cs="Arial"/>
          <w:color w:val="262626"/>
          <w:sz w:val="18"/>
          <w:szCs w:val="18"/>
          <w:lang w:val="el-GR" w:eastAsia="en-US"/>
        </w:rPr>
        <w:t>2</w:t>
      </w:r>
      <w:r w:rsidRPr="001C1A37">
        <w:rPr>
          <w:rFonts w:ascii="Arial" w:eastAsia="Batang" w:hAnsi="Arial" w:cs="Arial"/>
          <w:color w:val="262626"/>
          <w:sz w:val="18"/>
          <w:szCs w:val="18"/>
          <w:lang w:eastAsia="en-US"/>
        </w:rPr>
        <w:t>G</w:t>
      </w:r>
      <w:r w:rsidRPr="001C1A37">
        <w:rPr>
          <w:rFonts w:ascii="Arial" w:eastAsia="Batang" w:hAnsi="Arial" w:cs="Arial"/>
          <w:color w:val="262626"/>
          <w:sz w:val="18"/>
          <w:szCs w:val="18"/>
          <w:lang w:val="el-GR" w:eastAsia="en-US"/>
        </w:rPr>
        <w:t>).</w:t>
      </w:r>
    </w:p>
    <w:p w14:paraId="0B915790" w14:textId="77777777" w:rsidR="0056738E" w:rsidRPr="00A03828" w:rsidRDefault="0056738E" w:rsidP="0056738E">
      <w:pPr>
        <w:autoSpaceDE w:val="0"/>
        <w:autoSpaceDN w:val="0"/>
        <w:spacing w:after="0" w:line="240" w:lineRule="auto"/>
        <w:jc w:val="both"/>
        <w:rPr>
          <w:rFonts w:ascii="Arial" w:eastAsia="Batang" w:hAnsi="Arial" w:cs="Arial"/>
          <w:color w:val="262626"/>
          <w:sz w:val="18"/>
          <w:szCs w:val="18"/>
          <w:lang w:val="el-GR" w:eastAsia="en-US"/>
        </w:rPr>
      </w:pPr>
    </w:p>
    <w:p w14:paraId="61D8F31F" w14:textId="77777777" w:rsidR="0056738E" w:rsidRPr="00FA6343" w:rsidRDefault="0056738E" w:rsidP="0056738E">
      <w:pPr>
        <w:spacing w:line="240" w:lineRule="auto"/>
        <w:ind w:right="72"/>
        <w:jc w:val="both"/>
        <w:textAlignment w:val="baseline"/>
        <w:rPr>
          <w:rFonts w:ascii="Arial" w:eastAsia="Batang" w:hAnsi="Arial" w:cs="Arial"/>
          <w:color w:val="262626"/>
          <w:sz w:val="18"/>
          <w:szCs w:val="18"/>
          <w:lang w:val="el-GR" w:eastAsia="en-US"/>
        </w:rPr>
      </w:pPr>
      <w:r w:rsidRPr="001C7C97">
        <w:rPr>
          <w:rFonts w:ascii="Arial" w:eastAsia="Batang" w:hAnsi="Arial" w:cs="Arial"/>
          <w:color w:val="262626"/>
          <w:sz w:val="18"/>
          <w:szCs w:val="18"/>
          <w:lang w:val="el-GR" w:eastAsia="en-US"/>
        </w:rPr>
        <w:t>Σε συνέχεια της ετήσιας ΔΕΕΑ που πραγματοποιήθηκε από την ΕΚΤ το 202</w:t>
      </w:r>
      <w:r>
        <w:rPr>
          <w:rFonts w:ascii="Arial" w:eastAsia="Batang" w:hAnsi="Arial" w:cs="Arial"/>
          <w:color w:val="262626"/>
          <w:sz w:val="18"/>
          <w:szCs w:val="18"/>
          <w:lang w:val="el-GR" w:eastAsia="en-US"/>
        </w:rPr>
        <w:t>4</w:t>
      </w:r>
      <w:r w:rsidRPr="001C7C97">
        <w:rPr>
          <w:rFonts w:ascii="Arial" w:eastAsia="Batang" w:hAnsi="Arial" w:cs="Arial"/>
          <w:color w:val="262626"/>
          <w:sz w:val="18"/>
          <w:szCs w:val="18"/>
          <w:lang w:val="el-GR" w:eastAsia="en-US"/>
        </w:rPr>
        <w:t xml:space="preserve">, και με βάση την προκαταρτική απόφαση ΔΕΕΑ </w:t>
      </w:r>
      <w:r>
        <w:rPr>
          <w:rFonts w:ascii="Arial" w:eastAsia="Batang" w:hAnsi="Arial" w:cs="Arial"/>
          <w:color w:val="262626"/>
          <w:sz w:val="18"/>
          <w:szCs w:val="18"/>
          <w:lang w:val="el-GR" w:eastAsia="en-US"/>
        </w:rPr>
        <w:t>που λήφθηκε τον Οκτώβριο 2024</w:t>
      </w:r>
      <w:r w:rsidRPr="001C7C97">
        <w:rPr>
          <w:rFonts w:ascii="Arial" w:eastAsia="Batang" w:hAnsi="Arial" w:cs="Arial"/>
          <w:color w:val="262626"/>
          <w:sz w:val="18"/>
          <w:szCs w:val="18"/>
          <w:lang w:val="el-GR" w:eastAsia="en-US"/>
        </w:rPr>
        <w:t xml:space="preserve"> και αναμένεται να τεθεί σε ισχύ από την 1 Ιανουαρίου 202</w:t>
      </w:r>
      <w:r>
        <w:rPr>
          <w:rFonts w:ascii="Arial" w:eastAsia="Batang" w:hAnsi="Arial" w:cs="Arial"/>
          <w:color w:val="262626"/>
          <w:sz w:val="18"/>
          <w:szCs w:val="18"/>
          <w:lang w:val="el-GR" w:eastAsia="en-US"/>
        </w:rPr>
        <w:t>5</w:t>
      </w:r>
      <w:r w:rsidRPr="001C7C97">
        <w:rPr>
          <w:rFonts w:ascii="Arial" w:eastAsia="Batang" w:hAnsi="Arial" w:cs="Arial"/>
          <w:color w:val="262626"/>
          <w:sz w:val="18"/>
          <w:szCs w:val="18"/>
          <w:lang w:val="el-GR" w:eastAsia="en-US"/>
        </w:rPr>
        <w:t xml:space="preserve"> (υπόκειται σε τελική επιβεβαίωση από την ΕΚΤ)</w:t>
      </w:r>
      <w:r>
        <w:rPr>
          <w:rFonts w:ascii="Arial" w:eastAsia="Batang" w:hAnsi="Arial" w:cs="Arial"/>
          <w:color w:val="262626"/>
          <w:sz w:val="18"/>
          <w:szCs w:val="18"/>
          <w:lang w:val="el-GR" w:eastAsia="en-US"/>
        </w:rPr>
        <w:t xml:space="preserve"> </w:t>
      </w:r>
      <w:r w:rsidRPr="001C7C97">
        <w:rPr>
          <w:rFonts w:ascii="Arial" w:eastAsia="Batang" w:hAnsi="Arial" w:cs="Arial"/>
          <w:color w:val="262626"/>
          <w:sz w:val="18"/>
          <w:szCs w:val="18"/>
          <w:lang w:val="el-GR" w:eastAsia="en-US"/>
        </w:rPr>
        <w:t>οι απαιτήσεις για ελάχιστο δείκτη Κεφαλαίου Κοινών Μετοχών Κατηγορίας 1 (</w:t>
      </w:r>
      <w:r w:rsidRPr="001C7C97">
        <w:rPr>
          <w:rFonts w:ascii="Arial" w:eastAsia="Batang" w:hAnsi="Arial" w:cs="Arial"/>
          <w:color w:val="262626"/>
          <w:sz w:val="18"/>
          <w:szCs w:val="18"/>
          <w:lang w:eastAsia="en-US"/>
        </w:rPr>
        <w:t>CET</w:t>
      </w:r>
      <w:r w:rsidRPr="001C7C97">
        <w:rPr>
          <w:rFonts w:ascii="Arial" w:eastAsia="Batang" w:hAnsi="Arial" w:cs="Arial"/>
          <w:color w:val="262626"/>
          <w:sz w:val="18"/>
          <w:szCs w:val="18"/>
          <w:lang w:val="el-GR" w:eastAsia="en-US"/>
        </w:rPr>
        <w:t>1) με μεταβατικές διατάξεις και για Συνολικό Δείκτη Κεφαλαιακής Επάρκειας με μεταβατικές διατάξεις του Συγκροτήματος</w:t>
      </w:r>
      <w:r>
        <w:rPr>
          <w:rFonts w:ascii="Arial" w:eastAsia="Batang" w:hAnsi="Arial" w:cs="Arial"/>
          <w:color w:val="262626"/>
          <w:sz w:val="18"/>
          <w:szCs w:val="18"/>
          <w:lang w:val="el-GR" w:eastAsia="en-US"/>
        </w:rPr>
        <w:t>,</w:t>
      </w:r>
      <w:r w:rsidRPr="001C7C97">
        <w:rPr>
          <w:rFonts w:ascii="Arial" w:eastAsia="Batang" w:hAnsi="Arial" w:cs="Arial"/>
          <w:color w:val="262626"/>
          <w:sz w:val="18"/>
          <w:szCs w:val="18"/>
          <w:lang w:val="el-GR" w:eastAsia="en-US"/>
        </w:rPr>
        <w:t xml:space="preserve"> </w:t>
      </w:r>
      <w:r>
        <w:rPr>
          <w:rFonts w:ascii="Arial" w:eastAsia="Batang" w:hAnsi="Arial" w:cs="Arial"/>
          <w:color w:val="262626"/>
          <w:sz w:val="18"/>
          <w:szCs w:val="18"/>
          <w:lang w:val="el-GR" w:eastAsia="en-US"/>
        </w:rPr>
        <w:t xml:space="preserve">αναμένεται να παραμείνουν στα ίδια επίπεδα, </w:t>
      </w:r>
      <w:r w:rsidRPr="001C7C97">
        <w:rPr>
          <w:rFonts w:ascii="Arial" w:eastAsia="Batang" w:hAnsi="Arial" w:cs="Arial"/>
          <w:color w:val="262626"/>
          <w:sz w:val="18"/>
          <w:szCs w:val="18"/>
          <w:lang w:val="el-GR" w:eastAsia="en-US"/>
        </w:rPr>
        <w:t xml:space="preserve">μη λαμβάνοντας υπόψη την αναμενόμενη σταδιακή εφαρμογή του Αποθέματος Ασφαλείας </w:t>
      </w:r>
      <w:r w:rsidRPr="001C7C97">
        <w:rPr>
          <w:rFonts w:ascii="Arial" w:eastAsia="Batang" w:hAnsi="Arial" w:cs="Arial"/>
          <w:color w:val="262626"/>
          <w:sz w:val="18"/>
          <w:szCs w:val="18"/>
          <w:lang w:eastAsia="en-US"/>
        </w:rPr>
        <w:t>O</w:t>
      </w:r>
      <w:r w:rsidRPr="001C7C97">
        <w:rPr>
          <w:rFonts w:ascii="Arial" w:eastAsia="Batang" w:hAnsi="Arial" w:cs="Arial"/>
          <w:color w:val="262626"/>
          <w:sz w:val="18"/>
          <w:szCs w:val="18"/>
          <w:lang w:val="el-GR" w:eastAsia="en-US"/>
        </w:rPr>
        <w:t>-</w:t>
      </w:r>
      <w:r w:rsidRPr="001C7C97">
        <w:rPr>
          <w:rFonts w:ascii="Arial" w:eastAsia="Batang" w:hAnsi="Arial" w:cs="Arial"/>
          <w:color w:val="262626"/>
          <w:sz w:val="18"/>
          <w:szCs w:val="18"/>
          <w:lang w:eastAsia="en-US"/>
        </w:rPr>
        <w:t>SII</w:t>
      </w:r>
      <w:r w:rsidRPr="001C7C97">
        <w:rPr>
          <w:rFonts w:ascii="Arial" w:eastAsia="Batang" w:hAnsi="Arial" w:cs="Arial"/>
          <w:color w:val="262626"/>
          <w:sz w:val="18"/>
          <w:szCs w:val="18"/>
          <w:lang w:val="el-GR" w:eastAsia="en-US"/>
        </w:rPr>
        <w:t>. Η μη δημόσια καθοδήγηση για πρόσθετα αποθέματα Κοινών Μετοχών Κατηγορίας 1 (</w:t>
      </w:r>
      <w:r w:rsidRPr="001C7C97">
        <w:rPr>
          <w:rFonts w:ascii="Arial" w:eastAsia="Batang" w:hAnsi="Arial" w:cs="Arial"/>
          <w:color w:val="262626"/>
          <w:sz w:val="18"/>
          <w:szCs w:val="18"/>
          <w:lang w:eastAsia="en-US"/>
        </w:rPr>
        <w:t>CET</w:t>
      </w:r>
      <w:r w:rsidRPr="001C7C97">
        <w:rPr>
          <w:rFonts w:ascii="Arial" w:eastAsia="Batang" w:hAnsi="Arial" w:cs="Arial"/>
          <w:color w:val="262626"/>
          <w:sz w:val="18"/>
          <w:szCs w:val="18"/>
          <w:lang w:val="el-GR" w:eastAsia="en-US"/>
        </w:rPr>
        <w:t>1) Πυλώνα ΙΙ (</w:t>
      </w:r>
      <w:r w:rsidRPr="001C7C97">
        <w:rPr>
          <w:rFonts w:ascii="Arial" w:eastAsia="Batang" w:hAnsi="Arial" w:cs="Arial"/>
          <w:color w:val="262626"/>
          <w:sz w:val="18"/>
          <w:szCs w:val="18"/>
          <w:lang w:eastAsia="en-US"/>
        </w:rPr>
        <w:t>P</w:t>
      </w:r>
      <w:r w:rsidRPr="001C7C97">
        <w:rPr>
          <w:rFonts w:ascii="Arial" w:eastAsia="Batang" w:hAnsi="Arial" w:cs="Arial"/>
          <w:color w:val="262626"/>
          <w:sz w:val="18"/>
          <w:szCs w:val="18"/>
          <w:lang w:val="el-GR" w:eastAsia="en-US"/>
        </w:rPr>
        <w:t>2</w:t>
      </w:r>
      <w:r w:rsidRPr="001C7C97">
        <w:rPr>
          <w:rFonts w:ascii="Arial" w:eastAsia="Batang" w:hAnsi="Arial" w:cs="Arial"/>
          <w:color w:val="262626"/>
          <w:sz w:val="18"/>
          <w:szCs w:val="18"/>
          <w:lang w:eastAsia="en-US"/>
        </w:rPr>
        <w:t>G</w:t>
      </w:r>
      <w:r w:rsidRPr="001C7C97">
        <w:rPr>
          <w:rFonts w:ascii="Arial" w:eastAsia="Batang" w:hAnsi="Arial" w:cs="Arial"/>
          <w:color w:val="262626"/>
          <w:sz w:val="18"/>
          <w:szCs w:val="18"/>
          <w:lang w:val="el-GR" w:eastAsia="en-US"/>
        </w:rPr>
        <w:t>)</w:t>
      </w:r>
      <w:r>
        <w:rPr>
          <w:rFonts w:ascii="Arial" w:eastAsia="Batang" w:hAnsi="Arial" w:cs="Arial"/>
          <w:color w:val="262626"/>
          <w:sz w:val="18"/>
          <w:szCs w:val="18"/>
          <w:lang w:val="el-GR" w:eastAsia="en-US"/>
        </w:rPr>
        <w:t xml:space="preserve"> επίσης αναμένεται να διατηρηθεί στο ίδιο επίπεδο σε σχέση με το 2024. Επιπλέον</w:t>
      </w:r>
      <w:r w:rsidRPr="00A03828">
        <w:rPr>
          <w:rFonts w:ascii="Arial" w:eastAsia="Batang" w:hAnsi="Arial" w:cs="Arial"/>
          <w:color w:val="262626"/>
          <w:sz w:val="18"/>
          <w:szCs w:val="18"/>
          <w:lang w:val="el-GR" w:eastAsia="en-US"/>
        </w:rPr>
        <w:t>,</w:t>
      </w:r>
      <w:r>
        <w:rPr>
          <w:rFonts w:ascii="Arial" w:eastAsia="Batang" w:hAnsi="Arial" w:cs="Arial"/>
          <w:color w:val="262626"/>
          <w:sz w:val="18"/>
          <w:szCs w:val="18"/>
          <w:lang w:val="el-GR" w:eastAsia="en-US"/>
        </w:rPr>
        <w:t xml:space="preserve"> με Βάση την προκαταρκτική απόφαση</w:t>
      </w:r>
      <w:r w:rsidRPr="00A03828">
        <w:rPr>
          <w:rFonts w:ascii="Arial" w:eastAsia="Batang" w:hAnsi="Arial" w:cs="Arial"/>
          <w:color w:val="262626"/>
          <w:sz w:val="18"/>
          <w:szCs w:val="18"/>
          <w:lang w:val="el-GR" w:eastAsia="en-US"/>
        </w:rPr>
        <w:t xml:space="preserve"> </w:t>
      </w:r>
      <w:r>
        <w:rPr>
          <w:rFonts w:ascii="Arial" w:eastAsia="Batang" w:hAnsi="Arial" w:cs="Arial"/>
          <w:color w:val="262626"/>
          <w:sz w:val="18"/>
          <w:szCs w:val="18"/>
          <w:lang w:val="el-GR" w:eastAsia="en-US"/>
        </w:rPr>
        <w:t>ΔΕΕΑ, η υφιστάμενη υποχρέωση για εποπτική έγκριση πριν την καταβολή μερίσματος αναμένεται να αρθεί, με ημερομηνία ισχύς από την 1 Ιανουαρίου 2025.</w:t>
      </w:r>
    </w:p>
    <w:p w14:paraId="5AF3D4DC" w14:textId="77777777" w:rsidR="0056738E" w:rsidRPr="00A41DBD" w:rsidRDefault="0056738E" w:rsidP="0056738E">
      <w:pPr>
        <w:autoSpaceDE w:val="0"/>
        <w:autoSpaceDN w:val="0"/>
        <w:spacing w:after="0" w:line="240" w:lineRule="auto"/>
        <w:jc w:val="both"/>
        <w:rPr>
          <w:rFonts w:ascii="Arial" w:eastAsia="Batang" w:hAnsi="Arial" w:cs="Arial"/>
          <w:color w:val="262626"/>
          <w:sz w:val="18"/>
          <w:szCs w:val="18"/>
          <w:lang w:val="el-GR" w:eastAsia="en-US"/>
        </w:rPr>
      </w:pPr>
      <w:r w:rsidRPr="00A41DBD">
        <w:rPr>
          <w:rFonts w:ascii="Arial" w:eastAsia="Batang" w:hAnsi="Arial" w:cs="Arial"/>
          <w:color w:val="262626"/>
          <w:sz w:val="18"/>
          <w:szCs w:val="18"/>
          <w:lang w:val="el-GR" w:eastAsia="en-US"/>
        </w:rPr>
        <w:t xml:space="preserve">Το Συγκρότημα υπόκειται στην απαίτηση του Πυλώνα Ι για δείκτη </w:t>
      </w:r>
      <w:proofErr w:type="spellStart"/>
      <w:r w:rsidRPr="00A41DBD">
        <w:rPr>
          <w:rFonts w:ascii="Arial" w:eastAsia="Batang" w:hAnsi="Arial" w:cs="Arial"/>
          <w:color w:val="262626"/>
          <w:sz w:val="18"/>
          <w:szCs w:val="18"/>
          <w:lang w:val="el-GR" w:eastAsia="en-US"/>
        </w:rPr>
        <w:t>Μόχλευσης</w:t>
      </w:r>
      <w:proofErr w:type="spellEnd"/>
      <w:r w:rsidRPr="00A41DBD">
        <w:rPr>
          <w:rFonts w:ascii="Arial" w:eastAsia="Batang" w:hAnsi="Arial" w:cs="Arial"/>
          <w:color w:val="262626"/>
          <w:sz w:val="18"/>
          <w:szCs w:val="18"/>
          <w:lang w:val="el-GR" w:eastAsia="en-US"/>
        </w:rPr>
        <w:t xml:space="preserve"> 3%.</w:t>
      </w:r>
    </w:p>
    <w:p w14:paraId="5739EBA4" w14:textId="77777777" w:rsidR="0056738E" w:rsidRPr="00A41DBD" w:rsidRDefault="0056738E" w:rsidP="0056738E">
      <w:pPr>
        <w:autoSpaceDE w:val="0"/>
        <w:autoSpaceDN w:val="0"/>
        <w:spacing w:after="0" w:line="240" w:lineRule="auto"/>
        <w:jc w:val="both"/>
        <w:rPr>
          <w:rFonts w:ascii="Arial" w:eastAsia="Batang" w:hAnsi="Arial" w:cs="Arial"/>
          <w:color w:val="262626"/>
          <w:sz w:val="18"/>
          <w:szCs w:val="18"/>
          <w:lang w:val="el-GR" w:eastAsia="en-US"/>
        </w:rPr>
      </w:pPr>
    </w:p>
    <w:p w14:paraId="6411C5BF" w14:textId="77777777" w:rsidR="0056738E" w:rsidRPr="00A41DBD" w:rsidRDefault="0056738E" w:rsidP="0056738E">
      <w:pPr>
        <w:autoSpaceDE w:val="0"/>
        <w:autoSpaceDN w:val="0"/>
        <w:spacing w:after="0" w:line="240" w:lineRule="auto"/>
        <w:jc w:val="both"/>
        <w:rPr>
          <w:rFonts w:ascii="Arial" w:eastAsia="Batang" w:hAnsi="Arial" w:cs="Arial"/>
          <w:color w:val="262626"/>
          <w:sz w:val="18"/>
          <w:szCs w:val="18"/>
          <w:lang w:val="el-GR" w:eastAsia="en-US"/>
        </w:rPr>
      </w:pPr>
      <w:r w:rsidRPr="00A41DBD">
        <w:rPr>
          <w:rFonts w:ascii="Arial" w:eastAsia="Batang" w:hAnsi="Arial" w:cs="Arial"/>
          <w:color w:val="262626"/>
          <w:sz w:val="18"/>
          <w:szCs w:val="18"/>
          <w:lang w:val="el-GR" w:eastAsia="en-US"/>
        </w:rPr>
        <w:t xml:space="preserve">Οι πιο πάνω ελάχιστοι δείκτες ισχύουν τόσο για την BOC PCL όσο και για το Συγκρότημα.  </w:t>
      </w:r>
    </w:p>
    <w:p w14:paraId="18DC220E" w14:textId="77777777" w:rsidR="0056738E" w:rsidRDefault="0056738E" w:rsidP="0056738E">
      <w:pPr>
        <w:spacing w:after="0" w:line="240" w:lineRule="auto"/>
        <w:jc w:val="both"/>
        <w:rPr>
          <w:rFonts w:ascii="Arial" w:eastAsia="Batang" w:hAnsi="Arial" w:cs="Arial"/>
          <w:color w:val="262626"/>
          <w:sz w:val="18"/>
          <w:szCs w:val="18"/>
          <w:lang w:val="el-GR" w:eastAsia="en-US"/>
        </w:rPr>
      </w:pPr>
    </w:p>
    <w:p w14:paraId="50133B9E" w14:textId="77777777" w:rsidR="0056738E" w:rsidRPr="001C1A37" w:rsidRDefault="0056738E" w:rsidP="0056738E">
      <w:pPr>
        <w:spacing w:after="0" w:line="240" w:lineRule="auto"/>
        <w:jc w:val="both"/>
        <w:rPr>
          <w:rFonts w:ascii="Arial" w:eastAsia="Batang" w:hAnsi="Arial" w:cs="Arial"/>
          <w:color w:val="262626"/>
          <w:sz w:val="18"/>
          <w:szCs w:val="18"/>
          <w:lang w:val="el-GR" w:eastAsia="en-US"/>
        </w:rPr>
      </w:pPr>
      <w:r w:rsidRPr="001C1A37">
        <w:rPr>
          <w:rFonts w:ascii="Arial" w:eastAsia="Batang" w:hAnsi="Arial" w:cs="Arial"/>
          <w:color w:val="262626"/>
          <w:sz w:val="18"/>
          <w:szCs w:val="18"/>
          <w:lang w:val="el-GR" w:eastAsia="en-US"/>
        </w:rPr>
        <w:t>Με βάση τις τελικές κατευθυντήριες γραμμές της ΕΑΤ για τη ΔΕΕΑ και των εποπτικών ασκήσεων προσομοίωσης ακραίων καταστάσεων και τη μεθοδολογία της ΔΕΕΑ 2018 του Ενιαίου Εποπτικού Μηχανισμού (SSM), τα ίδια κεφάλαια που κατέχονται για τις κατευθυντήριες γραμμές του Πυλώνα II (P2G) δεν μπορούν να χρησιμοποιηθούν για την ικανοποίηση οποιονδήποτε άλλων κεφαλαιακών απαιτήσεων (απαιτήσεις του Πυλώνα Ι, απαιτήσεις του Πυλώνα II (P2R) ή Συνδυασμένη Απαίτηση Αποθέματος Ασφαλείας (CBR)), και ως εκ τούτου δεν μπορούν να χρησιμοποιηθούν δύο φορές.</w:t>
      </w:r>
    </w:p>
    <w:p w14:paraId="0CE2EFA6" w14:textId="77777777" w:rsidR="0056738E" w:rsidRDefault="0056738E" w:rsidP="0056738E">
      <w:pPr>
        <w:rPr>
          <w:rFonts w:ascii="Arial" w:hAnsi="Arial" w:cs="Arial"/>
          <w:color w:val="262626"/>
          <w:sz w:val="18"/>
          <w:lang w:val="el-GR"/>
        </w:rPr>
      </w:pPr>
      <w:r>
        <w:rPr>
          <w:rFonts w:ascii="Arial" w:hAnsi="Arial" w:cs="Arial"/>
          <w:color w:val="262626"/>
          <w:sz w:val="18"/>
          <w:lang w:val="el-GR"/>
        </w:rPr>
        <w:br w:type="page"/>
      </w:r>
    </w:p>
    <w:p w14:paraId="79105F36" w14:textId="77777777" w:rsidR="0056738E" w:rsidRPr="00022E44" w:rsidRDefault="0056738E" w:rsidP="0056738E">
      <w:pPr>
        <w:keepNext/>
        <w:tabs>
          <w:tab w:val="left" w:pos="1416"/>
          <w:tab w:val="decimal" w:pos="4962"/>
          <w:tab w:val="decimal" w:pos="6521"/>
          <w:tab w:val="right" w:pos="7560"/>
          <w:tab w:val="decimal" w:pos="8220"/>
          <w:tab w:val="left" w:pos="8640"/>
          <w:tab w:val="right" w:pos="9000"/>
        </w:tabs>
        <w:suppressAutoHyphens/>
        <w:spacing w:after="0" w:line="360" w:lineRule="auto"/>
        <w:ind w:left="851" w:right="-130" w:hanging="851"/>
        <w:jc w:val="both"/>
        <w:outlineLvl w:val="8"/>
        <w:rPr>
          <w:rFonts w:ascii="Arial" w:hAnsi="Arial" w:cs="Arial"/>
          <w:color w:val="FF9900"/>
          <w:szCs w:val="18"/>
          <w:lang w:val="el-GR"/>
        </w:rPr>
      </w:pPr>
      <w:r w:rsidRPr="00E55CD1">
        <w:rPr>
          <w:rFonts w:ascii="Arial" w:hAnsi="Arial" w:cs="Arial"/>
          <w:b/>
          <w:color w:val="FF9900"/>
          <w:szCs w:val="18"/>
          <w:lang w:val="el-GR"/>
        </w:rPr>
        <w:lastRenderedPageBreak/>
        <w:t>Ζ</w:t>
      </w:r>
      <w:r w:rsidRPr="00022E44">
        <w:rPr>
          <w:rFonts w:ascii="Arial" w:hAnsi="Arial" w:cs="Arial"/>
          <w:b/>
          <w:color w:val="FF9900"/>
          <w:szCs w:val="18"/>
          <w:lang w:val="el-GR"/>
        </w:rPr>
        <w:t xml:space="preserve">. </w:t>
      </w:r>
      <w:r w:rsidRPr="00022E44">
        <w:rPr>
          <w:rFonts w:ascii="Arial" w:hAnsi="Arial" w:cs="Arial"/>
          <w:b/>
          <w:color w:val="FF9900"/>
          <w:szCs w:val="18"/>
          <w:lang w:val="el-GR"/>
        </w:rPr>
        <w:tab/>
      </w:r>
      <w:r w:rsidRPr="00E55CD1">
        <w:rPr>
          <w:rFonts w:ascii="Arial" w:hAnsi="Arial" w:cs="Arial"/>
          <w:b/>
          <w:color w:val="FF9900"/>
          <w:szCs w:val="18"/>
          <w:lang w:val="el-GR"/>
        </w:rPr>
        <w:t xml:space="preserve">Επιπρόσθετες Γνωστοποιήσεις Διαχείρισης Κινδύνων και Κεφαλαίου </w:t>
      </w:r>
      <w:r w:rsidRPr="00022E44">
        <w:rPr>
          <w:rFonts w:ascii="Arial" w:hAnsi="Arial" w:cs="Arial"/>
          <w:color w:val="FF9900"/>
          <w:szCs w:val="18"/>
          <w:lang w:val="el-GR"/>
        </w:rPr>
        <w:t>(συνέχεια)</w:t>
      </w:r>
    </w:p>
    <w:p w14:paraId="04218565" w14:textId="77777777" w:rsidR="0056738E" w:rsidRDefault="0056738E" w:rsidP="0056738E">
      <w:pPr>
        <w:spacing w:after="0" w:line="360" w:lineRule="auto"/>
        <w:jc w:val="both"/>
        <w:rPr>
          <w:rFonts w:ascii="Arial" w:hAnsi="Arial" w:cs="Arial"/>
          <w:color w:val="262626"/>
          <w:sz w:val="18"/>
          <w:lang w:val="el-GR"/>
        </w:rPr>
      </w:pPr>
      <w:r w:rsidRPr="00022E44">
        <w:rPr>
          <w:rFonts w:ascii="Arial" w:hAnsi="Arial" w:cs="Arial"/>
          <w:b/>
          <w:color w:val="FF9900"/>
          <w:szCs w:val="18"/>
          <w:lang w:val="el-GR"/>
        </w:rPr>
        <w:t>Ζ</w:t>
      </w:r>
      <w:r>
        <w:rPr>
          <w:rFonts w:ascii="Arial" w:hAnsi="Arial" w:cs="Arial"/>
          <w:b/>
          <w:color w:val="FF9900"/>
          <w:szCs w:val="18"/>
          <w:lang w:val="el-GR"/>
        </w:rPr>
        <w:t>.2</w:t>
      </w:r>
      <w:r w:rsidRPr="00022E44">
        <w:rPr>
          <w:rFonts w:ascii="Arial" w:hAnsi="Arial" w:cs="Arial"/>
          <w:b/>
          <w:color w:val="FF9900"/>
          <w:szCs w:val="18"/>
          <w:lang w:val="el-GR"/>
        </w:rPr>
        <w:t xml:space="preserve"> </w:t>
      </w:r>
      <w:r w:rsidRPr="00022E44">
        <w:rPr>
          <w:rFonts w:ascii="Arial" w:hAnsi="Arial" w:cs="Arial"/>
          <w:b/>
          <w:color w:val="FF9900"/>
          <w:szCs w:val="18"/>
          <w:lang w:val="el-GR"/>
        </w:rPr>
        <w:tab/>
      </w:r>
      <w:r>
        <w:rPr>
          <w:rFonts w:ascii="Arial" w:hAnsi="Arial" w:cs="Arial"/>
          <w:b/>
          <w:color w:val="FF9900"/>
          <w:szCs w:val="18"/>
          <w:lang w:val="el-GR"/>
        </w:rPr>
        <w:t>Διαχείριση κεφαλαίου</w:t>
      </w:r>
      <w:r w:rsidRPr="00022E44">
        <w:rPr>
          <w:rFonts w:ascii="Arial" w:hAnsi="Arial" w:cs="Arial"/>
          <w:color w:val="FF9900"/>
          <w:szCs w:val="18"/>
          <w:lang w:val="el-GR"/>
        </w:rPr>
        <w:t xml:space="preserve"> (συνέχεια)</w:t>
      </w:r>
    </w:p>
    <w:p w14:paraId="15072107" w14:textId="77777777" w:rsidR="0056738E" w:rsidRPr="00955C85" w:rsidRDefault="0056738E" w:rsidP="0056738E">
      <w:pPr>
        <w:spacing w:after="120" w:line="240" w:lineRule="auto"/>
        <w:jc w:val="both"/>
        <w:rPr>
          <w:rFonts w:ascii="Arial" w:hAnsi="Arial" w:cs="Arial"/>
          <w:color w:val="262626"/>
          <w:sz w:val="18"/>
          <w:lang w:val="el-GR"/>
        </w:rPr>
      </w:pPr>
      <w:r w:rsidRPr="002F30A1">
        <w:rPr>
          <w:rFonts w:ascii="Arial" w:hAnsi="Arial" w:cs="Arial"/>
          <w:color w:val="262626"/>
          <w:sz w:val="18"/>
          <w:lang w:val="el-GR"/>
        </w:rPr>
        <w:t xml:space="preserve">Η κεφαλαιακή θέση </w:t>
      </w:r>
      <w:r>
        <w:rPr>
          <w:rFonts w:ascii="Arial" w:hAnsi="Arial" w:cs="Arial"/>
          <w:color w:val="262626"/>
          <w:sz w:val="18"/>
          <w:lang w:val="el-GR"/>
        </w:rPr>
        <w:t xml:space="preserve">για εποπτικούς σκοπούς </w:t>
      </w:r>
      <w:r w:rsidRPr="002F30A1">
        <w:rPr>
          <w:rFonts w:ascii="Arial" w:hAnsi="Arial" w:cs="Arial"/>
          <w:color w:val="262626"/>
          <w:sz w:val="18"/>
          <w:lang w:val="el-GR"/>
        </w:rPr>
        <w:t>του Συγκροτήματος και της BOC PCL κατά την ημερομηνία αναφοράς (μετά την εφαρμογή των μεταβατικών διατάξεων) παρουσιάζεται πιο κάτω:</w:t>
      </w:r>
    </w:p>
    <w:tbl>
      <w:tblPr>
        <w:tblW w:w="932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978"/>
        <w:gridCol w:w="1685"/>
        <w:gridCol w:w="1559"/>
        <w:gridCol w:w="1701"/>
        <w:gridCol w:w="1398"/>
      </w:tblGrid>
      <w:tr w:rsidR="0056738E" w:rsidRPr="00A90D0C" w14:paraId="0F48998D" w14:textId="77777777" w:rsidTr="007C2AEE">
        <w:trPr>
          <w:trHeight w:val="283"/>
          <w:jc w:val="center"/>
        </w:trPr>
        <w:tc>
          <w:tcPr>
            <w:tcW w:w="2978" w:type="dxa"/>
            <w:vMerge w:val="restart"/>
            <w:shd w:val="clear" w:color="auto" w:fill="auto"/>
            <w:vAlign w:val="center"/>
          </w:tcPr>
          <w:p w14:paraId="4D8AB8E6" w14:textId="77777777" w:rsidR="0056738E" w:rsidRPr="00E0028A" w:rsidRDefault="0056738E" w:rsidP="007C2AEE">
            <w:pPr>
              <w:spacing w:after="0" w:line="240" w:lineRule="auto"/>
              <w:jc w:val="both"/>
              <w:rPr>
                <w:rFonts w:ascii="Arial" w:hAnsi="Arial" w:cs="Arial"/>
                <w:b/>
                <w:bCs/>
                <w:sz w:val="18"/>
                <w:szCs w:val="18"/>
                <w:lang w:val="el-GR"/>
              </w:rPr>
            </w:pPr>
            <w:r w:rsidRPr="00E0028A">
              <w:rPr>
                <w:rFonts w:ascii="Arial" w:hAnsi="Arial" w:cs="Arial"/>
                <w:b/>
                <w:bCs/>
                <w:sz w:val="18"/>
                <w:szCs w:val="18"/>
                <w:lang w:val="en-US"/>
              </w:rPr>
              <w:t>Εποπ</w:t>
            </w:r>
            <w:proofErr w:type="spellStart"/>
            <w:r w:rsidRPr="00E0028A">
              <w:rPr>
                <w:rFonts w:ascii="Arial" w:hAnsi="Arial" w:cs="Arial"/>
                <w:b/>
                <w:bCs/>
                <w:sz w:val="18"/>
                <w:szCs w:val="18"/>
                <w:lang w:val="en-US"/>
              </w:rPr>
              <w:t>τικά</w:t>
            </w:r>
            <w:proofErr w:type="spellEnd"/>
            <w:r w:rsidRPr="00E0028A">
              <w:rPr>
                <w:rFonts w:ascii="Arial" w:hAnsi="Arial" w:cs="Arial"/>
                <w:b/>
                <w:bCs/>
                <w:sz w:val="18"/>
                <w:szCs w:val="18"/>
                <w:lang w:val="en-US"/>
              </w:rPr>
              <w:t xml:space="preserve"> </w:t>
            </w:r>
            <w:proofErr w:type="spellStart"/>
            <w:r w:rsidRPr="00E0028A">
              <w:rPr>
                <w:rFonts w:ascii="Arial" w:hAnsi="Arial" w:cs="Arial"/>
                <w:b/>
                <w:bCs/>
                <w:sz w:val="18"/>
                <w:szCs w:val="18"/>
                <w:lang w:val="en-US"/>
              </w:rPr>
              <w:t>κεφάλ</w:t>
            </w:r>
            <w:proofErr w:type="spellEnd"/>
            <w:r w:rsidRPr="00E0028A">
              <w:rPr>
                <w:rFonts w:ascii="Arial" w:hAnsi="Arial" w:cs="Arial"/>
                <w:b/>
                <w:bCs/>
                <w:sz w:val="18"/>
                <w:szCs w:val="18"/>
                <w:lang w:val="en-US"/>
              </w:rPr>
              <w:t>αια</w:t>
            </w:r>
            <w:r w:rsidRPr="00E0028A">
              <w:rPr>
                <w:rFonts w:ascii="Arial" w:eastAsia="Batang" w:hAnsi="Arial" w:cs="Arial"/>
                <w:b/>
                <w:sz w:val="18"/>
                <w:szCs w:val="18"/>
                <w:lang w:eastAsia="el-GR"/>
              </w:rPr>
              <w:t xml:space="preserve"> </w:t>
            </w:r>
          </w:p>
        </w:tc>
        <w:tc>
          <w:tcPr>
            <w:tcW w:w="3244" w:type="dxa"/>
            <w:gridSpan w:val="2"/>
            <w:tcBorders>
              <w:bottom w:val="single" w:sz="4" w:space="0" w:color="C0C0C0"/>
            </w:tcBorders>
            <w:shd w:val="clear" w:color="auto" w:fill="auto"/>
            <w:vAlign w:val="center"/>
          </w:tcPr>
          <w:p w14:paraId="5DE4219A" w14:textId="77777777" w:rsidR="0056738E" w:rsidRPr="00A03828" w:rsidRDefault="0056738E" w:rsidP="007C2AEE">
            <w:pPr>
              <w:spacing w:after="0" w:line="240" w:lineRule="auto"/>
              <w:jc w:val="center"/>
              <w:rPr>
                <w:rFonts w:ascii="Arial" w:eastAsia="Batang" w:hAnsi="Arial" w:cs="Arial"/>
                <w:sz w:val="18"/>
                <w:szCs w:val="18"/>
                <w:lang w:val="el-GR" w:eastAsia="el-GR"/>
              </w:rPr>
            </w:pPr>
            <w:r w:rsidRPr="00A03828">
              <w:rPr>
                <w:rFonts w:ascii="Arial" w:eastAsia="Batang" w:hAnsi="Arial" w:cs="Arial"/>
                <w:b/>
                <w:sz w:val="18"/>
                <w:szCs w:val="18"/>
                <w:lang w:val="el-GR" w:eastAsia="el-GR"/>
              </w:rPr>
              <w:t>Συγκρότημα</w:t>
            </w:r>
          </w:p>
        </w:tc>
        <w:tc>
          <w:tcPr>
            <w:tcW w:w="3099" w:type="dxa"/>
            <w:gridSpan w:val="2"/>
            <w:tcBorders>
              <w:bottom w:val="single" w:sz="4" w:space="0" w:color="C0C0C0"/>
            </w:tcBorders>
            <w:vAlign w:val="center"/>
          </w:tcPr>
          <w:p w14:paraId="13E9E6D1" w14:textId="77777777" w:rsidR="0056738E" w:rsidRPr="00A03828" w:rsidRDefault="0056738E" w:rsidP="007C2AEE">
            <w:pPr>
              <w:spacing w:after="0" w:line="240" w:lineRule="auto"/>
              <w:jc w:val="center"/>
              <w:rPr>
                <w:rFonts w:ascii="Arial" w:eastAsia="Batang" w:hAnsi="Arial" w:cs="Arial"/>
                <w:b/>
                <w:sz w:val="18"/>
                <w:szCs w:val="18"/>
                <w:lang w:val="en-US" w:eastAsia="el-GR"/>
              </w:rPr>
            </w:pPr>
            <w:r w:rsidRPr="00A03828">
              <w:rPr>
                <w:rFonts w:ascii="Arial" w:eastAsia="Batang" w:hAnsi="Arial" w:cs="Arial"/>
                <w:b/>
                <w:sz w:val="18"/>
                <w:szCs w:val="18"/>
                <w:lang w:val="en-US" w:eastAsia="el-GR"/>
              </w:rPr>
              <w:t>BOC PCL</w:t>
            </w:r>
          </w:p>
        </w:tc>
      </w:tr>
      <w:tr w:rsidR="0056738E" w:rsidRPr="00A90D0C" w14:paraId="15053E88" w14:textId="77777777" w:rsidTr="007C2AEE">
        <w:trPr>
          <w:trHeight w:val="283"/>
          <w:jc w:val="center"/>
        </w:trPr>
        <w:tc>
          <w:tcPr>
            <w:tcW w:w="2978" w:type="dxa"/>
            <w:vMerge/>
            <w:shd w:val="clear" w:color="auto" w:fill="auto"/>
            <w:vAlign w:val="center"/>
          </w:tcPr>
          <w:p w14:paraId="6F375D7C" w14:textId="77777777" w:rsidR="0056738E" w:rsidRPr="00E0028A" w:rsidRDefault="0056738E" w:rsidP="007C2AEE">
            <w:pPr>
              <w:spacing w:after="0" w:line="240" w:lineRule="auto"/>
              <w:jc w:val="both"/>
              <w:rPr>
                <w:rFonts w:ascii="Arial" w:eastAsia="Batang" w:hAnsi="Arial" w:cs="Arial"/>
                <w:b/>
                <w:sz w:val="18"/>
                <w:szCs w:val="18"/>
                <w:lang w:eastAsia="el-GR"/>
              </w:rPr>
            </w:pPr>
          </w:p>
        </w:tc>
        <w:tc>
          <w:tcPr>
            <w:tcW w:w="1685" w:type="dxa"/>
            <w:tcBorders>
              <w:bottom w:val="single" w:sz="4" w:space="0" w:color="C0C0C0"/>
            </w:tcBorders>
            <w:shd w:val="clear" w:color="auto" w:fill="auto"/>
            <w:vAlign w:val="center"/>
          </w:tcPr>
          <w:p w14:paraId="3A0A3EC8" w14:textId="77777777" w:rsidR="0056738E" w:rsidRPr="00E0028A" w:rsidRDefault="0056738E" w:rsidP="007C2AEE">
            <w:pPr>
              <w:spacing w:after="0" w:line="240" w:lineRule="auto"/>
              <w:jc w:val="center"/>
              <w:rPr>
                <w:rFonts w:ascii="Arial" w:eastAsia="Batang" w:hAnsi="Arial" w:cs="Arial"/>
                <w:b/>
                <w:sz w:val="18"/>
                <w:szCs w:val="18"/>
                <w:lang w:val="el-GR" w:eastAsia="el-GR"/>
              </w:rPr>
            </w:pPr>
            <w:r w:rsidRPr="00E0028A">
              <w:rPr>
                <w:rFonts w:ascii="Arial" w:eastAsia="Batang" w:hAnsi="Arial" w:cs="Arial"/>
                <w:b/>
                <w:sz w:val="18"/>
                <w:szCs w:val="18"/>
                <w:lang w:val="el-GR" w:eastAsia="el-GR"/>
              </w:rPr>
              <w:t>3</w:t>
            </w:r>
            <w:r>
              <w:rPr>
                <w:rFonts w:ascii="Arial" w:eastAsia="Batang" w:hAnsi="Arial" w:cs="Arial"/>
                <w:b/>
                <w:sz w:val="18"/>
                <w:szCs w:val="18"/>
                <w:lang w:val="en-US" w:eastAsia="el-GR"/>
              </w:rPr>
              <w:t>0</w:t>
            </w:r>
            <w:r w:rsidRPr="00E0028A">
              <w:rPr>
                <w:rFonts w:ascii="Arial" w:eastAsia="Batang" w:hAnsi="Arial" w:cs="Arial"/>
                <w:b/>
                <w:sz w:val="18"/>
                <w:szCs w:val="18"/>
                <w:lang w:val="el-GR" w:eastAsia="el-GR"/>
              </w:rPr>
              <w:t xml:space="preserve"> </w:t>
            </w:r>
            <w:r w:rsidRPr="006A365D">
              <w:rPr>
                <w:rFonts w:ascii="Arial" w:hAnsi="Arial" w:cs="Arial"/>
                <w:b/>
                <w:color w:val="262626"/>
                <w:sz w:val="18"/>
                <w:szCs w:val="18"/>
                <w:lang w:val="el-GR"/>
              </w:rPr>
              <w:t>Σεπτεμβρίου</w:t>
            </w:r>
          </w:p>
          <w:p w14:paraId="36174551" w14:textId="77777777" w:rsidR="0056738E" w:rsidRPr="000B4F00" w:rsidRDefault="0056738E" w:rsidP="007C2AEE">
            <w:pPr>
              <w:spacing w:after="0" w:line="240" w:lineRule="auto"/>
              <w:jc w:val="center"/>
              <w:rPr>
                <w:rFonts w:ascii="Arial" w:eastAsia="Batang" w:hAnsi="Arial" w:cs="Arial"/>
                <w:b/>
                <w:bCs/>
                <w:sz w:val="18"/>
                <w:szCs w:val="18"/>
                <w:lang w:val="en-US" w:eastAsia="el-GR"/>
              </w:rPr>
            </w:pPr>
            <w:r w:rsidRPr="00E0028A">
              <w:rPr>
                <w:rFonts w:ascii="Arial" w:eastAsia="Batang" w:hAnsi="Arial" w:cs="Arial"/>
                <w:b/>
                <w:bCs/>
                <w:sz w:val="18"/>
                <w:szCs w:val="18"/>
                <w:lang w:eastAsia="el-GR"/>
              </w:rPr>
              <w:t>20</w:t>
            </w:r>
            <w:r w:rsidRPr="00E0028A">
              <w:rPr>
                <w:rFonts w:ascii="Arial" w:eastAsia="Batang" w:hAnsi="Arial" w:cs="Arial"/>
                <w:b/>
                <w:bCs/>
                <w:sz w:val="18"/>
                <w:szCs w:val="18"/>
                <w:lang w:val="el-GR" w:eastAsia="el-GR"/>
              </w:rPr>
              <w:t>24</w:t>
            </w:r>
            <w:r>
              <w:rPr>
                <w:rFonts w:ascii="Arial" w:eastAsia="Batang" w:hAnsi="Arial" w:cs="Arial"/>
                <w:b/>
                <w:bCs/>
                <w:sz w:val="18"/>
                <w:szCs w:val="18"/>
                <w:vertAlign w:val="superscript"/>
                <w:lang w:val="en-US" w:eastAsia="el-GR"/>
              </w:rPr>
              <w:t>1</w:t>
            </w:r>
          </w:p>
        </w:tc>
        <w:tc>
          <w:tcPr>
            <w:tcW w:w="1559" w:type="dxa"/>
            <w:tcBorders>
              <w:bottom w:val="single" w:sz="4" w:space="0" w:color="C0C0C0"/>
            </w:tcBorders>
            <w:shd w:val="clear" w:color="auto" w:fill="auto"/>
            <w:vAlign w:val="center"/>
          </w:tcPr>
          <w:p w14:paraId="35CAF2EB" w14:textId="77777777" w:rsidR="0056738E" w:rsidRPr="00A03828" w:rsidRDefault="0056738E" w:rsidP="007C2AEE">
            <w:pPr>
              <w:spacing w:after="0" w:line="240" w:lineRule="auto"/>
              <w:jc w:val="center"/>
              <w:rPr>
                <w:rFonts w:ascii="Arial" w:eastAsia="Batang" w:hAnsi="Arial" w:cs="Arial"/>
                <w:sz w:val="18"/>
                <w:szCs w:val="18"/>
                <w:lang w:val="el-GR" w:eastAsia="el-GR"/>
              </w:rPr>
            </w:pPr>
            <w:r w:rsidRPr="00E0028A">
              <w:rPr>
                <w:rFonts w:ascii="Arial" w:eastAsia="Batang" w:hAnsi="Arial" w:cs="Arial"/>
                <w:sz w:val="18"/>
                <w:szCs w:val="18"/>
                <w:lang w:eastAsia="el-GR"/>
              </w:rPr>
              <w:t xml:space="preserve">31 </w:t>
            </w:r>
            <w:r w:rsidRPr="00E0028A">
              <w:rPr>
                <w:rFonts w:ascii="Arial" w:eastAsia="Batang" w:hAnsi="Arial" w:cs="Arial"/>
                <w:sz w:val="18"/>
                <w:szCs w:val="18"/>
                <w:lang w:val="el-GR" w:eastAsia="el-GR"/>
              </w:rPr>
              <w:t>Δεκεμβρίου</w:t>
            </w:r>
            <w:r w:rsidRPr="00E0028A">
              <w:rPr>
                <w:rFonts w:ascii="Arial" w:eastAsia="Batang" w:hAnsi="Arial" w:cs="Arial"/>
                <w:sz w:val="18"/>
                <w:szCs w:val="18"/>
                <w:lang w:eastAsia="el-GR"/>
              </w:rPr>
              <w:t xml:space="preserve"> 20</w:t>
            </w:r>
            <w:r w:rsidRPr="00E0028A">
              <w:rPr>
                <w:rFonts w:ascii="Arial" w:eastAsia="Batang" w:hAnsi="Arial" w:cs="Arial"/>
                <w:sz w:val="18"/>
                <w:szCs w:val="18"/>
                <w:lang w:val="el-GR" w:eastAsia="el-GR"/>
              </w:rPr>
              <w:t>23</w:t>
            </w:r>
            <w:r>
              <w:rPr>
                <w:rFonts w:ascii="Arial" w:eastAsia="Batang" w:hAnsi="Arial" w:cs="Arial"/>
                <w:sz w:val="18"/>
                <w:szCs w:val="18"/>
                <w:vertAlign w:val="superscript"/>
                <w:lang w:val="el-GR" w:eastAsia="el-GR"/>
              </w:rPr>
              <w:t>3</w:t>
            </w:r>
          </w:p>
        </w:tc>
        <w:tc>
          <w:tcPr>
            <w:tcW w:w="1701" w:type="dxa"/>
            <w:tcBorders>
              <w:bottom w:val="single" w:sz="4" w:space="0" w:color="C0C0C0"/>
            </w:tcBorders>
            <w:vAlign w:val="center"/>
          </w:tcPr>
          <w:p w14:paraId="45D5E794" w14:textId="77777777" w:rsidR="0056738E" w:rsidRPr="00E0028A" w:rsidRDefault="0056738E" w:rsidP="007C2AEE">
            <w:pPr>
              <w:spacing w:after="0" w:line="240" w:lineRule="auto"/>
              <w:ind w:left="-69"/>
              <w:jc w:val="center"/>
              <w:rPr>
                <w:rFonts w:ascii="Arial" w:eastAsia="Batang" w:hAnsi="Arial" w:cs="Arial"/>
                <w:b/>
                <w:sz w:val="18"/>
                <w:szCs w:val="18"/>
                <w:lang w:val="el-GR" w:eastAsia="el-GR"/>
              </w:rPr>
            </w:pPr>
            <w:r w:rsidRPr="00E0028A">
              <w:rPr>
                <w:rFonts w:ascii="Arial" w:eastAsia="Batang" w:hAnsi="Arial" w:cs="Arial"/>
                <w:b/>
                <w:sz w:val="18"/>
                <w:szCs w:val="18"/>
                <w:lang w:val="el-GR" w:eastAsia="el-GR"/>
              </w:rPr>
              <w:t>3</w:t>
            </w:r>
            <w:r>
              <w:rPr>
                <w:rFonts w:ascii="Arial" w:eastAsia="Batang" w:hAnsi="Arial" w:cs="Arial"/>
                <w:b/>
                <w:sz w:val="18"/>
                <w:szCs w:val="18"/>
                <w:lang w:val="en-US" w:eastAsia="el-GR"/>
              </w:rPr>
              <w:t>0</w:t>
            </w:r>
            <w:r w:rsidRPr="00E0028A">
              <w:rPr>
                <w:rFonts w:ascii="Arial" w:eastAsia="Batang" w:hAnsi="Arial" w:cs="Arial"/>
                <w:b/>
                <w:sz w:val="18"/>
                <w:szCs w:val="18"/>
                <w:lang w:val="el-GR" w:eastAsia="el-GR"/>
              </w:rPr>
              <w:t xml:space="preserve"> </w:t>
            </w:r>
            <w:r w:rsidRPr="006A365D">
              <w:rPr>
                <w:rFonts w:ascii="Arial" w:hAnsi="Arial" w:cs="Arial"/>
                <w:b/>
                <w:color w:val="262626"/>
                <w:sz w:val="18"/>
                <w:szCs w:val="18"/>
                <w:lang w:val="el-GR"/>
              </w:rPr>
              <w:t>Σεπτεμβρίου</w:t>
            </w:r>
          </w:p>
          <w:p w14:paraId="3A21FA2C" w14:textId="77777777" w:rsidR="0056738E" w:rsidRPr="00A03828" w:rsidRDefault="0056738E" w:rsidP="007C2AEE">
            <w:pPr>
              <w:spacing w:after="0" w:line="240" w:lineRule="auto"/>
              <w:ind w:left="-69"/>
              <w:jc w:val="center"/>
              <w:rPr>
                <w:rFonts w:ascii="Arial" w:hAnsi="Arial" w:cs="Arial"/>
                <w:b/>
                <w:sz w:val="18"/>
                <w:szCs w:val="18"/>
                <w:lang w:val="el-GR" w:eastAsia="el-GR"/>
              </w:rPr>
            </w:pPr>
            <w:r w:rsidRPr="00E0028A">
              <w:rPr>
                <w:rFonts w:ascii="Arial" w:eastAsia="Batang" w:hAnsi="Arial" w:cs="Arial"/>
                <w:b/>
                <w:bCs/>
                <w:sz w:val="18"/>
                <w:szCs w:val="18"/>
                <w:lang w:eastAsia="el-GR"/>
              </w:rPr>
              <w:t>20</w:t>
            </w:r>
            <w:r w:rsidRPr="00E0028A">
              <w:rPr>
                <w:rFonts w:ascii="Arial" w:eastAsia="Batang" w:hAnsi="Arial" w:cs="Arial"/>
                <w:b/>
                <w:bCs/>
                <w:sz w:val="18"/>
                <w:szCs w:val="18"/>
                <w:lang w:val="el-GR" w:eastAsia="el-GR"/>
              </w:rPr>
              <w:t>24</w:t>
            </w:r>
            <w:r>
              <w:rPr>
                <w:rFonts w:ascii="Arial" w:eastAsia="Batang" w:hAnsi="Arial" w:cs="Arial"/>
                <w:b/>
                <w:bCs/>
                <w:sz w:val="18"/>
                <w:szCs w:val="18"/>
                <w:vertAlign w:val="superscript"/>
                <w:lang w:val="el-GR" w:eastAsia="el-GR"/>
              </w:rPr>
              <w:t>2</w:t>
            </w:r>
          </w:p>
        </w:tc>
        <w:tc>
          <w:tcPr>
            <w:tcW w:w="1398" w:type="dxa"/>
            <w:tcBorders>
              <w:bottom w:val="single" w:sz="4" w:space="0" w:color="C0C0C0"/>
            </w:tcBorders>
          </w:tcPr>
          <w:p w14:paraId="448748EB" w14:textId="77777777" w:rsidR="0056738E" w:rsidRPr="000B4F00" w:rsidRDefault="0056738E" w:rsidP="007C2AEE">
            <w:pPr>
              <w:spacing w:after="0" w:line="240" w:lineRule="auto"/>
              <w:jc w:val="center"/>
              <w:rPr>
                <w:rFonts w:ascii="Arial" w:eastAsia="Batang" w:hAnsi="Arial" w:cs="Arial"/>
                <w:sz w:val="18"/>
                <w:szCs w:val="18"/>
                <w:lang w:val="en-US" w:eastAsia="el-GR"/>
              </w:rPr>
            </w:pPr>
            <w:r w:rsidRPr="00E0028A">
              <w:rPr>
                <w:rFonts w:ascii="Arial" w:eastAsia="Batang" w:hAnsi="Arial" w:cs="Arial"/>
                <w:sz w:val="18"/>
                <w:szCs w:val="18"/>
                <w:lang w:eastAsia="el-GR"/>
              </w:rPr>
              <w:t xml:space="preserve">31 </w:t>
            </w:r>
            <w:r w:rsidRPr="00E0028A">
              <w:rPr>
                <w:rFonts w:ascii="Arial" w:eastAsia="Batang" w:hAnsi="Arial" w:cs="Arial"/>
                <w:sz w:val="18"/>
                <w:szCs w:val="18"/>
                <w:lang w:val="el-GR" w:eastAsia="el-GR"/>
              </w:rPr>
              <w:t>Δεκεμβρίου</w:t>
            </w:r>
            <w:r w:rsidRPr="00E0028A">
              <w:rPr>
                <w:rFonts w:ascii="Arial" w:eastAsia="Batang" w:hAnsi="Arial" w:cs="Arial"/>
                <w:sz w:val="18"/>
                <w:szCs w:val="18"/>
                <w:lang w:eastAsia="el-GR"/>
              </w:rPr>
              <w:t xml:space="preserve"> 20</w:t>
            </w:r>
            <w:r w:rsidRPr="00E0028A">
              <w:rPr>
                <w:rFonts w:ascii="Arial" w:eastAsia="Batang" w:hAnsi="Arial" w:cs="Arial"/>
                <w:sz w:val="18"/>
                <w:szCs w:val="18"/>
                <w:lang w:val="el-GR" w:eastAsia="el-GR"/>
              </w:rPr>
              <w:t>23</w:t>
            </w:r>
            <w:r w:rsidRPr="00A03828">
              <w:rPr>
                <w:rFonts w:ascii="Arial" w:eastAsia="Batang" w:hAnsi="Arial" w:cs="Arial"/>
                <w:sz w:val="18"/>
                <w:szCs w:val="18"/>
                <w:vertAlign w:val="superscript"/>
                <w:lang w:val="el-GR" w:eastAsia="el-GR"/>
              </w:rPr>
              <w:t>3</w:t>
            </w:r>
          </w:p>
        </w:tc>
      </w:tr>
      <w:tr w:rsidR="0056738E" w:rsidRPr="00A90D0C" w14:paraId="5BA6893A" w14:textId="77777777" w:rsidTr="007C2AEE">
        <w:trPr>
          <w:trHeight w:val="283"/>
          <w:jc w:val="center"/>
        </w:trPr>
        <w:tc>
          <w:tcPr>
            <w:tcW w:w="2978" w:type="dxa"/>
            <w:vMerge/>
            <w:shd w:val="clear" w:color="auto" w:fill="auto"/>
            <w:vAlign w:val="center"/>
          </w:tcPr>
          <w:p w14:paraId="053CB51C" w14:textId="77777777" w:rsidR="0056738E" w:rsidRPr="00E0028A" w:rsidRDefault="0056738E" w:rsidP="007C2AEE">
            <w:pPr>
              <w:spacing w:after="0" w:line="240" w:lineRule="auto"/>
              <w:jc w:val="both"/>
              <w:rPr>
                <w:rFonts w:ascii="Arial" w:eastAsia="Batang" w:hAnsi="Arial" w:cs="Arial"/>
                <w:sz w:val="18"/>
                <w:szCs w:val="18"/>
                <w:lang w:eastAsia="el-GR"/>
              </w:rPr>
            </w:pPr>
          </w:p>
        </w:tc>
        <w:tc>
          <w:tcPr>
            <w:tcW w:w="1685" w:type="dxa"/>
            <w:tcBorders>
              <w:bottom w:val="single" w:sz="4" w:space="0" w:color="C0C0C0"/>
            </w:tcBorders>
            <w:shd w:val="clear" w:color="auto" w:fill="auto"/>
            <w:vAlign w:val="center"/>
          </w:tcPr>
          <w:p w14:paraId="04FCB483" w14:textId="77777777" w:rsidR="0056738E" w:rsidRPr="00E0028A" w:rsidRDefault="0056738E" w:rsidP="007C2AEE">
            <w:pPr>
              <w:spacing w:after="0" w:line="240" w:lineRule="auto"/>
              <w:jc w:val="center"/>
              <w:rPr>
                <w:rFonts w:ascii="Arial" w:eastAsia="Batang" w:hAnsi="Arial" w:cs="Arial"/>
                <w:b/>
                <w:sz w:val="18"/>
                <w:szCs w:val="18"/>
                <w:lang w:eastAsia="el-GR"/>
              </w:rPr>
            </w:pPr>
            <w:r w:rsidRPr="00E0028A">
              <w:rPr>
                <w:rFonts w:ascii="Arial" w:eastAsia="Batang" w:hAnsi="Arial" w:cs="Arial"/>
                <w:b/>
                <w:sz w:val="18"/>
                <w:szCs w:val="18"/>
                <w:lang w:eastAsia="el-GR"/>
              </w:rPr>
              <w:t>€000</w:t>
            </w:r>
          </w:p>
        </w:tc>
        <w:tc>
          <w:tcPr>
            <w:tcW w:w="1559" w:type="dxa"/>
            <w:tcBorders>
              <w:bottom w:val="single" w:sz="4" w:space="0" w:color="C0C0C0"/>
            </w:tcBorders>
            <w:shd w:val="clear" w:color="auto" w:fill="auto"/>
            <w:vAlign w:val="center"/>
          </w:tcPr>
          <w:p w14:paraId="6DA5C80C" w14:textId="77777777" w:rsidR="0056738E" w:rsidRPr="00E0028A" w:rsidRDefault="0056738E" w:rsidP="007C2AEE">
            <w:pPr>
              <w:spacing w:after="0" w:line="240" w:lineRule="auto"/>
              <w:ind w:right="6"/>
              <w:jc w:val="center"/>
              <w:rPr>
                <w:rFonts w:ascii="Arial" w:eastAsia="Batang" w:hAnsi="Arial" w:cs="Arial"/>
                <w:sz w:val="18"/>
                <w:szCs w:val="18"/>
                <w:lang w:eastAsia="el-GR"/>
              </w:rPr>
            </w:pPr>
            <w:r w:rsidRPr="00E0028A">
              <w:rPr>
                <w:rFonts w:ascii="Arial" w:eastAsia="Batang" w:hAnsi="Arial" w:cs="Arial"/>
                <w:sz w:val="18"/>
                <w:szCs w:val="18"/>
                <w:lang w:eastAsia="el-GR"/>
              </w:rPr>
              <w:t>€000</w:t>
            </w:r>
          </w:p>
        </w:tc>
        <w:tc>
          <w:tcPr>
            <w:tcW w:w="1701" w:type="dxa"/>
            <w:tcBorders>
              <w:bottom w:val="single" w:sz="4" w:space="0" w:color="C0C0C0"/>
            </w:tcBorders>
            <w:vAlign w:val="center"/>
          </w:tcPr>
          <w:p w14:paraId="0BF878FC" w14:textId="77777777" w:rsidR="0056738E" w:rsidRPr="00E0028A" w:rsidRDefault="0056738E" w:rsidP="007C2AEE">
            <w:pPr>
              <w:spacing w:after="0" w:line="240" w:lineRule="auto"/>
              <w:jc w:val="center"/>
              <w:rPr>
                <w:rFonts w:ascii="Arial" w:hAnsi="Arial" w:cs="Arial"/>
                <w:b/>
                <w:sz w:val="18"/>
                <w:szCs w:val="18"/>
                <w:lang w:eastAsia="el-GR"/>
              </w:rPr>
            </w:pPr>
            <w:r w:rsidRPr="00E0028A">
              <w:rPr>
                <w:rFonts w:ascii="Arial" w:hAnsi="Arial" w:cs="Arial"/>
                <w:b/>
                <w:sz w:val="18"/>
                <w:szCs w:val="18"/>
                <w:lang w:eastAsia="el-GR"/>
              </w:rPr>
              <w:t>€000</w:t>
            </w:r>
          </w:p>
        </w:tc>
        <w:tc>
          <w:tcPr>
            <w:tcW w:w="1398" w:type="dxa"/>
            <w:tcBorders>
              <w:bottom w:val="single" w:sz="4" w:space="0" w:color="C0C0C0"/>
            </w:tcBorders>
            <w:vAlign w:val="center"/>
          </w:tcPr>
          <w:p w14:paraId="56462281" w14:textId="77777777" w:rsidR="0056738E" w:rsidRPr="00E0028A" w:rsidRDefault="0056738E" w:rsidP="007C2AEE">
            <w:pPr>
              <w:spacing w:after="0" w:line="240" w:lineRule="auto"/>
              <w:jc w:val="center"/>
              <w:rPr>
                <w:rFonts w:ascii="Arial" w:hAnsi="Arial" w:cs="Arial"/>
                <w:sz w:val="18"/>
                <w:szCs w:val="18"/>
                <w:lang w:eastAsia="el-GR"/>
              </w:rPr>
            </w:pPr>
            <w:r w:rsidRPr="00E0028A">
              <w:rPr>
                <w:rFonts w:ascii="Arial" w:hAnsi="Arial" w:cs="Arial"/>
                <w:sz w:val="18"/>
                <w:szCs w:val="18"/>
                <w:lang w:eastAsia="el-GR"/>
              </w:rPr>
              <w:t>€000</w:t>
            </w:r>
          </w:p>
        </w:tc>
      </w:tr>
      <w:tr w:rsidR="0056738E" w:rsidRPr="00A90D0C" w14:paraId="4143A2B9" w14:textId="77777777" w:rsidTr="007C2AEE">
        <w:trPr>
          <w:trHeight w:val="227"/>
          <w:jc w:val="center"/>
        </w:trPr>
        <w:tc>
          <w:tcPr>
            <w:tcW w:w="2978" w:type="dxa"/>
            <w:shd w:val="clear" w:color="auto" w:fill="auto"/>
            <w:vAlign w:val="center"/>
          </w:tcPr>
          <w:p w14:paraId="1EEB5229" w14:textId="77777777" w:rsidR="0056738E" w:rsidRPr="00E0028A" w:rsidRDefault="0056738E" w:rsidP="007C2AEE">
            <w:pPr>
              <w:spacing w:after="0" w:line="240" w:lineRule="auto"/>
              <w:rPr>
                <w:rFonts w:ascii="Arial" w:eastAsia="Batang" w:hAnsi="Arial" w:cs="Arial"/>
                <w:sz w:val="18"/>
                <w:szCs w:val="18"/>
                <w:lang w:val="el-GR" w:eastAsia="el-GR"/>
              </w:rPr>
            </w:pPr>
            <w:r w:rsidRPr="00E0028A">
              <w:rPr>
                <w:rFonts w:ascii="Arial" w:hAnsi="Arial" w:cs="Arial"/>
                <w:sz w:val="18"/>
                <w:szCs w:val="18"/>
                <w:lang w:val="el-GR"/>
              </w:rPr>
              <w:t xml:space="preserve">Μεταβατικά Κεφάλαια Κοινών Μετοχών Κατηγορίας 1 </w:t>
            </w:r>
            <w:r w:rsidRPr="00E0028A">
              <w:rPr>
                <w:rFonts w:ascii="Arial" w:eastAsia="Batang" w:hAnsi="Arial" w:cs="Arial"/>
                <w:sz w:val="18"/>
                <w:szCs w:val="18"/>
                <w:lang w:val="el-GR" w:eastAsia="el-GR"/>
              </w:rPr>
              <w:t>(</w:t>
            </w:r>
            <w:r w:rsidRPr="00E0028A">
              <w:rPr>
                <w:rFonts w:ascii="Arial" w:eastAsia="Batang" w:hAnsi="Arial" w:cs="Arial"/>
                <w:sz w:val="18"/>
                <w:szCs w:val="18"/>
                <w:lang w:eastAsia="el-GR"/>
              </w:rPr>
              <w:t>CET</w:t>
            </w:r>
            <w:r w:rsidRPr="00E0028A">
              <w:rPr>
                <w:rFonts w:ascii="Arial" w:eastAsia="Batang" w:hAnsi="Arial" w:cs="Arial"/>
                <w:sz w:val="18"/>
                <w:szCs w:val="18"/>
                <w:lang w:val="el-GR" w:eastAsia="el-GR"/>
              </w:rPr>
              <w:t>1</w:t>
            </w:r>
            <w:r w:rsidRPr="00E0028A">
              <w:rPr>
                <w:rFonts w:ascii="Arial" w:eastAsia="Batang" w:hAnsi="Arial" w:cs="Arial"/>
                <w:sz w:val="18"/>
                <w:szCs w:val="18"/>
                <w:lang w:val="el-GR" w:eastAsia="en-US"/>
              </w:rPr>
              <w:t>)</w:t>
            </w:r>
            <w:r>
              <w:rPr>
                <w:rFonts w:ascii="Arial" w:eastAsia="Batang" w:hAnsi="Arial" w:cs="Arial"/>
                <w:sz w:val="18"/>
                <w:szCs w:val="18"/>
                <w:vertAlign w:val="superscript"/>
                <w:lang w:val="el-GR" w:eastAsia="en-US"/>
              </w:rPr>
              <w:t>4</w:t>
            </w:r>
          </w:p>
        </w:tc>
        <w:tc>
          <w:tcPr>
            <w:tcW w:w="1685" w:type="dxa"/>
            <w:tcBorders>
              <w:top w:val="single" w:sz="4" w:space="0" w:color="C0C0C0"/>
              <w:bottom w:val="single" w:sz="4" w:space="0" w:color="C0C0C0"/>
            </w:tcBorders>
            <w:shd w:val="clear" w:color="auto" w:fill="auto"/>
            <w:vAlign w:val="center"/>
          </w:tcPr>
          <w:p w14:paraId="44BBAB70" w14:textId="77777777" w:rsidR="0056738E" w:rsidRPr="007C4796" w:rsidRDefault="0056738E" w:rsidP="007C2AEE">
            <w:pPr>
              <w:spacing w:after="0" w:line="240" w:lineRule="auto"/>
              <w:jc w:val="right"/>
              <w:rPr>
                <w:rFonts w:ascii="Arial" w:eastAsia="Batang" w:hAnsi="Arial" w:cs="Arial"/>
                <w:b/>
                <w:sz w:val="18"/>
                <w:szCs w:val="18"/>
                <w:lang w:val="el-GR" w:eastAsia="en-US"/>
              </w:rPr>
            </w:pPr>
            <w:r>
              <w:rPr>
                <w:rFonts w:ascii="Arial" w:eastAsia="Batang" w:hAnsi="Arial" w:cs="Arial"/>
                <w:b/>
                <w:sz w:val="18"/>
                <w:szCs w:val="18"/>
                <w:lang w:val="en-US" w:eastAsia="en-US"/>
              </w:rPr>
              <w:t>1,937,067</w:t>
            </w:r>
          </w:p>
        </w:tc>
        <w:tc>
          <w:tcPr>
            <w:tcW w:w="1559" w:type="dxa"/>
            <w:tcBorders>
              <w:top w:val="single" w:sz="4" w:space="0" w:color="C0C0C0"/>
              <w:bottom w:val="single" w:sz="4" w:space="0" w:color="C0C0C0"/>
            </w:tcBorders>
            <w:shd w:val="clear" w:color="auto" w:fill="auto"/>
            <w:vAlign w:val="center"/>
          </w:tcPr>
          <w:p w14:paraId="6EACB888"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val="en-US" w:eastAsia="en-US"/>
              </w:rPr>
              <w:t>1,798,015</w:t>
            </w:r>
          </w:p>
        </w:tc>
        <w:tc>
          <w:tcPr>
            <w:tcW w:w="1701" w:type="dxa"/>
            <w:tcBorders>
              <w:top w:val="single" w:sz="4" w:space="0" w:color="C0C0C0"/>
              <w:bottom w:val="single" w:sz="4" w:space="0" w:color="C0C0C0"/>
            </w:tcBorders>
            <w:shd w:val="clear" w:color="auto" w:fill="auto"/>
            <w:vAlign w:val="center"/>
          </w:tcPr>
          <w:p w14:paraId="7330393B"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val="en-US" w:eastAsia="en-US"/>
              </w:rPr>
              <w:t>1</w:t>
            </w:r>
            <w:r>
              <w:rPr>
                <w:rFonts w:ascii="Arial" w:eastAsia="Batang" w:hAnsi="Arial" w:cs="Arial"/>
                <w:b/>
                <w:sz w:val="18"/>
                <w:szCs w:val="18"/>
                <w:lang w:val="el-GR" w:eastAsia="en-US"/>
              </w:rPr>
              <w:t>,</w:t>
            </w:r>
            <w:r>
              <w:rPr>
                <w:rFonts w:ascii="Arial" w:eastAsia="Batang" w:hAnsi="Arial" w:cs="Arial"/>
                <w:b/>
                <w:sz w:val="18"/>
                <w:szCs w:val="18"/>
                <w:lang w:val="en-US" w:eastAsia="en-US"/>
              </w:rPr>
              <w:t>898</w:t>
            </w:r>
            <w:r>
              <w:rPr>
                <w:rFonts w:ascii="Arial" w:eastAsia="Batang" w:hAnsi="Arial" w:cs="Arial"/>
                <w:b/>
                <w:sz w:val="18"/>
                <w:szCs w:val="18"/>
                <w:lang w:val="el-GR" w:eastAsia="en-US"/>
              </w:rPr>
              <w:t>,</w:t>
            </w:r>
            <w:r>
              <w:rPr>
                <w:rFonts w:ascii="Arial" w:eastAsia="Batang" w:hAnsi="Arial" w:cs="Arial"/>
                <w:b/>
                <w:sz w:val="18"/>
                <w:szCs w:val="18"/>
                <w:lang w:val="en-US" w:eastAsia="en-US"/>
              </w:rPr>
              <w:t>081</w:t>
            </w:r>
          </w:p>
        </w:tc>
        <w:tc>
          <w:tcPr>
            <w:tcW w:w="1398" w:type="dxa"/>
            <w:tcBorders>
              <w:top w:val="single" w:sz="4" w:space="0" w:color="C0C0C0"/>
              <w:bottom w:val="single" w:sz="4" w:space="0" w:color="C0C0C0"/>
            </w:tcBorders>
            <w:shd w:val="clear" w:color="auto" w:fill="auto"/>
            <w:vAlign w:val="center"/>
          </w:tcPr>
          <w:p w14:paraId="1C108825"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val="en-US" w:eastAsia="en-US"/>
              </w:rPr>
              <w:t>1,766,707</w:t>
            </w:r>
          </w:p>
        </w:tc>
      </w:tr>
      <w:tr w:rsidR="0056738E" w:rsidRPr="00A90D0C" w14:paraId="129A3C8C" w14:textId="77777777" w:rsidTr="007C2AEE">
        <w:trPr>
          <w:trHeight w:val="227"/>
          <w:jc w:val="center"/>
        </w:trPr>
        <w:tc>
          <w:tcPr>
            <w:tcW w:w="2978" w:type="dxa"/>
            <w:shd w:val="clear" w:color="auto" w:fill="auto"/>
            <w:vAlign w:val="center"/>
          </w:tcPr>
          <w:p w14:paraId="5AC65E49" w14:textId="77777777" w:rsidR="0056738E" w:rsidRPr="00E0028A" w:rsidRDefault="0056738E" w:rsidP="007C2AEE">
            <w:pPr>
              <w:spacing w:after="0" w:line="240" w:lineRule="auto"/>
              <w:rPr>
                <w:rFonts w:ascii="Arial" w:hAnsi="Arial" w:cs="Arial"/>
                <w:sz w:val="18"/>
                <w:szCs w:val="18"/>
                <w:lang w:val="el-GR"/>
              </w:rPr>
            </w:pPr>
            <w:r w:rsidRPr="00E0028A">
              <w:rPr>
                <w:rFonts w:ascii="Arial" w:hAnsi="Arial" w:cs="Arial"/>
                <w:sz w:val="18"/>
                <w:szCs w:val="18"/>
                <w:lang w:val="el-GR"/>
              </w:rPr>
              <w:t>Πρόσθετα Μεταβατικά Κεφάλαια Κατηγορίας 1 (ΑΤ1)</w:t>
            </w:r>
          </w:p>
        </w:tc>
        <w:tc>
          <w:tcPr>
            <w:tcW w:w="1685" w:type="dxa"/>
            <w:tcBorders>
              <w:top w:val="single" w:sz="4" w:space="0" w:color="C0C0C0"/>
              <w:bottom w:val="single" w:sz="4" w:space="0" w:color="C0C0C0"/>
            </w:tcBorders>
            <w:shd w:val="clear" w:color="auto" w:fill="auto"/>
            <w:vAlign w:val="center"/>
          </w:tcPr>
          <w:p w14:paraId="071BF083" w14:textId="77777777" w:rsidR="0056738E" w:rsidRPr="007C4796" w:rsidRDefault="0056738E" w:rsidP="007C2AEE">
            <w:pPr>
              <w:spacing w:after="0" w:line="240" w:lineRule="auto"/>
              <w:jc w:val="right"/>
              <w:rPr>
                <w:rFonts w:ascii="Arial" w:eastAsia="Batang" w:hAnsi="Arial" w:cs="Arial"/>
                <w:b/>
                <w:sz w:val="18"/>
                <w:szCs w:val="18"/>
                <w:lang w:val="el-GR" w:eastAsia="en-US"/>
              </w:rPr>
            </w:pPr>
            <w:r>
              <w:rPr>
                <w:rFonts w:ascii="Arial" w:eastAsia="Batang" w:hAnsi="Arial" w:cs="Arial"/>
                <w:b/>
                <w:sz w:val="18"/>
                <w:szCs w:val="18"/>
                <w:lang w:val="en-US" w:eastAsia="en-US"/>
              </w:rPr>
              <w:t>220,000</w:t>
            </w:r>
          </w:p>
        </w:tc>
        <w:tc>
          <w:tcPr>
            <w:tcW w:w="1559" w:type="dxa"/>
            <w:tcBorders>
              <w:top w:val="single" w:sz="4" w:space="0" w:color="C0C0C0"/>
              <w:bottom w:val="single" w:sz="4" w:space="0" w:color="C0C0C0"/>
            </w:tcBorders>
            <w:shd w:val="clear" w:color="auto" w:fill="auto"/>
            <w:vAlign w:val="center"/>
          </w:tcPr>
          <w:p w14:paraId="55E68AD6"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val="en-US" w:eastAsia="en-US"/>
              </w:rPr>
              <w:t>220,000</w:t>
            </w:r>
          </w:p>
        </w:tc>
        <w:tc>
          <w:tcPr>
            <w:tcW w:w="1701" w:type="dxa"/>
            <w:tcBorders>
              <w:top w:val="single" w:sz="4" w:space="0" w:color="C0C0C0"/>
              <w:bottom w:val="single" w:sz="4" w:space="0" w:color="C0C0C0"/>
            </w:tcBorders>
            <w:shd w:val="clear" w:color="auto" w:fill="auto"/>
            <w:vAlign w:val="center"/>
          </w:tcPr>
          <w:p w14:paraId="086904E5"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val="en-US" w:eastAsia="en-US"/>
              </w:rPr>
              <w:t>220,000</w:t>
            </w:r>
          </w:p>
        </w:tc>
        <w:tc>
          <w:tcPr>
            <w:tcW w:w="1398" w:type="dxa"/>
            <w:tcBorders>
              <w:top w:val="single" w:sz="4" w:space="0" w:color="C0C0C0"/>
              <w:bottom w:val="single" w:sz="4" w:space="0" w:color="C0C0C0"/>
            </w:tcBorders>
            <w:shd w:val="clear" w:color="auto" w:fill="auto"/>
            <w:vAlign w:val="center"/>
          </w:tcPr>
          <w:p w14:paraId="3FED6DCE"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eastAsia="en-US"/>
              </w:rPr>
              <w:t>220,000</w:t>
            </w:r>
          </w:p>
        </w:tc>
      </w:tr>
      <w:tr w:rsidR="0056738E" w:rsidRPr="00A90D0C" w14:paraId="1546E696" w14:textId="77777777" w:rsidTr="007C2AEE">
        <w:trPr>
          <w:trHeight w:val="255"/>
          <w:jc w:val="center"/>
        </w:trPr>
        <w:tc>
          <w:tcPr>
            <w:tcW w:w="2978" w:type="dxa"/>
            <w:shd w:val="clear" w:color="auto" w:fill="auto"/>
            <w:vAlign w:val="center"/>
          </w:tcPr>
          <w:p w14:paraId="42118FFD" w14:textId="77777777" w:rsidR="0056738E" w:rsidRPr="00E0028A" w:rsidRDefault="0056738E" w:rsidP="007C2AEE">
            <w:pPr>
              <w:spacing w:after="0" w:line="240" w:lineRule="auto"/>
              <w:rPr>
                <w:rFonts w:ascii="Arial" w:eastAsia="Batang" w:hAnsi="Arial" w:cs="Arial"/>
                <w:sz w:val="18"/>
                <w:szCs w:val="18"/>
                <w:lang w:eastAsia="el-GR"/>
              </w:rPr>
            </w:pPr>
            <w:r w:rsidRPr="00E0028A">
              <w:rPr>
                <w:rFonts w:ascii="Arial" w:hAnsi="Arial" w:cs="Arial"/>
                <w:sz w:val="18"/>
                <w:szCs w:val="18"/>
                <w:lang w:val="el-GR"/>
              </w:rPr>
              <w:t>Κεφάλαια Κατηγορίας 2 (Τ2)</w:t>
            </w:r>
          </w:p>
        </w:tc>
        <w:tc>
          <w:tcPr>
            <w:tcW w:w="1685" w:type="dxa"/>
            <w:tcBorders>
              <w:top w:val="single" w:sz="4" w:space="0" w:color="C0C0C0"/>
              <w:bottom w:val="single" w:sz="6" w:space="0" w:color="000000"/>
            </w:tcBorders>
            <w:shd w:val="clear" w:color="auto" w:fill="auto"/>
            <w:vAlign w:val="center"/>
          </w:tcPr>
          <w:p w14:paraId="36CDC18A"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val="en-US" w:eastAsia="en-US"/>
              </w:rPr>
              <w:t>321,755</w:t>
            </w:r>
          </w:p>
        </w:tc>
        <w:tc>
          <w:tcPr>
            <w:tcW w:w="1559" w:type="dxa"/>
            <w:tcBorders>
              <w:top w:val="single" w:sz="4" w:space="0" w:color="C0C0C0"/>
              <w:bottom w:val="single" w:sz="6" w:space="0" w:color="000000"/>
            </w:tcBorders>
            <w:shd w:val="clear" w:color="auto" w:fill="auto"/>
            <w:vAlign w:val="center"/>
          </w:tcPr>
          <w:p w14:paraId="0E86A2CD"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val="en-US" w:eastAsia="en-US"/>
              </w:rPr>
              <w:t>300,000</w:t>
            </w:r>
          </w:p>
        </w:tc>
        <w:tc>
          <w:tcPr>
            <w:tcW w:w="1701" w:type="dxa"/>
            <w:tcBorders>
              <w:top w:val="single" w:sz="4" w:space="0" w:color="C0C0C0"/>
              <w:bottom w:val="single" w:sz="6" w:space="0" w:color="000000"/>
            </w:tcBorders>
            <w:shd w:val="clear" w:color="auto" w:fill="auto"/>
            <w:vAlign w:val="center"/>
          </w:tcPr>
          <w:p w14:paraId="5E2059E1"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val="en-US" w:eastAsia="en-US"/>
              </w:rPr>
              <w:t>322</w:t>
            </w:r>
            <w:r>
              <w:rPr>
                <w:rFonts w:ascii="Arial" w:eastAsia="Batang" w:hAnsi="Arial" w:cs="Arial"/>
                <w:b/>
                <w:sz w:val="18"/>
                <w:szCs w:val="18"/>
                <w:lang w:val="el-GR" w:eastAsia="en-US"/>
              </w:rPr>
              <w:t>,</w:t>
            </w:r>
            <w:r>
              <w:rPr>
                <w:rFonts w:ascii="Arial" w:eastAsia="Batang" w:hAnsi="Arial" w:cs="Arial"/>
                <w:b/>
                <w:sz w:val="18"/>
                <w:szCs w:val="18"/>
                <w:lang w:val="en-US" w:eastAsia="en-US"/>
              </w:rPr>
              <w:t>683</w:t>
            </w:r>
          </w:p>
        </w:tc>
        <w:tc>
          <w:tcPr>
            <w:tcW w:w="1398" w:type="dxa"/>
            <w:tcBorders>
              <w:top w:val="single" w:sz="4" w:space="0" w:color="C0C0C0"/>
              <w:bottom w:val="single" w:sz="6" w:space="0" w:color="000000"/>
            </w:tcBorders>
            <w:shd w:val="clear" w:color="auto" w:fill="auto"/>
            <w:vAlign w:val="center"/>
          </w:tcPr>
          <w:p w14:paraId="1A24EA8D" w14:textId="77777777" w:rsidR="0056738E" w:rsidRPr="00E0028A" w:rsidRDefault="0056738E" w:rsidP="007C2AEE">
            <w:pPr>
              <w:spacing w:after="0" w:line="240" w:lineRule="auto"/>
              <w:jc w:val="right"/>
              <w:rPr>
                <w:rFonts w:ascii="Arial" w:hAnsi="Arial" w:cs="Arial"/>
                <w:sz w:val="18"/>
                <w:szCs w:val="18"/>
              </w:rPr>
            </w:pPr>
            <w:r w:rsidRPr="002D1FED">
              <w:rPr>
                <w:rFonts w:ascii="Arial" w:eastAsia="Batang" w:hAnsi="Arial" w:cs="Arial"/>
                <w:bCs/>
                <w:sz w:val="18"/>
                <w:szCs w:val="18"/>
                <w:lang w:eastAsia="en-US"/>
              </w:rPr>
              <w:t>300,000</w:t>
            </w:r>
          </w:p>
        </w:tc>
      </w:tr>
      <w:tr w:rsidR="0056738E" w:rsidRPr="00A90D0C" w14:paraId="6A5D909E" w14:textId="77777777" w:rsidTr="007C2AEE">
        <w:trPr>
          <w:trHeight w:val="255"/>
          <w:jc w:val="center"/>
        </w:trPr>
        <w:tc>
          <w:tcPr>
            <w:tcW w:w="2978" w:type="dxa"/>
            <w:shd w:val="clear" w:color="auto" w:fill="auto"/>
            <w:vAlign w:val="center"/>
          </w:tcPr>
          <w:p w14:paraId="5C08C748" w14:textId="77777777" w:rsidR="0056738E" w:rsidRPr="00E0028A" w:rsidRDefault="0056738E" w:rsidP="007C2AEE">
            <w:pPr>
              <w:keepNext/>
              <w:keepLines/>
              <w:spacing w:after="0" w:line="240" w:lineRule="auto"/>
              <w:outlineLvl w:val="1"/>
              <w:rPr>
                <w:rFonts w:ascii="Arial" w:eastAsia="Batang" w:hAnsi="Arial" w:cs="Arial"/>
                <w:b/>
                <w:sz w:val="18"/>
                <w:szCs w:val="18"/>
                <w:lang w:val="en-US" w:eastAsia="el-GR"/>
              </w:rPr>
            </w:pPr>
            <w:proofErr w:type="spellStart"/>
            <w:r w:rsidRPr="00E0028A">
              <w:rPr>
                <w:rFonts w:ascii="Arial" w:eastAsia="Batang" w:hAnsi="Arial" w:cs="Arial"/>
                <w:b/>
                <w:sz w:val="18"/>
                <w:szCs w:val="18"/>
                <w:lang w:eastAsia="el-GR"/>
              </w:rPr>
              <w:t>Μετ</w:t>
            </w:r>
            <w:proofErr w:type="spellEnd"/>
            <w:r w:rsidRPr="00E0028A">
              <w:rPr>
                <w:rFonts w:ascii="Arial" w:eastAsia="Batang" w:hAnsi="Arial" w:cs="Arial"/>
                <w:b/>
                <w:sz w:val="18"/>
                <w:szCs w:val="18"/>
                <w:lang w:eastAsia="el-GR"/>
              </w:rPr>
              <w:t xml:space="preserve">αβατικά </w:t>
            </w:r>
            <w:r w:rsidRPr="00E0028A">
              <w:rPr>
                <w:rFonts w:ascii="Arial" w:eastAsia="Batang" w:hAnsi="Arial" w:cs="Arial"/>
                <w:b/>
                <w:sz w:val="18"/>
                <w:szCs w:val="18"/>
                <w:lang w:val="el-GR" w:eastAsia="el-GR"/>
              </w:rPr>
              <w:t>σ</w:t>
            </w:r>
            <w:proofErr w:type="spellStart"/>
            <w:r w:rsidRPr="00E0028A">
              <w:rPr>
                <w:rFonts w:ascii="Arial" w:eastAsia="Batang" w:hAnsi="Arial" w:cs="Arial"/>
                <w:b/>
                <w:sz w:val="18"/>
                <w:szCs w:val="18"/>
                <w:lang w:eastAsia="el-GR"/>
              </w:rPr>
              <w:t>υνολικά</w:t>
            </w:r>
            <w:proofErr w:type="spellEnd"/>
            <w:r w:rsidRPr="00E0028A">
              <w:rPr>
                <w:rFonts w:ascii="Arial" w:eastAsia="Batang" w:hAnsi="Arial" w:cs="Arial"/>
                <w:b/>
                <w:sz w:val="18"/>
                <w:szCs w:val="18"/>
                <w:lang w:eastAsia="el-GR"/>
              </w:rPr>
              <w:t xml:space="preserve"> </w:t>
            </w:r>
            <w:r w:rsidRPr="00E0028A">
              <w:rPr>
                <w:rFonts w:ascii="Arial" w:eastAsia="Batang" w:hAnsi="Arial" w:cs="Arial"/>
                <w:b/>
                <w:sz w:val="18"/>
                <w:szCs w:val="18"/>
                <w:lang w:val="el-GR" w:eastAsia="el-GR"/>
              </w:rPr>
              <w:t>ίδια</w:t>
            </w:r>
            <w:r w:rsidRPr="00E0028A">
              <w:rPr>
                <w:rFonts w:ascii="Arial" w:eastAsia="Batang" w:hAnsi="Arial" w:cs="Arial"/>
                <w:b/>
                <w:sz w:val="18"/>
                <w:szCs w:val="18"/>
                <w:lang w:eastAsia="el-GR"/>
              </w:rPr>
              <w:t xml:space="preserve"> </w:t>
            </w:r>
            <w:r w:rsidRPr="00E0028A">
              <w:rPr>
                <w:rFonts w:ascii="Arial" w:eastAsia="Batang" w:hAnsi="Arial" w:cs="Arial"/>
                <w:b/>
                <w:sz w:val="18"/>
                <w:szCs w:val="18"/>
                <w:lang w:val="el-GR" w:eastAsia="el-GR"/>
              </w:rPr>
              <w:t>κ</w:t>
            </w:r>
            <w:proofErr w:type="spellStart"/>
            <w:r w:rsidRPr="00E0028A">
              <w:rPr>
                <w:rFonts w:ascii="Arial" w:eastAsia="Batang" w:hAnsi="Arial" w:cs="Arial"/>
                <w:b/>
                <w:sz w:val="18"/>
                <w:szCs w:val="18"/>
                <w:lang w:eastAsia="el-GR"/>
              </w:rPr>
              <w:t>εφάλ</w:t>
            </w:r>
            <w:proofErr w:type="spellEnd"/>
            <w:r w:rsidRPr="00E0028A">
              <w:rPr>
                <w:rFonts w:ascii="Arial" w:eastAsia="Batang" w:hAnsi="Arial" w:cs="Arial"/>
                <w:b/>
                <w:sz w:val="18"/>
                <w:szCs w:val="18"/>
                <w:lang w:eastAsia="el-GR"/>
              </w:rPr>
              <w:t>αια</w:t>
            </w:r>
          </w:p>
        </w:tc>
        <w:tc>
          <w:tcPr>
            <w:tcW w:w="1685" w:type="dxa"/>
            <w:tcBorders>
              <w:top w:val="single" w:sz="6" w:space="0" w:color="000000"/>
              <w:bottom w:val="double" w:sz="6" w:space="0" w:color="auto"/>
            </w:tcBorders>
            <w:shd w:val="clear" w:color="auto" w:fill="auto"/>
            <w:vAlign w:val="center"/>
          </w:tcPr>
          <w:p w14:paraId="57D1F73C"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val="en-US" w:eastAsia="en-US"/>
              </w:rPr>
              <w:t>2,478,822</w:t>
            </w:r>
          </w:p>
        </w:tc>
        <w:tc>
          <w:tcPr>
            <w:tcW w:w="1559" w:type="dxa"/>
            <w:tcBorders>
              <w:top w:val="single" w:sz="6" w:space="0" w:color="000000"/>
              <w:bottom w:val="double" w:sz="6" w:space="0" w:color="auto"/>
            </w:tcBorders>
            <w:shd w:val="clear" w:color="auto" w:fill="auto"/>
            <w:vAlign w:val="center"/>
          </w:tcPr>
          <w:p w14:paraId="2D06B016"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val="en-US" w:eastAsia="en-US"/>
              </w:rPr>
              <w:t>2,318,015</w:t>
            </w:r>
          </w:p>
        </w:tc>
        <w:tc>
          <w:tcPr>
            <w:tcW w:w="1701" w:type="dxa"/>
            <w:tcBorders>
              <w:top w:val="single" w:sz="6" w:space="0" w:color="000000"/>
              <w:bottom w:val="double" w:sz="6" w:space="0" w:color="auto"/>
            </w:tcBorders>
            <w:shd w:val="clear" w:color="auto" w:fill="auto"/>
            <w:vAlign w:val="center"/>
          </w:tcPr>
          <w:p w14:paraId="749DF60F"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val="en-US" w:eastAsia="en-US"/>
              </w:rPr>
              <w:t>2,440,764</w:t>
            </w:r>
          </w:p>
        </w:tc>
        <w:tc>
          <w:tcPr>
            <w:tcW w:w="1398" w:type="dxa"/>
            <w:tcBorders>
              <w:top w:val="single" w:sz="6" w:space="0" w:color="000000"/>
              <w:bottom w:val="double" w:sz="6" w:space="0" w:color="auto"/>
            </w:tcBorders>
            <w:shd w:val="clear" w:color="auto" w:fill="auto"/>
            <w:vAlign w:val="center"/>
          </w:tcPr>
          <w:p w14:paraId="6AF594E2"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eastAsia="en-US"/>
              </w:rPr>
              <w:t>2,286,707</w:t>
            </w:r>
          </w:p>
        </w:tc>
      </w:tr>
      <w:tr w:rsidR="0056738E" w:rsidRPr="00C6609A" w14:paraId="5CE8CA35" w14:textId="77777777" w:rsidTr="007C2AEE">
        <w:trPr>
          <w:trHeight w:val="227"/>
          <w:jc w:val="center"/>
        </w:trPr>
        <w:tc>
          <w:tcPr>
            <w:tcW w:w="2978" w:type="dxa"/>
            <w:shd w:val="clear" w:color="auto" w:fill="auto"/>
            <w:vAlign w:val="center"/>
          </w:tcPr>
          <w:p w14:paraId="2281FA9B" w14:textId="77777777" w:rsidR="0056738E" w:rsidRPr="00E0028A" w:rsidRDefault="0056738E" w:rsidP="007C2AEE">
            <w:pPr>
              <w:keepNext/>
              <w:keepLines/>
              <w:spacing w:after="0" w:line="240" w:lineRule="auto"/>
              <w:outlineLvl w:val="1"/>
              <w:rPr>
                <w:rFonts w:ascii="Arial" w:eastAsia="Batang" w:hAnsi="Arial" w:cs="Arial"/>
                <w:b/>
                <w:sz w:val="18"/>
                <w:szCs w:val="18"/>
                <w:lang w:val="el-GR" w:eastAsia="el-GR"/>
              </w:rPr>
            </w:pPr>
            <w:r w:rsidRPr="00E0028A">
              <w:rPr>
                <w:rFonts w:ascii="Arial" w:hAnsi="Arial" w:cs="Arial"/>
                <w:sz w:val="18"/>
                <w:szCs w:val="18"/>
                <w:lang w:val="el-GR"/>
              </w:rPr>
              <w:t>Σταθμισμένα ως προς τον κίνδυνο περιουσιακά στοιχεία – πιστωτικός κίνδυνος</w:t>
            </w:r>
            <w:r>
              <w:rPr>
                <w:rFonts w:ascii="Arial" w:hAnsi="Arial" w:cs="Arial"/>
                <w:sz w:val="18"/>
                <w:szCs w:val="18"/>
                <w:vertAlign w:val="superscript"/>
                <w:lang w:val="el-GR"/>
              </w:rPr>
              <w:t>5</w:t>
            </w:r>
          </w:p>
        </w:tc>
        <w:tc>
          <w:tcPr>
            <w:tcW w:w="1685" w:type="dxa"/>
            <w:tcBorders>
              <w:top w:val="double" w:sz="6" w:space="0" w:color="auto"/>
              <w:bottom w:val="single" w:sz="4" w:space="0" w:color="BFBFBF" w:themeColor="background1" w:themeShade="BF"/>
            </w:tcBorders>
            <w:shd w:val="clear" w:color="auto" w:fill="auto"/>
            <w:vAlign w:val="center"/>
          </w:tcPr>
          <w:p w14:paraId="6F77D3CA" w14:textId="77777777" w:rsidR="0056738E" w:rsidRPr="007C4796" w:rsidRDefault="0056738E" w:rsidP="007C2AEE">
            <w:pPr>
              <w:spacing w:after="0" w:line="240" w:lineRule="auto"/>
              <w:jc w:val="right"/>
              <w:rPr>
                <w:rFonts w:ascii="Arial" w:eastAsia="Batang" w:hAnsi="Arial" w:cs="Arial"/>
                <w:b/>
                <w:sz w:val="18"/>
                <w:szCs w:val="18"/>
                <w:lang w:val="el-GR" w:eastAsia="en-US"/>
              </w:rPr>
            </w:pPr>
            <w:r>
              <w:rPr>
                <w:rFonts w:ascii="Arial" w:eastAsia="Batang" w:hAnsi="Arial" w:cs="Arial"/>
                <w:b/>
                <w:sz w:val="18"/>
                <w:szCs w:val="18"/>
                <w:lang w:val="en-US" w:eastAsia="en-US"/>
              </w:rPr>
              <w:t>9,113,311</w:t>
            </w:r>
          </w:p>
        </w:tc>
        <w:tc>
          <w:tcPr>
            <w:tcW w:w="1559" w:type="dxa"/>
            <w:tcBorders>
              <w:top w:val="double" w:sz="6" w:space="0" w:color="auto"/>
              <w:bottom w:val="single" w:sz="4" w:space="0" w:color="BFBFBF" w:themeColor="background1" w:themeShade="BF"/>
            </w:tcBorders>
            <w:shd w:val="clear" w:color="auto" w:fill="auto"/>
            <w:vAlign w:val="center"/>
          </w:tcPr>
          <w:p w14:paraId="6304D129"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val="en-US" w:eastAsia="en-US"/>
              </w:rPr>
              <w:t>9,013,267</w:t>
            </w:r>
          </w:p>
        </w:tc>
        <w:tc>
          <w:tcPr>
            <w:tcW w:w="1701" w:type="dxa"/>
            <w:tcBorders>
              <w:top w:val="double" w:sz="6" w:space="0" w:color="auto"/>
              <w:bottom w:val="single" w:sz="4" w:space="0" w:color="BFBFBF" w:themeColor="background1" w:themeShade="BF"/>
            </w:tcBorders>
            <w:shd w:val="clear" w:color="auto" w:fill="auto"/>
            <w:vAlign w:val="center"/>
          </w:tcPr>
          <w:p w14:paraId="4AD8F792"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val="en-US" w:eastAsia="en-US"/>
              </w:rPr>
              <w:t>9,111,695</w:t>
            </w:r>
          </w:p>
        </w:tc>
        <w:tc>
          <w:tcPr>
            <w:tcW w:w="1398" w:type="dxa"/>
            <w:tcBorders>
              <w:top w:val="double" w:sz="6" w:space="0" w:color="auto"/>
              <w:bottom w:val="single" w:sz="4" w:space="0" w:color="BFBFBF" w:themeColor="background1" w:themeShade="BF"/>
            </w:tcBorders>
            <w:shd w:val="clear" w:color="auto" w:fill="auto"/>
            <w:vAlign w:val="center"/>
          </w:tcPr>
          <w:p w14:paraId="009E888A"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eastAsia="en-US"/>
              </w:rPr>
              <w:t>9,005,552</w:t>
            </w:r>
          </w:p>
        </w:tc>
      </w:tr>
      <w:tr w:rsidR="0056738E" w:rsidRPr="00A90D0C" w14:paraId="3F30312C" w14:textId="77777777" w:rsidTr="007C2AEE">
        <w:trPr>
          <w:trHeight w:val="227"/>
          <w:jc w:val="center"/>
        </w:trPr>
        <w:tc>
          <w:tcPr>
            <w:tcW w:w="2978" w:type="dxa"/>
            <w:shd w:val="clear" w:color="auto" w:fill="auto"/>
            <w:vAlign w:val="center"/>
          </w:tcPr>
          <w:p w14:paraId="69A2364F" w14:textId="77777777" w:rsidR="0056738E" w:rsidRPr="00E0028A" w:rsidRDefault="0056738E" w:rsidP="007C2AEE">
            <w:pPr>
              <w:keepNext/>
              <w:keepLines/>
              <w:spacing w:after="0" w:line="240" w:lineRule="auto"/>
              <w:outlineLvl w:val="1"/>
              <w:rPr>
                <w:rFonts w:ascii="Arial" w:eastAsia="Batang" w:hAnsi="Arial" w:cs="Arial"/>
                <w:sz w:val="18"/>
                <w:szCs w:val="18"/>
                <w:lang w:val="el-GR" w:eastAsia="el-GR"/>
              </w:rPr>
            </w:pPr>
            <w:r w:rsidRPr="00E0028A">
              <w:rPr>
                <w:rFonts w:ascii="Arial" w:hAnsi="Arial" w:cs="Arial"/>
                <w:sz w:val="18"/>
                <w:szCs w:val="18"/>
                <w:lang w:val="el-GR"/>
              </w:rPr>
              <w:t>Σταθμισμένα ως προς τον κίνδυνο περιουσιακά στοιχεία –κίνδυνος αγοράς</w:t>
            </w:r>
          </w:p>
        </w:tc>
        <w:tc>
          <w:tcPr>
            <w:tcW w:w="1685" w:type="dxa"/>
            <w:tcBorders>
              <w:top w:val="single" w:sz="4" w:space="0" w:color="BFBFBF" w:themeColor="background1" w:themeShade="BF"/>
              <w:bottom w:val="single" w:sz="4" w:space="0" w:color="BFBFBF" w:themeColor="background1" w:themeShade="BF"/>
            </w:tcBorders>
            <w:shd w:val="clear" w:color="auto" w:fill="auto"/>
            <w:vAlign w:val="center"/>
          </w:tcPr>
          <w:p w14:paraId="0F0A5EF3" w14:textId="77777777" w:rsidR="0056738E" w:rsidRPr="007C4796" w:rsidRDefault="0056738E" w:rsidP="007C2AEE">
            <w:pPr>
              <w:spacing w:after="0" w:line="240" w:lineRule="auto"/>
              <w:jc w:val="right"/>
              <w:rPr>
                <w:rFonts w:ascii="Arial" w:eastAsia="Batang" w:hAnsi="Arial" w:cs="Arial"/>
                <w:b/>
                <w:sz w:val="18"/>
                <w:szCs w:val="18"/>
                <w:lang w:val="el-GR" w:eastAsia="en-US"/>
              </w:rPr>
            </w:pPr>
            <w:r>
              <w:rPr>
                <w:rFonts w:ascii="Arial" w:eastAsia="Batang" w:hAnsi="Arial" w:cs="Arial"/>
                <w:b/>
                <w:sz w:val="18"/>
                <w:szCs w:val="18"/>
                <w:lang w:val="en-US" w:eastAsia="en-US"/>
              </w:rPr>
              <w:t>-</w:t>
            </w:r>
          </w:p>
        </w:tc>
        <w:tc>
          <w:tcPr>
            <w:tcW w:w="1559" w:type="dxa"/>
            <w:tcBorders>
              <w:top w:val="single" w:sz="4" w:space="0" w:color="BFBFBF" w:themeColor="background1" w:themeShade="BF"/>
              <w:bottom w:val="single" w:sz="4" w:space="0" w:color="BFBFBF" w:themeColor="background1" w:themeShade="BF"/>
            </w:tcBorders>
            <w:shd w:val="clear" w:color="auto" w:fill="auto"/>
            <w:vAlign w:val="center"/>
          </w:tcPr>
          <w:p w14:paraId="1BE9597C"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val="en-US" w:eastAsia="en-US"/>
              </w:rPr>
              <w:t>-</w:t>
            </w:r>
          </w:p>
        </w:tc>
        <w:tc>
          <w:tcPr>
            <w:tcW w:w="1701" w:type="dxa"/>
            <w:tcBorders>
              <w:top w:val="single" w:sz="4" w:space="0" w:color="BFBFBF" w:themeColor="background1" w:themeShade="BF"/>
              <w:bottom w:val="single" w:sz="4" w:space="0" w:color="BFBFBF" w:themeColor="background1" w:themeShade="BF"/>
            </w:tcBorders>
            <w:shd w:val="clear" w:color="auto" w:fill="auto"/>
            <w:vAlign w:val="center"/>
          </w:tcPr>
          <w:p w14:paraId="621AAF47"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val="en-US" w:eastAsia="en-US"/>
              </w:rPr>
              <w:t>-</w:t>
            </w:r>
          </w:p>
        </w:tc>
        <w:tc>
          <w:tcPr>
            <w:tcW w:w="1398" w:type="dxa"/>
            <w:tcBorders>
              <w:top w:val="single" w:sz="4" w:space="0" w:color="BFBFBF" w:themeColor="background1" w:themeShade="BF"/>
              <w:bottom w:val="single" w:sz="4" w:space="0" w:color="BFBFBF" w:themeColor="background1" w:themeShade="BF"/>
            </w:tcBorders>
            <w:shd w:val="clear" w:color="auto" w:fill="auto"/>
            <w:vAlign w:val="center"/>
          </w:tcPr>
          <w:p w14:paraId="34C330B4"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eastAsia="en-US"/>
              </w:rPr>
              <w:t>-</w:t>
            </w:r>
          </w:p>
        </w:tc>
      </w:tr>
      <w:tr w:rsidR="0056738E" w:rsidRPr="00A90D0C" w14:paraId="2147A3DC" w14:textId="77777777" w:rsidTr="007C2AEE">
        <w:trPr>
          <w:trHeight w:val="227"/>
          <w:jc w:val="center"/>
        </w:trPr>
        <w:tc>
          <w:tcPr>
            <w:tcW w:w="2978" w:type="dxa"/>
            <w:shd w:val="clear" w:color="auto" w:fill="auto"/>
            <w:vAlign w:val="center"/>
          </w:tcPr>
          <w:p w14:paraId="36DB3F46" w14:textId="77777777" w:rsidR="0056738E" w:rsidRPr="00E0028A" w:rsidRDefault="0056738E" w:rsidP="007C2AEE">
            <w:pPr>
              <w:keepNext/>
              <w:keepLines/>
              <w:spacing w:after="0" w:line="240" w:lineRule="auto"/>
              <w:outlineLvl w:val="1"/>
              <w:rPr>
                <w:rFonts w:ascii="Arial" w:eastAsia="Batang" w:hAnsi="Arial" w:cs="Arial"/>
                <w:sz w:val="18"/>
                <w:szCs w:val="18"/>
                <w:lang w:val="el-GR" w:eastAsia="el-GR"/>
              </w:rPr>
            </w:pPr>
            <w:r w:rsidRPr="00E0028A">
              <w:rPr>
                <w:rFonts w:ascii="Arial" w:hAnsi="Arial" w:cs="Arial"/>
                <w:sz w:val="18"/>
                <w:szCs w:val="18"/>
                <w:lang w:val="el-GR"/>
              </w:rPr>
              <w:t>Σταθμισμένα ως προς τον κίνδυνο περιουσιακά στοιχεία – λειτουργικός κίνδυνος</w:t>
            </w:r>
          </w:p>
        </w:tc>
        <w:tc>
          <w:tcPr>
            <w:tcW w:w="1685" w:type="dxa"/>
            <w:tcBorders>
              <w:top w:val="single" w:sz="4" w:space="0" w:color="BFBFBF" w:themeColor="background1" w:themeShade="BF"/>
              <w:bottom w:val="single" w:sz="6" w:space="0" w:color="auto"/>
            </w:tcBorders>
            <w:shd w:val="clear" w:color="auto" w:fill="auto"/>
            <w:vAlign w:val="center"/>
          </w:tcPr>
          <w:p w14:paraId="1417358D" w14:textId="77777777" w:rsidR="0056738E" w:rsidRPr="007C4796" w:rsidRDefault="0056738E" w:rsidP="007C2AEE">
            <w:pPr>
              <w:spacing w:after="0" w:line="240" w:lineRule="auto"/>
              <w:jc w:val="right"/>
              <w:rPr>
                <w:rFonts w:ascii="Arial" w:eastAsia="Batang" w:hAnsi="Arial" w:cs="Arial"/>
                <w:b/>
                <w:sz w:val="18"/>
                <w:szCs w:val="18"/>
                <w:lang w:val="el-GR" w:eastAsia="en-US"/>
              </w:rPr>
            </w:pPr>
            <w:r w:rsidRPr="001C0DDE">
              <w:rPr>
                <w:rFonts w:ascii="Arial" w:eastAsia="Batang" w:hAnsi="Arial" w:cs="Arial"/>
                <w:b/>
                <w:sz w:val="18"/>
                <w:szCs w:val="18"/>
                <w:lang w:eastAsia="en-US"/>
              </w:rPr>
              <w:t>1,327,871</w:t>
            </w:r>
          </w:p>
        </w:tc>
        <w:tc>
          <w:tcPr>
            <w:tcW w:w="1559" w:type="dxa"/>
            <w:tcBorders>
              <w:top w:val="single" w:sz="4" w:space="0" w:color="BFBFBF" w:themeColor="background1" w:themeShade="BF"/>
              <w:bottom w:val="single" w:sz="6" w:space="0" w:color="auto"/>
            </w:tcBorders>
            <w:shd w:val="clear" w:color="auto" w:fill="auto"/>
            <w:vAlign w:val="center"/>
          </w:tcPr>
          <w:p w14:paraId="596E22E2"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val="en-US" w:eastAsia="en-US"/>
              </w:rPr>
              <w:t>1,327,871</w:t>
            </w:r>
          </w:p>
        </w:tc>
        <w:tc>
          <w:tcPr>
            <w:tcW w:w="1701" w:type="dxa"/>
            <w:tcBorders>
              <w:top w:val="single" w:sz="4" w:space="0" w:color="BFBFBF" w:themeColor="background1" w:themeShade="BF"/>
              <w:bottom w:val="single" w:sz="6" w:space="0" w:color="auto"/>
            </w:tcBorders>
            <w:shd w:val="clear" w:color="auto" w:fill="auto"/>
            <w:vAlign w:val="center"/>
          </w:tcPr>
          <w:p w14:paraId="713D2EEF"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sidRPr="001C0DDE">
              <w:rPr>
                <w:rFonts w:ascii="Arial" w:eastAsia="Batang" w:hAnsi="Arial" w:cs="Arial"/>
                <w:b/>
                <w:sz w:val="18"/>
                <w:szCs w:val="18"/>
                <w:lang w:eastAsia="en-US"/>
              </w:rPr>
              <w:t>1,292,350</w:t>
            </w:r>
          </w:p>
        </w:tc>
        <w:tc>
          <w:tcPr>
            <w:tcW w:w="1398" w:type="dxa"/>
            <w:tcBorders>
              <w:top w:val="single" w:sz="4" w:space="0" w:color="BFBFBF" w:themeColor="background1" w:themeShade="BF"/>
              <w:bottom w:val="single" w:sz="6" w:space="0" w:color="auto"/>
            </w:tcBorders>
            <w:shd w:val="clear" w:color="auto" w:fill="auto"/>
            <w:vAlign w:val="center"/>
          </w:tcPr>
          <w:p w14:paraId="533E8A2C"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eastAsia="en-US"/>
              </w:rPr>
              <w:t>1,292,350</w:t>
            </w:r>
          </w:p>
        </w:tc>
      </w:tr>
      <w:tr w:rsidR="0056738E" w:rsidRPr="00A90D0C" w14:paraId="67E388E7" w14:textId="77777777" w:rsidTr="007C2AEE">
        <w:trPr>
          <w:trHeight w:val="227"/>
          <w:jc w:val="center"/>
        </w:trPr>
        <w:tc>
          <w:tcPr>
            <w:tcW w:w="2978" w:type="dxa"/>
            <w:shd w:val="clear" w:color="auto" w:fill="auto"/>
            <w:vAlign w:val="center"/>
          </w:tcPr>
          <w:p w14:paraId="5465FBA6" w14:textId="77777777" w:rsidR="0056738E" w:rsidRPr="00E0028A" w:rsidRDefault="0056738E" w:rsidP="007C2AEE">
            <w:pPr>
              <w:spacing w:after="0" w:line="240" w:lineRule="auto"/>
              <w:rPr>
                <w:rFonts w:ascii="Arial" w:eastAsia="Batang" w:hAnsi="Arial" w:cs="Arial"/>
                <w:b/>
                <w:sz w:val="18"/>
                <w:szCs w:val="18"/>
                <w:lang w:val="el-GR" w:eastAsia="el-GR"/>
              </w:rPr>
            </w:pPr>
            <w:r w:rsidRPr="00E0028A">
              <w:rPr>
                <w:rFonts w:ascii="Arial" w:eastAsia="Batang" w:hAnsi="Arial" w:cs="Arial"/>
                <w:b/>
                <w:sz w:val="18"/>
                <w:szCs w:val="18"/>
                <w:lang w:val="el-GR" w:eastAsia="el-GR"/>
              </w:rPr>
              <w:t>Σύνολο σταθμισμένων ως προς τον κίνδυνο περιουσιακών στοιχείων</w:t>
            </w:r>
          </w:p>
        </w:tc>
        <w:tc>
          <w:tcPr>
            <w:tcW w:w="1685" w:type="dxa"/>
            <w:tcBorders>
              <w:top w:val="single" w:sz="6" w:space="0" w:color="auto"/>
              <w:bottom w:val="double" w:sz="6" w:space="0" w:color="auto"/>
            </w:tcBorders>
            <w:shd w:val="clear" w:color="auto" w:fill="auto"/>
            <w:vAlign w:val="center"/>
          </w:tcPr>
          <w:p w14:paraId="6773E924" w14:textId="77777777" w:rsidR="0056738E" w:rsidRPr="007C4796" w:rsidRDefault="0056738E" w:rsidP="007C2AEE">
            <w:pPr>
              <w:spacing w:after="0" w:line="240" w:lineRule="auto"/>
              <w:jc w:val="right"/>
              <w:rPr>
                <w:rFonts w:ascii="Arial" w:eastAsia="Batang" w:hAnsi="Arial" w:cs="Arial"/>
                <w:b/>
                <w:sz w:val="18"/>
                <w:szCs w:val="18"/>
                <w:lang w:val="el-GR" w:eastAsia="en-US"/>
              </w:rPr>
            </w:pPr>
            <w:r>
              <w:rPr>
                <w:rFonts w:ascii="Arial" w:eastAsia="Batang" w:hAnsi="Arial" w:cs="Arial"/>
                <w:b/>
                <w:sz w:val="18"/>
                <w:szCs w:val="18"/>
                <w:lang w:val="en-US" w:eastAsia="en-US"/>
              </w:rPr>
              <w:t>10,441,182</w:t>
            </w:r>
          </w:p>
        </w:tc>
        <w:tc>
          <w:tcPr>
            <w:tcW w:w="1559" w:type="dxa"/>
            <w:tcBorders>
              <w:top w:val="single" w:sz="6" w:space="0" w:color="auto"/>
              <w:bottom w:val="double" w:sz="6" w:space="0" w:color="auto"/>
            </w:tcBorders>
            <w:shd w:val="clear" w:color="auto" w:fill="auto"/>
            <w:vAlign w:val="center"/>
          </w:tcPr>
          <w:p w14:paraId="64C4021C"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val="en-US" w:eastAsia="en-US"/>
              </w:rPr>
              <w:t>10,341,138</w:t>
            </w:r>
          </w:p>
        </w:tc>
        <w:tc>
          <w:tcPr>
            <w:tcW w:w="1701" w:type="dxa"/>
            <w:tcBorders>
              <w:top w:val="single" w:sz="6" w:space="0" w:color="auto"/>
              <w:bottom w:val="double" w:sz="6" w:space="0" w:color="auto"/>
            </w:tcBorders>
            <w:shd w:val="clear" w:color="auto" w:fill="auto"/>
            <w:vAlign w:val="center"/>
          </w:tcPr>
          <w:p w14:paraId="4E91EBED"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val="en-US" w:eastAsia="en-US"/>
              </w:rPr>
              <w:t>10,404,045</w:t>
            </w:r>
          </w:p>
        </w:tc>
        <w:tc>
          <w:tcPr>
            <w:tcW w:w="1398" w:type="dxa"/>
            <w:tcBorders>
              <w:top w:val="single" w:sz="6" w:space="0" w:color="auto"/>
              <w:bottom w:val="double" w:sz="6" w:space="0" w:color="auto"/>
            </w:tcBorders>
            <w:shd w:val="clear" w:color="auto" w:fill="auto"/>
            <w:vAlign w:val="center"/>
          </w:tcPr>
          <w:p w14:paraId="4F14B152"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eastAsia="en-US"/>
              </w:rPr>
              <w:t>10,297,902</w:t>
            </w:r>
          </w:p>
        </w:tc>
      </w:tr>
      <w:tr w:rsidR="0056738E" w:rsidRPr="00A90D0C" w14:paraId="32740A03" w14:textId="77777777" w:rsidTr="007C2AEE">
        <w:trPr>
          <w:trHeight w:val="227"/>
          <w:jc w:val="center"/>
        </w:trPr>
        <w:tc>
          <w:tcPr>
            <w:tcW w:w="2978" w:type="dxa"/>
            <w:shd w:val="clear" w:color="auto" w:fill="auto"/>
            <w:vAlign w:val="center"/>
          </w:tcPr>
          <w:p w14:paraId="1F07F843" w14:textId="77777777" w:rsidR="0056738E" w:rsidRPr="00E0028A" w:rsidRDefault="0056738E" w:rsidP="007C2AEE">
            <w:pPr>
              <w:spacing w:after="0" w:line="240" w:lineRule="auto"/>
              <w:jc w:val="both"/>
              <w:rPr>
                <w:rFonts w:ascii="Arial" w:eastAsia="Batang" w:hAnsi="Arial" w:cs="Arial"/>
                <w:sz w:val="18"/>
                <w:szCs w:val="18"/>
                <w:lang w:val="el-GR" w:eastAsia="el-GR"/>
              </w:rPr>
            </w:pPr>
          </w:p>
        </w:tc>
        <w:tc>
          <w:tcPr>
            <w:tcW w:w="1685" w:type="dxa"/>
            <w:tcBorders>
              <w:top w:val="double" w:sz="6" w:space="0" w:color="auto"/>
              <w:bottom w:val="single" w:sz="4" w:space="0" w:color="C0C0C0"/>
            </w:tcBorders>
            <w:shd w:val="clear" w:color="auto" w:fill="auto"/>
            <w:vAlign w:val="center"/>
          </w:tcPr>
          <w:p w14:paraId="0FCBDCDD" w14:textId="77777777" w:rsidR="0056738E" w:rsidRPr="00E0028A" w:rsidRDefault="0056738E" w:rsidP="007C2AEE">
            <w:pPr>
              <w:spacing w:after="0" w:line="240" w:lineRule="auto"/>
              <w:jc w:val="right"/>
              <w:rPr>
                <w:rFonts w:ascii="Arial" w:hAnsi="Arial" w:cs="Arial"/>
                <w:b/>
                <w:sz w:val="18"/>
                <w:szCs w:val="18"/>
                <w:lang w:val="el-GR"/>
              </w:rPr>
            </w:pPr>
          </w:p>
        </w:tc>
        <w:tc>
          <w:tcPr>
            <w:tcW w:w="1559" w:type="dxa"/>
            <w:tcBorders>
              <w:top w:val="double" w:sz="6" w:space="0" w:color="auto"/>
              <w:bottom w:val="single" w:sz="4" w:space="0" w:color="C0C0C0"/>
            </w:tcBorders>
            <w:shd w:val="clear" w:color="auto" w:fill="auto"/>
            <w:vAlign w:val="center"/>
          </w:tcPr>
          <w:p w14:paraId="1AE4B872" w14:textId="77777777" w:rsidR="0056738E" w:rsidRPr="00E0028A" w:rsidRDefault="0056738E" w:rsidP="007C2AEE">
            <w:pPr>
              <w:spacing w:after="0" w:line="240" w:lineRule="auto"/>
              <w:jc w:val="right"/>
              <w:rPr>
                <w:rFonts w:ascii="Arial" w:hAnsi="Arial" w:cs="Arial"/>
                <w:color w:val="262626"/>
                <w:sz w:val="18"/>
                <w:szCs w:val="18"/>
                <w:lang w:val="el-GR"/>
              </w:rPr>
            </w:pPr>
          </w:p>
        </w:tc>
        <w:tc>
          <w:tcPr>
            <w:tcW w:w="1701" w:type="dxa"/>
            <w:tcBorders>
              <w:top w:val="double" w:sz="6" w:space="0" w:color="auto"/>
              <w:bottom w:val="single" w:sz="4" w:space="0" w:color="C0C0C0"/>
            </w:tcBorders>
            <w:vAlign w:val="center"/>
          </w:tcPr>
          <w:p w14:paraId="53849CB1" w14:textId="77777777" w:rsidR="0056738E" w:rsidRPr="000B4F00" w:rsidRDefault="0056738E" w:rsidP="007C2AEE">
            <w:pPr>
              <w:spacing w:after="0" w:line="240" w:lineRule="auto"/>
              <w:jc w:val="right"/>
              <w:rPr>
                <w:rFonts w:ascii="Arial" w:hAnsi="Arial" w:cs="Arial"/>
                <w:b/>
                <w:color w:val="262626"/>
                <w:sz w:val="18"/>
                <w:szCs w:val="18"/>
                <w:lang w:val="el-GR"/>
              </w:rPr>
            </w:pPr>
          </w:p>
        </w:tc>
        <w:tc>
          <w:tcPr>
            <w:tcW w:w="1398" w:type="dxa"/>
            <w:tcBorders>
              <w:top w:val="double" w:sz="6" w:space="0" w:color="auto"/>
              <w:bottom w:val="single" w:sz="4" w:space="0" w:color="C0C0C0"/>
            </w:tcBorders>
            <w:vAlign w:val="center"/>
          </w:tcPr>
          <w:p w14:paraId="217C23BF" w14:textId="77777777" w:rsidR="0056738E" w:rsidRPr="00E0028A" w:rsidRDefault="0056738E" w:rsidP="007C2AEE">
            <w:pPr>
              <w:spacing w:after="0" w:line="240" w:lineRule="auto"/>
              <w:jc w:val="right"/>
              <w:rPr>
                <w:rFonts w:ascii="Arial" w:hAnsi="Arial" w:cs="Arial"/>
                <w:color w:val="262626"/>
                <w:sz w:val="18"/>
                <w:szCs w:val="18"/>
                <w:lang w:val="el-GR"/>
              </w:rPr>
            </w:pPr>
          </w:p>
        </w:tc>
      </w:tr>
      <w:tr w:rsidR="0056738E" w:rsidRPr="00A90D0C" w14:paraId="1328EF16" w14:textId="77777777" w:rsidTr="007C2AEE">
        <w:trPr>
          <w:trHeight w:val="255"/>
          <w:jc w:val="center"/>
        </w:trPr>
        <w:tc>
          <w:tcPr>
            <w:tcW w:w="2978" w:type="dxa"/>
            <w:shd w:val="clear" w:color="auto" w:fill="auto"/>
            <w:vAlign w:val="center"/>
          </w:tcPr>
          <w:p w14:paraId="28B0F4B3" w14:textId="77777777" w:rsidR="0056738E" w:rsidRPr="00E0028A" w:rsidRDefault="0056738E" w:rsidP="007C2AEE">
            <w:pPr>
              <w:spacing w:after="0" w:line="240" w:lineRule="auto"/>
              <w:jc w:val="both"/>
              <w:rPr>
                <w:rFonts w:ascii="Arial" w:eastAsia="Batang" w:hAnsi="Arial" w:cs="Arial"/>
                <w:b/>
                <w:bCs/>
                <w:sz w:val="18"/>
                <w:szCs w:val="18"/>
                <w:lang w:val="el-GR" w:eastAsia="el-GR"/>
              </w:rPr>
            </w:pPr>
            <w:r w:rsidRPr="00E0028A">
              <w:rPr>
                <w:rFonts w:ascii="Arial" w:eastAsia="Batang" w:hAnsi="Arial" w:cs="Arial"/>
                <w:b/>
                <w:bCs/>
                <w:sz w:val="18"/>
                <w:szCs w:val="18"/>
                <w:lang w:val="el-GR" w:eastAsia="el-GR"/>
              </w:rPr>
              <w:t>Με μεταβατικές διατάξεις</w:t>
            </w:r>
          </w:p>
        </w:tc>
        <w:tc>
          <w:tcPr>
            <w:tcW w:w="1685" w:type="dxa"/>
            <w:tcBorders>
              <w:top w:val="single" w:sz="4" w:space="0" w:color="C0C0C0"/>
              <w:bottom w:val="nil"/>
            </w:tcBorders>
            <w:shd w:val="clear" w:color="auto" w:fill="auto"/>
            <w:vAlign w:val="center"/>
          </w:tcPr>
          <w:p w14:paraId="27A8482D" w14:textId="77777777" w:rsidR="0056738E" w:rsidRPr="000B4F00" w:rsidRDefault="0056738E" w:rsidP="007C2AEE">
            <w:pPr>
              <w:spacing w:after="0" w:line="240" w:lineRule="auto"/>
              <w:jc w:val="center"/>
              <w:rPr>
                <w:rFonts w:ascii="Arial" w:hAnsi="Arial" w:cs="Arial"/>
                <w:b/>
                <w:sz w:val="18"/>
                <w:szCs w:val="18"/>
              </w:rPr>
            </w:pPr>
            <w:r w:rsidRPr="000B4F00">
              <w:rPr>
                <w:rFonts w:ascii="Arial" w:hAnsi="Arial" w:cs="Arial"/>
                <w:b/>
                <w:sz w:val="18"/>
                <w:szCs w:val="18"/>
              </w:rPr>
              <w:t>%</w:t>
            </w:r>
          </w:p>
        </w:tc>
        <w:tc>
          <w:tcPr>
            <w:tcW w:w="1559" w:type="dxa"/>
            <w:tcBorders>
              <w:top w:val="single" w:sz="4" w:space="0" w:color="C0C0C0"/>
              <w:bottom w:val="nil"/>
            </w:tcBorders>
            <w:shd w:val="clear" w:color="auto" w:fill="auto"/>
            <w:vAlign w:val="center"/>
          </w:tcPr>
          <w:p w14:paraId="7DE5B552" w14:textId="77777777" w:rsidR="0056738E" w:rsidRPr="00E0028A" w:rsidRDefault="0056738E" w:rsidP="007C2AEE">
            <w:pPr>
              <w:spacing w:after="0" w:line="240" w:lineRule="auto"/>
              <w:jc w:val="center"/>
              <w:rPr>
                <w:rFonts w:ascii="Arial" w:hAnsi="Arial" w:cs="Arial"/>
                <w:bCs/>
                <w:sz w:val="18"/>
                <w:szCs w:val="18"/>
              </w:rPr>
            </w:pPr>
            <w:r w:rsidRPr="00E0028A">
              <w:rPr>
                <w:rFonts w:ascii="Arial" w:hAnsi="Arial" w:cs="Arial"/>
                <w:bCs/>
                <w:sz w:val="18"/>
                <w:szCs w:val="18"/>
              </w:rPr>
              <w:t>%</w:t>
            </w:r>
          </w:p>
        </w:tc>
        <w:tc>
          <w:tcPr>
            <w:tcW w:w="1701" w:type="dxa"/>
            <w:tcBorders>
              <w:top w:val="single" w:sz="4" w:space="0" w:color="C0C0C0"/>
              <w:bottom w:val="single" w:sz="4" w:space="0" w:color="C0C0C0"/>
            </w:tcBorders>
            <w:vAlign w:val="center"/>
          </w:tcPr>
          <w:p w14:paraId="7069F5DC" w14:textId="77777777" w:rsidR="0056738E" w:rsidRPr="000B4F00" w:rsidRDefault="0056738E" w:rsidP="007C2AEE">
            <w:pPr>
              <w:spacing w:after="0" w:line="240" w:lineRule="auto"/>
              <w:jc w:val="center"/>
              <w:rPr>
                <w:rFonts w:ascii="Arial" w:hAnsi="Arial" w:cs="Arial"/>
                <w:b/>
                <w:sz w:val="18"/>
                <w:szCs w:val="18"/>
              </w:rPr>
            </w:pPr>
            <w:r w:rsidRPr="000B4F00">
              <w:rPr>
                <w:rFonts w:ascii="Arial" w:hAnsi="Arial" w:cs="Arial"/>
                <w:b/>
                <w:sz w:val="18"/>
                <w:szCs w:val="18"/>
              </w:rPr>
              <w:t>%</w:t>
            </w:r>
          </w:p>
        </w:tc>
        <w:tc>
          <w:tcPr>
            <w:tcW w:w="1398" w:type="dxa"/>
            <w:tcBorders>
              <w:top w:val="single" w:sz="4" w:space="0" w:color="C0C0C0"/>
              <w:bottom w:val="nil"/>
            </w:tcBorders>
            <w:vAlign w:val="center"/>
          </w:tcPr>
          <w:p w14:paraId="2C09E87E" w14:textId="77777777" w:rsidR="0056738E" w:rsidRPr="00E0028A" w:rsidRDefault="0056738E" w:rsidP="007C2AEE">
            <w:pPr>
              <w:spacing w:after="0" w:line="240" w:lineRule="auto"/>
              <w:jc w:val="center"/>
              <w:rPr>
                <w:rFonts w:ascii="Arial" w:hAnsi="Arial" w:cs="Arial"/>
                <w:bCs/>
                <w:sz w:val="18"/>
                <w:szCs w:val="18"/>
              </w:rPr>
            </w:pPr>
            <w:r w:rsidRPr="00E0028A">
              <w:rPr>
                <w:rFonts w:ascii="Arial" w:hAnsi="Arial" w:cs="Arial"/>
                <w:bCs/>
                <w:sz w:val="18"/>
                <w:szCs w:val="18"/>
              </w:rPr>
              <w:t>%</w:t>
            </w:r>
          </w:p>
        </w:tc>
      </w:tr>
      <w:tr w:rsidR="0056738E" w:rsidRPr="00A90D0C" w14:paraId="1E1F4842" w14:textId="77777777" w:rsidTr="007C2AEE">
        <w:trPr>
          <w:trHeight w:val="227"/>
          <w:jc w:val="center"/>
        </w:trPr>
        <w:tc>
          <w:tcPr>
            <w:tcW w:w="2978" w:type="dxa"/>
            <w:vAlign w:val="center"/>
          </w:tcPr>
          <w:p w14:paraId="2468D325" w14:textId="77777777" w:rsidR="0056738E" w:rsidRPr="00E0028A" w:rsidRDefault="0056738E" w:rsidP="007C2AEE">
            <w:pPr>
              <w:spacing w:after="0" w:line="240" w:lineRule="auto"/>
              <w:rPr>
                <w:rFonts w:ascii="Arial" w:eastAsia="Batang" w:hAnsi="Arial" w:cs="Arial"/>
                <w:sz w:val="18"/>
                <w:szCs w:val="18"/>
                <w:lang w:val="el-GR" w:eastAsia="el-GR"/>
              </w:rPr>
            </w:pPr>
            <w:r w:rsidRPr="00E0028A">
              <w:rPr>
                <w:rFonts w:ascii="Arial" w:eastAsia="Batang" w:hAnsi="Arial" w:cs="Arial"/>
                <w:sz w:val="18"/>
                <w:szCs w:val="18"/>
                <w:lang w:val="el-GR" w:eastAsia="el-GR"/>
              </w:rPr>
              <w:t>Δείκτης Κεφαλαί</w:t>
            </w:r>
            <w:r>
              <w:rPr>
                <w:rFonts w:ascii="Arial" w:eastAsia="Batang" w:hAnsi="Arial" w:cs="Arial"/>
                <w:sz w:val="18"/>
                <w:szCs w:val="18"/>
                <w:lang w:val="el-GR" w:eastAsia="el-GR"/>
              </w:rPr>
              <w:t>ου</w:t>
            </w:r>
            <w:r w:rsidRPr="00E0028A">
              <w:rPr>
                <w:rFonts w:ascii="Arial" w:eastAsia="Batang" w:hAnsi="Arial" w:cs="Arial"/>
                <w:sz w:val="18"/>
                <w:szCs w:val="18"/>
                <w:lang w:val="el-GR" w:eastAsia="el-GR"/>
              </w:rPr>
              <w:t xml:space="preserve"> Κοινών Μετοχών Κατηγορίας 1 (</w:t>
            </w:r>
            <w:r w:rsidRPr="00E0028A">
              <w:rPr>
                <w:rFonts w:ascii="Arial" w:eastAsia="Batang" w:hAnsi="Arial" w:cs="Arial"/>
                <w:sz w:val="18"/>
                <w:szCs w:val="18"/>
                <w:lang w:eastAsia="el-GR"/>
              </w:rPr>
              <w:t>CET</w:t>
            </w:r>
            <w:r w:rsidRPr="00E0028A">
              <w:rPr>
                <w:rFonts w:ascii="Arial" w:eastAsia="Batang" w:hAnsi="Arial" w:cs="Arial"/>
                <w:sz w:val="18"/>
                <w:szCs w:val="18"/>
                <w:lang w:val="el-GR" w:eastAsia="el-GR"/>
              </w:rPr>
              <w:t>1)</w:t>
            </w:r>
          </w:p>
        </w:tc>
        <w:tc>
          <w:tcPr>
            <w:tcW w:w="1685" w:type="dxa"/>
            <w:tcBorders>
              <w:bottom w:val="single" w:sz="4" w:space="0" w:color="C0C0C0"/>
              <w:right w:val="single" w:sz="4" w:space="0" w:color="C0C0C0"/>
            </w:tcBorders>
            <w:shd w:val="clear" w:color="auto" w:fill="auto"/>
            <w:vAlign w:val="center"/>
          </w:tcPr>
          <w:p w14:paraId="6478F61A" w14:textId="77777777" w:rsidR="0056738E" w:rsidRPr="007C4796" w:rsidRDefault="0056738E" w:rsidP="007C2AEE">
            <w:pPr>
              <w:spacing w:after="0" w:line="240" w:lineRule="auto"/>
              <w:jc w:val="right"/>
              <w:rPr>
                <w:rFonts w:ascii="Arial" w:eastAsia="Batang" w:hAnsi="Arial" w:cs="Arial"/>
                <w:b/>
                <w:sz w:val="18"/>
                <w:szCs w:val="18"/>
                <w:lang w:val="el-GR" w:eastAsia="en-US"/>
              </w:rPr>
            </w:pPr>
            <w:r>
              <w:rPr>
                <w:rFonts w:ascii="Arial" w:eastAsia="Batang" w:hAnsi="Arial" w:cs="Arial"/>
                <w:b/>
                <w:sz w:val="18"/>
                <w:szCs w:val="18"/>
                <w:lang w:val="en-US" w:eastAsia="en-US"/>
              </w:rPr>
              <w:t>18.6</w:t>
            </w:r>
          </w:p>
        </w:tc>
        <w:tc>
          <w:tcPr>
            <w:tcW w:w="1559" w:type="dxa"/>
            <w:tcBorders>
              <w:bottom w:val="single" w:sz="4" w:space="0" w:color="C0C0C0"/>
              <w:right w:val="single" w:sz="4" w:space="0" w:color="C0C0C0"/>
            </w:tcBorders>
            <w:shd w:val="clear" w:color="auto" w:fill="auto"/>
            <w:vAlign w:val="center"/>
          </w:tcPr>
          <w:p w14:paraId="0F861E1D"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val="en-US" w:eastAsia="en-US"/>
              </w:rPr>
              <w:t>17.4</w:t>
            </w:r>
          </w:p>
        </w:tc>
        <w:tc>
          <w:tcPr>
            <w:tcW w:w="1701" w:type="dxa"/>
            <w:tcBorders>
              <w:left w:val="single" w:sz="4" w:space="0" w:color="C0C0C0"/>
              <w:bottom w:val="single" w:sz="4" w:space="0" w:color="C0C0C0"/>
            </w:tcBorders>
            <w:shd w:val="clear" w:color="auto" w:fill="FFFFFF" w:themeFill="background1"/>
            <w:vAlign w:val="center"/>
          </w:tcPr>
          <w:p w14:paraId="273DE9C5"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val="en-US" w:eastAsia="en-US"/>
              </w:rPr>
              <w:t>18.2</w:t>
            </w:r>
          </w:p>
        </w:tc>
        <w:tc>
          <w:tcPr>
            <w:tcW w:w="1398" w:type="dxa"/>
            <w:tcBorders>
              <w:left w:val="single" w:sz="4" w:space="0" w:color="C0C0C0"/>
              <w:bottom w:val="single" w:sz="4" w:space="0" w:color="C0C0C0"/>
            </w:tcBorders>
            <w:shd w:val="clear" w:color="auto" w:fill="FFFFFF" w:themeFill="background1"/>
            <w:vAlign w:val="center"/>
          </w:tcPr>
          <w:p w14:paraId="0D3DFCFE"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eastAsia="en-US"/>
              </w:rPr>
              <w:t>17.2</w:t>
            </w:r>
          </w:p>
        </w:tc>
      </w:tr>
      <w:tr w:rsidR="0056738E" w:rsidRPr="00A90D0C" w14:paraId="6852C28C" w14:textId="77777777" w:rsidTr="007C2AEE">
        <w:trPr>
          <w:trHeight w:val="255"/>
          <w:jc w:val="center"/>
        </w:trPr>
        <w:tc>
          <w:tcPr>
            <w:tcW w:w="2978" w:type="dxa"/>
            <w:vAlign w:val="center"/>
          </w:tcPr>
          <w:p w14:paraId="3123D75B" w14:textId="77777777" w:rsidR="0056738E" w:rsidRPr="00E0028A" w:rsidRDefault="0056738E" w:rsidP="007C2AEE">
            <w:pPr>
              <w:keepNext/>
              <w:keepLines/>
              <w:spacing w:after="0" w:line="240" w:lineRule="auto"/>
              <w:outlineLvl w:val="1"/>
              <w:rPr>
                <w:rFonts w:ascii="Arial" w:eastAsia="Batang" w:hAnsi="Arial" w:cs="Arial"/>
                <w:sz w:val="18"/>
                <w:szCs w:val="18"/>
                <w:lang w:val="el-GR" w:eastAsia="el-GR"/>
              </w:rPr>
            </w:pPr>
            <w:r w:rsidRPr="00E0028A">
              <w:rPr>
                <w:rFonts w:ascii="Arial" w:eastAsia="Batang" w:hAnsi="Arial" w:cs="Arial"/>
                <w:sz w:val="18"/>
                <w:szCs w:val="18"/>
                <w:lang w:val="el-GR" w:eastAsia="el-GR"/>
              </w:rPr>
              <w:t xml:space="preserve">Δείκτης Συνολικών Κεφαλαίων </w:t>
            </w:r>
          </w:p>
        </w:tc>
        <w:tc>
          <w:tcPr>
            <w:tcW w:w="1685" w:type="dxa"/>
            <w:tcBorders>
              <w:top w:val="single" w:sz="4" w:space="0" w:color="C0C0C0"/>
              <w:bottom w:val="single" w:sz="4" w:space="0" w:color="C0C0C0"/>
              <w:right w:val="single" w:sz="4" w:space="0" w:color="C0C0C0"/>
            </w:tcBorders>
            <w:shd w:val="clear" w:color="auto" w:fill="auto"/>
            <w:vAlign w:val="center"/>
          </w:tcPr>
          <w:p w14:paraId="47098D8F"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val="en-US" w:eastAsia="en-US"/>
              </w:rPr>
              <w:t>23.7</w:t>
            </w:r>
          </w:p>
        </w:tc>
        <w:tc>
          <w:tcPr>
            <w:tcW w:w="1559" w:type="dxa"/>
            <w:tcBorders>
              <w:top w:val="single" w:sz="4" w:space="0" w:color="C0C0C0"/>
              <w:bottom w:val="single" w:sz="4" w:space="0" w:color="C0C0C0"/>
              <w:right w:val="single" w:sz="4" w:space="0" w:color="C0C0C0"/>
            </w:tcBorders>
            <w:shd w:val="clear" w:color="auto" w:fill="auto"/>
            <w:vAlign w:val="center"/>
          </w:tcPr>
          <w:p w14:paraId="54887613"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eastAsia="en-US"/>
              </w:rPr>
              <w:t>22.4</w:t>
            </w:r>
          </w:p>
        </w:tc>
        <w:tc>
          <w:tcPr>
            <w:tcW w:w="1701" w:type="dxa"/>
            <w:tcBorders>
              <w:top w:val="single" w:sz="4" w:space="0" w:color="C0C0C0"/>
              <w:left w:val="single" w:sz="4" w:space="0" w:color="C0C0C0"/>
              <w:bottom w:val="single" w:sz="4" w:space="0" w:color="C0C0C0"/>
            </w:tcBorders>
            <w:shd w:val="clear" w:color="auto" w:fill="FFFFFF" w:themeFill="background1"/>
            <w:vAlign w:val="center"/>
          </w:tcPr>
          <w:p w14:paraId="1226898D"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val="en-US" w:eastAsia="en-US"/>
              </w:rPr>
              <w:t>23.5</w:t>
            </w:r>
          </w:p>
        </w:tc>
        <w:tc>
          <w:tcPr>
            <w:tcW w:w="1398" w:type="dxa"/>
            <w:tcBorders>
              <w:top w:val="single" w:sz="4" w:space="0" w:color="C0C0C0"/>
              <w:left w:val="single" w:sz="4" w:space="0" w:color="C0C0C0"/>
              <w:bottom w:val="single" w:sz="4" w:space="0" w:color="C0C0C0"/>
            </w:tcBorders>
            <w:shd w:val="clear" w:color="auto" w:fill="FFFFFF" w:themeFill="background1"/>
            <w:vAlign w:val="center"/>
          </w:tcPr>
          <w:p w14:paraId="6B77A71C" w14:textId="77777777" w:rsidR="0056738E" w:rsidRPr="00E0028A" w:rsidRDefault="0056738E" w:rsidP="007C2AEE">
            <w:pPr>
              <w:spacing w:after="0" w:line="240" w:lineRule="auto"/>
              <w:jc w:val="right"/>
              <w:rPr>
                <w:rFonts w:ascii="Arial" w:hAnsi="Arial" w:cs="Arial"/>
                <w:sz w:val="18"/>
                <w:szCs w:val="18"/>
                <w:lang w:val="el-GR"/>
              </w:rPr>
            </w:pPr>
            <w:r w:rsidRPr="002D1FED">
              <w:rPr>
                <w:rFonts w:ascii="Arial" w:eastAsia="Batang" w:hAnsi="Arial" w:cs="Arial"/>
                <w:bCs/>
                <w:sz w:val="18"/>
                <w:szCs w:val="18"/>
                <w:lang w:eastAsia="en-US"/>
              </w:rPr>
              <w:t>22.2</w:t>
            </w:r>
          </w:p>
        </w:tc>
      </w:tr>
      <w:tr w:rsidR="0056738E" w:rsidRPr="00A90D0C" w14:paraId="5C0A323B" w14:textId="77777777" w:rsidTr="007C2AEE">
        <w:trPr>
          <w:trHeight w:val="255"/>
          <w:jc w:val="center"/>
        </w:trPr>
        <w:tc>
          <w:tcPr>
            <w:tcW w:w="2978" w:type="dxa"/>
            <w:shd w:val="clear" w:color="auto" w:fill="auto"/>
            <w:vAlign w:val="center"/>
          </w:tcPr>
          <w:p w14:paraId="49FE6BEC" w14:textId="77777777" w:rsidR="0056738E" w:rsidRPr="00E0028A" w:rsidRDefault="0056738E" w:rsidP="007C2AEE">
            <w:pPr>
              <w:keepNext/>
              <w:keepLines/>
              <w:spacing w:after="0" w:line="240" w:lineRule="auto"/>
              <w:outlineLvl w:val="1"/>
              <w:rPr>
                <w:rFonts w:ascii="Arial" w:eastAsia="Batang" w:hAnsi="Arial" w:cs="Arial"/>
                <w:sz w:val="18"/>
                <w:szCs w:val="18"/>
                <w:lang w:val="el-GR" w:eastAsia="el-GR"/>
              </w:rPr>
            </w:pPr>
            <w:r w:rsidRPr="00E0028A">
              <w:rPr>
                <w:rFonts w:ascii="Arial" w:eastAsia="Batang" w:hAnsi="Arial" w:cs="Arial"/>
                <w:sz w:val="18"/>
                <w:szCs w:val="18"/>
                <w:lang w:val="el-GR" w:eastAsia="el-GR"/>
              </w:rPr>
              <w:t xml:space="preserve">Δείκτης </w:t>
            </w:r>
            <w:proofErr w:type="spellStart"/>
            <w:r w:rsidRPr="00E0028A">
              <w:rPr>
                <w:rFonts w:ascii="Arial" w:eastAsia="Batang" w:hAnsi="Arial" w:cs="Arial"/>
                <w:sz w:val="18"/>
                <w:szCs w:val="18"/>
                <w:lang w:val="el-GR" w:eastAsia="el-GR"/>
              </w:rPr>
              <w:t>Μόχλευσης</w:t>
            </w:r>
            <w:proofErr w:type="spellEnd"/>
          </w:p>
        </w:tc>
        <w:tc>
          <w:tcPr>
            <w:tcW w:w="168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7F0843"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val="en-US" w:eastAsia="en-US"/>
              </w:rPr>
              <w:t>8.4</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6CCFC6" w14:textId="77777777" w:rsidR="0056738E" w:rsidRPr="00E0028A" w:rsidRDefault="0056738E" w:rsidP="007C2AEE">
            <w:pPr>
              <w:spacing w:after="0" w:line="240" w:lineRule="auto"/>
              <w:jc w:val="right"/>
              <w:rPr>
                <w:rFonts w:ascii="Arial" w:hAnsi="Arial" w:cs="Arial"/>
                <w:b/>
                <w:bCs/>
                <w:sz w:val="18"/>
                <w:szCs w:val="18"/>
                <w:lang w:val="el-GR"/>
              </w:rPr>
            </w:pPr>
            <w:r w:rsidRPr="002D1FED">
              <w:rPr>
                <w:rFonts w:ascii="Arial" w:eastAsia="Batang" w:hAnsi="Arial" w:cs="Arial"/>
                <w:bCs/>
                <w:sz w:val="18"/>
                <w:szCs w:val="18"/>
                <w:lang w:eastAsia="en-US"/>
              </w:rPr>
              <w:t>7.6</w:t>
            </w: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6BCC2D"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val="en-US" w:eastAsia="en-US"/>
              </w:rPr>
              <w:t>8.3</w:t>
            </w:r>
          </w:p>
        </w:tc>
        <w:tc>
          <w:tcPr>
            <w:tcW w:w="13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B84ADBE" w14:textId="77777777" w:rsidR="0056738E" w:rsidRPr="00E0028A" w:rsidRDefault="0056738E" w:rsidP="007C2AEE">
            <w:pPr>
              <w:spacing w:after="0" w:line="240" w:lineRule="auto"/>
              <w:jc w:val="right"/>
              <w:rPr>
                <w:rFonts w:ascii="Arial" w:hAnsi="Arial" w:cs="Arial"/>
                <w:b/>
                <w:bCs/>
                <w:sz w:val="18"/>
                <w:szCs w:val="18"/>
                <w:lang w:val="el-GR"/>
              </w:rPr>
            </w:pPr>
            <w:r w:rsidRPr="002D1FED">
              <w:rPr>
                <w:rFonts w:ascii="Arial" w:eastAsia="Batang" w:hAnsi="Arial" w:cs="Arial"/>
                <w:bCs/>
                <w:sz w:val="18"/>
                <w:szCs w:val="18"/>
                <w:lang w:eastAsia="en-US"/>
              </w:rPr>
              <w:t>7.5</w:t>
            </w:r>
          </w:p>
        </w:tc>
      </w:tr>
      <w:tr w:rsidR="0056738E" w:rsidRPr="00A90D0C" w14:paraId="44774F1A" w14:textId="77777777" w:rsidTr="007C2AEE">
        <w:trPr>
          <w:trHeight w:val="227"/>
          <w:jc w:val="center"/>
        </w:trPr>
        <w:tc>
          <w:tcPr>
            <w:tcW w:w="9321" w:type="dxa"/>
            <w:gridSpan w:val="5"/>
            <w:tcBorders>
              <w:right w:val="single" w:sz="4" w:space="0" w:color="C0C0C0"/>
            </w:tcBorders>
            <w:shd w:val="clear" w:color="auto" w:fill="auto"/>
            <w:vAlign w:val="center"/>
          </w:tcPr>
          <w:p w14:paraId="0E35E3F8" w14:textId="77777777" w:rsidR="0056738E" w:rsidRPr="00C42B7D" w:rsidRDefault="0056738E" w:rsidP="007C2AEE">
            <w:pPr>
              <w:spacing w:after="0" w:line="120" w:lineRule="auto"/>
              <w:jc w:val="right"/>
              <w:rPr>
                <w:rFonts w:ascii="Arial" w:hAnsi="Arial" w:cs="Arial"/>
                <w:bCs/>
                <w:sz w:val="16"/>
                <w:szCs w:val="16"/>
              </w:rPr>
            </w:pPr>
          </w:p>
        </w:tc>
      </w:tr>
      <w:tr w:rsidR="0056738E" w:rsidRPr="007C2AEE" w14:paraId="7F20363A" w14:textId="77777777" w:rsidTr="007C2AEE">
        <w:trPr>
          <w:trHeight w:val="227"/>
          <w:jc w:val="center"/>
        </w:trPr>
        <w:tc>
          <w:tcPr>
            <w:tcW w:w="9321" w:type="dxa"/>
            <w:gridSpan w:val="5"/>
            <w:tcBorders>
              <w:right w:val="single" w:sz="4" w:space="0" w:color="C0C0C0"/>
            </w:tcBorders>
            <w:shd w:val="clear" w:color="auto" w:fill="auto"/>
            <w:vAlign w:val="center"/>
          </w:tcPr>
          <w:p w14:paraId="30226027" w14:textId="77777777" w:rsidR="0056738E" w:rsidRPr="00634AC9" w:rsidRDefault="0056738E" w:rsidP="007C2AEE">
            <w:pPr>
              <w:autoSpaceDE w:val="0"/>
              <w:autoSpaceDN w:val="0"/>
              <w:adjustRightInd w:val="0"/>
              <w:spacing w:after="120" w:line="240" w:lineRule="auto"/>
              <w:jc w:val="both"/>
              <w:rPr>
                <w:rFonts w:ascii="Arial" w:hAnsi="Arial" w:cs="Arial"/>
                <w:color w:val="262626"/>
                <w:sz w:val="14"/>
                <w:szCs w:val="14"/>
                <w:lang w:val="el-GR"/>
              </w:rPr>
            </w:pPr>
            <w:r w:rsidRPr="0006506B">
              <w:rPr>
                <w:rFonts w:ascii="Arial" w:hAnsi="Arial" w:cs="Arial"/>
                <w:bCs/>
                <w:sz w:val="16"/>
                <w:szCs w:val="16"/>
                <w:vertAlign w:val="superscript"/>
                <w:lang w:val="el-GR"/>
              </w:rPr>
              <w:t>1</w:t>
            </w:r>
            <w:r w:rsidRPr="00D17E65">
              <w:rPr>
                <w:rFonts w:ascii="Arial" w:hAnsi="Arial" w:cs="Arial"/>
                <w:bCs/>
                <w:sz w:val="16"/>
                <w:szCs w:val="16"/>
                <w:vertAlign w:val="superscript"/>
                <w:lang w:val="el-GR"/>
              </w:rPr>
              <w:t>.</w:t>
            </w:r>
            <w:r w:rsidRPr="00634AC9">
              <w:rPr>
                <w:rFonts w:ascii="Verdana" w:hAnsi="Verdana" w:cs="Verdana"/>
                <w:sz w:val="14"/>
                <w:szCs w:val="14"/>
                <w:lang w:val="el-GR"/>
              </w:rPr>
              <w:t xml:space="preserve"> </w:t>
            </w:r>
            <w:r w:rsidRPr="00634AC9">
              <w:rPr>
                <w:rFonts w:ascii="Arial" w:hAnsi="Arial" w:cs="Arial"/>
                <w:color w:val="262626"/>
                <w:sz w:val="14"/>
                <w:szCs w:val="14"/>
                <w:lang w:val="el-GR"/>
              </w:rPr>
              <w:t>Περιλαμβάνει κέρδη για το εξάμηνο που έληξε στις 30 Ιουνίου 2024 βάσει της απόφασης (ΕΕ) (2015/656) της ΕΚΤ σχετικά με τις προϋποθέσεις υπό τις οποίες επιτρέπεται να συμπεριληφθούν ενδιάμεσα κέρδη ή κέρδη τελικής χρήσης στο Κεφάλαιο Κοινών Μετοχών Κατηγορίας 1 (CET1) σύμφωνα με το άρθρο 26 παράγραφος 2 του Κανονισμού Κεφαλαιακών Απαιτήσεων (CRR), και πρόβλεψη για διανομή σε ποσοστό 50% της προσαρμοσμένης επαναλαμβανόμενης κερδοφορίας του Συγκροτήματος για την περίοδο, που αντιστοιχεί στο υψηλότερο ποσοστό της εγκεκριμένης πολιτικής διανομής του Συγκροτήματος σύμφωνα με τις αρχές του Κατ’ εξουσιοδότηση Κανονισμού της (ΕΕ) αριθ. 241/2014 σε σχέση με προβλέψιμα μερίσματα και επιβαρύνσεις. Η πρόβλεψη για διανομή δεν αποτελεί δέσμευση για καταβολή διανομής ούτε αποτελεί εγγύηση ή διαβεβαίωση ότι θα γίνει τέτοια καταβολή.</w:t>
            </w:r>
            <w:r w:rsidRPr="00915B0D">
              <w:rPr>
                <w:rFonts w:ascii="Arial" w:hAnsi="Arial" w:cs="Arial"/>
                <w:color w:val="262626"/>
                <w:sz w:val="14"/>
                <w:szCs w:val="14"/>
                <w:lang w:val="el-GR"/>
              </w:rPr>
              <w:t xml:space="preserve"> Περιλαμβάνοντας τα κέρδη για το τρίμηνο που έληξε στις 30 Σεπτεμβρίου 202</w:t>
            </w:r>
            <w:r w:rsidRPr="0065654A">
              <w:rPr>
                <w:rFonts w:ascii="Arial" w:hAnsi="Arial" w:cs="Arial"/>
                <w:color w:val="262626"/>
                <w:sz w:val="14"/>
                <w:szCs w:val="14"/>
                <w:lang w:val="el-GR"/>
              </w:rPr>
              <w:t>4</w:t>
            </w:r>
            <w:r w:rsidRPr="00915B0D">
              <w:rPr>
                <w:rFonts w:ascii="Arial" w:hAnsi="Arial" w:cs="Arial"/>
                <w:color w:val="262626"/>
                <w:sz w:val="14"/>
                <w:szCs w:val="14"/>
                <w:lang w:val="el-GR"/>
              </w:rPr>
              <w:t xml:space="preserve"> και πρόβλεψη για </w:t>
            </w:r>
            <w:r>
              <w:rPr>
                <w:rFonts w:ascii="Arial" w:hAnsi="Arial" w:cs="Arial"/>
                <w:color w:val="262626"/>
                <w:sz w:val="14"/>
                <w:szCs w:val="14"/>
                <w:lang w:val="el-GR"/>
              </w:rPr>
              <w:t>διανομή</w:t>
            </w:r>
            <w:r w:rsidRPr="00915B0D">
              <w:rPr>
                <w:rFonts w:ascii="Arial" w:hAnsi="Arial" w:cs="Arial"/>
                <w:color w:val="262626"/>
                <w:sz w:val="14"/>
                <w:szCs w:val="14"/>
                <w:lang w:val="el-GR"/>
              </w:rPr>
              <w:t xml:space="preserve"> σε ποσοστό 50% της προσαρμοσμένης επαναλαμβανόμενης κερδοφορίας του Συγκροτήματος για τ</w:t>
            </w:r>
            <w:r>
              <w:rPr>
                <w:rFonts w:ascii="Arial" w:hAnsi="Arial" w:cs="Arial"/>
                <w:color w:val="262626"/>
                <w:sz w:val="14"/>
                <w:szCs w:val="14"/>
                <w:lang w:val="el-GR"/>
              </w:rPr>
              <w:t>ην περίοδο</w:t>
            </w:r>
            <w:r w:rsidRPr="00915B0D">
              <w:rPr>
                <w:rFonts w:ascii="Arial" w:hAnsi="Arial" w:cs="Arial"/>
                <w:color w:val="262626"/>
                <w:sz w:val="14"/>
                <w:szCs w:val="14"/>
                <w:lang w:val="el-GR"/>
              </w:rPr>
              <w:t>, ο δείκτης Κεφαλαίου Κοινών Μετοχών Κατηγορίας 1 (</w:t>
            </w:r>
            <w:r w:rsidRPr="00835208">
              <w:rPr>
                <w:rFonts w:ascii="Arial" w:hAnsi="Arial" w:cs="Arial"/>
                <w:color w:val="262626"/>
                <w:sz w:val="14"/>
                <w:szCs w:val="14"/>
              </w:rPr>
              <w:t>CET</w:t>
            </w:r>
            <w:r w:rsidRPr="00915B0D">
              <w:rPr>
                <w:rFonts w:ascii="Arial" w:hAnsi="Arial" w:cs="Arial"/>
                <w:color w:val="262626"/>
                <w:sz w:val="14"/>
                <w:szCs w:val="14"/>
                <w:lang w:val="el-GR"/>
              </w:rPr>
              <w:t xml:space="preserve">1), ο δείκτης Συνολικών Ιδίων Κεφαλαίων και ο Δείκτης </w:t>
            </w:r>
            <w:proofErr w:type="spellStart"/>
            <w:r w:rsidRPr="00915B0D">
              <w:rPr>
                <w:rFonts w:ascii="Arial" w:hAnsi="Arial" w:cs="Arial"/>
                <w:color w:val="262626"/>
                <w:sz w:val="14"/>
                <w:szCs w:val="14"/>
                <w:lang w:val="el-GR"/>
              </w:rPr>
              <w:t>Μόχλευσης</w:t>
            </w:r>
            <w:proofErr w:type="spellEnd"/>
            <w:r w:rsidRPr="00915B0D">
              <w:rPr>
                <w:rFonts w:ascii="Arial" w:hAnsi="Arial" w:cs="Arial"/>
                <w:color w:val="262626"/>
                <w:sz w:val="14"/>
                <w:szCs w:val="14"/>
                <w:lang w:val="el-GR"/>
              </w:rPr>
              <w:t xml:space="preserve">, ανέρχονται σε </w:t>
            </w:r>
            <w:r w:rsidRPr="0065654A">
              <w:rPr>
                <w:rFonts w:ascii="Arial" w:hAnsi="Arial" w:cs="Arial"/>
                <w:color w:val="262626"/>
                <w:sz w:val="14"/>
                <w:szCs w:val="14"/>
                <w:lang w:val="el-GR"/>
              </w:rPr>
              <w:t>19.1</w:t>
            </w:r>
            <w:r w:rsidRPr="00915B0D">
              <w:rPr>
                <w:rFonts w:ascii="Arial" w:hAnsi="Arial" w:cs="Arial"/>
                <w:color w:val="262626"/>
                <w:sz w:val="14"/>
                <w:szCs w:val="14"/>
                <w:lang w:val="el-GR"/>
              </w:rPr>
              <w:t xml:space="preserve">%, </w:t>
            </w:r>
            <w:r w:rsidRPr="0065654A">
              <w:rPr>
                <w:rFonts w:ascii="Arial" w:hAnsi="Arial" w:cs="Arial"/>
                <w:color w:val="262626"/>
                <w:sz w:val="14"/>
                <w:szCs w:val="14"/>
                <w:lang w:val="el-GR"/>
              </w:rPr>
              <w:t>24.3</w:t>
            </w:r>
            <w:r w:rsidRPr="00915B0D">
              <w:rPr>
                <w:rFonts w:ascii="Arial" w:hAnsi="Arial" w:cs="Arial"/>
                <w:color w:val="262626"/>
                <w:sz w:val="14"/>
                <w:szCs w:val="14"/>
                <w:lang w:val="el-GR"/>
              </w:rPr>
              <w:t>% και</w:t>
            </w:r>
            <w:r w:rsidRPr="0065654A">
              <w:rPr>
                <w:rFonts w:ascii="Arial" w:hAnsi="Arial" w:cs="Arial"/>
                <w:color w:val="262626"/>
                <w:sz w:val="14"/>
                <w:szCs w:val="14"/>
                <w:lang w:val="el-GR"/>
              </w:rPr>
              <w:t xml:space="preserve"> 8.</w:t>
            </w:r>
            <w:r w:rsidRPr="0039776D">
              <w:rPr>
                <w:rFonts w:ascii="Arial" w:hAnsi="Arial" w:cs="Arial"/>
                <w:color w:val="262626"/>
                <w:sz w:val="14"/>
                <w:szCs w:val="14"/>
                <w:lang w:val="el-GR"/>
              </w:rPr>
              <w:t>7</w:t>
            </w:r>
            <w:r w:rsidRPr="00915B0D">
              <w:rPr>
                <w:rFonts w:ascii="Arial" w:hAnsi="Arial" w:cs="Arial"/>
                <w:color w:val="262626"/>
                <w:sz w:val="14"/>
                <w:szCs w:val="14"/>
                <w:lang w:val="el-GR"/>
              </w:rPr>
              <w:t>% αντίστοιχα</w:t>
            </w:r>
            <w:r w:rsidRPr="0065654A">
              <w:rPr>
                <w:rFonts w:ascii="Arial" w:hAnsi="Arial" w:cs="Arial"/>
                <w:color w:val="262626"/>
                <w:sz w:val="14"/>
                <w:szCs w:val="14"/>
                <w:lang w:val="el-GR"/>
              </w:rPr>
              <w:t>,</w:t>
            </w:r>
            <w:r>
              <w:rPr>
                <w:rFonts w:ascii="Arial" w:hAnsi="Arial" w:cs="Arial"/>
                <w:color w:val="262626"/>
                <w:sz w:val="14"/>
                <w:szCs w:val="14"/>
                <w:lang w:val="el-GR"/>
              </w:rPr>
              <w:t xml:space="preserve"> στις 30 Σεπτεμβρίου 202</w:t>
            </w:r>
            <w:r w:rsidRPr="0065654A">
              <w:rPr>
                <w:rFonts w:ascii="Arial" w:hAnsi="Arial" w:cs="Arial"/>
                <w:color w:val="262626"/>
                <w:sz w:val="14"/>
                <w:szCs w:val="14"/>
                <w:lang w:val="el-GR"/>
              </w:rPr>
              <w:t>4</w:t>
            </w:r>
            <w:r>
              <w:rPr>
                <w:rFonts w:ascii="Arial" w:hAnsi="Arial" w:cs="Arial"/>
                <w:color w:val="262626"/>
                <w:sz w:val="14"/>
                <w:szCs w:val="14"/>
                <w:lang w:val="el-GR"/>
              </w:rPr>
              <w:t>.</w:t>
            </w:r>
          </w:p>
          <w:p w14:paraId="31CF8B7D" w14:textId="77777777" w:rsidR="0056738E" w:rsidRPr="00634AC9" w:rsidRDefault="0056738E" w:rsidP="007C2AEE">
            <w:pPr>
              <w:spacing w:after="120" w:line="240" w:lineRule="auto"/>
              <w:jc w:val="both"/>
              <w:rPr>
                <w:rFonts w:ascii="Arial" w:hAnsi="Arial" w:cs="Arial"/>
                <w:color w:val="262626"/>
                <w:sz w:val="14"/>
                <w:szCs w:val="14"/>
                <w:lang w:val="el-GR"/>
              </w:rPr>
            </w:pPr>
            <w:r w:rsidRPr="00D17E65">
              <w:rPr>
                <w:rFonts w:ascii="Arial" w:hAnsi="Arial" w:cs="Arial"/>
                <w:bCs/>
                <w:sz w:val="16"/>
                <w:szCs w:val="16"/>
                <w:vertAlign w:val="superscript"/>
                <w:lang w:val="el-GR"/>
              </w:rPr>
              <w:t xml:space="preserve">2. </w:t>
            </w:r>
            <w:r w:rsidRPr="00634AC9">
              <w:rPr>
                <w:rFonts w:ascii="Arial" w:hAnsi="Arial" w:cs="Arial"/>
                <w:color w:val="262626"/>
                <w:sz w:val="14"/>
                <w:szCs w:val="14"/>
                <w:lang w:val="el-GR"/>
              </w:rPr>
              <w:t>Περιλαμβάνει κέρδη για το εξάμηνο που έληξε στις 30 Ιουνίου 2024 βάσει της απόφασης (ΕΕ) (2015/656) της ΕΚΤ σχετικά με τις προϋποθέσεις υπό τις οποίες επιτρέπεται να συμπεριληφθούν ενδιάμεσα κέρδη ή κέρδη τελικής χρήσης στο Κεφάλαιο Κοινών Μετοχών Κατηγορίας 1 (</w:t>
            </w:r>
            <w:r w:rsidRPr="00634AC9">
              <w:rPr>
                <w:rFonts w:ascii="Arial" w:hAnsi="Arial" w:cs="Arial"/>
                <w:color w:val="262626"/>
                <w:sz w:val="14"/>
                <w:szCs w:val="14"/>
              </w:rPr>
              <w:t>CET</w:t>
            </w:r>
            <w:r w:rsidRPr="00634AC9">
              <w:rPr>
                <w:rFonts w:ascii="Arial" w:hAnsi="Arial" w:cs="Arial"/>
                <w:color w:val="262626"/>
                <w:sz w:val="14"/>
                <w:szCs w:val="14"/>
                <w:lang w:val="el-GR"/>
              </w:rPr>
              <w:t>1) σύμφωνα με το άρθρο 26 παράγραφος 2 του Κανονισμού Κεφαλαιακών Απαιτήσεων (</w:t>
            </w:r>
            <w:r w:rsidRPr="00634AC9">
              <w:rPr>
                <w:rFonts w:ascii="Arial" w:hAnsi="Arial" w:cs="Arial"/>
                <w:color w:val="262626"/>
                <w:sz w:val="14"/>
                <w:szCs w:val="14"/>
              </w:rPr>
              <w:t>CRR</w:t>
            </w:r>
            <w:r w:rsidRPr="00634AC9">
              <w:rPr>
                <w:rFonts w:ascii="Arial" w:hAnsi="Arial" w:cs="Arial"/>
                <w:color w:val="262626"/>
                <w:sz w:val="14"/>
                <w:szCs w:val="14"/>
                <w:lang w:val="el-GR"/>
              </w:rPr>
              <w:t>), και πρόβλεψη για διανομή σε ποσοστό 50% της προσαρμοσμένης επαναλαμβανόμενης κερδοφορίας του Συγκροτήματος για την περίοδο, που αντιστοιχεί στο υψηλότερο ποσοστό της εγκεκριμένης πολιτικής διανομής του Συγκροτήματος σύμφωνα με τις αρχές του Κατ’ εξουσιοδότηση Κανονισμού της (ΕΕ) αριθ. 241/2014 σε σχέση με προβλέψιμα μερίσματα και επιβαρύνσεις. Η πρόβλεψη για διανομή δεν αποτελεί δέσμευση για καταβολή διανομής ούτε αποτελεί εγγύηση ή διαβεβαίωση ότι θα γίνει τέτοια καταβολή</w:t>
            </w:r>
            <w:r w:rsidRPr="005A384F">
              <w:rPr>
                <w:rFonts w:ascii="Arial" w:hAnsi="Arial" w:cs="Arial"/>
                <w:color w:val="262626"/>
                <w:sz w:val="14"/>
                <w:szCs w:val="14"/>
                <w:lang w:val="el-GR"/>
              </w:rPr>
              <w:t>.</w:t>
            </w:r>
            <w:r w:rsidRPr="0065654A">
              <w:rPr>
                <w:rFonts w:ascii="Arial" w:hAnsi="Arial" w:cs="Arial"/>
                <w:color w:val="262626"/>
                <w:sz w:val="14"/>
                <w:szCs w:val="14"/>
                <w:lang w:val="el-GR"/>
              </w:rPr>
              <w:t xml:space="preserve"> Περιλαμβάνοντας τα κέρδη για το τρίμηνο που έληξε στις 30 Σεπτεμβρίου 2024 και πρόβλεψη για </w:t>
            </w:r>
            <w:r>
              <w:rPr>
                <w:rFonts w:ascii="Arial" w:hAnsi="Arial" w:cs="Arial"/>
                <w:color w:val="262626"/>
                <w:sz w:val="14"/>
                <w:szCs w:val="14"/>
                <w:lang w:val="el-GR"/>
              </w:rPr>
              <w:t>διανομή</w:t>
            </w:r>
            <w:r w:rsidRPr="0065654A">
              <w:rPr>
                <w:rFonts w:ascii="Arial" w:hAnsi="Arial" w:cs="Arial"/>
                <w:color w:val="262626"/>
                <w:sz w:val="14"/>
                <w:szCs w:val="14"/>
                <w:lang w:val="el-GR"/>
              </w:rPr>
              <w:t xml:space="preserve"> σε ποσοστό 50% της προσαρμοσμένης επαναλαμβανόμενης κερδοφορίας του Συγκροτήματος για τ</w:t>
            </w:r>
            <w:r>
              <w:rPr>
                <w:rFonts w:ascii="Arial" w:hAnsi="Arial" w:cs="Arial"/>
                <w:color w:val="262626"/>
                <w:sz w:val="14"/>
                <w:szCs w:val="14"/>
                <w:lang w:val="el-GR"/>
              </w:rPr>
              <w:t>ην περίοδο</w:t>
            </w:r>
            <w:r w:rsidRPr="0065654A">
              <w:rPr>
                <w:rFonts w:ascii="Arial" w:hAnsi="Arial" w:cs="Arial"/>
                <w:color w:val="262626"/>
                <w:sz w:val="14"/>
                <w:szCs w:val="14"/>
                <w:lang w:val="el-GR"/>
              </w:rPr>
              <w:t>, ο δείκτης Κεφαλαίου Κοινών Μετοχών Κατηγορίας 1 (</w:t>
            </w:r>
            <w:r w:rsidRPr="00835208">
              <w:rPr>
                <w:rFonts w:ascii="Arial" w:hAnsi="Arial" w:cs="Arial"/>
                <w:color w:val="262626"/>
                <w:sz w:val="14"/>
                <w:szCs w:val="14"/>
              </w:rPr>
              <w:t>CET</w:t>
            </w:r>
            <w:r w:rsidRPr="0065654A">
              <w:rPr>
                <w:rFonts w:ascii="Arial" w:hAnsi="Arial" w:cs="Arial"/>
                <w:color w:val="262626"/>
                <w:sz w:val="14"/>
                <w:szCs w:val="14"/>
                <w:lang w:val="el-GR"/>
              </w:rPr>
              <w:t xml:space="preserve">1), ο δείκτης Συνολικών Ιδίων Κεφαλαίων και ο Δείκτης </w:t>
            </w:r>
            <w:proofErr w:type="spellStart"/>
            <w:r w:rsidRPr="0065654A">
              <w:rPr>
                <w:rFonts w:ascii="Arial" w:hAnsi="Arial" w:cs="Arial"/>
                <w:color w:val="262626"/>
                <w:sz w:val="14"/>
                <w:szCs w:val="14"/>
                <w:lang w:val="el-GR"/>
              </w:rPr>
              <w:t>Μόχλευσης</w:t>
            </w:r>
            <w:proofErr w:type="spellEnd"/>
            <w:r w:rsidRPr="0065654A">
              <w:rPr>
                <w:rFonts w:ascii="Arial" w:hAnsi="Arial" w:cs="Arial"/>
                <w:color w:val="262626"/>
                <w:sz w:val="14"/>
                <w:szCs w:val="14"/>
                <w:lang w:val="el-GR"/>
              </w:rPr>
              <w:t>, ανέρχονται σε 18.7%, 23.9% και 8.5%, αντίστοιχα</w:t>
            </w:r>
            <w:r>
              <w:rPr>
                <w:rFonts w:ascii="Arial" w:hAnsi="Arial" w:cs="Arial"/>
                <w:color w:val="262626"/>
                <w:sz w:val="14"/>
                <w:szCs w:val="14"/>
                <w:lang w:val="el-GR"/>
              </w:rPr>
              <w:t xml:space="preserve"> στις 30 Σεπτεμβρίου 202</w:t>
            </w:r>
            <w:r w:rsidRPr="0065654A">
              <w:rPr>
                <w:rFonts w:ascii="Arial" w:hAnsi="Arial" w:cs="Arial"/>
                <w:color w:val="262626"/>
                <w:sz w:val="14"/>
                <w:szCs w:val="14"/>
                <w:lang w:val="el-GR"/>
              </w:rPr>
              <w:t>4</w:t>
            </w:r>
            <w:r>
              <w:rPr>
                <w:rFonts w:ascii="Arial" w:hAnsi="Arial" w:cs="Arial"/>
                <w:color w:val="262626"/>
                <w:sz w:val="14"/>
                <w:szCs w:val="14"/>
                <w:lang w:val="el-GR"/>
              </w:rPr>
              <w:t>.</w:t>
            </w:r>
          </w:p>
          <w:p w14:paraId="022713A7" w14:textId="77777777" w:rsidR="0056738E" w:rsidRDefault="0056738E" w:rsidP="007C2AEE">
            <w:pPr>
              <w:spacing w:after="120" w:line="240" w:lineRule="auto"/>
              <w:jc w:val="both"/>
              <w:rPr>
                <w:rFonts w:ascii="Arial" w:hAnsi="Arial" w:cs="Arial"/>
                <w:sz w:val="14"/>
                <w:szCs w:val="14"/>
                <w:lang w:val="el-GR"/>
              </w:rPr>
            </w:pPr>
            <w:r w:rsidRPr="00D17E65">
              <w:rPr>
                <w:rFonts w:ascii="Arial" w:hAnsi="Arial" w:cs="Arial"/>
                <w:bCs/>
                <w:sz w:val="16"/>
                <w:szCs w:val="16"/>
                <w:vertAlign w:val="superscript"/>
                <w:lang w:val="el-GR"/>
              </w:rPr>
              <w:t xml:space="preserve">3.  </w:t>
            </w:r>
            <w:r w:rsidRPr="00634AC9">
              <w:rPr>
                <w:rFonts w:ascii="Arial" w:hAnsi="Arial" w:cs="Arial"/>
                <w:sz w:val="14"/>
                <w:szCs w:val="14"/>
                <w:lang w:val="el-GR"/>
              </w:rPr>
              <w:t xml:space="preserve">Περιλαμβάνει κέρδη για το έτος που έληξε στις 31 Δεκεμβρίου 2023 και αφαίρεση ποσού για τη διανομή από τα κέρδη του 2023 ύψους €137 εκατ., μετά από έγκριση που λήφθηκε από την ΕΚΤ τον Μάρτιο 2024 και σχετική σύσταση του Διοικητικού Συμβουλίου προς τους μετόχους για τελικό μέρισμα σε μετρητά ύψους €112 εκατ. και κατ' αρχήν έγκριση από το Διοικητικό Συμβούλιο για να προβεί σε επαναγορά συνήθων μετοχών της Εταιρίας έναντι συνολικού τιμήματος έως και €25 εκατ. και σύμφωνα με τους όρους της έγκρισης της ΕΚΤ. Παρομοίως, για την </w:t>
            </w:r>
            <w:r w:rsidRPr="00634AC9">
              <w:rPr>
                <w:rFonts w:ascii="Arial" w:hAnsi="Arial" w:cs="Arial"/>
                <w:sz w:val="14"/>
                <w:szCs w:val="14"/>
              </w:rPr>
              <w:t>BOC</w:t>
            </w:r>
            <w:r w:rsidRPr="00634AC9">
              <w:rPr>
                <w:rFonts w:ascii="Arial" w:hAnsi="Arial" w:cs="Arial"/>
                <w:sz w:val="14"/>
                <w:szCs w:val="14"/>
                <w:lang w:val="el-GR"/>
              </w:rPr>
              <w:t xml:space="preserve"> </w:t>
            </w:r>
            <w:r w:rsidRPr="00634AC9">
              <w:rPr>
                <w:rFonts w:ascii="Arial" w:hAnsi="Arial" w:cs="Arial"/>
                <w:sz w:val="14"/>
                <w:szCs w:val="14"/>
              </w:rPr>
              <w:t>PCL</w:t>
            </w:r>
            <w:r w:rsidRPr="00634AC9">
              <w:rPr>
                <w:rFonts w:ascii="Arial" w:hAnsi="Arial" w:cs="Arial"/>
                <w:sz w:val="14"/>
                <w:szCs w:val="14"/>
                <w:lang w:val="el-GR"/>
              </w:rPr>
              <w:t xml:space="preserve"> περιλαμβάνονται κέρδη για το έτος που έληξε στις 31 Δεκεμβρίου 2023 και αφαίρεση ποσού για τη διανομή από τα κέρδη του 2023 μετά την έγκριση που λήφθηκε από την ΕΚΤ τον Μάρτιο 2024 και τη σχετική σύσταση του Διοικητικού Συμβουλίου προς τους μετόχους για τελικό μέρισμα σε μετρητά ύψους €137 εκατ.</w:t>
            </w:r>
          </w:p>
          <w:p w14:paraId="3029ADF5" w14:textId="77777777" w:rsidR="0056738E" w:rsidRPr="00A03828" w:rsidRDefault="0056738E" w:rsidP="007C2AEE">
            <w:pPr>
              <w:spacing w:after="120" w:line="240" w:lineRule="auto"/>
              <w:jc w:val="both"/>
              <w:rPr>
                <w:rFonts w:ascii="Arial" w:hAnsi="Arial" w:cs="Arial"/>
                <w:bCs/>
                <w:sz w:val="16"/>
                <w:szCs w:val="16"/>
                <w:vertAlign w:val="superscript"/>
                <w:lang w:val="el-GR"/>
              </w:rPr>
            </w:pPr>
            <w:r>
              <w:rPr>
                <w:rFonts w:ascii="Arial" w:hAnsi="Arial" w:cs="Arial"/>
                <w:bCs/>
                <w:sz w:val="16"/>
                <w:szCs w:val="16"/>
                <w:vertAlign w:val="superscript"/>
                <w:lang w:val="el-GR"/>
              </w:rPr>
              <w:t>4</w:t>
            </w:r>
            <w:r w:rsidRPr="00D17E65">
              <w:rPr>
                <w:rFonts w:ascii="Arial" w:hAnsi="Arial" w:cs="Arial"/>
                <w:bCs/>
                <w:sz w:val="16"/>
                <w:szCs w:val="16"/>
                <w:vertAlign w:val="superscript"/>
                <w:lang w:val="el-GR"/>
              </w:rPr>
              <w:t xml:space="preserve">.  </w:t>
            </w:r>
            <w:r w:rsidRPr="00634AC9">
              <w:rPr>
                <w:rFonts w:ascii="Arial" w:hAnsi="Arial" w:cs="Arial"/>
                <w:sz w:val="14"/>
                <w:szCs w:val="14"/>
                <w:lang w:val="el-GR"/>
              </w:rPr>
              <w:t>Τα Κεφάλαια Κοινών Μετοχών Κατηγορίας 1 (</w:t>
            </w:r>
            <w:r w:rsidRPr="00634AC9">
              <w:rPr>
                <w:rFonts w:ascii="Arial" w:hAnsi="Arial" w:cs="Arial"/>
                <w:sz w:val="14"/>
                <w:szCs w:val="14"/>
              </w:rPr>
              <w:t>CET</w:t>
            </w:r>
            <w:r w:rsidRPr="00634AC9">
              <w:rPr>
                <w:rFonts w:ascii="Arial" w:hAnsi="Arial" w:cs="Arial"/>
                <w:sz w:val="14"/>
                <w:szCs w:val="14"/>
                <w:lang w:val="el-GR"/>
              </w:rPr>
              <w:t>1) περιλαμβάνουν αφαιρέσεις λόγω κανονιστικών διατάξεων, που αποτελούνται, μεταξύ</w:t>
            </w:r>
            <w:r>
              <w:rPr>
                <w:rFonts w:ascii="Arial" w:hAnsi="Arial" w:cs="Arial"/>
                <w:sz w:val="14"/>
                <w:szCs w:val="14"/>
                <w:lang w:val="el-GR"/>
              </w:rPr>
              <w:t xml:space="preserve"> </w:t>
            </w:r>
            <w:r w:rsidRPr="00634AC9">
              <w:rPr>
                <w:rFonts w:ascii="Arial" w:hAnsi="Arial" w:cs="Arial"/>
                <w:sz w:val="14"/>
                <w:szCs w:val="14"/>
                <w:lang w:val="el-GR"/>
              </w:rPr>
              <w:t>άλλων,</w:t>
            </w:r>
            <w:r>
              <w:rPr>
                <w:rFonts w:ascii="Arial" w:hAnsi="Arial" w:cs="Arial"/>
                <w:sz w:val="14"/>
                <w:szCs w:val="14"/>
                <w:lang w:val="el-GR"/>
              </w:rPr>
              <w:t xml:space="preserve"> </w:t>
            </w:r>
            <w:r w:rsidRPr="00634AC9">
              <w:rPr>
                <w:rFonts w:ascii="Arial" w:hAnsi="Arial" w:cs="Arial"/>
                <w:sz w:val="14"/>
                <w:szCs w:val="14"/>
                <w:lang w:val="el-GR"/>
              </w:rPr>
              <w:t>από άυλα περιουσιακά στοιχεία ύψους €</w:t>
            </w:r>
            <w:r w:rsidRPr="00A03828">
              <w:rPr>
                <w:rFonts w:ascii="Arial" w:hAnsi="Arial" w:cs="Arial"/>
                <w:sz w:val="14"/>
                <w:szCs w:val="14"/>
                <w:lang w:val="el-GR"/>
              </w:rPr>
              <w:t>21,479</w:t>
            </w:r>
            <w:r w:rsidRPr="00634AC9">
              <w:rPr>
                <w:rFonts w:ascii="Arial" w:hAnsi="Arial" w:cs="Arial"/>
                <w:sz w:val="14"/>
                <w:szCs w:val="14"/>
                <w:lang w:val="el-GR"/>
              </w:rPr>
              <w:t xml:space="preserve"> χιλ. για το Συγκρότημα και €</w:t>
            </w:r>
            <w:r w:rsidRPr="00A03828">
              <w:rPr>
                <w:rFonts w:ascii="Arial" w:hAnsi="Arial" w:cs="Arial"/>
                <w:sz w:val="14"/>
                <w:szCs w:val="14"/>
                <w:lang w:val="el-GR"/>
              </w:rPr>
              <w:t>13,867</w:t>
            </w:r>
            <w:r w:rsidRPr="00634AC9">
              <w:rPr>
                <w:rFonts w:ascii="Arial" w:hAnsi="Arial" w:cs="Arial"/>
                <w:sz w:val="14"/>
                <w:szCs w:val="14"/>
                <w:lang w:val="el-GR"/>
              </w:rPr>
              <w:t xml:space="preserve"> χιλ. για την </w:t>
            </w:r>
            <w:r w:rsidRPr="00634AC9">
              <w:rPr>
                <w:rFonts w:ascii="Arial" w:hAnsi="Arial" w:cs="Arial"/>
                <w:sz w:val="14"/>
                <w:szCs w:val="14"/>
              </w:rPr>
              <w:t>BOC</w:t>
            </w:r>
            <w:r w:rsidRPr="00634AC9">
              <w:rPr>
                <w:rFonts w:ascii="Arial" w:hAnsi="Arial" w:cs="Arial"/>
                <w:sz w:val="14"/>
                <w:szCs w:val="14"/>
                <w:lang w:val="el-GR"/>
              </w:rPr>
              <w:t xml:space="preserve"> </w:t>
            </w:r>
            <w:r w:rsidRPr="00634AC9">
              <w:rPr>
                <w:rFonts w:ascii="Arial" w:hAnsi="Arial" w:cs="Arial"/>
                <w:sz w:val="14"/>
                <w:szCs w:val="14"/>
              </w:rPr>
              <w:t>PCL</w:t>
            </w:r>
            <w:r w:rsidRPr="00634AC9">
              <w:rPr>
                <w:rFonts w:ascii="Arial" w:hAnsi="Arial" w:cs="Arial"/>
                <w:sz w:val="14"/>
                <w:szCs w:val="14"/>
                <w:lang w:val="el-GR"/>
              </w:rPr>
              <w:t xml:space="preserve"> στις 30 </w:t>
            </w:r>
            <w:r w:rsidRPr="00915B0D">
              <w:rPr>
                <w:rFonts w:ascii="Arial" w:hAnsi="Arial" w:cs="Arial"/>
                <w:color w:val="262626"/>
                <w:sz w:val="14"/>
                <w:szCs w:val="14"/>
                <w:lang w:val="el-GR"/>
              </w:rPr>
              <w:t xml:space="preserve">Σεπτεμβρίου </w:t>
            </w:r>
            <w:r w:rsidRPr="00634AC9">
              <w:rPr>
                <w:rFonts w:ascii="Arial" w:hAnsi="Arial" w:cs="Arial"/>
                <w:sz w:val="14"/>
                <w:szCs w:val="14"/>
                <w:lang w:val="el-GR"/>
              </w:rPr>
              <w:t>2024 (31</w:t>
            </w:r>
            <w:r>
              <w:rPr>
                <w:rFonts w:ascii="Arial" w:hAnsi="Arial" w:cs="Arial"/>
                <w:sz w:val="14"/>
                <w:szCs w:val="14"/>
                <w:lang w:val="el-GR"/>
              </w:rPr>
              <w:t xml:space="preserve"> </w:t>
            </w:r>
            <w:r w:rsidRPr="00634AC9">
              <w:rPr>
                <w:rFonts w:ascii="Arial" w:hAnsi="Arial" w:cs="Arial"/>
                <w:sz w:val="14"/>
                <w:szCs w:val="14"/>
                <w:lang w:val="el-GR"/>
              </w:rPr>
              <w:t xml:space="preserve">Δεκεμβρίου 2023: €24,337 χιλ. για το Συγκρότημα και €16,861 χιλ. για την </w:t>
            </w:r>
            <w:r w:rsidRPr="00634AC9">
              <w:rPr>
                <w:rFonts w:ascii="Arial" w:hAnsi="Arial" w:cs="Arial"/>
                <w:sz w:val="14"/>
                <w:szCs w:val="14"/>
              </w:rPr>
              <w:t>BOC</w:t>
            </w:r>
            <w:r w:rsidRPr="00634AC9">
              <w:rPr>
                <w:rFonts w:ascii="Arial" w:hAnsi="Arial" w:cs="Arial"/>
                <w:sz w:val="14"/>
                <w:szCs w:val="14"/>
                <w:lang w:val="el-GR"/>
              </w:rPr>
              <w:t xml:space="preserve"> </w:t>
            </w:r>
            <w:r w:rsidRPr="00634AC9">
              <w:rPr>
                <w:rFonts w:ascii="Arial" w:hAnsi="Arial" w:cs="Arial"/>
                <w:sz w:val="14"/>
                <w:szCs w:val="14"/>
              </w:rPr>
              <w:t>PCL</w:t>
            </w:r>
            <w:r w:rsidRPr="00634AC9">
              <w:rPr>
                <w:rFonts w:ascii="Arial" w:hAnsi="Arial" w:cs="Arial"/>
                <w:sz w:val="14"/>
                <w:szCs w:val="14"/>
                <w:lang w:val="el-GR"/>
              </w:rPr>
              <w:t xml:space="preserve">). </w:t>
            </w:r>
          </w:p>
          <w:p w14:paraId="4A036400" w14:textId="77777777" w:rsidR="0056738E" w:rsidRPr="00C42B7D" w:rsidRDefault="0056738E" w:rsidP="007C2AEE">
            <w:pPr>
              <w:spacing w:after="120" w:line="240" w:lineRule="auto"/>
              <w:jc w:val="both"/>
              <w:rPr>
                <w:rFonts w:ascii="Arial" w:hAnsi="Arial" w:cs="Arial"/>
                <w:bCs/>
                <w:sz w:val="18"/>
                <w:szCs w:val="18"/>
                <w:lang w:val="el-GR"/>
              </w:rPr>
            </w:pPr>
            <w:r w:rsidRPr="00634AC9">
              <w:rPr>
                <w:rFonts w:ascii="Arial" w:hAnsi="Arial" w:cs="Arial"/>
                <w:bCs/>
                <w:sz w:val="16"/>
                <w:szCs w:val="16"/>
                <w:vertAlign w:val="superscript"/>
                <w:lang w:val="el-GR"/>
              </w:rPr>
              <w:t>5</w:t>
            </w:r>
            <w:r w:rsidRPr="00D17E65">
              <w:rPr>
                <w:rFonts w:ascii="Arial" w:hAnsi="Arial" w:cs="Arial"/>
                <w:bCs/>
                <w:sz w:val="16"/>
                <w:szCs w:val="16"/>
                <w:vertAlign w:val="superscript"/>
                <w:lang w:val="el-GR"/>
              </w:rPr>
              <w:t xml:space="preserve">. </w:t>
            </w:r>
            <w:r w:rsidRPr="00D17E65">
              <w:rPr>
                <w:rFonts w:ascii="Arial" w:hAnsi="Arial" w:cs="Arial"/>
                <w:sz w:val="14"/>
                <w:szCs w:val="14"/>
                <w:lang w:val="el-GR"/>
              </w:rPr>
              <w:t xml:space="preserve">Περιλαμβάνει τις </w:t>
            </w:r>
            <w:r>
              <w:rPr>
                <w:rFonts w:ascii="Arial" w:hAnsi="Arial" w:cs="Arial"/>
                <w:sz w:val="14"/>
                <w:szCs w:val="14"/>
                <w:lang w:val="el-GR"/>
              </w:rPr>
              <w:t>π</w:t>
            </w:r>
            <w:r w:rsidRPr="00D17E65">
              <w:rPr>
                <w:rFonts w:ascii="Arial" w:hAnsi="Arial" w:cs="Arial"/>
                <w:sz w:val="14"/>
                <w:szCs w:val="14"/>
                <w:lang w:val="el-GR"/>
              </w:rPr>
              <w:t xml:space="preserve">ροσαρμογές </w:t>
            </w:r>
            <w:r>
              <w:rPr>
                <w:rFonts w:ascii="Arial" w:hAnsi="Arial" w:cs="Arial"/>
                <w:sz w:val="14"/>
                <w:szCs w:val="14"/>
                <w:lang w:val="el-GR"/>
              </w:rPr>
              <w:t>π</w:t>
            </w:r>
            <w:r w:rsidRPr="00D17E65">
              <w:rPr>
                <w:rFonts w:ascii="Arial" w:hAnsi="Arial" w:cs="Arial"/>
                <w:sz w:val="14"/>
                <w:szCs w:val="14"/>
                <w:lang w:val="el-GR"/>
              </w:rPr>
              <w:t xml:space="preserve">ιστωτικής </w:t>
            </w:r>
            <w:r>
              <w:rPr>
                <w:rFonts w:ascii="Arial" w:hAnsi="Arial" w:cs="Arial"/>
                <w:sz w:val="14"/>
                <w:szCs w:val="14"/>
                <w:lang w:val="el-GR"/>
              </w:rPr>
              <w:t>α</w:t>
            </w:r>
            <w:r w:rsidRPr="00D17E65">
              <w:rPr>
                <w:rFonts w:ascii="Arial" w:hAnsi="Arial" w:cs="Arial"/>
                <w:sz w:val="14"/>
                <w:szCs w:val="14"/>
                <w:lang w:val="el-GR"/>
              </w:rPr>
              <w:t>ποτίμησης (</w:t>
            </w:r>
            <w:r w:rsidRPr="00D17E65">
              <w:rPr>
                <w:rFonts w:ascii="Arial" w:hAnsi="Arial" w:cs="Arial"/>
                <w:sz w:val="14"/>
                <w:szCs w:val="14"/>
                <w:lang w:val="en-US"/>
              </w:rPr>
              <w:t>CVA</w:t>
            </w:r>
            <w:r w:rsidRPr="00D17E65">
              <w:rPr>
                <w:rFonts w:ascii="Arial" w:hAnsi="Arial" w:cs="Arial"/>
                <w:sz w:val="14"/>
                <w:szCs w:val="14"/>
                <w:lang w:val="el-GR"/>
              </w:rPr>
              <w:t>).</w:t>
            </w:r>
          </w:p>
        </w:tc>
      </w:tr>
    </w:tbl>
    <w:p w14:paraId="11CD544C" w14:textId="77777777" w:rsidR="0056738E" w:rsidRPr="00022E44" w:rsidRDefault="0056738E" w:rsidP="0056738E">
      <w:pPr>
        <w:keepNext/>
        <w:tabs>
          <w:tab w:val="left" w:pos="1416"/>
          <w:tab w:val="decimal" w:pos="4962"/>
          <w:tab w:val="decimal" w:pos="6521"/>
          <w:tab w:val="right" w:pos="7560"/>
          <w:tab w:val="decimal" w:pos="8220"/>
          <w:tab w:val="left" w:pos="8640"/>
          <w:tab w:val="right" w:pos="9000"/>
        </w:tabs>
        <w:suppressAutoHyphens/>
        <w:spacing w:after="0" w:line="360" w:lineRule="auto"/>
        <w:ind w:left="851" w:right="-130" w:hanging="851"/>
        <w:jc w:val="both"/>
        <w:outlineLvl w:val="8"/>
        <w:rPr>
          <w:rFonts w:ascii="Arial" w:hAnsi="Arial" w:cs="Arial"/>
          <w:color w:val="FF9900"/>
          <w:szCs w:val="18"/>
          <w:lang w:val="el-GR"/>
        </w:rPr>
      </w:pPr>
      <w:r w:rsidRPr="00E55CD1">
        <w:rPr>
          <w:rFonts w:ascii="Arial" w:hAnsi="Arial" w:cs="Arial"/>
          <w:b/>
          <w:color w:val="FF9900"/>
          <w:szCs w:val="18"/>
          <w:lang w:val="el-GR"/>
        </w:rPr>
        <w:lastRenderedPageBreak/>
        <w:t>Ζ</w:t>
      </w:r>
      <w:r w:rsidRPr="00022E44">
        <w:rPr>
          <w:rFonts w:ascii="Arial" w:hAnsi="Arial" w:cs="Arial"/>
          <w:b/>
          <w:color w:val="FF9900"/>
          <w:szCs w:val="18"/>
          <w:lang w:val="el-GR"/>
        </w:rPr>
        <w:t xml:space="preserve">. </w:t>
      </w:r>
      <w:r w:rsidRPr="00022E44">
        <w:rPr>
          <w:rFonts w:ascii="Arial" w:hAnsi="Arial" w:cs="Arial"/>
          <w:b/>
          <w:color w:val="FF9900"/>
          <w:szCs w:val="18"/>
          <w:lang w:val="el-GR"/>
        </w:rPr>
        <w:tab/>
      </w:r>
      <w:r w:rsidRPr="00E55CD1">
        <w:rPr>
          <w:rFonts w:ascii="Arial" w:hAnsi="Arial" w:cs="Arial"/>
          <w:b/>
          <w:color w:val="FF9900"/>
          <w:szCs w:val="18"/>
          <w:lang w:val="el-GR"/>
        </w:rPr>
        <w:t xml:space="preserve">Επιπρόσθετες Γνωστοποιήσεις Διαχείρισης Κινδύνων και Κεφαλαίου </w:t>
      </w:r>
      <w:r w:rsidRPr="008A3E7B">
        <w:rPr>
          <w:rFonts w:ascii="Arial" w:hAnsi="Arial" w:cs="Arial"/>
          <w:color w:val="FF9900"/>
          <w:szCs w:val="18"/>
          <w:lang w:val="el-GR"/>
        </w:rPr>
        <w:t>(</w:t>
      </w:r>
      <w:r w:rsidRPr="00022E44">
        <w:rPr>
          <w:rFonts w:ascii="Arial" w:hAnsi="Arial" w:cs="Arial"/>
          <w:color w:val="FF9900"/>
          <w:szCs w:val="18"/>
          <w:lang w:val="el-GR"/>
        </w:rPr>
        <w:t>συνέχεια)</w:t>
      </w:r>
    </w:p>
    <w:p w14:paraId="0D279997" w14:textId="77777777" w:rsidR="0056738E" w:rsidRPr="00022E44" w:rsidRDefault="0056738E" w:rsidP="0056738E">
      <w:pPr>
        <w:keepNext/>
        <w:tabs>
          <w:tab w:val="left" w:pos="1416"/>
          <w:tab w:val="decimal" w:pos="4962"/>
          <w:tab w:val="decimal" w:pos="6521"/>
          <w:tab w:val="right" w:pos="7560"/>
          <w:tab w:val="decimal" w:pos="8220"/>
          <w:tab w:val="left" w:pos="8640"/>
          <w:tab w:val="right" w:pos="9000"/>
        </w:tabs>
        <w:suppressAutoHyphens/>
        <w:spacing w:after="0" w:line="360" w:lineRule="auto"/>
        <w:ind w:left="851" w:right="-130" w:hanging="851"/>
        <w:jc w:val="both"/>
        <w:outlineLvl w:val="8"/>
        <w:rPr>
          <w:rFonts w:ascii="Arial" w:hAnsi="Arial" w:cs="Arial"/>
          <w:color w:val="FF9900"/>
          <w:szCs w:val="18"/>
          <w:lang w:val="el-GR"/>
        </w:rPr>
      </w:pPr>
      <w:r w:rsidRPr="00022E44">
        <w:rPr>
          <w:rFonts w:ascii="Arial" w:hAnsi="Arial" w:cs="Arial"/>
          <w:b/>
          <w:color w:val="FF9900"/>
          <w:szCs w:val="18"/>
          <w:lang w:val="el-GR"/>
        </w:rPr>
        <w:t>Ζ</w:t>
      </w:r>
      <w:r>
        <w:rPr>
          <w:rFonts w:ascii="Arial" w:hAnsi="Arial" w:cs="Arial"/>
          <w:b/>
          <w:color w:val="FF9900"/>
          <w:szCs w:val="18"/>
          <w:lang w:val="el-GR"/>
        </w:rPr>
        <w:t>.2</w:t>
      </w:r>
      <w:r w:rsidRPr="00022E44">
        <w:rPr>
          <w:rFonts w:ascii="Arial" w:hAnsi="Arial" w:cs="Arial"/>
          <w:b/>
          <w:color w:val="FF9900"/>
          <w:szCs w:val="18"/>
          <w:lang w:val="el-GR"/>
        </w:rPr>
        <w:t xml:space="preserve"> </w:t>
      </w:r>
      <w:r w:rsidRPr="00022E44">
        <w:rPr>
          <w:rFonts w:ascii="Arial" w:hAnsi="Arial" w:cs="Arial"/>
          <w:b/>
          <w:color w:val="FF9900"/>
          <w:szCs w:val="18"/>
          <w:lang w:val="el-GR"/>
        </w:rPr>
        <w:tab/>
      </w:r>
      <w:r>
        <w:rPr>
          <w:rFonts w:ascii="Arial" w:hAnsi="Arial" w:cs="Arial"/>
          <w:b/>
          <w:color w:val="FF9900"/>
          <w:szCs w:val="18"/>
          <w:lang w:val="el-GR"/>
        </w:rPr>
        <w:t>Διαχείριση κεφαλαίου</w:t>
      </w:r>
      <w:r w:rsidRPr="00022E44">
        <w:rPr>
          <w:rFonts w:ascii="Arial" w:hAnsi="Arial" w:cs="Arial"/>
          <w:color w:val="FF9900"/>
          <w:szCs w:val="18"/>
          <w:lang w:val="el-GR"/>
        </w:rPr>
        <w:t xml:space="preserve"> (συνέχεια)</w:t>
      </w:r>
    </w:p>
    <w:p w14:paraId="433BEF40" w14:textId="77777777" w:rsidR="0056738E" w:rsidRPr="006503D8" w:rsidRDefault="0056738E" w:rsidP="0056738E">
      <w:pPr>
        <w:autoSpaceDE w:val="0"/>
        <w:autoSpaceDN w:val="0"/>
        <w:adjustRightInd w:val="0"/>
        <w:spacing w:after="120" w:line="240" w:lineRule="auto"/>
        <w:jc w:val="both"/>
        <w:rPr>
          <w:rFonts w:ascii="Arial" w:hAnsi="Arial" w:cs="Arial"/>
          <w:sz w:val="18"/>
          <w:szCs w:val="18"/>
          <w:lang w:val="el-GR"/>
        </w:rPr>
      </w:pPr>
      <w:r w:rsidRPr="006503D8">
        <w:rPr>
          <w:rFonts w:ascii="Arial" w:hAnsi="Arial" w:cs="Arial"/>
          <w:sz w:val="18"/>
          <w:szCs w:val="18"/>
          <w:lang w:val="el-GR"/>
        </w:rPr>
        <w:t>Οι δείκτες κεφαλαίου του Συγκροτήματος και της BOC PCL κατά την ημερομηνία αναφοράς χωρίς μεταβατικές διατάξεις παρουσιάζονται πιο κάτω:</w:t>
      </w:r>
    </w:p>
    <w:tbl>
      <w:tblPr>
        <w:tblW w:w="935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977"/>
        <w:gridCol w:w="1701"/>
        <w:gridCol w:w="1559"/>
        <w:gridCol w:w="1701"/>
        <w:gridCol w:w="1418"/>
      </w:tblGrid>
      <w:tr w:rsidR="0056738E" w:rsidRPr="00A90D0C" w14:paraId="77E1763D" w14:textId="77777777" w:rsidTr="007C2AEE">
        <w:trPr>
          <w:trHeight w:val="283"/>
          <w:jc w:val="center"/>
        </w:trPr>
        <w:tc>
          <w:tcPr>
            <w:tcW w:w="2977" w:type="dxa"/>
            <w:vMerge w:val="restart"/>
            <w:shd w:val="clear" w:color="auto" w:fill="auto"/>
            <w:vAlign w:val="center"/>
          </w:tcPr>
          <w:p w14:paraId="6D564955" w14:textId="77777777" w:rsidR="0056738E" w:rsidRPr="00E0028A" w:rsidRDefault="0056738E" w:rsidP="007C2AEE">
            <w:pPr>
              <w:pStyle w:val="BodyText3"/>
              <w:ind w:left="34"/>
              <w:jc w:val="left"/>
              <w:rPr>
                <w:rFonts w:ascii="Arial" w:hAnsi="Arial" w:cs="Arial"/>
                <w:b/>
                <w:bCs/>
                <w:color w:val="262626"/>
                <w:sz w:val="18"/>
                <w:szCs w:val="18"/>
                <w:lang w:val="el-GR"/>
              </w:rPr>
            </w:pPr>
            <w:r w:rsidRPr="00E0028A">
              <w:rPr>
                <w:rFonts w:ascii="Arial" w:hAnsi="Arial" w:cs="Arial"/>
                <w:b/>
                <w:bCs/>
                <w:color w:val="262626"/>
                <w:sz w:val="18"/>
                <w:szCs w:val="18"/>
                <w:lang w:val="el-GR"/>
              </w:rPr>
              <w:t>Χωρίς μεταβατικές διατάξεις</w:t>
            </w:r>
            <w:r>
              <w:rPr>
                <w:rFonts w:ascii="Arial" w:eastAsia="Batang" w:hAnsi="Arial" w:cs="Arial"/>
                <w:b/>
                <w:sz w:val="18"/>
                <w:szCs w:val="18"/>
                <w:vertAlign w:val="superscript"/>
                <w:lang w:val="el-GR"/>
              </w:rPr>
              <w:t>4</w:t>
            </w:r>
          </w:p>
        </w:tc>
        <w:tc>
          <w:tcPr>
            <w:tcW w:w="3260" w:type="dxa"/>
            <w:gridSpan w:val="2"/>
            <w:vAlign w:val="center"/>
          </w:tcPr>
          <w:p w14:paraId="22482EFA" w14:textId="77777777" w:rsidR="0056738E" w:rsidRPr="00E0028A" w:rsidRDefault="0056738E" w:rsidP="007C2AEE">
            <w:pPr>
              <w:spacing w:after="0" w:line="240" w:lineRule="auto"/>
              <w:jc w:val="center"/>
              <w:rPr>
                <w:rFonts w:ascii="Arial" w:eastAsia="Batang" w:hAnsi="Arial" w:cs="Arial"/>
                <w:sz w:val="18"/>
                <w:szCs w:val="18"/>
                <w:lang w:val="el-GR" w:eastAsia="el-GR"/>
              </w:rPr>
            </w:pPr>
            <w:r w:rsidRPr="00E0028A">
              <w:rPr>
                <w:rFonts w:ascii="Arial" w:eastAsia="Batang" w:hAnsi="Arial" w:cs="Arial"/>
                <w:b/>
                <w:sz w:val="18"/>
                <w:szCs w:val="18"/>
                <w:lang w:val="el-GR" w:eastAsia="el-GR"/>
              </w:rPr>
              <w:t>Συγκρότημα</w:t>
            </w:r>
          </w:p>
        </w:tc>
        <w:tc>
          <w:tcPr>
            <w:tcW w:w="3119" w:type="dxa"/>
            <w:gridSpan w:val="2"/>
            <w:tcBorders>
              <w:top w:val="single" w:sz="4" w:space="0" w:color="C0C0C0"/>
              <w:bottom w:val="single" w:sz="4" w:space="0" w:color="C0C0C0"/>
            </w:tcBorders>
            <w:shd w:val="clear" w:color="auto" w:fill="FFFFFF" w:themeFill="background1"/>
            <w:vAlign w:val="center"/>
          </w:tcPr>
          <w:p w14:paraId="463EF247" w14:textId="77777777" w:rsidR="0056738E" w:rsidRPr="00E0028A" w:rsidRDefault="0056738E" w:rsidP="007C2AEE">
            <w:pPr>
              <w:spacing w:after="0" w:line="240" w:lineRule="auto"/>
              <w:jc w:val="center"/>
              <w:rPr>
                <w:rFonts w:ascii="Arial" w:eastAsia="Batang" w:hAnsi="Arial" w:cs="Arial"/>
                <w:b/>
                <w:sz w:val="18"/>
                <w:szCs w:val="18"/>
                <w:lang w:val="en-US" w:eastAsia="el-GR"/>
              </w:rPr>
            </w:pPr>
            <w:r w:rsidRPr="00E0028A">
              <w:rPr>
                <w:rFonts w:ascii="Arial" w:eastAsia="Batang" w:hAnsi="Arial" w:cs="Arial"/>
                <w:b/>
                <w:sz w:val="18"/>
                <w:szCs w:val="18"/>
                <w:lang w:val="en-US" w:eastAsia="el-GR"/>
              </w:rPr>
              <w:t>BOC PCL</w:t>
            </w:r>
          </w:p>
        </w:tc>
      </w:tr>
      <w:tr w:rsidR="0056738E" w:rsidRPr="00BD10A9" w14:paraId="76BFA69A" w14:textId="77777777" w:rsidTr="007C2AEE">
        <w:trPr>
          <w:trHeight w:val="227"/>
          <w:jc w:val="center"/>
        </w:trPr>
        <w:tc>
          <w:tcPr>
            <w:tcW w:w="2977" w:type="dxa"/>
            <w:vMerge/>
            <w:shd w:val="clear" w:color="auto" w:fill="auto"/>
            <w:vAlign w:val="center"/>
          </w:tcPr>
          <w:p w14:paraId="1F820A4F" w14:textId="77777777" w:rsidR="0056738E" w:rsidRPr="00E0028A" w:rsidRDefault="0056738E" w:rsidP="007C2AEE">
            <w:pPr>
              <w:pStyle w:val="BodyText3"/>
              <w:ind w:left="34"/>
              <w:jc w:val="left"/>
              <w:rPr>
                <w:rFonts w:ascii="Arial" w:hAnsi="Arial" w:cs="Arial"/>
                <w:b/>
                <w:bCs/>
                <w:color w:val="262626"/>
                <w:sz w:val="18"/>
                <w:szCs w:val="18"/>
                <w:lang w:val="el-GR"/>
              </w:rPr>
            </w:pPr>
          </w:p>
        </w:tc>
        <w:tc>
          <w:tcPr>
            <w:tcW w:w="1701" w:type="dxa"/>
            <w:vAlign w:val="center"/>
          </w:tcPr>
          <w:p w14:paraId="5AD22DD2" w14:textId="77777777" w:rsidR="0056738E" w:rsidRPr="00E0028A" w:rsidRDefault="0056738E" w:rsidP="007C2AEE">
            <w:pPr>
              <w:spacing w:after="0" w:line="240" w:lineRule="auto"/>
              <w:jc w:val="center"/>
              <w:rPr>
                <w:rFonts w:ascii="Arial" w:eastAsia="Batang" w:hAnsi="Arial" w:cs="Arial"/>
                <w:b/>
                <w:sz w:val="18"/>
                <w:szCs w:val="18"/>
                <w:lang w:val="el-GR" w:eastAsia="el-GR"/>
              </w:rPr>
            </w:pPr>
            <w:r w:rsidRPr="00E0028A">
              <w:rPr>
                <w:rFonts w:ascii="Arial" w:eastAsia="Batang" w:hAnsi="Arial" w:cs="Arial"/>
                <w:b/>
                <w:sz w:val="18"/>
                <w:szCs w:val="18"/>
                <w:lang w:val="el-GR" w:eastAsia="el-GR"/>
              </w:rPr>
              <w:t>3</w:t>
            </w:r>
            <w:r>
              <w:rPr>
                <w:rFonts w:ascii="Arial" w:eastAsia="Batang" w:hAnsi="Arial" w:cs="Arial"/>
                <w:b/>
                <w:sz w:val="18"/>
                <w:szCs w:val="18"/>
                <w:lang w:val="en-US" w:eastAsia="el-GR"/>
              </w:rPr>
              <w:t>0</w:t>
            </w:r>
            <w:r w:rsidRPr="00E0028A">
              <w:rPr>
                <w:rFonts w:ascii="Arial" w:eastAsia="Batang" w:hAnsi="Arial" w:cs="Arial"/>
                <w:b/>
                <w:sz w:val="18"/>
                <w:szCs w:val="18"/>
                <w:lang w:val="el-GR" w:eastAsia="el-GR"/>
              </w:rPr>
              <w:t xml:space="preserve"> </w:t>
            </w:r>
            <w:r w:rsidRPr="006A365D">
              <w:rPr>
                <w:rFonts w:ascii="Arial" w:hAnsi="Arial" w:cs="Arial"/>
                <w:b/>
                <w:color w:val="262626"/>
                <w:sz w:val="18"/>
                <w:szCs w:val="18"/>
                <w:lang w:val="el-GR"/>
              </w:rPr>
              <w:t>Σεπτεμβρίου</w:t>
            </w:r>
          </w:p>
          <w:p w14:paraId="4C34C92D" w14:textId="77777777" w:rsidR="0056738E" w:rsidRPr="00A03828" w:rsidRDefault="0056738E" w:rsidP="007C2AEE">
            <w:pPr>
              <w:spacing w:after="0" w:line="240" w:lineRule="auto"/>
              <w:jc w:val="center"/>
              <w:rPr>
                <w:rFonts w:ascii="Arial" w:eastAsia="Batang" w:hAnsi="Arial" w:cs="Arial"/>
                <w:b/>
                <w:sz w:val="18"/>
                <w:szCs w:val="18"/>
                <w:lang w:val="el-GR" w:eastAsia="el-GR"/>
              </w:rPr>
            </w:pPr>
            <w:r w:rsidRPr="000B4F00">
              <w:rPr>
                <w:rFonts w:ascii="Arial" w:eastAsia="Batang" w:hAnsi="Arial" w:cs="Arial"/>
                <w:b/>
                <w:sz w:val="18"/>
                <w:szCs w:val="18"/>
                <w:lang w:eastAsia="el-GR"/>
              </w:rPr>
              <w:t>20</w:t>
            </w:r>
            <w:r w:rsidRPr="000B4F00">
              <w:rPr>
                <w:rFonts w:ascii="Arial" w:eastAsia="Batang" w:hAnsi="Arial" w:cs="Arial"/>
                <w:b/>
                <w:sz w:val="18"/>
                <w:szCs w:val="18"/>
                <w:lang w:val="el-GR" w:eastAsia="el-GR"/>
              </w:rPr>
              <w:t>24</w:t>
            </w:r>
            <w:r w:rsidRPr="000B4F00">
              <w:rPr>
                <w:rFonts w:ascii="Arial" w:eastAsia="Batang" w:hAnsi="Arial" w:cs="Arial"/>
                <w:b/>
                <w:sz w:val="18"/>
                <w:szCs w:val="18"/>
                <w:vertAlign w:val="superscript"/>
                <w:lang w:val="en-US" w:eastAsia="el-GR"/>
              </w:rPr>
              <w:t>1</w:t>
            </w:r>
          </w:p>
        </w:tc>
        <w:tc>
          <w:tcPr>
            <w:tcW w:w="1559" w:type="dxa"/>
            <w:vAlign w:val="center"/>
          </w:tcPr>
          <w:p w14:paraId="20168ECD" w14:textId="77777777" w:rsidR="0056738E" w:rsidRPr="00A03828" w:rsidRDefault="0056738E" w:rsidP="007C2AEE">
            <w:pPr>
              <w:spacing w:after="0" w:line="240" w:lineRule="auto"/>
              <w:jc w:val="center"/>
              <w:rPr>
                <w:rFonts w:ascii="Arial" w:eastAsia="Batang" w:hAnsi="Arial" w:cs="Arial"/>
                <w:sz w:val="18"/>
                <w:szCs w:val="18"/>
                <w:lang w:val="el-GR" w:eastAsia="el-GR"/>
              </w:rPr>
            </w:pPr>
            <w:r w:rsidRPr="00E0028A">
              <w:rPr>
                <w:rFonts w:ascii="Arial" w:eastAsia="Batang" w:hAnsi="Arial" w:cs="Arial"/>
                <w:sz w:val="18"/>
                <w:szCs w:val="18"/>
                <w:lang w:eastAsia="el-GR"/>
              </w:rPr>
              <w:t xml:space="preserve">31 </w:t>
            </w:r>
            <w:r w:rsidRPr="00E0028A">
              <w:rPr>
                <w:rFonts w:ascii="Arial" w:eastAsia="Batang" w:hAnsi="Arial" w:cs="Arial"/>
                <w:sz w:val="18"/>
                <w:szCs w:val="18"/>
                <w:lang w:val="el-GR" w:eastAsia="el-GR"/>
              </w:rPr>
              <w:t>Δεκεμβρίου</w:t>
            </w:r>
            <w:r w:rsidRPr="00E0028A">
              <w:rPr>
                <w:rFonts w:ascii="Arial" w:eastAsia="Batang" w:hAnsi="Arial" w:cs="Arial"/>
                <w:sz w:val="18"/>
                <w:szCs w:val="18"/>
                <w:lang w:eastAsia="el-GR"/>
              </w:rPr>
              <w:t xml:space="preserve"> </w:t>
            </w:r>
            <w:r w:rsidRPr="000B4F00">
              <w:rPr>
                <w:rFonts w:ascii="Arial" w:eastAsia="Batang" w:hAnsi="Arial" w:cs="Arial"/>
                <w:sz w:val="18"/>
                <w:szCs w:val="18"/>
                <w:lang w:eastAsia="el-GR"/>
              </w:rPr>
              <w:t>20</w:t>
            </w:r>
            <w:r w:rsidRPr="000B4F00">
              <w:rPr>
                <w:rFonts w:ascii="Arial" w:eastAsia="Batang" w:hAnsi="Arial" w:cs="Arial"/>
                <w:sz w:val="18"/>
                <w:szCs w:val="18"/>
                <w:lang w:val="el-GR" w:eastAsia="el-GR"/>
              </w:rPr>
              <w:t>23</w:t>
            </w:r>
            <w:r>
              <w:rPr>
                <w:rFonts w:ascii="Arial" w:eastAsia="Batang" w:hAnsi="Arial" w:cs="Arial"/>
                <w:sz w:val="18"/>
                <w:szCs w:val="18"/>
                <w:vertAlign w:val="superscript"/>
                <w:lang w:val="el-GR" w:eastAsia="el-GR"/>
              </w:rPr>
              <w:t>3</w:t>
            </w:r>
          </w:p>
        </w:tc>
        <w:tc>
          <w:tcPr>
            <w:tcW w:w="1701" w:type="dxa"/>
            <w:tcBorders>
              <w:top w:val="single" w:sz="4" w:space="0" w:color="C0C0C0"/>
              <w:bottom w:val="single" w:sz="4" w:space="0" w:color="C0C0C0"/>
            </w:tcBorders>
            <w:shd w:val="clear" w:color="auto" w:fill="FFFFFF" w:themeFill="background1"/>
            <w:vAlign w:val="center"/>
          </w:tcPr>
          <w:p w14:paraId="1C7124F1" w14:textId="77777777" w:rsidR="0056738E" w:rsidRPr="00A03828" w:rsidRDefault="0056738E" w:rsidP="007C2AEE">
            <w:pPr>
              <w:spacing w:after="0" w:line="240" w:lineRule="auto"/>
              <w:ind w:left="-69"/>
              <w:jc w:val="center"/>
              <w:rPr>
                <w:rFonts w:ascii="Arial" w:hAnsi="Arial" w:cs="Arial"/>
                <w:b/>
                <w:sz w:val="18"/>
                <w:szCs w:val="18"/>
                <w:lang w:val="el-GR" w:eastAsia="el-GR"/>
              </w:rPr>
            </w:pPr>
            <w:r>
              <w:rPr>
                <w:rFonts w:ascii="Arial" w:hAnsi="Arial" w:cs="Arial"/>
                <w:b/>
                <w:color w:val="262626"/>
                <w:sz w:val="18"/>
                <w:szCs w:val="18"/>
                <w:lang w:val="en-US"/>
              </w:rPr>
              <w:t xml:space="preserve">30 </w:t>
            </w:r>
            <w:r w:rsidRPr="006A365D">
              <w:rPr>
                <w:rFonts w:ascii="Arial" w:hAnsi="Arial" w:cs="Arial"/>
                <w:b/>
                <w:color w:val="262626"/>
                <w:sz w:val="18"/>
                <w:szCs w:val="18"/>
                <w:lang w:val="el-GR"/>
              </w:rPr>
              <w:t xml:space="preserve">Σεπτεμβρίου </w:t>
            </w:r>
            <w:r w:rsidRPr="000B4F00">
              <w:rPr>
                <w:rFonts w:ascii="Arial" w:eastAsia="Batang" w:hAnsi="Arial" w:cs="Arial"/>
                <w:b/>
                <w:sz w:val="18"/>
                <w:szCs w:val="18"/>
                <w:lang w:eastAsia="el-GR"/>
              </w:rPr>
              <w:t>20</w:t>
            </w:r>
            <w:r w:rsidRPr="000B4F00">
              <w:rPr>
                <w:rFonts w:ascii="Arial" w:eastAsia="Batang" w:hAnsi="Arial" w:cs="Arial"/>
                <w:b/>
                <w:sz w:val="18"/>
                <w:szCs w:val="18"/>
                <w:lang w:val="el-GR" w:eastAsia="el-GR"/>
              </w:rPr>
              <w:t>24</w:t>
            </w:r>
            <w:r>
              <w:rPr>
                <w:rFonts w:ascii="Arial" w:eastAsia="Batang" w:hAnsi="Arial" w:cs="Arial"/>
                <w:b/>
                <w:sz w:val="18"/>
                <w:szCs w:val="18"/>
                <w:vertAlign w:val="superscript"/>
                <w:lang w:val="el-GR" w:eastAsia="el-GR"/>
              </w:rPr>
              <w:t>2</w:t>
            </w:r>
          </w:p>
        </w:tc>
        <w:tc>
          <w:tcPr>
            <w:tcW w:w="1418" w:type="dxa"/>
            <w:tcBorders>
              <w:top w:val="single" w:sz="4" w:space="0" w:color="C0C0C0"/>
              <w:bottom w:val="single" w:sz="4" w:space="0" w:color="C0C0C0"/>
            </w:tcBorders>
            <w:shd w:val="clear" w:color="auto" w:fill="FFFFFF" w:themeFill="background1"/>
          </w:tcPr>
          <w:p w14:paraId="3BA2FC8E" w14:textId="77777777" w:rsidR="0056738E" w:rsidRPr="008534AD" w:rsidRDefault="0056738E" w:rsidP="007C2AEE">
            <w:pPr>
              <w:spacing w:after="0" w:line="240" w:lineRule="auto"/>
              <w:jc w:val="center"/>
              <w:rPr>
                <w:rFonts w:ascii="Arial" w:eastAsia="Batang" w:hAnsi="Arial" w:cs="Arial"/>
                <w:sz w:val="18"/>
                <w:szCs w:val="18"/>
                <w:lang w:val="el-GR" w:eastAsia="el-GR"/>
              </w:rPr>
            </w:pPr>
            <w:r w:rsidRPr="00E0028A">
              <w:rPr>
                <w:rFonts w:ascii="Arial" w:eastAsia="Batang" w:hAnsi="Arial" w:cs="Arial"/>
                <w:sz w:val="18"/>
                <w:szCs w:val="18"/>
                <w:lang w:val="el-GR" w:eastAsia="el-GR"/>
              </w:rPr>
              <w:t xml:space="preserve">31 Δεκεμβρίου </w:t>
            </w:r>
            <w:r w:rsidRPr="000B4F00">
              <w:rPr>
                <w:rFonts w:ascii="Arial" w:eastAsia="Batang" w:hAnsi="Arial" w:cs="Arial"/>
                <w:sz w:val="18"/>
                <w:szCs w:val="18"/>
                <w:lang w:val="el-GR" w:eastAsia="el-GR"/>
              </w:rPr>
              <w:t>202</w:t>
            </w:r>
            <w:r>
              <w:rPr>
                <w:rFonts w:ascii="Arial" w:eastAsia="Batang" w:hAnsi="Arial" w:cs="Arial"/>
                <w:sz w:val="18"/>
                <w:szCs w:val="18"/>
                <w:lang w:val="en-US" w:eastAsia="el-GR"/>
              </w:rPr>
              <w:t>3</w:t>
            </w:r>
            <w:r>
              <w:rPr>
                <w:rFonts w:ascii="Arial" w:eastAsia="Batang" w:hAnsi="Arial" w:cs="Arial"/>
                <w:sz w:val="18"/>
                <w:szCs w:val="18"/>
                <w:vertAlign w:val="superscript"/>
                <w:lang w:val="el-GR" w:eastAsia="el-GR"/>
              </w:rPr>
              <w:t>3</w:t>
            </w:r>
          </w:p>
        </w:tc>
      </w:tr>
      <w:tr w:rsidR="0056738E" w:rsidRPr="00A90D0C" w14:paraId="3D551134" w14:textId="77777777" w:rsidTr="007C2AEE">
        <w:trPr>
          <w:trHeight w:val="227"/>
          <w:jc w:val="center"/>
        </w:trPr>
        <w:tc>
          <w:tcPr>
            <w:tcW w:w="2977" w:type="dxa"/>
            <w:vMerge/>
            <w:shd w:val="clear" w:color="auto" w:fill="auto"/>
            <w:vAlign w:val="center"/>
          </w:tcPr>
          <w:p w14:paraId="31676C0A" w14:textId="77777777" w:rsidR="0056738E" w:rsidRPr="00E0028A" w:rsidRDefault="0056738E" w:rsidP="007C2AEE">
            <w:pPr>
              <w:pStyle w:val="BodyText3"/>
              <w:tabs>
                <w:tab w:val="clear" w:pos="0"/>
              </w:tabs>
              <w:ind w:left="34"/>
              <w:jc w:val="left"/>
              <w:rPr>
                <w:rFonts w:ascii="Arial" w:hAnsi="Arial" w:cs="Arial"/>
                <w:b/>
                <w:bCs/>
                <w:color w:val="262626"/>
                <w:sz w:val="18"/>
                <w:szCs w:val="18"/>
                <w:lang w:val="el-GR"/>
              </w:rPr>
            </w:pPr>
          </w:p>
        </w:tc>
        <w:tc>
          <w:tcPr>
            <w:tcW w:w="1701" w:type="dxa"/>
            <w:vAlign w:val="center"/>
          </w:tcPr>
          <w:p w14:paraId="67A88C7A" w14:textId="77777777" w:rsidR="0056738E" w:rsidRPr="00E0028A" w:rsidRDefault="0056738E" w:rsidP="007C2AEE">
            <w:pPr>
              <w:spacing w:after="0" w:line="240" w:lineRule="auto"/>
              <w:jc w:val="center"/>
              <w:rPr>
                <w:rFonts w:ascii="Arial" w:eastAsia="Batang" w:hAnsi="Arial" w:cs="Arial"/>
                <w:b/>
                <w:sz w:val="18"/>
                <w:szCs w:val="18"/>
                <w:lang w:val="el-GR" w:eastAsia="el-GR"/>
              </w:rPr>
            </w:pPr>
            <w:r w:rsidRPr="00E0028A">
              <w:rPr>
                <w:rFonts w:ascii="Arial" w:eastAsia="Batang" w:hAnsi="Arial" w:cs="Arial"/>
                <w:b/>
                <w:sz w:val="18"/>
                <w:szCs w:val="18"/>
                <w:lang w:val="el-GR" w:eastAsia="el-GR"/>
              </w:rPr>
              <w:t>%</w:t>
            </w:r>
          </w:p>
        </w:tc>
        <w:tc>
          <w:tcPr>
            <w:tcW w:w="1559" w:type="dxa"/>
            <w:vAlign w:val="center"/>
          </w:tcPr>
          <w:p w14:paraId="48222426" w14:textId="77777777" w:rsidR="0056738E" w:rsidRPr="00E0028A" w:rsidRDefault="0056738E" w:rsidP="007C2AEE">
            <w:pPr>
              <w:spacing w:after="0" w:line="240" w:lineRule="auto"/>
              <w:ind w:right="6"/>
              <w:jc w:val="center"/>
              <w:rPr>
                <w:rFonts w:ascii="Arial" w:eastAsia="Batang" w:hAnsi="Arial" w:cs="Arial"/>
                <w:sz w:val="18"/>
                <w:szCs w:val="18"/>
                <w:lang w:val="el-GR" w:eastAsia="el-GR"/>
              </w:rPr>
            </w:pPr>
            <w:r w:rsidRPr="00E0028A">
              <w:rPr>
                <w:rFonts w:ascii="Arial" w:eastAsia="Batang" w:hAnsi="Arial" w:cs="Arial"/>
                <w:sz w:val="18"/>
                <w:szCs w:val="18"/>
                <w:lang w:val="el-GR" w:eastAsia="el-GR"/>
              </w:rPr>
              <w:t>%</w:t>
            </w:r>
          </w:p>
        </w:tc>
        <w:tc>
          <w:tcPr>
            <w:tcW w:w="1701" w:type="dxa"/>
            <w:tcBorders>
              <w:top w:val="single" w:sz="4" w:space="0" w:color="C0C0C0"/>
              <w:bottom w:val="single" w:sz="4" w:space="0" w:color="C0C0C0"/>
            </w:tcBorders>
            <w:shd w:val="clear" w:color="auto" w:fill="FFFFFF" w:themeFill="background1"/>
            <w:vAlign w:val="center"/>
          </w:tcPr>
          <w:p w14:paraId="60D19AFF" w14:textId="77777777" w:rsidR="0056738E" w:rsidRPr="00E0028A" w:rsidRDefault="0056738E" w:rsidP="007C2AEE">
            <w:pPr>
              <w:spacing w:after="0" w:line="240" w:lineRule="auto"/>
              <w:jc w:val="center"/>
              <w:rPr>
                <w:rFonts w:ascii="Arial" w:hAnsi="Arial" w:cs="Arial"/>
                <w:b/>
                <w:sz w:val="18"/>
                <w:szCs w:val="18"/>
                <w:lang w:val="el-GR" w:eastAsia="el-GR"/>
              </w:rPr>
            </w:pPr>
            <w:r w:rsidRPr="00E0028A">
              <w:rPr>
                <w:rFonts w:ascii="Arial" w:hAnsi="Arial" w:cs="Arial"/>
                <w:b/>
                <w:sz w:val="18"/>
                <w:szCs w:val="18"/>
                <w:lang w:val="el-GR" w:eastAsia="el-GR"/>
              </w:rPr>
              <w:t>%</w:t>
            </w:r>
          </w:p>
        </w:tc>
        <w:tc>
          <w:tcPr>
            <w:tcW w:w="1418" w:type="dxa"/>
            <w:tcBorders>
              <w:top w:val="single" w:sz="4" w:space="0" w:color="C0C0C0"/>
              <w:bottom w:val="single" w:sz="4" w:space="0" w:color="C0C0C0"/>
            </w:tcBorders>
            <w:shd w:val="clear" w:color="auto" w:fill="FFFFFF" w:themeFill="background1"/>
            <w:vAlign w:val="center"/>
          </w:tcPr>
          <w:p w14:paraId="643416A1" w14:textId="77777777" w:rsidR="0056738E" w:rsidRPr="00E0028A" w:rsidRDefault="0056738E" w:rsidP="007C2AEE">
            <w:pPr>
              <w:spacing w:after="0" w:line="240" w:lineRule="auto"/>
              <w:jc w:val="center"/>
              <w:rPr>
                <w:rFonts w:ascii="Arial" w:hAnsi="Arial" w:cs="Arial"/>
                <w:sz w:val="18"/>
                <w:szCs w:val="18"/>
                <w:lang w:val="el-GR" w:eastAsia="el-GR"/>
              </w:rPr>
            </w:pPr>
            <w:r w:rsidRPr="00E0028A">
              <w:rPr>
                <w:rFonts w:ascii="Arial" w:hAnsi="Arial" w:cs="Arial"/>
                <w:sz w:val="18"/>
                <w:szCs w:val="18"/>
                <w:lang w:val="el-GR" w:eastAsia="el-GR"/>
              </w:rPr>
              <w:t>%</w:t>
            </w:r>
          </w:p>
        </w:tc>
      </w:tr>
      <w:tr w:rsidR="0056738E" w:rsidRPr="00A90D0C" w14:paraId="4570BBBA" w14:textId="77777777" w:rsidTr="007C2AEE">
        <w:trPr>
          <w:trHeight w:val="227"/>
          <w:jc w:val="center"/>
        </w:trPr>
        <w:tc>
          <w:tcPr>
            <w:tcW w:w="2977" w:type="dxa"/>
            <w:shd w:val="clear" w:color="auto" w:fill="auto"/>
            <w:vAlign w:val="center"/>
          </w:tcPr>
          <w:p w14:paraId="0381D541" w14:textId="77777777" w:rsidR="0056738E" w:rsidRPr="00E0028A" w:rsidRDefault="0056738E" w:rsidP="007C2AEE">
            <w:pPr>
              <w:pStyle w:val="BodyText3"/>
              <w:tabs>
                <w:tab w:val="clear" w:pos="0"/>
              </w:tabs>
              <w:ind w:left="34"/>
              <w:jc w:val="left"/>
              <w:rPr>
                <w:rFonts w:ascii="Arial" w:hAnsi="Arial" w:cs="Arial"/>
                <w:bCs/>
                <w:color w:val="262626"/>
                <w:sz w:val="18"/>
                <w:szCs w:val="18"/>
                <w:lang w:val="el-GR"/>
              </w:rPr>
            </w:pPr>
            <w:r w:rsidRPr="00E0028A">
              <w:rPr>
                <w:rFonts w:ascii="Arial" w:hAnsi="Arial" w:cs="Arial"/>
                <w:bCs/>
                <w:color w:val="262626"/>
                <w:sz w:val="18"/>
                <w:szCs w:val="18"/>
                <w:lang w:val="el-GR"/>
              </w:rPr>
              <w:t>Δείκτης Κεφαλαί</w:t>
            </w:r>
            <w:r>
              <w:rPr>
                <w:rFonts w:ascii="Arial" w:hAnsi="Arial" w:cs="Arial"/>
                <w:bCs/>
                <w:color w:val="262626"/>
                <w:sz w:val="18"/>
                <w:szCs w:val="18"/>
                <w:lang w:val="el-GR"/>
              </w:rPr>
              <w:t>ου</w:t>
            </w:r>
            <w:r w:rsidRPr="00E0028A">
              <w:rPr>
                <w:rFonts w:ascii="Arial" w:hAnsi="Arial" w:cs="Arial"/>
                <w:bCs/>
                <w:color w:val="262626"/>
                <w:sz w:val="18"/>
                <w:szCs w:val="18"/>
                <w:lang w:val="el-GR"/>
              </w:rPr>
              <w:t xml:space="preserve"> Κοινών Μετοχών Κατηγορίας 1 (</w:t>
            </w:r>
            <w:r w:rsidRPr="00E0028A">
              <w:rPr>
                <w:rFonts w:ascii="Arial" w:hAnsi="Arial" w:cs="Arial"/>
                <w:bCs/>
                <w:color w:val="262626"/>
                <w:sz w:val="18"/>
                <w:szCs w:val="18"/>
                <w:lang w:val="en-US"/>
              </w:rPr>
              <w:t>CET</w:t>
            </w:r>
            <w:r w:rsidRPr="00E0028A">
              <w:rPr>
                <w:rFonts w:ascii="Arial" w:hAnsi="Arial" w:cs="Arial"/>
                <w:bCs/>
                <w:color w:val="262626"/>
                <w:sz w:val="18"/>
                <w:szCs w:val="18"/>
                <w:lang w:val="el-GR"/>
              </w:rPr>
              <w:t>1)</w:t>
            </w:r>
          </w:p>
        </w:tc>
        <w:tc>
          <w:tcPr>
            <w:tcW w:w="1701" w:type="dxa"/>
            <w:shd w:val="clear" w:color="auto" w:fill="auto"/>
            <w:vAlign w:val="center"/>
          </w:tcPr>
          <w:p w14:paraId="26DEDE87" w14:textId="77777777" w:rsidR="0056738E" w:rsidRPr="007C4796" w:rsidRDefault="0056738E" w:rsidP="007C2AEE">
            <w:pPr>
              <w:spacing w:after="0" w:line="240" w:lineRule="auto"/>
              <w:jc w:val="right"/>
              <w:rPr>
                <w:rFonts w:ascii="Arial" w:eastAsia="Batang" w:hAnsi="Arial" w:cs="Arial"/>
                <w:b/>
                <w:sz w:val="18"/>
                <w:szCs w:val="18"/>
                <w:lang w:val="el-GR" w:eastAsia="en-US"/>
              </w:rPr>
            </w:pPr>
            <w:r>
              <w:rPr>
                <w:rFonts w:ascii="Arial" w:eastAsia="Batang" w:hAnsi="Arial" w:cs="Arial"/>
                <w:b/>
                <w:sz w:val="18"/>
                <w:szCs w:val="18"/>
                <w:lang w:val="en-US" w:eastAsia="en-US"/>
              </w:rPr>
              <w:t>18.5</w:t>
            </w:r>
          </w:p>
        </w:tc>
        <w:tc>
          <w:tcPr>
            <w:tcW w:w="1559" w:type="dxa"/>
            <w:shd w:val="clear" w:color="auto" w:fill="auto"/>
            <w:vAlign w:val="center"/>
          </w:tcPr>
          <w:p w14:paraId="4F0BB88F" w14:textId="77777777" w:rsidR="0056738E" w:rsidRPr="00E0028A" w:rsidRDefault="0056738E" w:rsidP="007C2AEE">
            <w:pPr>
              <w:spacing w:after="0" w:line="240" w:lineRule="auto"/>
              <w:jc w:val="right"/>
              <w:rPr>
                <w:rFonts w:ascii="Arial" w:hAnsi="Arial" w:cs="Arial"/>
                <w:sz w:val="18"/>
                <w:szCs w:val="18"/>
                <w:lang w:val="el-GR"/>
              </w:rPr>
            </w:pPr>
            <w:r w:rsidRPr="00487C44">
              <w:rPr>
                <w:rFonts w:ascii="Arial" w:eastAsia="Batang" w:hAnsi="Arial" w:cs="Arial"/>
                <w:bCs/>
                <w:sz w:val="18"/>
                <w:szCs w:val="18"/>
                <w:lang w:val="en-US" w:eastAsia="en-US"/>
              </w:rPr>
              <w:t>17.3</w:t>
            </w:r>
          </w:p>
        </w:tc>
        <w:tc>
          <w:tcPr>
            <w:tcW w:w="1701" w:type="dxa"/>
            <w:shd w:val="clear" w:color="auto" w:fill="FFFFFF" w:themeFill="background1"/>
            <w:vAlign w:val="center"/>
          </w:tcPr>
          <w:p w14:paraId="0FB425C9"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eastAsia="en-US"/>
              </w:rPr>
              <w:t>18.2</w:t>
            </w:r>
          </w:p>
        </w:tc>
        <w:tc>
          <w:tcPr>
            <w:tcW w:w="1418" w:type="dxa"/>
            <w:shd w:val="clear" w:color="auto" w:fill="FFFFFF" w:themeFill="background1"/>
            <w:vAlign w:val="center"/>
          </w:tcPr>
          <w:p w14:paraId="0D1A4FB6" w14:textId="77777777" w:rsidR="0056738E" w:rsidRPr="00E0028A" w:rsidRDefault="0056738E" w:rsidP="007C2AEE">
            <w:pPr>
              <w:spacing w:after="0" w:line="240" w:lineRule="auto"/>
              <w:jc w:val="right"/>
              <w:rPr>
                <w:rFonts w:ascii="Arial" w:hAnsi="Arial" w:cs="Arial"/>
                <w:sz w:val="18"/>
                <w:szCs w:val="18"/>
                <w:lang w:val="el-GR"/>
              </w:rPr>
            </w:pPr>
            <w:r w:rsidRPr="00487C44">
              <w:rPr>
                <w:rFonts w:ascii="Arial" w:eastAsia="Batang" w:hAnsi="Arial" w:cs="Arial"/>
                <w:bCs/>
                <w:sz w:val="18"/>
                <w:szCs w:val="18"/>
                <w:lang w:eastAsia="en-US"/>
              </w:rPr>
              <w:t>17.1</w:t>
            </w:r>
          </w:p>
        </w:tc>
      </w:tr>
      <w:tr w:rsidR="0056738E" w:rsidRPr="00A90D0C" w14:paraId="6967024A" w14:textId="77777777" w:rsidTr="007C2AEE">
        <w:trPr>
          <w:trHeight w:val="283"/>
          <w:jc w:val="center"/>
        </w:trPr>
        <w:tc>
          <w:tcPr>
            <w:tcW w:w="2977" w:type="dxa"/>
            <w:shd w:val="clear" w:color="auto" w:fill="auto"/>
            <w:vAlign w:val="center"/>
          </w:tcPr>
          <w:p w14:paraId="10DEBAC5" w14:textId="77777777" w:rsidR="0056738E" w:rsidRPr="00E0028A" w:rsidRDefault="0056738E" w:rsidP="007C2AEE">
            <w:pPr>
              <w:pStyle w:val="BodyText3"/>
              <w:tabs>
                <w:tab w:val="clear" w:pos="0"/>
              </w:tabs>
              <w:ind w:left="34"/>
              <w:jc w:val="left"/>
              <w:rPr>
                <w:rFonts w:ascii="Arial" w:hAnsi="Arial" w:cs="Arial"/>
                <w:bCs/>
                <w:color w:val="262626"/>
                <w:sz w:val="18"/>
                <w:szCs w:val="18"/>
                <w:lang w:val="el-GR"/>
              </w:rPr>
            </w:pPr>
            <w:r w:rsidRPr="00E0028A">
              <w:rPr>
                <w:rFonts w:ascii="Arial" w:hAnsi="Arial" w:cs="Arial"/>
                <w:bCs/>
                <w:color w:val="262626"/>
                <w:sz w:val="18"/>
                <w:szCs w:val="18"/>
                <w:lang w:val="el-GR"/>
              </w:rPr>
              <w:t>Δείκτης Συνολικών Κεφαλαίων</w:t>
            </w:r>
            <w:r w:rsidRPr="00E0028A">
              <w:rPr>
                <w:rFonts w:ascii="Arial" w:hAnsi="Arial" w:cs="Arial"/>
                <w:bCs/>
                <w:color w:val="262626"/>
                <w:sz w:val="18"/>
                <w:szCs w:val="18"/>
              </w:rPr>
              <w:t xml:space="preserve"> </w:t>
            </w:r>
          </w:p>
        </w:tc>
        <w:tc>
          <w:tcPr>
            <w:tcW w:w="1701" w:type="dxa"/>
            <w:shd w:val="clear" w:color="auto" w:fill="auto"/>
            <w:vAlign w:val="center"/>
          </w:tcPr>
          <w:p w14:paraId="4BAFD622"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val="en-US" w:eastAsia="en-US"/>
              </w:rPr>
              <w:t>23.7</w:t>
            </w:r>
          </w:p>
        </w:tc>
        <w:tc>
          <w:tcPr>
            <w:tcW w:w="1559" w:type="dxa"/>
            <w:shd w:val="clear" w:color="auto" w:fill="auto"/>
            <w:vAlign w:val="center"/>
          </w:tcPr>
          <w:p w14:paraId="33B6A387" w14:textId="77777777" w:rsidR="0056738E" w:rsidRPr="00E0028A" w:rsidRDefault="0056738E" w:rsidP="007C2AEE">
            <w:pPr>
              <w:spacing w:after="0" w:line="240" w:lineRule="auto"/>
              <w:jc w:val="right"/>
              <w:rPr>
                <w:rFonts w:ascii="Arial" w:hAnsi="Arial" w:cs="Arial"/>
                <w:sz w:val="18"/>
                <w:szCs w:val="18"/>
                <w:lang w:val="el-GR"/>
              </w:rPr>
            </w:pPr>
            <w:r w:rsidRPr="00487C44">
              <w:rPr>
                <w:rFonts w:ascii="Arial" w:eastAsia="Batang" w:hAnsi="Arial" w:cs="Arial"/>
                <w:bCs/>
                <w:sz w:val="18"/>
                <w:szCs w:val="18"/>
                <w:lang w:val="en-US" w:eastAsia="en-US"/>
              </w:rPr>
              <w:t>22.4</w:t>
            </w:r>
          </w:p>
        </w:tc>
        <w:tc>
          <w:tcPr>
            <w:tcW w:w="1701" w:type="dxa"/>
            <w:shd w:val="clear" w:color="auto" w:fill="FFFFFF" w:themeFill="background1"/>
            <w:vAlign w:val="center"/>
          </w:tcPr>
          <w:p w14:paraId="00AC4F55"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eastAsia="en-US"/>
              </w:rPr>
              <w:t>23.4</w:t>
            </w:r>
          </w:p>
        </w:tc>
        <w:tc>
          <w:tcPr>
            <w:tcW w:w="1418" w:type="dxa"/>
            <w:shd w:val="clear" w:color="auto" w:fill="FFFFFF" w:themeFill="background1"/>
            <w:vAlign w:val="center"/>
          </w:tcPr>
          <w:p w14:paraId="6D6C28D2" w14:textId="77777777" w:rsidR="0056738E" w:rsidRPr="00E0028A" w:rsidRDefault="0056738E" w:rsidP="007C2AEE">
            <w:pPr>
              <w:spacing w:after="0" w:line="240" w:lineRule="auto"/>
              <w:jc w:val="right"/>
              <w:rPr>
                <w:rFonts w:ascii="Arial" w:hAnsi="Arial" w:cs="Arial"/>
                <w:sz w:val="18"/>
                <w:szCs w:val="18"/>
                <w:lang w:val="el-GR"/>
              </w:rPr>
            </w:pPr>
            <w:r w:rsidRPr="00487C44">
              <w:rPr>
                <w:rFonts w:ascii="Arial" w:eastAsia="Batang" w:hAnsi="Arial" w:cs="Arial"/>
                <w:bCs/>
                <w:sz w:val="18"/>
                <w:szCs w:val="18"/>
                <w:lang w:eastAsia="en-US"/>
              </w:rPr>
              <w:t>22.2</w:t>
            </w:r>
          </w:p>
        </w:tc>
      </w:tr>
      <w:tr w:rsidR="0056738E" w:rsidRPr="00A90D0C" w14:paraId="309AFAC2" w14:textId="77777777" w:rsidTr="007C2AEE">
        <w:trPr>
          <w:trHeight w:val="283"/>
          <w:jc w:val="center"/>
        </w:trPr>
        <w:tc>
          <w:tcPr>
            <w:tcW w:w="2977" w:type="dxa"/>
            <w:shd w:val="clear" w:color="auto" w:fill="auto"/>
            <w:vAlign w:val="center"/>
          </w:tcPr>
          <w:p w14:paraId="2FCFBBF5" w14:textId="77777777" w:rsidR="0056738E" w:rsidRPr="00E0028A" w:rsidRDefault="0056738E" w:rsidP="007C2AEE">
            <w:pPr>
              <w:pStyle w:val="BodyText3"/>
              <w:tabs>
                <w:tab w:val="clear" w:pos="0"/>
              </w:tabs>
              <w:ind w:left="34"/>
              <w:jc w:val="left"/>
              <w:rPr>
                <w:rFonts w:ascii="Arial" w:hAnsi="Arial" w:cs="Arial"/>
                <w:color w:val="262626"/>
                <w:sz w:val="18"/>
                <w:szCs w:val="18"/>
                <w:lang w:val="el-GR"/>
              </w:rPr>
            </w:pPr>
            <w:r w:rsidRPr="00E0028A">
              <w:rPr>
                <w:rFonts w:ascii="Arial" w:eastAsia="Batang" w:hAnsi="Arial" w:cs="Arial"/>
                <w:sz w:val="18"/>
                <w:szCs w:val="18"/>
                <w:lang w:val="el-GR"/>
              </w:rPr>
              <w:t xml:space="preserve">Δείκτης </w:t>
            </w:r>
            <w:proofErr w:type="spellStart"/>
            <w:r w:rsidRPr="00E0028A">
              <w:rPr>
                <w:rFonts w:ascii="Arial" w:eastAsia="Batang" w:hAnsi="Arial" w:cs="Arial"/>
                <w:sz w:val="18"/>
                <w:szCs w:val="18"/>
                <w:lang w:val="el-GR"/>
              </w:rPr>
              <w:t>Μόχλευσης</w:t>
            </w:r>
            <w:proofErr w:type="spellEnd"/>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6A6F22"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val="en-US" w:eastAsia="en-US"/>
              </w:rPr>
              <w:t>8.4</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364FFB" w14:textId="77777777" w:rsidR="0056738E" w:rsidRPr="00E0028A" w:rsidRDefault="0056738E" w:rsidP="007C2AEE">
            <w:pPr>
              <w:spacing w:after="0" w:line="240" w:lineRule="auto"/>
              <w:jc w:val="right"/>
              <w:rPr>
                <w:rFonts w:ascii="Arial" w:hAnsi="Arial" w:cs="Arial"/>
                <w:sz w:val="18"/>
                <w:szCs w:val="18"/>
                <w:lang w:val="el-GR"/>
              </w:rPr>
            </w:pPr>
            <w:r w:rsidRPr="00487C44">
              <w:rPr>
                <w:rFonts w:ascii="Arial" w:eastAsia="Batang" w:hAnsi="Arial" w:cs="Arial"/>
                <w:bCs/>
                <w:sz w:val="18"/>
                <w:szCs w:val="18"/>
                <w:lang w:val="en-US" w:eastAsia="en-US"/>
              </w:rPr>
              <w:t>7.6</w:t>
            </w: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A727D9" w14:textId="77777777" w:rsidR="0056738E" w:rsidRPr="000B4F00" w:rsidRDefault="0056738E" w:rsidP="007C2AEE">
            <w:pPr>
              <w:spacing w:after="0" w:line="240" w:lineRule="auto"/>
              <w:jc w:val="right"/>
              <w:rPr>
                <w:rFonts w:ascii="Arial" w:eastAsia="Batang" w:hAnsi="Arial" w:cs="Arial"/>
                <w:b/>
                <w:sz w:val="18"/>
                <w:szCs w:val="18"/>
                <w:lang w:val="en-US" w:eastAsia="en-US"/>
              </w:rPr>
            </w:pPr>
            <w:r>
              <w:rPr>
                <w:rFonts w:ascii="Arial" w:eastAsia="Batang" w:hAnsi="Arial" w:cs="Arial"/>
                <w:b/>
                <w:sz w:val="18"/>
                <w:szCs w:val="18"/>
                <w:lang w:eastAsia="en-US"/>
              </w:rPr>
              <w:t>8.3</w:t>
            </w: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6B09D9A" w14:textId="77777777" w:rsidR="0056738E" w:rsidRPr="00E0028A" w:rsidRDefault="0056738E" w:rsidP="007C2AEE">
            <w:pPr>
              <w:spacing w:after="0" w:line="240" w:lineRule="auto"/>
              <w:jc w:val="right"/>
              <w:rPr>
                <w:rFonts w:ascii="Arial" w:hAnsi="Arial" w:cs="Arial"/>
                <w:sz w:val="18"/>
                <w:szCs w:val="18"/>
                <w:lang w:val="el-GR"/>
              </w:rPr>
            </w:pPr>
            <w:r w:rsidRPr="00487C44">
              <w:rPr>
                <w:rFonts w:ascii="Arial" w:eastAsia="Batang" w:hAnsi="Arial" w:cs="Arial"/>
                <w:bCs/>
                <w:sz w:val="18"/>
                <w:szCs w:val="18"/>
                <w:lang w:eastAsia="en-US"/>
              </w:rPr>
              <w:t>7.5</w:t>
            </w:r>
          </w:p>
        </w:tc>
      </w:tr>
      <w:tr w:rsidR="0056738E" w:rsidRPr="00A90D0C" w14:paraId="493DA1E5" w14:textId="77777777" w:rsidTr="007C2AEE">
        <w:trPr>
          <w:trHeight w:val="227"/>
          <w:jc w:val="center"/>
        </w:trPr>
        <w:tc>
          <w:tcPr>
            <w:tcW w:w="9356" w:type="dxa"/>
            <w:gridSpan w:val="5"/>
            <w:tcBorders>
              <w:right w:val="single" w:sz="4" w:space="0" w:color="C0C0C0"/>
            </w:tcBorders>
            <w:shd w:val="clear" w:color="auto" w:fill="auto"/>
            <w:vAlign w:val="center"/>
          </w:tcPr>
          <w:p w14:paraId="4492A7D6" w14:textId="77777777" w:rsidR="0056738E" w:rsidRPr="00C42B7D" w:rsidRDefault="0056738E" w:rsidP="007C2AEE">
            <w:pPr>
              <w:spacing w:after="0" w:line="240" w:lineRule="auto"/>
              <w:jc w:val="right"/>
              <w:rPr>
                <w:rFonts w:ascii="Arial" w:hAnsi="Arial" w:cs="Arial"/>
                <w:bCs/>
                <w:sz w:val="16"/>
                <w:szCs w:val="16"/>
              </w:rPr>
            </w:pPr>
          </w:p>
        </w:tc>
      </w:tr>
      <w:tr w:rsidR="0056738E" w:rsidRPr="007C2AEE" w14:paraId="488D3FF8" w14:textId="77777777" w:rsidTr="007C2AEE">
        <w:trPr>
          <w:trHeight w:val="283"/>
          <w:jc w:val="center"/>
        </w:trPr>
        <w:tc>
          <w:tcPr>
            <w:tcW w:w="9356" w:type="dxa"/>
            <w:gridSpan w:val="5"/>
            <w:tcBorders>
              <w:right w:val="single" w:sz="4" w:space="0" w:color="C0C0C0"/>
            </w:tcBorders>
            <w:shd w:val="clear" w:color="auto" w:fill="auto"/>
            <w:vAlign w:val="center"/>
          </w:tcPr>
          <w:p w14:paraId="5C78B045" w14:textId="77777777" w:rsidR="0056738E" w:rsidRPr="00634AC9" w:rsidRDefault="0056738E" w:rsidP="007C2AEE">
            <w:pPr>
              <w:autoSpaceDE w:val="0"/>
              <w:autoSpaceDN w:val="0"/>
              <w:adjustRightInd w:val="0"/>
              <w:spacing w:after="120" w:line="240" w:lineRule="auto"/>
              <w:jc w:val="both"/>
              <w:rPr>
                <w:rFonts w:ascii="Arial" w:eastAsia="Times New Roman" w:hAnsi="Arial" w:cs="Arial"/>
                <w:sz w:val="14"/>
                <w:szCs w:val="14"/>
                <w:lang w:val="el-GR"/>
              </w:rPr>
            </w:pPr>
            <w:r w:rsidRPr="00242811">
              <w:rPr>
                <w:rFonts w:ascii="Arial" w:hAnsi="Arial" w:cs="Arial"/>
                <w:bCs/>
                <w:sz w:val="16"/>
                <w:szCs w:val="16"/>
                <w:vertAlign w:val="superscript"/>
                <w:lang w:val="el-GR"/>
              </w:rPr>
              <w:t>1</w:t>
            </w:r>
            <w:r>
              <w:rPr>
                <w:rFonts w:ascii="Arial" w:hAnsi="Arial" w:cs="Arial"/>
                <w:bCs/>
                <w:sz w:val="16"/>
                <w:szCs w:val="16"/>
                <w:vertAlign w:val="superscript"/>
                <w:lang w:val="el-GR"/>
              </w:rPr>
              <w:t>.</w:t>
            </w:r>
            <w:r w:rsidRPr="00242811">
              <w:rPr>
                <w:rFonts w:ascii="Arial" w:hAnsi="Arial" w:cs="Arial"/>
                <w:sz w:val="14"/>
                <w:szCs w:val="14"/>
                <w:lang w:val="el-GR"/>
              </w:rPr>
              <w:t xml:space="preserve"> </w:t>
            </w:r>
            <w:r w:rsidRPr="00634AC9">
              <w:rPr>
                <w:rFonts w:ascii="Arial" w:eastAsia="Times New Roman" w:hAnsi="Arial" w:cs="Arial"/>
                <w:sz w:val="14"/>
                <w:szCs w:val="14"/>
                <w:lang w:val="el-GR"/>
              </w:rPr>
              <w:t>Περιλαμβάνει κέρδη για το εξάμηνο που έληξε στις 30 Ιουνίου 2024 βάσει της απόφασης (ΕΕ) (2015/656) της ΕΚΤ</w:t>
            </w:r>
            <w:r>
              <w:rPr>
                <w:rFonts w:ascii="Arial" w:eastAsia="Times New Roman" w:hAnsi="Arial" w:cs="Arial"/>
                <w:sz w:val="14"/>
                <w:szCs w:val="14"/>
                <w:lang w:val="el-GR"/>
              </w:rPr>
              <w:t xml:space="preserve"> </w:t>
            </w:r>
            <w:r w:rsidRPr="00634AC9">
              <w:rPr>
                <w:rFonts w:ascii="Arial" w:eastAsia="Times New Roman" w:hAnsi="Arial" w:cs="Arial"/>
                <w:sz w:val="14"/>
                <w:szCs w:val="14"/>
                <w:lang w:val="el-GR"/>
              </w:rPr>
              <w:t>σχετικά με τις προϋποθέσεις υπό τις οποίες επιτρέπεται να συμπεριληφθούν ενδιάμεσα κέρδη ή κέρδη τελικής χρήσης στο Κεφάλαιο</w:t>
            </w:r>
            <w:r>
              <w:rPr>
                <w:rFonts w:ascii="Arial" w:eastAsia="Times New Roman" w:hAnsi="Arial" w:cs="Arial"/>
                <w:sz w:val="14"/>
                <w:szCs w:val="14"/>
                <w:lang w:val="el-GR"/>
              </w:rPr>
              <w:t xml:space="preserve"> </w:t>
            </w:r>
            <w:r w:rsidRPr="00634AC9">
              <w:rPr>
                <w:rFonts w:ascii="Arial" w:eastAsia="Times New Roman" w:hAnsi="Arial" w:cs="Arial"/>
                <w:sz w:val="14"/>
                <w:szCs w:val="14"/>
                <w:lang w:val="el-GR"/>
              </w:rPr>
              <w:t>Κοινών Μετοχών Κατηγορίας 1 (</w:t>
            </w:r>
            <w:r w:rsidRPr="00634AC9">
              <w:rPr>
                <w:rFonts w:ascii="Arial" w:eastAsia="Times New Roman" w:hAnsi="Arial" w:cs="Arial"/>
                <w:sz w:val="14"/>
                <w:szCs w:val="14"/>
              </w:rPr>
              <w:t>CET</w:t>
            </w:r>
            <w:r w:rsidRPr="00634AC9">
              <w:rPr>
                <w:rFonts w:ascii="Arial" w:eastAsia="Times New Roman" w:hAnsi="Arial" w:cs="Arial"/>
                <w:sz w:val="14"/>
                <w:szCs w:val="14"/>
                <w:lang w:val="el-GR"/>
              </w:rPr>
              <w:t>1) σύμφωνα με το άρθρο 26 παράγραφος 2 του Κανονισμού Κεφαλαιακών Απαιτήσεων (</w:t>
            </w:r>
            <w:r w:rsidRPr="00634AC9">
              <w:rPr>
                <w:rFonts w:ascii="Arial" w:eastAsia="Times New Roman" w:hAnsi="Arial" w:cs="Arial"/>
                <w:sz w:val="14"/>
                <w:szCs w:val="14"/>
              </w:rPr>
              <w:t>CRR</w:t>
            </w:r>
            <w:r w:rsidRPr="00634AC9">
              <w:rPr>
                <w:rFonts w:ascii="Arial" w:eastAsia="Times New Roman" w:hAnsi="Arial" w:cs="Arial"/>
                <w:sz w:val="14"/>
                <w:szCs w:val="14"/>
                <w:lang w:val="el-GR"/>
              </w:rPr>
              <w:t>), και</w:t>
            </w:r>
            <w:r>
              <w:rPr>
                <w:rFonts w:ascii="Arial" w:eastAsia="Times New Roman" w:hAnsi="Arial" w:cs="Arial"/>
                <w:sz w:val="14"/>
                <w:szCs w:val="14"/>
                <w:lang w:val="el-GR"/>
              </w:rPr>
              <w:t xml:space="preserve"> </w:t>
            </w:r>
            <w:r w:rsidRPr="00634AC9">
              <w:rPr>
                <w:rFonts w:ascii="Arial" w:eastAsia="Times New Roman" w:hAnsi="Arial" w:cs="Arial"/>
                <w:sz w:val="14"/>
                <w:szCs w:val="14"/>
                <w:lang w:val="el-GR"/>
              </w:rPr>
              <w:t>πρόβλεψη για διανομή σε ποσοστό 50% της προσαρμοσμένης επαναλαμβανόμενης κερδοφορίας του Συγκροτήματος για την περίοδο,</w:t>
            </w:r>
            <w:r>
              <w:rPr>
                <w:rFonts w:ascii="Arial" w:eastAsia="Times New Roman" w:hAnsi="Arial" w:cs="Arial"/>
                <w:sz w:val="14"/>
                <w:szCs w:val="14"/>
                <w:lang w:val="el-GR"/>
              </w:rPr>
              <w:t xml:space="preserve"> </w:t>
            </w:r>
            <w:r w:rsidRPr="00634AC9">
              <w:rPr>
                <w:rFonts w:ascii="Arial" w:eastAsia="Times New Roman" w:hAnsi="Arial" w:cs="Arial"/>
                <w:sz w:val="14"/>
                <w:szCs w:val="14"/>
                <w:lang w:val="el-GR"/>
              </w:rPr>
              <w:t>που αντιστοιχεί στο υψηλότερο ποσοστό της εγκεκριμένης πολιτικής διανομής του Συγκροτήματος σύμφωνα με τις αρχές του Κατ’</w:t>
            </w:r>
            <w:r>
              <w:rPr>
                <w:rFonts w:ascii="Arial" w:eastAsia="Times New Roman" w:hAnsi="Arial" w:cs="Arial"/>
                <w:sz w:val="14"/>
                <w:szCs w:val="14"/>
                <w:lang w:val="el-GR"/>
              </w:rPr>
              <w:t xml:space="preserve"> </w:t>
            </w:r>
            <w:r w:rsidRPr="00634AC9">
              <w:rPr>
                <w:rFonts w:ascii="Arial" w:eastAsia="Times New Roman" w:hAnsi="Arial" w:cs="Arial"/>
                <w:sz w:val="14"/>
                <w:szCs w:val="14"/>
                <w:lang w:val="el-GR"/>
              </w:rPr>
              <w:t>εξουσιοδότηση Κανονισμού της (ΕΕ) αριθ. 241/2014 σε σχέση με προβλέψιμα μερίσματα και επιβαρύνσεις. Η πρόβλεψη για διανομή δεν αποτελεί δέσμευση για</w:t>
            </w:r>
            <w:r>
              <w:rPr>
                <w:rFonts w:ascii="Arial" w:eastAsia="Times New Roman" w:hAnsi="Arial" w:cs="Arial"/>
                <w:sz w:val="14"/>
                <w:szCs w:val="14"/>
                <w:lang w:val="el-GR"/>
              </w:rPr>
              <w:t xml:space="preserve"> </w:t>
            </w:r>
            <w:r w:rsidRPr="00634AC9">
              <w:rPr>
                <w:rFonts w:ascii="Arial" w:eastAsia="Times New Roman" w:hAnsi="Arial" w:cs="Arial"/>
                <w:sz w:val="14"/>
                <w:szCs w:val="14"/>
                <w:lang w:val="el-GR"/>
              </w:rPr>
              <w:t>καταβολή διανομής ούτε αποτελεί εγγύηση ή διαβεβαίωση ότι θα γίνει τέτοια καταβολή</w:t>
            </w:r>
            <w:r w:rsidRPr="00A03828">
              <w:rPr>
                <w:rFonts w:ascii="Arial" w:eastAsia="Times New Roman" w:hAnsi="Arial" w:cs="Arial"/>
                <w:sz w:val="14"/>
                <w:szCs w:val="14"/>
                <w:lang w:val="el-GR"/>
              </w:rPr>
              <w:t xml:space="preserve">. Περιλαμβάνοντας τα κέρδη για το τρίμηνο που έληξε στις 30 Σεπτεμβρίου 2024 και πρόβλεψη για διανομή σε ποσοστό 50% της προσαρμοσμένης επαναλαμβανόμενης κερδοφορίας του Συγκροτήματος για την περίοδο, ο δείκτης Κεφαλαίου Κοινών Μετοχών Κατηγορίας 1 (CET1), ο δείκτης Συνολικών Ιδίων Κεφαλαίων και ο Δείκτης </w:t>
            </w:r>
            <w:proofErr w:type="spellStart"/>
            <w:r w:rsidRPr="00A03828">
              <w:rPr>
                <w:rFonts w:ascii="Arial" w:eastAsia="Times New Roman" w:hAnsi="Arial" w:cs="Arial"/>
                <w:sz w:val="14"/>
                <w:szCs w:val="14"/>
                <w:lang w:val="el-GR"/>
              </w:rPr>
              <w:t>Μόχλευσης</w:t>
            </w:r>
            <w:proofErr w:type="spellEnd"/>
            <w:r w:rsidRPr="00A03828">
              <w:rPr>
                <w:rFonts w:ascii="Arial" w:eastAsia="Times New Roman" w:hAnsi="Arial" w:cs="Arial"/>
                <w:sz w:val="14"/>
                <w:szCs w:val="14"/>
                <w:lang w:val="el-GR"/>
              </w:rPr>
              <w:t>, ανέρχονται σε 19.1%, 24.2% και 8.6% αντίστοιχα, στις 30 Σεπτεμβρίου 2024.</w:t>
            </w:r>
            <w:r w:rsidRPr="00D17E65">
              <w:rPr>
                <w:rFonts w:ascii="Arial" w:hAnsi="Arial" w:cs="Arial"/>
                <w:sz w:val="14"/>
                <w:szCs w:val="14"/>
                <w:lang w:val="el-GR"/>
              </w:rPr>
              <w:t xml:space="preserve">         </w:t>
            </w:r>
          </w:p>
          <w:p w14:paraId="1D0F3E5B" w14:textId="77777777" w:rsidR="0056738E" w:rsidRPr="00634AC9" w:rsidRDefault="0056738E" w:rsidP="007C2AEE">
            <w:pPr>
              <w:autoSpaceDE w:val="0"/>
              <w:autoSpaceDN w:val="0"/>
              <w:adjustRightInd w:val="0"/>
              <w:spacing w:after="120" w:line="240" w:lineRule="auto"/>
              <w:jc w:val="both"/>
              <w:rPr>
                <w:rFonts w:ascii="Arial" w:eastAsia="Times New Roman" w:hAnsi="Arial" w:cs="Arial"/>
                <w:sz w:val="14"/>
                <w:szCs w:val="14"/>
                <w:lang w:val="el-GR"/>
              </w:rPr>
            </w:pPr>
            <w:r>
              <w:rPr>
                <w:rFonts w:ascii="Arial" w:hAnsi="Arial" w:cs="Arial"/>
                <w:bCs/>
                <w:sz w:val="16"/>
                <w:szCs w:val="16"/>
                <w:vertAlign w:val="superscript"/>
                <w:lang w:val="el-GR"/>
              </w:rPr>
              <w:t>2.</w:t>
            </w:r>
            <w:r w:rsidRPr="00242811">
              <w:rPr>
                <w:rFonts w:ascii="Arial" w:hAnsi="Arial" w:cs="Arial"/>
                <w:sz w:val="14"/>
                <w:szCs w:val="14"/>
                <w:lang w:val="el-GR"/>
              </w:rPr>
              <w:t xml:space="preserve"> </w:t>
            </w:r>
            <w:r w:rsidRPr="00634AC9">
              <w:rPr>
                <w:rFonts w:ascii="Arial" w:eastAsia="Times New Roman" w:hAnsi="Arial" w:cs="Arial"/>
                <w:sz w:val="14"/>
                <w:szCs w:val="14"/>
                <w:lang w:val="el-GR"/>
              </w:rPr>
              <w:t>Περιλαμβάνει κέρδη για το εξάμηνο που έληξε στις 30 Ιουνίου 2024 βάσει της απόφασης (ΕΕ)</w:t>
            </w:r>
            <w:r>
              <w:rPr>
                <w:rFonts w:ascii="Arial" w:eastAsia="Times New Roman" w:hAnsi="Arial" w:cs="Arial"/>
                <w:sz w:val="14"/>
                <w:szCs w:val="14"/>
                <w:lang w:val="el-GR"/>
              </w:rPr>
              <w:t xml:space="preserve"> </w:t>
            </w:r>
            <w:r w:rsidRPr="00634AC9">
              <w:rPr>
                <w:rFonts w:ascii="Arial" w:eastAsia="Times New Roman" w:hAnsi="Arial" w:cs="Arial"/>
                <w:sz w:val="14"/>
                <w:szCs w:val="14"/>
                <w:lang w:val="el-GR"/>
              </w:rPr>
              <w:t>(2015/656) της ΕΚΤ</w:t>
            </w:r>
            <w:r>
              <w:rPr>
                <w:rFonts w:ascii="Arial" w:eastAsia="Times New Roman" w:hAnsi="Arial" w:cs="Arial"/>
                <w:sz w:val="14"/>
                <w:szCs w:val="14"/>
                <w:lang w:val="el-GR"/>
              </w:rPr>
              <w:t xml:space="preserve"> </w:t>
            </w:r>
            <w:r w:rsidRPr="00634AC9">
              <w:rPr>
                <w:rFonts w:ascii="Arial" w:eastAsia="Times New Roman" w:hAnsi="Arial" w:cs="Arial"/>
                <w:sz w:val="14"/>
                <w:szCs w:val="14"/>
                <w:lang w:val="el-GR"/>
              </w:rPr>
              <w:t>σχετικά με τις προϋποθέσεις υπό τις οποίες επιτρέπεται να συμπεριληφθούν ενδιάμεσα κέρδη ή κέρδη τελικής</w:t>
            </w:r>
            <w:r>
              <w:rPr>
                <w:rFonts w:ascii="Arial" w:eastAsia="Times New Roman" w:hAnsi="Arial" w:cs="Arial"/>
                <w:sz w:val="14"/>
                <w:szCs w:val="14"/>
                <w:lang w:val="el-GR"/>
              </w:rPr>
              <w:t xml:space="preserve"> </w:t>
            </w:r>
            <w:r w:rsidRPr="00634AC9">
              <w:rPr>
                <w:rFonts w:ascii="Arial" w:eastAsia="Times New Roman" w:hAnsi="Arial" w:cs="Arial"/>
                <w:sz w:val="14"/>
                <w:szCs w:val="14"/>
                <w:lang w:val="el-GR"/>
              </w:rPr>
              <w:t>χρήσης στο Κεφάλαιο Κοινών Μετοχών Κατηγορίας 1 (</w:t>
            </w:r>
            <w:r w:rsidRPr="00634AC9">
              <w:rPr>
                <w:rFonts w:ascii="Arial" w:eastAsia="Times New Roman" w:hAnsi="Arial" w:cs="Arial"/>
                <w:sz w:val="14"/>
                <w:szCs w:val="14"/>
              </w:rPr>
              <w:t>CET</w:t>
            </w:r>
            <w:r w:rsidRPr="00634AC9">
              <w:rPr>
                <w:rFonts w:ascii="Arial" w:eastAsia="Times New Roman" w:hAnsi="Arial" w:cs="Arial"/>
                <w:sz w:val="14"/>
                <w:szCs w:val="14"/>
                <w:lang w:val="el-GR"/>
              </w:rPr>
              <w:t>1) σύμφωνα με το άρθρο 26 παράγραφος 2 του Κανονισμού Κεφαλαιακών</w:t>
            </w:r>
            <w:r>
              <w:rPr>
                <w:rFonts w:ascii="Arial" w:eastAsia="Times New Roman" w:hAnsi="Arial" w:cs="Arial"/>
                <w:sz w:val="14"/>
                <w:szCs w:val="14"/>
                <w:lang w:val="el-GR"/>
              </w:rPr>
              <w:t xml:space="preserve"> </w:t>
            </w:r>
            <w:r w:rsidRPr="00634AC9">
              <w:rPr>
                <w:rFonts w:ascii="Arial" w:eastAsia="Times New Roman" w:hAnsi="Arial" w:cs="Arial"/>
                <w:sz w:val="14"/>
                <w:szCs w:val="14"/>
                <w:lang w:val="el-GR"/>
              </w:rPr>
              <w:t>Απαιτήσεων (</w:t>
            </w:r>
            <w:r w:rsidRPr="00634AC9">
              <w:rPr>
                <w:rFonts w:ascii="Arial" w:eastAsia="Times New Roman" w:hAnsi="Arial" w:cs="Arial"/>
                <w:sz w:val="14"/>
                <w:szCs w:val="14"/>
              </w:rPr>
              <w:t>CRR</w:t>
            </w:r>
            <w:r w:rsidRPr="00634AC9">
              <w:rPr>
                <w:rFonts w:ascii="Arial" w:eastAsia="Times New Roman" w:hAnsi="Arial" w:cs="Arial"/>
                <w:sz w:val="14"/>
                <w:szCs w:val="14"/>
                <w:lang w:val="el-GR"/>
              </w:rPr>
              <w:t>), και πρόβλεψη για διανομή σε ποσοστό 50% της προσαρμοσμένης επαναλαμβανόμενης κερδοφορίας του</w:t>
            </w:r>
            <w:r>
              <w:rPr>
                <w:rFonts w:ascii="Arial" w:eastAsia="Times New Roman" w:hAnsi="Arial" w:cs="Arial"/>
                <w:sz w:val="14"/>
                <w:szCs w:val="14"/>
                <w:lang w:val="el-GR"/>
              </w:rPr>
              <w:t xml:space="preserve"> </w:t>
            </w:r>
            <w:r w:rsidRPr="00634AC9">
              <w:rPr>
                <w:rFonts w:ascii="Arial" w:eastAsia="Times New Roman" w:hAnsi="Arial" w:cs="Arial"/>
                <w:sz w:val="14"/>
                <w:szCs w:val="14"/>
                <w:lang w:val="el-GR"/>
              </w:rPr>
              <w:t>Συγκροτήματος για την περίοδο, που αντιστοιχεί στο</w:t>
            </w:r>
            <w:r>
              <w:rPr>
                <w:rFonts w:ascii="Arial" w:eastAsia="Times New Roman" w:hAnsi="Arial" w:cs="Arial"/>
                <w:sz w:val="14"/>
                <w:szCs w:val="14"/>
                <w:lang w:val="el-GR"/>
              </w:rPr>
              <w:t xml:space="preserve"> </w:t>
            </w:r>
            <w:r w:rsidRPr="00634AC9">
              <w:rPr>
                <w:rFonts w:ascii="Arial" w:eastAsia="Times New Roman" w:hAnsi="Arial" w:cs="Arial"/>
                <w:sz w:val="14"/>
                <w:szCs w:val="14"/>
                <w:lang w:val="el-GR"/>
              </w:rPr>
              <w:t>υψηλότερο ποσοστό της εγκεκριμένης πολιτικής διανομής του Συγκροτήματος</w:t>
            </w:r>
            <w:r>
              <w:rPr>
                <w:rFonts w:ascii="Arial" w:eastAsia="Times New Roman" w:hAnsi="Arial" w:cs="Arial"/>
                <w:sz w:val="14"/>
                <w:szCs w:val="14"/>
                <w:lang w:val="el-GR"/>
              </w:rPr>
              <w:t xml:space="preserve"> </w:t>
            </w:r>
            <w:r w:rsidRPr="00634AC9">
              <w:rPr>
                <w:rFonts w:ascii="Arial" w:eastAsia="Times New Roman" w:hAnsi="Arial" w:cs="Arial"/>
                <w:sz w:val="14"/>
                <w:szCs w:val="14"/>
                <w:lang w:val="el-GR"/>
              </w:rPr>
              <w:t>σύμφωνα με τις αρχές του Κατ’ εξουσιοδότηση Κανονισμού της (ΕΕ) αριθ. 241/2014 σε σχέση με προβλέψιμα μερίσματα και</w:t>
            </w:r>
            <w:r>
              <w:rPr>
                <w:rFonts w:ascii="Arial" w:eastAsia="Times New Roman" w:hAnsi="Arial" w:cs="Arial"/>
                <w:sz w:val="14"/>
                <w:szCs w:val="14"/>
                <w:lang w:val="el-GR"/>
              </w:rPr>
              <w:t xml:space="preserve"> </w:t>
            </w:r>
            <w:r w:rsidRPr="00634AC9">
              <w:rPr>
                <w:rFonts w:ascii="Arial" w:eastAsia="Times New Roman" w:hAnsi="Arial" w:cs="Arial"/>
                <w:sz w:val="14"/>
                <w:szCs w:val="14"/>
                <w:lang w:val="el-GR"/>
              </w:rPr>
              <w:t>επιβαρύνσεις. Η πρόβλεψη για</w:t>
            </w:r>
            <w:r>
              <w:rPr>
                <w:rFonts w:ascii="Arial" w:eastAsia="Times New Roman" w:hAnsi="Arial" w:cs="Arial"/>
                <w:sz w:val="14"/>
                <w:szCs w:val="14"/>
                <w:lang w:val="el-GR"/>
              </w:rPr>
              <w:t xml:space="preserve"> </w:t>
            </w:r>
            <w:r w:rsidRPr="00634AC9">
              <w:rPr>
                <w:rFonts w:ascii="Arial" w:eastAsia="Times New Roman" w:hAnsi="Arial" w:cs="Arial"/>
                <w:sz w:val="14"/>
                <w:szCs w:val="14"/>
                <w:lang w:val="el-GR"/>
              </w:rPr>
              <w:t>διανομή δεν αποτελεί δέσμευση για καταβολή διανομής ούτε αποτελεί εγγύηση ή διαβεβαίωση ότι θα γίνει τέτοια καταβολή.</w:t>
            </w:r>
            <w:r w:rsidRPr="00A03828">
              <w:rPr>
                <w:rFonts w:ascii="Arial" w:eastAsia="Times New Roman" w:hAnsi="Arial" w:cs="Arial"/>
                <w:sz w:val="14"/>
                <w:szCs w:val="14"/>
                <w:lang w:val="el-GR"/>
              </w:rPr>
              <w:t xml:space="preserve"> Περιλαμβάνοντας τα κέρδη για το τρίμηνο που έληξε στις 30 Σεπτεμβρίου 2024 και πρόβλεψη για διανομή σε ποσοστό 50% της προσαρμοσμένης επαναλαμβανόμενης κερδοφορίας του Συγκροτήματος για την περίοδο, ο δείκτης Κεφαλαίου Κοινών Μετοχών Κατηγορίας 1 (CET1), ο δείκτης Συνολικών Ιδίων Κεφαλαίων και ο Δείκτης </w:t>
            </w:r>
            <w:proofErr w:type="spellStart"/>
            <w:r w:rsidRPr="00A03828">
              <w:rPr>
                <w:rFonts w:ascii="Arial" w:eastAsia="Times New Roman" w:hAnsi="Arial" w:cs="Arial"/>
                <w:sz w:val="14"/>
                <w:szCs w:val="14"/>
                <w:lang w:val="el-GR"/>
              </w:rPr>
              <w:t>Μόχλευσης</w:t>
            </w:r>
            <w:proofErr w:type="spellEnd"/>
            <w:r w:rsidRPr="00A03828">
              <w:rPr>
                <w:rFonts w:ascii="Arial" w:eastAsia="Times New Roman" w:hAnsi="Arial" w:cs="Arial"/>
                <w:sz w:val="14"/>
                <w:szCs w:val="14"/>
                <w:lang w:val="el-GR"/>
              </w:rPr>
              <w:t>, ανέρχονται σε 18.6%, 23.9% και 8.5% αντίστοιχα, στις 30 Σεπτεμβρίου 2024.</w:t>
            </w:r>
          </w:p>
          <w:p w14:paraId="6CD7E320" w14:textId="77777777" w:rsidR="0056738E" w:rsidRPr="00634AC9" w:rsidRDefault="0056738E" w:rsidP="007C2AEE">
            <w:pPr>
              <w:autoSpaceDE w:val="0"/>
              <w:autoSpaceDN w:val="0"/>
              <w:adjustRightInd w:val="0"/>
              <w:spacing w:after="120" w:line="240" w:lineRule="auto"/>
              <w:jc w:val="both"/>
              <w:rPr>
                <w:rFonts w:ascii="Verdana" w:hAnsi="Verdana" w:cs="Verdana"/>
                <w:sz w:val="14"/>
                <w:szCs w:val="14"/>
                <w:lang w:val="el-GR"/>
              </w:rPr>
            </w:pPr>
            <w:r>
              <w:rPr>
                <w:rFonts w:ascii="Arial" w:hAnsi="Arial" w:cs="Arial"/>
                <w:bCs/>
                <w:sz w:val="16"/>
                <w:szCs w:val="16"/>
                <w:vertAlign w:val="superscript"/>
                <w:lang w:val="el-GR"/>
              </w:rPr>
              <w:t>3</w:t>
            </w:r>
            <w:r w:rsidRPr="00D17E65">
              <w:rPr>
                <w:rFonts w:ascii="Arial" w:hAnsi="Arial" w:cs="Arial"/>
                <w:bCs/>
                <w:sz w:val="16"/>
                <w:szCs w:val="16"/>
                <w:vertAlign w:val="superscript"/>
                <w:lang w:val="el-GR"/>
              </w:rPr>
              <w:t xml:space="preserve">. </w:t>
            </w:r>
            <w:r w:rsidRPr="00634AC9">
              <w:rPr>
                <w:rFonts w:ascii="Arial" w:eastAsia="Calibri" w:hAnsi="Arial" w:cs="Arial"/>
                <w:sz w:val="14"/>
                <w:szCs w:val="14"/>
                <w:lang w:val="el-GR" w:eastAsia="en-US"/>
              </w:rPr>
              <w:t>Περιλαμβάνει κέρδη για το έτος που έληξε στις 31 Δεκεμβρίου 2023 και αφαίρεση ποσού για τη διανομή από τα κέρδη του 2023 ύψους €137 εκατ., μετά από έγκριση που λήφθηκε από την ΕΚΤ τον Μάρτιο 2024 και σχετική σύσταση του Διοικητικού Συμβουλίου προς τους μετόχους για τελικό μέρισμα σε μετρητά ύψους €112 εκατ. και κατ' αρχήν έγκριση από το Διοικητικό Συμβούλιο για να προβεί σε επαναγορά συνήθων μετοχών της Εταιρίας έναντι συνολικού τιμήματος έως και €25 εκατ. και σύμφωνα με τους όρους της έγκρισης της ΕΚΤ. Παρομοίως, στην BOC PCL περιλαμβάνονται κέρδη για το έτος που έληξε στις 31 Δεκεμβρίου 2023 και αφαίρεση ποσού για τη διανομή από τα κέρδη του 2023 μετά την έγκριση που λήφθηκε από την ΕΚΤ τον Μάρτιο 2024 και τη σχετική σύσταση του Διοικητικού Συμβουλίου προς τους μετόχους για τελικό μέρισμα σε μετρητά ύψους €137 εκατ.</w:t>
            </w:r>
          </w:p>
          <w:p w14:paraId="31313A10" w14:textId="77777777" w:rsidR="0056738E" w:rsidRPr="00C42B7D" w:rsidRDefault="0056738E" w:rsidP="007C2AEE">
            <w:pPr>
              <w:spacing w:after="0" w:line="360" w:lineRule="auto"/>
              <w:jc w:val="both"/>
              <w:rPr>
                <w:rFonts w:ascii="Arial" w:hAnsi="Arial" w:cs="Arial"/>
                <w:bCs/>
                <w:sz w:val="18"/>
                <w:szCs w:val="18"/>
                <w:vertAlign w:val="superscript"/>
                <w:lang w:val="el-GR"/>
              </w:rPr>
            </w:pPr>
            <w:r>
              <w:rPr>
                <w:rFonts w:ascii="Arial" w:hAnsi="Arial" w:cs="Arial"/>
                <w:bCs/>
                <w:sz w:val="16"/>
                <w:szCs w:val="16"/>
                <w:vertAlign w:val="superscript"/>
                <w:lang w:val="el-GR"/>
              </w:rPr>
              <w:t>4</w:t>
            </w:r>
            <w:r w:rsidRPr="00D17E65">
              <w:rPr>
                <w:rFonts w:ascii="Arial" w:hAnsi="Arial" w:cs="Arial"/>
                <w:bCs/>
                <w:sz w:val="16"/>
                <w:szCs w:val="16"/>
                <w:vertAlign w:val="superscript"/>
                <w:lang w:val="el-GR"/>
              </w:rPr>
              <w:t xml:space="preserve">. </w:t>
            </w:r>
            <w:r w:rsidRPr="00D17E65">
              <w:rPr>
                <w:rFonts w:ascii="Arial" w:eastAsia="Calibri" w:hAnsi="Arial" w:cs="Arial"/>
                <w:sz w:val="14"/>
                <w:szCs w:val="14"/>
                <w:lang w:val="el-GR" w:eastAsia="en-US"/>
              </w:rPr>
              <w:t>Χωρίς τις ισχύουσες μεταβατικές διατάξεις για ΔΠΧΑ 9.</w:t>
            </w:r>
          </w:p>
        </w:tc>
      </w:tr>
    </w:tbl>
    <w:p w14:paraId="6DDBE3DC" w14:textId="77777777" w:rsidR="0056738E" w:rsidRDefault="0056738E" w:rsidP="0056738E">
      <w:pPr>
        <w:spacing w:after="0" w:line="240" w:lineRule="auto"/>
        <w:jc w:val="both"/>
        <w:rPr>
          <w:rFonts w:ascii="Arial" w:hAnsi="Arial" w:cs="Arial"/>
          <w:sz w:val="18"/>
          <w:szCs w:val="18"/>
          <w:lang w:val="el-GR"/>
        </w:rPr>
      </w:pPr>
    </w:p>
    <w:p w14:paraId="27C155CD" w14:textId="77777777" w:rsidR="0056738E" w:rsidRDefault="0056738E" w:rsidP="0056738E">
      <w:pPr>
        <w:spacing w:after="0" w:line="240" w:lineRule="auto"/>
        <w:jc w:val="both"/>
        <w:rPr>
          <w:rFonts w:ascii="Arial" w:hAnsi="Arial" w:cs="Arial"/>
          <w:color w:val="262626"/>
          <w:sz w:val="18"/>
          <w:lang w:val="el-GR"/>
        </w:rPr>
      </w:pPr>
      <w:r w:rsidRPr="00F40AA5">
        <w:rPr>
          <w:rFonts w:ascii="Arial" w:hAnsi="Arial" w:cs="Arial"/>
          <w:color w:val="262626"/>
          <w:sz w:val="18"/>
          <w:lang w:val="el-GR"/>
        </w:rPr>
        <w:t xml:space="preserve">Κατά τη διάρκεια του </w:t>
      </w:r>
      <w:proofErr w:type="spellStart"/>
      <w:r>
        <w:rPr>
          <w:rFonts w:ascii="Arial" w:hAnsi="Arial" w:cs="Arial"/>
          <w:color w:val="262626"/>
          <w:sz w:val="18"/>
          <w:lang w:val="el-GR"/>
        </w:rPr>
        <w:t>εννεαμήνου</w:t>
      </w:r>
      <w:proofErr w:type="spellEnd"/>
      <w:r w:rsidRPr="00F40AA5">
        <w:rPr>
          <w:rFonts w:ascii="Arial" w:hAnsi="Arial" w:cs="Arial"/>
          <w:color w:val="262626"/>
          <w:sz w:val="18"/>
          <w:lang w:val="el-GR"/>
        </w:rPr>
        <w:t xml:space="preserve"> που έληξε στις 30 </w:t>
      </w:r>
      <w:r>
        <w:rPr>
          <w:rFonts w:ascii="Arial" w:hAnsi="Arial" w:cs="Arial"/>
          <w:color w:val="262626"/>
          <w:sz w:val="18"/>
          <w:lang w:val="el-GR"/>
        </w:rPr>
        <w:t>Σεπτεμβρίου</w:t>
      </w:r>
      <w:r w:rsidRPr="00F40AA5">
        <w:rPr>
          <w:rFonts w:ascii="Arial" w:hAnsi="Arial" w:cs="Arial"/>
          <w:color w:val="262626"/>
          <w:sz w:val="18"/>
          <w:lang w:val="el-GR"/>
        </w:rPr>
        <w:t xml:space="preserve"> 2024, ο εποπτικός δείκτης Κεφαλαίου Κοινών Μετοχών</w:t>
      </w:r>
      <w:r>
        <w:rPr>
          <w:rFonts w:ascii="Arial" w:hAnsi="Arial" w:cs="Arial"/>
          <w:color w:val="262626"/>
          <w:sz w:val="18"/>
          <w:lang w:val="el-GR"/>
        </w:rPr>
        <w:t xml:space="preserve"> </w:t>
      </w:r>
      <w:r w:rsidRPr="00F40AA5">
        <w:rPr>
          <w:rFonts w:ascii="Arial" w:hAnsi="Arial" w:cs="Arial"/>
          <w:color w:val="262626"/>
          <w:sz w:val="18"/>
          <w:lang w:val="el-GR"/>
        </w:rPr>
        <w:t>Κατηγορίας 1 (</w:t>
      </w:r>
      <w:r w:rsidRPr="00F40AA5">
        <w:rPr>
          <w:rFonts w:ascii="Arial" w:hAnsi="Arial" w:cs="Arial"/>
          <w:color w:val="262626"/>
          <w:sz w:val="18"/>
        </w:rPr>
        <w:t>CET</w:t>
      </w:r>
      <w:r w:rsidRPr="00F40AA5">
        <w:rPr>
          <w:rFonts w:ascii="Arial" w:hAnsi="Arial" w:cs="Arial"/>
          <w:color w:val="262626"/>
          <w:sz w:val="18"/>
          <w:lang w:val="el-GR"/>
        </w:rPr>
        <w:t xml:space="preserve">1) επηρεάστηκε κυρίως από τα έσοδα πριν τις προβλέψεις, τις προβλέψεις και </w:t>
      </w:r>
      <w:proofErr w:type="spellStart"/>
      <w:r w:rsidRPr="00F40AA5">
        <w:rPr>
          <w:rFonts w:ascii="Arial" w:hAnsi="Arial" w:cs="Arial"/>
          <w:color w:val="262626"/>
          <w:sz w:val="18"/>
          <w:lang w:val="el-GR"/>
        </w:rPr>
        <w:t>απομειώσεις</w:t>
      </w:r>
      <w:proofErr w:type="spellEnd"/>
      <w:r w:rsidRPr="00F40AA5">
        <w:rPr>
          <w:rFonts w:ascii="Arial" w:hAnsi="Arial" w:cs="Arial"/>
          <w:color w:val="262626"/>
          <w:sz w:val="18"/>
          <w:lang w:val="el-GR"/>
        </w:rPr>
        <w:t>,</w:t>
      </w:r>
      <w:r>
        <w:rPr>
          <w:rFonts w:ascii="Arial" w:hAnsi="Arial" w:cs="Arial"/>
          <w:color w:val="262626"/>
          <w:sz w:val="18"/>
          <w:lang w:val="el-GR"/>
        </w:rPr>
        <w:t xml:space="preserve"> </w:t>
      </w:r>
      <w:r w:rsidRPr="00F40AA5">
        <w:rPr>
          <w:rFonts w:ascii="Arial" w:hAnsi="Arial" w:cs="Arial"/>
          <w:color w:val="262626"/>
          <w:sz w:val="18"/>
          <w:lang w:val="el-GR"/>
        </w:rPr>
        <w:t>την</w:t>
      </w:r>
      <w:r>
        <w:rPr>
          <w:rFonts w:ascii="Arial" w:hAnsi="Arial" w:cs="Arial"/>
          <w:color w:val="262626"/>
          <w:sz w:val="18"/>
          <w:lang w:val="el-GR"/>
        </w:rPr>
        <w:t xml:space="preserve"> </w:t>
      </w:r>
      <w:r w:rsidRPr="00F40AA5">
        <w:rPr>
          <w:rFonts w:ascii="Arial" w:hAnsi="Arial" w:cs="Arial"/>
          <w:color w:val="262626"/>
          <w:sz w:val="18"/>
          <w:lang w:val="el-GR"/>
        </w:rPr>
        <w:t>πληρωμή κουπονιού στους κατόχους Χρεογράφων Πρόσθετου Κεφαλαίου Κατηγορίας 1, την</w:t>
      </w:r>
      <w:r w:rsidRPr="00595AAB">
        <w:rPr>
          <w:rFonts w:ascii="Arial" w:hAnsi="Arial" w:cs="Arial"/>
          <w:color w:val="262626"/>
          <w:sz w:val="18"/>
          <w:lang w:val="el-GR"/>
        </w:rPr>
        <w:t xml:space="preserve"> </w:t>
      </w:r>
      <w:r>
        <w:rPr>
          <w:rFonts w:ascii="Arial" w:hAnsi="Arial" w:cs="Arial"/>
          <w:color w:val="262626"/>
          <w:sz w:val="18"/>
          <w:lang w:val="el-GR"/>
        </w:rPr>
        <w:t>αντίστοιχη</w:t>
      </w:r>
      <w:r w:rsidRPr="00F40AA5">
        <w:rPr>
          <w:rFonts w:ascii="Arial" w:hAnsi="Arial" w:cs="Arial"/>
          <w:color w:val="262626"/>
          <w:sz w:val="18"/>
          <w:lang w:val="el-GR"/>
        </w:rPr>
        <w:t xml:space="preserve"> πρόβλεψη για</w:t>
      </w:r>
      <w:r>
        <w:rPr>
          <w:rFonts w:ascii="Arial" w:hAnsi="Arial" w:cs="Arial"/>
          <w:color w:val="262626"/>
          <w:sz w:val="18"/>
          <w:lang w:val="el-GR"/>
        </w:rPr>
        <w:t xml:space="preserve"> </w:t>
      </w:r>
      <w:r w:rsidRPr="00F40AA5">
        <w:rPr>
          <w:rFonts w:ascii="Arial" w:hAnsi="Arial" w:cs="Arial"/>
          <w:color w:val="262626"/>
          <w:sz w:val="18"/>
          <w:lang w:val="el-GR"/>
        </w:rPr>
        <w:t>διανομή</w:t>
      </w:r>
      <w:r>
        <w:rPr>
          <w:rFonts w:ascii="Arial" w:hAnsi="Arial" w:cs="Arial"/>
          <w:color w:val="262626"/>
          <w:sz w:val="18"/>
          <w:lang w:val="el-GR"/>
        </w:rPr>
        <w:t xml:space="preserve"> </w:t>
      </w:r>
      <w:r w:rsidRPr="00F40AA5">
        <w:rPr>
          <w:rFonts w:ascii="Arial" w:hAnsi="Arial" w:cs="Arial"/>
          <w:color w:val="262626"/>
          <w:sz w:val="18"/>
          <w:lang w:val="el-GR"/>
        </w:rPr>
        <w:t>σε ποσοστό 50% της προσαρμοσμένης επαναλαμβανόμενης κερδοφορίας του Συγκροτήματος για την</w:t>
      </w:r>
      <w:r>
        <w:rPr>
          <w:rFonts w:ascii="Arial" w:hAnsi="Arial" w:cs="Arial"/>
          <w:color w:val="262626"/>
          <w:sz w:val="18"/>
          <w:lang w:val="el-GR"/>
        </w:rPr>
        <w:t xml:space="preserve"> </w:t>
      </w:r>
      <w:r w:rsidRPr="00F40AA5">
        <w:rPr>
          <w:rFonts w:ascii="Arial" w:hAnsi="Arial" w:cs="Arial"/>
          <w:color w:val="262626"/>
          <w:sz w:val="18"/>
          <w:lang w:val="el-GR"/>
        </w:rPr>
        <w:t>περίοδο,</w:t>
      </w:r>
      <w:r w:rsidRPr="00190BE3">
        <w:rPr>
          <w:rFonts w:ascii="Arial" w:hAnsi="Arial" w:cs="Arial"/>
          <w:color w:val="262626"/>
          <w:sz w:val="18"/>
          <w:lang w:val="el-GR"/>
        </w:rPr>
        <w:t xml:space="preserve"> </w:t>
      </w:r>
      <w:r>
        <w:rPr>
          <w:rFonts w:ascii="Arial" w:hAnsi="Arial" w:cs="Arial"/>
          <w:color w:val="262626"/>
          <w:sz w:val="18"/>
          <w:lang w:val="el-GR"/>
        </w:rPr>
        <w:t xml:space="preserve">άλλες μεταβολές </w:t>
      </w:r>
      <w:r w:rsidRPr="00F40AA5">
        <w:rPr>
          <w:rFonts w:ascii="Arial" w:hAnsi="Arial" w:cs="Arial"/>
          <w:color w:val="262626"/>
          <w:sz w:val="18"/>
          <w:lang w:val="el-GR"/>
        </w:rPr>
        <w:t>και τη μεταβολή των σταθμισμένων ως προς τον κίνδυνο περιουσιακών στοιχείων. Ως αποτέλεσμα, ο</w:t>
      </w:r>
      <w:r>
        <w:rPr>
          <w:rFonts w:ascii="Arial" w:hAnsi="Arial" w:cs="Arial"/>
          <w:color w:val="262626"/>
          <w:sz w:val="18"/>
          <w:lang w:val="el-GR"/>
        </w:rPr>
        <w:t xml:space="preserve"> </w:t>
      </w:r>
      <w:r w:rsidRPr="00F40AA5">
        <w:rPr>
          <w:rFonts w:ascii="Arial" w:hAnsi="Arial" w:cs="Arial"/>
          <w:color w:val="262626"/>
          <w:sz w:val="18"/>
          <w:lang w:val="el-GR"/>
        </w:rPr>
        <w:t>Δείκτης</w:t>
      </w:r>
      <w:r>
        <w:rPr>
          <w:rFonts w:ascii="Arial" w:hAnsi="Arial" w:cs="Arial"/>
          <w:color w:val="262626"/>
          <w:sz w:val="18"/>
          <w:lang w:val="el-GR"/>
        </w:rPr>
        <w:t xml:space="preserve"> </w:t>
      </w:r>
      <w:r w:rsidRPr="00F40AA5">
        <w:rPr>
          <w:rFonts w:ascii="Arial" w:hAnsi="Arial" w:cs="Arial"/>
          <w:color w:val="262626"/>
          <w:sz w:val="18"/>
          <w:lang w:val="el-GR"/>
        </w:rPr>
        <w:t>Κεφαλαίων Κοινών Μετοχών Κατηγορίας 1 (</w:t>
      </w:r>
      <w:r w:rsidRPr="00F40AA5">
        <w:rPr>
          <w:rFonts w:ascii="Arial" w:hAnsi="Arial" w:cs="Arial"/>
          <w:color w:val="262626"/>
          <w:sz w:val="18"/>
        </w:rPr>
        <w:t>CET</w:t>
      </w:r>
      <w:r w:rsidRPr="00F40AA5">
        <w:rPr>
          <w:rFonts w:ascii="Arial" w:hAnsi="Arial" w:cs="Arial"/>
          <w:color w:val="262626"/>
          <w:sz w:val="18"/>
          <w:lang w:val="el-GR"/>
        </w:rPr>
        <w:t>1) (με μεταβατικές διατάξεις</w:t>
      </w:r>
      <w:r w:rsidRPr="00190BE3">
        <w:rPr>
          <w:rFonts w:ascii="Arial" w:hAnsi="Arial" w:cs="Arial"/>
          <w:color w:val="262626"/>
          <w:sz w:val="18"/>
          <w:lang w:val="el-GR"/>
        </w:rPr>
        <w:t xml:space="preserve"> </w:t>
      </w:r>
      <w:r>
        <w:rPr>
          <w:rFonts w:ascii="Arial" w:hAnsi="Arial" w:cs="Arial"/>
          <w:color w:val="262626"/>
          <w:sz w:val="18"/>
          <w:lang w:val="el-GR"/>
        </w:rPr>
        <w:t>και χωρίς μεταβατικές διατάξεις</w:t>
      </w:r>
      <w:r w:rsidRPr="00F40AA5">
        <w:rPr>
          <w:rFonts w:ascii="Arial" w:hAnsi="Arial" w:cs="Arial"/>
          <w:color w:val="262626"/>
          <w:sz w:val="18"/>
          <w:lang w:val="el-GR"/>
        </w:rPr>
        <w:t xml:space="preserve">) αυξήθηκε κατά περίπου </w:t>
      </w:r>
      <w:r>
        <w:rPr>
          <w:rFonts w:ascii="Arial" w:hAnsi="Arial" w:cs="Arial"/>
          <w:color w:val="262626"/>
          <w:sz w:val="18"/>
          <w:lang w:val="el-GR"/>
        </w:rPr>
        <w:t xml:space="preserve">120 </w:t>
      </w:r>
      <w:r w:rsidRPr="00F40AA5">
        <w:rPr>
          <w:rFonts w:ascii="Arial" w:hAnsi="Arial" w:cs="Arial"/>
          <w:color w:val="262626"/>
          <w:sz w:val="18"/>
          <w:lang w:val="el-GR"/>
        </w:rPr>
        <w:t xml:space="preserve">μονάδες βάσης κατά το </w:t>
      </w:r>
      <w:r>
        <w:rPr>
          <w:rFonts w:ascii="Arial" w:hAnsi="Arial" w:cs="Arial"/>
          <w:color w:val="262626"/>
          <w:sz w:val="18"/>
          <w:lang w:val="el-GR"/>
        </w:rPr>
        <w:t>εννεάμηνο</w:t>
      </w:r>
      <w:r w:rsidRPr="00F40AA5">
        <w:rPr>
          <w:rFonts w:ascii="Arial" w:hAnsi="Arial" w:cs="Arial"/>
          <w:color w:val="262626"/>
          <w:sz w:val="18"/>
          <w:lang w:val="el-GR"/>
        </w:rPr>
        <w:t xml:space="preserve"> που έληξε στις 30 </w:t>
      </w:r>
      <w:r>
        <w:rPr>
          <w:rFonts w:ascii="Arial" w:hAnsi="Arial" w:cs="Arial"/>
          <w:color w:val="262626"/>
          <w:sz w:val="18"/>
          <w:lang w:val="el-GR"/>
        </w:rPr>
        <w:t>Σεπτεμβρίου</w:t>
      </w:r>
      <w:r w:rsidRPr="00F40AA5">
        <w:rPr>
          <w:rFonts w:ascii="Arial" w:hAnsi="Arial" w:cs="Arial"/>
          <w:color w:val="262626"/>
          <w:sz w:val="18"/>
          <w:lang w:val="el-GR"/>
        </w:rPr>
        <w:t xml:space="preserve"> 2024</w:t>
      </w:r>
      <w:r>
        <w:rPr>
          <w:rFonts w:ascii="Arial" w:hAnsi="Arial" w:cs="Arial"/>
          <w:color w:val="262626"/>
          <w:sz w:val="18"/>
          <w:lang w:val="el-GR"/>
        </w:rPr>
        <w:t>.</w:t>
      </w:r>
    </w:p>
    <w:p w14:paraId="3F055C16" w14:textId="77777777" w:rsidR="0056738E" w:rsidRPr="00F40AA5" w:rsidRDefault="0056738E" w:rsidP="0056738E">
      <w:pPr>
        <w:spacing w:after="0" w:line="240" w:lineRule="auto"/>
        <w:jc w:val="both"/>
        <w:rPr>
          <w:rFonts w:ascii="Arial" w:hAnsi="Arial" w:cs="Arial"/>
          <w:color w:val="262626"/>
          <w:sz w:val="18"/>
          <w:lang w:val="el-GR"/>
        </w:rPr>
      </w:pPr>
    </w:p>
    <w:p w14:paraId="4BAA7DD3" w14:textId="77777777" w:rsidR="0056738E" w:rsidRDefault="0056738E" w:rsidP="0056738E">
      <w:pPr>
        <w:spacing w:after="0" w:line="240" w:lineRule="auto"/>
        <w:jc w:val="both"/>
        <w:rPr>
          <w:rFonts w:ascii="Arial" w:hAnsi="Arial" w:cs="Arial"/>
          <w:color w:val="262626"/>
          <w:sz w:val="18"/>
          <w:lang w:val="el-GR"/>
        </w:rPr>
      </w:pPr>
      <w:r w:rsidRPr="00F40AA5">
        <w:rPr>
          <w:rFonts w:ascii="Arial" w:hAnsi="Arial" w:cs="Arial"/>
          <w:color w:val="262626"/>
          <w:sz w:val="18"/>
          <w:lang w:val="el-GR"/>
        </w:rPr>
        <w:t>Επιβάρυνση, ύψους 2</w:t>
      </w:r>
      <w:r>
        <w:rPr>
          <w:rFonts w:ascii="Arial" w:hAnsi="Arial" w:cs="Arial"/>
          <w:color w:val="262626"/>
          <w:sz w:val="18"/>
          <w:lang w:val="el-GR"/>
        </w:rPr>
        <w:t>7</w:t>
      </w:r>
      <w:r w:rsidRPr="00F40AA5">
        <w:rPr>
          <w:rFonts w:ascii="Arial" w:hAnsi="Arial" w:cs="Arial"/>
          <w:color w:val="262626"/>
          <w:sz w:val="18"/>
          <w:lang w:val="el-GR"/>
        </w:rPr>
        <w:t xml:space="preserve"> μονάδων βάσης στις 30 </w:t>
      </w:r>
      <w:r>
        <w:rPr>
          <w:rFonts w:ascii="Arial" w:hAnsi="Arial" w:cs="Arial"/>
          <w:color w:val="262626"/>
          <w:sz w:val="18"/>
          <w:lang w:val="el-GR"/>
        </w:rPr>
        <w:t>Σεπτεμβρίου</w:t>
      </w:r>
      <w:r w:rsidRPr="00F40AA5">
        <w:rPr>
          <w:rFonts w:ascii="Arial" w:hAnsi="Arial" w:cs="Arial"/>
          <w:color w:val="262626"/>
          <w:sz w:val="18"/>
          <w:lang w:val="el-GR"/>
        </w:rPr>
        <w:t xml:space="preserve"> 2024, αφαιρείται από ίδια κεφάλαια σε σχέση με </w:t>
      </w:r>
      <w:r>
        <w:rPr>
          <w:rFonts w:ascii="Arial" w:hAnsi="Arial" w:cs="Arial"/>
          <w:color w:val="262626"/>
          <w:sz w:val="18"/>
          <w:lang w:val="el-GR"/>
        </w:rPr>
        <w:t xml:space="preserve">τις </w:t>
      </w:r>
      <w:r w:rsidRPr="00F40AA5">
        <w:rPr>
          <w:rFonts w:ascii="Arial" w:hAnsi="Arial" w:cs="Arial"/>
          <w:color w:val="262626"/>
          <w:sz w:val="18"/>
          <w:lang w:val="el-GR"/>
        </w:rPr>
        <w:t>προσδοκίες της ΕΚΤ για προληπτικές προβλέψεις ΜΕΔ. Επιπρόσθετα, εποπτική επιβάρυνση σε σχέση με επιτόπια</w:t>
      </w:r>
      <w:r>
        <w:rPr>
          <w:rFonts w:ascii="Arial" w:hAnsi="Arial" w:cs="Arial"/>
          <w:color w:val="262626"/>
          <w:sz w:val="18"/>
          <w:lang w:val="el-GR"/>
        </w:rPr>
        <w:t xml:space="preserve"> </w:t>
      </w:r>
      <w:r w:rsidRPr="00F40AA5">
        <w:rPr>
          <w:rFonts w:ascii="Arial" w:hAnsi="Arial" w:cs="Arial"/>
          <w:color w:val="262626"/>
          <w:sz w:val="18"/>
          <w:lang w:val="el-GR"/>
        </w:rPr>
        <w:t>επιθεώρηση που αφορούσε την αξία των περιουσιακών στοιχείων που περιέρχονται στην κυριότητα του</w:t>
      </w:r>
      <w:r>
        <w:rPr>
          <w:rFonts w:ascii="Arial" w:hAnsi="Arial" w:cs="Arial"/>
          <w:color w:val="262626"/>
          <w:sz w:val="18"/>
          <w:lang w:val="el-GR"/>
        </w:rPr>
        <w:t xml:space="preserve"> </w:t>
      </w:r>
      <w:r w:rsidRPr="00F40AA5">
        <w:rPr>
          <w:rFonts w:ascii="Arial" w:hAnsi="Arial" w:cs="Arial"/>
          <w:color w:val="262626"/>
          <w:sz w:val="18"/>
          <w:lang w:val="el-GR"/>
        </w:rPr>
        <w:t>Συγκροτήματος</w:t>
      </w:r>
      <w:r>
        <w:rPr>
          <w:rFonts w:ascii="Arial" w:hAnsi="Arial" w:cs="Arial"/>
          <w:color w:val="262626"/>
          <w:sz w:val="18"/>
          <w:lang w:val="el-GR"/>
        </w:rPr>
        <w:t xml:space="preserve"> </w:t>
      </w:r>
      <w:r w:rsidRPr="00F40AA5">
        <w:rPr>
          <w:rFonts w:ascii="Arial" w:hAnsi="Arial" w:cs="Arial"/>
          <w:color w:val="262626"/>
          <w:sz w:val="18"/>
          <w:lang w:val="el-GR"/>
        </w:rPr>
        <w:t xml:space="preserve">μέσω εκποιήσεων, αφαιρείται από τα ίδια κεφάλαια από τον Ιούνιο του 2021, η επίδραση </w:t>
      </w:r>
      <w:r>
        <w:rPr>
          <w:rFonts w:ascii="Arial" w:hAnsi="Arial" w:cs="Arial"/>
          <w:color w:val="262626"/>
          <w:sz w:val="18"/>
          <w:lang w:val="el-GR"/>
        </w:rPr>
        <w:t xml:space="preserve">της </w:t>
      </w:r>
      <w:r w:rsidRPr="00F40AA5">
        <w:rPr>
          <w:rFonts w:ascii="Arial" w:hAnsi="Arial" w:cs="Arial"/>
          <w:color w:val="262626"/>
          <w:sz w:val="18"/>
          <w:lang w:val="el-GR"/>
        </w:rPr>
        <w:t xml:space="preserve">οποίας είναι </w:t>
      </w:r>
      <w:r>
        <w:rPr>
          <w:rFonts w:ascii="Arial" w:hAnsi="Arial" w:cs="Arial"/>
          <w:color w:val="262626"/>
          <w:sz w:val="18"/>
          <w:lang w:val="el-GR"/>
        </w:rPr>
        <w:t>3</w:t>
      </w:r>
      <w:r w:rsidRPr="00F40AA5">
        <w:rPr>
          <w:rFonts w:ascii="Arial" w:hAnsi="Arial" w:cs="Arial"/>
          <w:color w:val="262626"/>
          <w:sz w:val="18"/>
          <w:lang w:val="el-GR"/>
        </w:rPr>
        <w:t xml:space="preserve"> μονάδες βάσης στον δείκτη Κεφαλαίου Κοινών Μετοχών Κατηγορίας 1 (CET1) του Συγκροτήματος</w:t>
      </w:r>
      <w:r>
        <w:rPr>
          <w:rFonts w:ascii="Arial" w:hAnsi="Arial" w:cs="Arial"/>
          <w:color w:val="262626"/>
          <w:sz w:val="18"/>
          <w:lang w:val="el-GR"/>
        </w:rPr>
        <w:t xml:space="preserve"> </w:t>
      </w:r>
      <w:r w:rsidRPr="00F40AA5">
        <w:rPr>
          <w:rFonts w:ascii="Arial" w:hAnsi="Arial" w:cs="Arial"/>
          <w:color w:val="262626"/>
          <w:sz w:val="18"/>
          <w:lang w:val="el-GR"/>
        </w:rPr>
        <w:t>κατά</w:t>
      </w:r>
      <w:r>
        <w:rPr>
          <w:rFonts w:ascii="Arial" w:hAnsi="Arial" w:cs="Arial"/>
          <w:color w:val="262626"/>
          <w:sz w:val="18"/>
          <w:lang w:val="el-GR"/>
        </w:rPr>
        <w:t xml:space="preserve"> </w:t>
      </w:r>
      <w:r w:rsidRPr="00F40AA5">
        <w:rPr>
          <w:rFonts w:ascii="Arial" w:hAnsi="Arial" w:cs="Arial"/>
          <w:color w:val="262626"/>
          <w:sz w:val="18"/>
          <w:lang w:val="el-GR"/>
        </w:rPr>
        <w:t xml:space="preserve">τις 30 </w:t>
      </w:r>
      <w:r>
        <w:rPr>
          <w:rFonts w:ascii="Arial" w:hAnsi="Arial" w:cs="Arial"/>
          <w:color w:val="262626"/>
          <w:sz w:val="18"/>
          <w:lang w:val="el-GR"/>
        </w:rPr>
        <w:t>Σεπτεμβρίου</w:t>
      </w:r>
      <w:r w:rsidRPr="00F40AA5">
        <w:rPr>
          <w:rFonts w:ascii="Arial" w:hAnsi="Arial" w:cs="Arial"/>
          <w:color w:val="262626"/>
          <w:sz w:val="18"/>
          <w:lang w:val="el-GR"/>
        </w:rPr>
        <w:t xml:space="preserve"> 2024. Επιπλέον, το Συγκρότημα υπόκειται σε αυξημένες κεφαλαιακές απαιτήσεις σε σχέση</w:t>
      </w:r>
      <w:r>
        <w:rPr>
          <w:rFonts w:ascii="Arial" w:hAnsi="Arial" w:cs="Arial"/>
          <w:color w:val="262626"/>
          <w:sz w:val="18"/>
          <w:lang w:val="el-GR"/>
        </w:rPr>
        <w:t xml:space="preserve"> </w:t>
      </w:r>
      <w:r w:rsidRPr="00F40AA5">
        <w:rPr>
          <w:rFonts w:ascii="Arial" w:hAnsi="Arial" w:cs="Arial"/>
          <w:color w:val="262626"/>
          <w:sz w:val="18"/>
          <w:lang w:val="el-GR"/>
        </w:rPr>
        <w:t>με το χαρτοφυλάκιο ανακτηθέντων ακινήτων, οι οποίες ακολουθούν πρόνοια της ΔΕΕΑ για τήρηση ενός ελάχιστου</w:t>
      </w:r>
      <w:r>
        <w:rPr>
          <w:rFonts w:ascii="Arial" w:hAnsi="Arial" w:cs="Arial"/>
          <w:color w:val="262626"/>
          <w:sz w:val="18"/>
          <w:lang w:val="el-GR"/>
        </w:rPr>
        <w:t xml:space="preserve"> </w:t>
      </w:r>
      <w:r w:rsidRPr="00F40AA5">
        <w:rPr>
          <w:rFonts w:ascii="Arial" w:hAnsi="Arial" w:cs="Arial"/>
          <w:color w:val="262626"/>
          <w:sz w:val="18"/>
          <w:lang w:val="el-GR"/>
        </w:rPr>
        <w:t>επίπεδου κεφαλαίου έναντι ακίνητων που κατέχονται μακροπρόθεσμα. Το επίπεδο κεφαλαίου που τηρείται</w:t>
      </w:r>
      <w:r>
        <w:rPr>
          <w:rFonts w:ascii="Arial" w:hAnsi="Arial" w:cs="Arial"/>
          <w:color w:val="262626"/>
          <w:sz w:val="18"/>
          <w:lang w:val="el-GR"/>
        </w:rPr>
        <w:t xml:space="preserve"> </w:t>
      </w:r>
      <w:r w:rsidRPr="00F40AA5">
        <w:rPr>
          <w:rFonts w:ascii="Arial" w:hAnsi="Arial" w:cs="Arial"/>
          <w:color w:val="262626"/>
          <w:sz w:val="18"/>
          <w:lang w:val="el-GR"/>
        </w:rPr>
        <w:t>παραμένει δυναμικό και μεταβάλλεται σε σχέση με τα ακίνητα εντός του πεδίου εφαρμογής που διαχειρίζεται η</w:t>
      </w:r>
      <w:r>
        <w:rPr>
          <w:rFonts w:ascii="Arial" w:hAnsi="Arial" w:cs="Arial"/>
          <w:color w:val="262626"/>
          <w:sz w:val="18"/>
          <w:lang w:val="el-GR"/>
        </w:rPr>
        <w:t xml:space="preserve"> </w:t>
      </w:r>
      <w:r w:rsidRPr="00F40AA5">
        <w:rPr>
          <w:rFonts w:ascii="Arial" w:hAnsi="Arial" w:cs="Arial"/>
          <w:color w:val="262626"/>
          <w:sz w:val="18"/>
          <w:lang w:val="el-GR"/>
        </w:rPr>
        <w:t>Διεύθυνση Διαχείρισης Ακινήτων (ΔΔΑ) του Συγκροτήματος τα οποία παραμένουν στον ισολογισμό του</w:t>
      </w:r>
      <w:r>
        <w:rPr>
          <w:rFonts w:ascii="Arial" w:hAnsi="Arial" w:cs="Arial"/>
          <w:color w:val="262626"/>
          <w:sz w:val="18"/>
          <w:lang w:val="el-GR"/>
        </w:rPr>
        <w:t xml:space="preserve"> </w:t>
      </w:r>
      <w:r w:rsidRPr="00F40AA5">
        <w:rPr>
          <w:rFonts w:ascii="Arial" w:hAnsi="Arial" w:cs="Arial"/>
          <w:color w:val="262626"/>
          <w:sz w:val="18"/>
          <w:lang w:val="el-GR"/>
        </w:rPr>
        <w:t xml:space="preserve">Συγκροτήματος και την αξία των εν λόγω ακινήτων. Στις 30 </w:t>
      </w:r>
      <w:r>
        <w:rPr>
          <w:rFonts w:ascii="Arial" w:hAnsi="Arial" w:cs="Arial"/>
          <w:color w:val="262626"/>
          <w:sz w:val="18"/>
          <w:lang w:val="el-GR"/>
        </w:rPr>
        <w:t>Σεπτεμβρίου</w:t>
      </w:r>
      <w:r w:rsidRPr="00F40AA5">
        <w:rPr>
          <w:rFonts w:ascii="Arial" w:hAnsi="Arial" w:cs="Arial"/>
          <w:color w:val="262626"/>
          <w:sz w:val="18"/>
          <w:lang w:val="el-GR"/>
        </w:rPr>
        <w:t xml:space="preserve"> 2024, η επίδραση της απαίτησης </w:t>
      </w:r>
      <w:r>
        <w:rPr>
          <w:rFonts w:ascii="Arial" w:hAnsi="Arial" w:cs="Arial"/>
          <w:color w:val="262626"/>
          <w:sz w:val="18"/>
          <w:lang w:val="el-GR"/>
        </w:rPr>
        <w:t xml:space="preserve">αυτής </w:t>
      </w:r>
      <w:r w:rsidRPr="00F40AA5">
        <w:rPr>
          <w:rFonts w:ascii="Arial" w:hAnsi="Arial" w:cs="Arial"/>
          <w:color w:val="262626"/>
          <w:sz w:val="18"/>
          <w:lang w:val="el-GR"/>
        </w:rPr>
        <w:t>ανερχόταν σε 4</w:t>
      </w:r>
      <w:r>
        <w:rPr>
          <w:rFonts w:ascii="Arial" w:hAnsi="Arial" w:cs="Arial"/>
          <w:color w:val="262626"/>
          <w:sz w:val="18"/>
          <w:lang w:val="el-GR"/>
        </w:rPr>
        <w:t>6</w:t>
      </w:r>
      <w:r w:rsidRPr="00F40AA5">
        <w:rPr>
          <w:rFonts w:ascii="Arial" w:hAnsi="Arial" w:cs="Arial"/>
          <w:color w:val="262626"/>
          <w:sz w:val="18"/>
          <w:lang w:val="el-GR"/>
        </w:rPr>
        <w:t xml:space="preserve"> μονάδες βάσης στον δείκτη Κεφαλαίου Κοινών Μετοχών Κατηγορίας 1 (CET1) του</w:t>
      </w:r>
      <w:r>
        <w:rPr>
          <w:rFonts w:ascii="Arial" w:hAnsi="Arial" w:cs="Arial"/>
          <w:color w:val="262626"/>
          <w:sz w:val="18"/>
          <w:lang w:val="el-GR"/>
        </w:rPr>
        <w:t xml:space="preserve"> </w:t>
      </w:r>
      <w:r w:rsidRPr="00F40AA5">
        <w:rPr>
          <w:rFonts w:ascii="Arial" w:hAnsi="Arial" w:cs="Arial"/>
          <w:color w:val="262626"/>
          <w:sz w:val="18"/>
          <w:lang w:val="el-GR"/>
        </w:rPr>
        <w:t xml:space="preserve">Συγκροτήματος σε σύγκριση με 24 μονάδες βάσης στις 31 Δεκεμβρίου 2023. Οι προαναφερόμενες απαιτήσεις περιλαμβάνονται στα κεφαλαιακά πλάνα του Συγκροτήματος και αντικατοπτρίζονται στις κεφαλαιακές προβλέψεις. </w:t>
      </w:r>
    </w:p>
    <w:p w14:paraId="66A9EC94" w14:textId="77777777" w:rsidR="0056738E" w:rsidRDefault="0056738E" w:rsidP="0056738E">
      <w:pPr>
        <w:spacing w:after="0" w:line="240" w:lineRule="auto"/>
        <w:jc w:val="both"/>
        <w:rPr>
          <w:rFonts w:ascii="Arial" w:hAnsi="Arial" w:cs="Arial"/>
          <w:color w:val="262626"/>
          <w:sz w:val="18"/>
          <w:lang w:val="el-GR"/>
        </w:rPr>
      </w:pPr>
    </w:p>
    <w:p w14:paraId="1FE5DD4F" w14:textId="77777777" w:rsidR="0056738E" w:rsidRDefault="0056738E" w:rsidP="0056738E">
      <w:pPr>
        <w:spacing w:after="0" w:line="240" w:lineRule="auto"/>
        <w:jc w:val="both"/>
        <w:rPr>
          <w:rFonts w:ascii="Arial" w:hAnsi="Arial" w:cs="Arial"/>
          <w:color w:val="262626"/>
          <w:sz w:val="18"/>
          <w:lang w:val="el-GR"/>
        </w:rPr>
      </w:pPr>
    </w:p>
    <w:p w14:paraId="5067D69F" w14:textId="77777777" w:rsidR="0056738E" w:rsidRDefault="0056738E" w:rsidP="0056738E">
      <w:pPr>
        <w:spacing w:after="0" w:line="240" w:lineRule="auto"/>
        <w:jc w:val="both"/>
        <w:rPr>
          <w:rFonts w:ascii="Arial" w:hAnsi="Arial" w:cs="Arial"/>
          <w:color w:val="262626"/>
          <w:sz w:val="18"/>
          <w:lang w:val="el-GR"/>
        </w:rPr>
      </w:pPr>
    </w:p>
    <w:p w14:paraId="3AA17112" w14:textId="77777777" w:rsidR="0056738E" w:rsidRDefault="0056738E" w:rsidP="0056738E">
      <w:pPr>
        <w:spacing w:after="0" w:line="240" w:lineRule="auto"/>
        <w:jc w:val="both"/>
        <w:rPr>
          <w:rFonts w:ascii="Arial" w:hAnsi="Arial" w:cs="Arial"/>
          <w:color w:val="262626"/>
          <w:sz w:val="18"/>
          <w:lang w:val="el-GR"/>
        </w:rPr>
      </w:pPr>
    </w:p>
    <w:p w14:paraId="5E7B9B2D" w14:textId="77777777" w:rsidR="0056738E" w:rsidRDefault="0056738E" w:rsidP="0056738E">
      <w:pPr>
        <w:spacing w:after="0" w:line="240" w:lineRule="auto"/>
        <w:jc w:val="both"/>
        <w:rPr>
          <w:rFonts w:ascii="Arial" w:hAnsi="Arial" w:cs="Arial"/>
          <w:color w:val="262626"/>
          <w:sz w:val="18"/>
          <w:lang w:val="el-GR"/>
        </w:rPr>
      </w:pPr>
    </w:p>
    <w:p w14:paraId="46FCECCE" w14:textId="77777777" w:rsidR="0056738E" w:rsidRDefault="0056738E" w:rsidP="0056738E">
      <w:pPr>
        <w:spacing w:after="0" w:line="240" w:lineRule="auto"/>
        <w:jc w:val="both"/>
        <w:rPr>
          <w:rFonts w:ascii="Arial" w:hAnsi="Arial" w:cs="Arial"/>
          <w:color w:val="262626"/>
          <w:sz w:val="18"/>
          <w:lang w:val="el-GR"/>
        </w:rPr>
      </w:pPr>
    </w:p>
    <w:p w14:paraId="70158468" w14:textId="77777777" w:rsidR="0056738E" w:rsidRPr="00022E44" w:rsidRDefault="0056738E" w:rsidP="0056738E">
      <w:pPr>
        <w:keepNext/>
        <w:tabs>
          <w:tab w:val="left" w:pos="1416"/>
          <w:tab w:val="decimal" w:pos="4962"/>
          <w:tab w:val="decimal" w:pos="6521"/>
          <w:tab w:val="right" w:pos="7560"/>
          <w:tab w:val="decimal" w:pos="8220"/>
          <w:tab w:val="left" w:pos="8640"/>
          <w:tab w:val="right" w:pos="9000"/>
        </w:tabs>
        <w:suppressAutoHyphens/>
        <w:spacing w:after="0" w:line="360" w:lineRule="auto"/>
        <w:ind w:left="851" w:right="-130" w:hanging="851"/>
        <w:jc w:val="both"/>
        <w:outlineLvl w:val="8"/>
        <w:rPr>
          <w:rFonts w:ascii="Arial" w:hAnsi="Arial" w:cs="Arial"/>
          <w:color w:val="FF9900"/>
          <w:szCs w:val="18"/>
          <w:lang w:val="el-GR"/>
        </w:rPr>
      </w:pPr>
      <w:r w:rsidRPr="00E55CD1">
        <w:rPr>
          <w:rFonts w:ascii="Arial" w:hAnsi="Arial" w:cs="Arial"/>
          <w:b/>
          <w:color w:val="FF9900"/>
          <w:szCs w:val="18"/>
          <w:lang w:val="el-GR"/>
        </w:rPr>
        <w:t>Ζ</w:t>
      </w:r>
      <w:r w:rsidRPr="00022E44">
        <w:rPr>
          <w:rFonts w:ascii="Arial" w:hAnsi="Arial" w:cs="Arial"/>
          <w:b/>
          <w:color w:val="FF9900"/>
          <w:szCs w:val="18"/>
          <w:lang w:val="el-GR"/>
        </w:rPr>
        <w:t xml:space="preserve">. </w:t>
      </w:r>
      <w:r w:rsidRPr="00022E44">
        <w:rPr>
          <w:rFonts w:ascii="Arial" w:hAnsi="Arial" w:cs="Arial"/>
          <w:b/>
          <w:color w:val="FF9900"/>
          <w:szCs w:val="18"/>
          <w:lang w:val="el-GR"/>
        </w:rPr>
        <w:tab/>
      </w:r>
      <w:r w:rsidRPr="00E55CD1">
        <w:rPr>
          <w:rFonts w:ascii="Arial" w:hAnsi="Arial" w:cs="Arial"/>
          <w:b/>
          <w:color w:val="FF9900"/>
          <w:szCs w:val="18"/>
          <w:lang w:val="el-GR"/>
        </w:rPr>
        <w:t xml:space="preserve">Επιπρόσθετες Γνωστοποιήσεις Διαχείρισης Κινδύνων και Κεφαλαίου </w:t>
      </w:r>
      <w:r w:rsidRPr="008A3E7B">
        <w:rPr>
          <w:rFonts w:ascii="Arial" w:hAnsi="Arial" w:cs="Arial"/>
          <w:color w:val="FF9900"/>
          <w:szCs w:val="18"/>
          <w:lang w:val="el-GR"/>
        </w:rPr>
        <w:t>(</w:t>
      </w:r>
      <w:r w:rsidRPr="00022E44">
        <w:rPr>
          <w:rFonts w:ascii="Arial" w:hAnsi="Arial" w:cs="Arial"/>
          <w:color w:val="FF9900"/>
          <w:szCs w:val="18"/>
          <w:lang w:val="el-GR"/>
        </w:rPr>
        <w:t>συνέχεια)</w:t>
      </w:r>
    </w:p>
    <w:p w14:paraId="0485875D" w14:textId="77777777" w:rsidR="0056738E" w:rsidRPr="00F40AA5" w:rsidRDefault="0056738E" w:rsidP="0056738E">
      <w:pPr>
        <w:keepNext/>
        <w:tabs>
          <w:tab w:val="left" w:pos="1416"/>
          <w:tab w:val="decimal" w:pos="4962"/>
          <w:tab w:val="decimal" w:pos="6521"/>
          <w:tab w:val="right" w:pos="7560"/>
          <w:tab w:val="decimal" w:pos="8220"/>
          <w:tab w:val="left" w:pos="8640"/>
          <w:tab w:val="right" w:pos="9000"/>
        </w:tabs>
        <w:suppressAutoHyphens/>
        <w:spacing w:after="0" w:line="360" w:lineRule="auto"/>
        <w:ind w:left="851" w:right="-130" w:hanging="851"/>
        <w:jc w:val="both"/>
        <w:outlineLvl w:val="8"/>
        <w:rPr>
          <w:rFonts w:ascii="Arial" w:hAnsi="Arial" w:cs="Arial"/>
          <w:color w:val="FF9900"/>
          <w:szCs w:val="18"/>
          <w:lang w:val="el-GR"/>
        </w:rPr>
      </w:pPr>
      <w:r w:rsidRPr="00022E44">
        <w:rPr>
          <w:rFonts w:ascii="Arial" w:hAnsi="Arial" w:cs="Arial"/>
          <w:b/>
          <w:color w:val="FF9900"/>
          <w:szCs w:val="18"/>
          <w:lang w:val="el-GR"/>
        </w:rPr>
        <w:t>Ζ</w:t>
      </w:r>
      <w:r>
        <w:rPr>
          <w:rFonts w:ascii="Arial" w:hAnsi="Arial" w:cs="Arial"/>
          <w:b/>
          <w:color w:val="FF9900"/>
          <w:szCs w:val="18"/>
          <w:lang w:val="el-GR"/>
        </w:rPr>
        <w:t>.2</w:t>
      </w:r>
      <w:r w:rsidRPr="00022E44">
        <w:rPr>
          <w:rFonts w:ascii="Arial" w:hAnsi="Arial" w:cs="Arial"/>
          <w:b/>
          <w:color w:val="FF9900"/>
          <w:szCs w:val="18"/>
          <w:lang w:val="el-GR"/>
        </w:rPr>
        <w:t xml:space="preserve"> </w:t>
      </w:r>
      <w:r w:rsidRPr="00022E44">
        <w:rPr>
          <w:rFonts w:ascii="Arial" w:hAnsi="Arial" w:cs="Arial"/>
          <w:b/>
          <w:color w:val="FF9900"/>
          <w:szCs w:val="18"/>
          <w:lang w:val="el-GR"/>
        </w:rPr>
        <w:tab/>
      </w:r>
      <w:r>
        <w:rPr>
          <w:rFonts w:ascii="Arial" w:hAnsi="Arial" w:cs="Arial"/>
          <w:b/>
          <w:color w:val="FF9900"/>
          <w:szCs w:val="18"/>
          <w:lang w:val="el-GR"/>
        </w:rPr>
        <w:t>Διαχείριση κεφαλαίου</w:t>
      </w:r>
      <w:r w:rsidRPr="00022E44">
        <w:rPr>
          <w:rFonts w:ascii="Arial" w:hAnsi="Arial" w:cs="Arial"/>
          <w:color w:val="FF9900"/>
          <w:szCs w:val="18"/>
          <w:lang w:val="el-GR"/>
        </w:rPr>
        <w:t xml:space="preserve"> (συνέχεια)</w:t>
      </w:r>
    </w:p>
    <w:p w14:paraId="11A6BEC0" w14:textId="77777777" w:rsidR="0056738E" w:rsidRPr="00C42B7D" w:rsidRDefault="0056738E" w:rsidP="0056738E">
      <w:pPr>
        <w:spacing w:after="0" w:line="240" w:lineRule="auto"/>
        <w:jc w:val="both"/>
        <w:rPr>
          <w:rFonts w:ascii="Arial" w:hAnsi="Arial" w:cs="Arial"/>
          <w:b/>
          <w:bCs/>
          <w:i/>
          <w:iCs/>
          <w:sz w:val="18"/>
          <w:szCs w:val="18"/>
          <w:lang w:val="el-GR"/>
        </w:rPr>
      </w:pPr>
      <w:r w:rsidRPr="00C42B7D">
        <w:rPr>
          <w:rFonts w:ascii="Arial" w:hAnsi="Arial" w:cs="Arial"/>
          <w:b/>
          <w:bCs/>
          <w:i/>
          <w:iCs/>
          <w:sz w:val="18"/>
          <w:szCs w:val="18"/>
          <w:lang w:val="el-GR"/>
        </w:rPr>
        <w:t>Κεφαλαιακές Απαιτήσεις θυγατρικών εταιρ</w:t>
      </w:r>
      <w:r>
        <w:rPr>
          <w:rFonts w:ascii="Arial" w:hAnsi="Arial" w:cs="Arial"/>
          <w:b/>
          <w:bCs/>
          <w:i/>
          <w:iCs/>
          <w:sz w:val="18"/>
          <w:szCs w:val="18"/>
          <w:lang w:val="el-GR"/>
        </w:rPr>
        <w:t>ε</w:t>
      </w:r>
      <w:r w:rsidRPr="00C42B7D">
        <w:rPr>
          <w:rFonts w:ascii="Arial" w:hAnsi="Arial" w:cs="Arial"/>
          <w:b/>
          <w:bCs/>
          <w:i/>
          <w:iCs/>
          <w:sz w:val="18"/>
          <w:szCs w:val="18"/>
          <w:lang w:val="el-GR"/>
        </w:rPr>
        <w:t>ιών</w:t>
      </w:r>
    </w:p>
    <w:p w14:paraId="44F0758F" w14:textId="77777777" w:rsidR="0056738E" w:rsidRDefault="0056738E" w:rsidP="0056738E">
      <w:pPr>
        <w:spacing w:after="0" w:line="240" w:lineRule="auto"/>
        <w:jc w:val="both"/>
        <w:rPr>
          <w:rFonts w:ascii="Arial" w:hAnsi="Arial" w:cs="Arial"/>
          <w:b/>
          <w:bCs/>
          <w:sz w:val="18"/>
          <w:szCs w:val="18"/>
          <w:lang w:val="el-GR"/>
        </w:rPr>
      </w:pPr>
      <w:r w:rsidRPr="00F40AA5">
        <w:rPr>
          <w:rFonts w:ascii="Arial" w:hAnsi="Arial" w:cs="Arial"/>
          <w:color w:val="262626"/>
          <w:sz w:val="18"/>
          <w:lang w:val="el-GR"/>
        </w:rPr>
        <w:t xml:space="preserve">Οι θυγατρικές ασφαλιστικές εταιρείες του Συγκροτήματος, οι Γενικές Ασφάλειες Κύπρου </w:t>
      </w:r>
      <w:proofErr w:type="spellStart"/>
      <w:r w:rsidRPr="00F40AA5">
        <w:rPr>
          <w:rFonts w:ascii="Arial" w:hAnsi="Arial" w:cs="Arial"/>
          <w:color w:val="262626"/>
          <w:sz w:val="18"/>
          <w:lang w:val="el-GR"/>
        </w:rPr>
        <w:t>Λτδ</w:t>
      </w:r>
      <w:proofErr w:type="spellEnd"/>
      <w:r w:rsidRPr="00F40AA5">
        <w:rPr>
          <w:rFonts w:ascii="Arial" w:hAnsi="Arial" w:cs="Arial"/>
          <w:color w:val="262626"/>
          <w:sz w:val="18"/>
          <w:lang w:val="el-GR"/>
        </w:rPr>
        <w:t xml:space="preserve"> και η </w:t>
      </w:r>
      <w:proofErr w:type="spellStart"/>
      <w:r w:rsidRPr="00F40AA5">
        <w:rPr>
          <w:rFonts w:ascii="Arial" w:hAnsi="Arial" w:cs="Arial"/>
          <w:color w:val="262626"/>
          <w:sz w:val="18"/>
          <w:lang w:val="el-GR"/>
        </w:rPr>
        <w:t>EuroLife</w:t>
      </w:r>
      <w:proofErr w:type="spellEnd"/>
      <w:r w:rsidRPr="00F40AA5">
        <w:rPr>
          <w:rFonts w:ascii="Arial" w:hAnsi="Arial" w:cs="Arial"/>
          <w:color w:val="262626"/>
          <w:sz w:val="18"/>
          <w:lang w:val="el-GR"/>
        </w:rPr>
        <w:t xml:space="preserve"> </w:t>
      </w:r>
      <w:proofErr w:type="spellStart"/>
      <w:r w:rsidRPr="00F40AA5">
        <w:rPr>
          <w:rFonts w:ascii="Arial" w:hAnsi="Arial" w:cs="Arial"/>
          <w:color w:val="262626"/>
          <w:sz w:val="18"/>
          <w:lang w:val="el-GR"/>
        </w:rPr>
        <w:t>Ltd</w:t>
      </w:r>
      <w:proofErr w:type="spellEnd"/>
      <w:r w:rsidRPr="00F40AA5">
        <w:rPr>
          <w:rFonts w:ascii="Arial" w:hAnsi="Arial" w:cs="Arial"/>
          <w:color w:val="262626"/>
          <w:sz w:val="18"/>
          <w:lang w:val="el-GR"/>
        </w:rPr>
        <w:t xml:space="preserve">, συμμορφώνονται με τις απαιτήσεις της Υπηρεσίας Ελέγχου Ασφαλιστικών Εταιρειών, συμπεριλαμβανομένου του ελάχιστου περιθωρίου φερεγγυότητας. Η εποπτευόμενη Κυπριακή Επιχείρηση Παροχής Επενδυτικών Υπηρεσιών (ΚΕΠΕΥ) του Συγκροτήματος, ο Κυπριακός Οργανισμός Επενδύσεων και Αξιών </w:t>
      </w:r>
      <w:proofErr w:type="spellStart"/>
      <w:r w:rsidRPr="00F40AA5">
        <w:rPr>
          <w:rFonts w:ascii="Arial" w:hAnsi="Arial" w:cs="Arial"/>
          <w:color w:val="262626"/>
          <w:sz w:val="18"/>
          <w:lang w:val="el-GR"/>
        </w:rPr>
        <w:t>Λτδ</w:t>
      </w:r>
      <w:proofErr w:type="spellEnd"/>
      <w:r w:rsidRPr="00F40AA5">
        <w:rPr>
          <w:rFonts w:ascii="Arial" w:hAnsi="Arial" w:cs="Arial"/>
          <w:color w:val="262626"/>
          <w:sz w:val="18"/>
          <w:lang w:val="el-GR"/>
        </w:rPr>
        <w:t xml:space="preserve"> (CISCO), συμμορφώνεται με τους ελάχιστους δείκτες κεφαλαιακής επάρκειας. Το 2021 τέθηκε σε ισχύ το νέο καθεστώς προληπτικής εποπτείας για τις Εταιρείες Παροχής Επενδυτικών Υπηρεσιών (‘ΕΠΕΥ’) με την έναρξη ισχύος του Κανονισμού (ΕΕ) 2019/2033 (‘IFR’) σχετικά με τις απαιτήσεις προληπτικής εποπτείας των ΕΠΕΥ και της Οδηγίας (ΕΕ) 2019/2034 (‘IFD’) σχετικά με την προληπτική εποπτεία των ΕΠΕΥ. Με βάση το νέο καθεστώς η CISCO έχει ταξινομηθεί ως μη συστημική εταιρεία ‘Κλάσης 2’ και υπόκειται πλήρως στο νέο καθεστώς IFR/IFD. Η θυγατρική εταιρεία παροχής υπηρεσιών πληρωμών του Συγκροτήματος, η JCC </w:t>
      </w:r>
      <w:proofErr w:type="spellStart"/>
      <w:r w:rsidRPr="00F40AA5">
        <w:rPr>
          <w:rFonts w:ascii="Arial" w:hAnsi="Arial" w:cs="Arial"/>
          <w:color w:val="262626"/>
          <w:sz w:val="18"/>
          <w:lang w:val="el-GR"/>
        </w:rPr>
        <w:t>Payment</w:t>
      </w:r>
      <w:proofErr w:type="spellEnd"/>
      <w:r w:rsidRPr="00F40AA5">
        <w:rPr>
          <w:rFonts w:ascii="Arial" w:hAnsi="Arial" w:cs="Arial"/>
          <w:color w:val="262626"/>
          <w:sz w:val="18"/>
          <w:lang w:val="el-GR"/>
        </w:rPr>
        <w:t xml:space="preserve"> Systems </w:t>
      </w:r>
      <w:proofErr w:type="spellStart"/>
      <w:r w:rsidRPr="00F40AA5">
        <w:rPr>
          <w:rFonts w:ascii="Arial" w:hAnsi="Arial" w:cs="Arial"/>
          <w:color w:val="262626"/>
          <w:sz w:val="18"/>
          <w:lang w:val="el-GR"/>
        </w:rPr>
        <w:t>Ltd</w:t>
      </w:r>
      <w:proofErr w:type="spellEnd"/>
      <w:r w:rsidRPr="00F40AA5">
        <w:rPr>
          <w:rFonts w:ascii="Arial" w:hAnsi="Arial" w:cs="Arial"/>
          <w:color w:val="262626"/>
          <w:sz w:val="18"/>
          <w:lang w:val="el-GR"/>
        </w:rPr>
        <w:t>, συμμορφώνεται με τις εποπτικές κεφαλαιακές απαιτήσεις σύμφωνα με τους περί της Παροχής και Χρήσης Υπηρεσιών Πληρωμών και Πρόσβασης στα Συστήματα Πληρωμών Νόμοι του 2018 έως 2023.</w:t>
      </w:r>
    </w:p>
    <w:p w14:paraId="57DAD66D" w14:textId="77777777" w:rsidR="0056738E" w:rsidRDefault="0056738E" w:rsidP="0056738E">
      <w:pPr>
        <w:spacing w:after="0" w:line="240" w:lineRule="auto"/>
        <w:jc w:val="both"/>
        <w:rPr>
          <w:rFonts w:ascii="Arial" w:hAnsi="Arial" w:cs="Arial"/>
          <w:b/>
          <w:bCs/>
          <w:sz w:val="18"/>
          <w:szCs w:val="18"/>
          <w:lang w:val="el-GR"/>
        </w:rPr>
      </w:pPr>
    </w:p>
    <w:p w14:paraId="0160E786" w14:textId="77777777" w:rsidR="0056738E" w:rsidRPr="00F40AA5" w:rsidRDefault="0056738E" w:rsidP="0056738E">
      <w:pPr>
        <w:spacing w:after="0" w:line="240" w:lineRule="auto"/>
        <w:jc w:val="both"/>
        <w:rPr>
          <w:rFonts w:ascii="Verdana" w:hAnsi="Verdana" w:cs="Verdana"/>
          <w:sz w:val="18"/>
          <w:szCs w:val="18"/>
          <w:lang w:val="el-GR"/>
        </w:rPr>
      </w:pPr>
      <w:r w:rsidRPr="00544660">
        <w:rPr>
          <w:rFonts w:ascii="Arial" w:hAnsi="Arial" w:cs="Arial"/>
          <w:b/>
          <w:bCs/>
          <w:sz w:val="18"/>
          <w:szCs w:val="18"/>
          <w:lang w:val="el-GR"/>
        </w:rPr>
        <w:t>Ελάχιστη Απαίτηση Ιδίων Κεφαλαίων και Επιλέξιμων Υποχρεώσεων (MREL)</w:t>
      </w:r>
    </w:p>
    <w:p w14:paraId="7D9E9D93" w14:textId="77777777" w:rsidR="0056738E" w:rsidRPr="00A935E3" w:rsidRDefault="0056738E" w:rsidP="0056738E">
      <w:pPr>
        <w:autoSpaceDE w:val="0"/>
        <w:autoSpaceDN w:val="0"/>
        <w:spacing w:after="0" w:line="240" w:lineRule="auto"/>
        <w:jc w:val="both"/>
        <w:rPr>
          <w:rFonts w:ascii="Arial" w:hAnsi="Arial" w:cs="Arial"/>
          <w:color w:val="262626"/>
          <w:sz w:val="18"/>
          <w:lang w:val="el-GR"/>
        </w:rPr>
      </w:pPr>
      <w:r w:rsidRPr="00FC2613">
        <w:rPr>
          <w:rFonts w:ascii="Arial" w:hAnsi="Arial" w:cs="Arial"/>
          <w:color w:val="262626"/>
          <w:sz w:val="18"/>
          <w:lang w:val="el-GR"/>
        </w:rPr>
        <w:t>Από τον Ιανουάριο 2016, τα κράτη μέλη της ΕΕ έχουν την υποχρέωση να εφαρμόζουν τις διατάξεις της Οδηγίας</w:t>
      </w:r>
      <w:r>
        <w:rPr>
          <w:rFonts w:ascii="Arial" w:hAnsi="Arial" w:cs="Arial"/>
          <w:color w:val="262626"/>
          <w:sz w:val="18"/>
          <w:lang w:val="el-GR"/>
        </w:rPr>
        <w:t xml:space="preserve"> </w:t>
      </w:r>
      <w:r w:rsidRPr="00FC2613">
        <w:rPr>
          <w:rFonts w:ascii="Arial" w:hAnsi="Arial" w:cs="Arial"/>
          <w:color w:val="262626"/>
          <w:sz w:val="18"/>
          <w:lang w:val="el-GR"/>
        </w:rPr>
        <w:t>για</w:t>
      </w:r>
      <w:r>
        <w:rPr>
          <w:rFonts w:ascii="Arial" w:hAnsi="Arial" w:cs="Arial"/>
          <w:color w:val="262626"/>
          <w:sz w:val="18"/>
          <w:lang w:val="el-GR"/>
        </w:rPr>
        <w:t xml:space="preserve"> </w:t>
      </w:r>
      <w:r w:rsidRPr="00FC2613">
        <w:rPr>
          <w:rFonts w:ascii="Arial" w:hAnsi="Arial" w:cs="Arial"/>
          <w:color w:val="262626"/>
          <w:sz w:val="18"/>
          <w:lang w:val="el-GR"/>
        </w:rPr>
        <w:t>Ανάκαμψη και Εξυγίανση Πιστωτικών Ιδρυμάτων και Επιχειρήσεων Επενδύσεων (</w:t>
      </w:r>
      <w:r w:rsidRPr="00FC2613">
        <w:rPr>
          <w:rFonts w:ascii="Arial" w:hAnsi="Arial" w:cs="Arial"/>
          <w:color w:val="262626"/>
          <w:sz w:val="18"/>
        </w:rPr>
        <w:t>BRRD</w:t>
      </w:r>
      <w:r w:rsidRPr="00FC2613">
        <w:rPr>
          <w:rFonts w:ascii="Arial" w:hAnsi="Arial" w:cs="Arial"/>
          <w:color w:val="262626"/>
          <w:sz w:val="18"/>
          <w:lang w:val="el-GR"/>
        </w:rPr>
        <w:t>), η οποία απαιτεί από</w:t>
      </w:r>
      <w:r>
        <w:rPr>
          <w:rFonts w:ascii="Arial" w:hAnsi="Arial" w:cs="Arial"/>
          <w:color w:val="262626"/>
          <w:sz w:val="18"/>
          <w:lang w:val="el-GR"/>
        </w:rPr>
        <w:t xml:space="preserve"> </w:t>
      </w:r>
      <w:r w:rsidRPr="00FC2613">
        <w:rPr>
          <w:rFonts w:ascii="Arial" w:hAnsi="Arial" w:cs="Arial"/>
          <w:color w:val="262626"/>
          <w:sz w:val="18"/>
          <w:lang w:val="el-GR"/>
        </w:rPr>
        <w:t>τα</w:t>
      </w:r>
      <w:r>
        <w:rPr>
          <w:rFonts w:ascii="Arial" w:hAnsi="Arial" w:cs="Arial"/>
          <w:color w:val="262626"/>
          <w:sz w:val="18"/>
          <w:lang w:val="el-GR"/>
        </w:rPr>
        <w:t xml:space="preserve"> </w:t>
      </w:r>
      <w:r w:rsidRPr="00FC2613">
        <w:rPr>
          <w:rFonts w:ascii="Arial" w:hAnsi="Arial" w:cs="Arial"/>
          <w:color w:val="262626"/>
          <w:sz w:val="18"/>
          <w:lang w:val="el-GR"/>
        </w:rPr>
        <w:t>πιστωτικά ιδρύματα της ΕΕ και ορισμένες επιχειρήσεις επενδύσεων να τηρούν την Ελάχιστη Απαίτηση Ιδίων</w:t>
      </w:r>
      <w:r>
        <w:rPr>
          <w:rFonts w:ascii="Arial" w:hAnsi="Arial" w:cs="Arial"/>
          <w:color w:val="262626"/>
          <w:sz w:val="18"/>
          <w:lang w:val="el-GR"/>
        </w:rPr>
        <w:t xml:space="preserve"> </w:t>
      </w:r>
      <w:r w:rsidRPr="00FC2613">
        <w:rPr>
          <w:rFonts w:ascii="Arial" w:hAnsi="Arial" w:cs="Arial"/>
          <w:color w:val="262626"/>
          <w:sz w:val="18"/>
          <w:lang w:val="el-GR"/>
        </w:rPr>
        <w:t>Κεφαλαίων και Επιλέξιμων Υποχρεώσεων (</w:t>
      </w:r>
      <w:r w:rsidRPr="00FC2613">
        <w:rPr>
          <w:rFonts w:ascii="Arial" w:hAnsi="Arial" w:cs="Arial"/>
          <w:color w:val="262626"/>
          <w:sz w:val="18"/>
        </w:rPr>
        <w:t>MREL</w:t>
      </w:r>
      <w:r w:rsidRPr="00FC2613">
        <w:rPr>
          <w:rFonts w:ascii="Arial" w:hAnsi="Arial" w:cs="Arial"/>
          <w:color w:val="262626"/>
          <w:sz w:val="18"/>
          <w:lang w:val="el-GR"/>
        </w:rPr>
        <w:t>), με την επιφύλαξη των διατάξεων του Κατ’ Εξουσιοδότηση</w:t>
      </w:r>
      <w:r>
        <w:rPr>
          <w:rFonts w:ascii="Arial" w:hAnsi="Arial" w:cs="Arial"/>
          <w:color w:val="262626"/>
          <w:sz w:val="18"/>
          <w:lang w:val="el-GR"/>
        </w:rPr>
        <w:t xml:space="preserve"> </w:t>
      </w:r>
      <w:r w:rsidRPr="00FC2613">
        <w:rPr>
          <w:rFonts w:ascii="Arial" w:hAnsi="Arial" w:cs="Arial"/>
          <w:color w:val="262626"/>
          <w:sz w:val="18"/>
          <w:lang w:val="el-GR"/>
        </w:rPr>
        <w:t>Κανονισμού (ΕΕ)</w:t>
      </w:r>
      <w:r>
        <w:rPr>
          <w:rFonts w:ascii="Arial" w:hAnsi="Arial" w:cs="Arial"/>
          <w:color w:val="262626"/>
          <w:sz w:val="18"/>
          <w:lang w:val="el-GR"/>
        </w:rPr>
        <w:t xml:space="preserve"> </w:t>
      </w:r>
      <w:r w:rsidRPr="00FC2613">
        <w:rPr>
          <w:rFonts w:ascii="Arial" w:hAnsi="Arial" w:cs="Arial"/>
          <w:color w:val="262626"/>
          <w:sz w:val="18"/>
          <w:lang w:val="el-GR"/>
        </w:rPr>
        <w:t>2016/1450. Στις 27 Ιουνίου 2019, ως μέρος του πακέτου μεταρρύθμισης για την ενδυνάμωση</w:t>
      </w:r>
      <w:r>
        <w:rPr>
          <w:rFonts w:ascii="Arial" w:hAnsi="Arial" w:cs="Arial"/>
          <w:color w:val="262626"/>
          <w:sz w:val="18"/>
          <w:lang w:val="el-GR"/>
        </w:rPr>
        <w:t xml:space="preserve"> </w:t>
      </w:r>
      <w:r w:rsidRPr="00FC2613">
        <w:rPr>
          <w:rFonts w:ascii="Arial" w:hAnsi="Arial" w:cs="Arial"/>
          <w:color w:val="262626"/>
          <w:sz w:val="18"/>
          <w:lang w:val="el-GR"/>
        </w:rPr>
        <w:t>της ανθεκτικότητας και</w:t>
      </w:r>
      <w:r>
        <w:rPr>
          <w:rFonts w:ascii="Arial" w:hAnsi="Arial" w:cs="Arial"/>
          <w:color w:val="262626"/>
          <w:sz w:val="18"/>
          <w:lang w:val="el-GR"/>
        </w:rPr>
        <w:t xml:space="preserve"> </w:t>
      </w:r>
      <w:r w:rsidRPr="00FC2613">
        <w:rPr>
          <w:rFonts w:ascii="Arial" w:hAnsi="Arial" w:cs="Arial"/>
          <w:color w:val="262626"/>
          <w:sz w:val="18"/>
          <w:lang w:val="el-GR"/>
        </w:rPr>
        <w:t>εξυγίανσης των Ευρωπαϊκών τραπεζών, τέθηκε σε εφαρμογή η Οδηγία για Ανάκαμψη και</w:t>
      </w:r>
      <w:r>
        <w:rPr>
          <w:rFonts w:ascii="Arial" w:hAnsi="Arial" w:cs="Arial"/>
          <w:color w:val="262626"/>
          <w:sz w:val="18"/>
          <w:lang w:val="el-GR"/>
        </w:rPr>
        <w:t xml:space="preserve"> </w:t>
      </w:r>
      <w:r w:rsidRPr="00FC2613">
        <w:rPr>
          <w:rFonts w:ascii="Arial" w:hAnsi="Arial" w:cs="Arial"/>
          <w:color w:val="262626"/>
          <w:sz w:val="18"/>
          <w:lang w:val="el-GR"/>
        </w:rPr>
        <w:t>Εξυγίανση Πιστωτικών Ιδρυμάτων και Επιχειρήσεων Επενδύσεων ΙΙ (</w:t>
      </w:r>
      <w:r w:rsidRPr="00FC2613">
        <w:rPr>
          <w:rFonts w:ascii="Arial" w:hAnsi="Arial" w:cs="Arial"/>
          <w:color w:val="262626"/>
          <w:sz w:val="18"/>
        </w:rPr>
        <w:t>BRRD</w:t>
      </w:r>
      <w:r w:rsidRPr="00FC2613">
        <w:rPr>
          <w:rFonts w:ascii="Arial" w:hAnsi="Arial" w:cs="Arial"/>
          <w:color w:val="262626"/>
          <w:sz w:val="18"/>
          <w:lang w:val="el-GR"/>
        </w:rPr>
        <w:t xml:space="preserve"> ΙΙ), η οποία έπρεπε να ενσωματωθεί</w:t>
      </w:r>
      <w:r>
        <w:rPr>
          <w:rFonts w:ascii="Arial" w:hAnsi="Arial" w:cs="Arial"/>
          <w:color w:val="262626"/>
          <w:sz w:val="18"/>
          <w:lang w:val="el-GR"/>
        </w:rPr>
        <w:t xml:space="preserve"> </w:t>
      </w:r>
      <w:r w:rsidRPr="00FC2613">
        <w:rPr>
          <w:rFonts w:ascii="Arial" w:hAnsi="Arial" w:cs="Arial"/>
          <w:color w:val="262626"/>
          <w:sz w:val="18"/>
          <w:lang w:val="el-GR"/>
        </w:rPr>
        <w:t>στην εθνική νομοθεσία. Η Οδηγία για Ανάκαμψη και Εξυγίανση Πιστωτικών Ιδρυμάτων και Επιχειρήσεων</w:t>
      </w:r>
      <w:r>
        <w:rPr>
          <w:rFonts w:ascii="Arial" w:hAnsi="Arial" w:cs="Arial"/>
          <w:color w:val="262626"/>
          <w:sz w:val="18"/>
          <w:lang w:val="el-GR"/>
        </w:rPr>
        <w:t xml:space="preserve"> </w:t>
      </w:r>
      <w:r w:rsidRPr="00FC2613">
        <w:rPr>
          <w:rFonts w:ascii="Arial" w:hAnsi="Arial" w:cs="Arial"/>
          <w:color w:val="262626"/>
          <w:sz w:val="18"/>
          <w:lang w:val="el-GR"/>
        </w:rPr>
        <w:t>Επενδύσεων ΙΙ (</w:t>
      </w:r>
      <w:r w:rsidRPr="00FC2613">
        <w:rPr>
          <w:rFonts w:ascii="Arial" w:hAnsi="Arial" w:cs="Arial"/>
          <w:color w:val="262626"/>
          <w:sz w:val="18"/>
        </w:rPr>
        <w:t>BRRD</w:t>
      </w:r>
      <w:r w:rsidRPr="00FC2613">
        <w:rPr>
          <w:rFonts w:ascii="Arial" w:hAnsi="Arial" w:cs="Arial"/>
          <w:color w:val="262626"/>
          <w:sz w:val="18"/>
          <w:lang w:val="el-GR"/>
        </w:rPr>
        <w:t xml:space="preserve"> ΙΙ) ενσωματώθηκε</w:t>
      </w:r>
      <w:r>
        <w:rPr>
          <w:rFonts w:ascii="Arial" w:hAnsi="Arial" w:cs="Arial"/>
          <w:color w:val="262626"/>
          <w:sz w:val="18"/>
          <w:lang w:val="el-GR"/>
        </w:rPr>
        <w:t xml:space="preserve"> </w:t>
      </w:r>
      <w:r w:rsidRPr="00FC2613">
        <w:rPr>
          <w:rFonts w:ascii="Arial" w:hAnsi="Arial" w:cs="Arial"/>
          <w:color w:val="262626"/>
          <w:sz w:val="18"/>
          <w:lang w:val="el-GR"/>
        </w:rPr>
        <w:t>στην Κυπριακή νομοθεσία και τέθηκε σε εφαρμογή το Μάιο 2021.</w:t>
      </w:r>
      <w:r>
        <w:rPr>
          <w:rFonts w:ascii="Arial" w:hAnsi="Arial" w:cs="Arial"/>
          <w:color w:val="262626"/>
          <w:sz w:val="18"/>
          <w:lang w:val="el-GR"/>
        </w:rPr>
        <w:t xml:space="preserve"> </w:t>
      </w:r>
      <w:r w:rsidRPr="00FC2613">
        <w:rPr>
          <w:rFonts w:ascii="Arial" w:hAnsi="Arial" w:cs="Arial"/>
          <w:color w:val="262626"/>
          <w:sz w:val="18"/>
          <w:lang w:val="el-GR"/>
        </w:rPr>
        <w:t xml:space="preserve">Επιπρόσθετα, ορισμένες από τις πρόνοιες </w:t>
      </w:r>
      <w:r>
        <w:rPr>
          <w:rFonts w:ascii="Arial" w:hAnsi="Arial" w:cs="Arial"/>
          <w:color w:val="262626"/>
          <w:sz w:val="18"/>
          <w:lang w:val="el-GR"/>
        </w:rPr>
        <w:t xml:space="preserve">της </w:t>
      </w:r>
      <w:r w:rsidRPr="00FC2613">
        <w:rPr>
          <w:rFonts w:ascii="Arial" w:hAnsi="Arial" w:cs="Arial"/>
          <w:color w:val="262626"/>
          <w:sz w:val="18"/>
          <w:lang w:val="el-GR"/>
        </w:rPr>
        <w:t>Ελάχιστης Απαίτησης Ιδίων Κεφαλαίων και Επιλέξιμων</w:t>
      </w:r>
      <w:r>
        <w:rPr>
          <w:rFonts w:ascii="Arial" w:hAnsi="Arial" w:cs="Arial"/>
          <w:color w:val="262626"/>
          <w:sz w:val="18"/>
          <w:lang w:val="el-GR"/>
        </w:rPr>
        <w:t xml:space="preserve"> </w:t>
      </w:r>
      <w:r w:rsidRPr="00FC2613">
        <w:rPr>
          <w:rFonts w:ascii="Arial" w:hAnsi="Arial" w:cs="Arial"/>
          <w:color w:val="262626"/>
          <w:sz w:val="18"/>
          <w:lang w:val="el-GR"/>
        </w:rPr>
        <w:t>Υποχρεώσεων (</w:t>
      </w:r>
      <w:r w:rsidRPr="00FC2613">
        <w:rPr>
          <w:rFonts w:ascii="Arial" w:hAnsi="Arial" w:cs="Arial"/>
          <w:color w:val="262626"/>
          <w:sz w:val="18"/>
        </w:rPr>
        <w:t>MREL</w:t>
      </w:r>
      <w:r w:rsidRPr="00FC2613">
        <w:rPr>
          <w:rFonts w:ascii="Arial" w:hAnsi="Arial" w:cs="Arial"/>
          <w:color w:val="262626"/>
          <w:sz w:val="18"/>
          <w:lang w:val="el-GR"/>
        </w:rPr>
        <w:t>) έχουν εισαχθεί στον Κανονισμό</w:t>
      </w:r>
      <w:r>
        <w:rPr>
          <w:rFonts w:ascii="Arial" w:hAnsi="Arial" w:cs="Arial"/>
          <w:color w:val="262626"/>
          <w:sz w:val="18"/>
          <w:lang w:val="el-GR"/>
        </w:rPr>
        <w:t xml:space="preserve"> </w:t>
      </w:r>
      <w:r w:rsidRPr="00FC2613">
        <w:rPr>
          <w:rFonts w:ascii="Arial" w:hAnsi="Arial" w:cs="Arial"/>
          <w:color w:val="262626"/>
          <w:sz w:val="18"/>
          <w:lang w:val="el-GR"/>
        </w:rPr>
        <w:t xml:space="preserve">Κεφαλαιακών Απαιτήσεων </w:t>
      </w:r>
      <w:r w:rsidRPr="00FC2613">
        <w:rPr>
          <w:rFonts w:ascii="Arial" w:hAnsi="Arial" w:cs="Arial"/>
          <w:color w:val="262626"/>
          <w:sz w:val="18"/>
        </w:rPr>
        <w:t>II</w:t>
      </w:r>
      <w:r w:rsidRPr="00FC2613">
        <w:rPr>
          <w:rFonts w:ascii="Arial" w:hAnsi="Arial" w:cs="Arial"/>
          <w:color w:val="262626"/>
          <w:sz w:val="18"/>
          <w:lang w:val="el-GR"/>
        </w:rPr>
        <w:t xml:space="preserve"> (</w:t>
      </w:r>
      <w:r w:rsidRPr="00FC2613">
        <w:rPr>
          <w:rFonts w:ascii="Arial" w:hAnsi="Arial" w:cs="Arial"/>
          <w:color w:val="262626"/>
          <w:sz w:val="18"/>
        </w:rPr>
        <w:t>CRR</w:t>
      </w:r>
      <w:r w:rsidRPr="00FC2613">
        <w:rPr>
          <w:rFonts w:ascii="Arial" w:hAnsi="Arial" w:cs="Arial"/>
          <w:color w:val="262626"/>
          <w:sz w:val="18"/>
          <w:lang w:val="el-GR"/>
        </w:rPr>
        <w:t xml:space="preserve"> </w:t>
      </w:r>
      <w:r w:rsidRPr="00FC2613">
        <w:rPr>
          <w:rFonts w:ascii="Arial" w:hAnsi="Arial" w:cs="Arial"/>
          <w:color w:val="262626"/>
          <w:sz w:val="18"/>
        </w:rPr>
        <w:t>II</w:t>
      </w:r>
      <w:r w:rsidRPr="00FC2613">
        <w:rPr>
          <w:rFonts w:ascii="Arial" w:hAnsi="Arial" w:cs="Arial"/>
          <w:color w:val="262626"/>
          <w:sz w:val="18"/>
          <w:lang w:val="el-GR"/>
        </w:rPr>
        <w:t>), ο οποίος τέθηκε</w:t>
      </w:r>
      <w:r>
        <w:rPr>
          <w:rFonts w:ascii="Arial" w:hAnsi="Arial" w:cs="Arial"/>
          <w:color w:val="262626"/>
          <w:sz w:val="18"/>
          <w:lang w:val="el-GR"/>
        </w:rPr>
        <w:t xml:space="preserve"> </w:t>
      </w:r>
      <w:r w:rsidRPr="00FC2613">
        <w:rPr>
          <w:rFonts w:ascii="Arial" w:hAnsi="Arial" w:cs="Arial"/>
          <w:color w:val="262626"/>
          <w:sz w:val="18"/>
          <w:lang w:val="el-GR"/>
        </w:rPr>
        <w:t>επίσης σε εφαρμογή στις 27 Ιουνίου 2019 ως μέρος του πακέτου μεταρρύθμισης και τέθηκαν άμεσα σε ισχύ</w:t>
      </w:r>
      <w:r w:rsidRPr="00A935E3">
        <w:rPr>
          <w:rFonts w:ascii="Arial" w:hAnsi="Arial" w:cs="Arial"/>
          <w:color w:val="262626"/>
          <w:sz w:val="18"/>
          <w:lang w:val="el-GR"/>
        </w:rPr>
        <w:t>.</w:t>
      </w:r>
    </w:p>
    <w:p w14:paraId="490FFC73" w14:textId="77777777" w:rsidR="0056738E" w:rsidRPr="00A935E3" w:rsidRDefault="0056738E" w:rsidP="0056738E">
      <w:pPr>
        <w:autoSpaceDE w:val="0"/>
        <w:autoSpaceDN w:val="0"/>
        <w:spacing w:after="0" w:line="240" w:lineRule="auto"/>
        <w:jc w:val="both"/>
        <w:rPr>
          <w:rFonts w:ascii="Arial" w:hAnsi="Arial" w:cs="Arial"/>
          <w:color w:val="262626"/>
          <w:sz w:val="18"/>
          <w:lang w:val="el-GR"/>
        </w:rPr>
      </w:pPr>
    </w:p>
    <w:p w14:paraId="0554AA50" w14:textId="77777777" w:rsidR="0056738E" w:rsidRPr="00A935E3" w:rsidRDefault="0056738E" w:rsidP="0056738E">
      <w:pPr>
        <w:autoSpaceDE w:val="0"/>
        <w:autoSpaceDN w:val="0"/>
        <w:spacing w:after="0" w:line="240" w:lineRule="auto"/>
        <w:jc w:val="both"/>
        <w:rPr>
          <w:rFonts w:ascii="Arial" w:hAnsi="Arial" w:cs="Arial"/>
          <w:color w:val="262626"/>
          <w:sz w:val="18"/>
          <w:lang w:val="el-GR"/>
        </w:rPr>
      </w:pPr>
      <w:bookmarkStart w:id="43" w:name="_Hlk161396592"/>
      <w:r w:rsidRPr="00FC2613">
        <w:rPr>
          <w:rFonts w:ascii="Arial" w:hAnsi="Arial" w:cs="Arial"/>
          <w:color w:val="262626"/>
          <w:sz w:val="18"/>
          <w:lang w:val="el-GR"/>
        </w:rPr>
        <w:t>Τον Ιανουάριο 2024, η BOC PCL έλαβε τελική ειδοποίηση από το Ενιαίο Συμβούλιο Εξυγίανσης (ΕΣΕ) σχετικά με</w:t>
      </w:r>
      <w:r>
        <w:rPr>
          <w:rFonts w:ascii="Arial" w:hAnsi="Arial" w:cs="Arial"/>
          <w:color w:val="262626"/>
          <w:sz w:val="18"/>
          <w:lang w:val="el-GR"/>
        </w:rPr>
        <w:t xml:space="preserve"> </w:t>
      </w:r>
      <w:r w:rsidRPr="00FC2613">
        <w:rPr>
          <w:rFonts w:ascii="Arial" w:hAnsi="Arial" w:cs="Arial"/>
          <w:color w:val="262626"/>
          <w:sz w:val="18"/>
          <w:lang w:val="el-GR"/>
        </w:rPr>
        <w:t>την απόφαση της Ελάχιστης Απαίτησης Ιδίων Κεφαλαίων και Επιλέξιμων Υποχρεώσεων (MREL) του 2024, με την</w:t>
      </w:r>
      <w:r>
        <w:rPr>
          <w:rFonts w:ascii="Arial" w:hAnsi="Arial" w:cs="Arial"/>
          <w:color w:val="262626"/>
          <w:sz w:val="18"/>
          <w:lang w:val="el-GR"/>
        </w:rPr>
        <w:t xml:space="preserve"> </w:t>
      </w:r>
      <w:r w:rsidRPr="00FC2613">
        <w:rPr>
          <w:rFonts w:ascii="Arial" w:hAnsi="Arial" w:cs="Arial"/>
          <w:color w:val="262626"/>
          <w:sz w:val="18"/>
          <w:lang w:val="el-GR"/>
        </w:rPr>
        <w:t>οποία</w:t>
      </w:r>
      <w:r>
        <w:rPr>
          <w:rFonts w:ascii="Arial" w:hAnsi="Arial" w:cs="Arial"/>
          <w:color w:val="262626"/>
          <w:sz w:val="18"/>
          <w:lang w:val="el-GR"/>
        </w:rPr>
        <w:t xml:space="preserve"> </w:t>
      </w:r>
      <w:r w:rsidRPr="00FC2613">
        <w:rPr>
          <w:rFonts w:ascii="Arial" w:hAnsi="Arial" w:cs="Arial"/>
          <w:color w:val="262626"/>
          <w:sz w:val="18"/>
          <w:lang w:val="el-GR"/>
        </w:rPr>
        <w:t xml:space="preserve">η τελική απαίτηση της </w:t>
      </w:r>
      <w:proofErr w:type="spellStart"/>
      <w:r w:rsidRPr="00FC2613">
        <w:rPr>
          <w:rFonts w:ascii="Arial" w:hAnsi="Arial" w:cs="Arial"/>
          <w:color w:val="262626"/>
          <w:sz w:val="18"/>
          <w:lang w:val="el-GR"/>
        </w:rPr>
        <w:t>Eλάχιστης</w:t>
      </w:r>
      <w:proofErr w:type="spellEnd"/>
      <w:r w:rsidRPr="00FC2613">
        <w:rPr>
          <w:rFonts w:ascii="Arial" w:hAnsi="Arial" w:cs="Arial"/>
          <w:color w:val="262626"/>
          <w:sz w:val="18"/>
          <w:lang w:val="el-GR"/>
        </w:rPr>
        <w:t xml:space="preserve"> </w:t>
      </w:r>
      <w:proofErr w:type="spellStart"/>
      <w:r w:rsidRPr="00FC2613">
        <w:rPr>
          <w:rFonts w:ascii="Arial" w:hAnsi="Arial" w:cs="Arial"/>
          <w:color w:val="262626"/>
          <w:sz w:val="18"/>
          <w:lang w:val="el-GR"/>
        </w:rPr>
        <w:t>Aπαίτησης</w:t>
      </w:r>
      <w:proofErr w:type="spellEnd"/>
      <w:r w:rsidRPr="00FC2613">
        <w:rPr>
          <w:rFonts w:ascii="Arial" w:hAnsi="Arial" w:cs="Arial"/>
          <w:color w:val="262626"/>
          <w:sz w:val="18"/>
          <w:lang w:val="el-GR"/>
        </w:rPr>
        <w:t xml:space="preserve"> </w:t>
      </w:r>
      <w:proofErr w:type="spellStart"/>
      <w:r w:rsidRPr="00FC2613">
        <w:rPr>
          <w:rFonts w:ascii="Arial" w:hAnsi="Arial" w:cs="Arial"/>
          <w:color w:val="262626"/>
          <w:sz w:val="18"/>
          <w:lang w:val="el-GR"/>
        </w:rPr>
        <w:t>Iδίων</w:t>
      </w:r>
      <w:proofErr w:type="spellEnd"/>
      <w:r w:rsidRPr="00FC2613">
        <w:rPr>
          <w:rFonts w:ascii="Arial" w:hAnsi="Arial" w:cs="Arial"/>
          <w:color w:val="262626"/>
          <w:sz w:val="18"/>
          <w:lang w:val="el-GR"/>
        </w:rPr>
        <w:t xml:space="preserve"> </w:t>
      </w:r>
      <w:proofErr w:type="spellStart"/>
      <w:r w:rsidRPr="00FC2613">
        <w:rPr>
          <w:rFonts w:ascii="Arial" w:hAnsi="Arial" w:cs="Arial"/>
          <w:color w:val="262626"/>
          <w:sz w:val="18"/>
          <w:lang w:val="el-GR"/>
        </w:rPr>
        <w:t>Kεφαλαίων</w:t>
      </w:r>
      <w:proofErr w:type="spellEnd"/>
      <w:r w:rsidRPr="00FC2613">
        <w:rPr>
          <w:rFonts w:ascii="Arial" w:hAnsi="Arial" w:cs="Arial"/>
          <w:color w:val="262626"/>
          <w:sz w:val="18"/>
          <w:lang w:val="el-GR"/>
        </w:rPr>
        <w:t xml:space="preserve"> και </w:t>
      </w:r>
      <w:proofErr w:type="spellStart"/>
      <w:r w:rsidRPr="00FC2613">
        <w:rPr>
          <w:rFonts w:ascii="Arial" w:hAnsi="Arial" w:cs="Arial"/>
          <w:color w:val="262626"/>
          <w:sz w:val="18"/>
          <w:lang w:val="el-GR"/>
        </w:rPr>
        <w:t>Eπιλέξιμων</w:t>
      </w:r>
      <w:proofErr w:type="spellEnd"/>
      <w:r w:rsidRPr="00FC2613">
        <w:rPr>
          <w:rFonts w:ascii="Arial" w:hAnsi="Arial" w:cs="Arial"/>
          <w:color w:val="262626"/>
          <w:sz w:val="18"/>
          <w:lang w:val="el-GR"/>
        </w:rPr>
        <w:t xml:space="preserve"> </w:t>
      </w:r>
      <w:proofErr w:type="spellStart"/>
      <w:r w:rsidRPr="00FC2613">
        <w:rPr>
          <w:rFonts w:ascii="Arial" w:hAnsi="Arial" w:cs="Arial"/>
          <w:color w:val="262626"/>
          <w:sz w:val="18"/>
          <w:lang w:val="el-GR"/>
        </w:rPr>
        <w:t>Yποχρεώσεων</w:t>
      </w:r>
      <w:proofErr w:type="spellEnd"/>
      <w:r w:rsidRPr="00FC2613">
        <w:rPr>
          <w:rFonts w:ascii="Arial" w:hAnsi="Arial" w:cs="Arial"/>
          <w:color w:val="262626"/>
          <w:sz w:val="18"/>
          <w:lang w:val="el-GR"/>
        </w:rPr>
        <w:t xml:space="preserve"> (MREL) ορίζεται</w:t>
      </w:r>
      <w:r>
        <w:rPr>
          <w:rFonts w:ascii="Arial" w:hAnsi="Arial" w:cs="Arial"/>
          <w:color w:val="262626"/>
          <w:sz w:val="18"/>
          <w:lang w:val="el-GR"/>
        </w:rPr>
        <w:t xml:space="preserve"> </w:t>
      </w:r>
      <w:r w:rsidRPr="00FC2613">
        <w:rPr>
          <w:rFonts w:ascii="Arial" w:hAnsi="Arial" w:cs="Arial"/>
          <w:color w:val="262626"/>
          <w:sz w:val="18"/>
          <w:lang w:val="el-GR"/>
        </w:rPr>
        <w:t>πλέον στο 25.00% των σταθμισμένων ως προς τον κίνδυνο περιουσιακών στοιχείων (στο 30.3% των</w:t>
      </w:r>
      <w:r>
        <w:rPr>
          <w:rFonts w:ascii="Arial" w:hAnsi="Arial" w:cs="Arial"/>
          <w:color w:val="262626"/>
          <w:sz w:val="18"/>
          <w:lang w:val="el-GR"/>
        </w:rPr>
        <w:t xml:space="preserve"> </w:t>
      </w:r>
      <w:r w:rsidRPr="00FC2613">
        <w:rPr>
          <w:rFonts w:ascii="Arial" w:hAnsi="Arial" w:cs="Arial"/>
          <w:color w:val="262626"/>
          <w:sz w:val="18"/>
          <w:lang w:val="el-GR"/>
        </w:rPr>
        <w:t>σταθμισμένων ως προς τον κίνδυνο περιουσιακών στοιχείων λαμβάνονται υπόψη το αναμενόμενο ισχύον ποσοστό</w:t>
      </w:r>
      <w:r>
        <w:rPr>
          <w:rFonts w:ascii="Arial" w:hAnsi="Arial" w:cs="Arial"/>
          <w:color w:val="262626"/>
          <w:sz w:val="18"/>
          <w:lang w:val="el-GR"/>
        </w:rPr>
        <w:t xml:space="preserve"> </w:t>
      </w:r>
      <w:r w:rsidRPr="00FC2613">
        <w:rPr>
          <w:rFonts w:ascii="Arial" w:hAnsi="Arial" w:cs="Arial"/>
          <w:color w:val="262626"/>
          <w:sz w:val="18"/>
          <w:lang w:val="el-GR"/>
        </w:rPr>
        <w:t>της Συνδυασμένης Απαίτησης Αποθέματος Ασφαλείας (CBR) κατά τις 31 Δεκεμβρίου 2024, η οποία πρέπει να</w:t>
      </w:r>
      <w:r>
        <w:rPr>
          <w:rFonts w:ascii="Arial" w:hAnsi="Arial" w:cs="Arial"/>
          <w:color w:val="262626"/>
          <w:sz w:val="18"/>
          <w:lang w:val="el-GR"/>
        </w:rPr>
        <w:t xml:space="preserve"> </w:t>
      </w:r>
      <w:r w:rsidRPr="00FC2613">
        <w:rPr>
          <w:rFonts w:ascii="Arial" w:hAnsi="Arial" w:cs="Arial"/>
          <w:color w:val="262626"/>
          <w:sz w:val="18"/>
          <w:lang w:val="el-GR"/>
        </w:rPr>
        <w:t>επιτευχθεί με ίδια κεφάλαια πέραν της Ελάχιστης Απαίτησης Ιδίων Κεφαλαίων και Επιλέξιμων Υποχρεώσεων</w:t>
      </w:r>
      <w:r>
        <w:rPr>
          <w:rFonts w:ascii="Arial" w:hAnsi="Arial" w:cs="Arial"/>
          <w:color w:val="262626"/>
          <w:sz w:val="18"/>
          <w:lang w:val="el-GR"/>
        </w:rPr>
        <w:t xml:space="preserve"> </w:t>
      </w:r>
      <w:r w:rsidRPr="00FC2613">
        <w:rPr>
          <w:rFonts w:ascii="Arial" w:hAnsi="Arial" w:cs="Arial"/>
          <w:color w:val="262626"/>
          <w:sz w:val="18"/>
          <w:lang w:val="el-GR"/>
        </w:rPr>
        <w:t xml:space="preserve">(MREL)) και στο 5.91% της έκθεσης του μέτρου συνολικού ανοίγματος του Δείκτη </w:t>
      </w:r>
      <w:proofErr w:type="spellStart"/>
      <w:r w:rsidRPr="00FC2613">
        <w:rPr>
          <w:rFonts w:ascii="Arial" w:hAnsi="Arial" w:cs="Arial"/>
          <w:color w:val="262626"/>
          <w:sz w:val="18"/>
          <w:lang w:val="el-GR"/>
        </w:rPr>
        <w:t>Μόχλευσης</w:t>
      </w:r>
      <w:proofErr w:type="spellEnd"/>
      <w:r w:rsidRPr="00FC2613">
        <w:rPr>
          <w:rFonts w:ascii="Arial" w:hAnsi="Arial" w:cs="Arial"/>
          <w:color w:val="262626"/>
          <w:sz w:val="18"/>
          <w:lang w:val="el-GR"/>
        </w:rPr>
        <w:t xml:space="preserve"> (LRE) (</w:t>
      </w:r>
      <w:r>
        <w:rPr>
          <w:rFonts w:ascii="Arial" w:hAnsi="Arial" w:cs="Arial"/>
          <w:color w:val="262626"/>
          <w:sz w:val="18"/>
          <w:lang w:val="el-GR"/>
        </w:rPr>
        <w:t xml:space="preserve">όπως </w:t>
      </w:r>
      <w:r w:rsidRPr="00FC2613">
        <w:rPr>
          <w:rFonts w:ascii="Arial" w:hAnsi="Arial" w:cs="Arial"/>
          <w:color w:val="262626"/>
          <w:sz w:val="18"/>
          <w:lang w:val="el-GR"/>
        </w:rPr>
        <w:t>ορίζεται στον Κανονισμό Κεφαλαιακών Απαιτήσεων (CRR)) και πρέπει να έχει επιτευχθεί έως τις 31 Δεκεμβρίου</w:t>
      </w:r>
      <w:r>
        <w:rPr>
          <w:rFonts w:ascii="Arial" w:hAnsi="Arial" w:cs="Arial"/>
          <w:color w:val="262626"/>
          <w:sz w:val="18"/>
          <w:lang w:val="el-GR"/>
        </w:rPr>
        <w:t xml:space="preserve"> </w:t>
      </w:r>
      <w:r w:rsidRPr="00FC2613">
        <w:rPr>
          <w:rFonts w:ascii="Arial" w:hAnsi="Arial" w:cs="Arial"/>
          <w:color w:val="262626"/>
          <w:sz w:val="18"/>
          <w:lang w:val="el-GR"/>
        </w:rPr>
        <w:t>2024</w:t>
      </w:r>
      <w:r>
        <w:rPr>
          <w:rFonts w:ascii="Arial" w:hAnsi="Arial" w:cs="Arial"/>
          <w:color w:val="262626"/>
          <w:sz w:val="18"/>
          <w:lang w:val="el-GR"/>
        </w:rPr>
        <w:t>.</w:t>
      </w:r>
      <w:r w:rsidRPr="00A935E3">
        <w:rPr>
          <w:rFonts w:ascii="Arial" w:hAnsi="Arial" w:cs="Arial"/>
          <w:color w:val="262626"/>
          <w:sz w:val="18"/>
          <w:lang w:val="el-GR"/>
        </w:rPr>
        <w:t xml:space="preserve"> </w:t>
      </w:r>
    </w:p>
    <w:bookmarkEnd w:id="43"/>
    <w:p w14:paraId="1C166D12" w14:textId="77777777" w:rsidR="0056738E" w:rsidRPr="00A935E3" w:rsidRDefault="0056738E" w:rsidP="0056738E">
      <w:pPr>
        <w:autoSpaceDE w:val="0"/>
        <w:autoSpaceDN w:val="0"/>
        <w:spacing w:after="0" w:line="240" w:lineRule="auto"/>
        <w:jc w:val="both"/>
        <w:rPr>
          <w:rFonts w:ascii="Arial" w:hAnsi="Arial" w:cs="Arial"/>
          <w:color w:val="262626"/>
          <w:sz w:val="18"/>
          <w:lang w:val="el-GR"/>
        </w:rPr>
      </w:pPr>
    </w:p>
    <w:p w14:paraId="2363133F" w14:textId="77777777" w:rsidR="0056738E" w:rsidRPr="00A935E3" w:rsidRDefault="0056738E" w:rsidP="0056738E">
      <w:pPr>
        <w:autoSpaceDE w:val="0"/>
        <w:autoSpaceDN w:val="0"/>
        <w:spacing w:after="0" w:line="240" w:lineRule="auto"/>
        <w:jc w:val="both"/>
        <w:rPr>
          <w:rFonts w:ascii="Arial" w:hAnsi="Arial" w:cs="Arial"/>
          <w:color w:val="262626"/>
          <w:sz w:val="18"/>
          <w:lang w:val="el-GR"/>
        </w:rPr>
      </w:pPr>
      <w:bookmarkStart w:id="44" w:name="_Hlk161396565"/>
      <w:r w:rsidRPr="00FC2613">
        <w:rPr>
          <w:rFonts w:ascii="Arial" w:hAnsi="Arial" w:cs="Arial"/>
          <w:color w:val="262626"/>
          <w:sz w:val="18"/>
          <w:lang w:val="el-GR"/>
        </w:rPr>
        <w:t>Η BOC PCL πρέπει να συμμορφώνεται με την Ελάχιστη Απαίτηση Ιδίων Κεφαλαίων και Επιλέξιμων Υποχρεώσεων</w:t>
      </w:r>
      <w:r>
        <w:rPr>
          <w:rFonts w:ascii="Arial" w:hAnsi="Arial" w:cs="Arial"/>
          <w:color w:val="262626"/>
          <w:sz w:val="18"/>
          <w:lang w:val="el-GR"/>
        </w:rPr>
        <w:t xml:space="preserve"> </w:t>
      </w:r>
      <w:r w:rsidRPr="00FC2613">
        <w:rPr>
          <w:rFonts w:ascii="Arial" w:hAnsi="Arial" w:cs="Arial"/>
          <w:color w:val="262626"/>
          <w:sz w:val="18"/>
          <w:lang w:val="el-GR"/>
        </w:rPr>
        <w:t>(MREL) σε ενοποιημένο επίπεδο, που περιλαμβάνει την BOC PCL και τις θυγατρικές της</w:t>
      </w:r>
      <w:r w:rsidRPr="00A935E3">
        <w:rPr>
          <w:rFonts w:ascii="Arial" w:hAnsi="Arial" w:cs="Arial"/>
          <w:color w:val="262626"/>
          <w:sz w:val="18"/>
          <w:lang w:val="el-GR"/>
        </w:rPr>
        <w:t>.</w:t>
      </w:r>
    </w:p>
    <w:bookmarkEnd w:id="44"/>
    <w:p w14:paraId="2AE62B35" w14:textId="77777777" w:rsidR="0056738E" w:rsidRPr="00A935E3" w:rsidRDefault="0056738E" w:rsidP="0056738E">
      <w:pPr>
        <w:autoSpaceDE w:val="0"/>
        <w:autoSpaceDN w:val="0"/>
        <w:spacing w:after="0" w:line="240" w:lineRule="auto"/>
        <w:jc w:val="both"/>
        <w:rPr>
          <w:rFonts w:ascii="Verdana" w:eastAsia="Times New Roman" w:hAnsi="Verdana" w:cs="Calibri"/>
          <w:color w:val="000000" w:themeColor="text1"/>
          <w:sz w:val="18"/>
          <w:szCs w:val="18"/>
          <w:lang w:val="el-GR"/>
        </w:rPr>
      </w:pPr>
    </w:p>
    <w:p w14:paraId="5B14697E" w14:textId="77777777" w:rsidR="0056738E" w:rsidRPr="00BA5A4D" w:rsidRDefault="0056738E" w:rsidP="0056738E">
      <w:pPr>
        <w:autoSpaceDE w:val="0"/>
        <w:autoSpaceDN w:val="0"/>
        <w:spacing w:after="0" w:line="240" w:lineRule="auto"/>
        <w:jc w:val="both"/>
        <w:rPr>
          <w:rFonts w:ascii="Arial" w:hAnsi="Arial" w:cs="Arial"/>
          <w:color w:val="262626"/>
          <w:sz w:val="18"/>
          <w:lang w:val="el-GR"/>
        </w:rPr>
      </w:pPr>
      <w:r w:rsidRPr="00FC2613">
        <w:rPr>
          <w:rFonts w:ascii="Arial" w:hAnsi="Arial" w:cs="Arial"/>
          <w:color w:val="262626"/>
          <w:sz w:val="18"/>
          <w:lang w:val="el-GR"/>
        </w:rPr>
        <w:t>Τον Απρίλιο 2024, η BOC PCL προχώρησε με έκδοση πράσινου ομολόγου υψηλής εξοφλητικής προτεραιότητας</w:t>
      </w:r>
      <w:r>
        <w:rPr>
          <w:rFonts w:ascii="Arial" w:hAnsi="Arial" w:cs="Arial"/>
          <w:color w:val="262626"/>
          <w:sz w:val="18"/>
          <w:lang w:val="el-GR"/>
        </w:rPr>
        <w:t xml:space="preserve"> </w:t>
      </w:r>
      <w:r w:rsidRPr="00FC2613">
        <w:rPr>
          <w:rFonts w:ascii="Arial" w:hAnsi="Arial" w:cs="Arial"/>
          <w:color w:val="262626"/>
          <w:sz w:val="18"/>
          <w:lang w:val="el-GR"/>
        </w:rPr>
        <w:t>ύψους €300 εκατ. (το ‘Ομόλογο’). Το Ομόλογο πληροί τα κριτήρια Ελάχιστης Απαίτησης Ιδίων Κεφαλαίων και</w:t>
      </w:r>
      <w:r>
        <w:rPr>
          <w:rFonts w:ascii="Arial" w:hAnsi="Arial" w:cs="Arial"/>
          <w:color w:val="262626"/>
          <w:sz w:val="18"/>
          <w:lang w:val="el-GR"/>
        </w:rPr>
        <w:t xml:space="preserve"> </w:t>
      </w:r>
      <w:r w:rsidRPr="00FC2613">
        <w:rPr>
          <w:rFonts w:ascii="Arial" w:hAnsi="Arial" w:cs="Arial"/>
          <w:color w:val="262626"/>
          <w:sz w:val="18"/>
          <w:lang w:val="el-GR"/>
        </w:rPr>
        <w:t>Επιλέξιμων Υποχρεώσεων (MREL) συνεισφέροντας έτσι στις απαιτήσεις Ελάχιστης Απαίτησης Ιδίων Κεφαλαίων</w:t>
      </w:r>
      <w:r>
        <w:rPr>
          <w:rFonts w:ascii="Arial" w:hAnsi="Arial" w:cs="Arial"/>
          <w:color w:val="262626"/>
          <w:sz w:val="18"/>
          <w:lang w:val="el-GR"/>
        </w:rPr>
        <w:t xml:space="preserve"> </w:t>
      </w:r>
      <w:r w:rsidRPr="00FC2613">
        <w:rPr>
          <w:rFonts w:ascii="Arial" w:hAnsi="Arial" w:cs="Arial"/>
          <w:color w:val="262626"/>
          <w:sz w:val="18"/>
          <w:lang w:val="el-GR"/>
        </w:rPr>
        <w:t>και Επιλέξιμων Υποχρεώσεων (MREL) της BOC PCL</w:t>
      </w:r>
      <w:r w:rsidRPr="00A935E3">
        <w:rPr>
          <w:rFonts w:ascii="Arial" w:hAnsi="Arial" w:cs="Arial"/>
          <w:color w:val="262626"/>
          <w:sz w:val="18"/>
          <w:lang w:val="el-GR"/>
        </w:rPr>
        <w:t>.</w:t>
      </w:r>
    </w:p>
    <w:p w14:paraId="391FED6D" w14:textId="77777777" w:rsidR="0056738E" w:rsidRDefault="0056738E" w:rsidP="0056738E">
      <w:pPr>
        <w:autoSpaceDE w:val="0"/>
        <w:autoSpaceDN w:val="0"/>
        <w:spacing w:after="0" w:line="240" w:lineRule="auto"/>
        <w:jc w:val="both"/>
        <w:rPr>
          <w:rFonts w:ascii="Arial" w:hAnsi="Arial" w:cs="Arial"/>
          <w:color w:val="262626"/>
          <w:sz w:val="18"/>
          <w:lang w:val="el-GR"/>
        </w:rPr>
      </w:pPr>
    </w:p>
    <w:p w14:paraId="18E44298" w14:textId="77777777" w:rsidR="0056738E" w:rsidRDefault="0056738E" w:rsidP="0056738E">
      <w:pPr>
        <w:autoSpaceDE w:val="0"/>
        <w:autoSpaceDN w:val="0"/>
        <w:spacing w:after="0" w:line="240" w:lineRule="auto"/>
        <w:jc w:val="both"/>
        <w:rPr>
          <w:rFonts w:ascii="Arial" w:hAnsi="Arial" w:cs="Arial"/>
          <w:color w:val="262626"/>
          <w:sz w:val="18"/>
          <w:lang w:val="el-GR"/>
        </w:rPr>
      </w:pPr>
      <w:r w:rsidRPr="00FC2613">
        <w:rPr>
          <w:rFonts w:ascii="Arial" w:hAnsi="Arial" w:cs="Arial"/>
          <w:color w:val="262626"/>
          <w:sz w:val="18"/>
          <w:lang w:val="el-GR"/>
        </w:rPr>
        <w:t xml:space="preserve">Ο δείκτης Ελάχιστης Απαίτησης Ιδίων Κεφαλαίων και Επιλέξιμων Υποχρεώσεων (MREL) κατά τις 30 </w:t>
      </w:r>
      <w:r>
        <w:rPr>
          <w:rFonts w:ascii="Arial" w:hAnsi="Arial" w:cs="Arial"/>
          <w:color w:val="262626"/>
          <w:sz w:val="18"/>
          <w:lang w:val="el-GR"/>
        </w:rPr>
        <w:t>Σεπτεμβρίου</w:t>
      </w:r>
      <w:r w:rsidRPr="00F40AA5">
        <w:rPr>
          <w:rFonts w:ascii="Arial" w:hAnsi="Arial" w:cs="Arial"/>
          <w:color w:val="262626"/>
          <w:sz w:val="18"/>
          <w:lang w:val="el-GR"/>
        </w:rPr>
        <w:t xml:space="preserve"> </w:t>
      </w:r>
      <w:r w:rsidRPr="00FC2613">
        <w:rPr>
          <w:rFonts w:ascii="Arial" w:hAnsi="Arial" w:cs="Arial"/>
          <w:color w:val="262626"/>
          <w:sz w:val="18"/>
          <w:lang w:val="el-GR"/>
        </w:rPr>
        <w:t>2024,</w:t>
      </w:r>
      <w:r>
        <w:rPr>
          <w:rFonts w:ascii="Arial" w:hAnsi="Arial" w:cs="Arial"/>
          <w:color w:val="262626"/>
          <w:sz w:val="18"/>
          <w:lang w:val="el-GR"/>
        </w:rPr>
        <w:t xml:space="preserve"> </w:t>
      </w:r>
      <w:r w:rsidRPr="00FC2613">
        <w:rPr>
          <w:rFonts w:ascii="Arial" w:hAnsi="Arial" w:cs="Arial"/>
          <w:color w:val="262626"/>
          <w:sz w:val="18"/>
          <w:lang w:val="el-GR"/>
        </w:rPr>
        <w:t xml:space="preserve">υπολογιζόμενος σύμφωνα με τα ισχύοντα κριτήρια </w:t>
      </w:r>
      <w:proofErr w:type="spellStart"/>
      <w:r w:rsidRPr="00FC2613">
        <w:rPr>
          <w:rFonts w:ascii="Arial" w:hAnsi="Arial" w:cs="Arial"/>
          <w:color w:val="262626"/>
          <w:sz w:val="18"/>
          <w:lang w:val="el-GR"/>
        </w:rPr>
        <w:t>επιλεξιμότητας</w:t>
      </w:r>
      <w:proofErr w:type="spellEnd"/>
      <w:r w:rsidRPr="00FC2613">
        <w:rPr>
          <w:rFonts w:ascii="Arial" w:hAnsi="Arial" w:cs="Arial"/>
          <w:color w:val="262626"/>
          <w:sz w:val="18"/>
          <w:lang w:val="el-GR"/>
        </w:rPr>
        <w:t xml:space="preserve"> του ΕΣΕ, και βασισμένος σε εσωτερικές</w:t>
      </w:r>
      <w:r>
        <w:rPr>
          <w:rFonts w:ascii="Arial" w:hAnsi="Arial" w:cs="Arial"/>
          <w:color w:val="262626"/>
          <w:sz w:val="18"/>
          <w:lang w:val="el-GR"/>
        </w:rPr>
        <w:t xml:space="preserve"> </w:t>
      </w:r>
      <w:r w:rsidRPr="00FC2613">
        <w:rPr>
          <w:rFonts w:ascii="Arial" w:hAnsi="Arial" w:cs="Arial"/>
          <w:color w:val="262626"/>
          <w:sz w:val="18"/>
          <w:lang w:val="el-GR"/>
        </w:rPr>
        <w:t>εκτιμήσεις, ανερχόταν στο 33.</w:t>
      </w:r>
      <w:r>
        <w:rPr>
          <w:rFonts w:ascii="Arial" w:hAnsi="Arial" w:cs="Arial"/>
          <w:color w:val="262626"/>
          <w:sz w:val="18"/>
          <w:lang w:val="el-GR"/>
        </w:rPr>
        <w:t>8</w:t>
      </w:r>
      <w:r w:rsidRPr="00FC2613">
        <w:rPr>
          <w:rFonts w:ascii="Arial" w:hAnsi="Arial" w:cs="Arial"/>
          <w:color w:val="262626"/>
          <w:sz w:val="18"/>
          <w:lang w:val="el-GR"/>
        </w:rPr>
        <w:t>% των σταθμισμένων ως προς τον κίνδυνο περιουσιακών στοιχείων (RWA)</w:t>
      </w:r>
      <w:r>
        <w:rPr>
          <w:rFonts w:ascii="Arial" w:hAnsi="Arial" w:cs="Arial"/>
          <w:color w:val="262626"/>
          <w:sz w:val="18"/>
          <w:lang w:val="el-GR"/>
        </w:rPr>
        <w:t xml:space="preserve"> </w:t>
      </w:r>
      <w:r w:rsidRPr="00FC2613">
        <w:rPr>
          <w:rFonts w:ascii="Arial" w:hAnsi="Arial" w:cs="Arial"/>
          <w:color w:val="262626"/>
          <w:sz w:val="18"/>
          <w:lang w:val="el-GR"/>
        </w:rPr>
        <w:t>(περιλαμβανομένου του κεφαλαίου που χρησιμοποιείται για κάλυψη της Συνδυασμένης Απαίτησης Αποθέματος</w:t>
      </w:r>
      <w:r>
        <w:rPr>
          <w:rFonts w:ascii="Arial" w:hAnsi="Arial" w:cs="Arial"/>
          <w:color w:val="262626"/>
          <w:sz w:val="18"/>
          <w:lang w:val="el-GR"/>
        </w:rPr>
        <w:t xml:space="preserve"> </w:t>
      </w:r>
      <w:r w:rsidRPr="00FC2613">
        <w:rPr>
          <w:rFonts w:ascii="Arial" w:hAnsi="Arial" w:cs="Arial"/>
          <w:color w:val="262626"/>
          <w:sz w:val="18"/>
          <w:lang w:val="el-GR"/>
        </w:rPr>
        <w:t>Ασφαλείας (CBR)) και στο 1</w:t>
      </w:r>
      <w:r>
        <w:rPr>
          <w:rFonts w:ascii="Arial" w:hAnsi="Arial" w:cs="Arial"/>
          <w:color w:val="262626"/>
          <w:sz w:val="18"/>
          <w:lang w:val="el-GR"/>
        </w:rPr>
        <w:t>3</w:t>
      </w:r>
      <w:r w:rsidRPr="00FC2613">
        <w:rPr>
          <w:rFonts w:ascii="Arial" w:hAnsi="Arial" w:cs="Arial"/>
          <w:color w:val="262626"/>
          <w:sz w:val="18"/>
          <w:lang w:val="el-GR"/>
        </w:rPr>
        <w:t>.</w:t>
      </w:r>
      <w:r>
        <w:rPr>
          <w:rFonts w:ascii="Arial" w:hAnsi="Arial" w:cs="Arial"/>
          <w:color w:val="262626"/>
          <w:sz w:val="18"/>
          <w:lang w:val="el-GR"/>
        </w:rPr>
        <w:t>8</w:t>
      </w:r>
      <w:r w:rsidRPr="00FC2613">
        <w:rPr>
          <w:rFonts w:ascii="Arial" w:hAnsi="Arial" w:cs="Arial"/>
          <w:color w:val="262626"/>
          <w:sz w:val="18"/>
          <w:lang w:val="el-GR"/>
        </w:rPr>
        <w:t xml:space="preserve">% του μέτρου συνολικού ανοίγματος του Δείκτη </w:t>
      </w:r>
      <w:proofErr w:type="spellStart"/>
      <w:r w:rsidRPr="00FC2613">
        <w:rPr>
          <w:rFonts w:ascii="Arial" w:hAnsi="Arial" w:cs="Arial"/>
          <w:color w:val="262626"/>
          <w:sz w:val="18"/>
          <w:lang w:val="el-GR"/>
        </w:rPr>
        <w:t>Μόχλευσης</w:t>
      </w:r>
      <w:proofErr w:type="spellEnd"/>
      <w:r w:rsidRPr="00FC2613">
        <w:rPr>
          <w:rFonts w:ascii="Arial" w:hAnsi="Arial" w:cs="Arial"/>
          <w:color w:val="262626"/>
          <w:sz w:val="18"/>
          <w:lang w:val="el-GR"/>
        </w:rPr>
        <w:t xml:space="preserve"> (LRE) (με βάση τα</w:t>
      </w:r>
      <w:r>
        <w:rPr>
          <w:rFonts w:ascii="Arial" w:hAnsi="Arial" w:cs="Arial"/>
          <w:color w:val="262626"/>
          <w:sz w:val="18"/>
          <w:lang w:val="el-GR"/>
        </w:rPr>
        <w:t xml:space="preserve"> </w:t>
      </w:r>
      <w:r w:rsidRPr="00FC2613">
        <w:rPr>
          <w:rFonts w:ascii="Arial" w:hAnsi="Arial" w:cs="Arial"/>
          <w:color w:val="262626"/>
          <w:sz w:val="18"/>
          <w:lang w:val="el-GR"/>
        </w:rPr>
        <w:t xml:space="preserve">Συνολικά Εποπτικά Κεφαλαία κατά τις 30 </w:t>
      </w:r>
      <w:r>
        <w:rPr>
          <w:rFonts w:ascii="Arial" w:hAnsi="Arial" w:cs="Arial"/>
          <w:color w:val="262626"/>
          <w:sz w:val="18"/>
          <w:lang w:val="el-GR"/>
        </w:rPr>
        <w:t>Σεπτεμβρίου</w:t>
      </w:r>
      <w:r w:rsidRPr="00F40AA5">
        <w:rPr>
          <w:rFonts w:ascii="Arial" w:hAnsi="Arial" w:cs="Arial"/>
          <w:color w:val="262626"/>
          <w:sz w:val="18"/>
          <w:lang w:val="el-GR"/>
        </w:rPr>
        <w:t xml:space="preserve"> </w:t>
      </w:r>
      <w:r w:rsidRPr="00FC2613">
        <w:rPr>
          <w:rFonts w:ascii="Arial" w:hAnsi="Arial" w:cs="Arial"/>
          <w:color w:val="262626"/>
          <w:sz w:val="18"/>
          <w:lang w:val="el-GR"/>
        </w:rPr>
        <w:t>2024). Το ποσοστό της Συνδυασμένης Απαίτησης Αποθέματος</w:t>
      </w:r>
      <w:r>
        <w:rPr>
          <w:rFonts w:ascii="Arial" w:hAnsi="Arial" w:cs="Arial"/>
          <w:color w:val="262626"/>
          <w:sz w:val="18"/>
          <w:lang w:val="el-GR"/>
        </w:rPr>
        <w:t xml:space="preserve"> </w:t>
      </w:r>
      <w:r w:rsidRPr="00FC2613">
        <w:rPr>
          <w:rFonts w:ascii="Arial" w:hAnsi="Arial" w:cs="Arial"/>
          <w:color w:val="262626"/>
          <w:sz w:val="18"/>
          <w:lang w:val="el-GR"/>
        </w:rPr>
        <w:t xml:space="preserve">Ασφαλείας (CBR) ανερχόταν στο 5.31% στις 30 </w:t>
      </w:r>
      <w:r>
        <w:rPr>
          <w:rFonts w:ascii="Arial" w:hAnsi="Arial" w:cs="Arial"/>
          <w:color w:val="262626"/>
          <w:sz w:val="18"/>
          <w:lang w:val="el-GR"/>
        </w:rPr>
        <w:t>Σεπτεμβρίου</w:t>
      </w:r>
      <w:r w:rsidRPr="00F40AA5">
        <w:rPr>
          <w:rFonts w:ascii="Arial" w:hAnsi="Arial" w:cs="Arial"/>
          <w:color w:val="262626"/>
          <w:sz w:val="18"/>
          <w:lang w:val="el-GR"/>
        </w:rPr>
        <w:t xml:space="preserve"> </w:t>
      </w:r>
      <w:r w:rsidRPr="00FC2613">
        <w:rPr>
          <w:rFonts w:ascii="Arial" w:hAnsi="Arial" w:cs="Arial"/>
          <w:color w:val="262626"/>
          <w:sz w:val="18"/>
          <w:lang w:val="el-GR"/>
        </w:rPr>
        <w:t>2024</w:t>
      </w:r>
      <w:r>
        <w:rPr>
          <w:rFonts w:ascii="Arial" w:hAnsi="Arial" w:cs="Arial"/>
          <w:color w:val="262626"/>
          <w:sz w:val="18"/>
          <w:lang w:val="el-GR"/>
        </w:rPr>
        <w:t xml:space="preserve">, </w:t>
      </w:r>
      <w:r w:rsidRPr="00FC2613">
        <w:rPr>
          <w:rFonts w:ascii="Arial" w:hAnsi="Arial" w:cs="Arial"/>
          <w:color w:val="262626"/>
          <w:sz w:val="18"/>
          <w:lang w:val="el-GR"/>
        </w:rPr>
        <w:t>σε σύγκριση με 4.48% στις 31 Δεκεμβρίου 2023,</w:t>
      </w:r>
      <w:r>
        <w:rPr>
          <w:rFonts w:ascii="Arial" w:hAnsi="Arial" w:cs="Arial"/>
          <w:color w:val="262626"/>
          <w:sz w:val="18"/>
          <w:lang w:val="el-GR"/>
        </w:rPr>
        <w:t xml:space="preserve"> </w:t>
      </w:r>
      <w:r w:rsidRPr="00FC2613">
        <w:rPr>
          <w:rFonts w:ascii="Arial" w:hAnsi="Arial" w:cs="Arial"/>
          <w:color w:val="262626"/>
          <w:sz w:val="18"/>
          <w:lang w:val="el-GR"/>
        </w:rPr>
        <w:t>αντανακλώντας την αύξηση του ποσοστού</w:t>
      </w:r>
      <w:r>
        <w:rPr>
          <w:rFonts w:ascii="Arial" w:hAnsi="Arial" w:cs="Arial"/>
          <w:color w:val="262626"/>
          <w:sz w:val="18"/>
          <w:lang w:val="el-GR"/>
        </w:rPr>
        <w:t xml:space="preserve"> </w:t>
      </w:r>
      <w:proofErr w:type="spellStart"/>
      <w:r w:rsidRPr="00FC2613">
        <w:rPr>
          <w:rFonts w:ascii="Arial" w:hAnsi="Arial" w:cs="Arial"/>
          <w:color w:val="262626"/>
          <w:sz w:val="18"/>
          <w:lang w:val="el-GR"/>
        </w:rPr>
        <w:t>Αντικυκλικού</w:t>
      </w:r>
      <w:proofErr w:type="spellEnd"/>
      <w:r w:rsidRPr="00FC2613">
        <w:rPr>
          <w:rFonts w:ascii="Arial" w:hAnsi="Arial" w:cs="Arial"/>
          <w:color w:val="262626"/>
          <w:sz w:val="18"/>
          <w:lang w:val="el-GR"/>
        </w:rPr>
        <w:t xml:space="preserve"> Κεφαλαιακού Αποθέματος Ασφαλείας (</w:t>
      </w:r>
      <w:proofErr w:type="spellStart"/>
      <w:r w:rsidRPr="00FC2613">
        <w:rPr>
          <w:rFonts w:ascii="Arial" w:hAnsi="Arial" w:cs="Arial"/>
          <w:color w:val="262626"/>
          <w:sz w:val="18"/>
          <w:lang w:val="el-GR"/>
        </w:rPr>
        <w:t>CcyB</w:t>
      </w:r>
      <w:proofErr w:type="spellEnd"/>
      <w:r w:rsidRPr="00FC2613">
        <w:rPr>
          <w:rFonts w:ascii="Arial" w:hAnsi="Arial" w:cs="Arial"/>
          <w:color w:val="262626"/>
          <w:sz w:val="18"/>
          <w:lang w:val="el-GR"/>
        </w:rPr>
        <w:t xml:space="preserve">) </w:t>
      </w:r>
      <w:r>
        <w:rPr>
          <w:rFonts w:ascii="Arial" w:hAnsi="Arial" w:cs="Arial"/>
          <w:color w:val="262626"/>
          <w:sz w:val="18"/>
          <w:lang w:val="el-GR"/>
        </w:rPr>
        <w:t>και του ποσοστού</w:t>
      </w:r>
      <w:r w:rsidRPr="00FC2613">
        <w:rPr>
          <w:rFonts w:ascii="Arial" w:hAnsi="Arial" w:cs="Arial"/>
          <w:color w:val="262626"/>
          <w:sz w:val="18"/>
          <w:lang w:val="el-GR"/>
        </w:rPr>
        <w:t xml:space="preserve"> Αποθέματος Ασφαλείας O-SII</w:t>
      </w:r>
      <w:r>
        <w:rPr>
          <w:rFonts w:ascii="Arial" w:hAnsi="Arial" w:cs="Arial"/>
          <w:color w:val="262626"/>
          <w:sz w:val="18"/>
          <w:lang w:val="el-GR"/>
        </w:rPr>
        <w:t xml:space="preserve"> </w:t>
      </w:r>
      <w:r w:rsidRPr="00A95933">
        <w:rPr>
          <w:rFonts w:ascii="Arial" w:hAnsi="Arial" w:cs="Arial"/>
          <w:color w:val="262626"/>
          <w:sz w:val="18"/>
          <w:lang w:val="el-GR"/>
        </w:rPr>
        <w:t>κατά</w:t>
      </w:r>
      <w:r>
        <w:rPr>
          <w:rFonts w:ascii="Arial" w:hAnsi="Arial" w:cs="Arial"/>
          <w:color w:val="262626"/>
          <w:sz w:val="18"/>
          <w:lang w:val="el-GR"/>
        </w:rPr>
        <w:t xml:space="preserve"> περίπου 50 μονάδων βάσης και 37.5 μονάδων βάσης αντίστοιχα</w:t>
      </w:r>
      <w:r w:rsidRPr="00FC2613">
        <w:rPr>
          <w:rFonts w:ascii="Arial" w:hAnsi="Arial" w:cs="Arial"/>
          <w:color w:val="262626"/>
          <w:sz w:val="18"/>
          <w:lang w:val="el-GR"/>
        </w:rPr>
        <w:t>. Το ποσοστό της Συνδυασμένης Απαίτησης Αποθέματος Ασφαλείας (CBR) αναμένεται να</w:t>
      </w:r>
      <w:r>
        <w:rPr>
          <w:rFonts w:ascii="Arial" w:hAnsi="Arial" w:cs="Arial"/>
          <w:color w:val="262626"/>
          <w:sz w:val="18"/>
          <w:lang w:val="el-GR"/>
        </w:rPr>
        <w:t xml:space="preserve"> </w:t>
      </w:r>
      <w:r w:rsidRPr="00FC2613">
        <w:rPr>
          <w:rFonts w:ascii="Arial" w:hAnsi="Arial" w:cs="Arial"/>
          <w:color w:val="262626"/>
          <w:sz w:val="18"/>
          <w:lang w:val="el-GR"/>
        </w:rPr>
        <w:t>αυξηθεί περαιτέρω ως αποτέλεσμα της σταδιακής εφαρμογής του ποσοστού Αποθέματος Ασφαλείας O-SII από</w:t>
      </w:r>
      <w:r>
        <w:rPr>
          <w:rFonts w:ascii="Arial" w:hAnsi="Arial" w:cs="Arial"/>
          <w:color w:val="262626"/>
          <w:sz w:val="18"/>
          <w:lang w:val="el-GR"/>
        </w:rPr>
        <w:t xml:space="preserve"> </w:t>
      </w:r>
      <w:r w:rsidRPr="00FC2613">
        <w:rPr>
          <w:rFonts w:ascii="Arial" w:hAnsi="Arial" w:cs="Arial"/>
          <w:color w:val="262626"/>
          <w:sz w:val="18"/>
          <w:lang w:val="el-GR"/>
        </w:rPr>
        <w:t>1.875% σε 1.9375% την 1 Ιανουαρίου 2025 και σε 2.00% την 1 Ιανουαρίου 202</w:t>
      </w:r>
      <w:r>
        <w:rPr>
          <w:rFonts w:ascii="Arial" w:hAnsi="Arial" w:cs="Arial"/>
          <w:color w:val="262626"/>
          <w:sz w:val="18"/>
          <w:lang w:val="el-GR"/>
        </w:rPr>
        <w:t>6</w:t>
      </w:r>
      <w:r w:rsidRPr="001B0782">
        <w:rPr>
          <w:rFonts w:ascii="Arial" w:hAnsi="Arial" w:cs="Arial"/>
          <w:color w:val="262626"/>
          <w:sz w:val="18"/>
          <w:lang w:val="el-GR"/>
        </w:rPr>
        <w:t>.</w:t>
      </w:r>
    </w:p>
    <w:p w14:paraId="07DB8C73" w14:textId="77777777" w:rsidR="0056738E" w:rsidRDefault="0056738E" w:rsidP="0056738E">
      <w:pPr>
        <w:autoSpaceDE w:val="0"/>
        <w:autoSpaceDN w:val="0"/>
        <w:spacing w:after="0" w:line="240" w:lineRule="auto"/>
        <w:jc w:val="both"/>
        <w:rPr>
          <w:rFonts w:ascii="Arial" w:hAnsi="Arial" w:cs="Arial"/>
          <w:color w:val="262626"/>
          <w:sz w:val="18"/>
          <w:lang w:val="el-GR"/>
        </w:rPr>
      </w:pPr>
    </w:p>
    <w:p w14:paraId="0CA7D958" w14:textId="77777777" w:rsidR="0056738E" w:rsidRPr="00A03828" w:rsidRDefault="0056738E" w:rsidP="0056738E">
      <w:pPr>
        <w:autoSpaceDE w:val="0"/>
        <w:autoSpaceDN w:val="0"/>
        <w:spacing w:after="0" w:line="240" w:lineRule="auto"/>
        <w:jc w:val="both"/>
        <w:rPr>
          <w:rFonts w:ascii="Arial" w:hAnsi="Arial" w:cs="Arial"/>
          <w:color w:val="262626"/>
          <w:sz w:val="18"/>
          <w:lang w:val="el-GR"/>
        </w:rPr>
      </w:pPr>
    </w:p>
    <w:p w14:paraId="1E49B5F9" w14:textId="77777777" w:rsidR="0056738E" w:rsidRPr="00A03828" w:rsidRDefault="0056738E" w:rsidP="0056738E">
      <w:pPr>
        <w:autoSpaceDE w:val="0"/>
        <w:autoSpaceDN w:val="0"/>
        <w:spacing w:after="0" w:line="240" w:lineRule="auto"/>
        <w:jc w:val="both"/>
        <w:rPr>
          <w:rFonts w:ascii="Arial" w:hAnsi="Arial" w:cs="Arial"/>
          <w:color w:val="262626"/>
          <w:sz w:val="18"/>
          <w:lang w:val="el-GR"/>
        </w:rPr>
      </w:pPr>
    </w:p>
    <w:p w14:paraId="0CD6E35B" w14:textId="77777777" w:rsidR="0056738E" w:rsidRPr="00A03828" w:rsidRDefault="0056738E" w:rsidP="0056738E">
      <w:pPr>
        <w:autoSpaceDE w:val="0"/>
        <w:autoSpaceDN w:val="0"/>
        <w:spacing w:after="0" w:line="240" w:lineRule="auto"/>
        <w:jc w:val="both"/>
        <w:rPr>
          <w:rFonts w:ascii="Arial" w:hAnsi="Arial" w:cs="Arial"/>
          <w:color w:val="262626"/>
          <w:sz w:val="18"/>
          <w:lang w:val="el-GR"/>
        </w:rPr>
      </w:pPr>
    </w:p>
    <w:p w14:paraId="2ADCE1FE" w14:textId="77777777" w:rsidR="0056738E" w:rsidRPr="00022E44" w:rsidRDefault="0056738E" w:rsidP="0056738E">
      <w:pPr>
        <w:keepNext/>
        <w:tabs>
          <w:tab w:val="left" w:pos="1416"/>
          <w:tab w:val="decimal" w:pos="4962"/>
          <w:tab w:val="decimal" w:pos="6521"/>
          <w:tab w:val="right" w:pos="7560"/>
          <w:tab w:val="decimal" w:pos="8220"/>
          <w:tab w:val="left" w:pos="8640"/>
          <w:tab w:val="right" w:pos="9000"/>
        </w:tabs>
        <w:suppressAutoHyphens/>
        <w:spacing w:after="0" w:line="360" w:lineRule="auto"/>
        <w:ind w:left="851" w:right="-130" w:hanging="851"/>
        <w:jc w:val="both"/>
        <w:outlineLvl w:val="8"/>
        <w:rPr>
          <w:rFonts w:ascii="Arial" w:hAnsi="Arial" w:cs="Arial"/>
          <w:color w:val="FF9900"/>
          <w:szCs w:val="18"/>
          <w:lang w:val="el-GR"/>
        </w:rPr>
      </w:pPr>
      <w:r w:rsidRPr="00E55CD1">
        <w:rPr>
          <w:rFonts w:ascii="Arial" w:hAnsi="Arial" w:cs="Arial"/>
          <w:b/>
          <w:color w:val="FF9900"/>
          <w:szCs w:val="18"/>
          <w:lang w:val="el-GR"/>
        </w:rPr>
        <w:lastRenderedPageBreak/>
        <w:t>Ζ</w:t>
      </w:r>
      <w:r w:rsidRPr="00022E44">
        <w:rPr>
          <w:rFonts w:ascii="Arial" w:hAnsi="Arial" w:cs="Arial"/>
          <w:b/>
          <w:color w:val="FF9900"/>
          <w:szCs w:val="18"/>
          <w:lang w:val="el-GR"/>
        </w:rPr>
        <w:t xml:space="preserve">. </w:t>
      </w:r>
      <w:r w:rsidRPr="00022E44">
        <w:rPr>
          <w:rFonts w:ascii="Arial" w:hAnsi="Arial" w:cs="Arial"/>
          <w:b/>
          <w:color w:val="FF9900"/>
          <w:szCs w:val="18"/>
          <w:lang w:val="el-GR"/>
        </w:rPr>
        <w:tab/>
      </w:r>
      <w:r w:rsidRPr="00E55CD1">
        <w:rPr>
          <w:rFonts w:ascii="Arial" w:hAnsi="Arial" w:cs="Arial"/>
          <w:b/>
          <w:color w:val="FF9900"/>
          <w:szCs w:val="18"/>
          <w:lang w:val="el-GR"/>
        </w:rPr>
        <w:t xml:space="preserve">Επιπρόσθετες Γνωστοποιήσεις Διαχείρισης Κινδύνων και Κεφαλαίου </w:t>
      </w:r>
      <w:r w:rsidRPr="008A3E7B">
        <w:rPr>
          <w:rFonts w:ascii="Arial" w:hAnsi="Arial" w:cs="Arial"/>
          <w:color w:val="FF9900"/>
          <w:szCs w:val="18"/>
          <w:lang w:val="el-GR"/>
        </w:rPr>
        <w:t>(</w:t>
      </w:r>
      <w:r w:rsidRPr="00022E44">
        <w:rPr>
          <w:rFonts w:ascii="Arial" w:hAnsi="Arial" w:cs="Arial"/>
          <w:color w:val="FF9900"/>
          <w:szCs w:val="18"/>
          <w:lang w:val="el-GR"/>
        </w:rPr>
        <w:t>συνέχεια)</w:t>
      </w:r>
    </w:p>
    <w:p w14:paraId="76D68F22" w14:textId="77777777" w:rsidR="0056738E" w:rsidRPr="00F40AA5" w:rsidRDefault="0056738E" w:rsidP="0056738E">
      <w:pPr>
        <w:keepNext/>
        <w:tabs>
          <w:tab w:val="left" w:pos="1416"/>
          <w:tab w:val="decimal" w:pos="4962"/>
          <w:tab w:val="decimal" w:pos="6521"/>
          <w:tab w:val="right" w:pos="7560"/>
          <w:tab w:val="decimal" w:pos="8220"/>
          <w:tab w:val="left" w:pos="8640"/>
          <w:tab w:val="right" w:pos="9000"/>
        </w:tabs>
        <w:suppressAutoHyphens/>
        <w:spacing w:after="0" w:line="360" w:lineRule="auto"/>
        <w:ind w:left="851" w:right="-130" w:hanging="851"/>
        <w:jc w:val="both"/>
        <w:outlineLvl w:val="8"/>
        <w:rPr>
          <w:rFonts w:ascii="Arial" w:hAnsi="Arial" w:cs="Arial"/>
          <w:color w:val="FF9900"/>
          <w:szCs w:val="18"/>
          <w:lang w:val="el-GR"/>
        </w:rPr>
      </w:pPr>
      <w:r w:rsidRPr="00022E44">
        <w:rPr>
          <w:rFonts w:ascii="Arial" w:hAnsi="Arial" w:cs="Arial"/>
          <w:b/>
          <w:color w:val="FF9900"/>
          <w:szCs w:val="18"/>
          <w:lang w:val="el-GR"/>
        </w:rPr>
        <w:t>Ζ</w:t>
      </w:r>
      <w:r>
        <w:rPr>
          <w:rFonts w:ascii="Arial" w:hAnsi="Arial" w:cs="Arial"/>
          <w:b/>
          <w:color w:val="FF9900"/>
          <w:szCs w:val="18"/>
          <w:lang w:val="el-GR"/>
        </w:rPr>
        <w:t>.2</w:t>
      </w:r>
      <w:r w:rsidRPr="00022E44">
        <w:rPr>
          <w:rFonts w:ascii="Arial" w:hAnsi="Arial" w:cs="Arial"/>
          <w:b/>
          <w:color w:val="FF9900"/>
          <w:szCs w:val="18"/>
          <w:lang w:val="el-GR"/>
        </w:rPr>
        <w:t xml:space="preserve"> </w:t>
      </w:r>
      <w:r w:rsidRPr="00022E44">
        <w:rPr>
          <w:rFonts w:ascii="Arial" w:hAnsi="Arial" w:cs="Arial"/>
          <w:b/>
          <w:color w:val="FF9900"/>
          <w:szCs w:val="18"/>
          <w:lang w:val="el-GR"/>
        </w:rPr>
        <w:tab/>
      </w:r>
      <w:r>
        <w:rPr>
          <w:rFonts w:ascii="Arial" w:hAnsi="Arial" w:cs="Arial"/>
          <w:b/>
          <w:color w:val="FF9900"/>
          <w:szCs w:val="18"/>
          <w:lang w:val="el-GR"/>
        </w:rPr>
        <w:t>Διαχείριση κεφαλαίου</w:t>
      </w:r>
      <w:r w:rsidRPr="00022E44">
        <w:rPr>
          <w:rFonts w:ascii="Arial" w:hAnsi="Arial" w:cs="Arial"/>
          <w:color w:val="FF9900"/>
          <w:szCs w:val="18"/>
          <w:lang w:val="el-GR"/>
        </w:rPr>
        <w:t xml:space="preserve"> (συνέχεια)</w:t>
      </w:r>
    </w:p>
    <w:p w14:paraId="203DFE98" w14:textId="77777777" w:rsidR="0056738E" w:rsidRPr="009659A5" w:rsidRDefault="0056738E" w:rsidP="0056738E">
      <w:pPr>
        <w:spacing w:after="0" w:line="240" w:lineRule="auto"/>
        <w:jc w:val="both"/>
        <w:rPr>
          <w:rFonts w:ascii="Verdana" w:hAnsi="Verdana" w:cs="Verdana"/>
          <w:sz w:val="18"/>
          <w:szCs w:val="18"/>
          <w:lang w:val="el-GR"/>
        </w:rPr>
      </w:pPr>
      <w:r w:rsidRPr="00544660">
        <w:rPr>
          <w:rFonts w:ascii="Arial" w:hAnsi="Arial" w:cs="Arial"/>
          <w:b/>
          <w:bCs/>
          <w:sz w:val="18"/>
          <w:szCs w:val="18"/>
          <w:lang w:val="el-GR"/>
        </w:rPr>
        <w:t>Ελάχιστη Απαίτηση Ιδίων Κεφαλαίων και Επιλέξιμων Υποχρεώσεων (MREL)</w:t>
      </w:r>
      <w:r w:rsidRPr="00A03828">
        <w:rPr>
          <w:rFonts w:ascii="Arial" w:hAnsi="Arial" w:cs="Arial"/>
          <w:b/>
          <w:bCs/>
          <w:sz w:val="18"/>
          <w:szCs w:val="18"/>
          <w:lang w:val="el-GR"/>
        </w:rPr>
        <w:t xml:space="preserve"> </w:t>
      </w:r>
      <w:r w:rsidRPr="00A03828">
        <w:rPr>
          <w:rFonts w:ascii="Arial" w:hAnsi="Arial" w:cs="Arial"/>
          <w:sz w:val="18"/>
          <w:szCs w:val="18"/>
          <w:lang w:val="el-GR"/>
        </w:rPr>
        <w:t>(συνέχεια)</w:t>
      </w:r>
    </w:p>
    <w:p w14:paraId="055CCEC9" w14:textId="77777777" w:rsidR="0056738E" w:rsidRPr="00A03828" w:rsidRDefault="0056738E" w:rsidP="0056738E">
      <w:pPr>
        <w:autoSpaceDE w:val="0"/>
        <w:autoSpaceDN w:val="0"/>
        <w:spacing w:after="0" w:line="240" w:lineRule="auto"/>
        <w:jc w:val="both"/>
        <w:rPr>
          <w:rFonts w:ascii="Arial" w:eastAsia="Batang" w:hAnsi="Arial" w:cs="Arial"/>
          <w:color w:val="262626"/>
          <w:sz w:val="18"/>
          <w:szCs w:val="18"/>
          <w:lang w:val="el-GR" w:eastAsia="en-US"/>
        </w:rPr>
      </w:pPr>
      <w:r w:rsidRPr="0065654A">
        <w:rPr>
          <w:rFonts w:ascii="Arial" w:hAnsi="Arial" w:cs="Arial"/>
          <w:color w:val="262626"/>
          <w:sz w:val="18"/>
          <w:lang w:val="el-GR"/>
        </w:rPr>
        <w:t>Περιλαμβάνοντας τα κέρδη για το τρίμηνο που έληξε στις 30 Σεπτεμβρίου 2024 και πρόβλεψη για διανομή σε ποσοστό 50% της προσαρμοσμένης επαναλαμβανόμενης κερδοφορίας του Συγκροτήματος για την περίοδο, ο δείκτης Ελάχιστης Απαίτησης Ιδίων Κεφαλαίων και Επιλέξιμων Υποχρεώσεων (MREL) που εκφράζεται ως ποσοστό των σταθμισμένων ως προς τον κίνδυνο περιουσιακών στοιχείων (</w:t>
      </w:r>
      <w:r w:rsidRPr="000237EC">
        <w:rPr>
          <w:rFonts w:ascii="Arial" w:hAnsi="Arial" w:cs="Arial"/>
          <w:color w:val="262626"/>
          <w:sz w:val="18"/>
        </w:rPr>
        <w:t>RWA</w:t>
      </w:r>
      <w:r w:rsidRPr="0065654A">
        <w:rPr>
          <w:rFonts w:ascii="Arial" w:hAnsi="Arial" w:cs="Arial"/>
          <w:color w:val="262626"/>
          <w:sz w:val="18"/>
          <w:lang w:val="el-GR"/>
        </w:rPr>
        <w:t xml:space="preserve">) ανέρχεται σε </w:t>
      </w:r>
      <w:r>
        <w:rPr>
          <w:rFonts w:ascii="Arial" w:hAnsi="Arial" w:cs="Arial"/>
          <w:color w:val="262626"/>
          <w:sz w:val="18"/>
          <w:lang w:val="el-GR"/>
        </w:rPr>
        <w:t>34.4</w:t>
      </w:r>
      <w:r w:rsidRPr="0065654A">
        <w:rPr>
          <w:rFonts w:ascii="Arial" w:hAnsi="Arial" w:cs="Arial"/>
          <w:color w:val="262626"/>
          <w:sz w:val="18"/>
          <w:lang w:val="el-GR"/>
        </w:rPr>
        <w:t>% και ο δείκτης Ελάχιστης Απαίτησης Ιδίων Κεφαλαίων και Επιλέξιμων Υποχρεώσεων (</w:t>
      </w:r>
      <w:r w:rsidRPr="000237EC">
        <w:rPr>
          <w:rFonts w:ascii="Arial" w:hAnsi="Arial" w:cs="Arial"/>
          <w:color w:val="262626"/>
          <w:sz w:val="18"/>
        </w:rPr>
        <w:t>MREL</w:t>
      </w:r>
      <w:r w:rsidRPr="0065654A">
        <w:rPr>
          <w:rFonts w:ascii="Arial" w:hAnsi="Arial" w:cs="Arial"/>
          <w:color w:val="262626"/>
          <w:sz w:val="18"/>
          <w:lang w:val="el-GR"/>
        </w:rPr>
        <w:t xml:space="preserve">) που εκφράζεται ως ποσοστό του μέτρου συνολικού ανοίγματος του Δείκτη </w:t>
      </w:r>
      <w:proofErr w:type="spellStart"/>
      <w:r w:rsidRPr="0065654A">
        <w:rPr>
          <w:rFonts w:ascii="Arial" w:hAnsi="Arial" w:cs="Arial"/>
          <w:color w:val="262626"/>
          <w:sz w:val="18"/>
          <w:lang w:val="el-GR"/>
        </w:rPr>
        <w:t>Μόχλευσης</w:t>
      </w:r>
      <w:proofErr w:type="spellEnd"/>
      <w:r w:rsidRPr="0065654A">
        <w:rPr>
          <w:rFonts w:ascii="Arial" w:hAnsi="Arial" w:cs="Arial"/>
          <w:color w:val="262626"/>
          <w:sz w:val="18"/>
          <w:lang w:val="el-GR"/>
        </w:rPr>
        <w:t xml:space="preserve"> (</w:t>
      </w:r>
      <w:r w:rsidRPr="000237EC">
        <w:rPr>
          <w:rFonts w:ascii="Arial" w:hAnsi="Arial" w:cs="Arial"/>
          <w:color w:val="262626"/>
          <w:sz w:val="18"/>
        </w:rPr>
        <w:t>LRE</w:t>
      </w:r>
      <w:r w:rsidRPr="0065654A">
        <w:rPr>
          <w:rFonts w:ascii="Arial" w:hAnsi="Arial" w:cs="Arial"/>
          <w:color w:val="262626"/>
          <w:sz w:val="18"/>
          <w:lang w:val="el-GR"/>
        </w:rPr>
        <w:t xml:space="preserve">) ανέρχεται σε </w:t>
      </w:r>
      <w:r>
        <w:rPr>
          <w:rFonts w:ascii="Arial" w:hAnsi="Arial" w:cs="Arial"/>
          <w:color w:val="262626"/>
          <w:sz w:val="18"/>
          <w:lang w:val="el-GR"/>
        </w:rPr>
        <w:t>14</w:t>
      </w:r>
      <w:r w:rsidRPr="001D1B78">
        <w:rPr>
          <w:rFonts w:ascii="Arial" w:hAnsi="Arial" w:cs="Arial"/>
          <w:color w:val="262626"/>
          <w:sz w:val="18"/>
          <w:lang w:val="el-GR"/>
        </w:rPr>
        <w:t>.1</w:t>
      </w:r>
      <w:r w:rsidRPr="0065654A">
        <w:rPr>
          <w:rFonts w:ascii="Arial" w:hAnsi="Arial" w:cs="Arial"/>
          <w:color w:val="262626"/>
          <w:sz w:val="18"/>
          <w:lang w:val="el-GR"/>
        </w:rPr>
        <w:t>%</w:t>
      </w:r>
      <w:r>
        <w:rPr>
          <w:rFonts w:ascii="Arial" w:hAnsi="Arial" w:cs="Arial"/>
          <w:color w:val="262626"/>
          <w:sz w:val="18"/>
          <w:lang w:val="el-GR"/>
        </w:rPr>
        <w:t>,</w:t>
      </w:r>
      <w:r w:rsidRPr="00915B0D">
        <w:rPr>
          <w:rFonts w:ascii="Arial" w:eastAsia="Batang" w:hAnsi="Arial" w:cs="Arial"/>
          <w:color w:val="262626"/>
          <w:sz w:val="18"/>
          <w:szCs w:val="18"/>
          <w:lang w:val="el-GR" w:eastAsia="en-US"/>
        </w:rPr>
        <w:t xml:space="preserve"> αντίστοιχα, </w:t>
      </w:r>
      <w:r>
        <w:rPr>
          <w:rFonts w:ascii="Arial" w:eastAsia="Batang" w:hAnsi="Arial" w:cs="Arial"/>
          <w:color w:val="262626"/>
          <w:sz w:val="18"/>
          <w:szCs w:val="18"/>
          <w:lang w:val="el-GR" w:eastAsia="en-US"/>
        </w:rPr>
        <w:t>στις 30 Σεπτεμβρίου 2024.</w:t>
      </w:r>
    </w:p>
    <w:p w14:paraId="5475A606" w14:textId="77777777" w:rsidR="0056738E" w:rsidRPr="00022E44" w:rsidRDefault="0056738E" w:rsidP="0056738E">
      <w:pPr>
        <w:spacing w:after="0"/>
        <w:jc w:val="both"/>
        <w:rPr>
          <w:rFonts w:ascii="Arial" w:hAnsi="Arial" w:cs="Arial"/>
          <w:color w:val="FF9900"/>
          <w:szCs w:val="18"/>
          <w:lang w:val="el-GR"/>
        </w:rPr>
      </w:pPr>
    </w:p>
    <w:p w14:paraId="406F0614" w14:textId="77777777" w:rsidR="0056738E" w:rsidRPr="00D17E65" w:rsidRDefault="0056738E" w:rsidP="0056738E">
      <w:pPr>
        <w:pStyle w:val="BodyText"/>
        <w:shd w:val="clear" w:color="auto" w:fill="FFFFFF"/>
        <w:spacing w:line="240" w:lineRule="auto"/>
        <w:ind w:left="851" w:hanging="851"/>
        <w:jc w:val="both"/>
        <w:rPr>
          <w:rFonts w:ascii="Arial" w:hAnsi="Arial" w:cs="Arial"/>
          <w:b/>
          <w:color w:val="FF9900"/>
          <w:lang w:val="el-GR"/>
        </w:rPr>
      </w:pPr>
      <w:r w:rsidRPr="00D17E65">
        <w:rPr>
          <w:rFonts w:ascii="Arial" w:hAnsi="Arial" w:cs="Arial"/>
          <w:b/>
          <w:color w:val="FF9900"/>
          <w:lang w:val="el-GR"/>
        </w:rPr>
        <w:t xml:space="preserve">Ζ.3 </w:t>
      </w:r>
      <w:r w:rsidRPr="00D17E65">
        <w:rPr>
          <w:rFonts w:ascii="Arial" w:hAnsi="Arial" w:cs="Arial"/>
          <w:b/>
          <w:color w:val="FF9900"/>
          <w:lang w:val="el-GR"/>
        </w:rPr>
        <w:tab/>
        <w:t xml:space="preserve">Εσωτερική Διαδικασία Αξιολόγησης Κεφαλαιακής Επάρκειας (ΕΔΑΚΕ), Εσωτερική Διαδικασία Αξιολόγησης </w:t>
      </w:r>
      <w:proofErr w:type="spellStart"/>
      <w:r>
        <w:rPr>
          <w:rFonts w:ascii="Arial" w:hAnsi="Arial" w:cs="Arial"/>
          <w:b/>
          <w:color w:val="FF9900"/>
          <w:lang w:val="el-GR"/>
        </w:rPr>
        <w:t>Ρευστοτικής</w:t>
      </w:r>
      <w:proofErr w:type="spellEnd"/>
      <w:r>
        <w:rPr>
          <w:rFonts w:ascii="Arial" w:hAnsi="Arial" w:cs="Arial"/>
          <w:b/>
          <w:color w:val="FF9900"/>
          <w:lang w:val="el-GR"/>
        </w:rPr>
        <w:t xml:space="preserve"> </w:t>
      </w:r>
      <w:r w:rsidRPr="00D17E65">
        <w:rPr>
          <w:rFonts w:ascii="Arial" w:hAnsi="Arial" w:cs="Arial"/>
          <w:b/>
          <w:color w:val="FF9900"/>
          <w:lang w:val="el-GR"/>
        </w:rPr>
        <w:t>Επάρκειας (ΕΔΑΡ</w:t>
      </w:r>
      <w:r>
        <w:rPr>
          <w:rFonts w:ascii="Arial" w:hAnsi="Arial" w:cs="Arial"/>
          <w:b/>
          <w:color w:val="FF9900"/>
          <w:lang w:val="el-GR"/>
        </w:rPr>
        <w:t>Ε</w:t>
      </w:r>
      <w:r w:rsidRPr="00D17E65">
        <w:rPr>
          <w:rFonts w:ascii="Arial" w:hAnsi="Arial" w:cs="Arial"/>
          <w:b/>
          <w:color w:val="FF9900"/>
          <w:lang w:val="el-GR"/>
        </w:rPr>
        <w:t xml:space="preserve">) και Πυλώνας II Διαδικασία Εποπτικής Εξέτασης και Αξιολόγησης (ΔΕΕΑ) </w:t>
      </w:r>
    </w:p>
    <w:p w14:paraId="7E48F531" w14:textId="77777777" w:rsidR="0056738E" w:rsidRPr="00D17E65" w:rsidRDefault="0056738E" w:rsidP="0056738E">
      <w:pPr>
        <w:spacing w:after="0" w:line="240" w:lineRule="auto"/>
        <w:jc w:val="both"/>
        <w:rPr>
          <w:rFonts w:ascii="Arial" w:eastAsia="Times New Roman" w:hAnsi="Arial" w:cs="Arial"/>
          <w:sz w:val="18"/>
          <w:szCs w:val="20"/>
          <w:lang w:val="el-GR" w:eastAsia="el-GR"/>
        </w:rPr>
      </w:pPr>
      <w:r w:rsidRPr="00D17E65">
        <w:rPr>
          <w:rFonts w:ascii="Arial" w:eastAsia="Times New Roman" w:hAnsi="Arial" w:cs="Arial"/>
          <w:sz w:val="18"/>
          <w:szCs w:val="20"/>
          <w:lang w:val="el-GR" w:eastAsia="el-GR"/>
        </w:rPr>
        <w:t>Το Συγκρότημα ετοιμάζει τις εκθέσεις ΕΔΑΚΕ και ΕΔΑΡ</w:t>
      </w:r>
      <w:r>
        <w:rPr>
          <w:rFonts w:ascii="Arial" w:eastAsia="Times New Roman" w:hAnsi="Arial" w:cs="Arial"/>
          <w:sz w:val="18"/>
          <w:szCs w:val="20"/>
          <w:lang w:val="el-GR" w:eastAsia="el-GR"/>
        </w:rPr>
        <w:t>Ε</w:t>
      </w:r>
      <w:r w:rsidRPr="00D17E65">
        <w:rPr>
          <w:rFonts w:ascii="Arial" w:eastAsia="Times New Roman" w:hAnsi="Arial" w:cs="Arial"/>
          <w:sz w:val="18"/>
          <w:szCs w:val="20"/>
          <w:lang w:val="el-GR" w:eastAsia="el-GR"/>
        </w:rPr>
        <w:t xml:space="preserve"> σε ετήσια βάση. Και οι δύο εκθέσεις για το έτος 202</w:t>
      </w:r>
      <w:r>
        <w:rPr>
          <w:rFonts w:ascii="Arial" w:eastAsia="Times New Roman" w:hAnsi="Arial" w:cs="Arial"/>
          <w:sz w:val="18"/>
          <w:szCs w:val="20"/>
          <w:lang w:val="el-GR" w:eastAsia="el-GR"/>
        </w:rPr>
        <w:t>3</w:t>
      </w:r>
      <w:r w:rsidRPr="00D17E65">
        <w:rPr>
          <w:rFonts w:ascii="Arial" w:eastAsia="Times New Roman" w:hAnsi="Arial" w:cs="Arial"/>
          <w:sz w:val="18"/>
          <w:szCs w:val="20"/>
          <w:lang w:val="el-GR" w:eastAsia="el-GR"/>
        </w:rPr>
        <w:t xml:space="preserve"> έχουν ετοιμαστεί και υποβληθεί στην ΕΚΤ στα τέλη Μαρτίου του 202</w:t>
      </w:r>
      <w:r>
        <w:rPr>
          <w:rFonts w:ascii="Arial" w:eastAsia="Times New Roman" w:hAnsi="Arial" w:cs="Arial"/>
          <w:sz w:val="18"/>
          <w:szCs w:val="20"/>
          <w:lang w:val="el-GR" w:eastAsia="el-GR"/>
        </w:rPr>
        <w:t>4</w:t>
      </w:r>
      <w:r w:rsidRPr="00D17E65">
        <w:rPr>
          <w:rFonts w:ascii="Arial" w:eastAsia="Times New Roman" w:hAnsi="Arial" w:cs="Arial"/>
          <w:sz w:val="18"/>
          <w:szCs w:val="20"/>
          <w:lang w:val="el-GR" w:eastAsia="el-GR"/>
        </w:rPr>
        <w:t xml:space="preserve"> αφότου εγκρίθηκαν από το Διοικητικό Συμβούλιο. Η ΕΔΑΚΕ για το 202</w:t>
      </w:r>
      <w:r>
        <w:rPr>
          <w:rFonts w:ascii="Arial" w:eastAsia="Times New Roman" w:hAnsi="Arial" w:cs="Arial"/>
          <w:sz w:val="18"/>
          <w:szCs w:val="20"/>
          <w:lang w:val="el-GR" w:eastAsia="el-GR"/>
        </w:rPr>
        <w:t>3</w:t>
      </w:r>
      <w:r w:rsidRPr="00D17E65">
        <w:rPr>
          <w:rFonts w:ascii="Arial" w:eastAsia="Times New Roman" w:hAnsi="Arial" w:cs="Arial"/>
          <w:sz w:val="18"/>
          <w:szCs w:val="20"/>
          <w:lang w:val="el-GR" w:eastAsia="el-GR"/>
        </w:rPr>
        <w:t xml:space="preserve"> υπέδειξε ότι το Συγκρότημα διαθέτει επαρκή κεφάλαια και διαθέσιμα μέτρα διαχείρισης κινδύνων για να υποστηρίξει το προφίλ κινδύνου και τις δραστηριότητ</w:t>
      </w:r>
      <w:r>
        <w:rPr>
          <w:rFonts w:ascii="Arial" w:eastAsia="Times New Roman" w:hAnsi="Arial" w:cs="Arial"/>
          <w:sz w:val="18"/>
          <w:szCs w:val="20"/>
          <w:lang w:val="el-GR" w:eastAsia="el-GR"/>
        </w:rPr>
        <w:t>έ</w:t>
      </w:r>
      <w:r w:rsidRPr="00D17E65">
        <w:rPr>
          <w:rFonts w:ascii="Arial" w:eastAsia="Times New Roman" w:hAnsi="Arial" w:cs="Arial"/>
          <w:sz w:val="18"/>
          <w:szCs w:val="20"/>
          <w:lang w:val="el-GR" w:eastAsia="el-GR"/>
        </w:rPr>
        <w:t xml:space="preserve">ς του και να </w:t>
      </w:r>
      <w:r>
        <w:rPr>
          <w:rFonts w:ascii="Arial" w:eastAsia="Times New Roman" w:hAnsi="Arial" w:cs="Arial"/>
          <w:sz w:val="18"/>
          <w:szCs w:val="20"/>
          <w:lang w:val="el-GR" w:eastAsia="el-GR"/>
        </w:rPr>
        <w:t>μπορέσει</w:t>
      </w:r>
      <w:r w:rsidRPr="00D17E65">
        <w:rPr>
          <w:rFonts w:ascii="Arial" w:eastAsia="Times New Roman" w:hAnsi="Arial" w:cs="Arial"/>
          <w:sz w:val="18"/>
          <w:szCs w:val="20"/>
          <w:lang w:val="el-GR" w:eastAsia="el-GR"/>
        </w:rPr>
        <w:t xml:space="preserve"> να ανταποκριθεί στις </w:t>
      </w:r>
      <w:r>
        <w:rPr>
          <w:rFonts w:ascii="Arial" w:eastAsia="Times New Roman" w:hAnsi="Arial" w:cs="Arial"/>
          <w:sz w:val="18"/>
          <w:szCs w:val="20"/>
          <w:lang w:val="el-GR" w:eastAsia="el-GR"/>
        </w:rPr>
        <w:t xml:space="preserve">εποπτικές </w:t>
      </w:r>
      <w:r w:rsidRPr="00D17E65">
        <w:rPr>
          <w:rFonts w:ascii="Arial" w:eastAsia="Times New Roman" w:hAnsi="Arial" w:cs="Arial"/>
          <w:sz w:val="18"/>
          <w:szCs w:val="20"/>
          <w:lang w:val="el-GR" w:eastAsia="el-GR"/>
        </w:rPr>
        <w:t>απαιτήσεις, κάτω από συνήθεις και ακραίες καταστάσεις. Η ΕΔΑΡ</w:t>
      </w:r>
      <w:r>
        <w:rPr>
          <w:rFonts w:ascii="Arial" w:eastAsia="Times New Roman" w:hAnsi="Arial" w:cs="Arial"/>
          <w:sz w:val="18"/>
          <w:szCs w:val="20"/>
          <w:lang w:val="el-GR" w:eastAsia="el-GR"/>
        </w:rPr>
        <w:t>Ε</w:t>
      </w:r>
      <w:r w:rsidRPr="00D17E65">
        <w:rPr>
          <w:rFonts w:ascii="Arial" w:eastAsia="Times New Roman" w:hAnsi="Arial" w:cs="Arial"/>
          <w:sz w:val="18"/>
          <w:szCs w:val="20"/>
          <w:lang w:val="el-GR" w:eastAsia="el-GR"/>
        </w:rPr>
        <w:t xml:space="preserve"> για το 202</w:t>
      </w:r>
      <w:r>
        <w:rPr>
          <w:rFonts w:ascii="Arial" w:eastAsia="Times New Roman" w:hAnsi="Arial" w:cs="Arial"/>
          <w:sz w:val="18"/>
          <w:szCs w:val="20"/>
          <w:lang w:val="el-GR" w:eastAsia="el-GR"/>
        </w:rPr>
        <w:t>3</w:t>
      </w:r>
      <w:r w:rsidRPr="00D17E65">
        <w:rPr>
          <w:rFonts w:ascii="Arial" w:eastAsia="Times New Roman" w:hAnsi="Arial" w:cs="Arial"/>
          <w:sz w:val="18"/>
          <w:szCs w:val="20"/>
          <w:lang w:val="el-GR" w:eastAsia="el-GR"/>
        </w:rPr>
        <w:t xml:space="preserve"> </w:t>
      </w:r>
      <w:r>
        <w:rPr>
          <w:rFonts w:ascii="Arial" w:eastAsia="Times New Roman" w:hAnsi="Arial" w:cs="Arial"/>
          <w:sz w:val="18"/>
          <w:szCs w:val="20"/>
          <w:lang w:val="el-GR" w:eastAsia="el-GR"/>
        </w:rPr>
        <w:t>υπέ</w:t>
      </w:r>
      <w:r w:rsidRPr="00D17E65">
        <w:rPr>
          <w:rFonts w:ascii="Arial" w:eastAsia="Times New Roman" w:hAnsi="Arial" w:cs="Arial"/>
          <w:sz w:val="18"/>
          <w:szCs w:val="20"/>
          <w:lang w:val="el-GR" w:eastAsia="el-GR"/>
        </w:rPr>
        <w:t>δειξε ότι το Συγκρότημα διατηρεί αποθέματα ρευστότητας τα οποία είναι επαρκή για να διασφαλίσουν την ικανότητά του να τηρεί τις υποχρεώσεις του όπως προκύπτουν κάτω από συνήθεις και ακραίες καταστάσεις.</w:t>
      </w:r>
    </w:p>
    <w:p w14:paraId="4FF36764" w14:textId="77777777" w:rsidR="0056738E" w:rsidRPr="00D17E65" w:rsidRDefault="0056738E" w:rsidP="0056738E">
      <w:pPr>
        <w:spacing w:after="0" w:line="240" w:lineRule="auto"/>
        <w:jc w:val="both"/>
        <w:rPr>
          <w:rFonts w:ascii="Arial" w:eastAsia="Times New Roman" w:hAnsi="Arial" w:cs="Arial"/>
          <w:sz w:val="18"/>
          <w:szCs w:val="20"/>
          <w:lang w:val="el-GR" w:eastAsia="el-GR"/>
        </w:rPr>
      </w:pPr>
    </w:p>
    <w:p w14:paraId="47D23448" w14:textId="77777777" w:rsidR="0056738E" w:rsidRPr="001C3AA9" w:rsidRDefault="0056738E" w:rsidP="0056738E">
      <w:pPr>
        <w:spacing w:after="0" w:line="240" w:lineRule="auto"/>
        <w:jc w:val="both"/>
        <w:rPr>
          <w:rFonts w:ascii="Arial" w:eastAsia="Times New Roman" w:hAnsi="Arial" w:cs="Arial"/>
          <w:b/>
          <w:bCs/>
          <w:sz w:val="18"/>
          <w:szCs w:val="20"/>
          <w:lang w:val="el-GR" w:eastAsia="el-GR"/>
        </w:rPr>
      </w:pPr>
      <w:r w:rsidRPr="00D17E65">
        <w:rPr>
          <w:rFonts w:ascii="Arial" w:eastAsia="Times New Roman" w:hAnsi="Arial" w:cs="Arial"/>
          <w:sz w:val="18"/>
          <w:szCs w:val="20"/>
          <w:lang w:val="el-GR" w:eastAsia="el-GR"/>
        </w:rPr>
        <w:t>Το Συγκρότημα ετοιμάζει τριμηνιαί</w:t>
      </w:r>
      <w:r>
        <w:rPr>
          <w:rFonts w:ascii="Arial" w:eastAsia="Times New Roman" w:hAnsi="Arial" w:cs="Arial"/>
          <w:sz w:val="18"/>
          <w:szCs w:val="20"/>
          <w:lang w:val="el-GR" w:eastAsia="el-GR"/>
        </w:rPr>
        <w:t>ες</w:t>
      </w:r>
      <w:r w:rsidRPr="00D17E65">
        <w:rPr>
          <w:rFonts w:ascii="Arial" w:eastAsia="Times New Roman" w:hAnsi="Arial" w:cs="Arial"/>
          <w:sz w:val="18"/>
          <w:szCs w:val="20"/>
          <w:lang w:val="el-GR" w:eastAsia="el-GR"/>
        </w:rPr>
        <w:t xml:space="preserve"> αναθε</w:t>
      </w:r>
      <w:r>
        <w:rPr>
          <w:rFonts w:ascii="Arial" w:eastAsia="Times New Roman" w:hAnsi="Arial" w:cs="Arial"/>
          <w:sz w:val="18"/>
          <w:szCs w:val="20"/>
          <w:lang w:val="el-GR" w:eastAsia="el-GR"/>
        </w:rPr>
        <w:t>ω</w:t>
      </w:r>
      <w:r w:rsidRPr="00D17E65">
        <w:rPr>
          <w:rFonts w:ascii="Arial" w:eastAsia="Times New Roman" w:hAnsi="Arial" w:cs="Arial"/>
          <w:sz w:val="18"/>
          <w:szCs w:val="20"/>
          <w:lang w:val="el-GR" w:eastAsia="el-GR"/>
        </w:rPr>
        <w:t>ρ</w:t>
      </w:r>
      <w:r>
        <w:rPr>
          <w:rFonts w:ascii="Arial" w:eastAsia="Times New Roman" w:hAnsi="Arial" w:cs="Arial"/>
          <w:sz w:val="18"/>
          <w:szCs w:val="20"/>
          <w:lang w:val="el-GR" w:eastAsia="el-GR"/>
        </w:rPr>
        <w:t>ή</w:t>
      </w:r>
      <w:r w:rsidRPr="00D17E65">
        <w:rPr>
          <w:rFonts w:ascii="Arial" w:eastAsia="Times New Roman" w:hAnsi="Arial" w:cs="Arial"/>
          <w:sz w:val="18"/>
          <w:szCs w:val="20"/>
          <w:lang w:val="el-GR" w:eastAsia="el-GR"/>
        </w:rPr>
        <w:t>σ</w:t>
      </w:r>
      <w:r>
        <w:rPr>
          <w:rFonts w:ascii="Arial" w:eastAsia="Times New Roman" w:hAnsi="Arial" w:cs="Arial"/>
          <w:sz w:val="18"/>
          <w:szCs w:val="20"/>
          <w:lang w:val="el-GR" w:eastAsia="el-GR"/>
        </w:rPr>
        <w:t>εις</w:t>
      </w:r>
      <w:r w:rsidRPr="00D17E65">
        <w:rPr>
          <w:rFonts w:ascii="Arial" w:eastAsia="Times New Roman" w:hAnsi="Arial" w:cs="Arial"/>
          <w:sz w:val="18"/>
          <w:szCs w:val="20"/>
          <w:lang w:val="el-GR" w:eastAsia="el-GR"/>
        </w:rPr>
        <w:t xml:space="preserve"> των αποτελεσμάτων της ΕΔΑΚΕ καθώς και εκτάκτως όταν χρειάζεται, οι οποίες υποβάλλονται στην Επιτροπή Διαχείρισης Περιουσιακών Στοιχείων και Υποχρεώσεων (ALCO) και στην Επιτροπή</w:t>
      </w:r>
      <w:r>
        <w:rPr>
          <w:rFonts w:ascii="Arial" w:eastAsia="Times New Roman" w:hAnsi="Arial" w:cs="Arial"/>
          <w:sz w:val="18"/>
          <w:szCs w:val="20"/>
          <w:lang w:val="el-GR" w:eastAsia="el-GR"/>
        </w:rPr>
        <w:t xml:space="preserve"> Διαχείρισης</w:t>
      </w:r>
      <w:r w:rsidRPr="00D17E65">
        <w:rPr>
          <w:rFonts w:ascii="Arial" w:eastAsia="Times New Roman" w:hAnsi="Arial" w:cs="Arial"/>
          <w:sz w:val="18"/>
          <w:szCs w:val="20"/>
          <w:lang w:val="el-GR" w:eastAsia="el-GR"/>
        </w:rPr>
        <w:t xml:space="preserve"> Κινδύνων</w:t>
      </w:r>
      <w:r>
        <w:rPr>
          <w:rFonts w:ascii="Arial" w:eastAsia="Times New Roman" w:hAnsi="Arial" w:cs="Arial"/>
          <w:sz w:val="18"/>
          <w:szCs w:val="20"/>
          <w:lang w:val="el-GR" w:eastAsia="el-GR"/>
        </w:rPr>
        <w:t xml:space="preserve"> (ΕΔΚ)</w:t>
      </w:r>
      <w:r w:rsidRPr="00D17E65">
        <w:rPr>
          <w:rFonts w:ascii="Arial" w:eastAsia="Times New Roman" w:hAnsi="Arial" w:cs="Arial"/>
          <w:sz w:val="18"/>
          <w:szCs w:val="20"/>
          <w:lang w:val="el-GR" w:eastAsia="el-GR"/>
        </w:rPr>
        <w:t xml:space="preserve"> του Διοικητικού Συμβουλίου, λαμβάνοντας υπόψη τις τελευταίες πραγματικές και προβλεπόμενες πληροφορίες. Κατά την διάρκεια της τριμηνιαίας αναθεώρησης, το προφίλ κινδύνου του Συγκροτήματος αναθεωρείται και τυχόν ουσιώδεις μεταβολές/εξελίξεις από την ετήσια άσκηση της ΕΔΑΚΕ αξιολογούνται ως προς την κεφαλαιακή επάρκεια.</w:t>
      </w:r>
    </w:p>
    <w:p w14:paraId="662C7689" w14:textId="77777777" w:rsidR="0056738E" w:rsidRPr="00F9342A" w:rsidRDefault="0056738E" w:rsidP="0056738E">
      <w:pPr>
        <w:spacing w:after="0" w:line="240" w:lineRule="auto"/>
        <w:jc w:val="both"/>
        <w:rPr>
          <w:rFonts w:ascii="Arial" w:eastAsia="Times New Roman" w:hAnsi="Arial" w:cs="Arial"/>
          <w:sz w:val="18"/>
          <w:szCs w:val="20"/>
          <w:lang w:val="el-GR" w:eastAsia="el-GR"/>
        </w:rPr>
      </w:pPr>
    </w:p>
    <w:p w14:paraId="52CC5171" w14:textId="77777777" w:rsidR="0056738E" w:rsidRPr="00B54D18" w:rsidRDefault="0056738E" w:rsidP="0056738E">
      <w:pPr>
        <w:spacing w:after="0" w:line="240" w:lineRule="auto"/>
        <w:jc w:val="both"/>
        <w:rPr>
          <w:rFonts w:ascii="Arial" w:eastAsia="Times New Roman" w:hAnsi="Arial" w:cs="Arial"/>
          <w:sz w:val="18"/>
          <w:szCs w:val="20"/>
          <w:lang w:val="el-GR" w:eastAsia="el-GR"/>
        </w:rPr>
      </w:pPr>
      <w:r w:rsidRPr="00B54D18">
        <w:rPr>
          <w:rFonts w:ascii="Arial" w:eastAsia="Times New Roman" w:hAnsi="Arial" w:cs="Arial"/>
          <w:sz w:val="18"/>
          <w:szCs w:val="20"/>
          <w:lang w:val="el-GR" w:eastAsia="el-GR"/>
        </w:rPr>
        <w:t>Το Συγκρότημα ετοιμάζει τριμηνιαί</w:t>
      </w:r>
      <w:r>
        <w:rPr>
          <w:rFonts w:ascii="Arial" w:eastAsia="Times New Roman" w:hAnsi="Arial" w:cs="Arial"/>
          <w:sz w:val="18"/>
          <w:szCs w:val="20"/>
          <w:lang w:val="el-GR" w:eastAsia="el-GR"/>
        </w:rPr>
        <w:t>ες</w:t>
      </w:r>
      <w:r w:rsidRPr="00B54D18">
        <w:rPr>
          <w:rFonts w:ascii="Arial" w:eastAsia="Times New Roman" w:hAnsi="Arial" w:cs="Arial"/>
          <w:sz w:val="18"/>
          <w:szCs w:val="20"/>
          <w:lang w:val="el-GR" w:eastAsia="el-GR"/>
        </w:rPr>
        <w:t xml:space="preserve"> αναθε</w:t>
      </w:r>
      <w:r>
        <w:rPr>
          <w:rFonts w:ascii="Arial" w:eastAsia="Times New Roman" w:hAnsi="Arial" w:cs="Arial"/>
          <w:sz w:val="18"/>
          <w:szCs w:val="20"/>
          <w:lang w:val="el-GR" w:eastAsia="el-GR"/>
        </w:rPr>
        <w:t>ω</w:t>
      </w:r>
      <w:r w:rsidRPr="00B54D18">
        <w:rPr>
          <w:rFonts w:ascii="Arial" w:eastAsia="Times New Roman" w:hAnsi="Arial" w:cs="Arial"/>
          <w:sz w:val="18"/>
          <w:szCs w:val="20"/>
          <w:lang w:val="el-GR" w:eastAsia="el-GR"/>
        </w:rPr>
        <w:t>ρ</w:t>
      </w:r>
      <w:r>
        <w:rPr>
          <w:rFonts w:ascii="Arial" w:eastAsia="Times New Roman" w:hAnsi="Arial" w:cs="Arial"/>
          <w:sz w:val="18"/>
          <w:szCs w:val="20"/>
          <w:lang w:val="el-GR" w:eastAsia="el-GR"/>
        </w:rPr>
        <w:t>ή</w:t>
      </w:r>
      <w:r w:rsidRPr="00B54D18">
        <w:rPr>
          <w:rFonts w:ascii="Arial" w:eastAsia="Times New Roman" w:hAnsi="Arial" w:cs="Arial"/>
          <w:sz w:val="18"/>
          <w:szCs w:val="20"/>
          <w:lang w:val="el-GR" w:eastAsia="el-GR"/>
        </w:rPr>
        <w:t>σ</w:t>
      </w:r>
      <w:r>
        <w:rPr>
          <w:rFonts w:ascii="Arial" w:eastAsia="Times New Roman" w:hAnsi="Arial" w:cs="Arial"/>
          <w:sz w:val="18"/>
          <w:szCs w:val="20"/>
          <w:lang w:val="el-GR" w:eastAsia="el-GR"/>
        </w:rPr>
        <w:t>εις των αποτελεσμάτων</w:t>
      </w:r>
      <w:r w:rsidRPr="00B54D18">
        <w:rPr>
          <w:rFonts w:ascii="Arial" w:eastAsia="Times New Roman" w:hAnsi="Arial" w:cs="Arial"/>
          <w:sz w:val="18"/>
          <w:szCs w:val="20"/>
          <w:lang w:val="el-GR" w:eastAsia="el-GR"/>
        </w:rPr>
        <w:t xml:space="preserve"> της ΕΔΑΡ</w:t>
      </w:r>
      <w:r>
        <w:rPr>
          <w:rFonts w:ascii="Arial" w:eastAsia="Times New Roman" w:hAnsi="Arial" w:cs="Arial"/>
          <w:sz w:val="18"/>
          <w:szCs w:val="20"/>
          <w:lang w:val="el-GR" w:eastAsia="el-GR"/>
        </w:rPr>
        <w:t>Ε</w:t>
      </w:r>
      <w:r w:rsidRPr="00B54D18">
        <w:rPr>
          <w:rFonts w:ascii="Arial" w:eastAsia="Times New Roman" w:hAnsi="Arial" w:cs="Arial"/>
          <w:sz w:val="18"/>
          <w:szCs w:val="20"/>
          <w:lang w:val="el-GR" w:eastAsia="el-GR"/>
        </w:rPr>
        <w:t xml:space="preserve">, μέσω τριμηνιαίων ασκήσεων προσομοίωσης ακραίων καταστάσεων ρευστότητας, οι οποίες υποβάλλονται στην Επιτροπή Διαχείρισης Περιουσιακών Στοιχείων και Υποχρεώσεων (ALCO) και στην </w:t>
      </w:r>
      <w:r w:rsidRPr="00D17E65">
        <w:rPr>
          <w:rFonts w:ascii="Arial" w:eastAsia="Times New Roman" w:hAnsi="Arial" w:cs="Arial"/>
          <w:sz w:val="18"/>
          <w:szCs w:val="20"/>
          <w:lang w:val="el-GR" w:eastAsia="el-GR"/>
        </w:rPr>
        <w:t>Επιτροπή</w:t>
      </w:r>
      <w:r>
        <w:rPr>
          <w:rFonts w:ascii="Arial" w:eastAsia="Times New Roman" w:hAnsi="Arial" w:cs="Arial"/>
          <w:sz w:val="18"/>
          <w:szCs w:val="20"/>
          <w:lang w:val="el-GR" w:eastAsia="el-GR"/>
        </w:rPr>
        <w:t xml:space="preserve"> Διαχείρισης</w:t>
      </w:r>
      <w:r w:rsidRPr="00D17E65">
        <w:rPr>
          <w:rFonts w:ascii="Arial" w:eastAsia="Times New Roman" w:hAnsi="Arial" w:cs="Arial"/>
          <w:sz w:val="18"/>
          <w:szCs w:val="20"/>
          <w:lang w:val="el-GR" w:eastAsia="el-GR"/>
        </w:rPr>
        <w:t xml:space="preserve"> Κινδύνων</w:t>
      </w:r>
      <w:r>
        <w:rPr>
          <w:rFonts w:ascii="Arial" w:eastAsia="Times New Roman" w:hAnsi="Arial" w:cs="Arial"/>
          <w:sz w:val="18"/>
          <w:szCs w:val="20"/>
          <w:lang w:val="el-GR" w:eastAsia="el-GR"/>
        </w:rPr>
        <w:t xml:space="preserve"> (ΕΔΚ)</w:t>
      </w:r>
      <w:r w:rsidRPr="00B54D18">
        <w:rPr>
          <w:rFonts w:ascii="Arial" w:eastAsia="Times New Roman" w:hAnsi="Arial" w:cs="Arial"/>
          <w:sz w:val="18"/>
          <w:szCs w:val="20"/>
          <w:lang w:val="el-GR" w:eastAsia="el-GR"/>
        </w:rPr>
        <w:t xml:space="preserve"> του Διοικητικού Συμβουλίου</w:t>
      </w:r>
      <w:r>
        <w:rPr>
          <w:rFonts w:ascii="Arial" w:eastAsia="Times New Roman" w:hAnsi="Arial" w:cs="Arial"/>
          <w:sz w:val="18"/>
          <w:szCs w:val="20"/>
          <w:lang w:val="el-GR" w:eastAsia="el-GR"/>
        </w:rPr>
        <w:t>,</w:t>
      </w:r>
      <w:r w:rsidRPr="00B54D18" w:rsidDel="000B5CBC">
        <w:rPr>
          <w:rFonts w:ascii="Arial" w:eastAsia="Times New Roman" w:hAnsi="Arial" w:cs="Arial"/>
          <w:sz w:val="18"/>
          <w:szCs w:val="20"/>
          <w:lang w:val="el-GR" w:eastAsia="el-GR"/>
        </w:rPr>
        <w:t xml:space="preserve"> </w:t>
      </w:r>
      <w:r w:rsidRPr="00B54D18">
        <w:rPr>
          <w:rFonts w:ascii="Arial" w:eastAsia="Times New Roman" w:hAnsi="Arial" w:cs="Arial"/>
          <w:sz w:val="18"/>
          <w:szCs w:val="20"/>
          <w:lang w:val="el-GR" w:eastAsia="el-GR"/>
        </w:rPr>
        <w:t>λαμβάνον</w:t>
      </w:r>
      <w:r>
        <w:rPr>
          <w:rFonts w:ascii="Arial" w:eastAsia="Times New Roman" w:hAnsi="Arial" w:cs="Arial"/>
          <w:sz w:val="18"/>
          <w:szCs w:val="20"/>
          <w:lang w:val="el-GR" w:eastAsia="el-GR"/>
        </w:rPr>
        <w:t>τας</w:t>
      </w:r>
      <w:r w:rsidRPr="00B54D18">
        <w:rPr>
          <w:rFonts w:ascii="Arial" w:eastAsia="Times New Roman" w:hAnsi="Arial" w:cs="Arial"/>
          <w:sz w:val="18"/>
          <w:szCs w:val="20"/>
          <w:lang w:val="el-GR" w:eastAsia="el-GR"/>
        </w:rPr>
        <w:t xml:space="preserve"> υπόψη </w:t>
      </w:r>
      <w:r>
        <w:rPr>
          <w:rFonts w:ascii="Arial" w:eastAsia="Times New Roman" w:hAnsi="Arial" w:cs="Arial"/>
          <w:sz w:val="18"/>
          <w:szCs w:val="20"/>
          <w:lang w:val="el-GR" w:eastAsia="el-GR"/>
        </w:rPr>
        <w:t xml:space="preserve">τις τελευταίες </w:t>
      </w:r>
      <w:r w:rsidRPr="00B54D18">
        <w:rPr>
          <w:rFonts w:ascii="Arial" w:eastAsia="Times New Roman" w:hAnsi="Arial" w:cs="Arial"/>
          <w:sz w:val="18"/>
          <w:szCs w:val="20"/>
          <w:lang w:val="el-GR" w:eastAsia="el-GR"/>
        </w:rPr>
        <w:t>πραγματικές και προβλεπόμενες πληροφορίες. Αξιολογούνται τυχόν ουσιώδεις μεταβολές από το τέλος του έτους σε σχέση με τη ρευστότητα και τη χρηματοδότηση.</w:t>
      </w:r>
    </w:p>
    <w:p w14:paraId="035D3691" w14:textId="77777777" w:rsidR="0056738E" w:rsidRDefault="0056738E" w:rsidP="0056738E">
      <w:pPr>
        <w:spacing w:after="0" w:line="240" w:lineRule="auto"/>
        <w:jc w:val="both"/>
        <w:rPr>
          <w:rFonts w:ascii="Arial" w:eastAsia="Times New Roman" w:hAnsi="Arial" w:cs="Arial"/>
          <w:sz w:val="18"/>
          <w:szCs w:val="20"/>
          <w:lang w:val="el-GR" w:eastAsia="el-GR"/>
        </w:rPr>
      </w:pPr>
    </w:p>
    <w:p w14:paraId="2A031C56" w14:textId="77777777" w:rsidR="0056738E" w:rsidRDefault="0056738E" w:rsidP="0056738E">
      <w:pPr>
        <w:spacing w:after="0" w:line="240" w:lineRule="auto"/>
        <w:jc w:val="both"/>
        <w:rPr>
          <w:rFonts w:ascii="Arial" w:eastAsia="Times New Roman" w:hAnsi="Arial" w:cs="Arial"/>
          <w:sz w:val="18"/>
          <w:szCs w:val="20"/>
          <w:lang w:val="el-GR" w:eastAsia="el-GR"/>
        </w:rPr>
      </w:pPr>
      <w:r w:rsidRPr="00B54D18">
        <w:rPr>
          <w:rFonts w:ascii="Arial" w:eastAsia="Times New Roman" w:hAnsi="Arial" w:cs="Arial"/>
          <w:sz w:val="18"/>
          <w:szCs w:val="20"/>
          <w:lang w:val="el-GR" w:eastAsia="el-GR"/>
        </w:rPr>
        <w:t xml:space="preserve">Η ΕΚΤ, στο πλαίσιο του εποπτικού της ρόλου, διεξάγει την ΔΕΕΑ καθώς και άλλους ελέγχους (επιτόπιους/ εξ αποστάσεως/ </w:t>
      </w:r>
      <w:proofErr w:type="spellStart"/>
      <w:r w:rsidRPr="00B54D18">
        <w:rPr>
          <w:rFonts w:ascii="Arial" w:eastAsia="Times New Roman" w:hAnsi="Arial" w:cs="Arial"/>
          <w:sz w:val="18"/>
          <w:szCs w:val="20"/>
          <w:lang w:val="el-GR" w:eastAsia="el-GR"/>
        </w:rPr>
        <w:t>στοχευόμενους</w:t>
      </w:r>
      <w:proofErr w:type="spellEnd"/>
      <w:r w:rsidRPr="00B54D18">
        <w:rPr>
          <w:rFonts w:ascii="Arial" w:eastAsia="Times New Roman" w:hAnsi="Arial" w:cs="Arial"/>
          <w:sz w:val="18"/>
          <w:szCs w:val="20"/>
          <w:lang w:val="el-GR" w:eastAsia="el-GR"/>
        </w:rPr>
        <w:t>/ εις βάθος αξιολογήσεις) στο Συγκρότημα. Η ΔΕΕΑ είναι μια ολιστική αξιολόγηση, που αξιολογεί μεταξύ άλλων, το επιχειρηματικό μοντέλο του Συγκροτήματος, την εσωτερική διακυβέρνηση και το σύστημα ελέγχου, τους κινδύνους για τα κεφάλαια και την επάρκεια των κεφαλαίων για</w:t>
      </w:r>
      <w:r>
        <w:rPr>
          <w:rFonts w:ascii="Arial" w:eastAsia="Times New Roman" w:hAnsi="Arial" w:cs="Arial"/>
          <w:sz w:val="18"/>
          <w:szCs w:val="20"/>
          <w:lang w:val="el-GR" w:eastAsia="el-GR"/>
        </w:rPr>
        <w:t xml:space="preserve"> </w:t>
      </w:r>
      <w:r w:rsidRPr="00B54D18">
        <w:rPr>
          <w:rFonts w:ascii="Arial" w:eastAsia="Times New Roman" w:hAnsi="Arial" w:cs="Arial"/>
          <w:sz w:val="18"/>
          <w:szCs w:val="20"/>
          <w:lang w:val="el-GR" w:eastAsia="el-GR"/>
        </w:rPr>
        <w:t>την κάλυψη αυτών των κινδύνων</w:t>
      </w:r>
      <w:r>
        <w:rPr>
          <w:rFonts w:ascii="Arial" w:eastAsia="Times New Roman" w:hAnsi="Arial" w:cs="Arial"/>
          <w:sz w:val="18"/>
          <w:szCs w:val="20"/>
          <w:lang w:val="el-GR" w:eastAsia="el-GR"/>
        </w:rPr>
        <w:t xml:space="preserve"> και τους</w:t>
      </w:r>
    </w:p>
    <w:p w14:paraId="5462E9E8" w14:textId="77777777" w:rsidR="0056738E" w:rsidRPr="00D17E65" w:rsidRDefault="0056738E" w:rsidP="0056738E">
      <w:pPr>
        <w:spacing w:after="0" w:line="240" w:lineRule="auto"/>
        <w:jc w:val="both"/>
        <w:rPr>
          <w:rFonts w:ascii="Arial" w:eastAsia="Times New Roman" w:hAnsi="Arial" w:cs="Arial"/>
          <w:sz w:val="18"/>
          <w:szCs w:val="20"/>
          <w:lang w:val="el-GR" w:eastAsia="el-GR"/>
        </w:rPr>
      </w:pPr>
      <w:r w:rsidRPr="00D17E65">
        <w:rPr>
          <w:rFonts w:ascii="Arial" w:eastAsia="Times New Roman" w:hAnsi="Arial" w:cs="Arial"/>
          <w:sz w:val="18"/>
          <w:szCs w:val="20"/>
          <w:lang w:val="el-GR" w:eastAsia="el-GR"/>
        </w:rPr>
        <w:t xml:space="preserve">κινδύνους ρευστότητας και την επάρκεια της ρευστότητας για την κάλυψη αυτών των κινδύνων. Ο στόχος της ΔΕΕΑ είναι να σχηματίσει η ΕΚΤ μια </w:t>
      </w:r>
      <w:proofErr w:type="spellStart"/>
      <w:r w:rsidRPr="00D17E65">
        <w:rPr>
          <w:rFonts w:ascii="Arial" w:eastAsia="Times New Roman" w:hAnsi="Arial" w:cs="Arial"/>
          <w:sz w:val="18"/>
          <w:szCs w:val="20"/>
          <w:lang w:val="el-GR" w:eastAsia="el-GR"/>
        </w:rPr>
        <w:t>επικαιροποιημένη</w:t>
      </w:r>
      <w:proofErr w:type="spellEnd"/>
      <w:r w:rsidRPr="00D17E65">
        <w:rPr>
          <w:rFonts w:ascii="Arial" w:eastAsia="Times New Roman" w:hAnsi="Arial" w:cs="Arial"/>
          <w:sz w:val="18"/>
          <w:szCs w:val="20"/>
          <w:lang w:val="el-GR" w:eastAsia="el-GR"/>
        </w:rPr>
        <w:t xml:space="preserve"> εποπτική άποψη όσον αφορά τους κινδύνους και τη βιωσιμότητα του Συγκροτήματος και να αποτελέσει τη βάση για εποπτικά μέτρα και διάλογο με το Συγκρότημα. Ως αποτέλεσμα αυτών των εποπτικών διαδικασιών, θα μπορούσαν να επιβληθούν στο Συγκρότημα</w:t>
      </w:r>
      <w:r w:rsidRPr="00D17E65" w:rsidDel="00715DF8">
        <w:rPr>
          <w:rFonts w:ascii="Arial" w:eastAsia="Times New Roman" w:hAnsi="Arial" w:cs="Arial"/>
          <w:sz w:val="18"/>
          <w:szCs w:val="20"/>
          <w:lang w:val="el-GR" w:eastAsia="el-GR"/>
        </w:rPr>
        <w:t xml:space="preserve"> </w:t>
      </w:r>
      <w:r w:rsidRPr="00D17E65">
        <w:rPr>
          <w:rFonts w:ascii="Arial" w:eastAsia="Times New Roman" w:hAnsi="Arial" w:cs="Arial"/>
          <w:sz w:val="18"/>
          <w:szCs w:val="20"/>
          <w:lang w:val="el-GR" w:eastAsia="el-GR"/>
        </w:rPr>
        <w:t>πρόσθετες απαιτήσεις για κεφάλαια και άλλες απαιτήσεις, συμπεριλαμβανομένης της αναθεώρησης του επιπέδου των συμπληρωματικών κεφαλαίων του Πυλώνα ΙΙ, καθώς η αξιολόγηση των κεφαλαιακών απαιτήσεων του Πυλώνα II γίνεται σε συγκεκριμένη χρονική στιγμή και συνεπώς υπόκειται σε αλλαγές με την πάροδο του χρόνου.</w:t>
      </w:r>
    </w:p>
    <w:p w14:paraId="71B43AE0" w14:textId="77777777" w:rsidR="0056738E" w:rsidRPr="0037653C" w:rsidRDefault="0056738E" w:rsidP="0056738E">
      <w:pPr>
        <w:spacing w:after="0" w:line="240" w:lineRule="auto"/>
        <w:jc w:val="both"/>
        <w:rPr>
          <w:rFonts w:ascii="Arial" w:eastAsia="Times New Roman" w:hAnsi="Arial" w:cs="Arial"/>
          <w:sz w:val="18"/>
          <w:szCs w:val="20"/>
          <w:lang w:val="el-GR" w:eastAsia="el-GR"/>
        </w:rPr>
      </w:pPr>
    </w:p>
    <w:p w14:paraId="2A439C29" w14:textId="77777777" w:rsidR="0056738E" w:rsidRPr="00D17E65" w:rsidRDefault="0056738E" w:rsidP="0056738E">
      <w:pPr>
        <w:spacing w:after="0" w:line="360" w:lineRule="auto"/>
        <w:ind w:left="992" w:hanging="992"/>
        <w:jc w:val="both"/>
        <w:rPr>
          <w:rFonts w:ascii="Arial" w:hAnsi="Arial" w:cs="Arial"/>
          <w:b/>
          <w:color w:val="FF9900"/>
          <w:szCs w:val="18"/>
          <w:lang w:val="el-GR"/>
        </w:rPr>
      </w:pPr>
      <w:r w:rsidRPr="00D17E65">
        <w:rPr>
          <w:rFonts w:ascii="Arial" w:hAnsi="Arial" w:cs="Arial"/>
          <w:b/>
          <w:color w:val="FF9900"/>
          <w:szCs w:val="18"/>
          <w:lang w:val="el-GR"/>
        </w:rPr>
        <w:t>Ζ.4        Ρύθμιση Ρευστότητας</w:t>
      </w:r>
    </w:p>
    <w:p w14:paraId="7ECAA33D" w14:textId="77777777" w:rsidR="0056738E" w:rsidRPr="00D17E65" w:rsidRDefault="0056738E" w:rsidP="0056738E">
      <w:pPr>
        <w:autoSpaceDE w:val="0"/>
        <w:autoSpaceDN w:val="0"/>
        <w:spacing w:after="0" w:line="240" w:lineRule="auto"/>
        <w:jc w:val="both"/>
        <w:rPr>
          <w:rFonts w:ascii="Arial" w:eastAsia="Times New Roman" w:hAnsi="Arial" w:cs="Arial"/>
          <w:sz w:val="18"/>
          <w:szCs w:val="20"/>
          <w:lang w:val="el-GR" w:eastAsia="el-GR"/>
        </w:rPr>
      </w:pPr>
      <w:r w:rsidRPr="00D17E65">
        <w:rPr>
          <w:rFonts w:ascii="Arial" w:eastAsia="Times New Roman" w:hAnsi="Arial" w:cs="Arial"/>
          <w:sz w:val="18"/>
          <w:szCs w:val="20"/>
          <w:lang w:val="el-GR" w:eastAsia="el-GR"/>
        </w:rPr>
        <w:t xml:space="preserve">Το Συγκρότημα πρέπει να συμμορφώνεται με τις πρόνοιες του Δείκτη Κάλυψης Ρευστότητας (ΔΚΡ) σύμφωνα με την Οδηγία Κεφαλαιακών Απαιτήσεων IV (CRD IV) του Κανονισμού Κεφαλαιακών Απαιτήσεων (CRR) (συμπληρωματικός κατ’ εξουσιοδότηση Κανονισμός (ΕΕ) 2015/61), με ελάχιστη απαίτηση ύψους 100%. Το Συγκρότημα πρέπει επίσης να συμμορφώνεται με το Δείκτη Καθαρής Σταθερής Χρηματοδότησης (ΔΚΣΧ) όπως υπολογίζεται στη βάση του Κανονισμού Κεφαλαιακών Απαιτήσεων ΙΙ (CRR II), με ελάχιστη απαίτηση ύψους 100%. </w:t>
      </w:r>
    </w:p>
    <w:p w14:paraId="3EE54CE7" w14:textId="77777777" w:rsidR="0056738E" w:rsidRPr="00D17E65" w:rsidRDefault="0056738E" w:rsidP="0056738E">
      <w:pPr>
        <w:spacing w:after="0" w:line="240" w:lineRule="auto"/>
        <w:jc w:val="both"/>
        <w:rPr>
          <w:rFonts w:ascii="Arial" w:eastAsia="Times New Roman" w:hAnsi="Arial" w:cs="Arial"/>
          <w:sz w:val="18"/>
          <w:szCs w:val="20"/>
          <w:lang w:val="el-GR" w:eastAsia="el-GR"/>
        </w:rPr>
      </w:pPr>
      <w:r w:rsidRPr="00D17E65">
        <w:rPr>
          <w:rFonts w:ascii="Arial" w:eastAsia="Times New Roman" w:hAnsi="Arial" w:cs="Arial"/>
          <w:sz w:val="18"/>
          <w:szCs w:val="20"/>
          <w:lang w:val="el-GR" w:eastAsia="el-GR"/>
        </w:rPr>
        <w:t xml:space="preserve"> </w:t>
      </w:r>
    </w:p>
    <w:p w14:paraId="7DC40990" w14:textId="77777777" w:rsidR="0056738E" w:rsidRPr="00D17E65" w:rsidRDefault="0056738E" w:rsidP="0056738E">
      <w:pPr>
        <w:shd w:val="clear" w:color="auto" w:fill="FFFFFF" w:themeFill="background1"/>
        <w:spacing w:after="0" w:line="240" w:lineRule="auto"/>
        <w:jc w:val="both"/>
        <w:textAlignment w:val="top"/>
        <w:rPr>
          <w:rFonts w:ascii="Arial" w:eastAsia="Times New Roman" w:hAnsi="Arial" w:cs="Arial"/>
          <w:sz w:val="18"/>
          <w:szCs w:val="20"/>
          <w:lang w:val="el-GR" w:eastAsia="el-GR"/>
        </w:rPr>
      </w:pPr>
      <w:r w:rsidRPr="00D17E65">
        <w:rPr>
          <w:rFonts w:ascii="Arial" w:eastAsia="Times New Roman" w:hAnsi="Arial" w:cs="Arial"/>
          <w:sz w:val="18"/>
          <w:szCs w:val="20"/>
          <w:lang w:val="el-GR" w:eastAsia="el-GR"/>
        </w:rPr>
        <w:t xml:space="preserve">O ΔΚΡ έχει σχεδιαστεί για να εστιάσει στη βραχυπρόθεσμη ανθεκτικότητα του προφίλ του Συγκροτήματος αναφορικά με τον κίνδυνο ρευστότητας, διασφαλίζοντας ότι το Συγκρότημα διαθέτει επαρκή υψηλής ποιότητας ρευστά διαθέσιμα για να επιβιώσει σε ασκήσεις προσομοίωσης ακραίων καταστάσεων διάρκειας 30 ημερών. Ο ΔΚΣΧ αναπτύχθηκε για την προώθηση μιας βιώσιμης δομής </w:t>
      </w:r>
      <w:r>
        <w:rPr>
          <w:rFonts w:ascii="Arial" w:eastAsia="Times New Roman" w:hAnsi="Arial" w:cs="Arial"/>
          <w:sz w:val="18"/>
          <w:szCs w:val="20"/>
          <w:lang w:val="el-GR" w:eastAsia="el-GR"/>
        </w:rPr>
        <w:t xml:space="preserve">λήξης </w:t>
      </w:r>
      <w:r w:rsidRPr="00D17E65">
        <w:rPr>
          <w:rFonts w:ascii="Arial" w:eastAsia="Times New Roman" w:hAnsi="Arial" w:cs="Arial"/>
          <w:sz w:val="18"/>
          <w:szCs w:val="20"/>
          <w:lang w:val="el-GR" w:eastAsia="el-GR"/>
        </w:rPr>
        <w:t>των περιουσιακών στοιχείων και υποχρεώσεων.</w:t>
      </w:r>
    </w:p>
    <w:p w14:paraId="64AFDCBC" w14:textId="77777777" w:rsidR="0056738E" w:rsidRPr="00D17E65" w:rsidRDefault="0056738E" w:rsidP="0056738E">
      <w:pPr>
        <w:spacing w:after="0" w:line="240" w:lineRule="auto"/>
        <w:jc w:val="both"/>
        <w:rPr>
          <w:rFonts w:ascii="Arial" w:eastAsia="Times New Roman" w:hAnsi="Arial" w:cs="Arial"/>
          <w:sz w:val="18"/>
          <w:szCs w:val="20"/>
          <w:lang w:val="el-GR" w:eastAsia="el-GR"/>
        </w:rPr>
      </w:pPr>
    </w:p>
    <w:p w14:paraId="49B40937" w14:textId="77777777" w:rsidR="0056738E" w:rsidRDefault="0056738E" w:rsidP="0056738E">
      <w:pPr>
        <w:spacing w:after="0" w:line="240" w:lineRule="auto"/>
        <w:jc w:val="both"/>
        <w:rPr>
          <w:rFonts w:ascii="Arial" w:eastAsia="Times New Roman" w:hAnsi="Arial" w:cs="Arial"/>
          <w:sz w:val="18"/>
          <w:szCs w:val="20"/>
          <w:lang w:val="el-GR" w:eastAsia="el-GR"/>
        </w:rPr>
      </w:pPr>
      <w:r w:rsidRPr="00D17E65">
        <w:rPr>
          <w:rFonts w:ascii="Arial" w:eastAsia="Times New Roman" w:hAnsi="Arial" w:cs="Arial"/>
          <w:sz w:val="18"/>
          <w:szCs w:val="20"/>
          <w:lang w:val="el-GR" w:eastAsia="el-GR"/>
        </w:rPr>
        <w:t xml:space="preserve">Στις </w:t>
      </w:r>
      <w:r w:rsidRPr="00331BC0">
        <w:rPr>
          <w:rFonts w:ascii="Arial" w:eastAsia="Times New Roman" w:hAnsi="Arial" w:cs="Arial"/>
          <w:sz w:val="18"/>
          <w:szCs w:val="20"/>
          <w:lang w:val="el-GR" w:eastAsia="el-GR"/>
        </w:rPr>
        <w:t xml:space="preserve">30 </w:t>
      </w:r>
      <w:r>
        <w:rPr>
          <w:rFonts w:ascii="Arial" w:eastAsia="Times New Roman" w:hAnsi="Arial" w:cs="Arial"/>
          <w:sz w:val="18"/>
          <w:szCs w:val="20"/>
          <w:lang w:val="el-GR" w:eastAsia="el-GR"/>
        </w:rPr>
        <w:t>Σεπτεμβρίου 2024</w:t>
      </w:r>
      <w:r w:rsidRPr="00D17E65">
        <w:rPr>
          <w:rFonts w:ascii="Arial" w:eastAsia="Times New Roman" w:hAnsi="Arial" w:cs="Arial"/>
          <w:sz w:val="18"/>
          <w:szCs w:val="20"/>
          <w:lang w:val="el-GR" w:eastAsia="el-GR"/>
        </w:rPr>
        <w:t xml:space="preserve">, το Συγκρότημα πληρούσε όλες τις εποπτικές απαιτήσεις ρευστότητας. Στις </w:t>
      </w:r>
      <w:r w:rsidRPr="00331BC0">
        <w:rPr>
          <w:rFonts w:ascii="Arial" w:eastAsia="Times New Roman" w:hAnsi="Arial" w:cs="Arial"/>
          <w:sz w:val="18"/>
          <w:szCs w:val="20"/>
          <w:lang w:val="el-GR" w:eastAsia="el-GR"/>
        </w:rPr>
        <w:t xml:space="preserve">30 </w:t>
      </w:r>
      <w:r>
        <w:rPr>
          <w:rFonts w:ascii="Arial" w:eastAsia="Times New Roman" w:hAnsi="Arial" w:cs="Arial"/>
          <w:sz w:val="18"/>
          <w:szCs w:val="20"/>
          <w:lang w:val="el-GR" w:eastAsia="el-GR"/>
        </w:rPr>
        <w:t>Σεπτεμβρίου 2024</w:t>
      </w:r>
      <w:r w:rsidRPr="00D17E65">
        <w:rPr>
          <w:rFonts w:ascii="Arial" w:eastAsia="Times New Roman" w:hAnsi="Arial" w:cs="Arial"/>
          <w:sz w:val="18"/>
          <w:szCs w:val="20"/>
          <w:lang w:val="el-GR" w:eastAsia="el-GR"/>
        </w:rPr>
        <w:t xml:space="preserve">, ο ΔΚΡ του Συγκροτήματος ανήλθε σε </w:t>
      </w:r>
      <w:r w:rsidRPr="00A03828">
        <w:rPr>
          <w:rFonts w:ascii="Arial" w:eastAsia="Times New Roman" w:hAnsi="Arial" w:cs="Arial"/>
          <w:sz w:val="18"/>
          <w:szCs w:val="20"/>
          <w:lang w:val="el-GR" w:eastAsia="el-GR"/>
        </w:rPr>
        <w:t>312</w:t>
      </w:r>
      <w:r w:rsidRPr="00D17E65">
        <w:rPr>
          <w:rFonts w:ascii="Arial" w:eastAsia="Times New Roman" w:hAnsi="Arial" w:cs="Arial"/>
          <w:sz w:val="18"/>
          <w:szCs w:val="20"/>
          <w:lang w:val="el-GR" w:eastAsia="el-GR"/>
        </w:rPr>
        <w:t xml:space="preserve">% (σε σύγκριση με </w:t>
      </w:r>
      <w:r>
        <w:rPr>
          <w:rFonts w:ascii="Arial" w:eastAsia="Times New Roman" w:hAnsi="Arial" w:cs="Arial"/>
          <w:sz w:val="18"/>
          <w:szCs w:val="20"/>
          <w:lang w:val="el-GR" w:eastAsia="el-GR"/>
        </w:rPr>
        <w:t>359</w:t>
      </w:r>
      <w:r w:rsidRPr="00D17E65">
        <w:rPr>
          <w:rFonts w:ascii="Arial" w:eastAsia="Times New Roman" w:hAnsi="Arial" w:cs="Arial"/>
          <w:sz w:val="18"/>
          <w:szCs w:val="20"/>
          <w:lang w:val="el-GR" w:eastAsia="el-GR"/>
        </w:rPr>
        <w:t>% στις 31 Δεκεμβρίου 202</w:t>
      </w:r>
      <w:r>
        <w:rPr>
          <w:rFonts w:ascii="Arial" w:eastAsia="Times New Roman" w:hAnsi="Arial" w:cs="Arial"/>
          <w:sz w:val="18"/>
          <w:szCs w:val="20"/>
          <w:lang w:val="el-GR" w:eastAsia="el-GR"/>
        </w:rPr>
        <w:t>3</w:t>
      </w:r>
      <w:r w:rsidRPr="00D17E65">
        <w:rPr>
          <w:rFonts w:ascii="Arial" w:eastAsia="Times New Roman" w:hAnsi="Arial" w:cs="Arial"/>
          <w:sz w:val="18"/>
          <w:szCs w:val="20"/>
          <w:lang w:val="el-GR" w:eastAsia="el-GR"/>
        </w:rPr>
        <w:t>)</w:t>
      </w:r>
      <w:r>
        <w:rPr>
          <w:rFonts w:ascii="Arial" w:eastAsia="Times New Roman" w:hAnsi="Arial" w:cs="Arial"/>
          <w:sz w:val="18"/>
          <w:szCs w:val="20"/>
          <w:lang w:val="el-GR" w:eastAsia="el-GR"/>
        </w:rPr>
        <w:t xml:space="preserve"> </w:t>
      </w:r>
      <w:r w:rsidRPr="00D17E65">
        <w:rPr>
          <w:rFonts w:ascii="Arial" w:eastAsia="Times New Roman" w:hAnsi="Arial" w:cs="Arial"/>
          <w:sz w:val="18"/>
          <w:szCs w:val="18"/>
          <w:lang w:val="el-GR" w:eastAsia="el-GR"/>
        </w:rPr>
        <w:t xml:space="preserve">η μείωση του οποίου οφείλεται κυρίως στην αποπληρωμή του ΣΠΠΜΑ </w:t>
      </w:r>
      <w:r w:rsidRPr="00BD09B8">
        <w:rPr>
          <w:rFonts w:ascii="Arial" w:eastAsia="Times New Roman" w:hAnsi="Arial" w:cs="Arial"/>
          <w:sz w:val="18"/>
          <w:szCs w:val="18"/>
          <w:lang w:val="el-GR" w:eastAsia="el-GR"/>
        </w:rPr>
        <w:t xml:space="preserve">ύψους </w:t>
      </w:r>
      <w:r w:rsidRPr="00A03828">
        <w:rPr>
          <w:rFonts w:ascii="Arial" w:eastAsia="Times New Roman" w:hAnsi="Arial" w:cs="Arial"/>
          <w:sz w:val="18"/>
          <w:szCs w:val="18"/>
          <w:lang w:val="el-GR" w:eastAsia="el-GR"/>
        </w:rPr>
        <w:t>€1,700 χιλ</w:t>
      </w:r>
      <w:r w:rsidRPr="00BD09B8">
        <w:rPr>
          <w:rFonts w:ascii="Arial" w:eastAsia="Times New Roman" w:hAnsi="Arial" w:cs="Arial"/>
          <w:sz w:val="18"/>
          <w:szCs w:val="18"/>
          <w:lang w:val="el-GR" w:eastAsia="el-GR"/>
        </w:rPr>
        <w:t>.</w:t>
      </w:r>
      <w:r>
        <w:rPr>
          <w:rFonts w:ascii="Arial" w:eastAsia="Times New Roman" w:hAnsi="Arial" w:cs="Arial"/>
          <w:sz w:val="18"/>
          <w:szCs w:val="20"/>
          <w:lang w:val="el-GR" w:eastAsia="el-GR"/>
        </w:rPr>
        <w:t xml:space="preserve"> </w:t>
      </w:r>
      <w:r w:rsidRPr="00D17E65">
        <w:rPr>
          <w:rFonts w:ascii="Arial" w:eastAsia="Times New Roman" w:hAnsi="Arial" w:cs="Arial"/>
          <w:sz w:val="18"/>
          <w:szCs w:val="20"/>
          <w:lang w:val="el-GR" w:eastAsia="el-GR"/>
        </w:rPr>
        <w:t xml:space="preserve">Στις </w:t>
      </w:r>
      <w:r w:rsidRPr="00331BC0">
        <w:rPr>
          <w:rFonts w:ascii="Arial" w:eastAsia="Times New Roman" w:hAnsi="Arial" w:cs="Arial"/>
          <w:sz w:val="18"/>
          <w:szCs w:val="20"/>
          <w:lang w:val="el-GR" w:eastAsia="el-GR"/>
        </w:rPr>
        <w:t xml:space="preserve">30 </w:t>
      </w:r>
      <w:r>
        <w:rPr>
          <w:rFonts w:ascii="Arial" w:eastAsia="Times New Roman" w:hAnsi="Arial" w:cs="Arial"/>
          <w:sz w:val="18"/>
          <w:szCs w:val="20"/>
          <w:lang w:val="el-GR" w:eastAsia="el-GR"/>
        </w:rPr>
        <w:t>Σεπτεμβρίου 2024,</w:t>
      </w:r>
      <w:r w:rsidRPr="00D17E65">
        <w:rPr>
          <w:rFonts w:ascii="Arial" w:eastAsia="Times New Roman" w:hAnsi="Arial" w:cs="Arial"/>
          <w:sz w:val="18"/>
          <w:szCs w:val="20"/>
          <w:lang w:val="el-GR" w:eastAsia="el-GR"/>
        </w:rPr>
        <w:t xml:space="preserve"> ο ΔΚΣΧ του Συγκροτήματος ανήλθε σε </w:t>
      </w:r>
      <w:r>
        <w:rPr>
          <w:rFonts w:ascii="Arial" w:eastAsia="Times New Roman" w:hAnsi="Arial" w:cs="Arial"/>
          <w:sz w:val="18"/>
          <w:szCs w:val="20"/>
          <w:lang w:val="el-GR" w:eastAsia="el-GR"/>
        </w:rPr>
        <w:t>157</w:t>
      </w:r>
      <w:r w:rsidRPr="00D17E65">
        <w:rPr>
          <w:rFonts w:ascii="Arial" w:eastAsia="Times New Roman" w:hAnsi="Arial" w:cs="Arial"/>
          <w:sz w:val="18"/>
          <w:szCs w:val="20"/>
          <w:lang w:val="el-GR" w:eastAsia="el-GR"/>
        </w:rPr>
        <w:t>% (σε σύγκριση με 1</w:t>
      </w:r>
      <w:r>
        <w:rPr>
          <w:rFonts w:ascii="Arial" w:eastAsia="Times New Roman" w:hAnsi="Arial" w:cs="Arial"/>
          <w:sz w:val="18"/>
          <w:szCs w:val="20"/>
          <w:lang w:val="el-GR" w:eastAsia="el-GR"/>
        </w:rPr>
        <w:t>5</w:t>
      </w:r>
      <w:r w:rsidRPr="00D17E65">
        <w:rPr>
          <w:rFonts w:ascii="Arial" w:eastAsia="Times New Roman" w:hAnsi="Arial" w:cs="Arial"/>
          <w:sz w:val="18"/>
          <w:szCs w:val="20"/>
          <w:lang w:val="el-GR" w:eastAsia="el-GR"/>
        </w:rPr>
        <w:t>8% στις 31 Δεκεμβρίου 202</w:t>
      </w:r>
      <w:r>
        <w:rPr>
          <w:rFonts w:ascii="Arial" w:eastAsia="Times New Roman" w:hAnsi="Arial" w:cs="Arial"/>
          <w:sz w:val="18"/>
          <w:szCs w:val="20"/>
          <w:lang w:val="el-GR" w:eastAsia="el-GR"/>
        </w:rPr>
        <w:t>3</w:t>
      </w:r>
      <w:r w:rsidRPr="00D17E65">
        <w:rPr>
          <w:rFonts w:ascii="Arial" w:eastAsia="Times New Roman" w:hAnsi="Arial" w:cs="Arial"/>
          <w:sz w:val="18"/>
          <w:szCs w:val="20"/>
          <w:lang w:val="el-GR" w:eastAsia="el-GR"/>
        </w:rPr>
        <w:t>).</w:t>
      </w:r>
    </w:p>
    <w:p w14:paraId="1AD2528F" w14:textId="77777777" w:rsidR="0056738E" w:rsidRDefault="0056738E" w:rsidP="0056738E">
      <w:pPr>
        <w:spacing w:after="0" w:line="240" w:lineRule="auto"/>
        <w:jc w:val="both"/>
        <w:rPr>
          <w:rFonts w:ascii="Arial" w:eastAsia="Batang" w:hAnsi="Arial" w:cs="Arial"/>
          <w:color w:val="262626"/>
          <w:sz w:val="18"/>
          <w:szCs w:val="18"/>
          <w:lang w:val="el-GR" w:eastAsia="en-US"/>
        </w:rPr>
      </w:pPr>
    </w:p>
    <w:p w14:paraId="11B5E7AF" w14:textId="77777777" w:rsidR="0056738E" w:rsidRDefault="0056738E" w:rsidP="0056738E">
      <w:pPr>
        <w:rPr>
          <w:rFonts w:ascii="Arial" w:hAnsi="Arial" w:cs="Arial"/>
          <w:b/>
          <w:color w:val="FF9900"/>
          <w:lang w:val="el-GR"/>
        </w:rPr>
      </w:pPr>
      <w:r>
        <w:rPr>
          <w:rFonts w:ascii="Arial" w:hAnsi="Arial" w:cs="Arial"/>
          <w:b/>
          <w:color w:val="FF9900"/>
          <w:lang w:val="el-GR"/>
        </w:rPr>
        <w:br w:type="page"/>
      </w:r>
    </w:p>
    <w:p w14:paraId="0A85CCBD" w14:textId="77777777" w:rsidR="0056738E" w:rsidRPr="00022E44" w:rsidRDefault="0056738E" w:rsidP="0056738E">
      <w:pPr>
        <w:keepNext/>
        <w:tabs>
          <w:tab w:val="left" w:pos="1416"/>
          <w:tab w:val="decimal" w:pos="4962"/>
          <w:tab w:val="decimal" w:pos="6521"/>
          <w:tab w:val="right" w:pos="7560"/>
          <w:tab w:val="decimal" w:pos="8220"/>
          <w:tab w:val="left" w:pos="8640"/>
          <w:tab w:val="right" w:pos="9000"/>
        </w:tabs>
        <w:suppressAutoHyphens/>
        <w:spacing w:after="0" w:line="360" w:lineRule="auto"/>
        <w:ind w:left="851" w:right="-130" w:hanging="851"/>
        <w:jc w:val="both"/>
        <w:outlineLvl w:val="8"/>
        <w:rPr>
          <w:rFonts w:ascii="Arial" w:hAnsi="Arial" w:cs="Arial"/>
          <w:color w:val="FF9900"/>
          <w:szCs w:val="18"/>
          <w:lang w:val="el-GR"/>
        </w:rPr>
      </w:pPr>
      <w:r w:rsidRPr="00E55CD1">
        <w:rPr>
          <w:rFonts w:ascii="Arial" w:hAnsi="Arial" w:cs="Arial"/>
          <w:b/>
          <w:color w:val="FF9900"/>
          <w:szCs w:val="18"/>
          <w:lang w:val="el-GR"/>
        </w:rPr>
        <w:lastRenderedPageBreak/>
        <w:t>Ζ</w:t>
      </w:r>
      <w:r w:rsidRPr="00022E44">
        <w:rPr>
          <w:rFonts w:ascii="Arial" w:hAnsi="Arial" w:cs="Arial"/>
          <w:b/>
          <w:color w:val="FF9900"/>
          <w:szCs w:val="18"/>
          <w:lang w:val="el-GR"/>
        </w:rPr>
        <w:t xml:space="preserve">. </w:t>
      </w:r>
      <w:r w:rsidRPr="00022E44">
        <w:rPr>
          <w:rFonts w:ascii="Arial" w:hAnsi="Arial" w:cs="Arial"/>
          <w:b/>
          <w:color w:val="FF9900"/>
          <w:szCs w:val="18"/>
          <w:lang w:val="el-GR"/>
        </w:rPr>
        <w:tab/>
      </w:r>
      <w:r w:rsidRPr="00E55CD1">
        <w:rPr>
          <w:rFonts w:ascii="Arial" w:hAnsi="Arial" w:cs="Arial"/>
          <w:b/>
          <w:color w:val="FF9900"/>
          <w:szCs w:val="18"/>
          <w:lang w:val="el-GR"/>
        </w:rPr>
        <w:t xml:space="preserve">Επιπρόσθετες Γνωστοποιήσεις Διαχείρισης Κινδύνων και Κεφαλαίου </w:t>
      </w:r>
      <w:r w:rsidRPr="008A3E7B">
        <w:rPr>
          <w:rFonts w:ascii="Arial" w:hAnsi="Arial" w:cs="Arial"/>
          <w:color w:val="FF9900"/>
          <w:szCs w:val="18"/>
          <w:lang w:val="el-GR"/>
        </w:rPr>
        <w:t>(</w:t>
      </w:r>
      <w:r w:rsidRPr="00022E44">
        <w:rPr>
          <w:rFonts w:ascii="Arial" w:hAnsi="Arial" w:cs="Arial"/>
          <w:color w:val="FF9900"/>
          <w:szCs w:val="18"/>
          <w:lang w:val="el-GR"/>
        </w:rPr>
        <w:t>συνέχεια)</w:t>
      </w:r>
    </w:p>
    <w:p w14:paraId="4A0C2FEC" w14:textId="77777777" w:rsidR="0056738E" w:rsidRPr="001D7A91" w:rsidRDefault="0056738E" w:rsidP="0056738E">
      <w:pPr>
        <w:spacing w:after="0" w:line="360" w:lineRule="auto"/>
        <w:ind w:left="851" w:hanging="851"/>
        <w:jc w:val="both"/>
        <w:rPr>
          <w:rFonts w:ascii="Arial" w:hAnsi="Arial" w:cs="Arial"/>
          <w:b/>
          <w:color w:val="FF9900"/>
          <w:lang w:val="el-GR"/>
        </w:rPr>
      </w:pPr>
      <w:r>
        <w:rPr>
          <w:rFonts w:ascii="Arial" w:hAnsi="Arial" w:cs="Arial"/>
          <w:b/>
          <w:color w:val="FF9900"/>
          <w:lang w:val="el-GR"/>
        </w:rPr>
        <w:t>Ζ.5</w:t>
      </w:r>
      <w:r w:rsidRPr="00761006">
        <w:rPr>
          <w:rFonts w:ascii="Arial" w:hAnsi="Arial" w:cs="Arial"/>
          <w:b/>
          <w:color w:val="FF9900"/>
          <w:lang w:val="el-GR"/>
        </w:rPr>
        <w:t xml:space="preserve"> </w:t>
      </w:r>
      <w:r w:rsidRPr="00D066DE">
        <w:rPr>
          <w:rFonts w:ascii="Arial" w:hAnsi="Arial" w:cs="Arial"/>
          <w:b/>
          <w:color w:val="FF9900"/>
          <w:lang w:val="el-GR"/>
        </w:rPr>
        <w:tab/>
      </w:r>
      <w:r>
        <w:rPr>
          <w:rFonts w:ascii="Arial" w:hAnsi="Arial" w:cs="Arial"/>
          <w:b/>
          <w:color w:val="FF9900"/>
          <w:lang w:val="el-GR"/>
        </w:rPr>
        <w:t xml:space="preserve">Αποθεματικά ρευστότητας </w:t>
      </w:r>
    </w:p>
    <w:p w14:paraId="50975297" w14:textId="77777777" w:rsidR="0056738E" w:rsidRDefault="0056738E" w:rsidP="0056738E">
      <w:pPr>
        <w:pStyle w:val="BodyText3"/>
        <w:tabs>
          <w:tab w:val="clear" w:pos="0"/>
        </w:tabs>
        <w:spacing w:after="120"/>
        <w:jc w:val="both"/>
        <w:rPr>
          <w:rFonts w:ascii="Arial" w:hAnsi="Arial" w:cs="Arial"/>
          <w:sz w:val="18"/>
          <w:lang w:val="el-GR"/>
        </w:rPr>
      </w:pPr>
      <w:r w:rsidRPr="001D7A91">
        <w:rPr>
          <w:rFonts w:ascii="Arial" w:hAnsi="Arial" w:cs="Arial"/>
          <w:sz w:val="18"/>
          <w:lang w:val="el-GR"/>
        </w:rPr>
        <w:t xml:space="preserve">Ο </w:t>
      </w:r>
      <w:r>
        <w:rPr>
          <w:rFonts w:ascii="Arial" w:hAnsi="Arial" w:cs="Arial"/>
          <w:sz w:val="18"/>
          <w:lang w:val="el-GR"/>
        </w:rPr>
        <w:t xml:space="preserve">πιο κάτω </w:t>
      </w:r>
      <w:r w:rsidRPr="001D7A91">
        <w:rPr>
          <w:rFonts w:ascii="Arial" w:hAnsi="Arial" w:cs="Arial"/>
          <w:sz w:val="18"/>
          <w:lang w:val="el-GR"/>
        </w:rPr>
        <w:t>πίνακας</w:t>
      </w:r>
      <w:r>
        <w:rPr>
          <w:rFonts w:ascii="Arial" w:hAnsi="Arial" w:cs="Arial"/>
          <w:sz w:val="18"/>
          <w:lang w:val="el-GR"/>
        </w:rPr>
        <w:t xml:space="preserve"> </w:t>
      </w:r>
      <w:r w:rsidRPr="001D7A91">
        <w:rPr>
          <w:rFonts w:ascii="Arial" w:hAnsi="Arial" w:cs="Arial"/>
          <w:sz w:val="18"/>
          <w:lang w:val="el-GR"/>
        </w:rPr>
        <w:t xml:space="preserve">παρουσιάζει τα </w:t>
      </w:r>
      <w:r>
        <w:rPr>
          <w:rFonts w:ascii="Arial" w:hAnsi="Arial" w:cs="Arial"/>
          <w:sz w:val="18"/>
          <w:lang w:val="el-GR"/>
        </w:rPr>
        <w:t>αποθεματικά ρευστότητας</w:t>
      </w:r>
      <w:r w:rsidRPr="001D7A91">
        <w:rPr>
          <w:rFonts w:ascii="Arial" w:hAnsi="Arial" w:cs="Arial"/>
          <w:sz w:val="18"/>
          <w:lang w:val="el-GR"/>
        </w:rPr>
        <w:t xml:space="preserve"> του Συγκροτήματος: </w:t>
      </w:r>
    </w:p>
    <w:tbl>
      <w:tblPr>
        <w:tblW w:w="991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24"/>
        <w:gridCol w:w="1246"/>
        <w:gridCol w:w="1245"/>
        <w:gridCol w:w="1276"/>
        <w:gridCol w:w="1276"/>
        <w:gridCol w:w="1275"/>
        <w:gridCol w:w="1276"/>
      </w:tblGrid>
      <w:tr w:rsidR="0056738E" w:rsidRPr="00295155" w14:paraId="4B3C1134" w14:textId="77777777" w:rsidTr="007C2AEE">
        <w:trPr>
          <w:trHeight w:val="255"/>
          <w:jc w:val="center"/>
        </w:trPr>
        <w:tc>
          <w:tcPr>
            <w:tcW w:w="2324" w:type="dxa"/>
            <w:vMerge w:val="restart"/>
            <w:vAlign w:val="center"/>
          </w:tcPr>
          <w:p w14:paraId="58484D3C" w14:textId="77777777" w:rsidR="0056738E" w:rsidRPr="00295155" w:rsidRDefault="0056738E" w:rsidP="007C2AEE">
            <w:pPr>
              <w:spacing w:after="0" w:line="240" w:lineRule="auto"/>
              <w:rPr>
                <w:rFonts w:ascii="Arial" w:eastAsia="Batang" w:hAnsi="Arial" w:cs="Arial"/>
                <w:b/>
                <w:color w:val="262626"/>
                <w:sz w:val="18"/>
                <w:szCs w:val="18"/>
                <w:lang w:eastAsia="en-US"/>
              </w:rPr>
            </w:pPr>
            <w:proofErr w:type="spellStart"/>
            <w:r w:rsidRPr="00295155">
              <w:rPr>
                <w:rFonts w:ascii="Arial" w:eastAsia="Batang" w:hAnsi="Arial" w:cs="Arial"/>
                <w:b/>
                <w:color w:val="262626"/>
                <w:sz w:val="18"/>
                <w:szCs w:val="18"/>
                <w:lang w:eastAsia="en-US"/>
              </w:rPr>
              <w:t>Σύνθεση</w:t>
            </w:r>
            <w:proofErr w:type="spellEnd"/>
          </w:p>
          <w:p w14:paraId="68C7E397" w14:textId="77777777" w:rsidR="0056738E" w:rsidRDefault="0056738E" w:rsidP="007C2AEE">
            <w:pPr>
              <w:spacing w:after="0" w:line="240" w:lineRule="auto"/>
              <w:rPr>
                <w:rFonts w:ascii="Arial" w:eastAsia="Batang" w:hAnsi="Arial" w:cs="Arial"/>
                <w:b/>
                <w:color w:val="262626"/>
                <w:sz w:val="18"/>
                <w:szCs w:val="18"/>
                <w:lang w:val="el-GR" w:eastAsia="en-US"/>
              </w:rPr>
            </w:pPr>
            <w:r>
              <w:rPr>
                <w:rFonts w:ascii="Arial" w:eastAsia="Batang" w:hAnsi="Arial" w:cs="Arial"/>
                <w:b/>
                <w:color w:val="262626"/>
                <w:sz w:val="18"/>
                <w:szCs w:val="18"/>
                <w:lang w:val="el-GR" w:eastAsia="en-US"/>
              </w:rPr>
              <w:t>α</w:t>
            </w:r>
            <w:r w:rsidRPr="00295155">
              <w:rPr>
                <w:rFonts w:ascii="Arial" w:eastAsia="Batang" w:hAnsi="Arial" w:cs="Arial"/>
                <w:b/>
                <w:color w:val="262626"/>
                <w:sz w:val="18"/>
                <w:szCs w:val="18"/>
                <w:lang w:eastAsia="en-US"/>
              </w:rPr>
              <w:t>π</w:t>
            </w:r>
            <w:proofErr w:type="spellStart"/>
            <w:r w:rsidRPr="00295155">
              <w:rPr>
                <w:rFonts w:ascii="Arial" w:eastAsia="Batang" w:hAnsi="Arial" w:cs="Arial"/>
                <w:b/>
                <w:color w:val="262626"/>
                <w:sz w:val="18"/>
                <w:szCs w:val="18"/>
                <w:lang w:eastAsia="en-US"/>
              </w:rPr>
              <w:t>οθεμ</w:t>
            </w:r>
            <w:proofErr w:type="spellEnd"/>
            <w:r w:rsidRPr="00295155">
              <w:rPr>
                <w:rFonts w:ascii="Arial" w:eastAsia="Batang" w:hAnsi="Arial" w:cs="Arial"/>
                <w:b/>
                <w:color w:val="262626"/>
                <w:sz w:val="18"/>
                <w:szCs w:val="18"/>
                <w:lang w:eastAsia="en-US"/>
              </w:rPr>
              <w:t>ατικών</w:t>
            </w:r>
          </w:p>
          <w:p w14:paraId="57730E2B" w14:textId="77777777" w:rsidR="0056738E" w:rsidRPr="00D17E65" w:rsidRDefault="0056738E" w:rsidP="007C2AEE">
            <w:pPr>
              <w:spacing w:after="0" w:line="240" w:lineRule="auto"/>
              <w:rPr>
                <w:rFonts w:ascii="Arial" w:eastAsia="Batang" w:hAnsi="Arial" w:cs="Arial"/>
                <w:b/>
                <w:color w:val="262626"/>
                <w:sz w:val="18"/>
                <w:szCs w:val="18"/>
                <w:lang w:val="el-GR" w:eastAsia="en-US"/>
              </w:rPr>
            </w:pPr>
            <w:r>
              <w:rPr>
                <w:rFonts w:ascii="Arial" w:eastAsia="Batang" w:hAnsi="Arial" w:cs="Arial"/>
                <w:b/>
                <w:color w:val="262626"/>
                <w:sz w:val="18"/>
                <w:szCs w:val="18"/>
                <w:lang w:val="el-GR" w:eastAsia="en-US"/>
              </w:rPr>
              <w:t>ρευστότητας</w:t>
            </w:r>
          </w:p>
        </w:tc>
        <w:tc>
          <w:tcPr>
            <w:tcW w:w="3767" w:type="dxa"/>
            <w:gridSpan w:val="3"/>
            <w:vAlign w:val="center"/>
          </w:tcPr>
          <w:p w14:paraId="73F35A30" w14:textId="77777777" w:rsidR="0056738E" w:rsidRPr="00295155" w:rsidRDefault="0056738E" w:rsidP="007C2AEE">
            <w:pPr>
              <w:spacing w:after="0" w:line="240" w:lineRule="auto"/>
              <w:jc w:val="center"/>
              <w:rPr>
                <w:rFonts w:ascii="Arial" w:eastAsia="Batang" w:hAnsi="Arial" w:cs="Arial"/>
                <w:b/>
                <w:color w:val="262626"/>
                <w:sz w:val="18"/>
                <w:szCs w:val="18"/>
                <w:lang w:val="el-GR" w:eastAsia="en-US"/>
              </w:rPr>
            </w:pPr>
            <w:r w:rsidRPr="00331BC0">
              <w:rPr>
                <w:rFonts w:ascii="Arial" w:eastAsia="Batang" w:hAnsi="Arial" w:cs="Arial"/>
                <w:b/>
                <w:color w:val="262626"/>
                <w:sz w:val="18"/>
                <w:szCs w:val="18"/>
                <w:lang w:val="el-GR" w:eastAsia="en-US"/>
              </w:rPr>
              <w:t xml:space="preserve">30 Σεπτεμβρίου </w:t>
            </w:r>
            <w:r>
              <w:rPr>
                <w:rFonts w:ascii="Arial" w:eastAsia="Batang" w:hAnsi="Arial" w:cs="Arial"/>
                <w:b/>
                <w:color w:val="262626"/>
                <w:sz w:val="18"/>
                <w:szCs w:val="18"/>
                <w:lang w:val="el-GR" w:eastAsia="en-US"/>
              </w:rPr>
              <w:t>2024</w:t>
            </w:r>
          </w:p>
        </w:tc>
        <w:tc>
          <w:tcPr>
            <w:tcW w:w="3827" w:type="dxa"/>
            <w:gridSpan w:val="3"/>
            <w:vAlign w:val="center"/>
          </w:tcPr>
          <w:p w14:paraId="59D7EA15" w14:textId="77777777" w:rsidR="0056738E" w:rsidRPr="002F2A9E" w:rsidRDefault="0056738E" w:rsidP="007C2AEE">
            <w:pPr>
              <w:spacing w:after="0" w:line="240" w:lineRule="auto"/>
              <w:jc w:val="center"/>
              <w:rPr>
                <w:rFonts w:ascii="Arial" w:eastAsia="Batang" w:hAnsi="Arial" w:cs="Arial"/>
                <w:color w:val="262626"/>
                <w:sz w:val="18"/>
                <w:szCs w:val="18"/>
                <w:lang w:val="el-GR" w:eastAsia="en-US"/>
              </w:rPr>
            </w:pPr>
            <w:r w:rsidRPr="00295155">
              <w:rPr>
                <w:rFonts w:ascii="Arial" w:eastAsia="Batang" w:hAnsi="Arial" w:cs="Arial"/>
                <w:color w:val="262626"/>
                <w:sz w:val="18"/>
                <w:szCs w:val="18"/>
                <w:lang w:eastAsia="en-US"/>
              </w:rPr>
              <w:t xml:space="preserve">31 </w:t>
            </w:r>
            <w:r w:rsidRPr="00295155">
              <w:rPr>
                <w:rFonts w:ascii="Arial" w:eastAsia="Batang" w:hAnsi="Arial" w:cs="Arial"/>
                <w:color w:val="262626"/>
                <w:sz w:val="18"/>
                <w:szCs w:val="18"/>
                <w:lang w:val="el-GR" w:eastAsia="en-US"/>
              </w:rPr>
              <w:t>Δεκεμβρίου</w:t>
            </w:r>
            <w:r w:rsidRPr="00295155">
              <w:rPr>
                <w:rFonts w:ascii="Arial" w:eastAsia="Batang" w:hAnsi="Arial" w:cs="Arial"/>
                <w:color w:val="262626"/>
                <w:sz w:val="18"/>
                <w:szCs w:val="18"/>
                <w:lang w:eastAsia="en-US"/>
              </w:rPr>
              <w:t xml:space="preserve"> 20</w:t>
            </w:r>
            <w:r>
              <w:rPr>
                <w:rFonts w:ascii="Arial" w:eastAsia="Batang" w:hAnsi="Arial" w:cs="Arial"/>
                <w:color w:val="262626"/>
                <w:sz w:val="18"/>
                <w:szCs w:val="18"/>
                <w:lang w:val="el-GR" w:eastAsia="en-US"/>
              </w:rPr>
              <w:t>23</w:t>
            </w:r>
          </w:p>
        </w:tc>
      </w:tr>
      <w:tr w:rsidR="0056738E" w:rsidRPr="00D17BD3" w14:paraId="460671FF" w14:textId="77777777" w:rsidTr="007C2AEE">
        <w:trPr>
          <w:trHeight w:val="680"/>
          <w:jc w:val="center"/>
        </w:trPr>
        <w:tc>
          <w:tcPr>
            <w:tcW w:w="2324" w:type="dxa"/>
            <w:vMerge/>
            <w:vAlign w:val="center"/>
          </w:tcPr>
          <w:p w14:paraId="5A6CCF1B" w14:textId="77777777" w:rsidR="0056738E" w:rsidRPr="00295155" w:rsidRDefault="0056738E" w:rsidP="007C2AEE">
            <w:pPr>
              <w:spacing w:after="0" w:line="240" w:lineRule="auto"/>
              <w:jc w:val="center"/>
              <w:rPr>
                <w:rFonts w:ascii="Arial" w:eastAsia="Batang" w:hAnsi="Arial" w:cs="Arial"/>
                <w:color w:val="262626"/>
                <w:sz w:val="18"/>
                <w:szCs w:val="18"/>
                <w:lang w:eastAsia="en-US"/>
              </w:rPr>
            </w:pPr>
          </w:p>
        </w:tc>
        <w:tc>
          <w:tcPr>
            <w:tcW w:w="1246" w:type="dxa"/>
            <w:vMerge w:val="restart"/>
            <w:vAlign w:val="center"/>
          </w:tcPr>
          <w:p w14:paraId="1B522922" w14:textId="77777777" w:rsidR="0056738E" w:rsidRDefault="0056738E" w:rsidP="007C2AEE">
            <w:pPr>
              <w:spacing w:after="0" w:line="240" w:lineRule="auto"/>
              <w:ind w:left="-138" w:right="-108"/>
              <w:jc w:val="center"/>
              <w:rPr>
                <w:rFonts w:ascii="Arial" w:eastAsia="Batang" w:hAnsi="Arial" w:cs="Arial"/>
                <w:b/>
                <w:color w:val="262626"/>
                <w:sz w:val="18"/>
                <w:szCs w:val="18"/>
                <w:lang w:val="el-GR" w:eastAsia="en-US"/>
              </w:rPr>
            </w:pPr>
            <w:r>
              <w:rPr>
                <w:rFonts w:ascii="Arial" w:eastAsia="Batang" w:hAnsi="Arial" w:cs="Arial"/>
                <w:b/>
                <w:color w:val="262626"/>
                <w:sz w:val="18"/>
                <w:szCs w:val="18"/>
                <w:lang w:val="el-GR" w:eastAsia="en-US"/>
              </w:rPr>
              <w:t>Εσωτερικά Α</w:t>
            </w:r>
            <w:r w:rsidRPr="00295155">
              <w:rPr>
                <w:rFonts w:ascii="Arial" w:eastAsia="Batang" w:hAnsi="Arial" w:cs="Arial"/>
                <w:b/>
                <w:color w:val="262626"/>
                <w:sz w:val="18"/>
                <w:szCs w:val="18"/>
                <w:lang w:val="el-GR" w:eastAsia="en-US"/>
              </w:rPr>
              <w:t>ποθεματικά</w:t>
            </w:r>
          </w:p>
          <w:p w14:paraId="3A00CD87" w14:textId="77777777" w:rsidR="0056738E" w:rsidRPr="00295155" w:rsidRDefault="0056738E" w:rsidP="007C2AEE">
            <w:pPr>
              <w:spacing w:after="0" w:line="240" w:lineRule="auto"/>
              <w:ind w:left="-138" w:right="-108"/>
              <w:jc w:val="center"/>
              <w:rPr>
                <w:rFonts w:ascii="Arial" w:eastAsia="Batang" w:hAnsi="Arial" w:cs="Arial"/>
                <w:b/>
                <w:color w:val="262626"/>
                <w:sz w:val="18"/>
                <w:szCs w:val="18"/>
                <w:lang w:val="el-GR" w:eastAsia="en-US"/>
              </w:rPr>
            </w:pPr>
            <w:r>
              <w:rPr>
                <w:rFonts w:ascii="Arial" w:eastAsia="Batang" w:hAnsi="Arial" w:cs="Arial"/>
                <w:b/>
                <w:color w:val="262626"/>
                <w:sz w:val="18"/>
                <w:szCs w:val="18"/>
                <w:lang w:val="el-GR" w:eastAsia="en-US"/>
              </w:rPr>
              <w:t>Ρευστότητας</w:t>
            </w:r>
          </w:p>
        </w:tc>
        <w:tc>
          <w:tcPr>
            <w:tcW w:w="2521" w:type="dxa"/>
            <w:gridSpan w:val="2"/>
            <w:vAlign w:val="center"/>
          </w:tcPr>
          <w:p w14:paraId="4BD97528" w14:textId="77777777" w:rsidR="0056738E" w:rsidRPr="00295155" w:rsidRDefault="0056738E" w:rsidP="007C2AEE">
            <w:pPr>
              <w:spacing w:after="0" w:line="240" w:lineRule="auto"/>
              <w:jc w:val="center"/>
              <w:rPr>
                <w:rFonts w:ascii="Arial" w:eastAsia="Batang" w:hAnsi="Arial" w:cs="Arial"/>
                <w:b/>
                <w:color w:val="262626"/>
                <w:sz w:val="18"/>
                <w:szCs w:val="18"/>
                <w:lang w:val="el-GR" w:eastAsia="en-US"/>
              </w:rPr>
            </w:pPr>
            <w:r>
              <w:rPr>
                <w:rFonts w:ascii="Arial" w:eastAsia="Batang" w:hAnsi="Arial" w:cs="Arial"/>
                <w:b/>
                <w:color w:val="262626"/>
                <w:sz w:val="18"/>
                <w:szCs w:val="18"/>
                <w:lang w:val="el-GR" w:eastAsia="en-US"/>
              </w:rPr>
              <w:t>Α</w:t>
            </w:r>
            <w:r w:rsidRPr="00295155">
              <w:rPr>
                <w:rFonts w:ascii="Arial" w:eastAsia="Batang" w:hAnsi="Arial" w:cs="Arial"/>
                <w:b/>
                <w:color w:val="262626"/>
                <w:sz w:val="18"/>
                <w:szCs w:val="18"/>
                <w:lang w:val="el-GR" w:eastAsia="en-US"/>
              </w:rPr>
              <w:t xml:space="preserve">ποθεματικά </w:t>
            </w:r>
            <w:r>
              <w:rPr>
                <w:rFonts w:ascii="Arial" w:eastAsia="Batang" w:hAnsi="Arial" w:cs="Arial"/>
                <w:b/>
                <w:color w:val="262626"/>
                <w:sz w:val="18"/>
                <w:szCs w:val="18"/>
                <w:lang w:val="el-GR" w:eastAsia="en-US"/>
              </w:rPr>
              <w:t xml:space="preserve">ρευστότητας </w:t>
            </w:r>
            <w:r w:rsidRPr="00295155">
              <w:rPr>
                <w:rFonts w:ascii="Arial" w:eastAsia="Batang" w:hAnsi="Arial" w:cs="Arial"/>
                <w:b/>
                <w:color w:val="262626"/>
                <w:sz w:val="18"/>
                <w:szCs w:val="18"/>
                <w:lang w:val="el-GR" w:eastAsia="en-US"/>
              </w:rPr>
              <w:t>βάσ</w:t>
            </w:r>
            <w:r>
              <w:rPr>
                <w:rFonts w:ascii="Arial" w:eastAsia="Batang" w:hAnsi="Arial" w:cs="Arial"/>
                <w:b/>
                <w:color w:val="262626"/>
                <w:sz w:val="18"/>
                <w:szCs w:val="18"/>
                <w:lang w:val="el-GR" w:eastAsia="en-US"/>
              </w:rPr>
              <w:t>ει</w:t>
            </w:r>
            <w:r w:rsidRPr="00295155">
              <w:rPr>
                <w:rFonts w:ascii="Arial" w:eastAsia="Batang" w:hAnsi="Arial" w:cs="Arial"/>
                <w:b/>
                <w:color w:val="262626"/>
                <w:sz w:val="18"/>
                <w:szCs w:val="18"/>
                <w:lang w:val="el-GR" w:eastAsia="en-US"/>
              </w:rPr>
              <w:t xml:space="preserve"> του</w:t>
            </w:r>
            <w:r>
              <w:rPr>
                <w:rFonts w:ascii="Arial" w:eastAsia="Batang" w:hAnsi="Arial" w:cs="Arial"/>
                <w:b/>
                <w:color w:val="262626"/>
                <w:sz w:val="18"/>
                <w:szCs w:val="18"/>
                <w:lang w:val="el-GR" w:eastAsia="en-US"/>
              </w:rPr>
              <w:t xml:space="preserve"> ΔΚΡ</w:t>
            </w:r>
            <w:r w:rsidRPr="00295155">
              <w:rPr>
                <w:rFonts w:ascii="Arial" w:eastAsia="Batang" w:hAnsi="Arial" w:cs="Arial"/>
                <w:b/>
                <w:color w:val="262626"/>
                <w:sz w:val="18"/>
                <w:szCs w:val="18"/>
                <w:lang w:val="el-GR" w:eastAsia="en-US"/>
              </w:rPr>
              <w:t xml:space="preserve"> κατ’ εξουσιοδότηση Κανονισμού (ΕΕ) 2015/61</w:t>
            </w:r>
          </w:p>
        </w:tc>
        <w:tc>
          <w:tcPr>
            <w:tcW w:w="1276" w:type="dxa"/>
            <w:vMerge w:val="restart"/>
            <w:vAlign w:val="center"/>
          </w:tcPr>
          <w:p w14:paraId="70705373" w14:textId="77777777" w:rsidR="0056738E" w:rsidRDefault="0056738E" w:rsidP="007C2AEE">
            <w:pPr>
              <w:spacing w:after="0" w:line="240" w:lineRule="auto"/>
              <w:jc w:val="center"/>
              <w:rPr>
                <w:rFonts w:ascii="Arial" w:eastAsia="Batang" w:hAnsi="Arial" w:cs="Arial"/>
                <w:color w:val="262626"/>
                <w:sz w:val="18"/>
                <w:szCs w:val="18"/>
                <w:lang w:val="el-GR" w:eastAsia="en-US"/>
              </w:rPr>
            </w:pPr>
            <w:r>
              <w:rPr>
                <w:rFonts w:ascii="Arial" w:eastAsia="Batang" w:hAnsi="Arial" w:cs="Arial"/>
                <w:color w:val="262626"/>
                <w:sz w:val="18"/>
                <w:szCs w:val="18"/>
                <w:lang w:val="el-GR" w:eastAsia="en-US"/>
              </w:rPr>
              <w:t>Εσωτερικά Α</w:t>
            </w:r>
            <w:r w:rsidRPr="00295155">
              <w:rPr>
                <w:rFonts w:ascii="Arial" w:eastAsia="Batang" w:hAnsi="Arial" w:cs="Arial"/>
                <w:color w:val="262626"/>
                <w:sz w:val="18"/>
                <w:szCs w:val="18"/>
                <w:lang w:val="el-GR" w:eastAsia="en-US"/>
              </w:rPr>
              <w:t>ποθεματικά</w:t>
            </w:r>
          </w:p>
          <w:p w14:paraId="203E4D67" w14:textId="77777777" w:rsidR="0056738E" w:rsidRPr="00295155" w:rsidRDefault="0056738E" w:rsidP="007C2AEE">
            <w:pPr>
              <w:spacing w:after="0" w:line="240" w:lineRule="auto"/>
              <w:jc w:val="center"/>
              <w:rPr>
                <w:rFonts w:ascii="Arial" w:eastAsia="Batang" w:hAnsi="Arial" w:cs="Arial"/>
                <w:color w:val="262626"/>
                <w:sz w:val="18"/>
                <w:szCs w:val="18"/>
                <w:lang w:val="el-GR" w:eastAsia="en-US"/>
              </w:rPr>
            </w:pPr>
            <w:r>
              <w:rPr>
                <w:rFonts w:ascii="Arial" w:eastAsia="Batang" w:hAnsi="Arial" w:cs="Arial"/>
                <w:color w:val="262626"/>
                <w:sz w:val="18"/>
                <w:szCs w:val="18"/>
                <w:lang w:val="el-GR" w:eastAsia="en-US"/>
              </w:rPr>
              <w:t>Ρευστότητας</w:t>
            </w:r>
          </w:p>
        </w:tc>
        <w:tc>
          <w:tcPr>
            <w:tcW w:w="2551" w:type="dxa"/>
            <w:gridSpan w:val="2"/>
            <w:vAlign w:val="center"/>
          </w:tcPr>
          <w:p w14:paraId="112C2E2E" w14:textId="77777777" w:rsidR="0056738E" w:rsidRDefault="0056738E" w:rsidP="007C2AEE">
            <w:pPr>
              <w:spacing w:after="0" w:line="240" w:lineRule="auto"/>
              <w:jc w:val="center"/>
              <w:rPr>
                <w:rFonts w:ascii="Arial" w:eastAsia="Batang" w:hAnsi="Arial" w:cs="Arial"/>
                <w:color w:val="262626"/>
                <w:sz w:val="18"/>
                <w:szCs w:val="18"/>
                <w:lang w:val="el-GR" w:eastAsia="en-US"/>
              </w:rPr>
            </w:pPr>
            <w:r>
              <w:rPr>
                <w:rFonts w:ascii="Arial" w:eastAsia="Batang" w:hAnsi="Arial" w:cs="Arial"/>
                <w:color w:val="262626"/>
                <w:sz w:val="18"/>
                <w:szCs w:val="18"/>
                <w:lang w:val="el-GR" w:eastAsia="en-US"/>
              </w:rPr>
              <w:t>Α</w:t>
            </w:r>
            <w:r w:rsidRPr="00295155">
              <w:rPr>
                <w:rFonts w:ascii="Arial" w:eastAsia="Batang" w:hAnsi="Arial" w:cs="Arial"/>
                <w:color w:val="262626"/>
                <w:sz w:val="18"/>
                <w:szCs w:val="18"/>
                <w:lang w:val="el-GR" w:eastAsia="en-US"/>
              </w:rPr>
              <w:t xml:space="preserve">ποθεματικά </w:t>
            </w:r>
            <w:r>
              <w:rPr>
                <w:rFonts w:ascii="Arial" w:eastAsia="Batang" w:hAnsi="Arial" w:cs="Arial"/>
                <w:color w:val="262626"/>
                <w:sz w:val="18"/>
                <w:szCs w:val="18"/>
                <w:lang w:val="el-GR" w:eastAsia="en-US"/>
              </w:rPr>
              <w:t xml:space="preserve">ρευστότητας </w:t>
            </w:r>
            <w:r w:rsidRPr="00295155">
              <w:rPr>
                <w:rFonts w:ascii="Arial" w:eastAsia="Batang" w:hAnsi="Arial" w:cs="Arial"/>
                <w:color w:val="262626"/>
                <w:sz w:val="18"/>
                <w:szCs w:val="18"/>
                <w:lang w:val="el-GR" w:eastAsia="en-US"/>
              </w:rPr>
              <w:t>βάσ</w:t>
            </w:r>
            <w:r>
              <w:rPr>
                <w:rFonts w:ascii="Arial" w:eastAsia="Batang" w:hAnsi="Arial" w:cs="Arial"/>
                <w:color w:val="262626"/>
                <w:sz w:val="18"/>
                <w:szCs w:val="18"/>
                <w:lang w:val="el-GR" w:eastAsia="en-US"/>
              </w:rPr>
              <w:t>ει</w:t>
            </w:r>
            <w:r w:rsidRPr="00295155">
              <w:rPr>
                <w:rFonts w:ascii="Arial" w:eastAsia="Batang" w:hAnsi="Arial" w:cs="Arial"/>
                <w:color w:val="262626"/>
                <w:sz w:val="18"/>
                <w:szCs w:val="18"/>
                <w:lang w:val="el-GR" w:eastAsia="en-US"/>
              </w:rPr>
              <w:t xml:space="preserve"> του</w:t>
            </w:r>
            <w:r>
              <w:rPr>
                <w:rFonts w:ascii="Arial" w:eastAsia="Batang" w:hAnsi="Arial" w:cs="Arial"/>
                <w:color w:val="262626"/>
                <w:sz w:val="18"/>
                <w:szCs w:val="18"/>
                <w:lang w:val="el-GR" w:eastAsia="en-US"/>
              </w:rPr>
              <w:t xml:space="preserve"> ΔΚΡ</w:t>
            </w:r>
            <w:r w:rsidRPr="00295155">
              <w:rPr>
                <w:rFonts w:ascii="Arial" w:eastAsia="Batang" w:hAnsi="Arial" w:cs="Arial"/>
                <w:color w:val="262626"/>
                <w:sz w:val="18"/>
                <w:szCs w:val="18"/>
                <w:lang w:val="el-GR" w:eastAsia="en-US"/>
              </w:rPr>
              <w:t xml:space="preserve"> κατ’ εξουσιοδότηση </w:t>
            </w:r>
          </w:p>
          <w:p w14:paraId="66F4524E" w14:textId="77777777" w:rsidR="0056738E" w:rsidRPr="00295155" w:rsidRDefault="0056738E" w:rsidP="007C2AEE">
            <w:pPr>
              <w:spacing w:after="0" w:line="240" w:lineRule="auto"/>
              <w:jc w:val="center"/>
              <w:rPr>
                <w:rFonts w:ascii="Arial" w:eastAsia="Batang" w:hAnsi="Arial" w:cs="Arial"/>
                <w:color w:val="262626"/>
                <w:sz w:val="18"/>
                <w:szCs w:val="18"/>
                <w:lang w:val="el-GR" w:eastAsia="en-US"/>
              </w:rPr>
            </w:pPr>
            <w:r w:rsidRPr="00295155">
              <w:rPr>
                <w:rFonts w:ascii="Arial" w:eastAsia="Batang" w:hAnsi="Arial" w:cs="Arial"/>
                <w:color w:val="262626"/>
                <w:sz w:val="18"/>
                <w:szCs w:val="18"/>
                <w:lang w:val="el-GR" w:eastAsia="en-US"/>
              </w:rPr>
              <w:t>Κανονισμού (ΕΕ) 2015/61</w:t>
            </w:r>
          </w:p>
        </w:tc>
      </w:tr>
      <w:tr w:rsidR="0056738E" w:rsidRPr="00295155" w14:paraId="7E3F0664" w14:textId="77777777" w:rsidTr="007C2AEE">
        <w:trPr>
          <w:trHeight w:val="340"/>
          <w:jc w:val="center"/>
        </w:trPr>
        <w:tc>
          <w:tcPr>
            <w:tcW w:w="2324" w:type="dxa"/>
            <w:vMerge/>
            <w:vAlign w:val="center"/>
          </w:tcPr>
          <w:p w14:paraId="0050208D" w14:textId="77777777" w:rsidR="0056738E" w:rsidRPr="00295155" w:rsidRDefault="0056738E" w:rsidP="007C2AEE">
            <w:pPr>
              <w:spacing w:after="0" w:line="240" w:lineRule="auto"/>
              <w:jc w:val="center"/>
              <w:rPr>
                <w:rFonts w:ascii="Arial" w:eastAsia="Batang" w:hAnsi="Arial" w:cs="Arial"/>
                <w:color w:val="262626"/>
                <w:sz w:val="18"/>
                <w:szCs w:val="18"/>
                <w:lang w:val="el-GR" w:eastAsia="en-US"/>
              </w:rPr>
            </w:pPr>
          </w:p>
        </w:tc>
        <w:tc>
          <w:tcPr>
            <w:tcW w:w="1246" w:type="dxa"/>
            <w:vMerge/>
            <w:vAlign w:val="center"/>
          </w:tcPr>
          <w:p w14:paraId="1CFD7DB1" w14:textId="77777777" w:rsidR="0056738E" w:rsidRPr="00295155" w:rsidRDefault="0056738E" w:rsidP="007C2AEE">
            <w:pPr>
              <w:spacing w:after="0" w:line="240" w:lineRule="auto"/>
              <w:jc w:val="center"/>
              <w:rPr>
                <w:rFonts w:ascii="Arial" w:eastAsia="Batang" w:hAnsi="Arial" w:cs="Arial"/>
                <w:b/>
                <w:color w:val="262626"/>
                <w:sz w:val="18"/>
                <w:szCs w:val="18"/>
                <w:lang w:val="el-GR" w:eastAsia="en-US"/>
              </w:rPr>
            </w:pPr>
          </w:p>
        </w:tc>
        <w:tc>
          <w:tcPr>
            <w:tcW w:w="1245" w:type="dxa"/>
            <w:vAlign w:val="center"/>
          </w:tcPr>
          <w:p w14:paraId="43CBB92E" w14:textId="77777777" w:rsidR="0056738E" w:rsidRPr="00295155" w:rsidRDefault="0056738E" w:rsidP="007C2AEE">
            <w:pPr>
              <w:spacing w:after="0" w:line="240" w:lineRule="auto"/>
              <w:ind w:left="-145" w:right="-110"/>
              <w:jc w:val="center"/>
              <w:rPr>
                <w:rFonts w:ascii="Arial" w:eastAsia="Batang" w:hAnsi="Arial" w:cs="Arial"/>
                <w:b/>
                <w:color w:val="262626"/>
                <w:sz w:val="18"/>
                <w:szCs w:val="18"/>
                <w:lang w:eastAsia="en-US"/>
              </w:rPr>
            </w:pPr>
            <w:r w:rsidRPr="00295155">
              <w:rPr>
                <w:rFonts w:ascii="Arial" w:eastAsia="Batang" w:hAnsi="Arial" w:cs="Arial"/>
                <w:b/>
                <w:color w:val="262626"/>
                <w:sz w:val="18"/>
                <w:szCs w:val="18"/>
                <w:lang w:val="el-GR" w:eastAsia="en-US"/>
              </w:rPr>
              <w:t>Επίπεδο</w:t>
            </w:r>
            <w:r w:rsidRPr="00295155">
              <w:rPr>
                <w:rFonts w:ascii="Arial" w:eastAsia="Batang" w:hAnsi="Arial" w:cs="Arial"/>
                <w:b/>
                <w:color w:val="262626"/>
                <w:sz w:val="18"/>
                <w:szCs w:val="18"/>
                <w:lang w:eastAsia="en-US"/>
              </w:rPr>
              <w:t xml:space="preserve"> 1</w:t>
            </w:r>
          </w:p>
        </w:tc>
        <w:tc>
          <w:tcPr>
            <w:tcW w:w="1276" w:type="dxa"/>
            <w:vAlign w:val="center"/>
          </w:tcPr>
          <w:p w14:paraId="798C05AE" w14:textId="77777777" w:rsidR="0056738E" w:rsidRDefault="0056738E" w:rsidP="007C2AEE">
            <w:pPr>
              <w:spacing w:after="0" w:line="240" w:lineRule="auto"/>
              <w:ind w:left="-114" w:right="-104"/>
              <w:jc w:val="center"/>
              <w:rPr>
                <w:rFonts w:ascii="Arial" w:eastAsia="Batang" w:hAnsi="Arial" w:cs="Arial"/>
                <w:b/>
                <w:color w:val="262626"/>
                <w:sz w:val="18"/>
                <w:szCs w:val="18"/>
                <w:lang w:val="el-GR" w:eastAsia="en-US"/>
              </w:rPr>
            </w:pPr>
            <w:r w:rsidRPr="00295155">
              <w:rPr>
                <w:rFonts w:ascii="Arial" w:eastAsia="Batang" w:hAnsi="Arial" w:cs="Arial"/>
                <w:b/>
                <w:color w:val="262626"/>
                <w:sz w:val="18"/>
                <w:szCs w:val="18"/>
                <w:lang w:val="el-GR" w:eastAsia="en-US"/>
              </w:rPr>
              <w:t>Επίπεδο</w:t>
            </w:r>
            <w:r w:rsidRPr="00295155">
              <w:rPr>
                <w:rFonts w:ascii="Arial" w:eastAsia="Batang" w:hAnsi="Arial" w:cs="Arial"/>
                <w:b/>
                <w:color w:val="262626"/>
                <w:sz w:val="18"/>
                <w:szCs w:val="18"/>
                <w:lang w:eastAsia="en-US"/>
              </w:rPr>
              <w:t xml:space="preserve"> </w:t>
            </w:r>
          </w:p>
          <w:p w14:paraId="0BC2DA9A" w14:textId="77777777" w:rsidR="0056738E" w:rsidRPr="00295155" w:rsidRDefault="0056738E" w:rsidP="007C2AEE">
            <w:pPr>
              <w:spacing w:after="0" w:line="240" w:lineRule="auto"/>
              <w:ind w:left="-114" w:right="-104"/>
              <w:jc w:val="center"/>
              <w:rPr>
                <w:rFonts w:ascii="Arial" w:eastAsia="Batang" w:hAnsi="Arial" w:cs="Arial"/>
                <w:b/>
                <w:color w:val="262626"/>
                <w:sz w:val="18"/>
                <w:szCs w:val="18"/>
                <w:lang w:eastAsia="en-US"/>
              </w:rPr>
            </w:pPr>
            <w:r w:rsidRPr="00295155">
              <w:rPr>
                <w:rFonts w:ascii="Arial" w:eastAsia="Batang" w:hAnsi="Arial" w:cs="Arial"/>
                <w:b/>
                <w:color w:val="262626"/>
                <w:sz w:val="18"/>
                <w:szCs w:val="18"/>
                <w:lang w:eastAsia="en-US"/>
              </w:rPr>
              <w:t>2A</w:t>
            </w:r>
            <w:r>
              <w:rPr>
                <w:rFonts w:ascii="Arial" w:eastAsia="Batang" w:hAnsi="Arial" w:cs="Arial"/>
                <w:b/>
                <w:color w:val="262626"/>
                <w:sz w:val="18"/>
                <w:szCs w:val="18"/>
                <w:lang w:val="el-GR" w:eastAsia="en-US"/>
              </w:rPr>
              <w:t xml:space="preserve"> </w:t>
            </w:r>
            <w:r>
              <w:rPr>
                <w:rFonts w:ascii="Arial" w:eastAsia="Batang" w:hAnsi="Arial" w:cs="Arial"/>
                <w:b/>
                <w:color w:val="262626"/>
                <w:sz w:val="18"/>
                <w:szCs w:val="18"/>
                <w:lang w:eastAsia="en-US"/>
              </w:rPr>
              <w:t>&amp; 2B</w:t>
            </w:r>
          </w:p>
        </w:tc>
        <w:tc>
          <w:tcPr>
            <w:tcW w:w="1276" w:type="dxa"/>
            <w:vMerge/>
            <w:vAlign w:val="center"/>
          </w:tcPr>
          <w:p w14:paraId="4D48F91F" w14:textId="77777777" w:rsidR="0056738E" w:rsidRPr="00295155" w:rsidRDefault="0056738E" w:rsidP="007C2AEE">
            <w:pPr>
              <w:spacing w:after="0" w:line="240" w:lineRule="auto"/>
              <w:jc w:val="center"/>
              <w:rPr>
                <w:rFonts w:ascii="Arial" w:eastAsia="Batang" w:hAnsi="Arial" w:cs="Arial"/>
                <w:color w:val="262626"/>
                <w:sz w:val="18"/>
                <w:szCs w:val="18"/>
                <w:lang w:eastAsia="en-US"/>
              </w:rPr>
            </w:pPr>
          </w:p>
        </w:tc>
        <w:tc>
          <w:tcPr>
            <w:tcW w:w="1275" w:type="dxa"/>
            <w:vAlign w:val="center"/>
          </w:tcPr>
          <w:p w14:paraId="0389F66D" w14:textId="77777777" w:rsidR="0056738E" w:rsidRPr="00295155" w:rsidRDefault="0056738E" w:rsidP="007C2AEE">
            <w:pPr>
              <w:spacing w:after="0" w:line="240" w:lineRule="auto"/>
              <w:jc w:val="center"/>
              <w:rPr>
                <w:rFonts w:ascii="Arial" w:eastAsia="Batang" w:hAnsi="Arial" w:cs="Arial"/>
                <w:color w:val="262626"/>
                <w:sz w:val="18"/>
                <w:szCs w:val="18"/>
                <w:lang w:eastAsia="en-US"/>
              </w:rPr>
            </w:pPr>
            <w:r w:rsidRPr="00295155">
              <w:rPr>
                <w:rFonts w:ascii="Arial" w:eastAsia="Batang" w:hAnsi="Arial" w:cs="Arial"/>
                <w:color w:val="262626"/>
                <w:sz w:val="18"/>
                <w:szCs w:val="18"/>
                <w:lang w:val="el-GR" w:eastAsia="en-US"/>
              </w:rPr>
              <w:t>Επίπεδο</w:t>
            </w:r>
            <w:r w:rsidRPr="00295155">
              <w:rPr>
                <w:rFonts w:ascii="Arial" w:eastAsia="Batang" w:hAnsi="Arial" w:cs="Arial"/>
                <w:color w:val="262626"/>
                <w:sz w:val="18"/>
                <w:szCs w:val="18"/>
                <w:lang w:eastAsia="en-US"/>
              </w:rPr>
              <w:t xml:space="preserve"> 1</w:t>
            </w:r>
          </w:p>
        </w:tc>
        <w:tc>
          <w:tcPr>
            <w:tcW w:w="1276" w:type="dxa"/>
            <w:vAlign w:val="center"/>
          </w:tcPr>
          <w:p w14:paraId="5EBF771B" w14:textId="77777777" w:rsidR="0056738E" w:rsidRDefault="0056738E" w:rsidP="007C2AEE">
            <w:pPr>
              <w:spacing w:after="0" w:line="240" w:lineRule="auto"/>
              <w:jc w:val="center"/>
              <w:rPr>
                <w:rFonts w:ascii="Arial" w:eastAsia="Batang" w:hAnsi="Arial" w:cs="Arial"/>
                <w:color w:val="262626"/>
                <w:sz w:val="18"/>
                <w:szCs w:val="18"/>
                <w:lang w:val="el-GR" w:eastAsia="en-US"/>
              </w:rPr>
            </w:pPr>
            <w:r w:rsidRPr="00295155">
              <w:rPr>
                <w:rFonts w:ascii="Arial" w:eastAsia="Batang" w:hAnsi="Arial" w:cs="Arial"/>
                <w:color w:val="262626"/>
                <w:sz w:val="18"/>
                <w:szCs w:val="18"/>
                <w:lang w:val="el-GR" w:eastAsia="en-US"/>
              </w:rPr>
              <w:t>Επίπεδο</w:t>
            </w:r>
            <w:r w:rsidRPr="00295155">
              <w:rPr>
                <w:rFonts w:ascii="Arial" w:eastAsia="Batang" w:hAnsi="Arial" w:cs="Arial"/>
                <w:color w:val="262626"/>
                <w:sz w:val="18"/>
                <w:szCs w:val="18"/>
                <w:lang w:eastAsia="en-US"/>
              </w:rPr>
              <w:t xml:space="preserve"> </w:t>
            </w:r>
          </w:p>
          <w:p w14:paraId="724939E5" w14:textId="77777777" w:rsidR="0056738E" w:rsidRPr="00295155" w:rsidRDefault="0056738E" w:rsidP="007C2AEE">
            <w:pPr>
              <w:spacing w:after="0" w:line="240" w:lineRule="auto"/>
              <w:jc w:val="center"/>
              <w:rPr>
                <w:rFonts w:ascii="Arial" w:eastAsia="Batang" w:hAnsi="Arial" w:cs="Arial"/>
                <w:color w:val="262626"/>
                <w:sz w:val="18"/>
                <w:szCs w:val="18"/>
                <w:lang w:eastAsia="en-US"/>
              </w:rPr>
            </w:pPr>
            <w:r w:rsidRPr="00295155">
              <w:rPr>
                <w:rFonts w:ascii="Arial" w:eastAsia="Batang" w:hAnsi="Arial" w:cs="Arial"/>
                <w:color w:val="262626"/>
                <w:sz w:val="18"/>
                <w:szCs w:val="18"/>
                <w:lang w:eastAsia="en-US"/>
              </w:rPr>
              <w:t>2A</w:t>
            </w:r>
            <w:r w:rsidRPr="00DD2BC2">
              <w:rPr>
                <w:rFonts w:ascii="Arial" w:eastAsia="Batang" w:hAnsi="Arial" w:cs="Arial"/>
                <w:bCs/>
                <w:color w:val="262626"/>
                <w:sz w:val="18"/>
                <w:szCs w:val="18"/>
                <w:lang w:eastAsia="en-US"/>
              </w:rPr>
              <w:t xml:space="preserve"> </w:t>
            </w:r>
            <w:r w:rsidRPr="00CD75B6">
              <w:rPr>
                <w:rFonts w:ascii="Arial" w:eastAsia="Batang" w:hAnsi="Arial" w:cs="Arial"/>
                <w:bCs/>
                <w:color w:val="262626"/>
                <w:sz w:val="18"/>
                <w:szCs w:val="18"/>
                <w:lang w:eastAsia="en-US"/>
              </w:rPr>
              <w:t>&amp; 2B</w:t>
            </w:r>
          </w:p>
        </w:tc>
      </w:tr>
      <w:tr w:rsidR="0056738E" w:rsidRPr="00295155" w14:paraId="2CE7291E" w14:textId="77777777" w:rsidTr="007C2AEE">
        <w:trPr>
          <w:trHeight w:val="255"/>
          <w:jc w:val="center"/>
        </w:trPr>
        <w:tc>
          <w:tcPr>
            <w:tcW w:w="2324" w:type="dxa"/>
            <w:vMerge/>
          </w:tcPr>
          <w:p w14:paraId="52E52270" w14:textId="77777777" w:rsidR="0056738E" w:rsidRPr="00295155" w:rsidRDefault="0056738E" w:rsidP="007C2AEE">
            <w:pPr>
              <w:spacing w:after="0" w:line="240" w:lineRule="auto"/>
              <w:rPr>
                <w:rFonts w:ascii="Arial" w:eastAsia="Batang" w:hAnsi="Arial" w:cs="Arial"/>
                <w:color w:val="262626"/>
                <w:sz w:val="18"/>
                <w:szCs w:val="18"/>
                <w:lang w:eastAsia="en-US"/>
              </w:rPr>
            </w:pPr>
          </w:p>
        </w:tc>
        <w:tc>
          <w:tcPr>
            <w:tcW w:w="1246" w:type="dxa"/>
            <w:shd w:val="clear" w:color="auto" w:fill="auto"/>
            <w:vAlign w:val="center"/>
          </w:tcPr>
          <w:p w14:paraId="3B67031F" w14:textId="77777777" w:rsidR="0056738E" w:rsidRPr="00295155" w:rsidRDefault="0056738E" w:rsidP="007C2AEE">
            <w:pPr>
              <w:spacing w:after="0" w:line="240" w:lineRule="auto"/>
              <w:jc w:val="center"/>
              <w:rPr>
                <w:rFonts w:ascii="Arial" w:eastAsia="Batang" w:hAnsi="Arial" w:cs="Arial"/>
                <w:b/>
                <w:color w:val="262626"/>
                <w:sz w:val="18"/>
                <w:szCs w:val="18"/>
                <w:lang w:eastAsia="en-US"/>
              </w:rPr>
            </w:pPr>
            <w:r w:rsidRPr="00295155">
              <w:rPr>
                <w:rFonts w:ascii="Arial" w:eastAsia="Batang" w:hAnsi="Arial" w:cs="Arial"/>
                <w:b/>
                <w:color w:val="262626"/>
                <w:sz w:val="18"/>
                <w:szCs w:val="18"/>
                <w:lang w:eastAsia="en-US"/>
              </w:rPr>
              <w:t>€000</w:t>
            </w:r>
          </w:p>
        </w:tc>
        <w:tc>
          <w:tcPr>
            <w:tcW w:w="1245" w:type="dxa"/>
            <w:shd w:val="clear" w:color="auto" w:fill="auto"/>
            <w:vAlign w:val="center"/>
          </w:tcPr>
          <w:p w14:paraId="79EF8D55" w14:textId="77777777" w:rsidR="0056738E" w:rsidRPr="00295155" w:rsidRDefault="0056738E" w:rsidP="007C2AEE">
            <w:pPr>
              <w:spacing w:after="0" w:line="240" w:lineRule="auto"/>
              <w:jc w:val="center"/>
              <w:rPr>
                <w:rFonts w:ascii="Arial" w:eastAsia="Batang" w:hAnsi="Arial" w:cs="Arial"/>
                <w:b/>
                <w:color w:val="262626"/>
                <w:sz w:val="18"/>
                <w:szCs w:val="18"/>
                <w:lang w:eastAsia="en-US"/>
              </w:rPr>
            </w:pPr>
            <w:r w:rsidRPr="00295155">
              <w:rPr>
                <w:rFonts w:ascii="Arial" w:eastAsia="Batang" w:hAnsi="Arial" w:cs="Arial"/>
                <w:b/>
                <w:color w:val="262626"/>
                <w:sz w:val="18"/>
                <w:szCs w:val="18"/>
                <w:lang w:eastAsia="en-US"/>
              </w:rPr>
              <w:t>€000</w:t>
            </w:r>
          </w:p>
        </w:tc>
        <w:tc>
          <w:tcPr>
            <w:tcW w:w="1276" w:type="dxa"/>
            <w:shd w:val="clear" w:color="auto" w:fill="auto"/>
            <w:vAlign w:val="center"/>
          </w:tcPr>
          <w:p w14:paraId="760DE43F" w14:textId="77777777" w:rsidR="0056738E" w:rsidRPr="00295155" w:rsidRDefault="0056738E" w:rsidP="007C2AEE">
            <w:pPr>
              <w:spacing w:after="0" w:line="240" w:lineRule="auto"/>
              <w:jc w:val="center"/>
              <w:rPr>
                <w:rFonts w:ascii="Arial" w:eastAsia="Batang" w:hAnsi="Arial" w:cs="Arial"/>
                <w:b/>
                <w:color w:val="262626"/>
                <w:sz w:val="18"/>
                <w:szCs w:val="18"/>
                <w:lang w:eastAsia="en-US"/>
              </w:rPr>
            </w:pPr>
            <w:r w:rsidRPr="00295155">
              <w:rPr>
                <w:rFonts w:ascii="Arial" w:eastAsia="Batang" w:hAnsi="Arial" w:cs="Arial"/>
                <w:b/>
                <w:color w:val="262626"/>
                <w:sz w:val="18"/>
                <w:szCs w:val="18"/>
                <w:lang w:eastAsia="en-US"/>
              </w:rPr>
              <w:t>€000</w:t>
            </w:r>
          </w:p>
        </w:tc>
        <w:tc>
          <w:tcPr>
            <w:tcW w:w="1276" w:type="dxa"/>
            <w:vAlign w:val="center"/>
          </w:tcPr>
          <w:p w14:paraId="0DFA3429" w14:textId="77777777" w:rsidR="0056738E" w:rsidRPr="00295155" w:rsidRDefault="0056738E" w:rsidP="007C2AEE">
            <w:pPr>
              <w:spacing w:after="0" w:line="240" w:lineRule="auto"/>
              <w:jc w:val="center"/>
              <w:rPr>
                <w:rFonts w:ascii="Arial" w:eastAsia="Batang" w:hAnsi="Arial" w:cs="Arial"/>
                <w:color w:val="262626"/>
                <w:sz w:val="18"/>
                <w:szCs w:val="18"/>
                <w:lang w:eastAsia="en-US"/>
              </w:rPr>
            </w:pPr>
            <w:r w:rsidRPr="00295155">
              <w:rPr>
                <w:rFonts w:ascii="Arial" w:eastAsia="Batang" w:hAnsi="Arial" w:cs="Arial"/>
                <w:color w:val="262626"/>
                <w:sz w:val="18"/>
                <w:szCs w:val="18"/>
                <w:lang w:eastAsia="en-US"/>
              </w:rPr>
              <w:t>€000</w:t>
            </w:r>
          </w:p>
        </w:tc>
        <w:tc>
          <w:tcPr>
            <w:tcW w:w="1275" w:type="dxa"/>
            <w:vAlign w:val="center"/>
          </w:tcPr>
          <w:p w14:paraId="52AFB254" w14:textId="77777777" w:rsidR="0056738E" w:rsidRPr="00295155" w:rsidRDefault="0056738E" w:rsidP="007C2AEE">
            <w:pPr>
              <w:spacing w:after="0" w:line="240" w:lineRule="auto"/>
              <w:jc w:val="center"/>
              <w:rPr>
                <w:rFonts w:ascii="Arial" w:eastAsia="Batang" w:hAnsi="Arial" w:cs="Arial"/>
                <w:color w:val="262626"/>
                <w:sz w:val="18"/>
                <w:szCs w:val="18"/>
                <w:lang w:eastAsia="en-US"/>
              </w:rPr>
            </w:pPr>
            <w:r w:rsidRPr="00295155">
              <w:rPr>
                <w:rFonts w:ascii="Arial" w:eastAsia="Batang" w:hAnsi="Arial" w:cs="Arial"/>
                <w:color w:val="262626"/>
                <w:sz w:val="18"/>
                <w:szCs w:val="18"/>
                <w:lang w:eastAsia="en-US"/>
              </w:rPr>
              <w:t>€000</w:t>
            </w:r>
          </w:p>
        </w:tc>
        <w:tc>
          <w:tcPr>
            <w:tcW w:w="1276" w:type="dxa"/>
            <w:vAlign w:val="center"/>
          </w:tcPr>
          <w:p w14:paraId="39592B84" w14:textId="77777777" w:rsidR="0056738E" w:rsidRPr="00295155" w:rsidRDefault="0056738E" w:rsidP="007C2AEE">
            <w:pPr>
              <w:spacing w:after="0" w:line="240" w:lineRule="auto"/>
              <w:jc w:val="center"/>
              <w:rPr>
                <w:rFonts w:ascii="Arial" w:eastAsia="Batang" w:hAnsi="Arial" w:cs="Arial"/>
                <w:color w:val="262626"/>
                <w:sz w:val="18"/>
                <w:szCs w:val="18"/>
                <w:lang w:eastAsia="en-US"/>
              </w:rPr>
            </w:pPr>
            <w:r w:rsidRPr="00295155">
              <w:rPr>
                <w:rFonts w:ascii="Arial" w:eastAsia="Batang" w:hAnsi="Arial" w:cs="Arial"/>
                <w:color w:val="262626"/>
                <w:sz w:val="18"/>
                <w:szCs w:val="18"/>
                <w:lang w:eastAsia="en-US"/>
              </w:rPr>
              <w:t>€000</w:t>
            </w:r>
          </w:p>
        </w:tc>
      </w:tr>
      <w:tr w:rsidR="0056738E" w:rsidRPr="00EA064F" w14:paraId="4791524D" w14:textId="77777777" w:rsidTr="007C2AEE">
        <w:trPr>
          <w:trHeight w:val="255"/>
          <w:jc w:val="center"/>
        </w:trPr>
        <w:tc>
          <w:tcPr>
            <w:tcW w:w="2324" w:type="dxa"/>
            <w:vAlign w:val="center"/>
          </w:tcPr>
          <w:p w14:paraId="3B212649" w14:textId="77777777" w:rsidR="0056738E" w:rsidRPr="00295155" w:rsidRDefault="0056738E" w:rsidP="007C2AEE">
            <w:pPr>
              <w:spacing w:after="0" w:line="240" w:lineRule="auto"/>
              <w:rPr>
                <w:rFonts w:ascii="Arial" w:eastAsia="Batang" w:hAnsi="Arial" w:cs="Arial"/>
                <w:color w:val="262626"/>
                <w:sz w:val="18"/>
                <w:szCs w:val="18"/>
                <w:lang w:val="el-GR" w:eastAsia="en-US"/>
              </w:rPr>
            </w:pPr>
            <w:r w:rsidRPr="00295155">
              <w:rPr>
                <w:rFonts w:ascii="Arial" w:eastAsia="Batang" w:hAnsi="Arial" w:cs="Arial"/>
                <w:color w:val="262626"/>
                <w:sz w:val="18"/>
                <w:szCs w:val="18"/>
                <w:lang w:val="el-GR" w:eastAsia="en-US"/>
              </w:rPr>
              <w:t>Μετρητά και καταθέσεις με κεντρικές τράπεζες</w:t>
            </w:r>
          </w:p>
        </w:tc>
        <w:tc>
          <w:tcPr>
            <w:tcW w:w="1246" w:type="dxa"/>
            <w:tcBorders>
              <w:bottom w:val="single" w:sz="4" w:space="0" w:color="BFBFBF"/>
            </w:tcBorders>
            <w:vAlign w:val="center"/>
          </w:tcPr>
          <w:p w14:paraId="01C695D1" w14:textId="77777777" w:rsidR="0056738E" w:rsidRPr="00A03828" w:rsidRDefault="0056738E" w:rsidP="007C2AEE">
            <w:pPr>
              <w:spacing w:after="0" w:line="240" w:lineRule="auto"/>
              <w:jc w:val="right"/>
              <w:rPr>
                <w:rFonts w:ascii="Arial" w:eastAsia="Batang" w:hAnsi="Arial" w:cs="Arial"/>
                <w:b/>
                <w:color w:val="262626"/>
                <w:sz w:val="18"/>
                <w:szCs w:val="18"/>
                <w:lang w:eastAsia="en-US"/>
              </w:rPr>
            </w:pPr>
            <w:r w:rsidRPr="00E81940">
              <w:rPr>
                <w:rFonts w:ascii="Arial" w:eastAsia="Batang" w:hAnsi="Arial" w:cs="Arial"/>
                <w:b/>
                <w:color w:val="262626"/>
                <w:sz w:val="18"/>
                <w:szCs w:val="18"/>
                <w:lang w:eastAsia="en-US"/>
              </w:rPr>
              <w:t>7,289,421</w:t>
            </w:r>
          </w:p>
        </w:tc>
        <w:tc>
          <w:tcPr>
            <w:tcW w:w="1245" w:type="dxa"/>
            <w:vAlign w:val="center"/>
          </w:tcPr>
          <w:p w14:paraId="3A6E177E" w14:textId="77777777" w:rsidR="0056738E" w:rsidRPr="00A03828" w:rsidRDefault="0056738E" w:rsidP="007C2AEE">
            <w:pPr>
              <w:spacing w:after="0" w:line="240" w:lineRule="auto"/>
              <w:ind w:left="-108"/>
              <w:jc w:val="right"/>
              <w:rPr>
                <w:rFonts w:ascii="Arial" w:eastAsia="Batang" w:hAnsi="Arial" w:cs="Arial"/>
                <w:b/>
                <w:color w:val="262626"/>
                <w:sz w:val="18"/>
                <w:szCs w:val="18"/>
                <w:lang w:eastAsia="en-US"/>
              </w:rPr>
            </w:pPr>
            <w:r w:rsidRPr="00E81940">
              <w:rPr>
                <w:rFonts w:ascii="Arial" w:eastAsia="Batang" w:hAnsi="Arial" w:cs="Arial"/>
                <w:b/>
                <w:color w:val="262626"/>
                <w:sz w:val="18"/>
                <w:szCs w:val="18"/>
                <w:lang w:eastAsia="en-US"/>
              </w:rPr>
              <w:t>7,289,421</w:t>
            </w:r>
          </w:p>
        </w:tc>
        <w:tc>
          <w:tcPr>
            <w:tcW w:w="1276" w:type="dxa"/>
            <w:vAlign w:val="center"/>
          </w:tcPr>
          <w:p w14:paraId="2C8808D4" w14:textId="77777777" w:rsidR="0056738E" w:rsidRPr="00A03828" w:rsidRDefault="0056738E" w:rsidP="007C2AEE">
            <w:pPr>
              <w:spacing w:after="0" w:line="240" w:lineRule="auto"/>
              <w:jc w:val="right"/>
              <w:rPr>
                <w:rFonts w:ascii="Arial" w:eastAsia="Batang" w:hAnsi="Arial" w:cs="Arial"/>
                <w:b/>
                <w:color w:val="262626"/>
                <w:sz w:val="18"/>
                <w:szCs w:val="18"/>
                <w:lang w:eastAsia="en-US"/>
              </w:rPr>
            </w:pPr>
            <w:r w:rsidRPr="00D504D5">
              <w:rPr>
                <w:rFonts w:ascii="Arial" w:eastAsia="Batang" w:hAnsi="Arial" w:cs="Arial"/>
                <w:b/>
                <w:color w:val="262626"/>
                <w:sz w:val="18"/>
                <w:szCs w:val="18"/>
                <w:lang w:eastAsia="en-US"/>
              </w:rPr>
              <w:t>-</w:t>
            </w:r>
          </w:p>
        </w:tc>
        <w:tc>
          <w:tcPr>
            <w:tcW w:w="1276" w:type="dxa"/>
            <w:tcBorders>
              <w:bottom w:val="single" w:sz="4" w:space="0" w:color="BFBFBF"/>
            </w:tcBorders>
            <w:vAlign w:val="center"/>
          </w:tcPr>
          <w:p w14:paraId="79C78581" w14:textId="77777777" w:rsidR="0056738E" w:rsidRPr="00E723B9" w:rsidRDefault="0056738E" w:rsidP="007C2AEE">
            <w:pPr>
              <w:spacing w:after="0" w:line="240" w:lineRule="auto"/>
              <w:jc w:val="right"/>
              <w:rPr>
                <w:rFonts w:ascii="Arial" w:eastAsia="Batang" w:hAnsi="Arial" w:cs="Arial"/>
                <w:color w:val="262626"/>
                <w:sz w:val="18"/>
                <w:szCs w:val="18"/>
                <w:lang w:val="el-GR" w:eastAsia="en-US"/>
              </w:rPr>
            </w:pPr>
            <w:r w:rsidRPr="002D1FED">
              <w:rPr>
                <w:rFonts w:ascii="Arial" w:eastAsia="Batang" w:hAnsi="Arial" w:cs="Arial"/>
                <w:bCs/>
                <w:color w:val="262626"/>
                <w:sz w:val="18"/>
                <w:szCs w:val="18"/>
                <w:lang w:eastAsia="en-US"/>
              </w:rPr>
              <w:t>9,428,052</w:t>
            </w:r>
          </w:p>
        </w:tc>
        <w:tc>
          <w:tcPr>
            <w:tcW w:w="1275" w:type="dxa"/>
            <w:vAlign w:val="center"/>
          </w:tcPr>
          <w:p w14:paraId="7659938E" w14:textId="77777777" w:rsidR="0056738E" w:rsidRPr="00E723B9" w:rsidRDefault="0056738E" w:rsidP="007C2AEE">
            <w:pPr>
              <w:spacing w:after="0" w:line="240" w:lineRule="auto"/>
              <w:jc w:val="right"/>
              <w:rPr>
                <w:rFonts w:ascii="Arial" w:eastAsia="Batang" w:hAnsi="Arial" w:cs="Arial"/>
                <w:color w:val="262626"/>
                <w:sz w:val="18"/>
                <w:szCs w:val="18"/>
                <w:lang w:val="el-GR" w:eastAsia="en-US"/>
              </w:rPr>
            </w:pPr>
            <w:r w:rsidRPr="002D1FED">
              <w:rPr>
                <w:rFonts w:ascii="Arial" w:eastAsia="Batang" w:hAnsi="Arial" w:cs="Arial"/>
                <w:bCs/>
                <w:color w:val="262626"/>
                <w:sz w:val="18"/>
                <w:szCs w:val="18"/>
                <w:lang w:eastAsia="en-US"/>
              </w:rPr>
              <w:t>9,428,052</w:t>
            </w:r>
          </w:p>
        </w:tc>
        <w:tc>
          <w:tcPr>
            <w:tcW w:w="1276" w:type="dxa"/>
            <w:vAlign w:val="center"/>
          </w:tcPr>
          <w:p w14:paraId="657EABCA" w14:textId="77777777" w:rsidR="0056738E" w:rsidRPr="00E723B9" w:rsidRDefault="0056738E" w:rsidP="007C2AEE">
            <w:pPr>
              <w:spacing w:after="0" w:line="240" w:lineRule="auto"/>
              <w:jc w:val="right"/>
              <w:rPr>
                <w:rFonts w:ascii="Arial" w:eastAsia="Batang" w:hAnsi="Arial" w:cs="Arial"/>
                <w:color w:val="262626"/>
                <w:sz w:val="18"/>
                <w:szCs w:val="18"/>
                <w:lang w:val="el-GR" w:eastAsia="en-US"/>
              </w:rPr>
            </w:pPr>
            <w:r w:rsidRPr="002D1FED">
              <w:rPr>
                <w:rFonts w:ascii="Arial" w:eastAsia="Batang" w:hAnsi="Arial" w:cs="Arial"/>
                <w:bCs/>
                <w:color w:val="262626"/>
                <w:sz w:val="18"/>
                <w:szCs w:val="18"/>
                <w:lang w:eastAsia="en-US"/>
              </w:rPr>
              <w:t>-</w:t>
            </w:r>
          </w:p>
        </w:tc>
      </w:tr>
      <w:tr w:rsidR="0056738E" w:rsidRPr="00EA064F" w14:paraId="06F49018" w14:textId="77777777" w:rsidTr="007C2AEE">
        <w:trPr>
          <w:trHeight w:val="255"/>
          <w:jc w:val="center"/>
        </w:trPr>
        <w:tc>
          <w:tcPr>
            <w:tcW w:w="2324" w:type="dxa"/>
            <w:vAlign w:val="center"/>
          </w:tcPr>
          <w:p w14:paraId="2D0F3FB9" w14:textId="77777777" w:rsidR="0056738E" w:rsidRPr="00295155" w:rsidRDefault="0056738E" w:rsidP="007C2AEE">
            <w:pPr>
              <w:spacing w:after="0" w:line="240" w:lineRule="auto"/>
              <w:rPr>
                <w:rFonts w:ascii="Arial" w:eastAsia="Batang" w:hAnsi="Arial" w:cs="Arial"/>
                <w:color w:val="262626"/>
                <w:sz w:val="18"/>
                <w:szCs w:val="18"/>
                <w:lang w:val="el-GR" w:eastAsia="en-US"/>
              </w:rPr>
            </w:pPr>
            <w:r>
              <w:rPr>
                <w:rFonts w:ascii="Arial" w:eastAsia="Batang" w:hAnsi="Arial" w:cs="Arial"/>
                <w:color w:val="262626"/>
                <w:sz w:val="18"/>
                <w:szCs w:val="18"/>
                <w:lang w:val="el-GR" w:eastAsia="en-US"/>
              </w:rPr>
              <w:t>Υπόλοιπα και κ</w:t>
            </w:r>
            <w:r w:rsidRPr="00295155">
              <w:rPr>
                <w:rFonts w:ascii="Arial" w:eastAsia="Batang" w:hAnsi="Arial" w:cs="Arial"/>
                <w:color w:val="262626"/>
                <w:sz w:val="18"/>
                <w:szCs w:val="18"/>
                <w:lang w:val="el-GR" w:eastAsia="en-US"/>
              </w:rPr>
              <w:t xml:space="preserve">αταθέσεις με τράπεζες </w:t>
            </w:r>
          </w:p>
        </w:tc>
        <w:tc>
          <w:tcPr>
            <w:tcW w:w="1246" w:type="dxa"/>
            <w:tcBorders>
              <w:bottom w:val="single" w:sz="4" w:space="0" w:color="BFBFBF"/>
            </w:tcBorders>
            <w:vAlign w:val="center"/>
          </w:tcPr>
          <w:p w14:paraId="3D0C5753" w14:textId="77777777" w:rsidR="0056738E" w:rsidRPr="00A03828" w:rsidRDefault="0056738E" w:rsidP="007C2AEE">
            <w:pPr>
              <w:spacing w:after="0" w:line="240" w:lineRule="auto"/>
              <w:jc w:val="right"/>
              <w:rPr>
                <w:rFonts w:ascii="Arial" w:eastAsia="Batang" w:hAnsi="Arial" w:cs="Arial"/>
                <w:b/>
                <w:color w:val="262626"/>
                <w:sz w:val="18"/>
                <w:szCs w:val="18"/>
                <w:lang w:eastAsia="en-US"/>
              </w:rPr>
            </w:pPr>
            <w:r w:rsidRPr="00E81940">
              <w:rPr>
                <w:rFonts w:ascii="Arial" w:eastAsia="Batang" w:hAnsi="Arial" w:cs="Arial"/>
                <w:b/>
                <w:color w:val="262626"/>
                <w:sz w:val="18"/>
                <w:szCs w:val="18"/>
                <w:lang w:eastAsia="en-US"/>
              </w:rPr>
              <w:t>182,666</w:t>
            </w:r>
          </w:p>
        </w:tc>
        <w:tc>
          <w:tcPr>
            <w:tcW w:w="1245" w:type="dxa"/>
            <w:vAlign w:val="center"/>
          </w:tcPr>
          <w:p w14:paraId="1D7EF10F" w14:textId="77777777" w:rsidR="0056738E" w:rsidRPr="00A03828" w:rsidRDefault="0056738E" w:rsidP="007C2AEE">
            <w:pPr>
              <w:spacing w:after="0" w:line="240" w:lineRule="auto"/>
              <w:jc w:val="right"/>
              <w:rPr>
                <w:rFonts w:ascii="Arial" w:eastAsia="Batang" w:hAnsi="Arial" w:cs="Arial"/>
                <w:b/>
                <w:color w:val="262626"/>
                <w:sz w:val="18"/>
                <w:szCs w:val="18"/>
                <w:lang w:eastAsia="en-US"/>
              </w:rPr>
            </w:pPr>
            <w:r w:rsidRPr="00D504D5">
              <w:rPr>
                <w:rFonts w:ascii="Arial" w:eastAsia="Batang" w:hAnsi="Arial" w:cs="Arial"/>
                <w:b/>
                <w:color w:val="262626"/>
                <w:sz w:val="18"/>
                <w:szCs w:val="18"/>
                <w:lang w:eastAsia="en-US"/>
              </w:rPr>
              <w:t>-</w:t>
            </w:r>
          </w:p>
        </w:tc>
        <w:tc>
          <w:tcPr>
            <w:tcW w:w="1276" w:type="dxa"/>
            <w:vAlign w:val="center"/>
          </w:tcPr>
          <w:p w14:paraId="29F28120" w14:textId="77777777" w:rsidR="0056738E" w:rsidRPr="00A03828" w:rsidRDefault="0056738E" w:rsidP="007C2AEE">
            <w:pPr>
              <w:spacing w:after="0" w:line="240" w:lineRule="auto"/>
              <w:jc w:val="right"/>
              <w:rPr>
                <w:rFonts w:ascii="Arial" w:eastAsia="Batang" w:hAnsi="Arial" w:cs="Arial"/>
                <w:b/>
                <w:color w:val="262626"/>
                <w:sz w:val="18"/>
                <w:szCs w:val="18"/>
                <w:lang w:eastAsia="en-US"/>
              </w:rPr>
            </w:pPr>
            <w:r w:rsidRPr="00D504D5">
              <w:rPr>
                <w:rFonts w:ascii="Arial" w:eastAsia="Batang" w:hAnsi="Arial" w:cs="Arial"/>
                <w:b/>
                <w:color w:val="262626"/>
                <w:sz w:val="18"/>
                <w:szCs w:val="18"/>
                <w:lang w:eastAsia="en-US"/>
              </w:rPr>
              <w:t>-</w:t>
            </w:r>
          </w:p>
        </w:tc>
        <w:tc>
          <w:tcPr>
            <w:tcW w:w="1276" w:type="dxa"/>
            <w:tcBorders>
              <w:bottom w:val="single" w:sz="4" w:space="0" w:color="BFBFBF"/>
            </w:tcBorders>
            <w:vAlign w:val="center"/>
          </w:tcPr>
          <w:p w14:paraId="575076B3" w14:textId="77777777" w:rsidR="0056738E" w:rsidRPr="00E723B9" w:rsidRDefault="0056738E" w:rsidP="007C2AEE">
            <w:pPr>
              <w:spacing w:after="0" w:line="240" w:lineRule="auto"/>
              <w:jc w:val="right"/>
              <w:rPr>
                <w:rFonts w:ascii="Arial" w:eastAsia="Batang" w:hAnsi="Arial" w:cs="Arial"/>
                <w:color w:val="262626"/>
                <w:sz w:val="18"/>
                <w:szCs w:val="18"/>
                <w:lang w:val="el-GR" w:eastAsia="en-US"/>
              </w:rPr>
            </w:pPr>
            <w:r w:rsidRPr="002D1FED">
              <w:rPr>
                <w:rFonts w:ascii="Arial" w:eastAsia="Batang" w:hAnsi="Arial" w:cs="Arial"/>
                <w:bCs/>
                <w:color w:val="262626"/>
                <w:sz w:val="18"/>
                <w:szCs w:val="18"/>
                <w:lang w:eastAsia="en-US"/>
              </w:rPr>
              <w:t>214,588</w:t>
            </w:r>
          </w:p>
        </w:tc>
        <w:tc>
          <w:tcPr>
            <w:tcW w:w="1275" w:type="dxa"/>
            <w:vAlign w:val="center"/>
          </w:tcPr>
          <w:p w14:paraId="44E69535" w14:textId="77777777" w:rsidR="0056738E" w:rsidRPr="00E723B9" w:rsidRDefault="0056738E" w:rsidP="007C2AEE">
            <w:pPr>
              <w:spacing w:after="0" w:line="240" w:lineRule="auto"/>
              <w:jc w:val="right"/>
              <w:rPr>
                <w:rFonts w:ascii="Arial" w:eastAsia="Batang" w:hAnsi="Arial" w:cs="Arial"/>
                <w:color w:val="262626"/>
                <w:sz w:val="18"/>
                <w:szCs w:val="18"/>
                <w:lang w:val="el-GR" w:eastAsia="en-US"/>
              </w:rPr>
            </w:pPr>
            <w:r w:rsidRPr="002D1FED">
              <w:rPr>
                <w:rFonts w:ascii="Arial" w:eastAsia="Batang" w:hAnsi="Arial" w:cs="Arial"/>
                <w:bCs/>
                <w:color w:val="262626"/>
                <w:sz w:val="18"/>
                <w:szCs w:val="18"/>
                <w:lang w:eastAsia="en-US"/>
              </w:rPr>
              <w:t>-</w:t>
            </w:r>
          </w:p>
        </w:tc>
        <w:tc>
          <w:tcPr>
            <w:tcW w:w="1276" w:type="dxa"/>
            <w:vAlign w:val="center"/>
          </w:tcPr>
          <w:p w14:paraId="5CF6E679" w14:textId="77777777" w:rsidR="0056738E" w:rsidRPr="00E723B9" w:rsidRDefault="0056738E" w:rsidP="007C2AEE">
            <w:pPr>
              <w:spacing w:after="0" w:line="240" w:lineRule="auto"/>
              <w:jc w:val="right"/>
              <w:rPr>
                <w:rFonts w:ascii="Arial" w:eastAsia="Batang" w:hAnsi="Arial" w:cs="Arial"/>
                <w:color w:val="262626"/>
                <w:sz w:val="18"/>
                <w:szCs w:val="18"/>
                <w:lang w:val="el-GR" w:eastAsia="en-US"/>
              </w:rPr>
            </w:pPr>
            <w:r w:rsidRPr="002D1FED">
              <w:rPr>
                <w:rFonts w:ascii="Arial" w:eastAsia="Batang" w:hAnsi="Arial" w:cs="Arial"/>
                <w:bCs/>
                <w:color w:val="262626"/>
                <w:sz w:val="18"/>
                <w:szCs w:val="18"/>
                <w:lang w:eastAsia="en-US"/>
              </w:rPr>
              <w:t>-</w:t>
            </w:r>
          </w:p>
        </w:tc>
      </w:tr>
      <w:tr w:rsidR="0056738E" w:rsidRPr="00295155" w14:paraId="04E737A6" w14:textId="77777777" w:rsidTr="007C2AEE">
        <w:trPr>
          <w:trHeight w:val="255"/>
          <w:jc w:val="center"/>
        </w:trPr>
        <w:tc>
          <w:tcPr>
            <w:tcW w:w="2324" w:type="dxa"/>
            <w:vAlign w:val="center"/>
          </w:tcPr>
          <w:p w14:paraId="6F489DEA" w14:textId="77777777" w:rsidR="0056738E" w:rsidRPr="00295155" w:rsidRDefault="0056738E" w:rsidP="007C2AEE">
            <w:pPr>
              <w:spacing w:after="0" w:line="240" w:lineRule="auto"/>
              <w:rPr>
                <w:rFonts w:ascii="Arial" w:eastAsia="Batang" w:hAnsi="Arial" w:cs="Arial"/>
                <w:color w:val="262626"/>
                <w:sz w:val="18"/>
                <w:szCs w:val="18"/>
                <w:lang w:eastAsia="en-US"/>
              </w:rPr>
            </w:pPr>
            <w:proofErr w:type="spellStart"/>
            <w:r w:rsidRPr="00295155">
              <w:rPr>
                <w:rFonts w:ascii="Arial" w:eastAsia="Batang" w:hAnsi="Arial" w:cs="Arial"/>
                <w:color w:val="262626"/>
                <w:sz w:val="18"/>
                <w:szCs w:val="18"/>
                <w:lang w:eastAsia="en-US"/>
              </w:rPr>
              <w:t>Εμ</w:t>
            </w:r>
            <w:proofErr w:type="spellEnd"/>
            <w:r w:rsidRPr="00295155">
              <w:rPr>
                <w:rFonts w:ascii="Arial" w:eastAsia="Batang" w:hAnsi="Arial" w:cs="Arial"/>
                <w:color w:val="262626"/>
                <w:sz w:val="18"/>
                <w:szCs w:val="18"/>
                <w:lang w:eastAsia="en-US"/>
              </w:rPr>
              <w:t>πορεύσιμες επ</w:t>
            </w:r>
            <w:proofErr w:type="spellStart"/>
            <w:r w:rsidRPr="00295155">
              <w:rPr>
                <w:rFonts w:ascii="Arial" w:eastAsia="Batang" w:hAnsi="Arial" w:cs="Arial"/>
                <w:color w:val="262626"/>
                <w:sz w:val="18"/>
                <w:szCs w:val="18"/>
                <w:lang w:eastAsia="en-US"/>
              </w:rPr>
              <w:t>ενδύσεις</w:t>
            </w:r>
            <w:proofErr w:type="spellEnd"/>
          </w:p>
        </w:tc>
        <w:tc>
          <w:tcPr>
            <w:tcW w:w="1246" w:type="dxa"/>
            <w:tcBorders>
              <w:top w:val="single" w:sz="4" w:space="0" w:color="BFBFBF"/>
              <w:bottom w:val="single" w:sz="4" w:space="0" w:color="BFBFBF"/>
            </w:tcBorders>
            <w:vAlign w:val="center"/>
          </w:tcPr>
          <w:p w14:paraId="4FDF18DC" w14:textId="77777777" w:rsidR="0056738E" w:rsidRPr="00A03828" w:rsidRDefault="0056738E" w:rsidP="007C2AEE">
            <w:pPr>
              <w:spacing w:after="0" w:line="240" w:lineRule="auto"/>
              <w:jc w:val="right"/>
              <w:rPr>
                <w:rFonts w:ascii="Arial" w:eastAsia="Batang" w:hAnsi="Arial" w:cs="Arial"/>
                <w:b/>
                <w:color w:val="262626"/>
                <w:sz w:val="18"/>
                <w:szCs w:val="18"/>
                <w:lang w:eastAsia="en-US"/>
              </w:rPr>
            </w:pPr>
            <w:r w:rsidRPr="00E81940">
              <w:rPr>
                <w:rFonts w:ascii="Arial" w:eastAsia="Batang" w:hAnsi="Arial" w:cs="Arial"/>
                <w:b/>
                <w:color w:val="262626"/>
                <w:sz w:val="18"/>
                <w:szCs w:val="18"/>
                <w:lang w:eastAsia="en-US"/>
              </w:rPr>
              <w:t>4,613,564</w:t>
            </w:r>
          </w:p>
        </w:tc>
        <w:tc>
          <w:tcPr>
            <w:tcW w:w="1245" w:type="dxa"/>
            <w:tcBorders>
              <w:bottom w:val="single" w:sz="4" w:space="0" w:color="BFBFBF"/>
            </w:tcBorders>
            <w:vAlign w:val="center"/>
          </w:tcPr>
          <w:p w14:paraId="3CC99DB1" w14:textId="77777777" w:rsidR="0056738E" w:rsidRPr="00A03828" w:rsidRDefault="0056738E" w:rsidP="007C2AEE">
            <w:pPr>
              <w:spacing w:after="0" w:line="240" w:lineRule="auto"/>
              <w:ind w:left="-108"/>
              <w:jc w:val="right"/>
              <w:rPr>
                <w:rFonts w:ascii="Arial" w:eastAsia="Batang" w:hAnsi="Arial" w:cs="Arial"/>
                <w:b/>
                <w:color w:val="262626"/>
                <w:sz w:val="18"/>
                <w:szCs w:val="18"/>
                <w:lang w:eastAsia="en-US"/>
              </w:rPr>
            </w:pPr>
            <w:r w:rsidRPr="00E81940">
              <w:rPr>
                <w:rFonts w:ascii="Arial" w:eastAsia="Batang" w:hAnsi="Arial" w:cs="Arial"/>
                <w:b/>
                <w:color w:val="262626"/>
                <w:sz w:val="18"/>
                <w:szCs w:val="18"/>
                <w:lang w:eastAsia="en-US"/>
              </w:rPr>
              <w:t>4,070,304</w:t>
            </w:r>
          </w:p>
        </w:tc>
        <w:tc>
          <w:tcPr>
            <w:tcW w:w="1276" w:type="dxa"/>
            <w:tcBorders>
              <w:bottom w:val="single" w:sz="4" w:space="0" w:color="BFBFBF"/>
            </w:tcBorders>
            <w:vAlign w:val="center"/>
          </w:tcPr>
          <w:p w14:paraId="1DB36D1D" w14:textId="77777777" w:rsidR="0056738E" w:rsidRPr="00A03828" w:rsidRDefault="0056738E" w:rsidP="007C2AEE">
            <w:pPr>
              <w:spacing w:after="0" w:line="240" w:lineRule="auto"/>
              <w:jc w:val="right"/>
              <w:rPr>
                <w:rFonts w:ascii="Arial" w:eastAsia="Batang" w:hAnsi="Arial" w:cs="Arial"/>
                <w:b/>
                <w:color w:val="262626"/>
                <w:sz w:val="18"/>
                <w:szCs w:val="18"/>
                <w:lang w:eastAsia="en-US"/>
              </w:rPr>
            </w:pPr>
            <w:r w:rsidRPr="00E81940">
              <w:rPr>
                <w:rFonts w:ascii="Arial" w:eastAsia="Batang" w:hAnsi="Arial" w:cs="Arial"/>
                <w:b/>
                <w:color w:val="262626"/>
                <w:sz w:val="18"/>
                <w:szCs w:val="18"/>
                <w:lang w:eastAsia="en-US"/>
              </w:rPr>
              <w:t>383,399</w:t>
            </w:r>
          </w:p>
        </w:tc>
        <w:tc>
          <w:tcPr>
            <w:tcW w:w="1276" w:type="dxa"/>
            <w:tcBorders>
              <w:top w:val="single" w:sz="4" w:space="0" w:color="BFBFBF"/>
              <w:bottom w:val="single" w:sz="4" w:space="0" w:color="BFBFBF"/>
            </w:tcBorders>
            <w:vAlign w:val="center"/>
          </w:tcPr>
          <w:p w14:paraId="076DB4E6" w14:textId="77777777" w:rsidR="0056738E" w:rsidRPr="00E723B9" w:rsidRDefault="0056738E" w:rsidP="007C2AEE">
            <w:pPr>
              <w:spacing w:after="0" w:line="240" w:lineRule="auto"/>
              <w:jc w:val="right"/>
              <w:rPr>
                <w:rFonts w:ascii="Arial" w:eastAsia="Batang" w:hAnsi="Arial" w:cs="Arial"/>
                <w:color w:val="262626"/>
                <w:sz w:val="18"/>
                <w:szCs w:val="18"/>
                <w:lang w:val="el-GR" w:eastAsia="en-US"/>
              </w:rPr>
            </w:pPr>
            <w:r w:rsidRPr="002D1FED">
              <w:rPr>
                <w:rFonts w:ascii="Arial" w:eastAsia="Batang" w:hAnsi="Arial" w:cs="Arial"/>
                <w:bCs/>
                <w:color w:val="262626"/>
                <w:sz w:val="18"/>
                <w:szCs w:val="18"/>
                <w:lang w:eastAsia="en-US"/>
              </w:rPr>
              <w:t>3,299,967</w:t>
            </w:r>
          </w:p>
        </w:tc>
        <w:tc>
          <w:tcPr>
            <w:tcW w:w="1275" w:type="dxa"/>
            <w:tcBorders>
              <w:bottom w:val="single" w:sz="4" w:space="0" w:color="BFBFBF"/>
            </w:tcBorders>
            <w:vAlign w:val="center"/>
          </w:tcPr>
          <w:p w14:paraId="16C19A59" w14:textId="77777777" w:rsidR="0056738E" w:rsidRPr="00E723B9" w:rsidRDefault="0056738E" w:rsidP="007C2AEE">
            <w:pPr>
              <w:spacing w:after="0" w:line="240" w:lineRule="auto"/>
              <w:jc w:val="right"/>
              <w:rPr>
                <w:rFonts w:ascii="Arial" w:eastAsia="Batang" w:hAnsi="Arial" w:cs="Arial"/>
                <w:color w:val="262626"/>
                <w:sz w:val="18"/>
                <w:szCs w:val="18"/>
                <w:lang w:val="el-GR" w:eastAsia="en-US"/>
              </w:rPr>
            </w:pPr>
            <w:r w:rsidRPr="002D1FED">
              <w:rPr>
                <w:rFonts w:ascii="Arial" w:eastAsia="Batang" w:hAnsi="Arial" w:cs="Arial"/>
                <w:bCs/>
                <w:color w:val="262626"/>
                <w:sz w:val="18"/>
                <w:szCs w:val="18"/>
                <w:lang w:eastAsia="en-US"/>
              </w:rPr>
              <w:t>2,801,667</w:t>
            </w:r>
          </w:p>
        </w:tc>
        <w:tc>
          <w:tcPr>
            <w:tcW w:w="1276" w:type="dxa"/>
            <w:tcBorders>
              <w:bottom w:val="single" w:sz="4" w:space="0" w:color="BFBFBF"/>
            </w:tcBorders>
            <w:vAlign w:val="center"/>
          </w:tcPr>
          <w:p w14:paraId="1C4B040D" w14:textId="77777777" w:rsidR="0056738E" w:rsidRPr="00E723B9" w:rsidRDefault="0056738E" w:rsidP="007C2AEE">
            <w:pPr>
              <w:spacing w:after="0" w:line="240" w:lineRule="auto"/>
              <w:jc w:val="right"/>
              <w:rPr>
                <w:rFonts w:ascii="Arial" w:eastAsia="Batang" w:hAnsi="Arial" w:cs="Arial"/>
                <w:color w:val="262626"/>
                <w:sz w:val="18"/>
                <w:szCs w:val="18"/>
                <w:lang w:val="el-GR" w:eastAsia="en-US"/>
              </w:rPr>
            </w:pPr>
            <w:r w:rsidRPr="002D1FED">
              <w:rPr>
                <w:rFonts w:ascii="Arial" w:eastAsia="Batang" w:hAnsi="Arial" w:cs="Arial"/>
                <w:bCs/>
                <w:color w:val="262626"/>
                <w:sz w:val="18"/>
                <w:szCs w:val="18"/>
                <w:lang w:eastAsia="en-US"/>
              </w:rPr>
              <w:t>354,128</w:t>
            </w:r>
          </w:p>
        </w:tc>
      </w:tr>
      <w:tr w:rsidR="0056738E" w:rsidRPr="00295155" w14:paraId="1F1B76F0" w14:textId="77777777" w:rsidTr="007C2AEE">
        <w:trPr>
          <w:trHeight w:val="255"/>
          <w:jc w:val="center"/>
        </w:trPr>
        <w:tc>
          <w:tcPr>
            <w:tcW w:w="2324" w:type="dxa"/>
            <w:vAlign w:val="center"/>
          </w:tcPr>
          <w:p w14:paraId="354E9560" w14:textId="77777777" w:rsidR="0056738E" w:rsidRPr="00295155" w:rsidRDefault="0056738E" w:rsidP="007C2AEE">
            <w:pPr>
              <w:spacing w:after="0" w:line="240" w:lineRule="auto"/>
              <w:rPr>
                <w:rFonts w:ascii="Arial" w:eastAsia="Batang" w:hAnsi="Arial" w:cs="Arial"/>
                <w:color w:val="262626"/>
                <w:sz w:val="18"/>
                <w:szCs w:val="18"/>
                <w:lang w:eastAsia="en-US"/>
              </w:rPr>
            </w:pPr>
            <w:proofErr w:type="spellStart"/>
            <w:r w:rsidRPr="00295155">
              <w:rPr>
                <w:rFonts w:ascii="Arial" w:eastAsia="Batang" w:hAnsi="Arial" w:cs="Arial"/>
                <w:color w:val="262626"/>
                <w:sz w:val="18"/>
                <w:szCs w:val="18"/>
                <w:lang w:eastAsia="en-US"/>
              </w:rPr>
              <w:t>Δι</w:t>
            </w:r>
            <w:proofErr w:type="spellEnd"/>
            <w:r w:rsidRPr="00295155">
              <w:rPr>
                <w:rFonts w:ascii="Arial" w:eastAsia="Batang" w:hAnsi="Arial" w:cs="Arial"/>
                <w:color w:val="262626"/>
                <w:sz w:val="18"/>
                <w:szCs w:val="18"/>
                <w:lang w:eastAsia="en-US"/>
              </w:rPr>
              <w:t xml:space="preserve">αθέσιμη </w:t>
            </w:r>
            <w:proofErr w:type="spellStart"/>
            <w:r w:rsidRPr="00295155">
              <w:rPr>
                <w:rFonts w:ascii="Arial" w:eastAsia="Batang" w:hAnsi="Arial" w:cs="Arial"/>
                <w:color w:val="262626"/>
                <w:sz w:val="18"/>
                <w:szCs w:val="18"/>
                <w:lang w:eastAsia="en-US"/>
              </w:rPr>
              <w:t>ρευστότητ</w:t>
            </w:r>
            <w:proofErr w:type="spellEnd"/>
            <w:r w:rsidRPr="00295155">
              <w:rPr>
                <w:rFonts w:ascii="Arial" w:eastAsia="Batang" w:hAnsi="Arial" w:cs="Arial"/>
                <w:color w:val="262626"/>
                <w:sz w:val="18"/>
                <w:szCs w:val="18"/>
                <w:lang w:eastAsia="en-US"/>
              </w:rPr>
              <w:t xml:space="preserve">α </w:t>
            </w:r>
            <w:proofErr w:type="spellStart"/>
            <w:r w:rsidRPr="00295155">
              <w:rPr>
                <w:rFonts w:ascii="Arial" w:eastAsia="Batang" w:hAnsi="Arial" w:cs="Arial"/>
                <w:color w:val="262626"/>
                <w:sz w:val="18"/>
                <w:szCs w:val="18"/>
                <w:lang w:eastAsia="en-US"/>
              </w:rPr>
              <w:t>με</w:t>
            </w:r>
            <w:proofErr w:type="spellEnd"/>
            <w:r w:rsidRPr="00295155">
              <w:rPr>
                <w:rFonts w:ascii="Arial" w:eastAsia="Batang" w:hAnsi="Arial" w:cs="Arial"/>
                <w:color w:val="262626"/>
                <w:sz w:val="18"/>
                <w:szCs w:val="18"/>
                <w:lang w:val="el-GR" w:eastAsia="en-US"/>
              </w:rPr>
              <w:t xml:space="preserve"> </w:t>
            </w:r>
            <w:r w:rsidRPr="00295155">
              <w:rPr>
                <w:rFonts w:ascii="Arial" w:eastAsia="Batang" w:hAnsi="Arial" w:cs="Arial"/>
                <w:color w:val="262626"/>
                <w:sz w:val="18"/>
                <w:szCs w:val="18"/>
                <w:lang w:eastAsia="en-US"/>
              </w:rPr>
              <w:t>ΕΚΤ</w:t>
            </w:r>
          </w:p>
        </w:tc>
        <w:tc>
          <w:tcPr>
            <w:tcW w:w="1246" w:type="dxa"/>
            <w:tcBorders>
              <w:top w:val="single" w:sz="4" w:space="0" w:color="BFBFBF"/>
              <w:bottom w:val="single" w:sz="6" w:space="0" w:color="000000" w:themeColor="text1"/>
            </w:tcBorders>
            <w:vAlign w:val="center"/>
          </w:tcPr>
          <w:p w14:paraId="22C554F3" w14:textId="77777777" w:rsidR="0056738E" w:rsidRPr="00A03828" w:rsidRDefault="0056738E" w:rsidP="007C2AEE">
            <w:pPr>
              <w:spacing w:after="0" w:line="240" w:lineRule="auto"/>
              <w:jc w:val="right"/>
              <w:rPr>
                <w:rFonts w:ascii="Arial" w:eastAsia="Batang" w:hAnsi="Arial" w:cs="Arial"/>
                <w:b/>
                <w:color w:val="262626"/>
                <w:sz w:val="18"/>
                <w:szCs w:val="18"/>
                <w:lang w:eastAsia="en-US"/>
              </w:rPr>
            </w:pPr>
            <w:r w:rsidRPr="00E81940">
              <w:rPr>
                <w:rFonts w:ascii="Arial" w:eastAsia="Batang" w:hAnsi="Arial" w:cs="Arial"/>
                <w:b/>
                <w:color w:val="262626"/>
                <w:sz w:val="18"/>
                <w:szCs w:val="18"/>
                <w:lang w:eastAsia="en-US"/>
              </w:rPr>
              <w:t>1,952,314</w:t>
            </w:r>
          </w:p>
        </w:tc>
        <w:tc>
          <w:tcPr>
            <w:tcW w:w="1245" w:type="dxa"/>
            <w:tcBorders>
              <w:bottom w:val="single" w:sz="6" w:space="0" w:color="000000" w:themeColor="text1"/>
            </w:tcBorders>
            <w:vAlign w:val="center"/>
          </w:tcPr>
          <w:p w14:paraId="0758B64A" w14:textId="77777777" w:rsidR="0056738E" w:rsidRPr="007C6B79" w:rsidRDefault="0056738E" w:rsidP="007C2AEE">
            <w:pPr>
              <w:spacing w:after="0" w:line="240" w:lineRule="auto"/>
              <w:jc w:val="right"/>
              <w:rPr>
                <w:rFonts w:ascii="Arial" w:eastAsia="Batang" w:hAnsi="Arial" w:cs="Arial"/>
                <w:b/>
                <w:color w:val="262626"/>
                <w:sz w:val="18"/>
                <w:szCs w:val="18"/>
                <w:lang w:eastAsia="en-US"/>
              </w:rPr>
            </w:pPr>
            <w:r w:rsidRPr="00D504D5">
              <w:rPr>
                <w:rFonts w:ascii="Arial" w:eastAsia="Batang" w:hAnsi="Arial" w:cs="Arial"/>
                <w:b/>
                <w:color w:val="262626"/>
                <w:sz w:val="18"/>
                <w:szCs w:val="18"/>
                <w:lang w:eastAsia="en-US"/>
              </w:rPr>
              <w:t>-</w:t>
            </w:r>
          </w:p>
        </w:tc>
        <w:tc>
          <w:tcPr>
            <w:tcW w:w="1276" w:type="dxa"/>
            <w:tcBorders>
              <w:bottom w:val="single" w:sz="6" w:space="0" w:color="000000" w:themeColor="text1"/>
            </w:tcBorders>
            <w:vAlign w:val="center"/>
          </w:tcPr>
          <w:p w14:paraId="7155D759" w14:textId="77777777" w:rsidR="0056738E" w:rsidRPr="00A03828" w:rsidRDefault="0056738E" w:rsidP="007C2AEE">
            <w:pPr>
              <w:spacing w:after="0" w:line="240" w:lineRule="auto"/>
              <w:jc w:val="right"/>
              <w:rPr>
                <w:rFonts w:ascii="Arial" w:eastAsia="Batang" w:hAnsi="Arial" w:cs="Arial"/>
                <w:b/>
                <w:color w:val="262626"/>
                <w:sz w:val="18"/>
                <w:szCs w:val="18"/>
                <w:lang w:eastAsia="en-US"/>
              </w:rPr>
            </w:pPr>
            <w:r w:rsidRPr="00D504D5">
              <w:rPr>
                <w:rFonts w:ascii="Arial" w:eastAsia="Batang" w:hAnsi="Arial" w:cs="Arial"/>
                <w:b/>
                <w:color w:val="262626"/>
                <w:sz w:val="18"/>
                <w:szCs w:val="18"/>
                <w:lang w:eastAsia="en-US"/>
              </w:rPr>
              <w:t>-</w:t>
            </w:r>
          </w:p>
        </w:tc>
        <w:tc>
          <w:tcPr>
            <w:tcW w:w="1276" w:type="dxa"/>
            <w:tcBorders>
              <w:top w:val="single" w:sz="4" w:space="0" w:color="BFBFBF"/>
              <w:bottom w:val="single" w:sz="6" w:space="0" w:color="000000" w:themeColor="text1"/>
            </w:tcBorders>
            <w:vAlign w:val="center"/>
          </w:tcPr>
          <w:p w14:paraId="05336074" w14:textId="77777777" w:rsidR="0056738E" w:rsidRPr="00E723B9" w:rsidRDefault="0056738E" w:rsidP="007C2AEE">
            <w:pPr>
              <w:spacing w:after="0" w:line="240" w:lineRule="auto"/>
              <w:jc w:val="right"/>
              <w:rPr>
                <w:rFonts w:ascii="Arial" w:eastAsia="Batang" w:hAnsi="Arial" w:cs="Arial"/>
                <w:color w:val="262626"/>
                <w:sz w:val="18"/>
                <w:szCs w:val="18"/>
                <w:lang w:val="en-US" w:eastAsia="en-US"/>
              </w:rPr>
            </w:pPr>
            <w:r w:rsidRPr="002D1FED">
              <w:rPr>
                <w:rFonts w:ascii="Arial" w:eastAsia="Batang" w:hAnsi="Arial" w:cs="Arial"/>
                <w:bCs/>
                <w:color w:val="262626"/>
                <w:sz w:val="18"/>
                <w:szCs w:val="18"/>
                <w:lang w:eastAsia="en-US"/>
              </w:rPr>
              <w:t>92,088</w:t>
            </w:r>
          </w:p>
        </w:tc>
        <w:tc>
          <w:tcPr>
            <w:tcW w:w="1275" w:type="dxa"/>
            <w:tcBorders>
              <w:bottom w:val="single" w:sz="6" w:space="0" w:color="000000" w:themeColor="text1"/>
            </w:tcBorders>
            <w:vAlign w:val="center"/>
          </w:tcPr>
          <w:p w14:paraId="1F080401" w14:textId="77777777" w:rsidR="0056738E" w:rsidRPr="00E723B9" w:rsidRDefault="0056738E" w:rsidP="007C2AEE">
            <w:pPr>
              <w:spacing w:after="0" w:line="240" w:lineRule="auto"/>
              <w:jc w:val="right"/>
              <w:rPr>
                <w:rFonts w:ascii="Arial" w:eastAsia="Batang" w:hAnsi="Arial" w:cs="Arial"/>
                <w:color w:val="262626"/>
                <w:sz w:val="18"/>
                <w:szCs w:val="18"/>
                <w:lang w:val="el-GR" w:eastAsia="en-US"/>
              </w:rPr>
            </w:pPr>
            <w:r w:rsidRPr="002D1FED">
              <w:rPr>
                <w:rFonts w:ascii="Arial" w:eastAsia="Batang" w:hAnsi="Arial" w:cs="Arial"/>
                <w:bCs/>
                <w:color w:val="262626"/>
                <w:sz w:val="18"/>
                <w:szCs w:val="18"/>
                <w:lang w:eastAsia="en-US"/>
              </w:rPr>
              <w:t>-</w:t>
            </w:r>
          </w:p>
        </w:tc>
        <w:tc>
          <w:tcPr>
            <w:tcW w:w="1276" w:type="dxa"/>
            <w:tcBorders>
              <w:bottom w:val="single" w:sz="6" w:space="0" w:color="000000" w:themeColor="text1"/>
            </w:tcBorders>
            <w:vAlign w:val="center"/>
          </w:tcPr>
          <w:p w14:paraId="118E673E" w14:textId="77777777" w:rsidR="0056738E" w:rsidRPr="00E723B9" w:rsidRDefault="0056738E" w:rsidP="007C2AEE">
            <w:pPr>
              <w:spacing w:after="0" w:line="240" w:lineRule="auto"/>
              <w:jc w:val="right"/>
              <w:rPr>
                <w:rFonts w:ascii="Arial" w:eastAsia="Batang" w:hAnsi="Arial" w:cs="Arial"/>
                <w:color w:val="262626"/>
                <w:sz w:val="18"/>
                <w:szCs w:val="18"/>
                <w:lang w:val="el-GR" w:eastAsia="en-US"/>
              </w:rPr>
            </w:pPr>
            <w:r w:rsidRPr="002D1FED">
              <w:rPr>
                <w:rFonts w:ascii="Arial" w:eastAsia="Batang" w:hAnsi="Arial" w:cs="Arial"/>
                <w:bCs/>
                <w:color w:val="262626"/>
                <w:sz w:val="18"/>
                <w:szCs w:val="18"/>
                <w:lang w:eastAsia="en-US"/>
              </w:rPr>
              <w:t>-</w:t>
            </w:r>
          </w:p>
        </w:tc>
      </w:tr>
      <w:tr w:rsidR="0056738E" w:rsidRPr="00295155" w14:paraId="7EF2B1E0" w14:textId="77777777" w:rsidTr="007C2AEE">
        <w:trPr>
          <w:trHeight w:val="255"/>
          <w:jc w:val="center"/>
        </w:trPr>
        <w:tc>
          <w:tcPr>
            <w:tcW w:w="2324" w:type="dxa"/>
            <w:vAlign w:val="center"/>
          </w:tcPr>
          <w:p w14:paraId="7BAE9E9D" w14:textId="77777777" w:rsidR="0056738E" w:rsidRPr="00295155" w:rsidRDefault="0056738E" w:rsidP="007C2AEE">
            <w:pPr>
              <w:spacing w:after="0" w:line="240" w:lineRule="auto"/>
              <w:rPr>
                <w:rFonts w:ascii="Arial" w:eastAsia="Batang" w:hAnsi="Arial" w:cs="Arial"/>
                <w:b/>
                <w:color w:val="262626"/>
                <w:sz w:val="18"/>
                <w:szCs w:val="18"/>
                <w:lang w:val="el-GR" w:eastAsia="en-US"/>
              </w:rPr>
            </w:pPr>
            <w:r>
              <w:rPr>
                <w:rFonts w:ascii="Arial" w:eastAsia="Batang" w:hAnsi="Arial" w:cs="Arial"/>
                <w:b/>
                <w:color w:val="262626"/>
                <w:sz w:val="18"/>
                <w:szCs w:val="18"/>
                <w:lang w:val="el-GR" w:eastAsia="en-US"/>
              </w:rPr>
              <w:t>Σύνολο</w:t>
            </w:r>
          </w:p>
        </w:tc>
        <w:tc>
          <w:tcPr>
            <w:tcW w:w="1246" w:type="dxa"/>
            <w:tcBorders>
              <w:top w:val="single" w:sz="6" w:space="0" w:color="000000" w:themeColor="text1"/>
              <w:bottom w:val="double" w:sz="6" w:space="0" w:color="000000" w:themeColor="text1"/>
            </w:tcBorders>
            <w:vAlign w:val="center"/>
          </w:tcPr>
          <w:p w14:paraId="7507ED89" w14:textId="77777777" w:rsidR="0056738E" w:rsidRPr="00A03828" w:rsidRDefault="0056738E" w:rsidP="007C2AEE">
            <w:pPr>
              <w:spacing w:after="0" w:line="240" w:lineRule="auto"/>
              <w:jc w:val="right"/>
              <w:rPr>
                <w:rFonts w:ascii="Arial" w:eastAsia="Batang" w:hAnsi="Arial" w:cs="Arial"/>
                <w:b/>
                <w:color w:val="262626"/>
                <w:sz w:val="18"/>
                <w:szCs w:val="18"/>
                <w:lang w:eastAsia="en-US"/>
              </w:rPr>
            </w:pPr>
            <w:r w:rsidRPr="00E81940">
              <w:rPr>
                <w:rFonts w:ascii="Arial" w:eastAsia="Batang" w:hAnsi="Arial" w:cs="Arial"/>
                <w:b/>
                <w:color w:val="262626"/>
                <w:sz w:val="18"/>
                <w:szCs w:val="18"/>
                <w:lang w:eastAsia="en-US"/>
              </w:rPr>
              <w:t>14,037,965</w:t>
            </w:r>
          </w:p>
        </w:tc>
        <w:tc>
          <w:tcPr>
            <w:tcW w:w="1245" w:type="dxa"/>
            <w:tcBorders>
              <w:top w:val="single" w:sz="6" w:space="0" w:color="000000" w:themeColor="text1"/>
              <w:bottom w:val="double" w:sz="6" w:space="0" w:color="000000" w:themeColor="text1"/>
            </w:tcBorders>
            <w:vAlign w:val="center"/>
          </w:tcPr>
          <w:p w14:paraId="4C308E64" w14:textId="77777777" w:rsidR="0056738E" w:rsidRPr="00A03828" w:rsidRDefault="0056738E" w:rsidP="007C2AEE">
            <w:pPr>
              <w:spacing w:after="0" w:line="240" w:lineRule="auto"/>
              <w:ind w:left="-45"/>
              <w:jc w:val="right"/>
              <w:rPr>
                <w:rFonts w:ascii="Arial" w:eastAsia="Batang" w:hAnsi="Arial" w:cs="Arial"/>
                <w:b/>
                <w:color w:val="262626"/>
                <w:sz w:val="18"/>
                <w:szCs w:val="18"/>
                <w:lang w:eastAsia="en-US"/>
              </w:rPr>
            </w:pPr>
            <w:r w:rsidRPr="00E81940">
              <w:rPr>
                <w:rFonts w:ascii="Arial" w:eastAsia="Batang" w:hAnsi="Arial" w:cs="Arial"/>
                <w:b/>
                <w:color w:val="262626"/>
                <w:sz w:val="18"/>
                <w:szCs w:val="18"/>
                <w:lang w:eastAsia="en-US"/>
              </w:rPr>
              <w:t>11,359,725</w:t>
            </w:r>
          </w:p>
        </w:tc>
        <w:tc>
          <w:tcPr>
            <w:tcW w:w="1276" w:type="dxa"/>
            <w:tcBorders>
              <w:top w:val="single" w:sz="6" w:space="0" w:color="000000" w:themeColor="text1"/>
              <w:bottom w:val="double" w:sz="6" w:space="0" w:color="000000" w:themeColor="text1"/>
            </w:tcBorders>
            <w:vAlign w:val="center"/>
          </w:tcPr>
          <w:p w14:paraId="7DD36246" w14:textId="77777777" w:rsidR="0056738E" w:rsidRPr="00A03828" w:rsidRDefault="0056738E" w:rsidP="007C2AEE">
            <w:pPr>
              <w:spacing w:after="0" w:line="240" w:lineRule="auto"/>
              <w:jc w:val="right"/>
              <w:rPr>
                <w:rFonts w:ascii="Arial" w:eastAsia="Batang" w:hAnsi="Arial" w:cs="Arial"/>
                <w:b/>
                <w:color w:val="262626"/>
                <w:sz w:val="18"/>
                <w:szCs w:val="18"/>
                <w:lang w:eastAsia="en-US"/>
              </w:rPr>
            </w:pPr>
            <w:r w:rsidRPr="00E81940">
              <w:rPr>
                <w:rFonts w:ascii="Arial" w:eastAsia="Batang" w:hAnsi="Arial" w:cs="Arial"/>
                <w:b/>
                <w:color w:val="262626"/>
                <w:sz w:val="18"/>
                <w:szCs w:val="18"/>
                <w:lang w:eastAsia="en-US"/>
              </w:rPr>
              <w:t>383,399</w:t>
            </w:r>
          </w:p>
        </w:tc>
        <w:tc>
          <w:tcPr>
            <w:tcW w:w="1276" w:type="dxa"/>
            <w:tcBorders>
              <w:top w:val="single" w:sz="6" w:space="0" w:color="000000" w:themeColor="text1"/>
              <w:bottom w:val="double" w:sz="6" w:space="0" w:color="000000" w:themeColor="text1"/>
            </w:tcBorders>
            <w:vAlign w:val="center"/>
          </w:tcPr>
          <w:p w14:paraId="316E105D" w14:textId="77777777" w:rsidR="0056738E" w:rsidRPr="00E723B9" w:rsidRDefault="0056738E" w:rsidP="007C2AEE">
            <w:pPr>
              <w:spacing w:after="0" w:line="240" w:lineRule="auto"/>
              <w:jc w:val="right"/>
              <w:rPr>
                <w:rFonts w:ascii="Arial" w:eastAsia="Batang" w:hAnsi="Arial" w:cs="Arial"/>
                <w:color w:val="262626"/>
                <w:sz w:val="18"/>
                <w:szCs w:val="18"/>
                <w:lang w:val="el-GR" w:eastAsia="en-US"/>
              </w:rPr>
            </w:pPr>
            <w:r w:rsidRPr="002D1FED">
              <w:rPr>
                <w:rFonts w:ascii="Arial" w:eastAsia="Batang" w:hAnsi="Arial" w:cs="Arial"/>
                <w:bCs/>
                <w:color w:val="262626"/>
                <w:sz w:val="18"/>
                <w:szCs w:val="18"/>
                <w:lang w:eastAsia="en-US"/>
              </w:rPr>
              <w:t>13,034,695</w:t>
            </w:r>
          </w:p>
        </w:tc>
        <w:tc>
          <w:tcPr>
            <w:tcW w:w="1275" w:type="dxa"/>
            <w:tcBorders>
              <w:top w:val="single" w:sz="6" w:space="0" w:color="000000" w:themeColor="text1"/>
              <w:bottom w:val="double" w:sz="6" w:space="0" w:color="000000" w:themeColor="text1"/>
            </w:tcBorders>
            <w:vAlign w:val="center"/>
          </w:tcPr>
          <w:p w14:paraId="6676A037" w14:textId="77777777" w:rsidR="0056738E" w:rsidRPr="00E723B9" w:rsidRDefault="0056738E" w:rsidP="007C2AEE">
            <w:pPr>
              <w:spacing w:after="0" w:line="240" w:lineRule="auto"/>
              <w:jc w:val="right"/>
              <w:rPr>
                <w:rFonts w:ascii="Arial" w:eastAsia="Batang" w:hAnsi="Arial" w:cs="Arial"/>
                <w:color w:val="262626"/>
                <w:sz w:val="18"/>
                <w:szCs w:val="18"/>
                <w:lang w:val="el-GR" w:eastAsia="en-US"/>
              </w:rPr>
            </w:pPr>
            <w:r w:rsidRPr="002D1FED">
              <w:rPr>
                <w:rFonts w:ascii="Arial" w:eastAsia="Batang" w:hAnsi="Arial" w:cs="Arial"/>
                <w:bCs/>
                <w:color w:val="262626"/>
                <w:sz w:val="18"/>
                <w:szCs w:val="18"/>
                <w:lang w:eastAsia="en-US"/>
              </w:rPr>
              <w:t>12,229,719</w:t>
            </w:r>
          </w:p>
        </w:tc>
        <w:tc>
          <w:tcPr>
            <w:tcW w:w="1276" w:type="dxa"/>
            <w:tcBorders>
              <w:top w:val="single" w:sz="6" w:space="0" w:color="000000" w:themeColor="text1"/>
              <w:bottom w:val="double" w:sz="6" w:space="0" w:color="000000" w:themeColor="text1"/>
            </w:tcBorders>
            <w:vAlign w:val="center"/>
          </w:tcPr>
          <w:p w14:paraId="6FED556A" w14:textId="77777777" w:rsidR="0056738E" w:rsidRPr="00E723B9" w:rsidRDefault="0056738E" w:rsidP="007C2AEE">
            <w:pPr>
              <w:spacing w:after="0" w:line="240" w:lineRule="auto"/>
              <w:jc w:val="right"/>
              <w:rPr>
                <w:rFonts w:ascii="Arial" w:eastAsia="Batang" w:hAnsi="Arial" w:cs="Arial"/>
                <w:color w:val="262626"/>
                <w:sz w:val="18"/>
                <w:szCs w:val="18"/>
                <w:lang w:val="el-GR" w:eastAsia="en-US"/>
              </w:rPr>
            </w:pPr>
            <w:r w:rsidRPr="002D1FED">
              <w:rPr>
                <w:rFonts w:ascii="Arial" w:eastAsia="Batang" w:hAnsi="Arial" w:cs="Arial"/>
                <w:bCs/>
                <w:color w:val="262626"/>
                <w:sz w:val="18"/>
                <w:szCs w:val="18"/>
                <w:lang w:eastAsia="en-US"/>
              </w:rPr>
              <w:t>354,128</w:t>
            </w:r>
          </w:p>
        </w:tc>
      </w:tr>
      <w:tr w:rsidR="0056738E" w:rsidRPr="00295155" w14:paraId="4DE63314" w14:textId="77777777" w:rsidTr="007C2AEE">
        <w:trPr>
          <w:trHeight w:val="255"/>
          <w:jc w:val="center"/>
        </w:trPr>
        <w:tc>
          <w:tcPr>
            <w:tcW w:w="2324" w:type="dxa"/>
            <w:tcBorders>
              <w:left w:val="nil"/>
              <w:bottom w:val="nil"/>
              <w:right w:val="nil"/>
            </w:tcBorders>
            <w:vAlign w:val="center"/>
          </w:tcPr>
          <w:p w14:paraId="3F9ECDA5" w14:textId="77777777" w:rsidR="0056738E" w:rsidRDefault="0056738E" w:rsidP="007C2AEE">
            <w:pPr>
              <w:spacing w:after="0" w:line="240" w:lineRule="auto"/>
              <w:rPr>
                <w:rFonts w:ascii="Arial" w:eastAsia="Batang" w:hAnsi="Arial" w:cs="Arial"/>
                <w:b/>
                <w:color w:val="262626"/>
                <w:sz w:val="18"/>
                <w:szCs w:val="18"/>
                <w:lang w:val="el-GR" w:eastAsia="en-US"/>
              </w:rPr>
            </w:pPr>
          </w:p>
        </w:tc>
        <w:tc>
          <w:tcPr>
            <w:tcW w:w="1246" w:type="dxa"/>
            <w:tcBorders>
              <w:top w:val="double" w:sz="6" w:space="0" w:color="auto"/>
              <w:left w:val="nil"/>
              <w:bottom w:val="nil"/>
              <w:right w:val="nil"/>
            </w:tcBorders>
            <w:vAlign w:val="center"/>
          </w:tcPr>
          <w:p w14:paraId="4A4402BD" w14:textId="77777777" w:rsidR="0056738E" w:rsidRDefault="0056738E" w:rsidP="007C2AEE">
            <w:pPr>
              <w:spacing w:after="0" w:line="240" w:lineRule="auto"/>
              <w:jc w:val="right"/>
              <w:rPr>
                <w:rFonts w:ascii="Arial" w:eastAsia="Batang" w:hAnsi="Arial" w:cs="Arial"/>
                <w:b/>
                <w:bCs/>
                <w:color w:val="262626"/>
                <w:sz w:val="18"/>
                <w:szCs w:val="18"/>
                <w:lang w:eastAsia="en-US"/>
              </w:rPr>
            </w:pPr>
          </w:p>
        </w:tc>
        <w:tc>
          <w:tcPr>
            <w:tcW w:w="1245" w:type="dxa"/>
            <w:tcBorders>
              <w:top w:val="double" w:sz="6" w:space="0" w:color="auto"/>
              <w:left w:val="nil"/>
              <w:bottom w:val="nil"/>
              <w:right w:val="nil"/>
            </w:tcBorders>
            <w:vAlign w:val="center"/>
          </w:tcPr>
          <w:p w14:paraId="2E29F7A9" w14:textId="77777777" w:rsidR="0056738E" w:rsidRDefault="0056738E" w:rsidP="007C2AEE">
            <w:pPr>
              <w:spacing w:after="0" w:line="240" w:lineRule="auto"/>
              <w:ind w:left="-135"/>
              <w:jc w:val="right"/>
              <w:rPr>
                <w:rFonts w:ascii="Arial" w:eastAsia="Batang" w:hAnsi="Arial" w:cs="Arial"/>
                <w:b/>
                <w:bCs/>
                <w:color w:val="262626"/>
                <w:sz w:val="18"/>
                <w:szCs w:val="18"/>
                <w:lang w:eastAsia="en-US"/>
              </w:rPr>
            </w:pPr>
          </w:p>
        </w:tc>
        <w:tc>
          <w:tcPr>
            <w:tcW w:w="1276" w:type="dxa"/>
            <w:tcBorders>
              <w:top w:val="double" w:sz="6" w:space="0" w:color="auto"/>
              <w:left w:val="nil"/>
              <w:bottom w:val="nil"/>
              <w:right w:val="nil"/>
            </w:tcBorders>
            <w:vAlign w:val="center"/>
          </w:tcPr>
          <w:p w14:paraId="1B0ED08F" w14:textId="77777777" w:rsidR="0056738E" w:rsidRDefault="0056738E" w:rsidP="007C2AEE">
            <w:pPr>
              <w:spacing w:after="0" w:line="240" w:lineRule="auto"/>
              <w:jc w:val="right"/>
              <w:rPr>
                <w:rFonts w:ascii="Arial" w:eastAsia="Batang" w:hAnsi="Arial" w:cs="Arial"/>
                <w:b/>
                <w:bCs/>
                <w:color w:val="262626"/>
                <w:sz w:val="18"/>
                <w:szCs w:val="18"/>
                <w:lang w:eastAsia="en-US"/>
              </w:rPr>
            </w:pPr>
          </w:p>
        </w:tc>
        <w:tc>
          <w:tcPr>
            <w:tcW w:w="1276" w:type="dxa"/>
            <w:tcBorders>
              <w:top w:val="double" w:sz="6" w:space="0" w:color="auto"/>
              <w:left w:val="nil"/>
              <w:bottom w:val="nil"/>
              <w:right w:val="nil"/>
            </w:tcBorders>
            <w:vAlign w:val="center"/>
          </w:tcPr>
          <w:p w14:paraId="2263C056" w14:textId="77777777" w:rsidR="0056738E" w:rsidRDefault="0056738E" w:rsidP="007C2AEE">
            <w:pPr>
              <w:spacing w:after="0" w:line="240" w:lineRule="auto"/>
              <w:jc w:val="right"/>
              <w:rPr>
                <w:rFonts w:ascii="Arial" w:eastAsia="Batang" w:hAnsi="Arial" w:cs="Arial"/>
                <w:color w:val="262626"/>
                <w:sz w:val="18"/>
                <w:szCs w:val="18"/>
                <w:lang w:val="en-US" w:eastAsia="en-US"/>
              </w:rPr>
            </w:pPr>
          </w:p>
        </w:tc>
        <w:tc>
          <w:tcPr>
            <w:tcW w:w="1275" w:type="dxa"/>
            <w:tcBorders>
              <w:top w:val="double" w:sz="6" w:space="0" w:color="auto"/>
              <w:left w:val="nil"/>
              <w:bottom w:val="nil"/>
              <w:right w:val="nil"/>
            </w:tcBorders>
            <w:vAlign w:val="center"/>
          </w:tcPr>
          <w:p w14:paraId="67D67A88" w14:textId="77777777" w:rsidR="0056738E" w:rsidRDefault="0056738E" w:rsidP="007C2AEE">
            <w:pPr>
              <w:spacing w:after="0" w:line="240" w:lineRule="auto"/>
              <w:jc w:val="right"/>
              <w:rPr>
                <w:rFonts w:ascii="Arial" w:eastAsia="Batang" w:hAnsi="Arial" w:cs="Arial"/>
                <w:color w:val="262626"/>
                <w:sz w:val="18"/>
                <w:szCs w:val="18"/>
                <w:lang w:val="en-US" w:eastAsia="en-US"/>
              </w:rPr>
            </w:pPr>
          </w:p>
        </w:tc>
        <w:tc>
          <w:tcPr>
            <w:tcW w:w="1276" w:type="dxa"/>
            <w:tcBorders>
              <w:top w:val="double" w:sz="6" w:space="0" w:color="auto"/>
              <w:left w:val="nil"/>
              <w:bottom w:val="nil"/>
              <w:right w:val="nil"/>
            </w:tcBorders>
            <w:vAlign w:val="center"/>
          </w:tcPr>
          <w:p w14:paraId="2A27A4B3" w14:textId="77777777" w:rsidR="0056738E" w:rsidRDefault="0056738E" w:rsidP="007C2AEE">
            <w:pPr>
              <w:spacing w:after="0" w:line="240" w:lineRule="auto"/>
              <w:jc w:val="right"/>
              <w:rPr>
                <w:rFonts w:ascii="Arial" w:eastAsia="Batang" w:hAnsi="Arial" w:cs="Arial"/>
                <w:color w:val="262626"/>
                <w:sz w:val="18"/>
                <w:szCs w:val="18"/>
                <w:lang w:val="en-US" w:eastAsia="en-US"/>
              </w:rPr>
            </w:pPr>
          </w:p>
        </w:tc>
      </w:tr>
    </w:tbl>
    <w:p w14:paraId="13426E1F" w14:textId="77777777" w:rsidR="0056738E" w:rsidRPr="0077397D" w:rsidRDefault="0056738E" w:rsidP="0056738E">
      <w:pPr>
        <w:autoSpaceDE w:val="0"/>
        <w:autoSpaceDN w:val="0"/>
        <w:adjustRightInd w:val="0"/>
        <w:spacing w:after="0" w:line="240" w:lineRule="auto"/>
        <w:jc w:val="both"/>
        <w:rPr>
          <w:rFonts w:ascii="Arial" w:eastAsia="Times New Roman" w:hAnsi="Arial" w:cs="Arial"/>
          <w:sz w:val="18"/>
          <w:szCs w:val="20"/>
          <w:lang w:val="el-GR" w:eastAsia="el-GR"/>
        </w:rPr>
      </w:pPr>
      <w:r w:rsidRPr="0077397D">
        <w:rPr>
          <w:rFonts w:ascii="Arial" w:eastAsia="Times New Roman" w:hAnsi="Arial" w:cs="Arial"/>
          <w:sz w:val="18"/>
          <w:szCs w:val="20"/>
          <w:lang w:val="el-GR" w:eastAsia="el-GR"/>
        </w:rPr>
        <w:t>Τα Εσωτερικά Αποθεματικά</w:t>
      </w:r>
      <w:r>
        <w:rPr>
          <w:rFonts w:ascii="Arial" w:eastAsia="Times New Roman" w:hAnsi="Arial" w:cs="Arial"/>
          <w:sz w:val="18"/>
          <w:szCs w:val="20"/>
          <w:lang w:val="el-GR" w:eastAsia="el-GR"/>
        </w:rPr>
        <w:t xml:space="preserve"> Ρευστότητας</w:t>
      </w:r>
      <w:r w:rsidRPr="0077397D">
        <w:rPr>
          <w:rFonts w:ascii="Arial" w:eastAsia="Times New Roman" w:hAnsi="Arial" w:cs="Arial"/>
          <w:sz w:val="18"/>
          <w:szCs w:val="20"/>
          <w:lang w:val="el-GR" w:eastAsia="el-GR"/>
        </w:rPr>
        <w:t xml:space="preserve"> παρουσιάζουν τα συνολικά ρευστά περιουσιακά στοιχεία όπως αυτά προσδιορίζονται</w:t>
      </w:r>
      <w:r w:rsidRPr="00A03828">
        <w:rPr>
          <w:rFonts w:ascii="Arial" w:eastAsia="Times New Roman" w:hAnsi="Arial" w:cs="Arial"/>
          <w:sz w:val="18"/>
          <w:szCs w:val="20"/>
          <w:lang w:val="el-GR" w:eastAsia="el-GR"/>
        </w:rPr>
        <w:t xml:space="preserve"> </w:t>
      </w:r>
      <w:r w:rsidRPr="0077397D">
        <w:rPr>
          <w:rFonts w:ascii="Arial" w:eastAsia="Times New Roman" w:hAnsi="Arial" w:cs="Arial"/>
          <w:sz w:val="18"/>
          <w:szCs w:val="20"/>
          <w:lang w:val="el-GR" w:eastAsia="el-GR"/>
        </w:rPr>
        <w:t>στην Πολιτική Ρευστότητας</w:t>
      </w:r>
      <w:r>
        <w:rPr>
          <w:rFonts w:ascii="Arial" w:eastAsia="Times New Roman" w:hAnsi="Arial" w:cs="Arial"/>
          <w:sz w:val="18"/>
          <w:szCs w:val="20"/>
          <w:lang w:val="el-GR" w:eastAsia="el-GR"/>
        </w:rPr>
        <w:t xml:space="preserve"> της </w:t>
      </w:r>
      <w:r>
        <w:rPr>
          <w:rFonts w:ascii="Arial" w:eastAsia="Times New Roman" w:hAnsi="Arial" w:cs="Arial"/>
          <w:sz w:val="18"/>
          <w:szCs w:val="20"/>
          <w:lang w:val="en-US" w:eastAsia="el-GR"/>
        </w:rPr>
        <w:t>BOC</w:t>
      </w:r>
      <w:r w:rsidRPr="00A03828">
        <w:rPr>
          <w:rFonts w:ascii="Arial" w:eastAsia="Times New Roman" w:hAnsi="Arial" w:cs="Arial"/>
          <w:sz w:val="18"/>
          <w:szCs w:val="20"/>
          <w:lang w:val="el-GR" w:eastAsia="el-GR"/>
        </w:rPr>
        <w:t xml:space="preserve"> </w:t>
      </w:r>
      <w:r>
        <w:rPr>
          <w:rFonts w:ascii="Arial" w:eastAsia="Times New Roman" w:hAnsi="Arial" w:cs="Arial"/>
          <w:sz w:val="18"/>
          <w:szCs w:val="20"/>
          <w:lang w:val="en-US" w:eastAsia="el-GR"/>
        </w:rPr>
        <w:t>PCL</w:t>
      </w:r>
      <w:r w:rsidRPr="0077397D">
        <w:rPr>
          <w:rFonts w:ascii="Arial" w:eastAsia="Times New Roman" w:hAnsi="Arial" w:cs="Arial"/>
          <w:sz w:val="18"/>
          <w:szCs w:val="20"/>
          <w:lang w:val="el-GR" w:eastAsia="el-GR"/>
        </w:rPr>
        <w:t>. Τα αποθεματικά</w:t>
      </w:r>
      <w:r>
        <w:rPr>
          <w:rFonts w:ascii="Arial" w:eastAsia="Times New Roman" w:hAnsi="Arial" w:cs="Arial"/>
          <w:sz w:val="18"/>
          <w:szCs w:val="20"/>
          <w:lang w:val="el-GR" w:eastAsia="el-GR"/>
        </w:rPr>
        <w:t xml:space="preserve"> ρευστότητας</w:t>
      </w:r>
      <w:r w:rsidRPr="0077397D">
        <w:rPr>
          <w:rFonts w:ascii="Arial" w:eastAsia="Times New Roman" w:hAnsi="Arial" w:cs="Arial"/>
          <w:sz w:val="18"/>
          <w:szCs w:val="20"/>
          <w:lang w:val="el-GR" w:eastAsia="el-GR"/>
        </w:rPr>
        <w:t xml:space="preserve"> βάσει του ΔΚΡ κατ’ εξουσιοδότηση Κανονισμ</w:t>
      </w:r>
      <w:r>
        <w:rPr>
          <w:rFonts w:ascii="Arial" w:eastAsia="Times New Roman" w:hAnsi="Arial" w:cs="Arial"/>
          <w:sz w:val="18"/>
          <w:szCs w:val="20"/>
          <w:lang w:val="el-GR" w:eastAsia="el-GR"/>
        </w:rPr>
        <w:t>ού</w:t>
      </w:r>
      <w:r w:rsidRPr="0077397D">
        <w:rPr>
          <w:rFonts w:ascii="Arial" w:eastAsia="Times New Roman" w:hAnsi="Arial" w:cs="Arial"/>
          <w:sz w:val="18"/>
          <w:szCs w:val="20"/>
          <w:lang w:val="el-GR" w:eastAsia="el-GR"/>
        </w:rPr>
        <w:t xml:space="preserve"> (ΕΕ) 2015/61 παρουσιάζουν τα ρευστά περιουσιακά στοιχεία βάσει του ορισμού στον προαναφερόμενο κανονισμό, δηλαδή Υψηλής Ποιότητας Ρευστοποιήσιμα Περιουσιακά Στοιχεία (ΥΠΡΠΣ).</w:t>
      </w:r>
    </w:p>
    <w:p w14:paraId="7687454B" w14:textId="77777777" w:rsidR="0056738E" w:rsidRPr="0077397D" w:rsidRDefault="0056738E" w:rsidP="0056738E">
      <w:pPr>
        <w:autoSpaceDE w:val="0"/>
        <w:autoSpaceDN w:val="0"/>
        <w:adjustRightInd w:val="0"/>
        <w:spacing w:after="0" w:line="240" w:lineRule="auto"/>
        <w:jc w:val="both"/>
        <w:rPr>
          <w:rFonts w:ascii="Arial" w:eastAsia="Times New Roman" w:hAnsi="Arial" w:cs="Arial"/>
          <w:sz w:val="18"/>
          <w:szCs w:val="20"/>
          <w:lang w:val="el-GR" w:eastAsia="el-GR"/>
        </w:rPr>
      </w:pPr>
    </w:p>
    <w:p w14:paraId="3E7A4AA1" w14:textId="77777777" w:rsidR="0056738E" w:rsidRPr="0077397D" w:rsidRDefault="0056738E" w:rsidP="0056738E">
      <w:pPr>
        <w:autoSpaceDE w:val="0"/>
        <w:autoSpaceDN w:val="0"/>
        <w:adjustRightInd w:val="0"/>
        <w:spacing w:after="0" w:line="240" w:lineRule="auto"/>
        <w:jc w:val="both"/>
        <w:rPr>
          <w:rFonts w:ascii="Arial" w:eastAsia="Times New Roman" w:hAnsi="Arial" w:cs="Arial"/>
          <w:sz w:val="18"/>
          <w:szCs w:val="20"/>
          <w:lang w:val="el-GR" w:eastAsia="el-GR"/>
        </w:rPr>
      </w:pPr>
      <w:r w:rsidRPr="0077397D">
        <w:rPr>
          <w:rFonts w:ascii="Arial" w:eastAsia="Times New Roman" w:hAnsi="Arial" w:cs="Arial"/>
          <w:sz w:val="18"/>
          <w:szCs w:val="20"/>
          <w:lang w:val="el-GR" w:eastAsia="el-GR"/>
        </w:rPr>
        <w:t xml:space="preserve">Τα υπόλοιπα και καταθέσεις με τράπεζες δεν περιλαμβάνονται στα </w:t>
      </w:r>
      <w:r>
        <w:rPr>
          <w:rFonts w:ascii="Arial" w:eastAsia="Times New Roman" w:hAnsi="Arial" w:cs="Arial"/>
          <w:sz w:val="18"/>
          <w:szCs w:val="20"/>
          <w:lang w:val="el-GR" w:eastAsia="el-GR"/>
        </w:rPr>
        <w:t>Α</w:t>
      </w:r>
      <w:r w:rsidRPr="0077397D">
        <w:rPr>
          <w:rFonts w:ascii="Arial" w:eastAsia="Times New Roman" w:hAnsi="Arial" w:cs="Arial"/>
          <w:sz w:val="18"/>
          <w:szCs w:val="20"/>
          <w:lang w:val="el-GR" w:eastAsia="el-GR"/>
        </w:rPr>
        <w:t>ποθεματικά</w:t>
      </w:r>
      <w:r>
        <w:rPr>
          <w:rFonts w:ascii="Arial" w:eastAsia="Times New Roman" w:hAnsi="Arial" w:cs="Arial"/>
          <w:sz w:val="18"/>
          <w:szCs w:val="20"/>
          <w:lang w:val="el-GR" w:eastAsia="el-GR"/>
        </w:rPr>
        <w:t xml:space="preserve"> Ρευστότητας</w:t>
      </w:r>
      <w:r w:rsidRPr="0077397D">
        <w:rPr>
          <w:rFonts w:ascii="Arial" w:eastAsia="Times New Roman" w:hAnsi="Arial" w:cs="Arial"/>
          <w:sz w:val="18"/>
          <w:szCs w:val="20"/>
          <w:lang w:val="el-GR" w:eastAsia="el-GR"/>
        </w:rPr>
        <w:t xml:space="preserve"> </w:t>
      </w:r>
      <w:r>
        <w:rPr>
          <w:rFonts w:ascii="Arial" w:eastAsia="Times New Roman" w:hAnsi="Arial" w:cs="Arial"/>
          <w:sz w:val="18"/>
          <w:szCs w:val="20"/>
          <w:lang w:val="el-GR" w:eastAsia="el-GR"/>
        </w:rPr>
        <w:t>βάσει του</w:t>
      </w:r>
      <w:r w:rsidRPr="0077397D">
        <w:rPr>
          <w:rFonts w:ascii="Arial" w:eastAsia="Times New Roman" w:hAnsi="Arial" w:cs="Arial"/>
          <w:sz w:val="18"/>
          <w:szCs w:val="20"/>
          <w:lang w:val="el-GR" w:eastAsia="el-GR"/>
        </w:rPr>
        <w:t xml:space="preserve"> ΔΚΡ, καθότι δεν θεωρούνται ΥΠΡΠΣ (είναι μέρος των εισροών του ΔΚΡ).</w:t>
      </w:r>
    </w:p>
    <w:p w14:paraId="748DCA0B" w14:textId="77777777" w:rsidR="0056738E" w:rsidRPr="0077397D" w:rsidRDefault="0056738E" w:rsidP="0056738E">
      <w:pPr>
        <w:autoSpaceDE w:val="0"/>
        <w:autoSpaceDN w:val="0"/>
        <w:adjustRightInd w:val="0"/>
        <w:spacing w:after="0" w:line="240" w:lineRule="auto"/>
        <w:jc w:val="both"/>
        <w:rPr>
          <w:rFonts w:ascii="Arial" w:eastAsia="Times New Roman" w:hAnsi="Arial" w:cs="Arial"/>
          <w:sz w:val="18"/>
          <w:szCs w:val="20"/>
          <w:lang w:val="el-GR" w:eastAsia="el-GR"/>
        </w:rPr>
      </w:pPr>
    </w:p>
    <w:p w14:paraId="7E8CF3BD" w14:textId="77777777" w:rsidR="0056738E" w:rsidRPr="0077397D" w:rsidRDefault="0056738E" w:rsidP="0056738E">
      <w:pPr>
        <w:autoSpaceDE w:val="0"/>
        <w:autoSpaceDN w:val="0"/>
        <w:adjustRightInd w:val="0"/>
        <w:spacing w:after="0" w:line="240" w:lineRule="auto"/>
        <w:jc w:val="both"/>
        <w:rPr>
          <w:rFonts w:ascii="Arial" w:eastAsia="Times New Roman" w:hAnsi="Arial" w:cs="Arial"/>
          <w:sz w:val="18"/>
          <w:szCs w:val="20"/>
          <w:lang w:val="el-GR" w:eastAsia="el-GR"/>
        </w:rPr>
      </w:pPr>
      <w:r w:rsidRPr="0077397D">
        <w:rPr>
          <w:rFonts w:ascii="Arial" w:eastAsia="Times New Roman" w:hAnsi="Arial" w:cs="Arial"/>
          <w:sz w:val="18"/>
          <w:szCs w:val="20"/>
          <w:lang w:val="el-GR" w:eastAsia="el-GR"/>
        </w:rPr>
        <w:t xml:space="preserve">Οι εμπορεύσιμες επενδύσεις στα </w:t>
      </w:r>
      <w:r>
        <w:rPr>
          <w:rFonts w:ascii="Arial" w:eastAsia="Times New Roman" w:hAnsi="Arial" w:cs="Arial"/>
          <w:sz w:val="18"/>
          <w:szCs w:val="20"/>
          <w:lang w:val="el-GR" w:eastAsia="el-GR"/>
        </w:rPr>
        <w:t>Α</w:t>
      </w:r>
      <w:r w:rsidRPr="0077397D">
        <w:rPr>
          <w:rFonts w:ascii="Arial" w:eastAsia="Times New Roman" w:hAnsi="Arial" w:cs="Arial"/>
          <w:sz w:val="18"/>
          <w:szCs w:val="20"/>
          <w:lang w:val="el-GR" w:eastAsia="el-GR"/>
        </w:rPr>
        <w:t>ποθεματικά</w:t>
      </w:r>
      <w:r>
        <w:rPr>
          <w:rFonts w:ascii="Arial" w:eastAsia="Times New Roman" w:hAnsi="Arial" w:cs="Arial"/>
          <w:sz w:val="18"/>
          <w:szCs w:val="20"/>
          <w:lang w:val="el-GR" w:eastAsia="el-GR"/>
        </w:rPr>
        <w:t xml:space="preserve"> Ρευστότητας</w:t>
      </w:r>
      <w:r w:rsidRPr="0077397D">
        <w:rPr>
          <w:rFonts w:ascii="Arial" w:eastAsia="Times New Roman" w:hAnsi="Arial" w:cs="Arial"/>
          <w:sz w:val="18"/>
          <w:szCs w:val="20"/>
          <w:lang w:val="el-GR" w:eastAsia="el-GR"/>
        </w:rPr>
        <w:t xml:space="preserve"> βάσει του ΔΚΡ παρουσιάζονται σε αγοραίες αξίες μειωμένες κατά τους συνήθεις συντελεστές όπως περιγράφ</w:t>
      </w:r>
      <w:r>
        <w:rPr>
          <w:rFonts w:ascii="Arial" w:eastAsia="Times New Roman" w:hAnsi="Arial" w:cs="Arial"/>
          <w:sz w:val="18"/>
          <w:szCs w:val="20"/>
          <w:lang w:val="el-GR" w:eastAsia="el-GR"/>
        </w:rPr>
        <w:t>ε</w:t>
      </w:r>
      <w:r w:rsidRPr="0077397D">
        <w:rPr>
          <w:rFonts w:ascii="Arial" w:eastAsia="Times New Roman" w:hAnsi="Arial" w:cs="Arial"/>
          <w:sz w:val="18"/>
          <w:szCs w:val="20"/>
          <w:lang w:val="el-GR" w:eastAsia="el-GR"/>
        </w:rPr>
        <w:t>ται στον κανονισμό του ΔΚΡ. Οι εμπορεύσιμες επενδύσεις στα Εσωτερικά Αποθεματικά</w:t>
      </w:r>
      <w:r>
        <w:rPr>
          <w:rFonts w:ascii="Arial" w:eastAsia="Times New Roman" w:hAnsi="Arial" w:cs="Arial"/>
          <w:sz w:val="18"/>
          <w:szCs w:val="20"/>
          <w:lang w:val="el-GR" w:eastAsia="el-GR"/>
        </w:rPr>
        <w:t xml:space="preserve"> Ρευστότητας</w:t>
      </w:r>
      <w:r w:rsidRPr="0077397D">
        <w:rPr>
          <w:rFonts w:ascii="Arial" w:eastAsia="Times New Roman" w:hAnsi="Arial" w:cs="Arial"/>
          <w:sz w:val="18"/>
          <w:szCs w:val="20"/>
          <w:lang w:val="el-GR" w:eastAsia="el-GR"/>
        </w:rPr>
        <w:t xml:space="preserve"> περιλαμβάνουν επιπρόσθετα μη επιβαρυμένα εμπορεύσιμα ομόλογα</w:t>
      </w:r>
      <w:r>
        <w:rPr>
          <w:rFonts w:ascii="Arial" w:eastAsia="Times New Roman" w:hAnsi="Arial" w:cs="Arial"/>
          <w:sz w:val="18"/>
          <w:szCs w:val="20"/>
          <w:lang w:val="el-GR" w:eastAsia="el-GR"/>
        </w:rPr>
        <w:t>. Οι εμπορεύσιμες επενδύσεις στα Εσωτερικά Αποθεματικά Ρευστότητας</w:t>
      </w:r>
      <w:r w:rsidRPr="0077397D">
        <w:rPr>
          <w:rFonts w:ascii="Arial" w:eastAsia="Times New Roman" w:hAnsi="Arial" w:cs="Arial"/>
          <w:sz w:val="18"/>
          <w:szCs w:val="20"/>
          <w:lang w:val="el-GR" w:eastAsia="el-GR"/>
        </w:rPr>
        <w:t xml:space="preserve"> παρουσιάζονται σε αγοραίες αξίες μείον έκπτωση τιμής, βάσει μεθοδολογίας της ΕΚΤ</w:t>
      </w:r>
      <w:r w:rsidRPr="00E004DA">
        <w:rPr>
          <w:rFonts w:ascii="Arial" w:eastAsia="Times New Roman" w:hAnsi="Arial" w:cs="Arial"/>
          <w:sz w:val="18"/>
          <w:szCs w:val="20"/>
          <w:lang w:val="el-GR" w:eastAsia="el-GR"/>
        </w:rPr>
        <w:t xml:space="preserve"> για ομόλογα </w:t>
      </w:r>
      <w:r>
        <w:rPr>
          <w:rFonts w:ascii="Arial" w:eastAsia="Times New Roman" w:hAnsi="Arial" w:cs="Arial"/>
          <w:sz w:val="18"/>
          <w:szCs w:val="20"/>
          <w:lang w:val="el-GR" w:eastAsia="el-GR"/>
        </w:rPr>
        <w:t xml:space="preserve">αποδεκτά από την </w:t>
      </w:r>
      <w:r w:rsidRPr="00E004DA">
        <w:rPr>
          <w:rFonts w:ascii="Arial" w:eastAsia="Times New Roman" w:hAnsi="Arial" w:cs="Arial"/>
          <w:sz w:val="18"/>
          <w:szCs w:val="20"/>
          <w:lang w:val="el-GR" w:eastAsia="el-GR"/>
        </w:rPr>
        <w:t xml:space="preserve"> ΕΚΤ, ενώ για μη αποδεκτά ομόλογα </w:t>
      </w:r>
      <w:r>
        <w:rPr>
          <w:rFonts w:ascii="Arial" w:eastAsia="Times New Roman" w:hAnsi="Arial" w:cs="Arial"/>
          <w:sz w:val="18"/>
          <w:szCs w:val="20"/>
          <w:lang w:val="el-GR" w:eastAsia="el-GR"/>
        </w:rPr>
        <w:t>εφαρμόζεται</w:t>
      </w:r>
      <w:r w:rsidRPr="00E004DA">
        <w:rPr>
          <w:rFonts w:ascii="Arial" w:eastAsia="Times New Roman" w:hAnsi="Arial" w:cs="Arial"/>
          <w:sz w:val="18"/>
          <w:szCs w:val="20"/>
          <w:lang w:val="el-GR" w:eastAsia="el-GR"/>
        </w:rPr>
        <w:t xml:space="preserve"> μια πιο συντηρητική εσωτερικά αναπτυγμένη μεθοδολογία </w:t>
      </w:r>
      <w:r>
        <w:rPr>
          <w:rFonts w:ascii="Arial" w:eastAsia="Times New Roman" w:hAnsi="Arial" w:cs="Arial"/>
          <w:sz w:val="18"/>
          <w:szCs w:val="20"/>
          <w:lang w:val="el-GR" w:eastAsia="el-GR"/>
        </w:rPr>
        <w:t>έκπτωσης τιμής.</w:t>
      </w:r>
    </w:p>
    <w:p w14:paraId="006FA1A9" w14:textId="77777777" w:rsidR="0056738E" w:rsidRPr="0077397D" w:rsidRDefault="0056738E" w:rsidP="0056738E">
      <w:pPr>
        <w:autoSpaceDE w:val="0"/>
        <w:autoSpaceDN w:val="0"/>
        <w:adjustRightInd w:val="0"/>
        <w:spacing w:after="0" w:line="240" w:lineRule="auto"/>
        <w:jc w:val="both"/>
        <w:rPr>
          <w:rFonts w:ascii="Verdana" w:eastAsia="Batang" w:hAnsi="Verdana" w:cs="Arial"/>
          <w:color w:val="262626"/>
          <w:sz w:val="18"/>
          <w:szCs w:val="24"/>
          <w:lang w:val="el-GR" w:eastAsia="en-US"/>
        </w:rPr>
      </w:pPr>
    </w:p>
    <w:p w14:paraId="55997795" w14:textId="77777777" w:rsidR="0056738E" w:rsidRDefault="0056738E" w:rsidP="0056738E">
      <w:pPr>
        <w:spacing w:after="0" w:line="240" w:lineRule="auto"/>
        <w:jc w:val="both"/>
        <w:rPr>
          <w:rFonts w:ascii="Arial" w:eastAsia="Times New Roman" w:hAnsi="Arial" w:cs="Arial"/>
          <w:sz w:val="18"/>
          <w:szCs w:val="20"/>
          <w:lang w:val="el-GR" w:eastAsia="el-GR"/>
        </w:rPr>
      </w:pPr>
      <w:r w:rsidRPr="0077397D">
        <w:rPr>
          <w:rFonts w:ascii="Arial" w:eastAsia="Times New Roman" w:hAnsi="Arial" w:cs="Arial"/>
          <w:sz w:val="18"/>
          <w:szCs w:val="20"/>
          <w:lang w:val="el-GR" w:eastAsia="el-GR"/>
        </w:rPr>
        <w:t>Η τρέχουσα διαθέσιμη ρευστότητα με την ΕΚΤ δεν είναι μέρος</w:t>
      </w:r>
      <w:r>
        <w:rPr>
          <w:rFonts w:ascii="Arial" w:eastAsia="Times New Roman" w:hAnsi="Arial" w:cs="Arial"/>
          <w:sz w:val="18"/>
          <w:szCs w:val="20"/>
          <w:lang w:val="el-GR" w:eastAsia="el-GR"/>
        </w:rPr>
        <w:t xml:space="preserve"> των Α</w:t>
      </w:r>
      <w:r w:rsidRPr="0077397D">
        <w:rPr>
          <w:rFonts w:ascii="Arial" w:eastAsia="Times New Roman" w:hAnsi="Arial" w:cs="Arial"/>
          <w:sz w:val="18"/>
          <w:szCs w:val="20"/>
          <w:lang w:val="el-GR" w:eastAsia="el-GR"/>
        </w:rPr>
        <w:t>ποθεματικών</w:t>
      </w:r>
      <w:r>
        <w:rPr>
          <w:rFonts w:ascii="Arial" w:eastAsia="Times New Roman" w:hAnsi="Arial" w:cs="Arial"/>
          <w:sz w:val="18"/>
          <w:szCs w:val="20"/>
          <w:lang w:val="el-GR" w:eastAsia="el-GR"/>
        </w:rPr>
        <w:t xml:space="preserve"> Ρευστότητας</w:t>
      </w:r>
      <w:r w:rsidRPr="0077397D">
        <w:rPr>
          <w:rFonts w:ascii="Arial" w:eastAsia="Times New Roman" w:hAnsi="Arial" w:cs="Arial"/>
          <w:sz w:val="18"/>
          <w:szCs w:val="20"/>
          <w:lang w:val="el-GR" w:eastAsia="el-GR"/>
        </w:rPr>
        <w:t xml:space="preserve"> βάσει του ΔΚΡ.</w:t>
      </w:r>
      <w:r>
        <w:rPr>
          <w:rFonts w:ascii="Arial" w:eastAsia="Times New Roman" w:hAnsi="Arial" w:cs="Arial"/>
          <w:sz w:val="18"/>
          <w:szCs w:val="20"/>
          <w:lang w:val="el-GR" w:eastAsia="el-GR"/>
        </w:rPr>
        <w:br w:type="page"/>
      </w:r>
    </w:p>
    <w:p w14:paraId="7B8D68E4" w14:textId="77777777" w:rsidR="0056738E" w:rsidRDefault="0056738E" w:rsidP="0056738E">
      <w:pPr>
        <w:spacing w:after="0" w:line="360" w:lineRule="auto"/>
        <w:ind w:left="851" w:hanging="851"/>
        <w:jc w:val="both"/>
        <w:rPr>
          <w:rFonts w:ascii="Arial" w:hAnsi="Arial" w:cs="Arial"/>
          <w:b/>
          <w:color w:val="FF9900"/>
          <w:lang w:val="el-GR"/>
        </w:rPr>
      </w:pPr>
      <w:r>
        <w:rPr>
          <w:rFonts w:ascii="Arial" w:hAnsi="Arial" w:cs="Arial"/>
          <w:b/>
          <w:color w:val="FF9900"/>
          <w:lang w:val="el-GR"/>
        </w:rPr>
        <w:lastRenderedPageBreak/>
        <w:t>Η</w:t>
      </w:r>
      <w:r w:rsidRPr="009B5694">
        <w:rPr>
          <w:rFonts w:ascii="Arial" w:hAnsi="Arial" w:cs="Arial"/>
          <w:b/>
          <w:color w:val="FF9900"/>
          <w:lang w:val="el-GR"/>
        </w:rPr>
        <w:t xml:space="preserve">. </w:t>
      </w:r>
      <w:r w:rsidRPr="009B5694">
        <w:rPr>
          <w:rFonts w:ascii="Arial" w:hAnsi="Arial" w:cs="Arial"/>
          <w:b/>
          <w:color w:val="FF9900"/>
          <w:lang w:val="el-GR"/>
        </w:rPr>
        <w:tab/>
      </w:r>
      <w:r w:rsidRPr="009D3A1F">
        <w:rPr>
          <w:rFonts w:ascii="Arial" w:hAnsi="Arial" w:cs="Arial"/>
          <w:b/>
          <w:color w:val="FF9900"/>
          <w:lang w:val="el-GR"/>
        </w:rPr>
        <w:t>Εναλλακτικ</w:t>
      </w:r>
      <w:r>
        <w:rPr>
          <w:rFonts w:ascii="Arial" w:hAnsi="Arial" w:cs="Arial"/>
          <w:b/>
          <w:color w:val="FF9900"/>
          <w:lang w:val="el-GR"/>
        </w:rPr>
        <w:t>ά</w:t>
      </w:r>
      <w:r w:rsidRPr="009D3A1F">
        <w:rPr>
          <w:rFonts w:ascii="Arial" w:hAnsi="Arial" w:cs="Arial"/>
          <w:b/>
          <w:color w:val="FF9900"/>
          <w:lang w:val="el-GR"/>
        </w:rPr>
        <w:t xml:space="preserve"> Μέτρ</w:t>
      </w:r>
      <w:r>
        <w:rPr>
          <w:rFonts w:ascii="Arial" w:hAnsi="Arial" w:cs="Arial"/>
          <w:b/>
          <w:color w:val="FF9900"/>
          <w:lang w:val="el-GR"/>
        </w:rPr>
        <w:t>α</w:t>
      </w:r>
      <w:r w:rsidRPr="009D3A1F">
        <w:rPr>
          <w:rFonts w:ascii="Arial" w:hAnsi="Arial" w:cs="Arial"/>
          <w:b/>
          <w:color w:val="FF9900"/>
          <w:lang w:val="el-GR"/>
        </w:rPr>
        <w:t xml:space="preserve"> Απόδοσης</w:t>
      </w:r>
    </w:p>
    <w:p w14:paraId="7AFDEF5B" w14:textId="77777777" w:rsidR="0056738E" w:rsidRPr="00041815" w:rsidRDefault="0056738E" w:rsidP="0056738E">
      <w:pPr>
        <w:spacing w:after="0" w:line="360" w:lineRule="auto"/>
        <w:ind w:left="851" w:hanging="851"/>
        <w:jc w:val="both"/>
        <w:rPr>
          <w:rFonts w:ascii="Arial" w:hAnsi="Arial" w:cs="Arial"/>
          <w:b/>
          <w:color w:val="FF9900"/>
          <w:u w:val="single"/>
          <w:lang w:val="el-GR"/>
        </w:rPr>
      </w:pPr>
      <w:r w:rsidRPr="00041815">
        <w:rPr>
          <w:rFonts w:ascii="Arial" w:hAnsi="Arial" w:cs="Arial"/>
          <w:b/>
          <w:color w:val="FF9900"/>
          <w:u w:val="single"/>
          <w:lang w:val="el-GR"/>
        </w:rPr>
        <w:t>Συμφιλιώσεις</w:t>
      </w:r>
    </w:p>
    <w:p w14:paraId="7AD47210" w14:textId="77777777" w:rsidR="0056738E" w:rsidRDefault="0056738E" w:rsidP="0056738E">
      <w:pPr>
        <w:spacing w:after="0" w:line="240" w:lineRule="auto"/>
        <w:jc w:val="both"/>
        <w:rPr>
          <w:rFonts w:ascii="Arial" w:hAnsi="Arial" w:cs="Arial"/>
          <w:color w:val="262626"/>
          <w:sz w:val="18"/>
          <w:szCs w:val="18"/>
          <w:lang w:val="el-GR"/>
        </w:rPr>
      </w:pPr>
      <w:r>
        <w:rPr>
          <w:rFonts w:ascii="Arial" w:hAnsi="Arial" w:cs="Arial"/>
          <w:color w:val="262626"/>
          <w:sz w:val="18"/>
          <w:szCs w:val="18"/>
          <w:lang w:val="el-GR"/>
        </w:rPr>
        <w:t>Η</w:t>
      </w:r>
      <w:r w:rsidRPr="00103593">
        <w:rPr>
          <w:rFonts w:ascii="Arial" w:hAnsi="Arial" w:cs="Arial"/>
          <w:color w:val="262626"/>
          <w:sz w:val="18"/>
          <w:szCs w:val="18"/>
          <w:lang w:val="el-GR"/>
        </w:rPr>
        <w:t xml:space="preserve"> </w:t>
      </w:r>
      <w:r>
        <w:rPr>
          <w:rFonts w:ascii="Arial" w:hAnsi="Arial" w:cs="Arial"/>
          <w:color w:val="262626"/>
          <w:sz w:val="18"/>
          <w:szCs w:val="18"/>
          <w:lang w:val="el-GR"/>
        </w:rPr>
        <w:t>συμφιλίωση</w:t>
      </w:r>
      <w:r w:rsidRPr="00103593">
        <w:rPr>
          <w:rFonts w:ascii="Arial" w:hAnsi="Arial" w:cs="Arial"/>
          <w:color w:val="262626"/>
          <w:sz w:val="18"/>
          <w:szCs w:val="18"/>
          <w:lang w:val="el-GR"/>
        </w:rPr>
        <w:t xml:space="preserve"> </w:t>
      </w:r>
      <w:r w:rsidRPr="00EB6473">
        <w:rPr>
          <w:rFonts w:ascii="Arial" w:hAnsi="Arial" w:cs="Arial"/>
          <w:color w:val="262626"/>
          <w:sz w:val="18"/>
          <w:szCs w:val="18"/>
          <w:lang w:val="el-GR"/>
        </w:rPr>
        <w:t>της</w:t>
      </w:r>
      <w:r w:rsidRPr="00041815">
        <w:rPr>
          <w:rFonts w:ascii="Arial" w:hAnsi="Arial" w:cs="Arial"/>
          <w:color w:val="262626"/>
          <w:sz w:val="18"/>
          <w:szCs w:val="18"/>
          <w:lang w:val="el-GR"/>
        </w:rPr>
        <w:t xml:space="preserve"> Ενδιάμεση</w:t>
      </w:r>
      <w:r>
        <w:rPr>
          <w:rFonts w:ascii="Arial" w:hAnsi="Arial" w:cs="Arial"/>
          <w:color w:val="262626"/>
          <w:sz w:val="18"/>
          <w:szCs w:val="18"/>
          <w:lang w:val="el-GR"/>
        </w:rPr>
        <w:t>ς</w:t>
      </w:r>
      <w:r w:rsidRPr="00041815">
        <w:rPr>
          <w:rFonts w:ascii="Arial" w:hAnsi="Arial" w:cs="Arial"/>
          <w:color w:val="262626"/>
          <w:sz w:val="18"/>
          <w:szCs w:val="18"/>
          <w:lang w:val="el-GR"/>
        </w:rPr>
        <w:t xml:space="preserve"> Ενοποιημένη</w:t>
      </w:r>
      <w:r>
        <w:rPr>
          <w:rFonts w:ascii="Arial" w:hAnsi="Arial" w:cs="Arial"/>
          <w:color w:val="262626"/>
          <w:sz w:val="18"/>
          <w:szCs w:val="18"/>
          <w:lang w:val="el-GR"/>
        </w:rPr>
        <w:t>ς</w:t>
      </w:r>
      <w:r w:rsidRPr="00041815">
        <w:rPr>
          <w:rFonts w:ascii="Arial" w:hAnsi="Arial" w:cs="Arial"/>
          <w:color w:val="262626"/>
          <w:sz w:val="18"/>
          <w:szCs w:val="18"/>
          <w:lang w:val="el-GR"/>
        </w:rPr>
        <w:t xml:space="preserve"> Κατάσταση</w:t>
      </w:r>
      <w:r>
        <w:rPr>
          <w:rFonts w:ascii="Arial" w:hAnsi="Arial" w:cs="Arial"/>
          <w:color w:val="262626"/>
          <w:sz w:val="18"/>
          <w:szCs w:val="18"/>
          <w:lang w:val="el-GR"/>
        </w:rPr>
        <w:t>ς</w:t>
      </w:r>
      <w:r w:rsidRPr="00041815">
        <w:rPr>
          <w:rFonts w:ascii="Arial" w:hAnsi="Arial" w:cs="Arial"/>
          <w:color w:val="262626"/>
          <w:sz w:val="18"/>
          <w:szCs w:val="18"/>
          <w:lang w:val="el-GR"/>
        </w:rPr>
        <w:t xml:space="preserve"> Λογαριασμού Αποτελεσμάτων</w:t>
      </w:r>
      <w:r w:rsidRPr="00EB6473">
        <w:rPr>
          <w:rFonts w:ascii="Arial" w:hAnsi="Arial" w:cs="Arial"/>
          <w:color w:val="262626"/>
          <w:sz w:val="18"/>
          <w:szCs w:val="18"/>
          <w:lang w:val="el-GR"/>
        </w:rPr>
        <w:t xml:space="preserve"> μεταξύ </w:t>
      </w:r>
      <w:r>
        <w:rPr>
          <w:rFonts w:ascii="Arial" w:hAnsi="Arial" w:cs="Arial"/>
          <w:color w:val="262626"/>
          <w:sz w:val="18"/>
          <w:szCs w:val="18"/>
          <w:lang w:val="el-GR"/>
        </w:rPr>
        <w:t xml:space="preserve">της </w:t>
      </w:r>
      <w:r w:rsidRPr="00EB6473">
        <w:rPr>
          <w:rFonts w:ascii="Arial" w:hAnsi="Arial" w:cs="Arial"/>
          <w:color w:val="262626"/>
          <w:sz w:val="18"/>
          <w:szCs w:val="18"/>
          <w:lang w:val="el-GR"/>
        </w:rPr>
        <w:t>απαιτούμενη</w:t>
      </w:r>
      <w:r>
        <w:rPr>
          <w:rFonts w:ascii="Arial" w:hAnsi="Arial" w:cs="Arial"/>
          <w:color w:val="262626"/>
          <w:sz w:val="18"/>
          <w:szCs w:val="18"/>
          <w:lang w:val="el-GR"/>
        </w:rPr>
        <w:t>ς</w:t>
      </w:r>
      <w:r w:rsidRPr="00EB6473">
        <w:rPr>
          <w:rFonts w:ascii="Arial" w:hAnsi="Arial" w:cs="Arial"/>
          <w:color w:val="262626"/>
          <w:sz w:val="18"/>
          <w:szCs w:val="18"/>
          <w:lang w:val="el-GR"/>
        </w:rPr>
        <w:t xml:space="preserve"> από τη νομοθεσία βάση</w:t>
      </w:r>
      <w:r>
        <w:rPr>
          <w:rFonts w:ascii="Arial" w:hAnsi="Arial" w:cs="Arial"/>
          <w:color w:val="262626"/>
          <w:sz w:val="18"/>
          <w:szCs w:val="18"/>
          <w:lang w:val="el-GR"/>
        </w:rPr>
        <w:t>ς</w:t>
      </w:r>
      <w:r w:rsidRPr="00EB6473">
        <w:rPr>
          <w:rFonts w:ascii="Arial" w:hAnsi="Arial" w:cs="Arial"/>
          <w:color w:val="262626"/>
          <w:sz w:val="18"/>
          <w:szCs w:val="18"/>
          <w:lang w:val="el-GR"/>
        </w:rPr>
        <w:t xml:space="preserve"> </w:t>
      </w:r>
      <w:r w:rsidRPr="00103593">
        <w:rPr>
          <w:rFonts w:ascii="Arial" w:hAnsi="Arial" w:cs="Arial"/>
          <w:color w:val="262626"/>
          <w:sz w:val="18"/>
          <w:szCs w:val="18"/>
          <w:lang w:val="el-GR"/>
        </w:rPr>
        <w:t>σ</w:t>
      </w:r>
      <w:r>
        <w:rPr>
          <w:rFonts w:ascii="Arial" w:hAnsi="Arial" w:cs="Arial"/>
          <w:color w:val="262626"/>
          <w:sz w:val="18"/>
          <w:szCs w:val="18"/>
          <w:lang w:val="el-GR"/>
        </w:rPr>
        <w:t xml:space="preserve">το Μέρος </w:t>
      </w:r>
      <w:r w:rsidRPr="00103593">
        <w:rPr>
          <w:rFonts w:ascii="Arial" w:hAnsi="Arial" w:cs="Arial"/>
          <w:color w:val="262626"/>
          <w:sz w:val="18"/>
          <w:szCs w:val="18"/>
          <w:lang w:val="el-GR"/>
        </w:rPr>
        <w:t xml:space="preserve">Ε και της υποκείμενης βάσης </w:t>
      </w:r>
      <w:r>
        <w:rPr>
          <w:rFonts w:ascii="Arial" w:hAnsi="Arial" w:cs="Arial"/>
          <w:color w:val="262626"/>
          <w:sz w:val="18"/>
          <w:szCs w:val="18"/>
          <w:lang w:val="el-GR"/>
        </w:rPr>
        <w:t>στο Μέρος Α</w:t>
      </w:r>
      <w:r w:rsidRPr="00103593">
        <w:rPr>
          <w:rFonts w:ascii="Arial" w:hAnsi="Arial" w:cs="Arial"/>
          <w:color w:val="262626"/>
          <w:sz w:val="18"/>
          <w:szCs w:val="18"/>
          <w:lang w:val="el-GR"/>
        </w:rPr>
        <w:t xml:space="preserve"> περιλαμβάν</w:t>
      </w:r>
      <w:r>
        <w:rPr>
          <w:rFonts w:ascii="Arial" w:hAnsi="Arial" w:cs="Arial"/>
          <w:color w:val="262626"/>
          <w:sz w:val="18"/>
          <w:szCs w:val="18"/>
          <w:lang w:val="el-GR"/>
        </w:rPr>
        <w:t>εται</w:t>
      </w:r>
      <w:r w:rsidRPr="00103593">
        <w:rPr>
          <w:rFonts w:ascii="Arial" w:hAnsi="Arial" w:cs="Arial"/>
          <w:color w:val="262626"/>
          <w:sz w:val="18"/>
          <w:szCs w:val="18"/>
          <w:lang w:val="el-GR"/>
        </w:rPr>
        <w:t xml:space="preserve"> </w:t>
      </w:r>
      <w:r>
        <w:rPr>
          <w:rFonts w:ascii="Arial" w:hAnsi="Arial" w:cs="Arial"/>
          <w:color w:val="262626"/>
          <w:sz w:val="18"/>
          <w:szCs w:val="18"/>
          <w:lang w:val="el-GR"/>
        </w:rPr>
        <w:t>στο Μέρος</w:t>
      </w:r>
      <w:r w:rsidRPr="00103593">
        <w:rPr>
          <w:rFonts w:ascii="Arial" w:hAnsi="Arial" w:cs="Arial"/>
          <w:color w:val="262626"/>
          <w:sz w:val="18"/>
          <w:szCs w:val="18"/>
          <w:lang w:val="el-GR"/>
        </w:rPr>
        <w:t xml:space="preserve"> </w:t>
      </w:r>
      <w:r>
        <w:rPr>
          <w:rFonts w:ascii="Arial" w:hAnsi="Arial" w:cs="Arial"/>
          <w:color w:val="262626"/>
          <w:sz w:val="18"/>
          <w:szCs w:val="18"/>
          <w:lang w:val="el-GR"/>
        </w:rPr>
        <w:t>‘</w:t>
      </w:r>
      <w:r w:rsidRPr="00103593">
        <w:rPr>
          <w:rFonts w:ascii="Arial" w:hAnsi="Arial" w:cs="Arial"/>
          <w:color w:val="262626"/>
          <w:sz w:val="18"/>
          <w:szCs w:val="18"/>
          <w:lang w:val="el-GR"/>
        </w:rPr>
        <w:t xml:space="preserve">ΣΤ.1 </w:t>
      </w:r>
      <w:r w:rsidRPr="00EB6473">
        <w:rPr>
          <w:rFonts w:ascii="Arial" w:hAnsi="Arial" w:cs="Arial"/>
          <w:color w:val="262626"/>
          <w:sz w:val="18"/>
          <w:szCs w:val="18"/>
          <w:lang w:val="el-GR"/>
        </w:rPr>
        <w:t xml:space="preserve">Συμφιλίωση της </w:t>
      </w:r>
      <w:r>
        <w:rPr>
          <w:rFonts w:ascii="Arial" w:hAnsi="Arial" w:cs="Arial"/>
          <w:color w:val="262626"/>
          <w:sz w:val="18"/>
          <w:szCs w:val="18"/>
          <w:lang w:val="el-GR"/>
        </w:rPr>
        <w:t>Ε</w:t>
      </w:r>
      <w:r w:rsidRPr="00EB6473">
        <w:rPr>
          <w:rFonts w:ascii="Arial" w:hAnsi="Arial" w:cs="Arial"/>
          <w:color w:val="262626"/>
          <w:sz w:val="18"/>
          <w:szCs w:val="18"/>
          <w:lang w:val="el-GR"/>
        </w:rPr>
        <w:t xml:space="preserve">νδιάμεσης </w:t>
      </w:r>
      <w:r>
        <w:rPr>
          <w:rFonts w:ascii="Arial" w:hAnsi="Arial" w:cs="Arial"/>
          <w:color w:val="262626"/>
          <w:sz w:val="18"/>
          <w:szCs w:val="18"/>
          <w:lang w:val="el-GR"/>
        </w:rPr>
        <w:t>Ενοποιημένης Κ</w:t>
      </w:r>
      <w:r w:rsidRPr="00EB6473">
        <w:rPr>
          <w:rFonts w:ascii="Arial" w:hAnsi="Arial" w:cs="Arial"/>
          <w:color w:val="262626"/>
          <w:sz w:val="18"/>
          <w:szCs w:val="18"/>
          <w:lang w:val="el-GR"/>
        </w:rPr>
        <w:t xml:space="preserve">ατάστασης </w:t>
      </w:r>
      <w:r>
        <w:rPr>
          <w:rFonts w:ascii="Arial" w:hAnsi="Arial" w:cs="Arial"/>
          <w:color w:val="262626"/>
          <w:sz w:val="18"/>
          <w:szCs w:val="18"/>
          <w:lang w:val="el-GR"/>
        </w:rPr>
        <w:t>Λ</w:t>
      </w:r>
      <w:r w:rsidRPr="00EB6473">
        <w:rPr>
          <w:rFonts w:ascii="Arial" w:hAnsi="Arial" w:cs="Arial"/>
          <w:color w:val="262626"/>
          <w:sz w:val="18"/>
          <w:szCs w:val="18"/>
          <w:lang w:val="el-GR"/>
        </w:rPr>
        <w:t xml:space="preserve">ογαριασμού </w:t>
      </w:r>
      <w:r>
        <w:rPr>
          <w:rFonts w:ascii="Arial" w:hAnsi="Arial" w:cs="Arial"/>
          <w:color w:val="262626"/>
          <w:sz w:val="18"/>
          <w:szCs w:val="18"/>
          <w:lang w:val="el-GR"/>
        </w:rPr>
        <w:t>Α</w:t>
      </w:r>
      <w:r w:rsidRPr="00EB6473">
        <w:rPr>
          <w:rFonts w:ascii="Arial" w:hAnsi="Arial" w:cs="Arial"/>
          <w:color w:val="262626"/>
          <w:sz w:val="18"/>
          <w:szCs w:val="18"/>
          <w:lang w:val="el-GR"/>
        </w:rPr>
        <w:t xml:space="preserve">ποτελεσμάτων </w:t>
      </w:r>
      <w:r>
        <w:rPr>
          <w:rFonts w:ascii="Arial" w:hAnsi="Arial" w:cs="Arial"/>
          <w:color w:val="262626"/>
          <w:sz w:val="18"/>
          <w:szCs w:val="18"/>
          <w:lang w:val="el-GR"/>
        </w:rPr>
        <w:t>για το εννεάμηνο που έληξε στις 30</w:t>
      </w:r>
      <w:r w:rsidRPr="00193F58">
        <w:rPr>
          <w:rFonts w:ascii="Arial" w:hAnsi="Arial" w:cs="Arial"/>
          <w:color w:val="262626"/>
          <w:sz w:val="18"/>
          <w:szCs w:val="18"/>
          <w:lang w:val="el-GR"/>
        </w:rPr>
        <w:t xml:space="preserve"> </w:t>
      </w:r>
      <w:r>
        <w:rPr>
          <w:rFonts w:ascii="Arial" w:hAnsi="Arial" w:cs="Arial"/>
          <w:color w:val="262626"/>
          <w:sz w:val="18"/>
          <w:szCs w:val="18"/>
          <w:lang w:val="el-GR"/>
        </w:rPr>
        <w:t>Σεπτεμβρίου</w:t>
      </w:r>
      <w:r w:rsidRPr="00D17E65">
        <w:rPr>
          <w:rFonts w:ascii="Arial" w:hAnsi="Arial" w:cs="Arial"/>
          <w:color w:val="262626"/>
          <w:sz w:val="18"/>
          <w:szCs w:val="18"/>
          <w:lang w:val="el-GR"/>
        </w:rPr>
        <w:t xml:space="preserve"> </w:t>
      </w:r>
      <w:r>
        <w:rPr>
          <w:rFonts w:ascii="Arial" w:hAnsi="Arial" w:cs="Arial"/>
          <w:color w:val="262626"/>
          <w:sz w:val="18"/>
          <w:szCs w:val="18"/>
          <w:lang w:val="el-GR"/>
        </w:rPr>
        <w:t>202</w:t>
      </w:r>
      <w:r w:rsidRPr="00D17E65">
        <w:rPr>
          <w:rFonts w:ascii="Arial" w:hAnsi="Arial" w:cs="Arial"/>
          <w:color w:val="262626"/>
          <w:sz w:val="18"/>
          <w:szCs w:val="18"/>
          <w:lang w:val="el-GR"/>
        </w:rPr>
        <w:t>4</w:t>
      </w:r>
      <w:r>
        <w:rPr>
          <w:rFonts w:ascii="Arial" w:hAnsi="Arial" w:cs="Arial"/>
          <w:color w:val="262626"/>
          <w:sz w:val="18"/>
          <w:szCs w:val="18"/>
          <w:lang w:val="el-GR"/>
        </w:rPr>
        <w:t xml:space="preserve"> </w:t>
      </w:r>
      <w:r w:rsidRPr="00EB6473">
        <w:rPr>
          <w:rFonts w:ascii="Arial" w:hAnsi="Arial" w:cs="Arial"/>
          <w:color w:val="262626"/>
          <w:sz w:val="18"/>
          <w:szCs w:val="18"/>
          <w:lang w:val="el-GR"/>
        </w:rPr>
        <w:t>μεταξύ της απαιτούμενης από τη νομοθεσία βάσης και της υποκείμενης βάσης</w:t>
      </w:r>
      <w:r>
        <w:rPr>
          <w:rFonts w:ascii="Arial" w:hAnsi="Arial" w:cs="Arial"/>
          <w:color w:val="262626"/>
          <w:sz w:val="18"/>
          <w:szCs w:val="18"/>
          <w:lang w:val="el-GR"/>
        </w:rPr>
        <w:t>’</w:t>
      </w:r>
      <w:r w:rsidRPr="00103593">
        <w:rPr>
          <w:rFonts w:ascii="Arial" w:hAnsi="Arial" w:cs="Arial"/>
          <w:color w:val="262626"/>
          <w:sz w:val="18"/>
          <w:szCs w:val="18"/>
          <w:lang w:val="el-GR"/>
        </w:rPr>
        <w:t>.</w:t>
      </w:r>
      <w:r w:rsidRPr="001C3AA9">
        <w:rPr>
          <w:lang w:val="el-GR"/>
        </w:rPr>
        <w:t xml:space="preserve"> </w:t>
      </w:r>
    </w:p>
    <w:p w14:paraId="4328C154" w14:textId="77777777" w:rsidR="0056738E" w:rsidRDefault="0056738E" w:rsidP="0056738E">
      <w:pPr>
        <w:spacing w:after="0" w:line="240" w:lineRule="auto"/>
        <w:jc w:val="both"/>
        <w:rPr>
          <w:rFonts w:ascii="Arial" w:hAnsi="Arial" w:cs="Arial"/>
          <w:color w:val="262626"/>
          <w:sz w:val="18"/>
          <w:szCs w:val="18"/>
          <w:lang w:val="el-GR"/>
        </w:rPr>
      </w:pPr>
    </w:p>
    <w:p w14:paraId="0D8D948D" w14:textId="77777777" w:rsidR="0056738E" w:rsidRDefault="0056738E" w:rsidP="0056738E">
      <w:pPr>
        <w:spacing w:after="0" w:line="240" w:lineRule="auto"/>
        <w:jc w:val="both"/>
        <w:rPr>
          <w:rFonts w:ascii="Arial" w:hAnsi="Arial" w:cs="Arial"/>
          <w:color w:val="262626"/>
          <w:sz w:val="18"/>
          <w:szCs w:val="18"/>
          <w:lang w:val="el-GR"/>
        </w:rPr>
      </w:pPr>
      <w:r w:rsidRPr="00284973">
        <w:rPr>
          <w:rFonts w:ascii="Arial" w:hAnsi="Arial" w:cs="Arial"/>
          <w:color w:val="262626"/>
          <w:sz w:val="18"/>
          <w:szCs w:val="18"/>
          <w:lang w:val="el-GR"/>
        </w:rPr>
        <w:t xml:space="preserve">Συμφιλιώσεις μεταξύ </w:t>
      </w:r>
      <w:r>
        <w:rPr>
          <w:rFonts w:ascii="Arial" w:hAnsi="Arial" w:cs="Arial"/>
          <w:color w:val="262626"/>
          <w:sz w:val="18"/>
          <w:szCs w:val="18"/>
          <w:lang w:val="el-GR"/>
        </w:rPr>
        <w:t xml:space="preserve">των </w:t>
      </w:r>
      <w:r w:rsidRPr="00284973">
        <w:rPr>
          <w:rFonts w:ascii="Arial" w:hAnsi="Arial" w:cs="Arial"/>
          <w:color w:val="262626"/>
          <w:sz w:val="18"/>
          <w:szCs w:val="18"/>
          <w:lang w:val="el-GR"/>
        </w:rPr>
        <w:t>μέτρων απόδοσης που δεν συνάδουν με τα Δ</w:t>
      </w:r>
      <w:r>
        <w:rPr>
          <w:rFonts w:ascii="Arial" w:hAnsi="Arial" w:cs="Arial"/>
          <w:color w:val="262626"/>
          <w:sz w:val="18"/>
          <w:szCs w:val="18"/>
          <w:lang w:val="el-GR"/>
        </w:rPr>
        <w:t>ΠΧ</w:t>
      </w:r>
      <w:r w:rsidRPr="00284973">
        <w:rPr>
          <w:rFonts w:ascii="Arial" w:hAnsi="Arial" w:cs="Arial"/>
          <w:color w:val="262626"/>
          <w:sz w:val="18"/>
          <w:szCs w:val="18"/>
          <w:lang w:val="el-GR"/>
        </w:rPr>
        <w:t>Α και των πιο άμεσα συγκρ</w:t>
      </w:r>
      <w:r w:rsidRPr="00067057">
        <w:rPr>
          <w:rFonts w:ascii="Arial" w:hAnsi="Arial" w:cs="Arial"/>
          <w:color w:val="262626"/>
          <w:sz w:val="18"/>
          <w:szCs w:val="18"/>
          <w:lang w:val="el-GR"/>
        </w:rPr>
        <w:t>ίσ</w:t>
      </w:r>
      <w:r>
        <w:rPr>
          <w:rFonts w:ascii="Arial" w:hAnsi="Arial" w:cs="Arial"/>
          <w:color w:val="262626"/>
          <w:sz w:val="18"/>
          <w:szCs w:val="18"/>
          <w:lang w:val="el-GR"/>
        </w:rPr>
        <w:t>ι</w:t>
      </w:r>
      <w:r w:rsidRPr="00284973">
        <w:rPr>
          <w:rFonts w:ascii="Arial" w:hAnsi="Arial" w:cs="Arial"/>
          <w:color w:val="262626"/>
          <w:sz w:val="18"/>
          <w:szCs w:val="18"/>
          <w:lang w:val="el-GR"/>
        </w:rPr>
        <w:t>μων μέτρων απόδοσης που συνάδουν με τα Δ</w:t>
      </w:r>
      <w:r>
        <w:rPr>
          <w:rFonts w:ascii="Arial" w:hAnsi="Arial" w:cs="Arial"/>
          <w:color w:val="262626"/>
          <w:sz w:val="18"/>
          <w:szCs w:val="18"/>
          <w:lang w:val="el-GR"/>
        </w:rPr>
        <w:t>ΠΧ</w:t>
      </w:r>
      <w:r w:rsidRPr="00284973">
        <w:rPr>
          <w:rFonts w:ascii="Arial" w:hAnsi="Arial" w:cs="Arial"/>
          <w:color w:val="262626"/>
          <w:sz w:val="18"/>
          <w:szCs w:val="18"/>
          <w:lang w:val="el-GR"/>
        </w:rPr>
        <w:t>Α</w:t>
      </w:r>
      <w:r>
        <w:rPr>
          <w:rFonts w:ascii="Arial" w:hAnsi="Arial" w:cs="Arial"/>
          <w:color w:val="262626"/>
          <w:sz w:val="18"/>
          <w:szCs w:val="18"/>
          <w:lang w:val="el-GR"/>
        </w:rPr>
        <w:t>,</w:t>
      </w:r>
      <w:r w:rsidRPr="00284973">
        <w:rPr>
          <w:rFonts w:ascii="Arial" w:hAnsi="Arial" w:cs="Arial"/>
          <w:color w:val="262626"/>
          <w:sz w:val="18"/>
          <w:szCs w:val="18"/>
          <w:lang w:val="el-GR"/>
        </w:rPr>
        <w:t xml:space="preserve"> παρατίθενται πιο κάτω </w:t>
      </w:r>
      <w:r>
        <w:rPr>
          <w:rFonts w:ascii="Arial" w:hAnsi="Arial" w:cs="Arial"/>
          <w:color w:val="262626"/>
          <w:sz w:val="18"/>
          <w:szCs w:val="18"/>
          <w:lang w:val="el-GR"/>
        </w:rPr>
        <w:t>για να διευκολύνεται η</w:t>
      </w:r>
      <w:r w:rsidRPr="00284973">
        <w:rPr>
          <w:rFonts w:ascii="Arial" w:hAnsi="Arial" w:cs="Arial"/>
          <w:color w:val="262626"/>
          <w:sz w:val="18"/>
          <w:szCs w:val="18"/>
          <w:lang w:val="el-GR"/>
        </w:rPr>
        <w:t xml:space="preserve"> σύγκριση </w:t>
      </w:r>
      <w:r>
        <w:rPr>
          <w:rFonts w:ascii="Arial" w:hAnsi="Arial" w:cs="Arial"/>
          <w:color w:val="262626"/>
          <w:sz w:val="18"/>
          <w:szCs w:val="18"/>
          <w:lang w:val="el-GR"/>
        </w:rPr>
        <w:t xml:space="preserve">της πληροφόρησης σε υποκείμενη βάση με την πληροφόρηση της </w:t>
      </w:r>
      <w:r w:rsidRPr="00067057">
        <w:rPr>
          <w:rFonts w:ascii="Arial" w:hAnsi="Arial" w:cs="Arial"/>
          <w:color w:val="262626"/>
          <w:sz w:val="18"/>
          <w:szCs w:val="18"/>
          <w:lang w:val="el-GR"/>
        </w:rPr>
        <w:t>απαιτούμενη</w:t>
      </w:r>
      <w:r>
        <w:rPr>
          <w:rFonts w:ascii="Arial" w:hAnsi="Arial" w:cs="Arial"/>
          <w:color w:val="262626"/>
          <w:sz w:val="18"/>
          <w:szCs w:val="18"/>
          <w:lang w:val="el-GR"/>
        </w:rPr>
        <w:t>ς</w:t>
      </w:r>
      <w:r w:rsidRPr="00284973">
        <w:rPr>
          <w:rFonts w:ascii="Arial" w:hAnsi="Arial" w:cs="Arial"/>
          <w:color w:val="262626"/>
          <w:sz w:val="18"/>
          <w:szCs w:val="18"/>
          <w:lang w:val="el-GR"/>
        </w:rPr>
        <w:t xml:space="preserve"> από τη νομοθεσία </w:t>
      </w:r>
      <w:r>
        <w:rPr>
          <w:rFonts w:ascii="Arial" w:hAnsi="Arial" w:cs="Arial"/>
          <w:color w:val="262626"/>
          <w:sz w:val="18"/>
          <w:szCs w:val="18"/>
          <w:lang w:val="el-GR"/>
        </w:rPr>
        <w:t>βάσης</w:t>
      </w:r>
      <w:r w:rsidRPr="00955C85">
        <w:rPr>
          <w:rFonts w:ascii="Arial" w:hAnsi="Arial" w:cs="Arial"/>
          <w:color w:val="262626"/>
          <w:sz w:val="18"/>
          <w:szCs w:val="18"/>
          <w:lang w:val="el-GR"/>
        </w:rPr>
        <w:t>.</w:t>
      </w:r>
    </w:p>
    <w:p w14:paraId="0B88A152" w14:textId="77777777" w:rsidR="0056738E" w:rsidRPr="00284973" w:rsidRDefault="0056738E" w:rsidP="0056738E">
      <w:pPr>
        <w:spacing w:after="0" w:line="240" w:lineRule="auto"/>
        <w:ind w:left="142"/>
        <w:rPr>
          <w:rFonts w:ascii="Arial" w:hAnsi="Arial" w:cs="Arial"/>
          <w:color w:val="262626"/>
          <w:sz w:val="18"/>
          <w:szCs w:val="18"/>
          <w:lang w:val="el-GR"/>
        </w:rPr>
      </w:pPr>
    </w:p>
    <w:p w14:paraId="13A16DD4" w14:textId="77777777" w:rsidR="0056738E" w:rsidRPr="009B5694" w:rsidRDefault="0056738E" w:rsidP="0056738E">
      <w:pPr>
        <w:pStyle w:val="ListParagraph"/>
        <w:numPr>
          <w:ilvl w:val="0"/>
          <w:numId w:val="7"/>
        </w:numPr>
        <w:spacing w:line="360" w:lineRule="auto"/>
        <w:ind w:left="851" w:hanging="851"/>
        <w:rPr>
          <w:rFonts w:ascii="Arial" w:eastAsiaTheme="minorEastAsia" w:hAnsi="Arial" w:cs="Arial"/>
          <w:b/>
          <w:color w:val="FF9900"/>
          <w:sz w:val="22"/>
          <w:szCs w:val="22"/>
          <w:lang w:val="el-GR"/>
        </w:rPr>
      </w:pPr>
      <w:r>
        <w:rPr>
          <w:rFonts w:ascii="Arial" w:eastAsiaTheme="minorEastAsia" w:hAnsi="Arial" w:cs="Arial"/>
          <w:b/>
          <w:color w:val="FF9900"/>
          <w:sz w:val="22"/>
          <w:szCs w:val="22"/>
          <w:lang w:val="el-GR"/>
        </w:rPr>
        <w:t>Συμφιλίωση Μεικτών δανείων και απαιτήσεων από πελάτες</w:t>
      </w:r>
    </w:p>
    <w:tbl>
      <w:tblPr>
        <w:tblStyle w:val="TableGrid"/>
        <w:tblW w:w="9452"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390"/>
        <w:gridCol w:w="1531"/>
        <w:gridCol w:w="1531"/>
      </w:tblGrid>
      <w:tr w:rsidR="0056738E" w:rsidRPr="007116C8" w14:paraId="0B8CCA7F" w14:textId="77777777" w:rsidTr="007C2AEE">
        <w:trPr>
          <w:trHeight w:val="340"/>
          <w:jc w:val="center"/>
        </w:trPr>
        <w:tc>
          <w:tcPr>
            <w:tcW w:w="6390" w:type="dxa"/>
            <w:vMerge w:val="restart"/>
            <w:vAlign w:val="center"/>
          </w:tcPr>
          <w:p w14:paraId="32FF29D8" w14:textId="77777777" w:rsidR="0056738E" w:rsidRPr="00FE33FA" w:rsidRDefault="0056738E" w:rsidP="007C2AEE">
            <w:pPr>
              <w:tabs>
                <w:tab w:val="left" w:pos="0"/>
                <w:tab w:val="left" w:pos="360"/>
              </w:tabs>
              <w:rPr>
                <w:rFonts w:ascii="Arial" w:hAnsi="Arial" w:cs="Arial"/>
                <w:b/>
                <w:color w:val="000000"/>
                <w:sz w:val="18"/>
                <w:szCs w:val="18"/>
                <w:lang w:val="el-GR"/>
              </w:rPr>
            </w:pPr>
          </w:p>
        </w:tc>
        <w:tc>
          <w:tcPr>
            <w:tcW w:w="1531" w:type="dxa"/>
            <w:shd w:val="clear" w:color="auto" w:fill="auto"/>
            <w:vAlign w:val="center"/>
          </w:tcPr>
          <w:p w14:paraId="01F5166B" w14:textId="77777777" w:rsidR="0056738E" w:rsidRPr="00FE33FA" w:rsidRDefault="0056738E" w:rsidP="007C2AEE">
            <w:pPr>
              <w:ind w:left="-121" w:right="-119"/>
              <w:jc w:val="center"/>
              <w:rPr>
                <w:rFonts w:ascii="Arial" w:hAnsi="Arial" w:cs="Arial"/>
                <w:b/>
                <w:iCs/>
                <w:spacing w:val="-4"/>
                <w:sz w:val="18"/>
                <w:szCs w:val="18"/>
                <w:lang w:val="el-GR"/>
              </w:rPr>
            </w:pPr>
            <w:r w:rsidRPr="00331BC0">
              <w:rPr>
                <w:rFonts w:ascii="Arial" w:hAnsi="Arial" w:cs="Arial"/>
                <w:b/>
                <w:sz w:val="18"/>
                <w:szCs w:val="18"/>
                <w:lang w:val="el-GR"/>
              </w:rPr>
              <w:t xml:space="preserve">30 Σεπτεμβρίου </w:t>
            </w:r>
            <w:r w:rsidRPr="00FE33FA">
              <w:rPr>
                <w:rFonts w:ascii="Arial" w:hAnsi="Arial" w:cs="Arial"/>
                <w:b/>
                <w:sz w:val="18"/>
                <w:szCs w:val="18"/>
                <w:lang w:val="el-GR"/>
              </w:rPr>
              <w:t>202</w:t>
            </w:r>
            <w:r>
              <w:rPr>
                <w:rFonts w:ascii="Arial" w:hAnsi="Arial" w:cs="Arial"/>
                <w:b/>
                <w:sz w:val="18"/>
                <w:szCs w:val="18"/>
                <w:lang w:val="el-GR"/>
              </w:rPr>
              <w:t>4</w:t>
            </w:r>
          </w:p>
        </w:tc>
        <w:tc>
          <w:tcPr>
            <w:tcW w:w="1531" w:type="dxa"/>
            <w:shd w:val="clear" w:color="auto" w:fill="auto"/>
            <w:vAlign w:val="center"/>
          </w:tcPr>
          <w:p w14:paraId="3269BD45" w14:textId="77777777" w:rsidR="0056738E" w:rsidRPr="00FE33FA" w:rsidRDefault="0056738E" w:rsidP="007C2AEE">
            <w:pPr>
              <w:jc w:val="center"/>
              <w:rPr>
                <w:rFonts w:ascii="Arial" w:hAnsi="Arial" w:cs="Arial"/>
                <w:sz w:val="18"/>
                <w:szCs w:val="18"/>
              </w:rPr>
            </w:pPr>
            <w:r w:rsidRPr="00FE33FA">
              <w:rPr>
                <w:rFonts w:ascii="Arial" w:hAnsi="Arial" w:cs="Arial"/>
                <w:sz w:val="18"/>
                <w:szCs w:val="18"/>
              </w:rPr>
              <w:t xml:space="preserve">31 </w:t>
            </w:r>
            <w:proofErr w:type="spellStart"/>
            <w:r w:rsidRPr="00FE33FA">
              <w:rPr>
                <w:rFonts w:ascii="Arial" w:hAnsi="Arial" w:cs="Arial"/>
                <w:sz w:val="18"/>
                <w:szCs w:val="18"/>
              </w:rPr>
              <w:t>Δεκεμ</w:t>
            </w:r>
            <w:proofErr w:type="spellEnd"/>
            <w:r w:rsidRPr="00FE33FA">
              <w:rPr>
                <w:rFonts w:ascii="Arial" w:hAnsi="Arial" w:cs="Arial"/>
                <w:sz w:val="18"/>
                <w:szCs w:val="18"/>
              </w:rPr>
              <w:t>βρίου</w:t>
            </w:r>
          </w:p>
          <w:p w14:paraId="1D8ED4F7" w14:textId="77777777" w:rsidR="0056738E" w:rsidRPr="00C76EDA" w:rsidRDefault="0056738E" w:rsidP="007C2AEE">
            <w:pPr>
              <w:jc w:val="center"/>
              <w:rPr>
                <w:rFonts w:ascii="Arial" w:hAnsi="Arial" w:cs="Arial"/>
                <w:iCs/>
                <w:spacing w:val="-4"/>
                <w:sz w:val="18"/>
                <w:szCs w:val="18"/>
                <w:lang w:val="el-GR"/>
              </w:rPr>
            </w:pPr>
            <w:r w:rsidRPr="00FE33FA">
              <w:rPr>
                <w:rFonts w:ascii="Arial" w:hAnsi="Arial" w:cs="Arial"/>
                <w:sz w:val="18"/>
                <w:szCs w:val="18"/>
              </w:rPr>
              <w:t>20</w:t>
            </w:r>
            <w:r>
              <w:rPr>
                <w:rFonts w:ascii="Arial" w:hAnsi="Arial" w:cs="Arial"/>
                <w:sz w:val="18"/>
                <w:szCs w:val="18"/>
                <w:lang w:val="el-GR"/>
              </w:rPr>
              <w:t>23</w:t>
            </w:r>
          </w:p>
        </w:tc>
      </w:tr>
      <w:tr w:rsidR="0056738E" w:rsidRPr="007116C8" w14:paraId="6ED7173D" w14:textId="77777777" w:rsidTr="007C2AEE">
        <w:trPr>
          <w:trHeight w:val="283"/>
          <w:jc w:val="center"/>
        </w:trPr>
        <w:tc>
          <w:tcPr>
            <w:tcW w:w="6390" w:type="dxa"/>
            <w:vMerge/>
            <w:vAlign w:val="center"/>
          </w:tcPr>
          <w:p w14:paraId="3341178B" w14:textId="77777777" w:rsidR="0056738E" w:rsidRPr="00FE33FA" w:rsidRDefault="0056738E" w:rsidP="007C2AEE">
            <w:pPr>
              <w:tabs>
                <w:tab w:val="left" w:pos="0"/>
                <w:tab w:val="right" w:pos="7560"/>
                <w:tab w:val="right" w:pos="9000"/>
              </w:tabs>
              <w:rPr>
                <w:rFonts w:ascii="Arial" w:hAnsi="Arial" w:cs="Arial"/>
                <w:sz w:val="18"/>
                <w:szCs w:val="18"/>
                <w:lang w:val="el-GR"/>
              </w:rPr>
            </w:pPr>
          </w:p>
        </w:tc>
        <w:tc>
          <w:tcPr>
            <w:tcW w:w="1531" w:type="dxa"/>
            <w:shd w:val="clear" w:color="auto" w:fill="auto"/>
            <w:vAlign w:val="center"/>
          </w:tcPr>
          <w:p w14:paraId="63310C2E" w14:textId="77777777" w:rsidR="0056738E" w:rsidRPr="00FE33FA" w:rsidRDefault="0056738E" w:rsidP="007C2AEE">
            <w:pPr>
              <w:tabs>
                <w:tab w:val="left" w:pos="0"/>
                <w:tab w:val="right" w:pos="7560"/>
                <w:tab w:val="right" w:pos="9000"/>
              </w:tabs>
              <w:jc w:val="center"/>
              <w:rPr>
                <w:rFonts w:ascii="Arial" w:hAnsi="Arial" w:cs="Arial"/>
                <w:bCs/>
                <w:sz w:val="18"/>
                <w:szCs w:val="18"/>
              </w:rPr>
            </w:pPr>
            <w:r w:rsidRPr="00FE33FA">
              <w:rPr>
                <w:rFonts w:ascii="Arial" w:hAnsi="Arial" w:cs="Arial"/>
                <w:b/>
                <w:sz w:val="18"/>
                <w:szCs w:val="18"/>
              </w:rPr>
              <w:t>€000</w:t>
            </w:r>
          </w:p>
        </w:tc>
        <w:tc>
          <w:tcPr>
            <w:tcW w:w="1531" w:type="dxa"/>
            <w:shd w:val="clear" w:color="auto" w:fill="auto"/>
            <w:vAlign w:val="center"/>
          </w:tcPr>
          <w:p w14:paraId="6BAD34FF" w14:textId="77777777" w:rsidR="0056738E" w:rsidRPr="00FE33FA" w:rsidRDefault="0056738E" w:rsidP="007C2AEE">
            <w:pPr>
              <w:tabs>
                <w:tab w:val="left" w:pos="0"/>
                <w:tab w:val="right" w:pos="7560"/>
                <w:tab w:val="right" w:pos="9000"/>
              </w:tabs>
              <w:jc w:val="center"/>
              <w:rPr>
                <w:rFonts w:ascii="Arial" w:hAnsi="Arial" w:cs="Arial"/>
                <w:bCs/>
                <w:sz w:val="18"/>
                <w:szCs w:val="18"/>
              </w:rPr>
            </w:pPr>
            <w:r w:rsidRPr="00FE33FA">
              <w:rPr>
                <w:rFonts w:ascii="Arial" w:hAnsi="Arial" w:cs="Arial"/>
                <w:sz w:val="18"/>
                <w:szCs w:val="18"/>
              </w:rPr>
              <w:t>€000</w:t>
            </w:r>
          </w:p>
        </w:tc>
      </w:tr>
      <w:tr w:rsidR="0056738E" w:rsidRPr="00366276" w14:paraId="4B88119B" w14:textId="77777777" w:rsidTr="007C2AEE">
        <w:trPr>
          <w:trHeight w:val="283"/>
          <w:jc w:val="center"/>
        </w:trPr>
        <w:tc>
          <w:tcPr>
            <w:tcW w:w="6390" w:type="dxa"/>
            <w:vAlign w:val="center"/>
          </w:tcPr>
          <w:p w14:paraId="4CA3820F" w14:textId="77777777" w:rsidR="0056738E" w:rsidRPr="00F30AA4" w:rsidRDefault="0056738E" w:rsidP="007C2AEE">
            <w:pPr>
              <w:tabs>
                <w:tab w:val="left" w:pos="0"/>
                <w:tab w:val="right" w:pos="7560"/>
                <w:tab w:val="right" w:pos="9000"/>
              </w:tabs>
              <w:jc w:val="both"/>
              <w:rPr>
                <w:rFonts w:ascii="Arial" w:hAnsi="Arial" w:cs="Arial"/>
                <w:b/>
                <w:sz w:val="18"/>
                <w:szCs w:val="18"/>
                <w:lang w:val="el-GR"/>
              </w:rPr>
            </w:pPr>
            <w:r w:rsidRPr="00F30AA4">
              <w:rPr>
                <w:rFonts w:ascii="Arial" w:hAnsi="Arial" w:cs="Arial"/>
                <w:sz w:val="18"/>
                <w:szCs w:val="18"/>
                <w:lang w:val="el-GR"/>
              </w:rPr>
              <w:t>Μεικτά δάνεια και απαιτήσεις από πελάτες στην υποκείμενη βάση (</w:t>
            </w:r>
            <w:r w:rsidRPr="00E0028A">
              <w:rPr>
                <w:rFonts w:ascii="Arial" w:hAnsi="Arial" w:cs="Arial"/>
                <w:i/>
                <w:iCs/>
                <w:sz w:val="18"/>
                <w:szCs w:val="18"/>
                <w:lang w:val="el-GR"/>
              </w:rPr>
              <w:t>όπως ορίζονται στο Μέρος Θ</w:t>
            </w:r>
            <w:r>
              <w:rPr>
                <w:rFonts w:ascii="Arial" w:hAnsi="Arial" w:cs="Arial"/>
                <w:sz w:val="18"/>
                <w:szCs w:val="18"/>
                <w:lang w:val="el-GR"/>
              </w:rPr>
              <w:t>)</w:t>
            </w:r>
          </w:p>
        </w:tc>
        <w:tc>
          <w:tcPr>
            <w:tcW w:w="1531" w:type="dxa"/>
            <w:shd w:val="clear" w:color="auto" w:fill="auto"/>
            <w:vAlign w:val="center"/>
          </w:tcPr>
          <w:p w14:paraId="37C15FE1" w14:textId="77777777" w:rsidR="0056738E" w:rsidRPr="00F012CB"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l-GR"/>
              </w:rPr>
              <w:t>10,277,447</w:t>
            </w:r>
          </w:p>
        </w:tc>
        <w:tc>
          <w:tcPr>
            <w:tcW w:w="1531" w:type="dxa"/>
            <w:shd w:val="clear" w:color="auto" w:fill="auto"/>
            <w:vAlign w:val="center"/>
          </w:tcPr>
          <w:p w14:paraId="1087F9D5" w14:textId="77777777" w:rsidR="0056738E" w:rsidRPr="00F30AA4" w:rsidRDefault="0056738E" w:rsidP="007C2AEE">
            <w:pPr>
              <w:tabs>
                <w:tab w:val="left" w:pos="0"/>
                <w:tab w:val="right" w:pos="7560"/>
                <w:tab w:val="right" w:pos="9000"/>
              </w:tabs>
              <w:jc w:val="right"/>
              <w:rPr>
                <w:rFonts w:ascii="Arial" w:hAnsi="Arial" w:cs="Arial"/>
                <w:sz w:val="18"/>
                <w:szCs w:val="18"/>
                <w:lang w:val="el-GR"/>
              </w:rPr>
            </w:pPr>
            <w:r w:rsidRPr="00487C44">
              <w:rPr>
                <w:rFonts w:ascii="Arial" w:hAnsi="Arial" w:cs="Arial"/>
                <w:sz w:val="18"/>
                <w:szCs w:val="18"/>
              </w:rPr>
              <w:t>10,069,828</w:t>
            </w:r>
          </w:p>
        </w:tc>
      </w:tr>
      <w:tr w:rsidR="0056738E" w:rsidRPr="007116C8" w14:paraId="3470646C" w14:textId="77777777" w:rsidTr="007C2AEE">
        <w:trPr>
          <w:trHeight w:val="283"/>
          <w:jc w:val="center"/>
        </w:trPr>
        <w:tc>
          <w:tcPr>
            <w:tcW w:w="6390" w:type="dxa"/>
            <w:vAlign w:val="center"/>
          </w:tcPr>
          <w:p w14:paraId="3E184E1C" w14:textId="77777777" w:rsidR="0056738E" w:rsidRPr="00F30AA4" w:rsidRDefault="0056738E" w:rsidP="007C2AEE">
            <w:pPr>
              <w:tabs>
                <w:tab w:val="left" w:pos="0"/>
                <w:tab w:val="right" w:pos="7560"/>
                <w:tab w:val="right" w:pos="9000"/>
              </w:tabs>
              <w:jc w:val="both"/>
              <w:rPr>
                <w:rFonts w:ascii="Arial" w:hAnsi="Arial" w:cs="Arial"/>
                <w:b/>
                <w:bCs/>
                <w:sz w:val="18"/>
                <w:szCs w:val="18"/>
              </w:rPr>
            </w:pPr>
            <w:r w:rsidRPr="00F30AA4">
              <w:rPr>
                <w:rFonts w:ascii="Arial" w:hAnsi="Arial" w:cs="Arial"/>
                <w:b/>
                <w:sz w:val="18"/>
                <w:szCs w:val="18"/>
                <w:lang w:val="el-GR"/>
              </w:rPr>
              <w:t>Συμφιλίωση για</w:t>
            </w:r>
            <w:r w:rsidRPr="00F30AA4">
              <w:rPr>
                <w:rFonts w:ascii="Arial" w:hAnsi="Arial" w:cs="Arial"/>
                <w:b/>
                <w:sz w:val="18"/>
                <w:szCs w:val="18"/>
              </w:rPr>
              <w:t>:</w:t>
            </w:r>
          </w:p>
        </w:tc>
        <w:tc>
          <w:tcPr>
            <w:tcW w:w="1531" w:type="dxa"/>
            <w:shd w:val="clear" w:color="auto" w:fill="auto"/>
            <w:vAlign w:val="center"/>
          </w:tcPr>
          <w:p w14:paraId="45796A1A" w14:textId="77777777" w:rsidR="0056738E" w:rsidRPr="00AB4891" w:rsidRDefault="0056738E" w:rsidP="007C2AEE">
            <w:pPr>
              <w:tabs>
                <w:tab w:val="left" w:pos="0"/>
                <w:tab w:val="right" w:pos="7560"/>
                <w:tab w:val="right" w:pos="9000"/>
              </w:tabs>
              <w:jc w:val="right"/>
              <w:rPr>
                <w:rFonts w:ascii="Arial" w:hAnsi="Arial" w:cs="Arial"/>
                <w:b/>
                <w:bCs/>
                <w:sz w:val="18"/>
                <w:szCs w:val="18"/>
              </w:rPr>
            </w:pPr>
          </w:p>
        </w:tc>
        <w:tc>
          <w:tcPr>
            <w:tcW w:w="1531" w:type="dxa"/>
            <w:shd w:val="clear" w:color="auto" w:fill="auto"/>
            <w:vAlign w:val="center"/>
          </w:tcPr>
          <w:p w14:paraId="5DE850CB" w14:textId="77777777" w:rsidR="0056738E" w:rsidRPr="00F30AA4" w:rsidRDefault="0056738E" w:rsidP="007C2AEE">
            <w:pPr>
              <w:tabs>
                <w:tab w:val="left" w:pos="0"/>
                <w:tab w:val="right" w:pos="7560"/>
                <w:tab w:val="right" w:pos="9000"/>
              </w:tabs>
              <w:jc w:val="right"/>
              <w:rPr>
                <w:rFonts w:ascii="Arial" w:hAnsi="Arial" w:cs="Arial"/>
                <w:sz w:val="18"/>
                <w:szCs w:val="18"/>
              </w:rPr>
            </w:pPr>
          </w:p>
        </w:tc>
      </w:tr>
      <w:tr w:rsidR="0056738E" w:rsidRPr="00366276" w14:paraId="50A01B38" w14:textId="77777777" w:rsidTr="007C2AEE">
        <w:trPr>
          <w:trHeight w:val="255"/>
          <w:jc w:val="center"/>
        </w:trPr>
        <w:tc>
          <w:tcPr>
            <w:tcW w:w="6390" w:type="dxa"/>
            <w:tcBorders>
              <w:bottom w:val="single" w:sz="4" w:space="0" w:color="D9D9D9" w:themeColor="background1" w:themeShade="D9"/>
            </w:tcBorders>
            <w:vAlign w:val="center"/>
          </w:tcPr>
          <w:p w14:paraId="56C9538E" w14:textId="77777777" w:rsidR="0056738E" w:rsidRPr="00F30AA4" w:rsidRDefault="0056738E" w:rsidP="007C2AEE">
            <w:pPr>
              <w:tabs>
                <w:tab w:val="left" w:pos="0"/>
                <w:tab w:val="right" w:pos="7560"/>
                <w:tab w:val="right" w:pos="9000"/>
              </w:tabs>
              <w:jc w:val="both"/>
              <w:rPr>
                <w:rFonts w:ascii="Arial" w:hAnsi="Arial" w:cs="Arial"/>
                <w:bCs/>
                <w:sz w:val="18"/>
                <w:szCs w:val="18"/>
                <w:lang w:val="el-GR"/>
              </w:rPr>
            </w:pPr>
            <w:r w:rsidRPr="00F30AA4">
              <w:rPr>
                <w:rFonts w:ascii="Arial" w:hAnsi="Arial" w:cs="Arial"/>
                <w:sz w:val="18"/>
                <w:szCs w:val="18"/>
                <w:lang w:val="el-GR"/>
              </w:rPr>
              <w:t>Εναπομ</w:t>
            </w:r>
            <w:r>
              <w:rPr>
                <w:rFonts w:ascii="Arial" w:hAnsi="Arial" w:cs="Arial"/>
                <w:sz w:val="18"/>
                <w:szCs w:val="18"/>
                <w:lang w:val="el-GR"/>
              </w:rPr>
              <w:t>έ</w:t>
            </w:r>
            <w:r w:rsidRPr="00F30AA4">
              <w:rPr>
                <w:rFonts w:ascii="Arial" w:hAnsi="Arial" w:cs="Arial"/>
                <w:sz w:val="18"/>
                <w:szCs w:val="18"/>
                <w:lang w:val="el-GR"/>
              </w:rPr>
              <w:t xml:space="preserve">νουσα αναπροσαρμογή στην εύλογη αξία κατά την αρχική αναγνώριση </w:t>
            </w:r>
            <w:r w:rsidRPr="001C3AA9">
              <w:rPr>
                <w:rFonts w:ascii="Arial" w:hAnsi="Arial" w:cs="Arial"/>
                <w:i/>
                <w:iCs/>
                <w:sz w:val="18"/>
                <w:szCs w:val="18"/>
                <w:lang w:val="el-GR"/>
              </w:rPr>
              <w:t>(Μέρος ΣΤ.5)</w:t>
            </w:r>
          </w:p>
        </w:tc>
        <w:tc>
          <w:tcPr>
            <w:tcW w:w="1531" w:type="dxa"/>
            <w:tcBorders>
              <w:bottom w:val="single" w:sz="4" w:space="0" w:color="D9D9D9" w:themeColor="background1" w:themeShade="D9"/>
            </w:tcBorders>
            <w:shd w:val="clear" w:color="auto" w:fill="auto"/>
            <w:vAlign w:val="center"/>
          </w:tcPr>
          <w:p w14:paraId="04976401" w14:textId="77777777" w:rsidR="0056738E" w:rsidRPr="00284973"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l-GR"/>
              </w:rPr>
              <w:t>(62,777)</w:t>
            </w:r>
          </w:p>
        </w:tc>
        <w:tc>
          <w:tcPr>
            <w:tcW w:w="1531" w:type="dxa"/>
            <w:tcBorders>
              <w:bottom w:val="single" w:sz="4" w:space="0" w:color="D9D9D9" w:themeColor="background1" w:themeShade="D9"/>
            </w:tcBorders>
            <w:shd w:val="clear" w:color="auto" w:fill="auto"/>
            <w:vAlign w:val="center"/>
          </w:tcPr>
          <w:p w14:paraId="3EE41FAE" w14:textId="77777777" w:rsidR="0056738E" w:rsidRPr="00F30AA4" w:rsidRDefault="0056738E" w:rsidP="007C2AEE">
            <w:pPr>
              <w:tabs>
                <w:tab w:val="left" w:pos="0"/>
                <w:tab w:val="right" w:pos="7560"/>
                <w:tab w:val="right" w:pos="9000"/>
              </w:tabs>
              <w:jc w:val="right"/>
              <w:rPr>
                <w:rFonts w:ascii="Arial" w:hAnsi="Arial" w:cs="Arial"/>
                <w:sz w:val="18"/>
                <w:szCs w:val="18"/>
                <w:lang w:val="el-GR"/>
              </w:rPr>
            </w:pPr>
            <w:r w:rsidRPr="00487C44">
              <w:rPr>
                <w:rFonts w:ascii="Arial" w:hAnsi="Arial" w:cs="Arial"/>
                <w:sz w:val="18"/>
                <w:szCs w:val="18"/>
              </w:rPr>
              <w:t>(69,534)</w:t>
            </w:r>
          </w:p>
        </w:tc>
      </w:tr>
      <w:tr w:rsidR="0056738E" w:rsidRPr="00366276" w14:paraId="73E6E3BA" w14:textId="77777777" w:rsidTr="007C2AEE">
        <w:trPr>
          <w:trHeight w:val="255"/>
          <w:jc w:val="center"/>
        </w:trPr>
        <w:tc>
          <w:tcPr>
            <w:tcW w:w="6390" w:type="dxa"/>
            <w:tcBorders>
              <w:bottom w:val="single" w:sz="4" w:space="0" w:color="D9D9D9" w:themeColor="background1" w:themeShade="D9"/>
            </w:tcBorders>
            <w:vAlign w:val="center"/>
          </w:tcPr>
          <w:p w14:paraId="29411859" w14:textId="77777777" w:rsidR="0056738E" w:rsidRPr="00C0744D" w:rsidRDefault="0056738E" w:rsidP="007C2AEE">
            <w:pPr>
              <w:tabs>
                <w:tab w:val="left" w:pos="0"/>
                <w:tab w:val="right" w:pos="7560"/>
                <w:tab w:val="right" w:pos="9000"/>
              </w:tabs>
              <w:jc w:val="both"/>
              <w:rPr>
                <w:rFonts w:ascii="Arial" w:hAnsi="Arial" w:cs="Arial"/>
                <w:sz w:val="18"/>
                <w:szCs w:val="18"/>
                <w:lang w:val="el-GR"/>
              </w:rPr>
            </w:pPr>
            <w:r>
              <w:rPr>
                <w:rFonts w:ascii="Arial" w:hAnsi="Arial" w:cs="Arial"/>
                <w:sz w:val="18"/>
                <w:szCs w:val="18"/>
                <w:lang w:val="el-GR"/>
              </w:rPr>
              <w:t>Δάνεια και απαιτήσεις από πελάτες που κατέχονται προς πώληση (</w:t>
            </w:r>
            <w:r w:rsidRPr="00A03828">
              <w:rPr>
                <w:rFonts w:ascii="Arial" w:hAnsi="Arial" w:cs="Arial"/>
                <w:i/>
                <w:iCs/>
                <w:sz w:val="18"/>
                <w:szCs w:val="18"/>
                <w:lang w:val="el-GR"/>
              </w:rPr>
              <w:t>Μέρος ΣΤ.3</w:t>
            </w:r>
            <w:r>
              <w:rPr>
                <w:rFonts w:ascii="Arial" w:hAnsi="Arial" w:cs="Arial"/>
                <w:sz w:val="18"/>
                <w:szCs w:val="18"/>
                <w:lang w:val="el-GR"/>
              </w:rPr>
              <w:t>)</w:t>
            </w:r>
          </w:p>
        </w:tc>
        <w:tc>
          <w:tcPr>
            <w:tcW w:w="1531" w:type="dxa"/>
            <w:tcBorders>
              <w:bottom w:val="single" w:sz="4" w:space="0" w:color="D9D9D9" w:themeColor="background1" w:themeShade="D9"/>
            </w:tcBorders>
            <w:shd w:val="clear" w:color="auto" w:fill="auto"/>
            <w:vAlign w:val="center"/>
          </w:tcPr>
          <w:p w14:paraId="414FE27A" w14:textId="77777777" w:rsidR="0056738E" w:rsidRPr="00284973"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(26,568)</w:t>
            </w:r>
          </w:p>
        </w:tc>
        <w:tc>
          <w:tcPr>
            <w:tcW w:w="1531" w:type="dxa"/>
            <w:tcBorders>
              <w:bottom w:val="single" w:sz="4" w:space="0" w:color="D9D9D9" w:themeColor="background1" w:themeShade="D9"/>
            </w:tcBorders>
            <w:shd w:val="clear" w:color="auto" w:fill="auto"/>
            <w:vAlign w:val="center"/>
          </w:tcPr>
          <w:p w14:paraId="30B03B7C" w14:textId="77777777" w:rsidR="0056738E" w:rsidRPr="00A03828" w:rsidRDefault="0056738E" w:rsidP="007C2AEE">
            <w:pPr>
              <w:tabs>
                <w:tab w:val="left" w:pos="0"/>
                <w:tab w:val="right" w:pos="7560"/>
                <w:tab w:val="right" w:pos="9000"/>
              </w:tabs>
              <w:jc w:val="right"/>
              <w:rPr>
                <w:rFonts w:ascii="Arial" w:hAnsi="Arial" w:cs="Arial"/>
                <w:sz w:val="18"/>
                <w:szCs w:val="18"/>
                <w:lang w:val="el-GR"/>
              </w:rPr>
            </w:pPr>
            <w:r>
              <w:rPr>
                <w:rFonts w:ascii="Arial" w:hAnsi="Arial" w:cs="Arial"/>
                <w:sz w:val="18"/>
                <w:szCs w:val="18"/>
              </w:rPr>
              <w:t>-</w:t>
            </w:r>
          </w:p>
        </w:tc>
      </w:tr>
      <w:tr w:rsidR="0056738E" w:rsidRPr="00366276" w14:paraId="1DFA48AD" w14:textId="77777777" w:rsidTr="007C2AEE">
        <w:trPr>
          <w:trHeight w:val="255"/>
          <w:jc w:val="center"/>
        </w:trPr>
        <w:tc>
          <w:tcPr>
            <w:tcW w:w="6390" w:type="dxa"/>
            <w:tcBorders>
              <w:bottom w:val="single" w:sz="4" w:space="0" w:color="D9D9D9" w:themeColor="background1" w:themeShade="D9"/>
            </w:tcBorders>
            <w:vAlign w:val="center"/>
          </w:tcPr>
          <w:p w14:paraId="7BBB550C" w14:textId="77777777" w:rsidR="0056738E" w:rsidRPr="00F30AA4" w:rsidRDefault="0056738E" w:rsidP="007C2AEE">
            <w:pPr>
              <w:tabs>
                <w:tab w:val="left" w:pos="0"/>
                <w:tab w:val="right" w:pos="7560"/>
                <w:tab w:val="right" w:pos="9000"/>
              </w:tabs>
              <w:jc w:val="both"/>
              <w:rPr>
                <w:rFonts w:ascii="Arial" w:hAnsi="Arial" w:cs="Arial"/>
                <w:sz w:val="18"/>
                <w:szCs w:val="18"/>
                <w:lang w:val="el-GR"/>
              </w:rPr>
            </w:pPr>
            <w:proofErr w:type="spellStart"/>
            <w:r>
              <w:rPr>
                <w:rFonts w:ascii="Arial" w:hAnsi="Arial" w:cs="Arial"/>
                <w:sz w:val="18"/>
                <w:szCs w:val="18"/>
                <w:lang w:val="el-GR"/>
              </w:rPr>
              <w:t>Εναπομείνουσα</w:t>
            </w:r>
            <w:proofErr w:type="spellEnd"/>
            <w:r>
              <w:rPr>
                <w:rFonts w:ascii="Arial" w:hAnsi="Arial" w:cs="Arial"/>
                <w:sz w:val="18"/>
                <w:szCs w:val="18"/>
                <w:lang w:val="el-GR"/>
              </w:rPr>
              <w:t xml:space="preserve"> αναπροσαρμογή στην εύλογη αξία κατά την αρχική αναγνώριση δανείων και απαιτήσεων από πελάτες που κατέχονται προς πώληση</w:t>
            </w:r>
          </w:p>
        </w:tc>
        <w:tc>
          <w:tcPr>
            <w:tcW w:w="1531" w:type="dxa"/>
            <w:tcBorders>
              <w:bottom w:val="single" w:sz="4" w:space="0" w:color="D9D9D9" w:themeColor="background1" w:themeShade="D9"/>
            </w:tcBorders>
            <w:shd w:val="clear" w:color="auto" w:fill="auto"/>
            <w:vAlign w:val="center"/>
          </w:tcPr>
          <w:p w14:paraId="5CBA9E93" w14:textId="77777777" w:rsidR="0056738E" w:rsidRPr="00284973"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(789)</w:t>
            </w:r>
          </w:p>
        </w:tc>
        <w:tc>
          <w:tcPr>
            <w:tcW w:w="1531" w:type="dxa"/>
            <w:tcBorders>
              <w:bottom w:val="single" w:sz="4" w:space="0" w:color="D9D9D9" w:themeColor="background1" w:themeShade="D9"/>
            </w:tcBorders>
            <w:shd w:val="clear" w:color="auto" w:fill="auto"/>
            <w:vAlign w:val="center"/>
          </w:tcPr>
          <w:p w14:paraId="7E6258EC" w14:textId="77777777" w:rsidR="0056738E" w:rsidRPr="00A03828" w:rsidRDefault="0056738E" w:rsidP="007C2AEE">
            <w:pPr>
              <w:tabs>
                <w:tab w:val="left" w:pos="0"/>
                <w:tab w:val="right" w:pos="7560"/>
                <w:tab w:val="right" w:pos="9000"/>
              </w:tabs>
              <w:jc w:val="right"/>
              <w:rPr>
                <w:rFonts w:ascii="Arial" w:hAnsi="Arial" w:cs="Arial"/>
                <w:sz w:val="18"/>
                <w:szCs w:val="18"/>
                <w:lang w:val="el-GR"/>
              </w:rPr>
            </w:pPr>
            <w:r>
              <w:rPr>
                <w:rFonts w:ascii="Arial" w:hAnsi="Arial" w:cs="Arial"/>
                <w:sz w:val="18"/>
                <w:szCs w:val="18"/>
              </w:rPr>
              <w:t>-</w:t>
            </w:r>
          </w:p>
        </w:tc>
      </w:tr>
      <w:tr w:rsidR="0056738E" w:rsidRPr="00366276" w14:paraId="79ABBFBA" w14:textId="77777777" w:rsidTr="007C2AEE">
        <w:trPr>
          <w:trHeight w:val="255"/>
          <w:jc w:val="center"/>
        </w:trPr>
        <w:tc>
          <w:tcPr>
            <w:tcW w:w="6390" w:type="dxa"/>
            <w:tcBorders>
              <w:bottom w:val="single" w:sz="4" w:space="0" w:color="D9D9D9" w:themeColor="background1" w:themeShade="D9"/>
            </w:tcBorders>
            <w:vAlign w:val="center"/>
          </w:tcPr>
          <w:p w14:paraId="25C2E0E7" w14:textId="77777777" w:rsidR="0056738E" w:rsidRPr="00F30AA4" w:rsidRDefault="0056738E" w:rsidP="007C2AEE">
            <w:pPr>
              <w:tabs>
                <w:tab w:val="left" w:pos="0"/>
                <w:tab w:val="right" w:pos="7560"/>
                <w:tab w:val="right" w:pos="9000"/>
              </w:tabs>
              <w:jc w:val="both"/>
              <w:rPr>
                <w:rFonts w:ascii="Arial" w:hAnsi="Arial" w:cs="Arial"/>
                <w:sz w:val="18"/>
                <w:szCs w:val="18"/>
                <w:lang w:val="el-GR"/>
              </w:rPr>
            </w:pPr>
            <w:r w:rsidRPr="00F30AA4">
              <w:rPr>
                <w:rFonts w:ascii="Arial" w:hAnsi="Arial" w:cs="Arial"/>
                <w:sz w:val="18"/>
                <w:szCs w:val="18"/>
                <w:lang w:val="el-GR"/>
              </w:rPr>
              <w:t xml:space="preserve">Δάνεια και απαιτήσεις από πελάτες που επιμετρούνται στην εύλογη αξία μέσω των αποτελεσμάτων </w:t>
            </w:r>
            <w:r w:rsidRPr="001C3AA9">
              <w:rPr>
                <w:rFonts w:ascii="Arial" w:hAnsi="Arial" w:cs="Arial"/>
                <w:i/>
                <w:iCs/>
                <w:sz w:val="18"/>
                <w:szCs w:val="18"/>
                <w:lang w:val="el-GR"/>
              </w:rPr>
              <w:t>(Μέρος ΣΤ.3)</w:t>
            </w:r>
          </w:p>
        </w:tc>
        <w:tc>
          <w:tcPr>
            <w:tcW w:w="1531" w:type="dxa"/>
            <w:tcBorders>
              <w:bottom w:val="single" w:sz="4" w:space="0" w:color="D9D9D9" w:themeColor="background1" w:themeShade="D9"/>
            </w:tcBorders>
            <w:shd w:val="clear" w:color="auto" w:fill="auto"/>
            <w:vAlign w:val="center"/>
          </w:tcPr>
          <w:p w14:paraId="403ABF68" w14:textId="77777777" w:rsidR="0056738E" w:rsidRPr="00F012CB"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(131,064)</w:t>
            </w:r>
          </w:p>
        </w:tc>
        <w:tc>
          <w:tcPr>
            <w:tcW w:w="1531" w:type="dxa"/>
            <w:tcBorders>
              <w:bottom w:val="single" w:sz="4" w:space="0" w:color="D9D9D9" w:themeColor="background1" w:themeShade="D9"/>
            </w:tcBorders>
            <w:shd w:val="clear" w:color="auto" w:fill="auto"/>
            <w:vAlign w:val="center"/>
          </w:tcPr>
          <w:p w14:paraId="28CDC92E" w14:textId="77777777" w:rsidR="0056738E" w:rsidRPr="00F30AA4" w:rsidRDefault="0056738E" w:rsidP="007C2AEE">
            <w:pPr>
              <w:tabs>
                <w:tab w:val="left" w:pos="0"/>
                <w:tab w:val="right" w:pos="7560"/>
                <w:tab w:val="right" w:pos="9000"/>
              </w:tabs>
              <w:jc w:val="right"/>
              <w:rPr>
                <w:rFonts w:ascii="Arial" w:hAnsi="Arial" w:cs="Arial"/>
                <w:sz w:val="18"/>
                <w:szCs w:val="18"/>
                <w:lang w:val="el-GR"/>
              </w:rPr>
            </w:pPr>
            <w:r w:rsidRPr="00487C44">
              <w:rPr>
                <w:rFonts w:ascii="Arial" w:hAnsi="Arial" w:cs="Arial"/>
                <w:sz w:val="18"/>
                <w:szCs w:val="18"/>
              </w:rPr>
              <w:t>(138,727)</w:t>
            </w:r>
          </w:p>
        </w:tc>
      </w:tr>
      <w:tr w:rsidR="0056738E" w:rsidRPr="00366276" w14:paraId="1D9831E3" w14:textId="77777777" w:rsidTr="007C2AEE">
        <w:trPr>
          <w:trHeight w:val="255"/>
          <w:jc w:val="center"/>
        </w:trPr>
        <w:tc>
          <w:tcPr>
            <w:tcW w:w="6390" w:type="dxa"/>
            <w:tcBorders>
              <w:bottom w:val="single" w:sz="4" w:space="0" w:color="D9D9D9" w:themeColor="background1" w:themeShade="D9"/>
            </w:tcBorders>
            <w:vAlign w:val="center"/>
          </w:tcPr>
          <w:p w14:paraId="4CE7307D" w14:textId="77777777" w:rsidR="0056738E" w:rsidRPr="00F30AA4" w:rsidRDefault="0056738E" w:rsidP="007C2AEE">
            <w:pPr>
              <w:tabs>
                <w:tab w:val="left" w:pos="0"/>
                <w:tab w:val="right" w:pos="7560"/>
                <w:tab w:val="right" w:pos="9000"/>
              </w:tabs>
              <w:jc w:val="both"/>
              <w:rPr>
                <w:rFonts w:ascii="Arial" w:hAnsi="Arial" w:cs="Arial"/>
                <w:sz w:val="18"/>
                <w:szCs w:val="18"/>
                <w:lang w:val="el-GR"/>
              </w:rPr>
            </w:pPr>
            <w:r w:rsidRPr="00F30AA4">
              <w:rPr>
                <w:rFonts w:ascii="Arial" w:hAnsi="Arial" w:cs="Arial"/>
                <w:sz w:val="18"/>
                <w:szCs w:val="18"/>
                <w:lang w:val="el-GR"/>
              </w:rPr>
              <w:t>Συσσωρευμένη αναπροσαρμογή στην εύλογη αξία δανείων και απαιτήσεων από πελάτες που επιμετρούνται στην εύλογη αξία μέσω των αποτελεσμάτων</w:t>
            </w:r>
          </w:p>
        </w:tc>
        <w:tc>
          <w:tcPr>
            <w:tcW w:w="1531" w:type="dxa"/>
            <w:tcBorders>
              <w:top w:val="single" w:sz="4" w:space="0" w:color="D9D9D9" w:themeColor="background1" w:themeShade="D9"/>
              <w:bottom w:val="single" w:sz="6" w:space="0" w:color="000000" w:themeColor="text1"/>
            </w:tcBorders>
            <w:shd w:val="clear" w:color="auto" w:fill="auto"/>
            <w:vAlign w:val="center"/>
          </w:tcPr>
          <w:p w14:paraId="5C3C173B" w14:textId="77777777" w:rsidR="0056738E" w:rsidRPr="00F012CB"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1,883</w:t>
            </w:r>
          </w:p>
        </w:tc>
        <w:tc>
          <w:tcPr>
            <w:tcW w:w="1531" w:type="dxa"/>
            <w:tcBorders>
              <w:top w:val="single" w:sz="4" w:space="0" w:color="D9D9D9" w:themeColor="background1" w:themeShade="D9"/>
              <w:bottom w:val="single" w:sz="6" w:space="0" w:color="000000" w:themeColor="text1"/>
            </w:tcBorders>
            <w:shd w:val="clear" w:color="auto" w:fill="auto"/>
            <w:vAlign w:val="center"/>
          </w:tcPr>
          <w:p w14:paraId="08541AE3" w14:textId="77777777" w:rsidR="0056738E" w:rsidRPr="00F30AA4" w:rsidRDefault="0056738E" w:rsidP="007C2AEE">
            <w:pPr>
              <w:tabs>
                <w:tab w:val="left" w:pos="0"/>
                <w:tab w:val="right" w:pos="7560"/>
                <w:tab w:val="right" w:pos="9000"/>
              </w:tabs>
              <w:jc w:val="right"/>
              <w:rPr>
                <w:rFonts w:ascii="Arial" w:hAnsi="Arial" w:cs="Arial"/>
                <w:sz w:val="18"/>
                <w:szCs w:val="18"/>
                <w:lang w:val="el-GR"/>
              </w:rPr>
            </w:pPr>
            <w:r w:rsidRPr="00487C44">
              <w:rPr>
                <w:rFonts w:ascii="Arial" w:hAnsi="Arial" w:cs="Arial"/>
                <w:sz w:val="18"/>
                <w:szCs w:val="18"/>
              </w:rPr>
              <w:t>947</w:t>
            </w:r>
          </w:p>
        </w:tc>
      </w:tr>
      <w:tr w:rsidR="0056738E" w:rsidRPr="00366276" w14:paraId="0FAA9070" w14:textId="77777777" w:rsidTr="007C2AEE">
        <w:trPr>
          <w:trHeight w:val="255"/>
          <w:jc w:val="center"/>
        </w:trPr>
        <w:tc>
          <w:tcPr>
            <w:tcW w:w="6390" w:type="dxa"/>
            <w:tcBorders>
              <w:top w:val="single" w:sz="4" w:space="0" w:color="D9D9D9" w:themeColor="background1" w:themeShade="D9"/>
              <w:bottom w:val="single" w:sz="4" w:space="0" w:color="D9D9D9" w:themeColor="background1" w:themeShade="D9"/>
            </w:tcBorders>
            <w:vAlign w:val="center"/>
          </w:tcPr>
          <w:p w14:paraId="72BE8683" w14:textId="77777777" w:rsidR="0056738E" w:rsidRPr="00F30AA4" w:rsidRDefault="0056738E" w:rsidP="007C2AEE">
            <w:pPr>
              <w:tabs>
                <w:tab w:val="left" w:pos="0"/>
                <w:tab w:val="right" w:pos="7560"/>
                <w:tab w:val="right" w:pos="9000"/>
              </w:tabs>
              <w:jc w:val="both"/>
              <w:rPr>
                <w:rFonts w:ascii="Arial" w:hAnsi="Arial" w:cs="Arial"/>
                <w:b/>
                <w:sz w:val="18"/>
                <w:szCs w:val="18"/>
                <w:lang w:val="el-GR"/>
              </w:rPr>
            </w:pPr>
            <w:r w:rsidRPr="00F30AA4">
              <w:rPr>
                <w:rFonts w:ascii="Arial" w:hAnsi="Arial" w:cs="Arial"/>
                <w:b/>
                <w:sz w:val="18"/>
                <w:szCs w:val="18"/>
                <w:lang w:val="el-GR"/>
              </w:rPr>
              <w:t>Μεικτά δάνεια και απαιτήσεις από πελάτες</w:t>
            </w:r>
            <w:r>
              <w:rPr>
                <w:rFonts w:ascii="Arial" w:hAnsi="Arial" w:cs="Arial"/>
                <w:b/>
                <w:sz w:val="18"/>
                <w:szCs w:val="18"/>
                <w:lang w:val="el-GR"/>
              </w:rPr>
              <w:t xml:space="preserve"> </w:t>
            </w:r>
            <w:r w:rsidRPr="00F30AA4">
              <w:rPr>
                <w:rFonts w:ascii="Arial" w:hAnsi="Arial" w:cs="Arial"/>
                <w:b/>
                <w:sz w:val="18"/>
                <w:szCs w:val="18"/>
                <w:lang w:val="el-GR"/>
              </w:rPr>
              <w:t>σε αποσβεσμένο κόστος στο Μέρος ΣΤ.3</w:t>
            </w:r>
          </w:p>
        </w:tc>
        <w:tc>
          <w:tcPr>
            <w:tcW w:w="1531" w:type="dxa"/>
            <w:tcBorders>
              <w:top w:val="single" w:sz="6" w:space="0" w:color="000000" w:themeColor="text1"/>
              <w:bottom w:val="double" w:sz="6" w:space="0" w:color="auto"/>
            </w:tcBorders>
            <w:shd w:val="clear" w:color="auto" w:fill="auto"/>
            <w:vAlign w:val="center"/>
          </w:tcPr>
          <w:p w14:paraId="123B4083" w14:textId="77777777" w:rsidR="0056738E" w:rsidRPr="00F012CB"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10,058,132</w:t>
            </w:r>
          </w:p>
        </w:tc>
        <w:tc>
          <w:tcPr>
            <w:tcW w:w="1531" w:type="dxa"/>
            <w:tcBorders>
              <w:top w:val="single" w:sz="6" w:space="0" w:color="000000" w:themeColor="text1"/>
              <w:bottom w:val="double" w:sz="6" w:space="0" w:color="auto"/>
            </w:tcBorders>
            <w:shd w:val="clear" w:color="auto" w:fill="auto"/>
            <w:vAlign w:val="center"/>
          </w:tcPr>
          <w:p w14:paraId="06268AE1" w14:textId="77777777" w:rsidR="0056738E" w:rsidRPr="00F30AA4" w:rsidRDefault="0056738E" w:rsidP="007C2AEE">
            <w:pPr>
              <w:tabs>
                <w:tab w:val="left" w:pos="0"/>
                <w:tab w:val="right" w:pos="7560"/>
                <w:tab w:val="right" w:pos="9000"/>
              </w:tabs>
              <w:jc w:val="right"/>
              <w:rPr>
                <w:rFonts w:ascii="Arial" w:hAnsi="Arial" w:cs="Arial"/>
                <w:sz w:val="18"/>
                <w:szCs w:val="18"/>
                <w:lang w:val="el-GR"/>
              </w:rPr>
            </w:pPr>
            <w:r w:rsidRPr="00487C44">
              <w:rPr>
                <w:rFonts w:ascii="Arial" w:hAnsi="Arial" w:cs="Arial"/>
                <w:sz w:val="18"/>
                <w:szCs w:val="18"/>
              </w:rPr>
              <w:t>9,862,514</w:t>
            </w:r>
          </w:p>
        </w:tc>
      </w:tr>
      <w:tr w:rsidR="0056738E" w:rsidRPr="00366276" w14:paraId="10C6E679" w14:textId="77777777" w:rsidTr="007C2AEE">
        <w:trPr>
          <w:trHeight w:val="255"/>
          <w:jc w:val="center"/>
        </w:trPr>
        <w:tc>
          <w:tcPr>
            <w:tcW w:w="6390" w:type="dxa"/>
            <w:tcBorders>
              <w:top w:val="single" w:sz="4" w:space="0" w:color="D9D9D9" w:themeColor="background1" w:themeShade="D9"/>
              <w:left w:val="nil"/>
              <w:bottom w:val="nil"/>
              <w:right w:val="nil"/>
            </w:tcBorders>
            <w:vAlign w:val="center"/>
          </w:tcPr>
          <w:p w14:paraId="1D73E318" w14:textId="77777777" w:rsidR="0056738E" w:rsidRPr="00F30AA4" w:rsidRDefault="0056738E" w:rsidP="007C2AEE">
            <w:pPr>
              <w:tabs>
                <w:tab w:val="left" w:pos="0"/>
                <w:tab w:val="right" w:pos="7560"/>
                <w:tab w:val="right" w:pos="9000"/>
              </w:tabs>
              <w:jc w:val="both"/>
              <w:rPr>
                <w:rFonts w:ascii="Arial" w:hAnsi="Arial" w:cs="Arial"/>
                <w:b/>
                <w:sz w:val="18"/>
                <w:szCs w:val="18"/>
                <w:lang w:val="el-GR"/>
              </w:rPr>
            </w:pPr>
          </w:p>
        </w:tc>
        <w:tc>
          <w:tcPr>
            <w:tcW w:w="1531" w:type="dxa"/>
            <w:tcBorders>
              <w:top w:val="double" w:sz="6" w:space="0" w:color="auto"/>
              <w:left w:val="nil"/>
              <w:bottom w:val="nil"/>
              <w:right w:val="nil"/>
            </w:tcBorders>
            <w:shd w:val="clear" w:color="auto" w:fill="auto"/>
            <w:vAlign w:val="center"/>
          </w:tcPr>
          <w:p w14:paraId="01DBD15C" w14:textId="77777777" w:rsidR="0056738E" w:rsidRDefault="0056738E" w:rsidP="007C2AEE">
            <w:pPr>
              <w:tabs>
                <w:tab w:val="left" w:pos="0"/>
                <w:tab w:val="right" w:pos="7560"/>
                <w:tab w:val="right" w:pos="9000"/>
              </w:tabs>
              <w:jc w:val="right"/>
              <w:rPr>
                <w:rFonts w:ascii="Arial" w:hAnsi="Arial" w:cs="Arial"/>
                <w:b/>
                <w:bCs/>
                <w:sz w:val="18"/>
                <w:szCs w:val="18"/>
                <w:lang w:val="el-GR"/>
              </w:rPr>
            </w:pPr>
          </w:p>
        </w:tc>
        <w:tc>
          <w:tcPr>
            <w:tcW w:w="1531" w:type="dxa"/>
            <w:tcBorders>
              <w:top w:val="double" w:sz="6" w:space="0" w:color="auto"/>
              <w:left w:val="nil"/>
              <w:bottom w:val="nil"/>
              <w:right w:val="nil"/>
            </w:tcBorders>
            <w:vAlign w:val="center"/>
          </w:tcPr>
          <w:p w14:paraId="68FB6E64" w14:textId="77777777" w:rsidR="0056738E" w:rsidRDefault="0056738E" w:rsidP="007C2AEE">
            <w:pPr>
              <w:tabs>
                <w:tab w:val="left" w:pos="0"/>
                <w:tab w:val="right" w:pos="7560"/>
                <w:tab w:val="right" w:pos="9000"/>
              </w:tabs>
              <w:jc w:val="right"/>
              <w:rPr>
                <w:rFonts w:ascii="Arial" w:hAnsi="Arial" w:cs="Arial"/>
                <w:bCs/>
                <w:sz w:val="18"/>
                <w:szCs w:val="18"/>
                <w:lang w:val="el-GR"/>
              </w:rPr>
            </w:pPr>
          </w:p>
        </w:tc>
      </w:tr>
    </w:tbl>
    <w:p w14:paraId="398468E7" w14:textId="77777777" w:rsidR="0056738E" w:rsidRPr="005B05F8" w:rsidRDefault="0056738E" w:rsidP="0056738E">
      <w:pPr>
        <w:numPr>
          <w:ilvl w:val="0"/>
          <w:numId w:val="7"/>
        </w:numPr>
        <w:spacing w:after="120" w:line="240" w:lineRule="auto"/>
        <w:ind w:left="851" w:hanging="851"/>
        <w:jc w:val="both"/>
        <w:rPr>
          <w:rFonts w:ascii="Arial" w:hAnsi="Arial" w:cs="Arial"/>
          <w:b/>
          <w:color w:val="FF9900"/>
          <w:lang w:val="el-GR"/>
        </w:rPr>
      </w:pPr>
      <w:r w:rsidRPr="005B05F8">
        <w:rPr>
          <w:rFonts w:ascii="Arial" w:hAnsi="Arial" w:cs="Arial"/>
          <w:b/>
          <w:color w:val="FF9900"/>
          <w:lang w:val="el-GR"/>
        </w:rPr>
        <w:t xml:space="preserve">Συμφιλίωση των </w:t>
      </w:r>
      <w:r>
        <w:rPr>
          <w:rFonts w:ascii="Arial" w:hAnsi="Arial" w:cs="Arial"/>
          <w:b/>
          <w:color w:val="FF9900"/>
          <w:lang w:val="el-GR"/>
        </w:rPr>
        <w:t>Α</w:t>
      </w:r>
      <w:r w:rsidRPr="005B05F8">
        <w:rPr>
          <w:rFonts w:ascii="Arial" w:hAnsi="Arial" w:cs="Arial"/>
          <w:b/>
          <w:color w:val="FF9900"/>
          <w:lang w:val="el-GR"/>
        </w:rPr>
        <w:t>ναμενόμενων πιστωτικών ζημιών δανείων και απαιτήσεων από πελάτες</w:t>
      </w:r>
    </w:p>
    <w:tbl>
      <w:tblPr>
        <w:tblStyle w:val="TableGrid"/>
        <w:tblW w:w="944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379"/>
        <w:gridCol w:w="1531"/>
        <w:gridCol w:w="1531"/>
      </w:tblGrid>
      <w:tr w:rsidR="0056738E" w:rsidRPr="00761B88" w14:paraId="3F8C9AF0" w14:textId="77777777" w:rsidTr="007C2AEE">
        <w:trPr>
          <w:trHeight w:val="340"/>
          <w:jc w:val="center"/>
        </w:trPr>
        <w:tc>
          <w:tcPr>
            <w:tcW w:w="6379" w:type="dxa"/>
            <w:vMerge w:val="restart"/>
            <w:vAlign w:val="center"/>
          </w:tcPr>
          <w:p w14:paraId="27B9418F" w14:textId="77777777" w:rsidR="0056738E" w:rsidRPr="00325113" w:rsidRDefault="0056738E" w:rsidP="007C2AEE">
            <w:pPr>
              <w:tabs>
                <w:tab w:val="left" w:pos="0"/>
                <w:tab w:val="left" w:pos="360"/>
              </w:tabs>
              <w:rPr>
                <w:rFonts w:ascii="Arial" w:hAnsi="Arial" w:cs="Arial"/>
                <w:b/>
                <w:color w:val="000000"/>
                <w:sz w:val="18"/>
                <w:szCs w:val="18"/>
                <w:lang w:val="el-GR"/>
              </w:rPr>
            </w:pPr>
          </w:p>
        </w:tc>
        <w:tc>
          <w:tcPr>
            <w:tcW w:w="1531" w:type="dxa"/>
            <w:shd w:val="clear" w:color="auto" w:fill="auto"/>
            <w:vAlign w:val="center"/>
          </w:tcPr>
          <w:p w14:paraId="0914C40C" w14:textId="77777777" w:rsidR="0056738E" w:rsidRPr="00325113" w:rsidRDefault="0056738E" w:rsidP="007C2AEE">
            <w:pPr>
              <w:ind w:left="-111" w:right="-139"/>
              <w:jc w:val="center"/>
              <w:rPr>
                <w:rFonts w:ascii="Arial" w:hAnsi="Arial" w:cs="Arial"/>
                <w:b/>
                <w:iCs/>
                <w:spacing w:val="-4"/>
                <w:sz w:val="18"/>
                <w:szCs w:val="18"/>
                <w:lang w:val="el-GR"/>
              </w:rPr>
            </w:pPr>
            <w:r w:rsidRPr="00331BC0">
              <w:rPr>
                <w:rFonts w:ascii="Arial" w:hAnsi="Arial" w:cs="Arial"/>
                <w:b/>
                <w:sz w:val="18"/>
                <w:szCs w:val="18"/>
                <w:lang w:val="el-GR"/>
              </w:rPr>
              <w:t xml:space="preserve">30 Σεπτεμβρίου </w:t>
            </w:r>
            <w:r w:rsidRPr="005D5D89">
              <w:rPr>
                <w:rFonts w:ascii="Arial" w:hAnsi="Arial" w:cs="Arial"/>
                <w:b/>
                <w:sz w:val="18"/>
                <w:szCs w:val="18"/>
                <w:lang w:val="el-GR"/>
              </w:rPr>
              <w:t>202</w:t>
            </w:r>
            <w:r>
              <w:rPr>
                <w:rFonts w:ascii="Arial" w:hAnsi="Arial" w:cs="Arial"/>
                <w:b/>
                <w:sz w:val="18"/>
                <w:szCs w:val="18"/>
                <w:lang w:val="el-GR"/>
              </w:rPr>
              <w:t>4</w:t>
            </w:r>
          </w:p>
        </w:tc>
        <w:tc>
          <w:tcPr>
            <w:tcW w:w="1531" w:type="dxa"/>
            <w:shd w:val="clear" w:color="auto" w:fill="auto"/>
            <w:vAlign w:val="center"/>
          </w:tcPr>
          <w:p w14:paraId="7CB1C391" w14:textId="77777777" w:rsidR="0056738E" w:rsidRPr="005D5D89" w:rsidRDefault="0056738E" w:rsidP="007C2AEE">
            <w:pPr>
              <w:jc w:val="center"/>
              <w:rPr>
                <w:rFonts w:ascii="Arial" w:hAnsi="Arial" w:cs="Arial"/>
                <w:sz w:val="18"/>
                <w:szCs w:val="18"/>
              </w:rPr>
            </w:pPr>
            <w:r w:rsidRPr="005D5D89">
              <w:rPr>
                <w:rFonts w:ascii="Arial" w:hAnsi="Arial" w:cs="Arial"/>
                <w:sz w:val="18"/>
                <w:szCs w:val="18"/>
              </w:rPr>
              <w:t xml:space="preserve">31 </w:t>
            </w:r>
            <w:proofErr w:type="spellStart"/>
            <w:r w:rsidRPr="005D5D89">
              <w:rPr>
                <w:rFonts w:ascii="Arial" w:hAnsi="Arial" w:cs="Arial"/>
                <w:sz w:val="18"/>
                <w:szCs w:val="18"/>
              </w:rPr>
              <w:t>Δεκεμ</w:t>
            </w:r>
            <w:proofErr w:type="spellEnd"/>
            <w:r w:rsidRPr="005D5D89">
              <w:rPr>
                <w:rFonts w:ascii="Arial" w:hAnsi="Arial" w:cs="Arial"/>
                <w:sz w:val="18"/>
                <w:szCs w:val="18"/>
              </w:rPr>
              <w:t>βρίου</w:t>
            </w:r>
          </w:p>
          <w:p w14:paraId="4AA88F41" w14:textId="77777777" w:rsidR="0056738E" w:rsidRPr="00C76EDA" w:rsidRDefault="0056738E" w:rsidP="007C2AEE">
            <w:pPr>
              <w:jc w:val="center"/>
              <w:rPr>
                <w:rFonts w:ascii="Arial" w:hAnsi="Arial" w:cs="Arial"/>
                <w:iCs/>
                <w:spacing w:val="-4"/>
                <w:sz w:val="18"/>
                <w:szCs w:val="18"/>
                <w:lang w:val="el-GR"/>
              </w:rPr>
            </w:pPr>
            <w:r w:rsidRPr="005D5D89">
              <w:rPr>
                <w:rFonts w:ascii="Arial" w:hAnsi="Arial" w:cs="Arial"/>
                <w:sz w:val="18"/>
                <w:szCs w:val="18"/>
              </w:rPr>
              <w:t>20</w:t>
            </w:r>
            <w:r>
              <w:rPr>
                <w:rFonts w:ascii="Arial" w:hAnsi="Arial" w:cs="Arial"/>
                <w:sz w:val="18"/>
                <w:szCs w:val="18"/>
                <w:lang w:val="el-GR"/>
              </w:rPr>
              <w:t>23</w:t>
            </w:r>
          </w:p>
        </w:tc>
      </w:tr>
      <w:tr w:rsidR="0056738E" w:rsidRPr="00761B88" w14:paraId="287F1895" w14:textId="77777777" w:rsidTr="007C2AEE">
        <w:trPr>
          <w:trHeight w:val="340"/>
          <w:jc w:val="center"/>
        </w:trPr>
        <w:tc>
          <w:tcPr>
            <w:tcW w:w="6379" w:type="dxa"/>
            <w:vMerge/>
            <w:vAlign w:val="center"/>
          </w:tcPr>
          <w:p w14:paraId="1020B95D" w14:textId="77777777" w:rsidR="0056738E" w:rsidRPr="00325113" w:rsidRDefault="0056738E" w:rsidP="007C2AEE">
            <w:pPr>
              <w:tabs>
                <w:tab w:val="left" w:pos="0"/>
                <w:tab w:val="right" w:pos="7560"/>
                <w:tab w:val="right" w:pos="9000"/>
              </w:tabs>
              <w:rPr>
                <w:rFonts w:ascii="Arial" w:hAnsi="Arial" w:cs="Arial"/>
                <w:sz w:val="18"/>
                <w:szCs w:val="18"/>
                <w:lang w:val="el-GR"/>
              </w:rPr>
            </w:pPr>
          </w:p>
        </w:tc>
        <w:tc>
          <w:tcPr>
            <w:tcW w:w="1531" w:type="dxa"/>
            <w:shd w:val="clear" w:color="auto" w:fill="auto"/>
            <w:vAlign w:val="center"/>
          </w:tcPr>
          <w:p w14:paraId="5273E5E6" w14:textId="77777777" w:rsidR="0056738E" w:rsidRPr="00325113" w:rsidRDefault="0056738E" w:rsidP="007C2AEE">
            <w:pPr>
              <w:tabs>
                <w:tab w:val="left" w:pos="0"/>
                <w:tab w:val="right" w:pos="7560"/>
                <w:tab w:val="right" w:pos="9000"/>
              </w:tabs>
              <w:jc w:val="center"/>
              <w:rPr>
                <w:rFonts w:ascii="Arial" w:hAnsi="Arial" w:cs="Arial"/>
                <w:bCs/>
                <w:sz w:val="18"/>
                <w:szCs w:val="18"/>
              </w:rPr>
            </w:pPr>
            <w:r w:rsidRPr="00325113">
              <w:rPr>
                <w:rFonts w:ascii="Arial" w:hAnsi="Arial" w:cs="Arial"/>
                <w:b/>
                <w:sz w:val="18"/>
                <w:szCs w:val="18"/>
              </w:rPr>
              <w:t>€000</w:t>
            </w:r>
          </w:p>
        </w:tc>
        <w:tc>
          <w:tcPr>
            <w:tcW w:w="1531" w:type="dxa"/>
            <w:shd w:val="clear" w:color="auto" w:fill="auto"/>
            <w:vAlign w:val="center"/>
          </w:tcPr>
          <w:p w14:paraId="43477C79" w14:textId="77777777" w:rsidR="0056738E" w:rsidRPr="00325113" w:rsidRDefault="0056738E" w:rsidP="007C2AEE">
            <w:pPr>
              <w:tabs>
                <w:tab w:val="left" w:pos="0"/>
                <w:tab w:val="right" w:pos="7560"/>
                <w:tab w:val="right" w:pos="9000"/>
              </w:tabs>
              <w:jc w:val="center"/>
              <w:rPr>
                <w:rFonts w:ascii="Arial" w:hAnsi="Arial" w:cs="Arial"/>
                <w:bCs/>
                <w:sz w:val="18"/>
                <w:szCs w:val="18"/>
              </w:rPr>
            </w:pPr>
            <w:r w:rsidRPr="00325113">
              <w:rPr>
                <w:rFonts w:ascii="Arial" w:hAnsi="Arial" w:cs="Arial"/>
                <w:sz w:val="18"/>
                <w:szCs w:val="18"/>
              </w:rPr>
              <w:t>€000</w:t>
            </w:r>
          </w:p>
        </w:tc>
      </w:tr>
      <w:tr w:rsidR="0056738E" w:rsidRPr="00366276" w14:paraId="186932E7" w14:textId="77777777" w:rsidTr="007C2AEE">
        <w:trPr>
          <w:trHeight w:val="340"/>
          <w:jc w:val="center"/>
        </w:trPr>
        <w:tc>
          <w:tcPr>
            <w:tcW w:w="6379" w:type="dxa"/>
            <w:vAlign w:val="center"/>
          </w:tcPr>
          <w:p w14:paraId="2EDED1D0" w14:textId="77777777" w:rsidR="0056738E" w:rsidRPr="00325113" w:rsidRDefault="0056738E" w:rsidP="007C2AEE">
            <w:pPr>
              <w:tabs>
                <w:tab w:val="left" w:pos="0"/>
                <w:tab w:val="right" w:pos="7560"/>
                <w:tab w:val="right" w:pos="9000"/>
              </w:tabs>
              <w:jc w:val="both"/>
              <w:rPr>
                <w:rFonts w:ascii="Arial" w:hAnsi="Arial" w:cs="Arial"/>
                <w:b/>
                <w:sz w:val="18"/>
                <w:szCs w:val="18"/>
                <w:lang w:val="el-GR"/>
              </w:rPr>
            </w:pPr>
            <w:r>
              <w:rPr>
                <w:rFonts w:ascii="Arial" w:hAnsi="Arial" w:cs="Arial"/>
                <w:sz w:val="18"/>
                <w:szCs w:val="18"/>
                <w:lang w:val="el-GR"/>
              </w:rPr>
              <w:t>Α</w:t>
            </w:r>
            <w:r w:rsidRPr="00325113">
              <w:rPr>
                <w:rFonts w:ascii="Arial" w:hAnsi="Arial" w:cs="Arial"/>
                <w:sz w:val="18"/>
                <w:szCs w:val="18"/>
                <w:lang w:val="el-GR"/>
              </w:rPr>
              <w:t>ναμενόμενες πιστωτικές ζημιές δανείων και απαιτήσεων από πελάτες</w:t>
            </w:r>
            <w:r>
              <w:rPr>
                <w:rFonts w:ascii="Arial" w:hAnsi="Arial" w:cs="Arial"/>
                <w:sz w:val="18"/>
                <w:szCs w:val="18"/>
                <w:lang w:val="el-GR"/>
              </w:rPr>
              <w:t xml:space="preserve"> στην υποκείμενη βάση</w:t>
            </w:r>
            <w:r w:rsidRPr="00325113">
              <w:rPr>
                <w:rFonts w:ascii="Arial" w:hAnsi="Arial" w:cs="Arial"/>
                <w:sz w:val="18"/>
                <w:szCs w:val="18"/>
                <w:lang w:val="el-GR"/>
              </w:rPr>
              <w:t xml:space="preserve"> (</w:t>
            </w:r>
            <w:r w:rsidRPr="00E0028A">
              <w:rPr>
                <w:rFonts w:ascii="Arial" w:hAnsi="Arial" w:cs="Arial"/>
                <w:i/>
                <w:iCs/>
                <w:sz w:val="18"/>
                <w:szCs w:val="18"/>
                <w:lang w:val="el-GR"/>
              </w:rPr>
              <w:t>όπως ορίζονται στο Μέρος Θ</w:t>
            </w:r>
            <w:r w:rsidRPr="00325113">
              <w:rPr>
                <w:rFonts w:ascii="Arial" w:hAnsi="Arial" w:cs="Arial"/>
                <w:sz w:val="18"/>
                <w:szCs w:val="18"/>
                <w:lang w:val="el-GR"/>
              </w:rPr>
              <w:t xml:space="preserve">) </w:t>
            </w:r>
          </w:p>
        </w:tc>
        <w:tc>
          <w:tcPr>
            <w:tcW w:w="1531" w:type="dxa"/>
            <w:shd w:val="clear" w:color="auto" w:fill="auto"/>
            <w:vAlign w:val="center"/>
          </w:tcPr>
          <w:p w14:paraId="3523EF8E" w14:textId="77777777" w:rsidR="0056738E" w:rsidRPr="00F012CB"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251,721</w:t>
            </w:r>
          </w:p>
        </w:tc>
        <w:tc>
          <w:tcPr>
            <w:tcW w:w="1531" w:type="dxa"/>
            <w:shd w:val="clear" w:color="auto" w:fill="auto"/>
            <w:vAlign w:val="center"/>
          </w:tcPr>
          <w:p w14:paraId="3EA9F001" w14:textId="77777777" w:rsidR="0056738E" w:rsidRPr="00EA064F" w:rsidRDefault="0056738E" w:rsidP="007C2AEE">
            <w:pPr>
              <w:tabs>
                <w:tab w:val="left" w:pos="0"/>
                <w:tab w:val="right" w:pos="7560"/>
                <w:tab w:val="right" w:pos="9000"/>
              </w:tabs>
              <w:jc w:val="right"/>
              <w:rPr>
                <w:rFonts w:ascii="Arial" w:hAnsi="Arial" w:cs="Arial"/>
                <w:bCs/>
                <w:sz w:val="18"/>
                <w:szCs w:val="18"/>
                <w:lang w:val="el-GR"/>
              </w:rPr>
            </w:pPr>
            <w:r w:rsidRPr="00487C44">
              <w:rPr>
                <w:rFonts w:ascii="Arial" w:hAnsi="Arial" w:cs="Arial"/>
                <w:sz w:val="18"/>
                <w:szCs w:val="18"/>
              </w:rPr>
              <w:t>267,232</w:t>
            </w:r>
          </w:p>
        </w:tc>
      </w:tr>
      <w:tr w:rsidR="0056738E" w:rsidRPr="00761B88" w14:paraId="4FB7DE6F" w14:textId="77777777" w:rsidTr="007C2AEE">
        <w:trPr>
          <w:trHeight w:val="340"/>
          <w:jc w:val="center"/>
        </w:trPr>
        <w:tc>
          <w:tcPr>
            <w:tcW w:w="6379" w:type="dxa"/>
            <w:vAlign w:val="center"/>
          </w:tcPr>
          <w:p w14:paraId="16D287E9" w14:textId="77777777" w:rsidR="0056738E" w:rsidRPr="00325113" w:rsidRDefault="0056738E" w:rsidP="007C2AEE">
            <w:pPr>
              <w:tabs>
                <w:tab w:val="left" w:pos="0"/>
                <w:tab w:val="right" w:pos="7560"/>
                <w:tab w:val="right" w:pos="9000"/>
              </w:tabs>
              <w:jc w:val="both"/>
              <w:rPr>
                <w:rFonts w:ascii="Arial" w:hAnsi="Arial" w:cs="Arial"/>
                <w:b/>
                <w:bCs/>
                <w:sz w:val="18"/>
                <w:szCs w:val="18"/>
              </w:rPr>
            </w:pPr>
            <w:r w:rsidRPr="00325113">
              <w:rPr>
                <w:rFonts w:ascii="Arial" w:hAnsi="Arial" w:cs="Arial"/>
                <w:b/>
                <w:sz w:val="18"/>
                <w:szCs w:val="18"/>
                <w:lang w:val="el-GR"/>
              </w:rPr>
              <w:t>Συμφιλίωση για</w:t>
            </w:r>
            <w:r w:rsidRPr="00325113">
              <w:rPr>
                <w:rFonts w:ascii="Arial" w:hAnsi="Arial" w:cs="Arial"/>
                <w:b/>
                <w:sz w:val="18"/>
                <w:szCs w:val="18"/>
              </w:rPr>
              <w:t>:</w:t>
            </w:r>
          </w:p>
        </w:tc>
        <w:tc>
          <w:tcPr>
            <w:tcW w:w="1531" w:type="dxa"/>
            <w:shd w:val="clear" w:color="auto" w:fill="auto"/>
            <w:vAlign w:val="center"/>
          </w:tcPr>
          <w:p w14:paraId="25B4ADC5" w14:textId="77777777" w:rsidR="0056738E" w:rsidRPr="00AB4891" w:rsidRDefault="0056738E" w:rsidP="007C2AEE">
            <w:pPr>
              <w:tabs>
                <w:tab w:val="left" w:pos="0"/>
                <w:tab w:val="right" w:pos="7560"/>
                <w:tab w:val="right" w:pos="9000"/>
              </w:tabs>
              <w:jc w:val="right"/>
              <w:rPr>
                <w:rFonts w:ascii="Arial" w:hAnsi="Arial" w:cs="Arial"/>
                <w:b/>
                <w:bCs/>
                <w:sz w:val="18"/>
                <w:szCs w:val="18"/>
              </w:rPr>
            </w:pPr>
          </w:p>
        </w:tc>
        <w:tc>
          <w:tcPr>
            <w:tcW w:w="1531" w:type="dxa"/>
            <w:shd w:val="clear" w:color="auto" w:fill="auto"/>
            <w:vAlign w:val="center"/>
          </w:tcPr>
          <w:p w14:paraId="1F7B13EB" w14:textId="77777777" w:rsidR="0056738E" w:rsidRPr="00AB4891" w:rsidRDefault="0056738E" w:rsidP="007C2AEE">
            <w:pPr>
              <w:tabs>
                <w:tab w:val="left" w:pos="0"/>
                <w:tab w:val="right" w:pos="7560"/>
                <w:tab w:val="right" w:pos="9000"/>
              </w:tabs>
              <w:jc w:val="right"/>
              <w:rPr>
                <w:rFonts w:ascii="Arial" w:hAnsi="Arial" w:cs="Arial"/>
                <w:bCs/>
                <w:sz w:val="18"/>
                <w:szCs w:val="18"/>
              </w:rPr>
            </w:pPr>
          </w:p>
        </w:tc>
      </w:tr>
      <w:tr w:rsidR="0056738E" w:rsidRPr="00366276" w14:paraId="040245DA" w14:textId="77777777" w:rsidTr="007C2AEE">
        <w:trPr>
          <w:trHeight w:val="340"/>
          <w:jc w:val="center"/>
        </w:trPr>
        <w:tc>
          <w:tcPr>
            <w:tcW w:w="6379" w:type="dxa"/>
            <w:tcBorders>
              <w:bottom w:val="single" w:sz="4" w:space="0" w:color="D9D9D9" w:themeColor="background1" w:themeShade="D9"/>
            </w:tcBorders>
            <w:vAlign w:val="center"/>
          </w:tcPr>
          <w:p w14:paraId="5BDD2DC7" w14:textId="77777777" w:rsidR="0056738E" w:rsidRPr="00325113" w:rsidRDefault="0056738E" w:rsidP="007C2AEE">
            <w:pPr>
              <w:tabs>
                <w:tab w:val="left" w:pos="0"/>
                <w:tab w:val="right" w:pos="7560"/>
                <w:tab w:val="right" w:pos="9000"/>
              </w:tabs>
              <w:jc w:val="both"/>
              <w:rPr>
                <w:rFonts w:ascii="Arial" w:hAnsi="Arial" w:cs="Arial"/>
                <w:bCs/>
                <w:sz w:val="18"/>
                <w:szCs w:val="18"/>
                <w:lang w:val="el-GR"/>
              </w:rPr>
            </w:pPr>
            <w:r w:rsidRPr="00325113">
              <w:rPr>
                <w:rFonts w:ascii="Arial" w:hAnsi="Arial" w:cs="Arial"/>
                <w:sz w:val="18"/>
                <w:szCs w:val="18"/>
                <w:lang w:val="el-GR"/>
              </w:rPr>
              <w:t>Εναπομ</w:t>
            </w:r>
            <w:r>
              <w:rPr>
                <w:rFonts w:ascii="Arial" w:hAnsi="Arial" w:cs="Arial"/>
                <w:sz w:val="18"/>
                <w:szCs w:val="18"/>
                <w:lang w:val="el-GR"/>
              </w:rPr>
              <w:t>έ</w:t>
            </w:r>
            <w:r w:rsidRPr="00325113">
              <w:rPr>
                <w:rFonts w:ascii="Arial" w:hAnsi="Arial" w:cs="Arial"/>
                <w:sz w:val="18"/>
                <w:szCs w:val="18"/>
                <w:lang w:val="el-GR"/>
              </w:rPr>
              <w:t>νουσα αναπροσαρμογή στην εύλογη αξία κατά την αρχική αναγνώριση</w:t>
            </w:r>
            <w:r w:rsidRPr="001C3AA9">
              <w:rPr>
                <w:rFonts w:ascii="Arial" w:hAnsi="Arial" w:cs="Arial"/>
                <w:i/>
                <w:iCs/>
                <w:sz w:val="18"/>
                <w:szCs w:val="18"/>
                <w:lang w:val="el-GR"/>
              </w:rPr>
              <w:t xml:space="preserve"> (Μέρος ΣΤ.5)</w:t>
            </w:r>
          </w:p>
        </w:tc>
        <w:tc>
          <w:tcPr>
            <w:tcW w:w="1531" w:type="dxa"/>
            <w:tcBorders>
              <w:bottom w:val="single" w:sz="4" w:space="0" w:color="D9D9D9" w:themeColor="background1" w:themeShade="D9"/>
            </w:tcBorders>
            <w:shd w:val="clear" w:color="auto" w:fill="auto"/>
            <w:vAlign w:val="center"/>
          </w:tcPr>
          <w:p w14:paraId="4F3202E2" w14:textId="77777777" w:rsidR="0056738E" w:rsidRPr="00284973"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(62,777)</w:t>
            </w:r>
          </w:p>
        </w:tc>
        <w:tc>
          <w:tcPr>
            <w:tcW w:w="1531" w:type="dxa"/>
            <w:tcBorders>
              <w:bottom w:val="single" w:sz="4" w:space="0" w:color="D9D9D9" w:themeColor="background1" w:themeShade="D9"/>
            </w:tcBorders>
            <w:shd w:val="clear" w:color="auto" w:fill="auto"/>
            <w:vAlign w:val="center"/>
          </w:tcPr>
          <w:p w14:paraId="4CA57EE7" w14:textId="77777777" w:rsidR="0056738E" w:rsidRPr="00284973" w:rsidRDefault="0056738E" w:rsidP="007C2AEE">
            <w:pPr>
              <w:tabs>
                <w:tab w:val="left" w:pos="0"/>
                <w:tab w:val="right" w:pos="7560"/>
                <w:tab w:val="right" w:pos="9000"/>
              </w:tabs>
              <w:jc w:val="right"/>
              <w:rPr>
                <w:rFonts w:ascii="Arial" w:hAnsi="Arial" w:cs="Arial"/>
                <w:bCs/>
                <w:sz w:val="18"/>
                <w:szCs w:val="18"/>
                <w:lang w:val="el-GR"/>
              </w:rPr>
            </w:pPr>
            <w:r w:rsidRPr="00487C44">
              <w:rPr>
                <w:rFonts w:ascii="Arial" w:hAnsi="Arial" w:cs="Arial"/>
                <w:sz w:val="18"/>
                <w:szCs w:val="18"/>
              </w:rPr>
              <w:t>(69,534)</w:t>
            </w:r>
          </w:p>
        </w:tc>
      </w:tr>
      <w:tr w:rsidR="0056738E" w:rsidRPr="00366276" w14:paraId="621CA3EE" w14:textId="77777777" w:rsidTr="007C2AEE">
        <w:trPr>
          <w:trHeight w:val="340"/>
          <w:jc w:val="center"/>
        </w:trPr>
        <w:tc>
          <w:tcPr>
            <w:tcW w:w="6379" w:type="dxa"/>
            <w:tcBorders>
              <w:bottom w:val="single" w:sz="4" w:space="0" w:color="D9D9D9" w:themeColor="background1" w:themeShade="D9"/>
            </w:tcBorders>
            <w:vAlign w:val="center"/>
          </w:tcPr>
          <w:p w14:paraId="663E7F2E" w14:textId="77777777" w:rsidR="0056738E" w:rsidRPr="00200CFD" w:rsidRDefault="0056738E" w:rsidP="007C2AEE">
            <w:pPr>
              <w:tabs>
                <w:tab w:val="left" w:pos="0"/>
                <w:tab w:val="right" w:pos="7560"/>
                <w:tab w:val="right" w:pos="9000"/>
              </w:tabs>
              <w:jc w:val="both"/>
              <w:rPr>
                <w:rFonts w:ascii="Arial" w:hAnsi="Arial" w:cs="Arial"/>
                <w:sz w:val="18"/>
                <w:szCs w:val="18"/>
                <w:lang w:val="el-GR"/>
              </w:rPr>
            </w:pPr>
            <w:r>
              <w:rPr>
                <w:rFonts w:ascii="Arial" w:hAnsi="Arial" w:cs="Arial"/>
                <w:sz w:val="18"/>
                <w:szCs w:val="18"/>
                <w:lang w:val="el-GR"/>
              </w:rPr>
              <w:t>Αναμενόμενες πιστωτικές ζημιές δανείων και απαιτήσεων από πελάτες που κατέχονται προς πώληση</w:t>
            </w:r>
          </w:p>
        </w:tc>
        <w:tc>
          <w:tcPr>
            <w:tcW w:w="1531" w:type="dxa"/>
            <w:tcBorders>
              <w:bottom w:val="single" w:sz="4" w:space="0" w:color="D9D9D9" w:themeColor="background1" w:themeShade="D9"/>
            </w:tcBorders>
            <w:shd w:val="clear" w:color="auto" w:fill="auto"/>
            <w:vAlign w:val="center"/>
          </w:tcPr>
          <w:p w14:paraId="06A1F064" w14:textId="77777777" w:rsidR="0056738E" w:rsidRDefault="0056738E" w:rsidP="007C2AEE">
            <w:pPr>
              <w:tabs>
                <w:tab w:val="left" w:pos="0"/>
                <w:tab w:val="right" w:pos="7560"/>
                <w:tab w:val="right" w:pos="9000"/>
              </w:tabs>
              <w:jc w:val="right"/>
              <w:rPr>
                <w:rFonts w:ascii="Arial" w:hAnsi="Arial" w:cs="Arial"/>
                <w:b/>
                <w:bCs/>
                <w:sz w:val="18"/>
                <w:szCs w:val="18"/>
              </w:rPr>
            </w:pPr>
            <w:r>
              <w:rPr>
                <w:rFonts w:ascii="Arial" w:hAnsi="Arial" w:cs="Arial"/>
                <w:b/>
                <w:bCs/>
                <w:sz w:val="18"/>
                <w:szCs w:val="18"/>
              </w:rPr>
              <w:t>(14,278)</w:t>
            </w:r>
          </w:p>
        </w:tc>
        <w:tc>
          <w:tcPr>
            <w:tcW w:w="1531" w:type="dxa"/>
            <w:tcBorders>
              <w:bottom w:val="single" w:sz="4" w:space="0" w:color="D9D9D9" w:themeColor="background1" w:themeShade="D9"/>
            </w:tcBorders>
            <w:shd w:val="clear" w:color="auto" w:fill="auto"/>
            <w:vAlign w:val="center"/>
          </w:tcPr>
          <w:p w14:paraId="0D8FD64B" w14:textId="77777777" w:rsidR="0056738E" w:rsidRPr="00487C44" w:rsidRDefault="0056738E" w:rsidP="007C2AEE">
            <w:pPr>
              <w:tabs>
                <w:tab w:val="left" w:pos="0"/>
                <w:tab w:val="right" w:pos="7560"/>
                <w:tab w:val="right" w:pos="9000"/>
              </w:tabs>
              <w:jc w:val="right"/>
              <w:rPr>
                <w:rFonts w:ascii="Arial" w:hAnsi="Arial" w:cs="Arial"/>
                <w:sz w:val="18"/>
                <w:szCs w:val="18"/>
              </w:rPr>
            </w:pPr>
            <w:r>
              <w:rPr>
                <w:rFonts w:ascii="Arial" w:hAnsi="Arial" w:cs="Arial"/>
                <w:sz w:val="18"/>
                <w:szCs w:val="18"/>
              </w:rPr>
              <w:t>-</w:t>
            </w:r>
          </w:p>
        </w:tc>
      </w:tr>
      <w:tr w:rsidR="0056738E" w:rsidRPr="00366276" w14:paraId="15351D8C" w14:textId="77777777" w:rsidTr="007C2AEE">
        <w:trPr>
          <w:trHeight w:val="340"/>
          <w:jc w:val="center"/>
        </w:trPr>
        <w:tc>
          <w:tcPr>
            <w:tcW w:w="6379" w:type="dxa"/>
            <w:tcBorders>
              <w:bottom w:val="single" w:sz="4" w:space="0" w:color="D9D9D9" w:themeColor="background1" w:themeShade="D9"/>
            </w:tcBorders>
            <w:vAlign w:val="center"/>
          </w:tcPr>
          <w:p w14:paraId="7FC9D380" w14:textId="77777777" w:rsidR="0056738E" w:rsidRPr="00DA73D6" w:rsidRDefault="0056738E" w:rsidP="007C2AEE">
            <w:pPr>
              <w:tabs>
                <w:tab w:val="left" w:pos="0"/>
                <w:tab w:val="right" w:pos="7560"/>
                <w:tab w:val="right" w:pos="9000"/>
              </w:tabs>
              <w:jc w:val="both"/>
              <w:rPr>
                <w:rFonts w:ascii="Arial" w:hAnsi="Arial" w:cs="Arial"/>
                <w:sz w:val="18"/>
                <w:szCs w:val="18"/>
                <w:lang w:val="el-GR"/>
              </w:rPr>
            </w:pPr>
            <w:r>
              <w:rPr>
                <w:rFonts w:ascii="Arial" w:hAnsi="Arial" w:cs="Arial"/>
                <w:sz w:val="18"/>
                <w:szCs w:val="18"/>
                <w:lang w:val="el-GR"/>
              </w:rPr>
              <w:t>Εναπομένουσα αναπροσαρμογή στην εύλογη αξία κατά την αρχική αναγνώριση δανείων και απαιτήσεων από πελάτες που κατέχονται προς πώληση</w:t>
            </w:r>
          </w:p>
        </w:tc>
        <w:tc>
          <w:tcPr>
            <w:tcW w:w="1531" w:type="dxa"/>
            <w:tcBorders>
              <w:bottom w:val="single" w:sz="4" w:space="0" w:color="D9D9D9" w:themeColor="background1" w:themeShade="D9"/>
            </w:tcBorders>
            <w:shd w:val="clear" w:color="auto" w:fill="auto"/>
            <w:vAlign w:val="center"/>
          </w:tcPr>
          <w:p w14:paraId="7CC3C0DE" w14:textId="77777777" w:rsidR="0056738E" w:rsidRDefault="0056738E" w:rsidP="007C2AEE">
            <w:pPr>
              <w:tabs>
                <w:tab w:val="left" w:pos="0"/>
                <w:tab w:val="right" w:pos="7560"/>
                <w:tab w:val="right" w:pos="9000"/>
              </w:tabs>
              <w:jc w:val="right"/>
              <w:rPr>
                <w:rFonts w:ascii="Arial" w:hAnsi="Arial" w:cs="Arial"/>
                <w:b/>
                <w:bCs/>
                <w:sz w:val="18"/>
                <w:szCs w:val="18"/>
              </w:rPr>
            </w:pPr>
            <w:r>
              <w:rPr>
                <w:rFonts w:ascii="Arial" w:hAnsi="Arial" w:cs="Arial"/>
                <w:b/>
                <w:bCs/>
                <w:sz w:val="18"/>
                <w:szCs w:val="18"/>
              </w:rPr>
              <w:t>(789)</w:t>
            </w:r>
          </w:p>
        </w:tc>
        <w:tc>
          <w:tcPr>
            <w:tcW w:w="1531" w:type="dxa"/>
            <w:tcBorders>
              <w:bottom w:val="single" w:sz="4" w:space="0" w:color="D9D9D9" w:themeColor="background1" w:themeShade="D9"/>
            </w:tcBorders>
            <w:shd w:val="clear" w:color="auto" w:fill="auto"/>
            <w:vAlign w:val="center"/>
          </w:tcPr>
          <w:p w14:paraId="7CCB1016" w14:textId="77777777" w:rsidR="0056738E" w:rsidRPr="00487C44" w:rsidRDefault="0056738E" w:rsidP="007C2AEE">
            <w:pPr>
              <w:tabs>
                <w:tab w:val="left" w:pos="0"/>
                <w:tab w:val="right" w:pos="7560"/>
                <w:tab w:val="right" w:pos="9000"/>
              </w:tabs>
              <w:jc w:val="right"/>
              <w:rPr>
                <w:rFonts w:ascii="Arial" w:hAnsi="Arial" w:cs="Arial"/>
                <w:sz w:val="18"/>
                <w:szCs w:val="18"/>
              </w:rPr>
            </w:pPr>
            <w:r>
              <w:rPr>
                <w:rFonts w:ascii="Arial" w:hAnsi="Arial" w:cs="Arial"/>
                <w:sz w:val="18"/>
                <w:szCs w:val="18"/>
              </w:rPr>
              <w:t>-</w:t>
            </w:r>
          </w:p>
        </w:tc>
      </w:tr>
      <w:tr w:rsidR="0056738E" w:rsidRPr="00366276" w14:paraId="18E3E671" w14:textId="77777777" w:rsidTr="007C2AEE">
        <w:trPr>
          <w:trHeight w:val="340"/>
          <w:jc w:val="center"/>
        </w:trPr>
        <w:tc>
          <w:tcPr>
            <w:tcW w:w="6379" w:type="dxa"/>
            <w:tcBorders>
              <w:bottom w:val="single" w:sz="4" w:space="0" w:color="D9D9D9" w:themeColor="background1" w:themeShade="D9"/>
            </w:tcBorders>
            <w:vAlign w:val="center"/>
          </w:tcPr>
          <w:p w14:paraId="31BB3996" w14:textId="77777777" w:rsidR="0056738E" w:rsidRPr="00325113" w:rsidRDefault="0056738E" w:rsidP="007C2AEE">
            <w:pPr>
              <w:tabs>
                <w:tab w:val="left" w:pos="0"/>
                <w:tab w:val="right" w:pos="7560"/>
                <w:tab w:val="right" w:pos="9000"/>
              </w:tabs>
              <w:jc w:val="both"/>
              <w:rPr>
                <w:rFonts w:ascii="Arial" w:hAnsi="Arial" w:cs="Arial"/>
                <w:sz w:val="18"/>
                <w:szCs w:val="18"/>
                <w:lang w:val="el-GR"/>
              </w:rPr>
            </w:pPr>
            <w:r w:rsidRPr="00325113">
              <w:rPr>
                <w:rFonts w:ascii="Arial" w:hAnsi="Arial" w:cs="Arial"/>
                <w:sz w:val="18"/>
                <w:szCs w:val="18"/>
                <w:lang w:val="el-GR"/>
              </w:rPr>
              <w:t>Συσσωρευμένη αναπροσαρμογή στην εύλογη αξία δανείων και απαιτήσεων από πελάτες που επιμετρούνται στην εύλογη αξία μέσω των αποτελεσμάτων</w:t>
            </w:r>
          </w:p>
        </w:tc>
        <w:tc>
          <w:tcPr>
            <w:tcW w:w="1531" w:type="dxa"/>
            <w:tcBorders>
              <w:bottom w:val="single" w:sz="4" w:space="0" w:color="D9D9D9" w:themeColor="background1" w:themeShade="D9"/>
            </w:tcBorders>
            <w:shd w:val="clear" w:color="auto" w:fill="auto"/>
            <w:vAlign w:val="center"/>
          </w:tcPr>
          <w:p w14:paraId="769CEC08" w14:textId="77777777" w:rsidR="0056738E" w:rsidRPr="00F012CB"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1,883</w:t>
            </w:r>
          </w:p>
        </w:tc>
        <w:tc>
          <w:tcPr>
            <w:tcW w:w="1531" w:type="dxa"/>
            <w:tcBorders>
              <w:bottom w:val="single" w:sz="4" w:space="0" w:color="D9D9D9" w:themeColor="background1" w:themeShade="D9"/>
            </w:tcBorders>
            <w:shd w:val="clear" w:color="auto" w:fill="auto"/>
            <w:vAlign w:val="center"/>
          </w:tcPr>
          <w:p w14:paraId="7D17E61D" w14:textId="77777777" w:rsidR="0056738E" w:rsidRPr="00EA064F" w:rsidRDefault="0056738E" w:rsidP="007C2AEE">
            <w:pPr>
              <w:tabs>
                <w:tab w:val="left" w:pos="0"/>
                <w:tab w:val="right" w:pos="7560"/>
                <w:tab w:val="right" w:pos="9000"/>
              </w:tabs>
              <w:jc w:val="right"/>
              <w:rPr>
                <w:rFonts w:ascii="Arial" w:hAnsi="Arial" w:cs="Arial"/>
                <w:bCs/>
                <w:sz w:val="18"/>
                <w:szCs w:val="18"/>
                <w:lang w:val="el-GR"/>
              </w:rPr>
            </w:pPr>
            <w:r w:rsidRPr="00487C44">
              <w:rPr>
                <w:rFonts w:ascii="Arial" w:hAnsi="Arial" w:cs="Arial"/>
                <w:sz w:val="18"/>
                <w:szCs w:val="18"/>
              </w:rPr>
              <w:t>947</w:t>
            </w:r>
          </w:p>
        </w:tc>
      </w:tr>
      <w:tr w:rsidR="0056738E" w:rsidRPr="004F05AF" w14:paraId="58D5FD80" w14:textId="77777777" w:rsidTr="007C2AEE">
        <w:trPr>
          <w:trHeight w:val="340"/>
          <w:jc w:val="center"/>
        </w:trPr>
        <w:tc>
          <w:tcPr>
            <w:tcW w:w="6379" w:type="dxa"/>
            <w:tcBorders>
              <w:bottom w:val="single" w:sz="4" w:space="0" w:color="D9D9D9" w:themeColor="background1" w:themeShade="D9"/>
            </w:tcBorders>
            <w:vAlign w:val="center"/>
          </w:tcPr>
          <w:p w14:paraId="7A0C32EC" w14:textId="77777777" w:rsidR="0056738E" w:rsidRPr="00325113" w:rsidRDefault="0056738E" w:rsidP="007C2AEE">
            <w:pPr>
              <w:tabs>
                <w:tab w:val="left" w:pos="0"/>
                <w:tab w:val="right" w:pos="7560"/>
                <w:tab w:val="right" w:pos="9000"/>
              </w:tabs>
              <w:jc w:val="both"/>
              <w:rPr>
                <w:rFonts w:ascii="Arial" w:hAnsi="Arial" w:cs="Arial"/>
                <w:sz w:val="18"/>
                <w:szCs w:val="18"/>
                <w:lang w:val="el-GR"/>
              </w:rPr>
            </w:pPr>
            <w:r w:rsidRPr="00325113">
              <w:rPr>
                <w:rFonts w:ascii="Arial" w:hAnsi="Arial" w:cs="Arial"/>
                <w:sz w:val="18"/>
                <w:szCs w:val="18"/>
                <w:lang w:val="el-GR"/>
              </w:rPr>
              <w:t xml:space="preserve">Προβλέψεις για </w:t>
            </w:r>
            <w:proofErr w:type="spellStart"/>
            <w:r w:rsidRPr="00325113">
              <w:rPr>
                <w:rFonts w:ascii="Arial" w:hAnsi="Arial" w:cs="Arial"/>
                <w:sz w:val="18"/>
                <w:szCs w:val="18"/>
                <w:lang w:val="el-GR"/>
              </w:rPr>
              <w:t>απομείωση</w:t>
            </w:r>
            <w:proofErr w:type="spellEnd"/>
            <w:r w:rsidRPr="00325113">
              <w:rPr>
                <w:rFonts w:ascii="Arial" w:hAnsi="Arial" w:cs="Arial"/>
                <w:sz w:val="18"/>
                <w:szCs w:val="18"/>
                <w:lang w:val="el-GR"/>
              </w:rPr>
              <w:t xml:space="preserve"> χρηματοοικονομικών εγγυήσεων και</w:t>
            </w:r>
          </w:p>
          <w:p w14:paraId="410A7894" w14:textId="77777777" w:rsidR="0056738E" w:rsidRPr="00325113" w:rsidRDefault="0056738E" w:rsidP="007C2AEE">
            <w:pPr>
              <w:tabs>
                <w:tab w:val="left" w:pos="0"/>
                <w:tab w:val="right" w:pos="7560"/>
                <w:tab w:val="right" w:pos="9000"/>
              </w:tabs>
              <w:jc w:val="both"/>
              <w:rPr>
                <w:rFonts w:ascii="Arial" w:hAnsi="Arial" w:cs="Arial"/>
                <w:sz w:val="18"/>
                <w:szCs w:val="18"/>
                <w:lang w:val="el-GR"/>
              </w:rPr>
            </w:pPr>
            <w:r w:rsidRPr="00325113">
              <w:rPr>
                <w:rFonts w:ascii="Arial" w:hAnsi="Arial" w:cs="Arial"/>
                <w:sz w:val="18"/>
                <w:szCs w:val="18"/>
                <w:lang w:val="el-GR"/>
              </w:rPr>
              <w:t xml:space="preserve">ανειλημμένων υποχρεώσεων </w:t>
            </w:r>
          </w:p>
        </w:tc>
        <w:tc>
          <w:tcPr>
            <w:tcW w:w="1531" w:type="dxa"/>
            <w:tcBorders>
              <w:top w:val="single" w:sz="4" w:space="0" w:color="D9D9D9" w:themeColor="background1" w:themeShade="D9"/>
              <w:bottom w:val="single" w:sz="6" w:space="0" w:color="000000" w:themeColor="text1"/>
            </w:tcBorders>
            <w:shd w:val="clear" w:color="auto" w:fill="auto"/>
            <w:vAlign w:val="center"/>
          </w:tcPr>
          <w:p w14:paraId="49C08E85" w14:textId="77777777" w:rsidR="0056738E" w:rsidRPr="00910686"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(17,870)</w:t>
            </w:r>
          </w:p>
        </w:tc>
        <w:tc>
          <w:tcPr>
            <w:tcW w:w="1531" w:type="dxa"/>
            <w:tcBorders>
              <w:top w:val="single" w:sz="4" w:space="0" w:color="D9D9D9" w:themeColor="background1" w:themeShade="D9"/>
              <w:bottom w:val="single" w:sz="6" w:space="0" w:color="000000" w:themeColor="text1"/>
            </w:tcBorders>
            <w:shd w:val="clear" w:color="auto" w:fill="auto"/>
            <w:vAlign w:val="center"/>
          </w:tcPr>
          <w:p w14:paraId="7B286C77" w14:textId="77777777" w:rsidR="0056738E" w:rsidRPr="00AB4891" w:rsidRDefault="0056738E" w:rsidP="007C2AEE">
            <w:pPr>
              <w:tabs>
                <w:tab w:val="left" w:pos="0"/>
                <w:tab w:val="right" w:pos="7560"/>
                <w:tab w:val="right" w:pos="9000"/>
              </w:tabs>
              <w:jc w:val="right"/>
              <w:rPr>
                <w:rFonts w:ascii="Arial" w:hAnsi="Arial" w:cs="Arial"/>
                <w:bCs/>
                <w:sz w:val="18"/>
                <w:szCs w:val="18"/>
              </w:rPr>
            </w:pPr>
            <w:r w:rsidRPr="00487C44">
              <w:rPr>
                <w:rFonts w:ascii="Arial" w:hAnsi="Arial" w:cs="Arial"/>
                <w:sz w:val="18"/>
                <w:szCs w:val="18"/>
              </w:rPr>
              <w:t>(19,192)</w:t>
            </w:r>
          </w:p>
        </w:tc>
      </w:tr>
      <w:tr w:rsidR="0056738E" w:rsidRPr="00366276" w14:paraId="35A8BB5F" w14:textId="77777777" w:rsidTr="007C2AEE">
        <w:trPr>
          <w:trHeight w:val="340"/>
          <w:jc w:val="center"/>
        </w:trPr>
        <w:tc>
          <w:tcPr>
            <w:tcW w:w="6379" w:type="dxa"/>
            <w:tcBorders>
              <w:top w:val="single" w:sz="4" w:space="0" w:color="D9D9D9" w:themeColor="background1" w:themeShade="D9"/>
              <w:bottom w:val="single" w:sz="4" w:space="0" w:color="D9D9D9" w:themeColor="background1" w:themeShade="D9"/>
            </w:tcBorders>
            <w:vAlign w:val="center"/>
          </w:tcPr>
          <w:p w14:paraId="246B0379" w14:textId="77777777" w:rsidR="0056738E" w:rsidRPr="00325113" w:rsidRDefault="0056738E" w:rsidP="007C2AEE">
            <w:pPr>
              <w:tabs>
                <w:tab w:val="left" w:pos="0"/>
                <w:tab w:val="right" w:pos="7560"/>
                <w:tab w:val="right" w:pos="9000"/>
              </w:tabs>
              <w:jc w:val="both"/>
              <w:rPr>
                <w:rFonts w:ascii="Arial" w:hAnsi="Arial" w:cs="Arial"/>
                <w:b/>
                <w:sz w:val="18"/>
                <w:szCs w:val="18"/>
                <w:lang w:val="el-GR"/>
              </w:rPr>
            </w:pPr>
            <w:r>
              <w:rPr>
                <w:rFonts w:ascii="Arial" w:hAnsi="Arial" w:cs="Arial"/>
                <w:b/>
                <w:sz w:val="18"/>
                <w:szCs w:val="18"/>
                <w:lang w:val="el-GR"/>
              </w:rPr>
              <w:t>Α</w:t>
            </w:r>
            <w:r w:rsidRPr="00325113">
              <w:rPr>
                <w:rFonts w:ascii="Arial" w:hAnsi="Arial" w:cs="Arial"/>
                <w:b/>
                <w:sz w:val="18"/>
                <w:szCs w:val="18"/>
                <w:lang w:val="el-GR"/>
              </w:rPr>
              <w:t>ναμενόμενες πιστωτικές ζημιές</w:t>
            </w:r>
            <w:r>
              <w:rPr>
                <w:rFonts w:ascii="Arial" w:hAnsi="Arial" w:cs="Arial"/>
                <w:b/>
                <w:sz w:val="18"/>
                <w:szCs w:val="18"/>
                <w:lang w:val="el-GR"/>
              </w:rPr>
              <w:t xml:space="preserve"> </w:t>
            </w:r>
            <w:r w:rsidRPr="00325113">
              <w:rPr>
                <w:rFonts w:ascii="Arial" w:hAnsi="Arial" w:cs="Arial"/>
                <w:b/>
                <w:sz w:val="18"/>
                <w:szCs w:val="18"/>
                <w:lang w:val="el-GR"/>
              </w:rPr>
              <w:t xml:space="preserve">δανείων και απαιτήσεων από πελάτες </w:t>
            </w:r>
            <w:r>
              <w:rPr>
                <w:rFonts w:ascii="Arial" w:hAnsi="Arial" w:cs="Arial"/>
                <w:b/>
                <w:sz w:val="18"/>
                <w:szCs w:val="18"/>
                <w:lang w:val="el-GR"/>
              </w:rPr>
              <w:t>στο Μέρος ΣΤ.3</w:t>
            </w:r>
          </w:p>
        </w:tc>
        <w:tc>
          <w:tcPr>
            <w:tcW w:w="1531" w:type="dxa"/>
            <w:tcBorders>
              <w:top w:val="single" w:sz="6" w:space="0" w:color="000000" w:themeColor="text1"/>
              <w:bottom w:val="double" w:sz="6" w:space="0" w:color="auto"/>
            </w:tcBorders>
            <w:shd w:val="clear" w:color="auto" w:fill="auto"/>
            <w:vAlign w:val="center"/>
          </w:tcPr>
          <w:p w14:paraId="387108FB" w14:textId="77777777" w:rsidR="0056738E" w:rsidRPr="00F012CB"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157,890</w:t>
            </w:r>
          </w:p>
        </w:tc>
        <w:tc>
          <w:tcPr>
            <w:tcW w:w="1531" w:type="dxa"/>
            <w:tcBorders>
              <w:top w:val="single" w:sz="6" w:space="0" w:color="000000" w:themeColor="text1"/>
              <w:bottom w:val="double" w:sz="6" w:space="0" w:color="auto"/>
            </w:tcBorders>
            <w:shd w:val="clear" w:color="auto" w:fill="auto"/>
            <w:vAlign w:val="center"/>
          </w:tcPr>
          <w:p w14:paraId="63725EB9" w14:textId="77777777" w:rsidR="0056738E" w:rsidRPr="00EA064F" w:rsidRDefault="0056738E" w:rsidP="007C2AEE">
            <w:pPr>
              <w:tabs>
                <w:tab w:val="left" w:pos="0"/>
                <w:tab w:val="right" w:pos="7560"/>
                <w:tab w:val="right" w:pos="9000"/>
              </w:tabs>
              <w:jc w:val="right"/>
              <w:rPr>
                <w:rFonts w:ascii="Arial" w:hAnsi="Arial" w:cs="Arial"/>
                <w:bCs/>
                <w:sz w:val="18"/>
                <w:szCs w:val="18"/>
                <w:lang w:val="el-GR"/>
              </w:rPr>
            </w:pPr>
            <w:r w:rsidRPr="00487C44">
              <w:rPr>
                <w:rFonts w:ascii="Arial" w:hAnsi="Arial" w:cs="Arial"/>
                <w:sz w:val="18"/>
                <w:szCs w:val="18"/>
              </w:rPr>
              <w:t>179,453</w:t>
            </w:r>
          </w:p>
        </w:tc>
      </w:tr>
      <w:tr w:rsidR="0056738E" w:rsidRPr="00366276" w14:paraId="668149EE" w14:textId="77777777" w:rsidTr="007C2AEE">
        <w:trPr>
          <w:trHeight w:val="340"/>
          <w:jc w:val="center"/>
        </w:trPr>
        <w:tc>
          <w:tcPr>
            <w:tcW w:w="6379" w:type="dxa"/>
            <w:tcBorders>
              <w:top w:val="single" w:sz="4" w:space="0" w:color="D9D9D9" w:themeColor="background1" w:themeShade="D9"/>
              <w:left w:val="nil"/>
              <w:bottom w:val="nil"/>
              <w:right w:val="nil"/>
            </w:tcBorders>
            <w:vAlign w:val="center"/>
          </w:tcPr>
          <w:p w14:paraId="2528EF06" w14:textId="77777777" w:rsidR="0056738E" w:rsidRPr="00325113" w:rsidRDefault="0056738E" w:rsidP="007C2AEE">
            <w:pPr>
              <w:tabs>
                <w:tab w:val="left" w:pos="0"/>
                <w:tab w:val="right" w:pos="7560"/>
                <w:tab w:val="right" w:pos="9000"/>
              </w:tabs>
              <w:jc w:val="both"/>
              <w:rPr>
                <w:rFonts w:ascii="Arial" w:hAnsi="Arial" w:cs="Arial"/>
                <w:b/>
                <w:sz w:val="18"/>
                <w:szCs w:val="18"/>
                <w:lang w:val="el-GR"/>
              </w:rPr>
            </w:pPr>
          </w:p>
        </w:tc>
        <w:tc>
          <w:tcPr>
            <w:tcW w:w="1531" w:type="dxa"/>
            <w:tcBorders>
              <w:top w:val="double" w:sz="6" w:space="0" w:color="auto"/>
              <w:left w:val="nil"/>
              <w:bottom w:val="nil"/>
              <w:right w:val="nil"/>
            </w:tcBorders>
            <w:shd w:val="clear" w:color="auto" w:fill="auto"/>
            <w:vAlign w:val="center"/>
          </w:tcPr>
          <w:p w14:paraId="2E6685E8" w14:textId="77777777" w:rsidR="0056738E" w:rsidRPr="00955C85" w:rsidRDefault="0056738E" w:rsidP="007C2AEE">
            <w:pPr>
              <w:tabs>
                <w:tab w:val="left" w:pos="0"/>
                <w:tab w:val="right" w:pos="7560"/>
                <w:tab w:val="right" w:pos="9000"/>
              </w:tabs>
              <w:jc w:val="right"/>
              <w:rPr>
                <w:rFonts w:ascii="Arial" w:hAnsi="Arial" w:cs="Arial"/>
                <w:b/>
                <w:bCs/>
                <w:sz w:val="18"/>
                <w:szCs w:val="18"/>
                <w:lang w:val="el-GR"/>
              </w:rPr>
            </w:pPr>
          </w:p>
        </w:tc>
        <w:tc>
          <w:tcPr>
            <w:tcW w:w="1531" w:type="dxa"/>
            <w:tcBorders>
              <w:top w:val="double" w:sz="6" w:space="0" w:color="auto"/>
              <w:left w:val="nil"/>
              <w:bottom w:val="nil"/>
              <w:right w:val="nil"/>
            </w:tcBorders>
            <w:vAlign w:val="center"/>
          </w:tcPr>
          <w:p w14:paraId="2E2BEF1F" w14:textId="77777777" w:rsidR="0056738E" w:rsidRPr="00955C85" w:rsidRDefault="0056738E" w:rsidP="007C2AEE">
            <w:pPr>
              <w:tabs>
                <w:tab w:val="left" w:pos="0"/>
                <w:tab w:val="right" w:pos="7560"/>
                <w:tab w:val="right" w:pos="9000"/>
              </w:tabs>
              <w:jc w:val="right"/>
              <w:rPr>
                <w:rFonts w:ascii="Arial" w:hAnsi="Arial" w:cs="Arial"/>
                <w:bCs/>
                <w:sz w:val="18"/>
                <w:szCs w:val="18"/>
                <w:lang w:val="el-GR"/>
              </w:rPr>
            </w:pPr>
          </w:p>
        </w:tc>
      </w:tr>
    </w:tbl>
    <w:p w14:paraId="08FE2F38" w14:textId="77777777" w:rsidR="0056738E" w:rsidRDefault="0056738E" w:rsidP="0056738E">
      <w:pPr>
        <w:spacing w:after="0" w:line="240" w:lineRule="auto"/>
        <w:jc w:val="both"/>
        <w:rPr>
          <w:rFonts w:ascii="Arial" w:hAnsi="Arial" w:cs="Arial"/>
          <w:sz w:val="18"/>
          <w:szCs w:val="18"/>
          <w:lang w:val="el-GR"/>
        </w:rPr>
      </w:pPr>
    </w:p>
    <w:p w14:paraId="1A661F35" w14:textId="77777777" w:rsidR="0056738E" w:rsidRDefault="0056738E" w:rsidP="0056738E">
      <w:pPr>
        <w:rPr>
          <w:rFonts w:ascii="Arial" w:hAnsi="Arial" w:cs="Arial"/>
          <w:sz w:val="18"/>
          <w:szCs w:val="18"/>
          <w:lang w:val="el-GR"/>
        </w:rPr>
      </w:pPr>
      <w:r>
        <w:rPr>
          <w:rFonts w:ascii="Arial" w:hAnsi="Arial" w:cs="Arial"/>
          <w:sz w:val="18"/>
          <w:szCs w:val="18"/>
          <w:lang w:val="el-GR"/>
        </w:rPr>
        <w:br w:type="page"/>
      </w:r>
    </w:p>
    <w:p w14:paraId="5AC80001" w14:textId="77777777" w:rsidR="0056738E" w:rsidRDefault="0056738E" w:rsidP="0056738E">
      <w:pPr>
        <w:spacing w:after="0" w:line="360" w:lineRule="auto"/>
        <w:ind w:left="851" w:hanging="851"/>
        <w:jc w:val="both"/>
        <w:rPr>
          <w:rFonts w:ascii="Arial" w:hAnsi="Arial" w:cs="Arial"/>
          <w:color w:val="FF9900"/>
          <w:lang w:val="el-GR"/>
        </w:rPr>
      </w:pPr>
      <w:r>
        <w:rPr>
          <w:rFonts w:ascii="Arial" w:hAnsi="Arial" w:cs="Arial"/>
          <w:b/>
          <w:color w:val="FF9900"/>
          <w:lang w:val="el-GR"/>
        </w:rPr>
        <w:lastRenderedPageBreak/>
        <w:t>Η</w:t>
      </w:r>
      <w:r w:rsidRPr="009B5694">
        <w:rPr>
          <w:rFonts w:ascii="Arial" w:hAnsi="Arial" w:cs="Arial"/>
          <w:b/>
          <w:color w:val="FF9900"/>
          <w:lang w:val="el-GR"/>
        </w:rPr>
        <w:t xml:space="preserve">. </w:t>
      </w:r>
      <w:r w:rsidRPr="009B5694">
        <w:rPr>
          <w:rFonts w:ascii="Arial" w:hAnsi="Arial" w:cs="Arial"/>
          <w:b/>
          <w:color w:val="FF9900"/>
          <w:lang w:val="el-GR"/>
        </w:rPr>
        <w:tab/>
      </w:r>
      <w:r w:rsidRPr="009D3A1F">
        <w:rPr>
          <w:rFonts w:ascii="Arial" w:hAnsi="Arial" w:cs="Arial"/>
          <w:b/>
          <w:color w:val="FF9900"/>
          <w:lang w:val="el-GR"/>
        </w:rPr>
        <w:t>Εναλλακτικ</w:t>
      </w:r>
      <w:r>
        <w:rPr>
          <w:rFonts w:ascii="Arial" w:hAnsi="Arial" w:cs="Arial"/>
          <w:b/>
          <w:color w:val="FF9900"/>
          <w:lang w:val="el-GR"/>
        </w:rPr>
        <w:t>ά</w:t>
      </w:r>
      <w:r w:rsidRPr="009D3A1F">
        <w:rPr>
          <w:rFonts w:ascii="Arial" w:hAnsi="Arial" w:cs="Arial"/>
          <w:b/>
          <w:color w:val="FF9900"/>
          <w:lang w:val="el-GR"/>
        </w:rPr>
        <w:t xml:space="preserve"> Μέτρ</w:t>
      </w:r>
      <w:r>
        <w:rPr>
          <w:rFonts w:ascii="Arial" w:hAnsi="Arial" w:cs="Arial"/>
          <w:b/>
          <w:color w:val="FF9900"/>
          <w:lang w:val="el-GR"/>
        </w:rPr>
        <w:t>α</w:t>
      </w:r>
      <w:r w:rsidRPr="009D3A1F">
        <w:rPr>
          <w:rFonts w:ascii="Arial" w:hAnsi="Arial" w:cs="Arial"/>
          <w:b/>
          <w:color w:val="FF9900"/>
          <w:lang w:val="el-GR"/>
        </w:rPr>
        <w:t xml:space="preserve"> Απόδοσης</w:t>
      </w:r>
      <w:r>
        <w:rPr>
          <w:rFonts w:ascii="Arial" w:hAnsi="Arial" w:cs="Arial"/>
          <w:b/>
          <w:color w:val="FF9900"/>
          <w:lang w:val="el-GR"/>
        </w:rPr>
        <w:t xml:space="preserve"> </w:t>
      </w:r>
      <w:r w:rsidRPr="00B964B1">
        <w:rPr>
          <w:rFonts w:ascii="Arial" w:hAnsi="Arial" w:cs="Arial"/>
          <w:color w:val="FF9900"/>
          <w:lang w:val="el-GR"/>
        </w:rPr>
        <w:t>(συνέχεια)</w:t>
      </w:r>
    </w:p>
    <w:p w14:paraId="45B518B4" w14:textId="77777777" w:rsidR="0056738E" w:rsidRPr="00041815" w:rsidRDefault="0056738E" w:rsidP="0056738E">
      <w:pPr>
        <w:spacing w:after="0" w:line="360" w:lineRule="auto"/>
        <w:ind w:left="851" w:hanging="851"/>
        <w:jc w:val="both"/>
        <w:rPr>
          <w:rFonts w:ascii="Arial" w:hAnsi="Arial" w:cs="Arial"/>
          <w:b/>
          <w:color w:val="FF9900"/>
          <w:u w:val="single"/>
          <w:lang w:val="el-GR"/>
        </w:rPr>
      </w:pPr>
      <w:r w:rsidRPr="00CD5513">
        <w:rPr>
          <w:rFonts w:ascii="Arial" w:hAnsi="Arial" w:cs="Arial"/>
          <w:b/>
          <w:color w:val="FF9900"/>
          <w:u w:val="single"/>
          <w:lang w:val="el-GR"/>
        </w:rPr>
        <w:t>Συμφιλιώσεις</w:t>
      </w:r>
      <w:r>
        <w:rPr>
          <w:rFonts w:ascii="Arial" w:hAnsi="Arial" w:cs="Arial"/>
          <w:b/>
          <w:color w:val="FF9900"/>
          <w:u w:val="single"/>
          <w:lang w:val="el-GR"/>
        </w:rPr>
        <w:t xml:space="preserve"> </w:t>
      </w:r>
      <w:r w:rsidRPr="00B964B1">
        <w:rPr>
          <w:rFonts w:ascii="Arial" w:hAnsi="Arial" w:cs="Arial"/>
          <w:color w:val="FF9900"/>
          <w:lang w:val="el-GR"/>
        </w:rPr>
        <w:t>(συνέχεια)</w:t>
      </w:r>
    </w:p>
    <w:p w14:paraId="4F819246" w14:textId="77777777" w:rsidR="0056738E" w:rsidRPr="00A03828" w:rsidRDefault="0056738E" w:rsidP="0056738E">
      <w:pPr>
        <w:pStyle w:val="ListParagraph"/>
        <w:numPr>
          <w:ilvl w:val="0"/>
          <w:numId w:val="7"/>
        </w:numPr>
        <w:shd w:val="clear" w:color="auto" w:fill="FFFFFF"/>
        <w:suppressAutoHyphens/>
        <w:spacing w:line="360" w:lineRule="auto"/>
        <w:ind w:left="851" w:hanging="851"/>
        <w:jc w:val="both"/>
        <w:rPr>
          <w:rFonts w:ascii="Arial" w:eastAsiaTheme="minorEastAsia" w:hAnsi="Arial" w:cs="Arial"/>
          <w:b/>
          <w:color w:val="FF9900"/>
          <w:sz w:val="22"/>
          <w:szCs w:val="22"/>
        </w:rPr>
      </w:pPr>
      <w:r w:rsidRPr="00A03828">
        <w:rPr>
          <w:rFonts w:ascii="Arial" w:eastAsiaTheme="minorEastAsia" w:hAnsi="Arial" w:cs="Arial"/>
          <w:b/>
          <w:color w:val="FF9900"/>
          <w:sz w:val="22"/>
          <w:szCs w:val="22"/>
          <w:lang w:val="el-GR"/>
        </w:rPr>
        <w:t>Συμφιλίωση ΜΕΔ</w:t>
      </w:r>
    </w:p>
    <w:tbl>
      <w:tblPr>
        <w:tblStyle w:val="TableGrid"/>
        <w:tblW w:w="9217"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32"/>
        <w:gridCol w:w="1560"/>
        <w:gridCol w:w="1425"/>
      </w:tblGrid>
      <w:tr w:rsidR="0056738E" w:rsidRPr="00D21776" w14:paraId="4D357F92" w14:textId="77777777" w:rsidTr="007C2AEE">
        <w:trPr>
          <w:trHeight w:val="340"/>
          <w:jc w:val="center"/>
        </w:trPr>
        <w:tc>
          <w:tcPr>
            <w:tcW w:w="6232" w:type="dxa"/>
            <w:vMerge w:val="restart"/>
            <w:vAlign w:val="center"/>
          </w:tcPr>
          <w:p w14:paraId="38D55BF3" w14:textId="77777777" w:rsidR="0056738E" w:rsidRPr="00325113" w:rsidRDefault="0056738E" w:rsidP="007C2AEE">
            <w:pPr>
              <w:tabs>
                <w:tab w:val="left" w:pos="0"/>
                <w:tab w:val="left" w:pos="360"/>
              </w:tabs>
              <w:rPr>
                <w:rFonts w:ascii="Arial" w:hAnsi="Arial" w:cs="Arial"/>
                <w:b/>
                <w:color w:val="000000"/>
                <w:sz w:val="18"/>
                <w:szCs w:val="18"/>
                <w:lang w:val="el-GR"/>
              </w:rPr>
            </w:pPr>
          </w:p>
        </w:tc>
        <w:tc>
          <w:tcPr>
            <w:tcW w:w="1560" w:type="dxa"/>
            <w:vAlign w:val="center"/>
          </w:tcPr>
          <w:p w14:paraId="6C354EEB" w14:textId="77777777" w:rsidR="0056738E" w:rsidRPr="00325113" w:rsidRDefault="0056738E" w:rsidP="007C2AEE">
            <w:pPr>
              <w:ind w:left="-81" w:right="-110"/>
              <w:jc w:val="center"/>
              <w:rPr>
                <w:rFonts w:ascii="Arial" w:hAnsi="Arial" w:cs="Arial"/>
                <w:b/>
                <w:iCs/>
                <w:spacing w:val="-4"/>
                <w:sz w:val="18"/>
                <w:szCs w:val="18"/>
                <w:lang w:val="el-GR"/>
              </w:rPr>
            </w:pPr>
            <w:r w:rsidRPr="00331BC0">
              <w:rPr>
                <w:rFonts w:ascii="Arial" w:hAnsi="Arial" w:cs="Arial"/>
                <w:b/>
                <w:sz w:val="18"/>
                <w:szCs w:val="18"/>
                <w:lang w:val="el-GR"/>
              </w:rPr>
              <w:t xml:space="preserve">30 Σεπτεμβρίου </w:t>
            </w:r>
            <w:r w:rsidRPr="005D5D89">
              <w:rPr>
                <w:rFonts w:ascii="Arial" w:hAnsi="Arial" w:cs="Arial"/>
                <w:b/>
                <w:sz w:val="18"/>
                <w:szCs w:val="18"/>
                <w:lang w:val="el-GR"/>
              </w:rPr>
              <w:t>202</w:t>
            </w:r>
            <w:r>
              <w:rPr>
                <w:rFonts w:ascii="Arial" w:hAnsi="Arial" w:cs="Arial"/>
                <w:b/>
                <w:sz w:val="18"/>
                <w:szCs w:val="18"/>
                <w:lang w:val="el-GR"/>
              </w:rPr>
              <w:t>4</w:t>
            </w:r>
          </w:p>
        </w:tc>
        <w:tc>
          <w:tcPr>
            <w:tcW w:w="1425" w:type="dxa"/>
            <w:shd w:val="clear" w:color="auto" w:fill="auto"/>
            <w:vAlign w:val="center"/>
          </w:tcPr>
          <w:p w14:paraId="54217ED0" w14:textId="77777777" w:rsidR="0056738E" w:rsidRPr="005D5D89" w:rsidRDefault="0056738E" w:rsidP="007C2AEE">
            <w:pPr>
              <w:jc w:val="center"/>
              <w:rPr>
                <w:rFonts w:ascii="Arial" w:hAnsi="Arial" w:cs="Arial"/>
                <w:sz w:val="18"/>
                <w:szCs w:val="18"/>
              </w:rPr>
            </w:pPr>
            <w:r w:rsidRPr="005D5D89">
              <w:rPr>
                <w:rFonts w:ascii="Arial" w:hAnsi="Arial" w:cs="Arial"/>
                <w:sz w:val="18"/>
                <w:szCs w:val="18"/>
              </w:rPr>
              <w:t xml:space="preserve">31 </w:t>
            </w:r>
            <w:proofErr w:type="spellStart"/>
            <w:r w:rsidRPr="005D5D89">
              <w:rPr>
                <w:rFonts w:ascii="Arial" w:hAnsi="Arial" w:cs="Arial"/>
                <w:sz w:val="18"/>
                <w:szCs w:val="18"/>
              </w:rPr>
              <w:t>Δεκεμ</w:t>
            </w:r>
            <w:proofErr w:type="spellEnd"/>
            <w:r w:rsidRPr="005D5D89">
              <w:rPr>
                <w:rFonts w:ascii="Arial" w:hAnsi="Arial" w:cs="Arial"/>
                <w:sz w:val="18"/>
                <w:szCs w:val="18"/>
              </w:rPr>
              <w:t>βρίου</w:t>
            </w:r>
          </w:p>
          <w:p w14:paraId="240ACBB4" w14:textId="77777777" w:rsidR="0056738E" w:rsidRPr="00C76EDA" w:rsidRDefault="0056738E" w:rsidP="007C2AEE">
            <w:pPr>
              <w:jc w:val="center"/>
              <w:rPr>
                <w:rFonts w:ascii="Arial" w:hAnsi="Arial" w:cs="Arial"/>
                <w:iCs/>
                <w:spacing w:val="-4"/>
                <w:sz w:val="18"/>
                <w:szCs w:val="18"/>
                <w:lang w:val="el-GR"/>
              </w:rPr>
            </w:pPr>
            <w:r w:rsidRPr="005D5D89">
              <w:rPr>
                <w:rFonts w:ascii="Arial" w:hAnsi="Arial" w:cs="Arial"/>
                <w:sz w:val="18"/>
                <w:szCs w:val="18"/>
              </w:rPr>
              <w:t>20</w:t>
            </w:r>
            <w:r>
              <w:rPr>
                <w:rFonts w:ascii="Arial" w:hAnsi="Arial" w:cs="Arial"/>
                <w:sz w:val="18"/>
                <w:szCs w:val="18"/>
                <w:lang w:val="el-GR"/>
              </w:rPr>
              <w:t>23</w:t>
            </w:r>
          </w:p>
        </w:tc>
      </w:tr>
      <w:tr w:rsidR="0056738E" w:rsidRPr="00D21776" w14:paraId="3154F2FD" w14:textId="77777777" w:rsidTr="007C2AEE">
        <w:trPr>
          <w:trHeight w:val="340"/>
          <w:jc w:val="center"/>
        </w:trPr>
        <w:tc>
          <w:tcPr>
            <w:tcW w:w="6232" w:type="dxa"/>
            <w:vMerge/>
            <w:vAlign w:val="center"/>
          </w:tcPr>
          <w:p w14:paraId="186BF34F" w14:textId="77777777" w:rsidR="0056738E" w:rsidRPr="00325113" w:rsidRDefault="0056738E" w:rsidP="007C2AEE">
            <w:pPr>
              <w:tabs>
                <w:tab w:val="left" w:pos="0"/>
                <w:tab w:val="right" w:pos="7560"/>
                <w:tab w:val="right" w:pos="9000"/>
              </w:tabs>
              <w:rPr>
                <w:rFonts w:ascii="Arial" w:hAnsi="Arial" w:cs="Arial"/>
                <w:sz w:val="18"/>
                <w:szCs w:val="18"/>
                <w:lang w:val="el-GR"/>
              </w:rPr>
            </w:pPr>
          </w:p>
        </w:tc>
        <w:tc>
          <w:tcPr>
            <w:tcW w:w="1560" w:type="dxa"/>
            <w:vAlign w:val="center"/>
          </w:tcPr>
          <w:p w14:paraId="0061ED6D" w14:textId="77777777" w:rsidR="0056738E" w:rsidRPr="00325113" w:rsidRDefault="0056738E" w:rsidP="007C2AEE">
            <w:pPr>
              <w:tabs>
                <w:tab w:val="left" w:pos="0"/>
                <w:tab w:val="right" w:pos="7560"/>
                <w:tab w:val="right" w:pos="9000"/>
              </w:tabs>
              <w:jc w:val="center"/>
              <w:rPr>
                <w:rFonts w:ascii="Arial" w:hAnsi="Arial" w:cs="Arial"/>
                <w:bCs/>
                <w:sz w:val="18"/>
                <w:szCs w:val="18"/>
                <w:lang w:val="el-GR"/>
              </w:rPr>
            </w:pPr>
            <w:r w:rsidRPr="00325113">
              <w:rPr>
                <w:rFonts w:ascii="Arial" w:hAnsi="Arial" w:cs="Arial"/>
                <w:b/>
                <w:sz w:val="18"/>
                <w:szCs w:val="18"/>
                <w:lang w:val="el-GR"/>
              </w:rPr>
              <w:t>€000</w:t>
            </w:r>
          </w:p>
        </w:tc>
        <w:tc>
          <w:tcPr>
            <w:tcW w:w="1425" w:type="dxa"/>
            <w:shd w:val="clear" w:color="auto" w:fill="auto"/>
            <w:vAlign w:val="center"/>
          </w:tcPr>
          <w:p w14:paraId="47DE2C43" w14:textId="77777777" w:rsidR="0056738E" w:rsidRPr="00325113" w:rsidRDefault="0056738E" w:rsidP="007C2AEE">
            <w:pPr>
              <w:tabs>
                <w:tab w:val="left" w:pos="0"/>
                <w:tab w:val="right" w:pos="7560"/>
                <w:tab w:val="right" w:pos="9000"/>
              </w:tabs>
              <w:jc w:val="center"/>
              <w:rPr>
                <w:rFonts w:ascii="Arial" w:hAnsi="Arial" w:cs="Arial"/>
                <w:bCs/>
                <w:sz w:val="18"/>
                <w:szCs w:val="18"/>
                <w:lang w:val="el-GR"/>
              </w:rPr>
            </w:pPr>
            <w:r w:rsidRPr="00325113">
              <w:rPr>
                <w:rFonts w:ascii="Arial" w:hAnsi="Arial" w:cs="Arial"/>
                <w:sz w:val="18"/>
                <w:szCs w:val="18"/>
                <w:lang w:val="el-GR"/>
              </w:rPr>
              <w:t>€000</w:t>
            </w:r>
          </w:p>
        </w:tc>
      </w:tr>
      <w:tr w:rsidR="0056738E" w:rsidRPr="00EA064F" w14:paraId="728126CC" w14:textId="77777777" w:rsidTr="007C2AEE">
        <w:trPr>
          <w:trHeight w:val="340"/>
          <w:jc w:val="center"/>
        </w:trPr>
        <w:tc>
          <w:tcPr>
            <w:tcW w:w="6232" w:type="dxa"/>
            <w:vAlign w:val="center"/>
          </w:tcPr>
          <w:p w14:paraId="22FAA44F" w14:textId="77777777" w:rsidR="0056738E" w:rsidRPr="00325113" w:rsidRDefault="0056738E" w:rsidP="007C2AEE">
            <w:pPr>
              <w:tabs>
                <w:tab w:val="left" w:pos="0"/>
                <w:tab w:val="right" w:pos="7560"/>
                <w:tab w:val="right" w:pos="9000"/>
              </w:tabs>
              <w:jc w:val="both"/>
              <w:rPr>
                <w:rFonts w:ascii="Arial" w:hAnsi="Arial" w:cs="Arial"/>
                <w:b/>
                <w:sz w:val="18"/>
                <w:szCs w:val="18"/>
                <w:lang w:val="el-GR"/>
              </w:rPr>
            </w:pPr>
            <w:r w:rsidRPr="00325113">
              <w:rPr>
                <w:rFonts w:ascii="Arial" w:hAnsi="Arial" w:cs="Arial"/>
                <w:sz w:val="18"/>
                <w:szCs w:val="18"/>
                <w:lang w:val="el-GR"/>
              </w:rPr>
              <w:t xml:space="preserve">ΜΕΔ </w:t>
            </w:r>
            <w:r>
              <w:rPr>
                <w:rFonts w:ascii="Arial" w:hAnsi="Arial" w:cs="Arial"/>
                <w:sz w:val="18"/>
                <w:szCs w:val="18"/>
                <w:lang w:val="el-GR"/>
              </w:rPr>
              <w:t>στην υποκείμενη βάση (</w:t>
            </w:r>
            <w:r w:rsidRPr="00D17E65">
              <w:rPr>
                <w:rFonts w:ascii="Arial" w:hAnsi="Arial" w:cs="Arial"/>
                <w:i/>
                <w:iCs/>
                <w:sz w:val="18"/>
                <w:szCs w:val="18"/>
                <w:lang w:val="el-GR"/>
              </w:rPr>
              <w:t>όπως ορίζονται στο Μέρος Θ</w:t>
            </w:r>
            <w:r w:rsidRPr="00325113">
              <w:rPr>
                <w:rFonts w:ascii="Arial" w:hAnsi="Arial" w:cs="Arial"/>
                <w:sz w:val="18"/>
                <w:szCs w:val="18"/>
                <w:lang w:val="el-GR"/>
              </w:rPr>
              <w:t>)</w:t>
            </w:r>
          </w:p>
        </w:tc>
        <w:tc>
          <w:tcPr>
            <w:tcW w:w="1560" w:type="dxa"/>
            <w:shd w:val="clear" w:color="auto" w:fill="auto"/>
            <w:vAlign w:val="center"/>
          </w:tcPr>
          <w:p w14:paraId="047E40B9" w14:textId="77777777" w:rsidR="0056738E" w:rsidRPr="00E723B9"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273,853</w:t>
            </w:r>
          </w:p>
        </w:tc>
        <w:tc>
          <w:tcPr>
            <w:tcW w:w="1425" w:type="dxa"/>
            <w:shd w:val="clear" w:color="auto" w:fill="auto"/>
            <w:vAlign w:val="center"/>
          </w:tcPr>
          <w:p w14:paraId="7A859A66" w14:textId="77777777" w:rsidR="0056738E" w:rsidRPr="00EA064F" w:rsidRDefault="0056738E" w:rsidP="007C2AEE">
            <w:pPr>
              <w:tabs>
                <w:tab w:val="left" w:pos="0"/>
                <w:tab w:val="right" w:pos="7560"/>
                <w:tab w:val="right" w:pos="9000"/>
              </w:tabs>
              <w:jc w:val="right"/>
              <w:rPr>
                <w:rFonts w:ascii="Arial" w:hAnsi="Arial" w:cs="Arial"/>
                <w:bCs/>
                <w:sz w:val="18"/>
                <w:szCs w:val="18"/>
                <w:lang w:val="el-GR"/>
              </w:rPr>
            </w:pPr>
            <w:r w:rsidRPr="00487C44">
              <w:rPr>
                <w:rFonts w:ascii="Arial" w:hAnsi="Arial" w:cs="Arial"/>
                <w:sz w:val="18"/>
                <w:szCs w:val="18"/>
              </w:rPr>
              <w:t>365,450</w:t>
            </w:r>
          </w:p>
        </w:tc>
      </w:tr>
      <w:tr w:rsidR="0056738E" w:rsidRPr="00D21776" w14:paraId="37469C24" w14:textId="77777777" w:rsidTr="007C2AEE">
        <w:trPr>
          <w:trHeight w:val="340"/>
          <w:jc w:val="center"/>
        </w:trPr>
        <w:tc>
          <w:tcPr>
            <w:tcW w:w="6232" w:type="dxa"/>
            <w:vAlign w:val="center"/>
          </w:tcPr>
          <w:p w14:paraId="5FBA681A" w14:textId="77777777" w:rsidR="0056738E" w:rsidRPr="00325113" w:rsidRDefault="0056738E" w:rsidP="007C2AEE">
            <w:pPr>
              <w:tabs>
                <w:tab w:val="left" w:pos="0"/>
                <w:tab w:val="right" w:pos="7560"/>
                <w:tab w:val="right" w:pos="9000"/>
              </w:tabs>
              <w:jc w:val="both"/>
              <w:rPr>
                <w:rFonts w:ascii="Arial" w:hAnsi="Arial" w:cs="Arial"/>
                <w:b/>
                <w:bCs/>
                <w:sz w:val="18"/>
                <w:szCs w:val="18"/>
              </w:rPr>
            </w:pPr>
            <w:r w:rsidRPr="00325113">
              <w:rPr>
                <w:rFonts w:ascii="Arial" w:hAnsi="Arial" w:cs="Arial"/>
                <w:b/>
                <w:sz w:val="18"/>
                <w:szCs w:val="18"/>
                <w:lang w:val="el-GR"/>
              </w:rPr>
              <w:t>Συμφιλίωση για</w:t>
            </w:r>
            <w:r w:rsidRPr="00325113">
              <w:rPr>
                <w:rFonts w:ascii="Arial" w:hAnsi="Arial" w:cs="Arial"/>
                <w:b/>
                <w:sz w:val="18"/>
                <w:szCs w:val="18"/>
              </w:rPr>
              <w:t>:</w:t>
            </w:r>
          </w:p>
        </w:tc>
        <w:tc>
          <w:tcPr>
            <w:tcW w:w="1560" w:type="dxa"/>
            <w:shd w:val="clear" w:color="auto" w:fill="auto"/>
            <w:vAlign w:val="center"/>
          </w:tcPr>
          <w:p w14:paraId="0D38A15D" w14:textId="77777777" w:rsidR="0056738E" w:rsidRPr="00E723B9" w:rsidRDefault="0056738E" w:rsidP="007C2AEE">
            <w:pPr>
              <w:tabs>
                <w:tab w:val="left" w:pos="0"/>
                <w:tab w:val="right" w:pos="7560"/>
                <w:tab w:val="right" w:pos="9000"/>
              </w:tabs>
              <w:jc w:val="right"/>
              <w:rPr>
                <w:rFonts w:ascii="Arial" w:hAnsi="Arial" w:cs="Arial"/>
                <w:b/>
                <w:bCs/>
                <w:sz w:val="18"/>
                <w:szCs w:val="18"/>
              </w:rPr>
            </w:pPr>
          </w:p>
        </w:tc>
        <w:tc>
          <w:tcPr>
            <w:tcW w:w="1425" w:type="dxa"/>
            <w:shd w:val="clear" w:color="auto" w:fill="auto"/>
            <w:vAlign w:val="center"/>
          </w:tcPr>
          <w:p w14:paraId="5093202F" w14:textId="77777777" w:rsidR="0056738E" w:rsidRPr="00E723B9" w:rsidRDefault="0056738E" w:rsidP="007C2AEE">
            <w:pPr>
              <w:tabs>
                <w:tab w:val="left" w:pos="0"/>
                <w:tab w:val="right" w:pos="7560"/>
                <w:tab w:val="right" w:pos="9000"/>
              </w:tabs>
              <w:jc w:val="right"/>
              <w:rPr>
                <w:rFonts w:ascii="Arial" w:hAnsi="Arial" w:cs="Arial"/>
                <w:bCs/>
                <w:sz w:val="18"/>
                <w:szCs w:val="18"/>
              </w:rPr>
            </w:pPr>
          </w:p>
        </w:tc>
      </w:tr>
      <w:tr w:rsidR="0056738E" w:rsidRPr="00EA064F" w14:paraId="2965C421" w14:textId="77777777" w:rsidTr="007C2AEE">
        <w:trPr>
          <w:trHeight w:val="340"/>
          <w:jc w:val="center"/>
        </w:trPr>
        <w:tc>
          <w:tcPr>
            <w:tcW w:w="6232" w:type="dxa"/>
            <w:tcBorders>
              <w:bottom w:val="single" w:sz="4" w:space="0" w:color="D9D9D9" w:themeColor="background1" w:themeShade="D9"/>
            </w:tcBorders>
            <w:vAlign w:val="center"/>
          </w:tcPr>
          <w:p w14:paraId="2AE0EE97" w14:textId="77777777" w:rsidR="0056738E" w:rsidRPr="00295155" w:rsidRDefault="0056738E" w:rsidP="007C2AEE">
            <w:pPr>
              <w:tabs>
                <w:tab w:val="left" w:pos="0"/>
                <w:tab w:val="right" w:pos="7560"/>
                <w:tab w:val="right" w:pos="9000"/>
              </w:tabs>
              <w:jc w:val="both"/>
              <w:rPr>
                <w:rFonts w:ascii="Arial" w:eastAsia="Batang" w:hAnsi="Arial" w:cs="Arial"/>
                <w:color w:val="262626"/>
                <w:sz w:val="18"/>
                <w:szCs w:val="18"/>
                <w:lang w:val="el-GR"/>
              </w:rPr>
            </w:pPr>
            <w:r>
              <w:rPr>
                <w:rFonts w:ascii="Arial" w:eastAsia="Batang" w:hAnsi="Arial" w:cs="Arial"/>
                <w:color w:val="262626"/>
                <w:sz w:val="18"/>
                <w:szCs w:val="18"/>
                <w:lang w:val="el-GR"/>
              </w:rPr>
              <w:t>Δάνεια και απαιτήσεις από πελάτες (ΜΕΔ) που κατέχονται προς πώληση (</w:t>
            </w:r>
            <w:r>
              <w:rPr>
                <w:rFonts w:ascii="Arial" w:eastAsia="Batang" w:hAnsi="Arial" w:cs="Arial"/>
                <w:i/>
                <w:iCs/>
                <w:color w:val="262626"/>
                <w:sz w:val="18"/>
                <w:szCs w:val="18"/>
                <w:lang w:val="el-GR"/>
              </w:rPr>
              <w:t>ως ο πίνακας</w:t>
            </w:r>
            <w:r w:rsidRPr="00A03828">
              <w:rPr>
                <w:rFonts w:ascii="Arial" w:eastAsia="Batang" w:hAnsi="Arial" w:cs="Arial"/>
                <w:i/>
                <w:iCs/>
                <w:color w:val="262626"/>
                <w:sz w:val="18"/>
                <w:szCs w:val="18"/>
                <w:lang w:val="el-GR"/>
              </w:rPr>
              <w:t xml:space="preserve"> 1 πιο </w:t>
            </w:r>
            <w:r>
              <w:rPr>
                <w:rFonts w:ascii="Arial" w:eastAsia="Batang" w:hAnsi="Arial" w:cs="Arial"/>
                <w:i/>
                <w:iCs/>
                <w:color w:val="262626"/>
                <w:sz w:val="18"/>
                <w:szCs w:val="18"/>
                <w:lang w:val="el-GR"/>
              </w:rPr>
              <w:t>π</w:t>
            </w:r>
            <w:r w:rsidRPr="00A03828">
              <w:rPr>
                <w:rFonts w:ascii="Arial" w:eastAsia="Batang" w:hAnsi="Arial" w:cs="Arial"/>
                <w:i/>
                <w:iCs/>
                <w:color w:val="262626"/>
                <w:sz w:val="18"/>
                <w:szCs w:val="18"/>
                <w:lang w:val="el-GR"/>
              </w:rPr>
              <w:t>ά</w:t>
            </w:r>
            <w:r>
              <w:rPr>
                <w:rFonts w:ascii="Arial" w:eastAsia="Batang" w:hAnsi="Arial" w:cs="Arial"/>
                <w:i/>
                <w:iCs/>
                <w:color w:val="262626"/>
                <w:sz w:val="18"/>
                <w:szCs w:val="18"/>
                <w:lang w:val="el-GR"/>
              </w:rPr>
              <w:t>ν</w:t>
            </w:r>
            <w:r w:rsidRPr="00A03828">
              <w:rPr>
                <w:rFonts w:ascii="Arial" w:eastAsia="Batang" w:hAnsi="Arial" w:cs="Arial"/>
                <w:i/>
                <w:iCs/>
                <w:color w:val="262626"/>
                <w:sz w:val="18"/>
                <w:szCs w:val="18"/>
                <w:lang w:val="el-GR"/>
              </w:rPr>
              <w:t>ω</w:t>
            </w:r>
            <w:r>
              <w:rPr>
                <w:rFonts w:ascii="Arial" w:eastAsia="Batang" w:hAnsi="Arial" w:cs="Arial"/>
                <w:color w:val="262626"/>
                <w:sz w:val="18"/>
                <w:szCs w:val="18"/>
                <w:lang w:val="el-GR"/>
              </w:rPr>
              <w:t>)</w:t>
            </w:r>
          </w:p>
        </w:tc>
        <w:tc>
          <w:tcPr>
            <w:tcW w:w="1560" w:type="dxa"/>
            <w:tcBorders>
              <w:bottom w:val="single" w:sz="4" w:space="0" w:color="D9D9D9" w:themeColor="background1" w:themeShade="D9"/>
            </w:tcBorders>
            <w:shd w:val="clear" w:color="auto" w:fill="auto"/>
            <w:vAlign w:val="center"/>
          </w:tcPr>
          <w:p w14:paraId="122DE4B6" w14:textId="77777777" w:rsidR="0056738E" w:rsidRPr="00E723B9" w:rsidRDefault="0056738E" w:rsidP="007C2AEE">
            <w:pPr>
              <w:tabs>
                <w:tab w:val="right" w:pos="7560"/>
                <w:tab w:val="right" w:pos="9000"/>
              </w:tabs>
              <w:ind w:left="-108"/>
              <w:jc w:val="right"/>
              <w:rPr>
                <w:rFonts w:ascii="Arial" w:hAnsi="Arial" w:cs="Arial"/>
                <w:b/>
                <w:bCs/>
                <w:sz w:val="18"/>
                <w:szCs w:val="18"/>
                <w:lang w:val="el-GR"/>
              </w:rPr>
            </w:pPr>
            <w:r>
              <w:rPr>
                <w:rFonts w:ascii="Arial" w:hAnsi="Arial" w:cs="Arial"/>
                <w:b/>
                <w:bCs/>
                <w:sz w:val="18"/>
                <w:szCs w:val="18"/>
              </w:rPr>
              <w:t>(26,568)</w:t>
            </w:r>
          </w:p>
        </w:tc>
        <w:tc>
          <w:tcPr>
            <w:tcW w:w="1425" w:type="dxa"/>
            <w:tcBorders>
              <w:bottom w:val="single" w:sz="4" w:space="0" w:color="D9D9D9" w:themeColor="background1" w:themeShade="D9"/>
            </w:tcBorders>
            <w:shd w:val="clear" w:color="auto" w:fill="auto"/>
            <w:vAlign w:val="center"/>
          </w:tcPr>
          <w:p w14:paraId="05ABC308" w14:textId="77777777" w:rsidR="0056738E" w:rsidRPr="00487C44" w:rsidRDefault="0056738E" w:rsidP="007C2AEE">
            <w:pPr>
              <w:tabs>
                <w:tab w:val="right" w:pos="7560"/>
                <w:tab w:val="right" w:pos="9000"/>
              </w:tabs>
              <w:ind w:left="-108"/>
              <w:jc w:val="right"/>
              <w:rPr>
                <w:rFonts w:ascii="Arial" w:hAnsi="Arial" w:cs="Arial"/>
                <w:sz w:val="18"/>
                <w:szCs w:val="18"/>
                <w:lang w:val="el-GR"/>
              </w:rPr>
            </w:pPr>
            <w:r>
              <w:rPr>
                <w:rFonts w:ascii="Arial" w:hAnsi="Arial" w:cs="Arial"/>
                <w:sz w:val="18"/>
                <w:szCs w:val="18"/>
                <w:lang w:val="en-GB"/>
              </w:rPr>
              <w:t>-</w:t>
            </w:r>
          </w:p>
        </w:tc>
      </w:tr>
      <w:tr w:rsidR="0056738E" w:rsidRPr="00EA064F" w14:paraId="3D621111" w14:textId="77777777" w:rsidTr="007C2AEE">
        <w:trPr>
          <w:trHeight w:val="340"/>
          <w:jc w:val="center"/>
        </w:trPr>
        <w:tc>
          <w:tcPr>
            <w:tcW w:w="6232" w:type="dxa"/>
            <w:tcBorders>
              <w:bottom w:val="single" w:sz="4" w:space="0" w:color="D9D9D9" w:themeColor="background1" w:themeShade="D9"/>
            </w:tcBorders>
            <w:vAlign w:val="center"/>
          </w:tcPr>
          <w:p w14:paraId="4021DEA2" w14:textId="77777777" w:rsidR="0056738E" w:rsidRPr="00295155" w:rsidRDefault="0056738E" w:rsidP="007C2AEE">
            <w:pPr>
              <w:tabs>
                <w:tab w:val="left" w:pos="0"/>
                <w:tab w:val="right" w:pos="7560"/>
                <w:tab w:val="right" w:pos="9000"/>
              </w:tabs>
              <w:jc w:val="both"/>
              <w:rPr>
                <w:rFonts w:ascii="Arial" w:eastAsia="Batang" w:hAnsi="Arial" w:cs="Arial"/>
                <w:color w:val="262626"/>
                <w:sz w:val="18"/>
                <w:szCs w:val="18"/>
                <w:lang w:val="el-GR"/>
              </w:rPr>
            </w:pPr>
            <w:r>
              <w:rPr>
                <w:rFonts w:ascii="Arial" w:eastAsia="Batang" w:hAnsi="Arial" w:cs="Arial"/>
                <w:color w:val="262626"/>
                <w:sz w:val="18"/>
                <w:szCs w:val="18"/>
                <w:lang w:val="el-GR"/>
              </w:rPr>
              <w:t>Εναπομένουσα αναπροσαρμογή στην εύλογη αξία κατά την αρχική αναγνώριση δανείων και απαιτήσεων από πελάτες (ΜΕΔ) που κατέχονται προς πώληση (</w:t>
            </w:r>
            <w:r>
              <w:rPr>
                <w:rFonts w:ascii="Arial" w:eastAsia="Batang" w:hAnsi="Arial" w:cs="Arial"/>
                <w:i/>
                <w:iCs/>
                <w:color w:val="262626"/>
                <w:sz w:val="18"/>
                <w:szCs w:val="18"/>
                <w:lang w:val="el-GR"/>
              </w:rPr>
              <w:t>ως ο πίνακας 1 πιο πάνω</w:t>
            </w:r>
            <w:r>
              <w:rPr>
                <w:rFonts w:ascii="Arial" w:eastAsia="Batang" w:hAnsi="Arial" w:cs="Arial"/>
                <w:color w:val="262626"/>
                <w:sz w:val="18"/>
                <w:szCs w:val="18"/>
                <w:lang w:val="el-GR"/>
              </w:rPr>
              <w:t>)</w:t>
            </w:r>
          </w:p>
        </w:tc>
        <w:tc>
          <w:tcPr>
            <w:tcW w:w="1560" w:type="dxa"/>
            <w:tcBorders>
              <w:bottom w:val="single" w:sz="4" w:space="0" w:color="D9D9D9" w:themeColor="background1" w:themeShade="D9"/>
            </w:tcBorders>
            <w:shd w:val="clear" w:color="auto" w:fill="auto"/>
            <w:vAlign w:val="center"/>
          </w:tcPr>
          <w:p w14:paraId="6E66D2FA" w14:textId="77777777" w:rsidR="0056738E" w:rsidRPr="00E723B9" w:rsidRDefault="0056738E" w:rsidP="007C2AEE">
            <w:pPr>
              <w:tabs>
                <w:tab w:val="right" w:pos="7560"/>
                <w:tab w:val="right" w:pos="9000"/>
              </w:tabs>
              <w:ind w:left="-108"/>
              <w:jc w:val="right"/>
              <w:rPr>
                <w:rFonts w:ascii="Arial" w:hAnsi="Arial" w:cs="Arial"/>
                <w:b/>
                <w:bCs/>
                <w:sz w:val="18"/>
                <w:szCs w:val="18"/>
                <w:lang w:val="el-GR"/>
              </w:rPr>
            </w:pPr>
            <w:r>
              <w:rPr>
                <w:rFonts w:ascii="Arial" w:hAnsi="Arial" w:cs="Arial"/>
                <w:b/>
                <w:bCs/>
                <w:sz w:val="18"/>
                <w:szCs w:val="18"/>
              </w:rPr>
              <w:t>(789)</w:t>
            </w:r>
          </w:p>
        </w:tc>
        <w:tc>
          <w:tcPr>
            <w:tcW w:w="1425" w:type="dxa"/>
            <w:tcBorders>
              <w:bottom w:val="single" w:sz="4" w:space="0" w:color="D9D9D9" w:themeColor="background1" w:themeShade="D9"/>
            </w:tcBorders>
            <w:shd w:val="clear" w:color="auto" w:fill="auto"/>
            <w:vAlign w:val="center"/>
          </w:tcPr>
          <w:p w14:paraId="79B8B0C3" w14:textId="77777777" w:rsidR="0056738E" w:rsidRPr="00487C44" w:rsidRDefault="0056738E" w:rsidP="007C2AEE">
            <w:pPr>
              <w:tabs>
                <w:tab w:val="right" w:pos="7560"/>
                <w:tab w:val="right" w:pos="9000"/>
              </w:tabs>
              <w:ind w:left="-108"/>
              <w:jc w:val="right"/>
              <w:rPr>
                <w:rFonts w:ascii="Arial" w:hAnsi="Arial" w:cs="Arial"/>
                <w:sz w:val="18"/>
                <w:szCs w:val="18"/>
                <w:lang w:val="el-GR"/>
              </w:rPr>
            </w:pPr>
            <w:r>
              <w:rPr>
                <w:rFonts w:ascii="Arial" w:hAnsi="Arial" w:cs="Arial"/>
                <w:sz w:val="18"/>
                <w:szCs w:val="18"/>
                <w:lang w:val="en-GB"/>
              </w:rPr>
              <w:t>-</w:t>
            </w:r>
          </w:p>
        </w:tc>
      </w:tr>
      <w:tr w:rsidR="0056738E" w:rsidRPr="00EA064F" w14:paraId="2520179F" w14:textId="77777777" w:rsidTr="007C2AEE">
        <w:trPr>
          <w:trHeight w:val="340"/>
          <w:jc w:val="center"/>
        </w:trPr>
        <w:tc>
          <w:tcPr>
            <w:tcW w:w="6232" w:type="dxa"/>
            <w:tcBorders>
              <w:bottom w:val="single" w:sz="4" w:space="0" w:color="D9D9D9" w:themeColor="background1" w:themeShade="D9"/>
            </w:tcBorders>
            <w:vAlign w:val="center"/>
          </w:tcPr>
          <w:p w14:paraId="76358620" w14:textId="77777777" w:rsidR="0056738E" w:rsidRPr="00325113" w:rsidRDefault="0056738E" w:rsidP="007C2AEE">
            <w:pPr>
              <w:tabs>
                <w:tab w:val="left" w:pos="0"/>
                <w:tab w:val="right" w:pos="7560"/>
                <w:tab w:val="right" w:pos="9000"/>
              </w:tabs>
              <w:jc w:val="both"/>
              <w:rPr>
                <w:rFonts w:ascii="Arial" w:hAnsi="Arial" w:cs="Arial"/>
                <w:bCs/>
                <w:sz w:val="18"/>
                <w:szCs w:val="18"/>
                <w:lang w:val="el-GR"/>
              </w:rPr>
            </w:pPr>
            <w:proofErr w:type="spellStart"/>
            <w:r w:rsidRPr="00295155">
              <w:rPr>
                <w:rFonts w:ascii="Arial" w:eastAsia="Batang" w:hAnsi="Arial" w:cs="Arial"/>
                <w:color w:val="262626"/>
                <w:sz w:val="18"/>
                <w:szCs w:val="18"/>
                <w:lang w:val="el-GR"/>
              </w:rPr>
              <w:t>Απομειωμένα</w:t>
            </w:r>
            <w:proofErr w:type="spellEnd"/>
            <w:r w:rsidRPr="00295155">
              <w:rPr>
                <w:rFonts w:ascii="Arial" w:eastAsia="Batang" w:hAnsi="Arial" w:cs="Arial"/>
                <w:color w:val="262626"/>
                <w:sz w:val="18"/>
                <w:szCs w:val="18"/>
                <w:lang w:val="el-GR"/>
              </w:rPr>
              <w:t xml:space="preserve"> κατά την αρχική αναγνώριση (</w:t>
            </w:r>
            <w:r w:rsidRPr="00295155">
              <w:rPr>
                <w:rFonts w:ascii="Arial" w:eastAsia="Batang" w:hAnsi="Arial" w:cs="Arial"/>
                <w:color w:val="262626"/>
                <w:sz w:val="18"/>
                <w:szCs w:val="18"/>
              </w:rPr>
              <w:t>POCI</w:t>
            </w:r>
            <w:r w:rsidRPr="00295155">
              <w:rPr>
                <w:rFonts w:ascii="Arial" w:eastAsia="Batang" w:hAnsi="Arial" w:cs="Arial"/>
                <w:color w:val="262626"/>
                <w:sz w:val="18"/>
                <w:szCs w:val="18"/>
                <w:lang w:val="el-GR"/>
              </w:rPr>
              <w:t>)</w:t>
            </w:r>
            <w:r w:rsidRPr="00325113">
              <w:rPr>
                <w:rFonts w:ascii="Arial" w:hAnsi="Arial" w:cs="Arial"/>
                <w:sz w:val="18"/>
                <w:szCs w:val="18"/>
                <w:lang w:val="el-GR"/>
              </w:rPr>
              <w:t xml:space="preserve"> (ΜΕΔ) </w:t>
            </w:r>
            <w:r w:rsidRPr="00BB0E7C">
              <w:rPr>
                <w:rFonts w:ascii="Arial" w:hAnsi="Arial" w:cs="Arial"/>
                <w:i/>
                <w:sz w:val="18"/>
                <w:szCs w:val="18"/>
                <w:lang w:val="el-GR"/>
              </w:rPr>
              <w:t xml:space="preserve">(Σημ. </w:t>
            </w:r>
            <w:r w:rsidRPr="001C3AA9">
              <w:rPr>
                <w:rFonts w:ascii="Arial" w:hAnsi="Arial" w:cs="Arial"/>
                <w:i/>
                <w:sz w:val="18"/>
                <w:szCs w:val="18"/>
                <w:lang w:val="el-GR"/>
              </w:rPr>
              <w:t>1</w:t>
            </w:r>
            <w:r w:rsidRPr="00BB0E7C">
              <w:rPr>
                <w:rFonts w:ascii="Arial" w:hAnsi="Arial" w:cs="Arial"/>
                <w:i/>
                <w:sz w:val="18"/>
                <w:szCs w:val="18"/>
                <w:lang w:val="el-GR"/>
              </w:rPr>
              <w:t xml:space="preserve"> πιο κάτω)</w:t>
            </w:r>
          </w:p>
        </w:tc>
        <w:tc>
          <w:tcPr>
            <w:tcW w:w="1560" w:type="dxa"/>
            <w:tcBorders>
              <w:bottom w:val="single" w:sz="4" w:space="0" w:color="D9D9D9" w:themeColor="background1" w:themeShade="D9"/>
            </w:tcBorders>
            <w:shd w:val="clear" w:color="auto" w:fill="auto"/>
            <w:vAlign w:val="center"/>
          </w:tcPr>
          <w:p w14:paraId="7E67685E" w14:textId="77777777" w:rsidR="0056738E" w:rsidRPr="00E723B9" w:rsidRDefault="0056738E" w:rsidP="007C2AEE">
            <w:pPr>
              <w:tabs>
                <w:tab w:val="right" w:pos="7560"/>
                <w:tab w:val="right" w:pos="9000"/>
              </w:tabs>
              <w:ind w:left="-108"/>
              <w:jc w:val="right"/>
              <w:rPr>
                <w:rFonts w:ascii="Arial" w:hAnsi="Arial" w:cs="Arial"/>
                <w:b/>
                <w:bCs/>
                <w:sz w:val="18"/>
                <w:szCs w:val="18"/>
                <w:lang w:val="el-GR"/>
              </w:rPr>
            </w:pPr>
            <w:r>
              <w:rPr>
                <w:rFonts w:ascii="Arial" w:hAnsi="Arial" w:cs="Arial"/>
                <w:b/>
                <w:bCs/>
                <w:sz w:val="18"/>
                <w:szCs w:val="18"/>
              </w:rPr>
              <w:t>(38,004)</w:t>
            </w:r>
          </w:p>
        </w:tc>
        <w:tc>
          <w:tcPr>
            <w:tcW w:w="1425" w:type="dxa"/>
            <w:tcBorders>
              <w:bottom w:val="single" w:sz="4" w:space="0" w:color="D9D9D9" w:themeColor="background1" w:themeShade="D9"/>
            </w:tcBorders>
            <w:shd w:val="clear" w:color="auto" w:fill="auto"/>
            <w:vAlign w:val="center"/>
          </w:tcPr>
          <w:p w14:paraId="601BC9F8" w14:textId="77777777" w:rsidR="0056738E" w:rsidRPr="00EA064F" w:rsidRDefault="0056738E" w:rsidP="007C2AEE">
            <w:pPr>
              <w:tabs>
                <w:tab w:val="right" w:pos="7560"/>
                <w:tab w:val="right" w:pos="9000"/>
              </w:tabs>
              <w:ind w:left="-108"/>
              <w:jc w:val="right"/>
              <w:rPr>
                <w:rFonts w:ascii="Arial" w:hAnsi="Arial" w:cs="Arial"/>
                <w:bCs/>
                <w:sz w:val="18"/>
                <w:szCs w:val="18"/>
                <w:lang w:val="el-GR"/>
              </w:rPr>
            </w:pPr>
            <w:r w:rsidRPr="00487C44">
              <w:rPr>
                <w:rFonts w:ascii="Arial" w:hAnsi="Arial" w:cs="Arial"/>
                <w:sz w:val="18"/>
                <w:szCs w:val="18"/>
                <w:lang w:val="el-GR"/>
              </w:rPr>
              <w:t>(37,273)</w:t>
            </w:r>
          </w:p>
        </w:tc>
      </w:tr>
      <w:tr w:rsidR="0056738E" w:rsidRPr="00EA064F" w14:paraId="6398A724" w14:textId="77777777" w:rsidTr="007C2AEE">
        <w:trPr>
          <w:trHeight w:val="340"/>
          <w:jc w:val="center"/>
        </w:trPr>
        <w:tc>
          <w:tcPr>
            <w:tcW w:w="6232" w:type="dxa"/>
            <w:tcBorders>
              <w:bottom w:val="single" w:sz="4" w:space="0" w:color="D9D9D9" w:themeColor="background1" w:themeShade="D9"/>
            </w:tcBorders>
            <w:vAlign w:val="center"/>
          </w:tcPr>
          <w:p w14:paraId="5B36F126" w14:textId="77777777" w:rsidR="0056738E" w:rsidRPr="00284973" w:rsidRDefault="0056738E" w:rsidP="007C2AEE">
            <w:pPr>
              <w:tabs>
                <w:tab w:val="left" w:pos="0"/>
                <w:tab w:val="right" w:pos="7560"/>
                <w:tab w:val="right" w:pos="9000"/>
              </w:tabs>
              <w:jc w:val="both"/>
              <w:rPr>
                <w:rFonts w:ascii="Arial" w:hAnsi="Arial" w:cs="Arial"/>
                <w:bCs/>
                <w:sz w:val="18"/>
                <w:szCs w:val="18"/>
                <w:highlight w:val="yellow"/>
                <w:lang w:val="el-GR"/>
              </w:rPr>
            </w:pPr>
            <w:r w:rsidRPr="00284973">
              <w:rPr>
                <w:rFonts w:ascii="Arial" w:hAnsi="Arial" w:cs="Arial"/>
                <w:sz w:val="18"/>
                <w:szCs w:val="18"/>
                <w:lang w:val="el-GR"/>
              </w:rPr>
              <w:t>Εναπομ</w:t>
            </w:r>
            <w:r>
              <w:rPr>
                <w:rFonts w:ascii="Arial" w:hAnsi="Arial" w:cs="Arial"/>
                <w:sz w:val="18"/>
                <w:szCs w:val="18"/>
                <w:lang w:val="el-GR"/>
              </w:rPr>
              <w:t>έ</w:t>
            </w:r>
            <w:r w:rsidRPr="00284973">
              <w:rPr>
                <w:rFonts w:ascii="Arial" w:hAnsi="Arial" w:cs="Arial"/>
                <w:sz w:val="18"/>
                <w:szCs w:val="18"/>
                <w:lang w:val="el-GR"/>
              </w:rPr>
              <w:t xml:space="preserve">νουσα αναπροσαρμογή στην εύλογη αξία κατά την αρχική αναγνώριση σε δάνεια και απαιτήσεις από πελάτες (ΜΕΔ) </w:t>
            </w:r>
            <w:r>
              <w:rPr>
                <w:rFonts w:ascii="Arial" w:hAnsi="Arial" w:cs="Arial"/>
                <w:sz w:val="18"/>
                <w:szCs w:val="18"/>
                <w:lang w:val="el-GR"/>
              </w:rPr>
              <w:t>που κατηγοριοποιήθηκαν σε</w:t>
            </w:r>
            <w:r w:rsidRPr="00284973">
              <w:rPr>
                <w:rFonts w:ascii="Arial" w:hAnsi="Arial" w:cs="Arial"/>
                <w:sz w:val="18"/>
                <w:szCs w:val="18"/>
                <w:lang w:val="el-GR"/>
              </w:rPr>
              <w:t xml:space="preserve"> Στάδιο 3</w:t>
            </w:r>
            <w:r>
              <w:rPr>
                <w:rFonts w:ascii="Arial" w:hAnsi="Arial" w:cs="Arial"/>
                <w:sz w:val="18"/>
                <w:szCs w:val="18"/>
                <w:lang w:val="el-GR"/>
              </w:rPr>
              <w:t xml:space="preserve"> </w:t>
            </w:r>
            <w:r w:rsidRPr="003B435B">
              <w:rPr>
                <w:rFonts w:ascii="Arial" w:hAnsi="Arial" w:cs="Arial"/>
                <w:i/>
                <w:sz w:val="18"/>
                <w:szCs w:val="18"/>
                <w:lang w:val="el-GR"/>
              </w:rPr>
              <w:t>(Μέρος ΣΤ.5)</w:t>
            </w:r>
          </w:p>
        </w:tc>
        <w:tc>
          <w:tcPr>
            <w:tcW w:w="1560" w:type="dxa"/>
            <w:tcBorders>
              <w:top w:val="single" w:sz="4" w:space="0" w:color="D9D9D9" w:themeColor="background1" w:themeShade="D9"/>
              <w:bottom w:val="single" w:sz="6" w:space="0" w:color="auto"/>
            </w:tcBorders>
            <w:shd w:val="clear" w:color="auto" w:fill="auto"/>
            <w:vAlign w:val="center"/>
          </w:tcPr>
          <w:p w14:paraId="65CE1618" w14:textId="77777777" w:rsidR="0056738E" w:rsidRPr="00E723B9"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2,227</w:t>
            </w:r>
          </w:p>
        </w:tc>
        <w:tc>
          <w:tcPr>
            <w:tcW w:w="1425" w:type="dxa"/>
            <w:tcBorders>
              <w:top w:val="single" w:sz="4" w:space="0" w:color="D9D9D9" w:themeColor="background1" w:themeShade="D9"/>
              <w:bottom w:val="single" w:sz="6" w:space="0" w:color="auto"/>
            </w:tcBorders>
            <w:shd w:val="clear" w:color="auto" w:fill="auto"/>
            <w:vAlign w:val="center"/>
          </w:tcPr>
          <w:p w14:paraId="2E328803" w14:textId="77777777" w:rsidR="0056738E" w:rsidRPr="00EA064F" w:rsidRDefault="0056738E" w:rsidP="007C2AEE">
            <w:pPr>
              <w:tabs>
                <w:tab w:val="left" w:pos="0"/>
                <w:tab w:val="right" w:pos="7560"/>
                <w:tab w:val="right" w:pos="9000"/>
              </w:tabs>
              <w:jc w:val="right"/>
              <w:rPr>
                <w:rFonts w:ascii="Arial" w:hAnsi="Arial" w:cs="Arial"/>
                <w:bCs/>
                <w:sz w:val="18"/>
                <w:szCs w:val="18"/>
                <w:lang w:val="el-GR"/>
              </w:rPr>
            </w:pPr>
            <w:r w:rsidRPr="00487C44">
              <w:rPr>
                <w:rFonts w:ascii="Arial" w:hAnsi="Arial" w:cs="Arial"/>
                <w:sz w:val="18"/>
                <w:szCs w:val="18"/>
              </w:rPr>
              <w:t>(1,294)</w:t>
            </w:r>
          </w:p>
        </w:tc>
      </w:tr>
      <w:tr w:rsidR="0056738E" w:rsidRPr="00EA064F" w14:paraId="01F3DAFB" w14:textId="77777777" w:rsidTr="007C2AEE">
        <w:trPr>
          <w:trHeight w:val="340"/>
          <w:jc w:val="center"/>
        </w:trPr>
        <w:tc>
          <w:tcPr>
            <w:tcW w:w="6232" w:type="dxa"/>
            <w:tcBorders>
              <w:top w:val="single" w:sz="4" w:space="0" w:color="D9D9D9" w:themeColor="background1" w:themeShade="D9"/>
              <w:bottom w:val="single" w:sz="4" w:space="0" w:color="D9D9D9" w:themeColor="background1" w:themeShade="D9"/>
            </w:tcBorders>
            <w:vAlign w:val="center"/>
          </w:tcPr>
          <w:p w14:paraId="7250F7ED" w14:textId="77777777" w:rsidR="0056738E" w:rsidRPr="00325113" w:rsidRDefault="0056738E" w:rsidP="007C2AEE">
            <w:pPr>
              <w:tabs>
                <w:tab w:val="left" w:pos="0"/>
                <w:tab w:val="right" w:pos="7560"/>
                <w:tab w:val="right" w:pos="9000"/>
              </w:tabs>
              <w:jc w:val="both"/>
              <w:rPr>
                <w:rFonts w:ascii="Arial" w:hAnsi="Arial" w:cs="Arial"/>
                <w:b/>
                <w:sz w:val="18"/>
                <w:szCs w:val="18"/>
                <w:lang w:val="el-GR"/>
              </w:rPr>
            </w:pPr>
            <w:r w:rsidRPr="00325113">
              <w:rPr>
                <w:rFonts w:ascii="Arial" w:hAnsi="Arial" w:cs="Arial"/>
                <w:b/>
                <w:sz w:val="18"/>
                <w:szCs w:val="18"/>
                <w:lang w:val="el-GR"/>
              </w:rPr>
              <w:t xml:space="preserve">Μεικτά δάνεια και απαιτήσεις από πελάτες που επιμετρούνται σε αποσβεσμένο κόστος σε Στάδιο 3 </w:t>
            </w:r>
            <w:r>
              <w:rPr>
                <w:rFonts w:ascii="Arial" w:hAnsi="Arial" w:cs="Arial"/>
                <w:b/>
                <w:sz w:val="18"/>
                <w:szCs w:val="18"/>
                <w:lang w:val="el-GR"/>
              </w:rPr>
              <w:t>στο Μέρος ΣΤ.5</w:t>
            </w:r>
          </w:p>
        </w:tc>
        <w:tc>
          <w:tcPr>
            <w:tcW w:w="1560" w:type="dxa"/>
            <w:tcBorders>
              <w:top w:val="single" w:sz="6" w:space="0" w:color="auto"/>
              <w:bottom w:val="double" w:sz="6" w:space="0" w:color="auto"/>
            </w:tcBorders>
            <w:shd w:val="clear" w:color="auto" w:fill="auto"/>
            <w:vAlign w:val="center"/>
          </w:tcPr>
          <w:p w14:paraId="274435DC" w14:textId="77777777" w:rsidR="0056738E" w:rsidRPr="00E723B9"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210,719</w:t>
            </w:r>
          </w:p>
        </w:tc>
        <w:tc>
          <w:tcPr>
            <w:tcW w:w="1425" w:type="dxa"/>
            <w:tcBorders>
              <w:top w:val="single" w:sz="6" w:space="0" w:color="auto"/>
              <w:bottom w:val="double" w:sz="6" w:space="0" w:color="auto"/>
            </w:tcBorders>
            <w:shd w:val="clear" w:color="auto" w:fill="auto"/>
            <w:vAlign w:val="center"/>
          </w:tcPr>
          <w:p w14:paraId="7ED30F03" w14:textId="77777777" w:rsidR="0056738E" w:rsidRPr="00EA064F" w:rsidRDefault="0056738E" w:rsidP="007C2AEE">
            <w:pPr>
              <w:tabs>
                <w:tab w:val="left" w:pos="0"/>
                <w:tab w:val="right" w:pos="7560"/>
                <w:tab w:val="right" w:pos="9000"/>
              </w:tabs>
              <w:jc w:val="right"/>
              <w:rPr>
                <w:rFonts w:ascii="Arial" w:hAnsi="Arial" w:cs="Arial"/>
                <w:bCs/>
                <w:sz w:val="18"/>
                <w:szCs w:val="18"/>
                <w:lang w:val="el-GR"/>
              </w:rPr>
            </w:pPr>
            <w:r w:rsidRPr="00487C44">
              <w:rPr>
                <w:rFonts w:ascii="Arial" w:hAnsi="Arial" w:cs="Arial"/>
                <w:sz w:val="18"/>
                <w:szCs w:val="18"/>
              </w:rPr>
              <w:t>326,883</w:t>
            </w:r>
          </w:p>
        </w:tc>
      </w:tr>
      <w:tr w:rsidR="0056738E" w:rsidRPr="00D21776" w14:paraId="6B8EC080" w14:textId="77777777" w:rsidTr="007C2AEE">
        <w:trPr>
          <w:trHeight w:val="340"/>
          <w:jc w:val="center"/>
        </w:trPr>
        <w:tc>
          <w:tcPr>
            <w:tcW w:w="6232" w:type="dxa"/>
            <w:vAlign w:val="center"/>
          </w:tcPr>
          <w:p w14:paraId="03249073" w14:textId="77777777" w:rsidR="0056738E" w:rsidRPr="00325113" w:rsidRDefault="0056738E" w:rsidP="007C2AEE">
            <w:pPr>
              <w:tabs>
                <w:tab w:val="left" w:pos="0"/>
                <w:tab w:val="left" w:pos="360"/>
              </w:tabs>
              <w:jc w:val="both"/>
              <w:rPr>
                <w:rFonts w:ascii="Arial" w:hAnsi="Arial" w:cs="Arial"/>
                <w:b/>
                <w:color w:val="000000"/>
                <w:sz w:val="18"/>
                <w:szCs w:val="18"/>
                <w:lang w:val="el-GR"/>
              </w:rPr>
            </w:pPr>
            <w:r w:rsidRPr="00325113">
              <w:rPr>
                <w:rFonts w:ascii="Arial" w:hAnsi="Arial" w:cs="Arial"/>
                <w:b/>
                <w:color w:val="000000"/>
                <w:sz w:val="18"/>
                <w:szCs w:val="18"/>
                <w:lang w:val="el-GR"/>
              </w:rPr>
              <w:t>Ποσοστό</w:t>
            </w:r>
            <w:r>
              <w:rPr>
                <w:rFonts w:ascii="Arial" w:hAnsi="Arial" w:cs="Arial"/>
                <w:b/>
                <w:color w:val="000000"/>
                <w:sz w:val="18"/>
                <w:szCs w:val="18"/>
              </w:rPr>
              <w:t xml:space="preserve"> </w:t>
            </w:r>
            <w:r w:rsidRPr="006F5063">
              <w:rPr>
                <w:rFonts w:ascii="Arial" w:hAnsi="Arial" w:cs="Arial"/>
                <w:b/>
                <w:color w:val="000000"/>
                <w:sz w:val="18"/>
                <w:szCs w:val="18"/>
              </w:rPr>
              <w:t>δα</w:t>
            </w:r>
            <w:proofErr w:type="spellStart"/>
            <w:r w:rsidRPr="006F5063">
              <w:rPr>
                <w:rFonts w:ascii="Arial" w:hAnsi="Arial" w:cs="Arial"/>
                <w:b/>
                <w:color w:val="000000"/>
                <w:sz w:val="18"/>
                <w:szCs w:val="18"/>
              </w:rPr>
              <w:t>νείων</w:t>
            </w:r>
            <w:proofErr w:type="spellEnd"/>
            <w:r w:rsidRPr="006F5063">
              <w:rPr>
                <w:rFonts w:ascii="Arial" w:hAnsi="Arial" w:cs="Arial"/>
                <w:b/>
                <w:color w:val="000000"/>
                <w:sz w:val="18"/>
                <w:szCs w:val="18"/>
              </w:rPr>
              <w:t xml:space="preserve"> </w:t>
            </w:r>
            <w:proofErr w:type="spellStart"/>
            <w:r w:rsidRPr="006F5063">
              <w:rPr>
                <w:rFonts w:ascii="Arial" w:hAnsi="Arial" w:cs="Arial"/>
                <w:b/>
                <w:color w:val="000000"/>
                <w:sz w:val="18"/>
                <w:szCs w:val="18"/>
              </w:rPr>
              <w:t>σε</w:t>
            </w:r>
            <w:proofErr w:type="spellEnd"/>
            <w:r w:rsidRPr="00325113">
              <w:rPr>
                <w:rFonts w:ascii="Arial" w:hAnsi="Arial" w:cs="Arial"/>
                <w:b/>
                <w:color w:val="000000"/>
                <w:sz w:val="18"/>
                <w:szCs w:val="18"/>
                <w:lang w:val="el-GR"/>
              </w:rPr>
              <w:t xml:space="preserve"> ΜΕΔ</w:t>
            </w:r>
          </w:p>
        </w:tc>
        <w:tc>
          <w:tcPr>
            <w:tcW w:w="1560" w:type="dxa"/>
            <w:tcBorders>
              <w:top w:val="double" w:sz="6" w:space="0" w:color="auto"/>
            </w:tcBorders>
            <w:shd w:val="clear" w:color="auto" w:fill="auto"/>
            <w:vAlign w:val="center"/>
          </w:tcPr>
          <w:p w14:paraId="2CC64746" w14:textId="77777777" w:rsidR="0056738E" w:rsidRPr="00325113" w:rsidRDefault="0056738E" w:rsidP="007C2AEE">
            <w:pPr>
              <w:jc w:val="center"/>
              <w:rPr>
                <w:rFonts w:ascii="Arial" w:hAnsi="Arial" w:cs="Arial"/>
                <w:b/>
                <w:iCs/>
                <w:spacing w:val="-4"/>
                <w:sz w:val="18"/>
                <w:szCs w:val="18"/>
                <w:lang w:val="en-GB"/>
              </w:rPr>
            </w:pPr>
          </w:p>
        </w:tc>
        <w:tc>
          <w:tcPr>
            <w:tcW w:w="1425" w:type="dxa"/>
            <w:tcBorders>
              <w:top w:val="double" w:sz="6" w:space="0" w:color="auto"/>
            </w:tcBorders>
            <w:vAlign w:val="center"/>
          </w:tcPr>
          <w:p w14:paraId="4DA91B72" w14:textId="77777777" w:rsidR="0056738E" w:rsidRPr="00325113" w:rsidRDefault="0056738E" w:rsidP="007C2AEE">
            <w:pPr>
              <w:jc w:val="center"/>
              <w:rPr>
                <w:rFonts w:ascii="Arial" w:hAnsi="Arial" w:cs="Arial"/>
                <w:iCs/>
                <w:spacing w:val="-4"/>
                <w:sz w:val="18"/>
                <w:szCs w:val="18"/>
                <w:highlight w:val="yellow"/>
                <w:lang w:val="en-GB"/>
              </w:rPr>
            </w:pPr>
          </w:p>
        </w:tc>
      </w:tr>
      <w:tr w:rsidR="0056738E" w:rsidRPr="00EA064F" w14:paraId="25E305D6" w14:textId="77777777" w:rsidTr="007C2AEE">
        <w:trPr>
          <w:trHeight w:val="340"/>
          <w:jc w:val="center"/>
        </w:trPr>
        <w:tc>
          <w:tcPr>
            <w:tcW w:w="6232" w:type="dxa"/>
            <w:vAlign w:val="center"/>
          </w:tcPr>
          <w:p w14:paraId="5E7BD167" w14:textId="77777777" w:rsidR="0056738E" w:rsidRPr="00325113" w:rsidRDefault="0056738E" w:rsidP="007C2AEE">
            <w:pPr>
              <w:tabs>
                <w:tab w:val="left" w:pos="0"/>
                <w:tab w:val="right" w:pos="7560"/>
                <w:tab w:val="right" w:pos="9000"/>
              </w:tabs>
              <w:jc w:val="both"/>
              <w:rPr>
                <w:rFonts w:ascii="Arial" w:hAnsi="Arial" w:cs="Arial"/>
                <w:b/>
                <w:sz w:val="18"/>
                <w:szCs w:val="18"/>
                <w:lang w:val="el-GR"/>
              </w:rPr>
            </w:pPr>
            <w:r w:rsidRPr="00325113">
              <w:rPr>
                <w:rFonts w:ascii="Arial" w:hAnsi="Arial" w:cs="Arial"/>
                <w:sz w:val="18"/>
                <w:szCs w:val="18"/>
                <w:lang w:val="el-GR"/>
              </w:rPr>
              <w:t xml:space="preserve">ΜΕΔ </w:t>
            </w:r>
            <w:r w:rsidRPr="00325113">
              <w:rPr>
                <w:rFonts w:ascii="Arial" w:hAnsi="Arial" w:cs="Arial"/>
                <w:color w:val="000000"/>
                <w:sz w:val="18"/>
                <w:szCs w:val="18"/>
                <w:lang w:val="el-GR"/>
              </w:rPr>
              <w:t>(</w:t>
            </w:r>
            <w:r w:rsidRPr="00CB718B">
              <w:rPr>
                <w:rFonts w:ascii="Arial" w:hAnsi="Arial" w:cs="Arial"/>
                <w:i/>
                <w:iCs/>
                <w:color w:val="000000"/>
                <w:sz w:val="18"/>
                <w:szCs w:val="18"/>
                <w:lang w:val="el-GR"/>
              </w:rPr>
              <w:t>ως ο πίνακας πιο πάνω</w:t>
            </w:r>
            <w:r w:rsidRPr="00325113">
              <w:rPr>
                <w:rFonts w:ascii="Arial" w:hAnsi="Arial" w:cs="Arial"/>
                <w:color w:val="000000"/>
                <w:sz w:val="18"/>
                <w:szCs w:val="18"/>
                <w:lang w:val="el-GR"/>
              </w:rPr>
              <w:t>) (</w:t>
            </w:r>
            <w:r w:rsidRPr="00325113">
              <w:rPr>
                <w:rFonts w:ascii="Arial" w:hAnsi="Arial" w:cs="Arial"/>
                <w:sz w:val="18"/>
                <w:szCs w:val="18"/>
                <w:lang w:val="el-GR"/>
              </w:rPr>
              <w:t>€000)</w:t>
            </w:r>
          </w:p>
        </w:tc>
        <w:tc>
          <w:tcPr>
            <w:tcW w:w="1560" w:type="dxa"/>
            <w:shd w:val="clear" w:color="auto" w:fill="auto"/>
            <w:vAlign w:val="center"/>
          </w:tcPr>
          <w:p w14:paraId="4F1D53A1" w14:textId="77777777" w:rsidR="0056738E" w:rsidRPr="00E723B9"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273,853</w:t>
            </w:r>
          </w:p>
        </w:tc>
        <w:tc>
          <w:tcPr>
            <w:tcW w:w="1425" w:type="dxa"/>
            <w:shd w:val="clear" w:color="auto" w:fill="auto"/>
            <w:vAlign w:val="center"/>
          </w:tcPr>
          <w:p w14:paraId="331E20F4" w14:textId="77777777" w:rsidR="0056738E" w:rsidRPr="00407AEF" w:rsidRDefault="0056738E" w:rsidP="007C2AEE">
            <w:pPr>
              <w:tabs>
                <w:tab w:val="left" w:pos="0"/>
                <w:tab w:val="right" w:pos="7560"/>
                <w:tab w:val="right" w:pos="9000"/>
              </w:tabs>
              <w:jc w:val="right"/>
              <w:rPr>
                <w:rFonts w:ascii="Arial" w:hAnsi="Arial" w:cs="Arial"/>
                <w:bCs/>
                <w:sz w:val="18"/>
                <w:szCs w:val="18"/>
                <w:lang w:val="el-GR"/>
              </w:rPr>
            </w:pPr>
            <w:r w:rsidRPr="00487C44">
              <w:rPr>
                <w:rFonts w:ascii="Arial" w:hAnsi="Arial" w:cs="Arial"/>
                <w:sz w:val="18"/>
                <w:szCs w:val="18"/>
              </w:rPr>
              <w:t>365,450</w:t>
            </w:r>
          </w:p>
        </w:tc>
      </w:tr>
      <w:tr w:rsidR="0056738E" w:rsidRPr="00EA064F" w14:paraId="61D3313C" w14:textId="77777777" w:rsidTr="007C2AEE">
        <w:trPr>
          <w:trHeight w:val="340"/>
          <w:jc w:val="center"/>
        </w:trPr>
        <w:tc>
          <w:tcPr>
            <w:tcW w:w="6232" w:type="dxa"/>
            <w:tcBorders>
              <w:bottom w:val="single" w:sz="4" w:space="0" w:color="D9D9D9" w:themeColor="background1" w:themeShade="D9"/>
            </w:tcBorders>
            <w:vAlign w:val="center"/>
          </w:tcPr>
          <w:p w14:paraId="1163AA60" w14:textId="77777777" w:rsidR="0056738E" w:rsidRPr="00325113" w:rsidRDefault="0056738E" w:rsidP="007C2AEE">
            <w:pPr>
              <w:tabs>
                <w:tab w:val="left" w:pos="0"/>
                <w:tab w:val="right" w:pos="7560"/>
                <w:tab w:val="right" w:pos="9000"/>
              </w:tabs>
              <w:jc w:val="both"/>
              <w:rPr>
                <w:rFonts w:ascii="Arial" w:hAnsi="Arial" w:cs="Arial"/>
                <w:bCs/>
                <w:sz w:val="18"/>
                <w:szCs w:val="18"/>
                <w:lang w:val="el-GR"/>
              </w:rPr>
            </w:pPr>
            <w:r w:rsidRPr="00325113">
              <w:rPr>
                <w:rFonts w:ascii="Arial" w:hAnsi="Arial" w:cs="Arial"/>
                <w:sz w:val="18"/>
                <w:szCs w:val="18"/>
                <w:lang w:val="el-GR"/>
              </w:rPr>
              <w:t>Μεικτά δάνεια και απαιτήσεις από πελάτες (</w:t>
            </w:r>
            <w:r w:rsidRPr="00CB718B">
              <w:rPr>
                <w:rFonts w:ascii="Arial" w:hAnsi="Arial" w:cs="Arial"/>
                <w:i/>
                <w:iCs/>
                <w:sz w:val="18"/>
                <w:szCs w:val="18"/>
                <w:lang w:val="el-GR"/>
              </w:rPr>
              <w:t xml:space="preserve">ως ο πίνακας </w:t>
            </w:r>
            <w:r w:rsidRPr="00D17E65">
              <w:rPr>
                <w:rFonts w:ascii="Arial" w:hAnsi="Arial" w:cs="Arial"/>
                <w:i/>
                <w:iCs/>
                <w:sz w:val="18"/>
                <w:szCs w:val="18"/>
                <w:lang w:val="el-GR"/>
              </w:rPr>
              <w:t xml:space="preserve">1 </w:t>
            </w:r>
            <w:r w:rsidRPr="00CB718B">
              <w:rPr>
                <w:rFonts w:ascii="Arial" w:hAnsi="Arial" w:cs="Arial"/>
                <w:i/>
                <w:iCs/>
                <w:sz w:val="18"/>
                <w:szCs w:val="18"/>
                <w:lang w:val="el-GR"/>
              </w:rPr>
              <w:t>πιο πάνω</w:t>
            </w:r>
            <w:r w:rsidRPr="00325113">
              <w:rPr>
                <w:rFonts w:ascii="Arial" w:hAnsi="Arial" w:cs="Arial"/>
                <w:sz w:val="18"/>
                <w:szCs w:val="18"/>
                <w:lang w:val="el-GR"/>
              </w:rPr>
              <w:t>) (€000)</w:t>
            </w:r>
          </w:p>
        </w:tc>
        <w:tc>
          <w:tcPr>
            <w:tcW w:w="1560" w:type="dxa"/>
            <w:tcBorders>
              <w:bottom w:val="single" w:sz="4" w:space="0" w:color="D9D9D9" w:themeColor="background1" w:themeShade="D9"/>
            </w:tcBorders>
            <w:shd w:val="clear" w:color="auto" w:fill="auto"/>
            <w:vAlign w:val="center"/>
          </w:tcPr>
          <w:p w14:paraId="378BF13A" w14:textId="77777777" w:rsidR="0056738E" w:rsidRPr="00E723B9"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10,277,447</w:t>
            </w:r>
          </w:p>
        </w:tc>
        <w:tc>
          <w:tcPr>
            <w:tcW w:w="1425" w:type="dxa"/>
            <w:tcBorders>
              <w:bottom w:val="single" w:sz="4" w:space="0" w:color="D9D9D9" w:themeColor="background1" w:themeShade="D9"/>
            </w:tcBorders>
            <w:shd w:val="clear" w:color="auto" w:fill="auto"/>
            <w:vAlign w:val="center"/>
          </w:tcPr>
          <w:p w14:paraId="0EB21B6F" w14:textId="77777777" w:rsidR="0056738E" w:rsidRPr="00407AEF" w:rsidRDefault="0056738E" w:rsidP="007C2AEE">
            <w:pPr>
              <w:tabs>
                <w:tab w:val="left" w:pos="0"/>
                <w:tab w:val="right" w:pos="7560"/>
                <w:tab w:val="right" w:pos="9000"/>
              </w:tabs>
              <w:jc w:val="right"/>
              <w:rPr>
                <w:rFonts w:ascii="Arial" w:hAnsi="Arial" w:cs="Arial"/>
                <w:bCs/>
                <w:sz w:val="18"/>
                <w:szCs w:val="18"/>
                <w:lang w:val="el-GR"/>
              </w:rPr>
            </w:pPr>
            <w:r w:rsidRPr="00487C44">
              <w:rPr>
                <w:rFonts w:ascii="Arial" w:hAnsi="Arial" w:cs="Arial"/>
                <w:sz w:val="18"/>
                <w:szCs w:val="18"/>
              </w:rPr>
              <w:t>10,069,828</w:t>
            </w:r>
          </w:p>
        </w:tc>
      </w:tr>
      <w:tr w:rsidR="0056738E" w:rsidRPr="00D21776" w14:paraId="75F25C42" w14:textId="77777777" w:rsidTr="007C2AEE">
        <w:trPr>
          <w:trHeight w:val="340"/>
          <w:jc w:val="center"/>
        </w:trPr>
        <w:tc>
          <w:tcPr>
            <w:tcW w:w="6232" w:type="dxa"/>
            <w:tcBorders>
              <w:bottom w:val="single" w:sz="4" w:space="0" w:color="D9D9D9" w:themeColor="background1" w:themeShade="D9"/>
            </w:tcBorders>
            <w:vAlign w:val="center"/>
          </w:tcPr>
          <w:p w14:paraId="7E14C8AC" w14:textId="77777777" w:rsidR="0056738E" w:rsidRPr="00325113" w:rsidRDefault="0056738E" w:rsidP="007C2AEE">
            <w:pPr>
              <w:tabs>
                <w:tab w:val="left" w:pos="0"/>
                <w:tab w:val="right" w:pos="7560"/>
                <w:tab w:val="right" w:pos="9000"/>
              </w:tabs>
              <w:jc w:val="both"/>
              <w:rPr>
                <w:rFonts w:ascii="Arial" w:hAnsi="Arial" w:cs="Arial"/>
                <w:sz w:val="18"/>
                <w:szCs w:val="18"/>
                <w:lang w:val="el-GR"/>
              </w:rPr>
            </w:pPr>
            <w:r w:rsidRPr="00325113">
              <w:rPr>
                <w:rFonts w:ascii="Arial" w:hAnsi="Arial" w:cs="Arial"/>
                <w:sz w:val="18"/>
                <w:szCs w:val="18"/>
                <w:lang w:val="el-GR"/>
              </w:rPr>
              <w:t>Δείκτης ΜΕΔ/Μεικτά δάνεια (%)</w:t>
            </w:r>
          </w:p>
        </w:tc>
        <w:tc>
          <w:tcPr>
            <w:tcW w:w="1560" w:type="dxa"/>
            <w:tcBorders>
              <w:bottom w:val="single" w:sz="4" w:space="0" w:color="D9D9D9" w:themeColor="background1" w:themeShade="D9"/>
            </w:tcBorders>
            <w:shd w:val="clear" w:color="auto" w:fill="auto"/>
            <w:vAlign w:val="center"/>
          </w:tcPr>
          <w:p w14:paraId="7E6374AD" w14:textId="77777777" w:rsidR="0056738E" w:rsidRPr="00910686" w:rsidRDefault="0056738E" w:rsidP="007C2AEE">
            <w:pPr>
              <w:tabs>
                <w:tab w:val="right" w:pos="7560"/>
                <w:tab w:val="right" w:pos="9000"/>
              </w:tabs>
              <w:ind w:left="-108"/>
              <w:jc w:val="right"/>
              <w:rPr>
                <w:rFonts w:ascii="Arial" w:hAnsi="Arial" w:cs="Arial"/>
                <w:b/>
                <w:bCs/>
                <w:sz w:val="18"/>
                <w:szCs w:val="18"/>
                <w:lang w:val="el-GR"/>
              </w:rPr>
            </w:pPr>
            <w:r>
              <w:rPr>
                <w:rFonts w:ascii="Arial" w:hAnsi="Arial" w:cs="Arial"/>
                <w:b/>
                <w:bCs/>
                <w:sz w:val="18"/>
                <w:szCs w:val="18"/>
                <w:lang w:val="en-GB"/>
              </w:rPr>
              <w:t>2.7%</w:t>
            </w:r>
          </w:p>
        </w:tc>
        <w:tc>
          <w:tcPr>
            <w:tcW w:w="1425" w:type="dxa"/>
            <w:tcBorders>
              <w:bottom w:val="single" w:sz="4" w:space="0" w:color="D9D9D9" w:themeColor="background1" w:themeShade="D9"/>
            </w:tcBorders>
            <w:shd w:val="clear" w:color="auto" w:fill="auto"/>
            <w:vAlign w:val="center"/>
          </w:tcPr>
          <w:p w14:paraId="48801D57" w14:textId="77777777" w:rsidR="0056738E" w:rsidRPr="00407AEF" w:rsidRDefault="0056738E" w:rsidP="007C2AEE">
            <w:pPr>
              <w:tabs>
                <w:tab w:val="right" w:pos="7560"/>
                <w:tab w:val="right" w:pos="9000"/>
              </w:tabs>
              <w:ind w:left="-108"/>
              <w:jc w:val="right"/>
              <w:rPr>
                <w:rFonts w:ascii="Arial" w:hAnsi="Arial" w:cs="Arial"/>
                <w:bCs/>
                <w:sz w:val="18"/>
                <w:szCs w:val="18"/>
              </w:rPr>
            </w:pPr>
            <w:r w:rsidRPr="00487C44">
              <w:rPr>
                <w:rFonts w:ascii="Arial" w:hAnsi="Arial" w:cs="Arial"/>
                <w:sz w:val="18"/>
                <w:szCs w:val="18"/>
              </w:rPr>
              <w:t>3.6%</w:t>
            </w:r>
          </w:p>
        </w:tc>
      </w:tr>
    </w:tbl>
    <w:p w14:paraId="6DCA3F05" w14:textId="77777777" w:rsidR="0056738E" w:rsidRDefault="0056738E" w:rsidP="0056738E">
      <w:pPr>
        <w:shd w:val="clear" w:color="auto" w:fill="FFFFFF"/>
        <w:suppressAutoHyphens/>
        <w:spacing w:after="0" w:line="240" w:lineRule="auto"/>
        <w:ind w:left="142"/>
        <w:jc w:val="both"/>
        <w:rPr>
          <w:rFonts w:ascii="Arial" w:hAnsi="Arial" w:cs="Arial"/>
          <w:b/>
          <w:color w:val="262626"/>
          <w:sz w:val="18"/>
          <w:szCs w:val="18"/>
          <w:u w:val="single"/>
          <w:lang w:val="el-GR"/>
        </w:rPr>
      </w:pPr>
    </w:p>
    <w:tbl>
      <w:tblPr>
        <w:tblStyle w:val="TableGrid13"/>
        <w:tblW w:w="9217"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32"/>
        <w:gridCol w:w="1568"/>
        <w:gridCol w:w="1417"/>
      </w:tblGrid>
      <w:tr w:rsidR="0056738E" w:rsidRPr="005B05F8" w14:paraId="1C80C021" w14:textId="77777777" w:rsidTr="007C2AEE">
        <w:trPr>
          <w:trHeight w:val="283"/>
          <w:jc w:val="center"/>
        </w:trPr>
        <w:tc>
          <w:tcPr>
            <w:tcW w:w="6232" w:type="dxa"/>
            <w:vAlign w:val="center"/>
          </w:tcPr>
          <w:p w14:paraId="02E08427" w14:textId="77777777" w:rsidR="0056738E" w:rsidRPr="005B05F8" w:rsidRDefault="0056738E" w:rsidP="007C2AEE">
            <w:pPr>
              <w:tabs>
                <w:tab w:val="left" w:pos="0"/>
                <w:tab w:val="left" w:pos="360"/>
              </w:tabs>
              <w:rPr>
                <w:rFonts w:ascii="Verdana" w:hAnsi="Verdana" w:cs="ArialMT"/>
                <w:b/>
                <w:sz w:val="18"/>
                <w:szCs w:val="18"/>
              </w:rPr>
            </w:pPr>
            <w:r w:rsidRPr="00D17E65">
              <w:rPr>
                <w:rFonts w:ascii="Arial" w:eastAsia="Times New Roman" w:hAnsi="Arial" w:cs="Arial"/>
                <w:b/>
                <w:sz w:val="18"/>
                <w:szCs w:val="18"/>
                <w:lang w:val="el-GR"/>
              </w:rPr>
              <w:t>Δείκτης κάλυψης ΜΕΔ</w:t>
            </w:r>
            <w:r w:rsidRPr="005B05F8">
              <w:rPr>
                <w:rFonts w:ascii="Verdana" w:hAnsi="Verdana" w:cs="ArialMT"/>
                <w:b/>
                <w:sz w:val="18"/>
                <w:szCs w:val="18"/>
              </w:rPr>
              <w:t xml:space="preserve"> </w:t>
            </w:r>
          </w:p>
        </w:tc>
        <w:tc>
          <w:tcPr>
            <w:tcW w:w="1568" w:type="dxa"/>
            <w:shd w:val="clear" w:color="auto" w:fill="auto"/>
            <w:vAlign w:val="center"/>
          </w:tcPr>
          <w:p w14:paraId="7A3A7DD8" w14:textId="77777777" w:rsidR="0056738E" w:rsidRPr="005B05F8" w:rsidRDefault="0056738E" w:rsidP="007C2AEE">
            <w:pPr>
              <w:ind w:left="-134" w:right="-186"/>
              <w:jc w:val="center"/>
              <w:rPr>
                <w:rFonts w:ascii="Verdana" w:hAnsi="Verdana" w:cs="Arial"/>
                <w:b/>
                <w:sz w:val="18"/>
                <w:szCs w:val="18"/>
              </w:rPr>
            </w:pPr>
            <w:r w:rsidRPr="00331BC0">
              <w:rPr>
                <w:rFonts w:ascii="Arial" w:hAnsi="Arial" w:cs="Arial"/>
                <w:b/>
                <w:sz w:val="18"/>
                <w:szCs w:val="18"/>
                <w:lang w:val="el-GR"/>
              </w:rPr>
              <w:t xml:space="preserve">30 Σεπτεμβρίου </w:t>
            </w:r>
            <w:r w:rsidRPr="005D5D89">
              <w:rPr>
                <w:rFonts w:ascii="Arial" w:hAnsi="Arial" w:cs="Arial"/>
                <w:b/>
                <w:sz w:val="18"/>
                <w:szCs w:val="18"/>
                <w:lang w:val="el-GR"/>
              </w:rPr>
              <w:t>202</w:t>
            </w:r>
            <w:r>
              <w:rPr>
                <w:rFonts w:ascii="Arial" w:hAnsi="Arial" w:cs="Arial"/>
                <w:b/>
                <w:sz w:val="18"/>
                <w:szCs w:val="18"/>
                <w:lang w:val="el-GR"/>
              </w:rPr>
              <w:t>4</w:t>
            </w:r>
          </w:p>
        </w:tc>
        <w:tc>
          <w:tcPr>
            <w:tcW w:w="1417" w:type="dxa"/>
            <w:vAlign w:val="center"/>
          </w:tcPr>
          <w:p w14:paraId="30FAB1B8" w14:textId="77777777" w:rsidR="0056738E" w:rsidRPr="00407AEF" w:rsidRDefault="0056738E" w:rsidP="007C2AEE">
            <w:pPr>
              <w:jc w:val="center"/>
              <w:rPr>
                <w:rFonts w:ascii="Arial" w:hAnsi="Arial" w:cs="Arial"/>
                <w:iCs/>
                <w:spacing w:val="-4"/>
                <w:sz w:val="18"/>
                <w:szCs w:val="18"/>
                <w:lang w:val="el-GR"/>
              </w:rPr>
            </w:pPr>
            <w:r w:rsidRPr="00407AEF">
              <w:rPr>
                <w:rFonts w:ascii="Arial" w:hAnsi="Arial" w:cs="Arial"/>
                <w:sz w:val="18"/>
                <w:szCs w:val="18"/>
                <w:lang w:val="el-GR"/>
              </w:rPr>
              <w:t xml:space="preserve">31 Δεκεμβρίου </w:t>
            </w:r>
            <w:r w:rsidRPr="00407AEF">
              <w:rPr>
                <w:rFonts w:ascii="Arial" w:hAnsi="Arial" w:cs="Arial"/>
                <w:sz w:val="18"/>
                <w:szCs w:val="18"/>
              </w:rPr>
              <w:t>202</w:t>
            </w:r>
            <w:r w:rsidRPr="00407AEF">
              <w:rPr>
                <w:rFonts w:ascii="Arial" w:hAnsi="Arial" w:cs="Arial"/>
                <w:sz w:val="18"/>
                <w:szCs w:val="18"/>
                <w:lang w:val="el-GR"/>
              </w:rPr>
              <w:t>3</w:t>
            </w:r>
          </w:p>
        </w:tc>
      </w:tr>
      <w:tr w:rsidR="0056738E" w:rsidRPr="005B05F8" w14:paraId="5F89A94D" w14:textId="77777777" w:rsidTr="007C2AEE">
        <w:trPr>
          <w:trHeight w:val="283"/>
          <w:jc w:val="center"/>
        </w:trPr>
        <w:tc>
          <w:tcPr>
            <w:tcW w:w="6232" w:type="dxa"/>
            <w:vAlign w:val="center"/>
          </w:tcPr>
          <w:p w14:paraId="12577521" w14:textId="77777777" w:rsidR="0056738E" w:rsidRPr="00D17E65" w:rsidRDefault="0056738E" w:rsidP="007C2AEE">
            <w:pPr>
              <w:tabs>
                <w:tab w:val="left" w:pos="0"/>
                <w:tab w:val="left" w:pos="360"/>
              </w:tabs>
              <w:rPr>
                <w:rFonts w:ascii="Arial" w:eastAsia="Times New Roman" w:hAnsi="Arial" w:cs="Arial"/>
                <w:sz w:val="18"/>
                <w:szCs w:val="18"/>
                <w:lang w:val="el-GR"/>
              </w:rPr>
            </w:pPr>
            <w:r w:rsidRPr="00D17E65">
              <w:rPr>
                <w:rFonts w:ascii="Arial" w:eastAsia="Times New Roman" w:hAnsi="Arial" w:cs="Arial"/>
                <w:sz w:val="18"/>
                <w:szCs w:val="18"/>
                <w:lang w:val="el-GR"/>
              </w:rPr>
              <w:t>Αναμενόμενες πιστωτικές ζημιές δανείων και απαιτήσεων από πελάτες (</w:t>
            </w:r>
            <w:r w:rsidRPr="00D17E65">
              <w:rPr>
                <w:rFonts w:ascii="Arial" w:eastAsia="Times New Roman" w:hAnsi="Arial" w:cs="Arial"/>
                <w:i/>
                <w:iCs/>
                <w:sz w:val="18"/>
                <w:szCs w:val="18"/>
                <w:lang w:val="el-GR"/>
              </w:rPr>
              <w:t>ως ο πίνακας 2 πιο πάνω</w:t>
            </w:r>
            <w:r w:rsidRPr="00D17E65">
              <w:rPr>
                <w:rFonts w:ascii="Arial" w:eastAsia="Times New Roman" w:hAnsi="Arial" w:cs="Arial"/>
                <w:sz w:val="18"/>
                <w:szCs w:val="18"/>
                <w:lang w:val="el-GR"/>
              </w:rPr>
              <w:t>) (€000)</w:t>
            </w:r>
          </w:p>
        </w:tc>
        <w:tc>
          <w:tcPr>
            <w:tcW w:w="1568" w:type="dxa"/>
            <w:shd w:val="clear" w:color="auto" w:fill="auto"/>
            <w:vAlign w:val="center"/>
          </w:tcPr>
          <w:p w14:paraId="40351CE0" w14:textId="77777777" w:rsidR="0056738E" w:rsidRPr="00662450" w:rsidRDefault="0056738E" w:rsidP="007C2AEE">
            <w:pPr>
              <w:ind w:left="-134"/>
              <w:jc w:val="right"/>
              <w:rPr>
                <w:rFonts w:ascii="Verdana" w:hAnsi="Verdana" w:cs="Arial"/>
                <w:b/>
                <w:sz w:val="18"/>
                <w:szCs w:val="18"/>
                <w:lang w:val="el-GR"/>
              </w:rPr>
            </w:pPr>
            <w:r>
              <w:rPr>
                <w:rFonts w:ascii="Arial" w:hAnsi="Arial" w:cs="Arial"/>
                <w:b/>
                <w:sz w:val="18"/>
                <w:szCs w:val="18"/>
              </w:rPr>
              <w:t>251,721</w:t>
            </w:r>
          </w:p>
        </w:tc>
        <w:tc>
          <w:tcPr>
            <w:tcW w:w="1417" w:type="dxa"/>
            <w:shd w:val="clear" w:color="auto" w:fill="auto"/>
            <w:vAlign w:val="center"/>
          </w:tcPr>
          <w:p w14:paraId="50A18575" w14:textId="77777777" w:rsidR="0056738E" w:rsidRPr="00407AEF" w:rsidRDefault="0056738E" w:rsidP="007C2AEE">
            <w:pPr>
              <w:ind w:left="-110"/>
              <w:jc w:val="right"/>
              <w:rPr>
                <w:rFonts w:ascii="Arial" w:hAnsi="Arial" w:cs="Arial"/>
                <w:bCs/>
                <w:sz w:val="18"/>
                <w:szCs w:val="18"/>
              </w:rPr>
            </w:pPr>
            <w:r w:rsidRPr="00487C44">
              <w:rPr>
                <w:rFonts w:ascii="Arial" w:hAnsi="Arial" w:cs="Arial"/>
                <w:bCs/>
                <w:sz w:val="18"/>
                <w:szCs w:val="18"/>
              </w:rPr>
              <w:t>267,232</w:t>
            </w:r>
          </w:p>
        </w:tc>
      </w:tr>
      <w:tr w:rsidR="0056738E" w:rsidRPr="005B05F8" w14:paraId="65B76618" w14:textId="77777777" w:rsidTr="007C2AEE">
        <w:trPr>
          <w:trHeight w:val="283"/>
          <w:jc w:val="center"/>
        </w:trPr>
        <w:tc>
          <w:tcPr>
            <w:tcW w:w="6232" w:type="dxa"/>
            <w:vAlign w:val="center"/>
          </w:tcPr>
          <w:p w14:paraId="3F30D9F8" w14:textId="77777777" w:rsidR="0056738E" w:rsidRPr="00D17E65" w:rsidRDefault="0056738E" w:rsidP="007C2AEE">
            <w:pPr>
              <w:tabs>
                <w:tab w:val="left" w:pos="0"/>
                <w:tab w:val="right" w:pos="7560"/>
                <w:tab w:val="right" w:pos="9000"/>
              </w:tabs>
              <w:rPr>
                <w:rFonts w:ascii="Arial" w:eastAsia="Times New Roman" w:hAnsi="Arial" w:cs="Arial"/>
                <w:sz w:val="18"/>
                <w:szCs w:val="18"/>
                <w:lang w:val="el-GR"/>
              </w:rPr>
            </w:pPr>
            <w:r w:rsidRPr="00D17E65">
              <w:rPr>
                <w:rFonts w:ascii="Arial" w:eastAsia="Times New Roman" w:hAnsi="Arial" w:cs="Arial"/>
                <w:sz w:val="18"/>
                <w:szCs w:val="18"/>
                <w:lang w:val="el-GR"/>
              </w:rPr>
              <w:t>ΜΕΔ (</w:t>
            </w:r>
            <w:r w:rsidRPr="00D17E65">
              <w:rPr>
                <w:rFonts w:ascii="Arial" w:eastAsia="Times New Roman" w:hAnsi="Arial" w:cs="Arial"/>
                <w:i/>
                <w:iCs/>
                <w:sz w:val="18"/>
                <w:szCs w:val="18"/>
                <w:lang w:val="el-GR"/>
              </w:rPr>
              <w:t>ως ο πίνακας πιο πάνω</w:t>
            </w:r>
            <w:r w:rsidRPr="00D17E65">
              <w:rPr>
                <w:rFonts w:ascii="Arial" w:eastAsia="Times New Roman" w:hAnsi="Arial" w:cs="Arial"/>
                <w:sz w:val="18"/>
                <w:szCs w:val="18"/>
                <w:lang w:val="el-GR"/>
              </w:rPr>
              <w:t>) (€000)</w:t>
            </w:r>
          </w:p>
        </w:tc>
        <w:tc>
          <w:tcPr>
            <w:tcW w:w="1568" w:type="dxa"/>
            <w:shd w:val="clear" w:color="auto" w:fill="auto"/>
            <w:vAlign w:val="center"/>
          </w:tcPr>
          <w:p w14:paraId="5026E79E" w14:textId="77777777" w:rsidR="0056738E" w:rsidRPr="00662450" w:rsidRDefault="0056738E" w:rsidP="007C2AEE">
            <w:pPr>
              <w:tabs>
                <w:tab w:val="right" w:pos="7560"/>
                <w:tab w:val="right" w:pos="9000"/>
              </w:tabs>
              <w:ind w:left="325" w:right="-127"/>
              <w:jc w:val="center"/>
              <w:rPr>
                <w:rFonts w:ascii="Verdana" w:hAnsi="Verdana" w:cs="Arial"/>
                <w:b/>
                <w:bCs/>
                <w:sz w:val="18"/>
                <w:szCs w:val="18"/>
                <w:lang w:val="el-GR"/>
              </w:rPr>
            </w:pPr>
            <w:r w:rsidRPr="00A03828">
              <w:rPr>
                <w:rFonts w:ascii="Arial" w:hAnsi="Arial" w:cs="Arial"/>
                <w:b/>
                <w:bCs/>
                <w:sz w:val="18"/>
                <w:szCs w:val="18"/>
                <w:lang w:val="el-GR"/>
              </w:rPr>
              <w:t xml:space="preserve">     </w:t>
            </w:r>
            <w:r>
              <w:rPr>
                <w:rFonts w:ascii="Arial" w:hAnsi="Arial" w:cs="Arial"/>
                <w:b/>
                <w:bCs/>
                <w:sz w:val="18"/>
                <w:szCs w:val="18"/>
              </w:rPr>
              <w:t>273,853</w:t>
            </w:r>
          </w:p>
        </w:tc>
        <w:tc>
          <w:tcPr>
            <w:tcW w:w="1417" w:type="dxa"/>
            <w:shd w:val="clear" w:color="auto" w:fill="auto"/>
            <w:vAlign w:val="center"/>
          </w:tcPr>
          <w:p w14:paraId="7F908125" w14:textId="77777777" w:rsidR="0056738E" w:rsidRPr="00407AEF" w:rsidRDefault="0056738E" w:rsidP="007C2AEE">
            <w:pPr>
              <w:tabs>
                <w:tab w:val="left" w:pos="0"/>
                <w:tab w:val="right" w:pos="7560"/>
                <w:tab w:val="right" w:pos="9000"/>
              </w:tabs>
              <w:jc w:val="right"/>
              <w:rPr>
                <w:rFonts w:ascii="Arial" w:hAnsi="Arial" w:cs="Arial"/>
                <w:bCs/>
                <w:sz w:val="18"/>
                <w:szCs w:val="18"/>
              </w:rPr>
            </w:pPr>
            <w:r w:rsidRPr="00487C44">
              <w:rPr>
                <w:rFonts w:ascii="Arial" w:hAnsi="Arial" w:cs="Arial"/>
                <w:bCs/>
                <w:sz w:val="18"/>
                <w:szCs w:val="18"/>
              </w:rPr>
              <w:t>365,450</w:t>
            </w:r>
          </w:p>
        </w:tc>
      </w:tr>
      <w:tr w:rsidR="0056738E" w:rsidRPr="005B05F8" w14:paraId="773AD60F" w14:textId="77777777" w:rsidTr="007C2AEE">
        <w:trPr>
          <w:trHeight w:val="283"/>
          <w:jc w:val="center"/>
        </w:trPr>
        <w:tc>
          <w:tcPr>
            <w:tcW w:w="6232" w:type="dxa"/>
            <w:vAlign w:val="center"/>
          </w:tcPr>
          <w:p w14:paraId="47D49816" w14:textId="77777777" w:rsidR="0056738E" w:rsidRPr="00D17E65" w:rsidRDefault="0056738E" w:rsidP="007C2AEE">
            <w:pPr>
              <w:tabs>
                <w:tab w:val="left" w:pos="0"/>
                <w:tab w:val="right" w:pos="7560"/>
                <w:tab w:val="right" w:pos="9000"/>
              </w:tabs>
              <w:rPr>
                <w:rFonts w:ascii="Arial" w:eastAsia="Times New Roman" w:hAnsi="Arial" w:cs="Arial"/>
                <w:sz w:val="18"/>
                <w:szCs w:val="18"/>
                <w:lang w:val="el-GR"/>
              </w:rPr>
            </w:pPr>
            <w:r w:rsidRPr="00D17E65">
              <w:rPr>
                <w:rFonts w:ascii="Arial" w:eastAsia="Times New Roman" w:hAnsi="Arial" w:cs="Arial"/>
                <w:sz w:val="18"/>
                <w:szCs w:val="18"/>
                <w:lang w:val="el-GR"/>
              </w:rPr>
              <w:t xml:space="preserve">Δείκτης Κάλυψης ΜΕΔ (%) </w:t>
            </w:r>
          </w:p>
        </w:tc>
        <w:tc>
          <w:tcPr>
            <w:tcW w:w="1568" w:type="dxa"/>
            <w:shd w:val="clear" w:color="auto" w:fill="auto"/>
            <w:vAlign w:val="center"/>
          </w:tcPr>
          <w:p w14:paraId="41DB5703" w14:textId="77777777" w:rsidR="0056738E" w:rsidRPr="005B05F8" w:rsidRDefault="0056738E" w:rsidP="007C2AEE">
            <w:pPr>
              <w:tabs>
                <w:tab w:val="right" w:pos="7560"/>
                <w:tab w:val="right" w:pos="9000"/>
              </w:tabs>
              <w:ind w:left="-121"/>
              <w:jc w:val="right"/>
              <w:rPr>
                <w:rFonts w:ascii="Verdana" w:hAnsi="Verdana" w:cs="Arial"/>
                <w:b/>
                <w:bCs/>
                <w:sz w:val="18"/>
                <w:szCs w:val="18"/>
              </w:rPr>
            </w:pPr>
            <w:r>
              <w:rPr>
                <w:rFonts w:ascii="Arial" w:hAnsi="Arial" w:cs="Arial"/>
                <w:b/>
                <w:bCs/>
                <w:sz w:val="18"/>
                <w:szCs w:val="18"/>
              </w:rPr>
              <w:t>92%</w:t>
            </w:r>
          </w:p>
        </w:tc>
        <w:tc>
          <w:tcPr>
            <w:tcW w:w="1417" w:type="dxa"/>
            <w:shd w:val="clear" w:color="auto" w:fill="auto"/>
            <w:vAlign w:val="center"/>
          </w:tcPr>
          <w:p w14:paraId="16A5F1D2" w14:textId="77777777" w:rsidR="0056738E" w:rsidRPr="00407AEF" w:rsidRDefault="0056738E" w:rsidP="007C2AEE">
            <w:pPr>
              <w:tabs>
                <w:tab w:val="left" w:pos="0"/>
                <w:tab w:val="right" w:pos="7560"/>
                <w:tab w:val="right" w:pos="9000"/>
              </w:tabs>
              <w:jc w:val="right"/>
              <w:rPr>
                <w:rFonts w:ascii="Arial" w:hAnsi="Arial" w:cs="Arial"/>
                <w:bCs/>
                <w:sz w:val="18"/>
                <w:szCs w:val="18"/>
              </w:rPr>
            </w:pPr>
            <w:r w:rsidRPr="00487C44">
              <w:rPr>
                <w:rFonts w:ascii="Arial" w:hAnsi="Arial" w:cs="Arial"/>
                <w:bCs/>
                <w:sz w:val="18"/>
                <w:szCs w:val="18"/>
              </w:rPr>
              <w:t>73%</w:t>
            </w:r>
          </w:p>
        </w:tc>
      </w:tr>
    </w:tbl>
    <w:p w14:paraId="2732F64F" w14:textId="77777777" w:rsidR="0056738E" w:rsidRDefault="0056738E" w:rsidP="0056738E">
      <w:pPr>
        <w:shd w:val="clear" w:color="auto" w:fill="FFFFFF"/>
        <w:suppressAutoHyphens/>
        <w:spacing w:after="0" w:line="240" w:lineRule="auto"/>
        <w:ind w:left="142"/>
        <w:jc w:val="both"/>
        <w:rPr>
          <w:rFonts w:ascii="Arial" w:hAnsi="Arial" w:cs="Arial"/>
          <w:b/>
          <w:color w:val="262626"/>
          <w:sz w:val="18"/>
          <w:szCs w:val="18"/>
          <w:u w:val="single"/>
          <w:lang w:val="el-GR"/>
        </w:rPr>
      </w:pPr>
    </w:p>
    <w:p w14:paraId="69200E16" w14:textId="77777777" w:rsidR="0056738E" w:rsidRPr="00A03828" w:rsidRDefault="0056738E" w:rsidP="0056738E">
      <w:pPr>
        <w:shd w:val="clear" w:color="auto" w:fill="FFFFFF"/>
        <w:suppressAutoHyphens/>
        <w:spacing w:after="0" w:line="240" w:lineRule="auto"/>
        <w:ind w:left="142"/>
        <w:jc w:val="both"/>
        <w:rPr>
          <w:rFonts w:ascii="Arial" w:hAnsi="Arial" w:cs="Arial"/>
          <w:color w:val="262626"/>
          <w:sz w:val="18"/>
          <w:szCs w:val="18"/>
          <w:lang w:val="el-GR"/>
        </w:rPr>
      </w:pPr>
      <w:r w:rsidRPr="000A130C">
        <w:rPr>
          <w:rFonts w:ascii="Arial" w:hAnsi="Arial" w:cs="Arial"/>
          <w:b/>
          <w:color w:val="262626"/>
          <w:sz w:val="18"/>
          <w:szCs w:val="18"/>
          <w:u w:val="single"/>
          <w:lang w:val="el-GR"/>
        </w:rPr>
        <w:t xml:space="preserve">Σημείωση </w:t>
      </w:r>
      <w:r w:rsidRPr="001C3AA9">
        <w:rPr>
          <w:rFonts w:ascii="Arial" w:hAnsi="Arial" w:cs="Arial"/>
          <w:b/>
          <w:color w:val="262626"/>
          <w:sz w:val="18"/>
          <w:szCs w:val="18"/>
          <w:u w:val="single"/>
          <w:lang w:val="el-GR"/>
        </w:rPr>
        <w:t>1</w:t>
      </w:r>
      <w:r w:rsidRPr="000A130C">
        <w:rPr>
          <w:rFonts w:ascii="Arial" w:hAnsi="Arial" w:cs="Arial"/>
          <w:color w:val="262626"/>
          <w:sz w:val="18"/>
          <w:szCs w:val="18"/>
          <w:lang w:val="el-GR"/>
        </w:rPr>
        <w:t xml:space="preserve">: Τα μεικτά δάνεια και απαιτήσεις από πελάτες σε αποσβεσμένο κόστος πριν την εναπομένουσα αναπροσαρμογή στην εύλογη αξία κατά την αρχική αναγνώριση περιλαμβάνουν </w:t>
      </w:r>
      <w:r>
        <w:rPr>
          <w:rFonts w:ascii="Arial" w:hAnsi="Arial" w:cs="Arial"/>
          <w:color w:val="262626"/>
          <w:sz w:val="18"/>
          <w:szCs w:val="18"/>
          <w:lang w:val="el-GR"/>
        </w:rPr>
        <w:t>ΜΕΔ</w:t>
      </w:r>
      <w:r w:rsidRPr="000A130C">
        <w:rPr>
          <w:rFonts w:ascii="Arial" w:hAnsi="Arial" w:cs="Arial"/>
          <w:color w:val="262626"/>
          <w:sz w:val="18"/>
          <w:szCs w:val="18"/>
          <w:lang w:val="el-GR"/>
        </w:rPr>
        <w:t xml:space="preserve"> </w:t>
      </w:r>
      <w:proofErr w:type="spellStart"/>
      <w:r w:rsidRPr="000A130C">
        <w:rPr>
          <w:rFonts w:ascii="Arial" w:hAnsi="Arial" w:cs="Arial"/>
          <w:color w:val="262626"/>
          <w:sz w:val="18"/>
          <w:szCs w:val="18"/>
          <w:lang w:val="el-GR"/>
        </w:rPr>
        <w:t>απομειωμένα</w:t>
      </w:r>
      <w:proofErr w:type="spellEnd"/>
      <w:r w:rsidRPr="000A130C">
        <w:rPr>
          <w:rFonts w:ascii="Arial" w:hAnsi="Arial" w:cs="Arial"/>
          <w:color w:val="262626"/>
          <w:sz w:val="18"/>
          <w:szCs w:val="18"/>
          <w:lang w:val="el-GR"/>
        </w:rPr>
        <w:t xml:space="preserve"> κατά την αρχική αναγνώριση </w:t>
      </w:r>
      <w:r w:rsidRPr="002011AB">
        <w:rPr>
          <w:rFonts w:ascii="Arial" w:hAnsi="Arial" w:cs="Arial"/>
          <w:color w:val="262626"/>
          <w:sz w:val="18"/>
          <w:szCs w:val="18"/>
          <w:lang w:val="el-GR"/>
        </w:rPr>
        <w:t xml:space="preserve">ύψους </w:t>
      </w:r>
      <w:r w:rsidRPr="00A03828">
        <w:rPr>
          <w:rFonts w:ascii="Arial" w:hAnsi="Arial" w:cs="Arial"/>
          <w:color w:val="262626"/>
          <w:sz w:val="18"/>
          <w:szCs w:val="18"/>
          <w:lang w:val="el-GR"/>
        </w:rPr>
        <w:t>€</w:t>
      </w:r>
      <w:r>
        <w:rPr>
          <w:rFonts w:ascii="Arial" w:hAnsi="Arial" w:cs="Arial"/>
          <w:color w:val="262626"/>
          <w:sz w:val="18"/>
          <w:szCs w:val="18"/>
          <w:lang w:val="el-GR"/>
        </w:rPr>
        <w:t>38,004</w:t>
      </w:r>
      <w:r w:rsidRPr="00AC5479">
        <w:rPr>
          <w:rFonts w:ascii="Arial" w:hAnsi="Arial" w:cs="Arial"/>
          <w:color w:val="262626"/>
          <w:sz w:val="18"/>
          <w:szCs w:val="18"/>
          <w:lang w:val="el-GR"/>
        </w:rPr>
        <w:t xml:space="preserve"> χιλ.</w:t>
      </w:r>
      <w:r w:rsidRPr="000A130C">
        <w:rPr>
          <w:rFonts w:ascii="Arial" w:hAnsi="Arial" w:cs="Arial"/>
          <w:color w:val="262626"/>
          <w:sz w:val="18"/>
          <w:szCs w:val="18"/>
          <w:lang w:val="el-GR"/>
        </w:rPr>
        <w:t xml:space="preserve"> (από συνολικό ποσό δανείων </w:t>
      </w:r>
      <w:proofErr w:type="spellStart"/>
      <w:r w:rsidRPr="000A130C">
        <w:rPr>
          <w:rFonts w:ascii="Arial" w:hAnsi="Arial" w:cs="Arial"/>
          <w:color w:val="262626"/>
          <w:sz w:val="18"/>
          <w:szCs w:val="18"/>
          <w:lang w:val="el-GR"/>
        </w:rPr>
        <w:t>απομειωμένων</w:t>
      </w:r>
      <w:proofErr w:type="spellEnd"/>
      <w:r w:rsidRPr="000A130C">
        <w:rPr>
          <w:rFonts w:ascii="Arial" w:hAnsi="Arial" w:cs="Arial"/>
          <w:color w:val="262626"/>
          <w:sz w:val="18"/>
          <w:szCs w:val="18"/>
          <w:lang w:val="el-GR"/>
        </w:rPr>
        <w:t xml:space="preserve"> κατά την αρχική αναγνώριση ύψους </w:t>
      </w:r>
      <w:r w:rsidRPr="00AC5479">
        <w:rPr>
          <w:rFonts w:ascii="Arial" w:hAnsi="Arial" w:cs="Arial"/>
          <w:color w:val="262626"/>
          <w:sz w:val="18"/>
          <w:szCs w:val="18"/>
          <w:lang w:val="el-GR"/>
        </w:rPr>
        <w:t>€</w:t>
      </w:r>
      <w:r>
        <w:rPr>
          <w:rFonts w:ascii="Arial" w:hAnsi="Arial" w:cs="Arial"/>
          <w:color w:val="262626"/>
          <w:sz w:val="18"/>
          <w:szCs w:val="18"/>
          <w:lang w:val="el-GR"/>
        </w:rPr>
        <w:t>66,618</w:t>
      </w:r>
      <w:r w:rsidRPr="00AC5479">
        <w:rPr>
          <w:rFonts w:ascii="Arial" w:hAnsi="Arial" w:cs="Arial"/>
          <w:color w:val="262626"/>
          <w:sz w:val="18"/>
          <w:szCs w:val="18"/>
          <w:lang w:val="el-GR"/>
        </w:rPr>
        <w:t xml:space="preserve"> χιλ.)</w:t>
      </w:r>
      <w:r w:rsidRPr="000A130C">
        <w:rPr>
          <w:rFonts w:ascii="Arial" w:hAnsi="Arial" w:cs="Arial"/>
          <w:color w:val="262626"/>
          <w:sz w:val="18"/>
          <w:szCs w:val="18"/>
          <w:lang w:val="el-GR"/>
        </w:rPr>
        <w:t xml:space="preserve"> (31 Δεκεμβρίου 202</w:t>
      </w:r>
      <w:r w:rsidRPr="00B90A36">
        <w:rPr>
          <w:rFonts w:ascii="Arial" w:hAnsi="Arial" w:cs="Arial"/>
          <w:color w:val="262626"/>
          <w:sz w:val="18"/>
          <w:szCs w:val="18"/>
          <w:lang w:val="el-GR"/>
        </w:rPr>
        <w:t>3</w:t>
      </w:r>
      <w:r w:rsidRPr="000A130C">
        <w:rPr>
          <w:rFonts w:ascii="Arial" w:hAnsi="Arial" w:cs="Arial"/>
          <w:color w:val="262626"/>
          <w:sz w:val="18"/>
          <w:szCs w:val="18"/>
          <w:lang w:val="el-GR"/>
        </w:rPr>
        <w:t>: €</w:t>
      </w:r>
      <w:r w:rsidRPr="00955C85">
        <w:rPr>
          <w:rFonts w:ascii="Arial" w:hAnsi="Arial" w:cs="Arial"/>
          <w:color w:val="262626"/>
          <w:sz w:val="18"/>
          <w:szCs w:val="18"/>
          <w:lang w:val="el-GR"/>
        </w:rPr>
        <w:t>37,</w:t>
      </w:r>
      <w:r w:rsidRPr="00B90A36">
        <w:rPr>
          <w:rFonts w:ascii="Arial" w:hAnsi="Arial" w:cs="Arial"/>
          <w:color w:val="262626"/>
          <w:sz w:val="18"/>
          <w:szCs w:val="18"/>
          <w:lang w:val="el-GR"/>
        </w:rPr>
        <w:t>273</w:t>
      </w:r>
      <w:r w:rsidRPr="000A130C">
        <w:rPr>
          <w:rFonts w:ascii="Arial" w:hAnsi="Arial" w:cs="Arial"/>
          <w:color w:val="262626"/>
          <w:sz w:val="18"/>
          <w:szCs w:val="18"/>
          <w:lang w:val="el-GR"/>
        </w:rPr>
        <w:t xml:space="preserve"> χιλ. </w:t>
      </w:r>
      <w:r>
        <w:rPr>
          <w:rFonts w:ascii="Arial" w:hAnsi="Arial" w:cs="Arial"/>
          <w:color w:val="262626"/>
          <w:sz w:val="18"/>
          <w:szCs w:val="18"/>
          <w:lang w:val="el-GR"/>
        </w:rPr>
        <w:t>ΜΕΔ</w:t>
      </w:r>
      <w:r w:rsidRPr="000A130C">
        <w:rPr>
          <w:rFonts w:ascii="Arial" w:hAnsi="Arial" w:cs="Arial"/>
          <w:color w:val="262626"/>
          <w:sz w:val="18"/>
          <w:szCs w:val="18"/>
          <w:lang w:val="el-GR"/>
        </w:rPr>
        <w:t xml:space="preserve"> </w:t>
      </w:r>
      <w:proofErr w:type="spellStart"/>
      <w:r w:rsidRPr="000A130C">
        <w:rPr>
          <w:rFonts w:ascii="Arial" w:hAnsi="Arial" w:cs="Arial"/>
          <w:color w:val="262626"/>
          <w:sz w:val="18"/>
          <w:szCs w:val="18"/>
          <w:lang w:val="el-GR"/>
        </w:rPr>
        <w:t>απομειωμένα</w:t>
      </w:r>
      <w:proofErr w:type="spellEnd"/>
      <w:r w:rsidRPr="000A130C">
        <w:rPr>
          <w:rFonts w:ascii="Arial" w:hAnsi="Arial" w:cs="Arial"/>
          <w:color w:val="262626"/>
          <w:sz w:val="18"/>
          <w:szCs w:val="18"/>
          <w:lang w:val="el-GR"/>
        </w:rPr>
        <w:t xml:space="preserve"> κατά την αρχική αναγνώριση (από συνολικό ποσό δανείων </w:t>
      </w:r>
      <w:proofErr w:type="spellStart"/>
      <w:r w:rsidRPr="000A130C">
        <w:rPr>
          <w:rFonts w:ascii="Arial" w:hAnsi="Arial" w:cs="Arial"/>
          <w:color w:val="262626"/>
          <w:sz w:val="18"/>
          <w:szCs w:val="18"/>
          <w:lang w:val="el-GR"/>
        </w:rPr>
        <w:t>απομειωμένων</w:t>
      </w:r>
      <w:proofErr w:type="spellEnd"/>
      <w:r w:rsidRPr="000A130C">
        <w:rPr>
          <w:rFonts w:ascii="Arial" w:hAnsi="Arial" w:cs="Arial"/>
          <w:color w:val="262626"/>
          <w:sz w:val="18"/>
          <w:szCs w:val="18"/>
          <w:lang w:val="el-GR"/>
        </w:rPr>
        <w:t xml:space="preserve"> κατά την αρχική αναγνώριση ύψους €</w:t>
      </w:r>
      <w:r w:rsidRPr="00B90A36">
        <w:rPr>
          <w:rFonts w:ascii="Arial" w:hAnsi="Arial" w:cs="Arial"/>
          <w:color w:val="262626"/>
          <w:sz w:val="18"/>
          <w:szCs w:val="18"/>
          <w:lang w:val="el-GR"/>
        </w:rPr>
        <w:t>100</w:t>
      </w:r>
      <w:r w:rsidRPr="00955C85">
        <w:rPr>
          <w:rFonts w:ascii="Arial" w:hAnsi="Arial" w:cs="Arial"/>
          <w:color w:val="262626"/>
          <w:sz w:val="18"/>
          <w:szCs w:val="18"/>
          <w:lang w:val="el-GR"/>
        </w:rPr>
        <w:t>,</w:t>
      </w:r>
      <w:r w:rsidRPr="00B90A36">
        <w:rPr>
          <w:rFonts w:ascii="Arial" w:hAnsi="Arial" w:cs="Arial"/>
          <w:color w:val="262626"/>
          <w:sz w:val="18"/>
          <w:szCs w:val="18"/>
          <w:lang w:val="el-GR"/>
        </w:rPr>
        <w:t>197</w:t>
      </w:r>
      <w:r w:rsidRPr="000A130C">
        <w:rPr>
          <w:rFonts w:ascii="Arial" w:hAnsi="Arial" w:cs="Arial"/>
          <w:color w:val="262626"/>
          <w:sz w:val="18"/>
          <w:szCs w:val="18"/>
          <w:lang w:val="el-GR"/>
        </w:rPr>
        <w:t xml:space="preserve"> χιλ.)) όπως γνωστοποιούνται στο Μέρος ΣΤ.5.</w:t>
      </w:r>
    </w:p>
    <w:p w14:paraId="0DC95696" w14:textId="77777777" w:rsidR="0056738E" w:rsidRPr="00A03828" w:rsidRDefault="0056738E" w:rsidP="0056738E">
      <w:pPr>
        <w:shd w:val="clear" w:color="auto" w:fill="FFFFFF"/>
        <w:suppressAutoHyphens/>
        <w:spacing w:after="0" w:line="240" w:lineRule="auto"/>
        <w:ind w:left="142"/>
        <w:jc w:val="both"/>
        <w:rPr>
          <w:rFonts w:ascii="Arial" w:hAnsi="Arial" w:cs="Arial"/>
          <w:color w:val="262626"/>
          <w:sz w:val="18"/>
          <w:szCs w:val="18"/>
          <w:lang w:val="el-GR"/>
        </w:rPr>
      </w:pPr>
    </w:p>
    <w:p w14:paraId="000B5DE3" w14:textId="77777777" w:rsidR="0056738E" w:rsidRPr="006A0BEA" w:rsidRDefault="0056738E" w:rsidP="0056738E">
      <w:pPr>
        <w:shd w:val="clear" w:color="auto" w:fill="FFFFFF"/>
        <w:suppressAutoHyphens/>
        <w:spacing w:after="0" w:line="240" w:lineRule="auto"/>
        <w:ind w:left="142"/>
        <w:jc w:val="both"/>
        <w:rPr>
          <w:rFonts w:ascii="Arial" w:hAnsi="Arial" w:cs="Arial"/>
          <w:color w:val="262626"/>
          <w:sz w:val="18"/>
          <w:szCs w:val="18"/>
          <w:lang w:val="el-GR"/>
        </w:rPr>
      </w:pPr>
    </w:p>
    <w:p w14:paraId="4F1D7314" w14:textId="77777777" w:rsidR="0056738E" w:rsidRDefault="0056738E" w:rsidP="0056738E">
      <w:pPr>
        <w:rPr>
          <w:rFonts w:ascii="Verdana" w:hAnsi="Verdana"/>
          <w:color w:val="262626"/>
          <w:sz w:val="16"/>
          <w:szCs w:val="18"/>
          <w:lang w:val="el-GR"/>
        </w:rPr>
      </w:pPr>
      <w:r>
        <w:rPr>
          <w:rFonts w:ascii="Verdana" w:hAnsi="Verdana"/>
          <w:color w:val="262626"/>
          <w:sz w:val="16"/>
          <w:szCs w:val="18"/>
          <w:lang w:val="el-GR"/>
        </w:rPr>
        <w:br w:type="page"/>
      </w:r>
    </w:p>
    <w:p w14:paraId="37D4A726" w14:textId="77777777" w:rsidR="0056738E" w:rsidRDefault="0056738E" w:rsidP="0056738E">
      <w:pPr>
        <w:spacing w:after="0" w:line="360" w:lineRule="auto"/>
        <w:ind w:left="851" w:hanging="851"/>
        <w:jc w:val="both"/>
        <w:rPr>
          <w:rFonts w:ascii="Arial" w:hAnsi="Arial" w:cs="Arial"/>
          <w:color w:val="FF9900"/>
          <w:lang w:val="el-GR"/>
        </w:rPr>
      </w:pPr>
      <w:r>
        <w:rPr>
          <w:rFonts w:ascii="Arial" w:hAnsi="Arial" w:cs="Arial"/>
          <w:b/>
          <w:color w:val="FF9900"/>
          <w:lang w:val="el-GR"/>
        </w:rPr>
        <w:lastRenderedPageBreak/>
        <w:t>Η</w:t>
      </w:r>
      <w:r w:rsidRPr="009B5694">
        <w:rPr>
          <w:rFonts w:ascii="Arial" w:hAnsi="Arial" w:cs="Arial"/>
          <w:b/>
          <w:color w:val="FF9900"/>
          <w:lang w:val="el-GR"/>
        </w:rPr>
        <w:t xml:space="preserve">. </w:t>
      </w:r>
      <w:r w:rsidRPr="009B5694">
        <w:rPr>
          <w:rFonts w:ascii="Arial" w:hAnsi="Arial" w:cs="Arial"/>
          <w:b/>
          <w:color w:val="FF9900"/>
          <w:lang w:val="el-GR"/>
        </w:rPr>
        <w:tab/>
      </w:r>
      <w:r w:rsidRPr="009D3A1F">
        <w:rPr>
          <w:rFonts w:ascii="Arial" w:hAnsi="Arial" w:cs="Arial"/>
          <w:b/>
          <w:color w:val="FF9900"/>
          <w:lang w:val="el-GR"/>
        </w:rPr>
        <w:t>Εναλλακτικ</w:t>
      </w:r>
      <w:r>
        <w:rPr>
          <w:rFonts w:ascii="Arial" w:hAnsi="Arial" w:cs="Arial"/>
          <w:b/>
          <w:color w:val="FF9900"/>
          <w:lang w:val="el-GR"/>
        </w:rPr>
        <w:t>ά</w:t>
      </w:r>
      <w:r w:rsidRPr="009D3A1F">
        <w:rPr>
          <w:rFonts w:ascii="Arial" w:hAnsi="Arial" w:cs="Arial"/>
          <w:b/>
          <w:color w:val="FF9900"/>
          <w:lang w:val="el-GR"/>
        </w:rPr>
        <w:t xml:space="preserve"> Μέτρ</w:t>
      </w:r>
      <w:r>
        <w:rPr>
          <w:rFonts w:ascii="Arial" w:hAnsi="Arial" w:cs="Arial"/>
          <w:b/>
          <w:color w:val="FF9900"/>
          <w:lang w:val="el-GR"/>
        </w:rPr>
        <w:t>α</w:t>
      </w:r>
      <w:r w:rsidRPr="009D3A1F">
        <w:rPr>
          <w:rFonts w:ascii="Arial" w:hAnsi="Arial" w:cs="Arial"/>
          <w:b/>
          <w:color w:val="FF9900"/>
          <w:lang w:val="el-GR"/>
        </w:rPr>
        <w:t xml:space="preserve"> Απόδοσης</w:t>
      </w:r>
      <w:r>
        <w:rPr>
          <w:rFonts w:ascii="Arial" w:hAnsi="Arial" w:cs="Arial"/>
          <w:b/>
          <w:color w:val="FF9900"/>
          <w:lang w:val="el-GR"/>
        </w:rPr>
        <w:t xml:space="preserve"> </w:t>
      </w:r>
      <w:r w:rsidRPr="00B964B1">
        <w:rPr>
          <w:rFonts w:ascii="Arial" w:hAnsi="Arial" w:cs="Arial"/>
          <w:color w:val="FF9900"/>
          <w:lang w:val="el-GR"/>
        </w:rPr>
        <w:t>(συνέχεια)</w:t>
      </w:r>
    </w:p>
    <w:p w14:paraId="741D3EF5" w14:textId="77777777" w:rsidR="0056738E" w:rsidRPr="00041815" w:rsidRDefault="0056738E" w:rsidP="0056738E">
      <w:pPr>
        <w:spacing w:after="0" w:line="360" w:lineRule="auto"/>
        <w:ind w:left="851" w:hanging="851"/>
        <w:jc w:val="both"/>
        <w:rPr>
          <w:rFonts w:ascii="Arial" w:hAnsi="Arial" w:cs="Arial"/>
          <w:b/>
          <w:color w:val="FF9900"/>
          <w:u w:val="single"/>
          <w:lang w:val="el-GR"/>
        </w:rPr>
      </w:pPr>
      <w:r w:rsidRPr="00CD5513">
        <w:rPr>
          <w:rFonts w:ascii="Arial" w:hAnsi="Arial" w:cs="Arial"/>
          <w:b/>
          <w:color w:val="FF9900"/>
          <w:u w:val="single"/>
          <w:lang w:val="el-GR"/>
        </w:rPr>
        <w:t>Συμφιλιώσεις</w:t>
      </w:r>
      <w:r>
        <w:rPr>
          <w:rFonts w:ascii="Arial" w:hAnsi="Arial" w:cs="Arial"/>
          <w:b/>
          <w:color w:val="FF9900"/>
          <w:u w:val="single"/>
          <w:lang w:val="el-GR"/>
        </w:rPr>
        <w:t xml:space="preserve"> </w:t>
      </w:r>
      <w:r w:rsidRPr="00B964B1">
        <w:rPr>
          <w:rFonts w:ascii="Arial" w:hAnsi="Arial" w:cs="Arial"/>
          <w:color w:val="FF9900"/>
          <w:lang w:val="el-GR"/>
        </w:rPr>
        <w:t>(συνέχεια)</w:t>
      </w:r>
    </w:p>
    <w:p w14:paraId="21053B43" w14:textId="77777777" w:rsidR="0056738E" w:rsidRPr="0035184C" w:rsidRDefault="0056738E" w:rsidP="0056738E">
      <w:pPr>
        <w:pStyle w:val="ListParagraph"/>
        <w:numPr>
          <w:ilvl w:val="0"/>
          <w:numId w:val="7"/>
        </w:numPr>
        <w:spacing w:line="360" w:lineRule="auto"/>
        <w:ind w:left="851" w:hanging="851"/>
        <w:rPr>
          <w:rFonts w:ascii="Arial" w:hAnsi="Arial" w:cs="Arial"/>
          <w:b/>
          <w:color w:val="FF9900"/>
          <w:sz w:val="22"/>
          <w:szCs w:val="22"/>
          <w:lang w:val="el-GR"/>
        </w:rPr>
      </w:pPr>
      <w:r w:rsidRPr="0035184C">
        <w:rPr>
          <w:rFonts w:ascii="Arial" w:hAnsi="Arial" w:cs="Arial"/>
          <w:b/>
          <w:color w:val="FF9900"/>
          <w:sz w:val="22"/>
          <w:szCs w:val="22"/>
          <w:lang w:val="el-GR"/>
        </w:rPr>
        <w:t xml:space="preserve">Συμφιλίωση </w:t>
      </w:r>
      <w:r>
        <w:rPr>
          <w:rFonts w:ascii="Arial" w:hAnsi="Arial" w:cs="Arial"/>
          <w:b/>
          <w:color w:val="FF9900"/>
          <w:sz w:val="22"/>
          <w:szCs w:val="22"/>
          <w:lang w:val="el-GR"/>
        </w:rPr>
        <w:t xml:space="preserve">Μεικτών δανείων </w:t>
      </w:r>
      <w:r w:rsidRPr="0035184C">
        <w:rPr>
          <w:rFonts w:ascii="Arial" w:hAnsi="Arial" w:cs="Arial"/>
          <w:b/>
          <w:color w:val="FF9900"/>
          <w:sz w:val="22"/>
          <w:szCs w:val="22"/>
          <w:lang w:val="el-GR"/>
        </w:rPr>
        <w:t>- Αναπροσαρμοσμένα</w:t>
      </w:r>
    </w:p>
    <w:tbl>
      <w:tblPr>
        <w:tblStyle w:val="TableGrid"/>
        <w:tblW w:w="910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517"/>
        <w:gridCol w:w="1587"/>
      </w:tblGrid>
      <w:tr w:rsidR="0056738E" w:rsidRPr="0035184C" w14:paraId="41520A94" w14:textId="77777777" w:rsidTr="007C2AEE">
        <w:trPr>
          <w:trHeight w:val="283"/>
          <w:jc w:val="center"/>
        </w:trPr>
        <w:tc>
          <w:tcPr>
            <w:tcW w:w="7517" w:type="dxa"/>
            <w:vMerge w:val="restart"/>
            <w:vAlign w:val="center"/>
          </w:tcPr>
          <w:p w14:paraId="60BF2F5D" w14:textId="77777777" w:rsidR="0056738E" w:rsidRPr="0035184C" w:rsidRDefault="0056738E" w:rsidP="007C2AEE">
            <w:pPr>
              <w:tabs>
                <w:tab w:val="left" w:pos="0"/>
                <w:tab w:val="left" w:pos="360"/>
              </w:tabs>
              <w:rPr>
                <w:rFonts w:ascii="Arial" w:hAnsi="Arial" w:cs="Arial"/>
                <w:b/>
                <w:sz w:val="18"/>
                <w:szCs w:val="18"/>
                <w:highlight w:val="yellow"/>
                <w:lang w:val="el-GR"/>
              </w:rPr>
            </w:pPr>
          </w:p>
        </w:tc>
        <w:tc>
          <w:tcPr>
            <w:tcW w:w="1587" w:type="dxa"/>
            <w:vAlign w:val="center"/>
          </w:tcPr>
          <w:p w14:paraId="2188DB34" w14:textId="77777777" w:rsidR="0056738E" w:rsidRPr="005D5D89" w:rsidRDefault="0056738E" w:rsidP="007C2AEE">
            <w:pPr>
              <w:ind w:left="-113"/>
              <w:jc w:val="center"/>
              <w:rPr>
                <w:rFonts w:ascii="Arial" w:hAnsi="Arial" w:cs="Arial"/>
                <w:b/>
                <w:sz w:val="18"/>
                <w:szCs w:val="18"/>
                <w:lang w:val="el-GR"/>
              </w:rPr>
            </w:pPr>
            <w:r>
              <w:rPr>
                <w:rFonts w:ascii="Arial" w:hAnsi="Arial" w:cs="Arial"/>
                <w:b/>
                <w:sz w:val="18"/>
                <w:szCs w:val="18"/>
                <w:lang w:val="el-GR"/>
              </w:rPr>
              <w:t>30 Σεπτεμβρίου</w:t>
            </w:r>
          </w:p>
          <w:p w14:paraId="1A4E1A42" w14:textId="77777777" w:rsidR="0056738E" w:rsidRPr="00A03828" w:rsidRDefault="0056738E" w:rsidP="007C2AEE">
            <w:pPr>
              <w:jc w:val="center"/>
              <w:rPr>
                <w:rFonts w:ascii="Arial" w:hAnsi="Arial" w:cs="Arial"/>
                <w:sz w:val="18"/>
                <w:szCs w:val="18"/>
              </w:rPr>
            </w:pPr>
            <w:r w:rsidRPr="005D5D89">
              <w:rPr>
                <w:rFonts w:ascii="Arial" w:hAnsi="Arial" w:cs="Arial"/>
                <w:b/>
                <w:sz w:val="18"/>
                <w:szCs w:val="18"/>
                <w:lang w:val="el-GR"/>
              </w:rPr>
              <w:t>202</w:t>
            </w:r>
            <w:r>
              <w:rPr>
                <w:rFonts w:ascii="Arial" w:hAnsi="Arial" w:cs="Arial"/>
                <w:b/>
                <w:sz w:val="18"/>
                <w:szCs w:val="18"/>
              </w:rPr>
              <w:t>4</w:t>
            </w:r>
          </w:p>
        </w:tc>
      </w:tr>
      <w:tr w:rsidR="0056738E" w:rsidRPr="0035184C" w14:paraId="203EBDE9" w14:textId="77777777" w:rsidTr="007C2AEE">
        <w:trPr>
          <w:trHeight w:val="283"/>
          <w:jc w:val="center"/>
        </w:trPr>
        <w:tc>
          <w:tcPr>
            <w:tcW w:w="7517" w:type="dxa"/>
            <w:vMerge/>
            <w:vAlign w:val="center"/>
          </w:tcPr>
          <w:p w14:paraId="036C96E0" w14:textId="77777777" w:rsidR="0056738E" w:rsidRPr="0035184C" w:rsidRDefault="0056738E" w:rsidP="007C2AEE">
            <w:pPr>
              <w:tabs>
                <w:tab w:val="left" w:pos="0"/>
                <w:tab w:val="right" w:pos="7560"/>
                <w:tab w:val="right" w:pos="9000"/>
              </w:tabs>
              <w:rPr>
                <w:rFonts w:ascii="Arial" w:hAnsi="Arial" w:cs="Arial"/>
                <w:sz w:val="18"/>
                <w:szCs w:val="18"/>
                <w:highlight w:val="yellow"/>
              </w:rPr>
            </w:pPr>
          </w:p>
        </w:tc>
        <w:tc>
          <w:tcPr>
            <w:tcW w:w="1587" w:type="dxa"/>
            <w:vAlign w:val="center"/>
          </w:tcPr>
          <w:p w14:paraId="77E4D14F" w14:textId="77777777" w:rsidR="0056738E" w:rsidRPr="0035184C" w:rsidRDefault="0056738E" w:rsidP="007C2AEE">
            <w:pPr>
              <w:tabs>
                <w:tab w:val="left" w:pos="0"/>
                <w:tab w:val="right" w:pos="7560"/>
                <w:tab w:val="right" w:pos="9000"/>
              </w:tabs>
              <w:jc w:val="center"/>
              <w:rPr>
                <w:rFonts w:ascii="Arial" w:hAnsi="Arial" w:cs="Arial"/>
                <w:sz w:val="18"/>
                <w:szCs w:val="18"/>
              </w:rPr>
            </w:pPr>
            <w:r w:rsidRPr="00325113">
              <w:rPr>
                <w:rFonts w:ascii="Arial" w:hAnsi="Arial" w:cs="Arial"/>
                <w:b/>
                <w:sz w:val="18"/>
                <w:szCs w:val="18"/>
                <w:lang w:val="el-GR"/>
              </w:rPr>
              <w:t>€000</w:t>
            </w:r>
          </w:p>
        </w:tc>
      </w:tr>
      <w:tr w:rsidR="0056738E" w:rsidRPr="00C0744D" w14:paraId="3245E0C8" w14:textId="77777777" w:rsidTr="007C2AEE">
        <w:trPr>
          <w:trHeight w:val="283"/>
          <w:jc w:val="center"/>
        </w:trPr>
        <w:tc>
          <w:tcPr>
            <w:tcW w:w="7517" w:type="dxa"/>
            <w:vAlign w:val="center"/>
          </w:tcPr>
          <w:p w14:paraId="22085103" w14:textId="77777777" w:rsidR="0056738E" w:rsidRPr="0035184C" w:rsidRDefault="0056738E" w:rsidP="007C2AEE">
            <w:pPr>
              <w:tabs>
                <w:tab w:val="left" w:pos="0"/>
                <w:tab w:val="right" w:pos="7560"/>
                <w:tab w:val="right" w:pos="9000"/>
              </w:tabs>
              <w:jc w:val="both"/>
              <w:rPr>
                <w:rFonts w:ascii="Arial" w:hAnsi="Arial" w:cs="Arial"/>
                <w:b/>
                <w:sz w:val="18"/>
                <w:szCs w:val="18"/>
                <w:lang w:val="el-GR"/>
              </w:rPr>
            </w:pPr>
            <w:r w:rsidRPr="0035184C">
              <w:rPr>
                <w:rFonts w:ascii="Arial" w:hAnsi="Arial" w:cs="Arial"/>
                <w:sz w:val="18"/>
                <w:szCs w:val="18"/>
                <w:lang w:val="el-GR"/>
              </w:rPr>
              <w:t>Μεικτά δάνεια</w:t>
            </w:r>
            <w:r>
              <w:rPr>
                <w:rFonts w:ascii="Arial" w:hAnsi="Arial" w:cs="Arial"/>
                <w:sz w:val="18"/>
                <w:szCs w:val="18"/>
                <w:lang w:val="el-GR"/>
              </w:rPr>
              <w:t xml:space="preserve"> </w:t>
            </w:r>
            <w:r w:rsidRPr="0035184C">
              <w:rPr>
                <w:rFonts w:ascii="Arial" w:hAnsi="Arial" w:cs="Arial"/>
                <w:sz w:val="18"/>
                <w:szCs w:val="18"/>
                <w:lang w:val="el-GR"/>
              </w:rPr>
              <w:t>(</w:t>
            </w:r>
            <w:r w:rsidRPr="00A03828">
              <w:rPr>
                <w:rFonts w:ascii="Arial" w:hAnsi="Arial" w:cs="Arial"/>
                <w:i/>
                <w:iCs/>
                <w:sz w:val="18"/>
                <w:szCs w:val="18"/>
                <w:lang w:val="el-GR"/>
              </w:rPr>
              <w:t>ως ο πίνακας 1 πιο πάνω</w:t>
            </w:r>
            <w:r w:rsidRPr="0035184C">
              <w:rPr>
                <w:rFonts w:ascii="Arial" w:hAnsi="Arial" w:cs="Arial"/>
                <w:sz w:val="18"/>
                <w:szCs w:val="18"/>
                <w:lang w:val="el-GR"/>
              </w:rPr>
              <w:t>)</w:t>
            </w:r>
          </w:p>
        </w:tc>
        <w:tc>
          <w:tcPr>
            <w:tcW w:w="1587" w:type="dxa"/>
            <w:vAlign w:val="center"/>
          </w:tcPr>
          <w:p w14:paraId="3418B0DD" w14:textId="77777777" w:rsidR="0056738E" w:rsidRPr="0035184C" w:rsidRDefault="0056738E" w:rsidP="007C2AEE">
            <w:pPr>
              <w:tabs>
                <w:tab w:val="left" w:pos="0"/>
                <w:tab w:val="right" w:pos="7560"/>
                <w:tab w:val="right" w:pos="9000"/>
              </w:tabs>
              <w:jc w:val="right"/>
              <w:rPr>
                <w:rFonts w:ascii="Arial" w:hAnsi="Arial" w:cs="Arial"/>
                <w:bCs/>
                <w:sz w:val="18"/>
                <w:szCs w:val="18"/>
                <w:lang w:val="el-GR"/>
              </w:rPr>
            </w:pPr>
            <w:r>
              <w:rPr>
                <w:rFonts w:ascii="Arial" w:hAnsi="Arial" w:cs="Arial"/>
                <w:b/>
                <w:bCs/>
                <w:sz w:val="18"/>
                <w:szCs w:val="18"/>
              </w:rPr>
              <w:t>10,277,447</w:t>
            </w:r>
          </w:p>
        </w:tc>
      </w:tr>
      <w:tr w:rsidR="0056738E" w:rsidRPr="009E747E" w14:paraId="7E0D105A" w14:textId="77777777" w:rsidTr="007C2AEE">
        <w:trPr>
          <w:trHeight w:val="283"/>
          <w:jc w:val="center"/>
        </w:trPr>
        <w:tc>
          <w:tcPr>
            <w:tcW w:w="7517" w:type="dxa"/>
            <w:vAlign w:val="center"/>
          </w:tcPr>
          <w:p w14:paraId="3DCD31F9" w14:textId="77777777" w:rsidR="0056738E" w:rsidRPr="0035184C" w:rsidRDefault="0056738E" w:rsidP="007C2AEE">
            <w:pPr>
              <w:tabs>
                <w:tab w:val="left" w:pos="0"/>
                <w:tab w:val="right" w:pos="7560"/>
                <w:tab w:val="right" w:pos="9000"/>
              </w:tabs>
              <w:jc w:val="both"/>
              <w:rPr>
                <w:rFonts w:ascii="Arial" w:hAnsi="Arial" w:cs="Arial"/>
                <w:sz w:val="18"/>
                <w:szCs w:val="18"/>
                <w:lang w:val="el-GR"/>
              </w:rPr>
            </w:pPr>
            <w:r w:rsidRPr="0035184C">
              <w:rPr>
                <w:rFonts w:ascii="Arial" w:hAnsi="Arial" w:cs="Arial"/>
                <w:b/>
                <w:sz w:val="18"/>
                <w:szCs w:val="18"/>
                <w:lang w:val="el-GR"/>
              </w:rPr>
              <w:t>Συμφιλίωση για</w:t>
            </w:r>
            <w:r w:rsidRPr="0035184C">
              <w:rPr>
                <w:rFonts w:ascii="Arial" w:hAnsi="Arial" w:cs="Arial"/>
                <w:b/>
                <w:sz w:val="18"/>
                <w:szCs w:val="18"/>
              </w:rPr>
              <w:t>:</w:t>
            </w:r>
          </w:p>
        </w:tc>
        <w:tc>
          <w:tcPr>
            <w:tcW w:w="1587" w:type="dxa"/>
            <w:tcBorders>
              <w:bottom w:val="single" w:sz="4" w:space="0" w:color="D9D9D9" w:themeColor="background1" w:themeShade="D9"/>
            </w:tcBorders>
            <w:vAlign w:val="center"/>
          </w:tcPr>
          <w:p w14:paraId="0402E4B8" w14:textId="77777777" w:rsidR="0056738E" w:rsidRDefault="0056738E" w:rsidP="007C2AEE">
            <w:pPr>
              <w:tabs>
                <w:tab w:val="left" w:pos="0"/>
                <w:tab w:val="right" w:pos="7560"/>
                <w:tab w:val="right" w:pos="9000"/>
              </w:tabs>
              <w:jc w:val="right"/>
              <w:rPr>
                <w:rFonts w:ascii="Arial" w:hAnsi="Arial" w:cs="Arial"/>
                <w:b/>
                <w:bCs/>
                <w:sz w:val="18"/>
                <w:szCs w:val="18"/>
              </w:rPr>
            </w:pPr>
          </w:p>
        </w:tc>
      </w:tr>
      <w:tr w:rsidR="0056738E" w:rsidRPr="00C0744D" w14:paraId="5BF2041A" w14:textId="77777777" w:rsidTr="007C2AEE">
        <w:trPr>
          <w:trHeight w:val="283"/>
          <w:jc w:val="center"/>
        </w:trPr>
        <w:tc>
          <w:tcPr>
            <w:tcW w:w="7517" w:type="dxa"/>
            <w:tcBorders>
              <w:bottom w:val="single" w:sz="4" w:space="0" w:color="D9D9D9" w:themeColor="background1" w:themeShade="D9"/>
            </w:tcBorders>
            <w:vAlign w:val="center"/>
          </w:tcPr>
          <w:p w14:paraId="56393EA9" w14:textId="77777777" w:rsidR="0056738E" w:rsidRPr="004F0C3A" w:rsidRDefault="0056738E" w:rsidP="007C2AEE">
            <w:pPr>
              <w:tabs>
                <w:tab w:val="left" w:pos="0"/>
                <w:tab w:val="right" w:pos="7560"/>
                <w:tab w:val="right" w:pos="9000"/>
              </w:tabs>
              <w:jc w:val="both"/>
              <w:rPr>
                <w:rFonts w:ascii="Arial" w:hAnsi="Arial" w:cs="Arial"/>
                <w:bCs/>
                <w:sz w:val="18"/>
                <w:szCs w:val="18"/>
                <w:lang w:val="el-GR"/>
              </w:rPr>
            </w:pPr>
            <w:r>
              <w:rPr>
                <w:rFonts w:ascii="Arial" w:hAnsi="Arial" w:cs="Arial"/>
                <w:sz w:val="18"/>
                <w:szCs w:val="18"/>
                <w:lang w:val="el-GR"/>
              </w:rPr>
              <w:t>Δ</w:t>
            </w:r>
            <w:r w:rsidRPr="0035184C">
              <w:rPr>
                <w:rFonts w:ascii="Arial" w:hAnsi="Arial" w:cs="Arial"/>
                <w:sz w:val="18"/>
                <w:szCs w:val="18"/>
                <w:lang w:val="el-GR"/>
              </w:rPr>
              <w:t xml:space="preserve">άνεια και απαιτήσεις από πελάτες που κατέχονται προς πώληση </w:t>
            </w:r>
            <w:r w:rsidRPr="00A03828">
              <w:rPr>
                <w:rFonts w:ascii="Arial" w:hAnsi="Arial" w:cs="Arial"/>
                <w:sz w:val="18"/>
                <w:szCs w:val="18"/>
                <w:lang w:val="el-GR"/>
              </w:rPr>
              <w:t>(</w:t>
            </w:r>
            <w:r w:rsidRPr="00200CFD">
              <w:rPr>
                <w:rFonts w:ascii="Arial" w:hAnsi="Arial" w:cs="Arial"/>
                <w:i/>
                <w:iCs/>
                <w:sz w:val="18"/>
                <w:szCs w:val="18"/>
                <w:lang w:val="el-GR"/>
              </w:rPr>
              <w:t>Μέρος ΣΤ.</w:t>
            </w:r>
            <w:r w:rsidRPr="00A03828">
              <w:rPr>
                <w:rFonts w:ascii="Arial" w:hAnsi="Arial" w:cs="Arial"/>
                <w:i/>
                <w:iCs/>
                <w:sz w:val="18"/>
                <w:szCs w:val="18"/>
                <w:lang w:val="el-GR"/>
              </w:rPr>
              <w:t>3</w:t>
            </w:r>
            <w:r w:rsidRPr="0035184C">
              <w:rPr>
                <w:rFonts w:ascii="Arial" w:hAnsi="Arial" w:cs="Arial"/>
                <w:sz w:val="18"/>
                <w:szCs w:val="18"/>
                <w:lang w:val="el-GR"/>
              </w:rPr>
              <w:t>)</w:t>
            </w:r>
          </w:p>
        </w:tc>
        <w:tc>
          <w:tcPr>
            <w:tcW w:w="1587" w:type="dxa"/>
            <w:tcBorders>
              <w:bottom w:val="single" w:sz="6" w:space="0" w:color="D9D9D9" w:themeColor="background1" w:themeShade="D9"/>
            </w:tcBorders>
            <w:vAlign w:val="center"/>
          </w:tcPr>
          <w:p w14:paraId="6D25BDDF" w14:textId="77777777" w:rsidR="0056738E" w:rsidRPr="000E61BD" w:rsidRDefault="0056738E" w:rsidP="007C2AEE">
            <w:pPr>
              <w:tabs>
                <w:tab w:val="left" w:pos="0"/>
                <w:tab w:val="right" w:pos="7560"/>
                <w:tab w:val="right" w:pos="9000"/>
              </w:tabs>
              <w:jc w:val="right"/>
              <w:rPr>
                <w:rFonts w:ascii="Arial" w:hAnsi="Arial" w:cs="Arial"/>
                <w:bCs/>
                <w:sz w:val="18"/>
                <w:szCs w:val="18"/>
                <w:lang w:val="el-GR"/>
              </w:rPr>
            </w:pPr>
            <w:r>
              <w:rPr>
                <w:rFonts w:ascii="Arial" w:hAnsi="Arial" w:cs="Arial"/>
                <w:b/>
                <w:bCs/>
                <w:sz w:val="18"/>
                <w:szCs w:val="18"/>
              </w:rPr>
              <w:t>(26,568)</w:t>
            </w:r>
          </w:p>
        </w:tc>
      </w:tr>
      <w:tr w:rsidR="0056738E" w:rsidRPr="003B3CF5" w14:paraId="39F03D3B" w14:textId="77777777" w:rsidTr="007C2AEE">
        <w:trPr>
          <w:trHeight w:val="283"/>
          <w:jc w:val="center"/>
        </w:trPr>
        <w:tc>
          <w:tcPr>
            <w:tcW w:w="7517" w:type="dxa"/>
            <w:tcBorders>
              <w:bottom w:val="single" w:sz="4" w:space="0" w:color="D9D9D9" w:themeColor="background1" w:themeShade="D9"/>
              <w:right w:val="single" w:sz="6" w:space="0" w:color="D9D9D9" w:themeColor="background1" w:themeShade="D9"/>
            </w:tcBorders>
            <w:vAlign w:val="center"/>
          </w:tcPr>
          <w:p w14:paraId="6E944F74" w14:textId="77777777" w:rsidR="0056738E" w:rsidRPr="0035184C" w:rsidRDefault="0056738E" w:rsidP="007C2AEE">
            <w:pPr>
              <w:tabs>
                <w:tab w:val="left" w:pos="0"/>
                <w:tab w:val="right" w:pos="7560"/>
                <w:tab w:val="right" w:pos="9000"/>
              </w:tabs>
              <w:jc w:val="both"/>
              <w:rPr>
                <w:rFonts w:ascii="Arial" w:hAnsi="Arial" w:cs="Arial"/>
                <w:sz w:val="18"/>
                <w:szCs w:val="18"/>
                <w:lang w:val="el-GR"/>
              </w:rPr>
            </w:pPr>
            <w:r w:rsidRPr="0035184C">
              <w:rPr>
                <w:rFonts w:ascii="Arial" w:hAnsi="Arial" w:cs="Arial"/>
                <w:sz w:val="18"/>
                <w:szCs w:val="18"/>
                <w:lang w:val="el-GR"/>
              </w:rPr>
              <w:t>Εναπομ</w:t>
            </w:r>
            <w:r>
              <w:rPr>
                <w:rFonts w:ascii="Arial" w:hAnsi="Arial" w:cs="Arial"/>
                <w:sz w:val="18"/>
                <w:szCs w:val="18"/>
                <w:lang w:val="el-GR"/>
              </w:rPr>
              <w:t>έ</w:t>
            </w:r>
            <w:r w:rsidRPr="0035184C">
              <w:rPr>
                <w:rFonts w:ascii="Arial" w:hAnsi="Arial" w:cs="Arial"/>
                <w:sz w:val="18"/>
                <w:szCs w:val="18"/>
                <w:lang w:val="el-GR"/>
              </w:rPr>
              <w:t xml:space="preserve">νουσα αναπροσαρμογή στην εύλογη αξία κατά την αρχική αναγνώριση </w:t>
            </w:r>
            <w:r>
              <w:rPr>
                <w:rFonts w:ascii="Arial" w:hAnsi="Arial" w:cs="Arial"/>
                <w:sz w:val="18"/>
                <w:szCs w:val="18"/>
                <w:lang w:val="el-GR"/>
              </w:rPr>
              <w:t>δανείων</w:t>
            </w:r>
            <w:r w:rsidRPr="0035184C">
              <w:rPr>
                <w:rFonts w:ascii="Arial" w:hAnsi="Arial" w:cs="Arial"/>
                <w:sz w:val="18"/>
                <w:szCs w:val="18"/>
                <w:lang w:val="el-GR"/>
              </w:rPr>
              <w:t xml:space="preserve"> και απαιτήσ</w:t>
            </w:r>
            <w:r>
              <w:rPr>
                <w:rFonts w:ascii="Arial" w:hAnsi="Arial" w:cs="Arial"/>
                <w:sz w:val="18"/>
                <w:szCs w:val="18"/>
                <w:lang w:val="el-GR"/>
              </w:rPr>
              <w:t>εων</w:t>
            </w:r>
            <w:r w:rsidRPr="0035184C">
              <w:rPr>
                <w:rFonts w:ascii="Arial" w:hAnsi="Arial" w:cs="Arial"/>
                <w:sz w:val="18"/>
                <w:szCs w:val="18"/>
                <w:lang w:val="el-GR"/>
              </w:rPr>
              <w:t xml:space="preserve"> από πελάτες που κατέχονται προς πώληση </w:t>
            </w:r>
          </w:p>
        </w:tc>
        <w:tc>
          <w:tcPr>
            <w:tcW w:w="1587" w:type="dxa"/>
            <w:tcBorders>
              <w:top w:val="single" w:sz="6" w:space="0" w:color="D9D9D9" w:themeColor="background1" w:themeShade="D9"/>
              <w:left w:val="single" w:sz="6" w:space="0" w:color="D9D9D9" w:themeColor="background1" w:themeShade="D9"/>
              <w:bottom w:val="single" w:sz="6" w:space="0" w:color="000000" w:themeColor="text1"/>
              <w:right w:val="single" w:sz="6" w:space="0" w:color="D9D9D9" w:themeColor="background1" w:themeShade="D9"/>
            </w:tcBorders>
            <w:vAlign w:val="center"/>
          </w:tcPr>
          <w:p w14:paraId="4AB91891" w14:textId="77777777" w:rsidR="0056738E" w:rsidRPr="00A03828"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(789)</w:t>
            </w:r>
          </w:p>
        </w:tc>
      </w:tr>
      <w:tr w:rsidR="0056738E" w:rsidRPr="00C0744D" w14:paraId="53A1F0D0" w14:textId="77777777" w:rsidTr="007C2AEE">
        <w:trPr>
          <w:trHeight w:val="340"/>
          <w:jc w:val="center"/>
        </w:trPr>
        <w:tc>
          <w:tcPr>
            <w:tcW w:w="7517" w:type="dxa"/>
            <w:tcBorders>
              <w:top w:val="single" w:sz="4" w:space="0" w:color="D9D9D9" w:themeColor="background1" w:themeShade="D9"/>
              <w:bottom w:val="single" w:sz="4" w:space="0" w:color="D9D9D9" w:themeColor="background1" w:themeShade="D9"/>
            </w:tcBorders>
            <w:vAlign w:val="center"/>
          </w:tcPr>
          <w:p w14:paraId="5069D002" w14:textId="77777777" w:rsidR="0056738E" w:rsidRPr="0035184C" w:rsidRDefault="0056738E" w:rsidP="007C2AEE">
            <w:pPr>
              <w:tabs>
                <w:tab w:val="left" w:pos="0"/>
                <w:tab w:val="right" w:pos="7560"/>
                <w:tab w:val="right" w:pos="9000"/>
              </w:tabs>
              <w:jc w:val="both"/>
              <w:rPr>
                <w:rFonts w:ascii="Arial" w:hAnsi="Arial" w:cs="Arial"/>
                <w:b/>
                <w:sz w:val="18"/>
                <w:szCs w:val="18"/>
                <w:highlight w:val="yellow"/>
                <w:lang w:val="el-GR"/>
              </w:rPr>
            </w:pPr>
            <w:r w:rsidRPr="0035184C">
              <w:rPr>
                <w:rFonts w:ascii="Arial" w:hAnsi="Arial" w:cs="Arial"/>
                <w:b/>
                <w:sz w:val="18"/>
                <w:szCs w:val="18"/>
                <w:lang w:val="el-GR"/>
              </w:rPr>
              <w:t xml:space="preserve">Μεικτά δάνεια και απαιτήσεις από πελάτες – </w:t>
            </w:r>
            <w:r w:rsidRPr="0035184C">
              <w:rPr>
                <w:rFonts w:ascii="Arial" w:hAnsi="Arial" w:cs="Arial"/>
                <w:b/>
                <w:color w:val="262626"/>
                <w:sz w:val="18"/>
                <w:szCs w:val="18"/>
                <w:lang w:val="el-GR"/>
              </w:rPr>
              <w:t>αναπροσαρμοσμένα</w:t>
            </w:r>
          </w:p>
        </w:tc>
        <w:tc>
          <w:tcPr>
            <w:tcW w:w="1587" w:type="dxa"/>
            <w:tcBorders>
              <w:top w:val="single" w:sz="6" w:space="0" w:color="000000" w:themeColor="text1"/>
              <w:bottom w:val="double" w:sz="6" w:space="0" w:color="000000" w:themeColor="text1"/>
            </w:tcBorders>
            <w:vAlign w:val="center"/>
          </w:tcPr>
          <w:p w14:paraId="065DB2D3" w14:textId="77777777" w:rsidR="0056738E" w:rsidRPr="0035184C" w:rsidRDefault="0056738E" w:rsidP="007C2AEE">
            <w:pPr>
              <w:tabs>
                <w:tab w:val="left" w:pos="0"/>
                <w:tab w:val="right" w:pos="7560"/>
                <w:tab w:val="right" w:pos="9000"/>
              </w:tabs>
              <w:jc w:val="right"/>
              <w:rPr>
                <w:rFonts w:ascii="Arial" w:hAnsi="Arial" w:cs="Arial"/>
                <w:bCs/>
                <w:sz w:val="18"/>
                <w:szCs w:val="18"/>
                <w:lang w:val="el-GR"/>
              </w:rPr>
            </w:pPr>
            <w:r>
              <w:rPr>
                <w:rFonts w:ascii="Arial" w:hAnsi="Arial" w:cs="Arial"/>
                <w:b/>
                <w:bCs/>
                <w:sz w:val="18"/>
                <w:szCs w:val="18"/>
              </w:rPr>
              <w:t>10,250,090</w:t>
            </w:r>
          </w:p>
        </w:tc>
      </w:tr>
    </w:tbl>
    <w:p w14:paraId="06A04331" w14:textId="77777777" w:rsidR="0056738E" w:rsidRPr="00A03828" w:rsidRDefault="0056738E" w:rsidP="0056738E">
      <w:pPr>
        <w:shd w:val="clear" w:color="auto" w:fill="FFFFFF"/>
        <w:tabs>
          <w:tab w:val="left" w:pos="810"/>
        </w:tabs>
        <w:suppressAutoHyphens/>
        <w:spacing w:after="0" w:line="240" w:lineRule="auto"/>
        <w:jc w:val="both"/>
        <w:rPr>
          <w:rFonts w:ascii="Verdana" w:hAnsi="Verdana"/>
          <w:color w:val="262626"/>
          <w:sz w:val="16"/>
          <w:szCs w:val="18"/>
          <w:lang w:val="el-GR"/>
        </w:rPr>
      </w:pPr>
    </w:p>
    <w:p w14:paraId="4D3E6A4B" w14:textId="77777777" w:rsidR="0056738E" w:rsidRPr="0035184C" w:rsidRDefault="0056738E" w:rsidP="0056738E">
      <w:pPr>
        <w:pStyle w:val="ListParagraph"/>
        <w:numPr>
          <w:ilvl w:val="0"/>
          <w:numId w:val="7"/>
        </w:numPr>
        <w:spacing w:line="360" w:lineRule="auto"/>
        <w:ind w:left="851" w:hanging="851"/>
        <w:rPr>
          <w:rFonts w:ascii="Arial" w:hAnsi="Arial" w:cs="Arial"/>
          <w:b/>
          <w:color w:val="FF9900"/>
          <w:sz w:val="22"/>
          <w:szCs w:val="22"/>
          <w:lang w:val="el-GR"/>
        </w:rPr>
      </w:pPr>
      <w:r w:rsidRPr="0035184C">
        <w:rPr>
          <w:rFonts w:ascii="Arial" w:hAnsi="Arial" w:cs="Arial"/>
          <w:b/>
          <w:color w:val="FF9900"/>
          <w:sz w:val="22"/>
          <w:szCs w:val="22"/>
          <w:lang w:val="el-GR"/>
        </w:rPr>
        <w:t>Συμφιλίωση ΜΕΔ – Αναπροσαρμοσμένα</w:t>
      </w:r>
    </w:p>
    <w:tbl>
      <w:tblPr>
        <w:tblStyle w:val="TableGrid"/>
        <w:tblW w:w="907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8"/>
        <w:gridCol w:w="1417"/>
        <w:gridCol w:w="3643"/>
        <w:gridCol w:w="1565"/>
      </w:tblGrid>
      <w:tr w:rsidR="0056738E" w:rsidRPr="0035184C" w14:paraId="23672026" w14:textId="77777777" w:rsidTr="007C2AEE">
        <w:trPr>
          <w:trHeight w:val="283"/>
          <w:jc w:val="center"/>
        </w:trPr>
        <w:tc>
          <w:tcPr>
            <w:tcW w:w="7508" w:type="dxa"/>
            <w:gridSpan w:val="3"/>
            <w:vMerge w:val="restart"/>
            <w:tcBorders>
              <w:top w:val="single" w:sz="4" w:space="0" w:color="D9D9D9" w:themeColor="background1" w:themeShade="D9"/>
            </w:tcBorders>
            <w:vAlign w:val="center"/>
          </w:tcPr>
          <w:p w14:paraId="6E80A1A0" w14:textId="77777777" w:rsidR="0056738E" w:rsidRPr="0035184C" w:rsidRDefault="0056738E" w:rsidP="007C2AEE">
            <w:pPr>
              <w:tabs>
                <w:tab w:val="left" w:pos="0"/>
                <w:tab w:val="left" w:pos="360"/>
              </w:tabs>
              <w:rPr>
                <w:rFonts w:ascii="Arial" w:hAnsi="Arial" w:cs="Arial"/>
                <w:b/>
                <w:sz w:val="18"/>
                <w:szCs w:val="18"/>
                <w:lang w:val="el-GR"/>
              </w:rPr>
            </w:pPr>
          </w:p>
        </w:tc>
        <w:tc>
          <w:tcPr>
            <w:tcW w:w="1565" w:type="dxa"/>
            <w:tcBorders>
              <w:top w:val="single" w:sz="4" w:space="0" w:color="D9D9D9" w:themeColor="background1" w:themeShade="D9"/>
            </w:tcBorders>
            <w:vAlign w:val="center"/>
          </w:tcPr>
          <w:p w14:paraId="57C563EB" w14:textId="77777777" w:rsidR="0056738E" w:rsidRPr="005D5D89" w:rsidRDefault="0056738E" w:rsidP="007C2AEE">
            <w:pPr>
              <w:jc w:val="center"/>
              <w:rPr>
                <w:rFonts w:ascii="Arial" w:hAnsi="Arial" w:cs="Arial"/>
                <w:b/>
                <w:sz w:val="18"/>
                <w:szCs w:val="18"/>
                <w:lang w:val="el-GR"/>
              </w:rPr>
            </w:pPr>
            <w:r>
              <w:rPr>
                <w:rFonts w:ascii="Arial" w:hAnsi="Arial" w:cs="Arial"/>
                <w:b/>
                <w:sz w:val="18"/>
                <w:szCs w:val="18"/>
                <w:lang w:val="el-GR"/>
              </w:rPr>
              <w:t>30 Σεπτεμβρίου</w:t>
            </w:r>
          </w:p>
          <w:p w14:paraId="4A9724AF" w14:textId="77777777" w:rsidR="0056738E" w:rsidRPr="00A03828" w:rsidRDefault="0056738E" w:rsidP="007C2AEE">
            <w:pPr>
              <w:jc w:val="center"/>
              <w:rPr>
                <w:rFonts w:ascii="Arial" w:hAnsi="Arial" w:cs="Arial"/>
                <w:sz w:val="18"/>
                <w:szCs w:val="18"/>
              </w:rPr>
            </w:pPr>
            <w:r w:rsidRPr="005D5D89">
              <w:rPr>
                <w:rFonts w:ascii="Arial" w:hAnsi="Arial" w:cs="Arial"/>
                <w:b/>
                <w:sz w:val="18"/>
                <w:szCs w:val="18"/>
                <w:lang w:val="el-GR"/>
              </w:rPr>
              <w:t>202</w:t>
            </w:r>
            <w:r>
              <w:rPr>
                <w:rFonts w:ascii="Arial" w:hAnsi="Arial" w:cs="Arial"/>
                <w:b/>
                <w:sz w:val="18"/>
                <w:szCs w:val="18"/>
              </w:rPr>
              <w:t>4</w:t>
            </w:r>
          </w:p>
        </w:tc>
      </w:tr>
      <w:tr w:rsidR="0056738E" w:rsidRPr="0035184C" w14:paraId="526F6D00" w14:textId="77777777" w:rsidTr="007C2AEE">
        <w:trPr>
          <w:trHeight w:val="283"/>
          <w:jc w:val="center"/>
        </w:trPr>
        <w:tc>
          <w:tcPr>
            <w:tcW w:w="7508" w:type="dxa"/>
            <w:gridSpan w:val="3"/>
            <w:vMerge/>
            <w:vAlign w:val="center"/>
          </w:tcPr>
          <w:p w14:paraId="46490BB9" w14:textId="77777777" w:rsidR="0056738E" w:rsidRPr="0035184C" w:rsidRDefault="0056738E" w:rsidP="007C2AEE">
            <w:pPr>
              <w:tabs>
                <w:tab w:val="left" w:pos="0"/>
                <w:tab w:val="right" w:pos="7560"/>
                <w:tab w:val="right" w:pos="9000"/>
              </w:tabs>
              <w:rPr>
                <w:rFonts w:ascii="Arial" w:hAnsi="Arial" w:cs="Arial"/>
                <w:sz w:val="18"/>
                <w:szCs w:val="18"/>
              </w:rPr>
            </w:pPr>
          </w:p>
        </w:tc>
        <w:tc>
          <w:tcPr>
            <w:tcW w:w="1565" w:type="dxa"/>
            <w:vAlign w:val="center"/>
          </w:tcPr>
          <w:p w14:paraId="7B53A1B4" w14:textId="77777777" w:rsidR="0056738E" w:rsidRPr="0035184C" w:rsidRDefault="0056738E" w:rsidP="007C2AEE">
            <w:pPr>
              <w:tabs>
                <w:tab w:val="left" w:pos="0"/>
                <w:tab w:val="right" w:pos="7560"/>
                <w:tab w:val="right" w:pos="9000"/>
              </w:tabs>
              <w:jc w:val="center"/>
              <w:rPr>
                <w:rFonts w:ascii="Arial" w:hAnsi="Arial" w:cs="Arial"/>
                <w:sz w:val="18"/>
                <w:szCs w:val="18"/>
              </w:rPr>
            </w:pPr>
            <w:r w:rsidRPr="00325113">
              <w:rPr>
                <w:rFonts w:ascii="Arial" w:hAnsi="Arial" w:cs="Arial"/>
                <w:b/>
                <w:sz w:val="18"/>
                <w:szCs w:val="18"/>
                <w:lang w:val="el-GR"/>
              </w:rPr>
              <w:t>€000</w:t>
            </w:r>
          </w:p>
        </w:tc>
      </w:tr>
      <w:tr w:rsidR="0056738E" w:rsidRPr="00C0744D" w14:paraId="2E679C82" w14:textId="77777777" w:rsidTr="007C2AEE">
        <w:trPr>
          <w:trHeight w:val="283"/>
          <w:jc w:val="center"/>
        </w:trPr>
        <w:tc>
          <w:tcPr>
            <w:tcW w:w="7508" w:type="dxa"/>
            <w:gridSpan w:val="3"/>
            <w:vAlign w:val="center"/>
          </w:tcPr>
          <w:p w14:paraId="17B58786" w14:textId="77777777" w:rsidR="0056738E" w:rsidRPr="0035184C" w:rsidRDefault="0056738E" w:rsidP="007C2AEE">
            <w:pPr>
              <w:tabs>
                <w:tab w:val="left" w:pos="0"/>
                <w:tab w:val="right" w:pos="7560"/>
                <w:tab w:val="right" w:pos="9000"/>
              </w:tabs>
              <w:jc w:val="both"/>
              <w:rPr>
                <w:rFonts w:ascii="Arial" w:hAnsi="Arial" w:cs="Arial"/>
                <w:b/>
                <w:sz w:val="18"/>
                <w:szCs w:val="18"/>
                <w:lang w:val="el-GR"/>
              </w:rPr>
            </w:pPr>
            <w:r w:rsidRPr="0035184C">
              <w:rPr>
                <w:rFonts w:ascii="Arial" w:hAnsi="Arial" w:cs="Arial"/>
                <w:sz w:val="18"/>
                <w:szCs w:val="18"/>
                <w:lang w:val="el-GR"/>
              </w:rPr>
              <w:t>ΜΕΔ (</w:t>
            </w:r>
            <w:r w:rsidRPr="00A03828">
              <w:rPr>
                <w:rFonts w:ascii="Arial" w:hAnsi="Arial" w:cs="Arial"/>
                <w:i/>
                <w:iCs/>
                <w:sz w:val="18"/>
                <w:szCs w:val="18"/>
                <w:lang w:val="el-GR"/>
              </w:rPr>
              <w:t>ως ο πίνακας 3 πιο πάνω</w:t>
            </w:r>
            <w:r w:rsidRPr="0035184C">
              <w:rPr>
                <w:rFonts w:ascii="Arial" w:hAnsi="Arial" w:cs="Arial"/>
                <w:sz w:val="18"/>
                <w:szCs w:val="18"/>
                <w:lang w:val="el-GR"/>
              </w:rPr>
              <w:t>)</w:t>
            </w:r>
          </w:p>
        </w:tc>
        <w:tc>
          <w:tcPr>
            <w:tcW w:w="1565" w:type="dxa"/>
            <w:vAlign w:val="center"/>
          </w:tcPr>
          <w:p w14:paraId="2A1CD016" w14:textId="77777777" w:rsidR="0056738E" w:rsidRPr="0035184C" w:rsidRDefault="0056738E" w:rsidP="007C2AEE">
            <w:pPr>
              <w:tabs>
                <w:tab w:val="left" w:pos="0"/>
                <w:tab w:val="right" w:pos="7560"/>
                <w:tab w:val="right" w:pos="9000"/>
              </w:tabs>
              <w:jc w:val="right"/>
              <w:rPr>
                <w:rFonts w:ascii="Arial" w:hAnsi="Arial" w:cs="Arial"/>
                <w:bCs/>
                <w:sz w:val="18"/>
                <w:szCs w:val="18"/>
                <w:lang w:val="el-GR"/>
              </w:rPr>
            </w:pPr>
            <w:r>
              <w:rPr>
                <w:rFonts w:ascii="Arial" w:hAnsi="Arial" w:cs="Arial"/>
                <w:b/>
                <w:bCs/>
                <w:sz w:val="18"/>
                <w:szCs w:val="18"/>
              </w:rPr>
              <w:t>273,853</w:t>
            </w:r>
          </w:p>
        </w:tc>
      </w:tr>
      <w:tr w:rsidR="0056738E" w:rsidRPr="0035184C" w14:paraId="440F4C3A" w14:textId="77777777" w:rsidTr="007C2AEE">
        <w:trPr>
          <w:trHeight w:val="283"/>
          <w:jc w:val="center"/>
        </w:trPr>
        <w:tc>
          <w:tcPr>
            <w:tcW w:w="7508" w:type="dxa"/>
            <w:gridSpan w:val="3"/>
            <w:vAlign w:val="center"/>
          </w:tcPr>
          <w:p w14:paraId="57EBE9C3" w14:textId="77777777" w:rsidR="0056738E" w:rsidRPr="0035184C" w:rsidRDefault="0056738E" w:rsidP="007C2AEE">
            <w:pPr>
              <w:tabs>
                <w:tab w:val="left" w:pos="0"/>
                <w:tab w:val="right" w:pos="7560"/>
                <w:tab w:val="right" w:pos="9000"/>
              </w:tabs>
              <w:jc w:val="both"/>
              <w:rPr>
                <w:rFonts w:ascii="Arial" w:hAnsi="Arial" w:cs="Arial"/>
                <w:b/>
                <w:bCs/>
                <w:sz w:val="18"/>
                <w:szCs w:val="18"/>
              </w:rPr>
            </w:pPr>
            <w:r w:rsidRPr="0035184C">
              <w:rPr>
                <w:rFonts w:ascii="Arial" w:hAnsi="Arial" w:cs="Arial"/>
                <w:b/>
                <w:sz w:val="18"/>
                <w:szCs w:val="18"/>
                <w:lang w:val="el-GR"/>
              </w:rPr>
              <w:t>Συμφιλίωση για</w:t>
            </w:r>
            <w:r w:rsidRPr="0035184C">
              <w:rPr>
                <w:rFonts w:ascii="Arial" w:hAnsi="Arial" w:cs="Arial"/>
                <w:b/>
                <w:sz w:val="18"/>
                <w:szCs w:val="18"/>
              </w:rPr>
              <w:t>:</w:t>
            </w:r>
          </w:p>
        </w:tc>
        <w:tc>
          <w:tcPr>
            <w:tcW w:w="1565" w:type="dxa"/>
            <w:vAlign w:val="center"/>
          </w:tcPr>
          <w:p w14:paraId="1073C312" w14:textId="77777777" w:rsidR="0056738E" w:rsidRPr="0035184C" w:rsidRDefault="0056738E" w:rsidP="007C2AEE">
            <w:pPr>
              <w:tabs>
                <w:tab w:val="left" w:pos="0"/>
                <w:tab w:val="right" w:pos="7560"/>
                <w:tab w:val="right" w:pos="9000"/>
              </w:tabs>
              <w:jc w:val="right"/>
              <w:rPr>
                <w:rFonts w:ascii="Arial" w:hAnsi="Arial" w:cs="Arial"/>
                <w:bCs/>
                <w:sz w:val="18"/>
                <w:szCs w:val="18"/>
              </w:rPr>
            </w:pPr>
          </w:p>
        </w:tc>
      </w:tr>
      <w:tr w:rsidR="0056738E" w:rsidRPr="00C0744D" w14:paraId="29F425D7" w14:textId="77777777" w:rsidTr="007C2AEE">
        <w:trPr>
          <w:trHeight w:val="283"/>
          <w:jc w:val="center"/>
        </w:trPr>
        <w:tc>
          <w:tcPr>
            <w:tcW w:w="7508" w:type="dxa"/>
            <w:gridSpan w:val="3"/>
            <w:tcBorders>
              <w:bottom w:val="single" w:sz="4" w:space="0" w:color="D9D9D9" w:themeColor="background1" w:themeShade="D9"/>
            </w:tcBorders>
            <w:vAlign w:val="center"/>
          </w:tcPr>
          <w:p w14:paraId="19EC19E0" w14:textId="77777777" w:rsidR="0056738E" w:rsidRPr="0035184C" w:rsidRDefault="0056738E" w:rsidP="007C2AEE">
            <w:pPr>
              <w:tabs>
                <w:tab w:val="right" w:pos="7560"/>
                <w:tab w:val="right" w:pos="9000"/>
              </w:tabs>
              <w:ind w:left="-2" w:firstLine="2"/>
              <w:jc w:val="both"/>
              <w:rPr>
                <w:rFonts w:ascii="Arial" w:hAnsi="Arial" w:cs="Arial"/>
                <w:bCs/>
                <w:sz w:val="18"/>
                <w:szCs w:val="18"/>
                <w:lang w:val="el-GR"/>
              </w:rPr>
            </w:pPr>
            <w:r>
              <w:rPr>
                <w:rFonts w:ascii="Arial" w:hAnsi="Arial" w:cs="Arial"/>
                <w:sz w:val="18"/>
                <w:szCs w:val="18"/>
                <w:lang w:val="el-GR"/>
              </w:rPr>
              <w:t>Δ</w:t>
            </w:r>
            <w:r w:rsidRPr="0035184C">
              <w:rPr>
                <w:rFonts w:ascii="Arial" w:hAnsi="Arial" w:cs="Arial"/>
                <w:sz w:val="18"/>
                <w:szCs w:val="18"/>
                <w:lang w:val="el-GR"/>
              </w:rPr>
              <w:t>άνεια και απαιτήσεις από πελάτες (ΜΕΔ) που κατέχονται προς πώληση</w:t>
            </w:r>
            <w:r w:rsidRPr="006F5F52">
              <w:rPr>
                <w:rFonts w:ascii="Arial" w:hAnsi="Arial" w:cs="Arial"/>
                <w:sz w:val="18"/>
                <w:szCs w:val="18"/>
                <w:lang w:val="el-GR"/>
              </w:rPr>
              <w:t xml:space="preserve"> </w:t>
            </w:r>
            <w:r w:rsidRPr="0035184C">
              <w:rPr>
                <w:rFonts w:ascii="Arial" w:hAnsi="Arial" w:cs="Arial"/>
                <w:i/>
                <w:sz w:val="18"/>
                <w:szCs w:val="18"/>
                <w:lang w:val="el-GR"/>
              </w:rPr>
              <w:t>(</w:t>
            </w:r>
            <w:r w:rsidRPr="001408D0">
              <w:rPr>
                <w:rFonts w:ascii="Arial" w:hAnsi="Arial" w:cs="Arial"/>
                <w:i/>
                <w:iCs/>
                <w:sz w:val="18"/>
                <w:szCs w:val="18"/>
                <w:lang w:val="el-GR"/>
              </w:rPr>
              <w:t xml:space="preserve">ως ο πίνακας </w:t>
            </w:r>
            <w:r>
              <w:rPr>
                <w:rFonts w:ascii="Arial" w:hAnsi="Arial" w:cs="Arial"/>
                <w:i/>
                <w:sz w:val="18"/>
                <w:szCs w:val="18"/>
                <w:lang w:val="el-GR"/>
              </w:rPr>
              <w:t xml:space="preserve">3 </w:t>
            </w:r>
            <w:r w:rsidRPr="0035184C">
              <w:rPr>
                <w:rFonts w:ascii="Arial" w:hAnsi="Arial" w:cs="Arial"/>
                <w:i/>
                <w:sz w:val="18"/>
                <w:szCs w:val="18"/>
                <w:lang w:val="el-GR"/>
              </w:rPr>
              <w:t xml:space="preserve">πιο </w:t>
            </w:r>
            <w:r>
              <w:rPr>
                <w:rFonts w:ascii="Arial" w:hAnsi="Arial" w:cs="Arial"/>
                <w:i/>
                <w:sz w:val="18"/>
                <w:szCs w:val="18"/>
                <w:lang w:val="el-GR"/>
              </w:rPr>
              <w:t>πάν</w:t>
            </w:r>
            <w:r w:rsidRPr="0035184C">
              <w:rPr>
                <w:rFonts w:ascii="Arial" w:hAnsi="Arial" w:cs="Arial"/>
                <w:i/>
                <w:sz w:val="18"/>
                <w:szCs w:val="18"/>
                <w:lang w:val="el-GR"/>
              </w:rPr>
              <w:t>ω)</w:t>
            </w:r>
          </w:p>
        </w:tc>
        <w:tc>
          <w:tcPr>
            <w:tcW w:w="1565" w:type="dxa"/>
            <w:tcBorders>
              <w:bottom w:val="single" w:sz="4" w:space="0" w:color="D9D9D9" w:themeColor="background1" w:themeShade="D9"/>
            </w:tcBorders>
            <w:vAlign w:val="center"/>
          </w:tcPr>
          <w:p w14:paraId="11A960D2" w14:textId="77777777" w:rsidR="0056738E" w:rsidRPr="0035184C" w:rsidRDefault="0056738E" w:rsidP="007C2AEE">
            <w:pPr>
              <w:tabs>
                <w:tab w:val="left" w:pos="0"/>
                <w:tab w:val="right" w:pos="7560"/>
                <w:tab w:val="right" w:pos="9000"/>
              </w:tabs>
              <w:jc w:val="right"/>
              <w:rPr>
                <w:rFonts w:ascii="Arial" w:hAnsi="Arial" w:cs="Arial"/>
                <w:bCs/>
                <w:sz w:val="18"/>
                <w:szCs w:val="18"/>
                <w:lang w:val="el-GR"/>
              </w:rPr>
            </w:pPr>
            <w:r>
              <w:rPr>
                <w:rFonts w:ascii="Arial" w:hAnsi="Arial" w:cs="Arial"/>
                <w:b/>
                <w:bCs/>
                <w:sz w:val="18"/>
                <w:szCs w:val="18"/>
              </w:rPr>
              <w:t>(26,568)</w:t>
            </w:r>
          </w:p>
        </w:tc>
      </w:tr>
      <w:tr w:rsidR="0056738E" w:rsidRPr="00C0744D" w14:paraId="2F6B9CFE" w14:textId="77777777" w:rsidTr="007C2AEE">
        <w:trPr>
          <w:trHeight w:val="340"/>
          <w:jc w:val="center"/>
        </w:trPr>
        <w:tc>
          <w:tcPr>
            <w:tcW w:w="7508" w:type="dxa"/>
            <w:gridSpan w:val="3"/>
            <w:tcBorders>
              <w:bottom w:val="single" w:sz="4" w:space="0" w:color="D9D9D9" w:themeColor="background1" w:themeShade="D9"/>
            </w:tcBorders>
            <w:vAlign w:val="center"/>
          </w:tcPr>
          <w:p w14:paraId="165C82DF" w14:textId="77777777" w:rsidR="0056738E" w:rsidRPr="0035184C" w:rsidRDefault="0056738E" w:rsidP="007C2AEE">
            <w:pPr>
              <w:tabs>
                <w:tab w:val="left" w:pos="0"/>
                <w:tab w:val="right" w:pos="7560"/>
                <w:tab w:val="right" w:pos="9000"/>
              </w:tabs>
              <w:jc w:val="both"/>
              <w:rPr>
                <w:rFonts w:ascii="Arial" w:hAnsi="Arial" w:cs="Arial"/>
                <w:sz w:val="18"/>
                <w:szCs w:val="18"/>
                <w:lang w:val="el-GR"/>
              </w:rPr>
            </w:pPr>
            <w:r w:rsidRPr="0035184C">
              <w:rPr>
                <w:rFonts w:ascii="Arial" w:hAnsi="Arial" w:cs="Arial"/>
                <w:sz w:val="18"/>
                <w:szCs w:val="18"/>
                <w:lang w:val="el-GR"/>
              </w:rPr>
              <w:t>Εναπομ</w:t>
            </w:r>
            <w:r>
              <w:rPr>
                <w:rFonts w:ascii="Arial" w:hAnsi="Arial" w:cs="Arial"/>
                <w:sz w:val="18"/>
                <w:szCs w:val="18"/>
                <w:lang w:val="el-GR"/>
              </w:rPr>
              <w:t>έ</w:t>
            </w:r>
            <w:r w:rsidRPr="0035184C">
              <w:rPr>
                <w:rFonts w:ascii="Arial" w:hAnsi="Arial" w:cs="Arial"/>
                <w:sz w:val="18"/>
                <w:szCs w:val="18"/>
                <w:lang w:val="el-GR"/>
              </w:rPr>
              <w:t xml:space="preserve">νουσα αναπροσαρμογή στην εύλογη αξία κατά την αρχική αναγνώριση </w:t>
            </w:r>
            <w:r>
              <w:rPr>
                <w:rFonts w:ascii="Arial" w:hAnsi="Arial" w:cs="Arial"/>
                <w:sz w:val="18"/>
                <w:szCs w:val="18"/>
                <w:lang w:val="el-GR"/>
              </w:rPr>
              <w:t>δανείων και</w:t>
            </w:r>
            <w:r w:rsidRPr="0035184C">
              <w:rPr>
                <w:rFonts w:ascii="Arial" w:hAnsi="Arial" w:cs="Arial"/>
                <w:sz w:val="18"/>
                <w:szCs w:val="18"/>
                <w:lang w:val="el-GR"/>
              </w:rPr>
              <w:t xml:space="preserve"> απαιτήσε</w:t>
            </w:r>
            <w:r>
              <w:rPr>
                <w:rFonts w:ascii="Arial" w:hAnsi="Arial" w:cs="Arial"/>
                <w:sz w:val="18"/>
                <w:szCs w:val="18"/>
                <w:lang w:val="el-GR"/>
              </w:rPr>
              <w:t>ων</w:t>
            </w:r>
            <w:r w:rsidRPr="0035184C">
              <w:rPr>
                <w:rFonts w:ascii="Arial" w:hAnsi="Arial" w:cs="Arial"/>
                <w:sz w:val="18"/>
                <w:szCs w:val="18"/>
                <w:lang w:val="el-GR"/>
              </w:rPr>
              <w:t xml:space="preserve"> από πελάτες (ΜΕΔ) που κατέχονται προς πώληση</w:t>
            </w:r>
            <w:r>
              <w:rPr>
                <w:rFonts w:ascii="Arial" w:hAnsi="Arial" w:cs="Arial"/>
                <w:sz w:val="18"/>
                <w:szCs w:val="18"/>
                <w:lang w:val="el-GR"/>
              </w:rPr>
              <w:t xml:space="preserve"> </w:t>
            </w:r>
            <w:r w:rsidRPr="0035184C">
              <w:rPr>
                <w:rFonts w:ascii="Arial" w:hAnsi="Arial" w:cs="Arial"/>
                <w:i/>
                <w:sz w:val="18"/>
                <w:szCs w:val="18"/>
                <w:lang w:val="el-GR"/>
              </w:rPr>
              <w:t>(</w:t>
            </w:r>
            <w:r w:rsidRPr="001408D0">
              <w:rPr>
                <w:rFonts w:ascii="Arial" w:hAnsi="Arial" w:cs="Arial"/>
                <w:i/>
                <w:iCs/>
                <w:sz w:val="18"/>
                <w:szCs w:val="18"/>
                <w:lang w:val="el-GR"/>
              </w:rPr>
              <w:t xml:space="preserve">ως ο πίνακας </w:t>
            </w:r>
            <w:r>
              <w:rPr>
                <w:rFonts w:ascii="Arial" w:hAnsi="Arial" w:cs="Arial"/>
                <w:i/>
                <w:sz w:val="18"/>
                <w:szCs w:val="18"/>
                <w:lang w:val="el-GR"/>
              </w:rPr>
              <w:t xml:space="preserve">3 </w:t>
            </w:r>
            <w:r w:rsidRPr="0035184C">
              <w:rPr>
                <w:rFonts w:ascii="Arial" w:hAnsi="Arial" w:cs="Arial"/>
                <w:i/>
                <w:sz w:val="18"/>
                <w:szCs w:val="18"/>
                <w:lang w:val="el-GR"/>
              </w:rPr>
              <w:t xml:space="preserve">πιο </w:t>
            </w:r>
            <w:r>
              <w:rPr>
                <w:rFonts w:ascii="Arial" w:hAnsi="Arial" w:cs="Arial"/>
                <w:i/>
                <w:sz w:val="18"/>
                <w:szCs w:val="18"/>
                <w:lang w:val="el-GR"/>
              </w:rPr>
              <w:t>πάν</w:t>
            </w:r>
            <w:r w:rsidRPr="0035184C">
              <w:rPr>
                <w:rFonts w:ascii="Arial" w:hAnsi="Arial" w:cs="Arial"/>
                <w:i/>
                <w:sz w:val="18"/>
                <w:szCs w:val="18"/>
                <w:lang w:val="el-GR"/>
              </w:rPr>
              <w:t>ω)</w:t>
            </w:r>
          </w:p>
        </w:tc>
        <w:tc>
          <w:tcPr>
            <w:tcW w:w="1565" w:type="dxa"/>
            <w:tcBorders>
              <w:bottom w:val="single" w:sz="4" w:space="0" w:color="auto"/>
            </w:tcBorders>
            <w:vAlign w:val="center"/>
          </w:tcPr>
          <w:p w14:paraId="76156FB6" w14:textId="77777777" w:rsidR="0056738E" w:rsidRPr="0035184C" w:rsidRDefault="0056738E" w:rsidP="007C2AEE">
            <w:pPr>
              <w:tabs>
                <w:tab w:val="right" w:pos="7560"/>
                <w:tab w:val="right" w:pos="9000"/>
              </w:tabs>
              <w:ind w:left="-108"/>
              <w:jc w:val="right"/>
              <w:rPr>
                <w:rFonts w:ascii="Arial" w:hAnsi="Arial" w:cs="Arial"/>
                <w:bCs/>
                <w:sz w:val="18"/>
                <w:szCs w:val="18"/>
                <w:lang w:val="el-GR"/>
              </w:rPr>
            </w:pPr>
            <w:r>
              <w:rPr>
                <w:rFonts w:ascii="Arial" w:hAnsi="Arial" w:cs="Arial"/>
                <w:b/>
                <w:bCs/>
                <w:sz w:val="18"/>
                <w:szCs w:val="18"/>
              </w:rPr>
              <w:t>(789)</w:t>
            </w:r>
          </w:p>
        </w:tc>
      </w:tr>
      <w:tr w:rsidR="0056738E" w:rsidRPr="0035184C" w14:paraId="2B40A424" w14:textId="77777777" w:rsidTr="007C2AEE">
        <w:trPr>
          <w:trHeight w:val="283"/>
          <w:jc w:val="center"/>
        </w:trPr>
        <w:tc>
          <w:tcPr>
            <w:tcW w:w="7508" w:type="dxa"/>
            <w:gridSpan w:val="3"/>
            <w:tcBorders>
              <w:top w:val="single" w:sz="4" w:space="0" w:color="D9D9D9" w:themeColor="background1" w:themeShade="D9"/>
              <w:bottom w:val="single" w:sz="4" w:space="0" w:color="D9D9D9" w:themeColor="background1" w:themeShade="D9"/>
            </w:tcBorders>
            <w:vAlign w:val="center"/>
          </w:tcPr>
          <w:p w14:paraId="4E728A20" w14:textId="77777777" w:rsidR="0056738E" w:rsidRPr="0035184C" w:rsidRDefault="0056738E" w:rsidP="007C2AEE">
            <w:pPr>
              <w:tabs>
                <w:tab w:val="left" w:pos="0"/>
                <w:tab w:val="right" w:pos="7560"/>
                <w:tab w:val="right" w:pos="9000"/>
              </w:tabs>
              <w:jc w:val="both"/>
              <w:rPr>
                <w:rFonts w:ascii="Arial" w:hAnsi="Arial" w:cs="Arial"/>
                <w:b/>
                <w:sz w:val="18"/>
                <w:szCs w:val="18"/>
              </w:rPr>
            </w:pPr>
            <w:r w:rsidRPr="0035184C">
              <w:rPr>
                <w:rFonts w:ascii="Arial" w:hAnsi="Arial" w:cs="Arial"/>
                <w:b/>
                <w:sz w:val="18"/>
                <w:szCs w:val="18"/>
                <w:lang w:val="el-GR"/>
              </w:rPr>
              <w:t>ΜΕΔ</w:t>
            </w:r>
            <w:r w:rsidRPr="0035184C">
              <w:rPr>
                <w:rFonts w:ascii="Arial" w:hAnsi="Arial" w:cs="Arial"/>
                <w:b/>
                <w:sz w:val="18"/>
                <w:szCs w:val="18"/>
              </w:rPr>
              <w:t xml:space="preserve"> -  </w:t>
            </w:r>
            <w:r w:rsidRPr="0035184C">
              <w:rPr>
                <w:rFonts w:ascii="Arial" w:hAnsi="Arial" w:cs="Arial"/>
                <w:b/>
                <w:color w:val="262626"/>
                <w:sz w:val="18"/>
                <w:szCs w:val="18"/>
                <w:lang w:val="el-GR"/>
              </w:rPr>
              <w:t>αναπροσαρμοσμένα</w:t>
            </w:r>
          </w:p>
        </w:tc>
        <w:tc>
          <w:tcPr>
            <w:tcW w:w="1565" w:type="dxa"/>
            <w:tcBorders>
              <w:top w:val="single" w:sz="4" w:space="0" w:color="auto"/>
              <w:bottom w:val="double" w:sz="6" w:space="0" w:color="auto"/>
            </w:tcBorders>
            <w:vAlign w:val="center"/>
          </w:tcPr>
          <w:p w14:paraId="1B29BCE7" w14:textId="77777777" w:rsidR="0056738E" w:rsidRPr="0035184C" w:rsidRDefault="0056738E" w:rsidP="007C2AEE">
            <w:pPr>
              <w:tabs>
                <w:tab w:val="left" w:pos="0"/>
                <w:tab w:val="right" w:pos="7560"/>
                <w:tab w:val="right" w:pos="9000"/>
              </w:tabs>
              <w:jc w:val="right"/>
              <w:rPr>
                <w:rFonts w:ascii="Arial" w:hAnsi="Arial" w:cs="Arial"/>
                <w:bCs/>
                <w:sz w:val="18"/>
                <w:szCs w:val="18"/>
              </w:rPr>
            </w:pPr>
            <w:r>
              <w:rPr>
                <w:rFonts w:ascii="Arial" w:hAnsi="Arial" w:cs="Arial"/>
                <w:b/>
                <w:bCs/>
                <w:sz w:val="18"/>
                <w:szCs w:val="18"/>
              </w:rPr>
              <w:t>246,496</w:t>
            </w:r>
          </w:p>
        </w:tc>
      </w:tr>
      <w:tr w:rsidR="0056738E" w:rsidRPr="0035184C" w14:paraId="487A68D2" w14:textId="77777777" w:rsidTr="007C2AEE">
        <w:trPr>
          <w:gridAfter w:val="2"/>
          <w:wAfter w:w="5208" w:type="dxa"/>
          <w:trHeight w:val="283"/>
          <w:jc w:val="center"/>
        </w:trPr>
        <w:tc>
          <w:tcPr>
            <w:tcW w:w="2448" w:type="dxa"/>
            <w:tcBorders>
              <w:top w:val="single" w:sz="4" w:space="0" w:color="BFBFBF" w:themeColor="background1" w:themeShade="BF"/>
              <w:left w:val="nil"/>
              <w:bottom w:val="nil"/>
              <w:right w:val="nil"/>
            </w:tcBorders>
            <w:vAlign w:val="center"/>
          </w:tcPr>
          <w:p w14:paraId="69E5B1B9" w14:textId="77777777" w:rsidR="0056738E" w:rsidRPr="0035184C" w:rsidRDefault="0056738E" w:rsidP="007C2AEE">
            <w:pPr>
              <w:tabs>
                <w:tab w:val="left" w:pos="0"/>
                <w:tab w:val="right" w:pos="7560"/>
                <w:tab w:val="right" w:pos="9000"/>
              </w:tabs>
              <w:jc w:val="right"/>
              <w:rPr>
                <w:rFonts w:ascii="Arial" w:hAnsi="Arial" w:cs="Arial"/>
                <w:bCs/>
                <w:sz w:val="18"/>
                <w:szCs w:val="18"/>
              </w:rPr>
            </w:pPr>
          </w:p>
        </w:tc>
        <w:tc>
          <w:tcPr>
            <w:tcW w:w="1417" w:type="dxa"/>
            <w:tcBorders>
              <w:top w:val="single" w:sz="4" w:space="0" w:color="BFBFBF" w:themeColor="background1" w:themeShade="BF"/>
              <w:left w:val="nil"/>
              <w:bottom w:val="nil"/>
              <w:right w:val="nil"/>
            </w:tcBorders>
            <w:vAlign w:val="center"/>
          </w:tcPr>
          <w:p w14:paraId="2BDFEC56" w14:textId="77777777" w:rsidR="0056738E" w:rsidRDefault="0056738E" w:rsidP="007C2AEE">
            <w:pPr>
              <w:tabs>
                <w:tab w:val="left" w:pos="0"/>
                <w:tab w:val="right" w:pos="7560"/>
                <w:tab w:val="right" w:pos="9000"/>
              </w:tabs>
              <w:jc w:val="right"/>
              <w:rPr>
                <w:rFonts w:ascii="Arial" w:hAnsi="Arial" w:cs="Arial"/>
                <w:bCs/>
                <w:sz w:val="18"/>
                <w:szCs w:val="18"/>
              </w:rPr>
            </w:pPr>
          </w:p>
        </w:tc>
      </w:tr>
      <w:tr w:rsidR="0056738E" w:rsidRPr="0035184C" w14:paraId="19D20CD9" w14:textId="77777777" w:rsidTr="007C2AEE">
        <w:trPr>
          <w:trHeight w:val="576"/>
          <w:jc w:val="center"/>
        </w:trPr>
        <w:tc>
          <w:tcPr>
            <w:tcW w:w="7508" w:type="dxa"/>
            <w:gridSpan w:val="3"/>
            <w:vAlign w:val="center"/>
          </w:tcPr>
          <w:p w14:paraId="1B14285E" w14:textId="77777777" w:rsidR="0056738E" w:rsidRPr="0035184C" w:rsidRDefault="0056738E" w:rsidP="007C2AEE">
            <w:pPr>
              <w:tabs>
                <w:tab w:val="left" w:pos="0"/>
                <w:tab w:val="left" w:pos="360"/>
              </w:tabs>
              <w:rPr>
                <w:rFonts w:ascii="Arial" w:hAnsi="Arial" w:cs="Arial"/>
                <w:b/>
                <w:sz w:val="18"/>
                <w:szCs w:val="18"/>
                <w:lang w:val="el-GR"/>
              </w:rPr>
            </w:pPr>
            <w:r>
              <w:rPr>
                <w:rFonts w:ascii="Arial" w:hAnsi="Arial" w:cs="Arial"/>
                <w:b/>
                <w:color w:val="000000"/>
                <w:sz w:val="18"/>
                <w:szCs w:val="18"/>
                <w:lang w:val="el-GR"/>
              </w:rPr>
              <w:t>Ποσοστό δανείων σε</w:t>
            </w:r>
            <w:r w:rsidRPr="0035184C">
              <w:rPr>
                <w:rFonts w:ascii="Arial" w:hAnsi="Arial" w:cs="Arial"/>
                <w:b/>
                <w:color w:val="000000"/>
                <w:sz w:val="18"/>
                <w:szCs w:val="18"/>
                <w:lang w:val="el-GR"/>
              </w:rPr>
              <w:t xml:space="preserve"> ΜΕΔ</w:t>
            </w:r>
            <w:r w:rsidRPr="0035184C">
              <w:rPr>
                <w:rFonts w:ascii="Arial" w:hAnsi="Arial" w:cs="Arial"/>
                <w:b/>
                <w:sz w:val="18"/>
                <w:szCs w:val="18"/>
                <w:lang w:val="el-GR"/>
              </w:rPr>
              <w:t xml:space="preserve"> – </w:t>
            </w:r>
            <w:r w:rsidRPr="0035184C">
              <w:rPr>
                <w:rFonts w:ascii="Arial" w:hAnsi="Arial" w:cs="Arial"/>
                <w:b/>
                <w:color w:val="262626"/>
                <w:sz w:val="18"/>
                <w:szCs w:val="18"/>
                <w:lang w:val="el-GR"/>
              </w:rPr>
              <w:t>Αναπροσαρμοσμέν</w:t>
            </w:r>
            <w:r>
              <w:rPr>
                <w:rFonts w:ascii="Arial" w:hAnsi="Arial" w:cs="Arial"/>
                <w:b/>
                <w:color w:val="262626"/>
                <w:sz w:val="18"/>
                <w:szCs w:val="18"/>
                <w:lang w:val="el-GR"/>
              </w:rPr>
              <w:t>ος</w:t>
            </w:r>
            <w:r w:rsidRPr="0035184C" w:rsidDel="001414E1">
              <w:rPr>
                <w:rFonts w:ascii="Arial" w:hAnsi="Arial" w:cs="Arial"/>
                <w:b/>
                <w:color w:val="000000"/>
                <w:sz w:val="18"/>
                <w:szCs w:val="18"/>
                <w:lang w:val="el-GR"/>
              </w:rPr>
              <w:t xml:space="preserve"> </w:t>
            </w:r>
          </w:p>
        </w:tc>
        <w:tc>
          <w:tcPr>
            <w:tcW w:w="1565" w:type="dxa"/>
            <w:vAlign w:val="center"/>
          </w:tcPr>
          <w:p w14:paraId="6F5D5D16" w14:textId="77777777" w:rsidR="0056738E" w:rsidRPr="005D5D89" w:rsidRDefault="0056738E" w:rsidP="007C2AEE">
            <w:pPr>
              <w:jc w:val="center"/>
              <w:rPr>
                <w:rFonts w:ascii="Arial" w:hAnsi="Arial" w:cs="Arial"/>
                <w:b/>
                <w:sz w:val="18"/>
                <w:szCs w:val="18"/>
                <w:lang w:val="el-GR"/>
              </w:rPr>
            </w:pPr>
            <w:r>
              <w:rPr>
                <w:rFonts w:ascii="Arial" w:hAnsi="Arial" w:cs="Arial"/>
                <w:b/>
                <w:sz w:val="18"/>
                <w:szCs w:val="18"/>
                <w:lang w:val="el-GR"/>
              </w:rPr>
              <w:t>30 Σεπτεμβρίου</w:t>
            </w:r>
          </w:p>
          <w:p w14:paraId="6BC90502" w14:textId="77777777" w:rsidR="0056738E" w:rsidRPr="0035184C" w:rsidRDefault="0056738E" w:rsidP="007C2AEE">
            <w:pPr>
              <w:jc w:val="center"/>
              <w:rPr>
                <w:rFonts w:ascii="Arial" w:hAnsi="Arial" w:cs="Arial"/>
                <w:sz w:val="18"/>
                <w:szCs w:val="18"/>
                <w:lang w:val="el-GR"/>
              </w:rPr>
            </w:pPr>
            <w:r w:rsidRPr="005D5D89">
              <w:rPr>
                <w:rFonts w:ascii="Arial" w:hAnsi="Arial" w:cs="Arial"/>
                <w:b/>
                <w:sz w:val="18"/>
                <w:szCs w:val="18"/>
                <w:lang w:val="el-GR"/>
              </w:rPr>
              <w:t>202</w:t>
            </w:r>
            <w:r>
              <w:rPr>
                <w:rFonts w:ascii="Arial" w:hAnsi="Arial" w:cs="Arial"/>
                <w:b/>
                <w:sz w:val="18"/>
                <w:szCs w:val="18"/>
              </w:rPr>
              <w:t>4</w:t>
            </w:r>
          </w:p>
        </w:tc>
      </w:tr>
      <w:tr w:rsidR="0056738E" w:rsidRPr="00C0744D" w14:paraId="5022BCE8" w14:textId="77777777" w:rsidTr="007C2AEE">
        <w:trPr>
          <w:trHeight w:val="283"/>
          <w:jc w:val="center"/>
        </w:trPr>
        <w:tc>
          <w:tcPr>
            <w:tcW w:w="7508" w:type="dxa"/>
            <w:gridSpan w:val="3"/>
            <w:vAlign w:val="center"/>
          </w:tcPr>
          <w:p w14:paraId="2A43A2B2" w14:textId="77777777" w:rsidR="0056738E" w:rsidRPr="0035184C" w:rsidRDefault="0056738E" w:rsidP="007C2AEE">
            <w:pPr>
              <w:tabs>
                <w:tab w:val="left" w:pos="0"/>
                <w:tab w:val="right" w:pos="7560"/>
                <w:tab w:val="right" w:pos="9000"/>
              </w:tabs>
              <w:rPr>
                <w:rFonts w:ascii="Arial" w:hAnsi="Arial" w:cs="Arial"/>
                <w:b/>
                <w:sz w:val="18"/>
                <w:szCs w:val="18"/>
                <w:lang w:val="el-GR"/>
              </w:rPr>
            </w:pPr>
            <w:r w:rsidRPr="0035184C">
              <w:rPr>
                <w:rFonts w:ascii="Arial" w:hAnsi="Arial" w:cs="Arial"/>
                <w:sz w:val="18"/>
                <w:szCs w:val="18"/>
                <w:lang w:val="el-GR"/>
              </w:rPr>
              <w:t xml:space="preserve">ΜΕΔ - </w:t>
            </w:r>
            <w:r w:rsidRPr="0035184C">
              <w:rPr>
                <w:rFonts w:ascii="Arial" w:hAnsi="Arial" w:cs="Arial"/>
                <w:color w:val="262626"/>
                <w:sz w:val="18"/>
                <w:szCs w:val="18"/>
                <w:lang w:val="el-GR"/>
              </w:rPr>
              <w:t>Αναπροσαρμοσμένα</w:t>
            </w:r>
            <w:r w:rsidRPr="0035184C">
              <w:rPr>
                <w:rFonts w:ascii="Arial" w:hAnsi="Arial" w:cs="Arial"/>
                <w:sz w:val="18"/>
                <w:szCs w:val="18"/>
                <w:lang w:val="el-GR"/>
              </w:rPr>
              <w:t xml:space="preserve"> </w:t>
            </w:r>
            <w:r w:rsidRPr="0035184C">
              <w:rPr>
                <w:rFonts w:ascii="Arial" w:hAnsi="Arial" w:cs="Arial"/>
                <w:color w:val="000000"/>
                <w:sz w:val="18"/>
                <w:szCs w:val="18"/>
                <w:lang w:val="el-GR"/>
              </w:rPr>
              <w:t>(</w:t>
            </w:r>
            <w:r w:rsidRPr="00A03828">
              <w:rPr>
                <w:rFonts w:ascii="Arial" w:hAnsi="Arial" w:cs="Arial"/>
                <w:i/>
                <w:iCs/>
                <w:color w:val="000000"/>
                <w:sz w:val="18"/>
                <w:szCs w:val="18"/>
                <w:lang w:val="el-GR"/>
              </w:rPr>
              <w:t>ως ο πίνακας πιο πάνω</w:t>
            </w:r>
            <w:r w:rsidRPr="0035184C">
              <w:rPr>
                <w:rFonts w:ascii="Arial" w:hAnsi="Arial" w:cs="Arial"/>
                <w:color w:val="000000"/>
                <w:sz w:val="18"/>
                <w:szCs w:val="18"/>
                <w:lang w:val="el-GR"/>
              </w:rPr>
              <w:t>)</w:t>
            </w:r>
            <w:r w:rsidRPr="0035184C">
              <w:rPr>
                <w:rFonts w:ascii="Arial" w:hAnsi="Arial" w:cs="Arial"/>
                <w:sz w:val="18"/>
                <w:szCs w:val="18"/>
                <w:lang w:val="el-GR"/>
              </w:rPr>
              <w:t xml:space="preserve"> (€000)</w:t>
            </w:r>
          </w:p>
        </w:tc>
        <w:tc>
          <w:tcPr>
            <w:tcW w:w="1565" w:type="dxa"/>
            <w:vAlign w:val="center"/>
          </w:tcPr>
          <w:p w14:paraId="7FC55389" w14:textId="77777777" w:rsidR="0056738E" w:rsidRPr="0035184C" w:rsidRDefault="0056738E" w:rsidP="007C2AEE">
            <w:pPr>
              <w:tabs>
                <w:tab w:val="left" w:pos="0"/>
                <w:tab w:val="right" w:pos="7560"/>
                <w:tab w:val="right" w:pos="9000"/>
              </w:tabs>
              <w:jc w:val="right"/>
              <w:rPr>
                <w:rFonts w:ascii="Arial" w:hAnsi="Arial" w:cs="Arial"/>
                <w:bCs/>
                <w:sz w:val="18"/>
                <w:szCs w:val="18"/>
                <w:lang w:val="el-GR"/>
              </w:rPr>
            </w:pPr>
            <w:r>
              <w:rPr>
                <w:rFonts w:ascii="Arial" w:hAnsi="Arial" w:cs="Arial"/>
                <w:b/>
                <w:bCs/>
                <w:sz w:val="18"/>
                <w:szCs w:val="18"/>
              </w:rPr>
              <w:t>246,496</w:t>
            </w:r>
          </w:p>
        </w:tc>
      </w:tr>
      <w:tr w:rsidR="0056738E" w:rsidRPr="00C0744D" w14:paraId="3680DE12" w14:textId="77777777" w:rsidTr="007C2AEE">
        <w:trPr>
          <w:trHeight w:val="283"/>
          <w:jc w:val="center"/>
        </w:trPr>
        <w:tc>
          <w:tcPr>
            <w:tcW w:w="7508" w:type="dxa"/>
            <w:gridSpan w:val="3"/>
            <w:tcBorders>
              <w:bottom w:val="single" w:sz="4" w:space="0" w:color="D9D9D9" w:themeColor="background1" w:themeShade="D9"/>
            </w:tcBorders>
            <w:vAlign w:val="center"/>
          </w:tcPr>
          <w:p w14:paraId="5FB60026" w14:textId="77777777" w:rsidR="0056738E" w:rsidRPr="0035184C" w:rsidRDefault="0056738E" w:rsidP="007C2AEE">
            <w:pPr>
              <w:tabs>
                <w:tab w:val="left" w:pos="0"/>
                <w:tab w:val="right" w:pos="7560"/>
                <w:tab w:val="right" w:pos="9000"/>
              </w:tabs>
              <w:rPr>
                <w:rFonts w:ascii="Arial" w:hAnsi="Arial" w:cs="Arial"/>
                <w:bCs/>
                <w:sz w:val="18"/>
                <w:szCs w:val="18"/>
                <w:lang w:val="el-GR"/>
              </w:rPr>
            </w:pPr>
            <w:r w:rsidRPr="0035184C">
              <w:rPr>
                <w:rFonts w:ascii="Arial" w:hAnsi="Arial" w:cs="Arial"/>
                <w:sz w:val="18"/>
                <w:szCs w:val="18"/>
                <w:lang w:val="el-GR"/>
              </w:rPr>
              <w:t xml:space="preserve">Μεικτά δάνεια και απαιτήσεις από πελάτες - </w:t>
            </w:r>
            <w:r w:rsidRPr="0035184C">
              <w:rPr>
                <w:rFonts w:ascii="Arial" w:hAnsi="Arial" w:cs="Arial"/>
                <w:color w:val="262626"/>
                <w:sz w:val="18"/>
                <w:szCs w:val="18"/>
                <w:lang w:val="el-GR"/>
              </w:rPr>
              <w:t>Αναπροσαρμοσμένα</w:t>
            </w:r>
            <w:r w:rsidRPr="0035184C">
              <w:rPr>
                <w:rFonts w:ascii="Arial" w:hAnsi="Arial" w:cs="Arial"/>
                <w:sz w:val="18"/>
                <w:szCs w:val="18"/>
                <w:lang w:val="el-GR"/>
              </w:rPr>
              <w:t xml:space="preserve"> (</w:t>
            </w:r>
            <w:r w:rsidRPr="00A03828">
              <w:rPr>
                <w:rFonts w:ascii="Arial" w:hAnsi="Arial" w:cs="Arial"/>
                <w:i/>
                <w:iCs/>
                <w:sz w:val="18"/>
                <w:szCs w:val="18"/>
                <w:lang w:val="el-GR"/>
              </w:rPr>
              <w:t>ως ο πίνακας 4 πιο πάνω</w:t>
            </w:r>
            <w:r w:rsidRPr="0035184C">
              <w:rPr>
                <w:rFonts w:ascii="Arial" w:hAnsi="Arial" w:cs="Arial"/>
                <w:sz w:val="18"/>
                <w:szCs w:val="18"/>
                <w:lang w:val="el-GR"/>
              </w:rPr>
              <w:t>) (€000)</w:t>
            </w:r>
          </w:p>
        </w:tc>
        <w:tc>
          <w:tcPr>
            <w:tcW w:w="1565" w:type="dxa"/>
            <w:tcBorders>
              <w:bottom w:val="single" w:sz="4" w:space="0" w:color="D9D9D9" w:themeColor="background1" w:themeShade="D9"/>
            </w:tcBorders>
            <w:vAlign w:val="center"/>
          </w:tcPr>
          <w:p w14:paraId="643092E9" w14:textId="77777777" w:rsidR="0056738E" w:rsidRPr="0035184C" w:rsidRDefault="0056738E" w:rsidP="007C2AEE">
            <w:pPr>
              <w:tabs>
                <w:tab w:val="left" w:pos="0"/>
                <w:tab w:val="right" w:pos="7560"/>
                <w:tab w:val="right" w:pos="9000"/>
              </w:tabs>
              <w:jc w:val="right"/>
              <w:rPr>
                <w:rFonts w:ascii="Arial" w:hAnsi="Arial" w:cs="Arial"/>
                <w:bCs/>
                <w:sz w:val="18"/>
                <w:szCs w:val="18"/>
                <w:lang w:val="el-GR"/>
              </w:rPr>
            </w:pPr>
            <w:r>
              <w:rPr>
                <w:rFonts w:ascii="Arial" w:hAnsi="Arial" w:cs="Arial"/>
                <w:b/>
                <w:bCs/>
                <w:sz w:val="18"/>
                <w:szCs w:val="18"/>
              </w:rPr>
              <w:t>10,250,090</w:t>
            </w:r>
          </w:p>
        </w:tc>
      </w:tr>
      <w:tr w:rsidR="0056738E" w:rsidRPr="00C0744D" w14:paraId="36374E33" w14:textId="77777777" w:rsidTr="007C2AEE">
        <w:trPr>
          <w:trHeight w:val="283"/>
          <w:jc w:val="center"/>
        </w:trPr>
        <w:tc>
          <w:tcPr>
            <w:tcW w:w="7508" w:type="dxa"/>
            <w:gridSpan w:val="3"/>
            <w:tcBorders>
              <w:bottom w:val="single" w:sz="4" w:space="0" w:color="D9D9D9" w:themeColor="background1" w:themeShade="D9"/>
            </w:tcBorders>
            <w:vAlign w:val="center"/>
          </w:tcPr>
          <w:p w14:paraId="08D421D3" w14:textId="77777777" w:rsidR="0056738E" w:rsidRPr="0035184C" w:rsidRDefault="0056738E" w:rsidP="007C2AEE">
            <w:pPr>
              <w:tabs>
                <w:tab w:val="left" w:pos="0"/>
                <w:tab w:val="right" w:pos="7560"/>
                <w:tab w:val="right" w:pos="9000"/>
              </w:tabs>
              <w:rPr>
                <w:rFonts w:ascii="Arial" w:hAnsi="Arial" w:cs="Arial"/>
                <w:sz w:val="18"/>
                <w:szCs w:val="18"/>
                <w:lang w:val="el-GR"/>
              </w:rPr>
            </w:pPr>
            <w:r w:rsidRPr="0035184C">
              <w:rPr>
                <w:rFonts w:ascii="Arial" w:hAnsi="Arial" w:cs="Arial"/>
                <w:sz w:val="18"/>
                <w:szCs w:val="18"/>
                <w:lang w:val="el-GR"/>
              </w:rPr>
              <w:t xml:space="preserve">Δείκτης ΜΕΔ/Μεικτά δάνεια – </w:t>
            </w:r>
            <w:r w:rsidRPr="0035184C">
              <w:rPr>
                <w:rFonts w:ascii="Arial" w:hAnsi="Arial" w:cs="Arial"/>
                <w:color w:val="262626"/>
                <w:sz w:val="18"/>
                <w:szCs w:val="18"/>
                <w:lang w:val="el-GR"/>
              </w:rPr>
              <w:t>Αναπροσαρμοσμέν</w:t>
            </w:r>
            <w:r>
              <w:rPr>
                <w:rFonts w:ascii="Arial" w:hAnsi="Arial" w:cs="Arial"/>
                <w:color w:val="262626"/>
                <w:sz w:val="18"/>
                <w:szCs w:val="18"/>
                <w:lang w:val="el-GR"/>
              </w:rPr>
              <w:t>ος</w:t>
            </w:r>
            <w:r w:rsidRPr="0035184C">
              <w:rPr>
                <w:rFonts w:ascii="Arial" w:hAnsi="Arial" w:cs="Arial"/>
                <w:color w:val="262626"/>
                <w:sz w:val="18"/>
                <w:szCs w:val="18"/>
                <w:lang w:val="el-GR"/>
              </w:rPr>
              <w:t xml:space="preserve"> </w:t>
            </w:r>
            <w:r w:rsidRPr="0035184C">
              <w:rPr>
                <w:rFonts w:ascii="Arial" w:hAnsi="Arial" w:cs="Arial"/>
                <w:sz w:val="18"/>
                <w:szCs w:val="18"/>
                <w:lang w:val="el-GR"/>
              </w:rPr>
              <w:t>(%)</w:t>
            </w:r>
          </w:p>
        </w:tc>
        <w:tc>
          <w:tcPr>
            <w:tcW w:w="1565" w:type="dxa"/>
            <w:tcBorders>
              <w:bottom w:val="single" w:sz="4" w:space="0" w:color="D9D9D9" w:themeColor="background1" w:themeShade="D9"/>
            </w:tcBorders>
            <w:vAlign w:val="center"/>
          </w:tcPr>
          <w:p w14:paraId="4D22417E" w14:textId="77777777" w:rsidR="0056738E" w:rsidRPr="0035184C" w:rsidRDefault="0056738E" w:rsidP="007C2AEE">
            <w:pPr>
              <w:tabs>
                <w:tab w:val="right" w:pos="7560"/>
                <w:tab w:val="right" w:pos="9000"/>
              </w:tabs>
              <w:ind w:left="-108"/>
              <w:jc w:val="right"/>
              <w:rPr>
                <w:rFonts w:ascii="Arial" w:hAnsi="Arial" w:cs="Arial"/>
                <w:bCs/>
                <w:sz w:val="18"/>
                <w:szCs w:val="18"/>
                <w:lang w:val="el-GR"/>
              </w:rPr>
            </w:pPr>
            <w:r>
              <w:rPr>
                <w:rFonts w:ascii="Arial" w:hAnsi="Arial" w:cs="Arial"/>
                <w:b/>
                <w:bCs/>
                <w:sz w:val="18"/>
                <w:szCs w:val="18"/>
              </w:rPr>
              <w:t>2.4%</w:t>
            </w:r>
          </w:p>
        </w:tc>
      </w:tr>
    </w:tbl>
    <w:p w14:paraId="02BFC2B0" w14:textId="77777777" w:rsidR="0056738E" w:rsidRPr="00E33BDA" w:rsidRDefault="0056738E" w:rsidP="0056738E">
      <w:pPr>
        <w:shd w:val="clear" w:color="auto" w:fill="FFFFFF"/>
        <w:tabs>
          <w:tab w:val="left" w:pos="810"/>
        </w:tabs>
        <w:suppressAutoHyphens/>
        <w:spacing w:after="0" w:line="240" w:lineRule="auto"/>
        <w:jc w:val="both"/>
        <w:rPr>
          <w:rFonts w:ascii="Verdana" w:hAnsi="Verdana"/>
          <w:color w:val="262626"/>
          <w:sz w:val="16"/>
          <w:szCs w:val="18"/>
          <w:lang w:val="el-GR"/>
        </w:rPr>
      </w:pPr>
    </w:p>
    <w:p w14:paraId="119C8A58" w14:textId="77777777" w:rsidR="0056738E" w:rsidRPr="00C42B7D" w:rsidRDefault="0056738E" w:rsidP="0056738E">
      <w:pPr>
        <w:numPr>
          <w:ilvl w:val="0"/>
          <w:numId w:val="7"/>
        </w:numPr>
        <w:shd w:val="clear" w:color="auto" w:fill="FFFFFF"/>
        <w:suppressAutoHyphens/>
        <w:spacing w:after="0" w:line="360" w:lineRule="auto"/>
        <w:ind w:left="851" w:hanging="851"/>
        <w:jc w:val="both"/>
        <w:rPr>
          <w:rFonts w:ascii="Arial" w:eastAsia="Times New Roman" w:hAnsi="Arial" w:cs="Arial"/>
          <w:b/>
          <w:color w:val="FF9900"/>
          <w:lang w:val="el-GR"/>
        </w:rPr>
      </w:pPr>
      <w:r w:rsidRPr="00C42B7D">
        <w:rPr>
          <w:rFonts w:ascii="Arial" w:eastAsia="Times New Roman" w:hAnsi="Arial" w:cs="Arial"/>
          <w:b/>
          <w:color w:val="FF9900"/>
          <w:lang w:val="el-GR"/>
        </w:rPr>
        <w:t>Συμφιλίωση Πιστωτικών ζημιών δανείων</w:t>
      </w:r>
    </w:p>
    <w:tbl>
      <w:tblPr>
        <w:tblStyle w:val="TableGrid2"/>
        <w:tblW w:w="9067"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954"/>
        <w:gridCol w:w="1559"/>
        <w:gridCol w:w="1554"/>
      </w:tblGrid>
      <w:tr w:rsidR="0056738E" w:rsidRPr="00855784" w14:paraId="7EF7E68A" w14:textId="77777777" w:rsidTr="007C2AEE">
        <w:trPr>
          <w:trHeight w:val="283"/>
          <w:jc w:val="center"/>
        </w:trPr>
        <w:tc>
          <w:tcPr>
            <w:tcW w:w="5954" w:type="dxa"/>
            <w:vAlign w:val="center"/>
          </w:tcPr>
          <w:p w14:paraId="3D74127C" w14:textId="77777777" w:rsidR="0056738E" w:rsidRPr="004946E8" w:rsidRDefault="0056738E" w:rsidP="007C2AEE">
            <w:pPr>
              <w:tabs>
                <w:tab w:val="left" w:pos="0"/>
                <w:tab w:val="right" w:pos="7560"/>
                <w:tab w:val="right" w:pos="9000"/>
              </w:tabs>
              <w:rPr>
                <w:rFonts w:ascii="Verdana" w:hAnsi="Verdana" w:cs="Arial"/>
                <w:sz w:val="18"/>
                <w:szCs w:val="18"/>
              </w:rPr>
            </w:pPr>
          </w:p>
        </w:tc>
        <w:tc>
          <w:tcPr>
            <w:tcW w:w="3113" w:type="dxa"/>
            <w:gridSpan w:val="2"/>
            <w:shd w:val="clear" w:color="auto" w:fill="auto"/>
            <w:vAlign w:val="center"/>
          </w:tcPr>
          <w:p w14:paraId="28F5F897" w14:textId="77777777" w:rsidR="0056738E" w:rsidRDefault="0056738E" w:rsidP="007C2AEE">
            <w:pPr>
              <w:ind w:left="-31" w:right="-65"/>
              <w:jc w:val="center"/>
              <w:rPr>
                <w:rFonts w:ascii="Arial" w:hAnsi="Arial" w:cs="Arial"/>
                <w:b/>
                <w:bCs/>
                <w:sz w:val="18"/>
                <w:szCs w:val="18"/>
                <w:lang w:val="el-GR"/>
              </w:rPr>
            </w:pPr>
            <w:r>
              <w:rPr>
                <w:rFonts w:ascii="Arial" w:hAnsi="Arial" w:cs="Arial"/>
                <w:b/>
                <w:bCs/>
                <w:sz w:val="18"/>
                <w:szCs w:val="18"/>
                <w:lang w:val="el-GR"/>
              </w:rPr>
              <w:t>Εννεάμηνο</w:t>
            </w:r>
            <w:r w:rsidRPr="000221F4">
              <w:rPr>
                <w:rFonts w:ascii="Arial" w:hAnsi="Arial" w:cs="Arial"/>
                <w:b/>
                <w:bCs/>
                <w:sz w:val="18"/>
                <w:szCs w:val="18"/>
                <w:lang w:val="el-GR"/>
              </w:rPr>
              <w:t xml:space="preserve"> </w:t>
            </w:r>
            <w:r w:rsidRPr="00C42B7D">
              <w:rPr>
                <w:rFonts w:ascii="Arial" w:hAnsi="Arial" w:cs="Arial"/>
                <w:b/>
                <w:bCs/>
                <w:sz w:val="18"/>
                <w:szCs w:val="18"/>
                <w:lang w:val="el-GR"/>
              </w:rPr>
              <w:t xml:space="preserve">που έληξε στις </w:t>
            </w:r>
          </w:p>
          <w:p w14:paraId="7F4E6EA7" w14:textId="77777777" w:rsidR="0056738E" w:rsidRPr="00C42B7D" w:rsidRDefault="0056738E" w:rsidP="007C2AEE">
            <w:pPr>
              <w:ind w:left="-31" w:right="-65"/>
              <w:jc w:val="center"/>
              <w:rPr>
                <w:rFonts w:ascii="Arial" w:hAnsi="Arial" w:cs="Arial"/>
                <w:b/>
                <w:bCs/>
                <w:sz w:val="18"/>
                <w:szCs w:val="18"/>
                <w:lang w:val="el-GR"/>
              </w:rPr>
            </w:pPr>
            <w:r w:rsidRPr="00331BC0">
              <w:rPr>
                <w:rFonts w:ascii="Arial" w:hAnsi="Arial" w:cs="Arial"/>
                <w:b/>
                <w:sz w:val="18"/>
                <w:szCs w:val="18"/>
                <w:lang w:val="el-GR"/>
              </w:rPr>
              <w:t>30 Σεπτεμβρίου</w:t>
            </w:r>
          </w:p>
        </w:tc>
      </w:tr>
      <w:tr w:rsidR="0056738E" w:rsidRPr="004946E8" w14:paraId="3D3F7FE4" w14:textId="77777777" w:rsidTr="007C2AEE">
        <w:trPr>
          <w:trHeight w:val="283"/>
          <w:jc w:val="center"/>
        </w:trPr>
        <w:tc>
          <w:tcPr>
            <w:tcW w:w="5954" w:type="dxa"/>
            <w:vMerge w:val="restart"/>
            <w:vAlign w:val="center"/>
          </w:tcPr>
          <w:p w14:paraId="07542F4D" w14:textId="77777777" w:rsidR="0056738E" w:rsidRPr="004946E8" w:rsidRDefault="0056738E" w:rsidP="007C2AEE">
            <w:pPr>
              <w:tabs>
                <w:tab w:val="left" w:pos="0"/>
                <w:tab w:val="right" w:pos="7560"/>
                <w:tab w:val="right" w:pos="9000"/>
              </w:tabs>
              <w:rPr>
                <w:rFonts w:ascii="Verdana" w:hAnsi="Verdana" w:cs="Arial"/>
                <w:sz w:val="18"/>
                <w:szCs w:val="18"/>
                <w:lang w:val="el-GR"/>
              </w:rPr>
            </w:pPr>
          </w:p>
        </w:tc>
        <w:tc>
          <w:tcPr>
            <w:tcW w:w="1559" w:type="dxa"/>
            <w:shd w:val="clear" w:color="auto" w:fill="auto"/>
            <w:vAlign w:val="center"/>
          </w:tcPr>
          <w:p w14:paraId="43A7577E" w14:textId="77777777" w:rsidR="0056738E" w:rsidRPr="00C42B7D" w:rsidRDefault="0056738E" w:rsidP="007C2AEE">
            <w:pPr>
              <w:tabs>
                <w:tab w:val="left" w:pos="0"/>
                <w:tab w:val="right" w:pos="7560"/>
                <w:tab w:val="right" w:pos="9000"/>
              </w:tabs>
              <w:jc w:val="center"/>
              <w:rPr>
                <w:rFonts w:ascii="Arial" w:hAnsi="Arial" w:cs="Arial"/>
                <w:b/>
                <w:sz w:val="18"/>
                <w:szCs w:val="18"/>
              </w:rPr>
            </w:pPr>
            <w:r w:rsidRPr="00C42B7D">
              <w:rPr>
                <w:rFonts w:ascii="Arial" w:hAnsi="Arial" w:cs="Arial"/>
                <w:b/>
                <w:sz w:val="18"/>
                <w:szCs w:val="18"/>
                <w:lang w:val="el-GR"/>
              </w:rPr>
              <w:t>202</w:t>
            </w:r>
            <w:r>
              <w:rPr>
                <w:rFonts w:ascii="Arial" w:hAnsi="Arial" w:cs="Arial"/>
                <w:b/>
                <w:sz w:val="18"/>
                <w:szCs w:val="18"/>
                <w:lang w:val="el-GR"/>
              </w:rPr>
              <w:t>4</w:t>
            </w:r>
          </w:p>
        </w:tc>
        <w:tc>
          <w:tcPr>
            <w:tcW w:w="1554" w:type="dxa"/>
            <w:shd w:val="clear" w:color="auto" w:fill="auto"/>
            <w:vAlign w:val="center"/>
          </w:tcPr>
          <w:p w14:paraId="05D4514C" w14:textId="77777777" w:rsidR="0056738E" w:rsidRPr="00C42B7D" w:rsidRDefault="0056738E" w:rsidP="007C2AEE">
            <w:pPr>
              <w:ind w:left="-31" w:right="-65"/>
              <w:jc w:val="center"/>
              <w:rPr>
                <w:rFonts w:ascii="Arial" w:hAnsi="Arial" w:cs="Arial"/>
                <w:sz w:val="18"/>
                <w:szCs w:val="18"/>
              </w:rPr>
            </w:pPr>
            <w:r w:rsidRPr="00C42B7D">
              <w:rPr>
                <w:rFonts w:ascii="Arial" w:hAnsi="Arial" w:cs="Arial"/>
                <w:sz w:val="18"/>
                <w:szCs w:val="18"/>
                <w:lang w:val="el-GR"/>
              </w:rPr>
              <w:t>20</w:t>
            </w:r>
            <w:r w:rsidRPr="00C42B7D">
              <w:rPr>
                <w:rFonts w:ascii="Arial" w:hAnsi="Arial" w:cs="Arial"/>
                <w:sz w:val="18"/>
                <w:szCs w:val="18"/>
              </w:rPr>
              <w:t>2</w:t>
            </w:r>
            <w:r>
              <w:rPr>
                <w:rFonts w:ascii="Arial" w:hAnsi="Arial" w:cs="Arial"/>
                <w:sz w:val="18"/>
                <w:szCs w:val="18"/>
                <w:lang w:val="el-GR"/>
              </w:rPr>
              <w:t>3</w:t>
            </w:r>
          </w:p>
        </w:tc>
      </w:tr>
      <w:tr w:rsidR="0056738E" w:rsidRPr="004946E8" w14:paraId="59E4E1FE" w14:textId="77777777" w:rsidTr="007C2AEE">
        <w:trPr>
          <w:trHeight w:val="283"/>
          <w:jc w:val="center"/>
        </w:trPr>
        <w:tc>
          <w:tcPr>
            <w:tcW w:w="5954" w:type="dxa"/>
            <w:vMerge/>
            <w:vAlign w:val="center"/>
          </w:tcPr>
          <w:p w14:paraId="481A18E8" w14:textId="77777777" w:rsidR="0056738E" w:rsidRPr="004946E8" w:rsidRDefault="0056738E" w:rsidP="007C2AEE">
            <w:pPr>
              <w:tabs>
                <w:tab w:val="left" w:pos="0"/>
                <w:tab w:val="right" w:pos="7560"/>
                <w:tab w:val="right" w:pos="9000"/>
              </w:tabs>
              <w:rPr>
                <w:rFonts w:ascii="Verdana" w:hAnsi="Verdana" w:cs="Arial"/>
                <w:sz w:val="18"/>
                <w:szCs w:val="18"/>
              </w:rPr>
            </w:pPr>
          </w:p>
        </w:tc>
        <w:tc>
          <w:tcPr>
            <w:tcW w:w="1559" w:type="dxa"/>
            <w:shd w:val="clear" w:color="auto" w:fill="auto"/>
            <w:vAlign w:val="center"/>
          </w:tcPr>
          <w:p w14:paraId="2C3A5646" w14:textId="77777777" w:rsidR="0056738E" w:rsidRPr="00C42B7D" w:rsidRDefault="0056738E" w:rsidP="007C2AEE">
            <w:pPr>
              <w:tabs>
                <w:tab w:val="left" w:pos="0"/>
                <w:tab w:val="right" w:pos="7560"/>
                <w:tab w:val="right" w:pos="9000"/>
              </w:tabs>
              <w:jc w:val="center"/>
              <w:rPr>
                <w:rFonts w:ascii="Arial" w:hAnsi="Arial" w:cs="Arial"/>
                <w:bCs/>
                <w:sz w:val="18"/>
                <w:szCs w:val="18"/>
              </w:rPr>
            </w:pPr>
            <w:r w:rsidRPr="00C42B7D">
              <w:rPr>
                <w:rFonts w:ascii="Arial" w:hAnsi="Arial" w:cs="Arial"/>
                <w:b/>
                <w:sz w:val="18"/>
                <w:szCs w:val="18"/>
              </w:rPr>
              <w:t>€000</w:t>
            </w:r>
          </w:p>
        </w:tc>
        <w:tc>
          <w:tcPr>
            <w:tcW w:w="1554" w:type="dxa"/>
            <w:vAlign w:val="center"/>
          </w:tcPr>
          <w:p w14:paraId="550C74AD" w14:textId="77777777" w:rsidR="0056738E" w:rsidRPr="00C42B7D" w:rsidRDefault="0056738E" w:rsidP="007C2AEE">
            <w:pPr>
              <w:tabs>
                <w:tab w:val="left" w:pos="0"/>
                <w:tab w:val="right" w:pos="7560"/>
                <w:tab w:val="right" w:pos="9000"/>
              </w:tabs>
              <w:jc w:val="center"/>
              <w:rPr>
                <w:rFonts w:ascii="Arial" w:hAnsi="Arial" w:cs="Arial"/>
                <w:bCs/>
                <w:sz w:val="18"/>
                <w:szCs w:val="18"/>
                <w:highlight w:val="yellow"/>
              </w:rPr>
            </w:pPr>
            <w:r w:rsidRPr="00C42B7D">
              <w:rPr>
                <w:rFonts w:ascii="Arial" w:hAnsi="Arial" w:cs="Arial"/>
                <w:sz w:val="18"/>
                <w:szCs w:val="18"/>
              </w:rPr>
              <w:t>€000</w:t>
            </w:r>
          </w:p>
        </w:tc>
      </w:tr>
      <w:tr w:rsidR="0056738E" w:rsidRPr="00366276" w14:paraId="4BC32195" w14:textId="77777777" w:rsidTr="007C2AEE">
        <w:trPr>
          <w:trHeight w:val="283"/>
          <w:jc w:val="center"/>
        </w:trPr>
        <w:tc>
          <w:tcPr>
            <w:tcW w:w="5954" w:type="dxa"/>
            <w:vAlign w:val="center"/>
          </w:tcPr>
          <w:p w14:paraId="3CBEC29D" w14:textId="77777777" w:rsidR="0056738E" w:rsidRPr="00C42B7D" w:rsidRDefault="0056738E" w:rsidP="007C2AEE">
            <w:pPr>
              <w:tabs>
                <w:tab w:val="left" w:pos="0"/>
                <w:tab w:val="right" w:pos="7560"/>
                <w:tab w:val="right" w:pos="9000"/>
              </w:tabs>
              <w:jc w:val="both"/>
              <w:rPr>
                <w:rFonts w:ascii="Arial" w:hAnsi="Arial" w:cs="Arial"/>
                <w:sz w:val="18"/>
                <w:szCs w:val="18"/>
                <w:lang w:val="el-GR"/>
              </w:rPr>
            </w:pPr>
            <w:r w:rsidRPr="00C42B7D">
              <w:rPr>
                <w:rFonts w:ascii="Arial" w:hAnsi="Arial" w:cs="Arial"/>
                <w:sz w:val="18"/>
                <w:szCs w:val="18"/>
                <w:lang w:val="el-GR"/>
              </w:rPr>
              <w:t>Πιστωτικές ζημιές δανείων στην υποκείμενη βάση</w:t>
            </w:r>
          </w:p>
        </w:tc>
        <w:tc>
          <w:tcPr>
            <w:tcW w:w="1559" w:type="dxa"/>
            <w:shd w:val="clear" w:color="auto" w:fill="auto"/>
            <w:vAlign w:val="center"/>
          </w:tcPr>
          <w:p w14:paraId="7D3CC5BE" w14:textId="77777777" w:rsidR="0056738E" w:rsidRPr="00C42B7D"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22,175</w:t>
            </w:r>
          </w:p>
        </w:tc>
        <w:tc>
          <w:tcPr>
            <w:tcW w:w="1554" w:type="dxa"/>
            <w:shd w:val="clear" w:color="auto" w:fill="auto"/>
            <w:vAlign w:val="center"/>
          </w:tcPr>
          <w:p w14:paraId="1F7AF985" w14:textId="77777777" w:rsidR="0056738E" w:rsidRPr="00C42B7D" w:rsidRDefault="0056738E" w:rsidP="007C2AEE">
            <w:pPr>
              <w:tabs>
                <w:tab w:val="left" w:pos="0"/>
                <w:tab w:val="right" w:pos="7560"/>
                <w:tab w:val="right" w:pos="9000"/>
              </w:tabs>
              <w:jc w:val="right"/>
              <w:rPr>
                <w:rFonts w:ascii="Arial" w:hAnsi="Arial" w:cs="Arial"/>
                <w:sz w:val="18"/>
                <w:szCs w:val="18"/>
                <w:lang w:val="el-GR"/>
              </w:rPr>
            </w:pPr>
            <w:r w:rsidRPr="00DA4D9B">
              <w:rPr>
                <w:rFonts w:ascii="Arial" w:hAnsi="Arial" w:cs="Arial"/>
                <w:sz w:val="18"/>
                <w:szCs w:val="18"/>
              </w:rPr>
              <w:t>44,069</w:t>
            </w:r>
          </w:p>
        </w:tc>
      </w:tr>
      <w:tr w:rsidR="0056738E" w:rsidRPr="007C2AEE" w14:paraId="7A1EBC8F" w14:textId="77777777" w:rsidTr="007C2AEE">
        <w:trPr>
          <w:trHeight w:val="283"/>
          <w:jc w:val="center"/>
        </w:trPr>
        <w:tc>
          <w:tcPr>
            <w:tcW w:w="5954" w:type="dxa"/>
            <w:tcBorders>
              <w:bottom w:val="single" w:sz="4" w:space="0" w:color="D9D9D9" w:themeColor="background1" w:themeShade="D9"/>
            </w:tcBorders>
            <w:vAlign w:val="center"/>
          </w:tcPr>
          <w:p w14:paraId="17EC28CC" w14:textId="77777777" w:rsidR="0056738E" w:rsidRPr="00A03828" w:rsidRDefault="0056738E" w:rsidP="007C2AEE">
            <w:pPr>
              <w:tabs>
                <w:tab w:val="left" w:pos="0"/>
                <w:tab w:val="right" w:pos="7560"/>
                <w:tab w:val="right" w:pos="9000"/>
              </w:tabs>
              <w:jc w:val="both"/>
              <w:rPr>
                <w:rFonts w:ascii="Arial" w:hAnsi="Arial" w:cs="Arial"/>
                <w:b/>
                <w:bCs/>
                <w:sz w:val="18"/>
                <w:szCs w:val="18"/>
                <w:lang w:val="el-GR"/>
              </w:rPr>
            </w:pPr>
            <w:r w:rsidRPr="00A03828">
              <w:rPr>
                <w:rFonts w:ascii="Arial" w:hAnsi="Arial" w:cs="Arial"/>
                <w:b/>
                <w:bCs/>
                <w:sz w:val="18"/>
                <w:szCs w:val="18"/>
                <w:lang w:val="el-GR"/>
              </w:rPr>
              <w:t>Οι πιστωτικές ζημιές δανείων (όπως ορίζονται) συμφιλιώνονται στην απαιτούμενη από τη νομοθεσία βάση ως εξής:</w:t>
            </w:r>
          </w:p>
        </w:tc>
        <w:tc>
          <w:tcPr>
            <w:tcW w:w="1559" w:type="dxa"/>
            <w:tcBorders>
              <w:top w:val="double" w:sz="6" w:space="0" w:color="auto"/>
              <w:bottom w:val="single" w:sz="4" w:space="0" w:color="D9D9D9" w:themeColor="background1" w:themeShade="D9"/>
            </w:tcBorders>
            <w:shd w:val="clear" w:color="auto" w:fill="auto"/>
            <w:vAlign w:val="center"/>
          </w:tcPr>
          <w:p w14:paraId="59E5E184" w14:textId="77777777" w:rsidR="0056738E" w:rsidRPr="00C42B7D" w:rsidRDefault="0056738E" w:rsidP="007C2AEE">
            <w:pPr>
              <w:tabs>
                <w:tab w:val="right" w:pos="7560"/>
                <w:tab w:val="right" w:pos="9000"/>
              </w:tabs>
              <w:ind w:left="-108"/>
              <w:jc w:val="right"/>
              <w:rPr>
                <w:rFonts w:ascii="Arial" w:hAnsi="Arial" w:cs="Arial"/>
                <w:b/>
                <w:bCs/>
                <w:sz w:val="18"/>
                <w:szCs w:val="18"/>
                <w:lang w:val="el-GR"/>
              </w:rPr>
            </w:pPr>
          </w:p>
        </w:tc>
        <w:tc>
          <w:tcPr>
            <w:tcW w:w="1554" w:type="dxa"/>
            <w:tcBorders>
              <w:top w:val="double" w:sz="6" w:space="0" w:color="auto"/>
              <w:bottom w:val="single" w:sz="4" w:space="0" w:color="D9D9D9" w:themeColor="background1" w:themeShade="D9"/>
            </w:tcBorders>
            <w:shd w:val="clear" w:color="auto" w:fill="auto"/>
            <w:vAlign w:val="center"/>
          </w:tcPr>
          <w:p w14:paraId="630962C3" w14:textId="77777777" w:rsidR="0056738E" w:rsidRPr="00C42B7D" w:rsidRDefault="0056738E" w:rsidP="007C2AEE">
            <w:pPr>
              <w:tabs>
                <w:tab w:val="right" w:pos="7560"/>
                <w:tab w:val="right" w:pos="9000"/>
              </w:tabs>
              <w:ind w:left="-108"/>
              <w:jc w:val="right"/>
              <w:rPr>
                <w:rFonts w:ascii="Arial" w:hAnsi="Arial" w:cs="Arial"/>
                <w:sz w:val="18"/>
                <w:szCs w:val="18"/>
                <w:lang w:val="el-GR"/>
              </w:rPr>
            </w:pPr>
          </w:p>
        </w:tc>
      </w:tr>
      <w:tr w:rsidR="0056738E" w:rsidRPr="00366276" w14:paraId="415878E9" w14:textId="77777777" w:rsidTr="007C2AEE">
        <w:trPr>
          <w:trHeight w:val="283"/>
          <w:jc w:val="center"/>
        </w:trPr>
        <w:tc>
          <w:tcPr>
            <w:tcW w:w="5954" w:type="dxa"/>
            <w:tcBorders>
              <w:bottom w:val="single" w:sz="4" w:space="0" w:color="D9D9D9" w:themeColor="background1" w:themeShade="D9"/>
            </w:tcBorders>
            <w:vAlign w:val="center"/>
          </w:tcPr>
          <w:p w14:paraId="0834C578" w14:textId="77777777" w:rsidR="0056738E" w:rsidRPr="00C42B7D" w:rsidRDefault="0056738E" w:rsidP="007C2AEE">
            <w:pPr>
              <w:tabs>
                <w:tab w:val="left" w:pos="0"/>
                <w:tab w:val="right" w:pos="7560"/>
                <w:tab w:val="right" w:pos="9000"/>
              </w:tabs>
              <w:jc w:val="both"/>
              <w:rPr>
                <w:rFonts w:ascii="Arial" w:hAnsi="Arial" w:cs="Arial"/>
                <w:bCs/>
                <w:sz w:val="18"/>
                <w:szCs w:val="18"/>
                <w:lang w:val="el-GR"/>
              </w:rPr>
            </w:pPr>
            <w:r w:rsidRPr="00C42B7D">
              <w:rPr>
                <w:rFonts w:ascii="Arial" w:hAnsi="Arial" w:cs="Arial"/>
                <w:bCs/>
                <w:sz w:val="18"/>
                <w:szCs w:val="18"/>
                <w:lang w:val="el-GR"/>
              </w:rPr>
              <w:t xml:space="preserve">Πιστωτικές ζημιές για κάλυψη πιστωτικού κινδύνου για δάνεια και απαιτήσεις από πελάτες </w:t>
            </w:r>
            <w:r w:rsidRPr="00041815">
              <w:rPr>
                <w:rFonts w:ascii="Arial" w:hAnsi="Arial" w:cs="Arial"/>
                <w:bCs/>
                <w:i/>
                <w:iCs/>
                <w:sz w:val="18"/>
                <w:szCs w:val="18"/>
                <w:lang w:val="el-GR"/>
              </w:rPr>
              <w:t>(</w:t>
            </w:r>
            <w:r w:rsidRPr="003B435B">
              <w:rPr>
                <w:rFonts w:ascii="Arial" w:hAnsi="Arial" w:cs="Arial"/>
                <w:i/>
                <w:sz w:val="18"/>
                <w:szCs w:val="18"/>
                <w:lang w:val="el-GR"/>
              </w:rPr>
              <w:t>Μέρος ΣΤ.</w:t>
            </w:r>
            <w:r>
              <w:rPr>
                <w:rFonts w:ascii="Arial" w:hAnsi="Arial" w:cs="Arial"/>
                <w:i/>
                <w:sz w:val="18"/>
                <w:szCs w:val="18"/>
                <w:lang w:val="el-GR"/>
              </w:rPr>
              <w:t>6)</w:t>
            </w:r>
          </w:p>
        </w:tc>
        <w:tc>
          <w:tcPr>
            <w:tcW w:w="1559" w:type="dxa"/>
            <w:tcBorders>
              <w:top w:val="single" w:sz="4" w:space="0" w:color="D9D9D9" w:themeColor="background1" w:themeShade="D9"/>
              <w:bottom w:val="single" w:sz="4" w:space="0" w:color="D9D9D9" w:themeColor="background1" w:themeShade="D9"/>
            </w:tcBorders>
            <w:shd w:val="clear" w:color="auto" w:fill="auto"/>
            <w:vAlign w:val="center"/>
          </w:tcPr>
          <w:p w14:paraId="6B884876" w14:textId="77777777" w:rsidR="0056738E" w:rsidRPr="00C42B7D" w:rsidRDefault="0056738E" w:rsidP="007C2AEE">
            <w:pPr>
              <w:tabs>
                <w:tab w:val="right" w:pos="7560"/>
                <w:tab w:val="right" w:pos="9000"/>
              </w:tabs>
              <w:ind w:left="-108"/>
              <w:jc w:val="right"/>
              <w:rPr>
                <w:rFonts w:ascii="Arial" w:hAnsi="Arial" w:cs="Arial"/>
                <w:b/>
                <w:bCs/>
                <w:sz w:val="18"/>
                <w:szCs w:val="18"/>
                <w:lang w:val="el-GR"/>
              </w:rPr>
            </w:pPr>
            <w:r>
              <w:rPr>
                <w:rFonts w:ascii="Arial" w:hAnsi="Arial" w:cs="Arial"/>
                <w:b/>
                <w:bCs/>
                <w:sz w:val="18"/>
                <w:szCs w:val="18"/>
                <w:lang w:val="en-GB"/>
              </w:rPr>
              <w:t>23,727</w:t>
            </w:r>
          </w:p>
        </w:tc>
        <w:tc>
          <w:tcPr>
            <w:tcW w:w="1554" w:type="dxa"/>
            <w:tcBorders>
              <w:top w:val="single" w:sz="4" w:space="0" w:color="D9D9D9" w:themeColor="background1" w:themeShade="D9"/>
              <w:bottom w:val="single" w:sz="4" w:space="0" w:color="D9D9D9" w:themeColor="background1" w:themeShade="D9"/>
            </w:tcBorders>
            <w:shd w:val="clear" w:color="auto" w:fill="auto"/>
            <w:vAlign w:val="center"/>
          </w:tcPr>
          <w:p w14:paraId="6650B5B9" w14:textId="77777777" w:rsidR="0056738E" w:rsidRPr="00C42B7D" w:rsidRDefault="0056738E" w:rsidP="007C2AEE">
            <w:pPr>
              <w:tabs>
                <w:tab w:val="right" w:pos="7560"/>
                <w:tab w:val="right" w:pos="9000"/>
              </w:tabs>
              <w:ind w:left="-108"/>
              <w:jc w:val="right"/>
              <w:rPr>
                <w:rFonts w:ascii="Arial" w:hAnsi="Arial" w:cs="Arial"/>
                <w:sz w:val="18"/>
                <w:szCs w:val="18"/>
                <w:lang w:val="el-GR"/>
              </w:rPr>
            </w:pPr>
            <w:r w:rsidRPr="00E25891">
              <w:rPr>
                <w:rFonts w:ascii="Arial" w:hAnsi="Arial" w:cs="Arial"/>
                <w:sz w:val="18"/>
                <w:szCs w:val="18"/>
                <w:lang w:val="el-GR"/>
              </w:rPr>
              <w:t>50,332</w:t>
            </w:r>
          </w:p>
        </w:tc>
      </w:tr>
      <w:tr w:rsidR="0056738E" w:rsidRPr="00366276" w14:paraId="67E289E9" w14:textId="77777777" w:rsidTr="007C2AEE">
        <w:trPr>
          <w:trHeight w:val="283"/>
          <w:jc w:val="center"/>
        </w:trPr>
        <w:tc>
          <w:tcPr>
            <w:tcW w:w="5954" w:type="dxa"/>
            <w:tcBorders>
              <w:bottom w:val="single" w:sz="4" w:space="0" w:color="D9D9D9" w:themeColor="background1" w:themeShade="D9"/>
            </w:tcBorders>
            <w:vAlign w:val="center"/>
          </w:tcPr>
          <w:p w14:paraId="7A236266" w14:textId="77777777" w:rsidR="0056738E" w:rsidRPr="00C42B7D" w:rsidRDefault="0056738E" w:rsidP="007C2AEE">
            <w:pPr>
              <w:tabs>
                <w:tab w:val="left" w:pos="0"/>
                <w:tab w:val="right" w:pos="7560"/>
                <w:tab w:val="right" w:pos="9000"/>
              </w:tabs>
              <w:jc w:val="both"/>
              <w:rPr>
                <w:rFonts w:ascii="Arial" w:hAnsi="Arial" w:cs="Arial"/>
                <w:bCs/>
                <w:sz w:val="18"/>
                <w:szCs w:val="18"/>
                <w:lang w:val="el-GR"/>
              </w:rPr>
            </w:pPr>
            <w:r w:rsidRPr="00C42B7D">
              <w:rPr>
                <w:rFonts w:ascii="Arial" w:hAnsi="Arial" w:cs="Arial"/>
                <w:bCs/>
                <w:sz w:val="18"/>
                <w:szCs w:val="18"/>
                <w:lang w:val="el-GR"/>
              </w:rPr>
              <w:t xml:space="preserve">Καθαρά </w:t>
            </w:r>
            <w:r w:rsidRPr="00AC5479">
              <w:rPr>
                <w:rFonts w:ascii="Arial" w:hAnsi="Arial" w:cs="Arial"/>
                <w:bCs/>
                <w:sz w:val="18"/>
                <w:szCs w:val="18"/>
                <w:lang w:val="el-GR"/>
              </w:rPr>
              <w:t>κέρδη</w:t>
            </w:r>
            <w:r w:rsidRPr="00C42B7D">
              <w:rPr>
                <w:rFonts w:ascii="Arial" w:hAnsi="Arial" w:cs="Arial"/>
                <w:bCs/>
                <w:sz w:val="18"/>
                <w:szCs w:val="18"/>
                <w:lang w:val="el-GR"/>
              </w:rPr>
              <w:t xml:space="preserve"> από </w:t>
            </w:r>
            <w:proofErr w:type="spellStart"/>
            <w:r w:rsidRPr="00C42B7D">
              <w:rPr>
                <w:rFonts w:ascii="Arial" w:hAnsi="Arial" w:cs="Arial"/>
                <w:bCs/>
                <w:sz w:val="18"/>
                <w:szCs w:val="18"/>
                <w:lang w:val="el-GR"/>
              </w:rPr>
              <w:t>αποαναγνώριση</w:t>
            </w:r>
            <w:proofErr w:type="spellEnd"/>
            <w:r w:rsidRPr="00C42B7D">
              <w:rPr>
                <w:rFonts w:ascii="Arial" w:hAnsi="Arial" w:cs="Arial"/>
                <w:bCs/>
                <w:sz w:val="18"/>
                <w:szCs w:val="18"/>
                <w:lang w:val="el-GR"/>
              </w:rPr>
              <w:t xml:space="preserve"> χρηματοοικονομικών περιουσιακών στοιχείων που επιμετρούνται σε αποσβεσμένο κόστος </w:t>
            </w:r>
            <w:r w:rsidRPr="00676AC6">
              <w:rPr>
                <w:rFonts w:ascii="Arial" w:hAnsi="Arial" w:cs="Arial"/>
                <w:bCs/>
                <w:sz w:val="18"/>
                <w:szCs w:val="18"/>
                <w:lang w:val="el-GR"/>
              </w:rPr>
              <w:t>–</w:t>
            </w:r>
            <w:r w:rsidRPr="00C42B7D">
              <w:rPr>
                <w:rFonts w:ascii="Arial" w:hAnsi="Arial" w:cs="Arial"/>
                <w:bCs/>
                <w:sz w:val="18"/>
                <w:szCs w:val="18"/>
                <w:lang w:val="el-GR"/>
              </w:rPr>
              <w:t xml:space="preserve"> δάνεια και απαιτήσεις από πελάτες</w:t>
            </w:r>
            <w:r>
              <w:rPr>
                <w:rFonts w:ascii="Arial" w:hAnsi="Arial" w:cs="Arial"/>
                <w:bCs/>
                <w:sz w:val="18"/>
                <w:szCs w:val="18"/>
                <w:lang w:val="el-GR"/>
              </w:rPr>
              <w:t xml:space="preserve"> (</w:t>
            </w:r>
            <w:r w:rsidRPr="00A03828">
              <w:rPr>
                <w:rFonts w:ascii="Arial" w:hAnsi="Arial" w:cs="Arial"/>
                <w:bCs/>
                <w:i/>
                <w:iCs/>
                <w:sz w:val="18"/>
                <w:szCs w:val="18"/>
                <w:lang w:val="el-GR"/>
              </w:rPr>
              <w:t>Βλέπε πιο κάτω</w:t>
            </w:r>
            <w:r>
              <w:rPr>
                <w:rFonts w:ascii="Arial" w:hAnsi="Arial" w:cs="Arial"/>
                <w:bCs/>
                <w:sz w:val="18"/>
                <w:szCs w:val="18"/>
                <w:lang w:val="el-GR"/>
              </w:rPr>
              <w:t>)</w:t>
            </w:r>
          </w:p>
        </w:tc>
        <w:tc>
          <w:tcPr>
            <w:tcW w:w="1559" w:type="dxa"/>
            <w:tcBorders>
              <w:top w:val="single" w:sz="4" w:space="0" w:color="D9D9D9" w:themeColor="background1" w:themeShade="D9"/>
              <w:bottom w:val="single" w:sz="4" w:space="0" w:color="D9D9D9" w:themeColor="background1" w:themeShade="D9"/>
            </w:tcBorders>
            <w:shd w:val="clear" w:color="auto" w:fill="auto"/>
            <w:vAlign w:val="center"/>
          </w:tcPr>
          <w:p w14:paraId="3A82E881" w14:textId="77777777" w:rsidR="0056738E" w:rsidRPr="00C42B7D"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(616)</w:t>
            </w:r>
          </w:p>
        </w:tc>
        <w:tc>
          <w:tcPr>
            <w:tcW w:w="1554" w:type="dxa"/>
            <w:tcBorders>
              <w:top w:val="single" w:sz="4" w:space="0" w:color="D9D9D9" w:themeColor="background1" w:themeShade="D9"/>
              <w:bottom w:val="single" w:sz="4" w:space="0" w:color="D9D9D9" w:themeColor="background1" w:themeShade="D9"/>
            </w:tcBorders>
            <w:shd w:val="clear" w:color="auto" w:fill="auto"/>
            <w:vAlign w:val="center"/>
          </w:tcPr>
          <w:p w14:paraId="4B1E63AC" w14:textId="77777777" w:rsidR="0056738E" w:rsidRPr="00C42B7D" w:rsidRDefault="0056738E" w:rsidP="007C2AEE">
            <w:pPr>
              <w:tabs>
                <w:tab w:val="left" w:pos="0"/>
                <w:tab w:val="right" w:pos="7560"/>
                <w:tab w:val="right" w:pos="9000"/>
              </w:tabs>
              <w:jc w:val="right"/>
              <w:rPr>
                <w:rFonts w:ascii="Arial" w:hAnsi="Arial" w:cs="Arial"/>
                <w:sz w:val="18"/>
                <w:szCs w:val="18"/>
                <w:lang w:val="el-GR"/>
              </w:rPr>
            </w:pPr>
            <w:r w:rsidRPr="00E25891">
              <w:rPr>
                <w:rFonts w:ascii="Arial" w:hAnsi="Arial" w:cs="Arial"/>
                <w:sz w:val="18"/>
                <w:szCs w:val="18"/>
                <w:lang w:val="el-GR"/>
              </w:rPr>
              <w:t>(6,306)</w:t>
            </w:r>
          </w:p>
        </w:tc>
      </w:tr>
      <w:tr w:rsidR="0056738E" w:rsidRPr="00366276" w14:paraId="54A36726" w14:textId="77777777" w:rsidTr="007C2AEE">
        <w:trPr>
          <w:trHeight w:val="454"/>
          <w:jc w:val="center"/>
        </w:trPr>
        <w:tc>
          <w:tcPr>
            <w:tcW w:w="5954" w:type="dxa"/>
            <w:tcBorders>
              <w:bottom w:val="single" w:sz="4" w:space="0" w:color="D9D9D9" w:themeColor="background1" w:themeShade="D9"/>
            </w:tcBorders>
            <w:vAlign w:val="center"/>
          </w:tcPr>
          <w:p w14:paraId="78D193F8" w14:textId="77777777" w:rsidR="0056738E" w:rsidRPr="00C42B7D" w:rsidRDefault="0056738E" w:rsidP="007C2AEE">
            <w:pPr>
              <w:tabs>
                <w:tab w:val="left" w:pos="0"/>
                <w:tab w:val="right" w:pos="7560"/>
                <w:tab w:val="right" w:pos="9000"/>
              </w:tabs>
              <w:jc w:val="both"/>
              <w:rPr>
                <w:rFonts w:ascii="Arial" w:hAnsi="Arial" w:cs="Arial"/>
                <w:bCs/>
                <w:sz w:val="18"/>
                <w:szCs w:val="18"/>
                <w:lang w:val="el-GR"/>
              </w:rPr>
            </w:pPr>
            <w:r w:rsidRPr="00C42B7D">
              <w:rPr>
                <w:rFonts w:ascii="Arial" w:hAnsi="Arial" w:cs="Arial"/>
                <w:bCs/>
                <w:sz w:val="18"/>
                <w:szCs w:val="18"/>
                <w:lang w:val="el-GR"/>
              </w:rPr>
              <w:t>Καθαρ</w:t>
            </w:r>
            <w:r>
              <w:rPr>
                <w:rFonts w:ascii="Arial" w:hAnsi="Arial" w:cs="Arial"/>
                <w:bCs/>
                <w:sz w:val="18"/>
                <w:szCs w:val="18"/>
                <w:lang w:val="el-GR"/>
              </w:rPr>
              <w:t xml:space="preserve">ά </w:t>
            </w:r>
            <w:r w:rsidRPr="00A03828">
              <w:rPr>
                <w:rFonts w:ascii="Arial" w:hAnsi="Arial" w:cs="Arial"/>
                <w:bCs/>
                <w:sz w:val="18"/>
                <w:szCs w:val="18"/>
                <w:lang w:val="el-GR"/>
              </w:rPr>
              <w:t>(</w:t>
            </w:r>
            <w:r>
              <w:rPr>
                <w:rFonts w:ascii="Arial" w:hAnsi="Arial" w:cs="Arial"/>
                <w:bCs/>
                <w:sz w:val="18"/>
                <w:szCs w:val="18"/>
                <w:lang w:val="el-GR"/>
              </w:rPr>
              <w:t>κέρδη</w:t>
            </w:r>
            <w:r w:rsidRPr="00A03828">
              <w:rPr>
                <w:rFonts w:ascii="Arial" w:hAnsi="Arial" w:cs="Arial"/>
                <w:bCs/>
                <w:sz w:val="18"/>
                <w:szCs w:val="18"/>
                <w:lang w:val="el-GR"/>
              </w:rPr>
              <w:t>)/</w:t>
            </w:r>
            <w:r>
              <w:rPr>
                <w:rFonts w:ascii="Arial" w:hAnsi="Arial" w:cs="Arial"/>
                <w:bCs/>
                <w:sz w:val="18"/>
                <w:szCs w:val="18"/>
                <w:lang w:val="el-GR"/>
              </w:rPr>
              <w:t>ζημιές</w:t>
            </w:r>
            <w:r w:rsidRPr="00C42B7D">
              <w:rPr>
                <w:rFonts w:ascii="Arial" w:hAnsi="Arial" w:cs="Arial"/>
                <w:bCs/>
                <w:sz w:val="18"/>
                <w:szCs w:val="18"/>
                <w:lang w:val="el-GR"/>
              </w:rPr>
              <w:t xml:space="preserve"> από δάνεια και απαιτήσεις από πελάτες</w:t>
            </w:r>
            <w:r>
              <w:rPr>
                <w:rFonts w:ascii="Arial" w:hAnsi="Arial" w:cs="Arial"/>
                <w:bCs/>
                <w:sz w:val="18"/>
                <w:szCs w:val="18"/>
                <w:lang w:val="el-GR"/>
              </w:rPr>
              <w:t xml:space="preserve"> που επιμετρούνται στην</w:t>
            </w:r>
            <w:r w:rsidRPr="00C42B7D">
              <w:rPr>
                <w:rFonts w:ascii="Arial" w:hAnsi="Arial" w:cs="Arial"/>
                <w:bCs/>
                <w:sz w:val="18"/>
                <w:szCs w:val="18"/>
                <w:lang w:val="el-GR"/>
              </w:rPr>
              <w:t xml:space="preserve"> εύλογη αξία μέσω των αποτελεσμάτων </w:t>
            </w:r>
          </w:p>
        </w:tc>
        <w:tc>
          <w:tcPr>
            <w:tcW w:w="1559" w:type="dxa"/>
            <w:tcBorders>
              <w:top w:val="single" w:sz="4" w:space="0" w:color="D9D9D9" w:themeColor="background1" w:themeShade="D9"/>
              <w:bottom w:val="single" w:sz="6" w:space="0" w:color="000000" w:themeColor="text1"/>
            </w:tcBorders>
            <w:shd w:val="clear" w:color="auto" w:fill="auto"/>
            <w:vAlign w:val="center"/>
          </w:tcPr>
          <w:p w14:paraId="1B26999E" w14:textId="77777777" w:rsidR="0056738E" w:rsidRPr="00C42B7D"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(936)</w:t>
            </w:r>
          </w:p>
        </w:tc>
        <w:tc>
          <w:tcPr>
            <w:tcW w:w="1554" w:type="dxa"/>
            <w:tcBorders>
              <w:top w:val="single" w:sz="4" w:space="0" w:color="D9D9D9" w:themeColor="background1" w:themeShade="D9"/>
              <w:bottom w:val="single" w:sz="6" w:space="0" w:color="000000" w:themeColor="text1"/>
            </w:tcBorders>
            <w:shd w:val="clear" w:color="auto" w:fill="auto"/>
            <w:vAlign w:val="center"/>
          </w:tcPr>
          <w:p w14:paraId="32DFF414" w14:textId="77777777" w:rsidR="0056738E" w:rsidRPr="00C42B7D" w:rsidRDefault="0056738E" w:rsidP="007C2AEE">
            <w:pPr>
              <w:tabs>
                <w:tab w:val="left" w:pos="0"/>
                <w:tab w:val="right" w:pos="7560"/>
                <w:tab w:val="right" w:pos="9000"/>
              </w:tabs>
              <w:jc w:val="right"/>
              <w:rPr>
                <w:rFonts w:ascii="Arial" w:hAnsi="Arial" w:cs="Arial"/>
                <w:sz w:val="18"/>
                <w:szCs w:val="18"/>
                <w:lang w:val="el-GR"/>
              </w:rPr>
            </w:pPr>
            <w:r w:rsidRPr="00E25891">
              <w:rPr>
                <w:rFonts w:ascii="Arial" w:hAnsi="Arial" w:cs="Arial"/>
                <w:sz w:val="18"/>
                <w:szCs w:val="18"/>
              </w:rPr>
              <w:t>43</w:t>
            </w:r>
          </w:p>
        </w:tc>
      </w:tr>
      <w:tr w:rsidR="0056738E" w:rsidRPr="00366276" w14:paraId="23ECCFA1" w14:textId="77777777" w:rsidTr="007C2AEE">
        <w:trPr>
          <w:trHeight w:val="283"/>
          <w:jc w:val="center"/>
        </w:trPr>
        <w:tc>
          <w:tcPr>
            <w:tcW w:w="5954" w:type="dxa"/>
            <w:tcBorders>
              <w:top w:val="single" w:sz="4" w:space="0" w:color="D9D9D9" w:themeColor="background1" w:themeShade="D9"/>
              <w:bottom w:val="single" w:sz="4" w:space="0" w:color="D9D9D9" w:themeColor="background1" w:themeShade="D9"/>
            </w:tcBorders>
            <w:vAlign w:val="center"/>
          </w:tcPr>
          <w:p w14:paraId="1BB90C60" w14:textId="77777777" w:rsidR="0056738E" w:rsidRPr="00955C85" w:rsidRDefault="0056738E" w:rsidP="007C2AEE">
            <w:pPr>
              <w:tabs>
                <w:tab w:val="left" w:pos="0"/>
                <w:tab w:val="right" w:pos="7560"/>
                <w:tab w:val="right" w:pos="9000"/>
              </w:tabs>
              <w:jc w:val="both"/>
              <w:rPr>
                <w:rFonts w:ascii="Arial" w:hAnsi="Arial" w:cs="Arial"/>
                <w:b/>
                <w:sz w:val="18"/>
                <w:szCs w:val="18"/>
                <w:lang w:val="el-GR"/>
              </w:rPr>
            </w:pPr>
          </w:p>
        </w:tc>
        <w:tc>
          <w:tcPr>
            <w:tcW w:w="1559" w:type="dxa"/>
            <w:tcBorders>
              <w:top w:val="single" w:sz="6" w:space="0" w:color="000000" w:themeColor="text1"/>
              <w:bottom w:val="double" w:sz="6" w:space="0" w:color="auto"/>
            </w:tcBorders>
            <w:shd w:val="clear" w:color="auto" w:fill="auto"/>
            <w:vAlign w:val="center"/>
          </w:tcPr>
          <w:p w14:paraId="251C841C" w14:textId="77777777" w:rsidR="0056738E" w:rsidRPr="00C42B7D"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22,175</w:t>
            </w:r>
          </w:p>
        </w:tc>
        <w:tc>
          <w:tcPr>
            <w:tcW w:w="1554" w:type="dxa"/>
            <w:tcBorders>
              <w:top w:val="single" w:sz="6" w:space="0" w:color="000000" w:themeColor="text1"/>
              <w:bottom w:val="double" w:sz="6" w:space="0" w:color="auto"/>
            </w:tcBorders>
            <w:shd w:val="clear" w:color="auto" w:fill="auto"/>
            <w:vAlign w:val="center"/>
          </w:tcPr>
          <w:p w14:paraId="5204F9B7" w14:textId="77777777" w:rsidR="0056738E" w:rsidRPr="00C42B7D" w:rsidRDefault="0056738E" w:rsidP="007C2AEE">
            <w:pPr>
              <w:tabs>
                <w:tab w:val="left" w:pos="0"/>
                <w:tab w:val="right" w:pos="7560"/>
                <w:tab w:val="right" w:pos="9000"/>
              </w:tabs>
              <w:jc w:val="right"/>
              <w:rPr>
                <w:rFonts w:ascii="Arial" w:hAnsi="Arial" w:cs="Arial"/>
                <w:sz w:val="18"/>
                <w:szCs w:val="18"/>
                <w:lang w:val="el-GR"/>
              </w:rPr>
            </w:pPr>
            <w:r w:rsidRPr="00E25891">
              <w:rPr>
                <w:rFonts w:ascii="Arial" w:hAnsi="Arial" w:cs="Arial"/>
                <w:sz w:val="18"/>
                <w:szCs w:val="18"/>
              </w:rPr>
              <w:t>44,069</w:t>
            </w:r>
          </w:p>
        </w:tc>
      </w:tr>
      <w:tr w:rsidR="0056738E" w:rsidRPr="00366276" w14:paraId="7B7B37A3" w14:textId="77777777" w:rsidTr="007C2AEE">
        <w:trPr>
          <w:trHeight w:val="227"/>
          <w:jc w:val="center"/>
        </w:trPr>
        <w:tc>
          <w:tcPr>
            <w:tcW w:w="5954" w:type="dxa"/>
            <w:tcBorders>
              <w:top w:val="single" w:sz="4" w:space="0" w:color="D9D9D9" w:themeColor="background1" w:themeShade="D9"/>
              <w:left w:val="nil"/>
              <w:bottom w:val="nil"/>
              <w:right w:val="nil"/>
            </w:tcBorders>
            <w:vAlign w:val="center"/>
          </w:tcPr>
          <w:p w14:paraId="4EE6076A" w14:textId="77777777" w:rsidR="0056738E" w:rsidRPr="00955C85" w:rsidRDefault="0056738E" w:rsidP="007C2AEE">
            <w:pPr>
              <w:tabs>
                <w:tab w:val="left" w:pos="0"/>
                <w:tab w:val="right" w:pos="7560"/>
                <w:tab w:val="right" w:pos="9000"/>
              </w:tabs>
              <w:jc w:val="both"/>
              <w:rPr>
                <w:rFonts w:ascii="Arial" w:hAnsi="Arial" w:cs="Arial"/>
                <w:b/>
                <w:sz w:val="18"/>
                <w:szCs w:val="18"/>
                <w:lang w:val="el-GR"/>
              </w:rPr>
            </w:pPr>
          </w:p>
        </w:tc>
        <w:tc>
          <w:tcPr>
            <w:tcW w:w="1559" w:type="dxa"/>
            <w:tcBorders>
              <w:top w:val="double" w:sz="6" w:space="0" w:color="auto"/>
              <w:left w:val="nil"/>
              <w:bottom w:val="nil"/>
              <w:right w:val="nil"/>
            </w:tcBorders>
            <w:shd w:val="clear" w:color="auto" w:fill="auto"/>
            <w:vAlign w:val="center"/>
          </w:tcPr>
          <w:p w14:paraId="69B742A0" w14:textId="77777777" w:rsidR="0056738E" w:rsidRPr="005B0E41" w:rsidRDefault="0056738E" w:rsidP="007C2AEE">
            <w:pPr>
              <w:tabs>
                <w:tab w:val="left" w:pos="0"/>
                <w:tab w:val="right" w:pos="7560"/>
                <w:tab w:val="right" w:pos="9000"/>
              </w:tabs>
              <w:jc w:val="right"/>
              <w:rPr>
                <w:rFonts w:ascii="Arial" w:hAnsi="Arial" w:cs="Arial"/>
                <w:b/>
                <w:bCs/>
                <w:sz w:val="18"/>
                <w:szCs w:val="18"/>
                <w:lang w:val="el-GR"/>
              </w:rPr>
            </w:pPr>
          </w:p>
        </w:tc>
        <w:tc>
          <w:tcPr>
            <w:tcW w:w="1554" w:type="dxa"/>
            <w:tcBorders>
              <w:top w:val="double" w:sz="6" w:space="0" w:color="auto"/>
              <w:left w:val="nil"/>
              <w:bottom w:val="nil"/>
              <w:right w:val="nil"/>
            </w:tcBorders>
            <w:shd w:val="clear" w:color="auto" w:fill="auto"/>
            <w:vAlign w:val="center"/>
          </w:tcPr>
          <w:p w14:paraId="3683DB27" w14:textId="77777777" w:rsidR="0056738E" w:rsidRPr="005B0E41" w:rsidRDefault="0056738E" w:rsidP="007C2AEE">
            <w:pPr>
              <w:tabs>
                <w:tab w:val="left" w:pos="0"/>
                <w:tab w:val="right" w:pos="7560"/>
                <w:tab w:val="right" w:pos="9000"/>
              </w:tabs>
              <w:jc w:val="right"/>
              <w:rPr>
                <w:rFonts w:ascii="Arial" w:hAnsi="Arial" w:cs="Arial"/>
                <w:sz w:val="18"/>
                <w:szCs w:val="18"/>
                <w:lang w:val="el-GR"/>
              </w:rPr>
            </w:pPr>
          </w:p>
        </w:tc>
      </w:tr>
    </w:tbl>
    <w:p w14:paraId="41126B90" w14:textId="77777777" w:rsidR="0056738E" w:rsidRPr="00E72D97" w:rsidRDefault="0056738E" w:rsidP="0056738E">
      <w:pPr>
        <w:shd w:val="clear" w:color="auto" w:fill="FFFFFF"/>
        <w:suppressAutoHyphens/>
        <w:spacing w:after="0" w:line="240" w:lineRule="auto"/>
        <w:ind w:left="142"/>
        <w:jc w:val="both"/>
        <w:rPr>
          <w:rFonts w:ascii="Arial" w:hAnsi="Arial" w:cs="Arial"/>
          <w:bCs/>
          <w:color w:val="262626"/>
          <w:sz w:val="18"/>
          <w:szCs w:val="18"/>
          <w:lang w:val="el-GR"/>
        </w:rPr>
      </w:pPr>
      <w:r>
        <w:rPr>
          <w:rFonts w:ascii="Arial" w:hAnsi="Arial" w:cs="Arial"/>
          <w:bCs/>
          <w:color w:val="262626"/>
          <w:sz w:val="18"/>
          <w:szCs w:val="18"/>
          <w:lang w:val="el-GR"/>
        </w:rPr>
        <w:t xml:space="preserve">Καθαρά κέρδη από </w:t>
      </w:r>
      <w:proofErr w:type="spellStart"/>
      <w:r>
        <w:rPr>
          <w:rFonts w:ascii="Arial" w:hAnsi="Arial" w:cs="Arial"/>
          <w:bCs/>
          <w:color w:val="262626"/>
          <w:sz w:val="18"/>
          <w:szCs w:val="18"/>
          <w:lang w:val="el-GR"/>
        </w:rPr>
        <w:t>αποαναγνώριση</w:t>
      </w:r>
      <w:proofErr w:type="spellEnd"/>
      <w:r>
        <w:rPr>
          <w:rFonts w:ascii="Arial" w:hAnsi="Arial" w:cs="Arial"/>
          <w:bCs/>
          <w:color w:val="262626"/>
          <w:sz w:val="18"/>
          <w:szCs w:val="18"/>
          <w:lang w:val="el-GR"/>
        </w:rPr>
        <w:t xml:space="preserve"> χρηματοοικονομικών περιουσιακών στοιχείων που επιμετρούνται σε αποσβεσμένο κόστος που παρουσιάζονται στην Ενδιάμεση Ενοποιημένη Κατάσταση Λογαριασμού Αποτελεσμάτων ανέρχονται σε €493 χιλ. (30 Σεπτεμβρίου 2023</w:t>
      </w:r>
      <w:r w:rsidRPr="00A03828">
        <w:rPr>
          <w:rFonts w:ascii="Arial" w:hAnsi="Arial" w:cs="Arial"/>
          <w:bCs/>
          <w:color w:val="262626"/>
          <w:sz w:val="18"/>
          <w:szCs w:val="18"/>
          <w:lang w:val="el-GR"/>
        </w:rPr>
        <w:t>:</w:t>
      </w:r>
      <w:r>
        <w:rPr>
          <w:rFonts w:ascii="Arial" w:hAnsi="Arial" w:cs="Arial"/>
          <w:bCs/>
          <w:color w:val="262626"/>
          <w:sz w:val="18"/>
          <w:szCs w:val="18"/>
          <w:lang w:val="el-GR"/>
        </w:rPr>
        <w:t xml:space="preserve"> €</w:t>
      </w:r>
      <w:r w:rsidRPr="00A03828">
        <w:rPr>
          <w:rFonts w:ascii="Arial" w:eastAsia="Batang" w:hAnsi="Arial" w:cs="Arial"/>
          <w:bCs/>
          <w:sz w:val="18"/>
          <w:szCs w:val="18"/>
          <w:lang w:val="el-GR" w:eastAsia="en-US"/>
        </w:rPr>
        <w:t xml:space="preserve">6,265 </w:t>
      </w:r>
      <w:r>
        <w:rPr>
          <w:rFonts w:ascii="Arial" w:hAnsi="Arial" w:cs="Arial"/>
          <w:bCs/>
          <w:color w:val="262626"/>
          <w:sz w:val="18"/>
          <w:szCs w:val="18"/>
          <w:lang w:val="el-GR"/>
        </w:rPr>
        <w:t>χιλ.) και αποτελούνται από €616 χιλ. (30 Σεπτεμβρίου 2023</w:t>
      </w:r>
      <w:r w:rsidRPr="00A03828">
        <w:rPr>
          <w:rFonts w:ascii="Arial" w:hAnsi="Arial" w:cs="Arial"/>
          <w:bCs/>
          <w:color w:val="262626"/>
          <w:sz w:val="18"/>
          <w:szCs w:val="18"/>
          <w:lang w:val="el-GR"/>
        </w:rPr>
        <w:t>:</w:t>
      </w:r>
      <w:r>
        <w:rPr>
          <w:rFonts w:ascii="Arial" w:hAnsi="Arial" w:cs="Arial"/>
          <w:bCs/>
          <w:color w:val="262626"/>
          <w:sz w:val="18"/>
          <w:szCs w:val="18"/>
          <w:lang w:val="el-GR"/>
        </w:rPr>
        <w:t xml:space="preserve"> €6,306 χιλ.) καθαρά κέρδη από </w:t>
      </w:r>
      <w:proofErr w:type="spellStart"/>
      <w:r>
        <w:rPr>
          <w:rFonts w:ascii="Arial" w:hAnsi="Arial" w:cs="Arial"/>
          <w:bCs/>
          <w:color w:val="262626"/>
          <w:sz w:val="18"/>
          <w:szCs w:val="18"/>
          <w:lang w:val="el-GR"/>
        </w:rPr>
        <w:t>αποαναγνώριση</w:t>
      </w:r>
      <w:proofErr w:type="spellEnd"/>
      <w:r>
        <w:rPr>
          <w:rFonts w:ascii="Arial" w:hAnsi="Arial" w:cs="Arial"/>
          <w:bCs/>
          <w:color w:val="262626"/>
          <w:sz w:val="18"/>
          <w:szCs w:val="18"/>
          <w:lang w:val="el-GR"/>
        </w:rPr>
        <w:t xml:space="preserve"> των δανείων και απαιτήσεων από πελάτες και €123 χιλ. (30 Σεπτεμβρίου 2023</w:t>
      </w:r>
      <w:r w:rsidRPr="00A03828">
        <w:rPr>
          <w:rFonts w:ascii="Arial" w:hAnsi="Arial" w:cs="Arial"/>
          <w:bCs/>
          <w:color w:val="262626"/>
          <w:sz w:val="18"/>
          <w:szCs w:val="18"/>
          <w:lang w:val="el-GR"/>
        </w:rPr>
        <w:t>: €</w:t>
      </w:r>
      <w:r>
        <w:rPr>
          <w:rFonts w:ascii="Arial" w:hAnsi="Arial" w:cs="Arial"/>
          <w:bCs/>
          <w:color w:val="262626"/>
          <w:sz w:val="18"/>
          <w:szCs w:val="18"/>
          <w:lang w:val="el-GR"/>
        </w:rPr>
        <w:t xml:space="preserve">41 χιλ.) καθαρές ζημιές από </w:t>
      </w:r>
      <w:proofErr w:type="spellStart"/>
      <w:r>
        <w:rPr>
          <w:rFonts w:ascii="Arial" w:hAnsi="Arial" w:cs="Arial"/>
          <w:bCs/>
          <w:color w:val="262626"/>
          <w:sz w:val="18"/>
          <w:szCs w:val="18"/>
          <w:lang w:val="el-GR"/>
        </w:rPr>
        <w:t>αποαναγνώριση</w:t>
      </w:r>
      <w:proofErr w:type="spellEnd"/>
      <w:r>
        <w:rPr>
          <w:rFonts w:ascii="Arial" w:hAnsi="Arial" w:cs="Arial"/>
          <w:bCs/>
          <w:color w:val="262626"/>
          <w:sz w:val="18"/>
          <w:szCs w:val="18"/>
          <w:lang w:val="el-GR"/>
        </w:rPr>
        <w:t xml:space="preserve"> των ομολόγων που επιμετρούνται σε αποσβεσμένο κόστος.</w:t>
      </w:r>
    </w:p>
    <w:p w14:paraId="7AB55D2F" w14:textId="77777777" w:rsidR="0056738E" w:rsidRDefault="0056738E" w:rsidP="0056738E">
      <w:pPr>
        <w:rPr>
          <w:rFonts w:ascii="Arial" w:hAnsi="Arial" w:cs="Arial"/>
          <w:b/>
          <w:color w:val="FF9900"/>
          <w:lang w:val="el-GR"/>
        </w:rPr>
      </w:pPr>
      <w:r>
        <w:rPr>
          <w:rFonts w:ascii="Arial" w:hAnsi="Arial" w:cs="Arial"/>
          <w:b/>
          <w:color w:val="FF9900"/>
          <w:lang w:val="el-GR"/>
        </w:rPr>
        <w:br w:type="page"/>
      </w:r>
    </w:p>
    <w:p w14:paraId="1AC4C72B" w14:textId="77777777" w:rsidR="0056738E" w:rsidRDefault="0056738E" w:rsidP="0056738E">
      <w:pPr>
        <w:spacing w:after="0" w:line="360" w:lineRule="auto"/>
        <w:ind w:left="851" w:hanging="851"/>
        <w:jc w:val="both"/>
        <w:rPr>
          <w:rFonts w:ascii="Arial" w:hAnsi="Arial" w:cs="Arial"/>
          <w:color w:val="FF9900"/>
          <w:lang w:val="el-GR"/>
        </w:rPr>
      </w:pPr>
      <w:r>
        <w:rPr>
          <w:rFonts w:ascii="Arial" w:hAnsi="Arial" w:cs="Arial"/>
          <w:b/>
          <w:color w:val="FF9900"/>
          <w:lang w:val="el-GR"/>
        </w:rPr>
        <w:lastRenderedPageBreak/>
        <w:t>Η</w:t>
      </w:r>
      <w:r w:rsidRPr="009B5694">
        <w:rPr>
          <w:rFonts w:ascii="Arial" w:hAnsi="Arial" w:cs="Arial"/>
          <w:b/>
          <w:color w:val="FF9900"/>
          <w:lang w:val="el-GR"/>
        </w:rPr>
        <w:t xml:space="preserve">. </w:t>
      </w:r>
      <w:r w:rsidRPr="009B5694">
        <w:rPr>
          <w:rFonts w:ascii="Arial" w:hAnsi="Arial" w:cs="Arial"/>
          <w:b/>
          <w:color w:val="FF9900"/>
          <w:lang w:val="el-GR"/>
        </w:rPr>
        <w:tab/>
      </w:r>
      <w:r w:rsidRPr="009D3A1F">
        <w:rPr>
          <w:rFonts w:ascii="Arial" w:hAnsi="Arial" w:cs="Arial"/>
          <w:b/>
          <w:color w:val="FF9900"/>
          <w:lang w:val="el-GR"/>
        </w:rPr>
        <w:t>Εναλλακτικ</w:t>
      </w:r>
      <w:r>
        <w:rPr>
          <w:rFonts w:ascii="Arial" w:hAnsi="Arial" w:cs="Arial"/>
          <w:b/>
          <w:color w:val="FF9900"/>
          <w:lang w:val="el-GR"/>
        </w:rPr>
        <w:t>ά</w:t>
      </w:r>
      <w:r w:rsidRPr="009D3A1F">
        <w:rPr>
          <w:rFonts w:ascii="Arial" w:hAnsi="Arial" w:cs="Arial"/>
          <w:b/>
          <w:color w:val="FF9900"/>
          <w:lang w:val="el-GR"/>
        </w:rPr>
        <w:t xml:space="preserve"> Μέτρ</w:t>
      </w:r>
      <w:r>
        <w:rPr>
          <w:rFonts w:ascii="Arial" w:hAnsi="Arial" w:cs="Arial"/>
          <w:b/>
          <w:color w:val="FF9900"/>
          <w:lang w:val="el-GR"/>
        </w:rPr>
        <w:t>α</w:t>
      </w:r>
      <w:r w:rsidRPr="009D3A1F">
        <w:rPr>
          <w:rFonts w:ascii="Arial" w:hAnsi="Arial" w:cs="Arial"/>
          <w:b/>
          <w:color w:val="FF9900"/>
          <w:lang w:val="el-GR"/>
        </w:rPr>
        <w:t xml:space="preserve"> Απόδοσης</w:t>
      </w:r>
      <w:r>
        <w:rPr>
          <w:rFonts w:ascii="Arial" w:hAnsi="Arial" w:cs="Arial"/>
          <w:b/>
          <w:color w:val="FF9900"/>
          <w:lang w:val="el-GR"/>
        </w:rPr>
        <w:t xml:space="preserve"> </w:t>
      </w:r>
      <w:r w:rsidRPr="00B964B1">
        <w:rPr>
          <w:rFonts w:ascii="Arial" w:hAnsi="Arial" w:cs="Arial"/>
          <w:color w:val="FF9900"/>
          <w:lang w:val="el-GR"/>
        </w:rPr>
        <w:t>(συνέχεια)</w:t>
      </w:r>
    </w:p>
    <w:p w14:paraId="0A19701A" w14:textId="77777777" w:rsidR="0056738E" w:rsidRPr="00041815" w:rsidRDefault="0056738E" w:rsidP="0056738E">
      <w:pPr>
        <w:spacing w:after="0" w:line="360" w:lineRule="auto"/>
        <w:ind w:left="851" w:hanging="851"/>
        <w:jc w:val="both"/>
        <w:rPr>
          <w:rFonts w:ascii="Arial" w:hAnsi="Arial" w:cs="Arial"/>
          <w:b/>
          <w:color w:val="FF9900"/>
          <w:u w:val="single"/>
          <w:lang w:val="el-GR"/>
        </w:rPr>
      </w:pPr>
      <w:r w:rsidRPr="00CD5513">
        <w:rPr>
          <w:rFonts w:ascii="Arial" w:hAnsi="Arial" w:cs="Arial"/>
          <w:b/>
          <w:color w:val="FF9900"/>
          <w:u w:val="single"/>
          <w:lang w:val="el-GR"/>
        </w:rPr>
        <w:t>Συμφιλιώσεις</w:t>
      </w:r>
      <w:r>
        <w:rPr>
          <w:rFonts w:ascii="Arial" w:hAnsi="Arial" w:cs="Arial"/>
          <w:b/>
          <w:color w:val="FF9900"/>
          <w:u w:val="single"/>
          <w:lang w:val="el-GR"/>
        </w:rPr>
        <w:t xml:space="preserve"> </w:t>
      </w:r>
      <w:r w:rsidRPr="00B964B1">
        <w:rPr>
          <w:rFonts w:ascii="Arial" w:hAnsi="Arial" w:cs="Arial"/>
          <w:color w:val="FF9900"/>
          <w:lang w:val="el-GR"/>
        </w:rPr>
        <w:t>(συνέχεια)</w:t>
      </w:r>
    </w:p>
    <w:p w14:paraId="0CEE40C2" w14:textId="77777777" w:rsidR="0056738E" w:rsidRDefault="0056738E" w:rsidP="0056738E">
      <w:pPr>
        <w:numPr>
          <w:ilvl w:val="0"/>
          <w:numId w:val="7"/>
        </w:numPr>
        <w:shd w:val="clear" w:color="auto" w:fill="FFFFFF"/>
        <w:suppressAutoHyphens/>
        <w:spacing w:after="120" w:line="240" w:lineRule="auto"/>
        <w:ind w:left="851" w:hanging="851"/>
        <w:jc w:val="both"/>
        <w:rPr>
          <w:rFonts w:ascii="Arial" w:hAnsi="Arial" w:cs="Arial"/>
          <w:b/>
          <w:color w:val="FF9900"/>
          <w:lang w:val="el-GR"/>
        </w:rPr>
      </w:pPr>
      <w:r w:rsidRPr="005B05F8">
        <w:rPr>
          <w:rFonts w:ascii="Arial" w:hAnsi="Arial" w:cs="Arial"/>
          <w:b/>
          <w:color w:val="FF9900"/>
          <w:lang w:val="el-GR"/>
        </w:rPr>
        <w:t xml:space="preserve">Συμφιλίωση της Προσαρμοσμένης </w:t>
      </w:r>
      <w:r>
        <w:rPr>
          <w:rFonts w:ascii="Arial" w:hAnsi="Arial" w:cs="Arial"/>
          <w:b/>
          <w:color w:val="FF9900"/>
          <w:lang w:val="el-GR"/>
        </w:rPr>
        <w:t>ε</w:t>
      </w:r>
      <w:r w:rsidRPr="005B05F8">
        <w:rPr>
          <w:rFonts w:ascii="Arial" w:hAnsi="Arial" w:cs="Arial"/>
          <w:b/>
          <w:color w:val="FF9900"/>
          <w:lang w:val="el-GR"/>
        </w:rPr>
        <w:t xml:space="preserve">παναλαμβανόμενης </w:t>
      </w:r>
      <w:r>
        <w:rPr>
          <w:rFonts w:ascii="Arial" w:hAnsi="Arial" w:cs="Arial"/>
          <w:b/>
          <w:color w:val="FF9900"/>
          <w:lang w:val="el-GR"/>
        </w:rPr>
        <w:t>κ</w:t>
      </w:r>
      <w:r w:rsidRPr="005B05F8">
        <w:rPr>
          <w:rFonts w:ascii="Arial" w:hAnsi="Arial" w:cs="Arial"/>
          <w:b/>
          <w:color w:val="FF9900"/>
          <w:lang w:val="el-GR"/>
        </w:rPr>
        <w:t xml:space="preserve">ερδοφορίας στα Κέρδη μετά την φορολογία για </w:t>
      </w:r>
      <w:r>
        <w:rPr>
          <w:rFonts w:ascii="Arial" w:hAnsi="Arial" w:cs="Arial"/>
          <w:b/>
          <w:color w:val="FF9900"/>
          <w:lang w:val="el-GR"/>
        </w:rPr>
        <w:t>την περίοδο</w:t>
      </w:r>
      <w:r w:rsidRPr="005B05F8">
        <w:rPr>
          <w:rFonts w:ascii="Arial" w:hAnsi="Arial" w:cs="Arial"/>
          <w:b/>
          <w:color w:val="FF9900"/>
          <w:lang w:val="el-GR"/>
        </w:rPr>
        <w:t xml:space="preserve"> που αναλογούν στους ιδιοκτήτες της Εταιρίας </w:t>
      </w:r>
    </w:p>
    <w:tbl>
      <w:tblPr>
        <w:tblStyle w:val="TableGrid2"/>
        <w:tblW w:w="907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36"/>
        <w:gridCol w:w="1418"/>
        <w:gridCol w:w="1417"/>
      </w:tblGrid>
      <w:tr w:rsidR="0056738E" w:rsidRPr="007C2AEE" w14:paraId="6F391839" w14:textId="77777777" w:rsidTr="007C2AEE">
        <w:trPr>
          <w:trHeight w:val="283"/>
          <w:jc w:val="center"/>
        </w:trPr>
        <w:tc>
          <w:tcPr>
            <w:tcW w:w="6236" w:type="dxa"/>
            <w:vMerge w:val="restart"/>
            <w:vAlign w:val="center"/>
          </w:tcPr>
          <w:p w14:paraId="2B370581" w14:textId="77777777" w:rsidR="0056738E" w:rsidRPr="005B05F8" w:rsidRDefault="0056738E" w:rsidP="007C2AEE">
            <w:pPr>
              <w:tabs>
                <w:tab w:val="left" w:pos="0"/>
                <w:tab w:val="right" w:pos="7560"/>
                <w:tab w:val="right" w:pos="9000"/>
              </w:tabs>
              <w:rPr>
                <w:rFonts w:ascii="Arial" w:hAnsi="Arial" w:cs="Arial"/>
                <w:sz w:val="18"/>
                <w:szCs w:val="18"/>
                <w:lang w:val="el-GR"/>
              </w:rPr>
            </w:pPr>
          </w:p>
        </w:tc>
        <w:tc>
          <w:tcPr>
            <w:tcW w:w="2835" w:type="dxa"/>
            <w:gridSpan w:val="2"/>
            <w:shd w:val="clear" w:color="auto" w:fill="auto"/>
            <w:vAlign w:val="center"/>
          </w:tcPr>
          <w:p w14:paraId="78DAF416" w14:textId="77777777" w:rsidR="0056738E" w:rsidRDefault="0056738E" w:rsidP="007C2AEE">
            <w:pPr>
              <w:ind w:left="-31" w:right="-65"/>
              <w:jc w:val="center"/>
              <w:rPr>
                <w:rFonts w:ascii="Arial" w:hAnsi="Arial" w:cs="Arial"/>
                <w:b/>
                <w:bCs/>
                <w:sz w:val="18"/>
                <w:szCs w:val="18"/>
                <w:lang w:val="el-GR"/>
              </w:rPr>
            </w:pPr>
            <w:r>
              <w:rPr>
                <w:rFonts w:ascii="Arial" w:hAnsi="Arial" w:cs="Arial"/>
                <w:b/>
                <w:bCs/>
                <w:sz w:val="18"/>
                <w:szCs w:val="18"/>
                <w:lang w:val="el-GR"/>
              </w:rPr>
              <w:t>Εννεάμηνο</w:t>
            </w:r>
            <w:r w:rsidRPr="000221F4">
              <w:rPr>
                <w:rFonts w:ascii="Arial" w:hAnsi="Arial" w:cs="Arial"/>
                <w:b/>
                <w:bCs/>
                <w:sz w:val="18"/>
                <w:szCs w:val="18"/>
                <w:lang w:val="el-GR"/>
              </w:rPr>
              <w:t xml:space="preserve"> </w:t>
            </w:r>
            <w:r w:rsidRPr="00C42B7D">
              <w:rPr>
                <w:rFonts w:ascii="Arial" w:hAnsi="Arial" w:cs="Arial"/>
                <w:b/>
                <w:bCs/>
                <w:sz w:val="18"/>
                <w:szCs w:val="18"/>
                <w:lang w:val="el-GR"/>
              </w:rPr>
              <w:t xml:space="preserve">που έληξε στις </w:t>
            </w:r>
          </w:p>
          <w:p w14:paraId="02D2E21D" w14:textId="77777777" w:rsidR="0056738E" w:rsidRDefault="0056738E" w:rsidP="007C2AEE">
            <w:pPr>
              <w:ind w:left="-31" w:right="-65"/>
              <w:jc w:val="center"/>
              <w:rPr>
                <w:rFonts w:ascii="Arial" w:hAnsi="Arial" w:cs="Arial"/>
                <w:sz w:val="18"/>
                <w:szCs w:val="18"/>
                <w:lang w:val="el-GR"/>
              </w:rPr>
            </w:pPr>
            <w:r w:rsidRPr="00331BC0">
              <w:rPr>
                <w:rFonts w:ascii="Arial" w:hAnsi="Arial" w:cs="Arial"/>
                <w:b/>
                <w:sz w:val="18"/>
                <w:szCs w:val="18"/>
                <w:lang w:val="el-GR"/>
              </w:rPr>
              <w:t>30 Σεπτεμβρίου</w:t>
            </w:r>
          </w:p>
        </w:tc>
      </w:tr>
      <w:tr w:rsidR="0056738E" w:rsidRPr="005B05F8" w14:paraId="5F470672" w14:textId="77777777" w:rsidTr="007C2AEE">
        <w:trPr>
          <w:trHeight w:val="283"/>
          <w:jc w:val="center"/>
        </w:trPr>
        <w:tc>
          <w:tcPr>
            <w:tcW w:w="6236" w:type="dxa"/>
            <w:vMerge/>
            <w:vAlign w:val="center"/>
          </w:tcPr>
          <w:p w14:paraId="7C632A8E" w14:textId="77777777" w:rsidR="0056738E" w:rsidRPr="005B05F8" w:rsidRDefault="0056738E" w:rsidP="007C2AEE">
            <w:pPr>
              <w:tabs>
                <w:tab w:val="left" w:pos="0"/>
                <w:tab w:val="right" w:pos="7560"/>
                <w:tab w:val="right" w:pos="9000"/>
              </w:tabs>
              <w:rPr>
                <w:rFonts w:ascii="Arial" w:hAnsi="Arial" w:cs="Arial"/>
                <w:sz w:val="18"/>
                <w:szCs w:val="18"/>
                <w:lang w:val="el-GR"/>
              </w:rPr>
            </w:pPr>
          </w:p>
        </w:tc>
        <w:tc>
          <w:tcPr>
            <w:tcW w:w="1418" w:type="dxa"/>
            <w:shd w:val="clear" w:color="auto" w:fill="auto"/>
            <w:vAlign w:val="center"/>
          </w:tcPr>
          <w:p w14:paraId="0364976E" w14:textId="77777777" w:rsidR="0056738E" w:rsidRPr="005B05F8" w:rsidRDefault="0056738E" w:rsidP="007C2AEE">
            <w:pPr>
              <w:tabs>
                <w:tab w:val="left" w:pos="0"/>
                <w:tab w:val="right" w:pos="7560"/>
                <w:tab w:val="right" w:pos="9000"/>
              </w:tabs>
              <w:jc w:val="center"/>
              <w:rPr>
                <w:rFonts w:ascii="Arial" w:hAnsi="Arial" w:cs="Arial"/>
                <w:b/>
                <w:sz w:val="18"/>
                <w:szCs w:val="18"/>
              </w:rPr>
            </w:pPr>
            <w:r w:rsidRPr="005B05F8">
              <w:rPr>
                <w:rFonts w:ascii="Arial" w:hAnsi="Arial" w:cs="Arial"/>
                <w:b/>
                <w:sz w:val="18"/>
                <w:szCs w:val="18"/>
                <w:lang w:val="el-GR"/>
              </w:rPr>
              <w:t>202</w:t>
            </w:r>
            <w:r>
              <w:rPr>
                <w:rFonts w:ascii="Arial" w:hAnsi="Arial" w:cs="Arial"/>
                <w:b/>
                <w:sz w:val="18"/>
                <w:szCs w:val="18"/>
                <w:lang w:val="el-GR"/>
              </w:rPr>
              <w:t>4</w:t>
            </w:r>
          </w:p>
        </w:tc>
        <w:tc>
          <w:tcPr>
            <w:tcW w:w="1417" w:type="dxa"/>
            <w:shd w:val="clear" w:color="auto" w:fill="auto"/>
            <w:vAlign w:val="center"/>
          </w:tcPr>
          <w:p w14:paraId="45120498" w14:textId="77777777" w:rsidR="0056738E" w:rsidRPr="005B05F8" w:rsidRDefault="0056738E" w:rsidP="007C2AEE">
            <w:pPr>
              <w:ind w:left="-31" w:right="-65"/>
              <w:jc w:val="center"/>
              <w:rPr>
                <w:rFonts w:ascii="Arial" w:hAnsi="Arial" w:cs="Arial"/>
                <w:sz w:val="18"/>
                <w:szCs w:val="18"/>
              </w:rPr>
            </w:pPr>
            <w:r w:rsidRPr="005B05F8">
              <w:rPr>
                <w:rFonts w:ascii="Arial" w:hAnsi="Arial" w:cs="Arial"/>
                <w:sz w:val="18"/>
                <w:szCs w:val="18"/>
                <w:lang w:val="el-GR"/>
              </w:rPr>
              <w:t>20</w:t>
            </w:r>
            <w:r w:rsidRPr="005B05F8">
              <w:rPr>
                <w:rFonts w:ascii="Arial" w:hAnsi="Arial" w:cs="Arial"/>
                <w:sz w:val="18"/>
                <w:szCs w:val="18"/>
              </w:rPr>
              <w:t>2</w:t>
            </w:r>
            <w:r>
              <w:rPr>
                <w:rFonts w:ascii="Arial" w:hAnsi="Arial" w:cs="Arial"/>
                <w:sz w:val="18"/>
                <w:szCs w:val="18"/>
                <w:lang w:val="el-GR"/>
              </w:rPr>
              <w:t>3</w:t>
            </w:r>
          </w:p>
        </w:tc>
      </w:tr>
      <w:tr w:rsidR="0056738E" w:rsidRPr="005B05F8" w14:paraId="07B17BFE" w14:textId="77777777" w:rsidTr="007C2AEE">
        <w:trPr>
          <w:trHeight w:val="283"/>
          <w:jc w:val="center"/>
        </w:trPr>
        <w:tc>
          <w:tcPr>
            <w:tcW w:w="6236" w:type="dxa"/>
            <w:vMerge/>
            <w:vAlign w:val="center"/>
          </w:tcPr>
          <w:p w14:paraId="42CF2B57" w14:textId="77777777" w:rsidR="0056738E" w:rsidRPr="005B05F8" w:rsidRDefault="0056738E" w:rsidP="007C2AEE">
            <w:pPr>
              <w:tabs>
                <w:tab w:val="left" w:pos="0"/>
                <w:tab w:val="right" w:pos="7560"/>
                <w:tab w:val="right" w:pos="9000"/>
              </w:tabs>
              <w:rPr>
                <w:rFonts w:ascii="Arial" w:hAnsi="Arial" w:cs="Arial"/>
                <w:sz w:val="18"/>
                <w:szCs w:val="18"/>
              </w:rPr>
            </w:pPr>
          </w:p>
        </w:tc>
        <w:tc>
          <w:tcPr>
            <w:tcW w:w="1418" w:type="dxa"/>
            <w:shd w:val="clear" w:color="auto" w:fill="auto"/>
            <w:vAlign w:val="center"/>
          </w:tcPr>
          <w:p w14:paraId="20BE7FF9" w14:textId="77777777" w:rsidR="0056738E" w:rsidRPr="005B05F8" w:rsidRDefault="0056738E" w:rsidP="007C2AEE">
            <w:pPr>
              <w:tabs>
                <w:tab w:val="left" w:pos="0"/>
                <w:tab w:val="right" w:pos="7560"/>
                <w:tab w:val="right" w:pos="9000"/>
              </w:tabs>
              <w:jc w:val="center"/>
              <w:rPr>
                <w:rFonts w:ascii="Arial" w:hAnsi="Arial" w:cs="Arial"/>
                <w:bCs/>
                <w:sz w:val="18"/>
                <w:szCs w:val="18"/>
              </w:rPr>
            </w:pPr>
            <w:r w:rsidRPr="005B05F8">
              <w:rPr>
                <w:rFonts w:ascii="Arial" w:hAnsi="Arial" w:cs="Arial"/>
                <w:b/>
                <w:sz w:val="18"/>
                <w:szCs w:val="18"/>
              </w:rPr>
              <w:t>€000</w:t>
            </w:r>
          </w:p>
        </w:tc>
        <w:tc>
          <w:tcPr>
            <w:tcW w:w="1417" w:type="dxa"/>
            <w:vAlign w:val="center"/>
          </w:tcPr>
          <w:p w14:paraId="4740455B" w14:textId="77777777" w:rsidR="0056738E" w:rsidRPr="005B05F8" w:rsidRDefault="0056738E" w:rsidP="007C2AEE">
            <w:pPr>
              <w:tabs>
                <w:tab w:val="left" w:pos="0"/>
                <w:tab w:val="right" w:pos="7560"/>
                <w:tab w:val="right" w:pos="9000"/>
              </w:tabs>
              <w:jc w:val="center"/>
              <w:rPr>
                <w:rFonts w:ascii="Arial" w:hAnsi="Arial" w:cs="Arial"/>
                <w:bCs/>
                <w:sz w:val="18"/>
                <w:szCs w:val="18"/>
                <w:highlight w:val="yellow"/>
              </w:rPr>
            </w:pPr>
            <w:r w:rsidRPr="005B05F8">
              <w:rPr>
                <w:rFonts w:ascii="Arial" w:hAnsi="Arial" w:cs="Arial"/>
                <w:sz w:val="18"/>
                <w:szCs w:val="18"/>
              </w:rPr>
              <w:t>€000</w:t>
            </w:r>
          </w:p>
        </w:tc>
      </w:tr>
      <w:tr w:rsidR="0056738E" w:rsidRPr="005B05F8" w14:paraId="67F7A047" w14:textId="77777777" w:rsidTr="007C2AEE">
        <w:trPr>
          <w:trHeight w:val="283"/>
          <w:jc w:val="center"/>
        </w:trPr>
        <w:tc>
          <w:tcPr>
            <w:tcW w:w="6236" w:type="dxa"/>
            <w:vAlign w:val="center"/>
          </w:tcPr>
          <w:p w14:paraId="3EEE8123" w14:textId="77777777" w:rsidR="0056738E" w:rsidRPr="005B05F8" w:rsidRDefault="0056738E" w:rsidP="007C2AEE">
            <w:pPr>
              <w:tabs>
                <w:tab w:val="left" w:pos="0"/>
                <w:tab w:val="right" w:pos="7560"/>
                <w:tab w:val="right" w:pos="9000"/>
              </w:tabs>
              <w:jc w:val="both"/>
              <w:rPr>
                <w:rFonts w:ascii="Arial" w:hAnsi="Arial" w:cs="Arial"/>
                <w:sz w:val="18"/>
                <w:szCs w:val="18"/>
                <w:lang w:val="el-GR"/>
              </w:rPr>
            </w:pPr>
            <w:r w:rsidRPr="005B05F8">
              <w:rPr>
                <w:rFonts w:ascii="Arial" w:hAnsi="Arial" w:cs="Arial"/>
                <w:sz w:val="18"/>
                <w:szCs w:val="18"/>
                <w:lang w:val="el-GR"/>
              </w:rPr>
              <w:t xml:space="preserve">Προσαρμοσμένη </w:t>
            </w:r>
            <w:r>
              <w:rPr>
                <w:rFonts w:ascii="Arial" w:hAnsi="Arial" w:cs="Arial"/>
                <w:sz w:val="18"/>
                <w:szCs w:val="18"/>
                <w:lang w:val="el-GR"/>
              </w:rPr>
              <w:t xml:space="preserve">επαναλαμβανόμενη </w:t>
            </w:r>
            <w:r w:rsidRPr="005B05F8">
              <w:rPr>
                <w:rFonts w:ascii="Arial" w:hAnsi="Arial" w:cs="Arial"/>
                <w:sz w:val="18"/>
                <w:szCs w:val="18"/>
                <w:lang w:val="el-GR"/>
              </w:rPr>
              <w:t>κερδοφορία στην υποκείμενη βάση (</w:t>
            </w:r>
            <w:r w:rsidRPr="005B05F8">
              <w:rPr>
                <w:rFonts w:ascii="Arial" w:hAnsi="Arial" w:cs="Arial"/>
                <w:i/>
                <w:iCs/>
                <w:sz w:val="18"/>
                <w:szCs w:val="18"/>
                <w:lang w:val="el-GR"/>
              </w:rPr>
              <w:t xml:space="preserve">όπως ορίζεται </w:t>
            </w:r>
            <w:r>
              <w:rPr>
                <w:rFonts w:ascii="Arial" w:hAnsi="Arial" w:cs="Arial"/>
                <w:i/>
                <w:iCs/>
                <w:sz w:val="18"/>
                <w:szCs w:val="18"/>
                <w:lang w:val="el-GR"/>
              </w:rPr>
              <w:t xml:space="preserve">στο </w:t>
            </w:r>
            <w:r w:rsidRPr="00B90A36">
              <w:rPr>
                <w:rFonts w:ascii="Arial" w:hAnsi="Arial" w:cs="Arial"/>
                <w:i/>
                <w:iCs/>
                <w:sz w:val="18"/>
                <w:szCs w:val="18"/>
                <w:lang w:val="el-GR"/>
              </w:rPr>
              <w:t>Μ</w:t>
            </w:r>
            <w:r>
              <w:rPr>
                <w:rFonts w:ascii="Arial" w:hAnsi="Arial" w:cs="Arial"/>
                <w:i/>
                <w:iCs/>
                <w:sz w:val="18"/>
                <w:szCs w:val="18"/>
                <w:lang w:val="el-GR"/>
              </w:rPr>
              <w:t>έρος Θ</w:t>
            </w:r>
            <w:r w:rsidRPr="005B05F8">
              <w:rPr>
                <w:rFonts w:ascii="Arial" w:hAnsi="Arial" w:cs="Arial"/>
                <w:sz w:val="18"/>
                <w:szCs w:val="18"/>
                <w:lang w:val="el-GR"/>
              </w:rPr>
              <w:t>)</w:t>
            </w:r>
          </w:p>
        </w:tc>
        <w:tc>
          <w:tcPr>
            <w:tcW w:w="1418" w:type="dxa"/>
            <w:shd w:val="clear" w:color="auto" w:fill="auto"/>
            <w:vAlign w:val="center"/>
          </w:tcPr>
          <w:p w14:paraId="5EDCE897" w14:textId="77777777" w:rsidR="0056738E" w:rsidRPr="00CF0DAD"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387,547</w:t>
            </w:r>
          </w:p>
        </w:tc>
        <w:tc>
          <w:tcPr>
            <w:tcW w:w="1417" w:type="dxa"/>
            <w:shd w:val="clear" w:color="auto" w:fill="auto"/>
            <w:vAlign w:val="center"/>
          </w:tcPr>
          <w:p w14:paraId="5BD3D0A1" w14:textId="77777777" w:rsidR="0056738E" w:rsidRPr="005B05F8" w:rsidRDefault="0056738E" w:rsidP="007C2AEE">
            <w:pPr>
              <w:tabs>
                <w:tab w:val="left" w:pos="0"/>
                <w:tab w:val="right" w:pos="7560"/>
                <w:tab w:val="right" w:pos="9000"/>
              </w:tabs>
              <w:jc w:val="right"/>
              <w:rPr>
                <w:rFonts w:ascii="Arial" w:hAnsi="Arial" w:cs="Arial"/>
                <w:sz w:val="18"/>
                <w:szCs w:val="18"/>
                <w:lang w:val="el-GR"/>
              </w:rPr>
            </w:pPr>
            <w:r>
              <w:rPr>
                <w:rFonts w:ascii="Arial" w:hAnsi="Arial" w:cs="Arial"/>
                <w:bCs/>
                <w:sz w:val="18"/>
                <w:szCs w:val="18"/>
                <w:lang w:val="en-GB"/>
              </w:rPr>
              <w:t>331,043</w:t>
            </w:r>
          </w:p>
        </w:tc>
      </w:tr>
      <w:tr w:rsidR="0056738E" w:rsidRPr="005B05F8" w14:paraId="04AA8865" w14:textId="77777777" w:rsidTr="007C2AEE">
        <w:trPr>
          <w:trHeight w:val="283"/>
          <w:jc w:val="center"/>
        </w:trPr>
        <w:tc>
          <w:tcPr>
            <w:tcW w:w="6236" w:type="dxa"/>
            <w:vAlign w:val="center"/>
          </w:tcPr>
          <w:p w14:paraId="21CCC44C" w14:textId="77777777" w:rsidR="0056738E" w:rsidRPr="005B05F8" w:rsidRDefault="0056738E" w:rsidP="007C2AEE">
            <w:pPr>
              <w:tabs>
                <w:tab w:val="left" w:pos="0"/>
                <w:tab w:val="right" w:pos="7560"/>
                <w:tab w:val="right" w:pos="9000"/>
              </w:tabs>
              <w:jc w:val="both"/>
              <w:rPr>
                <w:rFonts w:ascii="Arial" w:hAnsi="Arial" w:cs="Arial"/>
                <w:b/>
                <w:bCs/>
                <w:sz w:val="18"/>
                <w:szCs w:val="18"/>
              </w:rPr>
            </w:pPr>
            <w:r w:rsidRPr="005B05F8">
              <w:rPr>
                <w:rFonts w:ascii="Arial" w:hAnsi="Arial" w:cs="Arial"/>
                <w:b/>
                <w:bCs/>
                <w:sz w:val="18"/>
                <w:szCs w:val="18"/>
                <w:lang w:val="el-GR"/>
              </w:rPr>
              <w:t>Συμφιλίωση για</w:t>
            </w:r>
            <w:r w:rsidRPr="005B05F8">
              <w:rPr>
                <w:rFonts w:ascii="Arial" w:hAnsi="Arial" w:cs="Arial"/>
                <w:b/>
                <w:bCs/>
                <w:sz w:val="18"/>
                <w:szCs w:val="18"/>
              </w:rPr>
              <w:t>:</w:t>
            </w:r>
          </w:p>
        </w:tc>
        <w:tc>
          <w:tcPr>
            <w:tcW w:w="1418" w:type="dxa"/>
            <w:shd w:val="clear" w:color="auto" w:fill="auto"/>
            <w:vAlign w:val="center"/>
          </w:tcPr>
          <w:p w14:paraId="47935ECB" w14:textId="77777777" w:rsidR="0056738E" w:rsidRPr="005B05F8" w:rsidRDefault="0056738E" w:rsidP="007C2AEE">
            <w:pPr>
              <w:tabs>
                <w:tab w:val="left" w:pos="0"/>
                <w:tab w:val="right" w:pos="7560"/>
                <w:tab w:val="right" w:pos="9000"/>
              </w:tabs>
              <w:jc w:val="right"/>
              <w:rPr>
                <w:rFonts w:ascii="Arial" w:hAnsi="Arial" w:cs="Arial"/>
                <w:b/>
                <w:bCs/>
                <w:sz w:val="18"/>
                <w:szCs w:val="18"/>
                <w:lang w:val="el-GR"/>
              </w:rPr>
            </w:pPr>
          </w:p>
        </w:tc>
        <w:tc>
          <w:tcPr>
            <w:tcW w:w="1417" w:type="dxa"/>
            <w:shd w:val="clear" w:color="auto" w:fill="auto"/>
            <w:vAlign w:val="center"/>
          </w:tcPr>
          <w:p w14:paraId="7BA85AA6" w14:textId="77777777" w:rsidR="0056738E" w:rsidRPr="005B05F8" w:rsidRDefault="0056738E" w:rsidP="007C2AEE">
            <w:pPr>
              <w:tabs>
                <w:tab w:val="left" w:pos="0"/>
                <w:tab w:val="right" w:pos="7560"/>
                <w:tab w:val="right" w:pos="9000"/>
              </w:tabs>
              <w:jc w:val="right"/>
              <w:rPr>
                <w:rFonts w:ascii="Arial" w:hAnsi="Arial" w:cs="Arial"/>
                <w:sz w:val="18"/>
                <w:szCs w:val="18"/>
              </w:rPr>
            </w:pPr>
          </w:p>
        </w:tc>
      </w:tr>
      <w:tr w:rsidR="0056738E" w:rsidRPr="001B6325" w14:paraId="52F6A604" w14:textId="77777777" w:rsidTr="007C2AEE">
        <w:trPr>
          <w:trHeight w:val="283"/>
          <w:jc w:val="center"/>
        </w:trPr>
        <w:tc>
          <w:tcPr>
            <w:tcW w:w="6236" w:type="dxa"/>
            <w:tcBorders>
              <w:bottom w:val="single" w:sz="4" w:space="0" w:color="D9D9D9" w:themeColor="background1" w:themeShade="D9"/>
            </w:tcBorders>
            <w:vAlign w:val="center"/>
          </w:tcPr>
          <w:p w14:paraId="1D3F485C" w14:textId="77777777" w:rsidR="0056738E" w:rsidRPr="005B05F8" w:rsidRDefault="0056738E" w:rsidP="007C2AEE">
            <w:pPr>
              <w:tabs>
                <w:tab w:val="left" w:pos="0"/>
                <w:tab w:val="right" w:pos="7560"/>
                <w:tab w:val="right" w:pos="9000"/>
              </w:tabs>
              <w:jc w:val="both"/>
              <w:rPr>
                <w:rFonts w:ascii="Arial" w:hAnsi="Arial" w:cs="Arial"/>
                <w:bCs/>
                <w:sz w:val="18"/>
                <w:szCs w:val="18"/>
                <w:lang w:val="el-GR"/>
              </w:rPr>
            </w:pPr>
            <w:r>
              <w:rPr>
                <w:rFonts w:ascii="Arial" w:hAnsi="Arial" w:cs="Arial"/>
                <w:bCs/>
                <w:sz w:val="18"/>
                <w:szCs w:val="18"/>
                <w:lang w:val="el-GR"/>
              </w:rPr>
              <w:t>Πληρωμές σε άλλους συμμετοχικούς τίτλους</w:t>
            </w:r>
          </w:p>
        </w:tc>
        <w:tc>
          <w:tcPr>
            <w:tcW w:w="1418" w:type="dxa"/>
            <w:tcBorders>
              <w:bottom w:val="single" w:sz="4" w:space="0" w:color="D9D9D9" w:themeColor="background1" w:themeShade="D9"/>
            </w:tcBorders>
            <w:shd w:val="clear" w:color="auto" w:fill="auto"/>
            <w:vAlign w:val="center"/>
          </w:tcPr>
          <w:p w14:paraId="1FC7B7B5" w14:textId="77777777" w:rsidR="0056738E" w:rsidRPr="00A03828"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13,063</w:t>
            </w:r>
          </w:p>
        </w:tc>
        <w:tc>
          <w:tcPr>
            <w:tcW w:w="1417" w:type="dxa"/>
            <w:tcBorders>
              <w:bottom w:val="single" w:sz="4" w:space="0" w:color="D9D9D9" w:themeColor="background1" w:themeShade="D9"/>
            </w:tcBorders>
            <w:shd w:val="clear" w:color="auto" w:fill="auto"/>
            <w:vAlign w:val="center"/>
          </w:tcPr>
          <w:p w14:paraId="4BDF5CC4" w14:textId="77777777" w:rsidR="0056738E" w:rsidRPr="00A03828" w:rsidRDefault="0056738E" w:rsidP="007C2AEE">
            <w:pPr>
              <w:tabs>
                <w:tab w:val="left" w:pos="0"/>
                <w:tab w:val="right" w:pos="7560"/>
                <w:tab w:val="right" w:pos="9000"/>
              </w:tabs>
              <w:jc w:val="right"/>
              <w:rPr>
                <w:rFonts w:ascii="Arial" w:hAnsi="Arial" w:cs="Arial"/>
                <w:bCs/>
                <w:sz w:val="18"/>
                <w:szCs w:val="18"/>
                <w:lang w:val="el-GR"/>
              </w:rPr>
            </w:pPr>
            <w:r>
              <w:rPr>
                <w:rFonts w:ascii="Arial" w:hAnsi="Arial" w:cs="Arial"/>
                <w:bCs/>
                <w:sz w:val="18"/>
                <w:szCs w:val="18"/>
              </w:rPr>
              <w:t>20,570</w:t>
            </w:r>
          </w:p>
        </w:tc>
      </w:tr>
      <w:tr w:rsidR="0056738E" w:rsidRPr="005B05F8" w14:paraId="1D23697A" w14:textId="77777777" w:rsidTr="007C2AEE">
        <w:trPr>
          <w:trHeight w:val="283"/>
          <w:jc w:val="center"/>
        </w:trPr>
        <w:tc>
          <w:tcPr>
            <w:tcW w:w="6236" w:type="dxa"/>
            <w:tcBorders>
              <w:bottom w:val="single" w:sz="4" w:space="0" w:color="D9D9D9" w:themeColor="background1" w:themeShade="D9"/>
            </w:tcBorders>
            <w:vAlign w:val="center"/>
          </w:tcPr>
          <w:p w14:paraId="5B4BC6FC" w14:textId="77777777" w:rsidR="0056738E" w:rsidRPr="005B05F8" w:rsidRDefault="0056738E" w:rsidP="007C2AEE">
            <w:pPr>
              <w:tabs>
                <w:tab w:val="left" w:pos="0"/>
                <w:tab w:val="right" w:pos="7560"/>
                <w:tab w:val="right" w:pos="9000"/>
              </w:tabs>
              <w:jc w:val="both"/>
              <w:rPr>
                <w:rFonts w:ascii="Arial" w:hAnsi="Arial" w:cs="Arial"/>
                <w:bCs/>
                <w:sz w:val="18"/>
                <w:szCs w:val="18"/>
                <w:lang w:val="el-GR"/>
              </w:rPr>
            </w:pPr>
            <w:r w:rsidRPr="005B05F8">
              <w:rPr>
                <w:rFonts w:ascii="Arial" w:hAnsi="Arial" w:cs="Arial"/>
                <w:bCs/>
                <w:sz w:val="18"/>
                <w:szCs w:val="18"/>
                <w:lang w:val="el-GR"/>
              </w:rPr>
              <w:t xml:space="preserve">Έξοδα </w:t>
            </w:r>
            <w:r>
              <w:rPr>
                <w:rFonts w:ascii="Arial" w:hAnsi="Arial" w:cs="Arial"/>
                <w:bCs/>
                <w:sz w:val="18"/>
                <w:szCs w:val="18"/>
                <w:lang w:val="el-GR"/>
              </w:rPr>
              <w:t>από συμβουλευτικές υπηρεσίες</w:t>
            </w:r>
            <w:r w:rsidRPr="005B05F8">
              <w:rPr>
                <w:rFonts w:ascii="Arial" w:hAnsi="Arial" w:cs="Arial"/>
                <w:bCs/>
                <w:sz w:val="18"/>
                <w:szCs w:val="18"/>
                <w:lang w:val="el-GR"/>
              </w:rPr>
              <w:t xml:space="preserve"> και άλλα έξοδα μετασχηματισμού </w:t>
            </w:r>
            <w:r>
              <w:rPr>
                <w:rFonts w:ascii="Arial" w:hAnsi="Arial" w:cs="Arial"/>
                <w:bCs/>
                <w:sz w:val="18"/>
                <w:szCs w:val="18"/>
                <w:lang w:val="el-GR"/>
              </w:rPr>
              <w:t>(μη-επαναλαμβανόμενα)</w:t>
            </w:r>
          </w:p>
        </w:tc>
        <w:tc>
          <w:tcPr>
            <w:tcW w:w="1418" w:type="dxa"/>
            <w:tcBorders>
              <w:bottom w:val="single" w:sz="4" w:space="0" w:color="D9D9D9" w:themeColor="background1" w:themeShade="D9"/>
            </w:tcBorders>
            <w:shd w:val="clear" w:color="auto" w:fill="auto"/>
            <w:vAlign w:val="center"/>
          </w:tcPr>
          <w:p w14:paraId="051DA218" w14:textId="77777777" w:rsidR="0056738E" w:rsidRPr="005B05F8"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w:t>
            </w:r>
          </w:p>
        </w:tc>
        <w:tc>
          <w:tcPr>
            <w:tcW w:w="1417" w:type="dxa"/>
            <w:tcBorders>
              <w:bottom w:val="single" w:sz="4" w:space="0" w:color="D9D9D9" w:themeColor="background1" w:themeShade="D9"/>
            </w:tcBorders>
            <w:shd w:val="clear" w:color="auto" w:fill="auto"/>
            <w:vAlign w:val="center"/>
          </w:tcPr>
          <w:p w14:paraId="5CE01F73" w14:textId="77777777" w:rsidR="0056738E" w:rsidRPr="005B05F8" w:rsidRDefault="0056738E" w:rsidP="007C2AEE">
            <w:pPr>
              <w:tabs>
                <w:tab w:val="left" w:pos="0"/>
                <w:tab w:val="right" w:pos="7560"/>
                <w:tab w:val="right" w:pos="9000"/>
              </w:tabs>
              <w:jc w:val="right"/>
              <w:rPr>
                <w:rFonts w:ascii="Arial" w:hAnsi="Arial" w:cs="Arial"/>
                <w:sz w:val="18"/>
                <w:szCs w:val="18"/>
                <w:lang w:val="el-GR"/>
              </w:rPr>
            </w:pPr>
            <w:r>
              <w:rPr>
                <w:rFonts w:ascii="Arial" w:hAnsi="Arial" w:cs="Arial"/>
                <w:bCs/>
                <w:sz w:val="18"/>
                <w:szCs w:val="18"/>
                <w:lang w:val="en-GB"/>
              </w:rPr>
              <w:t>(</w:t>
            </w:r>
            <w:r w:rsidRPr="000A3D31">
              <w:rPr>
                <w:rFonts w:ascii="Arial" w:hAnsi="Arial" w:cs="Arial"/>
                <w:bCs/>
                <w:sz w:val="18"/>
                <w:szCs w:val="18"/>
                <w:lang w:val="en-GB"/>
              </w:rPr>
              <w:t>2,25</w:t>
            </w:r>
            <w:r>
              <w:rPr>
                <w:rFonts w:ascii="Arial" w:hAnsi="Arial" w:cs="Arial"/>
                <w:bCs/>
                <w:sz w:val="18"/>
                <w:szCs w:val="18"/>
                <w:lang w:val="en-GB"/>
              </w:rPr>
              <w:t>0)</w:t>
            </w:r>
          </w:p>
        </w:tc>
      </w:tr>
      <w:tr w:rsidR="0056738E" w:rsidRPr="005B05F8" w14:paraId="28FA4388" w14:textId="77777777" w:rsidTr="007C2AEE">
        <w:trPr>
          <w:trHeight w:val="283"/>
          <w:jc w:val="center"/>
        </w:trPr>
        <w:tc>
          <w:tcPr>
            <w:tcW w:w="6236" w:type="dxa"/>
            <w:tcBorders>
              <w:bottom w:val="single" w:sz="4" w:space="0" w:color="D9D9D9" w:themeColor="background1" w:themeShade="D9"/>
            </w:tcBorders>
            <w:vAlign w:val="center"/>
          </w:tcPr>
          <w:p w14:paraId="729239F8" w14:textId="77777777" w:rsidR="0056738E" w:rsidRPr="005B05F8" w:rsidRDefault="0056738E" w:rsidP="007C2AEE">
            <w:pPr>
              <w:tabs>
                <w:tab w:val="left" w:pos="0"/>
                <w:tab w:val="right" w:pos="7560"/>
                <w:tab w:val="right" w:pos="9000"/>
              </w:tabs>
              <w:jc w:val="both"/>
              <w:rPr>
                <w:rFonts w:ascii="Arial" w:hAnsi="Arial" w:cs="Arial"/>
                <w:b/>
                <w:sz w:val="18"/>
                <w:szCs w:val="18"/>
                <w:lang w:val="el-GR"/>
              </w:rPr>
            </w:pPr>
            <w:r w:rsidRPr="005B05F8">
              <w:rPr>
                <w:rFonts w:ascii="Arial" w:hAnsi="Arial" w:cs="Arial"/>
                <w:b/>
                <w:sz w:val="18"/>
                <w:szCs w:val="18"/>
                <w:lang w:val="el-GR"/>
              </w:rPr>
              <w:t>Κέρδη μετά την φορολογία για τ</w:t>
            </w:r>
            <w:r>
              <w:rPr>
                <w:rFonts w:ascii="Arial" w:hAnsi="Arial" w:cs="Arial"/>
                <w:b/>
                <w:sz w:val="18"/>
                <w:szCs w:val="18"/>
                <w:lang w:val="el-GR"/>
              </w:rPr>
              <w:t xml:space="preserve">ην περίοδο </w:t>
            </w:r>
            <w:r w:rsidRPr="005B05F8">
              <w:rPr>
                <w:rFonts w:ascii="Arial" w:hAnsi="Arial" w:cs="Arial"/>
                <w:b/>
                <w:sz w:val="18"/>
                <w:szCs w:val="18"/>
                <w:lang w:val="el-GR"/>
              </w:rPr>
              <w:t xml:space="preserve">που αναλογούν στους ιδιοκτήτες της Εταιρίας </w:t>
            </w:r>
            <w:r>
              <w:rPr>
                <w:rFonts w:ascii="Arial" w:hAnsi="Arial" w:cs="Arial"/>
                <w:b/>
                <w:sz w:val="18"/>
                <w:szCs w:val="18"/>
                <w:lang w:val="el-GR"/>
              </w:rPr>
              <w:t xml:space="preserve">στην Ενδιάμεση </w:t>
            </w:r>
            <w:r w:rsidRPr="005B05F8">
              <w:rPr>
                <w:rFonts w:ascii="Arial" w:hAnsi="Arial" w:cs="Arial"/>
                <w:b/>
                <w:sz w:val="18"/>
                <w:szCs w:val="18"/>
                <w:lang w:val="el-GR"/>
              </w:rPr>
              <w:t>Ενοποιημένη Κατάσταση Λογαριασμού Αποτελεσμάτων</w:t>
            </w:r>
          </w:p>
        </w:tc>
        <w:tc>
          <w:tcPr>
            <w:tcW w:w="1418" w:type="dxa"/>
            <w:tcBorders>
              <w:top w:val="single" w:sz="6" w:space="0" w:color="000000" w:themeColor="text1"/>
              <w:bottom w:val="double" w:sz="6" w:space="0" w:color="000000" w:themeColor="text1"/>
            </w:tcBorders>
            <w:shd w:val="clear" w:color="auto" w:fill="auto"/>
            <w:vAlign w:val="center"/>
          </w:tcPr>
          <w:p w14:paraId="6EC6D853" w14:textId="77777777" w:rsidR="0056738E" w:rsidRPr="005B05F8"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lang w:val="en-GB"/>
              </w:rPr>
              <w:t>400,610</w:t>
            </w:r>
          </w:p>
        </w:tc>
        <w:tc>
          <w:tcPr>
            <w:tcW w:w="1417" w:type="dxa"/>
            <w:tcBorders>
              <w:top w:val="single" w:sz="6" w:space="0" w:color="000000" w:themeColor="text1"/>
              <w:bottom w:val="double" w:sz="6" w:space="0" w:color="000000" w:themeColor="text1"/>
            </w:tcBorders>
            <w:shd w:val="clear" w:color="auto" w:fill="auto"/>
            <w:vAlign w:val="center"/>
          </w:tcPr>
          <w:p w14:paraId="5D65E475" w14:textId="77777777" w:rsidR="0056738E" w:rsidRPr="005B05F8" w:rsidRDefault="0056738E" w:rsidP="007C2AEE">
            <w:pPr>
              <w:tabs>
                <w:tab w:val="left" w:pos="0"/>
                <w:tab w:val="right" w:pos="7560"/>
                <w:tab w:val="right" w:pos="9000"/>
              </w:tabs>
              <w:jc w:val="right"/>
              <w:rPr>
                <w:rFonts w:ascii="Arial" w:hAnsi="Arial" w:cs="Arial"/>
                <w:sz w:val="18"/>
                <w:szCs w:val="18"/>
                <w:lang w:val="el-GR"/>
              </w:rPr>
            </w:pPr>
            <w:r>
              <w:rPr>
                <w:rFonts w:ascii="Arial" w:hAnsi="Arial" w:cs="Arial"/>
                <w:bCs/>
                <w:sz w:val="18"/>
                <w:szCs w:val="18"/>
                <w:lang w:val="en-GB"/>
              </w:rPr>
              <w:t>349,363</w:t>
            </w:r>
          </w:p>
        </w:tc>
      </w:tr>
    </w:tbl>
    <w:p w14:paraId="23FD88E2" w14:textId="77777777" w:rsidR="0056738E" w:rsidRPr="00CF0DAD" w:rsidRDefault="0056738E" w:rsidP="0056738E">
      <w:pPr>
        <w:shd w:val="clear" w:color="auto" w:fill="FFFFFF"/>
        <w:tabs>
          <w:tab w:val="left" w:pos="810"/>
        </w:tabs>
        <w:suppressAutoHyphens/>
        <w:spacing w:after="0" w:line="240" w:lineRule="auto"/>
        <w:jc w:val="both"/>
        <w:rPr>
          <w:rFonts w:ascii="Arial" w:hAnsi="Arial" w:cs="Arial"/>
          <w:b/>
          <w:color w:val="FF9900"/>
          <w:sz w:val="16"/>
          <w:szCs w:val="16"/>
          <w:u w:val="single"/>
          <w:lang w:val="el-GR"/>
        </w:rPr>
      </w:pPr>
    </w:p>
    <w:p w14:paraId="5078FCB9" w14:textId="77777777" w:rsidR="0056738E" w:rsidRPr="005B05F8" w:rsidRDefault="0056738E" w:rsidP="0056738E">
      <w:pPr>
        <w:shd w:val="clear" w:color="auto" w:fill="FFFFFF"/>
        <w:tabs>
          <w:tab w:val="left" w:pos="810"/>
        </w:tabs>
        <w:suppressAutoHyphens/>
        <w:spacing w:after="0" w:line="360" w:lineRule="auto"/>
        <w:jc w:val="both"/>
        <w:rPr>
          <w:rFonts w:ascii="Arial" w:eastAsia="Times New Roman" w:hAnsi="Arial" w:cs="Arial"/>
          <w:b/>
          <w:color w:val="FF9900"/>
          <w:u w:val="single"/>
          <w:lang w:val="el-GR"/>
        </w:rPr>
      </w:pPr>
      <w:bookmarkStart w:id="45" w:name="_Hlk164775343"/>
      <w:bookmarkStart w:id="46" w:name="_Hlk178850935"/>
      <w:r w:rsidRPr="005B05F8">
        <w:rPr>
          <w:rFonts w:ascii="Arial" w:eastAsia="Times New Roman" w:hAnsi="Arial" w:cs="Arial"/>
          <w:b/>
          <w:color w:val="FF9900"/>
          <w:u w:val="single"/>
          <w:lang w:val="el-GR"/>
        </w:rPr>
        <w:t>Πληροφορίες Βασικών Δεικτών Απόδοσης</w:t>
      </w:r>
      <w:bookmarkEnd w:id="45"/>
    </w:p>
    <w:p w14:paraId="4C842F01" w14:textId="77777777" w:rsidR="0056738E" w:rsidRPr="00041815" w:rsidRDefault="0056738E" w:rsidP="0056738E">
      <w:pPr>
        <w:pStyle w:val="ListParagraph"/>
        <w:numPr>
          <w:ilvl w:val="0"/>
          <w:numId w:val="10"/>
        </w:numPr>
        <w:shd w:val="clear" w:color="auto" w:fill="FFFFFF"/>
        <w:suppressAutoHyphens/>
        <w:spacing w:line="360" w:lineRule="auto"/>
        <w:ind w:left="851" w:hanging="851"/>
        <w:jc w:val="both"/>
        <w:rPr>
          <w:rFonts w:ascii="Arial" w:hAnsi="Arial" w:cs="Arial"/>
          <w:b/>
          <w:color w:val="FF9900"/>
          <w:sz w:val="22"/>
          <w:szCs w:val="22"/>
        </w:rPr>
      </w:pPr>
      <w:bookmarkStart w:id="47" w:name="_Hlk178850973"/>
      <w:r>
        <w:rPr>
          <w:rFonts w:ascii="Arial" w:hAnsi="Arial" w:cs="Arial"/>
          <w:b/>
          <w:color w:val="FF9900"/>
          <w:sz w:val="22"/>
          <w:szCs w:val="22"/>
          <w:lang w:val="el-GR"/>
        </w:rPr>
        <w:t xml:space="preserve">Καθαρό </w:t>
      </w:r>
      <w:proofErr w:type="spellStart"/>
      <w:r>
        <w:rPr>
          <w:rFonts w:ascii="Arial" w:hAnsi="Arial" w:cs="Arial"/>
          <w:b/>
          <w:color w:val="FF9900"/>
          <w:sz w:val="22"/>
          <w:szCs w:val="22"/>
          <w:lang w:val="el-GR"/>
        </w:rPr>
        <w:t>επιτοκιακό</w:t>
      </w:r>
      <w:proofErr w:type="spellEnd"/>
      <w:r>
        <w:rPr>
          <w:rFonts w:ascii="Arial" w:hAnsi="Arial" w:cs="Arial"/>
          <w:b/>
          <w:color w:val="FF9900"/>
          <w:sz w:val="22"/>
          <w:szCs w:val="22"/>
          <w:lang w:val="el-GR"/>
        </w:rPr>
        <w:t xml:space="preserve"> περιθώριο</w:t>
      </w:r>
    </w:p>
    <w:bookmarkEnd w:id="46"/>
    <w:bookmarkEnd w:id="47"/>
    <w:p w14:paraId="060C257D" w14:textId="77777777" w:rsidR="0056738E" w:rsidRPr="00041815" w:rsidRDefault="0056738E" w:rsidP="0056738E">
      <w:pPr>
        <w:tabs>
          <w:tab w:val="left" w:pos="0"/>
          <w:tab w:val="right" w:pos="7560"/>
          <w:tab w:val="right" w:pos="9000"/>
        </w:tabs>
        <w:spacing w:after="120" w:line="240" w:lineRule="auto"/>
        <w:rPr>
          <w:rFonts w:ascii="Arial" w:hAnsi="Arial" w:cs="Arial"/>
          <w:sz w:val="18"/>
          <w:szCs w:val="16"/>
          <w:lang w:val="el-GR" w:eastAsia="en-US"/>
        </w:rPr>
      </w:pPr>
      <w:r w:rsidRPr="00041815">
        <w:rPr>
          <w:rFonts w:ascii="Arial" w:eastAsia="Times New Roman" w:hAnsi="Arial" w:cs="Arial"/>
          <w:sz w:val="18"/>
          <w:szCs w:val="16"/>
          <w:lang w:val="el-GR" w:eastAsia="en-US"/>
        </w:rPr>
        <w:t xml:space="preserve">Οι παράμετροι για τον υπολογισμό του καθαρού </w:t>
      </w:r>
      <w:proofErr w:type="spellStart"/>
      <w:r w:rsidRPr="00041815">
        <w:rPr>
          <w:rFonts w:ascii="Arial" w:eastAsia="Times New Roman" w:hAnsi="Arial" w:cs="Arial"/>
          <w:sz w:val="18"/>
          <w:szCs w:val="16"/>
          <w:lang w:val="el-GR" w:eastAsia="en-US"/>
        </w:rPr>
        <w:t>επιτοκιακού</w:t>
      </w:r>
      <w:proofErr w:type="spellEnd"/>
      <w:r w:rsidRPr="00041815">
        <w:rPr>
          <w:rFonts w:ascii="Arial" w:eastAsia="Times New Roman" w:hAnsi="Arial" w:cs="Arial"/>
          <w:sz w:val="18"/>
          <w:szCs w:val="16"/>
          <w:lang w:val="el-GR" w:eastAsia="en-US"/>
        </w:rPr>
        <w:t xml:space="preserve"> περιθωρίου παρουσιάζονται πιο κάτω:</w:t>
      </w:r>
    </w:p>
    <w:tbl>
      <w:tblPr>
        <w:tblStyle w:val="TableGrid"/>
        <w:tblW w:w="9085"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36"/>
        <w:gridCol w:w="1418"/>
        <w:gridCol w:w="1431"/>
      </w:tblGrid>
      <w:tr w:rsidR="0056738E" w:rsidRPr="007C2AEE" w14:paraId="1DB72E30" w14:textId="77777777" w:rsidTr="007C2AEE">
        <w:trPr>
          <w:trHeight w:val="340"/>
          <w:jc w:val="center"/>
        </w:trPr>
        <w:tc>
          <w:tcPr>
            <w:tcW w:w="6236" w:type="dxa"/>
            <w:vMerge w:val="restart"/>
            <w:vAlign w:val="center"/>
          </w:tcPr>
          <w:p w14:paraId="1B06E402" w14:textId="77777777" w:rsidR="0056738E" w:rsidRPr="009B5694" w:rsidRDefault="0056738E" w:rsidP="007C2AEE">
            <w:pPr>
              <w:tabs>
                <w:tab w:val="left" w:pos="0"/>
                <w:tab w:val="left" w:pos="360"/>
              </w:tabs>
              <w:rPr>
                <w:rFonts w:ascii="Arial" w:hAnsi="Arial" w:cs="Arial"/>
                <w:b/>
                <w:color w:val="000000"/>
                <w:sz w:val="18"/>
                <w:szCs w:val="18"/>
                <w:lang w:val="el-GR"/>
              </w:rPr>
            </w:pPr>
          </w:p>
        </w:tc>
        <w:tc>
          <w:tcPr>
            <w:tcW w:w="2849" w:type="dxa"/>
            <w:gridSpan w:val="2"/>
            <w:shd w:val="clear" w:color="auto" w:fill="auto"/>
            <w:vAlign w:val="center"/>
          </w:tcPr>
          <w:p w14:paraId="7265F205" w14:textId="77777777" w:rsidR="0056738E" w:rsidRDefault="0056738E" w:rsidP="007C2AEE">
            <w:pPr>
              <w:ind w:left="-31" w:right="-65"/>
              <w:jc w:val="center"/>
              <w:rPr>
                <w:rFonts w:ascii="Arial" w:hAnsi="Arial" w:cs="Arial"/>
                <w:b/>
                <w:bCs/>
                <w:sz w:val="18"/>
                <w:szCs w:val="18"/>
                <w:lang w:val="el-GR"/>
              </w:rPr>
            </w:pPr>
            <w:r>
              <w:rPr>
                <w:rFonts w:ascii="Arial" w:hAnsi="Arial" w:cs="Arial"/>
                <w:b/>
                <w:bCs/>
                <w:sz w:val="18"/>
                <w:szCs w:val="18"/>
                <w:lang w:val="el-GR"/>
              </w:rPr>
              <w:t>Εννεάμηνο</w:t>
            </w:r>
            <w:r w:rsidRPr="000221F4">
              <w:rPr>
                <w:rFonts w:ascii="Arial" w:hAnsi="Arial" w:cs="Arial"/>
                <w:b/>
                <w:bCs/>
                <w:sz w:val="18"/>
                <w:szCs w:val="18"/>
                <w:lang w:val="el-GR"/>
              </w:rPr>
              <w:t xml:space="preserve"> </w:t>
            </w:r>
            <w:r w:rsidRPr="00C42B7D">
              <w:rPr>
                <w:rFonts w:ascii="Arial" w:hAnsi="Arial" w:cs="Arial"/>
                <w:b/>
                <w:bCs/>
                <w:sz w:val="18"/>
                <w:szCs w:val="18"/>
                <w:lang w:val="el-GR"/>
              </w:rPr>
              <w:t xml:space="preserve">που έληξε στις </w:t>
            </w:r>
          </w:p>
          <w:p w14:paraId="4C02AD17" w14:textId="77777777" w:rsidR="0056738E" w:rsidRPr="009B5694" w:rsidRDefault="0056738E" w:rsidP="007C2AEE">
            <w:pPr>
              <w:jc w:val="center"/>
              <w:rPr>
                <w:rFonts w:ascii="Arial" w:hAnsi="Arial" w:cs="Arial"/>
                <w:iCs/>
                <w:spacing w:val="-4"/>
                <w:sz w:val="18"/>
                <w:szCs w:val="18"/>
                <w:lang w:val="el-GR"/>
              </w:rPr>
            </w:pPr>
            <w:r w:rsidRPr="00331BC0">
              <w:rPr>
                <w:rFonts w:ascii="Arial" w:hAnsi="Arial" w:cs="Arial"/>
                <w:b/>
                <w:sz w:val="18"/>
                <w:szCs w:val="18"/>
                <w:lang w:val="el-GR"/>
              </w:rPr>
              <w:t>30 Σεπτεμβρίου</w:t>
            </w:r>
          </w:p>
        </w:tc>
      </w:tr>
      <w:tr w:rsidR="0056738E" w:rsidRPr="00A77607" w14:paraId="1D75BECD" w14:textId="77777777" w:rsidTr="007C2AEE">
        <w:trPr>
          <w:trHeight w:val="340"/>
          <w:jc w:val="center"/>
        </w:trPr>
        <w:tc>
          <w:tcPr>
            <w:tcW w:w="6236" w:type="dxa"/>
            <w:vMerge/>
            <w:vAlign w:val="center"/>
          </w:tcPr>
          <w:p w14:paraId="1773B152" w14:textId="77777777" w:rsidR="0056738E" w:rsidRPr="009B5694" w:rsidRDefault="0056738E" w:rsidP="007C2AEE">
            <w:pPr>
              <w:tabs>
                <w:tab w:val="left" w:pos="0"/>
                <w:tab w:val="right" w:pos="7560"/>
                <w:tab w:val="right" w:pos="9000"/>
              </w:tabs>
              <w:rPr>
                <w:rFonts w:ascii="Arial" w:hAnsi="Arial" w:cs="Arial"/>
                <w:sz w:val="18"/>
                <w:szCs w:val="18"/>
                <w:lang w:val="el-GR"/>
              </w:rPr>
            </w:pPr>
          </w:p>
        </w:tc>
        <w:tc>
          <w:tcPr>
            <w:tcW w:w="1418" w:type="dxa"/>
            <w:shd w:val="clear" w:color="auto" w:fill="auto"/>
            <w:vAlign w:val="center"/>
          </w:tcPr>
          <w:p w14:paraId="4C664E03" w14:textId="77777777" w:rsidR="0056738E" w:rsidRPr="00325113" w:rsidRDefault="0056738E" w:rsidP="007C2AEE">
            <w:pPr>
              <w:jc w:val="center"/>
              <w:rPr>
                <w:rFonts w:ascii="Arial" w:hAnsi="Arial" w:cs="Arial"/>
                <w:b/>
                <w:sz w:val="18"/>
                <w:szCs w:val="18"/>
                <w:lang w:val="el-GR"/>
              </w:rPr>
            </w:pPr>
            <w:r>
              <w:rPr>
                <w:rFonts w:ascii="Arial" w:hAnsi="Arial" w:cs="Arial"/>
                <w:b/>
                <w:sz w:val="18"/>
                <w:szCs w:val="18"/>
                <w:lang w:val="el-GR"/>
              </w:rPr>
              <w:t>2024</w:t>
            </w:r>
          </w:p>
        </w:tc>
        <w:tc>
          <w:tcPr>
            <w:tcW w:w="1431" w:type="dxa"/>
            <w:vAlign w:val="center"/>
          </w:tcPr>
          <w:p w14:paraId="0BCB9DEA" w14:textId="77777777" w:rsidR="0056738E" w:rsidRPr="0035184C" w:rsidRDefault="0056738E" w:rsidP="007C2AEE">
            <w:pPr>
              <w:ind w:left="-108" w:right="-61"/>
              <w:jc w:val="center"/>
              <w:rPr>
                <w:rFonts w:ascii="Arial" w:hAnsi="Arial" w:cs="Arial"/>
                <w:sz w:val="18"/>
                <w:szCs w:val="18"/>
                <w:lang w:val="el-GR"/>
              </w:rPr>
            </w:pPr>
            <w:r>
              <w:rPr>
                <w:rFonts w:ascii="Arial" w:hAnsi="Arial" w:cs="Arial"/>
                <w:sz w:val="18"/>
                <w:szCs w:val="18"/>
                <w:lang w:val="el-GR"/>
              </w:rPr>
              <w:t>2023</w:t>
            </w:r>
          </w:p>
        </w:tc>
      </w:tr>
      <w:tr w:rsidR="0056738E" w:rsidRPr="00A77607" w14:paraId="0D89109D" w14:textId="77777777" w:rsidTr="007C2AEE">
        <w:trPr>
          <w:trHeight w:val="401"/>
          <w:jc w:val="center"/>
        </w:trPr>
        <w:tc>
          <w:tcPr>
            <w:tcW w:w="6236" w:type="dxa"/>
            <w:vAlign w:val="center"/>
          </w:tcPr>
          <w:p w14:paraId="49257911" w14:textId="77777777" w:rsidR="0056738E" w:rsidRDefault="0056738E" w:rsidP="0056738E">
            <w:pPr>
              <w:pStyle w:val="ListParagraph"/>
              <w:numPr>
                <w:ilvl w:val="1"/>
                <w:numId w:val="8"/>
              </w:numPr>
              <w:tabs>
                <w:tab w:val="left" w:pos="0"/>
                <w:tab w:val="right" w:pos="7560"/>
                <w:tab w:val="right" w:pos="9000"/>
              </w:tabs>
              <w:ind w:left="596" w:hanging="450"/>
              <w:rPr>
                <w:rFonts w:ascii="Arial" w:hAnsi="Arial" w:cs="Arial"/>
                <w:b/>
                <w:bCs/>
                <w:sz w:val="18"/>
                <w:szCs w:val="18"/>
                <w:lang w:val="el-GR"/>
              </w:rPr>
            </w:pPr>
            <w:r>
              <w:rPr>
                <w:rFonts w:ascii="Arial" w:hAnsi="Arial" w:cs="Arial"/>
                <w:b/>
                <w:bCs/>
                <w:sz w:val="18"/>
                <w:szCs w:val="18"/>
                <w:lang w:val="el-GR"/>
              </w:rPr>
              <w:t xml:space="preserve">Καθαρά έσοδα από τόκους που χρησιμοποιήθηκαν για τον υπολογισμό του καθαρού </w:t>
            </w:r>
            <w:proofErr w:type="spellStart"/>
            <w:r>
              <w:rPr>
                <w:rFonts w:ascii="Arial" w:hAnsi="Arial" w:cs="Arial"/>
                <w:b/>
                <w:bCs/>
                <w:sz w:val="18"/>
                <w:szCs w:val="18"/>
                <w:lang w:val="el-GR"/>
              </w:rPr>
              <w:t>επιτοκιακού</w:t>
            </w:r>
            <w:proofErr w:type="spellEnd"/>
            <w:r>
              <w:rPr>
                <w:rFonts w:ascii="Arial" w:hAnsi="Arial" w:cs="Arial"/>
                <w:b/>
                <w:bCs/>
                <w:sz w:val="18"/>
                <w:szCs w:val="18"/>
                <w:lang w:val="el-GR"/>
              </w:rPr>
              <w:t xml:space="preserve"> περιθωρίου</w:t>
            </w:r>
          </w:p>
        </w:tc>
        <w:tc>
          <w:tcPr>
            <w:tcW w:w="1418" w:type="dxa"/>
            <w:tcBorders>
              <w:bottom w:val="single" w:sz="4" w:space="0" w:color="D9D9D9" w:themeColor="background1" w:themeShade="D9"/>
            </w:tcBorders>
            <w:shd w:val="clear" w:color="auto" w:fill="auto"/>
            <w:vAlign w:val="center"/>
          </w:tcPr>
          <w:p w14:paraId="3DA25CAA" w14:textId="77777777" w:rsidR="0056738E" w:rsidRPr="00D703C4" w:rsidRDefault="0056738E" w:rsidP="007C2AEE">
            <w:pPr>
              <w:jc w:val="center"/>
              <w:rPr>
                <w:rFonts w:ascii="Arial" w:hAnsi="Arial" w:cs="Arial"/>
                <w:b/>
                <w:sz w:val="18"/>
                <w:szCs w:val="18"/>
                <w:lang w:val="el-GR"/>
              </w:rPr>
            </w:pPr>
            <w:r w:rsidRPr="00EC6499">
              <w:rPr>
                <w:rFonts w:ascii="Arial" w:hAnsi="Arial" w:cs="Arial"/>
                <w:b/>
                <w:sz w:val="18"/>
                <w:szCs w:val="18"/>
              </w:rPr>
              <w:t>€000</w:t>
            </w:r>
          </w:p>
        </w:tc>
        <w:tc>
          <w:tcPr>
            <w:tcW w:w="1431" w:type="dxa"/>
            <w:tcBorders>
              <w:bottom w:val="single" w:sz="4" w:space="0" w:color="D9D9D9" w:themeColor="background1" w:themeShade="D9"/>
            </w:tcBorders>
            <w:vAlign w:val="center"/>
          </w:tcPr>
          <w:p w14:paraId="18C9B748" w14:textId="77777777" w:rsidR="0056738E" w:rsidRPr="0016518A" w:rsidRDefault="0056738E" w:rsidP="007C2AEE">
            <w:pPr>
              <w:jc w:val="center"/>
              <w:rPr>
                <w:rFonts w:ascii="Arial" w:hAnsi="Arial" w:cs="Arial"/>
                <w:bCs/>
                <w:sz w:val="18"/>
                <w:szCs w:val="18"/>
              </w:rPr>
            </w:pPr>
            <w:r w:rsidRPr="00325113">
              <w:rPr>
                <w:rFonts w:ascii="Arial" w:hAnsi="Arial" w:cs="Arial"/>
                <w:sz w:val="18"/>
                <w:szCs w:val="18"/>
              </w:rPr>
              <w:t>€000</w:t>
            </w:r>
          </w:p>
        </w:tc>
      </w:tr>
      <w:tr w:rsidR="0056738E" w:rsidRPr="00EA064F" w14:paraId="277DAF09" w14:textId="77777777" w:rsidTr="007C2AEE">
        <w:trPr>
          <w:trHeight w:val="401"/>
          <w:jc w:val="center"/>
        </w:trPr>
        <w:tc>
          <w:tcPr>
            <w:tcW w:w="6236" w:type="dxa"/>
            <w:vAlign w:val="center"/>
          </w:tcPr>
          <w:p w14:paraId="5E4F0723" w14:textId="77777777" w:rsidR="0056738E" w:rsidRPr="00FE2A28" w:rsidRDefault="0056738E" w:rsidP="007C2AEE">
            <w:pPr>
              <w:tabs>
                <w:tab w:val="left" w:pos="0"/>
                <w:tab w:val="right" w:pos="7560"/>
                <w:tab w:val="right" w:pos="9000"/>
              </w:tabs>
              <w:rPr>
                <w:rFonts w:ascii="Arial" w:hAnsi="Arial" w:cs="Arial"/>
                <w:bCs/>
                <w:sz w:val="18"/>
                <w:szCs w:val="18"/>
                <w:lang w:val="el-GR"/>
              </w:rPr>
            </w:pPr>
            <w:r w:rsidRPr="00FE2A28">
              <w:rPr>
                <w:rFonts w:ascii="Arial" w:hAnsi="Arial" w:cs="Arial"/>
                <w:bCs/>
                <w:sz w:val="18"/>
                <w:szCs w:val="18"/>
                <w:lang w:val="el-GR"/>
              </w:rPr>
              <w:t>Καθαρά έσοδα από τόκους στην υποκείμενη βάση</w:t>
            </w:r>
            <w:r>
              <w:rPr>
                <w:rFonts w:ascii="Arial" w:hAnsi="Arial" w:cs="Arial"/>
                <w:bCs/>
                <w:sz w:val="18"/>
                <w:szCs w:val="18"/>
                <w:lang w:val="el-GR"/>
              </w:rPr>
              <w:t>/σ</w:t>
            </w:r>
            <w:r>
              <w:rPr>
                <w:rFonts w:ascii="Arial" w:hAnsi="Arial" w:cs="Arial"/>
                <w:color w:val="262626"/>
                <w:sz w:val="18"/>
                <w:szCs w:val="18"/>
                <w:lang w:val="el-GR"/>
              </w:rPr>
              <w:t>την απαιτούμενη</w:t>
            </w:r>
            <w:r w:rsidRPr="00EB6473">
              <w:rPr>
                <w:rFonts w:ascii="Arial" w:hAnsi="Arial" w:cs="Arial"/>
                <w:color w:val="262626"/>
                <w:sz w:val="18"/>
                <w:szCs w:val="18"/>
                <w:lang w:val="el-GR"/>
              </w:rPr>
              <w:t xml:space="preserve"> από τη νομοθεσία </w:t>
            </w:r>
            <w:r>
              <w:rPr>
                <w:rFonts w:ascii="Arial" w:hAnsi="Arial" w:cs="Arial"/>
                <w:color w:val="262626"/>
                <w:sz w:val="18"/>
                <w:szCs w:val="18"/>
                <w:lang w:val="el-GR"/>
              </w:rPr>
              <w:t>βάση</w:t>
            </w:r>
          </w:p>
        </w:tc>
        <w:tc>
          <w:tcPr>
            <w:tcW w:w="1418" w:type="dxa"/>
            <w:tcBorders>
              <w:bottom w:val="single" w:sz="6" w:space="0" w:color="000000" w:themeColor="text1"/>
            </w:tcBorders>
            <w:shd w:val="clear" w:color="auto" w:fill="auto"/>
            <w:vAlign w:val="center"/>
          </w:tcPr>
          <w:p w14:paraId="18D1BB16" w14:textId="77777777" w:rsidR="0056738E" w:rsidRPr="005E52FA" w:rsidRDefault="0056738E" w:rsidP="007C2AEE">
            <w:pPr>
              <w:jc w:val="right"/>
              <w:rPr>
                <w:rFonts w:ascii="Arial" w:hAnsi="Arial" w:cs="Arial"/>
                <w:b/>
                <w:sz w:val="18"/>
                <w:szCs w:val="18"/>
                <w:lang w:val="el-GR"/>
              </w:rPr>
            </w:pPr>
            <w:r>
              <w:rPr>
                <w:rFonts w:ascii="Arial" w:hAnsi="Arial" w:cs="Arial"/>
                <w:b/>
                <w:bCs/>
                <w:sz w:val="18"/>
                <w:szCs w:val="18"/>
              </w:rPr>
              <w:t>623,576</w:t>
            </w:r>
          </w:p>
        </w:tc>
        <w:tc>
          <w:tcPr>
            <w:tcW w:w="1431" w:type="dxa"/>
            <w:tcBorders>
              <w:bottom w:val="single" w:sz="6" w:space="0" w:color="000000" w:themeColor="text1"/>
            </w:tcBorders>
            <w:vAlign w:val="center"/>
          </w:tcPr>
          <w:p w14:paraId="4102E7A6" w14:textId="77777777" w:rsidR="0056738E" w:rsidRPr="00C26D10" w:rsidRDefault="0056738E" w:rsidP="007C2AEE">
            <w:pPr>
              <w:jc w:val="right"/>
              <w:rPr>
                <w:rFonts w:ascii="Arial" w:hAnsi="Arial" w:cs="Arial"/>
                <w:sz w:val="18"/>
                <w:szCs w:val="18"/>
                <w:lang w:val="el-GR"/>
              </w:rPr>
            </w:pPr>
            <w:r w:rsidRPr="00E25891">
              <w:rPr>
                <w:rFonts w:ascii="Arial" w:hAnsi="Arial" w:cs="Arial"/>
                <w:sz w:val="18"/>
                <w:szCs w:val="18"/>
              </w:rPr>
              <w:t>572,164</w:t>
            </w:r>
          </w:p>
        </w:tc>
      </w:tr>
      <w:tr w:rsidR="0056738E" w:rsidRPr="007F7084" w14:paraId="0569119E" w14:textId="77777777" w:rsidTr="007C2AEE">
        <w:trPr>
          <w:trHeight w:val="401"/>
          <w:jc w:val="center"/>
        </w:trPr>
        <w:tc>
          <w:tcPr>
            <w:tcW w:w="6236" w:type="dxa"/>
            <w:vAlign w:val="center"/>
          </w:tcPr>
          <w:p w14:paraId="1BB0BD0B" w14:textId="77777777" w:rsidR="0056738E" w:rsidRPr="00FE2A28" w:rsidRDefault="0056738E" w:rsidP="007C2AEE">
            <w:pPr>
              <w:tabs>
                <w:tab w:val="left" w:pos="0"/>
                <w:tab w:val="right" w:pos="7560"/>
                <w:tab w:val="right" w:pos="9000"/>
              </w:tabs>
              <w:rPr>
                <w:rFonts w:ascii="Arial" w:hAnsi="Arial" w:cs="Arial"/>
                <w:bCs/>
                <w:sz w:val="18"/>
                <w:szCs w:val="18"/>
                <w:lang w:val="el-GR"/>
              </w:rPr>
            </w:pPr>
            <w:r>
              <w:rPr>
                <w:rFonts w:ascii="Arial" w:hAnsi="Arial" w:cs="Arial"/>
                <w:b/>
                <w:sz w:val="18"/>
                <w:szCs w:val="18"/>
                <w:lang w:val="el-GR"/>
              </w:rPr>
              <w:t xml:space="preserve">Καθαρά έσοδα από τόκους που χρησιμοποιήθηκαν για τον υπολογισμό του καθαρού </w:t>
            </w:r>
            <w:proofErr w:type="spellStart"/>
            <w:r>
              <w:rPr>
                <w:rFonts w:ascii="Arial" w:hAnsi="Arial" w:cs="Arial"/>
                <w:b/>
                <w:sz w:val="18"/>
                <w:szCs w:val="18"/>
                <w:lang w:val="el-GR"/>
              </w:rPr>
              <w:t>επιτοκιακού</w:t>
            </w:r>
            <w:proofErr w:type="spellEnd"/>
            <w:r>
              <w:rPr>
                <w:rFonts w:ascii="Arial" w:hAnsi="Arial" w:cs="Arial"/>
                <w:b/>
                <w:sz w:val="18"/>
                <w:szCs w:val="18"/>
                <w:lang w:val="el-GR"/>
              </w:rPr>
              <w:t xml:space="preserve"> περιθωρίου </w:t>
            </w:r>
            <w:r w:rsidRPr="009B5694">
              <w:rPr>
                <w:rFonts w:ascii="Arial" w:hAnsi="Arial" w:cs="Arial"/>
                <w:b/>
                <w:sz w:val="18"/>
                <w:szCs w:val="18"/>
                <w:lang w:val="el-GR"/>
              </w:rPr>
              <w:t>(</w:t>
            </w:r>
            <w:proofErr w:type="spellStart"/>
            <w:r w:rsidRPr="009B5694">
              <w:rPr>
                <w:rFonts w:ascii="Arial" w:hAnsi="Arial" w:cs="Arial"/>
                <w:b/>
                <w:sz w:val="18"/>
                <w:szCs w:val="18"/>
                <w:lang w:val="el-GR"/>
              </w:rPr>
              <w:t>ετησιοποιημένα</w:t>
            </w:r>
            <w:proofErr w:type="spellEnd"/>
            <w:r w:rsidRPr="009B5694">
              <w:rPr>
                <w:rFonts w:ascii="Arial" w:hAnsi="Arial" w:cs="Arial"/>
                <w:b/>
                <w:sz w:val="18"/>
                <w:szCs w:val="18"/>
                <w:lang w:val="el-GR"/>
              </w:rPr>
              <w:t>)</w:t>
            </w:r>
          </w:p>
        </w:tc>
        <w:tc>
          <w:tcPr>
            <w:tcW w:w="1418" w:type="dxa"/>
            <w:tcBorders>
              <w:top w:val="single" w:sz="6" w:space="0" w:color="000000" w:themeColor="text1"/>
              <w:bottom w:val="single" w:sz="6" w:space="0" w:color="000000" w:themeColor="text1"/>
            </w:tcBorders>
            <w:shd w:val="clear" w:color="auto" w:fill="auto"/>
            <w:vAlign w:val="center"/>
          </w:tcPr>
          <w:p w14:paraId="6651217D" w14:textId="77777777" w:rsidR="0056738E" w:rsidRPr="005E52FA" w:rsidRDefault="0056738E" w:rsidP="007C2AEE">
            <w:pPr>
              <w:jc w:val="right"/>
              <w:rPr>
                <w:rFonts w:ascii="Arial" w:hAnsi="Arial" w:cs="Arial"/>
                <w:b/>
                <w:sz w:val="18"/>
                <w:szCs w:val="18"/>
                <w:lang w:val="el-GR"/>
              </w:rPr>
            </w:pPr>
            <w:r>
              <w:rPr>
                <w:rFonts w:ascii="Arial" w:hAnsi="Arial" w:cs="Arial"/>
                <w:b/>
                <w:bCs/>
                <w:sz w:val="18"/>
                <w:szCs w:val="18"/>
              </w:rPr>
              <w:t>832,952</w:t>
            </w:r>
          </w:p>
        </w:tc>
        <w:tc>
          <w:tcPr>
            <w:tcW w:w="1431" w:type="dxa"/>
            <w:tcBorders>
              <w:top w:val="single" w:sz="6" w:space="0" w:color="000000" w:themeColor="text1"/>
              <w:bottom w:val="single" w:sz="6" w:space="0" w:color="000000" w:themeColor="text1"/>
            </w:tcBorders>
            <w:vAlign w:val="center"/>
          </w:tcPr>
          <w:p w14:paraId="517EB816" w14:textId="77777777" w:rsidR="0056738E" w:rsidRPr="00C26D10" w:rsidRDefault="0056738E" w:rsidP="007C2AEE">
            <w:pPr>
              <w:jc w:val="right"/>
              <w:rPr>
                <w:rFonts w:ascii="Arial" w:hAnsi="Arial" w:cs="Arial"/>
                <w:sz w:val="18"/>
                <w:szCs w:val="18"/>
                <w:lang w:val="el-GR"/>
              </w:rPr>
            </w:pPr>
            <w:r w:rsidRPr="00E25891">
              <w:rPr>
                <w:rFonts w:ascii="Arial" w:hAnsi="Arial" w:cs="Arial"/>
                <w:sz w:val="18"/>
                <w:szCs w:val="18"/>
              </w:rPr>
              <w:t>764,981</w:t>
            </w:r>
          </w:p>
        </w:tc>
      </w:tr>
    </w:tbl>
    <w:p w14:paraId="2AD583E9" w14:textId="77777777" w:rsidR="0056738E" w:rsidRPr="00CF0DAD" w:rsidRDefault="0056738E" w:rsidP="0056738E">
      <w:pPr>
        <w:shd w:val="clear" w:color="auto" w:fill="FFFFFF"/>
        <w:tabs>
          <w:tab w:val="left" w:pos="851"/>
        </w:tabs>
        <w:suppressAutoHyphens/>
        <w:spacing w:after="0" w:line="240" w:lineRule="auto"/>
        <w:jc w:val="both"/>
        <w:rPr>
          <w:rFonts w:ascii="Arial" w:hAnsi="Arial" w:cs="Arial"/>
          <w:b/>
          <w:color w:val="FF9900"/>
          <w:sz w:val="16"/>
          <w:szCs w:val="16"/>
          <w:lang w:val="el-GR"/>
        </w:rPr>
      </w:pPr>
    </w:p>
    <w:tbl>
      <w:tblPr>
        <w:tblStyle w:val="TableGrid"/>
        <w:tblW w:w="909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16"/>
        <w:gridCol w:w="1417"/>
        <w:gridCol w:w="1417"/>
        <w:gridCol w:w="1418"/>
        <w:gridCol w:w="1422"/>
      </w:tblGrid>
      <w:tr w:rsidR="0056738E" w:rsidRPr="00845E73" w14:paraId="24105FD3" w14:textId="77777777" w:rsidTr="007C2AEE">
        <w:trPr>
          <w:trHeight w:val="308"/>
          <w:jc w:val="center"/>
        </w:trPr>
        <w:tc>
          <w:tcPr>
            <w:tcW w:w="3416" w:type="dxa"/>
            <w:vMerge w:val="restart"/>
            <w:vAlign w:val="center"/>
          </w:tcPr>
          <w:p w14:paraId="5C324D3F" w14:textId="77777777" w:rsidR="0056738E" w:rsidRPr="00AB4891" w:rsidRDefault="0056738E" w:rsidP="0056738E">
            <w:pPr>
              <w:pStyle w:val="ListParagraph"/>
              <w:numPr>
                <w:ilvl w:val="1"/>
                <w:numId w:val="8"/>
              </w:numPr>
              <w:tabs>
                <w:tab w:val="left" w:pos="0"/>
              </w:tabs>
              <w:ind w:left="596" w:hanging="425"/>
              <w:rPr>
                <w:rFonts w:ascii="Arial" w:hAnsi="Arial" w:cs="Arial"/>
                <w:b/>
                <w:color w:val="000000"/>
                <w:sz w:val="18"/>
                <w:szCs w:val="18"/>
              </w:rPr>
            </w:pPr>
            <w:r w:rsidRPr="00325113">
              <w:rPr>
                <w:rFonts w:ascii="Arial" w:hAnsi="Arial" w:cs="Arial"/>
                <w:b/>
                <w:color w:val="000000"/>
                <w:sz w:val="18"/>
                <w:szCs w:val="18"/>
                <w:lang w:val="el-GR"/>
              </w:rPr>
              <w:t>Τοκοφόρα περιουσιακά στοιχεία</w:t>
            </w:r>
          </w:p>
        </w:tc>
        <w:tc>
          <w:tcPr>
            <w:tcW w:w="1417" w:type="dxa"/>
          </w:tcPr>
          <w:p w14:paraId="10CA4E4B" w14:textId="77777777" w:rsidR="0056738E" w:rsidRPr="00331BC0" w:rsidRDefault="0056738E" w:rsidP="007C2AEE">
            <w:pPr>
              <w:ind w:left="-123" w:right="-104"/>
              <w:jc w:val="center"/>
              <w:rPr>
                <w:rFonts w:ascii="Arial" w:hAnsi="Arial" w:cs="Arial"/>
                <w:b/>
                <w:sz w:val="18"/>
                <w:szCs w:val="18"/>
                <w:lang w:val="el-GR"/>
              </w:rPr>
            </w:pPr>
            <w:r w:rsidRPr="00331BC0">
              <w:rPr>
                <w:rFonts w:ascii="Arial" w:hAnsi="Arial" w:cs="Arial"/>
                <w:b/>
                <w:sz w:val="18"/>
                <w:szCs w:val="18"/>
                <w:lang w:val="el-GR"/>
              </w:rPr>
              <w:t>30 Σεπτεμβρίου</w:t>
            </w:r>
            <w:r w:rsidRPr="00A3773A">
              <w:rPr>
                <w:rFonts w:ascii="Arial" w:hAnsi="Arial" w:cs="Arial"/>
                <w:b/>
                <w:sz w:val="18"/>
                <w:szCs w:val="18"/>
                <w:lang w:val="el-GR"/>
              </w:rPr>
              <w:t xml:space="preserve"> 202</w:t>
            </w:r>
            <w:r>
              <w:rPr>
                <w:rFonts w:ascii="Arial" w:hAnsi="Arial" w:cs="Arial"/>
                <w:b/>
                <w:sz w:val="18"/>
                <w:szCs w:val="18"/>
                <w:lang w:val="el-GR"/>
              </w:rPr>
              <w:t>4</w:t>
            </w:r>
          </w:p>
        </w:tc>
        <w:tc>
          <w:tcPr>
            <w:tcW w:w="1417" w:type="dxa"/>
            <w:vAlign w:val="center"/>
          </w:tcPr>
          <w:p w14:paraId="3C2A5602" w14:textId="77777777" w:rsidR="0056738E" w:rsidRDefault="0056738E" w:rsidP="007C2AEE">
            <w:pPr>
              <w:ind w:left="-195" w:right="-104"/>
              <w:jc w:val="center"/>
              <w:rPr>
                <w:rFonts w:ascii="Arial" w:hAnsi="Arial" w:cs="Arial"/>
                <w:bCs/>
                <w:sz w:val="18"/>
                <w:szCs w:val="18"/>
              </w:rPr>
            </w:pPr>
            <w:r w:rsidRPr="00CF0DAD">
              <w:rPr>
                <w:rFonts w:ascii="Arial" w:hAnsi="Arial" w:cs="Arial"/>
                <w:bCs/>
                <w:sz w:val="18"/>
                <w:szCs w:val="18"/>
                <w:lang w:val="el-GR"/>
              </w:rPr>
              <w:t>30 Ιουνίου</w:t>
            </w:r>
          </w:p>
          <w:p w14:paraId="3F325E7F" w14:textId="77777777" w:rsidR="0056738E" w:rsidRPr="00CF0DAD" w:rsidRDefault="0056738E" w:rsidP="007C2AEE">
            <w:pPr>
              <w:ind w:left="-195" w:right="-104"/>
              <w:jc w:val="center"/>
              <w:rPr>
                <w:rFonts w:ascii="Arial" w:hAnsi="Arial" w:cs="Arial"/>
                <w:bCs/>
                <w:sz w:val="18"/>
                <w:szCs w:val="18"/>
                <w:lang w:val="el-GR"/>
              </w:rPr>
            </w:pPr>
            <w:r w:rsidRPr="00CF0DAD">
              <w:rPr>
                <w:rFonts w:ascii="Arial" w:hAnsi="Arial" w:cs="Arial"/>
                <w:bCs/>
                <w:sz w:val="18"/>
                <w:szCs w:val="18"/>
                <w:lang w:val="el-GR"/>
              </w:rPr>
              <w:t>2024</w:t>
            </w:r>
          </w:p>
        </w:tc>
        <w:tc>
          <w:tcPr>
            <w:tcW w:w="1418" w:type="dxa"/>
            <w:shd w:val="clear" w:color="auto" w:fill="auto"/>
            <w:vAlign w:val="center"/>
          </w:tcPr>
          <w:p w14:paraId="0A600AD4" w14:textId="77777777" w:rsidR="0056738E" w:rsidRDefault="0056738E" w:rsidP="007C2AEE">
            <w:pPr>
              <w:ind w:left="-195" w:right="-104"/>
              <w:jc w:val="center"/>
              <w:rPr>
                <w:rFonts w:ascii="Arial" w:hAnsi="Arial" w:cs="Arial"/>
                <w:iCs/>
                <w:spacing w:val="-4"/>
                <w:sz w:val="18"/>
                <w:szCs w:val="18"/>
                <w:lang w:val="el-GR"/>
              </w:rPr>
            </w:pPr>
            <w:r>
              <w:rPr>
                <w:rFonts w:ascii="Arial" w:hAnsi="Arial" w:cs="Arial"/>
                <w:iCs/>
                <w:spacing w:val="-4"/>
                <w:sz w:val="18"/>
                <w:szCs w:val="18"/>
                <w:lang w:val="el-GR"/>
              </w:rPr>
              <w:t>31 Μαρτίου</w:t>
            </w:r>
          </w:p>
          <w:p w14:paraId="218C0E94" w14:textId="77777777" w:rsidR="0056738E" w:rsidRPr="00CF0DAD" w:rsidRDefault="0056738E" w:rsidP="007C2AEE">
            <w:pPr>
              <w:ind w:left="-195" w:right="-104"/>
              <w:jc w:val="center"/>
              <w:rPr>
                <w:rFonts w:ascii="Arial" w:hAnsi="Arial" w:cs="Arial"/>
                <w:iCs/>
                <w:spacing w:val="-4"/>
                <w:sz w:val="18"/>
                <w:szCs w:val="18"/>
                <w:lang w:val="el-GR"/>
              </w:rPr>
            </w:pPr>
            <w:r>
              <w:rPr>
                <w:rFonts w:ascii="Arial" w:hAnsi="Arial" w:cs="Arial"/>
                <w:iCs/>
                <w:spacing w:val="-4"/>
                <w:sz w:val="18"/>
                <w:szCs w:val="18"/>
                <w:lang w:val="el-GR"/>
              </w:rPr>
              <w:t>2024</w:t>
            </w:r>
          </w:p>
        </w:tc>
        <w:tc>
          <w:tcPr>
            <w:tcW w:w="1422" w:type="dxa"/>
            <w:vAlign w:val="center"/>
          </w:tcPr>
          <w:p w14:paraId="15181A03" w14:textId="77777777" w:rsidR="0056738E" w:rsidRPr="00337328" w:rsidRDefault="0056738E" w:rsidP="007C2AEE">
            <w:pPr>
              <w:ind w:left="-173" w:right="-108"/>
              <w:jc w:val="center"/>
              <w:rPr>
                <w:rFonts w:ascii="Arial" w:hAnsi="Arial" w:cs="Arial"/>
                <w:sz w:val="18"/>
                <w:szCs w:val="18"/>
                <w:lang w:val="el-GR"/>
              </w:rPr>
            </w:pPr>
            <w:r>
              <w:rPr>
                <w:rFonts w:ascii="Arial" w:hAnsi="Arial" w:cs="Arial"/>
                <w:sz w:val="18"/>
                <w:szCs w:val="18"/>
                <w:lang w:val="el-GR"/>
              </w:rPr>
              <w:t>31 Δεκεμβρίου</w:t>
            </w:r>
          </w:p>
          <w:p w14:paraId="58AA9B30" w14:textId="77777777" w:rsidR="0056738E" w:rsidRDefault="0056738E" w:rsidP="007C2AEE">
            <w:pPr>
              <w:jc w:val="center"/>
              <w:rPr>
                <w:rFonts w:ascii="Arial" w:hAnsi="Arial" w:cs="Arial"/>
                <w:sz w:val="18"/>
                <w:szCs w:val="18"/>
              </w:rPr>
            </w:pPr>
            <w:r>
              <w:rPr>
                <w:rFonts w:ascii="Arial" w:hAnsi="Arial" w:cs="Arial"/>
                <w:sz w:val="18"/>
                <w:szCs w:val="18"/>
                <w:lang w:val="el-GR"/>
              </w:rPr>
              <w:t>2023</w:t>
            </w:r>
          </w:p>
        </w:tc>
      </w:tr>
      <w:tr w:rsidR="0056738E" w:rsidRPr="00845E73" w14:paraId="09A8201D" w14:textId="77777777" w:rsidTr="007C2AEE">
        <w:trPr>
          <w:trHeight w:val="256"/>
          <w:jc w:val="center"/>
        </w:trPr>
        <w:tc>
          <w:tcPr>
            <w:tcW w:w="3416" w:type="dxa"/>
            <w:vMerge/>
            <w:vAlign w:val="center"/>
          </w:tcPr>
          <w:p w14:paraId="2338DDE6" w14:textId="77777777" w:rsidR="0056738E" w:rsidRPr="00AB4891" w:rsidRDefault="0056738E" w:rsidP="007C2AEE">
            <w:pPr>
              <w:tabs>
                <w:tab w:val="left" w:pos="0"/>
                <w:tab w:val="right" w:pos="7560"/>
                <w:tab w:val="right" w:pos="9000"/>
              </w:tabs>
              <w:jc w:val="both"/>
              <w:rPr>
                <w:rFonts w:ascii="Arial" w:hAnsi="Arial" w:cs="Arial"/>
                <w:sz w:val="18"/>
                <w:szCs w:val="18"/>
              </w:rPr>
            </w:pPr>
          </w:p>
        </w:tc>
        <w:tc>
          <w:tcPr>
            <w:tcW w:w="1417" w:type="dxa"/>
            <w:vAlign w:val="center"/>
          </w:tcPr>
          <w:p w14:paraId="57A57587" w14:textId="77777777" w:rsidR="0056738E" w:rsidRPr="00AB4891" w:rsidRDefault="0056738E" w:rsidP="007C2AEE">
            <w:pPr>
              <w:tabs>
                <w:tab w:val="left" w:pos="0"/>
                <w:tab w:val="right" w:pos="7560"/>
                <w:tab w:val="right" w:pos="9000"/>
              </w:tabs>
              <w:jc w:val="center"/>
              <w:rPr>
                <w:rFonts w:ascii="Arial" w:hAnsi="Arial" w:cs="Arial"/>
                <w:b/>
                <w:sz w:val="18"/>
                <w:szCs w:val="18"/>
              </w:rPr>
            </w:pPr>
            <w:r w:rsidRPr="00AB4891">
              <w:rPr>
                <w:rFonts w:ascii="Arial" w:hAnsi="Arial" w:cs="Arial"/>
                <w:b/>
                <w:sz w:val="18"/>
                <w:szCs w:val="18"/>
              </w:rPr>
              <w:t>€000</w:t>
            </w:r>
          </w:p>
        </w:tc>
        <w:tc>
          <w:tcPr>
            <w:tcW w:w="1417" w:type="dxa"/>
            <w:vAlign w:val="center"/>
          </w:tcPr>
          <w:p w14:paraId="019AA5FF" w14:textId="77777777" w:rsidR="0056738E" w:rsidRPr="00AB4891" w:rsidRDefault="0056738E" w:rsidP="007C2AEE">
            <w:pPr>
              <w:tabs>
                <w:tab w:val="left" w:pos="0"/>
                <w:tab w:val="right" w:pos="7560"/>
                <w:tab w:val="right" w:pos="9000"/>
              </w:tabs>
              <w:jc w:val="center"/>
              <w:rPr>
                <w:rFonts w:ascii="Arial" w:hAnsi="Arial" w:cs="Arial"/>
                <w:b/>
                <w:sz w:val="18"/>
                <w:szCs w:val="18"/>
              </w:rPr>
            </w:pPr>
            <w:r w:rsidRPr="008352B7">
              <w:rPr>
                <w:rFonts w:ascii="Arial" w:hAnsi="Arial" w:cs="Arial"/>
                <w:bCs/>
                <w:sz w:val="18"/>
                <w:szCs w:val="18"/>
              </w:rPr>
              <w:t>€000</w:t>
            </w:r>
          </w:p>
        </w:tc>
        <w:tc>
          <w:tcPr>
            <w:tcW w:w="1418" w:type="dxa"/>
            <w:shd w:val="clear" w:color="auto" w:fill="auto"/>
            <w:vAlign w:val="center"/>
          </w:tcPr>
          <w:p w14:paraId="24DED4F8" w14:textId="77777777" w:rsidR="0056738E" w:rsidRPr="00AB4891" w:rsidRDefault="0056738E" w:rsidP="007C2AEE">
            <w:pPr>
              <w:tabs>
                <w:tab w:val="left" w:pos="0"/>
                <w:tab w:val="right" w:pos="7560"/>
                <w:tab w:val="right" w:pos="9000"/>
              </w:tabs>
              <w:jc w:val="center"/>
              <w:rPr>
                <w:rFonts w:ascii="Arial" w:hAnsi="Arial" w:cs="Arial"/>
                <w:bCs/>
                <w:sz w:val="18"/>
                <w:szCs w:val="18"/>
              </w:rPr>
            </w:pPr>
            <w:r w:rsidRPr="008352B7">
              <w:rPr>
                <w:rFonts w:ascii="Arial" w:hAnsi="Arial" w:cs="Arial"/>
                <w:bCs/>
                <w:sz w:val="18"/>
                <w:szCs w:val="18"/>
              </w:rPr>
              <w:t>€000</w:t>
            </w:r>
          </w:p>
        </w:tc>
        <w:tc>
          <w:tcPr>
            <w:tcW w:w="1422" w:type="dxa"/>
            <w:vAlign w:val="center"/>
          </w:tcPr>
          <w:p w14:paraId="139D03D1" w14:textId="77777777" w:rsidR="0056738E" w:rsidRPr="00041815" w:rsidRDefault="0056738E" w:rsidP="007C2AEE">
            <w:pPr>
              <w:tabs>
                <w:tab w:val="left" w:pos="0"/>
                <w:tab w:val="right" w:pos="7560"/>
                <w:tab w:val="right" w:pos="9000"/>
              </w:tabs>
              <w:jc w:val="center"/>
              <w:rPr>
                <w:rFonts w:ascii="Arial" w:hAnsi="Arial" w:cs="Arial"/>
                <w:b/>
                <w:bCs/>
                <w:sz w:val="18"/>
                <w:szCs w:val="18"/>
              </w:rPr>
            </w:pPr>
            <w:r w:rsidRPr="008352B7">
              <w:rPr>
                <w:rFonts w:ascii="Arial" w:hAnsi="Arial" w:cs="Arial"/>
                <w:bCs/>
                <w:sz w:val="18"/>
                <w:szCs w:val="18"/>
              </w:rPr>
              <w:t>€000</w:t>
            </w:r>
          </w:p>
        </w:tc>
      </w:tr>
      <w:tr w:rsidR="0056738E" w:rsidRPr="0005080C" w14:paraId="565BF5C1" w14:textId="77777777" w:rsidTr="007C2AEE">
        <w:trPr>
          <w:trHeight w:val="256"/>
          <w:jc w:val="center"/>
        </w:trPr>
        <w:tc>
          <w:tcPr>
            <w:tcW w:w="3416" w:type="dxa"/>
            <w:shd w:val="clear" w:color="auto" w:fill="auto"/>
            <w:vAlign w:val="center"/>
          </w:tcPr>
          <w:p w14:paraId="11E4B6B1" w14:textId="77777777" w:rsidR="0056738E" w:rsidRPr="00C42B7D" w:rsidRDefault="0056738E" w:rsidP="007C2AEE">
            <w:pPr>
              <w:tabs>
                <w:tab w:val="left" w:pos="0"/>
                <w:tab w:val="right" w:pos="7560"/>
                <w:tab w:val="right" w:pos="9000"/>
              </w:tabs>
              <w:jc w:val="both"/>
              <w:rPr>
                <w:rFonts w:ascii="Arial" w:hAnsi="Arial" w:cs="Arial"/>
                <w:sz w:val="18"/>
                <w:szCs w:val="18"/>
                <w:lang w:val="el-GR"/>
              </w:rPr>
            </w:pPr>
            <w:r w:rsidRPr="00325113">
              <w:rPr>
                <w:rFonts w:ascii="Arial" w:hAnsi="Arial" w:cs="Arial"/>
                <w:sz w:val="18"/>
                <w:szCs w:val="18"/>
                <w:lang w:val="el-GR"/>
              </w:rPr>
              <w:t>Μετρητά και καταθέσεις με κεντρικές τράπεζες</w:t>
            </w:r>
          </w:p>
        </w:tc>
        <w:tc>
          <w:tcPr>
            <w:tcW w:w="1417" w:type="dxa"/>
            <w:shd w:val="clear" w:color="auto" w:fill="auto"/>
            <w:vAlign w:val="center"/>
          </w:tcPr>
          <w:p w14:paraId="0E415E56" w14:textId="77777777" w:rsidR="0056738E" w:rsidRPr="00955C85"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7,517,002</w:t>
            </w:r>
          </w:p>
        </w:tc>
        <w:tc>
          <w:tcPr>
            <w:tcW w:w="1417" w:type="dxa"/>
            <w:vAlign w:val="center"/>
          </w:tcPr>
          <w:p w14:paraId="7CCCC3A5" w14:textId="77777777" w:rsidR="0056738E" w:rsidRPr="00955C85" w:rsidRDefault="0056738E" w:rsidP="007C2AEE">
            <w:pPr>
              <w:tabs>
                <w:tab w:val="left" w:pos="0"/>
                <w:tab w:val="right" w:pos="7560"/>
                <w:tab w:val="right" w:pos="9000"/>
              </w:tabs>
              <w:jc w:val="right"/>
              <w:rPr>
                <w:rFonts w:ascii="Arial" w:hAnsi="Arial" w:cs="Arial"/>
                <w:b/>
                <w:bCs/>
                <w:sz w:val="18"/>
                <w:szCs w:val="18"/>
                <w:lang w:val="el-GR"/>
              </w:rPr>
            </w:pPr>
            <w:r w:rsidRPr="001131ED">
              <w:rPr>
                <w:rFonts w:ascii="Arial" w:hAnsi="Arial" w:cs="Arial"/>
                <w:sz w:val="18"/>
                <w:szCs w:val="18"/>
              </w:rPr>
              <w:t>7,287,221</w:t>
            </w:r>
          </w:p>
        </w:tc>
        <w:tc>
          <w:tcPr>
            <w:tcW w:w="1418" w:type="dxa"/>
            <w:vAlign w:val="center"/>
          </w:tcPr>
          <w:p w14:paraId="567A948D" w14:textId="77777777" w:rsidR="0056738E" w:rsidRPr="00955C85" w:rsidRDefault="0056738E" w:rsidP="007C2AEE">
            <w:pPr>
              <w:tabs>
                <w:tab w:val="left" w:pos="0"/>
                <w:tab w:val="right" w:pos="7560"/>
                <w:tab w:val="right" w:pos="9000"/>
              </w:tabs>
              <w:jc w:val="right"/>
              <w:rPr>
                <w:rFonts w:ascii="Arial" w:hAnsi="Arial" w:cs="Arial"/>
                <w:b/>
                <w:bCs/>
                <w:sz w:val="18"/>
                <w:szCs w:val="18"/>
                <w:lang w:val="el-GR"/>
              </w:rPr>
            </w:pPr>
            <w:r w:rsidRPr="001131ED">
              <w:rPr>
                <w:rFonts w:ascii="Arial" w:hAnsi="Arial" w:cs="Arial"/>
                <w:sz w:val="18"/>
                <w:szCs w:val="18"/>
                <w:lang w:val="en-GB"/>
              </w:rPr>
              <w:t>7,217,046</w:t>
            </w:r>
          </w:p>
        </w:tc>
        <w:tc>
          <w:tcPr>
            <w:tcW w:w="1422" w:type="dxa"/>
            <w:vAlign w:val="center"/>
          </w:tcPr>
          <w:p w14:paraId="37A1D458" w14:textId="77777777" w:rsidR="0056738E" w:rsidRPr="0005080C" w:rsidRDefault="0056738E" w:rsidP="007C2AEE">
            <w:pPr>
              <w:tabs>
                <w:tab w:val="left" w:pos="0"/>
                <w:tab w:val="right" w:pos="7560"/>
                <w:tab w:val="right" w:pos="9000"/>
              </w:tabs>
              <w:jc w:val="right"/>
              <w:rPr>
                <w:rFonts w:ascii="Arial" w:hAnsi="Arial" w:cs="Arial"/>
                <w:bCs/>
                <w:sz w:val="18"/>
                <w:szCs w:val="18"/>
                <w:lang w:val="el-GR"/>
              </w:rPr>
            </w:pPr>
            <w:r w:rsidRPr="002D1FED">
              <w:rPr>
                <w:rFonts w:ascii="Arial" w:hAnsi="Arial" w:cs="Arial"/>
                <w:sz w:val="18"/>
                <w:szCs w:val="18"/>
              </w:rPr>
              <w:t>9,614,502</w:t>
            </w:r>
          </w:p>
        </w:tc>
      </w:tr>
      <w:tr w:rsidR="0056738E" w:rsidRPr="00845E73" w14:paraId="318E9FE2" w14:textId="77777777" w:rsidTr="007C2AEE">
        <w:trPr>
          <w:trHeight w:val="256"/>
          <w:jc w:val="center"/>
        </w:trPr>
        <w:tc>
          <w:tcPr>
            <w:tcW w:w="3416" w:type="dxa"/>
            <w:shd w:val="clear" w:color="auto" w:fill="auto"/>
            <w:vAlign w:val="center"/>
          </w:tcPr>
          <w:p w14:paraId="20EFD963" w14:textId="77777777" w:rsidR="0056738E" w:rsidRPr="00C42B7D" w:rsidRDefault="0056738E" w:rsidP="007C2AEE">
            <w:pPr>
              <w:tabs>
                <w:tab w:val="left" w:pos="0"/>
                <w:tab w:val="right" w:pos="7560"/>
                <w:tab w:val="right" w:pos="9000"/>
              </w:tabs>
              <w:jc w:val="both"/>
              <w:rPr>
                <w:rFonts w:ascii="Arial" w:hAnsi="Arial" w:cs="Arial"/>
                <w:bCs/>
                <w:sz w:val="18"/>
                <w:szCs w:val="18"/>
                <w:lang w:val="el-GR"/>
              </w:rPr>
            </w:pPr>
            <w:r w:rsidRPr="00325113">
              <w:rPr>
                <w:rFonts w:ascii="Arial" w:hAnsi="Arial" w:cs="Arial"/>
                <w:bCs/>
                <w:sz w:val="18"/>
                <w:szCs w:val="18"/>
                <w:lang w:val="el-GR"/>
              </w:rPr>
              <w:t xml:space="preserve">Δάνεια και απαιτήσεις </w:t>
            </w:r>
            <w:r>
              <w:rPr>
                <w:rFonts w:ascii="Arial" w:hAnsi="Arial" w:cs="Arial"/>
                <w:bCs/>
                <w:sz w:val="18"/>
                <w:szCs w:val="18"/>
                <w:lang w:val="el-GR"/>
              </w:rPr>
              <w:t>από</w:t>
            </w:r>
            <w:r w:rsidRPr="00325113">
              <w:rPr>
                <w:rFonts w:ascii="Arial" w:hAnsi="Arial" w:cs="Arial"/>
                <w:bCs/>
                <w:sz w:val="18"/>
                <w:szCs w:val="18"/>
                <w:lang w:val="el-GR"/>
              </w:rPr>
              <w:t xml:space="preserve"> τράπεζες</w:t>
            </w:r>
          </w:p>
        </w:tc>
        <w:tc>
          <w:tcPr>
            <w:tcW w:w="1417" w:type="dxa"/>
            <w:shd w:val="clear" w:color="auto" w:fill="auto"/>
            <w:vAlign w:val="center"/>
          </w:tcPr>
          <w:p w14:paraId="2C737080" w14:textId="77777777" w:rsidR="0056738E" w:rsidRPr="00955C85"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337,399</w:t>
            </w:r>
          </w:p>
        </w:tc>
        <w:tc>
          <w:tcPr>
            <w:tcW w:w="1417" w:type="dxa"/>
            <w:vAlign w:val="center"/>
          </w:tcPr>
          <w:p w14:paraId="63AFA78E" w14:textId="77777777" w:rsidR="0056738E" w:rsidRPr="00955C85" w:rsidRDefault="0056738E" w:rsidP="007C2AEE">
            <w:pPr>
              <w:tabs>
                <w:tab w:val="left" w:pos="0"/>
                <w:tab w:val="right" w:pos="7560"/>
                <w:tab w:val="right" w:pos="9000"/>
              </w:tabs>
              <w:jc w:val="right"/>
              <w:rPr>
                <w:rFonts w:ascii="Arial" w:hAnsi="Arial" w:cs="Arial"/>
                <w:b/>
                <w:bCs/>
                <w:sz w:val="18"/>
                <w:szCs w:val="18"/>
                <w:lang w:val="el-GR"/>
              </w:rPr>
            </w:pPr>
            <w:r w:rsidRPr="001131ED">
              <w:rPr>
                <w:rFonts w:ascii="Arial" w:hAnsi="Arial" w:cs="Arial"/>
                <w:sz w:val="18"/>
                <w:szCs w:val="18"/>
              </w:rPr>
              <w:t>384,112</w:t>
            </w:r>
          </w:p>
        </w:tc>
        <w:tc>
          <w:tcPr>
            <w:tcW w:w="1418" w:type="dxa"/>
            <w:vAlign w:val="center"/>
          </w:tcPr>
          <w:p w14:paraId="64BBD03F" w14:textId="77777777" w:rsidR="0056738E" w:rsidRPr="00955C85" w:rsidRDefault="0056738E" w:rsidP="007C2AEE">
            <w:pPr>
              <w:tabs>
                <w:tab w:val="left" w:pos="0"/>
                <w:tab w:val="right" w:pos="7560"/>
                <w:tab w:val="right" w:pos="9000"/>
              </w:tabs>
              <w:jc w:val="right"/>
              <w:rPr>
                <w:rFonts w:ascii="Arial" w:hAnsi="Arial" w:cs="Arial"/>
                <w:b/>
                <w:bCs/>
                <w:sz w:val="18"/>
                <w:szCs w:val="18"/>
                <w:lang w:val="el-GR"/>
              </w:rPr>
            </w:pPr>
            <w:r w:rsidRPr="001131ED">
              <w:rPr>
                <w:rFonts w:ascii="Arial" w:hAnsi="Arial" w:cs="Arial"/>
                <w:sz w:val="18"/>
                <w:szCs w:val="18"/>
                <w:lang w:val="en-GB"/>
              </w:rPr>
              <w:t>383,707</w:t>
            </w:r>
          </w:p>
        </w:tc>
        <w:tc>
          <w:tcPr>
            <w:tcW w:w="1422" w:type="dxa"/>
            <w:vAlign w:val="center"/>
          </w:tcPr>
          <w:p w14:paraId="1430DCAD" w14:textId="77777777" w:rsidR="0056738E" w:rsidRDefault="0056738E" w:rsidP="007C2AEE">
            <w:pPr>
              <w:tabs>
                <w:tab w:val="left" w:pos="0"/>
                <w:tab w:val="right" w:pos="7560"/>
                <w:tab w:val="right" w:pos="9000"/>
              </w:tabs>
              <w:jc w:val="right"/>
              <w:rPr>
                <w:rFonts w:ascii="Arial" w:hAnsi="Arial" w:cs="Arial"/>
                <w:bCs/>
                <w:sz w:val="18"/>
                <w:szCs w:val="18"/>
              </w:rPr>
            </w:pPr>
            <w:r w:rsidRPr="002D1FED">
              <w:rPr>
                <w:rFonts w:ascii="Arial" w:hAnsi="Arial" w:cs="Arial"/>
                <w:sz w:val="18"/>
                <w:szCs w:val="18"/>
              </w:rPr>
              <w:t>384,802</w:t>
            </w:r>
          </w:p>
        </w:tc>
      </w:tr>
      <w:tr w:rsidR="0056738E" w:rsidRPr="00845E73" w14:paraId="5C0914AA" w14:textId="77777777" w:rsidTr="007C2AEE">
        <w:trPr>
          <w:trHeight w:val="256"/>
          <w:jc w:val="center"/>
        </w:trPr>
        <w:tc>
          <w:tcPr>
            <w:tcW w:w="3416" w:type="dxa"/>
            <w:shd w:val="clear" w:color="auto" w:fill="auto"/>
            <w:vAlign w:val="center"/>
          </w:tcPr>
          <w:p w14:paraId="47985C12" w14:textId="77777777" w:rsidR="0056738E" w:rsidRPr="00325113" w:rsidRDefault="0056738E" w:rsidP="007C2AEE">
            <w:pPr>
              <w:tabs>
                <w:tab w:val="left" w:pos="0"/>
                <w:tab w:val="right" w:pos="7560"/>
                <w:tab w:val="right" w:pos="9000"/>
              </w:tabs>
              <w:jc w:val="both"/>
              <w:rPr>
                <w:rFonts w:ascii="Arial" w:hAnsi="Arial" w:cs="Arial"/>
                <w:bCs/>
                <w:sz w:val="18"/>
                <w:szCs w:val="18"/>
                <w:lang w:val="el-GR"/>
              </w:rPr>
            </w:pPr>
            <w:r w:rsidRPr="006E6BFD">
              <w:rPr>
                <w:rFonts w:ascii="Arial" w:hAnsi="Arial" w:cs="Arial"/>
                <w:bCs/>
                <w:sz w:val="18"/>
                <w:szCs w:val="18"/>
                <w:lang w:val="el-GR"/>
              </w:rPr>
              <w:t xml:space="preserve">Συμφωνίες </w:t>
            </w:r>
            <w:proofErr w:type="spellStart"/>
            <w:r w:rsidRPr="006E6BFD">
              <w:rPr>
                <w:rFonts w:ascii="Arial" w:hAnsi="Arial" w:cs="Arial"/>
                <w:bCs/>
                <w:sz w:val="18"/>
                <w:szCs w:val="18"/>
                <w:lang w:val="el-GR"/>
              </w:rPr>
              <w:t>επαναπώλησης</w:t>
            </w:r>
            <w:proofErr w:type="spellEnd"/>
            <w:r w:rsidRPr="006E6BFD">
              <w:rPr>
                <w:rFonts w:ascii="Arial" w:hAnsi="Arial" w:cs="Arial"/>
                <w:bCs/>
                <w:sz w:val="18"/>
                <w:szCs w:val="18"/>
                <w:lang w:val="el-GR"/>
              </w:rPr>
              <w:t xml:space="preserve"> τίτλων</w:t>
            </w:r>
          </w:p>
        </w:tc>
        <w:tc>
          <w:tcPr>
            <w:tcW w:w="1417" w:type="dxa"/>
            <w:shd w:val="clear" w:color="auto" w:fill="auto"/>
            <w:vAlign w:val="center"/>
          </w:tcPr>
          <w:p w14:paraId="3B10F681" w14:textId="77777777" w:rsidR="0056738E" w:rsidRPr="00955C85"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1,022,515</w:t>
            </w:r>
          </w:p>
        </w:tc>
        <w:tc>
          <w:tcPr>
            <w:tcW w:w="1417" w:type="dxa"/>
            <w:vAlign w:val="center"/>
          </w:tcPr>
          <w:p w14:paraId="14CD9625" w14:textId="77777777" w:rsidR="0056738E" w:rsidRPr="00955C85"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sz w:val="18"/>
                <w:szCs w:val="18"/>
              </w:rPr>
              <w:t>1,014,858</w:t>
            </w:r>
          </w:p>
        </w:tc>
        <w:tc>
          <w:tcPr>
            <w:tcW w:w="1418" w:type="dxa"/>
            <w:vAlign w:val="center"/>
          </w:tcPr>
          <w:p w14:paraId="2E05D6C5" w14:textId="77777777" w:rsidR="0056738E" w:rsidRPr="00955C85" w:rsidRDefault="0056738E" w:rsidP="007C2AEE">
            <w:pPr>
              <w:tabs>
                <w:tab w:val="left" w:pos="0"/>
                <w:tab w:val="right" w:pos="7560"/>
                <w:tab w:val="right" w:pos="9000"/>
              </w:tabs>
              <w:jc w:val="right"/>
              <w:rPr>
                <w:rFonts w:ascii="Arial" w:hAnsi="Arial" w:cs="Arial"/>
                <w:b/>
                <w:bCs/>
                <w:sz w:val="18"/>
                <w:szCs w:val="18"/>
                <w:lang w:val="el-GR"/>
              </w:rPr>
            </w:pPr>
            <w:r w:rsidRPr="001131ED">
              <w:rPr>
                <w:rFonts w:ascii="Arial" w:hAnsi="Arial" w:cs="Arial"/>
                <w:sz w:val="18"/>
                <w:szCs w:val="18"/>
                <w:lang w:val="en-GB"/>
              </w:rPr>
              <w:t>707,526</w:t>
            </w:r>
          </w:p>
        </w:tc>
        <w:tc>
          <w:tcPr>
            <w:tcW w:w="1422" w:type="dxa"/>
            <w:vAlign w:val="center"/>
          </w:tcPr>
          <w:p w14:paraId="310D086D" w14:textId="77777777" w:rsidR="0056738E" w:rsidRDefault="0056738E" w:rsidP="007C2AEE">
            <w:pPr>
              <w:tabs>
                <w:tab w:val="left" w:pos="0"/>
                <w:tab w:val="right" w:pos="7560"/>
                <w:tab w:val="right" w:pos="9000"/>
              </w:tabs>
              <w:jc w:val="right"/>
              <w:rPr>
                <w:rFonts w:ascii="Arial" w:hAnsi="Arial" w:cs="Arial"/>
                <w:bCs/>
                <w:sz w:val="18"/>
                <w:szCs w:val="18"/>
              </w:rPr>
            </w:pPr>
            <w:r w:rsidRPr="002D1FED">
              <w:rPr>
                <w:rFonts w:ascii="Arial" w:hAnsi="Arial" w:cs="Arial"/>
                <w:sz w:val="18"/>
                <w:szCs w:val="18"/>
              </w:rPr>
              <w:t>403,199</w:t>
            </w:r>
          </w:p>
        </w:tc>
      </w:tr>
      <w:tr w:rsidR="0056738E" w:rsidRPr="0005080C" w14:paraId="2EF18C78" w14:textId="77777777" w:rsidTr="007C2AEE">
        <w:trPr>
          <w:trHeight w:val="256"/>
          <w:jc w:val="center"/>
        </w:trPr>
        <w:tc>
          <w:tcPr>
            <w:tcW w:w="3416" w:type="dxa"/>
            <w:shd w:val="clear" w:color="auto" w:fill="auto"/>
            <w:vAlign w:val="center"/>
          </w:tcPr>
          <w:p w14:paraId="636A9A24" w14:textId="77777777" w:rsidR="0056738E" w:rsidRPr="00C42B7D" w:rsidRDefault="0056738E" w:rsidP="007C2AEE">
            <w:pPr>
              <w:tabs>
                <w:tab w:val="left" w:pos="0"/>
                <w:tab w:val="right" w:pos="7560"/>
                <w:tab w:val="right" w:pos="9000"/>
              </w:tabs>
              <w:jc w:val="both"/>
              <w:rPr>
                <w:rFonts w:ascii="Arial" w:hAnsi="Arial" w:cs="Arial"/>
                <w:bCs/>
                <w:sz w:val="18"/>
                <w:szCs w:val="18"/>
                <w:lang w:val="el-GR"/>
              </w:rPr>
            </w:pPr>
            <w:r w:rsidRPr="00325113">
              <w:rPr>
                <w:rFonts w:ascii="Arial" w:hAnsi="Arial" w:cs="Arial"/>
                <w:bCs/>
                <w:sz w:val="18"/>
                <w:szCs w:val="18"/>
                <w:lang w:val="el-GR"/>
              </w:rPr>
              <w:t>Δάνεια και απαιτήσεις από πελάτες</w:t>
            </w:r>
          </w:p>
        </w:tc>
        <w:tc>
          <w:tcPr>
            <w:tcW w:w="1417" w:type="dxa"/>
            <w:tcBorders>
              <w:bottom w:val="single" w:sz="4" w:space="0" w:color="D9D9D9" w:themeColor="background1" w:themeShade="D9"/>
            </w:tcBorders>
            <w:shd w:val="clear" w:color="auto" w:fill="auto"/>
            <w:vAlign w:val="center"/>
          </w:tcPr>
          <w:p w14:paraId="0BA855DC" w14:textId="77777777" w:rsidR="0056738E" w:rsidRPr="00955C85"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10,031,306</w:t>
            </w:r>
          </w:p>
        </w:tc>
        <w:tc>
          <w:tcPr>
            <w:tcW w:w="1417" w:type="dxa"/>
            <w:tcBorders>
              <w:bottom w:val="single" w:sz="4" w:space="0" w:color="D9D9D9" w:themeColor="background1" w:themeShade="D9"/>
            </w:tcBorders>
            <w:vAlign w:val="center"/>
          </w:tcPr>
          <w:p w14:paraId="53F29949" w14:textId="77777777" w:rsidR="0056738E" w:rsidRPr="00955C85"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sz w:val="18"/>
                <w:szCs w:val="18"/>
              </w:rPr>
              <w:t>10,084,967</w:t>
            </w:r>
          </w:p>
        </w:tc>
        <w:tc>
          <w:tcPr>
            <w:tcW w:w="1418" w:type="dxa"/>
            <w:tcBorders>
              <w:bottom w:val="single" w:sz="4" w:space="0" w:color="D9D9D9" w:themeColor="background1" w:themeShade="D9"/>
            </w:tcBorders>
            <w:vAlign w:val="center"/>
          </w:tcPr>
          <w:p w14:paraId="1CEF607C" w14:textId="77777777" w:rsidR="0056738E" w:rsidRPr="00955C85" w:rsidRDefault="0056738E" w:rsidP="007C2AEE">
            <w:pPr>
              <w:tabs>
                <w:tab w:val="left" w:pos="0"/>
                <w:tab w:val="right" w:pos="7560"/>
                <w:tab w:val="right" w:pos="9000"/>
              </w:tabs>
              <w:jc w:val="right"/>
              <w:rPr>
                <w:rFonts w:ascii="Arial" w:hAnsi="Arial" w:cs="Arial"/>
                <w:b/>
                <w:bCs/>
                <w:sz w:val="18"/>
                <w:szCs w:val="18"/>
                <w:lang w:val="el-GR"/>
              </w:rPr>
            </w:pPr>
            <w:r w:rsidRPr="001131ED">
              <w:rPr>
                <w:rFonts w:ascii="Arial" w:hAnsi="Arial" w:cs="Arial"/>
                <w:sz w:val="18"/>
                <w:szCs w:val="18"/>
                <w:lang w:val="en-GB"/>
              </w:rPr>
              <w:t>10,027,893</w:t>
            </w:r>
          </w:p>
        </w:tc>
        <w:tc>
          <w:tcPr>
            <w:tcW w:w="1422" w:type="dxa"/>
            <w:tcBorders>
              <w:bottom w:val="single" w:sz="4" w:space="0" w:color="D9D9D9" w:themeColor="background1" w:themeShade="D9"/>
            </w:tcBorders>
            <w:vAlign w:val="center"/>
          </w:tcPr>
          <w:p w14:paraId="26553C28" w14:textId="77777777" w:rsidR="0056738E" w:rsidRPr="0005080C" w:rsidRDefault="0056738E" w:rsidP="007C2AEE">
            <w:pPr>
              <w:tabs>
                <w:tab w:val="left" w:pos="0"/>
                <w:tab w:val="right" w:pos="7560"/>
                <w:tab w:val="right" w:pos="9000"/>
              </w:tabs>
              <w:jc w:val="right"/>
              <w:rPr>
                <w:rFonts w:ascii="Arial" w:hAnsi="Arial" w:cs="Arial"/>
                <w:bCs/>
                <w:sz w:val="18"/>
                <w:szCs w:val="18"/>
                <w:lang w:val="el-GR"/>
              </w:rPr>
            </w:pPr>
            <w:r w:rsidRPr="002D1FED">
              <w:rPr>
                <w:rFonts w:ascii="Arial" w:hAnsi="Arial" w:cs="Arial"/>
                <w:sz w:val="18"/>
                <w:szCs w:val="18"/>
              </w:rPr>
              <w:t>9,821,788</w:t>
            </w:r>
          </w:p>
        </w:tc>
      </w:tr>
      <w:tr w:rsidR="0056738E" w:rsidRPr="00D11429" w14:paraId="5178D440" w14:textId="77777777" w:rsidTr="007C2AEE">
        <w:trPr>
          <w:trHeight w:val="256"/>
          <w:jc w:val="center"/>
        </w:trPr>
        <w:tc>
          <w:tcPr>
            <w:tcW w:w="3416" w:type="dxa"/>
            <w:shd w:val="clear" w:color="auto" w:fill="auto"/>
            <w:vAlign w:val="center"/>
          </w:tcPr>
          <w:p w14:paraId="03A6AB71" w14:textId="77777777" w:rsidR="0056738E" w:rsidRPr="00325113" w:rsidRDefault="0056738E" w:rsidP="007C2AEE">
            <w:pPr>
              <w:tabs>
                <w:tab w:val="left" w:pos="0"/>
                <w:tab w:val="right" w:pos="7560"/>
                <w:tab w:val="right" w:pos="9000"/>
              </w:tabs>
              <w:jc w:val="both"/>
              <w:rPr>
                <w:rFonts w:ascii="Arial" w:hAnsi="Arial" w:cs="Arial"/>
                <w:bCs/>
                <w:sz w:val="18"/>
                <w:szCs w:val="18"/>
                <w:lang w:val="el-GR"/>
              </w:rPr>
            </w:pPr>
            <w:r w:rsidRPr="00325113">
              <w:rPr>
                <w:rFonts w:ascii="Arial" w:hAnsi="Arial" w:cs="Arial"/>
                <w:bCs/>
                <w:sz w:val="18"/>
                <w:szCs w:val="18"/>
                <w:lang w:val="el-GR"/>
              </w:rPr>
              <w:t xml:space="preserve">Δάνεια </w:t>
            </w:r>
            <w:r>
              <w:rPr>
                <w:rFonts w:ascii="Arial" w:hAnsi="Arial" w:cs="Arial"/>
                <w:bCs/>
                <w:sz w:val="18"/>
                <w:szCs w:val="18"/>
                <w:lang w:val="el-GR"/>
              </w:rPr>
              <w:t>και απαιτήσεις από πελάτες που κατέχονται προς πώληση</w:t>
            </w:r>
          </w:p>
        </w:tc>
        <w:tc>
          <w:tcPr>
            <w:tcW w:w="1417" w:type="dxa"/>
            <w:tcBorders>
              <w:bottom w:val="single" w:sz="4" w:space="0" w:color="D9D9D9" w:themeColor="background1" w:themeShade="D9"/>
            </w:tcBorders>
            <w:shd w:val="clear" w:color="auto" w:fill="auto"/>
            <w:vAlign w:val="center"/>
          </w:tcPr>
          <w:p w14:paraId="2C0BCB58" w14:textId="77777777" w:rsidR="0056738E" w:rsidRPr="00955C85"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12,290</w:t>
            </w:r>
          </w:p>
        </w:tc>
        <w:tc>
          <w:tcPr>
            <w:tcW w:w="1417" w:type="dxa"/>
            <w:tcBorders>
              <w:bottom w:val="single" w:sz="4" w:space="0" w:color="D9D9D9" w:themeColor="background1" w:themeShade="D9"/>
            </w:tcBorders>
            <w:vAlign w:val="center"/>
          </w:tcPr>
          <w:p w14:paraId="5B84B8C6" w14:textId="77777777" w:rsidR="0056738E" w:rsidRPr="00A03828" w:rsidRDefault="0056738E" w:rsidP="007C2AEE">
            <w:pPr>
              <w:tabs>
                <w:tab w:val="left" w:pos="0"/>
                <w:tab w:val="right" w:pos="7560"/>
                <w:tab w:val="right" w:pos="9000"/>
              </w:tabs>
              <w:jc w:val="right"/>
              <w:rPr>
                <w:rFonts w:ascii="Arial" w:hAnsi="Arial" w:cs="Arial"/>
                <w:sz w:val="18"/>
                <w:szCs w:val="18"/>
                <w:lang w:val="el-GR"/>
              </w:rPr>
            </w:pPr>
            <w:r>
              <w:rPr>
                <w:rFonts w:ascii="Arial" w:hAnsi="Arial" w:cs="Arial"/>
                <w:sz w:val="18"/>
                <w:szCs w:val="18"/>
              </w:rPr>
              <w:t>-</w:t>
            </w:r>
          </w:p>
        </w:tc>
        <w:tc>
          <w:tcPr>
            <w:tcW w:w="1418" w:type="dxa"/>
            <w:tcBorders>
              <w:bottom w:val="single" w:sz="4" w:space="0" w:color="D9D9D9" w:themeColor="background1" w:themeShade="D9"/>
            </w:tcBorders>
            <w:vAlign w:val="center"/>
          </w:tcPr>
          <w:p w14:paraId="0DB15A8D" w14:textId="77777777" w:rsidR="0056738E" w:rsidRPr="00A03828" w:rsidRDefault="0056738E" w:rsidP="007C2AEE">
            <w:pPr>
              <w:tabs>
                <w:tab w:val="left" w:pos="0"/>
                <w:tab w:val="right" w:pos="7560"/>
                <w:tab w:val="right" w:pos="9000"/>
              </w:tabs>
              <w:jc w:val="right"/>
              <w:rPr>
                <w:rFonts w:ascii="Arial" w:hAnsi="Arial" w:cs="Arial"/>
                <w:sz w:val="18"/>
                <w:szCs w:val="18"/>
                <w:lang w:val="el-GR"/>
              </w:rPr>
            </w:pPr>
            <w:r>
              <w:rPr>
                <w:rFonts w:ascii="Arial" w:hAnsi="Arial" w:cs="Arial"/>
                <w:sz w:val="18"/>
                <w:szCs w:val="18"/>
              </w:rPr>
              <w:t>-</w:t>
            </w:r>
          </w:p>
        </w:tc>
        <w:tc>
          <w:tcPr>
            <w:tcW w:w="1422" w:type="dxa"/>
            <w:tcBorders>
              <w:bottom w:val="single" w:sz="4" w:space="0" w:color="D9D9D9" w:themeColor="background1" w:themeShade="D9"/>
            </w:tcBorders>
            <w:vAlign w:val="center"/>
          </w:tcPr>
          <w:p w14:paraId="67EB85CC" w14:textId="77777777" w:rsidR="0056738E" w:rsidRPr="00A03828" w:rsidRDefault="0056738E" w:rsidP="007C2AEE">
            <w:pPr>
              <w:tabs>
                <w:tab w:val="left" w:pos="0"/>
                <w:tab w:val="right" w:pos="7560"/>
                <w:tab w:val="right" w:pos="9000"/>
              </w:tabs>
              <w:jc w:val="right"/>
              <w:rPr>
                <w:rFonts w:ascii="Arial" w:hAnsi="Arial" w:cs="Arial"/>
                <w:sz w:val="18"/>
                <w:szCs w:val="18"/>
                <w:lang w:val="el-GR"/>
              </w:rPr>
            </w:pPr>
            <w:r>
              <w:rPr>
                <w:rFonts w:ascii="Arial" w:hAnsi="Arial" w:cs="Arial"/>
                <w:sz w:val="18"/>
                <w:szCs w:val="18"/>
              </w:rPr>
              <w:t>-</w:t>
            </w:r>
          </w:p>
        </w:tc>
      </w:tr>
      <w:tr w:rsidR="0056738E" w:rsidRPr="00845E73" w14:paraId="0E975C04" w14:textId="77777777" w:rsidTr="007C2AEE">
        <w:trPr>
          <w:trHeight w:val="256"/>
          <w:jc w:val="center"/>
        </w:trPr>
        <w:tc>
          <w:tcPr>
            <w:tcW w:w="3416" w:type="dxa"/>
            <w:shd w:val="clear" w:color="auto" w:fill="auto"/>
            <w:vAlign w:val="center"/>
          </w:tcPr>
          <w:p w14:paraId="23737FBB" w14:textId="77777777" w:rsidR="0056738E" w:rsidRPr="00C42B7D" w:rsidRDefault="0056738E" w:rsidP="007C2AEE">
            <w:pPr>
              <w:tabs>
                <w:tab w:val="left" w:pos="0"/>
                <w:tab w:val="right" w:pos="7560"/>
                <w:tab w:val="right" w:pos="9000"/>
              </w:tabs>
              <w:rPr>
                <w:rFonts w:ascii="Arial" w:hAnsi="Arial" w:cs="Arial"/>
                <w:bCs/>
                <w:sz w:val="18"/>
                <w:szCs w:val="18"/>
                <w:lang w:val="el-GR"/>
              </w:rPr>
            </w:pPr>
            <w:r>
              <w:rPr>
                <w:rFonts w:ascii="Arial" w:hAnsi="Arial" w:cs="Arial"/>
                <w:bCs/>
                <w:sz w:val="18"/>
                <w:szCs w:val="18"/>
                <w:lang w:val="el-GR"/>
              </w:rPr>
              <w:t>Προπληρωμές, δεδουλευμένα έσοδα και λοιπά περιουσιακά στοιχεία – Αναβαλλόμενο τίμημα πώλησης</w:t>
            </w:r>
          </w:p>
        </w:tc>
        <w:tc>
          <w:tcPr>
            <w:tcW w:w="1417" w:type="dxa"/>
            <w:tcBorders>
              <w:bottom w:val="single" w:sz="4" w:space="0" w:color="D9D9D9" w:themeColor="background1" w:themeShade="D9"/>
            </w:tcBorders>
            <w:shd w:val="clear" w:color="auto" w:fill="auto"/>
            <w:vAlign w:val="center"/>
          </w:tcPr>
          <w:p w14:paraId="20F7F2AA" w14:textId="77777777" w:rsidR="0056738E" w:rsidRPr="00955C85" w:rsidDel="00CF7D9F" w:rsidRDefault="0056738E" w:rsidP="007C2AEE">
            <w:pPr>
              <w:tabs>
                <w:tab w:val="right" w:pos="7560"/>
                <w:tab w:val="right" w:pos="9000"/>
              </w:tabs>
              <w:ind w:left="-108"/>
              <w:jc w:val="right"/>
              <w:rPr>
                <w:rFonts w:ascii="Arial" w:hAnsi="Arial" w:cs="Arial"/>
                <w:b/>
                <w:bCs/>
                <w:sz w:val="18"/>
                <w:szCs w:val="18"/>
                <w:lang w:val="el-GR"/>
              </w:rPr>
            </w:pPr>
            <w:r>
              <w:rPr>
                <w:rFonts w:ascii="Arial" w:hAnsi="Arial" w:cs="Arial"/>
                <w:b/>
                <w:bCs/>
                <w:sz w:val="18"/>
                <w:szCs w:val="18"/>
              </w:rPr>
              <w:t>255,400</w:t>
            </w:r>
          </w:p>
        </w:tc>
        <w:tc>
          <w:tcPr>
            <w:tcW w:w="1417" w:type="dxa"/>
            <w:tcBorders>
              <w:bottom w:val="single" w:sz="4" w:space="0" w:color="D9D9D9" w:themeColor="background1" w:themeShade="D9"/>
            </w:tcBorders>
            <w:vAlign w:val="center"/>
          </w:tcPr>
          <w:p w14:paraId="63253368" w14:textId="77777777" w:rsidR="0056738E" w:rsidRPr="00955C85" w:rsidDel="00CF7D9F" w:rsidRDefault="0056738E" w:rsidP="007C2AEE">
            <w:pPr>
              <w:tabs>
                <w:tab w:val="right" w:pos="7560"/>
                <w:tab w:val="right" w:pos="9000"/>
              </w:tabs>
              <w:ind w:left="-108"/>
              <w:jc w:val="right"/>
              <w:rPr>
                <w:rFonts w:ascii="Arial" w:hAnsi="Arial" w:cs="Arial"/>
                <w:b/>
                <w:bCs/>
                <w:sz w:val="18"/>
                <w:szCs w:val="18"/>
                <w:lang w:val="el-GR"/>
              </w:rPr>
            </w:pPr>
            <w:r>
              <w:rPr>
                <w:rFonts w:ascii="Arial" w:hAnsi="Arial" w:cs="Arial"/>
                <w:sz w:val="18"/>
                <w:szCs w:val="18"/>
              </w:rPr>
              <w:t>251,244</w:t>
            </w:r>
          </w:p>
        </w:tc>
        <w:tc>
          <w:tcPr>
            <w:tcW w:w="1418" w:type="dxa"/>
            <w:tcBorders>
              <w:bottom w:val="single" w:sz="4" w:space="0" w:color="D9D9D9" w:themeColor="background1" w:themeShade="D9"/>
            </w:tcBorders>
            <w:vAlign w:val="center"/>
          </w:tcPr>
          <w:p w14:paraId="2531F9D8" w14:textId="77777777" w:rsidR="0056738E" w:rsidRPr="00955C85" w:rsidDel="00CF7D9F" w:rsidRDefault="0056738E" w:rsidP="007C2AEE">
            <w:pPr>
              <w:tabs>
                <w:tab w:val="right" w:pos="7560"/>
                <w:tab w:val="right" w:pos="9000"/>
              </w:tabs>
              <w:ind w:left="-108"/>
              <w:jc w:val="right"/>
              <w:rPr>
                <w:rFonts w:ascii="Arial" w:hAnsi="Arial" w:cs="Arial"/>
                <w:b/>
                <w:bCs/>
                <w:sz w:val="18"/>
                <w:szCs w:val="18"/>
                <w:lang w:val="el-GR"/>
              </w:rPr>
            </w:pPr>
            <w:r w:rsidRPr="001131ED">
              <w:rPr>
                <w:rFonts w:ascii="Arial" w:hAnsi="Arial" w:cs="Arial"/>
                <w:sz w:val="18"/>
                <w:szCs w:val="18"/>
                <w:lang w:val="en-GB"/>
              </w:rPr>
              <w:t>247,107</w:t>
            </w:r>
          </w:p>
        </w:tc>
        <w:tc>
          <w:tcPr>
            <w:tcW w:w="1422" w:type="dxa"/>
            <w:tcBorders>
              <w:bottom w:val="single" w:sz="4" w:space="0" w:color="D9D9D9" w:themeColor="background1" w:themeShade="D9"/>
            </w:tcBorders>
            <w:vAlign w:val="center"/>
          </w:tcPr>
          <w:p w14:paraId="094A9DE0" w14:textId="77777777" w:rsidR="0056738E" w:rsidRDefault="0056738E" w:rsidP="007C2AEE">
            <w:pPr>
              <w:tabs>
                <w:tab w:val="left" w:pos="0"/>
                <w:tab w:val="right" w:pos="7560"/>
                <w:tab w:val="right" w:pos="9000"/>
              </w:tabs>
              <w:jc w:val="right"/>
              <w:rPr>
                <w:rFonts w:ascii="Arial" w:hAnsi="Arial" w:cs="Arial"/>
                <w:bCs/>
                <w:sz w:val="18"/>
                <w:szCs w:val="18"/>
              </w:rPr>
            </w:pPr>
            <w:r w:rsidRPr="002D1FED">
              <w:rPr>
                <w:rFonts w:ascii="Arial" w:hAnsi="Arial" w:cs="Arial"/>
                <w:sz w:val="18"/>
                <w:szCs w:val="18"/>
              </w:rPr>
              <w:t>243,013</w:t>
            </w:r>
          </w:p>
        </w:tc>
      </w:tr>
      <w:tr w:rsidR="0056738E" w:rsidRPr="00845E73" w14:paraId="106E9FBB" w14:textId="77777777" w:rsidTr="007C2AEE">
        <w:trPr>
          <w:trHeight w:val="256"/>
          <w:jc w:val="center"/>
        </w:trPr>
        <w:tc>
          <w:tcPr>
            <w:tcW w:w="3416" w:type="dxa"/>
            <w:shd w:val="clear" w:color="auto" w:fill="auto"/>
            <w:vAlign w:val="center"/>
          </w:tcPr>
          <w:p w14:paraId="5FB1BD6C" w14:textId="77777777" w:rsidR="0056738E" w:rsidRPr="00AB4891" w:rsidRDefault="0056738E" w:rsidP="007C2AEE">
            <w:pPr>
              <w:tabs>
                <w:tab w:val="left" w:pos="0"/>
                <w:tab w:val="right" w:pos="7560"/>
                <w:tab w:val="right" w:pos="9000"/>
              </w:tabs>
              <w:jc w:val="both"/>
              <w:rPr>
                <w:rFonts w:ascii="Arial" w:hAnsi="Arial" w:cs="Arial"/>
                <w:i/>
                <w:sz w:val="18"/>
                <w:szCs w:val="18"/>
              </w:rPr>
            </w:pPr>
            <w:r w:rsidRPr="00325113">
              <w:rPr>
                <w:rFonts w:ascii="Arial" w:hAnsi="Arial" w:cs="Arial"/>
                <w:i/>
                <w:sz w:val="18"/>
                <w:szCs w:val="18"/>
                <w:lang w:val="el-GR"/>
              </w:rPr>
              <w:t>Επενδύσεις</w:t>
            </w:r>
          </w:p>
        </w:tc>
        <w:tc>
          <w:tcPr>
            <w:tcW w:w="1417" w:type="dxa"/>
            <w:tcBorders>
              <w:bottom w:val="single" w:sz="4" w:space="0" w:color="D9D9D9" w:themeColor="background1" w:themeShade="D9"/>
            </w:tcBorders>
            <w:shd w:val="clear" w:color="auto" w:fill="auto"/>
            <w:vAlign w:val="center"/>
          </w:tcPr>
          <w:p w14:paraId="40BCCC60" w14:textId="77777777" w:rsidR="0056738E" w:rsidRPr="00F65EEF" w:rsidRDefault="0056738E" w:rsidP="007C2AEE">
            <w:pPr>
              <w:tabs>
                <w:tab w:val="right" w:pos="7560"/>
                <w:tab w:val="right" w:pos="9000"/>
              </w:tabs>
              <w:ind w:left="-108"/>
              <w:jc w:val="right"/>
              <w:rPr>
                <w:rFonts w:ascii="Arial" w:hAnsi="Arial" w:cs="Arial"/>
                <w:b/>
                <w:bCs/>
                <w:sz w:val="18"/>
                <w:szCs w:val="18"/>
              </w:rPr>
            </w:pPr>
          </w:p>
        </w:tc>
        <w:tc>
          <w:tcPr>
            <w:tcW w:w="1417" w:type="dxa"/>
            <w:tcBorders>
              <w:bottom w:val="single" w:sz="4" w:space="0" w:color="D9D9D9" w:themeColor="background1" w:themeShade="D9"/>
            </w:tcBorders>
            <w:vAlign w:val="center"/>
          </w:tcPr>
          <w:p w14:paraId="25F9472F" w14:textId="77777777" w:rsidR="0056738E" w:rsidRPr="00F65EEF" w:rsidRDefault="0056738E" w:rsidP="007C2AEE">
            <w:pPr>
              <w:tabs>
                <w:tab w:val="right" w:pos="7560"/>
                <w:tab w:val="right" w:pos="9000"/>
              </w:tabs>
              <w:ind w:left="-108"/>
              <w:jc w:val="right"/>
              <w:rPr>
                <w:rFonts w:ascii="Arial" w:hAnsi="Arial" w:cs="Arial"/>
                <w:b/>
                <w:bCs/>
                <w:sz w:val="18"/>
                <w:szCs w:val="18"/>
              </w:rPr>
            </w:pPr>
          </w:p>
        </w:tc>
        <w:tc>
          <w:tcPr>
            <w:tcW w:w="1418" w:type="dxa"/>
            <w:tcBorders>
              <w:bottom w:val="single" w:sz="4" w:space="0" w:color="D9D9D9" w:themeColor="background1" w:themeShade="D9"/>
            </w:tcBorders>
            <w:vAlign w:val="center"/>
          </w:tcPr>
          <w:p w14:paraId="672C946A" w14:textId="77777777" w:rsidR="0056738E" w:rsidRPr="00F65EEF" w:rsidRDefault="0056738E" w:rsidP="007C2AEE">
            <w:pPr>
              <w:tabs>
                <w:tab w:val="right" w:pos="7560"/>
                <w:tab w:val="right" w:pos="9000"/>
              </w:tabs>
              <w:ind w:left="-108"/>
              <w:jc w:val="right"/>
              <w:rPr>
                <w:rFonts w:ascii="Arial" w:hAnsi="Arial" w:cs="Arial"/>
                <w:b/>
                <w:bCs/>
                <w:sz w:val="18"/>
                <w:szCs w:val="18"/>
              </w:rPr>
            </w:pPr>
          </w:p>
        </w:tc>
        <w:tc>
          <w:tcPr>
            <w:tcW w:w="1422" w:type="dxa"/>
            <w:tcBorders>
              <w:bottom w:val="single" w:sz="4" w:space="0" w:color="D9D9D9" w:themeColor="background1" w:themeShade="D9"/>
            </w:tcBorders>
            <w:vAlign w:val="center"/>
          </w:tcPr>
          <w:p w14:paraId="34468525" w14:textId="77777777" w:rsidR="0056738E" w:rsidRPr="00FE622A" w:rsidRDefault="0056738E" w:rsidP="007C2AEE">
            <w:pPr>
              <w:tabs>
                <w:tab w:val="right" w:pos="7560"/>
                <w:tab w:val="right" w:pos="9000"/>
              </w:tabs>
              <w:ind w:left="-108"/>
              <w:jc w:val="right"/>
              <w:rPr>
                <w:rFonts w:ascii="Arial" w:hAnsi="Arial" w:cs="Arial"/>
                <w:bCs/>
                <w:sz w:val="18"/>
                <w:szCs w:val="18"/>
              </w:rPr>
            </w:pPr>
          </w:p>
        </w:tc>
      </w:tr>
      <w:tr w:rsidR="0056738E" w:rsidRPr="00845E73" w14:paraId="16BF66DD" w14:textId="77777777" w:rsidTr="007C2AEE">
        <w:trPr>
          <w:trHeight w:val="256"/>
          <w:jc w:val="center"/>
        </w:trPr>
        <w:tc>
          <w:tcPr>
            <w:tcW w:w="3416" w:type="dxa"/>
            <w:shd w:val="clear" w:color="auto" w:fill="auto"/>
            <w:vAlign w:val="center"/>
          </w:tcPr>
          <w:p w14:paraId="7EF280C0" w14:textId="77777777" w:rsidR="0056738E" w:rsidRPr="00AB4891" w:rsidRDefault="0056738E" w:rsidP="007C2AEE">
            <w:pPr>
              <w:tabs>
                <w:tab w:val="left" w:pos="0"/>
                <w:tab w:val="right" w:pos="7560"/>
                <w:tab w:val="right" w:pos="9000"/>
              </w:tabs>
              <w:jc w:val="both"/>
              <w:rPr>
                <w:rFonts w:ascii="Arial" w:hAnsi="Arial" w:cs="Arial"/>
                <w:sz w:val="18"/>
                <w:szCs w:val="18"/>
                <w:lang w:val="el-GR"/>
              </w:rPr>
            </w:pPr>
            <w:r>
              <w:rPr>
                <w:rFonts w:ascii="Arial" w:hAnsi="Arial" w:cs="Arial"/>
                <w:sz w:val="18"/>
                <w:szCs w:val="18"/>
                <w:lang w:val="el-GR"/>
              </w:rPr>
              <w:t>Ομόλογα</w:t>
            </w:r>
          </w:p>
        </w:tc>
        <w:tc>
          <w:tcPr>
            <w:tcW w:w="1417" w:type="dxa"/>
            <w:tcBorders>
              <w:bottom w:val="single" w:sz="6" w:space="0" w:color="auto"/>
            </w:tcBorders>
            <w:shd w:val="clear" w:color="auto" w:fill="auto"/>
            <w:vAlign w:val="center"/>
          </w:tcPr>
          <w:p w14:paraId="38425251" w14:textId="77777777" w:rsidR="0056738E" w:rsidRPr="00F65EEF" w:rsidRDefault="0056738E" w:rsidP="007C2AEE">
            <w:pPr>
              <w:tabs>
                <w:tab w:val="right" w:pos="7560"/>
                <w:tab w:val="right" w:pos="9000"/>
              </w:tabs>
              <w:ind w:left="-108"/>
              <w:jc w:val="right"/>
              <w:rPr>
                <w:rFonts w:ascii="Arial" w:hAnsi="Arial" w:cs="Arial"/>
                <w:b/>
                <w:bCs/>
                <w:sz w:val="18"/>
                <w:szCs w:val="18"/>
              </w:rPr>
            </w:pPr>
            <w:r>
              <w:rPr>
                <w:rFonts w:ascii="Arial" w:hAnsi="Arial" w:cs="Arial"/>
                <w:b/>
                <w:bCs/>
                <w:sz w:val="18"/>
                <w:szCs w:val="18"/>
              </w:rPr>
              <w:t>4,061,291</w:t>
            </w:r>
          </w:p>
        </w:tc>
        <w:tc>
          <w:tcPr>
            <w:tcW w:w="1417" w:type="dxa"/>
            <w:tcBorders>
              <w:bottom w:val="single" w:sz="6" w:space="0" w:color="auto"/>
            </w:tcBorders>
            <w:vAlign w:val="center"/>
          </w:tcPr>
          <w:p w14:paraId="635CBDF9" w14:textId="77777777" w:rsidR="0056738E" w:rsidRPr="00F65EEF" w:rsidRDefault="0056738E" w:rsidP="007C2AEE">
            <w:pPr>
              <w:tabs>
                <w:tab w:val="right" w:pos="7560"/>
                <w:tab w:val="right" w:pos="9000"/>
              </w:tabs>
              <w:ind w:left="-108"/>
              <w:jc w:val="right"/>
              <w:rPr>
                <w:rFonts w:ascii="Arial" w:hAnsi="Arial" w:cs="Arial"/>
                <w:b/>
                <w:bCs/>
                <w:sz w:val="18"/>
                <w:szCs w:val="18"/>
              </w:rPr>
            </w:pPr>
            <w:r>
              <w:rPr>
                <w:rFonts w:ascii="Arial" w:hAnsi="Arial" w:cs="Arial"/>
                <w:sz w:val="18"/>
                <w:szCs w:val="18"/>
              </w:rPr>
              <w:t>3,828,083</w:t>
            </w:r>
          </w:p>
        </w:tc>
        <w:tc>
          <w:tcPr>
            <w:tcW w:w="1418" w:type="dxa"/>
            <w:tcBorders>
              <w:bottom w:val="single" w:sz="6" w:space="0" w:color="auto"/>
            </w:tcBorders>
            <w:vAlign w:val="center"/>
          </w:tcPr>
          <w:p w14:paraId="77F0DD69" w14:textId="77777777" w:rsidR="0056738E" w:rsidRPr="00F65EEF" w:rsidRDefault="0056738E" w:rsidP="007C2AEE">
            <w:pPr>
              <w:tabs>
                <w:tab w:val="right" w:pos="7560"/>
                <w:tab w:val="right" w:pos="9000"/>
              </w:tabs>
              <w:ind w:left="-108"/>
              <w:jc w:val="right"/>
              <w:rPr>
                <w:rFonts w:ascii="Arial" w:hAnsi="Arial" w:cs="Arial"/>
                <w:b/>
                <w:bCs/>
                <w:sz w:val="18"/>
                <w:szCs w:val="18"/>
              </w:rPr>
            </w:pPr>
            <w:r w:rsidRPr="001131ED">
              <w:rPr>
                <w:rFonts w:ascii="Arial" w:hAnsi="Arial" w:cs="Arial"/>
                <w:sz w:val="18"/>
                <w:szCs w:val="18"/>
                <w:lang w:val="en-GB"/>
              </w:rPr>
              <w:t>3,742,838</w:t>
            </w:r>
          </w:p>
        </w:tc>
        <w:tc>
          <w:tcPr>
            <w:tcW w:w="1422" w:type="dxa"/>
            <w:tcBorders>
              <w:bottom w:val="single" w:sz="6" w:space="0" w:color="auto"/>
            </w:tcBorders>
            <w:vAlign w:val="center"/>
          </w:tcPr>
          <w:p w14:paraId="6E6AEAD2" w14:textId="77777777" w:rsidR="0056738E" w:rsidRDefault="0056738E" w:rsidP="007C2AEE">
            <w:pPr>
              <w:tabs>
                <w:tab w:val="right" w:pos="7560"/>
                <w:tab w:val="right" w:pos="9000"/>
              </w:tabs>
              <w:ind w:left="-108"/>
              <w:jc w:val="right"/>
              <w:rPr>
                <w:rFonts w:ascii="Arial" w:hAnsi="Arial" w:cs="Arial"/>
                <w:bCs/>
                <w:sz w:val="18"/>
                <w:szCs w:val="18"/>
              </w:rPr>
            </w:pPr>
            <w:r w:rsidRPr="002D1FED">
              <w:rPr>
                <w:rFonts w:ascii="Arial" w:hAnsi="Arial" w:cs="Arial"/>
                <w:sz w:val="18"/>
                <w:szCs w:val="18"/>
              </w:rPr>
              <w:t>3,547,782</w:t>
            </w:r>
          </w:p>
        </w:tc>
      </w:tr>
      <w:tr w:rsidR="0056738E" w:rsidRPr="00845E73" w14:paraId="54ABF8FD" w14:textId="77777777" w:rsidTr="007C2AEE">
        <w:trPr>
          <w:trHeight w:val="256"/>
          <w:jc w:val="center"/>
        </w:trPr>
        <w:tc>
          <w:tcPr>
            <w:tcW w:w="3416" w:type="dxa"/>
            <w:tcBorders>
              <w:top w:val="single" w:sz="4" w:space="0" w:color="D9D9D9" w:themeColor="background1" w:themeShade="D9"/>
              <w:bottom w:val="single" w:sz="4" w:space="0" w:color="D9D9D9" w:themeColor="background1" w:themeShade="D9"/>
            </w:tcBorders>
            <w:vAlign w:val="center"/>
          </w:tcPr>
          <w:p w14:paraId="47D9E767" w14:textId="77777777" w:rsidR="0056738E" w:rsidRPr="00C42B7D" w:rsidRDefault="0056738E" w:rsidP="007C2AEE">
            <w:pPr>
              <w:tabs>
                <w:tab w:val="left" w:pos="0"/>
                <w:tab w:val="right" w:pos="7560"/>
                <w:tab w:val="right" w:pos="9000"/>
              </w:tabs>
              <w:jc w:val="both"/>
              <w:rPr>
                <w:rFonts w:ascii="Arial" w:hAnsi="Arial" w:cs="Arial"/>
                <w:b/>
                <w:sz w:val="18"/>
                <w:szCs w:val="18"/>
                <w:lang w:val="el-GR"/>
              </w:rPr>
            </w:pPr>
            <w:r>
              <w:rPr>
                <w:rFonts w:ascii="Arial" w:hAnsi="Arial" w:cs="Arial"/>
                <w:b/>
                <w:sz w:val="18"/>
                <w:szCs w:val="18"/>
                <w:lang w:val="el-GR"/>
              </w:rPr>
              <w:t>Σύνολο τοκοφόρων περιουσιακών στοιχείων</w:t>
            </w:r>
          </w:p>
        </w:tc>
        <w:tc>
          <w:tcPr>
            <w:tcW w:w="1417" w:type="dxa"/>
            <w:tcBorders>
              <w:top w:val="single" w:sz="6" w:space="0" w:color="auto"/>
              <w:bottom w:val="double" w:sz="6" w:space="0" w:color="auto"/>
            </w:tcBorders>
            <w:shd w:val="clear" w:color="auto" w:fill="auto"/>
            <w:vAlign w:val="center"/>
          </w:tcPr>
          <w:p w14:paraId="0D8F4053" w14:textId="77777777" w:rsidR="0056738E" w:rsidRPr="00F65EEF" w:rsidRDefault="0056738E" w:rsidP="007C2AEE">
            <w:pPr>
              <w:tabs>
                <w:tab w:val="left" w:pos="0"/>
                <w:tab w:val="right" w:pos="7560"/>
                <w:tab w:val="right" w:pos="9000"/>
              </w:tabs>
              <w:jc w:val="right"/>
              <w:rPr>
                <w:rFonts w:ascii="Arial" w:hAnsi="Arial" w:cs="Arial"/>
                <w:b/>
                <w:bCs/>
                <w:sz w:val="18"/>
                <w:szCs w:val="18"/>
              </w:rPr>
            </w:pPr>
            <w:r>
              <w:rPr>
                <w:rFonts w:ascii="Arial" w:hAnsi="Arial" w:cs="Arial"/>
                <w:b/>
                <w:bCs/>
                <w:sz w:val="18"/>
                <w:szCs w:val="18"/>
              </w:rPr>
              <w:t>23,237,203</w:t>
            </w:r>
          </w:p>
        </w:tc>
        <w:tc>
          <w:tcPr>
            <w:tcW w:w="1417" w:type="dxa"/>
            <w:tcBorders>
              <w:top w:val="single" w:sz="6" w:space="0" w:color="auto"/>
              <w:bottom w:val="double" w:sz="6" w:space="0" w:color="auto"/>
            </w:tcBorders>
            <w:vAlign w:val="center"/>
          </w:tcPr>
          <w:p w14:paraId="4BA364D4" w14:textId="77777777" w:rsidR="0056738E" w:rsidRPr="00F65EEF" w:rsidRDefault="0056738E" w:rsidP="007C2AEE">
            <w:pPr>
              <w:tabs>
                <w:tab w:val="left" w:pos="0"/>
                <w:tab w:val="right" w:pos="7560"/>
                <w:tab w:val="right" w:pos="9000"/>
              </w:tabs>
              <w:jc w:val="right"/>
              <w:rPr>
                <w:rFonts w:ascii="Arial" w:hAnsi="Arial" w:cs="Arial"/>
                <w:b/>
                <w:bCs/>
                <w:sz w:val="18"/>
                <w:szCs w:val="18"/>
              </w:rPr>
            </w:pPr>
            <w:r>
              <w:rPr>
                <w:rFonts w:ascii="Arial" w:hAnsi="Arial" w:cs="Arial"/>
                <w:sz w:val="18"/>
                <w:szCs w:val="18"/>
              </w:rPr>
              <w:t>22,850,485</w:t>
            </w:r>
          </w:p>
        </w:tc>
        <w:tc>
          <w:tcPr>
            <w:tcW w:w="1418" w:type="dxa"/>
            <w:tcBorders>
              <w:top w:val="single" w:sz="6" w:space="0" w:color="auto"/>
              <w:bottom w:val="double" w:sz="6" w:space="0" w:color="auto"/>
            </w:tcBorders>
            <w:vAlign w:val="center"/>
          </w:tcPr>
          <w:p w14:paraId="565FE717" w14:textId="77777777" w:rsidR="0056738E" w:rsidRPr="00F65EEF" w:rsidRDefault="0056738E" w:rsidP="007C2AEE">
            <w:pPr>
              <w:tabs>
                <w:tab w:val="left" w:pos="0"/>
                <w:tab w:val="right" w:pos="7560"/>
                <w:tab w:val="right" w:pos="9000"/>
              </w:tabs>
              <w:jc w:val="right"/>
              <w:rPr>
                <w:rFonts w:ascii="Arial" w:hAnsi="Arial" w:cs="Arial"/>
                <w:b/>
                <w:bCs/>
                <w:sz w:val="18"/>
                <w:szCs w:val="18"/>
              </w:rPr>
            </w:pPr>
            <w:r w:rsidRPr="001131ED">
              <w:rPr>
                <w:rFonts w:ascii="Arial" w:hAnsi="Arial" w:cs="Arial"/>
                <w:sz w:val="18"/>
                <w:szCs w:val="18"/>
                <w:lang w:val="en-GB"/>
              </w:rPr>
              <w:t>22,326,117</w:t>
            </w:r>
          </w:p>
        </w:tc>
        <w:tc>
          <w:tcPr>
            <w:tcW w:w="1422" w:type="dxa"/>
            <w:tcBorders>
              <w:top w:val="single" w:sz="6" w:space="0" w:color="auto"/>
              <w:bottom w:val="double" w:sz="6" w:space="0" w:color="auto"/>
            </w:tcBorders>
            <w:vAlign w:val="center"/>
          </w:tcPr>
          <w:p w14:paraId="38314189" w14:textId="77777777" w:rsidR="0056738E" w:rsidRDefault="0056738E" w:rsidP="007C2AEE">
            <w:pPr>
              <w:tabs>
                <w:tab w:val="left" w:pos="0"/>
                <w:tab w:val="right" w:pos="7560"/>
                <w:tab w:val="right" w:pos="9000"/>
              </w:tabs>
              <w:jc w:val="right"/>
              <w:rPr>
                <w:rFonts w:ascii="Arial" w:hAnsi="Arial" w:cs="Arial"/>
                <w:bCs/>
                <w:sz w:val="18"/>
                <w:szCs w:val="18"/>
              </w:rPr>
            </w:pPr>
            <w:r w:rsidRPr="002D1FED">
              <w:rPr>
                <w:rFonts w:ascii="Arial" w:hAnsi="Arial" w:cs="Arial"/>
                <w:sz w:val="18"/>
                <w:szCs w:val="18"/>
              </w:rPr>
              <w:t>24,015,086</w:t>
            </w:r>
          </w:p>
        </w:tc>
      </w:tr>
      <w:tr w:rsidR="0056738E" w:rsidRPr="00845E73" w14:paraId="25BBC3CA" w14:textId="77777777" w:rsidTr="007C2AEE">
        <w:trPr>
          <w:trHeight w:val="256"/>
          <w:jc w:val="center"/>
        </w:trPr>
        <w:tc>
          <w:tcPr>
            <w:tcW w:w="3416" w:type="dxa"/>
            <w:tcBorders>
              <w:top w:val="single" w:sz="4" w:space="0" w:color="D9D9D9" w:themeColor="background1" w:themeShade="D9"/>
              <w:bottom w:val="single" w:sz="4" w:space="0" w:color="D9D9D9" w:themeColor="background1" w:themeShade="D9"/>
            </w:tcBorders>
            <w:vAlign w:val="center"/>
          </w:tcPr>
          <w:p w14:paraId="647BE20B" w14:textId="77777777" w:rsidR="0056738E" w:rsidRPr="00AB4891" w:rsidRDefault="0056738E" w:rsidP="007C2AEE">
            <w:pPr>
              <w:tabs>
                <w:tab w:val="left" w:pos="0"/>
                <w:tab w:val="right" w:pos="7560"/>
                <w:tab w:val="right" w:pos="9000"/>
              </w:tabs>
              <w:jc w:val="both"/>
              <w:rPr>
                <w:rFonts w:ascii="Arial" w:hAnsi="Arial" w:cs="Arial"/>
                <w:b/>
                <w:sz w:val="18"/>
                <w:szCs w:val="18"/>
              </w:rPr>
            </w:pPr>
          </w:p>
        </w:tc>
        <w:tc>
          <w:tcPr>
            <w:tcW w:w="1417" w:type="dxa"/>
            <w:tcBorders>
              <w:top w:val="double" w:sz="6" w:space="0" w:color="auto"/>
              <w:bottom w:val="single" w:sz="4" w:space="0" w:color="D9D9D9" w:themeColor="background1" w:themeShade="D9"/>
            </w:tcBorders>
          </w:tcPr>
          <w:p w14:paraId="7F9B9B8E" w14:textId="77777777" w:rsidR="0056738E" w:rsidRPr="00AB4891" w:rsidRDefault="0056738E" w:rsidP="007C2AEE">
            <w:pPr>
              <w:tabs>
                <w:tab w:val="left" w:pos="0"/>
                <w:tab w:val="right" w:pos="7560"/>
                <w:tab w:val="right" w:pos="9000"/>
              </w:tabs>
              <w:jc w:val="right"/>
              <w:rPr>
                <w:rFonts w:ascii="Arial" w:hAnsi="Arial" w:cs="Arial"/>
                <w:b/>
                <w:bCs/>
                <w:sz w:val="18"/>
                <w:szCs w:val="18"/>
              </w:rPr>
            </w:pPr>
          </w:p>
        </w:tc>
        <w:tc>
          <w:tcPr>
            <w:tcW w:w="1417" w:type="dxa"/>
            <w:tcBorders>
              <w:top w:val="double" w:sz="6" w:space="0" w:color="auto"/>
              <w:bottom w:val="single" w:sz="4" w:space="0" w:color="D9D9D9" w:themeColor="background1" w:themeShade="D9"/>
            </w:tcBorders>
          </w:tcPr>
          <w:p w14:paraId="0FAB9571" w14:textId="77777777" w:rsidR="0056738E" w:rsidRPr="00AB4891" w:rsidRDefault="0056738E" w:rsidP="007C2AEE">
            <w:pPr>
              <w:tabs>
                <w:tab w:val="left" w:pos="0"/>
                <w:tab w:val="right" w:pos="7560"/>
                <w:tab w:val="right" w:pos="9000"/>
              </w:tabs>
              <w:jc w:val="right"/>
              <w:rPr>
                <w:rFonts w:ascii="Arial" w:hAnsi="Arial" w:cs="Arial"/>
                <w:b/>
                <w:bCs/>
                <w:sz w:val="18"/>
                <w:szCs w:val="18"/>
              </w:rPr>
            </w:pPr>
          </w:p>
        </w:tc>
        <w:tc>
          <w:tcPr>
            <w:tcW w:w="1418" w:type="dxa"/>
            <w:tcBorders>
              <w:top w:val="double" w:sz="6" w:space="0" w:color="auto"/>
              <w:bottom w:val="single" w:sz="4" w:space="0" w:color="D9D9D9" w:themeColor="background1" w:themeShade="D9"/>
            </w:tcBorders>
          </w:tcPr>
          <w:p w14:paraId="4490D775" w14:textId="77777777" w:rsidR="0056738E" w:rsidRPr="00AB4891" w:rsidRDefault="0056738E" w:rsidP="007C2AEE">
            <w:pPr>
              <w:tabs>
                <w:tab w:val="left" w:pos="0"/>
                <w:tab w:val="right" w:pos="7560"/>
                <w:tab w:val="right" w:pos="9000"/>
              </w:tabs>
              <w:jc w:val="right"/>
              <w:rPr>
                <w:rFonts w:ascii="Arial" w:hAnsi="Arial" w:cs="Arial"/>
                <w:b/>
                <w:bCs/>
                <w:sz w:val="18"/>
                <w:szCs w:val="18"/>
              </w:rPr>
            </w:pPr>
          </w:p>
        </w:tc>
        <w:tc>
          <w:tcPr>
            <w:tcW w:w="1422" w:type="dxa"/>
            <w:tcBorders>
              <w:top w:val="double" w:sz="6" w:space="0" w:color="auto"/>
              <w:bottom w:val="single" w:sz="4" w:space="0" w:color="D9D9D9" w:themeColor="background1" w:themeShade="D9"/>
            </w:tcBorders>
            <w:vAlign w:val="center"/>
          </w:tcPr>
          <w:p w14:paraId="03A68151" w14:textId="77777777" w:rsidR="0056738E" w:rsidRPr="00AB4891" w:rsidRDefault="0056738E" w:rsidP="007C2AEE">
            <w:pPr>
              <w:tabs>
                <w:tab w:val="left" w:pos="0"/>
                <w:tab w:val="right" w:pos="7560"/>
                <w:tab w:val="right" w:pos="9000"/>
              </w:tabs>
              <w:jc w:val="right"/>
              <w:rPr>
                <w:rFonts w:ascii="Arial" w:hAnsi="Arial" w:cs="Arial"/>
                <w:bCs/>
                <w:sz w:val="18"/>
                <w:szCs w:val="18"/>
              </w:rPr>
            </w:pPr>
          </w:p>
        </w:tc>
      </w:tr>
      <w:tr w:rsidR="0056738E" w:rsidRPr="007C2AEE" w14:paraId="55856A8C" w14:textId="77777777" w:rsidTr="007C2AEE">
        <w:trPr>
          <w:trHeight w:val="256"/>
          <w:jc w:val="center"/>
        </w:trPr>
        <w:tc>
          <w:tcPr>
            <w:tcW w:w="3416" w:type="dxa"/>
            <w:tcBorders>
              <w:top w:val="single" w:sz="4" w:space="0" w:color="D9D9D9" w:themeColor="background1" w:themeShade="D9"/>
              <w:bottom w:val="single" w:sz="4" w:space="0" w:color="D9D9D9" w:themeColor="background1" w:themeShade="D9"/>
            </w:tcBorders>
            <w:vAlign w:val="center"/>
          </w:tcPr>
          <w:p w14:paraId="2F52DB2D" w14:textId="77777777" w:rsidR="0056738E" w:rsidRPr="00C42B7D" w:rsidRDefault="0056738E" w:rsidP="0056738E">
            <w:pPr>
              <w:pStyle w:val="ListParagraph"/>
              <w:numPr>
                <w:ilvl w:val="1"/>
                <w:numId w:val="8"/>
              </w:numPr>
              <w:tabs>
                <w:tab w:val="left" w:pos="0"/>
                <w:tab w:val="right" w:pos="7560"/>
                <w:tab w:val="right" w:pos="9000"/>
              </w:tabs>
              <w:ind w:left="596" w:hanging="425"/>
              <w:rPr>
                <w:rFonts w:ascii="Arial" w:hAnsi="Arial" w:cs="Arial"/>
                <w:b/>
                <w:sz w:val="18"/>
                <w:szCs w:val="18"/>
                <w:lang w:val="el-GR"/>
              </w:rPr>
            </w:pPr>
            <w:r w:rsidRPr="00325113">
              <w:rPr>
                <w:rFonts w:ascii="Arial" w:hAnsi="Arial" w:cs="Arial"/>
                <w:b/>
                <w:color w:val="000000"/>
                <w:sz w:val="18"/>
                <w:szCs w:val="18"/>
                <w:lang w:val="el-GR"/>
              </w:rPr>
              <w:t>Τριμηνιαίος μέσος όρος των τοκοφόρων περιουσιακών στοιχείων (€000)</w:t>
            </w:r>
          </w:p>
        </w:tc>
        <w:tc>
          <w:tcPr>
            <w:tcW w:w="1417" w:type="dxa"/>
            <w:tcBorders>
              <w:top w:val="single" w:sz="4" w:space="0" w:color="D9D9D9" w:themeColor="background1" w:themeShade="D9"/>
              <w:bottom w:val="single" w:sz="4" w:space="0" w:color="D9D9D9" w:themeColor="background1" w:themeShade="D9"/>
            </w:tcBorders>
          </w:tcPr>
          <w:p w14:paraId="18AF0911" w14:textId="77777777" w:rsidR="0056738E" w:rsidRPr="00C42B7D" w:rsidRDefault="0056738E" w:rsidP="007C2AEE">
            <w:pPr>
              <w:tabs>
                <w:tab w:val="left" w:pos="0"/>
                <w:tab w:val="right" w:pos="7560"/>
                <w:tab w:val="right" w:pos="9000"/>
              </w:tabs>
              <w:jc w:val="right"/>
              <w:rPr>
                <w:rFonts w:ascii="Arial" w:hAnsi="Arial" w:cs="Arial"/>
                <w:b/>
                <w:bCs/>
                <w:sz w:val="18"/>
                <w:szCs w:val="18"/>
                <w:lang w:val="el-GR"/>
              </w:rPr>
            </w:pPr>
          </w:p>
        </w:tc>
        <w:tc>
          <w:tcPr>
            <w:tcW w:w="1417" w:type="dxa"/>
            <w:tcBorders>
              <w:top w:val="single" w:sz="4" w:space="0" w:color="D9D9D9" w:themeColor="background1" w:themeShade="D9"/>
              <w:bottom w:val="single" w:sz="4" w:space="0" w:color="D9D9D9" w:themeColor="background1" w:themeShade="D9"/>
            </w:tcBorders>
          </w:tcPr>
          <w:p w14:paraId="0DFBA21A" w14:textId="77777777" w:rsidR="0056738E" w:rsidRPr="00C42B7D" w:rsidRDefault="0056738E" w:rsidP="007C2AEE">
            <w:pPr>
              <w:tabs>
                <w:tab w:val="left" w:pos="0"/>
                <w:tab w:val="right" w:pos="7560"/>
                <w:tab w:val="right" w:pos="9000"/>
              </w:tabs>
              <w:jc w:val="right"/>
              <w:rPr>
                <w:rFonts w:ascii="Arial" w:hAnsi="Arial" w:cs="Arial"/>
                <w:b/>
                <w:bCs/>
                <w:sz w:val="18"/>
                <w:szCs w:val="18"/>
                <w:lang w:val="el-GR"/>
              </w:rPr>
            </w:pPr>
          </w:p>
        </w:tc>
        <w:tc>
          <w:tcPr>
            <w:tcW w:w="1418" w:type="dxa"/>
            <w:tcBorders>
              <w:top w:val="single" w:sz="4" w:space="0" w:color="D9D9D9" w:themeColor="background1" w:themeShade="D9"/>
              <w:bottom w:val="single" w:sz="4" w:space="0" w:color="D9D9D9" w:themeColor="background1" w:themeShade="D9"/>
            </w:tcBorders>
          </w:tcPr>
          <w:p w14:paraId="09867985" w14:textId="77777777" w:rsidR="0056738E" w:rsidRPr="00C42B7D" w:rsidRDefault="0056738E" w:rsidP="007C2AEE">
            <w:pPr>
              <w:tabs>
                <w:tab w:val="left" w:pos="0"/>
                <w:tab w:val="right" w:pos="7560"/>
                <w:tab w:val="right" w:pos="9000"/>
              </w:tabs>
              <w:jc w:val="right"/>
              <w:rPr>
                <w:rFonts w:ascii="Arial" w:hAnsi="Arial" w:cs="Arial"/>
                <w:b/>
                <w:bCs/>
                <w:sz w:val="18"/>
                <w:szCs w:val="18"/>
                <w:lang w:val="el-GR"/>
              </w:rPr>
            </w:pPr>
          </w:p>
        </w:tc>
        <w:tc>
          <w:tcPr>
            <w:tcW w:w="1422" w:type="dxa"/>
            <w:tcBorders>
              <w:top w:val="single" w:sz="4" w:space="0" w:color="D9D9D9" w:themeColor="background1" w:themeShade="D9"/>
              <w:bottom w:val="single" w:sz="4" w:space="0" w:color="D9D9D9" w:themeColor="background1" w:themeShade="D9"/>
            </w:tcBorders>
            <w:vAlign w:val="center"/>
          </w:tcPr>
          <w:p w14:paraId="06F08E08" w14:textId="77777777" w:rsidR="0056738E" w:rsidRPr="00C42B7D" w:rsidRDefault="0056738E" w:rsidP="007C2AEE">
            <w:pPr>
              <w:tabs>
                <w:tab w:val="left" w:pos="0"/>
                <w:tab w:val="right" w:pos="7560"/>
                <w:tab w:val="right" w:pos="9000"/>
              </w:tabs>
              <w:jc w:val="right"/>
              <w:rPr>
                <w:rFonts w:ascii="Arial" w:hAnsi="Arial" w:cs="Arial"/>
                <w:bCs/>
                <w:sz w:val="18"/>
                <w:szCs w:val="18"/>
                <w:lang w:val="el-GR"/>
              </w:rPr>
            </w:pPr>
          </w:p>
        </w:tc>
      </w:tr>
      <w:tr w:rsidR="0056738E" w:rsidRPr="00845E73" w14:paraId="47D77955" w14:textId="77777777" w:rsidTr="007C2AEE">
        <w:trPr>
          <w:trHeight w:val="256"/>
          <w:jc w:val="center"/>
        </w:trPr>
        <w:tc>
          <w:tcPr>
            <w:tcW w:w="3416" w:type="dxa"/>
            <w:shd w:val="clear" w:color="auto" w:fill="auto"/>
            <w:vAlign w:val="center"/>
          </w:tcPr>
          <w:p w14:paraId="7A556C0D" w14:textId="77777777" w:rsidR="0056738E" w:rsidRPr="00AB4891" w:rsidRDefault="0056738E" w:rsidP="0056738E">
            <w:pPr>
              <w:pStyle w:val="ListParagraph"/>
              <w:numPr>
                <w:ilvl w:val="0"/>
                <w:numId w:val="9"/>
              </w:numPr>
              <w:tabs>
                <w:tab w:val="left" w:pos="0"/>
                <w:tab w:val="right" w:pos="7560"/>
                <w:tab w:val="right" w:pos="9000"/>
              </w:tabs>
              <w:ind w:left="873" w:hanging="426"/>
              <w:jc w:val="both"/>
              <w:rPr>
                <w:rFonts w:ascii="Arial" w:hAnsi="Arial" w:cs="Arial"/>
                <w:sz w:val="18"/>
                <w:szCs w:val="18"/>
              </w:rPr>
            </w:pPr>
            <w:r>
              <w:rPr>
                <w:rFonts w:ascii="Arial" w:hAnsi="Arial" w:cs="Arial"/>
                <w:sz w:val="18"/>
                <w:szCs w:val="18"/>
                <w:lang w:val="el-GR"/>
              </w:rPr>
              <w:t>σ</w:t>
            </w:r>
            <w:r w:rsidRPr="00325113">
              <w:rPr>
                <w:rFonts w:ascii="Arial" w:hAnsi="Arial" w:cs="Arial"/>
                <w:sz w:val="18"/>
                <w:szCs w:val="18"/>
                <w:lang w:val="el-GR"/>
              </w:rPr>
              <w:t>τ</w:t>
            </w:r>
            <w:r>
              <w:rPr>
                <w:rFonts w:ascii="Arial" w:hAnsi="Arial" w:cs="Arial"/>
                <w:sz w:val="18"/>
                <w:szCs w:val="18"/>
                <w:lang w:val="el-GR"/>
              </w:rPr>
              <w:t>ις</w:t>
            </w:r>
            <w:r w:rsidRPr="00325113">
              <w:rPr>
                <w:rFonts w:ascii="Arial" w:hAnsi="Arial" w:cs="Arial"/>
                <w:sz w:val="18"/>
                <w:szCs w:val="18"/>
                <w:lang w:val="el-GR"/>
              </w:rPr>
              <w:t xml:space="preserve"> </w:t>
            </w:r>
            <w:r w:rsidRPr="00762DD8">
              <w:rPr>
                <w:rFonts w:ascii="Arial" w:hAnsi="Arial" w:cs="Arial"/>
                <w:sz w:val="18"/>
                <w:szCs w:val="18"/>
                <w:lang w:val="el-GR"/>
              </w:rPr>
              <w:t xml:space="preserve">30 Σεπτεμβρίου </w:t>
            </w:r>
            <w:r>
              <w:rPr>
                <w:rFonts w:ascii="Arial" w:hAnsi="Arial" w:cs="Arial"/>
                <w:sz w:val="18"/>
                <w:szCs w:val="18"/>
                <w:lang w:val="el-GR"/>
              </w:rPr>
              <w:t>2024</w:t>
            </w:r>
          </w:p>
        </w:tc>
        <w:tc>
          <w:tcPr>
            <w:tcW w:w="1417" w:type="dxa"/>
          </w:tcPr>
          <w:p w14:paraId="3A1F1DD8" w14:textId="77777777" w:rsidR="0056738E" w:rsidRPr="004D709F" w:rsidRDefault="0056738E" w:rsidP="007C2AEE">
            <w:pPr>
              <w:tabs>
                <w:tab w:val="left" w:pos="0"/>
                <w:tab w:val="right" w:pos="7560"/>
                <w:tab w:val="right" w:pos="9000"/>
              </w:tabs>
              <w:jc w:val="right"/>
              <w:rPr>
                <w:rFonts w:ascii="Arial" w:hAnsi="Arial" w:cs="Arial"/>
                <w:b/>
                <w:bCs/>
                <w:sz w:val="18"/>
                <w:szCs w:val="18"/>
              </w:rPr>
            </w:pPr>
          </w:p>
        </w:tc>
        <w:tc>
          <w:tcPr>
            <w:tcW w:w="1417" w:type="dxa"/>
            <w:tcBorders>
              <w:top w:val="single" w:sz="4" w:space="0" w:color="D9D9D9" w:themeColor="background1" w:themeShade="D9"/>
              <w:bottom w:val="single" w:sz="4" w:space="0" w:color="D9D9D9" w:themeColor="background1" w:themeShade="D9"/>
            </w:tcBorders>
          </w:tcPr>
          <w:p w14:paraId="56C8A954" w14:textId="77777777" w:rsidR="0056738E" w:rsidRPr="004D709F" w:rsidRDefault="0056738E" w:rsidP="007C2AEE">
            <w:pPr>
              <w:tabs>
                <w:tab w:val="left" w:pos="0"/>
                <w:tab w:val="right" w:pos="7560"/>
                <w:tab w:val="right" w:pos="9000"/>
              </w:tabs>
              <w:jc w:val="right"/>
              <w:rPr>
                <w:rFonts w:ascii="Arial" w:hAnsi="Arial" w:cs="Arial"/>
                <w:b/>
                <w:bCs/>
                <w:sz w:val="18"/>
                <w:szCs w:val="18"/>
              </w:rPr>
            </w:pPr>
          </w:p>
        </w:tc>
        <w:tc>
          <w:tcPr>
            <w:tcW w:w="1418" w:type="dxa"/>
            <w:tcBorders>
              <w:top w:val="single" w:sz="4" w:space="0" w:color="D9D9D9" w:themeColor="background1" w:themeShade="D9"/>
              <w:bottom w:val="single" w:sz="4" w:space="0" w:color="D9D9D9" w:themeColor="background1" w:themeShade="D9"/>
            </w:tcBorders>
          </w:tcPr>
          <w:p w14:paraId="6B14EEC1" w14:textId="77777777" w:rsidR="0056738E" w:rsidRPr="004D709F" w:rsidRDefault="0056738E" w:rsidP="007C2AEE">
            <w:pPr>
              <w:tabs>
                <w:tab w:val="left" w:pos="0"/>
                <w:tab w:val="right" w:pos="7560"/>
                <w:tab w:val="right" w:pos="9000"/>
              </w:tabs>
              <w:jc w:val="right"/>
              <w:rPr>
                <w:rFonts w:ascii="Arial" w:hAnsi="Arial" w:cs="Arial"/>
                <w:b/>
                <w:bCs/>
                <w:sz w:val="18"/>
                <w:szCs w:val="18"/>
              </w:rPr>
            </w:pPr>
          </w:p>
        </w:tc>
        <w:tc>
          <w:tcPr>
            <w:tcW w:w="1422" w:type="dxa"/>
            <w:tcBorders>
              <w:top w:val="single" w:sz="4" w:space="0" w:color="D9D9D9" w:themeColor="background1" w:themeShade="D9"/>
              <w:bottom w:val="single" w:sz="4" w:space="0" w:color="D9D9D9" w:themeColor="background1" w:themeShade="D9"/>
            </w:tcBorders>
            <w:vAlign w:val="center"/>
          </w:tcPr>
          <w:p w14:paraId="1D1849E4" w14:textId="77777777" w:rsidR="0056738E" w:rsidRPr="00041815" w:rsidRDefault="0056738E" w:rsidP="007C2AEE">
            <w:pPr>
              <w:tabs>
                <w:tab w:val="left" w:pos="0"/>
                <w:tab w:val="right" w:pos="7560"/>
                <w:tab w:val="right" w:pos="9000"/>
              </w:tabs>
              <w:jc w:val="right"/>
              <w:rPr>
                <w:rFonts w:ascii="Arial" w:hAnsi="Arial" w:cs="Arial"/>
                <w:bCs/>
                <w:sz w:val="18"/>
                <w:szCs w:val="18"/>
                <w:lang w:val="el-GR"/>
              </w:rPr>
            </w:pPr>
            <w:r>
              <w:rPr>
                <w:rFonts w:ascii="Arial" w:hAnsi="Arial" w:cs="Arial"/>
                <w:b/>
                <w:sz w:val="18"/>
                <w:szCs w:val="18"/>
              </w:rPr>
              <w:t>23,107,223</w:t>
            </w:r>
          </w:p>
        </w:tc>
      </w:tr>
      <w:tr w:rsidR="0056738E" w:rsidRPr="00845E73" w14:paraId="49E5C846" w14:textId="77777777" w:rsidTr="007C2AEE">
        <w:trPr>
          <w:trHeight w:val="256"/>
          <w:jc w:val="center"/>
        </w:trPr>
        <w:tc>
          <w:tcPr>
            <w:tcW w:w="3416" w:type="dxa"/>
            <w:shd w:val="clear" w:color="auto" w:fill="auto"/>
            <w:vAlign w:val="center"/>
          </w:tcPr>
          <w:p w14:paraId="305692FD" w14:textId="77777777" w:rsidR="0056738E" w:rsidRPr="00AB4891" w:rsidRDefault="0056738E" w:rsidP="0056738E">
            <w:pPr>
              <w:pStyle w:val="ListParagraph"/>
              <w:numPr>
                <w:ilvl w:val="0"/>
                <w:numId w:val="9"/>
              </w:numPr>
              <w:tabs>
                <w:tab w:val="left" w:pos="0"/>
                <w:tab w:val="right" w:pos="7560"/>
                <w:tab w:val="right" w:pos="9000"/>
              </w:tabs>
              <w:ind w:left="873" w:hanging="426"/>
              <w:jc w:val="both"/>
              <w:rPr>
                <w:rFonts w:ascii="Arial" w:hAnsi="Arial" w:cs="Arial"/>
                <w:sz w:val="18"/>
                <w:szCs w:val="18"/>
              </w:rPr>
            </w:pPr>
            <w:r>
              <w:rPr>
                <w:rFonts w:ascii="Arial" w:hAnsi="Arial" w:cs="Arial"/>
                <w:sz w:val="18"/>
                <w:szCs w:val="18"/>
                <w:lang w:val="el-GR"/>
              </w:rPr>
              <w:t>στις</w:t>
            </w:r>
            <w:r w:rsidRPr="00325113">
              <w:rPr>
                <w:rFonts w:ascii="Arial" w:hAnsi="Arial" w:cs="Arial"/>
                <w:sz w:val="18"/>
                <w:szCs w:val="18"/>
                <w:lang w:val="el-GR"/>
              </w:rPr>
              <w:t xml:space="preserve"> </w:t>
            </w:r>
            <w:r w:rsidRPr="00762DD8">
              <w:rPr>
                <w:rFonts w:ascii="Arial" w:hAnsi="Arial" w:cs="Arial"/>
                <w:sz w:val="18"/>
                <w:szCs w:val="18"/>
                <w:lang w:val="el-GR"/>
              </w:rPr>
              <w:t xml:space="preserve">30 Σεπτεμβρίου </w:t>
            </w:r>
            <w:r w:rsidRPr="00325113">
              <w:rPr>
                <w:rFonts w:ascii="Arial" w:hAnsi="Arial" w:cs="Arial"/>
                <w:sz w:val="18"/>
                <w:szCs w:val="18"/>
              </w:rPr>
              <w:t>2</w:t>
            </w:r>
            <w:r>
              <w:rPr>
                <w:rFonts w:ascii="Arial" w:hAnsi="Arial" w:cs="Arial"/>
                <w:sz w:val="18"/>
                <w:szCs w:val="18"/>
                <w:lang w:val="el-GR"/>
              </w:rPr>
              <w:t>023</w:t>
            </w:r>
          </w:p>
        </w:tc>
        <w:tc>
          <w:tcPr>
            <w:tcW w:w="1417" w:type="dxa"/>
          </w:tcPr>
          <w:p w14:paraId="0451B6FA" w14:textId="77777777" w:rsidR="0056738E" w:rsidRPr="00FD70FB" w:rsidRDefault="0056738E" w:rsidP="007C2AEE">
            <w:pPr>
              <w:tabs>
                <w:tab w:val="left" w:pos="0"/>
                <w:tab w:val="right" w:pos="7560"/>
                <w:tab w:val="right" w:pos="9000"/>
              </w:tabs>
              <w:jc w:val="right"/>
              <w:rPr>
                <w:rFonts w:ascii="Arial" w:hAnsi="Arial" w:cs="Arial"/>
                <w:bCs/>
                <w:sz w:val="18"/>
                <w:szCs w:val="18"/>
              </w:rPr>
            </w:pPr>
          </w:p>
        </w:tc>
        <w:tc>
          <w:tcPr>
            <w:tcW w:w="1417" w:type="dxa"/>
            <w:tcBorders>
              <w:top w:val="single" w:sz="4" w:space="0" w:color="D9D9D9" w:themeColor="background1" w:themeShade="D9"/>
              <w:bottom w:val="single" w:sz="4" w:space="0" w:color="D9D9D9" w:themeColor="background1" w:themeShade="D9"/>
            </w:tcBorders>
          </w:tcPr>
          <w:p w14:paraId="4DE537BD" w14:textId="77777777" w:rsidR="0056738E" w:rsidRPr="00FD70FB" w:rsidRDefault="0056738E" w:rsidP="007C2AEE">
            <w:pPr>
              <w:tabs>
                <w:tab w:val="left" w:pos="0"/>
                <w:tab w:val="right" w:pos="7560"/>
                <w:tab w:val="right" w:pos="9000"/>
              </w:tabs>
              <w:jc w:val="right"/>
              <w:rPr>
                <w:rFonts w:ascii="Arial" w:hAnsi="Arial" w:cs="Arial"/>
                <w:bCs/>
                <w:sz w:val="18"/>
                <w:szCs w:val="18"/>
              </w:rPr>
            </w:pPr>
          </w:p>
        </w:tc>
        <w:tc>
          <w:tcPr>
            <w:tcW w:w="1418" w:type="dxa"/>
            <w:tcBorders>
              <w:top w:val="single" w:sz="4" w:space="0" w:color="D9D9D9" w:themeColor="background1" w:themeShade="D9"/>
              <w:bottom w:val="single" w:sz="4" w:space="0" w:color="D9D9D9" w:themeColor="background1" w:themeShade="D9"/>
            </w:tcBorders>
          </w:tcPr>
          <w:p w14:paraId="6D9819DC" w14:textId="77777777" w:rsidR="0056738E" w:rsidRPr="00FD70FB" w:rsidRDefault="0056738E" w:rsidP="007C2AEE">
            <w:pPr>
              <w:tabs>
                <w:tab w:val="left" w:pos="0"/>
                <w:tab w:val="right" w:pos="7560"/>
                <w:tab w:val="right" w:pos="9000"/>
              </w:tabs>
              <w:jc w:val="right"/>
              <w:rPr>
                <w:rFonts w:ascii="Arial" w:hAnsi="Arial" w:cs="Arial"/>
                <w:bCs/>
                <w:sz w:val="18"/>
                <w:szCs w:val="18"/>
              </w:rPr>
            </w:pPr>
          </w:p>
        </w:tc>
        <w:tc>
          <w:tcPr>
            <w:tcW w:w="1422" w:type="dxa"/>
            <w:tcBorders>
              <w:top w:val="single" w:sz="4" w:space="0" w:color="D9D9D9" w:themeColor="background1" w:themeShade="D9"/>
              <w:bottom w:val="single" w:sz="4" w:space="0" w:color="D9D9D9" w:themeColor="background1" w:themeShade="D9"/>
            </w:tcBorders>
            <w:vAlign w:val="center"/>
          </w:tcPr>
          <w:p w14:paraId="7F2502B5" w14:textId="77777777" w:rsidR="0056738E" w:rsidRPr="00AB4891" w:rsidRDefault="0056738E" w:rsidP="007C2AEE">
            <w:pPr>
              <w:tabs>
                <w:tab w:val="left" w:pos="0"/>
                <w:tab w:val="right" w:pos="7560"/>
                <w:tab w:val="right" w:pos="9000"/>
              </w:tabs>
              <w:jc w:val="right"/>
              <w:rPr>
                <w:rFonts w:ascii="Arial" w:hAnsi="Arial" w:cs="Arial"/>
                <w:bCs/>
                <w:sz w:val="18"/>
                <w:szCs w:val="18"/>
              </w:rPr>
            </w:pPr>
            <w:r>
              <w:rPr>
                <w:rFonts w:ascii="Arial" w:hAnsi="Arial" w:cs="Arial"/>
                <w:bCs/>
                <w:sz w:val="18"/>
                <w:szCs w:val="18"/>
              </w:rPr>
              <w:t>23,010,598</w:t>
            </w:r>
          </w:p>
        </w:tc>
      </w:tr>
    </w:tbl>
    <w:p w14:paraId="0F40FC46" w14:textId="77777777" w:rsidR="0056738E" w:rsidRDefault="0056738E" w:rsidP="0056738E">
      <w:pPr>
        <w:spacing w:after="0" w:line="240" w:lineRule="auto"/>
        <w:ind w:left="992" w:hanging="992"/>
        <w:jc w:val="both"/>
        <w:rPr>
          <w:rFonts w:ascii="Arial" w:hAnsi="Arial" w:cs="Arial"/>
          <w:b/>
          <w:color w:val="FF9900"/>
          <w:sz w:val="16"/>
          <w:szCs w:val="16"/>
          <w:lang w:val="el-GR"/>
        </w:rPr>
      </w:pPr>
    </w:p>
    <w:p w14:paraId="4B1AD0E9" w14:textId="77777777" w:rsidR="0056738E" w:rsidRDefault="0056738E" w:rsidP="0056738E">
      <w:pPr>
        <w:rPr>
          <w:rFonts w:ascii="Arial" w:hAnsi="Arial" w:cs="Arial"/>
          <w:b/>
          <w:color w:val="FF9900"/>
          <w:sz w:val="16"/>
          <w:szCs w:val="16"/>
          <w:lang w:val="el-GR"/>
        </w:rPr>
      </w:pPr>
      <w:r>
        <w:rPr>
          <w:rFonts w:ascii="Arial" w:hAnsi="Arial" w:cs="Arial"/>
          <w:b/>
          <w:color w:val="FF9900"/>
          <w:sz w:val="16"/>
          <w:szCs w:val="16"/>
          <w:lang w:val="el-GR"/>
        </w:rPr>
        <w:br w:type="page"/>
      </w:r>
    </w:p>
    <w:p w14:paraId="5ECD5F6C" w14:textId="77777777" w:rsidR="0056738E" w:rsidRDefault="0056738E" w:rsidP="0056738E">
      <w:pPr>
        <w:spacing w:after="0" w:line="360" w:lineRule="auto"/>
        <w:ind w:left="851" w:hanging="851"/>
        <w:jc w:val="both"/>
        <w:rPr>
          <w:rFonts w:ascii="Arial" w:hAnsi="Arial" w:cs="Arial"/>
          <w:color w:val="FF9900"/>
          <w:lang w:val="el-GR"/>
        </w:rPr>
      </w:pPr>
      <w:r>
        <w:rPr>
          <w:rFonts w:ascii="Arial" w:hAnsi="Arial" w:cs="Arial"/>
          <w:b/>
          <w:color w:val="FF9900"/>
          <w:lang w:val="el-GR"/>
        </w:rPr>
        <w:lastRenderedPageBreak/>
        <w:t>Η</w:t>
      </w:r>
      <w:r w:rsidRPr="009B5694">
        <w:rPr>
          <w:rFonts w:ascii="Arial" w:hAnsi="Arial" w:cs="Arial"/>
          <w:b/>
          <w:color w:val="FF9900"/>
          <w:lang w:val="el-GR"/>
        </w:rPr>
        <w:t xml:space="preserve">. </w:t>
      </w:r>
      <w:r w:rsidRPr="009B5694">
        <w:rPr>
          <w:rFonts w:ascii="Arial" w:hAnsi="Arial" w:cs="Arial"/>
          <w:b/>
          <w:color w:val="FF9900"/>
          <w:lang w:val="el-GR"/>
        </w:rPr>
        <w:tab/>
      </w:r>
      <w:r w:rsidRPr="009D3A1F">
        <w:rPr>
          <w:rFonts w:ascii="Arial" w:hAnsi="Arial" w:cs="Arial"/>
          <w:b/>
          <w:color w:val="FF9900"/>
          <w:lang w:val="el-GR"/>
        </w:rPr>
        <w:t>Εναλλακτικ</w:t>
      </w:r>
      <w:r>
        <w:rPr>
          <w:rFonts w:ascii="Arial" w:hAnsi="Arial" w:cs="Arial"/>
          <w:b/>
          <w:color w:val="FF9900"/>
          <w:lang w:val="el-GR"/>
        </w:rPr>
        <w:t>ά</w:t>
      </w:r>
      <w:r w:rsidRPr="009D3A1F">
        <w:rPr>
          <w:rFonts w:ascii="Arial" w:hAnsi="Arial" w:cs="Arial"/>
          <w:b/>
          <w:color w:val="FF9900"/>
          <w:lang w:val="el-GR"/>
        </w:rPr>
        <w:t xml:space="preserve"> Μέτρ</w:t>
      </w:r>
      <w:r>
        <w:rPr>
          <w:rFonts w:ascii="Arial" w:hAnsi="Arial" w:cs="Arial"/>
          <w:b/>
          <w:color w:val="FF9900"/>
          <w:lang w:val="el-GR"/>
        </w:rPr>
        <w:t>α</w:t>
      </w:r>
      <w:r w:rsidRPr="009D3A1F">
        <w:rPr>
          <w:rFonts w:ascii="Arial" w:hAnsi="Arial" w:cs="Arial"/>
          <w:b/>
          <w:color w:val="FF9900"/>
          <w:lang w:val="el-GR"/>
        </w:rPr>
        <w:t xml:space="preserve"> Απόδοσης</w:t>
      </w:r>
      <w:r>
        <w:rPr>
          <w:rFonts w:ascii="Arial" w:hAnsi="Arial" w:cs="Arial"/>
          <w:b/>
          <w:color w:val="FF9900"/>
          <w:lang w:val="el-GR"/>
        </w:rPr>
        <w:t xml:space="preserve"> </w:t>
      </w:r>
      <w:r w:rsidRPr="00B964B1">
        <w:rPr>
          <w:rFonts w:ascii="Arial" w:hAnsi="Arial" w:cs="Arial"/>
          <w:color w:val="FF9900"/>
          <w:lang w:val="el-GR"/>
        </w:rPr>
        <w:t>(συνέχεια)</w:t>
      </w:r>
    </w:p>
    <w:p w14:paraId="07D297D7" w14:textId="77777777" w:rsidR="0056738E" w:rsidRPr="005B05F8" w:rsidRDefault="0056738E" w:rsidP="0056738E">
      <w:pPr>
        <w:shd w:val="clear" w:color="auto" w:fill="FFFFFF"/>
        <w:tabs>
          <w:tab w:val="left" w:pos="810"/>
        </w:tabs>
        <w:suppressAutoHyphens/>
        <w:spacing w:after="0" w:line="360" w:lineRule="auto"/>
        <w:jc w:val="both"/>
        <w:rPr>
          <w:rFonts w:ascii="Arial" w:eastAsia="Times New Roman" w:hAnsi="Arial" w:cs="Arial"/>
          <w:b/>
          <w:color w:val="FF9900"/>
          <w:u w:val="single"/>
          <w:lang w:val="el-GR"/>
        </w:rPr>
      </w:pPr>
      <w:r w:rsidRPr="005B05F8">
        <w:rPr>
          <w:rFonts w:ascii="Arial" w:eastAsia="Times New Roman" w:hAnsi="Arial" w:cs="Arial"/>
          <w:b/>
          <w:color w:val="FF9900"/>
          <w:u w:val="single"/>
          <w:lang w:val="el-GR"/>
        </w:rPr>
        <w:t>Πληροφορίες Βασικών Δεικτών Απόδοσης</w:t>
      </w:r>
      <w:r>
        <w:rPr>
          <w:rFonts w:ascii="Arial" w:eastAsia="Times New Roman" w:hAnsi="Arial" w:cs="Arial"/>
          <w:b/>
          <w:color w:val="FF9900"/>
          <w:u w:val="single"/>
          <w:lang w:val="el-GR"/>
        </w:rPr>
        <w:t xml:space="preserve"> </w:t>
      </w:r>
      <w:bookmarkStart w:id="48" w:name="_Hlk178850990"/>
      <w:r w:rsidRPr="00B964B1">
        <w:rPr>
          <w:rFonts w:ascii="Arial" w:hAnsi="Arial" w:cs="Arial"/>
          <w:color w:val="FF9900"/>
          <w:lang w:val="el-GR"/>
        </w:rPr>
        <w:t>(συνέχεια)</w:t>
      </w:r>
      <w:bookmarkEnd w:id="48"/>
    </w:p>
    <w:p w14:paraId="3517D245" w14:textId="77777777" w:rsidR="0056738E" w:rsidRPr="00A03828" w:rsidRDefault="0056738E" w:rsidP="0056738E">
      <w:pPr>
        <w:spacing w:after="0" w:line="360" w:lineRule="auto"/>
        <w:ind w:left="992" w:hanging="992"/>
        <w:jc w:val="both"/>
        <w:rPr>
          <w:rFonts w:ascii="Arial" w:hAnsi="Arial" w:cs="Arial"/>
          <w:b/>
          <w:color w:val="FF9900"/>
          <w:lang w:val="en-US"/>
        </w:rPr>
      </w:pPr>
      <w:r w:rsidRPr="00D8041C">
        <w:rPr>
          <w:rFonts w:ascii="Arial" w:hAnsi="Arial" w:cs="Arial"/>
          <w:b/>
          <w:color w:val="FF9900"/>
          <w:lang w:val="el-GR"/>
        </w:rPr>
        <w:t>1.</w:t>
      </w:r>
      <w:r w:rsidRPr="00D8041C">
        <w:rPr>
          <w:rFonts w:ascii="Arial" w:hAnsi="Arial" w:cs="Arial"/>
          <w:b/>
          <w:color w:val="FF9900"/>
          <w:lang w:val="el-GR"/>
        </w:rPr>
        <w:tab/>
        <w:t xml:space="preserve">Καθαρό </w:t>
      </w:r>
      <w:proofErr w:type="spellStart"/>
      <w:r w:rsidRPr="00D8041C">
        <w:rPr>
          <w:rFonts w:ascii="Arial" w:hAnsi="Arial" w:cs="Arial"/>
          <w:b/>
          <w:color w:val="FF9900"/>
          <w:lang w:val="el-GR"/>
        </w:rPr>
        <w:t>επιτοκιακό</w:t>
      </w:r>
      <w:proofErr w:type="spellEnd"/>
      <w:r w:rsidRPr="00D8041C">
        <w:rPr>
          <w:rFonts w:ascii="Arial" w:hAnsi="Arial" w:cs="Arial"/>
          <w:b/>
          <w:color w:val="FF9900"/>
          <w:lang w:val="el-GR"/>
        </w:rPr>
        <w:t xml:space="preserve"> περιθώριο</w:t>
      </w:r>
      <w:r>
        <w:rPr>
          <w:rFonts w:ascii="Arial" w:hAnsi="Arial" w:cs="Arial"/>
          <w:b/>
          <w:color w:val="FF9900"/>
          <w:lang w:val="en-US"/>
        </w:rPr>
        <w:t xml:space="preserve"> </w:t>
      </w:r>
      <w:r w:rsidRPr="00B964B1">
        <w:rPr>
          <w:rFonts w:ascii="Arial" w:hAnsi="Arial" w:cs="Arial"/>
          <w:color w:val="FF9900"/>
          <w:lang w:val="el-GR"/>
        </w:rPr>
        <w:t>(συνέχεια)</w:t>
      </w:r>
    </w:p>
    <w:tbl>
      <w:tblPr>
        <w:tblStyle w:val="TableGrid"/>
        <w:tblW w:w="902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180"/>
        <w:gridCol w:w="1418"/>
        <w:gridCol w:w="1431"/>
      </w:tblGrid>
      <w:tr w:rsidR="0056738E" w:rsidRPr="007C2AEE" w14:paraId="28C97EC7" w14:textId="77777777" w:rsidTr="007C2AEE">
        <w:trPr>
          <w:trHeight w:val="227"/>
          <w:jc w:val="center"/>
        </w:trPr>
        <w:tc>
          <w:tcPr>
            <w:tcW w:w="6180" w:type="dxa"/>
            <w:vMerge w:val="restart"/>
            <w:vAlign w:val="center"/>
          </w:tcPr>
          <w:p w14:paraId="6DEA7FA0" w14:textId="77777777" w:rsidR="0056738E" w:rsidRPr="009B5694" w:rsidRDefault="0056738E" w:rsidP="007C2AEE">
            <w:pPr>
              <w:tabs>
                <w:tab w:val="left" w:pos="0"/>
                <w:tab w:val="left" w:pos="360"/>
              </w:tabs>
              <w:rPr>
                <w:rFonts w:ascii="Arial" w:hAnsi="Arial" w:cs="Arial"/>
                <w:b/>
                <w:color w:val="000000"/>
                <w:sz w:val="18"/>
                <w:szCs w:val="18"/>
                <w:lang w:val="el-GR"/>
              </w:rPr>
            </w:pPr>
            <w:r>
              <w:rPr>
                <w:rFonts w:ascii="Arial" w:hAnsi="Arial" w:cs="Arial"/>
                <w:b/>
                <w:color w:val="000000"/>
                <w:sz w:val="18"/>
                <w:szCs w:val="18"/>
                <w:lang w:val="el-GR"/>
              </w:rPr>
              <w:t xml:space="preserve">1.4   </w:t>
            </w:r>
            <w:r w:rsidRPr="00FE2A28">
              <w:rPr>
                <w:rFonts w:ascii="Arial" w:hAnsi="Arial" w:cs="Arial"/>
                <w:b/>
                <w:color w:val="000000"/>
                <w:sz w:val="18"/>
                <w:szCs w:val="18"/>
                <w:lang w:val="el-GR"/>
              </w:rPr>
              <w:t xml:space="preserve">Καθαρό </w:t>
            </w:r>
            <w:proofErr w:type="spellStart"/>
            <w:r w:rsidRPr="00FE2A28">
              <w:rPr>
                <w:rFonts w:ascii="Arial" w:hAnsi="Arial" w:cs="Arial"/>
                <w:b/>
                <w:color w:val="000000"/>
                <w:sz w:val="18"/>
                <w:szCs w:val="18"/>
                <w:lang w:val="el-GR"/>
              </w:rPr>
              <w:t>επιτοκιακό</w:t>
            </w:r>
            <w:proofErr w:type="spellEnd"/>
            <w:r w:rsidRPr="00FE2A28">
              <w:rPr>
                <w:rFonts w:ascii="Arial" w:hAnsi="Arial" w:cs="Arial"/>
                <w:b/>
                <w:color w:val="000000"/>
                <w:sz w:val="18"/>
                <w:szCs w:val="18"/>
                <w:lang w:val="el-GR"/>
              </w:rPr>
              <w:t xml:space="preserve"> περιθώριο</w:t>
            </w:r>
          </w:p>
        </w:tc>
        <w:tc>
          <w:tcPr>
            <w:tcW w:w="2849" w:type="dxa"/>
            <w:gridSpan w:val="2"/>
            <w:shd w:val="clear" w:color="auto" w:fill="auto"/>
            <w:vAlign w:val="center"/>
          </w:tcPr>
          <w:p w14:paraId="582EFFCE" w14:textId="77777777" w:rsidR="0056738E" w:rsidRDefault="0056738E" w:rsidP="007C2AEE">
            <w:pPr>
              <w:ind w:left="-31" w:right="-65"/>
              <w:jc w:val="center"/>
              <w:rPr>
                <w:rFonts w:ascii="Arial" w:hAnsi="Arial" w:cs="Arial"/>
                <w:b/>
                <w:bCs/>
                <w:sz w:val="18"/>
                <w:szCs w:val="18"/>
                <w:lang w:val="el-GR"/>
              </w:rPr>
            </w:pPr>
            <w:r>
              <w:rPr>
                <w:rFonts w:ascii="Arial" w:hAnsi="Arial" w:cs="Arial"/>
                <w:b/>
                <w:bCs/>
                <w:sz w:val="18"/>
                <w:szCs w:val="18"/>
                <w:lang w:val="el-GR"/>
              </w:rPr>
              <w:t>Εννεάμηνο</w:t>
            </w:r>
            <w:r w:rsidRPr="000221F4">
              <w:rPr>
                <w:rFonts w:ascii="Arial" w:hAnsi="Arial" w:cs="Arial"/>
                <w:b/>
                <w:bCs/>
                <w:sz w:val="18"/>
                <w:szCs w:val="18"/>
                <w:lang w:val="el-GR"/>
              </w:rPr>
              <w:t xml:space="preserve"> </w:t>
            </w:r>
            <w:r w:rsidRPr="00C42B7D">
              <w:rPr>
                <w:rFonts w:ascii="Arial" w:hAnsi="Arial" w:cs="Arial"/>
                <w:b/>
                <w:bCs/>
                <w:sz w:val="18"/>
                <w:szCs w:val="18"/>
                <w:lang w:val="el-GR"/>
              </w:rPr>
              <w:t xml:space="preserve">που έληξε στις </w:t>
            </w:r>
          </w:p>
          <w:p w14:paraId="1E186438" w14:textId="77777777" w:rsidR="0056738E" w:rsidRPr="009B5694" w:rsidRDefault="0056738E" w:rsidP="007C2AEE">
            <w:pPr>
              <w:jc w:val="center"/>
              <w:rPr>
                <w:rFonts w:ascii="Arial" w:hAnsi="Arial" w:cs="Arial"/>
                <w:iCs/>
                <w:spacing w:val="-4"/>
                <w:sz w:val="18"/>
                <w:szCs w:val="18"/>
                <w:lang w:val="el-GR"/>
              </w:rPr>
            </w:pPr>
            <w:r w:rsidRPr="00331BC0">
              <w:rPr>
                <w:rFonts w:ascii="Arial" w:hAnsi="Arial" w:cs="Arial"/>
                <w:b/>
                <w:sz w:val="18"/>
                <w:szCs w:val="18"/>
                <w:lang w:val="el-GR"/>
              </w:rPr>
              <w:t>30 Σεπτεμβρίου</w:t>
            </w:r>
          </w:p>
        </w:tc>
      </w:tr>
      <w:tr w:rsidR="0056738E" w:rsidRPr="00A77607" w14:paraId="175BAB80" w14:textId="77777777" w:rsidTr="007C2AEE">
        <w:trPr>
          <w:trHeight w:val="340"/>
          <w:jc w:val="center"/>
        </w:trPr>
        <w:tc>
          <w:tcPr>
            <w:tcW w:w="6180" w:type="dxa"/>
            <w:vMerge/>
            <w:vAlign w:val="center"/>
          </w:tcPr>
          <w:p w14:paraId="5511683E" w14:textId="77777777" w:rsidR="0056738E" w:rsidRPr="009B5694" w:rsidRDefault="0056738E" w:rsidP="007C2AEE">
            <w:pPr>
              <w:tabs>
                <w:tab w:val="left" w:pos="0"/>
                <w:tab w:val="right" w:pos="7560"/>
                <w:tab w:val="right" w:pos="9000"/>
              </w:tabs>
              <w:rPr>
                <w:rFonts w:ascii="Arial" w:hAnsi="Arial" w:cs="Arial"/>
                <w:sz w:val="18"/>
                <w:szCs w:val="18"/>
                <w:lang w:val="el-GR"/>
              </w:rPr>
            </w:pPr>
          </w:p>
        </w:tc>
        <w:tc>
          <w:tcPr>
            <w:tcW w:w="1418" w:type="dxa"/>
            <w:shd w:val="clear" w:color="auto" w:fill="auto"/>
            <w:vAlign w:val="center"/>
          </w:tcPr>
          <w:p w14:paraId="17D8E519" w14:textId="77777777" w:rsidR="0056738E" w:rsidRPr="00325113" w:rsidRDefault="0056738E" w:rsidP="007C2AEE">
            <w:pPr>
              <w:jc w:val="center"/>
              <w:rPr>
                <w:rFonts w:ascii="Arial" w:hAnsi="Arial" w:cs="Arial"/>
                <w:b/>
                <w:sz w:val="18"/>
                <w:szCs w:val="18"/>
                <w:lang w:val="el-GR"/>
              </w:rPr>
            </w:pPr>
            <w:r>
              <w:rPr>
                <w:rFonts w:ascii="Arial" w:hAnsi="Arial" w:cs="Arial"/>
                <w:b/>
                <w:sz w:val="18"/>
                <w:szCs w:val="18"/>
                <w:lang w:val="el-GR"/>
              </w:rPr>
              <w:t>2024</w:t>
            </w:r>
          </w:p>
        </w:tc>
        <w:tc>
          <w:tcPr>
            <w:tcW w:w="1431" w:type="dxa"/>
            <w:vAlign w:val="center"/>
          </w:tcPr>
          <w:p w14:paraId="76D9AA00" w14:textId="77777777" w:rsidR="0056738E" w:rsidRPr="0035184C" w:rsidRDefault="0056738E" w:rsidP="007C2AEE">
            <w:pPr>
              <w:ind w:left="-108" w:right="-61"/>
              <w:jc w:val="center"/>
              <w:rPr>
                <w:rFonts w:ascii="Arial" w:hAnsi="Arial" w:cs="Arial"/>
                <w:sz w:val="18"/>
                <w:szCs w:val="18"/>
                <w:lang w:val="el-GR"/>
              </w:rPr>
            </w:pPr>
            <w:r>
              <w:rPr>
                <w:rFonts w:ascii="Arial" w:hAnsi="Arial" w:cs="Arial"/>
                <w:sz w:val="18"/>
                <w:szCs w:val="18"/>
                <w:lang w:val="el-GR"/>
              </w:rPr>
              <w:t>2023</w:t>
            </w:r>
          </w:p>
        </w:tc>
      </w:tr>
      <w:tr w:rsidR="0056738E" w:rsidRPr="00A77607" w14:paraId="0581DE59" w14:textId="77777777" w:rsidTr="007C2AEE">
        <w:trPr>
          <w:trHeight w:val="401"/>
          <w:jc w:val="center"/>
        </w:trPr>
        <w:tc>
          <w:tcPr>
            <w:tcW w:w="6180" w:type="dxa"/>
            <w:vAlign w:val="center"/>
          </w:tcPr>
          <w:p w14:paraId="32CF1DC0" w14:textId="77777777" w:rsidR="0056738E" w:rsidRPr="00D17E65" w:rsidRDefault="0056738E" w:rsidP="007C2AEE">
            <w:pPr>
              <w:tabs>
                <w:tab w:val="left" w:pos="0"/>
                <w:tab w:val="right" w:pos="7560"/>
                <w:tab w:val="right" w:pos="9000"/>
              </w:tabs>
              <w:rPr>
                <w:rFonts w:ascii="Arial" w:hAnsi="Arial" w:cs="Arial"/>
                <w:b/>
                <w:bCs/>
                <w:sz w:val="18"/>
                <w:szCs w:val="18"/>
                <w:lang w:val="el-GR"/>
              </w:rPr>
            </w:pPr>
            <w:r w:rsidRPr="00FE2A28">
              <w:rPr>
                <w:rFonts w:ascii="Arial" w:hAnsi="Arial" w:cs="Arial"/>
                <w:sz w:val="18"/>
                <w:szCs w:val="18"/>
                <w:lang w:val="el-GR"/>
              </w:rPr>
              <w:t>Καθαρά έσοδα από τόκους (</w:t>
            </w:r>
            <w:proofErr w:type="spellStart"/>
            <w:r w:rsidRPr="00FE2A28">
              <w:rPr>
                <w:rFonts w:ascii="Arial" w:hAnsi="Arial" w:cs="Arial"/>
                <w:sz w:val="18"/>
                <w:szCs w:val="18"/>
                <w:lang w:val="el-GR"/>
              </w:rPr>
              <w:t>ετησιοποιημένα</w:t>
            </w:r>
            <w:proofErr w:type="spellEnd"/>
            <w:r w:rsidRPr="00FE2A28">
              <w:rPr>
                <w:rFonts w:ascii="Arial" w:hAnsi="Arial" w:cs="Arial"/>
                <w:sz w:val="18"/>
                <w:szCs w:val="18"/>
                <w:lang w:val="el-GR"/>
              </w:rPr>
              <w:t xml:space="preserve">) </w:t>
            </w:r>
            <w:r w:rsidRPr="001C3AA9">
              <w:rPr>
                <w:rFonts w:ascii="Arial" w:hAnsi="Arial" w:cs="Arial"/>
                <w:i/>
                <w:iCs/>
                <w:sz w:val="18"/>
                <w:szCs w:val="18"/>
                <w:lang w:val="el-GR"/>
              </w:rPr>
              <w:t>(ως ο πίνακας 1.1. πιο πάνω)</w:t>
            </w:r>
            <w:r w:rsidRPr="00FE2A28">
              <w:rPr>
                <w:rFonts w:ascii="Arial" w:hAnsi="Arial" w:cs="Arial"/>
                <w:sz w:val="18"/>
                <w:szCs w:val="18"/>
                <w:lang w:val="el-GR"/>
              </w:rPr>
              <w:t xml:space="preserve"> (€000)</w:t>
            </w:r>
          </w:p>
        </w:tc>
        <w:tc>
          <w:tcPr>
            <w:tcW w:w="1418" w:type="dxa"/>
            <w:tcBorders>
              <w:bottom w:val="single" w:sz="4" w:space="0" w:color="D9D9D9" w:themeColor="background1" w:themeShade="D9"/>
            </w:tcBorders>
            <w:shd w:val="clear" w:color="auto" w:fill="auto"/>
            <w:vAlign w:val="center"/>
          </w:tcPr>
          <w:p w14:paraId="4EB516D5" w14:textId="77777777" w:rsidR="0056738E" w:rsidRPr="00D703C4" w:rsidRDefault="0056738E" w:rsidP="007C2AEE">
            <w:pPr>
              <w:jc w:val="right"/>
              <w:rPr>
                <w:rFonts w:ascii="Arial" w:hAnsi="Arial" w:cs="Arial"/>
                <w:b/>
                <w:sz w:val="18"/>
                <w:szCs w:val="18"/>
                <w:lang w:val="el-GR"/>
              </w:rPr>
            </w:pPr>
            <w:r>
              <w:rPr>
                <w:rFonts w:ascii="Arial" w:hAnsi="Arial" w:cs="Arial"/>
                <w:b/>
                <w:bCs/>
                <w:sz w:val="18"/>
                <w:szCs w:val="16"/>
              </w:rPr>
              <w:t>832,952</w:t>
            </w:r>
          </w:p>
        </w:tc>
        <w:tc>
          <w:tcPr>
            <w:tcW w:w="1431" w:type="dxa"/>
            <w:tcBorders>
              <w:bottom w:val="single" w:sz="4" w:space="0" w:color="D9D9D9" w:themeColor="background1" w:themeShade="D9"/>
            </w:tcBorders>
            <w:shd w:val="clear" w:color="auto" w:fill="auto"/>
            <w:vAlign w:val="center"/>
          </w:tcPr>
          <w:p w14:paraId="1439B92E" w14:textId="77777777" w:rsidR="0056738E" w:rsidRPr="0016518A" w:rsidRDefault="0056738E" w:rsidP="007C2AEE">
            <w:pPr>
              <w:jc w:val="right"/>
              <w:rPr>
                <w:rFonts w:ascii="Arial" w:hAnsi="Arial" w:cs="Arial"/>
                <w:bCs/>
                <w:sz w:val="18"/>
                <w:szCs w:val="18"/>
              </w:rPr>
            </w:pPr>
            <w:r w:rsidRPr="00E25891">
              <w:rPr>
                <w:rFonts w:ascii="Arial" w:hAnsi="Arial" w:cs="Arial"/>
                <w:sz w:val="18"/>
                <w:szCs w:val="16"/>
              </w:rPr>
              <w:t>764,981</w:t>
            </w:r>
          </w:p>
        </w:tc>
      </w:tr>
      <w:tr w:rsidR="0056738E" w:rsidRPr="00EA064F" w14:paraId="04BBCA64" w14:textId="77777777" w:rsidTr="007C2AEE">
        <w:trPr>
          <w:trHeight w:val="401"/>
          <w:jc w:val="center"/>
        </w:trPr>
        <w:tc>
          <w:tcPr>
            <w:tcW w:w="6180" w:type="dxa"/>
            <w:vAlign w:val="center"/>
          </w:tcPr>
          <w:p w14:paraId="623BBE7E" w14:textId="77777777" w:rsidR="0056738E" w:rsidRPr="00FE2A28" w:rsidRDefault="0056738E" w:rsidP="007C2AEE">
            <w:pPr>
              <w:tabs>
                <w:tab w:val="left" w:pos="0"/>
                <w:tab w:val="right" w:pos="7560"/>
                <w:tab w:val="right" w:pos="9000"/>
              </w:tabs>
              <w:rPr>
                <w:rFonts w:ascii="Arial" w:hAnsi="Arial" w:cs="Arial"/>
                <w:bCs/>
                <w:sz w:val="18"/>
                <w:szCs w:val="18"/>
                <w:lang w:val="el-GR"/>
              </w:rPr>
            </w:pPr>
            <w:r w:rsidRPr="00FE2A28">
              <w:rPr>
                <w:rFonts w:ascii="Arial" w:hAnsi="Arial" w:cs="Arial"/>
                <w:sz w:val="18"/>
                <w:szCs w:val="18"/>
                <w:lang w:val="el-GR"/>
              </w:rPr>
              <w:t xml:space="preserve">Τριμηνιαίος μέσος όρος των τοκοφόρων περιουσιακών στοιχείων </w:t>
            </w:r>
            <w:r w:rsidRPr="001C3AA9">
              <w:rPr>
                <w:rFonts w:ascii="Arial" w:hAnsi="Arial" w:cs="Arial"/>
                <w:i/>
                <w:iCs/>
                <w:sz w:val="18"/>
                <w:szCs w:val="18"/>
                <w:lang w:val="el-GR"/>
              </w:rPr>
              <w:t>(ως ο πίνακας 1.3. πιο πάνω)</w:t>
            </w:r>
            <w:r w:rsidRPr="00FE2A28">
              <w:rPr>
                <w:rFonts w:ascii="Arial" w:hAnsi="Arial" w:cs="Arial"/>
                <w:sz w:val="18"/>
                <w:szCs w:val="18"/>
                <w:lang w:val="el-GR"/>
              </w:rPr>
              <w:t xml:space="preserve"> (€000)</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907D086" w14:textId="77777777" w:rsidR="0056738E" w:rsidRPr="005E52FA" w:rsidRDefault="0056738E" w:rsidP="007C2AEE">
            <w:pPr>
              <w:jc w:val="right"/>
              <w:rPr>
                <w:rFonts w:ascii="Arial" w:hAnsi="Arial" w:cs="Arial"/>
                <w:b/>
                <w:sz w:val="18"/>
                <w:szCs w:val="18"/>
                <w:lang w:val="el-GR"/>
              </w:rPr>
            </w:pPr>
            <w:r>
              <w:rPr>
                <w:rFonts w:ascii="Arial" w:hAnsi="Arial" w:cs="Arial"/>
                <w:b/>
                <w:bCs/>
                <w:sz w:val="18"/>
                <w:szCs w:val="16"/>
              </w:rPr>
              <w:t>23,107,223</w:t>
            </w:r>
          </w:p>
        </w:tc>
        <w:tc>
          <w:tcPr>
            <w:tcW w:w="1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D77BF9" w14:textId="77777777" w:rsidR="0056738E" w:rsidRPr="00C26D10" w:rsidRDefault="0056738E" w:rsidP="007C2AEE">
            <w:pPr>
              <w:jc w:val="right"/>
              <w:rPr>
                <w:rFonts w:ascii="Arial" w:hAnsi="Arial" w:cs="Arial"/>
                <w:sz w:val="18"/>
                <w:szCs w:val="18"/>
                <w:lang w:val="el-GR"/>
              </w:rPr>
            </w:pPr>
            <w:r w:rsidRPr="00E25891">
              <w:rPr>
                <w:rFonts w:ascii="Arial" w:hAnsi="Arial" w:cs="Arial"/>
                <w:sz w:val="18"/>
                <w:szCs w:val="16"/>
              </w:rPr>
              <w:t>23,010,598</w:t>
            </w:r>
          </w:p>
        </w:tc>
      </w:tr>
      <w:tr w:rsidR="0056738E" w:rsidRPr="007F7084" w14:paraId="5A96DF50" w14:textId="77777777" w:rsidTr="007C2AEE">
        <w:trPr>
          <w:trHeight w:val="401"/>
          <w:jc w:val="center"/>
        </w:trPr>
        <w:tc>
          <w:tcPr>
            <w:tcW w:w="6180" w:type="dxa"/>
            <w:vAlign w:val="center"/>
          </w:tcPr>
          <w:p w14:paraId="33500405" w14:textId="77777777" w:rsidR="0056738E" w:rsidRPr="00D17E65" w:rsidRDefault="0056738E" w:rsidP="007C2AEE">
            <w:pPr>
              <w:tabs>
                <w:tab w:val="left" w:pos="0"/>
                <w:tab w:val="right" w:pos="7560"/>
                <w:tab w:val="right" w:pos="9000"/>
              </w:tabs>
              <w:rPr>
                <w:rFonts w:ascii="Arial" w:hAnsi="Arial" w:cs="Arial"/>
                <w:b/>
                <w:bCs/>
                <w:sz w:val="18"/>
                <w:szCs w:val="18"/>
                <w:lang w:val="el-GR"/>
              </w:rPr>
            </w:pPr>
            <w:r w:rsidRPr="00E233D1">
              <w:rPr>
                <w:rFonts w:ascii="Arial" w:hAnsi="Arial" w:cs="Arial"/>
                <w:b/>
                <w:bCs/>
                <w:sz w:val="18"/>
                <w:szCs w:val="18"/>
                <w:lang w:val="el-GR"/>
              </w:rPr>
              <w:t xml:space="preserve">Καθαρό </w:t>
            </w:r>
            <w:proofErr w:type="spellStart"/>
            <w:r w:rsidRPr="00E233D1">
              <w:rPr>
                <w:rFonts w:ascii="Arial" w:hAnsi="Arial" w:cs="Arial"/>
                <w:b/>
                <w:bCs/>
                <w:sz w:val="18"/>
                <w:szCs w:val="18"/>
                <w:lang w:val="el-GR"/>
              </w:rPr>
              <w:t>επιτοκιακό</w:t>
            </w:r>
            <w:proofErr w:type="spellEnd"/>
            <w:r w:rsidRPr="00E233D1">
              <w:rPr>
                <w:rFonts w:ascii="Arial" w:hAnsi="Arial" w:cs="Arial"/>
                <w:b/>
                <w:bCs/>
                <w:sz w:val="18"/>
                <w:szCs w:val="18"/>
                <w:lang w:val="el-GR"/>
              </w:rPr>
              <w:t xml:space="preserve"> περιθώριο (%)</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FB6F54E" w14:textId="77777777" w:rsidR="0056738E" w:rsidRPr="005E52FA" w:rsidRDefault="0056738E" w:rsidP="007C2AEE">
            <w:pPr>
              <w:jc w:val="right"/>
              <w:rPr>
                <w:rFonts w:ascii="Arial" w:hAnsi="Arial" w:cs="Arial"/>
                <w:b/>
                <w:sz w:val="18"/>
                <w:szCs w:val="18"/>
                <w:lang w:val="el-GR"/>
              </w:rPr>
            </w:pPr>
            <w:r>
              <w:rPr>
                <w:rFonts w:ascii="Arial" w:hAnsi="Arial" w:cs="Arial"/>
                <w:b/>
                <w:bCs/>
                <w:sz w:val="18"/>
                <w:szCs w:val="16"/>
              </w:rPr>
              <w:t>3.60%</w:t>
            </w:r>
          </w:p>
        </w:tc>
        <w:tc>
          <w:tcPr>
            <w:tcW w:w="1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8ED81BC" w14:textId="77777777" w:rsidR="0056738E" w:rsidRPr="00C26D10" w:rsidRDefault="0056738E" w:rsidP="007C2AEE">
            <w:pPr>
              <w:jc w:val="right"/>
              <w:rPr>
                <w:rFonts w:ascii="Arial" w:hAnsi="Arial" w:cs="Arial"/>
                <w:sz w:val="18"/>
                <w:szCs w:val="18"/>
                <w:lang w:val="el-GR"/>
              </w:rPr>
            </w:pPr>
            <w:r w:rsidRPr="00E25891">
              <w:rPr>
                <w:rFonts w:ascii="Arial" w:hAnsi="Arial" w:cs="Arial"/>
                <w:sz w:val="18"/>
                <w:szCs w:val="16"/>
              </w:rPr>
              <w:t>3.32%</w:t>
            </w:r>
          </w:p>
        </w:tc>
      </w:tr>
    </w:tbl>
    <w:p w14:paraId="6901EDFB" w14:textId="77777777" w:rsidR="0056738E" w:rsidRPr="001C3AA9" w:rsidRDefault="0056738E" w:rsidP="0056738E">
      <w:pPr>
        <w:shd w:val="clear" w:color="auto" w:fill="FFFFFF"/>
        <w:suppressAutoHyphens/>
        <w:spacing w:after="0" w:line="360" w:lineRule="auto"/>
        <w:ind w:left="851" w:hanging="851"/>
        <w:jc w:val="both"/>
        <w:rPr>
          <w:rFonts w:ascii="Arial" w:hAnsi="Arial" w:cs="Arial"/>
          <w:b/>
          <w:color w:val="FF9900"/>
          <w:lang w:val="el-GR"/>
        </w:rPr>
      </w:pPr>
      <w:r w:rsidRPr="001C3AA9">
        <w:rPr>
          <w:rFonts w:ascii="Arial" w:hAnsi="Arial" w:cs="Arial"/>
          <w:b/>
          <w:color w:val="FF9900"/>
          <w:lang w:val="el-GR"/>
        </w:rPr>
        <w:t xml:space="preserve">2. </w:t>
      </w:r>
      <w:r w:rsidRPr="001C3AA9">
        <w:rPr>
          <w:rFonts w:ascii="Arial" w:hAnsi="Arial" w:cs="Arial"/>
          <w:b/>
          <w:color w:val="FF9900"/>
          <w:lang w:val="el-GR"/>
        </w:rPr>
        <w:tab/>
        <w:t>Δείκτης κόστος προς έσοδα</w:t>
      </w:r>
      <w:r w:rsidRPr="001C3AA9" w:rsidDel="00B87B42">
        <w:rPr>
          <w:rFonts w:ascii="Arial" w:hAnsi="Arial" w:cs="Arial"/>
          <w:b/>
          <w:color w:val="FF9900"/>
          <w:lang w:val="el-GR"/>
        </w:rPr>
        <w:t xml:space="preserve"> </w:t>
      </w:r>
    </w:p>
    <w:p w14:paraId="0A13A1EF" w14:textId="77777777" w:rsidR="0056738E" w:rsidRDefault="0056738E" w:rsidP="0056738E">
      <w:pPr>
        <w:tabs>
          <w:tab w:val="right" w:pos="7560"/>
          <w:tab w:val="right" w:pos="9000"/>
        </w:tabs>
        <w:spacing w:after="120" w:line="240" w:lineRule="auto"/>
        <w:ind w:left="567" w:hanging="567"/>
        <w:jc w:val="both"/>
        <w:rPr>
          <w:rFonts w:ascii="Arial" w:eastAsia="Times New Roman" w:hAnsi="Arial" w:cs="Arial"/>
          <w:sz w:val="18"/>
          <w:szCs w:val="16"/>
          <w:lang w:val="el-GR" w:eastAsia="en-US"/>
        </w:rPr>
      </w:pPr>
      <w:r w:rsidRPr="00A03828">
        <w:rPr>
          <w:rFonts w:ascii="Arial" w:eastAsia="Times New Roman" w:hAnsi="Arial" w:cs="Arial"/>
          <w:sz w:val="18"/>
          <w:szCs w:val="16"/>
          <w:lang w:val="el-GR" w:eastAsia="en-US"/>
        </w:rPr>
        <w:t>2.1.</w:t>
      </w:r>
      <w:r>
        <w:rPr>
          <w:rFonts w:ascii="Arial" w:eastAsia="Times New Roman" w:hAnsi="Arial" w:cs="Arial"/>
          <w:sz w:val="18"/>
          <w:szCs w:val="16"/>
          <w:lang w:val="el-GR" w:eastAsia="en-US"/>
        </w:rPr>
        <w:t xml:space="preserve"> </w:t>
      </w:r>
      <w:r>
        <w:rPr>
          <w:rFonts w:ascii="Arial" w:eastAsia="Times New Roman" w:hAnsi="Arial" w:cs="Arial"/>
          <w:sz w:val="18"/>
          <w:szCs w:val="16"/>
          <w:lang w:val="el-GR" w:eastAsia="en-US"/>
        </w:rPr>
        <w:tab/>
      </w:r>
      <w:r w:rsidRPr="00041815">
        <w:rPr>
          <w:rFonts w:ascii="Arial" w:eastAsia="Times New Roman" w:hAnsi="Arial" w:cs="Arial"/>
          <w:sz w:val="18"/>
          <w:szCs w:val="16"/>
          <w:lang w:val="el-GR" w:eastAsia="en-US"/>
        </w:rPr>
        <w:t>Η συμφιλίωση των επί μέρους παραμέτρων των συνολικών εξόδων που χρησιμοποιούνται στον υπολογισμό του δείκτη</w:t>
      </w:r>
      <w:r>
        <w:rPr>
          <w:rFonts w:ascii="Arial" w:eastAsia="Times New Roman" w:hAnsi="Arial" w:cs="Arial"/>
          <w:sz w:val="18"/>
          <w:szCs w:val="16"/>
          <w:lang w:val="el-GR" w:eastAsia="en-US"/>
        </w:rPr>
        <w:t xml:space="preserve"> </w:t>
      </w:r>
      <w:r w:rsidRPr="00041815">
        <w:rPr>
          <w:rFonts w:ascii="Arial" w:eastAsia="Times New Roman" w:hAnsi="Arial" w:cs="Arial"/>
          <w:sz w:val="18"/>
          <w:szCs w:val="16"/>
          <w:lang w:val="el-GR" w:eastAsia="en-US"/>
        </w:rPr>
        <w:t xml:space="preserve">κόστος προς έσοδα </w:t>
      </w:r>
      <w:r>
        <w:rPr>
          <w:rFonts w:ascii="Arial" w:eastAsia="Times New Roman" w:hAnsi="Arial" w:cs="Arial"/>
          <w:sz w:val="18"/>
          <w:szCs w:val="16"/>
          <w:lang w:val="el-GR" w:eastAsia="en-US"/>
        </w:rPr>
        <w:t>μεταξύ της</w:t>
      </w:r>
      <w:r w:rsidRPr="00041815">
        <w:rPr>
          <w:rFonts w:ascii="Arial" w:eastAsia="Times New Roman" w:hAnsi="Arial" w:cs="Arial"/>
          <w:sz w:val="18"/>
          <w:szCs w:val="16"/>
          <w:lang w:val="el-GR" w:eastAsia="en-US"/>
        </w:rPr>
        <w:t xml:space="preserve"> υποκείμενη</w:t>
      </w:r>
      <w:r>
        <w:rPr>
          <w:rFonts w:ascii="Arial" w:eastAsia="Times New Roman" w:hAnsi="Arial" w:cs="Arial"/>
          <w:sz w:val="18"/>
          <w:szCs w:val="16"/>
          <w:lang w:val="el-GR" w:eastAsia="en-US"/>
        </w:rPr>
        <w:t>ς</w:t>
      </w:r>
      <w:r w:rsidRPr="00041815">
        <w:rPr>
          <w:rFonts w:ascii="Arial" w:eastAsia="Times New Roman" w:hAnsi="Arial" w:cs="Arial"/>
          <w:sz w:val="18"/>
          <w:szCs w:val="16"/>
          <w:lang w:val="el-GR" w:eastAsia="en-US"/>
        </w:rPr>
        <w:t xml:space="preserve"> βάση</w:t>
      </w:r>
      <w:r>
        <w:rPr>
          <w:rFonts w:ascii="Arial" w:eastAsia="Times New Roman" w:hAnsi="Arial" w:cs="Arial"/>
          <w:sz w:val="18"/>
          <w:szCs w:val="16"/>
          <w:lang w:val="el-GR" w:eastAsia="en-US"/>
        </w:rPr>
        <w:t>ς</w:t>
      </w:r>
      <w:r w:rsidRPr="00041815">
        <w:rPr>
          <w:rFonts w:ascii="Arial" w:eastAsia="Times New Roman" w:hAnsi="Arial" w:cs="Arial"/>
          <w:sz w:val="18"/>
          <w:szCs w:val="16"/>
          <w:lang w:val="el-GR" w:eastAsia="en-US"/>
        </w:rPr>
        <w:t xml:space="preserve"> </w:t>
      </w:r>
      <w:r>
        <w:rPr>
          <w:rFonts w:ascii="Arial" w:eastAsia="Times New Roman" w:hAnsi="Arial" w:cs="Arial"/>
          <w:sz w:val="18"/>
          <w:szCs w:val="16"/>
          <w:lang w:val="el-GR" w:eastAsia="en-US"/>
        </w:rPr>
        <w:t>και της</w:t>
      </w:r>
      <w:r w:rsidRPr="00124039">
        <w:rPr>
          <w:rFonts w:ascii="Arial" w:eastAsia="Times New Roman" w:hAnsi="Arial" w:cs="Arial"/>
          <w:sz w:val="18"/>
          <w:szCs w:val="16"/>
          <w:lang w:val="el-GR" w:eastAsia="en-US"/>
        </w:rPr>
        <w:t xml:space="preserve"> απαιτούμενη</w:t>
      </w:r>
      <w:r>
        <w:rPr>
          <w:rFonts w:ascii="Arial" w:eastAsia="Times New Roman" w:hAnsi="Arial" w:cs="Arial"/>
          <w:sz w:val="18"/>
          <w:szCs w:val="16"/>
          <w:lang w:val="el-GR" w:eastAsia="en-US"/>
        </w:rPr>
        <w:t>ς</w:t>
      </w:r>
      <w:r w:rsidRPr="00124039">
        <w:rPr>
          <w:rFonts w:ascii="Arial" w:eastAsia="Times New Roman" w:hAnsi="Arial" w:cs="Arial"/>
          <w:sz w:val="18"/>
          <w:szCs w:val="16"/>
          <w:lang w:val="el-GR" w:eastAsia="en-US"/>
        </w:rPr>
        <w:t xml:space="preserve"> από τη νομοθεσία</w:t>
      </w:r>
      <w:r>
        <w:rPr>
          <w:rFonts w:ascii="Arial" w:eastAsia="Times New Roman" w:hAnsi="Arial" w:cs="Arial"/>
          <w:sz w:val="18"/>
          <w:szCs w:val="16"/>
          <w:lang w:val="el-GR" w:eastAsia="en-US"/>
        </w:rPr>
        <w:t xml:space="preserve"> </w:t>
      </w:r>
      <w:r w:rsidRPr="00124039">
        <w:rPr>
          <w:rFonts w:ascii="Arial" w:eastAsia="Times New Roman" w:hAnsi="Arial" w:cs="Arial"/>
          <w:sz w:val="18"/>
          <w:szCs w:val="16"/>
          <w:lang w:val="el-GR" w:eastAsia="en-US"/>
        </w:rPr>
        <w:t>βάση</w:t>
      </w:r>
      <w:r>
        <w:rPr>
          <w:rFonts w:ascii="Arial" w:eastAsia="Times New Roman" w:hAnsi="Arial" w:cs="Arial"/>
          <w:sz w:val="18"/>
          <w:szCs w:val="16"/>
          <w:lang w:val="el-GR" w:eastAsia="en-US"/>
        </w:rPr>
        <w:t xml:space="preserve">ς </w:t>
      </w:r>
      <w:r w:rsidRPr="00041815">
        <w:rPr>
          <w:rFonts w:ascii="Arial" w:eastAsia="Times New Roman" w:hAnsi="Arial" w:cs="Arial"/>
          <w:sz w:val="18"/>
          <w:szCs w:val="16"/>
          <w:lang w:val="el-GR" w:eastAsia="en-US"/>
        </w:rPr>
        <w:t>παρουσιάζεται πιο κάτω:</w:t>
      </w:r>
    </w:p>
    <w:tbl>
      <w:tblPr>
        <w:tblStyle w:val="TableGrid"/>
        <w:tblW w:w="9067"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36"/>
        <w:gridCol w:w="1414"/>
        <w:gridCol w:w="1417"/>
      </w:tblGrid>
      <w:tr w:rsidR="0056738E" w:rsidRPr="007C2AEE" w14:paraId="7D285EC8" w14:textId="77777777" w:rsidTr="007C2AEE">
        <w:trPr>
          <w:trHeight w:val="227"/>
          <w:jc w:val="center"/>
        </w:trPr>
        <w:tc>
          <w:tcPr>
            <w:tcW w:w="6236" w:type="dxa"/>
            <w:vMerge w:val="restart"/>
            <w:vAlign w:val="center"/>
          </w:tcPr>
          <w:p w14:paraId="2E3808F2" w14:textId="77777777" w:rsidR="0056738E" w:rsidRDefault="0056738E" w:rsidP="007C2AEE">
            <w:pPr>
              <w:tabs>
                <w:tab w:val="left" w:pos="0"/>
                <w:tab w:val="right" w:pos="7560"/>
                <w:tab w:val="right" w:pos="9000"/>
              </w:tabs>
              <w:ind w:left="596" w:hanging="425"/>
              <w:rPr>
                <w:rFonts w:ascii="Verdana" w:hAnsi="Verdana" w:cs="ArialMT"/>
                <w:b/>
                <w:color w:val="000000"/>
                <w:sz w:val="18"/>
                <w:szCs w:val="18"/>
              </w:rPr>
            </w:pPr>
            <w:r w:rsidRPr="00041815">
              <w:rPr>
                <w:rFonts w:ascii="Arial" w:eastAsia="Batang" w:hAnsi="Arial" w:cs="Arial"/>
                <w:b/>
                <w:sz w:val="18"/>
                <w:szCs w:val="18"/>
                <w:lang w:val="el-GR"/>
              </w:rPr>
              <w:t>2.1.</w:t>
            </w:r>
            <w:r>
              <w:rPr>
                <w:rFonts w:ascii="Arial" w:eastAsia="Batang" w:hAnsi="Arial" w:cs="Arial"/>
                <w:b/>
                <w:sz w:val="18"/>
                <w:szCs w:val="18"/>
                <w:lang w:val="el-GR"/>
              </w:rPr>
              <w:t>1</w:t>
            </w:r>
            <w:r w:rsidRPr="00041815">
              <w:rPr>
                <w:rFonts w:ascii="Arial" w:eastAsia="Batang" w:hAnsi="Arial" w:cs="Arial"/>
                <w:b/>
                <w:sz w:val="18"/>
                <w:szCs w:val="18"/>
                <w:lang w:val="el-GR"/>
              </w:rPr>
              <w:t xml:space="preserve">   Συμφιλίωση </w:t>
            </w:r>
            <w:r>
              <w:rPr>
                <w:rFonts w:ascii="Arial" w:eastAsia="Batang" w:hAnsi="Arial" w:cs="Arial"/>
                <w:b/>
                <w:sz w:val="18"/>
                <w:szCs w:val="18"/>
                <w:lang w:val="el-GR"/>
              </w:rPr>
              <w:t>Δ</w:t>
            </w:r>
            <w:r w:rsidRPr="00041815">
              <w:rPr>
                <w:rFonts w:ascii="Arial" w:eastAsia="Batang" w:hAnsi="Arial" w:cs="Arial"/>
                <w:b/>
                <w:sz w:val="18"/>
                <w:szCs w:val="18"/>
                <w:lang w:val="el-GR"/>
              </w:rPr>
              <w:t>απανών προσωπικού</w:t>
            </w:r>
          </w:p>
        </w:tc>
        <w:tc>
          <w:tcPr>
            <w:tcW w:w="2831" w:type="dxa"/>
            <w:gridSpan w:val="2"/>
            <w:shd w:val="clear" w:color="auto" w:fill="auto"/>
            <w:vAlign w:val="center"/>
          </w:tcPr>
          <w:p w14:paraId="36BBEB74" w14:textId="77777777" w:rsidR="0056738E" w:rsidRDefault="0056738E" w:rsidP="007C2AEE">
            <w:pPr>
              <w:ind w:left="-31" w:right="-65"/>
              <w:jc w:val="center"/>
              <w:rPr>
                <w:rFonts w:ascii="Arial" w:hAnsi="Arial" w:cs="Arial"/>
                <w:b/>
                <w:bCs/>
                <w:sz w:val="18"/>
                <w:szCs w:val="18"/>
                <w:lang w:val="el-GR"/>
              </w:rPr>
            </w:pPr>
            <w:r>
              <w:rPr>
                <w:rFonts w:ascii="Arial" w:hAnsi="Arial" w:cs="Arial"/>
                <w:b/>
                <w:bCs/>
                <w:sz w:val="18"/>
                <w:szCs w:val="18"/>
                <w:lang w:val="el-GR"/>
              </w:rPr>
              <w:t>Εννεάμηνο</w:t>
            </w:r>
            <w:r w:rsidRPr="000221F4">
              <w:rPr>
                <w:rFonts w:ascii="Arial" w:hAnsi="Arial" w:cs="Arial"/>
                <w:b/>
                <w:bCs/>
                <w:sz w:val="18"/>
                <w:szCs w:val="18"/>
                <w:lang w:val="el-GR"/>
              </w:rPr>
              <w:t xml:space="preserve"> </w:t>
            </w:r>
            <w:r w:rsidRPr="00C42B7D">
              <w:rPr>
                <w:rFonts w:ascii="Arial" w:hAnsi="Arial" w:cs="Arial"/>
                <w:b/>
                <w:bCs/>
                <w:sz w:val="18"/>
                <w:szCs w:val="18"/>
                <w:lang w:val="el-GR"/>
              </w:rPr>
              <w:t xml:space="preserve">που έληξε στις </w:t>
            </w:r>
          </w:p>
          <w:p w14:paraId="62449C2D" w14:textId="77777777" w:rsidR="0056738E" w:rsidRPr="00DE707F" w:rsidRDefault="0056738E" w:rsidP="007C2AEE">
            <w:pPr>
              <w:tabs>
                <w:tab w:val="left" w:pos="0"/>
                <w:tab w:val="right" w:pos="7560"/>
                <w:tab w:val="right" w:pos="9000"/>
              </w:tabs>
              <w:jc w:val="center"/>
              <w:rPr>
                <w:rFonts w:ascii="Verdana" w:hAnsi="Verdana" w:cs="Arial"/>
                <w:b/>
                <w:bCs/>
                <w:sz w:val="18"/>
                <w:szCs w:val="18"/>
                <w:lang w:val="el-GR"/>
              </w:rPr>
            </w:pPr>
            <w:r w:rsidRPr="00331BC0">
              <w:rPr>
                <w:rFonts w:ascii="Arial" w:hAnsi="Arial" w:cs="Arial"/>
                <w:b/>
                <w:sz w:val="18"/>
                <w:szCs w:val="18"/>
                <w:lang w:val="el-GR"/>
              </w:rPr>
              <w:t>30 Σεπτεμβρίου</w:t>
            </w:r>
          </w:p>
        </w:tc>
      </w:tr>
      <w:tr w:rsidR="0056738E" w:rsidRPr="00462DE5" w14:paraId="3EF45BC5" w14:textId="77777777" w:rsidTr="007C2AEE">
        <w:trPr>
          <w:trHeight w:val="227"/>
          <w:jc w:val="center"/>
        </w:trPr>
        <w:tc>
          <w:tcPr>
            <w:tcW w:w="6236" w:type="dxa"/>
            <w:vMerge/>
            <w:vAlign w:val="center"/>
          </w:tcPr>
          <w:p w14:paraId="10C92934" w14:textId="77777777" w:rsidR="0056738E" w:rsidRPr="00C6696F" w:rsidRDefault="0056738E" w:rsidP="007C2AEE">
            <w:pPr>
              <w:tabs>
                <w:tab w:val="right" w:pos="7560"/>
                <w:tab w:val="right" w:pos="9000"/>
              </w:tabs>
              <w:ind w:left="164"/>
              <w:rPr>
                <w:rFonts w:ascii="Verdana" w:hAnsi="Verdana" w:cs="Arial"/>
                <w:sz w:val="18"/>
                <w:szCs w:val="18"/>
                <w:u w:val="single"/>
                <w:lang w:val="el-GR"/>
              </w:rPr>
            </w:pPr>
          </w:p>
        </w:tc>
        <w:tc>
          <w:tcPr>
            <w:tcW w:w="1414" w:type="dxa"/>
            <w:shd w:val="clear" w:color="auto" w:fill="auto"/>
            <w:vAlign w:val="center"/>
          </w:tcPr>
          <w:p w14:paraId="103E5DD3" w14:textId="77777777" w:rsidR="0056738E" w:rsidRPr="001023F6" w:rsidRDefault="0056738E" w:rsidP="007C2AEE">
            <w:pPr>
              <w:tabs>
                <w:tab w:val="left" w:pos="0"/>
                <w:tab w:val="right" w:pos="7560"/>
                <w:tab w:val="right" w:pos="9000"/>
              </w:tabs>
              <w:jc w:val="center"/>
              <w:rPr>
                <w:rFonts w:ascii="Arial" w:hAnsi="Arial" w:cs="Arial"/>
                <w:b/>
                <w:sz w:val="18"/>
                <w:szCs w:val="18"/>
                <w:lang w:val="el-GR"/>
              </w:rPr>
            </w:pPr>
            <w:r w:rsidRPr="00041815">
              <w:rPr>
                <w:rFonts w:ascii="Arial" w:hAnsi="Arial" w:cs="Arial"/>
                <w:b/>
                <w:sz w:val="18"/>
                <w:szCs w:val="18"/>
                <w:lang w:val="en-GB"/>
              </w:rPr>
              <w:t>202</w:t>
            </w:r>
            <w:r>
              <w:rPr>
                <w:rFonts w:ascii="Arial" w:hAnsi="Arial" w:cs="Arial"/>
                <w:b/>
                <w:sz w:val="18"/>
                <w:szCs w:val="18"/>
                <w:lang w:val="el-GR"/>
              </w:rPr>
              <w:t>4</w:t>
            </w:r>
          </w:p>
        </w:tc>
        <w:tc>
          <w:tcPr>
            <w:tcW w:w="1417" w:type="dxa"/>
            <w:vAlign w:val="center"/>
          </w:tcPr>
          <w:p w14:paraId="43A22864" w14:textId="77777777" w:rsidR="0056738E" w:rsidRPr="00041815" w:rsidRDefault="0056738E" w:rsidP="007C2AEE">
            <w:pPr>
              <w:tabs>
                <w:tab w:val="left" w:pos="0"/>
                <w:tab w:val="right" w:pos="7560"/>
                <w:tab w:val="right" w:pos="9000"/>
              </w:tabs>
              <w:jc w:val="center"/>
              <w:rPr>
                <w:rFonts w:ascii="Arial" w:hAnsi="Arial" w:cs="Arial"/>
                <w:sz w:val="18"/>
                <w:szCs w:val="18"/>
              </w:rPr>
            </w:pPr>
            <w:r w:rsidRPr="00041815">
              <w:rPr>
                <w:rFonts w:ascii="Arial" w:hAnsi="Arial" w:cs="Arial"/>
                <w:sz w:val="18"/>
                <w:szCs w:val="18"/>
                <w:lang w:val="en-GB"/>
              </w:rPr>
              <w:t>20</w:t>
            </w:r>
            <w:r w:rsidRPr="00041815">
              <w:rPr>
                <w:rFonts w:ascii="Arial" w:hAnsi="Arial" w:cs="Arial"/>
                <w:sz w:val="18"/>
                <w:szCs w:val="18"/>
              </w:rPr>
              <w:t>2</w:t>
            </w:r>
            <w:r>
              <w:rPr>
                <w:rFonts w:ascii="Arial" w:hAnsi="Arial" w:cs="Arial"/>
                <w:sz w:val="18"/>
                <w:szCs w:val="18"/>
                <w:lang w:val="el-GR"/>
              </w:rPr>
              <w:t>3</w:t>
            </w:r>
          </w:p>
        </w:tc>
      </w:tr>
      <w:tr w:rsidR="0056738E" w:rsidRPr="00462DE5" w14:paraId="667D90FE" w14:textId="77777777" w:rsidTr="007C2AEE">
        <w:trPr>
          <w:trHeight w:val="227"/>
          <w:jc w:val="center"/>
        </w:trPr>
        <w:tc>
          <w:tcPr>
            <w:tcW w:w="6236" w:type="dxa"/>
            <w:vMerge/>
            <w:vAlign w:val="center"/>
          </w:tcPr>
          <w:p w14:paraId="3F716D6F" w14:textId="77777777" w:rsidR="0056738E" w:rsidRPr="00462DE5" w:rsidRDefault="0056738E" w:rsidP="0056738E">
            <w:pPr>
              <w:pStyle w:val="ListParagraph"/>
              <w:numPr>
                <w:ilvl w:val="2"/>
                <w:numId w:val="22"/>
              </w:numPr>
              <w:tabs>
                <w:tab w:val="left" w:pos="0"/>
                <w:tab w:val="right" w:pos="7560"/>
                <w:tab w:val="right" w:pos="9000"/>
              </w:tabs>
              <w:ind w:left="1506"/>
              <w:rPr>
                <w:rFonts w:ascii="Verdana" w:hAnsi="Verdana" w:cs="ArialMT"/>
                <w:b/>
                <w:color w:val="000000"/>
                <w:sz w:val="18"/>
                <w:szCs w:val="18"/>
                <w:lang w:val="el-GR"/>
              </w:rPr>
            </w:pPr>
          </w:p>
        </w:tc>
        <w:tc>
          <w:tcPr>
            <w:tcW w:w="1414" w:type="dxa"/>
            <w:tcBorders>
              <w:bottom w:val="single" w:sz="4" w:space="0" w:color="D9D9D9" w:themeColor="background1" w:themeShade="D9"/>
            </w:tcBorders>
            <w:shd w:val="clear" w:color="auto" w:fill="auto"/>
            <w:vAlign w:val="center"/>
          </w:tcPr>
          <w:p w14:paraId="7D7FFF22" w14:textId="77777777" w:rsidR="0056738E" w:rsidRPr="00041815" w:rsidRDefault="0056738E" w:rsidP="007C2AEE">
            <w:pPr>
              <w:tabs>
                <w:tab w:val="left" w:pos="0"/>
                <w:tab w:val="right" w:pos="7560"/>
                <w:tab w:val="right" w:pos="9000"/>
              </w:tabs>
              <w:jc w:val="center"/>
              <w:rPr>
                <w:rFonts w:ascii="Arial" w:hAnsi="Arial" w:cs="Arial"/>
                <w:b/>
                <w:sz w:val="18"/>
                <w:szCs w:val="18"/>
              </w:rPr>
            </w:pPr>
            <w:r w:rsidRPr="00041815">
              <w:rPr>
                <w:rFonts w:ascii="Arial" w:hAnsi="Arial" w:cs="Arial"/>
                <w:b/>
                <w:sz w:val="18"/>
                <w:szCs w:val="18"/>
                <w:lang w:val="en-GB"/>
              </w:rPr>
              <w:t>€000</w:t>
            </w:r>
          </w:p>
        </w:tc>
        <w:tc>
          <w:tcPr>
            <w:tcW w:w="1417" w:type="dxa"/>
            <w:tcBorders>
              <w:bottom w:val="single" w:sz="4" w:space="0" w:color="D9D9D9" w:themeColor="background1" w:themeShade="D9"/>
            </w:tcBorders>
            <w:vAlign w:val="center"/>
          </w:tcPr>
          <w:p w14:paraId="326BA3F4" w14:textId="77777777" w:rsidR="0056738E" w:rsidRPr="00462DE5" w:rsidRDefault="0056738E" w:rsidP="007C2AEE">
            <w:pPr>
              <w:jc w:val="center"/>
              <w:rPr>
                <w:rFonts w:ascii="Verdana" w:hAnsi="Verdana" w:cs="Arial"/>
                <w:sz w:val="18"/>
                <w:szCs w:val="18"/>
                <w:lang w:val="el-GR"/>
              </w:rPr>
            </w:pPr>
            <w:r w:rsidRPr="00041815">
              <w:rPr>
                <w:rFonts w:ascii="Arial" w:eastAsia="Batang" w:hAnsi="Arial" w:cs="Arial"/>
                <w:sz w:val="18"/>
                <w:szCs w:val="18"/>
                <w:lang w:val="en-GB"/>
              </w:rPr>
              <w:t>€000</w:t>
            </w:r>
          </w:p>
        </w:tc>
      </w:tr>
      <w:tr w:rsidR="0056738E" w:rsidRPr="005B5182" w14:paraId="1B876BCF" w14:textId="77777777" w:rsidTr="007C2AEE">
        <w:trPr>
          <w:trHeight w:val="227"/>
          <w:jc w:val="center"/>
        </w:trPr>
        <w:tc>
          <w:tcPr>
            <w:tcW w:w="6236" w:type="dxa"/>
            <w:vAlign w:val="center"/>
          </w:tcPr>
          <w:p w14:paraId="7A3059CE" w14:textId="77777777" w:rsidR="0056738E" w:rsidRPr="00041815" w:rsidRDefault="0056738E" w:rsidP="007C2AEE">
            <w:pPr>
              <w:tabs>
                <w:tab w:val="left" w:pos="0"/>
                <w:tab w:val="right" w:pos="7560"/>
                <w:tab w:val="right" w:pos="9000"/>
              </w:tabs>
              <w:jc w:val="both"/>
              <w:rPr>
                <w:rFonts w:ascii="Arial" w:eastAsia="Batang" w:hAnsi="Arial" w:cs="Arial"/>
                <w:sz w:val="18"/>
                <w:szCs w:val="18"/>
                <w:lang w:val="el-GR"/>
              </w:rPr>
            </w:pPr>
            <w:r>
              <w:rPr>
                <w:rFonts w:ascii="Arial" w:eastAsia="Batang" w:hAnsi="Arial" w:cs="Arial"/>
                <w:sz w:val="18"/>
                <w:szCs w:val="18"/>
                <w:lang w:val="el-GR"/>
              </w:rPr>
              <w:t>Δ</w:t>
            </w:r>
            <w:r w:rsidRPr="00041815">
              <w:rPr>
                <w:rFonts w:ascii="Arial" w:eastAsia="Batang" w:hAnsi="Arial" w:cs="Arial"/>
                <w:sz w:val="18"/>
                <w:szCs w:val="18"/>
                <w:lang w:val="el-GR"/>
              </w:rPr>
              <w:t>απάνες προσωπικού στην υποκείμενη βάση</w:t>
            </w:r>
            <w:r>
              <w:rPr>
                <w:rFonts w:ascii="Arial" w:eastAsia="Batang" w:hAnsi="Arial" w:cs="Arial"/>
                <w:sz w:val="18"/>
                <w:szCs w:val="18"/>
                <w:lang w:val="el-GR"/>
              </w:rPr>
              <w:t>/</w:t>
            </w:r>
            <w:r w:rsidRPr="00527619">
              <w:rPr>
                <w:rFonts w:ascii="Arial" w:hAnsi="Arial" w:cs="Arial"/>
                <w:sz w:val="18"/>
                <w:szCs w:val="18"/>
                <w:lang w:val="el-GR"/>
              </w:rPr>
              <w:t>στην απαιτούμενη από τη νομοθεσία βάση</w:t>
            </w:r>
          </w:p>
        </w:tc>
        <w:tc>
          <w:tcPr>
            <w:tcW w:w="1414" w:type="dxa"/>
            <w:shd w:val="clear" w:color="auto" w:fill="auto"/>
            <w:vAlign w:val="center"/>
          </w:tcPr>
          <w:p w14:paraId="2BF22581" w14:textId="77777777" w:rsidR="0056738E" w:rsidRPr="00462DE5" w:rsidRDefault="0056738E" w:rsidP="007C2AEE">
            <w:pPr>
              <w:tabs>
                <w:tab w:val="left" w:pos="0"/>
                <w:tab w:val="right" w:pos="7560"/>
                <w:tab w:val="right" w:pos="9000"/>
              </w:tabs>
              <w:jc w:val="right"/>
              <w:rPr>
                <w:rFonts w:ascii="Verdana" w:hAnsi="Verdana" w:cs="Arial"/>
                <w:b/>
                <w:bCs/>
                <w:sz w:val="18"/>
                <w:szCs w:val="18"/>
                <w:lang w:val="el-GR"/>
              </w:rPr>
            </w:pPr>
            <w:r>
              <w:rPr>
                <w:rFonts w:ascii="Arial" w:hAnsi="Arial" w:cs="Arial"/>
                <w:b/>
                <w:bCs/>
                <w:sz w:val="18"/>
                <w:szCs w:val="18"/>
                <w:lang w:val="en-GB"/>
              </w:rPr>
              <w:t>151,069</w:t>
            </w:r>
          </w:p>
        </w:tc>
        <w:tc>
          <w:tcPr>
            <w:tcW w:w="1417" w:type="dxa"/>
            <w:shd w:val="clear" w:color="auto" w:fill="auto"/>
            <w:vAlign w:val="center"/>
          </w:tcPr>
          <w:p w14:paraId="03958E79" w14:textId="77777777" w:rsidR="0056738E" w:rsidRPr="006E2F52" w:rsidRDefault="0056738E" w:rsidP="007C2AEE">
            <w:pPr>
              <w:tabs>
                <w:tab w:val="left" w:pos="0"/>
                <w:tab w:val="right" w:pos="7560"/>
                <w:tab w:val="right" w:pos="9000"/>
              </w:tabs>
              <w:jc w:val="right"/>
              <w:rPr>
                <w:rFonts w:ascii="Verdana" w:hAnsi="Verdana" w:cs="Arial"/>
                <w:sz w:val="18"/>
                <w:szCs w:val="18"/>
                <w:lang w:val="el-GR"/>
              </w:rPr>
            </w:pPr>
            <w:r w:rsidRPr="001131ED">
              <w:rPr>
                <w:rFonts w:ascii="Arial" w:hAnsi="Arial" w:cs="Arial"/>
                <w:bCs/>
                <w:sz w:val="18"/>
                <w:szCs w:val="18"/>
              </w:rPr>
              <w:t>141,462</w:t>
            </w:r>
          </w:p>
        </w:tc>
      </w:tr>
      <w:tr w:rsidR="0056738E" w:rsidRPr="00E0028A" w14:paraId="44A0E22A" w14:textId="77777777" w:rsidTr="007C2AEE">
        <w:trPr>
          <w:trHeight w:val="255"/>
          <w:jc w:val="center"/>
        </w:trPr>
        <w:tc>
          <w:tcPr>
            <w:tcW w:w="6236" w:type="dxa"/>
            <w:tcBorders>
              <w:left w:val="nil"/>
              <w:bottom w:val="nil"/>
              <w:right w:val="nil"/>
            </w:tcBorders>
            <w:vAlign w:val="center"/>
          </w:tcPr>
          <w:p w14:paraId="353FB25A" w14:textId="77777777" w:rsidR="0056738E" w:rsidRPr="00462DE5" w:rsidRDefault="0056738E" w:rsidP="007C2AEE">
            <w:pPr>
              <w:tabs>
                <w:tab w:val="left" w:pos="0"/>
                <w:tab w:val="right" w:pos="7560"/>
                <w:tab w:val="right" w:pos="9000"/>
              </w:tabs>
              <w:jc w:val="both"/>
              <w:rPr>
                <w:rFonts w:ascii="Verdana" w:hAnsi="Verdana" w:cs="Arial"/>
                <w:bCs/>
                <w:sz w:val="18"/>
                <w:szCs w:val="18"/>
                <w:lang w:val="el-GR"/>
              </w:rPr>
            </w:pPr>
          </w:p>
        </w:tc>
        <w:tc>
          <w:tcPr>
            <w:tcW w:w="1414" w:type="dxa"/>
            <w:tcBorders>
              <w:top w:val="double" w:sz="6" w:space="0" w:color="000000" w:themeColor="text1"/>
              <w:left w:val="nil"/>
              <w:bottom w:val="nil"/>
              <w:right w:val="nil"/>
            </w:tcBorders>
            <w:shd w:val="clear" w:color="auto" w:fill="auto"/>
            <w:vAlign w:val="center"/>
          </w:tcPr>
          <w:p w14:paraId="67A9EB7A" w14:textId="77777777" w:rsidR="0056738E" w:rsidRPr="00462DE5" w:rsidRDefault="0056738E" w:rsidP="007C2AEE">
            <w:pPr>
              <w:tabs>
                <w:tab w:val="left" w:pos="0"/>
                <w:tab w:val="right" w:pos="7560"/>
                <w:tab w:val="right" w:pos="9000"/>
              </w:tabs>
              <w:jc w:val="right"/>
              <w:rPr>
                <w:rFonts w:ascii="Verdana" w:hAnsi="Verdana" w:cs="Arial"/>
                <w:b/>
                <w:bCs/>
                <w:sz w:val="18"/>
                <w:szCs w:val="18"/>
                <w:lang w:val="el-GR"/>
              </w:rPr>
            </w:pPr>
          </w:p>
        </w:tc>
        <w:tc>
          <w:tcPr>
            <w:tcW w:w="1417" w:type="dxa"/>
            <w:tcBorders>
              <w:top w:val="double" w:sz="6" w:space="0" w:color="000000" w:themeColor="text1"/>
              <w:left w:val="nil"/>
              <w:bottom w:val="nil"/>
              <w:right w:val="nil"/>
            </w:tcBorders>
            <w:shd w:val="clear" w:color="auto" w:fill="auto"/>
            <w:vAlign w:val="center"/>
          </w:tcPr>
          <w:p w14:paraId="7CBB9DC7" w14:textId="77777777" w:rsidR="0056738E" w:rsidRDefault="0056738E" w:rsidP="007C2AEE">
            <w:pPr>
              <w:tabs>
                <w:tab w:val="left" w:pos="0"/>
                <w:tab w:val="right" w:pos="7560"/>
                <w:tab w:val="right" w:pos="9000"/>
              </w:tabs>
              <w:jc w:val="right"/>
              <w:rPr>
                <w:rFonts w:ascii="Verdana" w:hAnsi="Verdana" w:cs="Arial"/>
                <w:sz w:val="18"/>
                <w:szCs w:val="18"/>
                <w:lang w:val="el-GR"/>
              </w:rPr>
            </w:pPr>
          </w:p>
        </w:tc>
      </w:tr>
      <w:tr w:rsidR="0056738E" w:rsidRPr="007C2AEE" w14:paraId="454839F7" w14:textId="77777777" w:rsidTr="007C2AEE">
        <w:trPr>
          <w:trHeight w:val="227"/>
          <w:jc w:val="center"/>
        </w:trPr>
        <w:tc>
          <w:tcPr>
            <w:tcW w:w="6236" w:type="dxa"/>
            <w:vMerge w:val="restart"/>
            <w:vAlign w:val="center"/>
          </w:tcPr>
          <w:p w14:paraId="6B113D4C" w14:textId="77777777" w:rsidR="0056738E" w:rsidRDefault="0056738E" w:rsidP="007C2AEE">
            <w:pPr>
              <w:tabs>
                <w:tab w:val="left" w:pos="0"/>
                <w:tab w:val="right" w:pos="7560"/>
                <w:tab w:val="right" w:pos="9000"/>
              </w:tabs>
              <w:ind w:left="596" w:hanging="425"/>
              <w:rPr>
                <w:rFonts w:ascii="Verdana" w:hAnsi="Verdana" w:cs="ArialMT"/>
                <w:b/>
                <w:color w:val="000000"/>
                <w:sz w:val="18"/>
                <w:szCs w:val="18"/>
              </w:rPr>
            </w:pPr>
            <w:r w:rsidRPr="00041815">
              <w:rPr>
                <w:rFonts w:ascii="Arial" w:eastAsia="Batang" w:hAnsi="Arial" w:cs="Arial"/>
                <w:b/>
                <w:sz w:val="18"/>
                <w:szCs w:val="18"/>
                <w:lang w:val="el-GR"/>
              </w:rPr>
              <w:t>2.1.2   Συμφιλίωση Άλλων λειτουργικών εξόδων</w:t>
            </w:r>
          </w:p>
        </w:tc>
        <w:tc>
          <w:tcPr>
            <w:tcW w:w="2831" w:type="dxa"/>
            <w:gridSpan w:val="2"/>
            <w:tcBorders>
              <w:top w:val="single" w:sz="4" w:space="0" w:color="D9D9D9" w:themeColor="background1" w:themeShade="D9"/>
              <w:bottom w:val="single" w:sz="4" w:space="0" w:color="D9D9D9" w:themeColor="background1" w:themeShade="D9"/>
            </w:tcBorders>
            <w:shd w:val="clear" w:color="auto" w:fill="auto"/>
            <w:vAlign w:val="center"/>
          </w:tcPr>
          <w:p w14:paraId="0F6976DC" w14:textId="77777777" w:rsidR="0056738E" w:rsidRDefault="0056738E" w:rsidP="007C2AEE">
            <w:pPr>
              <w:ind w:left="-31" w:right="-65"/>
              <w:jc w:val="center"/>
              <w:rPr>
                <w:rFonts w:ascii="Arial" w:hAnsi="Arial" w:cs="Arial"/>
                <w:b/>
                <w:bCs/>
                <w:sz w:val="18"/>
                <w:szCs w:val="18"/>
                <w:lang w:val="el-GR"/>
              </w:rPr>
            </w:pPr>
            <w:r>
              <w:rPr>
                <w:rFonts w:ascii="Arial" w:hAnsi="Arial" w:cs="Arial"/>
                <w:b/>
                <w:bCs/>
                <w:sz w:val="18"/>
                <w:szCs w:val="18"/>
                <w:lang w:val="el-GR"/>
              </w:rPr>
              <w:t>Εννεάμηνο</w:t>
            </w:r>
            <w:r w:rsidRPr="000221F4">
              <w:rPr>
                <w:rFonts w:ascii="Arial" w:hAnsi="Arial" w:cs="Arial"/>
                <w:b/>
                <w:bCs/>
                <w:sz w:val="18"/>
                <w:szCs w:val="18"/>
                <w:lang w:val="el-GR"/>
              </w:rPr>
              <w:t xml:space="preserve"> </w:t>
            </w:r>
            <w:r w:rsidRPr="00C42B7D">
              <w:rPr>
                <w:rFonts w:ascii="Arial" w:hAnsi="Arial" w:cs="Arial"/>
                <w:b/>
                <w:bCs/>
                <w:sz w:val="18"/>
                <w:szCs w:val="18"/>
                <w:lang w:val="el-GR"/>
              </w:rPr>
              <w:t xml:space="preserve">που έληξε στις </w:t>
            </w:r>
          </w:p>
          <w:p w14:paraId="5C019F46" w14:textId="77777777" w:rsidR="0056738E" w:rsidRPr="00462DE5" w:rsidRDefault="0056738E" w:rsidP="007C2AEE">
            <w:pPr>
              <w:tabs>
                <w:tab w:val="left" w:pos="0"/>
                <w:tab w:val="right" w:pos="7560"/>
                <w:tab w:val="right" w:pos="9000"/>
              </w:tabs>
              <w:jc w:val="center"/>
              <w:rPr>
                <w:rFonts w:ascii="Verdana" w:hAnsi="Verdana" w:cs="Arial"/>
                <w:sz w:val="18"/>
                <w:szCs w:val="18"/>
                <w:lang w:val="el-GR"/>
              </w:rPr>
            </w:pPr>
            <w:r w:rsidRPr="00331BC0">
              <w:rPr>
                <w:rFonts w:ascii="Arial" w:hAnsi="Arial" w:cs="Arial"/>
                <w:b/>
                <w:sz w:val="18"/>
                <w:szCs w:val="18"/>
                <w:lang w:val="el-GR"/>
              </w:rPr>
              <w:t>30 Σεπτεμβρίου</w:t>
            </w:r>
          </w:p>
        </w:tc>
      </w:tr>
      <w:tr w:rsidR="0056738E" w:rsidRPr="007B0D7A" w14:paraId="09A7611E" w14:textId="77777777" w:rsidTr="007C2AEE">
        <w:trPr>
          <w:trHeight w:val="227"/>
          <w:jc w:val="center"/>
        </w:trPr>
        <w:tc>
          <w:tcPr>
            <w:tcW w:w="6236" w:type="dxa"/>
            <w:vMerge/>
            <w:vAlign w:val="center"/>
          </w:tcPr>
          <w:p w14:paraId="7EE48408" w14:textId="77777777" w:rsidR="0056738E" w:rsidRPr="00C6696F" w:rsidRDefault="0056738E" w:rsidP="007C2AEE">
            <w:pPr>
              <w:tabs>
                <w:tab w:val="left" w:pos="0"/>
                <w:tab w:val="right" w:pos="7560"/>
                <w:tab w:val="right" w:pos="9000"/>
              </w:tabs>
              <w:ind w:left="306"/>
              <w:rPr>
                <w:rFonts w:ascii="Verdana" w:hAnsi="Verdana" w:cs="Arial"/>
                <w:sz w:val="18"/>
                <w:szCs w:val="18"/>
                <w:lang w:val="el-GR"/>
              </w:rPr>
            </w:pPr>
          </w:p>
        </w:tc>
        <w:tc>
          <w:tcPr>
            <w:tcW w:w="1414" w:type="dxa"/>
            <w:tcBorders>
              <w:top w:val="single" w:sz="4" w:space="0" w:color="D9D9D9" w:themeColor="background1" w:themeShade="D9"/>
              <w:bottom w:val="single" w:sz="4" w:space="0" w:color="D9D9D9" w:themeColor="background1" w:themeShade="D9"/>
            </w:tcBorders>
            <w:shd w:val="clear" w:color="auto" w:fill="auto"/>
            <w:vAlign w:val="center"/>
          </w:tcPr>
          <w:p w14:paraId="1FAA15CD" w14:textId="77777777" w:rsidR="0056738E" w:rsidRPr="001023F6" w:rsidRDefault="0056738E" w:rsidP="007C2AEE">
            <w:pPr>
              <w:tabs>
                <w:tab w:val="left" w:pos="0"/>
                <w:tab w:val="right" w:pos="7560"/>
                <w:tab w:val="right" w:pos="9000"/>
              </w:tabs>
              <w:jc w:val="center"/>
              <w:rPr>
                <w:rFonts w:ascii="Arial" w:hAnsi="Arial" w:cs="Arial"/>
                <w:b/>
                <w:sz w:val="18"/>
                <w:szCs w:val="18"/>
                <w:lang w:val="el-GR"/>
              </w:rPr>
            </w:pPr>
            <w:r w:rsidRPr="00041815">
              <w:rPr>
                <w:rFonts w:ascii="Arial" w:hAnsi="Arial" w:cs="Arial"/>
                <w:b/>
                <w:sz w:val="18"/>
                <w:szCs w:val="18"/>
                <w:lang w:val="en-GB"/>
              </w:rPr>
              <w:t>202</w:t>
            </w:r>
            <w:r>
              <w:rPr>
                <w:rFonts w:ascii="Arial" w:hAnsi="Arial" w:cs="Arial"/>
                <w:b/>
                <w:sz w:val="18"/>
                <w:szCs w:val="18"/>
                <w:lang w:val="el-GR"/>
              </w:rPr>
              <w:t>4</w:t>
            </w:r>
          </w:p>
        </w:tc>
        <w:tc>
          <w:tcPr>
            <w:tcW w:w="1417" w:type="dxa"/>
            <w:tcBorders>
              <w:top w:val="single" w:sz="4" w:space="0" w:color="D9D9D9" w:themeColor="background1" w:themeShade="D9"/>
              <w:bottom w:val="single" w:sz="4" w:space="0" w:color="D9D9D9" w:themeColor="background1" w:themeShade="D9"/>
            </w:tcBorders>
            <w:vAlign w:val="center"/>
          </w:tcPr>
          <w:p w14:paraId="5B132CB7" w14:textId="77777777" w:rsidR="0056738E" w:rsidRPr="00041815" w:rsidRDefault="0056738E" w:rsidP="007C2AEE">
            <w:pPr>
              <w:tabs>
                <w:tab w:val="left" w:pos="0"/>
                <w:tab w:val="right" w:pos="7560"/>
                <w:tab w:val="right" w:pos="9000"/>
              </w:tabs>
              <w:jc w:val="center"/>
              <w:rPr>
                <w:rFonts w:ascii="Arial" w:hAnsi="Arial" w:cs="Arial"/>
                <w:sz w:val="18"/>
                <w:szCs w:val="18"/>
              </w:rPr>
            </w:pPr>
            <w:r w:rsidRPr="00041815">
              <w:rPr>
                <w:rFonts w:ascii="Arial" w:hAnsi="Arial" w:cs="Arial"/>
                <w:sz w:val="18"/>
                <w:szCs w:val="18"/>
                <w:lang w:val="en-GB"/>
              </w:rPr>
              <w:t>20</w:t>
            </w:r>
            <w:r w:rsidRPr="00041815">
              <w:rPr>
                <w:rFonts w:ascii="Arial" w:hAnsi="Arial" w:cs="Arial"/>
                <w:sz w:val="18"/>
                <w:szCs w:val="18"/>
              </w:rPr>
              <w:t>2</w:t>
            </w:r>
            <w:r>
              <w:rPr>
                <w:rFonts w:ascii="Arial" w:hAnsi="Arial" w:cs="Arial"/>
                <w:sz w:val="18"/>
                <w:szCs w:val="18"/>
                <w:lang w:val="el-GR"/>
              </w:rPr>
              <w:t>3</w:t>
            </w:r>
          </w:p>
        </w:tc>
      </w:tr>
      <w:tr w:rsidR="0056738E" w:rsidRPr="007B0D7A" w14:paraId="150A364E" w14:textId="77777777" w:rsidTr="007C2AEE">
        <w:trPr>
          <w:trHeight w:val="227"/>
          <w:jc w:val="center"/>
        </w:trPr>
        <w:tc>
          <w:tcPr>
            <w:tcW w:w="6236" w:type="dxa"/>
            <w:vMerge/>
            <w:tcBorders>
              <w:bottom w:val="single" w:sz="4" w:space="0" w:color="D9D9D9" w:themeColor="background1" w:themeShade="D9"/>
            </w:tcBorders>
            <w:vAlign w:val="center"/>
          </w:tcPr>
          <w:p w14:paraId="7545804E" w14:textId="77777777" w:rsidR="0056738E" w:rsidRPr="00462DE5" w:rsidRDefault="0056738E" w:rsidP="0056738E">
            <w:pPr>
              <w:pStyle w:val="ListParagraph"/>
              <w:numPr>
                <w:ilvl w:val="2"/>
                <w:numId w:val="22"/>
              </w:numPr>
              <w:tabs>
                <w:tab w:val="left" w:pos="0"/>
                <w:tab w:val="right" w:pos="7560"/>
                <w:tab w:val="right" w:pos="9000"/>
              </w:tabs>
              <w:ind w:left="1506"/>
              <w:rPr>
                <w:rFonts w:ascii="Verdana" w:hAnsi="Verdana" w:cs="Arial"/>
                <w:bCs/>
                <w:sz w:val="18"/>
                <w:szCs w:val="18"/>
              </w:rPr>
            </w:pPr>
          </w:p>
        </w:tc>
        <w:tc>
          <w:tcPr>
            <w:tcW w:w="1414" w:type="dxa"/>
            <w:tcBorders>
              <w:top w:val="single" w:sz="4" w:space="0" w:color="D9D9D9" w:themeColor="background1" w:themeShade="D9"/>
              <w:bottom w:val="single" w:sz="4" w:space="0" w:color="D9D9D9" w:themeColor="background1" w:themeShade="D9"/>
            </w:tcBorders>
            <w:shd w:val="clear" w:color="auto" w:fill="auto"/>
            <w:vAlign w:val="center"/>
          </w:tcPr>
          <w:p w14:paraId="06582A53" w14:textId="77777777" w:rsidR="0056738E" w:rsidRPr="00041815" w:rsidRDefault="0056738E" w:rsidP="007C2AEE">
            <w:pPr>
              <w:tabs>
                <w:tab w:val="left" w:pos="0"/>
                <w:tab w:val="right" w:pos="7560"/>
                <w:tab w:val="right" w:pos="9000"/>
              </w:tabs>
              <w:jc w:val="center"/>
              <w:rPr>
                <w:rFonts w:ascii="Arial" w:eastAsia="Batang" w:hAnsi="Arial" w:cs="Arial"/>
                <w:b/>
                <w:bCs/>
                <w:sz w:val="18"/>
                <w:szCs w:val="18"/>
              </w:rPr>
            </w:pPr>
            <w:r w:rsidRPr="00041815">
              <w:rPr>
                <w:rFonts w:ascii="Arial" w:eastAsia="Batang" w:hAnsi="Arial" w:cs="Arial"/>
                <w:b/>
                <w:bCs/>
                <w:sz w:val="18"/>
                <w:szCs w:val="18"/>
                <w:lang w:val="en-GB"/>
              </w:rPr>
              <w:t>€000</w:t>
            </w:r>
          </w:p>
        </w:tc>
        <w:tc>
          <w:tcPr>
            <w:tcW w:w="1417" w:type="dxa"/>
            <w:tcBorders>
              <w:top w:val="single" w:sz="4" w:space="0" w:color="D9D9D9" w:themeColor="background1" w:themeShade="D9"/>
              <w:bottom w:val="single" w:sz="4" w:space="0" w:color="D9D9D9" w:themeColor="background1" w:themeShade="D9"/>
            </w:tcBorders>
            <w:vAlign w:val="center"/>
          </w:tcPr>
          <w:p w14:paraId="7F5C5A89" w14:textId="77777777" w:rsidR="0056738E" w:rsidRPr="00041815" w:rsidRDefault="0056738E" w:rsidP="007C2AEE">
            <w:pPr>
              <w:tabs>
                <w:tab w:val="left" w:pos="0"/>
                <w:tab w:val="right" w:pos="7560"/>
                <w:tab w:val="right" w:pos="9000"/>
              </w:tabs>
              <w:jc w:val="center"/>
              <w:rPr>
                <w:rFonts w:ascii="Arial" w:eastAsia="Batang" w:hAnsi="Arial" w:cs="Arial"/>
                <w:sz w:val="18"/>
                <w:szCs w:val="18"/>
              </w:rPr>
            </w:pPr>
            <w:r w:rsidRPr="00041815">
              <w:rPr>
                <w:rFonts w:ascii="Arial" w:eastAsia="Batang" w:hAnsi="Arial" w:cs="Arial"/>
                <w:sz w:val="18"/>
                <w:szCs w:val="18"/>
                <w:lang w:val="en-GB"/>
              </w:rPr>
              <w:t>€000</w:t>
            </w:r>
          </w:p>
        </w:tc>
      </w:tr>
      <w:tr w:rsidR="0056738E" w:rsidRPr="00E0028A" w14:paraId="4070394F" w14:textId="77777777" w:rsidTr="007C2AEE">
        <w:trPr>
          <w:trHeight w:val="227"/>
          <w:jc w:val="center"/>
        </w:trPr>
        <w:tc>
          <w:tcPr>
            <w:tcW w:w="6236" w:type="dxa"/>
            <w:tcBorders>
              <w:bottom w:val="single" w:sz="4" w:space="0" w:color="D9D9D9" w:themeColor="background1" w:themeShade="D9"/>
              <w:right w:val="single" w:sz="4" w:space="0" w:color="D9D9D9" w:themeColor="background1" w:themeShade="D9"/>
            </w:tcBorders>
            <w:vAlign w:val="center"/>
          </w:tcPr>
          <w:p w14:paraId="43D1FD9E" w14:textId="77777777" w:rsidR="0056738E" w:rsidRPr="00041815" w:rsidRDefault="0056738E" w:rsidP="007C2AEE">
            <w:pPr>
              <w:tabs>
                <w:tab w:val="left" w:pos="0"/>
                <w:tab w:val="right" w:pos="7560"/>
                <w:tab w:val="right" w:pos="9000"/>
              </w:tabs>
              <w:jc w:val="both"/>
              <w:rPr>
                <w:rFonts w:ascii="Arial" w:eastAsia="Batang" w:hAnsi="Arial" w:cs="Arial"/>
                <w:sz w:val="18"/>
                <w:szCs w:val="18"/>
                <w:lang w:val="el-GR"/>
              </w:rPr>
            </w:pPr>
            <w:r w:rsidRPr="00041815">
              <w:rPr>
                <w:rFonts w:ascii="Arial" w:eastAsia="Batang" w:hAnsi="Arial" w:cs="Arial"/>
                <w:sz w:val="18"/>
                <w:szCs w:val="18"/>
                <w:lang w:val="el-GR"/>
              </w:rPr>
              <w:t>Άλλα λειτουργικά έξοδα στην υποκείμενη βάση</w:t>
            </w:r>
          </w:p>
        </w:tc>
        <w:tc>
          <w:tcPr>
            <w:tcW w:w="14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9FB6179" w14:textId="77777777" w:rsidR="0056738E" w:rsidRPr="00192F16" w:rsidRDefault="0056738E" w:rsidP="007C2AEE">
            <w:pPr>
              <w:tabs>
                <w:tab w:val="left" w:pos="0"/>
                <w:tab w:val="right" w:pos="7560"/>
                <w:tab w:val="right" w:pos="9000"/>
              </w:tabs>
              <w:jc w:val="right"/>
              <w:rPr>
                <w:rFonts w:ascii="Verdana" w:hAnsi="Verdana" w:cs="Arial"/>
                <w:b/>
                <w:bCs/>
                <w:sz w:val="18"/>
                <w:szCs w:val="18"/>
                <w:lang w:val="el-GR"/>
              </w:rPr>
            </w:pPr>
            <w:r>
              <w:rPr>
                <w:rFonts w:ascii="Arial" w:hAnsi="Arial" w:cs="Arial"/>
                <w:b/>
                <w:bCs/>
                <w:sz w:val="18"/>
                <w:szCs w:val="18"/>
                <w:lang w:val="en-GB"/>
              </w:rPr>
              <w:t>114,366</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D75F4F" w14:textId="77777777" w:rsidR="0056738E" w:rsidRPr="006E2F52" w:rsidRDefault="0056738E" w:rsidP="007C2AEE">
            <w:pPr>
              <w:tabs>
                <w:tab w:val="left" w:pos="0"/>
                <w:tab w:val="right" w:pos="7560"/>
                <w:tab w:val="right" w:pos="9000"/>
              </w:tabs>
              <w:jc w:val="right"/>
              <w:rPr>
                <w:rFonts w:ascii="Verdana" w:hAnsi="Verdana" w:cs="Arial"/>
                <w:sz w:val="18"/>
                <w:szCs w:val="18"/>
                <w:lang w:val="el-GR"/>
              </w:rPr>
            </w:pPr>
            <w:r w:rsidRPr="001131ED">
              <w:rPr>
                <w:rFonts w:ascii="Arial" w:hAnsi="Arial" w:cs="Arial"/>
                <w:bCs/>
                <w:sz w:val="18"/>
                <w:szCs w:val="18"/>
              </w:rPr>
              <w:t>105,723</w:t>
            </w:r>
          </w:p>
        </w:tc>
      </w:tr>
      <w:tr w:rsidR="0056738E" w:rsidRPr="007B0D7A" w14:paraId="054BAFC7" w14:textId="77777777" w:rsidTr="007C2AEE">
        <w:trPr>
          <w:trHeight w:val="227"/>
          <w:jc w:val="center"/>
        </w:trPr>
        <w:tc>
          <w:tcPr>
            <w:tcW w:w="6236" w:type="dxa"/>
            <w:tcBorders>
              <w:bottom w:val="single" w:sz="4" w:space="0" w:color="D9D9D9" w:themeColor="background1" w:themeShade="D9"/>
              <w:right w:val="single" w:sz="4" w:space="0" w:color="D9D9D9" w:themeColor="background1" w:themeShade="D9"/>
            </w:tcBorders>
            <w:vAlign w:val="center"/>
          </w:tcPr>
          <w:p w14:paraId="2C535CD9" w14:textId="77777777" w:rsidR="0056738E" w:rsidRPr="00041815" w:rsidRDefault="0056738E" w:rsidP="007C2AEE">
            <w:pPr>
              <w:tabs>
                <w:tab w:val="left" w:pos="0"/>
                <w:tab w:val="right" w:pos="7560"/>
                <w:tab w:val="right" w:pos="9000"/>
              </w:tabs>
              <w:jc w:val="both"/>
              <w:rPr>
                <w:rFonts w:ascii="Arial" w:eastAsia="Batang" w:hAnsi="Arial" w:cs="Arial"/>
                <w:i/>
                <w:iCs/>
                <w:sz w:val="18"/>
                <w:szCs w:val="18"/>
                <w:lang w:val="el-GR"/>
              </w:rPr>
            </w:pPr>
            <w:proofErr w:type="spellStart"/>
            <w:r w:rsidRPr="00041815">
              <w:rPr>
                <w:rFonts w:ascii="Arial" w:eastAsia="Batang" w:hAnsi="Arial" w:cs="Arial"/>
                <w:i/>
                <w:iCs/>
                <w:sz w:val="18"/>
                <w:szCs w:val="18"/>
                <w:lang w:val="el-GR"/>
              </w:rPr>
              <w:t>Επανακατηγοριοποιήσεις</w:t>
            </w:r>
            <w:proofErr w:type="spellEnd"/>
            <w:r w:rsidRPr="00041815">
              <w:rPr>
                <w:rFonts w:ascii="Arial" w:eastAsia="Batang" w:hAnsi="Arial" w:cs="Arial"/>
                <w:i/>
                <w:iCs/>
                <w:sz w:val="18"/>
                <w:szCs w:val="18"/>
                <w:lang w:val="el-GR"/>
              </w:rPr>
              <w:t xml:space="preserve"> για:</w:t>
            </w:r>
          </w:p>
        </w:tc>
        <w:tc>
          <w:tcPr>
            <w:tcW w:w="14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51DBFCF" w14:textId="77777777" w:rsidR="0056738E" w:rsidRPr="00462DE5" w:rsidRDefault="0056738E" w:rsidP="007C2AEE">
            <w:pPr>
              <w:tabs>
                <w:tab w:val="left" w:pos="0"/>
                <w:tab w:val="right" w:pos="7560"/>
                <w:tab w:val="right" w:pos="9000"/>
              </w:tabs>
              <w:jc w:val="right"/>
              <w:rPr>
                <w:rFonts w:ascii="Verdana" w:hAnsi="Verdana" w:cs="Arial"/>
                <w:b/>
                <w:bCs/>
                <w:sz w:val="18"/>
                <w:szCs w:val="18"/>
              </w:rPr>
            </w:pP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542CE9" w14:textId="77777777" w:rsidR="0056738E" w:rsidRPr="00462DE5" w:rsidRDefault="0056738E" w:rsidP="007C2AEE">
            <w:pPr>
              <w:tabs>
                <w:tab w:val="left" w:pos="0"/>
                <w:tab w:val="right" w:pos="7560"/>
                <w:tab w:val="right" w:pos="9000"/>
              </w:tabs>
              <w:jc w:val="right"/>
              <w:rPr>
                <w:rFonts w:ascii="Verdana" w:hAnsi="Verdana" w:cs="Arial"/>
                <w:sz w:val="18"/>
                <w:szCs w:val="18"/>
              </w:rPr>
            </w:pPr>
          </w:p>
        </w:tc>
      </w:tr>
      <w:tr w:rsidR="0056738E" w:rsidRPr="00E0028A" w14:paraId="1502BCA6" w14:textId="77777777" w:rsidTr="007C2AEE">
        <w:trPr>
          <w:trHeight w:val="227"/>
          <w:jc w:val="center"/>
        </w:trPr>
        <w:tc>
          <w:tcPr>
            <w:tcW w:w="6236" w:type="dxa"/>
            <w:tcBorders>
              <w:bottom w:val="single" w:sz="4" w:space="0" w:color="D9D9D9" w:themeColor="background1" w:themeShade="D9"/>
              <w:right w:val="single" w:sz="4" w:space="0" w:color="D9D9D9" w:themeColor="background1" w:themeShade="D9"/>
            </w:tcBorders>
            <w:vAlign w:val="center"/>
          </w:tcPr>
          <w:p w14:paraId="43A3238F" w14:textId="77777777" w:rsidR="0056738E" w:rsidRPr="00041815" w:rsidRDefault="0056738E" w:rsidP="007C2AEE">
            <w:pPr>
              <w:tabs>
                <w:tab w:val="left" w:pos="0"/>
                <w:tab w:val="right" w:pos="7560"/>
                <w:tab w:val="right" w:pos="9000"/>
              </w:tabs>
              <w:jc w:val="both"/>
              <w:rPr>
                <w:rFonts w:ascii="Arial" w:eastAsia="Batang" w:hAnsi="Arial" w:cs="Arial"/>
                <w:sz w:val="18"/>
                <w:szCs w:val="18"/>
                <w:lang w:val="el-GR"/>
              </w:rPr>
            </w:pPr>
            <w:r w:rsidRPr="00041815">
              <w:rPr>
                <w:rFonts w:ascii="Arial" w:eastAsia="Batang" w:hAnsi="Arial" w:cs="Arial"/>
                <w:sz w:val="18"/>
                <w:szCs w:val="18"/>
                <w:lang w:val="el-GR"/>
              </w:rPr>
              <w:t>Έξοδα από συμβουλευτικές υπηρεσίες και άλλα έξοδα μετασχηματισμού - οργανικά, παρουσιάζονται ξεχωριστά στην υποκείμενη βάση</w:t>
            </w:r>
          </w:p>
        </w:tc>
        <w:tc>
          <w:tcPr>
            <w:tcW w:w="1414" w:type="dxa"/>
            <w:tcBorders>
              <w:top w:val="single" w:sz="4" w:space="0" w:color="D9D9D9" w:themeColor="background1" w:themeShade="D9"/>
              <w:left w:val="single" w:sz="4" w:space="0" w:color="D9D9D9" w:themeColor="background1" w:themeShade="D9"/>
              <w:bottom w:val="single" w:sz="6" w:space="0" w:color="auto"/>
              <w:right w:val="single" w:sz="4" w:space="0" w:color="D9D9D9" w:themeColor="background1" w:themeShade="D9"/>
            </w:tcBorders>
            <w:shd w:val="clear" w:color="auto" w:fill="auto"/>
            <w:vAlign w:val="center"/>
          </w:tcPr>
          <w:p w14:paraId="6497FC9D" w14:textId="77777777" w:rsidR="0056738E" w:rsidRPr="00462DE5" w:rsidRDefault="0056738E" w:rsidP="007C2AEE">
            <w:pPr>
              <w:tabs>
                <w:tab w:val="left" w:pos="0"/>
                <w:tab w:val="right" w:pos="7560"/>
                <w:tab w:val="right" w:pos="9000"/>
              </w:tabs>
              <w:jc w:val="right"/>
              <w:rPr>
                <w:rFonts w:ascii="Verdana" w:hAnsi="Verdana" w:cs="Arial"/>
                <w:b/>
                <w:bCs/>
                <w:sz w:val="18"/>
                <w:szCs w:val="18"/>
                <w:lang w:val="el-GR"/>
              </w:rPr>
            </w:pPr>
            <w:r>
              <w:rPr>
                <w:rFonts w:ascii="Arial" w:hAnsi="Arial" w:cs="Arial"/>
                <w:b/>
                <w:bCs/>
                <w:sz w:val="18"/>
                <w:szCs w:val="18"/>
                <w:lang w:val="en-GB"/>
              </w:rPr>
              <w:t>-</w:t>
            </w:r>
          </w:p>
        </w:tc>
        <w:tc>
          <w:tcPr>
            <w:tcW w:w="1417" w:type="dxa"/>
            <w:tcBorders>
              <w:top w:val="single" w:sz="4" w:space="0" w:color="D9D9D9" w:themeColor="background1" w:themeShade="D9"/>
              <w:left w:val="single" w:sz="4" w:space="0" w:color="D9D9D9" w:themeColor="background1" w:themeShade="D9"/>
              <w:bottom w:val="single" w:sz="6" w:space="0" w:color="auto"/>
              <w:right w:val="single" w:sz="4" w:space="0" w:color="D9D9D9" w:themeColor="background1" w:themeShade="D9"/>
            </w:tcBorders>
            <w:shd w:val="clear" w:color="auto" w:fill="auto"/>
            <w:vAlign w:val="center"/>
          </w:tcPr>
          <w:p w14:paraId="35C300CE" w14:textId="77777777" w:rsidR="0056738E" w:rsidRPr="006E2F52" w:rsidRDefault="0056738E" w:rsidP="007C2AEE">
            <w:pPr>
              <w:tabs>
                <w:tab w:val="left" w:pos="0"/>
                <w:tab w:val="right" w:pos="7560"/>
                <w:tab w:val="right" w:pos="9000"/>
              </w:tabs>
              <w:jc w:val="right"/>
              <w:rPr>
                <w:rFonts w:ascii="Verdana" w:hAnsi="Verdana" w:cs="Arial"/>
                <w:sz w:val="18"/>
                <w:szCs w:val="18"/>
                <w:lang w:val="el-GR"/>
              </w:rPr>
            </w:pPr>
            <w:r w:rsidRPr="001131ED">
              <w:rPr>
                <w:rFonts w:ascii="Arial" w:hAnsi="Arial" w:cs="Arial"/>
                <w:bCs/>
                <w:sz w:val="18"/>
                <w:szCs w:val="18"/>
              </w:rPr>
              <w:t>2,250</w:t>
            </w:r>
          </w:p>
        </w:tc>
      </w:tr>
      <w:tr w:rsidR="0056738E" w:rsidRPr="00E0028A" w14:paraId="6347457E" w14:textId="77777777" w:rsidTr="007C2AEE">
        <w:trPr>
          <w:trHeight w:val="227"/>
          <w:jc w:val="center"/>
        </w:trPr>
        <w:tc>
          <w:tcPr>
            <w:tcW w:w="6236" w:type="dxa"/>
            <w:tcBorders>
              <w:bottom w:val="single" w:sz="4" w:space="0" w:color="D9D9D9" w:themeColor="background1" w:themeShade="D9"/>
              <w:right w:val="single" w:sz="4" w:space="0" w:color="D9D9D9" w:themeColor="background1" w:themeShade="D9"/>
            </w:tcBorders>
            <w:vAlign w:val="center"/>
          </w:tcPr>
          <w:p w14:paraId="250BEFAB" w14:textId="77777777" w:rsidR="0056738E" w:rsidRPr="00041815" w:rsidRDefault="0056738E" w:rsidP="007C2AEE">
            <w:pPr>
              <w:tabs>
                <w:tab w:val="left" w:pos="0"/>
                <w:tab w:val="right" w:pos="7560"/>
                <w:tab w:val="right" w:pos="9000"/>
              </w:tabs>
              <w:jc w:val="both"/>
              <w:rPr>
                <w:rFonts w:ascii="Arial" w:eastAsia="Batang" w:hAnsi="Arial" w:cs="Arial"/>
                <w:sz w:val="18"/>
                <w:szCs w:val="18"/>
                <w:lang w:val="el-GR"/>
              </w:rPr>
            </w:pPr>
            <w:r w:rsidRPr="00041815">
              <w:rPr>
                <w:rFonts w:ascii="Arial" w:eastAsia="Batang" w:hAnsi="Arial" w:cs="Arial"/>
                <w:sz w:val="18"/>
                <w:szCs w:val="18"/>
                <w:lang w:val="el-GR"/>
              </w:rPr>
              <w:t xml:space="preserve">Άλλα λειτουργικά έξοδα </w:t>
            </w:r>
            <w:r w:rsidRPr="00527619">
              <w:rPr>
                <w:rFonts w:ascii="Arial" w:eastAsia="Batang" w:hAnsi="Arial" w:cs="Arial"/>
                <w:sz w:val="18"/>
                <w:szCs w:val="18"/>
                <w:lang w:val="el-GR"/>
              </w:rPr>
              <w:t>στην απαιτούμενη από τη νομοθεσία βάση</w:t>
            </w:r>
            <w:r w:rsidRPr="00527619" w:rsidDel="00527619">
              <w:rPr>
                <w:rFonts w:ascii="Arial" w:eastAsia="Batang" w:hAnsi="Arial" w:cs="Arial"/>
                <w:sz w:val="18"/>
                <w:szCs w:val="18"/>
                <w:lang w:val="el-GR"/>
              </w:rPr>
              <w:t xml:space="preserve"> </w:t>
            </w:r>
          </w:p>
        </w:tc>
        <w:tc>
          <w:tcPr>
            <w:tcW w:w="1414" w:type="dxa"/>
            <w:tcBorders>
              <w:top w:val="single" w:sz="6" w:space="0" w:color="auto"/>
              <w:left w:val="single" w:sz="4" w:space="0" w:color="D9D9D9" w:themeColor="background1" w:themeShade="D9"/>
              <w:bottom w:val="double" w:sz="6" w:space="0" w:color="auto"/>
              <w:right w:val="single" w:sz="4" w:space="0" w:color="D9D9D9" w:themeColor="background1" w:themeShade="D9"/>
            </w:tcBorders>
            <w:shd w:val="clear" w:color="auto" w:fill="auto"/>
            <w:vAlign w:val="center"/>
          </w:tcPr>
          <w:p w14:paraId="55F631E9" w14:textId="77777777" w:rsidR="0056738E" w:rsidRPr="00462DE5" w:rsidRDefault="0056738E" w:rsidP="007C2AEE">
            <w:pPr>
              <w:tabs>
                <w:tab w:val="left" w:pos="0"/>
                <w:tab w:val="right" w:pos="7560"/>
                <w:tab w:val="right" w:pos="9000"/>
              </w:tabs>
              <w:jc w:val="right"/>
              <w:rPr>
                <w:rFonts w:ascii="Verdana" w:hAnsi="Verdana" w:cs="Arial"/>
                <w:b/>
                <w:bCs/>
                <w:sz w:val="18"/>
                <w:szCs w:val="18"/>
                <w:lang w:val="el-GR"/>
              </w:rPr>
            </w:pPr>
            <w:r>
              <w:rPr>
                <w:rFonts w:ascii="Arial" w:hAnsi="Arial" w:cs="Arial"/>
                <w:b/>
                <w:bCs/>
                <w:sz w:val="18"/>
                <w:szCs w:val="18"/>
              </w:rPr>
              <w:t>114,366</w:t>
            </w:r>
          </w:p>
        </w:tc>
        <w:tc>
          <w:tcPr>
            <w:tcW w:w="1417" w:type="dxa"/>
            <w:tcBorders>
              <w:top w:val="single" w:sz="6" w:space="0" w:color="auto"/>
              <w:left w:val="single" w:sz="4" w:space="0" w:color="D9D9D9" w:themeColor="background1" w:themeShade="D9"/>
              <w:bottom w:val="double" w:sz="6" w:space="0" w:color="auto"/>
              <w:right w:val="single" w:sz="4" w:space="0" w:color="D9D9D9" w:themeColor="background1" w:themeShade="D9"/>
            </w:tcBorders>
            <w:shd w:val="clear" w:color="auto" w:fill="auto"/>
            <w:vAlign w:val="center"/>
          </w:tcPr>
          <w:p w14:paraId="60E599B9" w14:textId="77777777" w:rsidR="0056738E" w:rsidRPr="006E2F52" w:rsidRDefault="0056738E" w:rsidP="007C2AEE">
            <w:pPr>
              <w:tabs>
                <w:tab w:val="left" w:pos="0"/>
                <w:tab w:val="right" w:pos="7560"/>
                <w:tab w:val="right" w:pos="9000"/>
              </w:tabs>
              <w:jc w:val="right"/>
              <w:rPr>
                <w:rFonts w:ascii="Verdana" w:hAnsi="Verdana" w:cs="Arial"/>
                <w:sz w:val="18"/>
                <w:szCs w:val="18"/>
                <w:lang w:val="el-GR"/>
              </w:rPr>
            </w:pPr>
            <w:r w:rsidRPr="001131ED">
              <w:rPr>
                <w:rFonts w:ascii="Arial" w:hAnsi="Arial" w:cs="Arial"/>
                <w:bCs/>
                <w:sz w:val="18"/>
                <w:szCs w:val="18"/>
              </w:rPr>
              <w:t>107,973</w:t>
            </w:r>
          </w:p>
        </w:tc>
      </w:tr>
    </w:tbl>
    <w:p w14:paraId="4041D335" w14:textId="77777777" w:rsidR="0056738E" w:rsidRPr="001C3AA9" w:rsidRDefault="0056738E" w:rsidP="0056738E">
      <w:pPr>
        <w:shd w:val="clear" w:color="auto" w:fill="FFFFFF"/>
        <w:suppressAutoHyphens/>
        <w:spacing w:after="0" w:line="240" w:lineRule="auto"/>
        <w:ind w:left="851" w:hanging="851"/>
        <w:jc w:val="both"/>
        <w:rPr>
          <w:rFonts w:ascii="Arial" w:hAnsi="Arial" w:cs="Arial"/>
          <w:b/>
          <w:color w:val="FF9900"/>
          <w:lang w:val="el-GR"/>
        </w:rPr>
      </w:pPr>
    </w:p>
    <w:tbl>
      <w:tblPr>
        <w:tblStyle w:val="TableGrid18"/>
        <w:tblW w:w="9091"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232"/>
        <w:gridCol w:w="1418"/>
        <w:gridCol w:w="1441"/>
      </w:tblGrid>
      <w:tr w:rsidR="0056738E" w:rsidRPr="007C2AEE" w14:paraId="70C98E58" w14:textId="77777777" w:rsidTr="007C2AEE">
        <w:trPr>
          <w:trHeight w:val="227"/>
          <w:jc w:val="center"/>
        </w:trPr>
        <w:tc>
          <w:tcPr>
            <w:tcW w:w="6232" w:type="dxa"/>
            <w:vMerge w:val="restart"/>
            <w:tcBorders>
              <w:left w:val="single" w:sz="4" w:space="0" w:color="D9D9D9"/>
              <w:right w:val="single" w:sz="4" w:space="0" w:color="D9D9D9"/>
            </w:tcBorders>
            <w:vAlign w:val="center"/>
          </w:tcPr>
          <w:p w14:paraId="38506954" w14:textId="77777777" w:rsidR="0056738E" w:rsidRPr="004B0F15" w:rsidRDefault="0056738E" w:rsidP="007C2AEE">
            <w:pPr>
              <w:ind w:left="164"/>
              <w:rPr>
                <w:rFonts w:ascii="Arial" w:hAnsi="Arial" w:cs="Arial"/>
                <w:b/>
                <w:sz w:val="18"/>
                <w:szCs w:val="18"/>
                <w:lang w:val="el-GR"/>
              </w:rPr>
            </w:pPr>
            <w:r w:rsidRPr="004B0F15">
              <w:rPr>
                <w:rFonts w:ascii="Arial" w:hAnsi="Arial" w:cs="Arial"/>
                <w:b/>
                <w:sz w:val="18"/>
                <w:szCs w:val="18"/>
                <w:lang w:val="el-GR"/>
              </w:rPr>
              <w:t>2.1.3   Συνολικά Έξοδα στην υποκείμενη βάση</w:t>
            </w:r>
          </w:p>
        </w:tc>
        <w:tc>
          <w:tcPr>
            <w:tcW w:w="2859" w:type="dxa"/>
            <w:gridSpan w:val="2"/>
            <w:tcBorders>
              <w:top w:val="single" w:sz="4" w:space="0" w:color="D9D9D9"/>
              <w:left w:val="single" w:sz="4" w:space="0" w:color="D9D9D9"/>
              <w:bottom w:val="single" w:sz="4" w:space="0" w:color="D9D9D9"/>
              <w:right w:val="single" w:sz="4" w:space="0" w:color="D9D9D9"/>
            </w:tcBorders>
            <w:vAlign w:val="center"/>
          </w:tcPr>
          <w:p w14:paraId="7FE58385" w14:textId="77777777" w:rsidR="0056738E" w:rsidRDefault="0056738E" w:rsidP="007C2AEE">
            <w:pPr>
              <w:ind w:left="-31" w:right="-65"/>
              <w:jc w:val="center"/>
              <w:rPr>
                <w:rFonts w:ascii="Arial" w:hAnsi="Arial" w:cs="Arial"/>
                <w:b/>
                <w:bCs/>
                <w:sz w:val="18"/>
                <w:szCs w:val="18"/>
                <w:lang w:val="el-GR"/>
              </w:rPr>
            </w:pPr>
            <w:r>
              <w:rPr>
                <w:rFonts w:ascii="Arial" w:hAnsi="Arial" w:cs="Arial"/>
                <w:b/>
                <w:bCs/>
                <w:sz w:val="18"/>
                <w:szCs w:val="18"/>
                <w:lang w:val="el-GR"/>
              </w:rPr>
              <w:t>Εννεάμηνο</w:t>
            </w:r>
            <w:r w:rsidRPr="000221F4">
              <w:rPr>
                <w:rFonts w:ascii="Arial" w:hAnsi="Arial" w:cs="Arial"/>
                <w:b/>
                <w:bCs/>
                <w:sz w:val="18"/>
                <w:szCs w:val="18"/>
                <w:lang w:val="el-GR"/>
              </w:rPr>
              <w:t xml:space="preserve"> </w:t>
            </w:r>
            <w:r w:rsidRPr="00C42B7D">
              <w:rPr>
                <w:rFonts w:ascii="Arial" w:hAnsi="Arial" w:cs="Arial"/>
                <w:b/>
                <w:bCs/>
                <w:sz w:val="18"/>
                <w:szCs w:val="18"/>
                <w:lang w:val="el-GR"/>
              </w:rPr>
              <w:t xml:space="preserve">που έληξε στις </w:t>
            </w:r>
          </w:p>
          <w:p w14:paraId="22F37483" w14:textId="77777777" w:rsidR="0056738E" w:rsidRPr="004B0F15" w:rsidRDefault="0056738E" w:rsidP="007C2AEE">
            <w:pPr>
              <w:tabs>
                <w:tab w:val="left" w:pos="0"/>
                <w:tab w:val="right" w:pos="7560"/>
                <w:tab w:val="right" w:pos="9000"/>
              </w:tabs>
              <w:jc w:val="center"/>
              <w:rPr>
                <w:rFonts w:ascii="Arial" w:hAnsi="Arial" w:cs="Arial"/>
                <w:sz w:val="18"/>
                <w:szCs w:val="18"/>
                <w:lang w:val="el-GR"/>
              </w:rPr>
            </w:pPr>
            <w:r w:rsidRPr="00331BC0">
              <w:rPr>
                <w:rFonts w:ascii="Arial" w:hAnsi="Arial" w:cs="Arial"/>
                <w:b/>
                <w:sz w:val="18"/>
                <w:szCs w:val="18"/>
                <w:lang w:val="el-GR"/>
              </w:rPr>
              <w:t>30 Σεπτεμβρίου</w:t>
            </w:r>
          </w:p>
        </w:tc>
      </w:tr>
      <w:tr w:rsidR="0056738E" w:rsidRPr="004B0F15" w14:paraId="3E249D06" w14:textId="77777777" w:rsidTr="007C2AEE">
        <w:trPr>
          <w:trHeight w:val="227"/>
          <w:jc w:val="center"/>
        </w:trPr>
        <w:tc>
          <w:tcPr>
            <w:tcW w:w="6232" w:type="dxa"/>
            <w:vMerge/>
            <w:tcBorders>
              <w:left w:val="single" w:sz="4" w:space="0" w:color="D9D9D9"/>
              <w:right w:val="single" w:sz="4" w:space="0" w:color="D9D9D9"/>
            </w:tcBorders>
            <w:vAlign w:val="center"/>
            <w:hideMark/>
          </w:tcPr>
          <w:p w14:paraId="7F66AE1E" w14:textId="77777777" w:rsidR="0056738E" w:rsidRPr="004B0F15" w:rsidRDefault="0056738E" w:rsidP="007C2AEE">
            <w:pPr>
              <w:ind w:left="164"/>
              <w:rPr>
                <w:rFonts w:ascii="Arial" w:hAnsi="Arial" w:cs="Arial"/>
                <w:b/>
                <w:sz w:val="18"/>
                <w:szCs w:val="18"/>
                <w:lang w:val="el-GR"/>
              </w:rPr>
            </w:pPr>
          </w:p>
        </w:tc>
        <w:tc>
          <w:tcPr>
            <w:tcW w:w="1418" w:type="dxa"/>
            <w:tcBorders>
              <w:top w:val="single" w:sz="4" w:space="0" w:color="D9D9D9"/>
              <w:left w:val="single" w:sz="4" w:space="0" w:color="D9D9D9"/>
              <w:bottom w:val="single" w:sz="4" w:space="0" w:color="D9D9D9"/>
              <w:right w:val="single" w:sz="4" w:space="0" w:color="D9D9D9"/>
            </w:tcBorders>
            <w:vAlign w:val="center"/>
            <w:hideMark/>
          </w:tcPr>
          <w:p w14:paraId="2132A152" w14:textId="77777777" w:rsidR="0056738E" w:rsidRPr="004B0F15" w:rsidRDefault="0056738E" w:rsidP="007C2AEE">
            <w:pPr>
              <w:jc w:val="center"/>
              <w:rPr>
                <w:rFonts w:ascii="Arial" w:hAnsi="Arial" w:cs="Arial"/>
                <w:b/>
                <w:iCs/>
                <w:spacing w:val="-4"/>
                <w:sz w:val="18"/>
                <w:szCs w:val="18"/>
                <w:lang w:val="el-GR"/>
              </w:rPr>
            </w:pPr>
            <w:r w:rsidRPr="004B0F15">
              <w:rPr>
                <w:rFonts w:ascii="Arial" w:hAnsi="Arial" w:cs="Arial"/>
                <w:b/>
                <w:sz w:val="18"/>
                <w:szCs w:val="18"/>
              </w:rPr>
              <w:t>202</w:t>
            </w:r>
            <w:r>
              <w:rPr>
                <w:rFonts w:ascii="Arial" w:hAnsi="Arial" w:cs="Arial"/>
                <w:b/>
                <w:sz w:val="18"/>
                <w:szCs w:val="18"/>
                <w:lang w:val="el-GR"/>
              </w:rPr>
              <w:t>4</w:t>
            </w:r>
          </w:p>
        </w:tc>
        <w:tc>
          <w:tcPr>
            <w:tcW w:w="1441" w:type="dxa"/>
            <w:tcBorders>
              <w:top w:val="single" w:sz="4" w:space="0" w:color="D9D9D9"/>
              <w:left w:val="single" w:sz="4" w:space="0" w:color="D9D9D9"/>
              <w:bottom w:val="single" w:sz="4" w:space="0" w:color="D9D9D9"/>
              <w:right w:val="single" w:sz="4" w:space="0" w:color="D9D9D9"/>
            </w:tcBorders>
            <w:vAlign w:val="center"/>
            <w:hideMark/>
          </w:tcPr>
          <w:p w14:paraId="2E639A56" w14:textId="77777777" w:rsidR="0056738E" w:rsidRPr="004B0F15" w:rsidRDefault="0056738E" w:rsidP="007C2AEE">
            <w:pPr>
              <w:tabs>
                <w:tab w:val="left" w:pos="0"/>
                <w:tab w:val="right" w:pos="7560"/>
                <w:tab w:val="right" w:pos="9000"/>
              </w:tabs>
              <w:jc w:val="center"/>
              <w:rPr>
                <w:rFonts w:ascii="Arial" w:hAnsi="Arial" w:cs="Arial"/>
                <w:iCs/>
                <w:spacing w:val="-4"/>
                <w:sz w:val="18"/>
                <w:szCs w:val="18"/>
                <w:highlight w:val="yellow"/>
                <w:lang w:val="el-GR"/>
              </w:rPr>
            </w:pPr>
            <w:r w:rsidRPr="004B0F15">
              <w:rPr>
                <w:rFonts w:ascii="Arial" w:hAnsi="Arial" w:cs="Arial"/>
                <w:sz w:val="18"/>
                <w:szCs w:val="18"/>
              </w:rPr>
              <w:t>202</w:t>
            </w:r>
            <w:r>
              <w:rPr>
                <w:rFonts w:ascii="Arial" w:hAnsi="Arial" w:cs="Arial"/>
                <w:sz w:val="18"/>
                <w:szCs w:val="18"/>
                <w:lang w:val="el-GR"/>
              </w:rPr>
              <w:t>3</w:t>
            </w:r>
          </w:p>
        </w:tc>
      </w:tr>
      <w:tr w:rsidR="0056738E" w:rsidRPr="004B0F15" w14:paraId="466DF1FD" w14:textId="77777777" w:rsidTr="007C2AEE">
        <w:trPr>
          <w:trHeight w:val="227"/>
          <w:jc w:val="center"/>
        </w:trPr>
        <w:tc>
          <w:tcPr>
            <w:tcW w:w="6232" w:type="dxa"/>
            <w:vMerge/>
            <w:tcBorders>
              <w:left w:val="single" w:sz="4" w:space="0" w:color="D9D9D9"/>
              <w:bottom w:val="single" w:sz="4" w:space="0" w:color="D9D9D9"/>
              <w:right w:val="single" w:sz="4" w:space="0" w:color="D9D9D9"/>
            </w:tcBorders>
            <w:vAlign w:val="center"/>
            <w:hideMark/>
          </w:tcPr>
          <w:p w14:paraId="1DA8C978" w14:textId="77777777" w:rsidR="0056738E" w:rsidRPr="004B0F15" w:rsidRDefault="0056738E" w:rsidP="007C2AEE">
            <w:pPr>
              <w:rPr>
                <w:rFonts w:ascii="Arial" w:hAnsi="Arial" w:cs="Arial"/>
                <w:b/>
                <w:sz w:val="18"/>
                <w:szCs w:val="18"/>
              </w:rPr>
            </w:pPr>
          </w:p>
        </w:tc>
        <w:tc>
          <w:tcPr>
            <w:tcW w:w="1418" w:type="dxa"/>
            <w:tcBorders>
              <w:top w:val="single" w:sz="4" w:space="0" w:color="D9D9D9"/>
              <w:left w:val="single" w:sz="4" w:space="0" w:color="D9D9D9"/>
              <w:bottom w:val="single" w:sz="4" w:space="0" w:color="D9D9D9"/>
              <w:right w:val="single" w:sz="4" w:space="0" w:color="D9D9D9"/>
            </w:tcBorders>
            <w:vAlign w:val="center"/>
            <w:hideMark/>
          </w:tcPr>
          <w:p w14:paraId="6F45D5B6" w14:textId="77777777" w:rsidR="0056738E" w:rsidRPr="004B0F15" w:rsidRDefault="0056738E" w:rsidP="007C2AEE">
            <w:pPr>
              <w:jc w:val="center"/>
              <w:rPr>
                <w:rFonts w:ascii="Arial" w:hAnsi="Arial" w:cs="Arial"/>
                <w:b/>
                <w:iCs/>
                <w:spacing w:val="-4"/>
                <w:sz w:val="18"/>
                <w:szCs w:val="18"/>
              </w:rPr>
            </w:pPr>
            <w:r w:rsidRPr="004B0F15">
              <w:rPr>
                <w:rFonts w:ascii="Arial" w:hAnsi="Arial" w:cs="Arial"/>
                <w:b/>
                <w:sz w:val="18"/>
                <w:szCs w:val="18"/>
              </w:rPr>
              <w:t>€000</w:t>
            </w:r>
          </w:p>
        </w:tc>
        <w:tc>
          <w:tcPr>
            <w:tcW w:w="1441" w:type="dxa"/>
            <w:tcBorders>
              <w:top w:val="single" w:sz="4" w:space="0" w:color="D9D9D9"/>
              <w:left w:val="single" w:sz="4" w:space="0" w:color="D9D9D9"/>
              <w:bottom w:val="single" w:sz="4" w:space="0" w:color="D9D9D9"/>
              <w:right w:val="single" w:sz="4" w:space="0" w:color="D9D9D9"/>
            </w:tcBorders>
            <w:vAlign w:val="center"/>
            <w:hideMark/>
          </w:tcPr>
          <w:p w14:paraId="65248E24" w14:textId="77777777" w:rsidR="0056738E" w:rsidRPr="004B0F15" w:rsidRDefault="0056738E" w:rsidP="007C2AEE">
            <w:pPr>
              <w:jc w:val="center"/>
              <w:rPr>
                <w:rFonts w:ascii="Arial" w:hAnsi="Arial" w:cs="Arial"/>
                <w:iCs/>
                <w:spacing w:val="-4"/>
                <w:sz w:val="18"/>
                <w:szCs w:val="18"/>
                <w:highlight w:val="yellow"/>
              </w:rPr>
            </w:pPr>
            <w:r w:rsidRPr="004B0F15">
              <w:rPr>
                <w:rFonts w:ascii="Arial" w:hAnsi="Arial" w:cs="Arial"/>
                <w:sz w:val="18"/>
                <w:szCs w:val="18"/>
              </w:rPr>
              <w:t>€000</w:t>
            </w:r>
          </w:p>
        </w:tc>
      </w:tr>
      <w:tr w:rsidR="0056738E" w:rsidRPr="00E0028A" w14:paraId="775031B9" w14:textId="77777777" w:rsidTr="007C2AEE">
        <w:trPr>
          <w:trHeight w:val="227"/>
          <w:jc w:val="center"/>
        </w:trPr>
        <w:tc>
          <w:tcPr>
            <w:tcW w:w="6232" w:type="dxa"/>
            <w:tcBorders>
              <w:top w:val="single" w:sz="4" w:space="0" w:color="D9D9D9"/>
              <w:left w:val="single" w:sz="4" w:space="0" w:color="D9D9D9"/>
              <w:bottom w:val="single" w:sz="4" w:space="0" w:color="D9D9D9"/>
              <w:right w:val="single" w:sz="4" w:space="0" w:color="D9D9D9"/>
            </w:tcBorders>
            <w:vAlign w:val="center"/>
            <w:hideMark/>
          </w:tcPr>
          <w:p w14:paraId="02E95ADE" w14:textId="77777777" w:rsidR="0056738E" w:rsidRPr="004B0F15" w:rsidRDefault="0056738E" w:rsidP="007C2AEE">
            <w:pPr>
              <w:tabs>
                <w:tab w:val="left" w:pos="0"/>
                <w:tab w:val="left" w:pos="360"/>
              </w:tabs>
              <w:rPr>
                <w:rFonts w:ascii="Arial" w:hAnsi="Arial" w:cs="Arial"/>
                <w:sz w:val="18"/>
                <w:szCs w:val="18"/>
                <w:lang w:val="el-GR"/>
              </w:rPr>
            </w:pPr>
            <w:r w:rsidRPr="004B0F15">
              <w:rPr>
                <w:rFonts w:ascii="Arial" w:hAnsi="Arial" w:cs="Arial"/>
                <w:sz w:val="18"/>
                <w:szCs w:val="18"/>
                <w:lang w:val="el-GR"/>
              </w:rPr>
              <w:t>Δαπάνες προσωπικού στην υποκείμενη βάση</w:t>
            </w:r>
            <w:r>
              <w:rPr>
                <w:rFonts w:ascii="Arial" w:hAnsi="Arial" w:cs="Arial"/>
                <w:sz w:val="18"/>
                <w:szCs w:val="18"/>
                <w:lang w:val="el-GR"/>
              </w:rPr>
              <w:t>/</w:t>
            </w:r>
            <w:r w:rsidRPr="00527619">
              <w:rPr>
                <w:rFonts w:ascii="Arial" w:hAnsi="Arial" w:cs="Arial"/>
                <w:sz w:val="18"/>
                <w:szCs w:val="18"/>
                <w:lang w:val="el-GR"/>
              </w:rPr>
              <w:t>στην απαιτούμενη από τη νομοθεσία βάση</w:t>
            </w:r>
            <w:r>
              <w:rPr>
                <w:rFonts w:ascii="Arial" w:hAnsi="Arial" w:cs="Arial"/>
                <w:sz w:val="18"/>
                <w:szCs w:val="18"/>
                <w:lang w:val="el-GR"/>
              </w:rPr>
              <w:t xml:space="preserve"> </w:t>
            </w:r>
            <w:r w:rsidRPr="004B0F15">
              <w:rPr>
                <w:rFonts w:ascii="Arial" w:hAnsi="Arial" w:cs="Arial"/>
                <w:sz w:val="18"/>
                <w:szCs w:val="18"/>
                <w:lang w:val="el-GR"/>
              </w:rPr>
              <w:t>(</w:t>
            </w:r>
            <w:r w:rsidRPr="004B0F15">
              <w:rPr>
                <w:rFonts w:ascii="Arial" w:hAnsi="Arial" w:cs="Arial"/>
                <w:i/>
                <w:iCs/>
                <w:sz w:val="18"/>
                <w:szCs w:val="18"/>
                <w:lang w:val="el-GR"/>
              </w:rPr>
              <w:t>ως ο πίνακας 2.1.1 πιο πάνω</w:t>
            </w:r>
            <w:r w:rsidRPr="004B0F15">
              <w:rPr>
                <w:rFonts w:ascii="Arial" w:hAnsi="Arial" w:cs="Arial"/>
                <w:sz w:val="18"/>
                <w:szCs w:val="18"/>
                <w:lang w:val="el-GR"/>
              </w:rPr>
              <w:t>)</w:t>
            </w:r>
          </w:p>
        </w:tc>
        <w:tc>
          <w:tcPr>
            <w:tcW w:w="1418" w:type="dxa"/>
            <w:tcBorders>
              <w:top w:val="single" w:sz="4" w:space="0" w:color="D9D9D9"/>
              <w:left w:val="single" w:sz="4" w:space="0" w:color="D9D9D9"/>
              <w:bottom w:val="single" w:sz="4" w:space="0" w:color="D9D9D9"/>
              <w:right w:val="single" w:sz="4" w:space="0" w:color="D9D9D9"/>
            </w:tcBorders>
            <w:vAlign w:val="center"/>
          </w:tcPr>
          <w:p w14:paraId="4D4FB5F6" w14:textId="77777777" w:rsidR="0056738E" w:rsidRPr="004B0F15" w:rsidRDefault="0056738E" w:rsidP="007C2AEE">
            <w:pPr>
              <w:jc w:val="right"/>
              <w:rPr>
                <w:rFonts w:ascii="Arial" w:hAnsi="Arial" w:cs="Arial"/>
                <w:b/>
                <w:iCs/>
                <w:spacing w:val="-4"/>
                <w:sz w:val="18"/>
                <w:szCs w:val="18"/>
                <w:lang w:val="el-GR"/>
              </w:rPr>
            </w:pPr>
            <w:r>
              <w:rPr>
                <w:rFonts w:ascii="Arial" w:hAnsi="Arial" w:cs="Arial"/>
                <w:b/>
                <w:iCs/>
                <w:spacing w:val="-4"/>
                <w:sz w:val="18"/>
                <w:szCs w:val="18"/>
              </w:rPr>
              <w:t>151,069</w:t>
            </w:r>
          </w:p>
        </w:tc>
        <w:tc>
          <w:tcPr>
            <w:tcW w:w="1441" w:type="dxa"/>
            <w:tcBorders>
              <w:top w:val="single" w:sz="4" w:space="0" w:color="D9D9D9"/>
              <w:left w:val="single" w:sz="4" w:space="0" w:color="D9D9D9"/>
              <w:bottom w:val="single" w:sz="4" w:space="0" w:color="D9D9D9"/>
              <w:right w:val="single" w:sz="4" w:space="0" w:color="D9D9D9"/>
            </w:tcBorders>
            <w:vAlign w:val="center"/>
          </w:tcPr>
          <w:p w14:paraId="06048ADF" w14:textId="77777777" w:rsidR="0056738E" w:rsidRPr="004B0F15" w:rsidRDefault="0056738E" w:rsidP="007C2AEE">
            <w:pPr>
              <w:jc w:val="right"/>
              <w:rPr>
                <w:rFonts w:ascii="Arial" w:hAnsi="Arial" w:cs="Arial"/>
                <w:bCs/>
                <w:iCs/>
                <w:spacing w:val="-4"/>
                <w:sz w:val="18"/>
                <w:szCs w:val="18"/>
                <w:lang w:val="el-GR"/>
              </w:rPr>
            </w:pPr>
            <w:r w:rsidRPr="00E25891">
              <w:rPr>
                <w:rFonts w:ascii="Arial" w:hAnsi="Arial" w:cs="Arial"/>
                <w:bCs/>
                <w:iCs/>
                <w:spacing w:val="-4"/>
                <w:sz w:val="18"/>
                <w:szCs w:val="18"/>
              </w:rPr>
              <w:t>14</w:t>
            </w:r>
            <w:r w:rsidRPr="00E25891">
              <w:rPr>
                <w:rFonts w:ascii="Arial" w:hAnsi="Arial" w:cs="Arial"/>
                <w:bCs/>
                <w:iCs/>
                <w:spacing w:val="-4"/>
                <w:sz w:val="18"/>
                <w:szCs w:val="18"/>
                <w:lang w:val="el-GR"/>
              </w:rPr>
              <w:t>1</w:t>
            </w:r>
            <w:r w:rsidRPr="00E25891">
              <w:rPr>
                <w:rFonts w:ascii="Arial" w:hAnsi="Arial" w:cs="Arial"/>
                <w:bCs/>
                <w:iCs/>
                <w:spacing w:val="-4"/>
                <w:sz w:val="18"/>
                <w:szCs w:val="18"/>
              </w:rPr>
              <w:t>,</w:t>
            </w:r>
            <w:r w:rsidRPr="00E25891">
              <w:rPr>
                <w:rFonts w:ascii="Arial" w:hAnsi="Arial" w:cs="Arial"/>
                <w:bCs/>
                <w:iCs/>
                <w:spacing w:val="-4"/>
                <w:sz w:val="18"/>
                <w:szCs w:val="18"/>
                <w:lang w:val="el-GR"/>
              </w:rPr>
              <w:t>462</w:t>
            </w:r>
          </w:p>
        </w:tc>
      </w:tr>
      <w:tr w:rsidR="0056738E" w:rsidRPr="00E0028A" w14:paraId="2D6BEDF3" w14:textId="77777777" w:rsidTr="007C2AEE">
        <w:trPr>
          <w:trHeight w:val="227"/>
          <w:jc w:val="center"/>
        </w:trPr>
        <w:tc>
          <w:tcPr>
            <w:tcW w:w="6232" w:type="dxa"/>
            <w:tcBorders>
              <w:top w:val="single" w:sz="4" w:space="0" w:color="D9D9D9"/>
              <w:left w:val="single" w:sz="4" w:space="0" w:color="D9D9D9"/>
              <w:bottom w:val="single" w:sz="4" w:space="0" w:color="D9D9D9"/>
              <w:right w:val="single" w:sz="4" w:space="0" w:color="D9D9D9"/>
            </w:tcBorders>
            <w:vAlign w:val="center"/>
            <w:hideMark/>
          </w:tcPr>
          <w:p w14:paraId="5A90868F" w14:textId="77777777" w:rsidR="0056738E" w:rsidRPr="004B0F15" w:rsidRDefault="0056738E" w:rsidP="007C2AEE">
            <w:pPr>
              <w:tabs>
                <w:tab w:val="left" w:pos="0"/>
                <w:tab w:val="left" w:pos="360"/>
              </w:tabs>
              <w:rPr>
                <w:rFonts w:ascii="Arial" w:hAnsi="Arial" w:cs="Arial"/>
                <w:b/>
                <w:sz w:val="18"/>
                <w:szCs w:val="18"/>
                <w:lang w:val="el-GR"/>
              </w:rPr>
            </w:pPr>
            <w:r w:rsidRPr="004B0F15">
              <w:rPr>
                <w:rFonts w:ascii="Arial" w:hAnsi="Arial" w:cs="Arial"/>
                <w:sz w:val="18"/>
                <w:szCs w:val="18"/>
                <w:lang w:val="el-GR"/>
              </w:rPr>
              <w:t>Ειδικός φόρος επί των καταθέσεων και άλλα τέλη/εισφορές στην υποκείμενη βάση/στην απαιτούμενη από τη νομοθεσία βάση</w:t>
            </w:r>
          </w:p>
        </w:tc>
        <w:tc>
          <w:tcPr>
            <w:tcW w:w="1418" w:type="dxa"/>
            <w:tcBorders>
              <w:top w:val="single" w:sz="4" w:space="0" w:color="D9D9D9"/>
              <w:left w:val="single" w:sz="4" w:space="0" w:color="D9D9D9"/>
              <w:bottom w:val="single" w:sz="4" w:space="0" w:color="D9D9D9"/>
              <w:right w:val="single" w:sz="4" w:space="0" w:color="D9D9D9"/>
            </w:tcBorders>
            <w:vAlign w:val="center"/>
          </w:tcPr>
          <w:p w14:paraId="7586FBA1" w14:textId="77777777" w:rsidR="0056738E" w:rsidRPr="004B0F15" w:rsidRDefault="0056738E" w:rsidP="007C2AEE">
            <w:pPr>
              <w:jc w:val="right"/>
              <w:rPr>
                <w:rFonts w:ascii="Arial" w:hAnsi="Arial" w:cs="Arial"/>
                <w:b/>
                <w:iCs/>
                <w:spacing w:val="-4"/>
                <w:sz w:val="18"/>
                <w:szCs w:val="18"/>
                <w:lang w:val="el-GR"/>
              </w:rPr>
            </w:pPr>
            <w:r>
              <w:rPr>
                <w:rFonts w:ascii="Arial" w:hAnsi="Arial" w:cs="Arial"/>
                <w:b/>
                <w:iCs/>
                <w:spacing w:val="-4"/>
                <w:sz w:val="18"/>
                <w:szCs w:val="18"/>
              </w:rPr>
              <w:t>26,219</w:t>
            </w:r>
          </w:p>
        </w:tc>
        <w:tc>
          <w:tcPr>
            <w:tcW w:w="1441" w:type="dxa"/>
            <w:tcBorders>
              <w:top w:val="single" w:sz="4" w:space="0" w:color="D9D9D9"/>
              <w:left w:val="single" w:sz="4" w:space="0" w:color="D9D9D9"/>
              <w:bottom w:val="single" w:sz="4" w:space="0" w:color="D9D9D9"/>
              <w:right w:val="single" w:sz="4" w:space="0" w:color="D9D9D9"/>
            </w:tcBorders>
            <w:vAlign w:val="center"/>
          </w:tcPr>
          <w:p w14:paraId="56704DF7" w14:textId="77777777" w:rsidR="0056738E" w:rsidRPr="004B0F15" w:rsidRDefault="0056738E" w:rsidP="007C2AEE">
            <w:pPr>
              <w:jc w:val="right"/>
              <w:rPr>
                <w:rFonts w:ascii="Arial" w:hAnsi="Arial" w:cs="Arial"/>
                <w:bCs/>
                <w:iCs/>
                <w:spacing w:val="-4"/>
                <w:sz w:val="18"/>
                <w:szCs w:val="18"/>
                <w:lang w:val="el-GR"/>
              </w:rPr>
            </w:pPr>
            <w:r w:rsidRPr="00E25891">
              <w:rPr>
                <w:rFonts w:ascii="Arial" w:hAnsi="Arial" w:cs="Arial"/>
                <w:bCs/>
                <w:iCs/>
                <w:spacing w:val="-4"/>
                <w:sz w:val="18"/>
                <w:szCs w:val="18"/>
              </w:rPr>
              <w:t>29,754</w:t>
            </w:r>
          </w:p>
        </w:tc>
      </w:tr>
      <w:tr w:rsidR="0056738E" w:rsidRPr="00E0028A" w14:paraId="77F9B504" w14:textId="77777777" w:rsidTr="007C2AEE">
        <w:trPr>
          <w:trHeight w:val="227"/>
          <w:jc w:val="center"/>
        </w:trPr>
        <w:tc>
          <w:tcPr>
            <w:tcW w:w="6232" w:type="dxa"/>
            <w:tcBorders>
              <w:top w:val="single" w:sz="4" w:space="0" w:color="D9D9D9"/>
              <w:left w:val="single" w:sz="4" w:space="0" w:color="D9D9D9"/>
              <w:bottom w:val="single" w:sz="4" w:space="0" w:color="D9D9D9"/>
              <w:right w:val="single" w:sz="4" w:space="0" w:color="D9D9D9"/>
            </w:tcBorders>
            <w:vAlign w:val="center"/>
            <w:hideMark/>
          </w:tcPr>
          <w:p w14:paraId="2094485D" w14:textId="77777777" w:rsidR="0056738E" w:rsidRPr="004B0F15" w:rsidRDefault="0056738E" w:rsidP="007C2AEE">
            <w:pPr>
              <w:tabs>
                <w:tab w:val="left" w:pos="0"/>
                <w:tab w:val="left" w:pos="360"/>
              </w:tabs>
              <w:rPr>
                <w:rFonts w:ascii="Arial" w:hAnsi="Arial" w:cs="Arial"/>
                <w:b/>
                <w:sz w:val="18"/>
                <w:szCs w:val="18"/>
                <w:lang w:val="el-GR"/>
              </w:rPr>
            </w:pPr>
            <w:r w:rsidRPr="004B0F15">
              <w:rPr>
                <w:rFonts w:ascii="Arial" w:hAnsi="Arial" w:cs="Arial"/>
                <w:sz w:val="18"/>
                <w:szCs w:val="18"/>
                <w:lang w:val="el-GR"/>
              </w:rPr>
              <w:t>Άλλα λειτουργικά έξοδα στην υποκείμενη βάση (</w:t>
            </w:r>
            <w:r w:rsidRPr="004B0F15">
              <w:rPr>
                <w:rFonts w:ascii="Arial" w:hAnsi="Arial" w:cs="Arial"/>
                <w:i/>
                <w:iCs/>
                <w:sz w:val="18"/>
                <w:szCs w:val="18"/>
                <w:lang w:val="el-GR"/>
              </w:rPr>
              <w:t>ως ο πίνακας 2.1.2 πιο πάνω</w:t>
            </w:r>
            <w:r w:rsidRPr="004B0F15">
              <w:rPr>
                <w:rFonts w:ascii="Arial" w:hAnsi="Arial" w:cs="Arial"/>
                <w:sz w:val="18"/>
                <w:szCs w:val="18"/>
                <w:lang w:val="el-GR"/>
              </w:rPr>
              <w:t>)</w:t>
            </w:r>
          </w:p>
        </w:tc>
        <w:tc>
          <w:tcPr>
            <w:tcW w:w="1418" w:type="dxa"/>
            <w:tcBorders>
              <w:top w:val="single" w:sz="4" w:space="0" w:color="D9D9D9"/>
              <w:left w:val="single" w:sz="4" w:space="0" w:color="D9D9D9"/>
              <w:bottom w:val="single" w:sz="6" w:space="0" w:color="auto"/>
              <w:right w:val="single" w:sz="4" w:space="0" w:color="D9D9D9"/>
            </w:tcBorders>
            <w:vAlign w:val="center"/>
          </w:tcPr>
          <w:p w14:paraId="73A8DD64" w14:textId="77777777" w:rsidR="0056738E" w:rsidRPr="004B0F15" w:rsidRDefault="0056738E" w:rsidP="007C2AEE">
            <w:pPr>
              <w:jc w:val="right"/>
              <w:rPr>
                <w:rFonts w:ascii="Arial" w:hAnsi="Arial" w:cs="Arial"/>
                <w:b/>
                <w:iCs/>
                <w:spacing w:val="-4"/>
                <w:sz w:val="18"/>
                <w:szCs w:val="18"/>
                <w:lang w:val="el-GR"/>
              </w:rPr>
            </w:pPr>
            <w:r>
              <w:rPr>
                <w:rFonts w:ascii="Arial" w:hAnsi="Arial" w:cs="Arial"/>
                <w:b/>
                <w:iCs/>
                <w:spacing w:val="-4"/>
                <w:sz w:val="18"/>
                <w:szCs w:val="18"/>
              </w:rPr>
              <w:t>114,366</w:t>
            </w:r>
          </w:p>
        </w:tc>
        <w:tc>
          <w:tcPr>
            <w:tcW w:w="1441" w:type="dxa"/>
            <w:tcBorders>
              <w:top w:val="single" w:sz="4" w:space="0" w:color="D9D9D9"/>
              <w:left w:val="single" w:sz="4" w:space="0" w:color="D9D9D9"/>
              <w:bottom w:val="single" w:sz="6" w:space="0" w:color="auto"/>
              <w:right w:val="single" w:sz="4" w:space="0" w:color="D9D9D9"/>
            </w:tcBorders>
            <w:vAlign w:val="center"/>
          </w:tcPr>
          <w:p w14:paraId="30423BB7" w14:textId="77777777" w:rsidR="0056738E" w:rsidRPr="004B0F15" w:rsidRDefault="0056738E" w:rsidP="007C2AEE">
            <w:pPr>
              <w:jc w:val="right"/>
              <w:rPr>
                <w:rFonts w:ascii="Arial" w:hAnsi="Arial" w:cs="Arial"/>
                <w:bCs/>
                <w:iCs/>
                <w:spacing w:val="-4"/>
                <w:sz w:val="18"/>
                <w:szCs w:val="18"/>
                <w:lang w:val="el-GR"/>
              </w:rPr>
            </w:pPr>
            <w:r w:rsidRPr="00E25891">
              <w:rPr>
                <w:rFonts w:ascii="Arial" w:hAnsi="Arial" w:cs="Arial"/>
                <w:bCs/>
                <w:iCs/>
                <w:spacing w:val="-4"/>
                <w:sz w:val="18"/>
                <w:szCs w:val="18"/>
              </w:rPr>
              <w:t>10</w:t>
            </w:r>
            <w:r w:rsidRPr="00E25891">
              <w:rPr>
                <w:rFonts w:ascii="Arial" w:hAnsi="Arial" w:cs="Arial"/>
                <w:bCs/>
                <w:iCs/>
                <w:spacing w:val="-4"/>
                <w:sz w:val="18"/>
                <w:szCs w:val="18"/>
                <w:lang w:val="el-GR"/>
              </w:rPr>
              <w:t>5</w:t>
            </w:r>
            <w:r w:rsidRPr="00E25891">
              <w:rPr>
                <w:rFonts w:ascii="Arial" w:hAnsi="Arial" w:cs="Arial"/>
                <w:bCs/>
                <w:iCs/>
                <w:spacing w:val="-4"/>
                <w:sz w:val="18"/>
                <w:szCs w:val="18"/>
              </w:rPr>
              <w:t>,</w:t>
            </w:r>
            <w:r w:rsidRPr="00E25891">
              <w:rPr>
                <w:rFonts w:ascii="Arial" w:hAnsi="Arial" w:cs="Arial"/>
                <w:bCs/>
                <w:iCs/>
                <w:spacing w:val="-4"/>
                <w:sz w:val="18"/>
                <w:szCs w:val="18"/>
                <w:lang w:val="el-GR"/>
              </w:rPr>
              <w:t>723</w:t>
            </w:r>
          </w:p>
        </w:tc>
      </w:tr>
      <w:tr w:rsidR="0056738E" w:rsidRPr="00E0028A" w14:paraId="506ECAF3" w14:textId="77777777" w:rsidTr="007C2AEE">
        <w:trPr>
          <w:trHeight w:val="227"/>
          <w:jc w:val="center"/>
        </w:trPr>
        <w:tc>
          <w:tcPr>
            <w:tcW w:w="6232" w:type="dxa"/>
            <w:tcBorders>
              <w:top w:val="single" w:sz="4" w:space="0" w:color="D9D9D9"/>
              <w:left w:val="single" w:sz="4" w:space="0" w:color="D9D9D9"/>
              <w:bottom w:val="single" w:sz="4" w:space="0" w:color="D9D9D9"/>
              <w:right w:val="single" w:sz="4" w:space="0" w:color="D9D9D9"/>
            </w:tcBorders>
            <w:vAlign w:val="center"/>
            <w:hideMark/>
          </w:tcPr>
          <w:p w14:paraId="41A25CFA" w14:textId="77777777" w:rsidR="0056738E" w:rsidRPr="004B0F15" w:rsidRDefault="0056738E" w:rsidP="007C2AEE">
            <w:pPr>
              <w:tabs>
                <w:tab w:val="left" w:pos="0"/>
                <w:tab w:val="left" w:pos="360"/>
              </w:tabs>
              <w:rPr>
                <w:rFonts w:ascii="Arial" w:hAnsi="Arial" w:cs="Arial"/>
                <w:b/>
                <w:sz w:val="18"/>
                <w:szCs w:val="18"/>
                <w:lang w:val="el-GR"/>
              </w:rPr>
            </w:pPr>
            <w:r w:rsidRPr="004B0F15">
              <w:rPr>
                <w:rFonts w:ascii="Arial" w:hAnsi="Arial" w:cs="Arial"/>
                <w:b/>
                <w:sz w:val="18"/>
                <w:szCs w:val="18"/>
                <w:lang w:val="el-GR"/>
              </w:rPr>
              <w:t>Συνολικά Έξοδα στην υποκείμενη βάση</w:t>
            </w:r>
          </w:p>
        </w:tc>
        <w:tc>
          <w:tcPr>
            <w:tcW w:w="1418" w:type="dxa"/>
            <w:tcBorders>
              <w:top w:val="single" w:sz="6" w:space="0" w:color="auto"/>
              <w:left w:val="single" w:sz="4" w:space="0" w:color="D9D9D9"/>
              <w:bottom w:val="double" w:sz="6" w:space="0" w:color="auto"/>
              <w:right w:val="single" w:sz="4" w:space="0" w:color="D9D9D9"/>
            </w:tcBorders>
            <w:vAlign w:val="center"/>
          </w:tcPr>
          <w:p w14:paraId="0CD5CCD9" w14:textId="77777777" w:rsidR="0056738E" w:rsidRPr="004B0F15" w:rsidRDefault="0056738E" w:rsidP="007C2AEE">
            <w:pPr>
              <w:jc w:val="right"/>
              <w:rPr>
                <w:rFonts w:ascii="Arial" w:hAnsi="Arial" w:cs="Arial"/>
                <w:b/>
                <w:iCs/>
                <w:spacing w:val="-4"/>
                <w:sz w:val="18"/>
                <w:szCs w:val="18"/>
                <w:lang w:val="el-GR"/>
              </w:rPr>
            </w:pPr>
            <w:r>
              <w:rPr>
                <w:rFonts w:ascii="Arial" w:hAnsi="Arial" w:cs="Arial"/>
                <w:b/>
                <w:iCs/>
                <w:spacing w:val="-4"/>
                <w:sz w:val="18"/>
                <w:szCs w:val="18"/>
              </w:rPr>
              <w:t>291,654</w:t>
            </w:r>
          </w:p>
        </w:tc>
        <w:tc>
          <w:tcPr>
            <w:tcW w:w="1441" w:type="dxa"/>
            <w:tcBorders>
              <w:top w:val="single" w:sz="6" w:space="0" w:color="auto"/>
              <w:left w:val="single" w:sz="4" w:space="0" w:color="D9D9D9"/>
              <w:bottom w:val="double" w:sz="6" w:space="0" w:color="auto"/>
              <w:right w:val="single" w:sz="4" w:space="0" w:color="D9D9D9"/>
            </w:tcBorders>
            <w:vAlign w:val="center"/>
          </w:tcPr>
          <w:p w14:paraId="01205523" w14:textId="77777777" w:rsidR="0056738E" w:rsidRPr="004B0F15" w:rsidRDefault="0056738E" w:rsidP="007C2AEE">
            <w:pPr>
              <w:jc w:val="right"/>
              <w:rPr>
                <w:rFonts w:ascii="Arial" w:hAnsi="Arial" w:cs="Arial"/>
                <w:bCs/>
                <w:iCs/>
                <w:spacing w:val="-4"/>
                <w:sz w:val="18"/>
                <w:szCs w:val="18"/>
                <w:lang w:val="el-GR"/>
              </w:rPr>
            </w:pPr>
            <w:r w:rsidRPr="00E25891">
              <w:rPr>
                <w:rFonts w:ascii="Arial" w:hAnsi="Arial" w:cs="Arial"/>
                <w:bCs/>
                <w:iCs/>
                <w:spacing w:val="-4"/>
                <w:sz w:val="18"/>
                <w:szCs w:val="18"/>
              </w:rPr>
              <w:t>27</w:t>
            </w:r>
            <w:r w:rsidRPr="00E25891">
              <w:rPr>
                <w:rFonts w:ascii="Arial" w:hAnsi="Arial" w:cs="Arial"/>
                <w:bCs/>
                <w:iCs/>
                <w:spacing w:val="-4"/>
                <w:sz w:val="18"/>
                <w:szCs w:val="18"/>
                <w:lang w:val="el-GR"/>
              </w:rPr>
              <w:t>6</w:t>
            </w:r>
            <w:r w:rsidRPr="00E25891">
              <w:rPr>
                <w:rFonts w:ascii="Arial" w:hAnsi="Arial" w:cs="Arial"/>
                <w:bCs/>
                <w:iCs/>
                <w:spacing w:val="-4"/>
                <w:sz w:val="18"/>
                <w:szCs w:val="18"/>
              </w:rPr>
              <w:t>,</w:t>
            </w:r>
            <w:r w:rsidRPr="00E25891">
              <w:rPr>
                <w:rFonts w:ascii="Arial" w:hAnsi="Arial" w:cs="Arial"/>
                <w:bCs/>
                <w:iCs/>
                <w:spacing w:val="-4"/>
                <w:sz w:val="18"/>
                <w:szCs w:val="18"/>
                <w:lang w:val="el-GR"/>
              </w:rPr>
              <w:t>939</w:t>
            </w:r>
          </w:p>
        </w:tc>
      </w:tr>
    </w:tbl>
    <w:p w14:paraId="456C9EB3" w14:textId="77777777" w:rsidR="0056738E" w:rsidRDefault="0056738E" w:rsidP="0056738E">
      <w:pPr>
        <w:tabs>
          <w:tab w:val="left" w:pos="0"/>
          <w:tab w:val="right" w:pos="7560"/>
          <w:tab w:val="right" w:pos="9000"/>
        </w:tabs>
        <w:spacing w:after="0" w:line="240" w:lineRule="auto"/>
        <w:rPr>
          <w:rFonts w:ascii="Arial" w:eastAsia="Times New Roman" w:hAnsi="Arial" w:cs="Arial"/>
          <w:sz w:val="18"/>
          <w:szCs w:val="16"/>
          <w:lang w:val="el-GR" w:eastAsia="en-US"/>
        </w:rPr>
      </w:pPr>
    </w:p>
    <w:p w14:paraId="731116D6" w14:textId="77777777" w:rsidR="0056738E" w:rsidRDefault="0056738E" w:rsidP="0056738E">
      <w:pPr>
        <w:rPr>
          <w:rFonts w:ascii="Arial" w:eastAsia="Times New Roman" w:hAnsi="Arial" w:cs="Arial"/>
          <w:sz w:val="18"/>
          <w:szCs w:val="16"/>
          <w:lang w:val="el-GR" w:eastAsia="en-US"/>
        </w:rPr>
      </w:pPr>
      <w:r>
        <w:rPr>
          <w:rFonts w:ascii="Arial" w:eastAsia="Times New Roman" w:hAnsi="Arial" w:cs="Arial"/>
          <w:sz w:val="18"/>
          <w:szCs w:val="16"/>
          <w:lang w:val="el-GR" w:eastAsia="en-US"/>
        </w:rPr>
        <w:br w:type="page"/>
      </w:r>
    </w:p>
    <w:p w14:paraId="71A5F977" w14:textId="77777777" w:rsidR="0056738E" w:rsidRDefault="0056738E" w:rsidP="0056738E">
      <w:pPr>
        <w:spacing w:after="0" w:line="360" w:lineRule="auto"/>
        <w:ind w:left="851" w:hanging="851"/>
        <w:jc w:val="both"/>
        <w:rPr>
          <w:rFonts w:ascii="Arial" w:hAnsi="Arial" w:cs="Arial"/>
          <w:color w:val="FF9900"/>
          <w:lang w:val="el-GR"/>
        </w:rPr>
      </w:pPr>
      <w:r>
        <w:rPr>
          <w:rFonts w:ascii="Arial" w:hAnsi="Arial" w:cs="Arial"/>
          <w:b/>
          <w:color w:val="FF9900"/>
          <w:lang w:val="el-GR"/>
        </w:rPr>
        <w:lastRenderedPageBreak/>
        <w:t>Η</w:t>
      </w:r>
      <w:r w:rsidRPr="009B5694">
        <w:rPr>
          <w:rFonts w:ascii="Arial" w:hAnsi="Arial" w:cs="Arial"/>
          <w:b/>
          <w:color w:val="FF9900"/>
          <w:lang w:val="el-GR"/>
        </w:rPr>
        <w:t xml:space="preserve">. </w:t>
      </w:r>
      <w:r w:rsidRPr="009B5694">
        <w:rPr>
          <w:rFonts w:ascii="Arial" w:hAnsi="Arial" w:cs="Arial"/>
          <w:b/>
          <w:color w:val="FF9900"/>
          <w:lang w:val="el-GR"/>
        </w:rPr>
        <w:tab/>
      </w:r>
      <w:r w:rsidRPr="009D3A1F">
        <w:rPr>
          <w:rFonts w:ascii="Arial" w:hAnsi="Arial" w:cs="Arial"/>
          <w:b/>
          <w:color w:val="FF9900"/>
          <w:lang w:val="el-GR"/>
        </w:rPr>
        <w:t>Εναλλακτικ</w:t>
      </w:r>
      <w:r>
        <w:rPr>
          <w:rFonts w:ascii="Arial" w:hAnsi="Arial" w:cs="Arial"/>
          <w:b/>
          <w:color w:val="FF9900"/>
          <w:lang w:val="el-GR"/>
        </w:rPr>
        <w:t>ά</w:t>
      </w:r>
      <w:r w:rsidRPr="009D3A1F">
        <w:rPr>
          <w:rFonts w:ascii="Arial" w:hAnsi="Arial" w:cs="Arial"/>
          <w:b/>
          <w:color w:val="FF9900"/>
          <w:lang w:val="el-GR"/>
        </w:rPr>
        <w:t xml:space="preserve"> Μέτρ</w:t>
      </w:r>
      <w:r>
        <w:rPr>
          <w:rFonts w:ascii="Arial" w:hAnsi="Arial" w:cs="Arial"/>
          <w:b/>
          <w:color w:val="FF9900"/>
          <w:lang w:val="el-GR"/>
        </w:rPr>
        <w:t>α</w:t>
      </w:r>
      <w:r w:rsidRPr="009D3A1F">
        <w:rPr>
          <w:rFonts w:ascii="Arial" w:hAnsi="Arial" w:cs="Arial"/>
          <w:b/>
          <w:color w:val="FF9900"/>
          <w:lang w:val="el-GR"/>
        </w:rPr>
        <w:t xml:space="preserve"> Απόδοσης</w:t>
      </w:r>
      <w:r>
        <w:rPr>
          <w:rFonts w:ascii="Arial" w:hAnsi="Arial" w:cs="Arial"/>
          <w:b/>
          <w:color w:val="FF9900"/>
          <w:lang w:val="el-GR"/>
        </w:rPr>
        <w:t xml:space="preserve"> </w:t>
      </w:r>
      <w:r w:rsidRPr="00B964B1">
        <w:rPr>
          <w:rFonts w:ascii="Arial" w:hAnsi="Arial" w:cs="Arial"/>
          <w:color w:val="FF9900"/>
          <w:lang w:val="el-GR"/>
        </w:rPr>
        <w:t>(συνέχεια)</w:t>
      </w:r>
    </w:p>
    <w:p w14:paraId="07602F76" w14:textId="77777777" w:rsidR="0056738E" w:rsidRPr="005B05F8" w:rsidRDefault="0056738E" w:rsidP="0056738E">
      <w:pPr>
        <w:shd w:val="clear" w:color="auto" w:fill="FFFFFF"/>
        <w:tabs>
          <w:tab w:val="left" w:pos="810"/>
        </w:tabs>
        <w:suppressAutoHyphens/>
        <w:spacing w:after="0" w:line="360" w:lineRule="auto"/>
        <w:jc w:val="both"/>
        <w:rPr>
          <w:rFonts w:ascii="Arial" w:eastAsia="Times New Roman" w:hAnsi="Arial" w:cs="Arial"/>
          <w:b/>
          <w:color w:val="FF9900"/>
          <w:u w:val="single"/>
          <w:lang w:val="el-GR"/>
        </w:rPr>
      </w:pPr>
      <w:r w:rsidRPr="005B05F8">
        <w:rPr>
          <w:rFonts w:ascii="Arial" w:eastAsia="Times New Roman" w:hAnsi="Arial" w:cs="Arial"/>
          <w:b/>
          <w:color w:val="FF9900"/>
          <w:u w:val="single"/>
          <w:lang w:val="el-GR"/>
        </w:rPr>
        <w:t>Πληροφορίες Βασικών Δεικτών Απόδοσης</w:t>
      </w:r>
      <w:r>
        <w:rPr>
          <w:rFonts w:ascii="Arial" w:eastAsia="Times New Roman" w:hAnsi="Arial" w:cs="Arial"/>
          <w:b/>
          <w:color w:val="FF9900"/>
          <w:u w:val="single"/>
          <w:lang w:val="el-GR"/>
        </w:rPr>
        <w:t xml:space="preserve"> </w:t>
      </w:r>
      <w:r w:rsidRPr="00B964B1">
        <w:rPr>
          <w:rFonts w:ascii="Arial" w:hAnsi="Arial" w:cs="Arial"/>
          <w:color w:val="FF9900"/>
          <w:lang w:val="el-GR"/>
        </w:rPr>
        <w:t>(συνέχεια)</w:t>
      </w:r>
    </w:p>
    <w:p w14:paraId="100984A2" w14:textId="77777777" w:rsidR="0056738E" w:rsidRPr="001C3AA9" w:rsidRDefault="0056738E" w:rsidP="0056738E">
      <w:pPr>
        <w:shd w:val="clear" w:color="auto" w:fill="FFFFFF"/>
        <w:suppressAutoHyphens/>
        <w:spacing w:after="0" w:line="360" w:lineRule="auto"/>
        <w:ind w:left="851" w:hanging="851"/>
        <w:jc w:val="both"/>
        <w:rPr>
          <w:rFonts w:ascii="Arial" w:hAnsi="Arial" w:cs="Arial"/>
          <w:b/>
          <w:color w:val="FF9900"/>
          <w:lang w:val="el-GR"/>
        </w:rPr>
      </w:pPr>
      <w:r w:rsidRPr="001C3AA9">
        <w:rPr>
          <w:rFonts w:ascii="Arial" w:hAnsi="Arial" w:cs="Arial"/>
          <w:b/>
          <w:color w:val="FF9900"/>
          <w:lang w:val="el-GR"/>
        </w:rPr>
        <w:t xml:space="preserve">2. </w:t>
      </w:r>
      <w:r w:rsidRPr="001C3AA9">
        <w:rPr>
          <w:rFonts w:ascii="Arial" w:hAnsi="Arial" w:cs="Arial"/>
          <w:b/>
          <w:color w:val="FF9900"/>
          <w:lang w:val="el-GR"/>
        </w:rPr>
        <w:tab/>
        <w:t>Δείκτης κόστος προς έσοδα</w:t>
      </w:r>
      <w:r w:rsidRPr="001C3AA9" w:rsidDel="00B87B42">
        <w:rPr>
          <w:rFonts w:ascii="Arial" w:hAnsi="Arial" w:cs="Arial"/>
          <w:b/>
          <w:color w:val="FF9900"/>
          <w:lang w:val="el-GR"/>
        </w:rPr>
        <w:t xml:space="preserve"> </w:t>
      </w:r>
      <w:r w:rsidRPr="00B964B1">
        <w:rPr>
          <w:rFonts w:ascii="Arial" w:hAnsi="Arial" w:cs="Arial"/>
          <w:color w:val="FF9900"/>
          <w:lang w:val="el-GR"/>
        </w:rPr>
        <w:t>(συνέχεια)</w:t>
      </w:r>
    </w:p>
    <w:p w14:paraId="5831E842" w14:textId="77777777" w:rsidR="0056738E" w:rsidRDefault="0056738E" w:rsidP="0056738E">
      <w:pPr>
        <w:tabs>
          <w:tab w:val="right" w:pos="7560"/>
          <w:tab w:val="right" w:pos="9000"/>
        </w:tabs>
        <w:spacing w:after="120" w:line="240" w:lineRule="auto"/>
        <w:ind w:left="567" w:hanging="567"/>
        <w:jc w:val="both"/>
        <w:rPr>
          <w:rFonts w:ascii="Arial" w:eastAsia="Times New Roman" w:hAnsi="Arial" w:cs="Arial"/>
          <w:sz w:val="18"/>
          <w:szCs w:val="16"/>
          <w:lang w:val="el-GR" w:eastAsia="en-US"/>
        </w:rPr>
      </w:pPr>
      <w:r w:rsidRPr="00A03828">
        <w:rPr>
          <w:rFonts w:ascii="Arial" w:eastAsia="Times New Roman" w:hAnsi="Arial" w:cs="Arial"/>
          <w:sz w:val="18"/>
          <w:szCs w:val="16"/>
          <w:lang w:val="el-GR" w:eastAsia="en-US"/>
        </w:rPr>
        <w:t>2.2</w:t>
      </w:r>
      <w:r>
        <w:rPr>
          <w:rFonts w:ascii="Arial" w:eastAsia="Times New Roman" w:hAnsi="Arial" w:cs="Arial"/>
          <w:sz w:val="18"/>
          <w:szCs w:val="16"/>
          <w:lang w:val="el-GR" w:eastAsia="en-US"/>
        </w:rPr>
        <w:t xml:space="preserve"> </w:t>
      </w:r>
      <w:r>
        <w:rPr>
          <w:rFonts w:ascii="Arial" w:eastAsia="Times New Roman" w:hAnsi="Arial" w:cs="Arial"/>
          <w:sz w:val="18"/>
          <w:szCs w:val="16"/>
          <w:lang w:val="el-GR" w:eastAsia="en-US"/>
        </w:rPr>
        <w:tab/>
      </w:r>
      <w:r w:rsidRPr="00416AB4">
        <w:rPr>
          <w:rFonts w:ascii="Arial" w:eastAsia="Times New Roman" w:hAnsi="Arial" w:cs="Arial"/>
          <w:sz w:val="18"/>
          <w:szCs w:val="16"/>
          <w:lang w:val="el-GR" w:eastAsia="en-US"/>
        </w:rPr>
        <w:t>Η συμφιλίωση των επί μέρους παραμέτρων των συνολικών εσόδων που χρησιμοποιούνται στον υπολογισμό του</w:t>
      </w:r>
      <w:r>
        <w:rPr>
          <w:rFonts w:ascii="Arial" w:eastAsia="Times New Roman" w:hAnsi="Arial" w:cs="Arial"/>
          <w:sz w:val="18"/>
          <w:szCs w:val="16"/>
          <w:lang w:val="el-GR" w:eastAsia="en-US"/>
        </w:rPr>
        <w:t xml:space="preserve"> </w:t>
      </w:r>
      <w:r w:rsidRPr="00416AB4">
        <w:rPr>
          <w:rFonts w:ascii="Arial" w:eastAsia="Times New Roman" w:hAnsi="Arial" w:cs="Arial"/>
          <w:sz w:val="18"/>
          <w:szCs w:val="16"/>
          <w:lang w:val="el-GR" w:eastAsia="en-US"/>
        </w:rPr>
        <w:t xml:space="preserve">δείκτη κόστος προς έσοδα </w:t>
      </w:r>
      <w:r>
        <w:rPr>
          <w:rFonts w:ascii="Arial" w:eastAsia="Times New Roman" w:hAnsi="Arial" w:cs="Arial"/>
          <w:sz w:val="18"/>
          <w:szCs w:val="16"/>
          <w:lang w:val="el-GR" w:eastAsia="en-US"/>
        </w:rPr>
        <w:t>μεταξύ της</w:t>
      </w:r>
      <w:r w:rsidRPr="00416AB4">
        <w:rPr>
          <w:rFonts w:ascii="Arial" w:eastAsia="Times New Roman" w:hAnsi="Arial" w:cs="Arial"/>
          <w:sz w:val="18"/>
          <w:szCs w:val="16"/>
          <w:lang w:val="el-GR" w:eastAsia="en-US"/>
        </w:rPr>
        <w:t xml:space="preserve"> υποκείμενη</w:t>
      </w:r>
      <w:r>
        <w:rPr>
          <w:rFonts w:ascii="Arial" w:eastAsia="Times New Roman" w:hAnsi="Arial" w:cs="Arial"/>
          <w:sz w:val="18"/>
          <w:szCs w:val="16"/>
          <w:lang w:val="el-GR" w:eastAsia="en-US"/>
        </w:rPr>
        <w:t>ς</w:t>
      </w:r>
      <w:r w:rsidRPr="00416AB4">
        <w:rPr>
          <w:rFonts w:ascii="Arial" w:eastAsia="Times New Roman" w:hAnsi="Arial" w:cs="Arial"/>
          <w:sz w:val="18"/>
          <w:szCs w:val="16"/>
          <w:lang w:val="el-GR" w:eastAsia="en-US"/>
        </w:rPr>
        <w:t xml:space="preserve"> βάση</w:t>
      </w:r>
      <w:r>
        <w:rPr>
          <w:rFonts w:ascii="Arial" w:eastAsia="Times New Roman" w:hAnsi="Arial" w:cs="Arial"/>
          <w:sz w:val="18"/>
          <w:szCs w:val="16"/>
          <w:lang w:val="el-GR" w:eastAsia="en-US"/>
        </w:rPr>
        <w:t>ς</w:t>
      </w:r>
      <w:r w:rsidRPr="00416AB4">
        <w:rPr>
          <w:rFonts w:ascii="Arial" w:eastAsia="Times New Roman" w:hAnsi="Arial" w:cs="Arial"/>
          <w:sz w:val="18"/>
          <w:szCs w:val="16"/>
          <w:lang w:val="el-GR" w:eastAsia="en-US"/>
        </w:rPr>
        <w:t xml:space="preserve"> </w:t>
      </w:r>
      <w:r>
        <w:rPr>
          <w:rFonts w:ascii="Arial" w:eastAsia="Times New Roman" w:hAnsi="Arial" w:cs="Arial"/>
          <w:sz w:val="18"/>
          <w:szCs w:val="16"/>
          <w:lang w:val="el-GR" w:eastAsia="en-US"/>
        </w:rPr>
        <w:t xml:space="preserve">και της </w:t>
      </w:r>
      <w:r w:rsidRPr="00527619">
        <w:rPr>
          <w:rFonts w:ascii="Arial" w:eastAsia="Times New Roman" w:hAnsi="Arial" w:cs="Arial"/>
          <w:sz w:val="18"/>
          <w:szCs w:val="16"/>
          <w:lang w:val="el-GR" w:eastAsia="en-US"/>
        </w:rPr>
        <w:t>απαιτούμενη</w:t>
      </w:r>
      <w:r>
        <w:rPr>
          <w:rFonts w:ascii="Arial" w:eastAsia="Times New Roman" w:hAnsi="Arial" w:cs="Arial"/>
          <w:sz w:val="18"/>
          <w:szCs w:val="16"/>
          <w:lang w:val="el-GR" w:eastAsia="en-US"/>
        </w:rPr>
        <w:t>ς</w:t>
      </w:r>
      <w:r w:rsidRPr="00527619">
        <w:rPr>
          <w:rFonts w:ascii="Arial" w:eastAsia="Times New Roman" w:hAnsi="Arial" w:cs="Arial"/>
          <w:sz w:val="18"/>
          <w:szCs w:val="16"/>
          <w:lang w:val="el-GR" w:eastAsia="en-US"/>
        </w:rPr>
        <w:t xml:space="preserve"> από τη νομοθεσία βάση</w:t>
      </w:r>
      <w:r>
        <w:rPr>
          <w:rFonts w:ascii="Arial" w:eastAsia="Times New Roman" w:hAnsi="Arial" w:cs="Arial"/>
          <w:sz w:val="18"/>
          <w:szCs w:val="16"/>
          <w:lang w:val="el-GR" w:eastAsia="en-US"/>
        </w:rPr>
        <w:t xml:space="preserve">ς </w:t>
      </w:r>
      <w:r w:rsidRPr="00416AB4">
        <w:rPr>
          <w:rFonts w:ascii="Arial" w:eastAsia="Times New Roman" w:hAnsi="Arial" w:cs="Arial"/>
          <w:sz w:val="18"/>
          <w:szCs w:val="16"/>
          <w:lang w:val="el-GR" w:eastAsia="en-US"/>
        </w:rPr>
        <w:t>παρουσιάζεται πιο</w:t>
      </w:r>
      <w:r>
        <w:rPr>
          <w:rFonts w:ascii="Arial" w:eastAsia="Times New Roman" w:hAnsi="Arial" w:cs="Arial"/>
          <w:sz w:val="18"/>
          <w:szCs w:val="16"/>
          <w:lang w:val="el-GR" w:eastAsia="en-US"/>
        </w:rPr>
        <w:t xml:space="preserve"> </w:t>
      </w:r>
      <w:r w:rsidRPr="00416AB4">
        <w:rPr>
          <w:rFonts w:ascii="Arial" w:eastAsia="Times New Roman" w:hAnsi="Arial" w:cs="Arial"/>
          <w:sz w:val="18"/>
          <w:szCs w:val="16"/>
          <w:lang w:val="el-GR" w:eastAsia="en-US"/>
        </w:rPr>
        <w:t>κάτω</w:t>
      </w:r>
      <w:r w:rsidRPr="001C3AA9">
        <w:rPr>
          <w:rFonts w:ascii="Arial" w:eastAsia="Times New Roman" w:hAnsi="Arial" w:cs="Arial"/>
          <w:sz w:val="18"/>
          <w:szCs w:val="16"/>
          <w:lang w:val="el-GR" w:eastAsia="en-US"/>
        </w:rPr>
        <w:t>:</w:t>
      </w:r>
    </w:p>
    <w:tbl>
      <w:tblPr>
        <w:tblStyle w:val="TableGrid17"/>
        <w:tblW w:w="8787"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236"/>
        <w:gridCol w:w="1275"/>
        <w:gridCol w:w="1276"/>
      </w:tblGrid>
      <w:tr w:rsidR="0056738E" w:rsidRPr="007C2AEE" w14:paraId="73978863" w14:textId="77777777" w:rsidTr="007C2AEE">
        <w:trPr>
          <w:trHeight w:val="227"/>
          <w:jc w:val="center"/>
        </w:trPr>
        <w:tc>
          <w:tcPr>
            <w:tcW w:w="6236" w:type="dxa"/>
            <w:vMerge w:val="restart"/>
            <w:tcBorders>
              <w:top w:val="single" w:sz="4" w:space="0" w:color="D9D9D9"/>
              <w:left w:val="single" w:sz="4" w:space="0" w:color="D9D9D9"/>
              <w:right w:val="single" w:sz="4" w:space="0" w:color="D9D9D9"/>
            </w:tcBorders>
            <w:vAlign w:val="center"/>
          </w:tcPr>
          <w:p w14:paraId="0DA808AB" w14:textId="77777777" w:rsidR="0056738E" w:rsidRPr="001C3AA9" w:rsidRDefault="0056738E" w:rsidP="007C2AEE">
            <w:pPr>
              <w:tabs>
                <w:tab w:val="right" w:pos="7560"/>
                <w:tab w:val="right" w:pos="9000"/>
              </w:tabs>
              <w:ind w:left="596" w:hanging="425"/>
              <w:jc w:val="both"/>
              <w:rPr>
                <w:rFonts w:ascii="Arial" w:hAnsi="Arial" w:cs="Arial"/>
                <w:b/>
                <w:sz w:val="18"/>
                <w:szCs w:val="18"/>
                <w:lang w:val="el-GR"/>
              </w:rPr>
            </w:pPr>
            <w:r w:rsidRPr="001C3AA9">
              <w:rPr>
                <w:rFonts w:ascii="Arial" w:hAnsi="Arial" w:cs="Arial"/>
                <w:b/>
                <w:sz w:val="18"/>
                <w:szCs w:val="18"/>
                <w:lang w:val="el-GR"/>
              </w:rPr>
              <w:t>2.</w:t>
            </w:r>
            <w:r>
              <w:rPr>
                <w:rFonts w:ascii="Arial" w:hAnsi="Arial" w:cs="Arial"/>
                <w:b/>
                <w:sz w:val="18"/>
                <w:szCs w:val="18"/>
                <w:lang w:val="el-GR"/>
              </w:rPr>
              <w:t>2.1</w:t>
            </w:r>
            <w:r w:rsidRPr="001C3AA9">
              <w:rPr>
                <w:rFonts w:ascii="Arial" w:hAnsi="Arial" w:cs="Arial"/>
                <w:b/>
                <w:sz w:val="18"/>
                <w:szCs w:val="18"/>
                <w:lang w:val="el-GR"/>
              </w:rPr>
              <w:t xml:space="preserve">   Συνολικά </w:t>
            </w:r>
            <w:r>
              <w:rPr>
                <w:rFonts w:ascii="Arial" w:hAnsi="Arial" w:cs="Arial"/>
                <w:b/>
                <w:sz w:val="18"/>
                <w:szCs w:val="18"/>
                <w:lang w:val="el-GR"/>
              </w:rPr>
              <w:t>Έσοδα</w:t>
            </w:r>
            <w:r w:rsidRPr="001C3AA9">
              <w:rPr>
                <w:rFonts w:ascii="Arial" w:hAnsi="Arial" w:cs="Arial"/>
                <w:b/>
                <w:sz w:val="18"/>
                <w:szCs w:val="18"/>
                <w:lang w:val="el-GR"/>
              </w:rPr>
              <w:t xml:space="preserve"> στην υποκείμενη βάση</w:t>
            </w:r>
          </w:p>
        </w:tc>
        <w:tc>
          <w:tcPr>
            <w:tcW w:w="2551" w:type="dxa"/>
            <w:gridSpan w:val="2"/>
            <w:tcBorders>
              <w:top w:val="single" w:sz="4" w:space="0" w:color="D9D9D9"/>
              <w:left w:val="single" w:sz="4" w:space="0" w:color="D9D9D9"/>
              <w:bottom w:val="single" w:sz="4" w:space="0" w:color="D9D9D9"/>
              <w:right w:val="single" w:sz="4" w:space="0" w:color="D9D9D9"/>
            </w:tcBorders>
            <w:vAlign w:val="center"/>
          </w:tcPr>
          <w:p w14:paraId="02612FB0" w14:textId="77777777" w:rsidR="0056738E" w:rsidRDefault="0056738E" w:rsidP="007C2AEE">
            <w:pPr>
              <w:ind w:left="-31" w:right="-65"/>
              <w:jc w:val="center"/>
              <w:rPr>
                <w:rFonts w:ascii="Arial" w:hAnsi="Arial" w:cs="Arial"/>
                <w:b/>
                <w:bCs/>
                <w:sz w:val="18"/>
                <w:szCs w:val="18"/>
                <w:lang w:val="el-GR"/>
              </w:rPr>
            </w:pPr>
            <w:r>
              <w:rPr>
                <w:rFonts w:ascii="Arial" w:hAnsi="Arial" w:cs="Arial"/>
                <w:b/>
                <w:bCs/>
                <w:sz w:val="18"/>
                <w:szCs w:val="18"/>
                <w:lang w:val="el-GR"/>
              </w:rPr>
              <w:t>Εννεάμηνο</w:t>
            </w:r>
            <w:r w:rsidRPr="000221F4">
              <w:rPr>
                <w:rFonts w:ascii="Arial" w:hAnsi="Arial" w:cs="Arial"/>
                <w:b/>
                <w:bCs/>
                <w:sz w:val="18"/>
                <w:szCs w:val="18"/>
                <w:lang w:val="el-GR"/>
              </w:rPr>
              <w:t xml:space="preserve"> </w:t>
            </w:r>
            <w:r w:rsidRPr="00C42B7D">
              <w:rPr>
                <w:rFonts w:ascii="Arial" w:hAnsi="Arial" w:cs="Arial"/>
                <w:b/>
                <w:bCs/>
                <w:sz w:val="18"/>
                <w:szCs w:val="18"/>
                <w:lang w:val="el-GR"/>
              </w:rPr>
              <w:t xml:space="preserve">που έληξε στις </w:t>
            </w:r>
          </w:p>
          <w:p w14:paraId="656F22D1" w14:textId="77777777" w:rsidR="0056738E" w:rsidRPr="001C3AA9" w:rsidRDefault="0056738E" w:rsidP="007C2AEE">
            <w:pPr>
              <w:tabs>
                <w:tab w:val="left" w:pos="0"/>
                <w:tab w:val="right" w:pos="7560"/>
                <w:tab w:val="right" w:pos="9000"/>
              </w:tabs>
              <w:jc w:val="center"/>
              <w:rPr>
                <w:rFonts w:ascii="Arial" w:hAnsi="Arial" w:cs="Arial"/>
                <w:sz w:val="18"/>
                <w:szCs w:val="18"/>
                <w:lang w:val="el-GR"/>
              </w:rPr>
            </w:pPr>
            <w:r w:rsidRPr="00331BC0">
              <w:rPr>
                <w:rFonts w:ascii="Arial" w:hAnsi="Arial" w:cs="Arial"/>
                <w:b/>
                <w:sz w:val="18"/>
                <w:szCs w:val="18"/>
                <w:lang w:val="el-GR"/>
              </w:rPr>
              <w:t>30 Σεπτεμβρίου</w:t>
            </w:r>
          </w:p>
        </w:tc>
      </w:tr>
      <w:tr w:rsidR="0056738E" w:rsidRPr="00711854" w14:paraId="4CDBFFE1" w14:textId="77777777" w:rsidTr="007C2AEE">
        <w:trPr>
          <w:trHeight w:val="227"/>
          <w:jc w:val="center"/>
        </w:trPr>
        <w:tc>
          <w:tcPr>
            <w:tcW w:w="6236" w:type="dxa"/>
            <w:vMerge/>
            <w:tcBorders>
              <w:left w:val="single" w:sz="4" w:space="0" w:color="D9D9D9"/>
              <w:right w:val="single" w:sz="4" w:space="0" w:color="D9D9D9"/>
            </w:tcBorders>
            <w:vAlign w:val="center"/>
            <w:hideMark/>
          </w:tcPr>
          <w:p w14:paraId="1758345B" w14:textId="77777777" w:rsidR="0056738E" w:rsidRPr="001C3AA9" w:rsidRDefault="0056738E" w:rsidP="007C2AEE">
            <w:pPr>
              <w:tabs>
                <w:tab w:val="left" w:pos="450"/>
                <w:tab w:val="right" w:pos="7560"/>
                <w:tab w:val="right" w:pos="9000"/>
              </w:tabs>
              <w:ind w:left="309"/>
              <w:jc w:val="both"/>
              <w:rPr>
                <w:rFonts w:ascii="Arial" w:hAnsi="Arial" w:cs="Arial"/>
                <w:sz w:val="18"/>
                <w:szCs w:val="18"/>
                <w:lang w:val="el-GR"/>
              </w:rPr>
            </w:pPr>
          </w:p>
        </w:tc>
        <w:tc>
          <w:tcPr>
            <w:tcW w:w="1275" w:type="dxa"/>
            <w:tcBorders>
              <w:top w:val="single" w:sz="4" w:space="0" w:color="D9D9D9"/>
              <w:left w:val="single" w:sz="4" w:space="0" w:color="D9D9D9"/>
              <w:bottom w:val="single" w:sz="4" w:space="0" w:color="D9D9D9"/>
              <w:right w:val="single" w:sz="4" w:space="0" w:color="D9D9D9"/>
            </w:tcBorders>
            <w:vAlign w:val="center"/>
            <w:hideMark/>
          </w:tcPr>
          <w:p w14:paraId="2DDD3A3C" w14:textId="77777777" w:rsidR="0056738E" w:rsidRPr="001023F6" w:rsidRDefault="0056738E" w:rsidP="007C2AEE">
            <w:pPr>
              <w:tabs>
                <w:tab w:val="left" w:pos="0"/>
                <w:tab w:val="right" w:pos="7560"/>
                <w:tab w:val="right" w:pos="9000"/>
              </w:tabs>
              <w:jc w:val="center"/>
              <w:rPr>
                <w:rFonts w:ascii="Arial" w:hAnsi="Arial" w:cs="Arial"/>
                <w:bCs/>
                <w:sz w:val="18"/>
                <w:szCs w:val="18"/>
                <w:lang w:val="el-GR"/>
              </w:rPr>
            </w:pPr>
            <w:r w:rsidRPr="00AB11AC">
              <w:rPr>
                <w:rFonts w:ascii="Arial" w:hAnsi="Arial" w:cs="Arial"/>
                <w:b/>
                <w:sz w:val="18"/>
                <w:szCs w:val="18"/>
              </w:rPr>
              <w:t>202</w:t>
            </w:r>
            <w:r>
              <w:rPr>
                <w:rFonts w:ascii="Arial" w:hAnsi="Arial" w:cs="Arial"/>
                <w:b/>
                <w:sz w:val="18"/>
                <w:szCs w:val="18"/>
                <w:lang w:val="el-GR"/>
              </w:rPr>
              <w:t>4</w:t>
            </w:r>
          </w:p>
        </w:tc>
        <w:tc>
          <w:tcPr>
            <w:tcW w:w="1276" w:type="dxa"/>
            <w:tcBorders>
              <w:top w:val="single" w:sz="4" w:space="0" w:color="D9D9D9"/>
              <w:left w:val="single" w:sz="4" w:space="0" w:color="D9D9D9"/>
              <w:bottom w:val="single" w:sz="4" w:space="0" w:color="D9D9D9"/>
              <w:right w:val="single" w:sz="4" w:space="0" w:color="D9D9D9"/>
            </w:tcBorders>
            <w:vAlign w:val="center"/>
            <w:hideMark/>
          </w:tcPr>
          <w:p w14:paraId="1B0FEBF6" w14:textId="77777777" w:rsidR="0056738E" w:rsidRPr="00AB11AC" w:rsidRDefault="0056738E" w:rsidP="007C2AEE">
            <w:pPr>
              <w:tabs>
                <w:tab w:val="left" w:pos="0"/>
                <w:tab w:val="right" w:pos="7560"/>
                <w:tab w:val="right" w:pos="9000"/>
              </w:tabs>
              <w:jc w:val="center"/>
              <w:rPr>
                <w:rFonts w:ascii="Arial" w:hAnsi="Arial" w:cs="Arial"/>
                <w:bCs/>
                <w:sz w:val="18"/>
                <w:szCs w:val="18"/>
                <w:highlight w:val="yellow"/>
              </w:rPr>
            </w:pPr>
            <w:r w:rsidRPr="00AB11AC">
              <w:rPr>
                <w:rFonts w:ascii="Arial" w:hAnsi="Arial" w:cs="Arial"/>
                <w:sz w:val="18"/>
                <w:szCs w:val="18"/>
              </w:rPr>
              <w:t>202</w:t>
            </w:r>
            <w:r>
              <w:rPr>
                <w:rFonts w:ascii="Arial" w:hAnsi="Arial" w:cs="Arial"/>
                <w:sz w:val="18"/>
                <w:szCs w:val="18"/>
                <w:lang w:val="el-GR"/>
              </w:rPr>
              <w:t>3</w:t>
            </w:r>
            <w:r w:rsidRPr="00AB11AC">
              <w:rPr>
                <w:rFonts w:ascii="Arial" w:hAnsi="Arial" w:cs="Arial"/>
                <w:sz w:val="18"/>
                <w:szCs w:val="18"/>
              </w:rPr>
              <w:t xml:space="preserve"> </w:t>
            </w:r>
          </w:p>
        </w:tc>
      </w:tr>
      <w:tr w:rsidR="0056738E" w:rsidRPr="00711854" w14:paraId="0ED70F03" w14:textId="77777777" w:rsidTr="007C2AEE">
        <w:trPr>
          <w:trHeight w:val="227"/>
          <w:jc w:val="center"/>
        </w:trPr>
        <w:tc>
          <w:tcPr>
            <w:tcW w:w="6236" w:type="dxa"/>
            <w:vMerge/>
            <w:tcBorders>
              <w:left w:val="single" w:sz="4" w:space="0" w:color="D9D9D9"/>
              <w:bottom w:val="single" w:sz="4" w:space="0" w:color="D9D9D9"/>
              <w:right w:val="single" w:sz="4" w:space="0" w:color="D9D9D9"/>
            </w:tcBorders>
            <w:vAlign w:val="center"/>
            <w:hideMark/>
          </w:tcPr>
          <w:p w14:paraId="2EF42777" w14:textId="77777777" w:rsidR="0056738E" w:rsidRPr="00AB11AC" w:rsidRDefault="0056738E" w:rsidP="007C2AEE">
            <w:pPr>
              <w:rPr>
                <w:rFonts w:ascii="Arial" w:hAnsi="Arial" w:cs="Arial"/>
                <w:sz w:val="18"/>
                <w:szCs w:val="18"/>
              </w:rPr>
            </w:pPr>
          </w:p>
        </w:tc>
        <w:tc>
          <w:tcPr>
            <w:tcW w:w="1275" w:type="dxa"/>
            <w:tcBorders>
              <w:top w:val="single" w:sz="4" w:space="0" w:color="D9D9D9"/>
              <w:left w:val="single" w:sz="4" w:space="0" w:color="D9D9D9"/>
              <w:bottom w:val="single" w:sz="4" w:space="0" w:color="D9D9D9"/>
              <w:right w:val="single" w:sz="4" w:space="0" w:color="D9D9D9"/>
            </w:tcBorders>
            <w:vAlign w:val="center"/>
            <w:hideMark/>
          </w:tcPr>
          <w:p w14:paraId="679ADA11" w14:textId="77777777" w:rsidR="0056738E" w:rsidRPr="00AB11AC" w:rsidRDefault="0056738E" w:rsidP="007C2AEE">
            <w:pPr>
              <w:tabs>
                <w:tab w:val="left" w:pos="0"/>
                <w:tab w:val="right" w:pos="7560"/>
                <w:tab w:val="right" w:pos="9000"/>
              </w:tabs>
              <w:jc w:val="center"/>
              <w:rPr>
                <w:rFonts w:ascii="Arial" w:hAnsi="Arial" w:cs="Arial"/>
                <w:b/>
                <w:bCs/>
                <w:sz w:val="18"/>
                <w:szCs w:val="18"/>
              </w:rPr>
            </w:pPr>
            <w:r w:rsidRPr="00AB11AC">
              <w:rPr>
                <w:rFonts w:ascii="Arial" w:hAnsi="Arial" w:cs="Arial"/>
                <w:b/>
                <w:sz w:val="18"/>
                <w:szCs w:val="18"/>
              </w:rPr>
              <w:t>€000</w:t>
            </w:r>
          </w:p>
        </w:tc>
        <w:tc>
          <w:tcPr>
            <w:tcW w:w="1276" w:type="dxa"/>
            <w:tcBorders>
              <w:top w:val="single" w:sz="4" w:space="0" w:color="D9D9D9"/>
              <w:left w:val="single" w:sz="4" w:space="0" w:color="D9D9D9"/>
              <w:bottom w:val="single" w:sz="4" w:space="0" w:color="D9D9D9"/>
              <w:right w:val="single" w:sz="4" w:space="0" w:color="D9D9D9"/>
            </w:tcBorders>
            <w:vAlign w:val="center"/>
            <w:hideMark/>
          </w:tcPr>
          <w:p w14:paraId="3AACB636" w14:textId="77777777" w:rsidR="0056738E" w:rsidRPr="00AB11AC" w:rsidRDefault="0056738E" w:rsidP="007C2AEE">
            <w:pPr>
              <w:tabs>
                <w:tab w:val="left" w:pos="0"/>
                <w:tab w:val="right" w:pos="7560"/>
                <w:tab w:val="right" w:pos="9000"/>
              </w:tabs>
              <w:jc w:val="center"/>
              <w:rPr>
                <w:rFonts w:ascii="Arial" w:hAnsi="Arial" w:cs="Arial"/>
                <w:bCs/>
                <w:sz w:val="18"/>
                <w:szCs w:val="18"/>
              </w:rPr>
            </w:pPr>
            <w:r w:rsidRPr="00AB11AC">
              <w:rPr>
                <w:rFonts w:ascii="Arial" w:hAnsi="Arial" w:cs="Arial"/>
                <w:sz w:val="18"/>
                <w:szCs w:val="18"/>
              </w:rPr>
              <w:t>€000</w:t>
            </w:r>
          </w:p>
        </w:tc>
      </w:tr>
      <w:tr w:rsidR="0056738E" w:rsidRPr="00711854" w14:paraId="3E7DD3F3" w14:textId="77777777" w:rsidTr="007C2AEE">
        <w:trPr>
          <w:trHeight w:val="227"/>
          <w:jc w:val="center"/>
        </w:trPr>
        <w:tc>
          <w:tcPr>
            <w:tcW w:w="6236" w:type="dxa"/>
            <w:tcBorders>
              <w:top w:val="single" w:sz="4" w:space="0" w:color="D9D9D9"/>
              <w:left w:val="single" w:sz="4" w:space="0" w:color="D9D9D9"/>
              <w:bottom w:val="single" w:sz="4" w:space="0" w:color="D9D9D9"/>
              <w:right w:val="single" w:sz="4" w:space="0" w:color="D9D9D9"/>
            </w:tcBorders>
            <w:vAlign w:val="center"/>
            <w:hideMark/>
          </w:tcPr>
          <w:p w14:paraId="6B678DF3" w14:textId="77777777" w:rsidR="0056738E" w:rsidRPr="001C3AA9" w:rsidRDefault="0056738E" w:rsidP="007C2AEE">
            <w:pPr>
              <w:tabs>
                <w:tab w:val="left" w:pos="0"/>
                <w:tab w:val="right" w:pos="7560"/>
                <w:tab w:val="right" w:pos="9000"/>
              </w:tabs>
              <w:jc w:val="both"/>
              <w:rPr>
                <w:rFonts w:ascii="Arial" w:hAnsi="Arial" w:cs="Arial"/>
                <w:b/>
                <w:sz w:val="18"/>
                <w:szCs w:val="18"/>
                <w:lang w:val="el-GR"/>
              </w:rPr>
            </w:pPr>
            <w:r w:rsidRPr="001C3AA9">
              <w:rPr>
                <w:rFonts w:ascii="Arial" w:hAnsi="Arial" w:cs="Arial"/>
                <w:sz w:val="18"/>
                <w:szCs w:val="18"/>
                <w:lang w:val="el-GR"/>
              </w:rPr>
              <w:t>Καθαρά έσοδα από τόκους</w:t>
            </w:r>
            <w:r>
              <w:rPr>
                <w:rFonts w:ascii="Arial" w:hAnsi="Arial" w:cs="Arial"/>
                <w:sz w:val="18"/>
                <w:szCs w:val="18"/>
                <w:lang w:val="el-GR"/>
              </w:rPr>
              <w:t xml:space="preserve"> </w:t>
            </w:r>
            <w:r w:rsidRPr="00FD7F84">
              <w:rPr>
                <w:rFonts w:ascii="Arial" w:hAnsi="Arial" w:cs="Arial"/>
                <w:sz w:val="18"/>
                <w:szCs w:val="18"/>
                <w:lang w:val="el-GR"/>
              </w:rPr>
              <w:t>στην υποκείμενη βάση/</w:t>
            </w:r>
            <w:r w:rsidRPr="00527619">
              <w:rPr>
                <w:rFonts w:ascii="Arial" w:hAnsi="Arial" w:cs="Arial"/>
                <w:sz w:val="18"/>
                <w:szCs w:val="18"/>
                <w:lang w:val="el-GR"/>
              </w:rPr>
              <w:t>στην απαιτούμενη από τη νομοθεσία βάση</w:t>
            </w:r>
            <w:r w:rsidRPr="00527619" w:rsidDel="00527619">
              <w:rPr>
                <w:rFonts w:ascii="Arial" w:hAnsi="Arial" w:cs="Arial"/>
                <w:sz w:val="18"/>
                <w:szCs w:val="18"/>
                <w:lang w:val="el-GR"/>
              </w:rPr>
              <w:t xml:space="preserve"> </w:t>
            </w:r>
            <w:r w:rsidRPr="001C3AA9">
              <w:rPr>
                <w:rFonts w:ascii="Arial" w:hAnsi="Arial" w:cs="Arial"/>
                <w:i/>
                <w:iCs/>
                <w:sz w:val="18"/>
                <w:szCs w:val="18"/>
                <w:lang w:val="el-GR"/>
              </w:rPr>
              <w:t>(ως ο πίνακας 1.1 πιο πάνω)</w:t>
            </w:r>
          </w:p>
        </w:tc>
        <w:tc>
          <w:tcPr>
            <w:tcW w:w="1275" w:type="dxa"/>
            <w:tcBorders>
              <w:top w:val="single" w:sz="4" w:space="0" w:color="D9D9D9"/>
              <w:left w:val="single" w:sz="4" w:space="0" w:color="D9D9D9"/>
              <w:bottom w:val="single" w:sz="4" w:space="0" w:color="D9D9D9"/>
              <w:right w:val="single" w:sz="4" w:space="0" w:color="D9D9D9"/>
            </w:tcBorders>
            <w:vAlign w:val="center"/>
          </w:tcPr>
          <w:p w14:paraId="7EBD9564" w14:textId="77777777" w:rsidR="0056738E" w:rsidRPr="00041815"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623,576</w:t>
            </w:r>
          </w:p>
        </w:tc>
        <w:tc>
          <w:tcPr>
            <w:tcW w:w="1276" w:type="dxa"/>
            <w:tcBorders>
              <w:top w:val="single" w:sz="4" w:space="0" w:color="D9D9D9"/>
              <w:left w:val="single" w:sz="4" w:space="0" w:color="D9D9D9"/>
              <w:bottom w:val="single" w:sz="4" w:space="0" w:color="D9D9D9"/>
              <w:right w:val="single" w:sz="4" w:space="0" w:color="D9D9D9"/>
            </w:tcBorders>
            <w:vAlign w:val="center"/>
          </w:tcPr>
          <w:p w14:paraId="4A190FBE" w14:textId="77777777" w:rsidR="0056738E" w:rsidRPr="00041815" w:rsidRDefault="0056738E" w:rsidP="007C2AEE">
            <w:pPr>
              <w:tabs>
                <w:tab w:val="left" w:pos="0"/>
                <w:tab w:val="right" w:pos="7560"/>
                <w:tab w:val="right" w:pos="9000"/>
              </w:tabs>
              <w:jc w:val="right"/>
              <w:rPr>
                <w:rFonts w:ascii="Arial" w:hAnsi="Arial" w:cs="Arial"/>
                <w:sz w:val="18"/>
                <w:szCs w:val="18"/>
                <w:lang w:val="el-GR"/>
              </w:rPr>
            </w:pPr>
            <w:r w:rsidRPr="00E25891">
              <w:rPr>
                <w:rFonts w:ascii="Arial" w:hAnsi="Arial" w:cs="Arial"/>
                <w:sz w:val="18"/>
                <w:szCs w:val="18"/>
              </w:rPr>
              <w:t>572,164</w:t>
            </w:r>
          </w:p>
        </w:tc>
      </w:tr>
      <w:tr w:rsidR="0056738E" w:rsidRPr="00711854" w14:paraId="7FDFCC5D" w14:textId="77777777" w:rsidTr="007C2AEE">
        <w:trPr>
          <w:trHeight w:val="227"/>
          <w:jc w:val="center"/>
        </w:trPr>
        <w:tc>
          <w:tcPr>
            <w:tcW w:w="6236" w:type="dxa"/>
            <w:tcBorders>
              <w:top w:val="single" w:sz="4" w:space="0" w:color="D9D9D9"/>
              <w:left w:val="single" w:sz="4" w:space="0" w:color="D9D9D9"/>
              <w:bottom w:val="single" w:sz="4" w:space="0" w:color="D9D9D9"/>
              <w:right w:val="single" w:sz="4" w:space="0" w:color="D9D9D9"/>
            </w:tcBorders>
            <w:vAlign w:val="center"/>
            <w:hideMark/>
          </w:tcPr>
          <w:p w14:paraId="7C38E8A4" w14:textId="77777777" w:rsidR="0056738E" w:rsidRPr="001C3AA9" w:rsidRDefault="0056738E" w:rsidP="007C2AEE">
            <w:pPr>
              <w:tabs>
                <w:tab w:val="left" w:pos="0"/>
                <w:tab w:val="right" w:pos="7560"/>
                <w:tab w:val="right" w:pos="9000"/>
              </w:tabs>
              <w:jc w:val="both"/>
              <w:rPr>
                <w:rFonts w:ascii="Arial" w:hAnsi="Arial" w:cs="Arial"/>
                <w:sz w:val="18"/>
                <w:szCs w:val="18"/>
                <w:lang w:val="el-GR"/>
              </w:rPr>
            </w:pPr>
            <w:r w:rsidRPr="001C3AA9">
              <w:rPr>
                <w:rFonts w:ascii="Arial" w:hAnsi="Arial" w:cs="Arial"/>
                <w:sz w:val="18"/>
                <w:szCs w:val="18"/>
                <w:lang w:val="el-GR"/>
              </w:rPr>
              <w:t>Καθαρά έσοδα από αμοιβές και προμήθειες στην υποκείμενη βάση/</w:t>
            </w:r>
            <w:r w:rsidRPr="00527619">
              <w:rPr>
                <w:rFonts w:ascii="Arial" w:hAnsi="Arial" w:cs="Arial"/>
                <w:sz w:val="18"/>
                <w:szCs w:val="18"/>
                <w:lang w:val="el-GR"/>
              </w:rPr>
              <w:t>στην απαιτούμενη από τη νομοθεσία βάση</w:t>
            </w:r>
          </w:p>
        </w:tc>
        <w:tc>
          <w:tcPr>
            <w:tcW w:w="1275" w:type="dxa"/>
            <w:tcBorders>
              <w:top w:val="single" w:sz="4" w:space="0" w:color="D9D9D9"/>
              <w:left w:val="single" w:sz="4" w:space="0" w:color="D9D9D9"/>
              <w:bottom w:val="single" w:sz="4" w:space="0" w:color="D9D9D9"/>
              <w:right w:val="single" w:sz="4" w:space="0" w:color="D9D9D9"/>
            </w:tcBorders>
            <w:vAlign w:val="center"/>
          </w:tcPr>
          <w:p w14:paraId="2E41D3D7" w14:textId="77777777" w:rsidR="0056738E" w:rsidRPr="00041815"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130,660</w:t>
            </w:r>
          </w:p>
        </w:tc>
        <w:tc>
          <w:tcPr>
            <w:tcW w:w="1276" w:type="dxa"/>
            <w:tcBorders>
              <w:top w:val="single" w:sz="4" w:space="0" w:color="D9D9D9"/>
              <w:left w:val="single" w:sz="4" w:space="0" w:color="D9D9D9"/>
              <w:bottom w:val="single" w:sz="4" w:space="0" w:color="D9D9D9"/>
              <w:right w:val="single" w:sz="4" w:space="0" w:color="D9D9D9"/>
            </w:tcBorders>
            <w:vAlign w:val="center"/>
          </w:tcPr>
          <w:p w14:paraId="2E68A71D" w14:textId="77777777" w:rsidR="0056738E" w:rsidRPr="00041815" w:rsidRDefault="0056738E" w:rsidP="007C2AEE">
            <w:pPr>
              <w:tabs>
                <w:tab w:val="left" w:pos="0"/>
                <w:tab w:val="right" w:pos="7560"/>
                <w:tab w:val="right" w:pos="9000"/>
              </w:tabs>
              <w:jc w:val="right"/>
              <w:rPr>
                <w:rFonts w:ascii="Arial" w:hAnsi="Arial" w:cs="Arial"/>
                <w:sz w:val="18"/>
                <w:szCs w:val="18"/>
                <w:lang w:val="el-GR"/>
              </w:rPr>
            </w:pPr>
            <w:r w:rsidRPr="00E25891">
              <w:rPr>
                <w:rFonts w:ascii="Arial" w:hAnsi="Arial" w:cs="Arial"/>
                <w:sz w:val="18"/>
                <w:szCs w:val="18"/>
              </w:rPr>
              <w:t>134,518</w:t>
            </w:r>
          </w:p>
        </w:tc>
      </w:tr>
      <w:tr w:rsidR="0056738E" w:rsidRPr="00711854" w14:paraId="01D11B35" w14:textId="77777777" w:rsidTr="007C2AEE">
        <w:trPr>
          <w:trHeight w:val="227"/>
          <w:jc w:val="center"/>
        </w:trPr>
        <w:tc>
          <w:tcPr>
            <w:tcW w:w="6236" w:type="dxa"/>
            <w:tcBorders>
              <w:top w:val="single" w:sz="4" w:space="0" w:color="D9D9D9"/>
              <w:left w:val="single" w:sz="4" w:space="0" w:color="D9D9D9"/>
              <w:bottom w:val="single" w:sz="4" w:space="0" w:color="D9D9D9"/>
              <w:right w:val="single" w:sz="4" w:space="0" w:color="D9D9D9"/>
            </w:tcBorders>
            <w:vAlign w:val="center"/>
            <w:hideMark/>
          </w:tcPr>
          <w:p w14:paraId="47AFFAE7" w14:textId="77777777" w:rsidR="0056738E" w:rsidRPr="001C3AA9" w:rsidRDefault="0056738E" w:rsidP="007C2AEE">
            <w:pPr>
              <w:tabs>
                <w:tab w:val="left" w:pos="0"/>
                <w:tab w:val="right" w:pos="7560"/>
                <w:tab w:val="right" w:pos="9000"/>
              </w:tabs>
              <w:jc w:val="both"/>
              <w:rPr>
                <w:rFonts w:ascii="Arial" w:hAnsi="Arial" w:cs="Arial"/>
                <w:sz w:val="18"/>
                <w:szCs w:val="18"/>
                <w:lang w:val="el-GR"/>
              </w:rPr>
            </w:pPr>
            <w:r w:rsidRPr="001C3AA9">
              <w:rPr>
                <w:rFonts w:ascii="Arial" w:hAnsi="Arial" w:cs="Arial"/>
                <w:sz w:val="18"/>
                <w:szCs w:val="18"/>
                <w:lang w:val="el-GR"/>
              </w:rPr>
              <w:t>Καθαρά κέρδη από διαπραγμάτευση συναλλάγματος</w:t>
            </w:r>
            <w:r>
              <w:rPr>
                <w:rFonts w:ascii="Arial" w:hAnsi="Arial" w:cs="Arial"/>
                <w:sz w:val="18"/>
                <w:szCs w:val="18"/>
                <w:lang w:val="el-GR"/>
              </w:rPr>
              <w:t xml:space="preserve">, </w:t>
            </w:r>
            <w:r w:rsidRPr="001C3AA9">
              <w:rPr>
                <w:rFonts w:ascii="Arial" w:hAnsi="Arial" w:cs="Arial"/>
                <w:sz w:val="18"/>
                <w:szCs w:val="18"/>
                <w:lang w:val="el-GR"/>
              </w:rPr>
              <w:t>Καθαρά κέρδη από</w:t>
            </w:r>
            <w:r>
              <w:rPr>
                <w:rFonts w:ascii="Arial" w:hAnsi="Arial" w:cs="Arial"/>
                <w:sz w:val="18"/>
                <w:szCs w:val="18"/>
                <w:lang w:val="el-GR"/>
              </w:rPr>
              <w:t xml:space="preserve"> </w:t>
            </w:r>
            <w:r w:rsidRPr="001C3AA9">
              <w:rPr>
                <w:rFonts w:ascii="Arial" w:hAnsi="Arial" w:cs="Arial"/>
                <w:sz w:val="18"/>
                <w:szCs w:val="18"/>
                <w:lang w:val="el-GR"/>
              </w:rPr>
              <w:t>χρηματοοικονομικά μέσα</w:t>
            </w:r>
            <w:r>
              <w:rPr>
                <w:rFonts w:ascii="Arial" w:hAnsi="Arial" w:cs="Arial"/>
                <w:sz w:val="18"/>
                <w:szCs w:val="18"/>
                <w:lang w:val="el-GR"/>
              </w:rPr>
              <w:t xml:space="preserve"> </w:t>
            </w:r>
            <w:r w:rsidRPr="00FD7F84">
              <w:rPr>
                <w:rFonts w:ascii="Arial" w:hAnsi="Arial" w:cs="Arial"/>
                <w:sz w:val="18"/>
                <w:szCs w:val="18"/>
                <w:lang w:val="el-GR"/>
              </w:rPr>
              <w:t xml:space="preserve">και Καθαρά κέρδη από </w:t>
            </w:r>
            <w:proofErr w:type="spellStart"/>
            <w:r w:rsidRPr="00FD7F84">
              <w:rPr>
                <w:rFonts w:ascii="Arial" w:hAnsi="Arial" w:cs="Arial"/>
                <w:sz w:val="18"/>
                <w:szCs w:val="18"/>
                <w:lang w:val="el-GR"/>
              </w:rPr>
              <w:t>αποαναγνώριση</w:t>
            </w:r>
            <w:proofErr w:type="spellEnd"/>
            <w:r w:rsidRPr="00FD7F84">
              <w:rPr>
                <w:rFonts w:ascii="Arial" w:hAnsi="Arial" w:cs="Arial"/>
                <w:sz w:val="18"/>
                <w:szCs w:val="18"/>
                <w:lang w:val="el-GR"/>
              </w:rPr>
              <w:t xml:space="preserve"> χρηματοοικονομικών περιουσιακών στοιχείων</w:t>
            </w:r>
            <w:r w:rsidRPr="001C3AA9">
              <w:rPr>
                <w:rFonts w:ascii="Arial" w:hAnsi="Arial" w:cs="Arial"/>
                <w:sz w:val="18"/>
                <w:szCs w:val="18"/>
                <w:lang w:val="el-GR"/>
              </w:rPr>
              <w:t xml:space="preserve"> που επιμετρούνται σε αποσβεσμένο</w:t>
            </w:r>
            <w:r>
              <w:rPr>
                <w:rFonts w:ascii="Arial" w:hAnsi="Arial" w:cs="Arial"/>
                <w:sz w:val="18"/>
                <w:szCs w:val="18"/>
                <w:lang w:val="el-GR"/>
              </w:rPr>
              <w:t xml:space="preserve"> </w:t>
            </w:r>
            <w:r w:rsidRPr="001C3AA9">
              <w:rPr>
                <w:rFonts w:ascii="Arial" w:hAnsi="Arial" w:cs="Arial"/>
                <w:sz w:val="18"/>
                <w:szCs w:val="18"/>
                <w:lang w:val="el-GR"/>
              </w:rPr>
              <w:t>κόστος στην υποκείμενη βάση</w:t>
            </w:r>
            <w:r>
              <w:rPr>
                <w:rFonts w:ascii="Arial" w:hAnsi="Arial" w:cs="Arial"/>
                <w:sz w:val="18"/>
                <w:szCs w:val="18"/>
                <w:lang w:val="el-GR"/>
              </w:rPr>
              <w:t xml:space="preserve"> </w:t>
            </w:r>
            <w:r w:rsidRPr="00041815">
              <w:rPr>
                <w:rFonts w:ascii="Arial" w:hAnsi="Arial" w:cs="Arial"/>
                <w:i/>
                <w:iCs/>
                <w:sz w:val="18"/>
                <w:szCs w:val="18"/>
                <w:lang w:val="el-GR"/>
              </w:rPr>
              <w:t>(ως ο πίνακας 2.</w:t>
            </w:r>
            <w:r>
              <w:rPr>
                <w:rFonts w:ascii="Arial" w:hAnsi="Arial" w:cs="Arial"/>
                <w:i/>
                <w:iCs/>
                <w:sz w:val="18"/>
                <w:szCs w:val="18"/>
                <w:lang w:val="el-GR"/>
              </w:rPr>
              <w:t>2.2</w:t>
            </w:r>
            <w:r w:rsidRPr="00041815">
              <w:rPr>
                <w:rFonts w:ascii="Arial" w:hAnsi="Arial" w:cs="Arial"/>
                <w:i/>
                <w:iCs/>
                <w:sz w:val="18"/>
                <w:szCs w:val="18"/>
                <w:lang w:val="el-GR"/>
              </w:rPr>
              <w:t xml:space="preserve"> πιο κάτω)</w:t>
            </w:r>
          </w:p>
        </w:tc>
        <w:tc>
          <w:tcPr>
            <w:tcW w:w="1275" w:type="dxa"/>
            <w:tcBorders>
              <w:top w:val="single" w:sz="4" w:space="0" w:color="D9D9D9"/>
              <w:left w:val="single" w:sz="4" w:space="0" w:color="D9D9D9"/>
              <w:bottom w:val="single" w:sz="4" w:space="0" w:color="D9D9D9"/>
              <w:right w:val="single" w:sz="4" w:space="0" w:color="D9D9D9"/>
            </w:tcBorders>
            <w:vAlign w:val="center"/>
          </w:tcPr>
          <w:p w14:paraId="45395825" w14:textId="77777777" w:rsidR="0056738E" w:rsidRPr="00041815"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27,481</w:t>
            </w:r>
          </w:p>
        </w:tc>
        <w:tc>
          <w:tcPr>
            <w:tcW w:w="1276" w:type="dxa"/>
            <w:tcBorders>
              <w:top w:val="single" w:sz="4" w:space="0" w:color="D9D9D9"/>
              <w:left w:val="single" w:sz="4" w:space="0" w:color="D9D9D9"/>
              <w:bottom w:val="single" w:sz="4" w:space="0" w:color="D9D9D9"/>
              <w:right w:val="single" w:sz="4" w:space="0" w:color="D9D9D9"/>
            </w:tcBorders>
            <w:vAlign w:val="center"/>
          </w:tcPr>
          <w:p w14:paraId="43F75051" w14:textId="77777777" w:rsidR="0056738E" w:rsidRPr="00041815" w:rsidRDefault="0056738E" w:rsidP="007C2AEE">
            <w:pPr>
              <w:tabs>
                <w:tab w:val="left" w:pos="0"/>
                <w:tab w:val="right" w:pos="7560"/>
                <w:tab w:val="right" w:pos="9000"/>
              </w:tabs>
              <w:jc w:val="right"/>
              <w:rPr>
                <w:rFonts w:ascii="Arial" w:hAnsi="Arial" w:cs="Arial"/>
                <w:sz w:val="18"/>
                <w:szCs w:val="18"/>
                <w:lang w:val="el-GR"/>
              </w:rPr>
            </w:pPr>
            <w:r w:rsidRPr="00E25891">
              <w:rPr>
                <w:rFonts w:ascii="Arial" w:hAnsi="Arial" w:cs="Arial"/>
                <w:sz w:val="18"/>
                <w:szCs w:val="18"/>
              </w:rPr>
              <w:t>28,854</w:t>
            </w:r>
          </w:p>
        </w:tc>
      </w:tr>
      <w:tr w:rsidR="0056738E" w:rsidRPr="00711854" w14:paraId="37257238" w14:textId="77777777" w:rsidTr="007C2AEE">
        <w:trPr>
          <w:trHeight w:val="227"/>
          <w:jc w:val="center"/>
        </w:trPr>
        <w:tc>
          <w:tcPr>
            <w:tcW w:w="6236" w:type="dxa"/>
            <w:tcBorders>
              <w:top w:val="single" w:sz="4" w:space="0" w:color="D9D9D9"/>
              <w:left w:val="single" w:sz="4" w:space="0" w:color="D9D9D9"/>
              <w:bottom w:val="single" w:sz="4" w:space="0" w:color="D9D9D9"/>
              <w:right w:val="single" w:sz="4" w:space="0" w:color="D9D9D9"/>
            </w:tcBorders>
            <w:vAlign w:val="center"/>
            <w:hideMark/>
          </w:tcPr>
          <w:p w14:paraId="4E0D6352" w14:textId="77777777" w:rsidR="0056738E" w:rsidRPr="001C3AA9" w:rsidRDefault="0056738E" w:rsidP="007C2AEE">
            <w:pPr>
              <w:autoSpaceDE w:val="0"/>
              <w:autoSpaceDN w:val="0"/>
              <w:adjustRightInd w:val="0"/>
              <w:jc w:val="both"/>
              <w:rPr>
                <w:rFonts w:ascii="Arial" w:hAnsi="Arial" w:cs="Arial"/>
                <w:bCs/>
                <w:color w:val="000000"/>
                <w:sz w:val="18"/>
                <w:szCs w:val="18"/>
                <w:lang w:val="el-GR"/>
              </w:rPr>
            </w:pPr>
            <w:r w:rsidRPr="001C3AA9">
              <w:rPr>
                <w:rFonts w:ascii="Arial" w:hAnsi="Arial" w:cs="Arial"/>
                <w:sz w:val="18"/>
                <w:szCs w:val="18"/>
                <w:lang w:val="el-GR"/>
              </w:rPr>
              <w:t>Καθαρ</w:t>
            </w:r>
            <w:r>
              <w:rPr>
                <w:rFonts w:ascii="Arial" w:hAnsi="Arial" w:cs="Arial"/>
                <w:sz w:val="18"/>
                <w:szCs w:val="18"/>
                <w:lang w:val="el-GR"/>
              </w:rPr>
              <w:t>ό</w:t>
            </w:r>
            <w:r w:rsidRPr="001C3AA9">
              <w:rPr>
                <w:rFonts w:ascii="Arial" w:hAnsi="Arial" w:cs="Arial"/>
                <w:sz w:val="18"/>
                <w:szCs w:val="18"/>
                <w:lang w:val="el-GR"/>
              </w:rPr>
              <w:t xml:space="preserve"> αποτ</w:t>
            </w:r>
            <w:r>
              <w:rPr>
                <w:rFonts w:ascii="Arial" w:hAnsi="Arial" w:cs="Arial"/>
                <w:sz w:val="18"/>
                <w:szCs w:val="18"/>
                <w:lang w:val="el-GR"/>
              </w:rPr>
              <w:t>έ</w:t>
            </w:r>
            <w:r w:rsidRPr="001C3AA9">
              <w:rPr>
                <w:rFonts w:ascii="Arial" w:hAnsi="Arial" w:cs="Arial"/>
                <w:sz w:val="18"/>
                <w:szCs w:val="18"/>
                <w:lang w:val="el-GR"/>
              </w:rPr>
              <w:t>λ</w:t>
            </w:r>
            <w:r>
              <w:rPr>
                <w:rFonts w:ascii="Arial" w:hAnsi="Arial" w:cs="Arial"/>
                <w:sz w:val="18"/>
                <w:szCs w:val="18"/>
                <w:lang w:val="el-GR"/>
              </w:rPr>
              <w:t>ε</w:t>
            </w:r>
            <w:r w:rsidRPr="001C3AA9">
              <w:rPr>
                <w:rFonts w:ascii="Arial" w:hAnsi="Arial" w:cs="Arial"/>
                <w:sz w:val="18"/>
                <w:szCs w:val="18"/>
                <w:lang w:val="el-GR"/>
              </w:rPr>
              <w:t xml:space="preserve">σμα από ασφαλιστικές </w:t>
            </w:r>
            <w:r>
              <w:rPr>
                <w:rFonts w:ascii="Arial" w:hAnsi="Arial" w:cs="Arial"/>
                <w:sz w:val="18"/>
                <w:szCs w:val="18"/>
                <w:lang w:val="el-GR"/>
              </w:rPr>
              <w:t>εργασίες*</w:t>
            </w:r>
          </w:p>
        </w:tc>
        <w:tc>
          <w:tcPr>
            <w:tcW w:w="1275" w:type="dxa"/>
            <w:tcBorders>
              <w:top w:val="single" w:sz="4" w:space="0" w:color="D9D9D9"/>
              <w:left w:val="single" w:sz="4" w:space="0" w:color="D9D9D9"/>
              <w:bottom w:val="single" w:sz="4" w:space="0" w:color="D9D9D9"/>
              <w:right w:val="single" w:sz="4" w:space="0" w:color="D9D9D9"/>
            </w:tcBorders>
            <w:vAlign w:val="center"/>
          </w:tcPr>
          <w:p w14:paraId="72A81AED" w14:textId="77777777" w:rsidR="0056738E" w:rsidRPr="00041815" w:rsidRDefault="0056738E" w:rsidP="007C2AEE">
            <w:pPr>
              <w:tabs>
                <w:tab w:val="right" w:pos="7560"/>
                <w:tab w:val="right" w:pos="9000"/>
              </w:tabs>
              <w:ind w:left="-108"/>
              <w:jc w:val="right"/>
              <w:rPr>
                <w:rFonts w:ascii="Arial" w:hAnsi="Arial" w:cs="Arial"/>
                <w:b/>
                <w:bCs/>
                <w:sz w:val="18"/>
                <w:szCs w:val="18"/>
                <w:lang w:val="el-GR"/>
              </w:rPr>
            </w:pPr>
            <w:r>
              <w:rPr>
                <w:rFonts w:ascii="Arial" w:hAnsi="Arial" w:cs="Arial"/>
                <w:b/>
                <w:bCs/>
                <w:sz w:val="18"/>
                <w:szCs w:val="18"/>
              </w:rPr>
              <w:t>34,947</w:t>
            </w:r>
          </w:p>
        </w:tc>
        <w:tc>
          <w:tcPr>
            <w:tcW w:w="1276" w:type="dxa"/>
            <w:tcBorders>
              <w:top w:val="single" w:sz="4" w:space="0" w:color="D9D9D9"/>
              <w:left w:val="single" w:sz="4" w:space="0" w:color="D9D9D9"/>
              <w:bottom w:val="single" w:sz="4" w:space="0" w:color="D9D9D9"/>
              <w:right w:val="single" w:sz="4" w:space="0" w:color="D9D9D9"/>
            </w:tcBorders>
            <w:vAlign w:val="center"/>
          </w:tcPr>
          <w:p w14:paraId="361DFAA6" w14:textId="77777777" w:rsidR="0056738E" w:rsidRPr="00041815" w:rsidRDefault="0056738E" w:rsidP="007C2AEE">
            <w:pPr>
              <w:tabs>
                <w:tab w:val="right" w:pos="7560"/>
                <w:tab w:val="right" w:pos="9000"/>
              </w:tabs>
              <w:ind w:left="-108"/>
              <w:jc w:val="right"/>
              <w:rPr>
                <w:rFonts w:ascii="Arial" w:hAnsi="Arial" w:cs="Arial"/>
                <w:sz w:val="18"/>
                <w:szCs w:val="18"/>
                <w:lang w:val="el-GR"/>
              </w:rPr>
            </w:pPr>
            <w:r w:rsidRPr="00E25891">
              <w:rPr>
                <w:rFonts w:ascii="Arial" w:hAnsi="Arial" w:cs="Arial"/>
                <w:sz w:val="18"/>
                <w:szCs w:val="18"/>
              </w:rPr>
              <w:t>37,765</w:t>
            </w:r>
          </w:p>
        </w:tc>
      </w:tr>
      <w:tr w:rsidR="0056738E" w:rsidRPr="00711854" w14:paraId="5B1B863B" w14:textId="77777777" w:rsidTr="007C2AEE">
        <w:trPr>
          <w:trHeight w:val="227"/>
          <w:jc w:val="center"/>
        </w:trPr>
        <w:tc>
          <w:tcPr>
            <w:tcW w:w="6236" w:type="dxa"/>
            <w:tcBorders>
              <w:top w:val="single" w:sz="4" w:space="0" w:color="D9D9D9"/>
              <w:left w:val="single" w:sz="4" w:space="0" w:color="D9D9D9"/>
              <w:bottom w:val="single" w:sz="4" w:space="0" w:color="D9D9D9"/>
              <w:right w:val="single" w:sz="4" w:space="0" w:color="D9D9D9"/>
            </w:tcBorders>
            <w:vAlign w:val="center"/>
            <w:hideMark/>
          </w:tcPr>
          <w:p w14:paraId="329BA5DC" w14:textId="77777777" w:rsidR="0056738E" w:rsidRPr="001C3AA9" w:rsidRDefault="0056738E" w:rsidP="007C2AEE">
            <w:pPr>
              <w:autoSpaceDE w:val="0"/>
              <w:autoSpaceDN w:val="0"/>
              <w:adjustRightInd w:val="0"/>
              <w:jc w:val="both"/>
              <w:rPr>
                <w:rFonts w:ascii="Arial" w:hAnsi="Arial" w:cs="Arial"/>
                <w:color w:val="000000"/>
                <w:sz w:val="18"/>
                <w:szCs w:val="18"/>
                <w:lang w:val="el-GR"/>
              </w:rPr>
            </w:pPr>
            <w:r w:rsidRPr="001C3AA9">
              <w:rPr>
                <w:rFonts w:ascii="Arial" w:hAnsi="Arial" w:cs="Arial"/>
                <w:color w:val="000000"/>
                <w:sz w:val="18"/>
                <w:szCs w:val="18"/>
                <w:lang w:val="el-GR"/>
              </w:rPr>
              <w:t>Καθαρ</w:t>
            </w:r>
            <w:r>
              <w:rPr>
                <w:rFonts w:ascii="Arial" w:hAnsi="Arial" w:cs="Arial"/>
                <w:color w:val="000000"/>
                <w:sz w:val="18"/>
                <w:szCs w:val="18"/>
                <w:lang w:val="el-GR"/>
              </w:rPr>
              <w:t>ές (</w:t>
            </w:r>
            <w:r w:rsidRPr="001C3AA9">
              <w:rPr>
                <w:rFonts w:ascii="Arial" w:hAnsi="Arial" w:cs="Arial"/>
                <w:color w:val="000000"/>
                <w:sz w:val="18"/>
                <w:szCs w:val="18"/>
                <w:lang w:val="el-GR"/>
              </w:rPr>
              <w:t>ζημιές</w:t>
            </w:r>
            <w:r>
              <w:rPr>
                <w:rFonts w:ascii="Arial" w:hAnsi="Arial" w:cs="Arial"/>
                <w:color w:val="000000"/>
                <w:sz w:val="18"/>
                <w:szCs w:val="18"/>
                <w:lang w:val="el-GR"/>
              </w:rPr>
              <w:t>)/κέρδη</w:t>
            </w:r>
            <w:r w:rsidRPr="001C3AA9">
              <w:rPr>
                <w:rFonts w:ascii="Arial" w:hAnsi="Arial" w:cs="Arial"/>
                <w:color w:val="000000"/>
                <w:sz w:val="18"/>
                <w:szCs w:val="18"/>
                <w:lang w:val="el-GR"/>
              </w:rPr>
              <w:t xml:space="preserve"> από επανεκτίμηση και πώληση επενδύσεων σε ακίνητα και Καθαρά</w:t>
            </w:r>
            <w:r>
              <w:rPr>
                <w:rFonts w:ascii="Arial" w:hAnsi="Arial" w:cs="Arial"/>
                <w:color w:val="000000"/>
                <w:sz w:val="18"/>
                <w:szCs w:val="18"/>
                <w:lang w:val="el-GR"/>
              </w:rPr>
              <w:t xml:space="preserve"> </w:t>
            </w:r>
            <w:r w:rsidRPr="001C3AA9">
              <w:rPr>
                <w:rFonts w:ascii="Arial" w:hAnsi="Arial" w:cs="Arial"/>
                <w:color w:val="000000"/>
                <w:sz w:val="18"/>
                <w:szCs w:val="18"/>
                <w:lang w:val="el-GR"/>
              </w:rPr>
              <w:t>κέρδη από πώληση αποθεμάτων ακινήτων (</w:t>
            </w:r>
            <w:r w:rsidRPr="00527619">
              <w:rPr>
                <w:rFonts w:ascii="Arial" w:hAnsi="Arial" w:cs="Arial"/>
                <w:color w:val="000000"/>
                <w:sz w:val="18"/>
                <w:szCs w:val="18"/>
                <w:lang w:val="el-GR"/>
              </w:rPr>
              <w:t>στην απαιτούμενη από τη νομοθεσία βάση</w:t>
            </w:r>
            <w:r w:rsidRPr="001C3AA9">
              <w:rPr>
                <w:rFonts w:ascii="Arial" w:hAnsi="Arial" w:cs="Arial"/>
                <w:color w:val="000000"/>
                <w:sz w:val="18"/>
                <w:szCs w:val="18"/>
                <w:lang w:val="el-GR"/>
              </w:rPr>
              <w:t>)</w:t>
            </w:r>
          </w:p>
        </w:tc>
        <w:tc>
          <w:tcPr>
            <w:tcW w:w="1275" w:type="dxa"/>
            <w:tcBorders>
              <w:top w:val="single" w:sz="4" w:space="0" w:color="D9D9D9"/>
              <w:left w:val="single" w:sz="4" w:space="0" w:color="D9D9D9"/>
              <w:bottom w:val="single" w:sz="4" w:space="0" w:color="D9D9D9"/>
              <w:right w:val="single" w:sz="4" w:space="0" w:color="D9D9D9"/>
            </w:tcBorders>
            <w:vAlign w:val="center"/>
          </w:tcPr>
          <w:p w14:paraId="1836C8C2" w14:textId="77777777" w:rsidR="0056738E" w:rsidRPr="00041815"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3,322</w:t>
            </w:r>
          </w:p>
        </w:tc>
        <w:tc>
          <w:tcPr>
            <w:tcW w:w="1276" w:type="dxa"/>
            <w:tcBorders>
              <w:top w:val="single" w:sz="4" w:space="0" w:color="D9D9D9"/>
              <w:left w:val="single" w:sz="4" w:space="0" w:color="D9D9D9"/>
              <w:bottom w:val="single" w:sz="4" w:space="0" w:color="D9D9D9"/>
              <w:right w:val="single" w:sz="4" w:space="0" w:color="D9D9D9"/>
            </w:tcBorders>
            <w:vAlign w:val="center"/>
          </w:tcPr>
          <w:p w14:paraId="08C07A2B" w14:textId="77777777" w:rsidR="0056738E" w:rsidRPr="00041815" w:rsidRDefault="0056738E" w:rsidP="007C2AEE">
            <w:pPr>
              <w:tabs>
                <w:tab w:val="left" w:pos="0"/>
                <w:tab w:val="right" w:pos="7560"/>
                <w:tab w:val="right" w:pos="9000"/>
              </w:tabs>
              <w:jc w:val="right"/>
              <w:rPr>
                <w:rFonts w:ascii="Arial" w:hAnsi="Arial" w:cs="Arial"/>
                <w:sz w:val="18"/>
                <w:szCs w:val="18"/>
                <w:lang w:val="el-GR"/>
              </w:rPr>
            </w:pPr>
            <w:r w:rsidRPr="00E25891">
              <w:rPr>
                <w:rFonts w:ascii="Arial" w:hAnsi="Arial" w:cs="Arial"/>
                <w:sz w:val="18"/>
                <w:szCs w:val="18"/>
              </w:rPr>
              <w:t>7,028</w:t>
            </w:r>
          </w:p>
        </w:tc>
      </w:tr>
      <w:tr w:rsidR="0056738E" w:rsidRPr="00711854" w14:paraId="113589A6" w14:textId="77777777" w:rsidTr="007C2AEE">
        <w:trPr>
          <w:trHeight w:val="227"/>
          <w:jc w:val="center"/>
        </w:trPr>
        <w:tc>
          <w:tcPr>
            <w:tcW w:w="6236" w:type="dxa"/>
            <w:tcBorders>
              <w:top w:val="single" w:sz="4" w:space="0" w:color="D9D9D9"/>
              <w:left w:val="single" w:sz="4" w:space="0" w:color="D9D9D9"/>
              <w:bottom w:val="single" w:sz="4" w:space="0" w:color="D9D9D9"/>
              <w:right w:val="single" w:sz="4" w:space="0" w:color="D9D9D9"/>
            </w:tcBorders>
            <w:vAlign w:val="center"/>
            <w:hideMark/>
          </w:tcPr>
          <w:p w14:paraId="49F971A1" w14:textId="77777777" w:rsidR="0056738E" w:rsidRPr="001C3AA9" w:rsidRDefault="0056738E" w:rsidP="007C2AEE">
            <w:pPr>
              <w:autoSpaceDE w:val="0"/>
              <w:autoSpaceDN w:val="0"/>
              <w:adjustRightInd w:val="0"/>
              <w:jc w:val="both"/>
              <w:rPr>
                <w:rFonts w:ascii="Arial" w:hAnsi="Arial" w:cs="Arial"/>
                <w:color w:val="000000"/>
                <w:sz w:val="18"/>
                <w:szCs w:val="18"/>
                <w:lang w:val="el-GR"/>
              </w:rPr>
            </w:pPr>
            <w:r w:rsidRPr="001C3AA9">
              <w:rPr>
                <w:rFonts w:ascii="Arial" w:hAnsi="Arial" w:cs="Arial"/>
                <w:color w:val="000000"/>
                <w:sz w:val="18"/>
                <w:szCs w:val="18"/>
                <w:lang w:val="el-GR"/>
              </w:rPr>
              <w:t>Λοιπά έσοδα (</w:t>
            </w:r>
            <w:r w:rsidRPr="00527619">
              <w:rPr>
                <w:rFonts w:ascii="Arial" w:hAnsi="Arial" w:cs="Arial"/>
                <w:color w:val="000000"/>
                <w:sz w:val="18"/>
                <w:szCs w:val="18"/>
                <w:lang w:val="el-GR"/>
              </w:rPr>
              <w:t>στην απαιτούμενη από τη νομοθεσία βάση</w:t>
            </w:r>
            <w:r w:rsidRPr="001C3AA9">
              <w:rPr>
                <w:rFonts w:ascii="Arial" w:hAnsi="Arial" w:cs="Arial"/>
                <w:color w:val="000000"/>
                <w:sz w:val="18"/>
                <w:szCs w:val="18"/>
                <w:lang w:val="el-GR"/>
              </w:rPr>
              <w:t>)</w:t>
            </w:r>
          </w:p>
        </w:tc>
        <w:tc>
          <w:tcPr>
            <w:tcW w:w="1275" w:type="dxa"/>
            <w:tcBorders>
              <w:top w:val="single" w:sz="4" w:space="0" w:color="D9D9D9"/>
              <w:left w:val="single" w:sz="4" w:space="0" w:color="D9D9D9"/>
              <w:bottom w:val="single" w:sz="6" w:space="0" w:color="auto"/>
              <w:right w:val="single" w:sz="4" w:space="0" w:color="D9D9D9"/>
            </w:tcBorders>
            <w:vAlign w:val="center"/>
          </w:tcPr>
          <w:p w14:paraId="0189126C" w14:textId="77777777" w:rsidR="0056738E" w:rsidRPr="00041815"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7,544</w:t>
            </w:r>
          </w:p>
        </w:tc>
        <w:tc>
          <w:tcPr>
            <w:tcW w:w="1276" w:type="dxa"/>
            <w:tcBorders>
              <w:top w:val="single" w:sz="4" w:space="0" w:color="D9D9D9"/>
              <w:left w:val="single" w:sz="4" w:space="0" w:color="D9D9D9"/>
              <w:bottom w:val="single" w:sz="6" w:space="0" w:color="auto"/>
              <w:right w:val="single" w:sz="4" w:space="0" w:color="D9D9D9"/>
            </w:tcBorders>
            <w:vAlign w:val="center"/>
          </w:tcPr>
          <w:p w14:paraId="0294600D" w14:textId="77777777" w:rsidR="0056738E" w:rsidRPr="00041815" w:rsidRDefault="0056738E" w:rsidP="007C2AEE">
            <w:pPr>
              <w:tabs>
                <w:tab w:val="left" w:pos="0"/>
                <w:tab w:val="right" w:pos="7560"/>
                <w:tab w:val="right" w:pos="9000"/>
              </w:tabs>
              <w:jc w:val="right"/>
              <w:rPr>
                <w:rFonts w:ascii="Arial" w:hAnsi="Arial" w:cs="Arial"/>
                <w:sz w:val="18"/>
                <w:szCs w:val="18"/>
                <w:lang w:val="el-GR"/>
              </w:rPr>
            </w:pPr>
            <w:r w:rsidRPr="00E25891">
              <w:rPr>
                <w:rFonts w:ascii="Arial" w:hAnsi="Arial" w:cs="Arial"/>
                <w:sz w:val="18"/>
                <w:szCs w:val="18"/>
              </w:rPr>
              <w:t>15,147</w:t>
            </w:r>
          </w:p>
        </w:tc>
      </w:tr>
      <w:tr w:rsidR="0056738E" w:rsidRPr="00711854" w14:paraId="0A9BC111" w14:textId="77777777" w:rsidTr="007C2AEE">
        <w:trPr>
          <w:trHeight w:val="227"/>
          <w:jc w:val="center"/>
        </w:trPr>
        <w:tc>
          <w:tcPr>
            <w:tcW w:w="6236" w:type="dxa"/>
            <w:tcBorders>
              <w:top w:val="single" w:sz="4" w:space="0" w:color="D9D9D9"/>
              <w:left w:val="single" w:sz="4" w:space="0" w:color="D9D9D9"/>
              <w:bottom w:val="single" w:sz="4" w:space="0" w:color="D9D9D9"/>
              <w:right w:val="single" w:sz="4" w:space="0" w:color="D9D9D9"/>
            </w:tcBorders>
            <w:vAlign w:val="center"/>
            <w:hideMark/>
          </w:tcPr>
          <w:p w14:paraId="4DEE69C0" w14:textId="77777777" w:rsidR="0056738E" w:rsidRPr="001C3AA9" w:rsidRDefault="0056738E" w:rsidP="007C2AEE">
            <w:pPr>
              <w:tabs>
                <w:tab w:val="left" w:pos="0"/>
                <w:tab w:val="right" w:pos="7560"/>
                <w:tab w:val="right" w:pos="9000"/>
              </w:tabs>
              <w:jc w:val="both"/>
              <w:rPr>
                <w:rFonts w:ascii="Arial" w:hAnsi="Arial" w:cs="Arial"/>
                <w:b/>
                <w:sz w:val="18"/>
                <w:szCs w:val="18"/>
                <w:lang w:val="el-GR"/>
              </w:rPr>
            </w:pPr>
            <w:r w:rsidRPr="001C3AA9">
              <w:rPr>
                <w:rFonts w:ascii="Arial" w:hAnsi="Arial" w:cs="Arial"/>
                <w:b/>
                <w:sz w:val="18"/>
                <w:szCs w:val="18"/>
                <w:lang w:val="el-GR"/>
              </w:rPr>
              <w:t xml:space="preserve">Συνολικά </w:t>
            </w:r>
            <w:r>
              <w:rPr>
                <w:rFonts w:ascii="Arial" w:hAnsi="Arial" w:cs="Arial"/>
                <w:b/>
                <w:sz w:val="18"/>
                <w:szCs w:val="18"/>
                <w:lang w:val="el-GR"/>
              </w:rPr>
              <w:t>έσοδα</w:t>
            </w:r>
            <w:r w:rsidRPr="001C3AA9">
              <w:rPr>
                <w:rFonts w:ascii="Arial" w:hAnsi="Arial" w:cs="Arial"/>
                <w:b/>
                <w:sz w:val="18"/>
                <w:szCs w:val="18"/>
                <w:lang w:val="el-GR"/>
              </w:rPr>
              <w:t xml:space="preserve"> στην υποκείμενη βάση</w:t>
            </w:r>
          </w:p>
        </w:tc>
        <w:tc>
          <w:tcPr>
            <w:tcW w:w="1275" w:type="dxa"/>
            <w:tcBorders>
              <w:top w:val="single" w:sz="6" w:space="0" w:color="auto"/>
              <w:left w:val="single" w:sz="4" w:space="0" w:color="D9D9D9"/>
              <w:bottom w:val="double" w:sz="6" w:space="0" w:color="auto"/>
              <w:right w:val="single" w:sz="4" w:space="0" w:color="D9D9D9"/>
            </w:tcBorders>
            <w:vAlign w:val="center"/>
          </w:tcPr>
          <w:p w14:paraId="4E5BBE08" w14:textId="77777777" w:rsidR="0056738E" w:rsidRPr="00041815"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827,530</w:t>
            </w:r>
          </w:p>
        </w:tc>
        <w:tc>
          <w:tcPr>
            <w:tcW w:w="1276" w:type="dxa"/>
            <w:tcBorders>
              <w:top w:val="single" w:sz="6" w:space="0" w:color="auto"/>
              <w:left w:val="single" w:sz="4" w:space="0" w:color="D9D9D9"/>
              <w:bottom w:val="double" w:sz="6" w:space="0" w:color="auto"/>
              <w:right w:val="single" w:sz="4" w:space="0" w:color="D9D9D9"/>
            </w:tcBorders>
            <w:vAlign w:val="center"/>
          </w:tcPr>
          <w:p w14:paraId="309621CF" w14:textId="77777777" w:rsidR="0056738E" w:rsidRPr="00041815" w:rsidRDefault="0056738E" w:rsidP="007C2AEE">
            <w:pPr>
              <w:tabs>
                <w:tab w:val="left" w:pos="0"/>
                <w:tab w:val="right" w:pos="7560"/>
                <w:tab w:val="right" w:pos="9000"/>
              </w:tabs>
              <w:jc w:val="right"/>
              <w:rPr>
                <w:rFonts w:ascii="Arial" w:hAnsi="Arial" w:cs="Arial"/>
                <w:sz w:val="18"/>
                <w:szCs w:val="18"/>
                <w:lang w:val="el-GR"/>
              </w:rPr>
            </w:pPr>
            <w:r w:rsidRPr="00E25891">
              <w:rPr>
                <w:rFonts w:ascii="Arial" w:hAnsi="Arial" w:cs="Arial"/>
                <w:sz w:val="18"/>
                <w:szCs w:val="18"/>
              </w:rPr>
              <w:t>795,476</w:t>
            </w:r>
          </w:p>
        </w:tc>
      </w:tr>
    </w:tbl>
    <w:p w14:paraId="144A6BDD" w14:textId="77777777" w:rsidR="0056738E" w:rsidRDefault="0056738E" w:rsidP="0056738E">
      <w:pPr>
        <w:spacing w:after="0" w:line="240" w:lineRule="auto"/>
        <w:rPr>
          <w:rFonts w:ascii="Arial" w:hAnsi="Arial" w:cs="Arial"/>
          <w:sz w:val="18"/>
          <w:szCs w:val="18"/>
          <w:lang w:val="el-GR"/>
        </w:rPr>
      </w:pPr>
    </w:p>
    <w:p w14:paraId="0618CA17" w14:textId="77777777" w:rsidR="0056738E" w:rsidRDefault="0056738E" w:rsidP="0056738E">
      <w:pPr>
        <w:spacing w:after="0" w:line="240" w:lineRule="auto"/>
        <w:jc w:val="both"/>
        <w:rPr>
          <w:rFonts w:ascii="Arial" w:hAnsi="Arial" w:cs="Arial"/>
          <w:i/>
          <w:iCs/>
          <w:sz w:val="18"/>
          <w:szCs w:val="18"/>
          <w:lang w:val="el-GR"/>
        </w:rPr>
      </w:pPr>
      <w:r>
        <w:rPr>
          <w:rFonts w:ascii="Arial" w:hAnsi="Arial" w:cs="Arial"/>
          <w:sz w:val="18"/>
          <w:szCs w:val="18"/>
          <w:lang w:val="el-GR"/>
        </w:rPr>
        <w:t>*</w:t>
      </w:r>
      <w:r w:rsidRPr="00CB718B">
        <w:rPr>
          <w:rFonts w:ascii="Arial" w:hAnsi="Arial" w:cs="Arial"/>
          <w:i/>
          <w:iCs/>
          <w:sz w:val="18"/>
          <w:szCs w:val="18"/>
          <w:lang w:val="el-GR"/>
        </w:rPr>
        <w:t xml:space="preserve">Το </w:t>
      </w:r>
      <w:r>
        <w:rPr>
          <w:rFonts w:ascii="Arial" w:hAnsi="Arial" w:cs="Arial"/>
          <w:i/>
          <w:iCs/>
          <w:sz w:val="18"/>
          <w:szCs w:val="18"/>
          <w:lang w:val="el-GR"/>
        </w:rPr>
        <w:t>Κ</w:t>
      </w:r>
      <w:r w:rsidRPr="00CB718B">
        <w:rPr>
          <w:rFonts w:ascii="Arial" w:hAnsi="Arial" w:cs="Arial"/>
          <w:i/>
          <w:iCs/>
          <w:sz w:val="18"/>
          <w:szCs w:val="18"/>
          <w:lang w:val="el-GR"/>
        </w:rPr>
        <w:t xml:space="preserve">αθαρό αποτέλεσμα από ασφαλιστικές </w:t>
      </w:r>
      <w:r>
        <w:rPr>
          <w:rFonts w:ascii="Arial" w:hAnsi="Arial" w:cs="Arial"/>
          <w:i/>
          <w:iCs/>
          <w:sz w:val="18"/>
          <w:szCs w:val="18"/>
          <w:lang w:val="el-GR"/>
        </w:rPr>
        <w:t>εργασίες</w:t>
      </w:r>
      <w:r w:rsidRPr="00CB718B">
        <w:rPr>
          <w:rFonts w:ascii="Arial" w:hAnsi="Arial" w:cs="Arial"/>
          <w:i/>
          <w:iCs/>
          <w:sz w:val="18"/>
          <w:szCs w:val="18"/>
          <w:lang w:val="el-GR"/>
        </w:rPr>
        <w:t xml:space="preserve"> </w:t>
      </w:r>
      <w:r>
        <w:rPr>
          <w:rFonts w:ascii="Arial" w:hAnsi="Arial" w:cs="Arial"/>
          <w:i/>
          <w:iCs/>
          <w:sz w:val="18"/>
          <w:szCs w:val="18"/>
          <w:lang w:val="el-GR"/>
        </w:rPr>
        <w:t>αποτελείται από</w:t>
      </w:r>
      <w:r w:rsidRPr="00CB718B">
        <w:rPr>
          <w:rFonts w:ascii="Arial" w:hAnsi="Arial" w:cs="Arial"/>
          <w:i/>
          <w:iCs/>
          <w:sz w:val="18"/>
          <w:szCs w:val="18"/>
          <w:lang w:val="el-GR"/>
        </w:rPr>
        <w:t xml:space="preserve"> το άθροισμα των </w:t>
      </w:r>
      <w:r>
        <w:rPr>
          <w:rFonts w:ascii="Arial" w:hAnsi="Arial" w:cs="Arial"/>
          <w:i/>
          <w:iCs/>
          <w:sz w:val="18"/>
          <w:szCs w:val="18"/>
          <w:lang w:val="el-GR"/>
        </w:rPr>
        <w:t>γραμμών</w:t>
      </w:r>
      <w:r w:rsidRPr="00CB718B">
        <w:rPr>
          <w:rFonts w:ascii="Arial" w:hAnsi="Arial" w:cs="Arial"/>
          <w:i/>
          <w:iCs/>
          <w:sz w:val="18"/>
          <w:szCs w:val="18"/>
          <w:lang w:val="el-GR"/>
        </w:rPr>
        <w:t xml:space="preserve"> ‘Καθαρά χρηματοοικονομικά έσοδα/(έξοδα)</w:t>
      </w:r>
      <w:r>
        <w:rPr>
          <w:rFonts w:ascii="Arial" w:hAnsi="Arial" w:cs="Arial"/>
          <w:i/>
          <w:iCs/>
          <w:sz w:val="18"/>
          <w:szCs w:val="18"/>
          <w:lang w:val="el-GR"/>
        </w:rPr>
        <w:t xml:space="preserve"> ασφάλισης και καθαρά χρηματοοικονομικά έσοδα/(έξοδα)</w:t>
      </w:r>
      <w:r w:rsidRPr="00CB718B">
        <w:rPr>
          <w:rFonts w:ascii="Arial" w:hAnsi="Arial" w:cs="Arial"/>
          <w:i/>
          <w:iCs/>
          <w:sz w:val="18"/>
          <w:szCs w:val="18"/>
          <w:lang w:val="el-GR"/>
        </w:rPr>
        <w:t xml:space="preserve"> αντασφάλισης’, ‘Καθαρά αποτελέσματα από ασφαλιστικές υπηρεσίες’ και ‘Καθαρά αποτελέσματα από </w:t>
      </w:r>
      <w:proofErr w:type="spellStart"/>
      <w:r w:rsidRPr="00CB718B">
        <w:rPr>
          <w:rFonts w:ascii="Arial" w:hAnsi="Arial" w:cs="Arial"/>
          <w:i/>
          <w:iCs/>
          <w:sz w:val="18"/>
          <w:szCs w:val="18"/>
          <w:lang w:val="el-GR"/>
        </w:rPr>
        <w:t>αντασφαλιστικές</w:t>
      </w:r>
      <w:proofErr w:type="spellEnd"/>
      <w:r w:rsidRPr="00CB718B">
        <w:rPr>
          <w:rFonts w:ascii="Arial" w:hAnsi="Arial" w:cs="Arial"/>
          <w:i/>
          <w:iCs/>
          <w:sz w:val="18"/>
          <w:szCs w:val="18"/>
          <w:lang w:val="el-GR"/>
        </w:rPr>
        <w:t xml:space="preserve"> υπηρεσίες’ </w:t>
      </w:r>
      <w:r>
        <w:rPr>
          <w:rFonts w:ascii="Arial" w:hAnsi="Arial" w:cs="Arial"/>
          <w:i/>
          <w:iCs/>
          <w:sz w:val="18"/>
          <w:szCs w:val="18"/>
          <w:lang w:val="el-GR"/>
        </w:rPr>
        <w:t>στην</w:t>
      </w:r>
      <w:r w:rsidRPr="00CB718B">
        <w:rPr>
          <w:rFonts w:ascii="Arial" w:hAnsi="Arial" w:cs="Arial"/>
          <w:i/>
          <w:iCs/>
          <w:sz w:val="18"/>
          <w:szCs w:val="18"/>
          <w:lang w:val="el-GR"/>
        </w:rPr>
        <w:t xml:space="preserve"> απαιτούμενη από την νομοθεσία </w:t>
      </w:r>
      <w:r>
        <w:rPr>
          <w:rFonts w:ascii="Arial" w:hAnsi="Arial" w:cs="Arial"/>
          <w:i/>
          <w:iCs/>
          <w:sz w:val="18"/>
          <w:szCs w:val="18"/>
          <w:lang w:val="el-GR"/>
        </w:rPr>
        <w:t>β</w:t>
      </w:r>
      <w:r w:rsidRPr="00CB718B">
        <w:rPr>
          <w:rFonts w:ascii="Arial" w:hAnsi="Arial" w:cs="Arial"/>
          <w:i/>
          <w:iCs/>
          <w:sz w:val="18"/>
          <w:szCs w:val="18"/>
          <w:lang w:val="el-GR"/>
        </w:rPr>
        <w:t>άση.</w:t>
      </w:r>
    </w:p>
    <w:p w14:paraId="000D8ECE" w14:textId="77777777" w:rsidR="0056738E" w:rsidRDefault="0056738E" w:rsidP="0056738E">
      <w:pPr>
        <w:rPr>
          <w:rFonts w:ascii="Arial" w:hAnsi="Arial" w:cs="Arial"/>
          <w:b/>
          <w:color w:val="FF9900"/>
          <w:lang w:val="el-GR"/>
        </w:rPr>
      </w:pPr>
      <w:r>
        <w:rPr>
          <w:rFonts w:ascii="Arial" w:hAnsi="Arial" w:cs="Arial"/>
          <w:b/>
          <w:color w:val="FF9900"/>
          <w:lang w:val="el-GR"/>
        </w:rPr>
        <w:br w:type="page"/>
      </w:r>
    </w:p>
    <w:p w14:paraId="232C1C07" w14:textId="77777777" w:rsidR="0056738E" w:rsidRDefault="0056738E" w:rsidP="0056738E">
      <w:pPr>
        <w:spacing w:after="0" w:line="360" w:lineRule="auto"/>
        <w:ind w:left="851" w:hanging="851"/>
        <w:rPr>
          <w:rFonts w:ascii="Arial" w:hAnsi="Arial" w:cs="Arial"/>
          <w:b/>
          <w:color w:val="FF9900"/>
          <w:lang w:val="el-GR"/>
        </w:rPr>
      </w:pPr>
      <w:r>
        <w:rPr>
          <w:rFonts w:ascii="Arial" w:hAnsi="Arial" w:cs="Arial"/>
          <w:b/>
          <w:color w:val="FF9900"/>
          <w:lang w:val="el-GR"/>
        </w:rPr>
        <w:lastRenderedPageBreak/>
        <w:t>Η</w:t>
      </w:r>
      <w:r w:rsidRPr="009B5694">
        <w:rPr>
          <w:rFonts w:ascii="Arial" w:hAnsi="Arial" w:cs="Arial"/>
          <w:b/>
          <w:color w:val="FF9900"/>
          <w:lang w:val="el-GR"/>
        </w:rPr>
        <w:t xml:space="preserve">. </w:t>
      </w:r>
      <w:r w:rsidRPr="009B5694">
        <w:rPr>
          <w:rFonts w:ascii="Arial" w:hAnsi="Arial" w:cs="Arial"/>
          <w:b/>
          <w:color w:val="FF9900"/>
          <w:lang w:val="el-GR"/>
        </w:rPr>
        <w:tab/>
      </w:r>
      <w:r w:rsidRPr="009D3A1F">
        <w:rPr>
          <w:rFonts w:ascii="Arial" w:hAnsi="Arial" w:cs="Arial"/>
          <w:b/>
          <w:color w:val="FF9900"/>
          <w:lang w:val="el-GR"/>
        </w:rPr>
        <w:t>Εναλλακτικ</w:t>
      </w:r>
      <w:r>
        <w:rPr>
          <w:rFonts w:ascii="Arial" w:hAnsi="Arial" w:cs="Arial"/>
          <w:b/>
          <w:color w:val="FF9900"/>
          <w:lang w:val="el-GR"/>
        </w:rPr>
        <w:t>ά</w:t>
      </w:r>
      <w:r w:rsidRPr="009D3A1F">
        <w:rPr>
          <w:rFonts w:ascii="Arial" w:hAnsi="Arial" w:cs="Arial"/>
          <w:b/>
          <w:color w:val="FF9900"/>
          <w:lang w:val="el-GR"/>
        </w:rPr>
        <w:t xml:space="preserve"> Μέτρ</w:t>
      </w:r>
      <w:r>
        <w:rPr>
          <w:rFonts w:ascii="Arial" w:hAnsi="Arial" w:cs="Arial"/>
          <w:b/>
          <w:color w:val="FF9900"/>
          <w:lang w:val="el-GR"/>
        </w:rPr>
        <w:t>α</w:t>
      </w:r>
      <w:r w:rsidRPr="009D3A1F">
        <w:rPr>
          <w:rFonts w:ascii="Arial" w:hAnsi="Arial" w:cs="Arial"/>
          <w:b/>
          <w:color w:val="FF9900"/>
          <w:lang w:val="el-GR"/>
        </w:rPr>
        <w:t xml:space="preserve"> Απόδοσης</w:t>
      </w:r>
      <w:r>
        <w:rPr>
          <w:rFonts w:ascii="Arial" w:hAnsi="Arial" w:cs="Arial"/>
          <w:b/>
          <w:color w:val="FF9900"/>
          <w:lang w:val="el-GR"/>
        </w:rPr>
        <w:t xml:space="preserve"> </w:t>
      </w:r>
      <w:r w:rsidRPr="00B964B1">
        <w:rPr>
          <w:rFonts w:ascii="Arial" w:hAnsi="Arial" w:cs="Arial"/>
          <w:color w:val="FF9900"/>
          <w:lang w:val="el-GR"/>
        </w:rPr>
        <w:t>(συνέχεια)</w:t>
      </w:r>
    </w:p>
    <w:p w14:paraId="6E3BEBF1" w14:textId="77777777" w:rsidR="0056738E" w:rsidRPr="00041815" w:rsidRDefault="0056738E" w:rsidP="0056738E">
      <w:pPr>
        <w:shd w:val="clear" w:color="auto" w:fill="FFFFFF"/>
        <w:tabs>
          <w:tab w:val="left" w:pos="810"/>
        </w:tabs>
        <w:suppressAutoHyphens/>
        <w:spacing w:after="0" w:line="360" w:lineRule="auto"/>
        <w:jc w:val="both"/>
        <w:rPr>
          <w:rFonts w:ascii="Arial" w:hAnsi="Arial" w:cs="Arial"/>
          <w:b/>
          <w:color w:val="FF9900"/>
          <w:sz w:val="20"/>
          <w:szCs w:val="20"/>
          <w:lang w:val="el-GR"/>
        </w:rPr>
      </w:pPr>
      <w:r w:rsidRPr="005B05F8">
        <w:rPr>
          <w:rFonts w:ascii="Arial" w:eastAsia="Times New Roman" w:hAnsi="Arial" w:cs="Arial"/>
          <w:b/>
          <w:color w:val="FF9900"/>
          <w:u w:val="single"/>
          <w:lang w:val="el-GR"/>
        </w:rPr>
        <w:t>Πληροφορίες Βασικών Δεικτών Απόδοσης</w:t>
      </w:r>
      <w:r w:rsidRPr="00041815">
        <w:rPr>
          <w:rFonts w:ascii="Arial" w:hAnsi="Arial" w:cs="Arial"/>
          <w:color w:val="FF9900"/>
          <w:sz w:val="20"/>
          <w:szCs w:val="20"/>
          <w:lang w:val="el-GR"/>
        </w:rPr>
        <w:t xml:space="preserve"> </w:t>
      </w:r>
      <w:r w:rsidRPr="00A03828">
        <w:rPr>
          <w:rFonts w:ascii="Arial" w:hAnsi="Arial" w:cs="Arial"/>
          <w:color w:val="FF9900"/>
          <w:lang w:val="el-GR"/>
        </w:rPr>
        <w:t>(συνέχεια)</w:t>
      </w:r>
    </w:p>
    <w:p w14:paraId="0BD77B42" w14:textId="77777777" w:rsidR="0056738E" w:rsidRPr="001C3AA9" w:rsidRDefault="0056738E" w:rsidP="0056738E">
      <w:pPr>
        <w:shd w:val="clear" w:color="auto" w:fill="FFFFFF"/>
        <w:suppressAutoHyphens/>
        <w:spacing w:after="0" w:line="360" w:lineRule="auto"/>
        <w:ind w:left="851" w:hanging="851"/>
        <w:jc w:val="both"/>
        <w:rPr>
          <w:rFonts w:ascii="Arial" w:hAnsi="Arial" w:cs="Arial"/>
          <w:b/>
          <w:color w:val="FF9900"/>
          <w:lang w:val="el-GR"/>
        </w:rPr>
      </w:pPr>
      <w:r w:rsidRPr="001C3AA9">
        <w:rPr>
          <w:rFonts w:ascii="Arial" w:hAnsi="Arial" w:cs="Arial"/>
          <w:b/>
          <w:color w:val="FF9900"/>
          <w:lang w:val="el-GR"/>
        </w:rPr>
        <w:t xml:space="preserve">2. </w:t>
      </w:r>
      <w:r w:rsidRPr="001C3AA9">
        <w:rPr>
          <w:rFonts w:ascii="Arial" w:hAnsi="Arial" w:cs="Arial"/>
          <w:b/>
          <w:color w:val="FF9900"/>
          <w:lang w:val="el-GR"/>
        </w:rPr>
        <w:tab/>
        <w:t>Δείκτης κόστος προς έσοδα</w:t>
      </w:r>
      <w:r w:rsidRPr="001C3AA9" w:rsidDel="00B87B42">
        <w:rPr>
          <w:rFonts w:ascii="Arial" w:hAnsi="Arial" w:cs="Arial"/>
          <w:b/>
          <w:color w:val="FF9900"/>
          <w:lang w:val="el-GR"/>
        </w:rPr>
        <w:t xml:space="preserve"> </w:t>
      </w:r>
      <w:r w:rsidRPr="00A03828">
        <w:rPr>
          <w:rFonts w:ascii="Arial" w:hAnsi="Arial" w:cs="Arial"/>
          <w:color w:val="FF9900"/>
          <w:lang w:val="el-GR"/>
        </w:rPr>
        <w:t>(συνέχεια)</w:t>
      </w:r>
    </w:p>
    <w:tbl>
      <w:tblPr>
        <w:tblStyle w:val="TableGrid"/>
        <w:tblW w:w="878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32"/>
        <w:gridCol w:w="1297"/>
        <w:gridCol w:w="1255"/>
      </w:tblGrid>
      <w:tr w:rsidR="0056738E" w:rsidRPr="007C2AEE" w14:paraId="0DCE4C2A" w14:textId="77777777" w:rsidTr="007C2AEE">
        <w:trPr>
          <w:trHeight w:val="279"/>
          <w:jc w:val="center"/>
        </w:trPr>
        <w:tc>
          <w:tcPr>
            <w:tcW w:w="6232" w:type="dxa"/>
            <w:vMerge w:val="restart"/>
            <w:vAlign w:val="center"/>
          </w:tcPr>
          <w:p w14:paraId="64A04C72" w14:textId="77777777" w:rsidR="0056738E" w:rsidRPr="00FF012C" w:rsidRDefault="0056738E" w:rsidP="007C2AEE">
            <w:pPr>
              <w:tabs>
                <w:tab w:val="right" w:pos="7560"/>
                <w:tab w:val="right" w:pos="9000"/>
              </w:tabs>
              <w:ind w:left="596" w:hanging="425"/>
              <w:jc w:val="both"/>
              <w:rPr>
                <w:rFonts w:ascii="Verdana" w:hAnsi="Verdana" w:cs="ArialMT"/>
                <w:b/>
                <w:color w:val="000000"/>
                <w:sz w:val="18"/>
                <w:szCs w:val="18"/>
                <w:lang w:val="el-GR"/>
              </w:rPr>
            </w:pPr>
            <w:r w:rsidRPr="00041815">
              <w:rPr>
                <w:rFonts w:ascii="Arial" w:hAnsi="Arial" w:cs="Arial"/>
                <w:b/>
                <w:sz w:val="18"/>
                <w:szCs w:val="18"/>
                <w:lang w:val="el-GR"/>
              </w:rPr>
              <w:t>2.</w:t>
            </w:r>
            <w:r>
              <w:rPr>
                <w:rFonts w:ascii="Arial" w:hAnsi="Arial" w:cs="Arial"/>
                <w:b/>
                <w:sz w:val="18"/>
                <w:szCs w:val="18"/>
                <w:lang w:val="el-GR"/>
              </w:rPr>
              <w:t>2.2</w:t>
            </w:r>
            <w:r w:rsidRPr="00041815">
              <w:rPr>
                <w:rFonts w:ascii="Arial" w:hAnsi="Arial" w:cs="Arial"/>
                <w:b/>
                <w:sz w:val="18"/>
                <w:szCs w:val="18"/>
                <w:lang w:val="el-GR"/>
              </w:rPr>
              <w:t xml:space="preserve"> Συμφιλίωση Καθαρών κερδών από διαπραγμάτευση συναλλάγματος, Καθαρ</w:t>
            </w:r>
            <w:r>
              <w:rPr>
                <w:rFonts w:ascii="Arial" w:hAnsi="Arial" w:cs="Arial"/>
                <w:b/>
                <w:sz w:val="18"/>
                <w:szCs w:val="18"/>
                <w:lang w:val="el-GR"/>
              </w:rPr>
              <w:t>ών</w:t>
            </w:r>
            <w:r w:rsidRPr="00041815">
              <w:rPr>
                <w:rFonts w:ascii="Arial" w:hAnsi="Arial" w:cs="Arial"/>
                <w:b/>
                <w:sz w:val="18"/>
                <w:szCs w:val="18"/>
                <w:lang w:val="el-GR"/>
              </w:rPr>
              <w:t xml:space="preserve"> κ</w:t>
            </w:r>
            <w:r>
              <w:rPr>
                <w:rFonts w:ascii="Arial" w:hAnsi="Arial" w:cs="Arial"/>
                <w:b/>
                <w:sz w:val="18"/>
                <w:szCs w:val="18"/>
                <w:lang w:val="el-GR"/>
              </w:rPr>
              <w:t>ερδών</w:t>
            </w:r>
            <w:r w:rsidRPr="00041815">
              <w:rPr>
                <w:rFonts w:ascii="Arial" w:hAnsi="Arial" w:cs="Arial"/>
                <w:b/>
                <w:sz w:val="18"/>
                <w:szCs w:val="18"/>
                <w:lang w:val="el-GR"/>
              </w:rPr>
              <w:t xml:space="preserve"> από χρηματοοικονομικά μέσα και Καθαρών κερδών από </w:t>
            </w:r>
            <w:proofErr w:type="spellStart"/>
            <w:r w:rsidRPr="00041815">
              <w:rPr>
                <w:rFonts w:ascii="Arial" w:hAnsi="Arial" w:cs="Arial"/>
                <w:b/>
                <w:sz w:val="18"/>
                <w:szCs w:val="18"/>
                <w:lang w:val="el-GR"/>
              </w:rPr>
              <w:t>αποαναγνώριση</w:t>
            </w:r>
            <w:proofErr w:type="spellEnd"/>
            <w:r w:rsidRPr="00041815">
              <w:rPr>
                <w:rFonts w:ascii="Arial" w:hAnsi="Arial" w:cs="Arial"/>
                <w:b/>
                <w:sz w:val="18"/>
                <w:szCs w:val="18"/>
                <w:lang w:val="el-GR"/>
              </w:rPr>
              <w:t xml:space="preserve"> χρηματοοικονομικών περιουσιακών στοιχείων που επιμετρούνται σε αποσβεσμένο κόστος μεταξύ </w:t>
            </w:r>
            <w:r>
              <w:rPr>
                <w:rFonts w:ascii="Arial" w:hAnsi="Arial" w:cs="Arial"/>
                <w:b/>
                <w:sz w:val="18"/>
                <w:szCs w:val="18"/>
                <w:lang w:val="el-GR"/>
              </w:rPr>
              <w:t>της απαιτούμενης από τη νομοθεσία</w:t>
            </w:r>
            <w:r w:rsidRPr="00041815">
              <w:rPr>
                <w:rFonts w:ascii="Arial" w:hAnsi="Arial" w:cs="Arial"/>
                <w:b/>
                <w:sz w:val="18"/>
                <w:szCs w:val="18"/>
                <w:lang w:val="el-GR"/>
              </w:rPr>
              <w:t xml:space="preserve"> βάση</w:t>
            </w:r>
            <w:r>
              <w:rPr>
                <w:rFonts w:ascii="Arial" w:hAnsi="Arial" w:cs="Arial"/>
                <w:b/>
                <w:sz w:val="18"/>
                <w:szCs w:val="18"/>
                <w:lang w:val="el-GR"/>
              </w:rPr>
              <w:t>ς</w:t>
            </w:r>
            <w:r w:rsidRPr="00041815">
              <w:rPr>
                <w:rFonts w:ascii="Arial" w:hAnsi="Arial" w:cs="Arial"/>
                <w:b/>
                <w:sz w:val="18"/>
                <w:szCs w:val="18"/>
                <w:lang w:val="el-GR"/>
              </w:rPr>
              <w:t xml:space="preserve"> και </w:t>
            </w:r>
            <w:r>
              <w:rPr>
                <w:rFonts w:ascii="Arial" w:hAnsi="Arial" w:cs="Arial"/>
                <w:b/>
                <w:sz w:val="18"/>
                <w:szCs w:val="18"/>
                <w:lang w:val="el-GR"/>
              </w:rPr>
              <w:t>της</w:t>
            </w:r>
            <w:r w:rsidRPr="00041815">
              <w:rPr>
                <w:rFonts w:ascii="Arial" w:hAnsi="Arial" w:cs="Arial"/>
                <w:b/>
                <w:sz w:val="18"/>
                <w:szCs w:val="18"/>
                <w:lang w:val="el-GR"/>
              </w:rPr>
              <w:t xml:space="preserve"> υποκείμενη</w:t>
            </w:r>
            <w:r>
              <w:rPr>
                <w:rFonts w:ascii="Arial" w:hAnsi="Arial" w:cs="Arial"/>
                <w:b/>
                <w:sz w:val="18"/>
                <w:szCs w:val="18"/>
                <w:lang w:val="el-GR"/>
              </w:rPr>
              <w:t>ς</w:t>
            </w:r>
            <w:r w:rsidRPr="00041815">
              <w:rPr>
                <w:rFonts w:ascii="Arial" w:hAnsi="Arial" w:cs="Arial"/>
                <w:b/>
                <w:sz w:val="18"/>
                <w:szCs w:val="18"/>
                <w:lang w:val="el-GR"/>
              </w:rPr>
              <w:t xml:space="preserve"> βάση</w:t>
            </w:r>
            <w:r>
              <w:rPr>
                <w:rFonts w:ascii="Arial" w:hAnsi="Arial" w:cs="Arial"/>
                <w:b/>
                <w:sz w:val="18"/>
                <w:szCs w:val="18"/>
                <w:lang w:val="el-GR"/>
              </w:rPr>
              <w:t>ς</w:t>
            </w:r>
          </w:p>
        </w:tc>
        <w:tc>
          <w:tcPr>
            <w:tcW w:w="2552" w:type="dxa"/>
            <w:gridSpan w:val="2"/>
            <w:tcBorders>
              <w:top w:val="single" w:sz="4" w:space="0" w:color="D9D9D9" w:themeColor="background1" w:themeShade="D9"/>
              <w:bottom w:val="single" w:sz="4" w:space="0" w:color="D9D9D9" w:themeColor="background1" w:themeShade="D9"/>
            </w:tcBorders>
            <w:shd w:val="clear" w:color="auto" w:fill="auto"/>
            <w:vAlign w:val="center"/>
          </w:tcPr>
          <w:p w14:paraId="74A19777" w14:textId="77777777" w:rsidR="0056738E" w:rsidRDefault="0056738E" w:rsidP="007C2AEE">
            <w:pPr>
              <w:ind w:left="-31" w:right="-65"/>
              <w:jc w:val="center"/>
              <w:rPr>
                <w:rFonts w:ascii="Arial" w:hAnsi="Arial" w:cs="Arial"/>
                <w:b/>
                <w:bCs/>
                <w:sz w:val="18"/>
                <w:szCs w:val="18"/>
                <w:lang w:val="el-GR"/>
              </w:rPr>
            </w:pPr>
            <w:r>
              <w:rPr>
                <w:rFonts w:ascii="Arial" w:hAnsi="Arial" w:cs="Arial"/>
                <w:b/>
                <w:bCs/>
                <w:sz w:val="18"/>
                <w:szCs w:val="18"/>
                <w:lang w:val="el-GR"/>
              </w:rPr>
              <w:t>Εννεάμηνο</w:t>
            </w:r>
            <w:r w:rsidRPr="000221F4">
              <w:rPr>
                <w:rFonts w:ascii="Arial" w:hAnsi="Arial" w:cs="Arial"/>
                <w:b/>
                <w:bCs/>
                <w:sz w:val="18"/>
                <w:szCs w:val="18"/>
                <w:lang w:val="el-GR"/>
              </w:rPr>
              <w:t xml:space="preserve"> </w:t>
            </w:r>
            <w:r w:rsidRPr="00C42B7D">
              <w:rPr>
                <w:rFonts w:ascii="Arial" w:hAnsi="Arial" w:cs="Arial"/>
                <w:b/>
                <w:bCs/>
                <w:sz w:val="18"/>
                <w:szCs w:val="18"/>
                <w:lang w:val="el-GR"/>
              </w:rPr>
              <w:t xml:space="preserve">που έληξε στις </w:t>
            </w:r>
          </w:p>
          <w:p w14:paraId="763C9934" w14:textId="77777777" w:rsidR="0056738E" w:rsidRPr="00FF012C" w:rsidRDefault="0056738E" w:rsidP="007C2AEE">
            <w:pPr>
              <w:tabs>
                <w:tab w:val="left" w:pos="0"/>
                <w:tab w:val="right" w:pos="7560"/>
                <w:tab w:val="right" w:pos="9000"/>
              </w:tabs>
              <w:jc w:val="center"/>
              <w:rPr>
                <w:rFonts w:ascii="Verdana" w:hAnsi="Verdana" w:cs="Arial"/>
                <w:sz w:val="18"/>
                <w:szCs w:val="18"/>
                <w:lang w:val="el-GR"/>
              </w:rPr>
            </w:pPr>
            <w:r w:rsidRPr="00331BC0">
              <w:rPr>
                <w:rFonts w:ascii="Arial" w:hAnsi="Arial" w:cs="Arial"/>
                <w:b/>
                <w:sz w:val="18"/>
                <w:szCs w:val="18"/>
                <w:lang w:val="el-GR"/>
              </w:rPr>
              <w:t>30 Σεπτεμβρίου</w:t>
            </w:r>
          </w:p>
        </w:tc>
      </w:tr>
      <w:tr w:rsidR="0056738E" w:rsidRPr="00FF012C" w14:paraId="5DA6F257" w14:textId="77777777" w:rsidTr="007C2AEE">
        <w:trPr>
          <w:trHeight w:val="279"/>
          <w:jc w:val="center"/>
        </w:trPr>
        <w:tc>
          <w:tcPr>
            <w:tcW w:w="6232" w:type="dxa"/>
            <w:vMerge/>
            <w:vAlign w:val="center"/>
          </w:tcPr>
          <w:p w14:paraId="3E4CACDE" w14:textId="77777777" w:rsidR="0056738E" w:rsidRPr="003643B4" w:rsidRDefault="0056738E" w:rsidP="007C2AEE">
            <w:pPr>
              <w:tabs>
                <w:tab w:val="right" w:pos="7560"/>
                <w:tab w:val="right" w:pos="9000"/>
              </w:tabs>
              <w:ind w:left="589" w:hanging="589"/>
              <w:jc w:val="both"/>
              <w:rPr>
                <w:rFonts w:ascii="Verdana" w:hAnsi="Verdana" w:cs="Arial"/>
                <w:sz w:val="18"/>
                <w:szCs w:val="18"/>
                <w:lang w:val="el-GR"/>
              </w:rPr>
            </w:pPr>
          </w:p>
        </w:tc>
        <w:tc>
          <w:tcPr>
            <w:tcW w:w="1297" w:type="dxa"/>
            <w:tcBorders>
              <w:top w:val="single" w:sz="4" w:space="0" w:color="D9D9D9" w:themeColor="background1" w:themeShade="D9"/>
              <w:bottom w:val="single" w:sz="4" w:space="0" w:color="D9D9D9" w:themeColor="background1" w:themeShade="D9"/>
            </w:tcBorders>
            <w:shd w:val="clear" w:color="auto" w:fill="auto"/>
            <w:vAlign w:val="center"/>
          </w:tcPr>
          <w:p w14:paraId="1E9090AD" w14:textId="77777777" w:rsidR="0056738E" w:rsidRPr="00FF012C" w:rsidRDefault="0056738E" w:rsidP="007C2AEE">
            <w:pPr>
              <w:tabs>
                <w:tab w:val="left" w:pos="0"/>
                <w:tab w:val="right" w:pos="7560"/>
                <w:tab w:val="right" w:pos="9000"/>
              </w:tabs>
              <w:jc w:val="center"/>
              <w:rPr>
                <w:rFonts w:ascii="Verdana" w:hAnsi="Verdana" w:cs="Arial"/>
                <w:b/>
                <w:bCs/>
                <w:sz w:val="18"/>
                <w:szCs w:val="18"/>
                <w:lang w:val="el-GR"/>
              </w:rPr>
            </w:pPr>
            <w:r w:rsidRPr="00041815">
              <w:rPr>
                <w:rFonts w:ascii="Arial" w:hAnsi="Arial" w:cs="Arial"/>
                <w:b/>
                <w:sz w:val="18"/>
                <w:szCs w:val="18"/>
              </w:rPr>
              <w:t>20</w:t>
            </w:r>
            <w:r w:rsidRPr="00041815">
              <w:rPr>
                <w:rFonts w:ascii="Arial" w:hAnsi="Arial" w:cs="Arial"/>
                <w:b/>
                <w:sz w:val="18"/>
                <w:szCs w:val="18"/>
                <w:lang w:val="el-GR"/>
              </w:rPr>
              <w:t>2</w:t>
            </w:r>
            <w:r>
              <w:rPr>
                <w:rFonts w:ascii="Arial" w:hAnsi="Arial" w:cs="Arial"/>
                <w:b/>
                <w:sz w:val="18"/>
                <w:szCs w:val="18"/>
                <w:lang w:val="el-GR"/>
              </w:rPr>
              <w:t>4</w:t>
            </w:r>
          </w:p>
        </w:tc>
        <w:tc>
          <w:tcPr>
            <w:tcW w:w="1255" w:type="dxa"/>
            <w:tcBorders>
              <w:top w:val="single" w:sz="4" w:space="0" w:color="D9D9D9" w:themeColor="background1" w:themeShade="D9"/>
              <w:bottom w:val="single" w:sz="4" w:space="0" w:color="D9D9D9" w:themeColor="background1" w:themeShade="D9"/>
            </w:tcBorders>
            <w:vAlign w:val="center"/>
          </w:tcPr>
          <w:p w14:paraId="2B0AF006" w14:textId="77777777" w:rsidR="0056738E" w:rsidRPr="00041815" w:rsidRDefault="0056738E" w:rsidP="007C2AEE">
            <w:pPr>
              <w:tabs>
                <w:tab w:val="left" w:pos="0"/>
                <w:tab w:val="right" w:pos="7560"/>
                <w:tab w:val="right" w:pos="9000"/>
              </w:tabs>
              <w:jc w:val="center"/>
              <w:rPr>
                <w:rFonts w:ascii="Arial" w:hAnsi="Arial" w:cs="Arial"/>
                <w:sz w:val="18"/>
                <w:szCs w:val="18"/>
              </w:rPr>
            </w:pPr>
            <w:r w:rsidRPr="00041815">
              <w:rPr>
                <w:rFonts w:ascii="Arial" w:hAnsi="Arial" w:cs="Arial"/>
                <w:sz w:val="18"/>
                <w:szCs w:val="18"/>
                <w:lang w:val="en-GB"/>
              </w:rPr>
              <w:t>202</w:t>
            </w:r>
            <w:r>
              <w:rPr>
                <w:rFonts w:ascii="Arial" w:hAnsi="Arial" w:cs="Arial"/>
                <w:sz w:val="18"/>
                <w:szCs w:val="18"/>
                <w:lang w:val="el-GR"/>
              </w:rPr>
              <w:t>3</w:t>
            </w:r>
          </w:p>
        </w:tc>
      </w:tr>
      <w:tr w:rsidR="0056738E" w:rsidRPr="00FF012C" w14:paraId="08CA5A39" w14:textId="77777777" w:rsidTr="007C2AEE">
        <w:trPr>
          <w:trHeight w:val="279"/>
          <w:jc w:val="center"/>
        </w:trPr>
        <w:tc>
          <w:tcPr>
            <w:tcW w:w="6232" w:type="dxa"/>
            <w:vMerge/>
            <w:vAlign w:val="center"/>
          </w:tcPr>
          <w:p w14:paraId="68ABDD7A" w14:textId="77777777" w:rsidR="0056738E" w:rsidRPr="00FF012C" w:rsidRDefault="0056738E" w:rsidP="0056738E">
            <w:pPr>
              <w:pStyle w:val="ListParagraph"/>
              <w:numPr>
                <w:ilvl w:val="2"/>
                <w:numId w:val="15"/>
              </w:numPr>
              <w:tabs>
                <w:tab w:val="left" w:pos="0"/>
                <w:tab w:val="right" w:pos="7560"/>
                <w:tab w:val="right" w:pos="9000"/>
              </w:tabs>
              <w:jc w:val="both"/>
              <w:rPr>
                <w:rFonts w:ascii="Verdana" w:hAnsi="Verdana" w:cs="Arial"/>
                <w:bCs/>
                <w:sz w:val="18"/>
                <w:szCs w:val="18"/>
                <w:lang w:val="el-GR"/>
              </w:rPr>
            </w:pPr>
          </w:p>
        </w:tc>
        <w:tc>
          <w:tcPr>
            <w:tcW w:w="1297" w:type="dxa"/>
            <w:tcBorders>
              <w:top w:val="single" w:sz="4" w:space="0" w:color="D9D9D9" w:themeColor="background1" w:themeShade="D9"/>
              <w:bottom w:val="single" w:sz="4" w:space="0" w:color="D9D9D9" w:themeColor="background1" w:themeShade="D9"/>
            </w:tcBorders>
            <w:shd w:val="clear" w:color="auto" w:fill="auto"/>
            <w:vAlign w:val="center"/>
          </w:tcPr>
          <w:p w14:paraId="245C846A" w14:textId="77777777" w:rsidR="0056738E" w:rsidRPr="00FF012C" w:rsidRDefault="0056738E" w:rsidP="007C2AEE">
            <w:pPr>
              <w:tabs>
                <w:tab w:val="left" w:pos="0"/>
                <w:tab w:val="right" w:pos="7560"/>
                <w:tab w:val="right" w:pos="9000"/>
              </w:tabs>
              <w:jc w:val="center"/>
              <w:rPr>
                <w:rFonts w:ascii="Verdana" w:hAnsi="Verdana" w:cs="Arial"/>
                <w:b/>
                <w:bCs/>
                <w:sz w:val="18"/>
                <w:szCs w:val="18"/>
                <w:lang w:val="el-GR"/>
              </w:rPr>
            </w:pPr>
            <w:r w:rsidRPr="00041815">
              <w:rPr>
                <w:rFonts w:ascii="Arial" w:eastAsia="Batang" w:hAnsi="Arial" w:cs="Arial"/>
                <w:b/>
                <w:sz w:val="18"/>
                <w:szCs w:val="18"/>
              </w:rPr>
              <w:t>€000</w:t>
            </w:r>
          </w:p>
        </w:tc>
        <w:tc>
          <w:tcPr>
            <w:tcW w:w="1255" w:type="dxa"/>
            <w:tcBorders>
              <w:top w:val="single" w:sz="4" w:space="0" w:color="D9D9D9" w:themeColor="background1" w:themeShade="D9"/>
              <w:bottom w:val="single" w:sz="4" w:space="0" w:color="D9D9D9" w:themeColor="background1" w:themeShade="D9"/>
            </w:tcBorders>
            <w:vAlign w:val="center"/>
          </w:tcPr>
          <w:p w14:paraId="0C5089FD" w14:textId="77777777" w:rsidR="0056738E" w:rsidRPr="00FF012C" w:rsidRDefault="0056738E" w:rsidP="007C2AEE">
            <w:pPr>
              <w:tabs>
                <w:tab w:val="left" w:pos="0"/>
                <w:tab w:val="right" w:pos="7560"/>
                <w:tab w:val="right" w:pos="9000"/>
              </w:tabs>
              <w:jc w:val="center"/>
              <w:rPr>
                <w:rFonts w:ascii="Verdana" w:hAnsi="Verdana" w:cs="Arial"/>
                <w:bCs/>
                <w:sz w:val="18"/>
                <w:szCs w:val="18"/>
                <w:lang w:val="el-GR"/>
              </w:rPr>
            </w:pPr>
            <w:r w:rsidRPr="00041815">
              <w:rPr>
                <w:rFonts w:ascii="Arial" w:hAnsi="Arial" w:cs="Arial"/>
                <w:sz w:val="18"/>
                <w:szCs w:val="18"/>
              </w:rPr>
              <w:t>€000</w:t>
            </w:r>
          </w:p>
        </w:tc>
      </w:tr>
      <w:tr w:rsidR="0056738E" w:rsidRPr="00E0028A" w14:paraId="2E88C34E" w14:textId="77777777" w:rsidTr="007C2AEE">
        <w:trPr>
          <w:trHeight w:val="279"/>
          <w:jc w:val="center"/>
        </w:trPr>
        <w:tc>
          <w:tcPr>
            <w:tcW w:w="6232" w:type="dxa"/>
            <w:vAlign w:val="center"/>
          </w:tcPr>
          <w:p w14:paraId="55F3EFBB" w14:textId="77777777" w:rsidR="0056738E" w:rsidRPr="00041815" w:rsidRDefault="0056738E" w:rsidP="007C2AEE">
            <w:pPr>
              <w:tabs>
                <w:tab w:val="left" w:pos="0"/>
                <w:tab w:val="right" w:pos="7560"/>
                <w:tab w:val="right" w:pos="9000"/>
              </w:tabs>
              <w:jc w:val="both"/>
              <w:rPr>
                <w:rFonts w:ascii="Arial" w:eastAsia="Batang" w:hAnsi="Arial" w:cs="Arial"/>
                <w:color w:val="000000"/>
                <w:sz w:val="18"/>
                <w:szCs w:val="18"/>
                <w:lang w:val="el-GR"/>
              </w:rPr>
            </w:pPr>
            <w:r w:rsidRPr="00041815">
              <w:rPr>
                <w:rFonts w:ascii="Arial" w:eastAsia="Batang" w:hAnsi="Arial" w:cs="Arial"/>
                <w:color w:val="000000"/>
                <w:sz w:val="18"/>
                <w:szCs w:val="18"/>
                <w:lang w:val="el-GR"/>
              </w:rPr>
              <w:t xml:space="preserve">Καθαρά κέρδη από διαπραγμάτευση συναλλάγματος, Καθαρά κέρδη από χρηματοοικονομικά μέσα και Καθαρά κέρδη από </w:t>
            </w:r>
            <w:proofErr w:type="spellStart"/>
            <w:r w:rsidRPr="00041815">
              <w:rPr>
                <w:rFonts w:ascii="Arial" w:eastAsia="Batang" w:hAnsi="Arial" w:cs="Arial"/>
                <w:color w:val="000000"/>
                <w:sz w:val="18"/>
                <w:szCs w:val="18"/>
                <w:lang w:val="el-GR"/>
              </w:rPr>
              <w:t>αποαναγνώριση</w:t>
            </w:r>
            <w:proofErr w:type="spellEnd"/>
            <w:r w:rsidRPr="00041815">
              <w:rPr>
                <w:rFonts w:ascii="Arial" w:eastAsia="Batang" w:hAnsi="Arial" w:cs="Arial"/>
                <w:color w:val="000000"/>
                <w:sz w:val="18"/>
                <w:szCs w:val="18"/>
                <w:lang w:val="el-GR"/>
              </w:rPr>
              <w:t xml:space="preserve"> χρηματοοικονομικών περιουσιακών στοιχείων που επιμετρούνται σε αποσβεσμένο κόστος στην υποκείμενη βάση</w:t>
            </w:r>
          </w:p>
        </w:tc>
        <w:tc>
          <w:tcPr>
            <w:tcW w:w="1297" w:type="dxa"/>
            <w:tcBorders>
              <w:top w:val="single" w:sz="4" w:space="0" w:color="D9D9D9" w:themeColor="background1" w:themeShade="D9"/>
              <w:bottom w:val="single" w:sz="4" w:space="0" w:color="D9D9D9" w:themeColor="background1" w:themeShade="D9"/>
            </w:tcBorders>
            <w:shd w:val="clear" w:color="auto" w:fill="auto"/>
            <w:vAlign w:val="center"/>
          </w:tcPr>
          <w:p w14:paraId="0A40CD87" w14:textId="77777777" w:rsidR="0056738E" w:rsidRPr="00FF012C" w:rsidRDefault="0056738E" w:rsidP="007C2AEE">
            <w:pPr>
              <w:tabs>
                <w:tab w:val="left" w:pos="0"/>
                <w:tab w:val="right" w:pos="7560"/>
                <w:tab w:val="right" w:pos="9000"/>
              </w:tabs>
              <w:jc w:val="right"/>
              <w:rPr>
                <w:rFonts w:ascii="Verdana" w:hAnsi="Verdana" w:cs="Arial"/>
                <w:b/>
                <w:bCs/>
                <w:sz w:val="18"/>
                <w:szCs w:val="18"/>
                <w:lang w:val="el-GR"/>
              </w:rPr>
            </w:pPr>
            <w:r>
              <w:rPr>
                <w:rFonts w:ascii="Arial" w:hAnsi="Arial" w:cs="Arial"/>
                <w:b/>
                <w:bCs/>
                <w:sz w:val="18"/>
                <w:szCs w:val="18"/>
              </w:rPr>
              <w:t>27,481</w:t>
            </w:r>
          </w:p>
        </w:tc>
        <w:tc>
          <w:tcPr>
            <w:tcW w:w="1255" w:type="dxa"/>
            <w:tcBorders>
              <w:top w:val="single" w:sz="4" w:space="0" w:color="D9D9D9" w:themeColor="background1" w:themeShade="D9"/>
              <w:bottom w:val="single" w:sz="4" w:space="0" w:color="D9D9D9" w:themeColor="background1" w:themeShade="D9"/>
            </w:tcBorders>
            <w:shd w:val="clear" w:color="auto" w:fill="auto"/>
            <w:vAlign w:val="center"/>
          </w:tcPr>
          <w:p w14:paraId="7319596E" w14:textId="77777777" w:rsidR="0056738E" w:rsidRPr="00041815" w:rsidRDefault="0056738E" w:rsidP="007C2AEE">
            <w:pPr>
              <w:tabs>
                <w:tab w:val="left" w:pos="0"/>
                <w:tab w:val="right" w:pos="7560"/>
                <w:tab w:val="right" w:pos="9000"/>
              </w:tabs>
              <w:jc w:val="right"/>
              <w:rPr>
                <w:rFonts w:ascii="Verdana" w:hAnsi="Verdana" w:cs="Arial"/>
                <w:sz w:val="18"/>
                <w:szCs w:val="18"/>
                <w:lang w:val="el-GR"/>
              </w:rPr>
            </w:pPr>
            <w:r w:rsidRPr="00E25891">
              <w:rPr>
                <w:rFonts w:ascii="Arial" w:hAnsi="Arial" w:cs="Arial"/>
                <w:sz w:val="18"/>
                <w:szCs w:val="18"/>
              </w:rPr>
              <w:t>28,854</w:t>
            </w:r>
          </w:p>
        </w:tc>
      </w:tr>
      <w:tr w:rsidR="0056738E" w:rsidRPr="00FF012C" w14:paraId="10CBF522" w14:textId="77777777" w:rsidTr="007C2AEE">
        <w:trPr>
          <w:trHeight w:val="279"/>
          <w:jc w:val="center"/>
        </w:trPr>
        <w:tc>
          <w:tcPr>
            <w:tcW w:w="6232" w:type="dxa"/>
            <w:vAlign w:val="center"/>
          </w:tcPr>
          <w:p w14:paraId="4FB94201" w14:textId="77777777" w:rsidR="0056738E" w:rsidRPr="00041815" w:rsidRDefault="0056738E" w:rsidP="007C2AEE">
            <w:pPr>
              <w:tabs>
                <w:tab w:val="left" w:pos="0"/>
                <w:tab w:val="right" w:pos="7560"/>
                <w:tab w:val="right" w:pos="9000"/>
              </w:tabs>
              <w:jc w:val="both"/>
              <w:rPr>
                <w:rFonts w:ascii="Arial" w:eastAsia="Batang" w:hAnsi="Arial" w:cs="Arial"/>
                <w:i/>
                <w:iCs/>
                <w:color w:val="000000"/>
                <w:sz w:val="18"/>
                <w:szCs w:val="18"/>
                <w:lang w:val="el-GR"/>
              </w:rPr>
            </w:pPr>
            <w:proofErr w:type="spellStart"/>
            <w:r w:rsidRPr="00041815">
              <w:rPr>
                <w:rFonts w:ascii="Arial" w:eastAsia="Batang" w:hAnsi="Arial" w:cs="Arial"/>
                <w:i/>
                <w:iCs/>
                <w:color w:val="000000"/>
                <w:sz w:val="18"/>
                <w:szCs w:val="18"/>
                <w:lang w:val="el-GR"/>
              </w:rPr>
              <w:t>Επανακατηγοριοποιήσεις</w:t>
            </w:r>
            <w:proofErr w:type="spellEnd"/>
            <w:r w:rsidRPr="00041815">
              <w:rPr>
                <w:rFonts w:ascii="Arial" w:eastAsia="Batang" w:hAnsi="Arial" w:cs="Arial"/>
                <w:i/>
                <w:iCs/>
                <w:color w:val="000000"/>
                <w:sz w:val="18"/>
                <w:szCs w:val="18"/>
                <w:lang w:val="el-GR"/>
              </w:rPr>
              <w:t xml:space="preserve"> για:</w:t>
            </w:r>
          </w:p>
        </w:tc>
        <w:tc>
          <w:tcPr>
            <w:tcW w:w="1297" w:type="dxa"/>
            <w:tcBorders>
              <w:top w:val="single" w:sz="4" w:space="0" w:color="D9D9D9" w:themeColor="background1" w:themeShade="D9"/>
              <w:bottom w:val="single" w:sz="4" w:space="0" w:color="D9D9D9" w:themeColor="background1" w:themeShade="D9"/>
            </w:tcBorders>
            <w:shd w:val="clear" w:color="auto" w:fill="auto"/>
            <w:vAlign w:val="center"/>
          </w:tcPr>
          <w:p w14:paraId="112602D2" w14:textId="77777777" w:rsidR="0056738E" w:rsidRPr="00FF012C" w:rsidRDefault="0056738E" w:rsidP="007C2AEE">
            <w:pPr>
              <w:tabs>
                <w:tab w:val="left" w:pos="0"/>
                <w:tab w:val="right" w:pos="7560"/>
                <w:tab w:val="right" w:pos="9000"/>
              </w:tabs>
              <w:jc w:val="right"/>
              <w:rPr>
                <w:rFonts w:ascii="Verdana" w:hAnsi="Verdana" w:cs="Arial"/>
                <w:b/>
                <w:bCs/>
                <w:sz w:val="18"/>
                <w:szCs w:val="18"/>
              </w:rPr>
            </w:pPr>
          </w:p>
        </w:tc>
        <w:tc>
          <w:tcPr>
            <w:tcW w:w="1255" w:type="dxa"/>
            <w:tcBorders>
              <w:top w:val="single" w:sz="4" w:space="0" w:color="D9D9D9" w:themeColor="background1" w:themeShade="D9"/>
              <w:bottom w:val="single" w:sz="4" w:space="0" w:color="D9D9D9" w:themeColor="background1" w:themeShade="D9"/>
            </w:tcBorders>
            <w:shd w:val="clear" w:color="auto" w:fill="auto"/>
            <w:vAlign w:val="center"/>
          </w:tcPr>
          <w:p w14:paraId="7A46FFB0" w14:textId="77777777" w:rsidR="0056738E" w:rsidRPr="00FF012C" w:rsidRDefault="0056738E" w:rsidP="007C2AEE">
            <w:pPr>
              <w:tabs>
                <w:tab w:val="left" w:pos="0"/>
                <w:tab w:val="right" w:pos="7560"/>
                <w:tab w:val="right" w:pos="9000"/>
              </w:tabs>
              <w:jc w:val="right"/>
              <w:rPr>
                <w:rFonts w:ascii="Verdana" w:hAnsi="Verdana" w:cs="Arial"/>
                <w:sz w:val="18"/>
                <w:szCs w:val="18"/>
              </w:rPr>
            </w:pPr>
          </w:p>
        </w:tc>
      </w:tr>
      <w:tr w:rsidR="0056738E" w:rsidRPr="00E0028A" w14:paraId="6B2EC8D3" w14:textId="77777777" w:rsidTr="007C2AEE">
        <w:trPr>
          <w:trHeight w:val="279"/>
          <w:jc w:val="center"/>
        </w:trPr>
        <w:tc>
          <w:tcPr>
            <w:tcW w:w="6232" w:type="dxa"/>
            <w:vAlign w:val="center"/>
          </w:tcPr>
          <w:p w14:paraId="7B87C5EE" w14:textId="77777777" w:rsidR="0056738E" w:rsidRPr="00041815" w:rsidRDefault="0056738E" w:rsidP="007C2AEE">
            <w:pPr>
              <w:tabs>
                <w:tab w:val="left" w:pos="0"/>
                <w:tab w:val="right" w:pos="7560"/>
                <w:tab w:val="right" w:pos="9000"/>
              </w:tabs>
              <w:jc w:val="both"/>
              <w:rPr>
                <w:rFonts w:ascii="Arial" w:eastAsia="Batang" w:hAnsi="Arial" w:cs="Arial"/>
                <w:color w:val="000000"/>
                <w:sz w:val="18"/>
                <w:szCs w:val="18"/>
                <w:lang w:val="el-GR"/>
              </w:rPr>
            </w:pPr>
            <w:r w:rsidRPr="00041815">
              <w:rPr>
                <w:rFonts w:ascii="Arial" w:eastAsia="Batang" w:hAnsi="Arial" w:cs="Arial"/>
                <w:color w:val="000000"/>
                <w:sz w:val="18"/>
                <w:szCs w:val="18"/>
                <w:lang w:val="el-GR"/>
              </w:rPr>
              <w:t xml:space="preserve">Καθαρά </w:t>
            </w:r>
            <w:r>
              <w:rPr>
                <w:rFonts w:ascii="Arial" w:eastAsia="Batang" w:hAnsi="Arial" w:cs="Arial"/>
                <w:color w:val="000000"/>
                <w:sz w:val="18"/>
                <w:szCs w:val="18"/>
                <w:lang w:val="el-GR"/>
              </w:rPr>
              <w:t>κέρδη/(ζημιές)</w:t>
            </w:r>
            <w:r w:rsidRPr="00041815">
              <w:rPr>
                <w:rFonts w:ascii="Arial" w:eastAsia="Batang" w:hAnsi="Arial" w:cs="Arial"/>
                <w:color w:val="000000"/>
                <w:sz w:val="18"/>
                <w:szCs w:val="18"/>
                <w:lang w:val="el-GR"/>
              </w:rPr>
              <w:t xml:space="preserve"> από δάνεια και απαιτήσεις από πελάτες που επιμετρούνται στην εύλογη αξία μέσω των αποτελεσμάτων, που γνωστοποιούνται στις ‘Πιστωτικές ζημιές δανείων’ στην υποκείμενη βάση </w:t>
            </w:r>
            <w:r w:rsidRPr="00041815">
              <w:rPr>
                <w:rFonts w:ascii="Arial" w:eastAsia="Batang" w:hAnsi="Arial" w:cs="Arial"/>
                <w:i/>
                <w:iCs/>
                <w:color w:val="000000"/>
                <w:sz w:val="18"/>
                <w:szCs w:val="18"/>
                <w:lang w:val="el-GR"/>
              </w:rPr>
              <w:t>(</w:t>
            </w:r>
            <w:r>
              <w:rPr>
                <w:rFonts w:ascii="Arial" w:eastAsia="Batang" w:hAnsi="Arial" w:cs="Arial"/>
                <w:i/>
                <w:iCs/>
                <w:color w:val="000000"/>
                <w:sz w:val="18"/>
                <w:szCs w:val="18"/>
                <w:lang w:val="el-GR"/>
              </w:rPr>
              <w:t xml:space="preserve">ως ο </w:t>
            </w:r>
            <w:r w:rsidRPr="00041815">
              <w:rPr>
                <w:rFonts w:ascii="Arial" w:eastAsia="Batang" w:hAnsi="Arial" w:cs="Arial"/>
                <w:i/>
                <w:iCs/>
                <w:color w:val="000000"/>
                <w:sz w:val="18"/>
                <w:szCs w:val="18"/>
                <w:lang w:val="el-GR"/>
              </w:rPr>
              <w:t xml:space="preserve">πίνακας </w:t>
            </w:r>
            <w:r w:rsidRPr="00A03828">
              <w:rPr>
                <w:rFonts w:ascii="Arial" w:eastAsia="Batang" w:hAnsi="Arial" w:cs="Arial"/>
                <w:i/>
                <w:iCs/>
                <w:color w:val="000000"/>
                <w:sz w:val="18"/>
                <w:szCs w:val="18"/>
                <w:lang w:val="el-GR"/>
              </w:rPr>
              <w:t>6</w:t>
            </w:r>
            <w:r w:rsidRPr="00041815">
              <w:rPr>
                <w:rFonts w:ascii="Arial" w:eastAsia="Batang" w:hAnsi="Arial" w:cs="Arial"/>
                <w:i/>
                <w:iCs/>
                <w:color w:val="000000"/>
                <w:sz w:val="18"/>
                <w:szCs w:val="18"/>
                <w:lang w:val="el-GR"/>
              </w:rPr>
              <w:t xml:space="preserve"> </w:t>
            </w:r>
            <w:r>
              <w:rPr>
                <w:rFonts w:ascii="Arial" w:eastAsia="Batang" w:hAnsi="Arial" w:cs="Arial"/>
                <w:i/>
                <w:iCs/>
                <w:color w:val="000000"/>
                <w:sz w:val="18"/>
                <w:szCs w:val="18"/>
                <w:lang w:val="el-GR"/>
              </w:rPr>
              <w:t>στο Μέρος ‘Συμφιλιώσεις’</w:t>
            </w:r>
            <w:r w:rsidRPr="00041815">
              <w:rPr>
                <w:rFonts w:ascii="Arial" w:eastAsia="Batang" w:hAnsi="Arial" w:cs="Arial"/>
                <w:i/>
                <w:iCs/>
                <w:color w:val="000000"/>
                <w:sz w:val="18"/>
                <w:szCs w:val="18"/>
                <w:lang w:val="el-GR"/>
              </w:rPr>
              <w:t xml:space="preserve"> πιο πάνω)</w:t>
            </w:r>
            <w:r w:rsidRPr="00A828DC" w:rsidDel="00636125">
              <w:rPr>
                <w:rFonts w:ascii="Arial" w:eastAsia="Batang" w:hAnsi="Arial" w:cs="Arial"/>
                <w:color w:val="000000"/>
                <w:sz w:val="18"/>
                <w:szCs w:val="18"/>
                <w:lang w:val="el-GR"/>
              </w:rPr>
              <w:t xml:space="preserve"> </w:t>
            </w:r>
          </w:p>
        </w:tc>
        <w:tc>
          <w:tcPr>
            <w:tcW w:w="1297" w:type="dxa"/>
            <w:tcBorders>
              <w:top w:val="single" w:sz="4" w:space="0" w:color="D9D9D9" w:themeColor="background1" w:themeShade="D9"/>
              <w:bottom w:val="single" w:sz="4" w:space="0" w:color="D9D9D9" w:themeColor="background1" w:themeShade="D9"/>
            </w:tcBorders>
            <w:shd w:val="clear" w:color="auto" w:fill="auto"/>
            <w:vAlign w:val="center"/>
          </w:tcPr>
          <w:p w14:paraId="22C13E96" w14:textId="77777777" w:rsidR="0056738E" w:rsidRPr="00FF012C" w:rsidRDefault="0056738E" w:rsidP="007C2AEE">
            <w:pPr>
              <w:tabs>
                <w:tab w:val="left" w:pos="0"/>
                <w:tab w:val="right" w:pos="7560"/>
                <w:tab w:val="right" w:pos="9000"/>
              </w:tabs>
              <w:jc w:val="right"/>
              <w:rPr>
                <w:rFonts w:ascii="Verdana" w:hAnsi="Verdana" w:cs="Arial"/>
                <w:b/>
                <w:bCs/>
                <w:sz w:val="18"/>
                <w:szCs w:val="18"/>
                <w:lang w:val="el-GR"/>
              </w:rPr>
            </w:pPr>
            <w:r>
              <w:rPr>
                <w:rFonts w:ascii="Arial" w:hAnsi="Arial" w:cs="Arial"/>
                <w:b/>
                <w:bCs/>
                <w:sz w:val="18"/>
                <w:szCs w:val="18"/>
              </w:rPr>
              <w:t>936</w:t>
            </w:r>
          </w:p>
        </w:tc>
        <w:tc>
          <w:tcPr>
            <w:tcW w:w="1255" w:type="dxa"/>
            <w:tcBorders>
              <w:top w:val="single" w:sz="4" w:space="0" w:color="D9D9D9" w:themeColor="background1" w:themeShade="D9"/>
              <w:bottom w:val="single" w:sz="4" w:space="0" w:color="D9D9D9" w:themeColor="background1" w:themeShade="D9"/>
            </w:tcBorders>
            <w:shd w:val="clear" w:color="auto" w:fill="auto"/>
            <w:vAlign w:val="center"/>
          </w:tcPr>
          <w:p w14:paraId="6A8AD589" w14:textId="77777777" w:rsidR="0056738E" w:rsidRPr="00041815" w:rsidRDefault="0056738E" w:rsidP="007C2AEE">
            <w:pPr>
              <w:tabs>
                <w:tab w:val="left" w:pos="0"/>
                <w:tab w:val="right" w:pos="7560"/>
                <w:tab w:val="right" w:pos="9000"/>
              </w:tabs>
              <w:jc w:val="right"/>
              <w:rPr>
                <w:rFonts w:ascii="Verdana" w:hAnsi="Verdana" w:cs="Arial"/>
                <w:sz w:val="18"/>
                <w:szCs w:val="18"/>
                <w:lang w:val="el-GR"/>
              </w:rPr>
            </w:pPr>
            <w:r w:rsidRPr="00E25891">
              <w:rPr>
                <w:rFonts w:ascii="Arial" w:hAnsi="Arial" w:cs="Arial"/>
                <w:sz w:val="18"/>
                <w:szCs w:val="18"/>
              </w:rPr>
              <w:t>(43)</w:t>
            </w:r>
          </w:p>
        </w:tc>
      </w:tr>
      <w:tr w:rsidR="0056738E" w:rsidRPr="00E0028A" w14:paraId="47BD1173" w14:textId="77777777" w:rsidTr="007C2AEE">
        <w:trPr>
          <w:trHeight w:val="279"/>
          <w:jc w:val="center"/>
        </w:trPr>
        <w:tc>
          <w:tcPr>
            <w:tcW w:w="6232" w:type="dxa"/>
            <w:vAlign w:val="center"/>
          </w:tcPr>
          <w:p w14:paraId="7CDB419B" w14:textId="77777777" w:rsidR="0056738E" w:rsidRPr="00041815" w:rsidRDefault="0056738E" w:rsidP="007C2AEE">
            <w:pPr>
              <w:tabs>
                <w:tab w:val="left" w:pos="0"/>
                <w:tab w:val="right" w:pos="7560"/>
                <w:tab w:val="right" w:pos="9000"/>
              </w:tabs>
              <w:jc w:val="both"/>
              <w:rPr>
                <w:rFonts w:ascii="Arial" w:eastAsia="Batang" w:hAnsi="Arial" w:cs="Arial"/>
                <w:color w:val="000000"/>
                <w:sz w:val="18"/>
                <w:szCs w:val="18"/>
                <w:lang w:val="el-GR"/>
              </w:rPr>
            </w:pPr>
            <w:r w:rsidRPr="00041815">
              <w:rPr>
                <w:rFonts w:ascii="Arial" w:eastAsia="Batang" w:hAnsi="Arial" w:cs="Arial"/>
                <w:color w:val="000000"/>
                <w:sz w:val="18"/>
                <w:szCs w:val="18"/>
                <w:lang w:val="el-GR"/>
              </w:rPr>
              <w:t xml:space="preserve">Καθαρά κέρδη από </w:t>
            </w:r>
            <w:proofErr w:type="spellStart"/>
            <w:r w:rsidRPr="00041815">
              <w:rPr>
                <w:rFonts w:ascii="Arial" w:eastAsia="Batang" w:hAnsi="Arial" w:cs="Arial"/>
                <w:color w:val="000000"/>
                <w:sz w:val="18"/>
                <w:szCs w:val="18"/>
                <w:lang w:val="el-GR"/>
              </w:rPr>
              <w:t>αποαναγνώριση</w:t>
            </w:r>
            <w:proofErr w:type="spellEnd"/>
            <w:r w:rsidRPr="00041815">
              <w:rPr>
                <w:rFonts w:ascii="Arial" w:eastAsia="Batang" w:hAnsi="Arial" w:cs="Arial"/>
                <w:color w:val="000000"/>
                <w:sz w:val="18"/>
                <w:szCs w:val="18"/>
                <w:lang w:val="el-GR"/>
              </w:rPr>
              <w:t xml:space="preserve"> χρηματοοικονομικών περιουσιακών στοιχείων που επιμετρούνται σε αποσβεσμένο κόστος</w:t>
            </w:r>
            <w:r>
              <w:rPr>
                <w:rFonts w:ascii="Arial" w:eastAsia="Batang" w:hAnsi="Arial" w:cs="Arial"/>
                <w:color w:val="000000"/>
                <w:sz w:val="18"/>
                <w:szCs w:val="18"/>
                <w:lang w:val="el-GR"/>
              </w:rPr>
              <w:t>–δάνεια και απαιτήσεις από</w:t>
            </w:r>
            <w:r w:rsidRPr="00041815">
              <w:rPr>
                <w:rFonts w:ascii="Arial" w:eastAsia="Batang" w:hAnsi="Arial" w:cs="Arial"/>
                <w:color w:val="000000"/>
                <w:sz w:val="18"/>
                <w:szCs w:val="18"/>
                <w:lang w:val="el-GR"/>
              </w:rPr>
              <w:t xml:space="preserve"> πελάτες</w:t>
            </w:r>
            <w:r>
              <w:rPr>
                <w:rFonts w:ascii="Arial" w:eastAsia="Batang" w:hAnsi="Arial" w:cs="Arial"/>
                <w:color w:val="000000"/>
                <w:sz w:val="18"/>
                <w:szCs w:val="18"/>
                <w:lang w:val="el-GR"/>
              </w:rPr>
              <w:t>, που γνωστοποιούνται στις ‘Πιστωτικές ζημιές δανείων’ στην υποκείμενη βάση</w:t>
            </w:r>
            <w:r w:rsidRPr="00041815">
              <w:rPr>
                <w:rFonts w:ascii="Arial" w:eastAsia="Batang" w:hAnsi="Arial" w:cs="Arial"/>
                <w:color w:val="000000"/>
                <w:sz w:val="18"/>
                <w:szCs w:val="18"/>
                <w:lang w:val="el-GR"/>
              </w:rPr>
              <w:t xml:space="preserve"> </w:t>
            </w:r>
            <w:r w:rsidRPr="00041815">
              <w:rPr>
                <w:rFonts w:ascii="Arial" w:eastAsia="Batang" w:hAnsi="Arial" w:cs="Arial"/>
                <w:i/>
                <w:iCs/>
                <w:color w:val="000000"/>
                <w:sz w:val="18"/>
                <w:szCs w:val="18"/>
                <w:lang w:val="el-GR"/>
              </w:rPr>
              <w:t>(</w:t>
            </w:r>
            <w:r>
              <w:rPr>
                <w:rFonts w:ascii="Arial" w:eastAsia="Batang" w:hAnsi="Arial" w:cs="Arial"/>
                <w:i/>
                <w:iCs/>
                <w:color w:val="000000"/>
                <w:sz w:val="18"/>
                <w:szCs w:val="18"/>
                <w:lang w:val="el-GR"/>
              </w:rPr>
              <w:t xml:space="preserve">ως ο </w:t>
            </w:r>
            <w:r w:rsidRPr="00041815">
              <w:rPr>
                <w:rFonts w:ascii="Arial" w:eastAsia="Batang" w:hAnsi="Arial" w:cs="Arial"/>
                <w:i/>
                <w:iCs/>
                <w:color w:val="000000"/>
                <w:sz w:val="18"/>
                <w:szCs w:val="18"/>
                <w:lang w:val="el-GR"/>
              </w:rPr>
              <w:t xml:space="preserve">πίνακας </w:t>
            </w:r>
            <w:r w:rsidRPr="00A03828">
              <w:rPr>
                <w:rFonts w:ascii="Arial" w:eastAsia="Batang" w:hAnsi="Arial" w:cs="Arial"/>
                <w:i/>
                <w:iCs/>
                <w:color w:val="000000"/>
                <w:sz w:val="18"/>
                <w:szCs w:val="18"/>
                <w:lang w:val="el-GR"/>
              </w:rPr>
              <w:t>6</w:t>
            </w:r>
            <w:r w:rsidRPr="00041815">
              <w:rPr>
                <w:rFonts w:ascii="Arial" w:eastAsia="Batang" w:hAnsi="Arial" w:cs="Arial"/>
                <w:i/>
                <w:iCs/>
                <w:color w:val="000000"/>
                <w:sz w:val="18"/>
                <w:szCs w:val="18"/>
                <w:lang w:val="el-GR"/>
              </w:rPr>
              <w:t xml:space="preserve"> </w:t>
            </w:r>
            <w:r>
              <w:rPr>
                <w:rFonts w:ascii="Arial" w:eastAsia="Batang" w:hAnsi="Arial" w:cs="Arial"/>
                <w:i/>
                <w:iCs/>
                <w:color w:val="000000"/>
                <w:sz w:val="18"/>
                <w:szCs w:val="18"/>
                <w:lang w:val="el-GR"/>
              </w:rPr>
              <w:t>στο Μέρος ‘Συμφιλιώσεις</w:t>
            </w:r>
            <w:r w:rsidRPr="00041815">
              <w:rPr>
                <w:rFonts w:ascii="Arial" w:eastAsia="Batang" w:hAnsi="Arial" w:cs="Arial"/>
                <w:i/>
                <w:iCs/>
                <w:color w:val="000000"/>
                <w:sz w:val="18"/>
                <w:szCs w:val="18"/>
                <w:lang w:val="el-GR"/>
              </w:rPr>
              <w:t>΄ πιο πάνω)</w:t>
            </w:r>
          </w:p>
        </w:tc>
        <w:tc>
          <w:tcPr>
            <w:tcW w:w="1297" w:type="dxa"/>
            <w:tcBorders>
              <w:top w:val="single" w:sz="4" w:space="0" w:color="D9D9D9" w:themeColor="background1" w:themeShade="D9"/>
              <w:bottom w:val="single" w:sz="6" w:space="0" w:color="auto"/>
            </w:tcBorders>
            <w:shd w:val="clear" w:color="auto" w:fill="auto"/>
            <w:vAlign w:val="center"/>
          </w:tcPr>
          <w:p w14:paraId="0270DA5D" w14:textId="77777777" w:rsidR="0056738E" w:rsidRPr="00FF012C" w:rsidRDefault="0056738E" w:rsidP="007C2AEE">
            <w:pPr>
              <w:tabs>
                <w:tab w:val="left" w:pos="0"/>
                <w:tab w:val="right" w:pos="7560"/>
                <w:tab w:val="right" w:pos="9000"/>
              </w:tabs>
              <w:jc w:val="right"/>
              <w:rPr>
                <w:rFonts w:ascii="Verdana" w:hAnsi="Verdana" w:cs="Arial"/>
                <w:b/>
                <w:bCs/>
                <w:sz w:val="18"/>
                <w:szCs w:val="18"/>
                <w:lang w:val="el-GR"/>
              </w:rPr>
            </w:pPr>
            <w:r>
              <w:rPr>
                <w:rFonts w:ascii="Arial" w:hAnsi="Arial" w:cs="Arial"/>
                <w:b/>
                <w:bCs/>
                <w:sz w:val="18"/>
                <w:szCs w:val="18"/>
              </w:rPr>
              <w:t>616</w:t>
            </w:r>
          </w:p>
        </w:tc>
        <w:tc>
          <w:tcPr>
            <w:tcW w:w="1255" w:type="dxa"/>
            <w:tcBorders>
              <w:top w:val="single" w:sz="4" w:space="0" w:color="D9D9D9" w:themeColor="background1" w:themeShade="D9"/>
              <w:bottom w:val="single" w:sz="6" w:space="0" w:color="auto"/>
            </w:tcBorders>
            <w:shd w:val="clear" w:color="auto" w:fill="auto"/>
            <w:vAlign w:val="center"/>
          </w:tcPr>
          <w:p w14:paraId="3E75C96C" w14:textId="77777777" w:rsidR="0056738E" w:rsidRPr="00636125" w:rsidRDefault="0056738E" w:rsidP="007C2AEE">
            <w:pPr>
              <w:tabs>
                <w:tab w:val="left" w:pos="0"/>
                <w:tab w:val="right" w:pos="7560"/>
                <w:tab w:val="right" w:pos="9000"/>
              </w:tabs>
              <w:jc w:val="right"/>
              <w:rPr>
                <w:rFonts w:ascii="Verdana" w:hAnsi="Verdana" w:cs="Arial"/>
                <w:sz w:val="18"/>
                <w:szCs w:val="18"/>
                <w:lang w:val="el-GR"/>
              </w:rPr>
            </w:pPr>
            <w:r w:rsidRPr="00E25891">
              <w:rPr>
                <w:rFonts w:ascii="Arial" w:hAnsi="Arial" w:cs="Arial"/>
                <w:sz w:val="18"/>
                <w:szCs w:val="18"/>
              </w:rPr>
              <w:t>6,306</w:t>
            </w:r>
          </w:p>
        </w:tc>
      </w:tr>
      <w:tr w:rsidR="0056738E" w:rsidRPr="00E0028A" w14:paraId="75007B10" w14:textId="77777777" w:rsidTr="007C2AEE">
        <w:trPr>
          <w:trHeight w:val="279"/>
          <w:jc w:val="center"/>
        </w:trPr>
        <w:tc>
          <w:tcPr>
            <w:tcW w:w="6232" w:type="dxa"/>
            <w:vAlign w:val="center"/>
          </w:tcPr>
          <w:p w14:paraId="3B5331C2" w14:textId="77777777" w:rsidR="0056738E" w:rsidRPr="00041815" w:rsidRDefault="0056738E" w:rsidP="007C2AEE">
            <w:pPr>
              <w:tabs>
                <w:tab w:val="left" w:pos="0"/>
                <w:tab w:val="right" w:pos="7560"/>
                <w:tab w:val="right" w:pos="9000"/>
              </w:tabs>
              <w:jc w:val="both"/>
              <w:rPr>
                <w:rFonts w:ascii="Arial" w:eastAsia="Batang" w:hAnsi="Arial" w:cs="Arial"/>
                <w:color w:val="000000"/>
                <w:sz w:val="18"/>
                <w:szCs w:val="18"/>
                <w:lang w:val="el-GR"/>
              </w:rPr>
            </w:pPr>
            <w:r w:rsidRPr="00041815">
              <w:rPr>
                <w:rFonts w:ascii="Arial" w:eastAsia="Batang" w:hAnsi="Arial" w:cs="Arial"/>
                <w:color w:val="000000"/>
                <w:sz w:val="18"/>
                <w:szCs w:val="18"/>
                <w:lang w:val="el-GR"/>
              </w:rPr>
              <w:t xml:space="preserve">Καθαρά κέρδη από διαπραγμάτευση συναλλάγματος, Καθαρά κέρδη από χρηματοοικονομικά μέσα και Καθαρά κέρδη από </w:t>
            </w:r>
            <w:proofErr w:type="spellStart"/>
            <w:r w:rsidRPr="00041815">
              <w:rPr>
                <w:rFonts w:ascii="Arial" w:eastAsia="Batang" w:hAnsi="Arial" w:cs="Arial"/>
                <w:color w:val="000000"/>
                <w:sz w:val="18"/>
                <w:szCs w:val="18"/>
                <w:lang w:val="el-GR"/>
              </w:rPr>
              <w:t>αποαναγνώριση</w:t>
            </w:r>
            <w:proofErr w:type="spellEnd"/>
            <w:r w:rsidRPr="00041815">
              <w:rPr>
                <w:rFonts w:ascii="Arial" w:eastAsia="Batang" w:hAnsi="Arial" w:cs="Arial"/>
                <w:color w:val="000000"/>
                <w:sz w:val="18"/>
                <w:szCs w:val="18"/>
                <w:lang w:val="el-GR"/>
              </w:rPr>
              <w:t xml:space="preserve"> χρηματοοικονομικών περιουσιακών στοιχείων που επιμετρούνται σε αποσβεσμένο κόστος </w:t>
            </w:r>
            <w:r w:rsidRPr="00527619">
              <w:rPr>
                <w:rFonts w:ascii="Arial" w:eastAsia="Batang" w:hAnsi="Arial" w:cs="Arial"/>
                <w:color w:val="000000"/>
                <w:sz w:val="18"/>
                <w:szCs w:val="18"/>
                <w:lang w:val="el-GR"/>
              </w:rPr>
              <w:t>στην απαιτούμενη από τη νομοθεσία βάση</w:t>
            </w:r>
            <w:r w:rsidRPr="00527619" w:rsidDel="00527619">
              <w:rPr>
                <w:rFonts w:ascii="Arial" w:eastAsia="Batang" w:hAnsi="Arial" w:cs="Arial"/>
                <w:color w:val="000000"/>
                <w:sz w:val="18"/>
                <w:szCs w:val="18"/>
                <w:lang w:val="el-GR"/>
              </w:rPr>
              <w:t xml:space="preserve"> </w:t>
            </w:r>
            <w:r w:rsidRPr="00041815">
              <w:rPr>
                <w:rFonts w:ascii="Arial" w:eastAsia="Batang" w:hAnsi="Arial" w:cs="Arial"/>
                <w:color w:val="000000"/>
                <w:sz w:val="18"/>
                <w:szCs w:val="18"/>
                <w:lang w:val="el-GR"/>
              </w:rPr>
              <w:t>(ως πιο κάτω)</w:t>
            </w:r>
          </w:p>
        </w:tc>
        <w:tc>
          <w:tcPr>
            <w:tcW w:w="1297" w:type="dxa"/>
            <w:tcBorders>
              <w:top w:val="single" w:sz="6" w:space="0" w:color="auto"/>
              <w:bottom w:val="double" w:sz="6" w:space="0" w:color="auto"/>
            </w:tcBorders>
            <w:shd w:val="clear" w:color="auto" w:fill="auto"/>
            <w:vAlign w:val="center"/>
          </w:tcPr>
          <w:p w14:paraId="01A8B62C" w14:textId="77777777" w:rsidR="0056738E" w:rsidRPr="00FF012C" w:rsidRDefault="0056738E" w:rsidP="007C2AEE">
            <w:pPr>
              <w:tabs>
                <w:tab w:val="left" w:pos="0"/>
                <w:tab w:val="right" w:pos="7560"/>
                <w:tab w:val="right" w:pos="9000"/>
              </w:tabs>
              <w:jc w:val="right"/>
              <w:rPr>
                <w:rFonts w:ascii="Verdana" w:hAnsi="Verdana" w:cs="Arial"/>
                <w:b/>
                <w:bCs/>
                <w:sz w:val="18"/>
                <w:szCs w:val="18"/>
                <w:lang w:val="el-GR"/>
              </w:rPr>
            </w:pPr>
            <w:r>
              <w:rPr>
                <w:rFonts w:ascii="Arial" w:hAnsi="Arial" w:cs="Arial"/>
                <w:b/>
                <w:bCs/>
                <w:sz w:val="18"/>
                <w:szCs w:val="18"/>
              </w:rPr>
              <w:t>29,033</w:t>
            </w:r>
          </w:p>
        </w:tc>
        <w:tc>
          <w:tcPr>
            <w:tcW w:w="1255" w:type="dxa"/>
            <w:tcBorders>
              <w:top w:val="single" w:sz="6" w:space="0" w:color="auto"/>
              <w:bottom w:val="double" w:sz="6" w:space="0" w:color="auto"/>
            </w:tcBorders>
            <w:shd w:val="clear" w:color="auto" w:fill="auto"/>
            <w:vAlign w:val="center"/>
          </w:tcPr>
          <w:p w14:paraId="40616F88" w14:textId="77777777" w:rsidR="0056738E" w:rsidRPr="00636125" w:rsidRDefault="0056738E" w:rsidP="007C2AEE">
            <w:pPr>
              <w:tabs>
                <w:tab w:val="left" w:pos="0"/>
                <w:tab w:val="right" w:pos="7560"/>
                <w:tab w:val="right" w:pos="9000"/>
              </w:tabs>
              <w:jc w:val="right"/>
              <w:rPr>
                <w:rFonts w:ascii="Verdana" w:hAnsi="Verdana" w:cs="Arial"/>
                <w:sz w:val="18"/>
                <w:szCs w:val="18"/>
                <w:lang w:val="el-GR"/>
              </w:rPr>
            </w:pPr>
            <w:r w:rsidRPr="00E25891">
              <w:rPr>
                <w:rFonts w:ascii="Arial" w:hAnsi="Arial" w:cs="Arial"/>
                <w:sz w:val="18"/>
                <w:szCs w:val="18"/>
              </w:rPr>
              <w:t>35,117</w:t>
            </w:r>
          </w:p>
        </w:tc>
      </w:tr>
      <w:tr w:rsidR="0056738E" w:rsidRPr="00E0028A" w14:paraId="746EC394" w14:textId="77777777" w:rsidTr="007C2AEE">
        <w:trPr>
          <w:trHeight w:val="279"/>
          <w:jc w:val="center"/>
        </w:trPr>
        <w:tc>
          <w:tcPr>
            <w:tcW w:w="6232" w:type="dxa"/>
            <w:vAlign w:val="center"/>
          </w:tcPr>
          <w:p w14:paraId="2E7E0522" w14:textId="77777777" w:rsidR="0056738E" w:rsidRPr="00FF012C" w:rsidRDefault="0056738E" w:rsidP="007C2AEE">
            <w:pPr>
              <w:tabs>
                <w:tab w:val="left" w:pos="0"/>
                <w:tab w:val="right" w:pos="7560"/>
                <w:tab w:val="right" w:pos="9000"/>
              </w:tabs>
              <w:jc w:val="both"/>
              <w:rPr>
                <w:rFonts w:ascii="Verdana" w:hAnsi="Verdana" w:cs="Arial"/>
                <w:bCs/>
                <w:sz w:val="18"/>
                <w:szCs w:val="18"/>
                <w:lang w:val="el-GR"/>
              </w:rPr>
            </w:pPr>
          </w:p>
        </w:tc>
        <w:tc>
          <w:tcPr>
            <w:tcW w:w="1297" w:type="dxa"/>
            <w:tcBorders>
              <w:top w:val="double" w:sz="6" w:space="0" w:color="auto"/>
              <w:bottom w:val="single" w:sz="4" w:space="0" w:color="D9D9D9" w:themeColor="background1" w:themeShade="D9"/>
            </w:tcBorders>
            <w:shd w:val="clear" w:color="auto" w:fill="auto"/>
            <w:vAlign w:val="center"/>
          </w:tcPr>
          <w:p w14:paraId="3397A79E" w14:textId="77777777" w:rsidR="0056738E" w:rsidRPr="00FF012C" w:rsidRDefault="0056738E" w:rsidP="007C2AEE">
            <w:pPr>
              <w:tabs>
                <w:tab w:val="left" w:pos="0"/>
                <w:tab w:val="right" w:pos="7560"/>
                <w:tab w:val="right" w:pos="9000"/>
              </w:tabs>
              <w:jc w:val="right"/>
              <w:rPr>
                <w:rFonts w:ascii="Verdana" w:hAnsi="Verdana" w:cs="Arial"/>
                <w:b/>
                <w:bCs/>
                <w:sz w:val="18"/>
                <w:szCs w:val="18"/>
                <w:lang w:val="el-GR"/>
              </w:rPr>
            </w:pPr>
          </w:p>
        </w:tc>
        <w:tc>
          <w:tcPr>
            <w:tcW w:w="1255" w:type="dxa"/>
            <w:tcBorders>
              <w:top w:val="double" w:sz="6" w:space="0" w:color="auto"/>
              <w:bottom w:val="single" w:sz="4" w:space="0" w:color="D9D9D9" w:themeColor="background1" w:themeShade="D9"/>
            </w:tcBorders>
            <w:shd w:val="clear" w:color="auto" w:fill="auto"/>
            <w:vAlign w:val="center"/>
          </w:tcPr>
          <w:p w14:paraId="5C063010" w14:textId="77777777" w:rsidR="0056738E" w:rsidRPr="00FF012C" w:rsidRDefault="0056738E" w:rsidP="007C2AEE">
            <w:pPr>
              <w:tabs>
                <w:tab w:val="left" w:pos="0"/>
                <w:tab w:val="right" w:pos="7560"/>
                <w:tab w:val="right" w:pos="9000"/>
              </w:tabs>
              <w:jc w:val="right"/>
              <w:rPr>
                <w:rFonts w:ascii="Verdana" w:hAnsi="Verdana" w:cs="Arial"/>
                <w:bCs/>
                <w:sz w:val="18"/>
                <w:szCs w:val="18"/>
                <w:lang w:val="el-GR"/>
              </w:rPr>
            </w:pPr>
          </w:p>
        </w:tc>
      </w:tr>
      <w:tr w:rsidR="0056738E" w:rsidRPr="007C2AEE" w14:paraId="0ADDAF32" w14:textId="77777777" w:rsidTr="007C2AEE">
        <w:trPr>
          <w:trHeight w:val="279"/>
          <w:jc w:val="center"/>
        </w:trPr>
        <w:tc>
          <w:tcPr>
            <w:tcW w:w="6232" w:type="dxa"/>
            <w:vAlign w:val="center"/>
          </w:tcPr>
          <w:p w14:paraId="585208F0" w14:textId="77777777" w:rsidR="0056738E" w:rsidRPr="00041815" w:rsidRDefault="0056738E" w:rsidP="007C2AEE">
            <w:pPr>
              <w:tabs>
                <w:tab w:val="left" w:pos="0"/>
                <w:tab w:val="right" w:pos="7560"/>
                <w:tab w:val="right" w:pos="9000"/>
              </w:tabs>
              <w:jc w:val="both"/>
              <w:rPr>
                <w:rFonts w:ascii="Arial" w:eastAsia="Batang" w:hAnsi="Arial" w:cs="Arial"/>
                <w:color w:val="000000"/>
                <w:sz w:val="18"/>
                <w:szCs w:val="18"/>
                <w:lang w:val="el-GR"/>
              </w:rPr>
            </w:pPr>
            <w:r>
              <w:rPr>
                <w:rFonts w:ascii="Arial" w:eastAsia="Batang" w:hAnsi="Arial" w:cs="Arial"/>
                <w:color w:val="000000"/>
                <w:sz w:val="18"/>
                <w:szCs w:val="18"/>
                <w:lang w:val="el-GR"/>
              </w:rPr>
              <w:t>Κ</w:t>
            </w:r>
            <w:r w:rsidRPr="00041815">
              <w:rPr>
                <w:rFonts w:ascii="Arial" w:eastAsia="Batang" w:hAnsi="Arial" w:cs="Arial"/>
                <w:color w:val="000000"/>
                <w:sz w:val="18"/>
                <w:szCs w:val="18"/>
                <w:lang w:val="el-GR"/>
              </w:rPr>
              <w:t xml:space="preserve">αθαρά κέρδη από διαπραγμάτευση συναλλάγματος, Καθαρά κέρδη από χρηματοοικονομικά μέσα και Καθαρά κέρδη από </w:t>
            </w:r>
            <w:proofErr w:type="spellStart"/>
            <w:r w:rsidRPr="00041815">
              <w:rPr>
                <w:rFonts w:ascii="Arial" w:eastAsia="Batang" w:hAnsi="Arial" w:cs="Arial"/>
                <w:color w:val="000000"/>
                <w:sz w:val="18"/>
                <w:szCs w:val="18"/>
                <w:lang w:val="el-GR"/>
              </w:rPr>
              <w:t>αποαναγνώριση</w:t>
            </w:r>
            <w:proofErr w:type="spellEnd"/>
            <w:r w:rsidRPr="00041815">
              <w:rPr>
                <w:rFonts w:ascii="Arial" w:eastAsia="Batang" w:hAnsi="Arial" w:cs="Arial"/>
                <w:color w:val="000000"/>
                <w:sz w:val="18"/>
                <w:szCs w:val="18"/>
                <w:lang w:val="el-GR"/>
              </w:rPr>
              <w:t xml:space="preserve"> χρηματοοικονομικών περιουσιακών στοιχείων που επιμετρούνται σε αποσβεσμένο κόστος (ως ο πιο πάνω πίνακας) συμφιλιώνονται </w:t>
            </w:r>
            <w:r w:rsidRPr="00527619">
              <w:rPr>
                <w:rFonts w:ascii="Arial" w:eastAsia="Batang" w:hAnsi="Arial" w:cs="Arial"/>
                <w:color w:val="000000"/>
                <w:sz w:val="18"/>
                <w:szCs w:val="18"/>
                <w:lang w:val="el-GR"/>
              </w:rPr>
              <w:t>στην απαιτούμενη από τη νομοθεσία βάση</w:t>
            </w:r>
            <w:r>
              <w:rPr>
                <w:rFonts w:ascii="Arial" w:eastAsia="Batang" w:hAnsi="Arial" w:cs="Arial"/>
                <w:color w:val="000000"/>
                <w:sz w:val="18"/>
                <w:szCs w:val="18"/>
                <w:lang w:val="el-GR"/>
              </w:rPr>
              <w:t xml:space="preserve"> </w:t>
            </w:r>
            <w:r w:rsidRPr="00041815">
              <w:rPr>
                <w:rFonts w:ascii="Arial" w:eastAsia="Batang" w:hAnsi="Arial" w:cs="Arial"/>
                <w:color w:val="000000"/>
                <w:sz w:val="18"/>
                <w:szCs w:val="18"/>
                <w:lang w:val="el-GR"/>
              </w:rPr>
              <w:t>ως ακολούθως:</w:t>
            </w:r>
          </w:p>
        </w:tc>
        <w:tc>
          <w:tcPr>
            <w:tcW w:w="1297" w:type="dxa"/>
            <w:tcBorders>
              <w:top w:val="single" w:sz="4" w:space="0" w:color="D9D9D9" w:themeColor="background1" w:themeShade="D9"/>
              <w:bottom w:val="single" w:sz="4" w:space="0" w:color="D9D9D9" w:themeColor="background1" w:themeShade="D9"/>
            </w:tcBorders>
            <w:shd w:val="clear" w:color="auto" w:fill="auto"/>
            <w:vAlign w:val="center"/>
          </w:tcPr>
          <w:p w14:paraId="5E2DC8E9" w14:textId="77777777" w:rsidR="0056738E" w:rsidRPr="00FF012C" w:rsidRDefault="0056738E" w:rsidP="007C2AEE">
            <w:pPr>
              <w:tabs>
                <w:tab w:val="left" w:pos="0"/>
                <w:tab w:val="right" w:pos="7560"/>
                <w:tab w:val="right" w:pos="9000"/>
              </w:tabs>
              <w:jc w:val="right"/>
              <w:rPr>
                <w:rFonts w:ascii="Verdana" w:hAnsi="Verdana" w:cs="Arial"/>
                <w:b/>
                <w:bCs/>
                <w:sz w:val="18"/>
                <w:szCs w:val="18"/>
                <w:lang w:val="el-GR"/>
              </w:rPr>
            </w:pPr>
          </w:p>
        </w:tc>
        <w:tc>
          <w:tcPr>
            <w:tcW w:w="1255" w:type="dxa"/>
            <w:tcBorders>
              <w:top w:val="single" w:sz="4" w:space="0" w:color="D9D9D9" w:themeColor="background1" w:themeShade="D9"/>
              <w:bottom w:val="single" w:sz="4" w:space="0" w:color="D9D9D9" w:themeColor="background1" w:themeShade="D9"/>
            </w:tcBorders>
            <w:shd w:val="clear" w:color="auto" w:fill="auto"/>
            <w:vAlign w:val="center"/>
          </w:tcPr>
          <w:p w14:paraId="1D8177CD" w14:textId="77777777" w:rsidR="0056738E" w:rsidRPr="00FF012C" w:rsidRDefault="0056738E" w:rsidP="007C2AEE">
            <w:pPr>
              <w:tabs>
                <w:tab w:val="left" w:pos="0"/>
                <w:tab w:val="right" w:pos="7560"/>
                <w:tab w:val="right" w:pos="9000"/>
              </w:tabs>
              <w:jc w:val="right"/>
              <w:rPr>
                <w:rFonts w:ascii="Verdana" w:hAnsi="Verdana" w:cs="Arial"/>
                <w:sz w:val="18"/>
                <w:szCs w:val="18"/>
                <w:lang w:val="el-GR"/>
              </w:rPr>
            </w:pPr>
          </w:p>
        </w:tc>
      </w:tr>
      <w:tr w:rsidR="0056738E" w:rsidRPr="00E0028A" w14:paraId="2674CA8C" w14:textId="77777777" w:rsidTr="007C2AEE">
        <w:trPr>
          <w:trHeight w:val="279"/>
          <w:jc w:val="center"/>
        </w:trPr>
        <w:tc>
          <w:tcPr>
            <w:tcW w:w="6232" w:type="dxa"/>
            <w:vAlign w:val="center"/>
          </w:tcPr>
          <w:p w14:paraId="7596BBB8" w14:textId="77777777" w:rsidR="0056738E" w:rsidRPr="00041815" w:rsidRDefault="0056738E" w:rsidP="007C2AEE">
            <w:pPr>
              <w:tabs>
                <w:tab w:val="left" w:pos="0"/>
                <w:tab w:val="right" w:pos="7560"/>
                <w:tab w:val="right" w:pos="9000"/>
              </w:tabs>
              <w:jc w:val="both"/>
              <w:rPr>
                <w:rFonts w:ascii="Arial" w:eastAsia="Batang" w:hAnsi="Arial" w:cs="Arial"/>
                <w:color w:val="000000"/>
                <w:sz w:val="18"/>
                <w:szCs w:val="18"/>
                <w:lang w:val="el-GR"/>
              </w:rPr>
            </w:pPr>
            <w:r w:rsidRPr="00041815">
              <w:rPr>
                <w:rFonts w:ascii="Arial" w:eastAsia="Batang" w:hAnsi="Arial" w:cs="Arial"/>
                <w:color w:val="000000"/>
                <w:sz w:val="18"/>
                <w:szCs w:val="18"/>
                <w:lang w:val="el-GR"/>
              </w:rPr>
              <w:t>Καθαρά κέρδη από διαπραγμάτευση συναλλάγματος</w:t>
            </w:r>
          </w:p>
        </w:tc>
        <w:tc>
          <w:tcPr>
            <w:tcW w:w="1297" w:type="dxa"/>
            <w:tcBorders>
              <w:top w:val="single" w:sz="4" w:space="0" w:color="D9D9D9" w:themeColor="background1" w:themeShade="D9"/>
              <w:bottom w:val="single" w:sz="4" w:space="0" w:color="D9D9D9" w:themeColor="background1" w:themeShade="D9"/>
            </w:tcBorders>
            <w:shd w:val="clear" w:color="auto" w:fill="auto"/>
            <w:vAlign w:val="center"/>
          </w:tcPr>
          <w:p w14:paraId="32AC88A4" w14:textId="77777777" w:rsidR="0056738E" w:rsidRPr="00FF012C" w:rsidRDefault="0056738E" w:rsidP="007C2AEE">
            <w:pPr>
              <w:tabs>
                <w:tab w:val="left" w:pos="0"/>
                <w:tab w:val="right" w:pos="7560"/>
                <w:tab w:val="right" w:pos="9000"/>
              </w:tabs>
              <w:jc w:val="right"/>
              <w:rPr>
                <w:rFonts w:ascii="Verdana" w:hAnsi="Verdana" w:cs="Arial"/>
                <w:b/>
                <w:bCs/>
                <w:sz w:val="18"/>
                <w:szCs w:val="18"/>
                <w:lang w:val="el-GR"/>
              </w:rPr>
            </w:pPr>
            <w:r>
              <w:rPr>
                <w:rFonts w:ascii="Arial" w:hAnsi="Arial" w:cs="Arial"/>
                <w:b/>
                <w:bCs/>
                <w:sz w:val="18"/>
                <w:szCs w:val="18"/>
              </w:rPr>
              <w:t>19,954</w:t>
            </w:r>
          </w:p>
        </w:tc>
        <w:tc>
          <w:tcPr>
            <w:tcW w:w="1255" w:type="dxa"/>
            <w:tcBorders>
              <w:top w:val="single" w:sz="4" w:space="0" w:color="D9D9D9" w:themeColor="background1" w:themeShade="D9"/>
              <w:bottom w:val="single" w:sz="4" w:space="0" w:color="D9D9D9" w:themeColor="background1" w:themeShade="D9"/>
            </w:tcBorders>
            <w:shd w:val="clear" w:color="auto" w:fill="auto"/>
            <w:vAlign w:val="center"/>
          </w:tcPr>
          <w:p w14:paraId="2002CCBA" w14:textId="77777777" w:rsidR="0056738E" w:rsidRPr="00636125" w:rsidRDefault="0056738E" w:rsidP="007C2AEE">
            <w:pPr>
              <w:tabs>
                <w:tab w:val="left" w:pos="0"/>
                <w:tab w:val="right" w:pos="7560"/>
                <w:tab w:val="right" w:pos="9000"/>
              </w:tabs>
              <w:jc w:val="right"/>
              <w:rPr>
                <w:rFonts w:ascii="Verdana" w:hAnsi="Verdana" w:cs="Arial"/>
                <w:sz w:val="18"/>
                <w:szCs w:val="18"/>
                <w:lang w:val="el-GR"/>
              </w:rPr>
            </w:pPr>
            <w:r w:rsidRPr="00E25891">
              <w:rPr>
                <w:rFonts w:ascii="Arial" w:hAnsi="Arial" w:cs="Arial"/>
                <w:sz w:val="18"/>
                <w:szCs w:val="18"/>
              </w:rPr>
              <w:t>22,506</w:t>
            </w:r>
          </w:p>
        </w:tc>
      </w:tr>
      <w:tr w:rsidR="0056738E" w:rsidRPr="00E0028A" w14:paraId="0019CBEC" w14:textId="77777777" w:rsidTr="007C2AEE">
        <w:trPr>
          <w:trHeight w:val="279"/>
          <w:jc w:val="center"/>
        </w:trPr>
        <w:tc>
          <w:tcPr>
            <w:tcW w:w="6232" w:type="dxa"/>
            <w:vAlign w:val="center"/>
          </w:tcPr>
          <w:p w14:paraId="698B2191" w14:textId="77777777" w:rsidR="0056738E" w:rsidRPr="00041815" w:rsidRDefault="0056738E" w:rsidP="007C2AEE">
            <w:pPr>
              <w:tabs>
                <w:tab w:val="left" w:pos="0"/>
                <w:tab w:val="right" w:pos="7560"/>
                <w:tab w:val="right" w:pos="9000"/>
              </w:tabs>
              <w:jc w:val="both"/>
              <w:rPr>
                <w:rFonts w:ascii="Arial" w:eastAsia="Batang" w:hAnsi="Arial" w:cs="Arial"/>
                <w:color w:val="000000"/>
                <w:sz w:val="18"/>
                <w:szCs w:val="18"/>
                <w:lang w:val="el-GR"/>
              </w:rPr>
            </w:pPr>
            <w:r w:rsidRPr="00041815">
              <w:rPr>
                <w:rFonts w:ascii="Arial" w:eastAsia="Batang" w:hAnsi="Arial" w:cs="Arial"/>
                <w:color w:val="000000"/>
                <w:sz w:val="18"/>
                <w:szCs w:val="18"/>
                <w:lang w:val="el-GR"/>
              </w:rPr>
              <w:t>Καθαρά κέρδη</w:t>
            </w:r>
            <w:r>
              <w:rPr>
                <w:rFonts w:ascii="Arial" w:eastAsia="Batang" w:hAnsi="Arial" w:cs="Arial"/>
                <w:color w:val="000000"/>
                <w:sz w:val="18"/>
                <w:szCs w:val="18"/>
                <w:lang w:val="el-GR"/>
              </w:rPr>
              <w:t xml:space="preserve"> </w:t>
            </w:r>
            <w:r w:rsidRPr="00041815">
              <w:rPr>
                <w:rFonts w:ascii="Arial" w:eastAsia="Batang" w:hAnsi="Arial" w:cs="Arial"/>
                <w:color w:val="000000"/>
                <w:sz w:val="18"/>
                <w:szCs w:val="18"/>
                <w:lang w:val="el-GR"/>
              </w:rPr>
              <w:t xml:space="preserve">από χρηματοοικονομικά μέσα </w:t>
            </w:r>
          </w:p>
        </w:tc>
        <w:tc>
          <w:tcPr>
            <w:tcW w:w="1297" w:type="dxa"/>
            <w:tcBorders>
              <w:top w:val="single" w:sz="4" w:space="0" w:color="D9D9D9" w:themeColor="background1" w:themeShade="D9"/>
              <w:bottom w:val="single" w:sz="4" w:space="0" w:color="D9D9D9" w:themeColor="background1" w:themeShade="D9"/>
            </w:tcBorders>
            <w:shd w:val="clear" w:color="auto" w:fill="auto"/>
            <w:vAlign w:val="center"/>
          </w:tcPr>
          <w:p w14:paraId="1993A72C" w14:textId="77777777" w:rsidR="0056738E" w:rsidRPr="00FF012C" w:rsidRDefault="0056738E" w:rsidP="007C2AEE">
            <w:pPr>
              <w:tabs>
                <w:tab w:val="left" w:pos="0"/>
                <w:tab w:val="right" w:pos="7560"/>
                <w:tab w:val="right" w:pos="9000"/>
              </w:tabs>
              <w:jc w:val="right"/>
              <w:rPr>
                <w:rFonts w:ascii="Verdana" w:hAnsi="Verdana" w:cs="Arial"/>
                <w:b/>
                <w:bCs/>
                <w:sz w:val="18"/>
                <w:szCs w:val="18"/>
                <w:lang w:val="el-GR"/>
              </w:rPr>
            </w:pPr>
            <w:r>
              <w:rPr>
                <w:rFonts w:ascii="Arial" w:hAnsi="Arial" w:cs="Arial"/>
                <w:b/>
                <w:bCs/>
                <w:sz w:val="18"/>
                <w:szCs w:val="18"/>
              </w:rPr>
              <w:t>8,586</w:t>
            </w:r>
          </w:p>
        </w:tc>
        <w:tc>
          <w:tcPr>
            <w:tcW w:w="1255" w:type="dxa"/>
            <w:tcBorders>
              <w:top w:val="single" w:sz="4" w:space="0" w:color="D9D9D9" w:themeColor="background1" w:themeShade="D9"/>
              <w:bottom w:val="single" w:sz="4" w:space="0" w:color="D9D9D9" w:themeColor="background1" w:themeShade="D9"/>
            </w:tcBorders>
            <w:shd w:val="clear" w:color="auto" w:fill="auto"/>
            <w:vAlign w:val="center"/>
          </w:tcPr>
          <w:p w14:paraId="50810140" w14:textId="77777777" w:rsidR="0056738E" w:rsidRPr="00FF012C" w:rsidRDefault="0056738E" w:rsidP="007C2AEE">
            <w:pPr>
              <w:tabs>
                <w:tab w:val="left" w:pos="0"/>
                <w:tab w:val="right" w:pos="7560"/>
                <w:tab w:val="right" w:pos="9000"/>
              </w:tabs>
              <w:jc w:val="right"/>
              <w:rPr>
                <w:rFonts w:ascii="Verdana" w:hAnsi="Verdana" w:cs="Arial"/>
                <w:sz w:val="18"/>
                <w:szCs w:val="18"/>
                <w:lang w:val="el-GR"/>
              </w:rPr>
            </w:pPr>
            <w:r w:rsidRPr="00E25891">
              <w:rPr>
                <w:rFonts w:ascii="Arial" w:hAnsi="Arial" w:cs="Arial"/>
                <w:sz w:val="18"/>
                <w:szCs w:val="18"/>
              </w:rPr>
              <w:t>6,346</w:t>
            </w:r>
          </w:p>
        </w:tc>
      </w:tr>
      <w:tr w:rsidR="0056738E" w:rsidRPr="00E0028A" w14:paraId="4F8952FA" w14:textId="77777777" w:rsidTr="007C2AEE">
        <w:trPr>
          <w:trHeight w:val="279"/>
          <w:jc w:val="center"/>
        </w:trPr>
        <w:tc>
          <w:tcPr>
            <w:tcW w:w="6232" w:type="dxa"/>
            <w:vAlign w:val="center"/>
          </w:tcPr>
          <w:p w14:paraId="78B0BDC6" w14:textId="77777777" w:rsidR="0056738E" w:rsidRPr="00041815" w:rsidRDefault="0056738E" w:rsidP="007C2AEE">
            <w:pPr>
              <w:tabs>
                <w:tab w:val="left" w:pos="0"/>
                <w:tab w:val="right" w:pos="7560"/>
                <w:tab w:val="right" w:pos="9000"/>
              </w:tabs>
              <w:jc w:val="both"/>
              <w:rPr>
                <w:rFonts w:ascii="Arial" w:eastAsia="Batang" w:hAnsi="Arial" w:cs="Arial"/>
                <w:color w:val="000000"/>
                <w:sz w:val="18"/>
                <w:szCs w:val="18"/>
                <w:lang w:val="el-GR"/>
              </w:rPr>
            </w:pPr>
            <w:r w:rsidRPr="00041815">
              <w:rPr>
                <w:rFonts w:ascii="Arial" w:eastAsia="Batang" w:hAnsi="Arial" w:cs="Arial"/>
                <w:color w:val="000000"/>
                <w:sz w:val="18"/>
                <w:szCs w:val="18"/>
                <w:lang w:val="el-GR"/>
              </w:rPr>
              <w:t xml:space="preserve">Καθαρά κέρδη από </w:t>
            </w:r>
            <w:proofErr w:type="spellStart"/>
            <w:r w:rsidRPr="00041815">
              <w:rPr>
                <w:rFonts w:ascii="Arial" w:eastAsia="Batang" w:hAnsi="Arial" w:cs="Arial"/>
                <w:color w:val="000000"/>
                <w:sz w:val="18"/>
                <w:szCs w:val="18"/>
                <w:lang w:val="el-GR"/>
              </w:rPr>
              <w:t>αποαναγνώριση</w:t>
            </w:r>
            <w:proofErr w:type="spellEnd"/>
            <w:r w:rsidRPr="00041815">
              <w:rPr>
                <w:rFonts w:ascii="Arial" w:eastAsia="Batang" w:hAnsi="Arial" w:cs="Arial"/>
                <w:color w:val="000000"/>
                <w:sz w:val="18"/>
                <w:szCs w:val="18"/>
                <w:lang w:val="el-GR"/>
              </w:rPr>
              <w:t xml:space="preserve"> χρηματοοικονομικών περιουσιακών στοιχείων που επιμετρούνται σε αποσβεσμένο κόστος </w:t>
            </w:r>
          </w:p>
        </w:tc>
        <w:tc>
          <w:tcPr>
            <w:tcW w:w="1297" w:type="dxa"/>
            <w:tcBorders>
              <w:top w:val="single" w:sz="4" w:space="0" w:color="D9D9D9" w:themeColor="background1" w:themeShade="D9"/>
              <w:bottom w:val="single" w:sz="6" w:space="0" w:color="000000" w:themeColor="text1"/>
            </w:tcBorders>
            <w:shd w:val="clear" w:color="auto" w:fill="auto"/>
            <w:vAlign w:val="center"/>
          </w:tcPr>
          <w:p w14:paraId="2F6D591B" w14:textId="77777777" w:rsidR="0056738E" w:rsidRPr="00FF012C" w:rsidRDefault="0056738E" w:rsidP="007C2AEE">
            <w:pPr>
              <w:tabs>
                <w:tab w:val="left" w:pos="0"/>
                <w:tab w:val="right" w:pos="7560"/>
                <w:tab w:val="right" w:pos="9000"/>
              </w:tabs>
              <w:jc w:val="right"/>
              <w:rPr>
                <w:rFonts w:ascii="Verdana" w:hAnsi="Verdana" w:cs="Arial"/>
                <w:b/>
                <w:bCs/>
                <w:sz w:val="18"/>
                <w:szCs w:val="18"/>
                <w:lang w:val="el-GR"/>
              </w:rPr>
            </w:pPr>
            <w:r>
              <w:rPr>
                <w:rFonts w:ascii="Arial" w:hAnsi="Arial" w:cs="Arial"/>
                <w:b/>
                <w:bCs/>
                <w:sz w:val="18"/>
                <w:szCs w:val="18"/>
              </w:rPr>
              <w:t>493</w:t>
            </w:r>
          </w:p>
        </w:tc>
        <w:tc>
          <w:tcPr>
            <w:tcW w:w="1255" w:type="dxa"/>
            <w:tcBorders>
              <w:top w:val="single" w:sz="4" w:space="0" w:color="D9D9D9" w:themeColor="background1" w:themeShade="D9"/>
              <w:bottom w:val="single" w:sz="6" w:space="0" w:color="000000" w:themeColor="text1"/>
            </w:tcBorders>
            <w:shd w:val="clear" w:color="auto" w:fill="auto"/>
            <w:vAlign w:val="center"/>
          </w:tcPr>
          <w:p w14:paraId="110031F6" w14:textId="77777777" w:rsidR="0056738E" w:rsidRPr="00636125" w:rsidRDefault="0056738E" w:rsidP="007C2AEE">
            <w:pPr>
              <w:tabs>
                <w:tab w:val="left" w:pos="0"/>
                <w:tab w:val="right" w:pos="7560"/>
                <w:tab w:val="right" w:pos="9000"/>
              </w:tabs>
              <w:jc w:val="right"/>
              <w:rPr>
                <w:rFonts w:ascii="Verdana" w:hAnsi="Verdana" w:cs="Arial"/>
                <w:sz w:val="18"/>
                <w:szCs w:val="18"/>
                <w:lang w:val="el-GR"/>
              </w:rPr>
            </w:pPr>
            <w:r w:rsidRPr="00E25891">
              <w:rPr>
                <w:rFonts w:ascii="Arial" w:hAnsi="Arial" w:cs="Arial"/>
                <w:sz w:val="18"/>
                <w:szCs w:val="18"/>
              </w:rPr>
              <w:t>6,265</w:t>
            </w:r>
          </w:p>
        </w:tc>
      </w:tr>
      <w:tr w:rsidR="0056738E" w:rsidRPr="00E0028A" w14:paraId="7A21D79C" w14:textId="77777777" w:rsidTr="007C2AEE">
        <w:trPr>
          <w:trHeight w:val="279"/>
          <w:jc w:val="center"/>
        </w:trPr>
        <w:tc>
          <w:tcPr>
            <w:tcW w:w="6232" w:type="dxa"/>
            <w:vAlign w:val="center"/>
          </w:tcPr>
          <w:p w14:paraId="62412BE4" w14:textId="77777777" w:rsidR="0056738E" w:rsidRPr="00FF012C" w:rsidRDefault="0056738E" w:rsidP="007C2AEE">
            <w:pPr>
              <w:tabs>
                <w:tab w:val="left" w:pos="0"/>
                <w:tab w:val="right" w:pos="7560"/>
                <w:tab w:val="right" w:pos="9000"/>
              </w:tabs>
              <w:jc w:val="both"/>
              <w:rPr>
                <w:rFonts w:ascii="Verdana" w:hAnsi="Verdana" w:cs="Arial"/>
                <w:bCs/>
                <w:sz w:val="18"/>
                <w:szCs w:val="18"/>
                <w:lang w:val="el-GR"/>
              </w:rPr>
            </w:pPr>
          </w:p>
        </w:tc>
        <w:tc>
          <w:tcPr>
            <w:tcW w:w="1297" w:type="dxa"/>
            <w:tcBorders>
              <w:top w:val="single" w:sz="6" w:space="0" w:color="000000" w:themeColor="text1"/>
              <w:bottom w:val="double" w:sz="6" w:space="0" w:color="auto"/>
            </w:tcBorders>
            <w:shd w:val="clear" w:color="auto" w:fill="auto"/>
            <w:vAlign w:val="center"/>
          </w:tcPr>
          <w:p w14:paraId="793DB951" w14:textId="77777777" w:rsidR="0056738E" w:rsidRPr="00FF012C" w:rsidRDefault="0056738E" w:rsidP="007C2AEE">
            <w:pPr>
              <w:tabs>
                <w:tab w:val="left" w:pos="0"/>
                <w:tab w:val="right" w:pos="7560"/>
                <w:tab w:val="right" w:pos="9000"/>
              </w:tabs>
              <w:jc w:val="right"/>
              <w:rPr>
                <w:rFonts w:ascii="Verdana" w:hAnsi="Verdana" w:cs="Arial"/>
                <w:b/>
                <w:bCs/>
                <w:sz w:val="18"/>
                <w:szCs w:val="18"/>
                <w:lang w:val="el-GR"/>
              </w:rPr>
            </w:pPr>
            <w:r>
              <w:rPr>
                <w:rFonts w:ascii="Arial" w:hAnsi="Arial" w:cs="Arial"/>
                <w:b/>
                <w:bCs/>
                <w:sz w:val="18"/>
                <w:szCs w:val="18"/>
              </w:rPr>
              <w:t>29,033</w:t>
            </w:r>
          </w:p>
        </w:tc>
        <w:tc>
          <w:tcPr>
            <w:tcW w:w="1255" w:type="dxa"/>
            <w:tcBorders>
              <w:top w:val="single" w:sz="6" w:space="0" w:color="000000" w:themeColor="text1"/>
              <w:bottom w:val="double" w:sz="6" w:space="0" w:color="auto"/>
            </w:tcBorders>
            <w:shd w:val="clear" w:color="auto" w:fill="auto"/>
            <w:vAlign w:val="center"/>
          </w:tcPr>
          <w:p w14:paraId="4FFB636B" w14:textId="77777777" w:rsidR="0056738E" w:rsidRPr="00041815" w:rsidRDefault="0056738E" w:rsidP="007C2AEE">
            <w:pPr>
              <w:tabs>
                <w:tab w:val="left" w:pos="0"/>
                <w:tab w:val="right" w:pos="7560"/>
                <w:tab w:val="right" w:pos="9000"/>
              </w:tabs>
              <w:jc w:val="right"/>
              <w:rPr>
                <w:rFonts w:ascii="Verdana" w:hAnsi="Verdana" w:cs="Arial"/>
                <w:sz w:val="18"/>
                <w:szCs w:val="18"/>
                <w:lang w:val="el-GR"/>
              </w:rPr>
            </w:pPr>
            <w:r w:rsidRPr="00E25891">
              <w:rPr>
                <w:rFonts w:ascii="Arial" w:hAnsi="Arial" w:cs="Arial"/>
                <w:sz w:val="18"/>
                <w:szCs w:val="18"/>
              </w:rPr>
              <w:t>35,117</w:t>
            </w:r>
          </w:p>
        </w:tc>
      </w:tr>
    </w:tbl>
    <w:p w14:paraId="7F597068" w14:textId="77777777" w:rsidR="0056738E" w:rsidRPr="00D8041C" w:rsidRDefault="0056738E" w:rsidP="0056738E">
      <w:pPr>
        <w:tabs>
          <w:tab w:val="right" w:pos="7560"/>
          <w:tab w:val="right" w:pos="9000"/>
        </w:tabs>
        <w:spacing w:after="0" w:line="240" w:lineRule="auto"/>
        <w:ind w:left="567" w:hanging="567"/>
        <w:jc w:val="both"/>
        <w:rPr>
          <w:rFonts w:ascii="Arial" w:eastAsia="Times New Roman" w:hAnsi="Arial" w:cs="Arial"/>
          <w:sz w:val="18"/>
          <w:szCs w:val="16"/>
          <w:lang w:val="el-GR" w:eastAsia="en-US"/>
        </w:rPr>
      </w:pPr>
    </w:p>
    <w:tbl>
      <w:tblPr>
        <w:tblStyle w:val="TableGrid18"/>
        <w:tblW w:w="8784"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236"/>
        <w:gridCol w:w="1272"/>
        <w:gridCol w:w="1276"/>
      </w:tblGrid>
      <w:tr w:rsidR="0056738E" w:rsidRPr="007C2AEE" w14:paraId="03F7E36B" w14:textId="77777777" w:rsidTr="007C2AEE">
        <w:trPr>
          <w:trHeight w:val="283"/>
          <w:jc w:val="center"/>
        </w:trPr>
        <w:tc>
          <w:tcPr>
            <w:tcW w:w="6236" w:type="dxa"/>
            <w:vMerge w:val="restart"/>
            <w:tcBorders>
              <w:top w:val="single" w:sz="4" w:space="0" w:color="D9D9D9"/>
              <w:left w:val="single" w:sz="4" w:space="0" w:color="D9D9D9"/>
              <w:right w:val="single" w:sz="4" w:space="0" w:color="D9D9D9"/>
            </w:tcBorders>
            <w:vAlign w:val="center"/>
          </w:tcPr>
          <w:p w14:paraId="253A45FC" w14:textId="77777777" w:rsidR="0056738E" w:rsidRPr="00896999" w:rsidRDefault="0056738E" w:rsidP="007C2AEE">
            <w:pPr>
              <w:tabs>
                <w:tab w:val="left" w:pos="0"/>
                <w:tab w:val="left" w:pos="360"/>
              </w:tabs>
              <w:rPr>
                <w:rFonts w:ascii="Arial" w:hAnsi="Arial" w:cs="Arial"/>
                <w:b/>
                <w:sz w:val="18"/>
                <w:szCs w:val="18"/>
                <w:lang w:val="el-GR"/>
              </w:rPr>
            </w:pPr>
          </w:p>
        </w:tc>
        <w:tc>
          <w:tcPr>
            <w:tcW w:w="2548" w:type="dxa"/>
            <w:gridSpan w:val="2"/>
            <w:tcBorders>
              <w:top w:val="single" w:sz="4" w:space="0" w:color="D9D9D9" w:themeColor="background1" w:themeShade="D9"/>
              <w:bottom w:val="single" w:sz="4" w:space="0" w:color="D9D9D9" w:themeColor="background1" w:themeShade="D9"/>
            </w:tcBorders>
            <w:shd w:val="clear" w:color="auto" w:fill="auto"/>
            <w:vAlign w:val="center"/>
          </w:tcPr>
          <w:p w14:paraId="479BA64B" w14:textId="77777777" w:rsidR="0056738E" w:rsidRDefault="0056738E" w:rsidP="007C2AEE">
            <w:pPr>
              <w:ind w:left="-31" w:right="-65"/>
              <w:jc w:val="center"/>
              <w:rPr>
                <w:rFonts w:ascii="Arial" w:hAnsi="Arial" w:cs="Arial"/>
                <w:b/>
                <w:bCs/>
                <w:sz w:val="18"/>
                <w:szCs w:val="18"/>
                <w:lang w:val="el-GR"/>
              </w:rPr>
            </w:pPr>
            <w:r>
              <w:rPr>
                <w:rFonts w:ascii="Arial" w:hAnsi="Arial" w:cs="Arial"/>
                <w:b/>
                <w:bCs/>
                <w:sz w:val="18"/>
                <w:szCs w:val="18"/>
                <w:lang w:val="el-GR"/>
              </w:rPr>
              <w:t>Εννεάμηνο</w:t>
            </w:r>
            <w:r w:rsidRPr="000221F4">
              <w:rPr>
                <w:rFonts w:ascii="Arial" w:hAnsi="Arial" w:cs="Arial"/>
                <w:b/>
                <w:bCs/>
                <w:sz w:val="18"/>
                <w:szCs w:val="18"/>
                <w:lang w:val="el-GR"/>
              </w:rPr>
              <w:t xml:space="preserve"> </w:t>
            </w:r>
            <w:r w:rsidRPr="00C42B7D">
              <w:rPr>
                <w:rFonts w:ascii="Arial" w:hAnsi="Arial" w:cs="Arial"/>
                <w:b/>
                <w:bCs/>
                <w:sz w:val="18"/>
                <w:szCs w:val="18"/>
                <w:lang w:val="el-GR"/>
              </w:rPr>
              <w:t xml:space="preserve">που έληξε στις </w:t>
            </w:r>
          </w:p>
          <w:p w14:paraId="39476B9B" w14:textId="77777777" w:rsidR="0056738E" w:rsidRPr="00E70E12" w:rsidRDefault="0056738E" w:rsidP="007C2AEE">
            <w:pPr>
              <w:tabs>
                <w:tab w:val="left" w:pos="0"/>
                <w:tab w:val="right" w:pos="7560"/>
                <w:tab w:val="right" w:pos="9000"/>
              </w:tabs>
              <w:jc w:val="center"/>
              <w:rPr>
                <w:rFonts w:ascii="Arial" w:eastAsia="Times New Roman" w:hAnsi="Arial" w:cs="Arial"/>
                <w:sz w:val="18"/>
                <w:szCs w:val="18"/>
                <w:lang w:val="el-GR"/>
              </w:rPr>
            </w:pPr>
            <w:r w:rsidRPr="00331BC0">
              <w:rPr>
                <w:rFonts w:ascii="Arial" w:hAnsi="Arial" w:cs="Arial"/>
                <w:b/>
                <w:sz w:val="18"/>
                <w:szCs w:val="18"/>
                <w:lang w:val="el-GR"/>
              </w:rPr>
              <w:t>30 Σεπτεμβρίου</w:t>
            </w:r>
          </w:p>
        </w:tc>
      </w:tr>
      <w:tr w:rsidR="0056738E" w:rsidRPr="00E70E12" w14:paraId="38656F3C" w14:textId="77777777" w:rsidTr="007C2AEE">
        <w:trPr>
          <w:trHeight w:val="283"/>
          <w:jc w:val="center"/>
        </w:trPr>
        <w:tc>
          <w:tcPr>
            <w:tcW w:w="6236" w:type="dxa"/>
            <w:vMerge/>
            <w:tcBorders>
              <w:left w:val="single" w:sz="4" w:space="0" w:color="D9D9D9"/>
              <w:bottom w:val="single" w:sz="4" w:space="0" w:color="D9D9D9"/>
              <w:right w:val="single" w:sz="4" w:space="0" w:color="D9D9D9"/>
            </w:tcBorders>
            <w:vAlign w:val="center"/>
          </w:tcPr>
          <w:p w14:paraId="57DC25A2" w14:textId="77777777" w:rsidR="0056738E" w:rsidRPr="00E70E12" w:rsidRDefault="0056738E" w:rsidP="007C2AEE">
            <w:pPr>
              <w:tabs>
                <w:tab w:val="left" w:pos="0"/>
                <w:tab w:val="left" w:pos="360"/>
              </w:tabs>
              <w:rPr>
                <w:rFonts w:ascii="Arial" w:hAnsi="Arial" w:cs="Arial"/>
                <w:b/>
                <w:sz w:val="18"/>
                <w:szCs w:val="18"/>
                <w:lang w:val="el-GR"/>
              </w:rPr>
            </w:pPr>
          </w:p>
        </w:tc>
        <w:tc>
          <w:tcPr>
            <w:tcW w:w="1272" w:type="dxa"/>
            <w:tcBorders>
              <w:top w:val="single" w:sz="4" w:space="0" w:color="D9D9D9" w:themeColor="background1" w:themeShade="D9"/>
              <w:bottom w:val="single" w:sz="4" w:space="0" w:color="D9D9D9" w:themeColor="background1" w:themeShade="D9"/>
            </w:tcBorders>
            <w:shd w:val="clear" w:color="auto" w:fill="auto"/>
            <w:vAlign w:val="center"/>
          </w:tcPr>
          <w:p w14:paraId="339CA6AC" w14:textId="77777777" w:rsidR="0056738E" w:rsidRPr="00E70E12" w:rsidRDefault="0056738E" w:rsidP="007C2AEE">
            <w:pPr>
              <w:jc w:val="center"/>
              <w:rPr>
                <w:rFonts w:ascii="Arial" w:hAnsi="Arial" w:cs="Arial"/>
                <w:b/>
                <w:iCs/>
                <w:spacing w:val="-4"/>
                <w:sz w:val="18"/>
                <w:szCs w:val="18"/>
              </w:rPr>
            </w:pPr>
            <w:r w:rsidRPr="00E70E12">
              <w:rPr>
                <w:rFonts w:ascii="Arial" w:eastAsia="Times New Roman" w:hAnsi="Arial" w:cs="Arial"/>
                <w:b/>
                <w:sz w:val="18"/>
                <w:szCs w:val="18"/>
              </w:rPr>
              <w:t>20</w:t>
            </w:r>
            <w:r w:rsidRPr="00E70E12">
              <w:rPr>
                <w:rFonts w:ascii="Arial" w:eastAsia="Times New Roman" w:hAnsi="Arial" w:cs="Arial"/>
                <w:b/>
                <w:sz w:val="18"/>
                <w:szCs w:val="18"/>
                <w:lang w:val="el-GR"/>
              </w:rPr>
              <w:t>2</w:t>
            </w:r>
            <w:r>
              <w:rPr>
                <w:rFonts w:ascii="Arial" w:eastAsia="Times New Roman" w:hAnsi="Arial" w:cs="Arial"/>
                <w:b/>
                <w:sz w:val="18"/>
                <w:szCs w:val="18"/>
                <w:lang w:val="el-GR"/>
              </w:rPr>
              <w:t>4</w:t>
            </w:r>
          </w:p>
        </w:tc>
        <w:tc>
          <w:tcPr>
            <w:tcW w:w="1276" w:type="dxa"/>
            <w:tcBorders>
              <w:top w:val="single" w:sz="4" w:space="0" w:color="D9D9D9" w:themeColor="background1" w:themeShade="D9"/>
              <w:bottom w:val="single" w:sz="4" w:space="0" w:color="D9D9D9" w:themeColor="background1" w:themeShade="D9"/>
            </w:tcBorders>
            <w:vAlign w:val="center"/>
          </w:tcPr>
          <w:p w14:paraId="1BB2E0C4" w14:textId="77777777" w:rsidR="0056738E" w:rsidRPr="00816B10" w:rsidRDefault="0056738E" w:rsidP="007C2AEE">
            <w:pPr>
              <w:tabs>
                <w:tab w:val="left" w:pos="0"/>
                <w:tab w:val="right" w:pos="7560"/>
                <w:tab w:val="right" w:pos="9000"/>
              </w:tabs>
              <w:jc w:val="center"/>
              <w:rPr>
                <w:rFonts w:ascii="Arial" w:hAnsi="Arial" w:cs="Arial"/>
                <w:iCs/>
                <w:spacing w:val="-4"/>
                <w:sz w:val="18"/>
                <w:szCs w:val="18"/>
                <w:highlight w:val="yellow"/>
                <w:lang w:val="el-GR"/>
              </w:rPr>
            </w:pPr>
            <w:r w:rsidRPr="00E70E12">
              <w:rPr>
                <w:rFonts w:ascii="Arial" w:eastAsia="Times New Roman" w:hAnsi="Arial" w:cs="Arial"/>
                <w:sz w:val="18"/>
                <w:szCs w:val="18"/>
              </w:rPr>
              <w:t>202</w:t>
            </w:r>
            <w:r>
              <w:rPr>
                <w:rFonts w:ascii="Arial" w:eastAsia="Times New Roman" w:hAnsi="Arial" w:cs="Arial"/>
                <w:sz w:val="18"/>
                <w:szCs w:val="18"/>
                <w:lang w:val="el-GR"/>
              </w:rPr>
              <w:t>3</w:t>
            </w:r>
          </w:p>
        </w:tc>
      </w:tr>
      <w:tr w:rsidR="0056738E" w:rsidRPr="00E70E12" w14:paraId="48243DC7" w14:textId="77777777" w:rsidTr="007C2AEE">
        <w:trPr>
          <w:trHeight w:val="283"/>
          <w:jc w:val="center"/>
        </w:trPr>
        <w:tc>
          <w:tcPr>
            <w:tcW w:w="6236" w:type="dxa"/>
            <w:tcBorders>
              <w:top w:val="single" w:sz="4" w:space="0" w:color="D9D9D9"/>
              <w:left w:val="single" w:sz="4" w:space="0" w:color="D9D9D9"/>
              <w:bottom w:val="single" w:sz="4" w:space="0" w:color="D9D9D9"/>
              <w:right w:val="single" w:sz="4" w:space="0" w:color="D9D9D9"/>
            </w:tcBorders>
            <w:vAlign w:val="center"/>
            <w:hideMark/>
          </w:tcPr>
          <w:p w14:paraId="266914D5" w14:textId="77777777" w:rsidR="0056738E" w:rsidRPr="00E70E12" w:rsidRDefault="0056738E" w:rsidP="007C2AEE">
            <w:pPr>
              <w:tabs>
                <w:tab w:val="left" w:pos="0"/>
                <w:tab w:val="right" w:pos="7560"/>
                <w:tab w:val="right" w:pos="9000"/>
              </w:tabs>
              <w:rPr>
                <w:rFonts w:ascii="Arial" w:hAnsi="Arial" w:cs="Arial"/>
                <w:sz w:val="18"/>
                <w:szCs w:val="18"/>
              </w:rPr>
            </w:pPr>
            <w:proofErr w:type="spellStart"/>
            <w:r w:rsidRPr="00E70E12">
              <w:rPr>
                <w:rFonts w:ascii="Arial" w:hAnsi="Arial" w:cs="Arial"/>
                <w:b/>
                <w:sz w:val="18"/>
                <w:szCs w:val="18"/>
              </w:rPr>
              <w:t>Δείκτης</w:t>
            </w:r>
            <w:proofErr w:type="spellEnd"/>
            <w:r w:rsidRPr="00E70E12">
              <w:rPr>
                <w:rFonts w:ascii="Arial" w:hAnsi="Arial" w:cs="Arial"/>
                <w:b/>
                <w:sz w:val="18"/>
                <w:szCs w:val="18"/>
              </w:rPr>
              <w:t xml:space="preserve"> </w:t>
            </w:r>
            <w:proofErr w:type="spellStart"/>
            <w:r w:rsidRPr="00E70E12">
              <w:rPr>
                <w:rFonts w:ascii="Arial" w:hAnsi="Arial" w:cs="Arial"/>
                <w:b/>
                <w:sz w:val="18"/>
                <w:szCs w:val="18"/>
              </w:rPr>
              <w:t>κόστος</w:t>
            </w:r>
            <w:proofErr w:type="spellEnd"/>
            <w:r w:rsidRPr="00E70E12">
              <w:rPr>
                <w:rFonts w:ascii="Arial" w:hAnsi="Arial" w:cs="Arial"/>
                <w:b/>
                <w:sz w:val="18"/>
                <w:szCs w:val="18"/>
              </w:rPr>
              <w:t xml:space="preserve"> π</w:t>
            </w:r>
            <w:proofErr w:type="spellStart"/>
            <w:r w:rsidRPr="00E70E12">
              <w:rPr>
                <w:rFonts w:ascii="Arial" w:hAnsi="Arial" w:cs="Arial"/>
                <w:b/>
                <w:sz w:val="18"/>
                <w:szCs w:val="18"/>
              </w:rPr>
              <w:t>ρος</w:t>
            </w:r>
            <w:proofErr w:type="spellEnd"/>
            <w:r w:rsidRPr="00E70E12">
              <w:rPr>
                <w:rFonts w:ascii="Arial" w:hAnsi="Arial" w:cs="Arial"/>
                <w:b/>
                <w:sz w:val="18"/>
                <w:szCs w:val="18"/>
              </w:rPr>
              <w:t xml:space="preserve"> </w:t>
            </w:r>
            <w:proofErr w:type="spellStart"/>
            <w:r w:rsidRPr="00E70E12">
              <w:rPr>
                <w:rFonts w:ascii="Arial" w:hAnsi="Arial" w:cs="Arial"/>
                <w:b/>
                <w:sz w:val="18"/>
                <w:szCs w:val="18"/>
              </w:rPr>
              <w:t>έσοδ</w:t>
            </w:r>
            <w:proofErr w:type="spellEnd"/>
            <w:r w:rsidRPr="00E70E12">
              <w:rPr>
                <w:rFonts w:ascii="Arial" w:hAnsi="Arial" w:cs="Arial"/>
                <w:b/>
                <w:sz w:val="18"/>
                <w:szCs w:val="18"/>
              </w:rPr>
              <w:t>α</w:t>
            </w:r>
          </w:p>
        </w:tc>
        <w:tc>
          <w:tcPr>
            <w:tcW w:w="1272" w:type="dxa"/>
            <w:tcBorders>
              <w:top w:val="single" w:sz="4" w:space="0" w:color="D9D9D9"/>
              <w:left w:val="single" w:sz="4" w:space="0" w:color="D9D9D9"/>
              <w:bottom w:val="single" w:sz="4" w:space="0" w:color="D9D9D9"/>
              <w:right w:val="single" w:sz="4" w:space="0" w:color="D9D9D9"/>
            </w:tcBorders>
            <w:vAlign w:val="center"/>
          </w:tcPr>
          <w:p w14:paraId="28510686" w14:textId="77777777" w:rsidR="0056738E" w:rsidRPr="00E70E12" w:rsidRDefault="0056738E" w:rsidP="007C2AEE">
            <w:pPr>
              <w:tabs>
                <w:tab w:val="left" w:pos="0"/>
                <w:tab w:val="right" w:pos="7560"/>
                <w:tab w:val="right" w:pos="9000"/>
              </w:tabs>
              <w:jc w:val="center"/>
              <w:rPr>
                <w:rFonts w:ascii="Arial" w:hAnsi="Arial" w:cs="Arial"/>
                <w:bCs/>
                <w:sz w:val="18"/>
                <w:szCs w:val="18"/>
              </w:rPr>
            </w:pPr>
          </w:p>
        </w:tc>
        <w:tc>
          <w:tcPr>
            <w:tcW w:w="1276" w:type="dxa"/>
            <w:tcBorders>
              <w:top w:val="single" w:sz="4" w:space="0" w:color="D9D9D9"/>
              <w:left w:val="single" w:sz="4" w:space="0" w:color="D9D9D9"/>
              <w:bottom w:val="single" w:sz="4" w:space="0" w:color="D9D9D9"/>
              <w:right w:val="single" w:sz="4" w:space="0" w:color="D9D9D9"/>
            </w:tcBorders>
            <w:vAlign w:val="center"/>
          </w:tcPr>
          <w:p w14:paraId="4773FFAC" w14:textId="77777777" w:rsidR="0056738E" w:rsidRPr="00E70E12" w:rsidRDefault="0056738E" w:rsidP="007C2AEE">
            <w:pPr>
              <w:tabs>
                <w:tab w:val="left" w:pos="0"/>
                <w:tab w:val="right" w:pos="7560"/>
                <w:tab w:val="right" w:pos="9000"/>
              </w:tabs>
              <w:jc w:val="center"/>
              <w:rPr>
                <w:rFonts w:ascii="Arial" w:hAnsi="Arial" w:cs="Arial"/>
                <w:sz w:val="18"/>
                <w:szCs w:val="18"/>
                <w:highlight w:val="yellow"/>
              </w:rPr>
            </w:pPr>
          </w:p>
        </w:tc>
      </w:tr>
      <w:tr w:rsidR="0056738E" w:rsidRPr="00E0028A" w14:paraId="0E676928" w14:textId="77777777" w:rsidTr="007C2AEE">
        <w:trPr>
          <w:trHeight w:val="283"/>
          <w:jc w:val="center"/>
        </w:trPr>
        <w:tc>
          <w:tcPr>
            <w:tcW w:w="6236" w:type="dxa"/>
            <w:tcBorders>
              <w:top w:val="single" w:sz="4" w:space="0" w:color="D9D9D9"/>
              <w:left w:val="single" w:sz="4" w:space="0" w:color="D9D9D9"/>
              <w:bottom w:val="single" w:sz="4" w:space="0" w:color="D9D9D9"/>
              <w:right w:val="single" w:sz="4" w:space="0" w:color="D9D9D9"/>
            </w:tcBorders>
            <w:vAlign w:val="center"/>
            <w:hideMark/>
          </w:tcPr>
          <w:p w14:paraId="3162E265" w14:textId="77777777" w:rsidR="0056738E" w:rsidRPr="00E70E12" w:rsidRDefault="0056738E" w:rsidP="007C2AEE">
            <w:pPr>
              <w:tabs>
                <w:tab w:val="left" w:pos="0"/>
                <w:tab w:val="right" w:pos="7560"/>
                <w:tab w:val="right" w:pos="9000"/>
              </w:tabs>
              <w:rPr>
                <w:rFonts w:ascii="Arial" w:hAnsi="Arial" w:cs="Arial"/>
                <w:b/>
                <w:sz w:val="18"/>
                <w:szCs w:val="18"/>
                <w:lang w:val="el-GR"/>
              </w:rPr>
            </w:pPr>
            <w:r w:rsidRPr="00E70E12">
              <w:rPr>
                <w:rFonts w:ascii="Arial" w:hAnsi="Arial" w:cs="Arial"/>
                <w:sz w:val="18"/>
                <w:szCs w:val="18"/>
                <w:lang w:val="el-GR"/>
              </w:rPr>
              <w:t xml:space="preserve">Συνολικά έξοδα </w:t>
            </w:r>
            <w:r w:rsidRPr="00E70E12">
              <w:rPr>
                <w:rFonts w:ascii="Arial" w:hAnsi="Arial" w:cs="Arial"/>
                <w:i/>
                <w:iCs/>
                <w:sz w:val="18"/>
                <w:szCs w:val="18"/>
                <w:lang w:val="el-GR"/>
              </w:rPr>
              <w:t>(ως ο πίνακας 2.1.3 πιο πάνω)</w:t>
            </w:r>
            <w:r w:rsidRPr="00E70E12">
              <w:rPr>
                <w:rFonts w:ascii="Arial" w:hAnsi="Arial" w:cs="Arial"/>
                <w:sz w:val="18"/>
                <w:szCs w:val="18"/>
                <w:lang w:val="el-GR"/>
              </w:rPr>
              <w:t xml:space="preserve"> (€000)</w:t>
            </w:r>
          </w:p>
        </w:tc>
        <w:tc>
          <w:tcPr>
            <w:tcW w:w="1272" w:type="dxa"/>
            <w:tcBorders>
              <w:top w:val="single" w:sz="4" w:space="0" w:color="D9D9D9"/>
              <w:left w:val="single" w:sz="4" w:space="0" w:color="D9D9D9"/>
              <w:bottom w:val="single" w:sz="4" w:space="0" w:color="D9D9D9"/>
              <w:right w:val="single" w:sz="4" w:space="0" w:color="D9D9D9"/>
            </w:tcBorders>
            <w:vAlign w:val="center"/>
          </w:tcPr>
          <w:p w14:paraId="39941422" w14:textId="77777777" w:rsidR="0056738E" w:rsidRPr="00E70E12"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291,654</w:t>
            </w:r>
          </w:p>
        </w:tc>
        <w:tc>
          <w:tcPr>
            <w:tcW w:w="1276" w:type="dxa"/>
            <w:tcBorders>
              <w:top w:val="single" w:sz="4" w:space="0" w:color="D9D9D9"/>
              <w:left w:val="single" w:sz="4" w:space="0" w:color="D9D9D9"/>
              <w:bottom w:val="single" w:sz="4" w:space="0" w:color="D9D9D9"/>
              <w:right w:val="single" w:sz="4" w:space="0" w:color="D9D9D9"/>
            </w:tcBorders>
            <w:vAlign w:val="center"/>
          </w:tcPr>
          <w:p w14:paraId="00D53538" w14:textId="77777777" w:rsidR="0056738E" w:rsidRPr="00E70E12" w:rsidRDefault="0056738E" w:rsidP="007C2AEE">
            <w:pPr>
              <w:tabs>
                <w:tab w:val="left" w:pos="0"/>
                <w:tab w:val="right" w:pos="7560"/>
                <w:tab w:val="right" w:pos="9000"/>
              </w:tabs>
              <w:jc w:val="right"/>
              <w:rPr>
                <w:rFonts w:ascii="Arial" w:hAnsi="Arial" w:cs="Arial"/>
                <w:sz w:val="18"/>
                <w:szCs w:val="18"/>
                <w:lang w:val="el-GR"/>
              </w:rPr>
            </w:pPr>
            <w:r w:rsidRPr="00E25891">
              <w:rPr>
                <w:rFonts w:ascii="Arial" w:hAnsi="Arial" w:cs="Arial"/>
                <w:sz w:val="18"/>
                <w:szCs w:val="18"/>
              </w:rPr>
              <w:t>27</w:t>
            </w:r>
            <w:r w:rsidRPr="00E25891">
              <w:rPr>
                <w:rFonts w:ascii="Arial" w:hAnsi="Arial" w:cs="Arial"/>
                <w:sz w:val="18"/>
                <w:szCs w:val="18"/>
                <w:lang w:val="el-GR"/>
              </w:rPr>
              <w:t>6</w:t>
            </w:r>
            <w:r w:rsidRPr="00E25891">
              <w:rPr>
                <w:rFonts w:ascii="Arial" w:hAnsi="Arial" w:cs="Arial"/>
                <w:sz w:val="18"/>
                <w:szCs w:val="18"/>
              </w:rPr>
              <w:t>,</w:t>
            </w:r>
            <w:r w:rsidRPr="00E25891">
              <w:rPr>
                <w:rFonts w:ascii="Arial" w:hAnsi="Arial" w:cs="Arial"/>
                <w:sz w:val="18"/>
                <w:szCs w:val="18"/>
                <w:lang w:val="el-GR"/>
              </w:rPr>
              <w:t>939</w:t>
            </w:r>
          </w:p>
        </w:tc>
      </w:tr>
      <w:tr w:rsidR="0056738E" w:rsidRPr="00E0028A" w14:paraId="6EE034C3" w14:textId="77777777" w:rsidTr="007C2AEE">
        <w:trPr>
          <w:trHeight w:val="283"/>
          <w:jc w:val="center"/>
        </w:trPr>
        <w:tc>
          <w:tcPr>
            <w:tcW w:w="6236" w:type="dxa"/>
            <w:tcBorders>
              <w:top w:val="single" w:sz="4" w:space="0" w:color="D9D9D9"/>
              <w:left w:val="single" w:sz="4" w:space="0" w:color="D9D9D9"/>
              <w:bottom w:val="single" w:sz="4" w:space="0" w:color="D9D9D9"/>
              <w:right w:val="single" w:sz="4" w:space="0" w:color="D9D9D9"/>
            </w:tcBorders>
            <w:vAlign w:val="center"/>
            <w:hideMark/>
          </w:tcPr>
          <w:p w14:paraId="3039E5C5" w14:textId="77777777" w:rsidR="0056738E" w:rsidRPr="00E70E12" w:rsidRDefault="0056738E" w:rsidP="007C2AEE">
            <w:pPr>
              <w:tabs>
                <w:tab w:val="left" w:pos="0"/>
                <w:tab w:val="right" w:pos="7560"/>
                <w:tab w:val="right" w:pos="9000"/>
              </w:tabs>
              <w:rPr>
                <w:rFonts w:ascii="Arial" w:hAnsi="Arial" w:cs="Arial"/>
                <w:bCs/>
                <w:sz w:val="18"/>
                <w:szCs w:val="18"/>
                <w:lang w:val="el-GR"/>
              </w:rPr>
            </w:pPr>
            <w:r w:rsidRPr="00E70E12">
              <w:rPr>
                <w:rFonts w:ascii="Arial" w:hAnsi="Arial" w:cs="Arial"/>
                <w:sz w:val="18"/>
                <w:szCs w:val="18"/>
                <w:lang w:val="el-GR"/>
              </w:rPr>
              <w:t>Συνολικά έσοδα (</w:t>
            </w:r>
            <w:r w:rsidRPr="00E70E12">
              <w:rPr>
                <w:rFonts w:ascii="Arial" w:hAnsi="Arial" w:cs="Arial"/>
                <w:i/>
                <w:iCs/>
                <w:sz w:val="18"/>
                <w:szCs w:val="18"/>
                <w:lang w:val="el-GR"/>
              </w:rPr>
              <w:t>ως ο πίνακας 2.2.1 πιο πάνω</w:t>
            </w:r>
            <w:r w:rsidRPr="00E70E12">
              <w:rPr>
                <w:rFonts w:ascii="Arial" w:hAnsi="Arial" w:cs="Arial"/>
                <w:sz w:val="18"/>
                <w:szCs w:val="18"/>
                <w:lang w:val="el-GR"/>
              </w:rPr>
              <w:t>) (€000)</w:t>
            </w:r>
          </w:p>
        </w:tc>
        <w:tc>
          <w:tcPr>
            <w:tcW w:w="1272" w:type="dxa"/>
            <w:tcBorders>
              <w:top w:val="single" w:sz="4" w:space="0" w:color="D9D9D9"/>
              <w:left w:val="single" w:sz="4" w:space="0" w:color="D9D9D9"/>
              <w:bottom w:val="single" w:sz="4" w:space="0" w:color="D9D9D9"/>
              <w:right w:val="single" w:sz="4" w:space="0" w:color="D9D9D9"/>
            </w:tcBorders>
            <w:vAlign w:val="center"/>
          </w:tcPr>
          <w:p w14:paraId="38308B6C" w14:textId="77777777" w:rsidR="0056738E" w:rsidRPr="00E70E12"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827,530</w:t>
            </w:r>
          </w:p>
        </w:tc>
        <w:tc>
          <w:tcPr>
            <w:tcW w:w="1276" w:type="dxa"/>
            <w:tcBorders>
              <w:top w:val="single" w:sz="4" w:space="0" w:color="D9D9D9"/>
              <w:left w:val="single" w:sz="4" w:space="0" w:color="D9D9D9"/>
              <w:bottom w:val="single" w:sz="4" w:space="0" w:color="D9D9D9"/>
              <w:right w:val="single" w:sz="4" w:space="0" w:color="D9D9D9"/>
            </w:tcBorders>
            <w:vAlign w:val="center"/>
          </w:tcPr>
          <w:p w14:paraId="3961900E" w14:textId="77777777" w:rsidR="0056738E" w:rsidRPr="00E70E12" w:rsidRDefault="0056738E" w:rsidP="007C2AEE">
            <w:pPr>
              <w:tabs>
                <w:tab w:val="left" w:pos="0"/>
                <w:tab w:val="right" w:pos="7560"/>
                <w:tab w:val="right" w:pos="9000"/>
              </w:tabs>
              <w:jc w:val="right"/>
              <w:rPr>
                <w:rFonts w:ascii="Arial" w:hAnsi="Arial" w:cs="Arial"/>
                <w:sz w:val="18"/>
                <w:szCs w:val="18"/>
                <w:lang w:val="el-GR"/>
              </w:rPr>
            </w:pPr>
            <w:r w:rsidRPr="00E25891">
              <w:rPr>
                <w:rFonts w:ascii="Arial" w:hAnsi="Arial" w:cs="Arial"/>
                <w:sz w:val="18"/>
                <w:szCs w:val="18"/>
              </w:rPr>
              <w:t>795,476</w:t>
            </w:r>
          </w:p>
        </w:tc>
      </w:tr>
      <w:tr w:rsidR="0056738E" w:rsidRPr="00E70E12" w14:paraId="75FFB655" w14:textId="77777777" w:rsidTr="007C2AEE">
        <w:trPr>
          <w:trHeight w:val="283"/>
          <w:jc w:val="center"/>
        </w:trPr>
        <w:tc>
          <w:tcPr>
            <w:tcW w:w="6236" w:type="dxa"/>
            <w:tcBorders>
              <w:top w:val="single" w:sz="4" w:space="0" w:color="D9D9D9"/>
              <w:left w:val="single" w:sz="4" w:space="0" w:color="D9D9D9"/>
              <w:bottom w:val="single" w:sz="4" w:space="0" w:color="D9D9D9"/>
              <w:right w:val="single" w:sz="4" w:space="0" w:color="D9D9D9"/>
            </w:tcBorders>
            <w:vAlign w:val="center"/>
            <w:hideMark/>
          </w:tcPr>
          <w:p w14:paraId="2A550837" w14:textId="77777777" w:rsidR="0056738E" w:rsidRPr="00E70E12" w:rsidRDefault="0056738E" w:rsidP="007C2AEE">
            <w:pPr>
              <w:tabs>
                <w:tab w:val="left" w:pos="0"/>
                <w:tab w:val="right" w:pos="7560"/>
                <w:tab w:val="right" w:pos="9000"/>
              </w:tabs>
              <w:rPr>
                <w:rFonts w:ascii="Arial" w:hAnsi="Arial" w:cs="Arial"/>
                <w:sz w:val="18"/>
                <w:szCs w:val="18"/>
              </w:rPr>
            </w:pPr>
            <w:proofErr w:type="spellStart"/>
            <w:r w:rsidRPr="00E70E12">
              <w:rPr>
                <w:rFonts w:ascii="Arial" w:hAnsi="Arial" w:cs="Arial"/>
                <w:sz w:val="18"/>
                <w:szCs w:val="18"/>
              </w:rPr>
              <w:t>Συνολικά</w:t>
            </w:r>
            <w:proofErr w:type="spellEnd"/>
            <w:r w:rsidRPr="00E70E12">
              <w:rPr>
                <w:rFonts w:ascii="Arial" w:hAnsi="Arial" w:cs="Arial"/>
                <w:sz w:val="18"/>
                <w:szCs w:val="18"/>
              </w:rPr>
              <w:t xml:space="preserve"> </w:t>
            </w:r>
            <w:proofErr w:type="spellStart"/>
            <w:r w:rsidRPr="00E70E12">
              <w:rPr>
                <w:rFonts w:ascii="Arial" w:hAnsi="Arial" w:cs="Arial"/>
                <w:sz w:val="18"/>
                <w:szCs w:val="18"/>
              </w:rPr>
              <w:t>έξοδ</w:t>
            </w:r>
            <w:proofErr w:type="spellEnd"/>
            <w:r w:rsidRPr="00E70E12">
              <w:rPr>
                <w:rFonts w:ascii="Arial" w:hAnsi="Arial" w:cs="Arial"/>
                <w:sz w:val="18"/>
                <w:szCs w:val="18"/>
              </w:rPr>
              <w:t>α</w:t>
            </w:r>
            <w:r>
              <w:rPr>
                <w:rFonts w:ascii="Arial" w:hAnsi="Arial" w:cs="Arial"/>
                <w:sz w:val="18"/>
                <w:szCs w:val="18"/>
                <w:lang w:val="el-GR"/>
              </w:rPr>
              <w:t xml:space="preserve"> </w:t>
            </w:r>
            <w:r w:rsidRPr="00E70E12">
              <w:rPr>
                <w:rFonts w:ascii="Arial" w:hAnsi="Arial" w:cs="Arial"/>
                <w:sz w:val="18"/>
                <w:szCs w:val="18"/>
              </w:rPr>
              <w:t>/</w:t>
            </w:r>
            <w:r>
              <w:rPr>
                <w:rFonts w:ascii="Arial" w:hAnsi="Arial" w:cs="Arial"/>
                <w:sz w:val="18"/>
                <w:szCs w:val="18"/>
                <w:lang w:val="el-GR"/>
              </w:rPr>
              <w:t xml:space="preserve"> </w:t>
            </w:r>
            <w:proofErr w:type="spellStart"/>
            <w:r w:rsidRPr="00E70E12">
              <w:rPr>
                <w:rFonts w:ascii="Arial" w:hAnsi="Arial" w:cs="Arial"/>
                <w:sz w:val="18"/>
                <w:szCs w:val="18"/>
              </w:rPr>
              <w:t>Συνολικά</w:t>
            </w:r>
            <w:proofErr w:type="spellEnd"/>
            <w:r w:rsidRPr="00E70E12">
              <w:rPr>
                <w:rFonts w:ascii="Arial" w:hAnsi="Arial" w:cs="Arial"/>
                <w:sz w:val="18"/>
                <w:szCs w:val="18"/>
              </w:rPr>
              <w:t xml:space="preserve"> </w:t>
            </w:r>
            <w:r w:rsidRPr="00E70E12">
              <w:rPr>
                <w:rFonts w:ascii="Arial" w:hAnsi="Arial" w:cs="Arial"/>
                <w:sz w:val="18"/>
                <w:szCs w:val="18"/>
                <w:lang w:val="el-GR"/>
              </w:rPr>
              <w:t>έσοδα</w:t>
            </w:r>
            <w:r w:rsidRPr="00E70E12">
              <w:rPr>
                <w:rFonts w:ascii="Arial" w:hAnsi="Arial" w:cs="Arial"/>
                <w:sz w:val="18"/>
                <w:szCs w:val="18"/>
              </w:rPr>
              <w:t xml:space="preserve"> (%)</w:t>
            </w:r>
          </w:p>
        </w:tc>
        <w:tc>
          <w:tcPr>
            <w:tcW w:w="1272" w:type="dxa"/>
            <w:tcBorders>
              <w:top w:val="single" w:sz="4" w:space="0" w:color="D9D9D9"/>
              <w:left w:val="single" w:sz="4" w:space="0" w:color="D9D9D9"/>
              <w:bottom w:val="single" w:sz="4" w:space="0" w:color="D9D9D9"/>
              <w:right w:val="single" w:sz="4" w:space="0" w:color="D9D9D9"/>
            </w:tcBorders>
            <w:vAlign w:val="center"/>
          </w:tcPr>
          <w:p w14:paraId="1B28E4B3" w14:textId="77777777" w:rsidR="0056738E" w:rsidRPr="00E70E12"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35%</w:t>
            </w:r>
          </w:p>
        </w:tc>
        <w:tc>
          <w:tcPr>
            <w:tcW w:w="1276" w:type="dxa"/>
            <w:tcBorders>
              <w:top w:val="single" w:sz="4" w:space="0" w:color="D9D9D9"/>
              <w:left w:val="single" w:sz="4" w:space="0" w:color="D9D9D9"/>
              <w:bottom w:val="single" w:sz="4" w:space="0" w:color="D9D9D9"/>
              <w:right w:val="single" w:sz="4" w:space="0" w:color="D9D9D9"/>
            </w:tcBorders>
            <w:vAlign w:val="center"/>
          </w:tcPr>
          <w:p w14:paraId="0ADA5BC8" w14:textId="77777777" w:rsidR="0056738E" w:rsidRPr="00E70E12" w:rsidRDefault="0056738E" w:rsidP="007C2AEE">
            <w:pPr>
              <w:tabs>
                <w:tab w:val="right" w:pos="7560"/>
                <w:tab w:val="right" w:pos="9000"/>
              </w:tabs>
              <w:ind w:left="-108"/>
              <w:jc w:val="right"/>
              <w:rPr>
                <w:rFonts w:ascii="Arial" w:hAnsi="Arial" w:cs="Arial"/>
                <w:sz w:val="18"/>
                <w:szCs w:val="18"/>
              </w:rPr>
            </w:pPr>
            <w:r w:rsidRPr="00E25891">
              <w:rPr>
                <w:rFonts w:ascii="Arial" w:hAnsi="Arial" w:cs="Arial"/>
                <w:sz w:val="18"/>
                <w:szCs w:val="18"/>
              </w:rPr>
              <w:t>3</w:t>
            </w:r>
            <w:r w:rsidRPr="00E25891">
              <w:rPr>
                <w:rFonts w:ascii="Arial" w:hAnsi="Arial" w:cs="Arial"/>
                <w:sz w:val="18"/>
                <w:szCs w:val="18"/>
                <w:lang w:val="el-GR"/>
              </w:rPr>
              <w:t>5</w:t>
            </w:r>
            <w:r w:rsidRPr="00E25891">
              <w:rPr>
                <w:rFonts w:ascii="Arial" w:hAnsi="Arial" w:cs="Arial"/>
                <w:sz w:val="18"/>
                <w:szCs w:val="18"/>
              </w:rPr>
              <w:t>%</w:t>
            </w:r>
          </w:p>
        </w:tc>
      </w:tr>
    </w:tbl>
    <w:p w14:paraId="6E02E14C" w14:textId="77777777" w:rsidR="0056738E" w:rsidRDefault="0056738E" w:rsidP="0056738E">
      <w:pPr>
        <w:tabs>
          <w:tab w:val="right" w:pos="7560"/>
          <w:tab w:val="right" w:pos="9000"/>
        </w:tabs>
        <w:spacing w:after="0" w:line="240" w:lineRule="auto"/>
        <w:ind w:left="567" w:hanging="567"/>
        <w:jc w:val="both"/>
        <w:rPr>
          <w:rFonts w:ascii="Arial" w:eastAsia="Times New Roman" w:hAnsi="Arial" w:cs="Arial"/>
          <w:sz w:val="18"/>
          <w:szCs w:val="16"/>
          <w:lang w:val="el-GR" w:eastAsia="en-US"/>
        </w:rPr>
      </w:pPr>
    </w:p>
    <w:tbl>
      <w:tblPr>
        <w:tblStyle w:val="TableGrid18"/>
        <w:tblW w:w="8784"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236"/>
        <w:gridCol w:w="1272"/>
        <w:gridCol w:w="1276"/>
      </w:tblGrid>
      <w:tr w:rsidR="0056738E" w:rsidRPr="007C2AEE" w14:paraId="16F65BB7" w14:textId="77777777" w:rsidTr="007C2AEE">
        <w:trPr>
          <w:trHeight w:val="283"/>
          <w:jc w:val="center"/>
        </w:trPr>
        <w:tc>
          <w:tcPr>
            <w:tcW w:w="6236" w:type="dxa"/>
            <w:vMerge w:val="restart"/>
            <w:tcBorders>
              <w:top w:val="single" w:sz="4" w:space="0" w:color="D9D9D9"/>
              <w:left w:val="single" w:sz="4" w:space="0" w:color="D9D9D9"/>
              <w:right w:val="single" w:sz="4" w:space="0" w:color="D9D9D9"/>
            </w:tcBorders>
            <w:vAlign w:val="center"/>
          </w:tcPr>
          <w:p w14:paraId="7F8A1BB7" w14:textId="77777777" w:rsidR="0056738E" w:rsidRPr="00896999" w:rsidRDefault="0056738E" w:rsidP="007C2AEE">
            <w:pPr>
              <w:tabs>
                <w:tab w:val="left" w:pos="0"/>
                <w:tab w:val="left" w:pos="360"/>
              </w:tabs>
              <w:rPr>
                <w:rFonts w:ascii="Arial" w:hAnsi="Arial" w:cs="Arial"/>
                <w:b/>
                <w:sz w:val="18"/>
                <w:szCs w:val="18"/>
                <w:lang w:val="el-GR"/>
              </w:rPr>
            </w:pPr>
            <w:bookmarkStart w:id="49" w:name="_Hlk166488686"/>
            <w:r w:rsidRPr="00E70E12">
              <w:rPr>
                <w:rFonts w:ascii="Arial" w:hAnsi="Arial" w:cs="Arial"/>
                <w:b/>
                <w:sz w:val="18"/>
                <w:szCs w:val="18"/>
                <w:lang w:val="el-GR"/>
              </w:rPr>
              <w:t>Δείκτης κόστος προς έσοδα εξαιρουμένου του ειδικού φόρου επί των καταθέσεων και άλλα τέλη/εισφορές</w:t>
            </w:r>
          </w:p>
        </w:tc>
        <w:tc>
          <w:tcPr>
            <w:tcW w:w="2548" w:type="dxa"/>
            <w:gridSpan w:val="2"/>
            <w:tcBorders>
              <w:top w:val="single" w:sz="4" w:space="0" w:color="D9D9D9" w:themeColor="background1" w:themeShade="D9"/>
              <w:bottom w:val="single" w:sz="4" w:space="0" w:color="D9D9D9" w:themeColor="background1" w:themeShade="D9"/>
            </w:tcBorders>
            <w:shd w:val="clear" w:color="auto" w:fill="auto"/>
            <w:vAlign w:val="center"/>
          </w:tcPr>
          <w:p w14:paraId="7056261A" w14:textId="77777777" w:rsidR="0056738E" w:rsidRDefault="0056738E" w:rsidP="007C2AEE">
            <w:pPr>
              <w:ind w:left="-31" w:right="-65"/>
              <w:jc w:val="center"/>
              <w:rPr>
                <w:rFonts w:ascii="Arial" w:hAnsi="Arial" w:cs="Arial"/>
                <w:b/>
                <w:bCs/>
                <w:sz w:val="18"/>
                <w:szCs w:val="18"/>
                <w:lang w:val="el-GR"/>
              </w:rPr>
            </w:pPr>
            <w:r>
              <w:rPr>
                <w:rFonts w:ascii="Arial" w:hAnsi="Arial" w:cs="Arial"/>
                <w:b/>
                <w:bCs/>
                <w:sz w:val="18"/>
                <w:szCs w:val="18"/>
                <w:lang w:val="el-GR"/>
              </w:rPr>
              <w:t>Εννεάμηνο</w:t>
            </w:r>
            <w:r w:rsidRPr="000221F4">
              <w:rPr>
                <w:rFonts w:ascii="Arial" w:hAnsi="Arial" w:cs="Arial"/>
                <w:b/>
                <w:bCs/>
                <w:sz w:val="18"/>
                <w:szCs w:val="18"/>
                <w:lang w:val="el-GR"/>
              </w:rPr>
              <w:t xml:space="preserve"> </w:t>
            </w:r>
            <w:r w:rsidRPr="00C42B7D">
              <w:rPr>
                <w:rFonts w:ascii="Arial" w:hAnsi="Arial" w:cs="Arial"/>
                <w:b/>
                <w:bCs/>
                <w:sz w:val="18"/>
                <w:szCs w:val="18"/>
                <w:lang w:val="el-GR"/>
              </w:rPr>
              <w:t xml:space="preserve">που έληξε στις </w:t>
            </w:r>
          </w:p>
          <w:p w14:paraId="34009F91" w14:textId="77777777" w:rsidR="0056738E" w:rsidRPr="00E70E12" w:rsidRDefault="0056738E" w:rsidP="007C2AEE">
            <w:pPr>
              <w:tabs>
                <w:tab w:val="left" w:pos="0"/>
                <w:tab w:val="right" w:pos="7560"/>
                <w:tab w:val="right" w:pos="9000"/>
              </w:tabs>
              <w:jc w:val="center"/>
              <w:rPr>
                <w:rFonts w:ascii="Arial" w:eastAsia="Times New Roman" w:hAnsi="Arial" w:cs="Arial"/>
                <w:sz w:val="18"/>
                <w:szCs w:val="18"/>
                <w:lang w:val="el-GR"/>
              </w:rPr>
            </w:pPr>
            <w:r w:rsidRPr="00331BC0">
              <w:rPr>
                <w:rFonts w:ascii="Arial" w:hAnsi="Arial" w:cs="Arial"/>
                <w:b/>
                <w:sz w:val="18"/>
                <w:szCs w:val="18"/>
                <w:lang w:val="el-GR"/>
              </w:rPr>
              <w:t>30 Σεπτεμβρίου</w:t>
            </w:r>
          </w:p>
        </w:tc>
      </w:tr>
      <w:tr w:rsidR="0056738E" w:rsidRPr="00E70E12" w14:paraId="0256FA22" w14:textId="77777777" w:rsidTr="007C2AEE">
        <w:trPr>
          <w:trHeight w:val="283"/>
          <w:jc w:val="center"/>
        </w:trPr>
        <w:tc>
          <w:tcPr>
            <w:tcW w:w="6236" w:type="dxa"/>
            <w:vMerge/>
            <w:tcBorders>
              <w:left w:val="single" w:sz="4" w:space="0" w:color="D9D9D9"/>
              <w:bottom w:val="single" w:sz="4" w:space="0" w:color="D9D9D9"/>
              <w:right w:val="single" w:sz="4" w:space="0" w:color="D9D9D9"/>
            </w:tcBorders>
            <w:vAlign w:val="center"/>
          </w:tcPr>
          <w:p w14:paraId="04292D63" w14:textId="77777777" w:rsidR="0056738E" w:rsidRPr="00E70E12" w:rsidRDefault="0056738E" w:rsidP="007C2AEE">
            <w:pPr>
              <w:tabs>
                <w:tab w:val="left" w:pos="0"/>
                <w:tab w:val="left" w:pos="360"/>
              </w:tabs>
              <w:rPr>
                <w:rFonts w:ascii="Arial" w:hAnsi="Arial" w:cs="Arial"/>
                <w:b/>
                <w:sz w:val="18"/>
                <w:szCs w:val="18"/>
                <w:lang w:val="el-GR"/>
              </w:rPr>
            </w:pPr>
          </w:p>
        </w:tc>
        <w:tc>
          <w:tcPr>
            <w:tcW w:w="1272" w:type="dxa"/>
            <w:tcBorders>
              <w:top w:val="single" w:sz="4" w:space="0" w:color="D9D9D9" w:themeColor="background1" w:themeShade="D9"/>
              <w:bottom w:val="single" w:sz="4" w:space="0" w:color="D9D9D9" w:themeColor="background1" w:themeShade="D9"/>
            </w:tcBorders>
            <w:shd w:val="clear" w:color="auto" w:fill="auto"/>
            <w:vAlign w:val="center"/>
          </w:tcPr>
          <w:p w14:paraId="3ABEE164" w14:textId="77777777" w:rsidR="0056738E" w:rsidRPr="00E70E12" w:rsidRDefault="0056738E" w:rsidP="007C2AEE">
            <w:pPr>
              <w:jc w:val="center"/>
              <w:rPr>
                <w:rFonts w:ascii="Arial" w:hAnsi="Arial" w:cs="Arial"/>
                <w:b/>
                <w:iCs/>
                <w:spacing w:val="-4"/>
                <w:sz w:val="18"/>
                <w:szCs w:val="18"/>
              </w:rPr>
            </w:pPr>
            <w:r w:rsidRPr="00E70E12">
              <w:rPr>
                <w:rFonts w:ascii="Arial" w:eastAsia="Times New Roman" w:hAnsi="Arial" w:cs="Arial"/>
                <w:b/>
                <w:sz w:val="18"/>
                <w:szCs w:val="18"/>
              </w:rPr>
              <w:t>20</w:t>
            </w:r>
            <w:r w:rsidRPr="00E70E12">
              <w:rPr>
                <w:rFonts w:ascii="Arial" w:eastAsia="Times New Roman" w:hAnsi="Arial" w:cs="Arial"/>
                <w:b/>
                <w:sz w:val="18"/>
                <w:szCs w:val="18"/>
                <w:lang w:val="el-GR"/>
              </w:rPr>
              <w:t>2</w:t>
            </w:r>
            <w:r>
              <w:rPr>
                <w:rFonts w:ascii="Arial" w:eastAsia="Times New Roman" w:hAnsi="Arial" w:cs="Arial"/>
                <w:b/>
                <w:sz w:val="18"/>
                <w:szCs w:val="18"/>
                <w:lang w:val="el-GR"/>
              </w:rPr>
              <w:t>4</w:t>
            </w:r>
          </w:p>
        </w:tc>
        <w:tc>
          <w:tcPr>
            <w:tcW w:w="1276" w:type="dxa"/>
            <w:tcBorders>
              <w:top w:val="single" w:sz="4" w:space="0" w:color="D9D9D9" w:themeColor="background1" w:themeShade="D9"/>
              <w:bottom w:val="single" w:sz="4" w:space="0" w:color="D9D9D9" w:themeColor="background1" w:themeShade="D9"/>
            </w:tcBorders>
            <w:vAlign w:val="center"/>
          </w:tcPr>
          <w:p w14:paraId="47D99C88" w14:textId="77777777" w:rsidR="0056738E" w:rsidRPr="00816B10" w:rsidRDefault="0056738E" w:rsidP="007C2AEE">
            <w:pPr>
              <w:tabs>
                <w:tab w:val="left" w:pos="0"/>
                <w:tab w:val="right" w:pos="7560"/>
                <w:tab w:val="right" w:pos="9000"/>
              </w:tabs>
              <w:jc w:val="center"/>
              <w:rPr>
                <w:rFonts w:ascii="Arial" w:hAnsi="Arial" w:cs="Arial"/>
                <w:iCs/>
                <w:spacing w:val="-4"/>
                <w:sz w:val="18"/>
                <w:szCs w:val="18"/>
                <w:highlight w:val="yellow"/>
                <w:lang w:val="el-GR"/>
              </w:rPr>
            </w:pPr>
            <w:r w:rsidRPr="00E70E12">
              <w:rPr>
                <w:rFonts w:ascii="Arial" w:eastAsia="Times New Roman" w:hAnsi="Arial" w:cs="Arial"/>
                <w:sz w:val="18"/>
                <w:szCs w:val="18"/>
              </w:rPr>
              <w:t>202</w:t>
            </w:r>
            <w:r>
              <w:rPr>
                <w:rFonts w:ascii="Arial" w:eastAsia="Times New Roman" w:hAnsi="Arial" w:cs="Arial"/>
                <w:sz w:val="18"/>
                <w:szCs w:val="18"/>
                <w:lang w:val="el-GR"/>
              </w:rPr>
              <w:t>3</w:t>
            </w:r>
          </w:p>
        </w:tc>
      </w:tr>
      <w:tr w:rsidR="0056738E" w:rsidRPr="002576A0" w14:paraId="7977EB69" w14:textId="77777777" w:rsidTr="007C2AEE">
        <w:trPr>
          <w:trHeight w:val="283"/>
          <w:jc w:val="center"/>
        </w:trPr>
        <w:tc>
          <w:tcPr>
            <w:tcW w:w="6236" w:type="dxa"/>
            <w:tcBorders>
              <w:top w:val="single" w:sz="4" w:space="0" w:color="D9D9D9"/>
              <w:left w:val="single" w:sz="4" w:space="0" w:color="D9D9D9"/>
              <w:bottom w:val="single" w:sz="4" w:space="0" w:color="D9D9D9"/>
              <w:right w:val="single" w:sz="4" w:space="0" w:color="D9D9D9"/>
            </w:tcBorders>
            <w:vAlign w:val="center"/>
            <w:hideMark/>
          </w:tcPr>
          <w:p w14:paraId="5DC68CF8" w14:textId="77777777" w:rsidR="0056738E" w:rsidRPr="00D17E65" w:rsidRDefault="0056738E" w:rsidP="007C2AEE">
            <w:pPr>
              <w:tabs>
                <w:tab w:val="left" w:pos="0"/>
                <w:tab w:val="right" w:pos="7560"/>
                <w:tab w:val="right" w:pos="9000"/>
              </w:tabs>
              <w:rPr>
                <w:rFonts w:ascii="Arial" w:hAnsi="Arial" w:cs="Arial"/>
                <w:sz w:val="18"/>
                <w:szCs w:val="18"/>
                <w:lang w:val="el-GR"/>
              </w:rPr>
            </w:pPr>
            <w:r w:rsidRPr="00E70E12">
              <w:rPr>
                <w:rFonts w:ascii="Arial" w:hAnsi="Arial" w:cs="Arial"/>
                <w:sz w:val="18"/>
                <w:szCs w:val="18"/>
                <w:lang w:val="el-GR"/>
              </w:rPr>
              <w:t>Συνολικά έξοδα (</w:t>
            </w:r>
            <w:r w:rsidRPr="00A03828">
              <w:rPr>
                <w:rFonts w:ascii="Arial" w:hAnsi="Arial" w:cs="Arial"/>
                <w:i/>
                <w:iCs/>
                <w:sz w:val="18"/>
                <w:szCs w:val="18"/>
                <w:lang w:val="el-GR"/>
              </w:rPr>
              <w:t>ως ο πίνακας</w:t>
            </w:r>
            <w:r w:rsidRPr="00E70E12">
              <w:rPr>
                <w:rFonts w:ascii="Arial" w:hAnsi="Arial" w:cs="Arial"/>
                <w:i/>
                <w:iCs/>
                <w:sz w:val="18"/>
                <w:szCs w:val="18"/>
                <w:lang w:val="el-GR"/>
              </w:rPr>
              <w:t xml:space="preserve"> 2.1.3 πιο πάνω</w:t>
            </w:r>
            <w:r w:rsidRPr="00E70E12">
              <w:rPr>
                <w:rFonts w:ascii="Arial" w:hAnsi="Arial" w:cs="Arial"/>
                <w:sz w:val="18"/>
                <w:szCs w:val="18"/>
                <w:lang w:val="el-GR"/>
              </w:rPr>
              <w:t>) (€000)</w:t>
            </w:r>
          </w:p>
        </w:tc>
        <w:tc>
          <w:tcPr>
            <w:tcW w:w="1272" w:type="dxa"/>
            <w:tcBorders>
              <w:top w:val="single" w:sz="4" w:space="0" w:color="D9D9D9"/>
              <w:left w:val="single" w:sz="4" w:space="0" w:color="D9D9D9"/>
              <w:bottom w:val="single" w:sz="4" w:space="0" w:color="D9D9D9"/>
              <w:right w:val="single" w:sz="4" w:space="0" w:color="D9D9D9"/>
            </w:tcBorders>
            <w:vAlign w:val="center"/>
          </w:tcPr>
          <w:p w14:paraId="251ADCCA" w14:textId="77777777" w:rsidR="0056738E" w:rsidRPr="00D17E65" w:rsidRDefault="0056738E" w:rsidP="007C2AEE">
            <w:pPr>
              <w:tabs>
                <w:tab w:val="right" w:pos="7560"/>
                <w:tab w:val="right" w:pos="9000"/>
              </w:tabs>
              <w:ind w:left="315" w:right="-110"/>
              <w:jc w:val="center"/>
              <w:rPr>
                <w:rFonts w:ascii="Arial" w:hAnsi="Arial" w:cs="Arial"/>
                <w:bCs/>
                <w:sz w:val="18"/>
                <w:szCs w:val="18"/>
                <w:lang w:val="el-GR"/>
              </w:rPr>
            </w:pPr>
            <w:r>
              <w:rPr>
                <w:rFonts w:ascii="Arial" w:hAnsi="Arial" w:cs="Arial"/>
                <w:b/>
                <w:bCs/>
                <w:sz w:val="18"/>
                <w:szCs w:val="18"/>
              </w:rPr>
              <w:t>291,654</w:t>
            </w:r>
          </w:p>
        </w:tc>
        <w:tc>
          <w:tcPr>
            <w:tcW w:w="1276" w:type="dxa"/>
            <w:tcBorders>
              <w:top w:val="single" w:sz="4" w:space="0" w:color="D9D9D9"/>
              <w:left w:val="single" w:sz="4" w:space="0" w:color="D9D9D9"/>
              <w:bottom w:val="single" w:sz="4" w:space="0" w:color="D9D9D9"/>
              <w:right w:val="single" w:sz="4" w:space="0" w:color="D9D9D9"/>
            </w:tcBorders>
            <w:vAlign w:val="center"/>
          </w:tcPr>
          <w:p w14:paraId="129501EF" w14:textId="77777777" w:rsidR="0056738E" w:rsidRPr="00D17E65" w:rsidRDefault="0056738E" w:rsidP="007C2AEE">
            <w:pPr>
              <w:tabs>
                <w:tab w:val="left" w:pos="0"/>
                <w:tab w:val="right" w:pos="7560"/>
                <w:tab w:val="right" w:pos="9000"/>
              </w:tabs>
              <w:jc w:val="right"/>
              <w:rPr>
                <w:rFonts w:ascii="Arial" w:hAnsi="Arial" w:cs="Arial"/>
                <w:sz w:val="18"/>
                <w:szCs w:val="18"/>
                <w:highlight w:val="yellow"/>
                <w:lang w:val="el-GR"/>
              </w:rPr>
            </w:pPr>
            <w:r w:rsidRPr="00E25891">
              <w:rPr>
                <w:rFonts w:ascii="Arial" w:hAnsi="Arial" w:cs="Arial"/>
                <w:sz w:val="18"/>
                <w:szCs w:val="18"/>
              </w:rPr>
              <w:t>27</w:t>
            </w:r>
            <w:r w:rsidRPr="00E25891">
              <w:rPr>
                <w:rFonts w:ascii="Arial" w:hAnsi="Arial" w:cs="Arial"/>
                <w:sz w:val="18"/>
                <w:szCs w:val="18"/>
                <w:lang w:val="el-GR"/>
              </w:rPr>
              <w:t>6</w:t>
            </w:r>
            <w:r w:rsidRPr="00E25891">
              <w:rPr>
                <w:rFonts w:ascii="Arial" w:hAnsi="Arial" w:cs="Arial"/>
                <w:sz w:val="18"/>
                <w:szCs w:val="18"/>
              </w:rPr>
              <w:t>,</w:t>
            </w:r>
            <w:r w:rsidRPr="00E25891">
              <w:rPr>
                <w:rFonts w:ascii="Arial" w:hAnsi="Arial" w:cs="Arial"/>
                <w:sz w:val="18"/>
                <w:szCs w:val="18"/>
                <w:lang w:val="el-GR"/>
              </w:rPr>
              <w:t>939</w:t>
            </w:r>
          </w:p>
        </w:tc>
      </w:tr>
      <w:tr w:rsidR="0056738E" w:rsidRPr="00E0028A" w14:paraId="7C113643" w14:textId="77777777" w:rsidTr="007C2AEE">
        <w:trPr>
          <w:trHeight w:val="283"/>
          <w:jc w:val="center"/>
        </w:trPr>
        <w:tc>
          <w:tcPr>
            <w:tcW w:w="6236" w:type="dxa"/>
            <w:tcBorders>
              <w:top w:val="single" w:sz="4" w:space="0" w:color="D9D9D9"/>
              <w:left w:val="single" w:sz="4" w:space="0" w:color="D9D9D9"/>
              <w:bottom w:val="single" w:sz="4" w:space="0" w:color="D9D9D9"/>
              <w:right w:val="single" w:sz="4" w:space="0" w:color="D9D9D9"/>
            </w:tcBorders>
            <w:vAlign w:val="center"/>
            <w:hideMark/>
          </w:tcPr>
          <w:p w14:paraId="088F2730" w14:textId="77777777" w:rsidR="0056738E" w:rsidRPr="00E70E12" w:rsidRDefault="0056738E" w:rsidP="007C2AEE">
            <w:pPr>
              <w:tabs>
                <w:tab w:val="left" w:pos="0"/>
                <w:tab w:val="right" w:pos="7560"/>
                <w:tab w:val="right" w:pos="9000"/>
              </w:tabs>
              <w:rPr>
                <w:rFonts w:ascii="Arial" w:hAnsi="Arial" w:cs="Arial"/>
                <w:b/>
                <w:sz w:val="18"/>
                <w:szCs w:val="18"/>
                <w:lang w:val="el-GR"/>
              </w:rPr>
            </w:pPr>
            <w:r w:rsidRPr="00E70E12">
              <w:rPr>
                <w:rFonts w:ascii="Arial" w:hAnsi="Arial" w:cs="Arial"/>
                <w:sz w:val="18"/>
                <w:szCs w:val="18"/>
                <w:lang w:val="el-GR"/>
              </w:rPr>
              <w:t>Μείον: Ειδικός φόρος επί των καταθέσεων και άλλα τέλη/εισφορές (</w:t>
            </w:r>
            <w:r w:rsidRPr="00A03828">
              <w:rPr>
                <w:rFonts w:ascii="Arial" w:hAnsi="Arial" w:cs="Arial"/>
                <w:i/>
                <w:iCs/>
                <w:sz w:val="18"/>
                <w:szCs w:val="18"/>
                <w:lang w:val="el-GR"/>
              </w:rPr>
              <w:t>ως ο πίνακας</w:t>
            </w:r>
            <w:r w:rsidRPr="006336D4">
              <w:rPr>
                <w:rFonts w:ascii="Arial" w:hAnsi="Arial" w:cs="Arial"/>
                <w:i/>
                <w:iCs/>
                <w:sz w:val="18"/>
                <w:szCs w:val="18"/>
                <w:lang w:val="el-GR"/>
              </w:rPr>
              <w:t xml:space="preserve"> 2.1.3 πιο πάνω</w:t>
            </w:r>
            <w:r w:rsidRPr="00E70E12">
              <w:rPr>
                <w:rFonts w:ascii="Arial" w:hAnsi="Arial" w:cs="Arial"/>
                <w:sz w:val="18"/>
                <w:szCs w:val="18"/>
                <w:lang w:val="el-GR"/>
              </w:rPr>
              <w:t>) (€000)</w:t>
            </w:r>
          </w:p>
        </w:tc>
        <w:tc>
          <w:tcPr>
            <w:tcW w:w="1272" w:type="dxa"/>
            <w:tcBorders>
              <w:top w:val="single" w:sz="4" w:space="0" w:color="D9D9D9"/>
              <w:left w:val="single" w:sz="4" w:space="0" w:color="D9D9D9"/>
              <w:bottom w:val="single" w:sz="6" w:space="0" w:color="000000" w:themeColor="text1"/>
              <w:right w:val="single" w:sz="4" w:space="0" w:color="D9D9D9"/>
            </w:tcBorders>
            <w:vAlign w:val="center"/>
          </w:tcPr>
          <w:p w14:paraId="76DF22A4" w14:textId="77777777" w:rsidR="0056738E" w:rsidRPr="00E70E12"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(26,219)</w:t>
            </w:r>
          </w:p>
        </w:tc>
        <w:tc>
          <w:tcPr>
            <w:tcW w:w="1276" w:type="dxa"/>
            <w:tcBorders>
              <w:top w:val="single" w:sz="4" w:space="0" w:color="D9D9D9"/>
              <w:left w:val="single" w:sz="4" w:space="0" w:color="D9D9D9"/>
              <w:bottom w:val="single" w:sz="6" w:space="0" w:color="000000" w:themeColor="text1"/>
              <w:right w:val="single" w:sz="4" w:space="0" w:color="D9D9D9"/>
            </w:tcBorders>
            <w:vAlign w:val="center"/>
          </w:tcPr>
          <w:p w14:paraId="6940F559" w14:textId="77777777" w:rsidR="0056738E" w:rsidRPr="00E70E12" w:rsidRDefault="0056738E" w:rsidP="007C2AEE">
            <w:pPr>
              <w:tabs>
                <w:tab w:val="left" w:pos="0"/>
                <w:tab w:val="right" w:pos="7560"/>
                <w:tab w:val="right" w:pos="9000"/>
              </w:tabs>
              <w:jc w:val="right"/>
              <w:rPr>
                <w:rFonts w:ascii="Arial" w:hAnsi="Arial" w:cs="Arial"/>
                <w:sz w:val="18"/>
                <w:szCs w:val="18"/>
                <w:lang w:val="el-GR"/>
              </w:rPr>
            </w:pPr>
            <w:r>
              <w:rPr>
                <w:rFonts w:ascii="Arial" w:hAnsi="Arial" w:cs="Arial"/>
                <w:bCs/>
                <w:iCs/>
                <w:spacing w:val="-4"/>
                <w:sz w:val="18"/>
                <w:szCs w:val="18"/>
              </w:rPr>
              <w:t>(</w:t>
            </w:r>
            <w:r w:rsidRPr="00E25891">
              <w:rPr>
                <w:rFonts w:ascii="Arial" w:hAnsi="Arial" w:cs="Arial"/>
                <w:bCs/>
                <w:iCs/>
                <w:spacing w:val="-4"/>
                <w:sz w:val="18"/>
                <w:szCs w:val="18"/>
              </w:rPr>
              <w:t>29,754</w:t>
            </w:r>
            <w:r>
              <w:rPr>
                <w:rFonts w:ascii="Arial" w:hAnsi="Arial" w:cs="Arial"/>
                <w:bCs/>
                <w:iCs/>
                <w:spacing w:val="-4"/>
                <w:sz w:val="18"/>
                <w:szCs w:val="18"/>
              </w:rPr>
              <w:t>)</w:t>
            </w:r>
          </w:p>
        </w:tc>
      </w:tr>
      <w:tr w:rsidR="0056738E" w:rsidRPr="00E0028A" w14:paraId="4FEC307E" w14:textId="77777777" w:rsidTr="007C2AEE">
        <w:trPr>
          <w:trHeight w:val="283"/>
          <w:jc w:val="center"/>
        </w:trPr>
        <w:tc>
          <w:tcPr>
            <w:tcW w:w="6236" w:type="dxa"/>
            <w:tcBorders>
              <w:top w:val="single" w:sz="4" w:space="0" w:color="D9D9D9"/>
              <w:left w:val="single" w:sz="4" w:space="0" w:color="D9D9D9"/>
              <w:bottom w:val="single" w:sz="4" w:space="0" w:color="D9D9D9"/>
              <w:right w:val="single" w:sz="4" w:space="0" w:color="D9D9D9"/>
            </w:tcBorders>
            <w:vAlign w:val="center"/>
            <w:hideMark/>
          </w:tcPr>
          <w:p w14:paraId="3B5BADDD" w14:textId="77777777" w:rsidR="0056738E" w:rsidRPr="00E70E12" w:rsidRDefault="0056738E" w:rsidP="007C2AEE">
            <w:pPr>
              <w:tabs>
                <w:tab w:val="left" w:pos="0"/>
                <w:tab w:val="right" w:pos="7560"/>
                <w:tab w:val="right" w:pos="9000"/>
              </w:tabs>
              <w:rPr>
                <w:rFonts w:ascii="Arial" w:hAnsi="Arial" w:cs="Arial"/>
                <w:bCs/>
                <w:sz w:val="18"/>
                <w:szCs w:val="18"/>
                <w:lang w:val="el-GR"/>
              </w:rPr>
            </w:pPr>
            <w:r w:rsidRPr="00E70E12">
              <w:rPr>
                <w:rFonts w:ascii="Arial" w:hAnsi="Arial" w:cs="Arial"/>
                <w:sz w:val="18"/>
                <w:szCs w:val="18"/>
                <w:lang w:val="el-GR"/>
              </w:rPr>
              <w:t>Συνολικά έξοδα εξαιρουμένου του ειδικού φόρου επί των καταθέσεων και άλλα τέλη/εισφορές</w:t>
            </w:r>
            <w:r>
              <w:rPr>
                <w:rFonts w:ascii="Arial" w:hAnsi="Arial" w:cs="Arial"/>
                <w:sz w:val="18"/>
                <w:szCs w:val="18"/>
                <w:lang w:val="el-GR"/>
              </w:rPr>
              <w:t xml:space="preserve"> </w:t>
            </w:r>
            <w:r w:rsidRPr="00E70E12">
              <w:rPr>
                <w:rFonts w:ascii="Arial" w:hAnsi="Arial" w:cs="Arial"/>
                <w:sz w:val="18"/>
                <w:szCs w:val="18"/>
                <w:lang w:val="el-GR"/>
              </w:rPr>
              <w:t>(€000)</w:t>
            </w:r>
          </w:p>
        </w:tc>
        <w:tc>
          <w:tcPr>
            <w:tcW w:w="1272" w:type="dxa"/>
            <w:tcBorders>
              <w:top w:val="single" w:sz="6" w:space="0" w:color="000000" w:themeColor="text1"/>
              <w:left w:val="single" w:sz="4" w:space="0" w:color="D9D9D9"/>
              <w:bottom w:val="single" w:sz="6" w:space="0" w:color="000000" w:themeColor="text1"/>
              <w:right w:val="single" w:sz="4" w:space="0" w:color="D9D9D9"/>
            </w:tcBorders>
            <w:vAlign w:val="center"/>
          </w:tcPr>
          <w:p w14:paraId="4729C523" w14:textId="77777777" w:rsidR="0056738E" w:rsidRPr="00E70E12"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265,435</w:t>
            </w:r>
          </w:p>
        </w:tc>
        <w:tc>
          <w:tcPr>
            <w:tcW w:w="1276" w:type="dxa"/>
            <w:tcBorders>
              <w:top w:val="single" w:sz="6" w:space="0" w:color="000000" w:themeColor="text1"/>
              <w:left w:val="single" w:sz="4" w:space="0" w:color="D9D9D9"/>
              <w:bottom w:val="single" w:sz="6" w:space="0" w:color="000000" w:themeColor="text1"/>
              <w:right w:val="single" w:sz="4" w:space="0" w:color="D9D9D9"/>
            </w:tcBorders>
            <w:vAlign w:val="center"/>
          </w:tcPr>
          <w:p w14:paraId="287C9EFE" w14:textId="77777777" w:rsidR="0056738E" w:rsidRPr="00E70E12" w:rsidRDefault="0056738E" w:rsidP="007C2AEE">
            <w:pPr>
              <w:tabs>
                <w:tab w:val="left" w:pos="0"/>
                <w:tab w:val="right" w:pos="7560"/>
                <w:tab w:val="right" w:pos="9000"/>
              </w:tabs>
              <w:jc w:val="right"/>
              <w:rPr>
                <w:rFonts w:ascii="Arial" w:hAnsi="Arial" w:cs="Arial"/>
                <w:sz w:val="18"/>
                <w:szCs w:val="18"/>
                <w:lang w:val="el-GR"/>
              </w:rPr>
            </w:pPr>
            <w:r>
              <w:rPr>
                <w:rFonts w:ascii="Arial" w:hAnsi="Arial" w:cs="Arial"/>
                <w:sz w:val="18"/>
                <w:szCs w:val="18"/>
              </w:rPr>
              <w:t>247,185</w:t>
            </w:r>
          </w:p>
        </w:tc>
      </w:tr>
      <w:tr w:rsidR="0056738E" w:rsidRPr="00E70E12" w14:paraId="517A5BA8" w14:textId="77777777" w:rsidTr="007C2AEE">
        <w:trPr>
          <w:trHeight w:val="283"/>
          <w:jc w:val="center"/>
        </w:trPr>
        <w:tc>
          <w:tcPr>
            <w:tcW w:w="6236" w:type="dxa"/>
            <w:tcBorders>
              <w:top w:val="single" w:sz="4" w:space="0" w:color="D9D9D9"/>
              <w:left w:val="single" w:sz="4" w:space="0" w:color="D9D9D9"/>
              <w:bottom w:val="single" w:sz="4" w:space="0" w:color="D9D9D9"/>
              <w:right w:val="single" w:sz="4" w:space="0" w:color="D9D9D9"/>
            </w:tcBorders>
            <w:vAlign w:val="center"/>
            <w:hideMark/>
          </w:tcPr>
          <w:p w14:paraId="330D30C9" w14:textId="77777777" w:rsidR="0056738E" w:rsidRPr="00D17E65" w:rsidRDefault="0056738E" w:rsidP="007C2AEE">
            <w:pPr>
              <w:tabs>
                <w:tab w:val="left" w:pos="0"/>
                <w:tab w:val="right" w:pos="7560"/>
                <w:tab w:val="right" w:pos="9000"/>
              </w:tabs>
              <w:rPr>
                <w:rFonts w:ascii="Arial" w:hAnsi="Arial" w:cs="Arial"/>
                <w:sz w:val="18"/>
                <w:szCs w:val="18"/>
                <w:lang w:val="el-GR"/>
              </w:rPr>
            </w:pPr>
            <w:r w:rsidRPr="00E70E12">
              <w:rPr>
                <w:rFonts w:ascii="Arial" w:hAnsi="Arial" w:cs="Arial"/>
                <w:sz w:val="18"/>
                <w:szCs w:val="18"/>
                <w:lang w:val="el-GR"/>
              </w:rPr>
              <w:t>Συνολικά έσοδα (</w:t>
            </w:r>
            <w:r w:rsidRPr="00E70E12">
              <w:rPr>
                <w:rFonts w:ascii="Arial" w:hAnsi="Arial" w:cs="Arial"/>
                <w:i/>
                <w:iCs/>
                <w:sz w:val="18"/>
                <w:szCs w:val="18"/>
                <w:lang w:val="el-GR"/>
              </w:rPr>
              <w:t>ως ο πίνακας 2.2.1 πιο πάνω</w:t>
            </w:r>
            <w:r w:rsidRPr="00E70E12">
              <w:rPr>
                <w:rFonts w:ascii="Arial" w:hAnsi="Arial" w:cs="Arial"/>
                <w:sz w:val="18"/>
                <w:szCs w:val="18"/>
                <w:lang w:val="el-GR"/>
              </w:rPr>
              <w:t>) (€000)</w:t>
            </w:r>
          </w:p>
        </w:tc>
        <w:tc>
          <w:tcPr>
            <w:tcW w:w="1272" w:type="dxa"/>
            <w:tcBorders>
              <w:top w:val="single" w:sz="6" w:space="0" w:color="000000" w:themeColor="text1"/>
              <w:left w:val="single" w:sz="4" w:space="0" w:color="D9D9D9"/>
              <w:bottom w:val="single" w:sz="6" w:space="0" w:color="000000" w:themeColor="text1"/>
              <w:right w:val="single" w:sz="4" w:space="0" w:color="D9D9D9"/>
            </w:tcBorders>
            <w:vAlign w:val="center"/>
          </w:tcPr>
          <w:p w14:paraId="1C154EC9" w14:textId="77777777" w:rsidR="0056738E" w:rsidRPr="00E70E12"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827,530</w:t>
            </w:r>
          </w:p>
        </w:tc>
        <w:tc>
          <w:tcPr>
            <w:tcW w:w="1276" w:type="dxa"/>
            <w:tcBorders>
              <w:top w:val="single" w:sz="6" w:space="0" w:color="000000" w:themeColor="text1"/>
              <w:left w:val="single" w:sz="4" w:space="0" w:color="D9D9D9"/>
              <w:bottom w:val="single" w:sz="6" w:space="0" w:color="000000" w:themeColor="text1"/>
              <w:right w:val="single" w:sz="4" w:space="0" w:color="D9D9D9"/>
            </w:tcBorders>
            <w:vAlign w:val="center"/>
          </w:tcPr>
          <w:p w14:paraId="787C3E99" w14:textId="77777777" w:rsidR="0056738E" w:rsidRPr="00E70E12" w:rsidRDefault="0056738E" w:rsidP="007C2AEE">
            <w:pPr>
              <w:tabs>
                <w:tab w:val="right" w:pos="7560"/>
                <w:tab w:val="right" w:pos="9000"/>
              </w:tabs>
              <w:ind w:left="-108"/>
              <w:jc w:val="right"/>
              <w:rPr>
                <w:rFonts w:ascii="Arial" w:hAnsi="Arial" w:cs="Arial"/>
                <w:sz w:val="18"/>
                <w:szCs w:val="18"/>
              </w:rPr>
            </w:pPr>
            <w:r>
              <w:rPr>
                <w:rFonts w:ascii="Arial" w:hAnsi="Arial" w:cs="Arial"/>
                <w:sz w:val="18"/>
                <w:szCs w:val="18"/>
              </w:rPr>
              <w:t>795,476</w:t>
            </w:r>
          </w:p>
        </w:tc>
      </w:tr>
      <w:tr w:rsidR="0056738E" w:rsidRPr="002576A0" w14:paraId="4C80202E" w14:textId="77777777" w:rsidTr="007C2AEE">
        <w:trPr>
          <w:trHeight w:val="283"/>
          <w:jc w:val="center"/>
        </w:trPr>
        <w:tc>
          <w:tcPr>
            <w:tcW w:w="6236" w:type="dxa"/>
            <w:tcBorders>
              <w:top w:val="single" w:sz="4" w:space="0" w:color="D9D9D9"/>
              <w:left w:val="single" w:sz="4" w:space="0" w:color="D9D9D9"/>
              <w:bottom w:val="single" w:sz="4" w:space="0" w:color="D9D9D9"/>
              <w:right w:val="single" w:sz="4" w:space="0" w:color="D9D9D9"/>
            </w:tcBorders>
            <w:vAlign w:val="center"/>
          </w:tcPr>
          <w:p w14:paraId="5E1B2168" w14:textId="77777777" w:rsidR="0056738E" w:rsidRPr="00E70E12" w:rsidRDefault="0056738E" w:rsidP="007C2AEE">
            <w:pPr>
              <w:tabs>
                <w:tab w:val="left" w:pos="0"/>
                <w:tab w:val="right" w:pos="7560"/>
                <w:tab w:val="right" w:pos="9000"/>
              </w:tabs>
              <w:rPr>
                <w:rFonts w:ascii="Arial" w:hAnsi="Arial" w:cs="Arial"/>
                <w:sz w:val="18"/>
                <w:szCs w:val="18"/>
                <w:lang w:val="el-GR"/>
              </w:rPr>
            </w:pPr>
            <w:r w:rsidRPr="00E70E12">
              <w:rPr>
                <w:rFonts w:ascii="Arial" w:hAnsi="Arial" w:cs="Arial"/>
                <w:sz w:val="18"/>
                <w:szCs w:val="18"/>
                <w:lang w:val="el-GR"/>
              </w:rPr>
              <w:t>Συνολικά έξοδα εξαιρουμένου του ειδικού φόρου επί των καταθέσεων και άλλα τέλη/εισφορές</w:t>
            </w:r>
            <w:r>
              <w:rPr>
                <w:rFonts w:ascii="Arial" w:hAnsi="Arial" w:cs="Arial"/>
                <w:sz w:val="18"/>
                <w:szCs w:val="18"/>
                <w:lang w:val="el-GR"/>
              </w:rPr>
              <w:t xml:space="preserve"> </w:t>
            </w:r>
            <w:r w:rsidRPr="00E70E12">
              <w:rPr>
                <w:rFonts w:ascii="Arial" w:hAnsi="Arial" w:cs="Arial"/>
                <w:sz w:val="18"/>
                <w:szCs w:val="18"/>
                <w:lang w:val="el-GR"/>
              </w:rPr>
              <w:t>/</w:t>
            </w:r>
            <w:r>
              <w:rPr>
                <w:rFonts w:ascii="Arial" w:hAnsi="Arial" w:cs="Arial"/>
                <w:sz w:val="18"/>
                <w:szCs w:val="18"/>
                <w:lang w:val="el-GR"/>
              </w:rPr>
              <w:t xml:space="preserve"> </w:t>
            </w:r>
            <w:r w:rsidRPr="00E70E12">
              <w:rPr>
                <w:rFonts w:ascii="Arial" w:hAnsi="Arial" w:cs="Arial"/>
                <w:sz w:val="18"/>
                <w:szCs w:val="18"/>
                <w:lang w:val="el-GR"/>
              </w:rPr>
              <w:t>Συνολικά έσοδα (%)</w:t>
            </w:r>
          </w:p>
        </w:tc>
        <w:tc>
          <w:tcPr>
            <w:tcW w:w="1272" w:type="dxa"/>
            <w:tcBorders>
              <w:top w:val="single" w:sz="6" w:space="0" w:color="000000" w:themeColor="text1"/>
              <w:left w:val="single" w:sz="4" w:space="0" w:color="D9D9D9"/>
              <w:bottom w:val="single" w:sz="4" w:space="0" w:color="D9D9D9"/>
              <w:right w:val="single" w:sz="4" w:space="0" w:color="D9D9D9"/>
            </w:tcBorders>
            <w:vAlign w:val="center"/>
          </w:tcPr>
          <w:p w14:paraId="51DD89C4" w14:textId="77777777" w:rsidR="0056738E" w:rsidRPr="00D17E65"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32%</w:t>
            </w:r>
          </w:p>
        </w:tc>
        <w:tc>
          <w:tcPr>
            <w:tcW w:w="1276" w:type="dxa"/>
            <w:tcBorders>
              <w:top w:val="single" w:sz="6" w:space="0" w:color="000000" w:themeColor="text1"/>
              <w:left w:val="single" w:sz="4" w:space="0" w:color="D9D9D9"/>
              <w:bottom w:val="single" w:sz="4" w:space="0" w:color="D9D9D9"/>
              <w:right w:val="single" w:sz="4" w:space="0" w:color="D9D9D9"/>
            </w:tcBorders>
            <w:vAlign w:val="center"/>
          </w:tcPr>
          <w:p w14:paraId="3AFB0F20" w14:textId="77777777" w:rsidR="0056738E" w:rsidRPr="00D17E65" w:rsidRDefault="0056738E" w:rsidP="007C2AEE">
            <w:pPr>
              <w:tabs>
                <w:tab w:val="right" w:pos="7560"/>
                <w:tab w:val="right" w:pos="9000"/>
              </w:tabs>
              <w:ind w:left="-108"/>
              <w:jc w:val="right"/>
              <w:rPr>
                <w:rFonts w:ascii="Arial" w:hAnsi="Arial" w:cs="Arial"/>
                <w:sz w:val="18"/>
                <w:szCs w:val="18"/>
                <w:lang w:val="el-GR"/>
              </w:rPr>
            </w:pPr>
            <w:r>
              <w:rPr>
                <w:rFonts w:ascii="Arial" w:hAnsi="Arial" w:cs="Arial"/>
                <w:sz w:val="18"/>
                <w:szCs w:val="18"/>
              </w:rPr>
              <w:t>31%</w:t>
            </w:r>
          </w:p>
        </w:tc>
      </w:tr>
      <w:bookmarkEnd w:id="49"/>
    </w:tbl>
    <w:p w14:paraId="6A5F7194" w14:textId="77777777" w:rsidR="0056738E" w:rsidRPr="00A03828" w:rsidRDefault="0056738E" w:rsidP="0056738E">
      <w:pPr>
        <w:tabs>
          <w:tab w:val="right" w:pos="7560"/>
          <w:tab w:val="right" w:pos="9000"/>
        </w:tabs>
        <w:spacing w:after="0" w:line="240" w:lineRule="auto"/>
        <w:ind w:left="567" w:hanging="567"/>
        <w:jc w:val="both"/>
        <w:rPr>
          <w:rFonts w:ascii="Arial" w:eastAsia="Times New Roman" w:hAnsi="Arial" w:cs="Arial"/>
          <w:sz w:val="18"/>
          <w:szCs w:val="16"/>
          <w:lang w:val="en-US" w:eastAsia="en-US"/>
        </w:rPr>
      </w:pPr>
    </w:p>
    <w:p w14:paraId="6A95380B" w14:textId="77777777" w:rsidR="0056738E" w:rsidRDefault="0056738E" w:rsidP="0056738E">
      <w:pPr>
        <w:spacing w:after="0" w:line="360" w:lineRule="auto"/>
        <w:ind w:left="851" w:hanging="851"/>
        <w:rPr>
          <w:rFonts w:ascii="Arial" w:hAnsi="Arial" w:cs="Arial"/>
          <w:b/>
          <w:color w:val="FF9900"/>
          <w:lang w:val="el-GR"/>
        </w:rPr>
      </w:pPr>
      <w:bookmarkStart w:id="50" w:name="_Hlk134784441"/>
      <w:r>
        <w:rPr>
          <w:rFonts w:ascii="Arial" w:hAnsi="Arial" w:cs="Arial"/>
          <w:b/>
          <w:color w:val="FF9900"/>
          <w:lang w:val="el-GR"/>
        </w:rPr>
        <w:t>Η</w:t>
      </w:r>
      <w:r w:rsidRPr="009B5694">
        <w:rPr>
          <w:rFonts w:ascii="Arial" w:hAnsi="Arial" w:cs="Arial"/>
          <w:b/>
          <w:color w:val="FF9900"/>
          <w:lang w:val="el-GR"/>
        </w:rPr>
        <w:t xml:space="preserve">. </w:t>
      </w:r>
      <w:r w:rsidRPr="009B5694">
        <w:rPr>
          <w:rFonts w:ascii="Arial" w:hAnsi="Arial" w:cs="Arial"/>
          <w:b/>
          <w:color w:val="FF9900"/>
          <w:lang w:val="el-GR"/>
        </w:rPr>
        <w:tab/>
      </w:r>
      <w:r w:rsidRPr="009D3A1F">
        <w:rPr>
          <w:rFonts w:ascii="Arial" w:hAnsi="Arial" w:cs="Arial"/>
          <w:b/>
          <w:color w:val="FF9900"/>
          <w:lang w:val="el-GR"/>
        </w:rPr>
        <w:t>Εναλλακτικ</w:t>
      </w:r>
      <w:r>
        <w:rPr>
          <w:rFonts w:ascii="Arial" w:hAnsi="Arial" w:cs="Arial"/>
          <w:b/>
          <w:color w:val="FF9900"/>
          <w:lang w:val="el-GR"/>
        </w:rPr>
        <w:t>ά</w:t>
      </w:r>
      <w:r w:rsidRPr="009D3A1F">
        <w:rPr>
          <w:rFonts w:ascii="Arial" w:hAnsi="Arial" w:cs="Arial"/>
          <w:b/>
          <w:color w:val="FF9900"/>
          <w:lang w:val="el-GR"/>
        </w:rPr>
        <w:t xml:space="preserve"> Μέτρ</w:t>
      </w:r>
      <w:r>
        <w:rPr>
          <w:rFonts w:ascii="Arial" w:hAnsi="Arial" w:cs="Arial"/>
          <w:b/>
          <w:color w:val="FF9900"/>
          <w:lang w:val="el-GR"/>
        </w:rPr>
        <w:t>α</w:t>
      </w:r>
      <w:r w:rsidRPr="009D3A1F">
        <w:rPr>
          <w:rFonts w:ascii="Arial" w:hAnsi="Arial" w:cs="Arial"/>
          <w:b/>
          <w:color w:val="FF9900"/>
          <w:lang w:val="el-GR"/>
        </w:rPr>
        <w:t xml:space="preserve"> Απόδοσης</w:t>
      </w:r>
      <w:r>
        <w:rPr>
          <w:rFonts w:ascii="Arial" w:hAnsi="Arial" w:cs="Arial"/>
          <w:b/>
          <w:color w:val="FF9900"/>
          <w:lang w:val="el-GR"/>
        </w:rPr>
        <w:t xml:space="preserve"> </w:t>
      </w:r>
      <w:r w:rsidRPr="00B964B1">
        <w:rPr>
          <w:rFonts w:ascii="Arial" w:hAnsi="Arial" w:cs="Arial"/>
          <w:color w:val="FF9900"/>
          <w:lang w:val="el-GR"/>
        </w:rPr>
        <w:t>(συνέχεια)</w:t>
      </w:r>
    </w:p>
    <w:p w14:paraId="7993F2CE" w14:textId="77777777" w:rsidR="0056738E" w:rsidRPr="00041815" w:rsidRDefault="0056738E" w:rsidP="0056738E">
      <w:pPr>
        <w:shd w:val="clear" w:color="auto" w:fill="FFFFFF"/>
        <w:tabs>
          <w:tab w:val="left" w:pos="810"/>
        </w:tabs>
        <w:suppressAutoHyphens/>
        <w:spacing w:after="0" w:line="360" w:lineRule="auto"/>
        <w:jc w:val="both"/>
        <w:rPr>
          <w:rFonts w:ascii="Arial" w:hAnsi="Arial" w:cs="Arial"/>
          <w:b/>
          <w:color w:val="FF9900"/>
          <w:sz w:val="20"/>
          <w:szCs w:val="20"/>
          <w:lang w:val="el-GR"/>
        </w:rPr>
      </w:pPr>
      <w:r w:rsidRPr="005B05F8">
        <w:rPr>
          <w:rFonts w:ascii="Arial" w:eastAsia="Times New Roman" w:hAnsi="Arial" w:cs="Arial"/>
          <w:b/>
          <w:color w:val="FF9900"/>
          <w:u w:val="single"/>
          <w:lang w:val="el-GR"/>
        </w:rPr>
        <w:t>Πληροφορίες Βασικών Δεικτών Απόδοσης</w:t>
      </w:r>
      <w:r w:rsidRPr="00041815">
        <w:rPr>
          <w:rFonts w:ascii="Arial" w:hAnsi="Arial" w:cs="Arial"/>
          <w:color w:val="FF9900"/>
          <w:sz w:val="20"/>
          <w:szCs w:val="20"/>
          <w:lang w:val="el-GR"/>
        </w:rPr>
        <w:t xml:space="preserve"> </w:t>
      </w:r>
      <w:r w:rsidRPr="00D17E65">
        <w:rPr>
          <w:rFonts w:ascii="Arial" w:hAnsi="Arial" w:cs="Arial"/>
          <w:color w:val="FF9900"/>
          <w:lang w:val="el-GR"/>
        </w:rPr>
        <w:t>(συνέχεια)</w:t>
      </w:r>
    </w:p>
    <w:bookmarkEnd w:id="50"/>
    <w:p w14:paraId="3BD6CFDB" w14:textId="77777777" w:rsidR="0056738E" w:rsidRPr="001C3AA9" w:rsidRDefault="0056738E" w:rsidP="0056738E">
      <w:pPr>
        <w:spacing w:after="0" w:line="360" w:lineRule="auto"/>
        <w:ind w:left="851" w:hanging="851"/>
        <w:rPr>
          <w:rFonts w:ascii="Arial" w:hAnsi="Arial" w:cs="Arial"/>
          <w:b/>
          <w:color w:val="FF9900"/>
          <w:lang w:val="el-GR"/>
        </w:rPr>
      </w:pPr>
      <w:r w:rsidRPr="00723D4F">
        <w:rPr>
          <w:rFonts w:ascii="Arial" w:hAnsi="Arial" w:cs="Arial"/>
          <w:b/>
          <w:color w:val="FF9900"/>
          <w:lang w:val="el-GR"/>
        </w:rPr>
        <w:t xml:space="preserve">3.            </w:t>
      </w:r>
      <w:r w:rsidRPr="001C3AA9">
        <w:rPr>
          <w:rFonts w:ascii="Arial" w:hAnsi="Arial" w:cs="Arial"/>
          <w:b/>
          <w:color w:val="FF9900"/>
          <w:lang w:val="el-GR"/>
        </w:rPr>
        <w:t>Λειτουργικά κέρδη επί του μέσου όρου των περιουσιακών στοιχείων</w:t>
      </w:r>
    </w:p>
    <w:p w14:paraId="3AF0EAB0" w14:textId="77777777" w:rsidR="0056738E" w:rsidRDefault="0056738E" w:rsidP="0056738E">
      <w:pPr>
        <w:shd w:val="clear" w:color="auto" w:fill="FFFFFF"/>
        <w:tabs>
          <w:tab w:val="left" w:pos="810"/>
        </w:tabs>
        <w:suppressAutoHyphens/>
        <w:spacing w:after="120" w:line="240" w:lineRule="auto"/>
        <w:jc w:val="both"/>
        <w:rPr>
          <w:rFonts w:ascii="Arial" w:hAnsi="Arial" w:cs="Arial"/>
          <w:color w:val="262626"/>
          <w:sz w:val="18"/>
          <w:szCs w:val="18"/>
          <w:lang w:val="el-GR"/>
        </w:rPr>
      </w:pPr>
      <w:r w:rsidRPr="009B5694">
        <w:rPr>
          <w:rFonts w:ascii="Arial" w:hAnsi="Arial" w:cs="Arial"/>
          <w:color w:val="262626"/>
          <w:sz w:val="18"/>
          <w:szCs w:val="18"/>
          <w:lang w:val="el-GR"/>
        </w:rPr>
        <w:t xml:space="preserve">Οι παράμετροι που χρησιμοποιούνται </w:t>
      </w:r>
      <w:r>
        <w:rPr>
          <w:rFonts w:ascii="Arial" w:hAnsi="Arial" w:cs="Arial"/>
          <w:color w:val="262626"/>
          <w:sz w:val="18"/>
          <w:szCs w:val="18"/>
          <w:lang w:val="el-GR"/>
        </w:rPr>
        <w:t>για τον υπολογισμό</w:t>
      </w:r>
      <w:r w:rsidRPr="009B5694">
        <w:rPr>
          <w:rFonts w:ascii="Arial" w:hAnsi="Arial" w:cs="Arial"/>
          <w:color w:val="262626"/>
          <w:sz w:val="18"/>
          <w:szCs w:val="18"/>
          <w:lang w:val="el-GR"/>
        </w:rPr>
        <w:t xml:space="preserve"> του δείκτη λειτουργικών κερδών </w:t>
      </w:r>
      <w:r>
        <w:rPr>
          <w:rFonts w:ascii="Arial" w:hAnsi="Arial" w:cs="Arial"/>
          <w:color w:val="262626"/>
          <w:sz w:val="18"/>
          <w:szCs w:val="18"/>
          <w:lang w:val="el-GR"/>
        </w:rPr>
        <w:t>προς το μέσο όρο</w:t>
      </w:r>
      <w:r w:rsidRPr="009B5694">
        <w:rPr>
          <w:rFonts w:ascii="Arial" w:hAnsi="Arial" w:cs="Arial"/>
          <w:color w:val="262626"/>
          <w:sz w:val="18"/>
          <w:szCs w:val="18"/>
          <w:lang w:val="el-GR"/>
        </w:rPr>
        <w:t xml:space="preserve"> των περιουσιακών στοιχείων παρατίθενται πιο κάτω:</w:t>
      </w:r>
    </w:p>
    <w:tbl>
      <w:tblPr>
        <w:tblStyle w:val="TableGrid13"/>
        <w:tblW w:w="952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855"/>
        <w:gridCol w:w="1417"/>
        <w:gridCol w:w="1417"/>
        <w:gridCol w:w="1417"/>
        <w:gridCol w:w="1417"/>
      </w:tblGrid>
      <w:tr w:rsidR="0056738E" w:rsidRPr="005B05F8" w14:paraId="64F0818E" w14:textId="77777777" w:rsidTr="007C2AEE">
        <w:trPr>
          <w:trHeight w:val="284"/>
          <w:jc w:val="center"/>
        </w:trPr>
        <w:tc>
          <w:tcPr>
            <w:tcW w:w="3855" w:type="dxa"/>
            <w:vMerge w:val="restart"/>
            <w:vAlign w:val="center"/>
          </w:tcPr>
          <w:p w14:paraId="47682B84" w14:textId="77777777" w:rsidR="0056738E" w:rsidRPr="00D17E65" w:rsidRDefault="0056738E" w:rsidP="007C2AEE">
            <w:pPr>
              <w:tabs>
                <w:tab w:val="left" w:pos="0"/>
                <w:tab w:val="left" w:pos="360"/>
              </w:tabs>
              <w:rPr>
                <w:rFonts w:ascii="Verdana" w:hAnsi="Verdana" w:cs="ArialMT"/>
                <w:b/>
                <w:sz w:val="18"/>
                <w:szCs w:val="18"/>
                <w:lang w:val="el-GR"/>
              </w:rPr>
            </w:pPr>
          </w:p>
        </w:tc>
        <w:tc>
          <w:tcPr>
            <w:tcW w:w="1417" w:type="dxa"/>
            <w:vAlign w:val="center"/>
          </w:tcPr>
          <w:p w14:paraId="025A4F08" w14:textId="77777777" w:rsidR="0056738E" w:rsidRPr="00331BC0" w:rsidRDefault="0056738E" w:rsidP="007C2AEE">
            <w:pPr>
              <w:ind w:left="-218" w:right="-186"/>
              <w:jc w:val="center"/>
              <w:rPr>
                <w:rFonts w:ascii="Arial" w:hAnsi="Arial" w:cs="Arial"/>
                <w:b/>
                <w:sz w:val="18"/>
                <w:szCs w:val="18"/>
                <w:lang w:val="el-GR"/>
              </w:rPr>
            </w:pPr>
            <w:r w:rsidRPr="00331BC0">
              <w:rPr>
                <w:rFonts w:ascii="Arial" w:hAnsi="Arial" w:cs="Arial"/>
                <w:b/>
                <w:sz w:val="18"/>
                <w:szCs w:val="18"/>
                <w:lang w:val="el-GR"/>
              </w:rPr>
              <w:t>30 Σεπτεμβρίου</w:t>
            </w:r>
            <w:r w:rsidRPr="005D5D89">
              <w:rPr>
                <w:rFonts w:ascii="Arial" w:hAnsi="Arial" w:cs="Arial"/>
                <w:b/>
                <w:sz w:val="18"/>
                <w:szCs w:val="18"/>
                <w:lang w:val="el-GR"/>
              </w:rPr>
              <w:t xml:space="preserve"> 202</w:t>
            </w:r>
            <w:r>
              <w:rPr>
                <w:rFonts w:ascii="Arial" w:hAnsi="Arial" w:cs="Arial"/>
                <w:b/>
                <w:sz w:val="18"/>
                <w:szCs w:val="18"/>
                <w:lang w:val="el-GR"/>
              </w:rPr>
              <w:t>4</w:t>
            </w:r>
          </w:p>
        </w:tc>
        <w:tc>
          <w:tcPr>
            <w:tcW w:w="1417" w:type="dxa"/>
            <w:vAlign w:val="center"/>
          </w:tcPr>
          <w:p w14:paraId="5D96A4D8" w14:textId="77777777" w:rsidR="0056738E" w:rsidRDefault="0056738E" w:rsidP="007C2AEE">
            <w:pPr>
              <w:ind w:left="-202" w:right="-173"/>
              <w:jc w:val="center"/>
              <w:rPr>
                <w:rFonts w:ascii="Arial" w:hAnsi="Arial" w:cs="Arial"/>
                <w:bCs/>
                <w:sz w:val="18"/>
                <w:szCs w:val="18"/>
                <w:lang w:val="el-GR"/>
              </w:rPr>
            </w:pPr>
            <w:r w:rsidRPr="00CF0DAD">
              <w:rPr>
                <w:rFonts w:ascii="Arial" w:hAnsi="Arial" w:cs="Arial"/>
                <w:bCs/>
                <w:sz w:val="18"/>
                <w:szCs w:val="18"/>
                <w:lang w:val="el-GR"/>
              </w:rPr>
              <w:t>30 Ιουνίου</w:t>
            </w:r>
          </w:p>
          <w:p w14:paraId="773EE27C" w14:textId="77777777" w:rsidR="0056738E" w:rsidRPr="00331BC0" w:rsidRDefault="0056738E" w:rsidP="007C2AEE">
            <w:pPr>
              <w:ind w:left="-134" w:right="-186"/>
              <w:jc w:val="center"/>
              <w:rPr>
                <w:rFonts w:ascii="Arial" w:hAnsi="Arial" w:cs="Arial"/>
                <w:b/>
                <w:sz w:val="18"/>
                <w:szCs w:val="18"/>
                <w:lang w:val="el-GR"/>
              </w:rPr>
            </w:pPr>
            <w:r w:rsidRPr="00CF0DAD">
              <w:rPr>
                <w:rFonts w:ascii="Arial" w:hAnsi="Arial" w:cs="Arial"/>
                <w:bCs/>
                <w:sz w:val="18"/>
                <w:szCs w:val="18"/>
                <w:lang w:val="el-GR"/>
              </w:rPr>
              <w:t xml:space="preserve"> 2024</w:t>
            </w:r>
          </w:p>
        </w:tc>
        <w:tc>
          <w:tcPr>
            <w:tcW w:w="1417" w:type="dxa"/>
            <w:shd w:val="clear" w:color="auto" w:fill="auto"/>
            <w:vAlign w:val="center"/>
          </w:tcPr>
          <w:p w14:paraId="4283B518" w14:textId="77777777" w:rsidR="0056738E" w:rsidRDefault="0056738E" w:rsidP="007C2AEE">
            <w:pPr>
              <w:ind w:left="-195" w:right="-104"/>
              <w:jc w:val="center"/>
              <w:rPr>
                <w:rFonts w:ascii="Arial" w:hAnsi="Arial" w:cs="Arial"/>
                <w:iCs/>
                <w:spacing w:val="-4"/>
                <w:sz w:val="18"/>
                <w:szCs w:val="18"/>
                <w:lang w:val="el-GR"/>
              </w:rPr>
            </w:pPr>
            <w:r>
              <w:rPr>
                <w:rFonts w:ascii="Arial" w:hAnsi="Arial" w:cs="Arial"/>
                <w:iCs/>
                <w:spacing w:val="-4"/>
                <w:sz w:val="18"/>
                <w:szCs w:val="18"/>
                <w:lang w:val="el-GR"/>
              </w:rPr>
              <w:t>31 Μαρτίου</w:t>
            </w:r>
          </w:p>
          <w:p w14:paraId="51C731E9" w14:textId="77777777" w:rsidR="0056738E" w:rsidRPr="00762DD8" w:rsidRDefault="0056738E" w:rsidP="007C2AEE">
            <w:pPr>
              <w:ind w:left="-134" w:right="-186"/>
              <w:jc w:val="center"/>
              <w:rPr>
                <w:rFonts w:ascii="Verdana" w:hAnsi="Verdana" w:cs="Arial"/>
                <w:b/>
                <w:sz w:val="18"/>
                <w:szCs w:val="18"/>
                <w:lang w:val="el-GR"/>
              </w:rPr>
            </w:pPr>
            <w:r>
              <w:rPr>
                <w:rFonts w:ascii="Arial" w:hAnsi="Arial" w:cs="Arial"/>
                <w:iCs/>
                <w:spacing w:val="-4"/>
                <w:sz w:val="18"/>
                <w:szCs w:val="18"/>
                <w:lang w:val="el-GR"/>
              </w:rPr>
              <w:t>2024</w:t>
            </w:r>
          </w:p>
        </w:tc>
        <w:tc>
          <w:tcPr>
            <w:tcW w:w="1417" w:type="dxa"/>
            <w:vAlign w:val="center"/>
          </w:tcPr>
          <w:p w14:paraId="61D28977" w14:textId="77777777" w:rsidR="0056738E" w:rsidRPr="00407AEF" w:rsidRDefault="0056738E" w:rsidP="007C2AEE">
            <w:pPr>
              <w:jc w:val="center"/>
              <w:rPr>
                <w:rFonts w:ascii="Arial" w:hAnsi="Arial" w:cs="Arial"/>
                <w:iCs/>
                <w:spacing w:val="-4"/>
                <w:sz w:val="18"/>
                <w:szCs w:val="18"/>
                <w:lang w:val="el-GR"/>
              </w:rPr>
            </w:pPr>
            <w:r w:rsidRPr="00407AEF">
              <w:rPr>
                <w:rFonts w:ascii="Arial" w:hAnsi="Arial" w:cs="Arial"/>
                <w:sz w:val="18"/>
                <w:szCs w:val="18"/>
                <w:lang w:val="el-GR"/>
              </w:rPr>
              <w:t xml:space="preserve">31 Δεκεμβρίου </w:t>
            </w:r>
            <w:r w:rsidRPr="00407AEF">
              <w:rPr>
                <w:rFonts w:ascii="Arial" w:hAnsi="Arial" w:cs="Arial"/>
                <w:sz w:val="18"/>
                <w:szCs w:val="18"/>
              </w:rPr>
              <w:t>202</w:t>
            </w:r>
            <w:r w:rsidRPr="00407AEF">
              <w:rPr>
                <w:rFonts w:ascii="Arial" w:hAnsi="Arial" w:cs="Arial"/>
                <w:sz w:val="18"/>
                <w:szCs w:val="18"/>
                <w:lang w:val="el-GR"/>
              </w:rPr>
              <w:t>3</w:t>
            </w:r>
          </w:p>
        </w:tc>
      </w:tr>
      <w:tr w:rsidR="0056738E" w:rsidRPr="005B05F8" w14:paraId="18DA6A03" w14:textId="77777777" w:rsidTr="007C2AEE">
        <w:trPr>
          <w:trHeight w:val="284"/>
          <w:jc w:val="center"/>
        </w:trPr>
        <w:tc>
          <w:tcPr>
            <w:tcW w:w="3855" w:type="dxa"/>
            <w:vMerge/>
            <w:vAlign w:val="center"/>
          </w:tcPr>
          <w:p w14:paraId="79A710EE" w14:textId="77777777" w:rsidR="0056738E" w:rsidRPr="005B05F8" w:rsidRDefault="0056738E" w:rsidP="007C2AEE">
            <w:pPr>
              <w:tabs>
                <w:tab w:val="left" w:pos="0"/>
                <w:tab w:val="left" w:pos="360"/>
              </w:tabs>
              <w:rPr>
                <w:rFonts w:ascii="Verdana" w:hAnsi="Verdana" w:cs="ArialMT"/>
                <w:b/>
                <w:sz w:val="18"/>
                <w:szCs w:val="18"/>
              </w:rPr>
            </w:pPr>
          </w:p>
        </w:tc>
        <w:tc>
          <w:tcPr>
            <w:tcW w:w="1417" w:type="dxa"/>
            <w:vAlign w:val="center"/>
          </w:tcPr>
          <w:p w14:paraId="19416D54" w14:textId="77777777" w:rsidR="0056738E" w:rsidRDefault="0056738E" w:rsidP="007C2AEE">
            <w:pPr>
              <w:ind w:left="-134" w:right="-186"/>
              <w:jc w:val="center"/>
              <w:rPr>
                <w:rFonts w:ascii="Arial" w:hAnsi="Arial" w:cs="Arial"/>
                <w:b/>
                <w:sz w:val="18"/>
                <w:szCs w:val="18"/>
                <w:lang w:val="el-GR"/>
              </w:rPr>
            </w:pPr>
            <w:r>
              <w:rPr>
                <w:rFonts w:ascii="Arial" w:hAnsi="Arial" w:cs="Arial"/>
                <w:b/>
                <w:sz w:val="18"/>
                <w:szCs w:val="18"/>
                <w:lang w:val="el-GR"/>
              </w:rPr>
              <w:t>€000</w:t>
            </w:r>
          </w:p>
        </w:tc>
        <w:tc>
          <w:tcPr>
            <w:tcW w:w="1417" w:type="dxa"/>
            <w:vAlign w:val="center"/>
          </w:tcPr>
          <w:p w14:paraId="7E0BF485" w14:textId="77777777" w:rsidR="0056738E" w:rsidRDefault="0056738E" w:rsidP="007C2AEE">
            <w:pPr>
              <w:ind w:left="-134" w:right="-186"/>
              <w:jc w:val="center"/>
              <w:rPr>
                <w:rFonts w:ascii="Arial" w:hAnsi="Arial" w:cs="Arial"/>
                <w:b/>
                <w:sz w:val="18"/>
                <w:szCs w:val="18"/>
                <w:lang w:val="el-GR"/>
              </w:rPr>
            </w:pPr>
            <w:r w:rsidRPr="008352B7">
              <w:rPr>
                <w:rFonts w:ascii="Arial" w:hAnsi="Arial" w:cs="Arial"/>
                <w:bCs/>
                <w:sz w:val="18"/>
                <w:szCs w:val="18"/>
              </w:rPr>
              <w:t>€000</w:t>
            </w:r>
          </w:p>
        </w:tc>
        <w:tc>
          <w:tcPr>
            <w:tcW w:w="1417" w:type="dxa"/>
            <w:tcBorders>
              <w:bottom w:val="single" w:sz="4" w:space="0" w:color="D9D9D9" w:themeColor="background1" w:themeShade="D9"/>
            </w:tcBorders>
            <w:shd w:val="clear" w:color="auto" w:fill="auto"/>
            <w:vAlign w:val="center"/>
          </w:tcPr>
          <w:p w14:paraId="2BB09DAF" w14:textId="77777777" w:rsidR="0056738E" w:rsidRDefault="0056738E" w:rsidP="007C2AEE">
            <w:pPr>
              <w:ind w:left="-134" w:right="-186"/>
              <w:jc w:val="center"/>
              <w:rPr>
                <w:rFonts w:ascii="Arial" w:hAnsi="Arial" w:cs="Arial"/>
                <w:b/>
                <w:sz w:val="18"/>
                <w:szCs w:val="18"/>
                <w:lang w:val="el-GR"/>
              </w:rPr>
            </w:pPr>
            <w:r w:rsidRPr="008352B7">
              <w:rPr>
                <w:rFonts w:ascii="Arial" w:hAnsi="Arial" w:cs="Arial"/>
                <w:bCs/>
                <w:sz w:val="18"/>
                <w:szCs w:val="18"/>
              </w:rPr>
              <w:t>€000</w:t>
            </w:r>
          </w:p>
        </w:tc>
        <w:tc>
          <w:tcPr>
            <w:tcW w:w="1417" w:type="dxa"/>
            <w:tcBorders>
              <w:bottom w:val="single" w:sz="4" w:space="0" w:color="D9D9D9" w:themeColor="background1" w:themeShade="D9"/>
            </w:tcBorders>
            <w:vAlign w:val="center"/>
          </w:tcPr>
          <w:p w14:paraId="319E16B8" w14:textId="77777777" w:rsidR="0056738E" w:rsidRPr="00407AEF" w:rsidRDefault="0056738E" w:rsidP="007C2AEE">
            <w:pPr>
              <w:jc w:val="center"/>
              <w:rPr>
                <w:rFonts w:ascii="Arial" w:hAnsi="Arial" w:cs="Arial"/>
                <w:sz w:val="18"/>
                <w:szCs w:val="18"/>
                <w:lang w:val="el-GR"/>
              </w:rPr>
            </w:pPr>
            <w:r>
              <w:rPr>
                <w:rFonts w:ascii="Arial" w:hAnsi="Arial" w:cs="Arial"/>
                <w:sz w:val="18"/>
                <w:szCs w:val="18"/>
                <w:lang w:val="el-GR"/>
              </w:rPr>
              <w:t>€000</w:t>
            </w:r>
          </w:p>
        </w:tc>
      </w:tr>
      <w:tr w:rsidR="0056738E" w:rsidRPr="005B05F8" w14:paraId="1D0BA1B0" w14:textId="77777777" w:rsidTr="007C2AEE">
        <w:trPr>
          <w:trHeight w:val="284"/>
          <w:jc w:val="center"/>
        </w:trPr>
        <w:tc>
          <w:tcPr>
            <w:tcW w:w="3855" w:type="dxa"/>
            <w:vAlign w:val="center"/>
          </w:tcPr>
          <w:p w14:paraId="0E21AE6A" w14:textId="77777777" w:rsidR="0056738E" w:rsidRPr="00D17E65" w:rsidRDefault="0056738E" w:rsidP="007C2AEE">
            <w:pPr>
              <w:tabs>
                <w:tab w:val="left" w:pos="0"/>
                <w:tab w:val="left" w:pos="360"/>
              </w:tabs>
              <w:jc w:val="both"/>
              <w:rPr>
                <w:rFonts w:ascii="Arial" w:eastAsia="Times New Roman" w:hAnsi="Arial" w:cs="Arial"/>
                <w:b/>
                <w:bCs/>
                <w:sz w:val="18"/>
                <w:szCs w:val="18"/>
                <w:lang w:val="el-GR"/>
              </w:rPr>
            </w:pPr>
            <w:r w:rsidRPr="00D17E65">
              <w:rPr>
                <w:rFonts w:ascii="Arial" w:eastAsia="Times New Roman" w:hAnsi="Arial" w:cs="Arial"/>
                <w:b/>
                <w:bCs/>
                <w:sz w:val="18"/>
                <w:szCs w:val="18"/>
                <w:lang w:val="el-GR"/>
              </w:rPr>
              <w:t>Συνολικά περιουσιακά στοιχεία που χρησιμοποιούνται στον υπολογισμό του δείκτη λειτουργικών κερδών προς το μέσο όρο των περιουσιακών στοιχείων στην απαιτούμενη από τη νομοθεσία βάση (</w:t>
            </w:r>
            <w:r w:rsidRPr="00D17E65">
              <w:rPr>
                <w:rFonts w:ascii="Arial" w:eastAsia="Times New Roman" w:hAnsi="Arial" w:cs="Arial"/>
                <w:b/>
                <w:bCs/>
                <w:i/>
                <w:iCs/>
                <w:sz w:val="18"/>
                <w:szCs w:val="18"/>
                <w:lang w:val="el-GR"/>
              </w:rPr>
              <w:t>Μέρος Ε Ενδιάμεσος Ενοποιημένος Ισολογισμός</w:t>
            </w:r>
            <w:r w:rsidRPr="00D17E65">
              <w:rPr>
                <w:rFonts w:ascii="Arial" w:eastAsia="Times New Roman" w:hAnsi="Arial" w:cs="Arial"/>
                <w:b/>
                <w:bCs/>
                <w:sz w:val="18"/>
                <w:szCs w:val="18"/>
                <w:lang w:val="el-GR"/>
              </w:rPr>
              <w:t>)</w:t>
            </w:r>
          </w:p>
        </w:tc>
        <w:tc>
          <w:tcPr>
            <w:tcW w:w="1417" w:type="dxa"/>
            <w:tcBorders>
              <w:top w:val="single" w:sz="4" w:space="0" w:color="D9D9D9" w:themeColor="background1" w:themeShade="D9"/>
              <w:bottom w:val="double" w:sz="6" w:space="0" w:color="auto"/>
            </w:tcBorders>
            <w:vAlign w:val="center"/>
          </w:tcPr>
          <w:p w14:paraId="3D2CCA43" w14:textId="77777777" w:rsidR="0056738E" w:rsidRPr="00F26004" w:rsidRDefault="0056738E" w:rsidP="007C2AEE">
            <w:pPr>
              <w:ind w:left="-134"/>
              <w:jc w:val="right"/>
              <w:rPr>
                <w:rFonts w:ascii="Arial" w:hAnsi="Arial" w:cs="Arial"/>
                <w:b/>
                <w:sz w:val="18"/>
                <w:szCs w:val="18"/>
                <w:lang w:val="el-GR"/>
              </w:rPr>
            </w:pPr>
            <w:r>
              <w:rPr>
                <w:rFonts w:ascii="Arial" w:hAnsi="Arial" w:cs="Arial"/>
                <w:b/>
                <w:bCs/>
                <w:sz w:val="18"/>
                <w:szCs w:val="18"/>
              </w:rPr>
              <w:t>25,863,097</w:t>
            </w:r>
          </w:p>
        </w:tc>
        <w:tc>
          <w:tcPr>
            <w:tcW w:w="1417" w:type="dxa"/>
            <w:tcBorders>
              <w:top w:val="single" w:sz="4" w:space="0" w:color="D9D9D9" w:themeColor="background1" w:themeShade="D9"/>
              <w:bottom w:val="double" w:sz="6" w:space="0" w:color="auto"/>
            </w:tcBorders>
            <w:vAlign w:val="center"/>
          </w:tcPr>
          <w:p w14:paraId="7A583731" w14:textId="77777777" w:rsidR="0056738E" w:rsidRPr="00F26004" w:rsidRDefault="0056738E" w:rsidP="007C2AEE">
            <w:pPr>
              <w:ind w:left="-134"/>
              <w:jc w:val="right"/>
              <w:rPr>
                <w:rFonts w:ascii="Arial" w:hAnsi="Arial" w:cs="Arial"/>
                <w:b/>
                <w:sz w:val="18"/>
                <w:szCs w:val="18"/>
                <w:lang w:val="el-GR"/>
              </w:rPr>
            </w:pPr>
            <w:r w:rsidRPr="001131ED">
              <w:rPr>
                <w:rFonts w:ascii="Arial" w:hAnsi="Arial" w:cs="Arial"/>
                <w:bCs/>
                <w:sz w:val="18"/>
                <w:szCs w:val="18"/>
              </w:rPr>
              <w:t>25,466,170</w:t>
            </w:r>
          </w:p>
        </w:tc>
        <w:tc>
          <w:tcPr>
            <w:tcW w:w="1417" w:type="dxa"/>
            <w:tcBorders>
              <w:top w:val="single" w:sz="4" w:space="0" w:color="D9D9D9" w:themeColor="background1" w:themeShade="D9"/>
              <w:bottom w:val="double" w:sz="6" w:space="0" w:color="auto"/>
            </w:tcBorders>
            <w:vAlign w:val="center"/>
          </w:tcPr>
          <w:p w14:paraId="254A3E40" w14:textId="77777777" w:rsidR="0056738E" w:rsidRPr="00F26004" w:rsidRDefault="0056738E" w:rsidP="007C2AEE">
            <w:pPr>
              <w:ind w:left="-134"/>
              <w:jc w:val="right"/>
              <w:rPr>
                <w:rFonts w:ascii="Arial" w:hAnsi="Arial" w:cs="Arial"/>
                <w:b/>
                <w:sz w:val="18"/>
                <w:szCs w:val="18"/>
                <w:lang w:val="el-GR"/>
              </w:rPr>
            </w:pPr>
            <w:r w:rsidRPr="001131ED">
              <w:rPr>
                <w:rFonts w:ascii="Arial" w:hAnsi="Arial" w:cs="Arial"/>
                <w:bCs/>
                <w:sz w:val="18"/>
                <w:szCs w:val="18"/>
                <w:lang w:val="en-GB"/>
              </w:rPr>
              <w:t>24,940,672</w:t>
            </w:r>
          </w:p>
        </w:tc>
        <w:tc>
          <w:tcPr>
            <w:tcW w:w="1417" w:type="dxa"/>
            <w:tcBorders>
              <w:top w:val="single" w:sz="4" w:space="0" w:color="D9D9D9" w:themeColor="background1" w:themeShade="D9"/>
              <w:bottom w:val="double" w:sz="6" w:space="0" w:color="auto"/>
            </w:tcBorders>
            <w:vAlign w:val="center"/>
          </w:tcPr>
          <w:p w14:paraId="2C42E303" w14:textId="77777777" w:rsidR="0056738E" w:rsidRPr="00F26004" w:rsidRDefault="0056738E" w:rsidP="007C2AEE">
            <w:pPr>
              <w:ind w:left="-110"/>
              <w:jc w:val="right"/>
              <w:rPr>
                <w:rFonts w:ascii="Arial" w:hAnsi="Arial" w:cs="Arial"/>
                <w:bCs/>
                <w:sz w:val="18"/>
                <w:szCs w:val="18"/>
                <w:lang w:val="el-GR"/>
              </w:rPr>
            </w:pPr>
            <w:r>
              <w:rPr>
                <w:rFonts w:ascii="Arial" w:hAnsi="Arial" w:cs="Arial"/>
                <w:bCs/>
                <w:sz w:val="18"/>
                <w:szCs w:val="18"/>
              </w:rPr>
              <w:t>26,628,577</w:t>
            </w:r>
          </w:p>
        </w:tc>
      </w:tr>
      <w:tr w:rsidR="0056738E" w:rsidRPr="005B05F8" w14:paraId="4BC583E7" w14:textId="77777777" w:rsidTr="007C2AEE">
        <w:trPr>
          <w:trHeight w:val="284"/>
          <w:jc w:val="center"/>
        </w:trPr>
        <w:tc>
          <w:tcPr>
            <w:tcW w:w="3855" w:type="dxa"/>
            <w:vAlign w:val="center"/>
          </w:tcPr>
          <w:p w14:paraId="6246AE3C" w14:textId="77777777" w:rsidR="0056738E" w:rsidRPr="00F26004" w:rsidRDefault="0056738E" w:rsidP="007C2AEE">
            <w:pPr>
              <w:tabs>
                <w:tab w:val="left" w:pos="0"/>
                <w:tab w:val="right" w:pos="7560"/>
                <w:tab w:val="right" w:pos="9000"/>
              </w:tabs>
              <w:rPr>
                <w:rFonts w:ascii="Arial" w:eastAsia="Times New Roman" w:hAnsi="Arial" w:cs="Arial"/>
                <w:sz w:val="18"/>
                <w:szCs w:val="18"/>
                <w:lang w:val="el-GR"/>
              </w:rPr>
            </w:pPr>
          </w:p>
        </w:tc>
        <w:tc>
          <w:tcPr>
            <w:tcW w:w="1417" w:type="dxa"/>
            <w:tcBorders>
              <w:top w:val="double" w:sz="4" w:space="0" w:color="auto"/>
            </w:tcBorders>
          </w:tcPr>
          <w:p w14:paraId="4C9710B5" w14:textId="77777777" w:rsidR="0056738E" w:rsidRPr="00F26004" w:rsidRDefault="0056738E" w:rsidP="007C2AEE">
            <w:pPr>
              <w:tabs>
                <w:tab w:val="right" w:pos="7560"/>
                <w:tab w:val="right" w:pos="9000"/>
              </w:tabs>
              <w:ind w:left="325" w:right="-127"/>
              <w:jc w:val="center"/>
              <w:rPr>
                <w:rFonts w:ascii="Arial" w:hAnsi="Arial" w:cs="Arial"/>
                <w:b/>
                <w:bCs/>
                <w:sz w:val="18"/>
                <w:szCs w:val="18"/>
                <w:lang w:val="el-GR"/>
              </w:rPr>
            </w:pPr>
          </w:p>
        </w:tc>
        <w:tc>
          <w:tcPr>
            <w:tcW w:w="1417" w:type="dxa"/>
            <w:tcBorders>
              <w:top w:val="double" w:sz="4" w:space="0" w:color="auto"/>
            </w:tcBorders>
          </w:tcPr>
          <w:p w14:paraId="5A68D295" w14:textId="77777777" w:rsidR="0056738E" w:rsidRPr="00F26004" w:rsidRDefault="0056738E" w:rsidP="007C2AEE">
            <w:pPr>
              <w:tabs>
                <w:tab w:val="right" w:pos="7560"/>
                <w:tab w:val="right" w:pos="9000"/>
              </w:tabs>
              <w:ind w:left="325" w:right="-127"/>
              <w:jc w:val="center"/>
              <w:rPr>
                <w:rFonts w:ascii="Arial" w:hAnsi="Arial" w:cs="Arial"/>
                <w:b/>
                <w:bCs/>
                <w:sz w:val="18"/>
                <w:szCs w:val="18"/>
                <w:lang w:val="el-GR"/>
              </w:rPr>
            </w:pPr>
          </w:p>
        </w:tc>
        <w:tc>
          <w:tcPr>
            <w:tcW w:w="1417" w:type="dxa"/>
            <w:tcBorders>
              <w:top w:val="double" w:sz="6" w:space="0" w:color="auto"/>
            </w:tcBorders>
            <w:shd w:val="clear" w:color="auto" w:fill="auto"/>
            <w:vAlign w:val="center"/>
          </w:tcPr>
          <w:p w14:paraId="02638E60" w14:textId="77777777" w:rsidR="0056738E" w:rsidRPr="00F26004" w:rsidRDefault="0056738E" w:rsidP="007C2AEE">
            <w:pPr>
              <w:tabs>
                <w:tab w:val="right" w:pos="7560"/>
                <w:tab w:val="right" w:pos="9000"/>
              </w:tabs>
              <w:ind w:left="325" w:right="-127"/>
              <w:jc w:val="center"/>
              <w:rPr>
                <w:rFonts w:ascii="Arial" w:hAnsi="Arial" w:cs="Arial"/>
                <w:b/>
                <w:bCs/>
                <w:sz w:val="18"/>
                <w:szCs w:val="18"/>
                <w:lang w:val="el-GR"/>
              </w:rPr>
            </w:pPr>
          </w:p>
        </w:tc>
        <w:tc>
          <w:tcPr>
            <w:tcW w:w="1417" w:type="dxa"/>
            <w:tcBorders>
              <w:top w:val="double" w:sz="6" w:space="0" w:color="auto"/>
            </w:tcBorders>
            <w:shd w:val="clear" w:color="auto" w:fill="auto"/>
            <w:vAlign w:val="center"/>
          </w:tcPr>
          <w:p w14:paraId="4059B019" w14:textId="77777777" w:rsidR="0056738E" w:rsidRPr="00E13BF8" w:rsidRDefault="0056738E" w:rsidP="007C2AEE">
            <w:pPr>
              <w:tabs>
                <w:tab w:val="left" w:pos="0"/>
                <w:tab w:val="right" w:pos="7560"/>
                <w:tab w:val="right" w:pos="9000"/>
              </w:tabs>
              <w:jc w:val="right"/>
              <w:rPr>
                <w:rFonts w:ascii="Arial" w:hAnsi="Arial" w:cs="Arial"/>
                <w:bCs/>
                <w:sz w:val="18"/>
                <w:szCs w:val="18"/>
              </w:rPr>
            </w:pPr>
          </w:p>
        </w:tc>
      </w:tr>
      <w:tr w:rsidR="0056738E" w:rsidRPr="007C2AEE" w14:paraId="6379696C" w14:textId="77777777" w:rsidTr="007C2AEE">
        <w:trPr>
          <w:trHeight w:val="284"/>
          <w:jc w:val="center"/>
        </w:trPr>
        <w:tc>
          <w:tcPr>
            <w:tcW w:w="3855" w:type="dxa"/>
            <w:vAlign w:val="center"/>
          </w:tcPr>
          <w:p w14:paraId="73621712" w14:textId="77777777" w:rsidR="0056738E" w:rsidRPr="00F26004" w:rsidRDefault="0056738E" w:rsidP="007C2AEE">
            <w:pPr>
              <w:tabs>
                <w:tab w:val="left" w:pos="0"/>
                <w:tab w:val="right" w:pos="7560"/>
                <w:tab w:val="right" w:pos="9000"/>
              </w:tabs>
              <w:rPr>
                <w:rFonts w:ascii="Arial" w:eastAsia="Times New Roman" w:hAnsi="Arial" w:cs="Arial"/>
                <w:b/>
                <w:bCs/>
                <w:sz w:val="18"/>
                <w:szCs w:val="18"/>
                <w:lang w:val="el-GR"/>
              </w:rPr>
            </w:pPr>
            <w:r w:rsidRPr="00F26004">
              <w:rPr>
                <w:rFonts w:ascii="Arial" w:eastAsia="Times New Roman" w:hAnsi="Arial" w:cs="Arial"/>
                <w:b/>
                <w:bCs/>
                <w:sz w:val="18"/>
                <w:szCs w:val="18"/>
                <w:lang w:val="el-GR"/>
              </w:rPr>
              <w:t>Τριμηνιαίος μέσος όρος συνολικών περιουσιακών στοιχείων (€000)</w:t>
            </w:r>
          </w:p>
        </w:tc>
        <w:tc>
          <w:tcPr>
            <w:tcW w:w="1417" w:type="dxa"/>
          </w:tcPr>
          <w:p w14:paraId="151C0BCC" w14:textId="77777777" w:rsidR="0056738E" w:rsidRPr="00F26004" w:rsidRDefault="0056738E" w:rsidP="007C2AEE">
            <w:pPr>
              <w:tabs>
                <w:tab w:val="right" w:pos="7560"/>
                <w:tab w:val="right" w:pos="9000"/>
              </w:tabs>
              <w:ind w:left="-121"/>
              <w:jc w:val="right"/>
              <w:rPr>
                <w:rFonts w:ascii="Arial" w:hAnsi="Arial" w:cs="Arial"/>
                <w:b/>
                <w:bCs/>
                <w:sz w:val="18"/>
                <w:szCs w:val="18"/>
                <w:lang w:val="el-GR"/>
              </w:rPr>
            </w:pPr>
          </w:p>
        </w:tc>
        <w:tc>
          <w:tcPr>
            <w:tcW w:w="1417" w:type="dxa"/>
          </w:tcPr>
          <w:p w14:paraId="6FFD4721" w14:textId="77777777" w:rsidR="0056738E" w:rsidRPr="00F26004" w:rsidRDefault="0056738E" w:rsidP="007C2AEE">
            <w:pPr>
              <w:tabs>
                <w:tab w:val="right" w:pos="7560"/>
                <w:tab w:val="right" w:pos="9000"/>
              </w:tabs>
              <w:ind w:left="-121"/>
              <w:jc w:val="right"/>
              <w:rPr>
                <w:rFonts w:ascii="Arial" w:hAnsi="Arial" w:cs="Arial"/>
                <w:b/>
                <w:bCs/>
                <w:sz w:val="18"/>
                <w:szCs w:val="18"/>
                <w:lang w:val="el-GR"/>
              </w:rPr>
            </w:pPr>
          </w:p>
        </w:tc>
        <w:tc>
          <w:tcPr>
            <w:tcW w:w="1417" w:type="dxa"/>
            <w:shd w:val="clear" w:color="auto" w:fill="auto"/>
            <w:vAlign w:val="center"/>
          </w:tcPr>
          <w:p w14:paraId="629EBBC4" w14:textId="77777777" w:rsidR="0056738E" w:rsidRPr="00F26004" w:rsidRDefault="0056738E" w:rsidP="007C2AEE">
            <w:pPr>
              <w:tabs>
                <w:tab w:val="right" w:pos="7560"/>
                <w:tab w:val="right" w:pos="9000"/>
              </w:tabs>
              <w:ind w:left="-121"/>
              <w:jc w:val="right"/>
              <w:rPr>
                <w:rFonts w:ascii="Arial" w:hAnsi="Arial" w:cs="Arial"/>
                <w:b/>
                <w:bCs/>
                <w:sz w:val="18"/>
                <w:szCs w:val="18"/>
                <w:lang w:val="el-GR"/>
              </w:rPr>
            </w:pPr>
          </w:p>
        </w:tc>
        <w:tc>
          <w:tcPr>
            <w:tcW w:w="1417" w:type="dxa"/>
            <w:shd w:val="clear" w:color="auto" w:fill="auto"/>
            <w:vAlign w:val="center"/>
          </w:tcPr>
          <w:p w14:paraId="7E9634ED" w14:textId="77777777" w:rsidR="0056738E" w:rsidRPr="00F26004" w:rsidRDefault="0056738E" w:rsidP="007C2AEE">
            <w:pPr>
              <w:tabs>
                <w:tab w:val="left" w:pos="0"/>
                <w:tab w:val="right" w:pos="7560"/>
                <w:tab w:val="right" w:pos="9000"/>
              </w:tabs>
              <w:jc w:val="right"/>
              <w:rPr>
                <w:rFonts w:ascii="Arial" w:hAnsi="Arial" w:cs="Arial"/>
                <w:bCs/>
                <w:sz w:val="18"/>
                <w:szCs w:val="18"/>
                <w:lang w:val="el-GR"/>
              </w:rPr>
            </w:pPr>
          </w:p>
        </w:tc>
      </w:tr>
      <w:tr w:rsidR="0056738E" w:rsidRPr="00F26004" w14:paraId="5A718FE5" w14:textId="77777777" w:rsidTr="007C2AEE">
        <w:trPr>
          <w:trHeight w:val="284"/>
          <w:jc w:val="center"/>
        </w:trPr>
        <w:tc>
          <w:tcPr>
            <w:tcW w:w="3855" w:type="dxa"/>
            <w:vAlign w:val="center"/>
          </w:tcPr>
          <w:p w14:paraId="43CE41DB" w14:textId="77777777" w:rsidR="0056738E" w:rsidRPr="00F26004" w:rsidRDefault="0056738E" w:rsidP="0056738E">
            <w:pPr>
              <w:pStyle w:val="ListParagraph"/>
              <w:numPr>
                <w:ilvl w:val="0"/>
                <w:numId w:val="9"/>
              </w:numPr>
              <w:tabs>
                <w:tab w:val="left" w:pos="0"/>
                <w:tab w:val="right" w:pos="7560"/>
                <w:tab w:val="right" w:pos="9000"/>
              </w:tabs>
              <w:rPr>
                <w:rFonts w:ascii="Arial" w:hAnsi="Arial" w:cs="Arial"/>
                <w:sz w:val="18"/>
                <w:szCs w:val="18"/>
                <w:lang w:val="el-GR"/>
              </w:rPr>
            </w:pPr>
            <w:r>
              <w:rPr>
                <w:rFonts w:ascii="Arial" w:hAnsi="Arial" w:cs="Arial"/>
                <w:sz w:val="18"/>
                <w:szCs w:val="18"/>
                <w:lang w:val="el-GR"/>
              </w:rPr>
              <w:t xml:space="preserve">στις </w:t>
            </w:r>
            <w:r w:rsidRPr="002957AC">
              <w:rPr>
                <w:rFonts w:ascii="Arial" w:hAnsi="Arial" w:cs="Arial"/>
                <w:sz w:val="18"/>
                <w:szCs w:val="18"/>
                <w:lang w:val="el-GR"/>
              </w:rPr>
              <w:t xml:space="preserve">30 Σεπτεμβρίου </w:t>
            </w:r>
            <w:r>
              <w:rPr>
                <w:rFonts w:ascii="Arial" w:hAnsi="Arial" w:cs="Arial"/>
                <w:sz w:val="18"/>
                <w:szCs w:val="18"/>
                <w:lang w:val="el-GR"/>
              </w:rPr>
              <w:t>2024</w:t>
            </w:r>
          </w:p>
        </w:tc>
        <w:tc>
          <w:tcPr>
            <w:tcW w:w="1417" w:type="dxa"/>
          </w:tcPr>
          <w:p w14:paraId="5AC13E6E" w14:textId="77777777" w:rsidR="0056738E" w:rsidRPr="00F26004" w:rsidRDefault="0056738E" w:rsidP="007C2AEE">
            <w:pPr>
              <w:tabs>
                <w:tab w:val="right" w:pos="7560"/>
                <w:tab w:val="right" w:pos="9000"/>
              </w:tabs>
              <w:ind w:left="-121"/>
              <w:jc w:val="right"/>
              <w:rPr>
                <w:rFonts w:ascii="Arial" w:hAnsi="Arial" w:cs="Arial"/>
                <w:b/>
                <w:bCs/>
                <w:sz w:val="18"/>
                <w:szCs w:val="18"/>
                <w:lang w:val="el-GR"/>
              </w:rPr>
            </w:pPr>
          </w:p>
        </w:tc>
        <w:tc>
          <w:tcPr>
            <w:tcW w:w="1417" w:type="dxa"/>
          </w:tcPr>
          <w:p w14:paraId="4284F3ED" w14:textId="77777777" w:rsidR="0056738E" w:rsidRPr="00F26004" w:rsidRDefault="0056738E" w:rsidP="007C2AEE">
            <w:pPr>
              <w:tabs>
                <w:tab w:val="right" w:pos="7560"/>
                <w:tab w:val="right" w:pos="9000"/>
              </w:tabs>
              <w:ind w:left="-121"/>
              <w:jc w:val="right"/>
              <w:rPr>
                <w:rFonts w:ascii="Arial" w:hAnsi="Arial" w:cs="Arial"/>
                <w:b/>
                <w:bCs/>
                <w:sz w:val="18"/>
                <w:szCs w:val="18"/>
                <w:lang w:val="el-GR"/>
              </w:rPr>
            </w:pPr>
          </w:p>
        </w:tc>
        <w:tc>
          <w:tcPr>
            <w:tcW w:w="1417" w:type="dxa"/>
            <w:shd w:val="clear" w:color="auto" w:fill="auto"/>
            <w:vAlign w:val="center"/>
          </w:tcPr>
          <w:p w14:paraId="018EAF81" w14:textId="77777777" w:rsidR="0056738E" w:rsidRPr="00F26004" w:rsidRDefault="0056738E" w:rsidP="007C2AEE">
            <w:pPr>
              <w:tabs>
                <w:tab w:val="right" w:pos="7560"/>
                <w:tab w:val="right" w:pos="9000"/>
              </w:tabs>
              <w:ind w:left="-121"/>
              <w:jc w:val="right"/>
              <w:rPr>
                <w:rFonts w:ascii="Arial" w:hAnsi="Arial" w:cs="Arial"/>
                <w:b/>
                <w:bCs/>
                <w:sz w:val="18"/>
                <w:szCs w:val="18"/>
                <w:lang w:val="el-GR"/>
              </w:rPr>
            </w:pPr>
          </w:p>
        </w:tc>
        <w:tc>
          <w:tcPr>
            <w:tcW w:w="1417" w:type="dxa"/>
            <w:tcBorders>
              <w:top w:val="single" w:sz="4" w:space="0" w:color="D9D9D9" w:themeColor="background1" w:themeShade="D9"/>
              <w:bottom w:val="single" w:sz="4" w:space="0" w:color="D9D9D9" w:themeColor="background1" w:themeShade="D9"/>
            </w:tcBorders>
            <w:vAlign w:val="center"/>
          </w:tcPr>
          <w:p w14:paraId="59EFAAA0" w14:textId="77777777" w:rsidR="0056738E" w:rsidRPr="00F26004" w:rsidRDefault="0056738E" w:rsidP="007C2AEE">
            <w:pPr>
              <w:tabs>
                <w:tab w:val="left" w:pos="0"/>
                <w:tab w:val="right" w:pos="7560"/>
                <w:tab w:val="right" w:pos="9000"/>
              </w:tabs>
              <w:jc w:val="right"/>
              <w:rPr>
                <w:rFonts w:ascii="Arial" w:hAnsi="Arial" w:cs="Arial"/>
                <w:b/>
                <w:sz w:val="18"/>
                <w:szCs w:val="18"/>
                <w:lang w:val="el-GR"/>
              </w:rPr>
            </w:pPr>
            <w:r>
              <w:rPr>
                <w:rFonts w:ascii="Arial" w:hAnsi="Arial" w:cs="Arial"/>
                <w:b/>
                <w:sz w:val="18"/>
                <w:szCs w:val="18"/>
              </w:rPr>
              <w:t>25,724,629</w:t>
            </w:r>
          </w:p>
        </w:tc>
      </w:tr>
      <w:tr w:rsidR="0056738E" w:rsidRPr="00F26004" w14:paraId="5BA38DB1" w14:textId="77777777" w:rsidTr="007C2AEE">
        <w:trPr>
          <w:trHeight w:val="284"/>
          <w:jc w:val="center"/>
        </w:trPr>
        <w:tc>
          <w:tcPr>
            <w:tcW w:w="3855" w:type="dxa"/>
            <w:vAlign w:val="center"/>
          </w:tcPr>
          <w:p w14:paraId="51AA2C57" w14:textId="77777777" w:rsidR="0056738E" w:rsidRPr="00F26004" w:rsidRDefault="0056738E" w:rsidP="0056738E">
            <w:pPr>
              <w:pStyle w:val="ListParagraph"/>
              <w:numPr>
                <w:ilvl w:val="0"/>
                <w:numId w:val="9"/>
              </w:numPr>
              <w:tabs>
                <w:tab w:val="left" w:pos="0"/>
                <w:tab w:val="right" w:pos="7560"/>
                <w:tab w:val="right" w:pos="9000"/>
              </w:tabs>
              <w:rPr>
                <w:rFonts w:ascii="Arial" w:hAnsi="Arial" w:cs="Arial"/>
                <w:sz w:val="18"/>
                <w:szCs w:val="18"/>
                <w:lang w:val="el-GR"/>
              </w:rPr>
            </w:pPr>
            <w:r>
              <w:rPr>
                <w:rFonts w:ascii="Arial" w:hAnsi="Arial" w:cs="Arial"/>
                <w:sz w:val="18"/>
                <w:szCs w:val="18"/>
                <w:lang w:val="el-GR"/>
              </w:rPr>
              <w:t xml:space="preserve">στις </w:t>
            </w:r>
            <w:r w:rsidRPr="002957AC">
              <w:rPr>
                <w:rFonts w:ascii="Arial" w:hAnsi="Arial" w:cs="Arial"/>
                <w:sz w:val="18"/>
                <w:szCs w:val="18"/>
                <w:lang w:val="el-GR"/>
              </w:rPr>
              <w:t xml:space="preserve">30 Σεπτεμβρίου </w:t>
            </w:r>
            <w:r>
              <w:rPr>
                <w:rFonts w:ascii="Arial" w:hAnsi="Arial" w:cs="Arial"/>
                <w:sz w:val="18"/>
                <w:szCs w:val="18"/>
                <w:lang w:val="el-GR"/>
              </w:rPr>
              <w:t>2023</w:t>
            </w:r>
          </w:p>
        </w:tc>
        <w:tc>
          <w:tcPr>
            <w:tcW w:w="1417" w:type="dxa"/>
          </w:tcPr>
          <w:p w14:paraId="0873F1E1" w14:textId="77777777" w:rsidR="0056738E" w:rsidRPr="00F26004" w:rsidRDefault="0056738E" w:rsidP="007C2AEE">
            <w:pPr>
              <w:tabs>
                <w:tab w:val="right" w:pos="7560"/>
                <w:tab w:val="right" w:pos="9000"/>
              </w:tabs>
              <w:ind w:left="-121"/>
              <w:jc w:val="right"/>
              <w:rPr>
                <w:rFonts w:ascii="Arial" w:hAnsi="Arial" w:cs="Arial"/>
                <w:b/>
                <w:bCs/>
                <w:sz w:val="18"/>
                <w:szCs w:val="18"/>
                <w:lang w:val="el-GR"/>
              </w:rPr>
            </w:pPr>
          </w:p>
        </w:tc>
        <w:tc>
          <w:tcPr>
            <w:tcW w:w="1417" w:type="dxa"/>
          </w:tcPr>
          <w:p w14:paraId="63130A45" w14:textId="77777777" w:rsidR="0056738E" w:rsidRPr="00F26004" w:rsidRDefault="0056738E" w:rsidP="007C2AEE">
            <w:pPr>
              <w:tabs>
                <w:tab w:val="right" w:pos="7560"/>
                <w:tab w:val="right" w:pos="9000"/>
              </w:tabs>
              <w:ind w:left="-121"/>
              <w:jc w:val="right"/>
              <w:rPr>
                <w:rFonts w:ascii="Arial" w:hAnsi="Arial" w:cs="Arial"/>
                <w:b/>
                <w:bCs/>
                <w:sz w:val="18"/>
                <w:szCs w:val="18"/>
                <w:lang w:val="el-GR"/>
              </w:rPr>
            </w:pPr>
          </w:p>
        </w:tc>
        <w:tc>
          <w:tcPr>
            <w:tcW w:w="1417" w:type="dxa"/>
            <w:shd w:val="clear" w:color="auto" w:fill="auto"/>
            <w:vAlign w:val="center"/>
          </w:tcPr>
          <w:p w14:paraId="6C7DE87B" w14:textId="77777777" w:rsidR="0056738E" w:rsidRPr="00F26004" w:rsidRDefault="0056738E" w:rsidP="007C2AEE">
            <w:pPr>
              <w:tabs>
                <w:tab w:val="right" w:pos="7560"/>
                <w:tab w:val="right" w:pos="9000"/>
              </w:tabs>
              <w:ind w:left="-121"/>
              <w:jc w:val="right"/>
              <w:rPr>
                <w:rFonts w:ascii="Arial" w:hAnsi="Arial" w:cs="Arial"/>
                <w:b/>
                <w:bCs/>
                <w:sz w:val="18"/>
                <w:szCs w:val="18"/>
                <w:lang w:val="el-GR"/>
              </w:rPr>
            </w:pPr>
          </w:p>
        </w:tc>
        <w:tc>
          <w:tcPr>
            <w:tcW w:w="1417" w:type="dxa"/>
            <w:tcBorders>
              <w:top w:val="single" w:sz="4" w:space="0" w:color="D9D9D9" w:themeColor="background1" w:themeShade="D9"/>
              <w:bottom w:val="single" w:sz="4" w:space="0" w:color="D9D9D9" w:themeColor="background1" w:themeShade="D9"/>
            </w:tcBorders>
            <w:vAlign w:val="center"/>
          </w:tcPr>
          <w:p w14:paraId="354CBAB5" w14:textId="77777777" w:rsidR="0056738E" w:rsidRPr="00F26004" w:rsidRDefault="0056738E" w:rsidP="007C2AEE">
            <w:pPr>
              <w:tabs>
                <w:tab w:val="left" w:pos="0"/>
                <w:tab w:val="right" w:pos="7560"/>
                <w:tab w:val="right" w:pos="9000"/>
              </w:tabs>
              <w:jc w:val="right"/>
              <w:rPr>
                <w:rFonts w:ascii="Arial" w:hAnsi="Arial" w:cs="Arial"/>
                <w:bCs/>
                <w:sz w:val="18"/>
                <w:szCs w:val="18"/>
                <w:lang w:val="el-GR"/>
              </w:rPr>
            </w:pPr>
            <w:r w:rsidRPr="00E25891">
              <w:rPr>
                <w:rFonts w:ascii="Arial" w:hAnsi="Arial" w:cs="Arial"/>
                <w:bCs/>
                <w:sz w:val="18"/>
                <w:szCs w:val="18"/>
              </w:rPr>
              <w:t>25,683,406</w:t>
            </w:r>
          </w:p>
        </w:tc>
      </w:tr>
    </w:tbl>
    <w:p w14:paraId="2C7F9445" w14:textId="77777777" w:rsidR="0056738E" w:rsidRDefault="0056738E" w:rsidP="0056738E">
      <w:pPr>
        <w:shd w:val="clear" w:color="auto" w:fill="FFFFFF"/>
        <w:tabs>
          <w:tab w:val="left" w:pos="810"/>
        </w:tabs>
        <w:suppressAutoHyphens/>
        <w:spacing w:after="0" w:line="240" w:lineRule="auto"/>
        <w:jc w:val="both"/>
        <w:rPr>
          <w:rFonts w:ascii="Arial" w:hAnsi="Arial" w:cs="Arial"/>
          <w:color w:val="262626"/>
          <w:sz w:val="18"/>
          <w:szCs w:val="18"/>
          <w:lang w:val="en-US"/>
        </w:rPr>
      </w:pPr>
    </w:p>
    <w:tbl>
      <w:tblPr>
        <w:tblStyle w:val="TableGrid13"/>
        <w:tblW w:w="952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90"/>
        <w:gridCol w:w="1417"/>
        <w:gridCol w:w="1417"/>
      </w:tblGrid>
      <w:tr w:rsidR="0056738E" w:rsidRPr="005B05F8" w14:paraId="32C7222E" w14:textId="77777777" w:rsidTr="007C2AEE">
        <w:trPr>
          <w:trHeight w:val="283"/>
          <w:jc w:val="center"/>
        </w:trPr>
        <w:tc>
          <w:tcPr>
            <w:tcW w:w="6690" w:type="dxa"/>
            <w:vAlign w:val="center"/>
          </w:tcPr>
          <w:p w14:paraId="3567F428" w14:textId="77777777" w:rsidR="0056738E" w:rsidRPr="005B05F8" w:rsidRDefault="0056738E" w:rsidP="007C2AEE">
            <w:pPr>
              <w:tabs>
                <w:tab w:val="left" w:pos="0"/>
                <w:tab w:val="left" w:pos="360"/>
              </w:tabs>
              <w:rPr>
                <w:rFonts w:ascii="Verdana" w:hAnsi="Verdana" w:cs="ArialMT"/>
                <w:b/>
                <w:sz w:val="18"/>
                <w:szCs w:val="18"/>
              </w:rPr>
            </w:pPr>
          </w:p>
        </w:tc>
        <w:tc>
          <w:tcPr>
            <w:tcW w:w="1417" w:type="dxa"/>
            <w:tcBorders>
              <w:bottom w:val="single" w:sz="4" w:space="0" w:color="D9D9D9" w:themeColor="background1" w:themeShade="D9"/>
            </w:tcBorders>
            <w:shd w:val="clear" w:color="auto" w:fill="auto"/>
            <w:vAlign w:val="center"/>
          </w:tcPr>
          <w:p w14:paraId="700E7B3E" w14:textId="77777777" w:rsidR="0056738E" w:rsidRPr="005B05F8" w:rsidRDefault="0056738E" w:rsidP="007C2AEE">
            <w:pPr>
              <w:ind w:left="-134" w:right="-186"/>
              <w:jc w:val="center"/>
              <w:rPr>
                <w:rFonts w:ascii="Verdana" w:hAnsi="Verdana" w:cs="Arial"/>
                <w:b/>
                <w:sz w:val="18"/>
                <w:szCs w:val="18"/>
              </w:rPr>
            </w:pPr>
            <w:r w:rsidRPr="005D5D89">
              <w:rPr>
                <w:rFonts w:ascii="Arial" w:hAnsi="Arial" w:cs="Arial"/>
                <w:b/>
                <w:sz w:val="18"/>
                <w:szCs w:val="18"/>
                <w:lang w:val="el-GR"/>
              </w:rPr>
              <w:t>202</w:t>
            </w:r>
            <w:r>
              <w:rPr>
                <w:rFonts w:ascii="Arial" w:hAnsi="Arial" w:cs="Arial"/>
                <w:b/>
                <w:sz w:val="18"/>
                <w:szCs w:val="18"/>
                <w:lang w:val="el-GR"/>
              </w:rPr>
              <w:t>4</w:t>
            </w:r>
          </w:p>
        </w:tc>
        <w:tc>
          <w:tcPr>
            <w:tcW w:w="1417" w:type="dxa"/>
            <w:tcBorders>
              <w:bottom w:val="single" w:sz="4" w:space="0" w:color="D9D9D9" w:themeColor="background1" w:themeShade="D9"/>
            </w:tcBorders>
            <w:vAlign w:val="center"/>
          </w:tcPr>
          <w:p w14:paraId="769AFC1F" w14:textId="77777777" w:rsidR="0056738E" w:rsidRPr="00407AEF" w:rsidRDefault="0056738E" w:rsidP="007C2AEE">
            <w:pPr>
              <w:jc w:val="center"/>
              <w:rPr>
                <w:rFonts w:ascii="Arial" w:hAnsi="Arial" w:cs="Arial"/>
                <w:iCs/>
                <w:spacing w:val="-4"/>
                <w:sz w:val="18"/>
                <w:szCs w:val="18"/>
                <w:lang w:val="el-GR"/>
              </w:rPr>
            </w:pPr>
            <w:r w:rsidRPr="00407AEF">
              <w:rPr>
                <w:rFonts w:ascii="Arial" w:hAnsi="Arial" w:cs="Arial"/>
                <w:sz w:val="18"/>
                <w:szCs w:val="18"/>
              </w:rPr>
              <w:t>202</w:t>
            </w:r>
            <w:r w:rsidRPr="00407AEF">
              <w:rPr>
                <w:rFonts w:ascii="Arial" w:hAnsi="Arial" w:cs="Arial"/>
                <w:sz w:val="18"/>
                <w:szCs w:val="18"/>
                <w:lang w:val="el-GR"/>
              </w:rPr>
              <w:t>3</w:t>
            </w:r>
          </w:p>
        </w:tc>
      </w:tr>
      <w:tr w:rsidR="0056738E" w:rsidRPr="00FC7A72" w14:paraId="075B42C8" w14:textId="77777777" w:rsidTr="007C2AEE">
        <w:trPr>
          <w:trHeight w:val="283"/>
          <w:jc w:val="center"/>
        </w:trPr>
        <w:tc>
          <w:tcPr>
            <w:tcW w:w="6690" w:type="dxa"/>
            <w:vAlign w:val="center"/>
          </w:tcPr>
          <w:p w14:paraId="1C770E5D" w14:textId="77777777" w:rsidR="0056738E" w:rsidRPr="00F26004" w:rsidRDefault="0056738E" w:rsidP="007C2AEE">
            <w:pPr>
              <w:tabs>
                <w:tab w:val="left" w:pos="0"/>
                <w:tab w:val="left" w:pos="360"/>
              </w:tabs>
              <w:rPr>
                <w:rFonts w:ascii="Arial" w:eastAsia="Times New Roman" w:hAnsi="Arial" w:cs="Arial"/>
                <w:sz w:val="18"/>
                <w:szCs w:val="18"/>
                <w:lang w:val="el-GR"/>
              </w:rPr>
            </w:pPr>
            <w:r w:rsidRPr="002135C9">
              <w:rPr>
                <w:rFonts w:ascii="Arial" w:hAnsi="Arial" w:cs="Arial"/>
                <w:sz w:val="18"/>
                <w:szCs w:val="18"/>
                <w:lang w:val="el-GR"/>
              </w:rPr>
              <w:t xml:space="preserve">Συνολικά εισοδήματα για το </w:t>
            </w:r>
            <w:r>
              <w:rPr>
                <w:rFonts w:ascii="Arial" w:hAnsi="Arial" w:cs="Arial"/>
                <w:sz w:val="18"/>
                <w:szCs w:val="18"/>
                <w:lang w:val="el-GR"/>
              </w:rPr>
              <w:t>εννεάμηνο</w:t>
            </w:r>
            <w:r w:rsidRPr="002135C9">
              <w:rPr>
                <w:rFonts w:ascii="Arial" w:hAnsi="Arial" w:cs="Arial"/>
                <w:sz w:val="18"/>
                <w:szCs w:val="18"/>
                <w:lang w:val="el-GR"/>
              </w:rPr>
              <w:t xml:space="preserve"> που έληξε στις 3</w:t>
            </w:r>
            <w:r>
              <w:rPr>
                <w:rFonts w:ascii="Arial" w:hAnsi="Arial" w:cs="Arial"/>
                <w:sz w:val="18"/>
                <w:szCs w:val="18"/>
                <w:lang w:val="el-GR"/>
              </w:rPr>
              <w:t>0</w:t>
            </w:r>
            <w:r w:rsidRPr="002135C9">
              <w:rPr>
                <w:rFonts w:ascii="Arial" w:hAnsi="Arial" w:cs="Arial"/>
                <w:sz w:val="18"/>
                <w:szCs w:val="18"/>
                <w:lang w:val="el-GR"/>
              </w:rPr>
              <w:t xml:space="preserve"> </w:t>
            </w:r>
            <w:r w:rsidRPr="004660BE">
              <w:rPr>
                <w:rFonts w:ascii="Arial" w:hAnsi="Arial" w:cs="Arial"/>
                <w:sz w:val="18"/>
                <w:szCs w:val="18"/>
                <w:lang w:val="el-GR"/>
              </w:rPr>
              <w:t xml:space="preserve">Σεπτεμβρίου </w:t>
            </w:r>
            <w:r w:rsidRPr="002135C9">
              <w:rPr>
                <w:rFonts w:ascii="Arial" w:hAnsi="Arial" w:cs="Arial"/>
                <w:i/>
                <w:iCs/>
                <w:sz w:val="18"/>
                <w:szCs w:val="18"/>
                <w:lang w:val="el-GR"/>
              </w:rPr>
              <w:t>(ως ο πίνακας 2.2.1 πιο πάνω)</w:t>
            </w:r>
            <w:r>
              <w:rPr>
                <w:rFonts w:ascii="Arial" w:hAnsi="Arial" w:cs="Arial"/>
                <w:i/>
                <w:iCs/>
                <w:sz w:val="18"/>
                <w:szCs w:val="18"/>
                <w:lang w:val="el-GR"/>
              </w:rPr>
              <w:t xml:space="preserve"> -</w:t>
            </w:r>
            <w:r w:rsidRPr="002135C9">
              <w:rPr>
                <w:rFonts w:ascii="Arial" w:hAnsi="Arial" w:cs="Arial"/>
                <w:i/>
                <w:iCs/>
                <w:sz w:val="18"/>
                <w:szCs w:val="18"/>
                <w:lang w:val="el-GR"/>
              </w:rPr>
              <w:t xml:space="preserve"> </w:t>
            </w:r>
            <w:proofErr w:type="spellStart"/>
            <w:r w:rsidRPr="00D17E65">
              <w:rPr>
                <w:rFonts w:ascii="Arial" w:hAnsi="Arial" w:cs="Arial"/>
                <w:sz w:val="18"/>
                <w:szCs w:val="18"/>
                <w:lang w:val="el-GR"/>
              </w:rPr>
              <w:t>ετησιοποιημένα</w:t>
            </w:r>
            <w:proofErr w:type="spellEnd"/>
            <w:r w:rsidRPr="00743284">
              <w:rPr>
                <w:rFonts w:ascii="Arial" w:hAnsi="Arial" w:cs="Arial"/>
                <w:sz w:val="18"/>
                <w:szCs w:val="18"/>
                <w:lang w:val="el-GR"/>
              </w:rPr>
              <w:t xml:space="preserve"> </w:t>
            </w:r>
            <w:r w:rsidRPr="002135C9">
              <w:rPr>
                <w:rFonts w:ascii="Arial" w:hAnsi="Arial" w:cs="Arial"/>
                <w:sz w:val="18"/>
                <w:szCs w:val="18"/>
                <w:lang w:val="el-GR"/>
              </w:rPr>
              <w:t>(€000)</w:t>
            </w:r>
          </w:p>
        </w:tc>
        <w:tc>
          <w:tcPr>
            <w:tcW w:w="1417" w:type="dxa"/>
            <w:tcBorders>
              <w:bottom w:val="single" w:sz="4" w:space="0" w:color="D9D9D9" w:themeColor="background1" w:themeShade="D9"/>
            </w:tcBorders>
            <w:shd w:val="clear" w:color="auto" w:fill="auto"/>
            <w:vAlign w:val="center"/>
          </w:tcPr>
          <w:p w14:paraId="1E6EBC7C" w14:textId="77777777" w:rsidR="0056738E" w:rsidRPr="00F26004" w:rsidRDefault="0056738E" w:rsidP="007C2AEE">
            <w:pPr>
              <w:ind w:left="-134"/>
              <w:jc w:val="right"/>
              <w:rPr>
                <w:rFonts w:ascii="Arial" w:hAnsi="Arial" w:cs="Arial"/>
                <w:b/>
                <w:sz w:val="18"/>
                <w:szCs w:val="18"/>
                <w:lang w:val="el-GR"/>
              </w:rPr>
            </w:pPr>
            <w:r>
              <w:rPr>
                <w:rFonts w:ascii="Arial" w:hAnsi="Arial" w:cs="Arial"/>
                <w:b/>
                <w:bCs/>
                <w:sz w:val="18"/>
                <w:szCs w:val="18"/>
              </w:rPr>
              <w:t>1,105,387</w:t>
            </w:r>
          </w:p>
        </w:tc>
        <w:tc>
          <w:tcPr>
            <w:tcW w:w="1417" w:type="dxa"/>
            <w:tcBorders>
              <w:bottom w:val="single" w:sz="4" w:space="0" w:color="D9D9D9" w:themeColor="background1" w:themeShade="D9"/>
            </w:tcBorders>
            <w:shd w:val="clear" w:color="auto" w:fill="auto"/>
            <w:vAlign w:val="center"/>
          </w:tcPr>
          <w:p w14:paraId="1941AB74" w14:textId="77777777" w:rsidR="0056738E" w:rsidRPr="00F26004" w:rsidRDefault="0056738E" w:rsidP="007C2AEE">
            <w:pPr>
              <w:ind w:left="-110"/>
              <w:jc w:val="right"/>
              <w:rPr>
                <w:rFonts w:ascii="Arial" w:hAnsi="Arial" w:cs="Arial"/>
                <w:bCs/>
                <w:sz w:val="18"/>
                <w:szCs w:val="18"/>
                <w:lang w:val="el-GR"/>
              </w:rPr>
            </w:pPr>
            <w:r w:rsidRPr="00E25891">
              <w:rPr>
                <w:rFonts w:ascii="Arial" w:hAnsi="Arial" w:cs="Arial"/>
                <w:sz w:val="18"/>
                <w:szCs w:val="18"/>
              </w:rPr>
              <w:t>1,063,548</w:t>
            </w:r>
          </w:p>
        </w:tc>
      </w:tr>
      <w:tr w:rsidR="0056738E" w:rsidRPr="00FC7A72" w14:paraId="6B74D66E" w14:textId="77777777" w:rsidTr="007C2AEE">
        <w:trPr>
          <w:trHeight w:val="283"/>
          <w:jc w:val="center"/>
        </w:trPr>
        <w:tc>
          <w:tcPr>
            <w:tcW w:w="6690" w:type="dxa"/>
            <w:vAlign w:val="center"/>
          </w:tcPr>
          <w:p w14:paraId="531DAAA0" w14:textId="77777777" w:rsidR="0056738E" w:rsidRPr="00F26004" w:rsidRDefault="0056738E" w:rsidP="007C2AEE">
            <w:pPr>
              <w:tabs>
                <w:tab w:val="left" w:pos="0"/>
                <w:tab w:val="right" w:pos="7560"/>
                <w:tab w:val="right" w:pos="9000"/>
              </w:tabs>
              <w:rPr>
                <w:rFonts w:ascii="Arial" w:eastAsia="Times New Roman" w:hAnsi="Arial" w:cs="Arial"/>
                <w:sz w:val="18"/>
                <w:szCs w:val="18"/>
                <w:lang w:val="el-GR"/>
              </w:rPr>
            </w:pPr>
            <w:r w:rsidRPr="002135C9">
              <w:rPr>
                <w:rFonts w:ascii="Arial" w:hAnsi="Arial" w:cs="Arial"/>
                <w:sz w:val="18"/>
                <w:szCs w:val="18"/>
                <w:lang w:val="el-GR"/>
              </w:rPr>
              <w:t xml:space="preserve">Συνολικά έξοδα για το </w:t>
            </w:r>
            <w:r>
              <w:rPr>
                <w:rFonts w:ascii="Arial" w:hAnsi="Arial" w:cs="Arial"/>
                <w:sz w:val="18"/>
                <w:szCs w:val="18"/>
                <w:lang w:val="el-GR"/>
              </w:rPr>
              <w:t>εννεάμηνο</w:t>
            </w:r>
            <w:r w:rsidRPr="002135C9">
              <w:rPr>
                <w:rFonts w:ascii="Arial" w:hAnsi="Arial" w:cs="Arial"/>
                <w:sz w:val="18"/>
                <w:szCs w:val="18"/>
                <w:lang w:val="el-GR"/>
              </w:rPr>
              <w:t xml:space="preserve"> που έληξε στις 3</w:t>
            </w:r>
            <w:r>
              <w:rPr>
                <w:rFonts w:ascii="Arial" w:hAnsi="Arial" w:cs="Arial"/>
                <w:sz w:val="18"/>
                <w:szCs w:val="18"/>
                <w:lang w:val="el-GR"/>
              </w:rPr>
              <w:t>0</w:t>
            </w:r>
            <w:r w:rsidRPr="002135C9">
              <w:rPr>
                <w:rFonts w:ascii="Arial" w:hAnsi="Arial" w:cs="Arial"/>
                <w:sz w:val="18"/>
                <w:szCs w:val="18"/>
                <w:lang w:val="el-GR"/>
              </w:rPr>
              <w:t xml:space="preserve"> </w:t>
            </w:r>
            <w:r w:rsidRPr="004660BE">
              <w:rPr>
                <w:rFonts w:ascii="Arial" w:hAnsi="Arial" w:cs="Arial"/>
                <w:sz w:val="18"/>
                <w:szCs w:val="18"/>
                <w:lang w:val="el-GR"/>
              </w:rPr>
              <w:t>Σεπτεμβρίου</w:t>
            </w:r>
            <w:r>
              <w:rPr>
                <w:rFonts w:ascii="Arial" w:hAnsi="Arial" w:cs="Arial"/>
                <w:sz w:val="18"/>
                <w:szCs w:val="18"/>
                <w:lang w:val="el-GR"/>
              </w:rPr>
              <w:t xml:space="preserve"> </w:t>
            </w:r>
            <w:r w:rsidRPr="002135C9">
              <w:rPr>
                <w:rFonts w:ascii="Arial" w:hAnsi="Arial" w:cs="Arial"/>
                <w:i/>
                <w:iCs/>
                <w:sz w:val="18"/>
                <w:szCs w:val="18"/>
                <w:lang w:val="el-GR"/>
              </w:rPr>
              <w:t>(ως ο πίνακας 2.1.3 πιο πάνω)</w:t>
            </w:r>
            <w:r>
              <w:rPr>
                <w:rFonts w:ascii="Arial" w:hAnsi="Arial" w:cs="Arial"/>
                <w:i/>
                <w:iCs/>
                <w:sz w:val="18"/>
                <w:szCs w:val="18"/>
                <w:lang w:val="el-GR"/>
              </w:rPr>
              <w:t xml:space="preserve"> -</w:t>
            </w:r>
            <w:r w:rsidRPr="002135C9">
              <w:rPr>
                <w:rFonts w:ascii="Arial" w:hAnsi="Arial" w:cs="Arial"/>
                <w:i/>
                <w:iCs/>
                <w:sz w:val="18"/>
                <w:szCs w:val="18"/>
                <w:lang w:val="el-GR"/>
              </w:rPr>
              <w:t xml:space="preserve"> </w:t>
            </w:r>
            <w:proofErr w:type="spellStart"/>
            <w:r w:rsidRPr="00D17E65">
              <w:rPr>
                <w:rFonts w:ascii="Arial" w:hAnsi="Arial" w:cs="Arial"/>
                <w:sz w:val="18"/>
                <w:szCs w:val="18"/>
                <w:lang w:val="el-GR"/>
              </w:rPr>
              <w:t>ετησιοποιημένα</w:t>
            </w:r>
            <w:proofErr w:type="spellEnd"/>
            <w:r w:rsidRPr="002135C9">
              <w:rPr>
                <w:rFonts w:ascii="Arial" w:hAnsi="Arial" w:cs="Arial"/>
                <w:sz w:val="18"/>
                <w:szCs w:val="18"/>
                <w:lang w:val="el-GR"/>
              </w:rPr>
              <w:t xml:space="preserve"> (€000)</w:t>
            </w:r>
          </w:p>
        </w:tc>
        <w:tc>
          <w:tcPr>
            <w:tcW w:w="1417" w:type="dxa"/>
            <w:tcBorders>
              <w:top w:val="single" w:sz="4" w:space="0" w:color="D9D9D9" w:themeColor="background1" w:themeShade="D9"/>
              <w:bottom w:val="single" w:sz="6" w:space="0" w:color="000000" w:themeColor="text1"/>
            </w:tcBorders>
            <w:shd w:val="clear" w:color="auto" w:fill="auto"/>
            <w:vAlign w:val="center"/>
          </w:tcPr>
          <w:p w14:paraId="3427B044" w14:textId="77777777" w:rsidR="0056738E" w:rsidRPr="00F26004" w:rsidRDefault="0056738E" w:rsidP="007C2AEE">
            <w:pPr>
              <w:tabs>
                <w:tab w:val="right" w:pos="7560"/>
                <w:tab w:val="right" w:pos="9000"/>
              </w:tabs>
              <w:ind w:left="325" w:right="-127"/>
              <w:jc w:val="center"/>
              <w:rPr>
                <w:rFonts w:ascii="Arial" w:hAnsi="Arial" w:cs="Arial"/>
                <w:b/>
                <w:bCs/>
                <w:sz w:val="18"/>
                <w:szCs w:val="18"/>
                <w:lang w:val="el-GR"/>
              </w:rPr>
            </w:pPr>
            <w:r>
              <w:rPr>
                <w:rFonts w:ascii="Arial" w:hAnsi="Arial" w:cs="Arial"/>
                <w:b/>
                <w:bCs/>
                <w:sz w:val="18"/>
                <w:szCs w:val="18"/>
              </w:rPr>
              <w:t>(389,582)</w:t>
            </w:r>
          </w:p>
        </w:tc>
        <w:tc>
          <w:tcPr>
            <w:tcW w:w="1417" w:type="dxa"/>
            <w:tcBorders>
              <w:top w:val="single" w:sz="4" w:space="0" w:color="D9D9D9" w:themeColor="background1" w:themeShade="D9"/>
              <w:bottom w:val="single" w:sz="6" w:space="0" w:color="000000" w:themeColor="text1"/>
            </w:tcBorders>
            <w:shd w:val="clear" w:color="auto" w:fill="auto"/>
            <w:vAlign w:val="center"/>
          </w:tcPr>
          <w:p w14:paraId="71A1E902" w14:textId="77777777" w:rsidR="0056738E" w:rsidRPr="00D17E65" w:rsidRDefault="0056738E" w:rsidP="007C2AEE">
            <w:pPr>
              <w:tabs>
                <w:tab w:val="left" w:pos="0"/>
                <w:tab w:val="right" w:pos="7560"/>
                <w:tab w:val="right" w:pos="9000"/>
              </w:tabs>
              <w:jc w:val="right"/>
              <w:rPr>
                <w:rFonts w:ascii="Arial" w:hAnsi="Arial" w:cs="Arial"/>
                <w:bCs/>
                <w:sz w:val="18"/>
                <w:szCs w:val="18"/>
                <w:lang w:val="el-GR"/>
              </w:rPr>
            </w:pPr>
            <w:r w:rsidRPr="00E25891">
              <w:rPr>
                <w:rFonts w:ascii="Arial" w:hAnsi="Arial" w:cs="Arial"/>
                <w:sz w:val="18"/>
                <w:szCs w:val="18"/>
              </w:rPr>
              <w:t>(3</w:t>
            </w:r>
            <w:r w:rsidRPr="00E25891">
              <w:rPr>
                <w:rFonts w:ascii="Arial" w:hAnsi="Arial" w:cs="Arial"/>
                <w:sz w:val="18"/>
                <w:szCs w:val="18"/>
                <w:lang w:val="el-GR"/>
              </w:rPr>
              <w:t>70</w:t>
            </w:r>
            <w:r w:rsidRPr="00E25891">
              <w:rPr>
                <w:rFonts w:ascii="Arial" w:hAnsi="Arial" w:cs="Arial"/>
                <w:sz w:val="18"/>
                <w:szCs w:val="18"/>
              </w:rPr>
              <w:t>,</w:t>
            </w:r>
            <w:r w:rsidRPr="00E25891">
              <w:rPr>
                <w:rFonts w:ascii="Arial" w:hAnsi="Arial" w:cs="Arial"/>
                <w:sz w:val="18"/>
                <w:szCs w:val="18"/>
                <w:lang w:val="el-GR"/>
              </w:rPr>
              <w:t>266</w:t>
            </w:r>
            <w:r w:rsidRPr="00E25891">
              <w:rPr>
                <w:rFonts w:ascii="Arial" w:hAnsi="Arial" w:cs="Arial"/>
                <w:sz w:val="18"/>
                <w:szCs w:val="18"/>
              </w:rPr>
              <w:t>)</w:t>
            </w:r>
          </w:p>
        </w:tc>
      </w:tr>
      <w:tr w:rsidR="0056738E" w:rsidRPr="00F26004" w14:paraId="5A991D57" w14:textId="77777777" w:rsidTr="007C2AEE">
        <w:trPr>
          <w:trHeight w:val="283"/>
          <w:jc w:val="center"/>
        </w:trPr>
        <w:tc>
          <w:tcPr>
            <w:tcW w:w="6690" w:type="dxa"/>
            <w:vAlign w:val="center"/>
          </w:tcPr>
          <w:p w14:paraId="7C531898" w14:textId="77777777" w:rsidR="0056738E" w:rsidRPr="00D17E65" w:rsidRDefault="0056738E" w:rsidP="007C2AEE">
            <w:pPr>
              <w:tabs>
                <w:tab w:val="left" w:pos="0"/>
                <w:tab w:val="right" w:pos="7560"/>
                <w:tab w:val="right" w:pos="9000"/>
              </w:tabs>
              <w:rPr>
                <w:rFonts w:ascii="Arial" w:eastAsia="Times New Roman" w:hAnsi="Arial" w:cs="Arial"/>
                <w:sz w:val="18"/>
                <w:szCs w:val="18"/>
                <w:lang w:val="el-GR"/>
              </w:rPr>
            </w:pPr>
            <w:r w:rsidRPr="00FC7A72">
              <w:rPr>
                <w:rFonts w:ascii="Arial" w:hAnsi="Arial" w:cs="Arial"/>
                <w:sz w:val="18"/>
                <w:szCs w:val="18"/>
                <w:lang w:val="el-GR"/>
              </w:rPr>
              <w:t>Λειτουργικά κέρδη</w:t>
            </w:r>
            <w:r>
              <w:rPr>
                <w:rFonts w:ascii="Arial" w:hAnsi="Arial" w:cs="Arial"/>
                <w:sz w:val="18"/>
                <w:szCs w:val="18"/>
                <w:lang w:val="el-GR"/>
              </w:rPr>
              <w:t xml:space="preserve"> – </w:t>
            </w:r>
            <w:proofErr w:type="spellStart"/>
            <w:r w:rsidRPr="00D17E65">
              <w:rPr>
                <w:rFonts w:ascii="Arial" w:hAnsi="Arial" w:cs="Arial"/>
                <w:sz w:val="18"/>
                <w:szCs w:val="18"/>
                <w:lang w:val="el-GR"/>
              </w:rPr>
              <w:t>ετησιοποιημένα</w:t>
            </w:r>
            <w:proofErr w:type="spellEnd"/>
            <w:r w:rsidRPr="002135C9">
              <w:rPr>
                <w:rFonts w:ascii="Arial" w:hAnsi="Arial" w:cs="Arial"/>
                <w:sz w:val="18"/>
                <w:szCs w:val="18"/>
                <w:lang w:val="el-GR"/>
              </w:rPr>
              <w:t xml:space="preserve"> </w:t>
            </w:r>
            <w:r w:rsidRPr="00FC7A72">
              <w:rPr>
                <w:rFonts w:ascii="Arial" w:hAnsi="Arial" w:cs="Arial"/>
                <w:sz w:val="18"/>
                <w:szCs w:val="18"/>
                <w:lang w:val="el-GR"/>
              </w:rPr>
              <w:t>(€000)</w:t>
            </w:r>
          </w:p>
        </w:tc>
        <w:tc>
          <w:tcPr>
            <w:tcW w:w="1417" w:type="dxa"/>
            <w:tcBorders>
              <w:top w:val="single" w:sz="6" w:space="0" w:color="000000" w:themeColor="text1"/>
              <w:bottom w:val="double" w:sz="6" w:space="0" w:color="000000" w:themeColor="text1"/>
            </w:tcBorders>
            <w:shd w:val="clear" w:color="auto" w:fill="auto"/>
            <w:vAlign w:val="center"/>
          </w:tcPr>
          <w:p w14:paraId="1AE368F2" w14:textId="77777777" w:rsidR="0056738E" w:rsidRPr="00F26004" w:rsidRDefault="0056738E" w:rsidP="007C2AEE">
            <w:pPr>
              <w:tabs>
                <w:tab w:val="right" w:pos="7560"/>
                <w:tab w:val="right" w:pos="9000"/>
              </w:tabs>
              <w:ind w:left="-121"/>
              <w:jc w:val="right"/>
              <w:rPr>
                <w:rFonts w:ascii="Arial" w:hAnsi="Arial" w:cs="Arial"/>
                <w:b/>
                <w:bCs/>
                <w:sz w:val="18"/>
                <w:szCs w:val="18"/>
                <w:lang w:val="el-GR"/>
              </w:rPr>
            </w:pPr>
            <w:r>
              <w:rPr>
                <w:rFonts w:ascii="Arial" w:hAnsi="Arial" w:cs="Arial"/>
                <w:b/>
                <w:bCs/>
                <w:sz w:val="18"/>
                <w:szCs w:val="18"/>
              </w:rPr>
              <w:t>715,805</w:t>
            </w:r>
          </w:p>
        </w:tc>
        <w:tc>
          <w:tcPr>
            <w:tcW w:w="1417" w:type="dxa"/>
            <w:tcBorders>
              <w:top w:val="single" w:sz="6" w:space="0" w:color="000000" w:themeColor="text1"/>
              <w:bottom w:val="double" w:sz="6" w:space="0" w:color="000000" w:themeColor="text1"/>
            </w:tcBorders>
            <w:shd w:val="clear" w:color="auto" w:fill="auto"/>
            <w:vAlign w:val="center"/>
          </w:tcPr>
          <w:p w14:paraId="213DCAC8" w14:textId="77777777" w:rsidR="0056738E" w:rsidRPr="00F26004" w:rsidRDefault="0056738E" w:rsidP="007C2AEE">
            <w:pPr>
              <w:tabs>
                <w:tab w:val="left" w:pos="0"/>
                <w:tab w:val="right" w:pos="7560"/>
                <w:tab w:val="right" w:pos="9000"/>
              </w:tabs>
              <w:jc w:val="right"/>
              <w:rPr>
                <w:rFonts w:ascii="Arial" w:hAnsi="Arial" w:cs="Arial"/>
                <w:bCs/>
                <w:sz w:val="18"/>
                <w:szCs w:val="18"/>
                <w:lang w:val="el-GR"/>
              </w:rPr>
            </w:pPr>
            <w:r w:rsidRPr="00E25891">
              <w:rPr>
                <w:rFonts w:ascii="Arial" w:hAnsi="Arial" w:cs="Arial"/>
                <w:sz w:val="18"/>
                <w:szCs w:val="18"/>
              </w:rPr>
              <w:t>69</w:t>
            </w:r>
            <w:r w:rsidRPr="00E25891">
              <w:rPr>
                <w:rFonts w:ascii="Arial" w:hAnsi="Arial" w:cs="Arial"/>
                <w:sz w:val="18"/>
                <w:szCs w:val="18"/>
                <w:lang w:val="el-GR"/>
              </w:rPr>
              <w:t>3</w:t>
            </w:r>
            <w:r w:rsidRPr="00E25891">
              <w:rPr>
                <w:rFonts w:ascii="Arial" w:hAnsi="Arial" w:cs="Arial"/>
                <w:sz w:val="18"/>
                <w:szCs w:val="18"/>
              </w:rPr>
              <w:t>,</w:t>
            </w:r>
            <w:r w:rsidRPr="00E25891">
              <w:rPr>
                <w:rFonts w:ascii="Arial" w:hAnsi="Arial" w:cs="Arial"/>
                <w:sz w:val="18"/>
                <w:szCs w:val="18"/>
                <w:lang w:val="el-GR"/>
              </w:rPr>
              <w:t>282</w:t>
            </w:r>
          </w:p>
        </w:tc>
      </w:tr>
      <w:tr w:rsidR="0056738E" w:rsidRPr="00F26004" w14:paraId="72C34E5C" w14:textId="77777777" w:rsidTr="007C2AEE">
        <w:trPr>
          <w:trHeight w:val="283"/>
          <w:jc w:val="center"/>
        </w:trPr>
        <w:tc>
          <w:tcPr>
            <w:tcW w:w="6690" w:type="dxa"/>
            <w:vAlign w:val="center"/>
          </w:tcPr>
          <w:p w14:paraId="3F0785C5" w14:textId="77777777" w:rsidR="0056738E" w:rsidRPr="00D17E65" w:rsidRDefault="0056738E" w:rsidP="007C2AEE">
            <w:pPr>
              <w:tabs>
                <w:tab w:val="left" w:pos="0"/>
                <w:tab w:val="right" w:pos="7560"/>
                <w:tab w:val="right" w:pos="9000"/>
              </w:tabs>
              <w:rPr>
                <w:rFonts w:ascii="Arial" w:hAnsi="Arial" w:cs="Arial"/>
                <w:sz w:val="18"/>
                <w:szCs w:val="18"/>
                <w:lang w:val="el-GR"/>
              </w:rPr>
            </w:pPr>
            <w:r w:rsidRPr="002135C9">
              <w:rPr>
                <w:rFonts w:ascii="Arial" w:hAnsi="Arial" w:cs="Arial"/>
                <w:sz w:val="18"/>
                <w:szCs w:val="18"/>
                <w:lang w:val="el-GR"/>
              </w:rPr>
              <w:t>Τριμηνιαίος μέσος όρος συνολικών περιουσιακών στοιχείων στις 3</w:t>
            </w:r>
            <w:r>
              <w:rPr>
                <w:rFonts w:ascii="Arial" w:hAnsi="Arial" w:cs="Arial"/>
                <w:sz w:val="18"/>
                <w:szCs w:val="18"/>
                <w:lang w:val="el-GR"/>
              </w:rPr>
              <w:t>0</w:t>
            </w:r>
            <w:r w:rsidRPr="002135C9">
              <w:rPr>
                <w:rFonts w:ascii="Arial" w:hAnsi="Arial" w:cs="Arial"/>
                <w:sz w:val="18"/>
                <w:szCs w:val="18"/>
                <w:lang w:val="el-GR"/>
              </w:rPr>
              <w:t xml:space="preserve"> </w:t>
            </w:r>
            <w:r w:rsidRPr="004660BE">
              <w:rPr>
                <w:rFonts w:ascii="Arial" w:hAnsi="Arial" w:cs="Arial"/>
                <w:sz w:val="18"/>
                <w:szCs w:val="18"/>
                <w:lang w:val="el-GR"/>
              </w:rPr>
              <w:t xml:space="preserve">Σεπτεμβρίου </w:t>
            </w:r>
            <w:r w:rsidRPr="002135C9">
              <w:rPr>
                <w:rFonts w:ascii="Arial" w:hAnsi="Arial" w:cs="Arial"/>
                <w:sz w:val="18"/>
                <w:szCs w:val="18"/>
                <w:lang w:val="el-GR"/>
              </w:rPr>
              <w:t>(</w:t>
            </w:r>
            <w:r w:rsidRPr="002135C9">
              <w:rPr>
                <w:rFonts w:ascii="Arial" w:hAnsi="Arial" w:cs="Arial"/>
                <w:i/>
                <w:iCs/>
                <w:sz w:val="18"/>
                <w:szCs w:val="18"/>
                <w:lang w:val="el-GR"/>
              </w:rPr>
              <w:t>ως ο πίνακας πιο πάνω</w:t>
            </w:r>
            <w:r w:rsidRPr="002135C9">
              <w:rPr>
                <w:rFonts w:ascii="Arial" w:hAnsi="Arial" w:cs="Arial"/>
                <w:sz w:val="18"/>
                <w:szCs w:val="18"/>
                <w:lang w:val="el-GR"/>
              </w:rPr>
              <w:t>)</w:t>
            </w:r>
            <w:r w:rsidRPr="002135C9" w:rsidDel="000221F4">
              <w:rPr>
                <w:rFonts w:ascii="Arial" w:hAnsi="Arial" w:cs="Arial"/>
                <w:sz w:val="18"/>
                <w:szCs w:val="18"/>
                <w:lang w:val="el-GR"/>
              </w:rPr>
              <w:t xml:space="preserve"> </w:t>
            </w:r>
            <w:r w:rsidRPr="002135C9">
              <w:rPr>
                <w:rFonts w:ascii="Arial" w:hAnsi="Arial" w:cs="Arial"/>
                <w:sz w:val="18"/>
                <w:szCs w:val="18"/>
                <w:lang w:val="el-GR"/>
              </w:rPr>
              <w:t>(€000)</w:t>
            </w:r>
          </w:p>
        </w:tc>
        <w:tc>
          <w:tcPr>
            <w:tcW w:w="1417" w:type="dxa"/>
            <w:tcBorders>
              <w:top w:val="double" w:sz="6" w:space="0" w:color="000000" w:themeColor="text1"/>
              <w:bottom w:val="single" w:sz="4" w:space="0" w:color="D9D9D9" w:themeColor="background1" w:themeShade="D9"/>
            </w:tcBorders>
            <w:shd w:val="clear" w:color="auto" w:fill="auto"/>
            <w:vAlign w:val="center"/>
          </w:tcPr>
          <w:p w14:paraId="1EA3B760" w14:textId="77777777" w:rsidR="0056738E" w:rsidRPr="00F26004" w:rsidRDefault="0056738E" w:rsidP="007C2AEE">
            <w:pPr>
              <w:tabs>
                <w:tab w:val="right" w:pos="7560"/>
                <w:tab w:val="right" w:pos="9000"/>
              </w:tabs>
              <w:ind w:left="-121"/>
              <w:jc w:val="right"/>
              <w:rPr>
                <w:rFonts w:ascii="Arial" w:hAnsi="Arial" w:cs="Arial"/>
                <w:b/>
                <w:bCs/>
                <w:sz w:val="18"/>
                <w:szCs w:val="18"/>
                <w:lang w:val="el-GR"/>
              </w:rPr>
            </w:pPr>
            <w:r>
              <w:rPr>
                <w:rFonts w:ascii="Arial" w:hAnsi="Arial" w:cs="Arial"/>
                <w:b/>
                <w:bCs/>
                <w:sz w:val="18"/>
                <w:szCs w:val="18"/>
                <w:lang w:val="en-GB"/>
              </w:rPr>
              <w:t>25,724,629</w:t>
            </w:r>
          </w:p>
        </w:tc>
        <w:tc>
          <w:tcPr>
            <w:tcW w:w="1417" w:type="dxa"/>
            <w:tcBorders>
              <w:top w:val="double" w:sz="6" w:space="0" w:color="000000" w:themeColor="text1"/>
              <w:bottom w:val="single" w:sz="4" w:space="0" w:color="D9D9D9" w:themeColor="background1" w:themeShade="D9"/>
            </w:tcBorders>
            <w:shd w:val="clear" w:color="auto" w:fill="auto"/>
            <w:vAlign w:val="center"/>
          </w:tcPr>
          <w:p w14:paraId="09BEAB6E" w14:textId="77777777" w:rsidR="0056738E" w:rsidRPr="00F26004" w:rsidRDefault="0056738E" w:rsidP="007C2AEE">
            <w:pPr>
              <w:tabs>
                <w:tab w:val="left" w:pos="0"/>
                <w:tab w:val="right" w:pos="7560"/>
                <w:tab w:val="right" w:pos="9000"/>
              </w:tabs>
              <w:jc w:val="right"/>
              <w:rPr>
                <w:rFonts w:ascii="Arial" w:hAnsi="Arial" w:cs="Arial"/>
                <w:b/>
                <w:sz w:val="18"/>
                <w:szCs w:val="18"/>
                <w:lang w:val="el-GR"/>
              </w:rPr>
            </w:pPr>
            <w:r w:rsidRPr="00E25891">
              <w:rPr>
                <w:rFonts w:ascii="Arial" w:hAnsi="Arial" w:cs="Arial"/>
                <w:sz w:val="18"/>
                <w:szCs w:val="18"/>
              </w:rPr>
              <w:t>25,683,406</w:t>
            </w:r>
          </w:p>
        </w:tc>
      </w:tr>
      <w:tr w:rsidR="0056738E" w:rsidRPr="00F26004" w14:paraId="53FBFAA8" w14:textId="77777777" w:rsidTr="007C2AEE">
        <w:trPr>
          <w:trHeight w:val="283"/>
          <w:jc w:val="center"/>
        </w:trPr>
        <w:tc>
          <w:tcPr>
            <w:tcW w:w="6690" w:type="dxa"/>
            <w:vAlign w:val="center"/>
          </w:tcPr>
          <w:p w14:paraId="49A2107D" w14:textId="77777777" w:rsidR="0056738E" w:rsidRPr="00D17E65" w:rsidRDefault="0056738E" w:rsidP="007C2AEE">
            <w:pPr>
              <w:tabs>
                <w:tab w:val="left" w:pos="0"/>
                <w:tab w:val="right" w:pos="7560"/>
                <w:tab w:val="right" w:pos="9000"/>
              </w:tabs>
              <w:rPr>
                <w:rFonts w:ascii="Arial" w:hAnsi="Arial" w:cs="Arial"/>
                <w:sz w:val="18"/>
                <w:szCs w:val="18"/>
                <w:lang w:val="el-GR"/>
              </w:rPr>
            </w:pPr>
            <w:r w:rsidRPr="002135C9">
              <w:rPr>
                <w:rFonts w:ascii="Arial" w:hAnsi="Arial" w:cs="Arial"/>
                <w:sz w:val="18"/>
                <w:szCs w:val="18"/>
                <w:lang w:val="el-GR"/>
              </w:rPr>
              <w:t>Λειτουργικά κέρδη επί του μέσου όρου των περιουσιακών στοιχείων (</w:t>
            </w:r>
            <w:proofErr w:type="spellStart"/>
            <w:r w:rsidRPr="002135C9">
              <w:rPr>
                <w:rFonts w:ascii="Arial" w:hAnsi="Arial" w:cs="Arial"/>
                <w:sz w:val="18"/>
                <w:szCs w:val="18"/>
                <w:lang w:val="el-GR"/>
              </w:rPr>
              <w:t>ετησιοποιημένα</w:t>
            </w:r>
            <w:proofErr w:type="spellEnd"/>
            <w:r w:rsidRPr="002135C9">
              <w:rPr>
                <w:rFonts w:ascii="Arial" w:hAnsi="Arial" w:cs="Arial"/>
                <w:sz w:val="18"/>
                <w:szCs w:val="18"/>
                <w:lang w:val="el-GR"/>
              </w:rPr>
              <w:t>) (%)</w:t>
            </w:r>
          </w:p>
        </w:tc>
        <w:tc>
          <w:tcPr>
            <w:tcW w:w="1417" w:type="dxa"/>
            <w:tcBorders>
              <w:top w:val="single" w:sz="4" w:space="0" w:color="D9D9D9" w:themeColor="background1" w:themeShade="D9"/>
              <w:bottom w:val="single" w:sz="4" w:space="0" w:color="D9D9D9" w:themeColor="background1" w:themeShade="D9"/>
            </w:tcBorders>
            <w:shd w:val="clear" w:color="auto" w:fill="auto"/>
            <w:vAlign w:val="center"/>
          </w:tcPr>
          <w:p w14:paraId="695F68FE" w14:textId="77777777" w:rsidR="0056738E" w:rsidRPr="00F26004" w:rsidRDefault="0056738E" w:rsidP="007C2AEE">
            <w:pPr>
              <w:tabs>
                <w:tab w:val="right" w:pos="7560"/>
                <w:tab w:val="right" w:pos="9000"/>
              </w:tabs>
              <w:ind w:left="-121"/>
              <w:jc w:val="right"/>
              <w:rPr>
                <w:rFonts w:ascii="Arial" w:hAnsi="Arial" w:cs="Arial"/>
                <w:b/>
                <w:bCs/>
                <w:sz w:val="18"/>
                <w:szCs w:val="18"/>
                <w:lang w:val="el-GR"/>
              </w:rPr>
            </w:pPr>
            <w:r>
              <w:rPr>
                <w:rFonts w:ascii="Arial" w:hAnsi="Arial" w:cs="Arial"/>
                <w:b/>
                <w:bCs/>
                <w:sz w:val="18"/>
                <w:szCs w:val="18"/>
              </w:rPr>
              <w:t>2.8%</w:t>
            </w:r>
          </w:p>
        </w:tc>
        <w:tc>
          <w:tcPr>
            <w:tcW w:w="1417" w:type="dxa"/>
            <w:tcBorders>
              <w:top w:val="single" w:sz="4" w:space="0" w:color="D9D9D9" w:themeColor="background1" w:themeShade="D9"/>
              <w:bottom w:val="single" w:sz="4" w:space="0" w:color="D9D9D9" w:themeColor="background1" w:themeShade="D9"/>
            </w:tcBorders>
            <w:shd w:val="clear" w:color="auto" w:fill="auto"/>
            <w:vAlign w:val="center"/>
          </w:tcPr>
          <w:p w14:paraId="0C4BD376" w14:textId="77777777" w:rsidR="0056738E" w:rsidRPr="00F26004" w:rsidRDefault="0056738E" w:rsidP="007C2AEE">
            <w:pPr>
              <w:tabs>
                <w:tab w:val="left" w:pos="0"/>
                <w:tab w:val="right" w:pos="7560"/>
                <w:tab w:val="right" w:pos="9000"/>
              </w:tabs>
              <w:jc w:val="right"/>
              <w:rPr>
                <w:rFonts w:ascii="Arial" w:hAnsi="Arial" w:cs="Arial"/>
                <w:bCs/>
                <w:sz w:val="18"/>
                <w:szCs w:val="18"/>
                <w:lang w:val="el-GR"/>
              </w:rPr>
            </w:pPr>
            <w:r w:rsidRPr="00E25891">
              <w:rPr>
                <w:rFonts w:ascii="Arial" w:hAnsi="Arial" w:cs="Arial"/>
                <w:sz w:val="18"/>
                <w:szCs w:val="18"/>
              </w:rPr>
              <w:t>2.7%</w:t>
            </w:r>
          </w:p>
        </w:tc>
      </w:tr>
    </w:tbl>
    <w:p w14:paraId="04CBDFFE" w14:textId="77777777" w:rsidR="0056738E" w:rsidRDefault="0056738E" w:rsidP="0056738E">
      <w:pPr>
        <w:shd w:val="clear" w:color="auto" w:fill="FFFFFF"/>
        <w:tabs>
          <w:tab w:val="left" w:pos="810"/>
        </w:tabs>
        <w:suppressAutoHyphens/>
        <w:spacing w:after="0" w:line="240" w:lineRule="auto"/>
        <w:jc w:val="both"/>
        <w:rPr>
          <w:rFonts w:ascii="Arial" w:hAnsi="Arial" w:cs="Arial"/>
          <w:color w:val="262626"/>
          <w:sz w:val="18"/>
          <w:szCs w:val="18"/>
          <w:lang w:val="el-GR"/>
        </w:rPr>
      </w:pPr>
    </w:p>
    <w:p w14:paraId="1C5CC866" w14:textId="77777777" w:rsidR="0056738E" w:rsidRPr="00D17E65" w:rsidRDefault="0056738E" w:rsidP="0056738E">
      <w:pPr>
        <w:spacing w:after="0" w:line="360" w:lineRule="auto"/>
        <w:ind w:left="851" w:hanging="851"/>
        <w:rPr>
          <w:rFonts w:ascii="Arial" w:hAnsi="Arial" w:cs="Arial"/>
          <w:b/>
          <w:color w:val="FF9900"/>
          <w:lang w:val="el-GR"/>
        </w:rPr>
      </w:pPr>
      <w:r>
        <w:rPr>
          <w:rFonts w:ascii="Arial" w:hAnsi="Arial" w:cs="Arial"/>
          <w:b/>
          <w:color w:val="FF9900"/>
          <w:lang w:val="el-GR"/>
        </w:rPr>
        <w:t>4</w:t>
      </w:r>
      <w:r w:rsidRPr="00723D4F">
        <w:rPr>
          <w:rFonts w:ascii="Arial" w:hAnsi="Arial" w:cs="Arial"/>
          <w:b/>
          <w:color w:val="FF9900"/>
          <w:lang w:val="el-GR"/>
        </w:rPr>
        <w:t xml:space="preserve">.            </w:t>
      </w:r>
      <w:r>
        <w:rPr>
          <w:rFonts w:ascii="Arial" w:hAnsi="Arial" w:cs="Arial"/>
          <w:b/>
          <w:color w:val="FF9900"/>
          <w:lang w:val="el-GR"/>
        </w:rPr>
        <w:t>Χρέωση για πιστωτικές ζημιές δανείων (</w:t>
      </w:r>
      <w:r>
        <w:rPr>
          <w:rFonts w:ascii="Arial" w:hAnsi="Arial" w:cs="Arial"/>
          <w:b/>
          <w:color w:val="FF9900"/>
          <w:lang w:val="en-US"/>
        </w:rPr>
        <w:t>Cost</w:t>
      </w:r>
      <w:r w:rsidRPr="00D17E65">
        <w:rPr>
          <w:rFonts w:ascii="Arial" w:hAnsi="Arial" w:cs="Arial"/>
          <w:b/>
          <w:color w:val="FF9900"/>
          <w:lang w:val="el-GR"/>
        </w:rPr>
        <w:t xml:space="preserve"> </w:t>
      </w:r>
      <w:r>
        <w:rPr>
          <w:rFonts w:ascii="Arial" w:hAnsi="Arial" w:cs="Arial"/>
          <w:b/>
          <w:color w:val="FF9900"/>
          <w:lang w:val="en-US"/>
        </w:rPr>
        <w:t>of</w:t>
      </w:r>
      <w:r w:rsidRPr="00D17E65">
        <w:rPr>
          <w:rFonts w:ascii="Arial" w:hAnsi="Arial" w:cs="Arial"/>
          <w:b/>
          <w:color w:val="FF9900"/>
          <w:lang w:val="el-GR"/>
        </w:rPr>
        <w:t xml:space="preserve"> </w:t>
      </w:r>
      <w:r>
        <w:rPr>
          <w:rFonts w:ascii="Arial" w:hAnsi="Arial" w:cs="Arial"/>
          <w:b/>
          <w:color w:val="FF9900"/>
          <w:lang w:val="en-US"/>
        </w:rPr>
        <w:t>Risk</w:t>
      </w:r>
      <w:r w:rsidRPr="00D17E65">
        <w:rPr>
          <w:rFonts w:ascii="Arial" w:hAnsi="Arial" w:cs="Arial"/>
          <w:b/>
          <w:color w:val="FF9900"/>
          <w:lang w:val="el-GR"/>
        </w:rPr>
        <w:t>)</w:t>
      </w:r>
    </w:p>
    <w:tbl>
      <w:tblPr>
        <w:tblStyle w:val="TableGrid13"/>
        <w:tblW w:w="952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90"/>
        <w:gridCol w:w="1417"/>
        <w:gridCol w:w="1417"/>
      </w:tblGrid>
      <w:tr w:rsidR="0056738E" w:rsidRPr="0056738E" w14:paraId="65DC5390" w14:textId="77777777" w:rsidTr="007C2AEE">
        <w:trPr>
          <w:trHeight w:val="283"/>
          <w:jc w:val="center"/>
        </w:trPr>
        <w:tc>
          <w:tcPr>
            <w:tcW w:w="6690" w:type="dxa"/>
            <w:vMerge w:val="restart"/>
            <w:vAlign w:val="center"/>
          </w:tcPr>
          <w:p w14:paraId="2E80C294" w14:textId="77777777" w:rsidR="0056738E" w:rsidRPr="00D17E65" w:rsidRDefault="0056738E" w:rsidP="007C2AEE">
            <w:pPr>
              <w:tabs>
                <w:tab w:val="left" w:pos="0"/>
                <w:tab w:val="left" w:pos="360"/>
              </w:tabs>
              <w:rPr>
                <w:rFonts w:ascii="Verdana" w:hAnsi="Verdana" w:cs="ArialMT"/>
                <w:b/>
                <w:sz w:val="18"/>
                <w:szCs w:val="18"/>
                <w:lang w:val="el-GR"/>
              </w:rPr>
            </w:pPr>
          </w:p>
        </w:tc>
        <w:tc>
          <w:tcPr>
            <w:tcW w:w="2834" w:type="dxa"/>
            <w:gridSpan w:val="2"/>
            <w:tcBorders>
              <w:bottom w:val="single" w:sz="4" w:space="0" w:color="D9D9D9" w:themeColor="background1" w:themeShade="D9"/>
            </w:tcBorders>
            <w:shd w:val="clear" w:color="auto" w:fill="auto"/>
            <w:vAlign w:val="center"/>
          </w:tcPr>
          <w:p w14:paraId="1CB57339" w14:textId="77777777" w:rsidR="0056738E" w:rsidRDefault="0056738E" w:rsidP="007C2AEE">
            <w:pPr>
              <w:ind w:left="-31" w:right="-65"/>
              <w:jc w:val="center"/>
              <w:rPr>
                <w:rFonts w:ascii="Arial" w:hAnsi="Arial" w:cs="Arial"/>
                <w:b/>
                <w:bCs/>
                <w:sz w:val="18"/>
                <w:szCs w:val="18"/>
                <w:lang w:val="el-GR"/>
              </w:rPr>
            </w:pPr>
            <w:r>
              <w:rPr>
                <w:rFonts w:ascii="Arial" w:hAnsi="Arial" w:cs="Arial"/>
                <w:b/>
                <w:bCs/>
                <w:sz w:val="18"/>
                <w:szCs w:val="18"/>
                <w:lang w:val="el-GR"/>
              </w:rPr>
              <w:t>Εννεάμηνο</w:t>
            </w:r>
            <w:r w:rsidRPr="000221F4">
              <w:rPr>
                <w:rFonts w:ascii="Arial" w:hAnsi="Arial" w:cs="Arial"/>
                <w:b/>
                <w:bCs/>
                <w:sz w:val="18"/>
                <w:szCs w:val="18"/>
                <w:lang w:val="el-GR"/>
              </w:rPr>
              <w:t xml:space="preserve"> </w:t>
            </w:r>
            <w:r w:rsidRPr="00C42B7D">
              <w:rPr>
                <w:rFonts w:ascii="Arial" w:hAnsi="Arial" w:cs="Arial"/>
                <w:b/>
                <w:bCs/>
                <w:sz w:val="18"/>
                <w:szCs w:val="18"/>
                <w:lang w:val="el-GR"/>
              </w:rPr>
              <w:t xml:space="preserve">που έληξε στις </w:t>
            </w:r>
          </w:p>
          <w:p w14:paraId="781201CF" w14:textId="77777777" w:rsidR="0056738E" w:rsidRPr="00D17E65" w:rsidRDefault="0056738E" w:rsidP="007C2AEE">
            <w:pPr>
              <w:jc w:val="center"/>
              <w:rPr>
                <w:rFonts w:ascii="Arial" w:hAnsi="Arial" w:cs="Arial"/>
                <w:sz w:val="18"/>
                <w:szCs w:val="18"/>
                <w:lang w:val="el-GR"/>
              </w:rPr>
            </w:pPr>
            <w:r w:rsidRPr="00331BC0">
              <w:rPr>
                <w:rFonts w:ascii="Arial" w:hAnsi="Arial" w:cs="Arial"/>
                <w:b/>
                <w:sz w:val="18"/>
                <w:szCs w:val="18"/>
                <w:lang w:val="el-GR"/>
              </w:rPr>
              <w:t>30 Σεπτεμβρίου</w:t>
            </w:r>
          </w:p>
        </w:tc>
      </w:tr>
      <w:tr w:rsidR="0056738E" w:rsidRPr="005B05F8" w14:paraId="001DD2EF" w14:textId="77777777" w:rsidTr="007C2AEE">
        <w:trPr>
          <w:trHeight w:val="283"/>
          <w:jc w:val="center"/>
        </w:trPr>
        <w:tc>
          <w:tcPr>
            <w:tcW w:w="6690" w:type="dxa"/>
            <w:vMerge/>
            <w:vAlign w:val="center"/>
          </w:tcPr>
          <w:p w14:paraId="507EB4C5" w14:textId="77777777" w:rsidR="0056738E" w:rsidRPr="00D17E65" w:rsidRDefault="0056738E" w:rsidP="007C2AEE">
            <w:pPr>
              <w:tabs>
                <w:tab w:val="left" w:pos="0"/>
                <w:tab w:val="left" w:pos="360"/>
              </w:tabs>
              <w:rPr>
                <w:rFonts w:ascii="Verdana" w:hAnsi="Verdana" w:cs="ArialMT"/>
                <w:b/>
                <w:sz w:val="18"/>
                <w:szCs w:val="18"/>
                <w:lang w:val="el-GR"/>
              </w:rPr>
            </w:pPr>
          </w:p>
        </w:tc>
        <w:tc>
          <w:tcPr>
            <w:tcW w:w="1417" w:type="dxa"/>
            <w:tcBorders>
              <w:bottom w:val="single" w:sz="4" w:space="0" w:color="D9D9D9" w:themeColor="background1" w:themeShade="D9"/>
            </w:tcBorders>
            <w:shd w:val="clear" w:color="auto" w:fill="auto"/>
            <w:vAlign w:val="center"/>
          </w:tcPr>
          <w:p w14:paraId="27E9D444" w14:textId="77777777" w:rsidR="0056738E" w:rsidRPr="005B05F8" w:rsidRDefault="0056738E" w:rsidP="007C2AEE">
            <w:pPr>
              <w:ind w:left="-134" w:right="-186"/>
              <w:jc w:val="center"/>
              <w:rPr>
                <w:rFonts w:ascii="Verdana" w:hAnsi="Verdana" w:cs="Arial"/>
                <w:b/>
                <w:sz w:val="18"/>
                <w:szCs w:val="18"/>
              </w:rPr>
            </w:pPr>
            <w:r w:rsidRPr="005D5D89">
              <w:rPr>
                <w:rFonts w:ascii="Arial" w:hAnsi="Arial" w:cs="Arial"/>
                <w:b/>
                <w:sz w:val="18"/>
                <w:szCs w:val="18"/>
                <w:lang w:val="el-GR"/>
              </w:rPr>
              <w:t>202</w:t>
            </w:r>
            <w:r>
              <w:rPr>
                <w:rFonts w:ascii="Arial" w:hAnsi="Arial" w:cs="Arial"/>
                <w:b/>
                <w:sz w:val="18"/>
                <w:szCs w:val="18"/>
                <w:lang w:val="el-GR"/>
              </w:rPr>
              <w:t>4</w:t>
            </w:r>
          </w:p>
        </w:tc>
        <w:tc>
          <w:tcPr>
            <w:tcW w:w="1417" w:type="dxa"/>
            <w:tcBorders>
              <w:bottom w:val="single" w:sz="4" w:space="0" w:color="D9D9D9" w:themeColor="background1" w:themeShade="D9"/>
            </w:tcBorders>
            <w:vAlign w:val="center"/>
          </w:tcPr>
          <w:p w14:paraId="5081015B" w14:textId="77777777" w:rsidR="0056738E" w:rsidRPr="00407AEF" w:rsidRDefault="0056738E" w:rsidP="007C2AEE">
            <w:pPr>
              <w:jc w:val="center"/>
              <w:rPr>
                <w:rFonts w:ascii="Arial" w:hAnsi="Arial" w:cs="Arial"/>
                <w:iCs/>
                <w:spacing w:val="-4"/>
                <w:sz w:val="18"/>
                <w:szCs w:val="18"/>
                <w:lang w:val="el-GR"/>
              </w:rPr>
            </w:pPr>
            <w:r w:rsidRPr="00407AEF">
              <w:rPr>
                <w:rFonts w:ascii="Arial" w:hAnsi="Arial" w:cs="Arial"/>
                <w:sz w:val="18"/>
                <w:szCs w:val="18"/>
              </w:rPr>
              <w:t>202</w:t>
            </w:r>
            <w:r w:rsidRPr="00407AEF">
              <w:rPr>
                <w:rFonts w:ascii="Arial" w:hAnsi="Arial" w:cs="Arial"/>
                <w:sz w:val="18"/>
                <w:szCs w:val="18"/>
                <w:lang w:val="el-GR"/>
              </w:rPr>
              <w:t>3</w:t>
            </w:r>
          </w:p>
        </w:tc>
      </w:tr>
      <w:tr w:rsidR="0056738E" w:rsidRPr="005B05F8" w14:paraId="14D7AF61" w14:textId="77777777" w:rsidTr="007C2AEE">
        <w:trPr>
          <w:trHeight w:val="283"/>
          <w:jc w:val="center"/>
        </w:trPr>
        <w:tc>
          <w:tcPr>
            <w:tcW w:w="6690" w:type="dxa"/>
            <w:vMerge/>
            <w:vAlign w:val="center"/>
          </w:tcPr>
          <w:p w14:paraId="1331CA42" w14:textId="77777777" w:rsidR="0056738E" w:rsidRPr="00CD72FC" w:rsidRDefault="0056738E" w:rsidP="007C2AEE">
            <w:pPr>
              <w:tabs>
                <w:tab w:val="left" w:pos="0"/>
                <w:tab w:val="left" w:pos="360"/>
              </w:tabs>
              <w:rPr>
                <w:rFonts w:ascii="Verdana" w:hAnsi="Verdana" w:cs="ArialMT"/>
                <w:b/>
                <w:sz w:val="18"/>
                <w:szCs w:val="18"/>
                <w:lang w:val="el-GR"/>
              </w:rPr>
            </w:pPr>
          </w:p>
        </w:tc>
        <w:tc>
          <w:tcPr>
            <w:tcW w:w="1417" w:type="dxa"/>
            <w:shd w:val="clear" w:color="auto" w:fill="auto"/>
            <w:vAlign w:val="center"/>
          </w:tcPr>
          <w:p w14:paraId="7828F8A0" w14:textId="77777777" w:rsidR="0056738E" w:rsidRPr="005D5D89" w:rsidRDefault="0056738E" w:rsidP="007C2AEE">
            <w:pPr>
              <w:ind w:left="-134" w:right="-186"/>
              <w:jc w:val="center"/>
              <w:rPr>
                <w:rFonts w:ascii="Arial" w:hAnsi="Arial" w:cs="Arial"/>
                <w:b/>
                <w:sz w:val="18"/>
                <w:szCs w:val="18"/>
                <w:lang w:val="el-GR"/>
              </w:rPr>
            </w:pPr>
            <w:r w:rsidRPr="00041815">
              <w:rPr>
                <w:rFonts w:ascii="Arial" w:hAnsi="Arial" w:cs="Arial"/>
                <w:b/>
                <w:sz w:val="18"/>
                <w:szCs w:val="18"/>
              </w:rPr>
              <w:t>€000</w:t>
            </w:r>
          </w:p>
        </w:tc>
        <w:tc>
          <w:tcPr>
            <w:tcW w:w="1417" w:type="dxa"/>
            <w:vAlign w:val="center"/>
          </w:tcPr>
          <w:p w14:paraId="56D7189A" w14:textId="77777777" w:rsidR="0056738E" w:rsidRPr="00407AEF" w:rsidRDefault="0056738E" w:rsidP="007C2AEE">
            <w:pPr>
              <w:jc w:val="center"/>
              <w:rPr>
                <w:rFonts w:ascii="Arial" w:hAnsi="Arial" w:cs="Arial"/>
                <w:sz w:val="18"/>
                <w:szCs w:val="18"/>
              </w:rPr>
            </w:pPr>
            <w:r w:rsidRPr="00041815">
              <w:rPr>
                <w:rFonts w:ascii="Arial" w:hAnsi="Arial" w:cs="Arial"/>
                <w:sz w:val="18"/>
                <w:szCs w:val="18"/>
              </w:rPr>
              <w:t>€000</w:t>
            </w:r>
          </w:p>
        </w:tc>
      </w:tr>
      <w:tr w:rsidR="0056738E" w:rsidRPr="00F26004" w14:paraId="2E223607" w14:textId="77777777" w:rsidTr="007C2AEE">
        <w:trPr>
          <w:trHeight w:val="283"/>
          <w:jc w:val="center"/>
        </w:trPr>
        <w:tc>
          <w:tcPr>
            <w:tcW w:w="6690" w:type="dxa"/>
            <w:vAlign w:val="center"/>
          </w:tcPr>
          <w:p w14:paraId="316FD124" w14:textId="77777777" w:rsidR="0056738E" w:rsidRPr="00F26004" w:rsidRDefault="0056738E" w:rsidP="007C2AEE">
            <w:pPr>
              <w:tabs>
                <w:tab w:val="left" w:pos="0"/>
                <w:tab w:val="left" w:pos="360"/>
              </w:tabs>
              <w:rPr>
                <w:rFonts w:ascii="Arial" w:eastAsia="Times New Roman" w:hAnsi="Arial" w:cs="Arial"/>
                <w:sz w:val="18"/>
                <w:szCs w:val="18"/>
                <w:lang w:val="el-GR"/>
              </w:rPr>
            </w:pPr>
            <w:r w:rsidRPr="00041815">
              <w:rPr>
                <w:rFonts w:ascii="Arial" w:hAnsi="Arial" w:cs="Arial"/>
                <w:sz w:val="18"/>
                <w:szCs w:val="18"/>
                <w:lang w:val="el-GR"/>
              </w:rPr>
              <w:t xml:space="preserve">Πιστωτικές ζημιές δανείων </w:t>
            </w:r>
            <w:r w:rsidRPr="00041815">
              <w:rPr>
                <w:rFonts w:ascii="Arial" w:hAnsi="Arial" w:cs="Arial"/>
                <w:i/>
                <w:iCs/>
                <w:sz w:val="18"/>
                <w:szCs w:val="18"/>
                <w:lang w:val="el-GR"/>
              </w:rPr>
              <w:t xml:space="preserve">(ως ο </w:t>
            </w:r>
            <w:r>
              <w:rPr>
                <w:rFonts w:ascii="Arial" w:hAnsi="Arial" w:cs="Arial"/>
                <w:i/>
                <w:iCs/>
                <w:sz w:val="18"/>
                <w:szCs w:val="18"/>
                <w:lang w:val="el-GR"/>
              </w:rPr>
              <w:t>π</w:t>
            </w:r>
            <w:r w:rsidRPr="00041815">
              <w:rPr>
                <w:rFonts w:ascii="Arial" w:hAnsi="Arial" w:cs="Arial"/>
                <w:i/>
                <w:iCs/>
                <w:sz w:val="18"/>
                <w:szCs w:val="18"/>
                <w:lang w:val="el-GR"/>
              </w:rPr>
              <w:t xml:space="preserve">ίνακας </w:t>
            </w:r>
            <w:r>
              <w:rPr>
                <w:rFonts w:ascii="Arial" w:hAnsi="Arial" w:cs="Arial"/>
                <w:i/>
                <w:iCs/>
                <w:sz w:val="18"/>
                <w:szCs w:val="18"/>
                <w:lang w:val="el-GR"/>
              </w:rPr>
              <w:t>6</w:t>
            </w:r>
            <w:r w:rsidRPr="00041815">
              <w:rPr>
                <w:rFonts w:ascii="Arial" w:hAnsi="Arial" w:cs="Arial"/>
                <w:i/>
                <w:iCs/>
                <w:sz w:val="18"/>
                <w:szCs w:val="18"/>
                <w:lang w:val="el-GR"/>
              </w:rPr>
              <w:t xml:space="preserve"> στο </w:t>
            </w:r>
            <w:r>
              <w:rPr>
                <w:rFonts w:ascii="Arial" w:hAnsi="Arial" w:cs="Arial"/>
                <w:i/>
                <w:iCs/>
                <w:sz w:val="18"/>
                <w:szCs w:val="18"/>
                <w:lang w:val="el-GR"/>
              </w:rPr>
              <w:t>Μέρος</w:t>
            </w:r>
            <w:r w:rsidRPr="00041815">
              <w:rPr>
                <w:rFonts w:ascii="Arial" w:hAnsi="Arial" w:cs="Arial"/>
                <w:i/>
                <w:iCs/>
                <w:sz w:val="18"/>
                <w:szCs w:val="18"/>
                <w:lang w:val="el-GR"/>
              </w:rPr>
              <w:t xml:space="preserve"> ‘Συμφι</w:t>
            </w:r>
            <w:r>
              <w:rPr>
                <w:rFonts w:ascii="Arial" w:hAnsi="Arial" w:cs="Arial"/>
                <w:i/>
                <w:iCs/>
                <w:sz w:val="18"/>
                <w:szCs w:val="18"/>
                <w:lang w:val="el-GR"/>
              </w:rPr>
              <w:t>λιώ</w:t>
            </w:r>
            <w:r w:rsidRPr="00041815">
              <w:rPr>
                <w:rFonts w:ascii="Arial" w:hAnsi="Arial" w:cs="Arial"/>
                <w:i/>
                <w:iCs/>
                <w:sz w:val="18"/>
                <w:szCs w:val="18"/>
                <w:lang w:val="el-GR"/>
              </w:rPr>
              <w:t>σ</w:t>
            </w:r>
            <w:r>
              <w:rPr>
                <w:rFonts w:ascii="Arial" w:hAnsi="Arial" w:cs="Arial"/>
                <w:i/>
                <w:iCs/>
                <w:sz w:val="18"/>
                <w:szCs w:val="18"/>
                <w:lang w:val="el-GR"/>
              </w:rPr>
              <w:t>εις</w:t>
            </w:r>
            <w:r w:rsidRPr="00041815">
              <w:rPr>
                <w:rFonts w:ascii="Arial" w:hAnsi="Arial" w:cs="Arial"/>
                <w:i/>
                <w:iCs/>
                <w:sz w:val="18"/>
                <w:szCs w:val="18"/>
                <w:lang w:val="el-GR"/>
              </w:rPr>
              <w:t>’ πιο πάνω)</w:t>
            </w:r>
            <w:r>
              <w:rPr>
                <w:rFonts w:ascii="Arial" w:hAnsi="Arial" w:cs="Arial"/>
                <w:i/>
                <w:iCs/>
                <w:sz w:val="18"/>
                <w:szCs w:val="18"/>
                <w:lang w:val="el-GR"/>
              </w:rPr>
              <w:t xml:space="preserve"> - </w:t>
            </w:r>
            <w:proofErr w:type="spellStart"/>
            <w:r w:rsidRPr="00D17E65">
              <w:rPr>
                <w:rFonts w:ascii="Arial" w:hAnsi="Arial" w:cs="Arial"/>
                <w:sz w:val="18"/>
                <w:szCs w:val="18"/>
                <w:lang w:val="el-GR"/>
              </w:rPr>
              <w:t>ετησιοποιημένες</w:t>
            </w:r>
            <w:proofErr w:type="spellEnd"/>
          </w:p>
        </w:tc>
        <w:tc>
          <w:tcPr>
            <w:tcW w:w="1417" w:type="dxa"/>
            <w:shd w:val="clear" w:color="auto" w:fill="auto"/>
            <w:vAlign w:val="center"/>
          </w:tcPr>
          <w:p w14:paraId="29B70EB2" w14:textId="77777777" w:rsidR="0056738E" w:rsidRPr="00F26004" w:rsidRDefault="0056738E" w:rsidP="007C2AEE">
            <w:pPr>
              <w:ind w:left="-134"/>
              <w:jc w:val="right"/>
              <w:rPr>
                <w:rFonts w:ascii="Arial" w:hAnsi="Arial" w:cs="Arial"/>
                <w:b/>
                <w:sz w:val="18"/>
                <w:szCs w:val="18"/>
                <w:lang w:val="el-GR"/>
              </w:rPr>
            </w:pPr>
            <w:r>
              <w:rPr>
                <w:rFonts w:ascii="Arial" w:hAnsi="Arial" w:cs="Arial"/>
                <w:b/>
                <w:bCs/>
                <w:sz w:val="18"/>
                <w:szCs w:val="18"/>
              </w:rPr>
              <w:t>29,621</w:t>
            </w:r>
          </w:p>
        </w:tc>
        <w:tc>
          <w:tcPr>
            <w:tcW w:w="1417" w:type="dxa"/>
            <w:shd w:val="clear" w:color="auto" w:fill="auto"/>
            <w:vAlign w:val="center"/>
          </w:tcPr>
          <w:p w14:paraId="6EBB9A7A" w14:textId="77777777" w:rsidR="0056738E" w:rsidRPr="00F26004" w:rsidRDefault="0056738E" w:rsidP="007C2AEE">
            <w:pPr>
              <w:ind w:left="-110"/>
              <w:jc w:val="right"/>
              <w:rPr>
                <w:rFonts w:ascii="Arial" w:hAnsi="Arial" w:cs="Arial"/>
                <w:bCs/>
                <w:sz w:val="18"/>
                <w:szCs w:val="18"/>
                <w:lang w:val="el-GR"/>
              </w:rPr>
            </w:pPr>
            <w:r w:rsidRPr="00E25891">
              <w:rPr>
                <w:rFonts w:ascii="Arial" w:hAnsi="Arial" w:cs="Arial"/>
                <w:sz w:val="18"/>
                <w:szCs w:val="18"/>
              </w:rPr>
              <w:t>58,920</w:t>
            </w:r>
          </w:p>
        </w:tc>
      </w:tr>
      <w:tr w:rsidR="0056738E" w:rsidRPr="00F26004" w14:paraId="293195E7" w14:textId="77777777" w:rsidTr="007C2AEE">
        <w:trPr>
          <w:trHeight w:val="283"/>
          <w:jc w:val="center"/>
        </w:trPr>
        <w:tc>
          <w:tcPr>
            <w:tcW w:w="6690" w:type="dxa"/>
            <w:vAlign w:val="center"/>
          </w:tcPr>
          <w:p w14:paraId="717F802F" w14:textId="77777777" w:rsidR="0056738E" w:rsidRPr="00F26004" w:rsidRDefault="0056738E" w:rsidP="007C2AEE">
            <w:pPr>
              <w:tabs>
                <w:tab w:val="left" w:pos="0"/>
                <w:tab w:val="right" w:pos="7560"/>
                <w:tab w:val="right" w:pos="9000"/>
              </w:tabs>
              <w:rPr>
                <w:rFonts w:ascii="Arial" w:eastAsia="Times New Roman" w:hAnsi="Arial" w:cs="Arial"/>
                <w:sz w:val="18"/>
                <w:szCs w:val="18"/>
                <w:lang w:val="el-GR"/>
              </w:rPr>
            </w:pPr>
            <w:r w:rsidRPr="00041815">
              <w:rPr>
                <w:rFonts w:ascii="Arial" w:hAnsi="Arial" w:cs="Arial"/>
                <w:sz w:val="18"/>
                <w:szCs w:val="18"/>
                <w:lang w:val="el-GR"/>
              </w:rPr>
              <w:t>Μέσος όρος των μεικτών δανείων (όπως ορίζονται)</w:t>
            </w:r>
            <w:r w:rsidRPr="00041815">
              <w:rPr>
                <w:rFonts w:ascii="Arial" w:hAnsi="Arial" w:cs="Arial"/>
                <w:i/>
                <w:iCs/>
                <w:sz w:val="18"/>
                <w:szCs w:val="18"/>
                <w:lang w:val="el-GR"/>
              </w:rPr>
              <w:t xml:space="preserve"> (ως ο </w:t>
            </w:r>
            <w:r>
              <w:rPr>
                <w:rFonts w:ascii="Arial" w:hAnsi="Arial" w:cs="Arial"/>
                <w:i/>
                <w:iCs/>
                <w:sz w:val="18"/>
                <w:szCs w:val="18"/>
                <w:lang w:val="el-GR"/>
              </w:rPr>
              <w:t>π</w:t>
            </w:r>
            <w:r w:rsidRPr="00041815">
              <w:rPr>
                <w:rFonts w:ascii="Arial" w:hAnsi="Arial" w:cs="Arial"/>
                <w:i/>
                <w:iCs/>
                <w:sz w:val="18"/>
                <w:szCs w:val="18"/>
                <w:lang w:val="el-GR"/>
              </w:rPr>
              <w:t xml:space="preserve">ίνακας 1 στο </w:t>
            </w:r>
            <w:r>
              <w:rPr>
                <w:rFonts w:ascii="Arial" w:hAnsi="Arial" w:cs="Arial"/>
                <w:i/>
                <w:iCs/>
                <w:sz w:val="18"/>
                <w:szCs w:val="18"/>
                <w:lang w:val="el-GR"/>
              </w:rPr>
              <w:t>Μέρος</w:t>
            </w:r>
            <w:r w:rsidRPr="00041815">
              <w:rPr>
                <w:rFonts w:ascii="Arial" w:hAnsi="Arial" w:cs="Arial"/>
                <w:i/>
                <w:iCs/>
                <w:sz w:val="18"/>
                <w:szCs w:val="18"/>
                <w:lang w:val="el-GR"/>
              </w:rPr>
              <w:t xml:space="preserve"> ‘Συμφιλ</w:t>
            </w:r>
            <w:r>
              <w:rPr>
                <w:rFonts w:ascii="Arial" w:hAnsi="Arial" w:cs="Arial"/>
                <w:i/>
                <w:iCs/>
                <w:sz w:val="18"/>
                <w:szCs w:val="18"/>
                <w:lang w:val="el-GR"/>
              </w:rPr>
              <w:t>ιώσεις</w:t>
            </w:r>
            <w:r w:rsidRPr="00041815">
              <w:rPr>
                <w:rFonts w:ascii="Arial" w:hAnsi="Arial" w:cs="Arial"/>
                <w:i/>
                <w:iCs/>
                <w:sz w:val="18"/>
                <w:szCs w:val="18"/>
                <w:lang w:val="el-GR"/>
              </w:rPr>
              <w:t>’ πιο πάνω)</w:t>
            </w:r>
          </w:p>
        </w:tc>
        <w:tc>
          <w:tcPr>
            <w:tcW w:w="1417" w:type="dxa"/>
            <w:shd w:val="clear" w:color="auto" w:fill="auto"/>
            <w:vAlign w:val="center"/>
          </w:tcPr>
          <w:p w14:paraId="43657C84" w14:textId="77777777" w:rsidR="0056738E" w:rsidRPr="00F26004" w:rsidRDefault="0056738E" w:rsidP="007C2AEE">
            <w:pPr>
              <w:tabs>
                <w:tab w:val="right" w:pos="7560"/>
                <w:tab w:val="right" w:pos="9000"/>
              </w:tabs>
              <w:ind w:left="325" w:right="-127"/>
              <w:jc w:val="center"/>
              <w:rPr>
                <w:rFonts w:ascii="Arial" w:hAnsi="Arial" w:cs="Arial"/>
                <w:b/>
                <w:bCs/>
                <w:sz w:val="18"/>
                <w:szCs w:val="18"/>
                <w:lang w:val="el-GR"/>
              </w:rPr>
            </w:pPr>
            <w:r>
              <w:rPr>
                <w:rFonts w:ascii="Arial" w:hAnsi="Arial" w:cs="Arial"/>
                <w:b/>
                <w:bCs/>
                <w:sz w:val="18"/>
                <w:szCs w:val="18"/>
              </w:rPr>
              <w:t>10,173,638</w:t>
            </w:r>
          </w:p>
        </w:tc>
        <w:tc>
          <w:tcPr>
            <w:tcW w:w="1417" w:type="dxa"/>
            <w:shd w:val="clear" w:color="auto" w:fill="auto"/>
            <w:vAlign w:val="center"/>
          </w:tcPr>
          <w:p w14:paraId="2766AE18" w14:textId="77777777" w:rsidR="0056738E" w:rsidRPr="00F26004" w:rsidRDefault="0056738E" w:rsidP="007C2AEE">
            <w:pPr>
              <w:tabs>
                <w:tab w:val="left" w:pos="0"/>
                <w:tab w:val="right" w:pos="7560"/>
                <w:tab w:val="right" w:pos="9000"/>
              </w:tabs>
              <w:jc w:val="right"/>
              <w:rPr>
                <w:rFonts w:ascii="Arial" w:hAnsi="Arial" w:cs="Arial"/>
                <w:bCs/>
                <w:sz w:val="18"/>
                <w:szCs w:val="18"/>
                <w:lang w:val="el-GR"/>
              </w:rPr>
            </w:pPr>
            <w:r w:rsidRPr="00E25891">
              <w:rPr>
                <w:rFonts w:ascii="Arial" w:hAnsi="Arial" w:cs="Arial"/>
                <w:sz w:val="18"/>
                <w:szCs w:val="18"/>
              </w:rPr>
              <w:t>10,192,238</w:t>
            </w:r>
          </w:p>
        </w:tc>
      </w:tr>
      <w:tr w:rsidR="0056738E" w:rsidRPr="00F26004" w14:paraId="0B9EF991" w14:textId="77777777" w:rsidTr="007C2AEE">
        <w:trPr>
          <w:trHeight w:val="283"/>
          <w:jc w:val="center"/>
        </w:trPr>
        <w:tc>
          <w:tcPr>
            <w:tcW w:w="6690" w:type="dxa"/>
            <w:vAlign w:val="center"/>
          </w:tcPr>
          <w:p w14:paraId="6E5087D2" w14:textId="77777777" w:rsidR="0056738E" w:rsidRPr="00F26004" w:rsidRDefault="0056738E" w:rsidP="007C2AEE">
            <w:pPr>
              <w:tabs>
                <w:tab w:val="left" w:pos="0"/>
                <w:tab w:val="right" w:pos="7560"/>
                <w:tab w:val="right" w:pos="9000"/>
              </w:tabs>
              <w:rPr>
                <w:rFonts w:ascii="Arial" w:eastAsia="Times New Roman" w:hAnsi="Arial" w:cs="Arial"/>
                <w:sz w:val="18"/>
                <w:szCs w:val="18"/>
                <w:lang w:val="el-GR"/>
              </w:rPr>
            </w:pPr>
            <w:r w:rsidRPr="00041815">
              <w:rPr>
                <w:rFonts w:ascii="Arial" w:hAnsi="Arial" w:cs="Arial"/>
                <w:sz w:val="18"/>
                <w:szCs w:val="18"/>
                <w:lang w:val="el-GR"/>
              </w:rPr>
              <w:t xml:space="preserve">Χρέωση </w:t>
            </w:r>
            <w:r>
              <w:rPr>
                <w:rFonts w:ascii="Arial" w:hAnsi="Arial" w:cs="Arial"/>
                <w:sz w:val="18"/>
                <w:szCs w:val="18"/>
                <w:lang w:val="el-GR"/>
              </w:rPr>
              <w:t xml:space="preserve">για </w:t>
            </w:r>
            <w:r w:rsidRPr="00041815">
              <w:rPr>
                <w:rFonts w:ascii="Arial" w:hAnsi="Arial" w:cs="Arial"/>
                <w:sz w:val="18"/>
                <w:szCs w:val="18"/>
                <w:lang w:val="el-GR"/>
              </w:rPr>
              <w:t>πιστωτικ</w:t>
            </w:r>
            <w:r>
              <w:rPr>
                <w:rFonts w:ascii="Arial" w:hAnsi="Arial" w:cs="Arial"/>
                <w:sz w:val="18"/>
                <w:szCs w:val="18"/>
                <w:lang w:val="el-GR"/>
              </w:rPr>
              <w:t>ές</w:t>
            </w:r>
            <w:r w:rsidRPr="00041815">
              <w:rPr>
                <w:rFonts w:ascii="Arial" w:hAnsi="Arial" w:cs="Arial"/>
                <w:sz w:val="18"/>
                <w:szCs w:val="18"/>
                <w:lang w:val="el-GR"/>
              </w:rPr>
              <w:t xml:space="preserve"> ζημι</w:t>
            </w:r>
            <w:r>
              <w:rPr>
                <w:rFonts w:ascii="Arial" w:hAnsi="Arial" w:cs="Arial"/>
                <w:sz w:val="18"/>
                <w:szCs w:val="18"/>
                <w:lang w:val="el-GR"/>
              </w:rPr>
              <w:t>ές</w:t>
            </w:r>
            <w:r w:rsidRPr="00041815">
              <w:rPr>
                <w:rFonts w:ascii="Arial" w:hAnsi="Arial" w:cs="Arial"/>
                <w:sz w:val="18"/>
                <w:szCs w:val="18"/>
                <w:lang w:val="el-GR"/>
              </w:rPr>
              <w:t xml:space="preserve"> δανείων (</w:t>
            </w:r>
            <w:proofErr w:type="spellStart"/>
            <w:r w:rsidRPr="00041815">
              <w:rPr>
                <w:rFonts w:ascii="Arial" w:hAnsi="Arial" w:cs="Arial"/>
                <w:sz w:val="18"/>
                <w:szCs w:val="18"/>
                <w:lang w:val="el-GR"/>
              </w:rPr>
              <w:t>CoR</w:t>
            </w:r>
            <w:proofErr w:type="spellEnd"/>
            <w:r w:rsidRPr="00041815">
              <w:rPr>
                <w:rFonts w:ascii="Arial" w:hAnsi="Arial" w:cs="Arial"/>
                <w:sz w:val="18"/>
                <w:szCs w:val="18"/>
                <w:lang w:val="el-GR"/>
              </w:rPr>
              <w:t>) %</w:t>
            </w:r>
          </w:p>
        </w:tc>
        <w:tc>
          <w:tcPr>
            <w:tcW w:w="1417" w:type="dxa"/>
            <w:tcBorders>
              <w:bottom w:val="single" w:sz="4" w:space="0" w:color="D9D9D9" w:themeColor="background1" w:themeShade="D9"/>
            </w:tcBorders>
            <w:shd w:val="clear" w:color="auto" w:fill="auto"/>
            <w:vAlign w:val="center"/>
          </w:tcPr>
          <w:p w14:paraId="22777961" w14:textId="77777777" w:rsidR="0056738E" w:rsidRPr="00F26004" w:rsidRDefault="0056738E" w:rsidP="007C2AEE">
            <w:pPr>
              <w:tabs>
                <w:tab w:val="right" w:pos="7560"/>
                <w:tab w:val="right" w:pos="9000"/>
              </w:tabs>
              <w:ind w:left="-121"/>
              <w:jc w:val="right"/>
              <w:rPr>
                <w:rFonts w:ascii="Arial" w:hAnsi="Arial" w:cs="Arial"/>
                <w:b/>
                <w:bCs/>
                <w:sz w:val="18"/>
                <w:szCs w:val="18"/>
                <w:lang w:val="el-GR"/>
              </w:rPr>
            </w:pPr>
            <w:r>
              <w:rPr>
                <w:rFonts w:ascii="Arial" w:hAnsi="Arial" w:cs="Arial"/>
                <w:b/>
                <w:bCs/>
                <w:sz w:val="18"/>
                <w:szCs w:val="18"/>
              </w:rPr>
              <w:t>0.29%</w:t>
            </w:r>
          </w:p>
        </w:tc>
        <w:tc>
          <w:tcPr>
            <w:tcW w:w="1417" w:type="dxa"/>
            <w:tcBorders>
              <w:bottom w:val="single" w:sz="4" w:space="0" w:color="D9D9D9" w:themeColor="background1" w:themeShade="D9"/>
            </w:tcBorders>
            <w:shd w:val="clear" w:color="auto" w:fill="auto"/>
            <w:vAlign w:val="center"/>
          </w:tcPr>
          <w:p w14:paraId="5C783BE7" w14:textId="77777777" w:rsidR="0056738E" w:rsidRPr="00F26004" w:rsidRDefault="0056738E" w:rsidP="007C2AEE">
            <w:pPr>
              <w:tabs>
                <w:tab w:val="left" w:pos="0"/>
                <w:tab w:val="right" w:pos="7560"/>
                <w:tab w:val="right" w:pos="9000"/>
              </w:tabs>
              <w:jc w:val="right"/>
              <w:rPr>
                <w:rFonts w:ascii="Arial" w:hAnsi="Arial" w:cs="Arial"/>
                <w:bCs/>
                <w:sz w:val="18"/>
                <w:szCs w:val="18"/>
                <w:lang w:val="el-GR"/>
              </w:rPr>
            </w:pPr>
            <w:r w:rsidRPr="00E25891">
              <w:rPr>
                <w:rFonts w:ascii="Arial" w:hAnsi="Arial" w:cs="Arial"/>
                <w:sz w:val="18"/>
                <w:szCs w:val="18"/>
              </w:rPr>
              <w:t>0.58%</w:t>
            </w:r>
          </w:p>
        </w:tc>
      </w:tr>
    </w:tbl>
    <w:p w14:paraId="6CD8F1AF" w14:textId="77777777" w:rsidR="0056738E" w:rsidRPr="00371C33" w:rsidRDefault="0056738E" w:rsidP="0056738E">
      <w:pPr>
        <w:shd w:val="clear" w:color="auto" w:fill="FFFFFF"/>
        <w:suppressAutoHyphens/>
        <w:spacing w:after="0" w:line="240" w:lineRule="auto"/>
        <w:ind w:left="992"/>
        <w:jc w:val="both"/>
        <w:rPr>
          <w:rFonts w:ascii="Arial" w:hAnsi="Arial" w:cs="Arial"/>
          <w:b/>
          <w:color w:val="FF9900"/>
          <w:sz w:val="18"/>
          <w:szCs w:val="18"/>
          <w:lang w:val="el-GR"/>
        </w:rPr>
      </w:pPr>
    </w:p>
    <w:p w14:paraId="59BCC7C0" w14:textId="77777777" w:rsidR="0056738E" w:rsidRPr="00D17E65" w:rsidRDefault="0056738E" w:rsidP="0056738E">
      <w:pPr>
        <w:shd w:val="clear" w:color="auto" w:fill="FFFFFF"/>
        <w:suppressAutoHyphens/>
        <w:spacing w:after="0" w:line="360" w:lineRule="auto"/>
        <w:jc w:val="both"/>
        <w:rPr>
          <w:rFonts w:ascii="Arial" w:hAnsi="Arial" w:cs="Arial"/>
          <w:b/>
          <w:color w:val="FF9900"/>
          <w:lang w:val="el-GR"/>
        </w:rPr>
      </w:pPr>
      <w:r w:rsidRPr="00D17E65">
        <w:rPr>
          <w:rFonts w:ascii="Arial" w:hAnsi="Arial" w:cs="Arial"/>
          <w:b/>
          <w:color w:val="FF9900"/>
          <w:lang w:val="el-GR"/>
        </w:rPr>
        <w:t>5.           Βασικά κέρδη ανά μετοχή που αναλογούν στους ιδιοκτήτες της Εταιρίας</w:t>
      </w:r>
    </w:p>
    <w:p w14:paraId="3A47F049" w14:textId="77777777" w:rsidR="0056738E" w:rsidRPr="00C42B7D" w:rsidRDefault="0056738E" w:rsidP="0056738E">
      <w:pPr>
        <w:pStyle w:val="ListParagraph"/>
        <w:shd w:val="clear" w:color="auto" w:fill="FFFFFF"/>
        <w:suppressAutoHyphens/>
        <w:spacing w:after="120"/>
        <w:ind w:left="0"/>
        <w:jc w:val="both"/>
        <w:rPr>
          <w:rFonts w:ascii="Arial" w:eastAsiaTheme="minorEastAsia" w:hAnsi="Arial" w:cs="Arial"/>
          <w:color w:val="262626"/>
          <w:sz w:val="18"/>
          <w:szCs w:val="18"/>
          <w:lang w:val="el-GR"/>
        </w:rPr>
      </w:pPr>
      <w:r w:rsidRPr="00C42B7D">
        <w:rPr>
          <w:rFonts w:ascii="Arial" w:eastAsiaTheme="minorEastAsia" w:hAnsi="Arial" w:cs="Arial"/>
          <w:color w:val="262626"/>
          <w:sz w:val="18"/>
          <w:szCs w:val="18"/>
          <w:lang w:val="el-GR"/>
        </w:rPr>
        <w:t>Οι παράμετροι που χρησιμοποιούνται στον προσδιορισμό των ‘Βασικών κερδών ανά μετοχή που αναλογούν στους ιδιοκτήτες της Εταιρίας</w:t>
      </w:r>
      <w:r>
        <w:rPr>
          <w:rFonts w:ascii="Arial" w:eastAsiaTheme="minorEastAsia" w:hAnsi="Arial" w:cs="Arial"/>
          <w:color w:val="262626"/>
          <w:sz w:val="18"/>
          <w:szCs w:val="18"/>
          <w:lang w:val="el-GR"/>
        </w:rPr>
        <w:t>’</w:t>
      </w:r>
      <w:r w:rsidRPr="00D17E65">
        <w:rPr>
          <w:rFonts w:ascii="Arial" w:eastAsiaTheme="minorEastAsia" w:hAnsi="Arial" w:cs="Arial"/>
          <w:color w:val="262626"/>
          <w:sz w:val="18"/>
          <w:szCs w:val="18"/>
          <w:lang w:val="el-GR"/>
        </w:rPr>
        <w:t xml:space="preserve"> (€ </w:t>
      </w:r>
      <w:proofErr w:type="spellStart"/>
      <w:r>
        <w:rPr>
          <w:rFonts w:ascii="Arial" w:eastAsiaTheme="minorEastAsia" w:hAnsi="Arial" w:cs="Arial"/>
          <w:color w:val="262626"/>
          <w:sz w:val="18"/>
          <w:szCs w:val="18"/>
          <w:lang w:val="el-GR"/>
        </w:rPr>
        <w:t>σεντ</w:t>
      </w:r>
      <w:proofErr w:type="spellEnd"/>
      <w:r>
        <w:rPr>
          <w:rFonts w:ascii="Arial" w:eastAsiaTheme="minorEastAsia" w:hAnsi="Arial" w:cs="Arial"/>
          <w:color w:val="262626"/>
          <w:sz w:val="18"/>
          <w:szCs w:val="18"/>
          <w:lang w:val="el-GR"/>
        </w:rPr>
        <w:t>)</w:t>
      </w:r>
      <w:r w:rsidRPr="00C42B7D">
        <w:rPr>
          <w:rFonts w:ascii="Arial" w:eastAsiaTheme="minorEastAsia" w:hAnsi="Arial" w:cs="Arial"/>
          <w:color w:val="262626"/>
          <w:sz w:val="18"/>
          <w:szCs w:val="18"/>
          <w:lang w:val="el-GR"/>
        </w:rPr>
        <w:t xml:space="preserve"> </w:t>
      </w:r>
      <w:r>
        <w:rPr>
          <w:rFonts w:ascii="Arial" w:eastAsiaTheme="minorEastAsia" w:hAnsi="Arial" w:cs="Arial"/>
          <w:color w:val="262626"/>
          <w:sz w:val="18"/>
          <w:szCs w:val="18"/>
          <w:lang w:val="el-GR"/>
        </w:rPr>
        <w:t>παρατίθενται</w:t>
      </w:r>
      <w:r w:rsidRPr="00C42B7D">
        <w:rPr>
          <w:rFonts w:ascii="Arial" w:eastAsiaTheme="minorEastAsia" w:hAnsi="Arial" w:cs="Arial"/>
          <w:color w:val="262626"/>
          <w:sz w:val="18"/>
          <w:szCs w:val="18"/>
          <w:lang w:val="el-GR"/>
        </w:rPr>
        <w:t xml:space="preserve"> πιο κάτω:</w:t>
      </w:r>
    </w:p>
    <w:tbl>
      <w:tblPr>
        <w:tblStyle w:val="TableGrid3"/>
        <w:tblW w:w="9525"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90"/>
        <w:gridCol w:w="1417"/>
        <w:gridCol w:w="1418"/>
      </w:tblGrid>
      <w:tr w:rsidR="0056738E" w:rsidRPr="00B47F33" w14:paraId="587B4D94" w14:textId="77777777" w:rsidTr="007C2AEE">
        <w:trPr>
          <w:trHeight w:val="341"/>
          <w:jc w:val="center"/>
        </w:trPr>
        <w:tc>
          <w:tcPr>
            <w:tcW w:w="6690" w:type="dxa"/>
            <w:vAlign w:val="center"/>
          </w:tcPr>
          <w:p w14:paraId="74D9EAB2" w14:textId="77777777" w:rsidR="0056738E" w:rsidRPr="00C42B7D" w:rsidRDefault="0056738E" w:rsidP="007C2AEE">
            <w:pPr>
              <w:tabs>
                <w:tab w:val="left" w:pos="0"/>
                <w:tab w:val="left" w:pos="360"/>
              </w:tabs>
              <w:rPr>
                <w:rFonts w:ascii="Arial" w:hAnsi="Arial" w:cs="Arial"/>
                <w:b/>
                <w:sz w:val="18"/>
                <w:szCs w:val="18"/>
                <w:lang w:val="el-GR"/>
              </w:rPr>
            </w:pPr>
          </w:p>
          <w:p w14:paraId="670DA81F" w14:textId="77777777" w:rsidR="0056738E" w:rsidRPr="00C42B7D" w:rsidRDefault="0056738E" w:rsidP="007C2AEE">
            <w:pPr>
              <w:tabs>
                <w:tab w:val="left" w:pos="0"/>
                <w:tab w:val="left" w:pos="360"/>
              </w:tabs>
              <w:rPr>
                <w:rFonts w:ascii="Arial" w:hAnsi="Arial" w:cs="Arial"/>
                <w:b/>
                <w:sz w:val="18"/>
                <w:szCs w:val="18"/>
                <w:lang w:val="el-GR"/>
              </w:rPr>
            </w:pPr>
          </w:p>
        </w:tc>
        <w:tc>
          <w:tcPr>
            <w:tcW w:w="1417" w:type="dxa"/>
            <w:shd w:val="clear" w:color="auto" w:fill="auto"/>
            <w:vAlign w:val="center"/>
          </w:tcPr>
          <w:p w14:paraId="11F7980A" w14:textId="77777777" w:rsidR="0056738E" w:rsidRPr="00371C33" w:rsidRDefault="0056738E" w:rsidP="007C2AEE">
            <w:pPr>
              <w:jc w:val="center"/>
              <w:rPr>
                <w:rFonts w:ascii="Arial" w:hAnsi="Arial" w:cs="Arial"/>
                <w:b/>
                <w:iCs/>
                <w:spacing w:val="-4"/>
                <w:sz w:val="18"/>
                <w:szCs w:val="18"/>
                <w:lang w:val="el-GR"/>
              </w:rPr>
            </w:pPr>
            <w:r w:rsidRPr="00C42B7D">
              <w:rPr>
                <w:rFonts w:ascii="Arial" w:hAnsi="Arial" w:cs="Arial"/>
                <w:b/>
                <w:sz w:val="18"/>
                <w:szCs w:val="18"/>
              </w:rPr>
              <w:t>202</w:t>
            </w:r>
            <w:r>
              <w:rPr>
                <w:rFonts w:ascii="Arial" w:hAnsi="Arial" w:cs="Arial"/>
                <w:b/>
                <w:sz w:val="18"/>
                <w:szCs w:val="18"/>
                <w:lang w:val="el-GR"/>
              </w:rPr>
              <w:t>4</w:t>
            </w:r>
          </w:p>
        </w:tc>
        <w:tc>
          <w:tcPr>
            <w:tcW w:w="1418" w:type="dxa"/>
            <w:vAlign w:val="center"/>
          </w:tcPr>
          <w:p w14:paraId="629064E3" w14:textId="77777777" w:rsidR="0056738E" w:rsidRPr="00C42B7D" w:rsidRDefault="0056738E" w:rsidP="007C2AEE">
            <w:pPr>
              <w:jc w:val="center"/>
              <w:rPr>
                <w:rFonts w:ascii="Arial" w:hAnsi="Arial" w:cs="Arial"/>
                <w:iCs/>
                <w:spacing w:val="-4"/>
                <w:sz w:val="18"/>
                <w:szCs w:val="18"/>
                <w:highlight w:val="yellow"/>
                <w:lang w:val="el-GR"/>
              </w:rPr>
            </w:pPr>
            <w:r w:rsidRPr="00C42B7D">
              <w:rPr>
                <w:rFonts w:ascii="Arial" w:hAnsi="Arial" w:cs="Arial"/>
                <w:sz w:val="18"/>
                <w:szCs w:val="18"/>
              </w:rPr>
              <w:t>202</w:t>
            </w:r>
            <w:r>
              <w:rPr>
                <w:rFonts w:ascii="Arial" w:hAnsi="Arial" w:cs="Arial"/>
                <w:sz w:val="18"/>
                <w:szCs w:val="18"/>
                <w:lang w:val="el-GR"/>
              </w:rPr>
              <w:t>3</w:t>
            </w:r>
          </w:p>
        </w:tc>
      </w:tr>
      <w:tr w:rsidR="0056738E" w:rsidRPr="005B5182" w14:paraId="1B97FCB2" w14:textId="77777777" w:rsidTr="007C2AEE">
        <w:trPr>
          <w:trHeight w:val="283"/>
          <w:jc w:val="center"/>
        </w:trPr>
        <w:tc>
          <w:tcPr>
            <w:tcW w:w="6690" w:type="dxa"/>
            <w:vAlign w:val="center"/>
          </w:tcPr>
          <w:p w14:paraId="0D5BFCF0" w14:textId="77777777" w:rsidR="0056738E" w:rsidRPr="00C42B7D" w:rsidRDefault="0056738E" w:rsidP="007C2AEE">
            <w:pPr>
              <w:tabs>
                <w:tab w:val="left" w:pos="0"/>
                <w:tab w:val="right" w:pos="7560"/>
                <w:tab w:val="right" w:pos="9000"/>
              </w:tabs>
              <w:jc w:val="both"/>
              <w:rPr>
                <w:rFonts w:ascii="Arial" w:hAnsi="Arial" w:cs="Arial"/>
                <w:bCs/>
                <w:sz w:val="18"/>
                <w:szCs w:val="18"/>
                <w:lang w:val="el-GR"/>
              </w:rPr>
            </w:pPr>
            <w:r w:rsidRPr="00C42B7D">
              <w:rPr>
                <w:rFonts w:ascii="Arial" w:hAnsi="Arial" w:cs="Arial"/>
                <w:bCs/>
                <w:sz w:val="18"/>
                <w:szCs w:val="18"/>
                <w:lang w:val="el-GR"/>
              </w:rPr>
              <w:t xml:space="preserve">Κέρδη μετά τη φορολογία (που αναλογούν στους ιδιοκτήτες της Εταιρίας) </w:t>
            </w:r>
            <w:r>
              <w:rPr>
                <w:rFonts w:ascii="Arial" w:hAnsi="Arial" w:cs="Arial"/>
                <w:bCs/>
                <w:sz w:val="18"/>
                <w:szCs w:val="18"/>
                <w:lang w:val="el-GR"/>
              </w:rPr>
              <w:t>στην υποκείμενη βάση/</w:t>
            </w:r>
            <w:r w:rsidRPr="00527619">
              <w:rPr>
                <w:rFonts w:ascii="Arial" w:hAnsi="Arial" w:cs="Arial"/>
                <w:bCs/>
                <w:sz w:val="18"/>
                <w:szCs w:val="18"/>
                <w:lang w:val="el-GR"/>
              </w:rPr>
              <w:t>στην απαιτούμενη από τη νομοθεσία βάση</w:t>
            </w:r>
            <w:r>
              <w:rPr>
                <w:rFonts w:ascii="Arial" w:hAnsi="Arial" w:cs="Arial"/>
                <w:bCs/>
                <w:sz w:val="18"/>
                <w:szCs w:val="18"/>
                <w:lang w:val="el-GR"/>
              </w:rPr>
              <w:t xml:space="preserve"> </w:t>
            </w:r>
            <w:r w:rsidRPr="00C42B7D">
              <w:rPr>
                <w:rFonts w:ascii="Arial" w:hAnsi="Arial" w:cs="Arial"/>
                <w:bCs/>
                <w:sz w:val="18"/>
                <w:szCs w:val="18"/>
                <w:lang w:val="el-GR"/>
              </w:rPr>
              <w:t xml:space="preserve">για το </w:t>
            </w:r>
            <w:r>
              <w:rPr>
                <w:rFonts w:ascii="Arial" w:hAnsi="Arial" w:cs="Arial"/>
                <w:sz w:val="18"/>
                <w:szCs w:val="18"/>
                <w:lang w:val="el-GR"/>
              </w:rPr>
              <w:t xml:space="preserve">εννεάμηνο </w:t>
            </w:r>
            <w:r w:rsidRPr="00C42B7D">
              <w:rPr>
                <w:rFonts w:ascii="Arial" w:hAnsi="Arial" w:cs="Arial"/>
                <w:bCs/>
                <w:sz w:val="18"/>
                <w:szCs w:val="18"/>
                <w:lang w:val="el-GR"/>
              </w:rPr>
              <w:t xml:space="preserve">που έληξε στις </w:t>
            </w:r>
            <w:r w:rsidRPr="002135C9">
              <w:rPr>
                <w:rFonts w:ascii="Arial" w:hAnsi="Arial" w:cs="Arial"/>
                <w:sz w:val="18"/>
                <w:szCs w:val="18"/>
                <w:lang w:val="el-GR"/>
              </w:rPr>
              <w:t>3</w:t>
            </w:r>
            <w:r>
              <w:rPr>
                <w:rFonts w:ascii="Arial" w:hAnsi="Arial" w:cs="Arial"/>
                <w:sz w:val="18"/>
                <w:szCs w:val="18"/>
                <w:lang w:val="el-GR"/>
              </w:rPr>
              <w:t>0</w:t>
            </w:r>
            <w:r w:rsidRPr="002135C9">
              <w:rPr>
                <w:rFonts w:ascii="Arial" w:hAnsi="Arial" w:cs="Arial"/>
                <w:sz w:val="18"/>
                <w:szCs w:val="18"/>
                <w:lang w:val="el-GR"/>
              </w:rPr>
              <w:t xml:space="preserve"> </w:t>
            </w:r>
            <w:r w:rsidRPr="004660BE">
              <w:rPr>
                <w:rFonts w:ascii="Arial" w:hAnsi="Arial" w:cs="Arial"/>
                <w:sz w:val="18"/>
                <w:szCs w:val="18"/>
                <w:lang w:val="el-GR"/>
              </w:rPr>
              <w:t xml:space="preserve">Σεπτεμβρίου </w:t>
            </w:r>
            <w:r w:rsidRPr="00C42B7D">
              <w:rPr>
                <w:rFonts w:ascii="Arial" w:hAnsi="Arial" w:cs="Arial"/>
                <w:bCs/>
                <w:sz w:val="18"/>
                <w:szCs w:val="18"/>
                <w:lang w:val="el-GR"/>
              </w:rPr>
              <w:t>(€000)</w:t>
            </w:r>
          </w:p>
        </w:tc>
        <w:tc>
          <w:tcPr>
            <w:tcW w:w="1417" w:type="dxa"/>
            <w:shd w:val="clear" w:color="auto" w:fill="auto"/>
            <w:vAlign w:val="center"/>
          </w:tcPr>
          <w:p w14:paraId="1D033252" w14:textId="77777777" w:rsidR="0056738E" w:rsidRPr="00C42B7D"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400,610</w:t>
            </w:r>
          </w:p>
        </w:tc>
        <w:tc>
          <w:tcPr>
            <w:tcW w:w="1418" w:type="dxa"/>
            <w:shd w:val="clear" w:color="auto" w:fill="auto"/>
            <w:vAlign w:val="center"/>
          </w:tcPr>
          <w:p w14:paraId="1EAE30EF" w14:textId="77777777" w:rsidR="0056738E" w:rsidRPr="00C42B7D" w:rsidRDefault="0056738E" w:rsidP="007C2AEE">
            <w:pPr>
              <w:tabs>
                <w:tab w:val="left" w:pos="0"/>
                <w:tab w:val="right" w:pos="7560"/>
                <w:tab w:val="right" w:pos="9000"/>
              </w:tabs>
              <w:jc w:val="right"/>
              <w:rPr>
                <w:rFonts w:ascii="Arial" w:hAnsi="Arial" w:cs="Arial"/>
                <w:sz w:val="18"/>
                <w:szCs w:val="18"/>
                <w:lang w:val="el-GR"/>
              </w:rPr>
            </w:pPr>
            <w:r w:rsidRPr="00E25891">
              <w:rPr>
                <w:rFonts w:ascii="Arial" w:hAnsi="Arial" w:cs="Arial"/>
                <w:sz w:val="18"/>
                <w:szCs w:val="18"/>
              </w:rPr>
              <w:t>349,363</w:t>
            </w:r>
          </w:p>
        </w:tc>
      </w:tr>
      <w:tr w:rsidR="0056738E" w:rsidRPr="005B5182" w14:paraId="192BF5E4" w14:textId="77777777" w:rsidTr="007C2AEE">
        <w:trPr>
          <w:trHeight w:val="283"/>
          <w:jc w:val="center"/>
        </w:trPr>
        <w:tc>
          <w:tcPr>
            <w:tcW w:w="6690" w:type="dxa"/>
            <w:vAlign w:val="center"/>
          </w:tcPr>
          <w:p w14:paraId="30C5F129" w14:textId="77777777" w:rsidR="0056738E" w:rsidRPr="00C42B7D" w:rsidRDefault="0056738E" w:rsidP="007C2AEE">
            <w:pPr>
              <w:tabs>
                <w:tab w:val="left" w:pos="0"/>
                <w:tab w:val="right" w:pos="7560"/>
                <w:tab w:val="right" w:pos="9000"/>
              </w:tabs>
              <w:jc w:val="both"/>
              <w:rPr>
                <w:rFonts w:ascii="Arial" w:hAnsi="Arial" w:cs="Arial"/>
                <w:bCs/>
                <w:sz w:val="18"/>
                <w:szCs w:val="18"/>
                <w:lang w:val="el-GR"/>
              </w:rPr>
            </w:pPr>
            <w:proofErr w:type="spellStart"/>
            <w:r w:rsidRPr="00C42B7D">
              <w:rPr>
                <w:rFonts w:ascii="Arial" w:hAnsi="Arial" w:cs="Arial"/>
                <w:bCs/>
                <w:sz w:val="18"/>
                <w:szCs w:val="18"/>
                <w:lang w:val="el-GR"/>
              </w:rPr>
              <w:t>Μεσοσταθμικός</w:t>
            </w:r>
            <w:proofErr w:type="spellEnd"/>
            <w:r w:rsidRPr="00C42B7D">
              <w:rPr>
                <w:rFonts w:ascii="Arial" w:hAnsi="Arial" w:cs="Arial"/>
                <w:bCs/>
                <w:sz w:val="18"/>
                <w:szCs w:val="18"/>
                <w:lang w:val="el-GR"/>
              </w:rPr>
              <w:t xml:space="preserve"> αριθμός μετοχών που ήταν εκδομένες κατά τη διάρκεια της περιόδου, εξαιρουμένων των ιδίων μετοχών (</w:t>
            </w:r>
            <w:r>
              <w:rPr>
                <w:rFonts w:ascii="Arial" w:hAnsi="Arial" w:cs="Arial"/>
                <w:bCs/>
                <w:sz w:val="18"/>
                <w:szCs w:val="18"/>
                <w:lang w:val="el-GR"/>
              </w:rPr>
              <w:t>χιλ.</w:t>
            </w:r>
            <w:r w:rsidRPr="00C42B7D">
              <w:rPr>
                <w:rFonts w:ascii="Arial" w:hAnsi="Arial" w:cs="Arial"/>
                <w:bCs/>
                <w:sz w:val="18"/>
                <w:szCs w:val="18"/>
                <w:lang w:val="el-GR"/>
              </w:rPr>
              <w:t>)</w:t>
            </w:r>
          </w:p>
        </w:tc>
        <w:tc>
          <w:tcPr>
            <w:tcW w:w="1417" w:type="dxa"/>
            <w:shd w:val="clear" w:color="auto" w:fill="auto"/>
            <w:vAlign w:val="center"/>
          </w:tcPr>
          <w:p w14:paraId="34C18A16" w14:textId="77777777" w:rsidR="0056738E" w:rsidRPr="00C42B7D"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445,081</w:t>
            </w:r>
          </w:p>
        </w:tc>
        <w:tc>
          <w:tcPr>
            <w:tcW w:w="1418" w:type="dxa"/>
            <w:shd w:val="clear" w:color="auto" w:fill="auto"/>
            <w:vAlign w:val="center"/>
          </w:tcPr>
          <w:p w14:paraId="7FDB3FCF" w14:textId="77777777" w:rsidR="0056738E" w:rsidRPr="00955C85" w:rsidRDefault="0056738E" w:rsidP="007C2AEE">
            <w:pPr>
              <w:tabs>
                <w:tab w:val="left" w:pos="0"/>
                <w:tab w:val="right" w:pos="7560"/>
                <w:tab w:val="right" w:pos="9000"/>
              </w:tabs>
              <w:jc w:val="right"/>
              <w:rPr>
                <w:rFonts w:ascii="Arial" w:hAnsi="Arial" w:cs="Arial"/>
                <w:sz w:val="18"/>
                <w:szCs w:val="18"/>
                <w:lang w:val="el-GR"/>
              </w:rPr>
            </w:pPr>
            <w:r w:rsidRPr="00E25891">
              <w:rPr>
                <w:rFonts w:ascii="Arial" w:hAnsi="Arial" w:cs="Arial"/>
                <w:sz w:val="18"/>
                <w:szCs w:val="18"/>
              </w:rPr>
              <w:t>446,058</w:t>
            </w:r>
          </w:p>
        </w:tc>
      </w:tr>
      <w:tr w:rsidR="0056738E" w:rsidRPr="005B5182" w14:paraId="6C723A7B" w14:textId="77777777" w:rsidTr="007C2AEE">
        <w:trPr>
          <w:trHeight w:val="283"/>
          <w:jc w:val="center"/>
        </w:trPr>
        <w:tc>
          <w:tcPr>
            <w:tcW w:w="6690" w:type="dxa"/>
            <w:tcBorders>
              <w:bottom w:val="single" w:sz="4" w:space="0" w:color="D9D9D9" w:themeColor="background1" w:themeShade="D9"/>
            </w:tcBorders>
            <w:vAlign w:val="center"/>
          </w:tcPr>
          <w:p w14:paraId="4684F1E3" w14:textId="77777777" w:rsidR="0056738E" w:rsidRPr="00C42B7D" w:rsidRDefault="0056738E" w:rsidP="007C2AEE">
            <w:pPr>
              <w:tabs>
                <w:tab w:val="left" w:pos="0"/>
                <w:tab w:val="right" w:pos="7560"/>
                <w:tab w:val="right" w:pos="9000"/>
              </w:tabs>
              <w:jc w:val="both"/>
              <w:rPr>
                <w:rFonts w:ascii="Arial" w:hAnsi="Arial" w:cs="Arial"/>
                <w:bCs/>
                <w:sz w:val="18"/>
                <w:szCs w:val="18"/>
                <w:lang w:val="el-GR"/>
              </w:rPr>
            </w:pPr>
            <w:r w:rsidRPr="00C42B7D">
              <w:rPr>
                <w:rFonts w:ascii="Arial" w:hAnsi="Arial" w:cs="Arial"/>
                <w:bCs/>
                <w:sz w:val="18"/>
                <w:szCs w:val="18"/>
                <w:lang w:val="el-GR"/>
              </w:rPr>
              <w:t>Βασικά κέρδη ανά μετοχή που αναλογούν στου</w:t>
            </w:r>
            <w:r>
              <w:rPr>
                <w:rFonts w:ascii="Arial" w:hAnsi="Arial" w:cs="Arial"/>
                <w:bCs/>
                <w:sz w:val="18"/>
                <w:szCs w:val="18"/>
                <w:lang w:val="el-GR"/>
              </w:rPr>
              <w:t>ς</w:t>
            </w:r>
            <w:r w:rsidRPr="00C42B7D">
              <w:rPr>
                <w:rFonts w:ascii="Arial" w:hAnsi="Arial" w:cs="Arial"/>
                <w:bCs/>
                <w:sz w:val="18"/>
                <w:szCs w:val="18"/>
                <w:lang w:val="el-GR"/>
              </w:rPr>
              <w:t xml:space="preserve"> ιδιοκτήτες της Εταιρίας</w:t>
            </w:r>
            <w:r>
              <w:rPr>
                <w:rFonts w:ascii="Arial" w:hAnsi="Arial" w:cs="Arial"/>
                <w:bCs/>
                <w:sz w:val="18"/>
                <w:szCs w:val="18"/>
                <w:lang w:val="el-GR"/>
              </w:rPr>
              <w:t xml:space="preserve"> για το </w:t>
            </w:r>
            <w:r>
              <w:rPr>
                <w:rFonts w:ascii="Arial" w:hAnsi="Arial" w:cs="Arial"/>
                <w:sz w:val="18"/>
                <w:szCs w:val="18"/>
                <w:lang w:val="el-GR"/>
              </w:rPr>
              <w:t xml:space="preserve">εννεάμηνο </w:t>
            </w:r>
            <w:r>
              <w:rPr>
                <w:rFonts w:ascii="Arial" w:hAnsi="Arial" w:cs="Arial"/>
                <w:bCs/>
                <w:sz w:val="18"/>
                <w:szCs w:val="18"/>
                <w:lang w:val="el-GR"/>
              </w:rPr>
              <w:t xml:space="preserve">που έληξε στις </w:t>
            </w:r>
            <w:r w:rsidRPr="002135C9">
              <w:rPr>
                <w:rFonts w:ascii="Arial" w:hAnsi="Arial" w:cs="Arial"/>
                <w:sz w:val="18"/>
                <w:szCs w:val="18"/>
                <w:lang w:val="el-GR"/>
              </w:rPr>
              <w:t>3</w:t>
            </w:r>
            <w:r>
              <w:rPr>
                <w:rFonts w:ascii="Arial" w:hAnsi="Arial" w:cs="Arial"/>
                <w:sz w:val="18"/>
                <w:szCs w:val="18"/>
                <w:lang w:val="el-GR"/>
              </w:rPr>
              <w:t>0</w:t>
            </w:r>
            <w:r w:rsidRPr="002135C9">
              <w:rPr>
                <w:rFonts w:ascii="Arial" w:hAnsi="Arial" w:cs="Arial"/>
                <w:sz w:val="18"/>
                <w:szCs w:val="18"/>
                <w:lang w:val="el-GR"/>
              </w:rPr>
              <w:t xml:space="preserve"> </w:t>
            </w:r>
            <w:r w:rsidRPr="004660BE">
              <w:rPr>
                <w:rFonts w:ascii="Arial" w:hAnsi="Arial" w:cs="Arial"/>
                <w:sz w:val="18"/>
                <w:szCs w:val="18"/>
                <w:lang w:val="el-GR"/>
              </w:rPr>
              <w:t xml:space="preserve">Σεπτεμβρίου </w:t>
            </w:r>
            <w:r w:rsidRPr="00C42B7D">
              <w:rPr>
                <w:rFonts w:ascii="Arial" w:hAnsi="Arial" w:cs="Arial"/>
                <w:bCs/>
                <w:sz w:val="18"/>
                <w:szCs w:val="18"/>
                <w:lang w:val="el-GR"/>
              </w:rPr>
              <w:t xml:space="preserve">(€ </w:t>
            </w:r>
            <w:proofErr w:type="spellStart"/>
            <w:r w:rsidRPr="00C42B7D">
              <w:rPr>
                <w:rFonts w:ascii="Arial" w:hAnsi="Arial" w:cs="Arial"/>
                <w:bCs/>
                <w:sz w:val="18"/>
                <w:szCs w:val="18"/>
                <w:lang w:val="el-GR"/>
              </w:rPr>
              <w:t>σεντ</w:t>
            </w:r>
            <w:proofErr w:type="spellEnd"/>
            <w:r w:rsidRPr="00C42B7D">
              <w:rPr>
                <w:rFonts w:ascii="Arial" w:hAnsi="Arial" w:cs="Arial"/>
                <w:bCs/>
                <w:sz w:val="18"/>
                <w:szCs w:val="18"/>
                <w:lang w:val="el-GR"/>
              </w:rPr>
              <w:t>)</w:t>
            </w:r>
          </w:p>
        </w:tc>
        <w:tc>
          <w:tcPr>
            <w:tcW w:w="1417" w:type="dxa"/>
            <w:tcBorders>
              <w:bottom w:val="single" w:sz="4" w:space="0" w:color="D9D9D9" w:themeColor="background1" w:themeShade="D9"/>
            </w:tcBorders>
            <w:shd w:val="clear" w:color="auto" w:fill="auto"/>
            <w:vAlign w:val="center"/>
          </w:tcPr>
          <w:p w14:paraId="754064EF" w14:textId="77777777" w:rsidR="0056738E" w:rsidRPr="00C42B7D"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90.0</w:t>
            </w:r>
          </w:p>
        </w:tc>
        <w:tc>
          <w:tcPr>
            <w:tcW w:w="1418" w:type="dxa"/>
            <w:tcBorders>
              <w:bottom w:val="single" w:sz="4" w:space="0" w:color="D9D9D9" w:themeColor="background1" w:themeShade="D9"/>
            </w:tcBorders>
            <w:shd w:val="clear" w:color="auto" w:fill="auto"/>
            <w:vAlign w:val="center"/>
          </w:tcPr>
          <w:p w14:paraId="426D0C00" w14:textId="77777777" w:rsidR="0056738E" w:rsidRPr="00C42B7D" w:rsidRDefault="0056738E" w:rsidP="007C2AEE">
            <w:pPr>
              <w:tabs>
                <w:tab w:val="left" w:pos="0"/>
                <w:tab w:val="right" w:pos="7560"/>
                <w:tab w:val="right" w:pos="9000"/>
              </w:tabs>
              <w:jc w:val="right"/>
              <w:rPr>
                <w:rFonts w:ascii="Arial" w:hAnsi="Arial" w:cs="Arial"/>
                <w:sz w:val="18"/>
                <w:szCs w:val="18"/>
                <w:lang w:val="el-GR"/>
              </w:rPr>
            </w:pPr>
            <w:r w:rsidRPr="00E25891">
              <w:rPr>
                <w:rFonts w:ascii="Arial" w:hAnsi="Arial" w:cs="Arial"/>
                <w:sz w:val="18"/>
                <w:szCs w:val="18"/>
              </w:rPr>
              <w:t>7</w:t>
            </w:r>
            <w:r w:rsidRPr="00E25891">
              <w:rPr>
                <w:rFonts w:ascii="Arial" w:hAnsi="Arial" w:cs="Arial"/>
                <w:sz w:val="18"/>
                <w:szCs w:val="18"/>
                <w:lang w:val="el-GR"/>
              </w:rPr>
              <w:t>8</w:t>
            </w:r>
            <w:r w:rsidRPr="00E25891">
              <w:rPr>
                <w:rFonts w:ascii="Arial" w:hAnsi="Arial" w:cs="Arial"/>
                <w:sz w:val="18"/>
                <w:szCs w:val="18"/>
              </w:rPr>
              <w:t>.3</w:t>
            </w:r>
          </w:p>
        </w:tc>
      </w:tr>
    </w:tbl>
    <w:p w14:paraId="753A82C2" w14:textId="77777777" w:rsidR="0056738E" w:rsidRDefault="0056738E" w:rsidP="0056738E">
      <w:pPr>
        <w:pStyle w:val="ListParagraph"/>
        <w:shd w:val="clear" w:color="auto" w:fill="FFFFFF"/>
        <w:suppressAutoHyphens/>
        <w:spacing w:after="120"/>
        <w:ind w:left="0"/>
        <w:jc w:val="both"/>
        <w:rPr>
          <w:rFonts w:ascii="Arial" w:eastAsiaTheme="minorEastAsia" w:hAnsi="Arial" w:cs="Arial"/>
          <w:color w:val="262626"/>
          <w:sz w:val="18"/>
          <w:szCs w:val="18"/>
          <w:lang w:val="el-GR"/>
        </w:rPr>
      </w:pPr>
    </w:p>
    <w:p w14:paraId="60B732E7" w14:textId="77777777" w:rsidR="0056738E" w:rsidRDefault="0056738E" w:rsidP="0056738E">
      <w:pPr>
        <w:rPr>
          <w:rFonts w:ascii="Arial" w:hAnsi="Arial" w:cs="Arial"/>
          <w:color w:val="262626"/>
          <w:sz w:val="18"/>
          <w:szCs w:val="18"/>
          <w:lang w:val="el-GR"/>
        </w:rPr>
      </w:pPr>
      <w:r>
        <w:rPr>
          <w:rFonts w:ascii="Arial" w:hAnsi="Arial" w:cs="Arial"/>
          <w:color w:val="262626"/>
          <w:sz w:val="18"/>
          <w:szCs w:val="18"/>
          <w:lang w:val="el-GR"/>
        </w:rPr>
        <w:br w:type="page"/>
      </w:r>
    </w:p>
    <w:p w14:paraId="6F28AD71" w14:textId="77777777" w:rsidR="0056738E" w:rsidRDefault="0056738E" w:rsidP="0056738E">
      <w:pPr>
        <w:spacing w:after="0" w:line="360" w:lineRule="auto"/>
        <w:ind w:left="851" w:hanging="851"/>
        <w:rPr>
          <w:rFonts w:ascii="Arial" w:hAnsi="Arial" w:cs="Arial"/>
          <w:b/>
          <w:color w:val="FF9900"/>
          <w:lang w:val="el-GR"/>
        </w:rPr>
      </w:pPr>
      <w:r>
        <w:rPr>
          <w:rFonts w:ascii="Arial" w:hAnsi="Arial" w:cs="Arial"/>
          <w:b/>
          <w:color w:val="FF9900"/>
          <w:lang w:val="el-GR"/>
        </w:rPr>
        <w:lastRenderedPageBreak/>
        <w:t>Η</w:t>
      </w:r>
      <w:r w:rsidRPr="009B5694">
        <w:rPr>
          <w:rFonts w:ascii="Arial" w:hAnsi="Arial" w:cs="Arial"/>
          <w:b/>
          <w:color w:val="FF9900"/>
          <w:lang w:val="el-GR"/>
        </w:rPr>
        <w:t xml:space="preserve">. </w:t>
      </w:r>
      <w:r w:rsidRPr="009B5694">
        <w:rPr>
          <w:rFonts w:ascii="Arial" w:hAnsi="Arial" w:cs="Arial"/>
          <w:b/>
          <w:color w:val="FF9900"/>
          <w:lang w:val="el-GR"/>
        </w:rPr>
        <w:tab/>
      </w:r>
      <w:r w:rsidRPr="009D3A1F">
        <w:rPr>
          <w:rFonts w:ascii="Arial" w:hAnsi="Arial" w:cs="Arial"/>
          <w:b/>
          <w:color w:val="FF9900"/>
          <w:lang w:val="el-GR"/>
        </w:rPr>
        <w:t>Εναλλακτικ</w:t>
      </w:r>
      <w:r>
        <w:rPr>
          <w:rFonts w:ascii="Arial" w:hAnsi="Arial" w:cs="Arial"/>
          <w:b/>
          <w:color w:val="FF9900"/>
          <w:lang w:val="el-GR"/>
        </w:rPr>
        <w:t>ά</w:t>
      </w:r>
      <w:r w:rsidRPr="009D3A1F">
        <w:rPr>
          <w:rFonts w:ascii="Arial" w:hAnsi="Arial" w:cs="Arial"/>
          <w:b/>
          <w:color w:val="FF9900"/>
          <w:lang w:val="el-GR"/>
        </w:rPr>
        <w:t xml:space="preserve"> Μέτρ</w:t>
      </w:r>
      <w:r>
        <w:rPr>
          <w:rFonts w:ascii="Arial" w:hAnsi="Arial" w:cs="Arial"/>
          <w:b/>
          <w:color w:val="FF9900"/>
          <w:lang w:val="el-GR"/>
        </w:rPr>
        <w:t>α</w:t>
      </w:r>
      <w:r w:rsidRPr="009D3A1F">
        <w:rPr>
          <w:rFonts w:ascii="Arial" w:hAnsi="Arial" w:cs="Arial"/>
          <w:b/>
          <w:color w:val="FF9900"/>
          <w:lang w:val="el-GR"/>
        </w:rPr>
        <w:t xml:space="preserve"> Απόδοσης</w:t>
      </w:r>
      <w:r>
        <w:rPr>
          <w:rFonts w:ascii="Arial" w:hAnsi="Arial" w:cs="Arial"/>
          <w:b/>
          <w:color w:val="FF9900"/>
          <w:lang w:val="el-GR"/>
        </w:rPr>
        <w:t xml:space="preserve"> </w:t>
      </w:r>
      <w:r w:rsidRPr="00B964B1">
        <w:rPr>
          <w:rFonts w:ascii="Arial" w:hAnsi="Arial" w:cs="Arial"/>
          <w:color w:val="FF9900"/>
          <w:lang w:val="el-GR"/>
        </w:rPr>
        <w:t>(συνέχεια)</w:t>
      </w:r>
    </w:p>
    <w:p w14:paraId="0692CCFA" w14:textId="77777777" w:rsidR="0056738E" w:rsidRPr="00896999" w:rsidRDefault="0056738E" w:rsidP="0056738E">
      <w:pPr>
        <w:shd w:val="clear" w:color="auto" w:fill="FFFFFF"/>
        <w:tabs>
          <w:tab w:val="left" w:pos="810"/>
        </w:tabs>
        <w:suppressAutoHyphens/>
        <w:spacing w:after="0" w:line="360" w:lineRule="auto"/>
        <w:jc w:val="both"/>
        <w:rPr>
          <w:rFonts w:ascii="Arial" w:hAnsi="Arial" w:cs="Arial"/>
          <w:b/>
          <w:color w:val="FF9900"/>
          <w:sz w:val="20"/>
          <w:szCs w:val="20"/>
          <w:lang w:val="el-GR"/>
        </w:rPr>
      </w:pPr>
      <w:r w:rsidRPr="005B05F8">
        <w:rPr>
          <w:rFonts w:ascii="Arial" w:eastAsia="Times New Roman" w:hAnsi="Arial" w:cs="Arial"/>
          <w:b/>
          <w:color w:val="FF9900"/>
          <w:u w:val="single"/>
          <w:lang w:val="el-GR"/>
        </w:rPr>
        <w:t>Πληροφορίες Βασικών Δεικτών Απόδοσης</w:t>
      </w:r>
      <w:r w:rsidRPr="00041815">
        <w:rPr>
          <w:rFonts w:ascii="Arial" w:hAnsi="Arial" w:cs="Arial"/>
          <w:color w:val="FF9900"/>
          <w:sz w:val="20"/>
          <w:szCs w:val="20"/>
          <w:lang w:val="el-GR"/>
        </w:rPr>
        <w:t xml:space="preserve"> (συνέχεια)</w:t>
      </w:r>
    </w:p>
    <w:p w14:paraId="48CE4F4A" w14:textId="77777777" w:rsidR="0056738E" w:rsidRPr="00B51630" w:rsidRDefault="0056738E" w:rsidP="0056738E">
      <w:pPr>
        <w:spacing w:after="0" w:line="360" w:lineRule="auto"/>
        <w:ind w:left="851" w:hanging="851"/>
        <w:rPr>
          <w:lang w:val="el-GR"/>
        </w:rPr>
      </w:pPr>
      <w:r>
        <w:rPr>
          <w:rFonts w:ascii="Arial" w:hAnsi="Arial" w:cs="Arial"/>
          <w:b/>
          <w:color w:val="FF9900"/>
          <w:lang w:val="el-GR"/>
        </w:rPr>
        <w:t xml:space="preserve">6.           </w:t>
      </w:r>
      <w:r w:rsidRPr="00041815">
        <w:rPr>
          <w:rFonts w:ascii="Arial" w:hAnsi="Arial" w:cs="Arial"/>
          <w:b/>
          <w:color w:val="FF9900"/>
          <w:lang w:val="el-GR"/>
        </w:rPr>
        <w:t>Απόδοση ενσώματων ιδίων</w:t>
      </w:r>
      <w:r w:rsidRPr="00D561D4">
        <w:rPr>
          <w:lang w:val="el-GR"/>
        </w:rPr>
        <w:t xml:space="preserve"> </w:t>
      </w:r>
      <w:r w:rsidRPr="00041815">
        <w:rPr>
          <w:rFonts w:ascii="Arial" w:hAnsi="Arial" w:cs="Arial"/>
          <w:b/>
          <w:color w:val="FF9900"/>
          <w:lang w:val="el-GR"/>
        </w:rPr>
        <w:t>κεφαλαίων (ROTE)</w:t>
      </w:r>
      <w:r w:rsidRPr="00E93711">
        <w:rPr>
          <w:lang w:val="el-GR"/>
        </w:rPr>
        <w:t xml:space="preserve"> </w:t>
      </w:r>
    </w:p>
    <w:p w14:paraId="2DC493C3" w14:textId="77777777" w:rsidR="0056738E" w:rsidRPr="00D17E65" w:rsidRDefault="0056738E" w:rsidP="0056738E">
      <w:pPr>
        <w:shd w:val="clear" w:color="auto" w:fill="FFFFFF"/>
        <w:tabs>
          <w:tab w:val="left" w:pos="810"/>
        </w:tabs>
        <w:suppressAutoHyphens/>
        <w:spacing w:after="120" w:line="240" w:lineRule="auto"/>
        <w:jc w:val="both"/>
        <w:rPr>
          <w:rFonts w:ascii="Arial" w:hAnsi="Arial" w:cs="Arial"/>
          <w:sz w:val="14"/>
          <w:szCs w:val="14"/>
          <w:lang w:val="el-GR"/>
        </w:rPr>
      </w:pPr>
      <w:r w:rsidRPr="00041815">
        <w:rPr>
          <w:rFonts w:ascii="Arial" w:hAnsi="Arial" w:cs="Arial"/>
          <w:sz w:val="18"/>
          <w:szCs w:val="18"/>
          <w:lang w:val="el-GR"/>
        </w:rPr>
        <w:t>Οι παράμετροι που χρησιμοποιούνται στον προσδιορισμό της ‘Απόδοσης ενσωμάτων ιδίων κεφαλαίων (</w:t>
      </w:r>
      <w:r w:rsidRPr="00041815">
        <w:rPr>
          <w:rFonts w:ascii="Arial" w:hAnsi="Arial" w:cs="Arial"/>
          <w:sz w:val="18"/>
          <w:szCs w:val="18"/>
          <w:lang w:val="en-US"/>
        </w:rPr>
        <w:t>ROTE</w:t>
      </w:r>
      <w:r w:rsidRPr="00041815">
        <w:rPr>
          <w:rFonts w:ascii="Arial" w:hAnsi="Arial" w:cs="Arial"/>
          <w:sz w:val="18"/>
          <w:szCs w:val="18"/>
          <w:lang w:val="el-GR"/>
        </w:rPr>
        <w:t>)’ παρατίθενται πιο κάτω:</w:t>
      </w:r>
    </w:p>
    <w:tbl>
      <w:tblPr>
        <w:tblStyle w:val="TableGrid13"/>
        <w:tblW w:w="952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90"/>
        <w:gridCol w:w="1417"/>
        <w:gridCol w:w="1417"/>
      </w:tblGrid>
      <w:tr w:rsidR="0056738E" w:rsidRPr="00B51630" w14:paraId="438A3636" w14:textId="77777777" w:rsidTr="007C2AEE">
        <w:trPr>
          <w:trHeight w:val="255"/>
          <w:jc w:val="center"/>
        </w:trPr>
        <w:tc>
          <w:tcPr>
            <w:tcW w:w="6690" w:type="dxa"/>
            <w:vAlign w:val="center"/>
          </w:tcPr>
          <w:p w14:paraId="69657D6C" w14:textId="77777777" w:rsidR="0056738E" w:rsidRPr="00B51630" w:rsidRDefault="0056738E" w:rsidP="007C2AEE">
            <w:pPr>
              <w:tabs>
                <w:tab w:val="left" w:pos="0"/>
                <w:tab w:val="left" w:pos="360"/>
              </w:tabs>
              <w:rPr>
                <w:rFonts w:ascii="Verdana" w:hAnsi="Verdana" w:cs="ArialMT"/>
                <w:b/>
                <w:sz w:val="18"/>
                <w:szCs w:val="18"/>
                <w:lang w:val="el-GR"/>
              </w:rPr>
            </w:pPr>
          </w:p>
        </w:tc>
        <w:tc>
          <w:tcPr>
            <w:tcW w:w="1417" w:type="dxa"/>
            <w:shd w:val="clear" w:color="auto" w:fill="auto"/>
            <w:vAlign w:val="center"/>
          </w:tcPr>
          <w:p w14:paraId="7589936A" w14:textId="77777777" w:rsidR="0056738E" w:rsidRPr="004A4580" w:rsidRDefault="0056738E" w:rsidP="007C2AEE">
            <w:pPr>
              <w:ind w:left="-134" w:right="-186"/>
              <w:jc w:val="center"/>
              <w:rPr>
                <w:rFonts w:ascii="Arial" w:hAnsi="Arial" w:cs="Arial"/>
                <w:b/>
                <w:sz w:val="18"/>
                <w:szCs w:val="18"/>
                <w:lang w:val="el-GR"/>
              </w:rPr>
            </w:pPr>
            <w:r w:rsidRPr="00B51630">
              <w:rPr>
                <w:rFonts w:ascii="Arial" w:hAnsi="Arial" w:cs="Arial"/>
                <w:b/>
                <w:sz w:val="18"/>
                <w:szCs w:val="18"/>
              </w:rPr>
              <w:t>202</w:t>
            </w:r>
            <w:r>
              <w:rPr>
                <w:rFonts w:ascii="Arial" w:hAnsi="Arial" w:cs="Arial"/>
                <w:b/>
                <w:sz w:val="18"/>
                <w:szCs w:val="18"/>
                <w:lang w:val="el-GR"/>
              </w:rPr>
              <w:t>4</w:t>
            </w:r>
          </w:p>
        </w:tc>
        <w:tc>
          <w:tcPr>
            <w:tcW w:w="1417" w:type="dxa"/>
            <w:vAlign w:val="center"/>
          </w:tcPr>
          <w:p w14:paraId="39E93B06" w14:textId="77777777" w:rsidR="0056738E" w:rsidRPr="00955C85" w:rsidRDefault="0056738E" w:rsidP="007C2AEE">
            <w:pPr>
              <w:ind w:left="-202" w:right="-99"/>
              <w:jc w:val="center"/>
              <w:rPr>
                <w:rFonts w:ascii="Verdana" w:hAnsi="Verdana"/>
                <w:iCs/>
                <w:spacing w:val="-4"/>
                <w:sz w:val="18"/>
                <w:szCs w:val="18"/>
                <w:lang w:val="el-GR"/>
              </w:rPr>
            </w:pPr>
            <w:r w:rsidRPr="00B51630">
              <w:rPr>
                <w:rFonts w:ascii="Arial" w:hAnsi="Arial" w:cs="Arial"/>
                <w:sz w:val="18"/>
                <w:szCs w:val="18"/>
              </w:rPr>
              <w:t>202</w:t>
            </w:r>
            <w:r>
              <w:rPr>
                <w:rFonts w:ascii="Arial" w:hAnsi="Arial" w:cs="Arial"/>
                <w:sz w:val="18"/>
                <w:szCs w:val="18"/>
                <w:lang w:val="el-GR"/>
              </w:rPr>
              <w:t>3</w:t>
            </w:r>
          </w:p>
        </w:tc>
      </w:tr>
      <w:tr w:rsidR="0056738E" w:rsidRPr="005B5182" w14:paraId="34807834" w14:textId="77777777" w:rsidTr="007C2AEE">
        <w:trPr>
          <w:trHeight w:val="255"/>
          <w:jc w:val="center"/>
        </w:trPr>
        <w:tc>
          <w:tcPr>
            <w:tcW w:w="6690" w:type="dxa"/>
            <w:vAlign w:val="center"/>
          </w:tcPr>
          <w:p w14:paraId="284E9813" w14:textId="77777777" w:rsidR="0056738E" w:rsidRPr="00B51630" w:rsidRDefault="0056738E" w:rsidP="007C2AEE">
            <w:pPr>
              <w:tabs>
                <w:tab w:val="left" w:pos="0"/>
                <w:tab w:val="right" w:pos="7560"/>
                <w:tab w:val="right" w:pos="9000"/>
              </w:tabs>
              <w:jc w:val="both"/>
              <w:rPr>
                <w:rFonts w:ascii="Arial" w:hAnsi="Arial" w:cs="Arial"/>
                <w:sz w:val="18"/>
                <w:szCs w:val="18"/>
                <w:lang w:val="el-GR"/>
              </w:rPr>
            </w:pPr>
            <w:r>
              <w:rPr>
                <w:rFonts w:ascii="Arial" w:hAnsi="Arial" w:cs="Arial"/>
                <w:sz w:val="18"/>
                <w:szCs w:val="18"/>
                <w:lang w:val="el-GR"/>
              </w:rPr>
              <w:t>Κέρδη</w:t>
            </w:r>
            <w:r w:rsidRPr="00B51630">
              <w:rPr>
                <w:rFonts w:ascii="Arial" w:hAnsi="Arial" w:cs="Arial"/>
                <w:sz w:val="18"/>
                <w:szCs w:val="18"/>
                <w:lang w:val="el-GR"/>
              </w:rPr>
              <w:t xml:space="preserve"> </w:t>
            </w:r>
            <w:r>
              <w:rPr>
                <w:rFonts w:ascii="Arial" w:hAnsi="Arial" w:cs="Arial"/>
                <w:sz w:val="18"/>
                <w:szCs w:val="18"/>
                <w:lang w:val="el-GR"/>
              </w:rPr>
              <w:t>μετά</w:t>
            </w:r>
            <w:r w:rsidRPr="00B51630">
              <w:rPr>
                <w:rFonts w:ascii="Arial" w:hAnsi="Arial" w:cs="Arial"/>
                <w:sz w:val="18"/>
                <w:szCs w:val="18"/>
                <w:lang w:val="el-GR"/>
              </w:rPr>
              <w:t xml:space="preserve"> </w:t>
            </w:r>
            <w:r>
              <w:rPr>
                <w:rFonts w:ascii="Arial" w:hAnsi="Arial" w:cs="Arial"/>
                <w:sz w:val="18"/>
                <w:szCs w:val="18"/>
                <w:lang w:val="el-GR"/>
              </w:rPr>
              <w:t>τη</w:t>
            </w:r>
            <w:r w:rsidRPr="00B51630">
              <w:rPr>
                <w:rFonts w:ascii="Arial" w:hAnsi="Arial" w:cs="Arial"/>
                <w:sz w:val="18"/>
                <w:szCs w:val="18"/>
                <w:lang w:val="el-GR"/>
              </w:rPr>
              <w:t xml:space="preserve"> </w:t>
            </w:r>
            <w:r>
              <w:rPr>
                <w:rFonts w:ascii="Arial" w:hAnsi="Arial" w:cs="Arial"/>
                <w:sz w:val="18"/>
                <w:szCs w:val="18"/>
                <w:lang w:val="el-GR"/>
              </w:rPr>
              <w:t xml:space="preserve">φορολογία για την περίοδο </w:t>
            </w:r>
            <w:r w:rsidRPr="00B51630">
              <w:rPr>
                <w:rFonts w:ascii="Arial" w:hAnsi="Arial" w:cs="Arial"/>
                <w:sz w:val="18"/>
                <w:szCs w:val="18"/>
                <w:lang w:val="el-GR"/>
              </w:rPr>
              <w:t>(</w:t>
            </w:r>
            <w:r>
              <w:rPr>
                <w:rFonts w:ascii="Arial" w:hAnsi="Arial" w:cs="Arial"/>
                <w:sz w:val="18"/>
                <w:szCs w:val="18"/>
                <w:lang w:val="el-GR"/>
              </w:rPr>
              <w:t>που</w:t>
            </w:r>
            <w:r w:rsidRPr="00B51630">
              <w:rPr>
                <w:rFonts w:ascii="Arial" w:hAnsi="Arial" w:cs="Arial"/>
                <w:sz w:val="18"/>
                <w:szCs w:val="18"/>
                <w:lang w:val="el-GR"/>
              </w:rPr>
              <w:t xml:space="preserve"> </w:t>
            </w:r>
            <w:r>
              <w:rPr>
                <w:rFonts w:ascii="Arial" w:hAnsi="Arial" w:cs="Arial"/>
                <w:sz w:val="18"/>
                <w:szCs w:val="18"/>
                <w:lang w:val="el-GR"/>
              </w:rPr>
              <w:t>αναλογούν</w:t>
            </w:r>
            <w:r w:rsidRPr="00B51630">
              <w:rPr>
                <w:rFonts w:ascii="Arial" w:hAnsi="Arial" w:cs="Arial"/>
                <w:sz w:val="18"/>
                <w:szCs w:val="18"/>
                <w:lang w:val="el-GR"/>
              </w:rPr>
              <w:t xml:space="preserve"> </w:t>
            </w:r>
            <w:r>
              <w:rPr>
                <w:rFonts w:ascii="Arial" w:hAnsi="Arial" w:cs="Arial"/>
                <w:sz w:val="18"/>
                <w:szCs w:val="18"/>
                <w:lang w:val="el-GR"/>
              </w:rPr>
              <w:t>στους</w:t>
            </w:r>
            <w:r w:rsidRPr="00B51630">
              <w:rPr>
                <w:rFonts w:ascii="Arial" w:hAnsi="Arial" w:cs="Arial"/>
                <w:sz w:val="18"/>
                <w:szCs w:val="18"/>
                <w:lang w:val="el-GR"/>
              </w:rPr>
              <w:t xml:space="preserve"> </w:t>
            </w:r>
            <w:r>
              <w:rPr>
                <w:rFonts w:ascii="Arial" w:hAnsi="Arial" w:cs="Arial"/>
                <w:sz w:val="18"/>
                <w:szCs w:val="18"/>
                <w:lang w:val="el-GR"/>
              </w:rPr>
              <w:t>ιδιοκτήτες</w:t>
            </w:r>
            <w:r w:rsidRPr="00B51630">
              <w:rPr>
                <w:rFonts w:ascii="Arial" w:hAnsi="Arial" w:cs="Arial"/>
                <w:sz w:val="18"/>
                <w:szCs w:val="18"/>
                <w:lang w:val="el-GR"/>
              </w:rPr>
              <w:t xml:space="preserve"> </w:t>
            </w:r>
            <w:r>
              <w:rPr>
                <w:rFonts w:ascii="Arial" w:hAnsi="Arial" w:cs="Arial"/>
                <w:sz w:val="18"/>
                <w:szCs w:val="18"/>
                <w:lang w:val="el-GR"/>
              </w:rPr>
              <w:t>της</w:t>
            </w:r>
            <w:r w:rsidRPr="00B51630">
              <w:rPr>
                <w:rFonts w:ascii="Arial" w:hAnsi="Arial" w:cs="Arial"/>
                <w:sz w:val="18"/>
                <w:szCs w:val="18"/>
                <w:lang w:val="el-GR"/>
              </w:rPr>
              <w:t xml:space="preserve"> </w:t>
            </w:r>
            <w:r>
              <w:rPr>
                <w:rFonts w:ascii="Arial" w:hAnsi="Arial" w:cs="Arial"/>
                <w:sz w:val="18"/>
                <w:szCs w:val="18"/>
                <w:lang w:val="el-GR"/>
              </w:rPr>
              <w:t>Εταιρίας</w:t>
            </w:r>
            <w:r w:rsidRPr="00B51630">
              <w:rPr>
                <w:rFonts w:ascii="Arial" w:hAnsi="Arial" w:cs="Arial"/>
                <w:sz w:val="18"/>
                <w:szCs w:val="18"/>
                <w:lang w:val="el-GR"/>
              </w:rPr>
              <w:t xml:space="preserve">) </w:t>
            </w:r>
            <w:r w:rsidRPr="00A03828">
              <w:rPr>
                <w:rFonts w:ascii="Arial" w:hAnsi="Arial" w:cs="Arial"/>
                <w:sz w:val="18"/>
                <w:szCs w:val="18"/>
                <w:lang w:val="el-GR"/>
              </w:rPr>
              <w:t>(</w:t>
            </w:r>
            <w:proofErr w:type="spellStart"/>
            <w:r>
              <w:rPr>
                <w:rFonts w:ascii="Arial" w:hAnsi="Arial" w:cs="Arial"/>
                <w:sz w:val="18"/>
                <w:szCs w:val="18"/>
                <w:lang w:val="el-GR"/>
              </w:rPr>
              <w:t>ετησιοποιημένα</w:t>
            </w:r>
            <w:proofErr w:type="spellEnd"/>
            <w:r w:rsidRPr="00A03828">
              <w:rPr>
                <w:rFonts w:ascii="Arial" w:hAnsi="Arial" w:cs="Arial"/>
                <w:sz w:val="18"/>
                <w:szCs w:val="18"/>
                <w:lang w:val="el-GR"/>
              </w:rPr>
              <w:t>)</w:t>
            </w:r>
            <w:r>
              <w:rPr>
                <w:rFonts w:ascii="Arial" w:hAnsi="Arial" w:cs="Arial"/>
                <w:sz w:val="18"/>
                <w:szCs w:val="18"/>
                <w:lang w:val="el-GR"/>
              </w:rPr>
              <w:t xml:space="preserve"> στην</w:t>
            </w:r>
            <w:r w:rsidRPr="00041815">
              <w:rPr>
                <w:rFonts w:ascii="Arial" w:hAnsi="Arial" w:cs="Arial"/>
                <w:sz w:val="18"/>
                <w:szCs w:val="18"/>
                <w:lang w:val="el-GR"/>
              </w:rPr>
              <w:t xml:space="preserve"> </w:t>
            </w:r>
            <w:r>
              <w:rPr>
                <w:rFonts w:ascii="Arial" w:hAnsi="Arial" w:cs="Arial"/>
                <w:sz w:val="18"/>
                <w:szCs w:val="18"/>
                <w:lang w:val="el-GR"/>
              </w:rPr>
              <w:t>υποκείμενη βάση/</w:t>
            </w:r>
            <w:r w:rsidRPr="00527619">
              <w:rPr>
                <w:rFonts w:ascii="Arial" w:hAnsi="Arial" w:cs="Arial"/>
                <w:sz w:val="18"/>
                <w:szCs w:val="18"/>
                <w:lang w:val="el-GR"/>
              </w:rPr>
              <w:t>στην απαιτούμενη από τη νομοθεσία βάση</w:t>
            </w:r>
            <w:r w:rsidRPr="00527619" w:rsidDel="00527619">
              <w:rPr>
                <w:rFonts w:ascii="Arial" w:hAnsi="Arial" w:cs="Arial"/>
                <w:sz w:val="18"/>
                <w:szCs w:val="18"/>
                <w:lang w:val="el-GR"/>
              </w:rPr>
              <w:t xml:space="preserve"> </w:t>
            </w:r>
            <w:r>
              <w:rPr>
                <w:rFonts w:ascii="Arial" w:hAnsi="Arial" w:cs="Arial"/>
                <w:sz w:val="18"/>
                <w:szCs w:val="18"/>
                <w:lang w:val="el-GR"/>
              </w:rPr>
              <w:t xml:space="preserve">για το εννεάμηνο που έληξε στις </w:t>
            </w:r>
            <w:r w:rsidRPr="002135C9">
              <w:rPr>
                <w:rFonts w:ascii="Arial" w:hAnsi="Arial" w:cs="Arial"/>
                <w:sz w:val="18"/>
                <w:szCs w:val="18"/>
                <w:lang w:val="el-GR"/>
              </w:rPr>
              <w:t>3</w:t>
            </w:r>
            <w:r>
              <w:rPr>
                <w:rFonts w:ascii="Arial" w:hAnsi="Arial" w:cs="Arial"/>
                <w:sz w:val="18"/>
                <w:szCs w:val="18"/>
                <w:lang w:val="el-GR"/>
              </w:rPr>
              <w:t>0</w:t>
            </w:r>
            <w:r w:rsidRPr="002135C9">
              <w:rPr>
                <w:rFonts w:ascii="Arial" w:hAnsi="Arial" w:cs="Arial"/>
                <w:sz w:val="18"/>
                <w:szCs w:val="18"/>
                <w:lang w:val="el-GR"/>
              </w:rPr>
              <w:t xml:space="preserve"> </w:t>
            </w:r>
            <w:r w:rsidRPr="004660BE">
              <w:rPr>
                <w:rFonts w:ascii="Arial" w:hAnsi="Arial" w:cs="Arial"/>
                <w:sz w:val="18"/>
                <w:szCs w:val="18"/>
                <w:lang w:val="el-GR"/>
              </w:rPr>
              <w:t xml:space="preserve">Σεπτεμβρίου </w:t>
            </w:r>
            <w:r w:rsidRPr="00010EC7">
              <w:rPr>
                <w:rFonts w:ascii="Arial" w:hAnsi="Arial" w:cs="Arial"/>
                <w:sz w:val="18"/>
                <w:szCs w:val="18"/>
                <w:lang w:val="el-GR"/>
              </w:rPr>
              <w:t>(€000)</w:t>
            </w:r>
          </w:p>
        </w:tc>
        <w:tc>
          <w:tcPr>
            <w:tcW w:w="1417" w:type="dxa"/>
            <w:shd w:val="clear" w:color="auto" w:fill="auto"/>
            <w:vAlign w:val="center"/>
          </w:tcPr>
          <w:p w14:paraId="6A2CDE4D" w14:textId="77777777" w:rsidR="0056738E" w:rsidRPr="008A3E7B" w:rsidRDefault="0056738E" w:rsidP="007C2AEE">
            <w:pPr>
              <w:tabs>
                <w:tab w:val="right" w:pos="7560"/>
                <w:tab w:val="right" w:pos="9000"/>
              </w:tabs>
              <w:ind w:left="-134"/>
              <w:jc w:val="right"/>
              <w:rPr>
                <w:rFonts w:ascii="Arial" w:hAnsi="Arial" w:cs="Arial"/>
                <w:b/>
                <w:bCs/>
                <w:sz w:val="18"/>
                <w:szCs w:val="18"/>
                <w:lang w:val="el-GR"/>
              </w:rPr>
            </w:pPr>
            <w:r>
              <w:rPr>
                <w:rFonts w:ascii="Arial" w:hAnsi="Arial" w:cs="Arial"/>
                <w:b/>
                <w:bCs/>
                <w:sz w:val="18"/>
                <w:szCs w:val="18"/>
              </w:rPr>
              <w:t>535,121</w:t>
            </w:r>
          </w:p>
        </w:tc>
        <w:tc>
          <w:tcPr>
            <w:tcW w:w="1417" w:type="dxa"/>
            <w:shd w:val="clear" w:color="auto" w:fill="auto"/>
            <w:vAlign w:val="center"/>
          </w:tcPr>
          <w:p w14:paraId="5659222A" w14:textId="77777777" w:rsidR="0056738E" w:rsidRPr="008F4486" w:rsidRDefault="0056738E" w:rsidP="007C2AEE">
            <w:pPr>
              <w:tabs>
                <w:tab w:val="left" w:pos="0"/>
                <w:tab w:val="right" w:pos="7560"/>
                <w:tab w:val="right" w:pos="9000"/>
              </w:tabs>
              <w:jc w:val="right"/>
              <w:rPr>
                <w:rFonts w:ascii="Arial" w:hAnsi="Arial" w:cs="Arial"/>
                <w:bCs/>
                <w:sz w:val="18"/>
                <w:szCs w:val="18"/>
                <w:lang w:val="el-GR"/>
              </w:rPr>
            </w:pPr>
            <w:r w:rsidRPr="00E25891">
              <w:rPr>
                <w:rFonts w:ascii="Arial" w:hAnsi="Arial" w:cs="Arial"/>
                <w:sz w:val="18"/>
                <w:szCs w:val="18"/>
              </w:rPr>
              <w:t>467,097</w:t>
            </w:r>
          </w:p>
        </w:tc>
      </w:tr>
      <w:tr w:rsidR="0056738E" w:rsidRPr="005B5182" w14:paraId="1631BB2A" w14:textId="77777777" w:rsidTr="007C2AEE">
        <w:trPr>
          <w:trHeight w:val="255"/>
          <w:jc w:val="center"/>
        </w:trPr>
        <w:tc>
          <w:tcPr>
            <w:tcW w:w="6690" w:type="dxa"/>
            <w:vAlign w:val="center"/>
          </w:tcPr>
          <w:p w14:paraId="3F903FA7" w14:textId="77777777" w:rsidR="0056738E" w:rsidRPr="00010EC7" w:rsidRDefault="0056738E" w:rsidP="007C2AEE">
            <w:pPr>
              <w:tabs>
                <w:tab w:val="left" w:pos="0"/>
                <w:tab w:val="right" w:pos="7560"/>
                <w:tab w:val="right" w:pos="9000"/>
              </w:tabs>
              <w:rPr>
                <w:rFonts w:ascii="Arial" w:hAnsi="Arial" w:cs="Arial"/>
                <w:sz w:val="18"/>
                <w:szCs w:val="18"/>
                <w:lang w:val="el-GR"/>
              </w:rPr>
            </w:pPr>
            <w:r>
              <w:rPr>
                <w:rFonts w:ascii="Arial" w:hAnsi="Arial" w:cs="Arial"/>
                <w:sz w:val="18"/>
                <w:szCs w:val="18"/>
                <w:lang w:val="el-GR"/>
              </w:rPr>
              <w:t xml:space="preserve">Τριμηνιαίος μέσος όρος των ενσώματων ιδίων κεφαλαίων που αναλογούν στους ιδιοκτήτες της Εταιρίας στις </w:t>
            </w:r>
            <w:r w:rsidRPr="002135C9">
              <w:rPr>
                <w:rFonts w:ascii="Arial" w:hAnsi="Arial" w:cs="Arial"/>
                <w:sz w:val="18"/>
                <w:szCs w:val="18"/>
                <w:lang w:val="el-GR"/>
              </w:rPr>
              <w:t>3</w:t>
            </w:r>
            <w:r>
              <w:rPr>
                <w:rFonts w:ascii="Arial" w:hAnsi="Arial" w:cs="Arial"/>
                <w:sz w:val="18"/>
                <w:szCs w:val="18"/>
                <w:lang w:val="el-GR"/>
              </w:rPr>
              <w:t>0</w:t>
            </w:r>
            <w:r w:rsidRPr="002135C9">
              <w:rPr>
                <w:rFonts w:ascii="Arial" w:hAnsi="Arial" w:cs="Arial"/>
                <w:sz w:val="18"/>
                <w:szCs w:val="18"/>
                <w:lang w:val="el-GR"/>
              </w:rPr>
              <w:t xml:space="preserve"> </w:t>
            </w:r>
            <w:r w:rsidRPr="004660BE">
              <w:rPr>
                <w:rFonts w:ascii="Arial" w:hAnsi="Arial" w:cs="Arial"/>
                <w:sz w:val="18"/>
                <w:szCs w:val="18"/>
                <w:lang w:val="el-GR"/>
              </w:rPr>
              <w:t xml:space="preserve">Σεπτεμβρίου </w:t>
            </w:r>
            <w:r w:rsidRPr="001C3AA9">
              <w:rPr>
                <w:rFonts w:ascii="Arial" w:hAnsi="Arial" w:cs="Arial"/>
                <w:i/>
                <w:iCs/>
                <w:sz w:val="18"/>
                <w:szCs w:val="18"/>
                <w:lang w:val="el-GR"/>
              </w:rPr>
              <w:t>(ως ο</w:t>
            </w:r>
            <w:r>
              <w:rPr>
                <w:rFonts w:ascii="Arial" w:hAnsi="Arial" w:cs="Arial"/>
                <w:sz w:val="18"/>
                <w:szCs w:val="18"/>
                <w:lang w:val="el-GR"/>
              </w:rPr>
              <w:t xml:space="preserve"> </w:t>
            </w:r>
            <w:r w:rsidRPr="001C3AA9">
              <w:rPr>
                <w:rFonts w:ascii="Arial" w:hAnsi="Arial" w:cs="Arial"/>
                <w:i/>
                <w:iCs/>
                <w:sz w:val="18"/>
                <w:szCs w:val="18"/>
                <w:lang w:val="el-GR"/>
              </w:rPr>
              <w:t xml:space="preserve">πίνακας </w:t>
            </w:r>
            <w:r>
              <w:rPr>
                <w:rFonts w:ascii="Arial" w:hAnsi="Arial" w:cs="Arial"/>
                <w:i/>
                <w:iCs/>
                <w:sz w:val="18"/>
                <w:szCs w:val="18"/>
                <w:lang w:val="el-GR"/>
              </w:rPr>
              <w:t>6</w:t>
            </w:r>
            <w:r w:rsidRPr="001C3AA9">
              <w:rPr>
                <w:rFonts w:ascii="Arial" w:hAnsi="Arial" w:cs="Arial"/>
                <w:i/>
                <w:iCs/>
                <w:sz w:val="18"/>
                <w:szCs w:val="18"/>
                <w:lang w:val="el-GR"/>
              </w:rPr>
              <w:t xml:space="preserve">.2 πιο κάτω) </w:t>
            </w:r>
            <w:r w:rsidRPr="00010EC7">
              <w:rPr>
                <w:rFonts w:ascii="Arial" w:hAnsi="Arial" w:cs="Arial"/>
                <w:sz w:val="18"/>
                <w:szCs w:val="18"/>
                <w:lang w:val="el-GR"/>
              </w:rPr>
              <w:t>(€000)</w:t>
            </w:r>
          </w:p>
        </w:tc>
        <w:tc>
          <w:tcPr>
            <w:tcW w:w="1417" w:type="dxa"/>
            <w:shd w:val="clear" w:color="auto" w:fill="auto"/>
            <w:vAlign w:val="center"/>
          </w:tcPr>
          <w:p w14:paraId="1BE6BE90" w14:textId="77777777" w:rsidR="0056738E" w:rsidRPr="008A3E7B" w:rsidRDefault="0056738E" w:rsidP="007C2AEE">
            <w:pPr>
              <w:tabs>
                <w:tab w:val="right" w:pos="7560"/>
                <w:tab w:val="right" w:pos="9000"/>
              </w:tabs>
              <w:ind w:left="-121"/>
              <w:jc w:val="right"/>
              <w:rPr>
                <w:rFonts w:ascii="Arial" w:hAnsi="Arial" w:cs="Arial"/>
                <w:b/>
                <w:bCs/>
                <w:sz w:val="18"/>
                <w:szCs w:val="18"/>
                <w:lang w:val="el-GR"/>
              </w:rPr>
            </w:pPr>
            <w:r>
              <w:rPr>
                <w:rFonts w:ascii="Arial" w:hAnsi="Arial" w:cs="Arial"/>
                <w:b/>
                <w:bCs/>
                <w:sz w:val="18"/>
                <w:szCs w:val="18"/>
              </w:rPr>
              <w:t>2,334,261</w:t>
            </w:r>
          </w:p>
        </w:tc>
        <w:tc>
          <w:tcPr>
            <w:tcW w:w="1417" w:type="dxa"/>
            <w:shd w:val="clear" w:color="auto" w:fill="auto"/>
            <w:vAlign w:val="center"/>
          </w:tcPr>
          <w:p w14:paraId="7E296C6E" w14:textId="77777777" w:rsidR="0056738E" w:rsidRPr="008A3E7B" w:rsidRDefault="0056738E" w:rsidP="007C2AEE">
            <w:pPr>
              <w:tabs>
                <w:tab w:val="left" w:pos="0"/>
                <w:tab w:val="right" w:pos="7560"/>
                <w:tab w:val="right" w:pos="9000"/>
              </w:tabs>
              <w:jc w:val="right"/>
              <w:rPr>
                <w:rFonts w:ascii="Arial" w:hAnsi="Arial" w:cs="Arial"/>
                <w:bCs/>
                <w:sz w:val="18"/>
                <w:szCs w:val="18"/>
                <w:lang w:val="el-GR"/>
              </w:rPr>
            </w:pPr>
            <w:r w:rsidRPr="00E25891">
              <w:rPr>
                <w:rFonts w:ascii="Arial" w:hAnsi="Arial" w:cs="Arial"/>
                <w:sz w:val="18"/>
                <w:szCs w:val="18"/>
              </w:rPr>
              <w:t>1,90</w:t>
            </w:r>
            <w:r w:rsidRPr="00E25891">
              <w:rPr>
                <w:rFonts w:ascii="Arial" w:hAnsi="Arial" w:cs="Arial"/>
                <w:sz w:val="18"/>
                <w:szCs w:val="18"/>
                <w:lang w:val="el-GR"/>
              </w:rPr>
              <w:t>1</w:t>
            </w:r>
            <w:r w:rsidRPr="00E25891">
              <w:rPr>
                <w:rFonts w:ascii="Arial" w:hAnsi="Arial" w:cs="Arial"/>
                <w:sz w:val="18"/>
                <w:szCs w:val="18"/>
              </w:rPr>
              <w:t>,</w:t>
            </w:r>
            <w:r w:rsidRPr="00E25891">
              <w:rPr>
                <w:rFonts w:ascii="Arial" w:hAnsi="Arial" w:cs="Arial"/>
                <w:sz w:val="18"/>
                <w:szCs w:val="18"/>
                <w:lang w:val="el-GR"/>
              </w:rPr>
              <w:t>882</w:t>
            </w:r>
          </w:p>
        </w:tc>
      </w:tr>
      <w:tr w:rsidR="0056738E" w:rsidRPr="005B5182" w14:paraId="56B28606" w14:textId="77777777" w:rsidTr="007C2AEE">
        <w:trPr>
          <w:trHeight w:val="255"/>
          <w:jc w:val="center"/>
        </w:trPr>
        <w:tc>
          <w:tcPr>
            <w:tcW w:w="6690" w:type="dxa"/>
            <w:vAlign w:val="center"/>
          </w:tcPr>
          <w:p w14:paraId="0CE5EFD6" w14:textId="77777777" w:rsidR="0056738E" w:rsidRPr="00D42D91" w:rsidRDefault="0056738E" w:rsidP="007C2AEE">
            <w:pPr>
              <w:tabs>
                <w:tab w:val="right" w:pos="7560"/>
                <w:tab w:val="right" w:pos="9000"/>
              </w:tabs>
              <w:rPr>
                <w:rFonts w:ascii="Arial" w:hAnsi="Arial" w:cs="Arial"/>
                <w:sz w:val="18"/>
                <w:szCs w:val="18"/>
                <w:lang w:val="el-GR"/>
              </w:rPr>
            </w:pPr>
            <w:r>
              <w:rPr>
                <w:rFonts w:ascii="Arial" w:hAnsi="Arial" w:cs="Arial"/>
                <w:sz w:val="18"/>
                <w:szCs w:val="18"/>
                <w:lang w:val="el-GR"/>
              </w:rPr>
              <w:t>Απόδοση</w:t>
            </w:r>
            <w:r w:rsidRPr="00D42D91">
              <w:rPr>
                <w:rFonts w:ascii="Arial" w:hAnsi="Arial" w:cs="Arial"/>
                <w:sz w:val="18"/>
                <w:szCs w:val="18"/>
                <w:lang w:val="el-GR"/>
              </w:rPr>
              <w:t xml:space="preserve"> </w:t>
            </w:r>
            <w:r>
              <w:rPr>
                <w:rFonts w:ascii="Arial" w:hAnsi="Arial" w:cs="Arial"/>
                <w:sz w:val="18"/>
                <w:szCs w:val="18"/>
                <w:lang w:val="el-GR"/>
              </w:rPr>
              <w:t>ενσώματων</w:t>
            </w:r>
            <w:r w:rsidRPr="00D42D91">
              <w:rPr>
                <w:rFonts w:ascii="Arial" w:hAnsi="Arial" w:cs="Arial"/>
                <w:sz w:val="18"/>
                <w:szCs w:val="18"/>
                <w:lang w:val="el-GR"/>
              </w:rPr>
              <w:t xml:space="preserve"> </w:t>
            </w:r>
            <w:r>
              <w:rPr>
                <w:rFonts w:ascii="Arial" w:hAnsi="Arial" w:cs="Arial"/>
                <w:sz w:val="18"/>
                <w:szCs w:val="18"/>
                <w:lang w:val="el-GR"/>
              </w:rPr>
              <w:t>ιδίων</w:t>
            </w:r>
            <w:r w:rsidRPr="00D42D91">
              <w:rPr>
                <w:rFonts w:ascii="Arial" w:hAnsi="Arial" w:cs="Arial"/>
                <w:sz w:val="18"/>
                <w:szCs w:val="18"/>
                <w:lang w:val="el-GR"/>
              </w:rPr>
              <w:t xml:space="preserve"> </w:t>
            </w:r>
            <w:r>
              <w:rPr>
                <w:rFonts w:ascii="Arial" w:hAnsi="Arial" w:cs="Arial"/>
                <w:sz w:val="18"/>
                <w:szCs w:val="18"/>
                <w:lang w:val="el-GR"/>
              </w:rPr>
              <w:t>κεφαλαίων</w:t>
            </w:r>
            <w:r w:rsidRPr="00D42D91">
              <w:rPr>
                <w:rFonts w:ascii="Arial" w:hAnsi="Arial" w:cs="Arial"/>
                <w:sz w:val="18"/>
                <w:szCs w:val="18"/>
                <w:lang w:val="el-GR"/>
              </w:rPr>
              <w:t xml:space="preserve"> (</w:t>
            </w:r>
            <w:r w:rsidRPr="00B51630">
              <w:rPr>
                <w:rFonts w:ascii="Arial" w:hAnsi="Arial" w:cs="Arial"/>
                <w:sz w:val="18"/>
                <w:szCs w:val="18"/>
              </w:rPr>
              <w:t>ROTE</w:t>
            </w:r>
            <w:r w:rsidRPr="00D42D91">
              <w:rPr>
                <w:rFonts w:ascii="Arial" w:hAnsi="Arial" w:cs="Arial"/>
                <w:sz w:val="18"/>
                <w:szCs w:val="18"/>
                <w:lang w:val="el-GR"/>
              </w:rPr>
              <w:t xml:space="preserve">) </w:t>
            </w:r>
            <w:r>
              <w:rPr>
                <w:rFonts w:ascii="Arial" w:hAnsi="Arial" w:cs="Arial"/>
                <w:sz w:val="18"/>
                <w:szCs w:val="18"/>
                <w:lang w:val="el-GR"/>
              </w:rPr>
              <w:t>(</w:t>
            </w:r>
            <w:proofErr w:type="spellStart"/>
            <w:r>
              <w:rPr>
                <w:rFonts w:ascii="Arial" w:hAnsi="Arial" w:cs="Arial"/>
                <w:sz w:val="18"/>
                <w:szCs w:val="18"/>
                <w:lang w:val="el-GR"/>
              </w:rPr>
              <w:t>ετησιοποιημένη</w:t>
            </w:r>
            <w:proofErr w:type="spellEnd"/>
            <w:r>
              <w:rPr>
                <w:rFonts w:ascii="Arial" w:hAnsi="Arial" w:cs="Arial"/>
                <w:sz w:val="18"/>
                <w:szCs w:val="18"/>
                <w:lang w:val="el-GR"/>
              </w:rPr>
              <w:t>)</w:t>
            </w:r>
            <w:r w:rsidRPr="00D42D91">
              <w:rPr>
                <w:rFonts w:ascii="Arial" w:hAnsi="Arial" w:cs="Arial"/>
                <w:sz w:val="18"/>
                <w:szCs w:val="18"/>
                <w:lang w:val="el-GR"/>
              </w:rPr>
              <w:t xml:space="preserve"> (%)</w:t>
            </w:r>
          </w:p>
        </w:tc>
        <w:tc>
          <w:tcPr>
            <w:tcW w:w="1417" w:type="dxa"/>
            <w:shd w:val="clear" w:color="auto" w:fill="auto"/>
            <w:vAlign w:val="center"/>
          </w:tcPr>
          <w:p w14:paraId="6C2E9358" w14:textId="77777777" w:rsidR="0056738E" w:rsidRPr="008F4486" w:rsidRDefault="0056738E" w:rsidP="007C2AEE">
            <w:pPr>
              <w:tabs>
                <w:tab w:val="right" w:pos="7560"/>
                <w:tab w:val="right" w:pos="9000"/>
              </w:tabs>
              <w:ind w:left="-121"/>
              <w:jc w:val="right"/>
              <w:rPr>
                <w:rFonts w:ascii="Arial" w:hAnsi="Arial" w:cs="Arial"/>
                <w:b/>
                <w:bCs/>
                <w:sz w:val="18"/>
                <w:szCs w:val="18"/>
                <w:lang w:val="el-GR"/>
              </w:rPr>
            </w:pPr>
            <w:r>
              <w:rPr>
                <w:rFonts w:ascii="Arial" w:hAnsi="Arial" w:cs="Arial"/>
                <w:b/>
                <w:bCs/>
                <w:sz w:val="18"/>
                <w:szCs w:val="18"/>
              </w:rPr>
              <w:t>22.9%</w:t>
            </w:r>
          </w:p>
        </w:tc>
        <w:tc>
          <w:tcPr>
            <w:tcW w:w="1417" w:type="dxa"/>
            <w:shd w:val="clear" w:color="auto" w:fill="auto"/>
            <w:vAlign w:val="center"/>
          </w:tcPr>
          <w:p w14:paraId="51D7966C" w14:textId="77777777" w:rsidR="0056738E" w:rsidRPr="008F4486" w:rsidRDefault="0056738E" w:rsidP="007C2AEE">
            <w:pPr>
              <w:tabs>
                <w:tab w:val="left" w:pos="0"/>
                <w:tab w:val="right" w:pos="7560"/>
                <w:tab w:val="right" w:pos="9000"/>
              </w:tabs>
              <w:jc w:val="right"/>
              <w:rPr>
                <w:rFonts w:ascii="Arial" w:hAnsi="Arial" w:cs="Arial"/>
                <w:bCs/>
                <w:sz w:val="18"/>
                <w:szCs w:val="18"/>
                <w:lang w:val="el-GR"/>
              </w:rPr>
            </w:pPr>
            <w:r w:rsidRPr="00E25891">
              <w:rPr>
                <w:rFonts w:ascii="Arial" w:hAnsi="Arial" w:cs="Arial"/>
                <w:sz w:val="18"/>
                <w:szCs w:val="18"/>
              </w:rPr>
              <w:t>24.6%</w:t>
            </w:r>
          </w:p>
        </w:tc>
      </w:tr>
    </w:tbl>
    <w:p w14:paraId="19CC7763" w14:textId="77777777" w:rsidR="0056738E" w:rsidRPr="00D17E65" w:rsidRDefault="0056738E" w:rsidP="0056738E">
      <w:pPr>
        <w:autoSpaceDE w:val="0"/>
        <w:autoSpaceDN w:val="0"/>
        <w:adjustRightInd w:val="0"/>
        <w:spacing w:after="0" w:line="240" w:lineRule="auto"/>
        <w:jc w:val="both"/>
        <w:rPr>
          <w:rFonts w:ascii="Arial" w:hAnsi="Arial" w:cs="Arial"/>
          <w:color w:val="262626"/>
          <w:sz w:val="14"/>
          <w:szCs w:val="18"/>
          <w:lang w:val="el-GR"/>
        </w:rPr>
      </w:pPr>
    </w:p>
    <w:tbl>
      <w:tblPr>
        <w:tblStyle w:val="TableGrid14"/>
        <w:tblW w:w="952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856"/>
        <w:gridCol w:w="1417"/>
        <w:gridCol w:w="1417"/>
        <w:gridCol w:w="1417"/>
        <w:gridCol w:w="1417"/>
      </w:tblGrid>
      <w:tr w:rsidR="0056738E" w:rsidRPr="00B51630" w14:paraId="058CDC8C" w14:textId="77777777" w:rsidTr="007C2AEE">
        <w:trPr>
          <w:trHeight w:val="236"/>
        </w:trPr>
        <w:tc>
          <w:tcPr>
            <w:tcW w:w="3856" w:type="dxa"/>
            <w:vAlign w:val="center"/>
          </w:tcPr>
          <w:p w14:paraId="540CD752" w14:textId="77777777" w:rsidR="0056738E" w:rsidRPr="00D42D91" w:rsidRDefault="0056738E" w:rsidP="007C2AEE">
            <w:pPr>
              <w:rPr>
                <w:rFonts w:ascii="Arial" w:hAnsi="Arial" w:cs="Arial"/>
                <w:b/>
                <w:sz w:val="18"/>
                <w:szCs w:val="18"/>
                <w:lang w:val="el-GR"/>
              </w:rPr>
            </w:pPr>
            <w:r w:rsidRPr="00041815">
              <w:rPr>
                <w:rFonts w:ascii="Arial" w:hAnsi="Arial" w:cs="Arial"/>
                <w:b/>
                <w:sz w:val="18"/>
                <w:szCs w:val="18"/>
                <w:lang w:val="el-GR"/>
              </w:rPr>
              <w:t>6.1  Ενσώματα ίδια κεφάλαια που αναλογούν στους ιδιοκτήτες της Εταιρίας</w:t>
            </w:r>
          </w:p>
        </w:tc>
        <w:tc>
          <w:tcPr>
            <w:tcW w:w="1417" w:type="dxa"/>
            <w:vAlign w:val="center"/>
          </w:tcPr>
          <w:p w14:paraId="0BAD5423" w14:textId="77777777" w:rsidR="0056738E" w:rsidRPr="00331BC0" w:rsidRDefault="0056738E" w:rsidP="007C2AEE">
            <w:pPr>
              <w:ind w:left="-173" w:right="-108"/>
              <w:jc w:val="center"/>
              <w:rPr>
                <w:rFonts w:ascii="Arial" w:hAnsi="Arial" w:cs="Arial"/>
                <w:b/>
                <w:sz w:val="18"/>
                <w:szCs w:val="18"/>
                <w:lang w:val="el-GR"/>
              </w:rPr>
            </w:pPr>
            <w:r w:rsidRPr="00331BC0">
              <w:rPr>
                <w:rFonts w:ascii="Arial" w:hAnsi="Arial" w:cs="Arial"/>
                <w:b/>
                <w:sz w:val="18"/>
                <w:szCs w:val="18"/>
                <w:lang w:val="el-GR"/>
              </w:rPr>
              <w:t>30 Σεπτεμβρίου</w:t>
            </w:r>
            <w:r w:rsidRPr="003D41C5">
              <w:rPr>
                <w:rFonts w:ascii="Arial" w:eastAsia="Times New Roman" w:hAnsi="Arial" w:cs="Arial"/>
                <w:b/>
                <w:bCs/>
                <w:sz w:val="18"/>
                <w:szCs w:val="18"/>
                <w:lang w:val="el-GR"/>
              </w:rPr>
              <w:t xml:space="preserve"> 2024</w:t>
            </w:r>
          </w:p>
        </w:tc>
        <w:tc>
          <w:tcPr>
            <w:tcW w:w="1417" w:type="dxa"/>
            <w:vAlign w:val="center"/>
          </w:tcPr>
          <w:p w14:paraId="1381730C" w14:textId="77777777" w:rsidR="0056738E" w:rsidRDefault="0056738E" w:rsidP="007C2AEE">
            <w:pPr>
              <w:ind w:left="-134" w:right="-186"/>
              <w:jc w:val="center"/>
              <w:rPr>
                <w:rFonts w:ascii="Arial" w:hAnsi="Arial" w:cs="Arial"/>
                <w:bCs/>
                <w:sz w:val="18"/>
                <w:szCs w:val="18"/>
                <w:lang w:val="el-GR"/>
              </w:rPr>
            </w:pPr>
            <w:r w:rsidRPr="00CF0DAD">
              <w:rPr>
                <w:rFonts w:ascii="Arial" w:hAnsi="Arial" w:cs="Arial"/>
                <w:bCs/>
                <w:sz w:val="18"/>
                <w:szCs w:val="18"/>
                <w:lang w:val="el-GR"/>
              </w:rPr>
              <w:t>30 Ιουνίου</w:t>
            </w:r>
          </w:p>
          <w:p w14:paraId="68274CE7" w14:textId="77777777" w:rsidR="0056738E" w:rsidRPr="00331BC0" w:rsidRDefault="0056738E" w:rsidP="007C2AEE">
            <w:pPr>
              <w:ind w:left="-173" w:right="-108"/>
              <w:jc w:val="center"/>
              <w:rPr>
                <w:rFonts w:ascii="Arial" w:hAnsi="Arial" w:cs="Arial"/>
                <w:b/>
                <w:sz w:val="18"/>
                <w:szCs w:val="18"/>
                <w:lang w:val="el-GR"/>
              </w:rPr>
            </w:pPr>
            <w:r w:rsidRPr="00CF0DAD">
              <w:rPr>
                <w:rFonts w:ascii="Arial" w:hAnsi="Arial" w:cs="Arial"/>
                <w:bCs/>
                <w:sz w:val="18"/>
                <w:szCs w:val="18"/>
                <w:lang w:val="el-GR"/>
              </w:rPr>
              <w:t xml:space="preserve"> 2024</w:t>
            </w:r>
          </w:p>
        </w:tc>
        <w:tc>
          <w:tcPr>
            <w:tcW w:w="1417" w:type="dxa"/>
            <w:vAlign w:val="center"/>
          </w:tcPr>
          <w:p w14:paraId="46BE26F0" w14:textId="77777777" w:rsidR="0056738E" w:rsidRDefault="0056738E" w:rsidP="007C2AEE">
            <w:pPr>
              <w:ind w:left="-195" w:right="-104"/>
              <w:jc w:val="center"/>
              <w:rPr>
                <w:rFonts w:ascii="Arial" w:hAnsi="Arial" w:cs="Arial"/>
                <w:iCs/>
                <w:spacing w:val="-4"/>
                <w:sz w:val="18"/>
                <w:szCs w:val="18"/>
                <w:lang w:val="el-GR"/>
              </w:rPr>
            </w:pPr>
            <w:r>
              <w:rPr>
                <w:rFonts w:ascii="Arial" w:hAnsi="Arial" w:cs="Arial"/>
                <w:iCs/>
                <w:spacing w:val="-4"/>
                <w:sz w:val="18"/>
                <w:szCs w:val="18"/>
                <w:lang w:val="el-GR"/>
              </w:rPr>
              <w:t>31 Μαρτίου</w:t>
            </w:r>
          </w:p>
          <w:p w14:paraId="07E8AA0B" w14:textId="77777777" w:rsidR="0056738E" w:rsidRPr="003D41C5" w:rsidRDefault="0056738E" w:rsidP="007C2AEE">
            <w:pPr>
              <w:ind w:left="-173" w:right="-108"/>
              <w:jc w:val="center"/>
              <w:rPr>
                <w:rFonts w:ascii="Arial" w:hAnsi="Arial" w:cs="Arial"/>
                <w:b/>
                <w:bCs/>
                <w:sz w:val="18"/>
                <w:szCs w:val="18"/>
                <w:lang w:val="el-GR"/>
              </w:rPr>
            </w:pPr>
            <w:r>
              <w:rPr>
                <w:rFonts w:ascii="Arial" w:hAnsi="Arial" w:cs="Arial"/>
                <w:iCs/>
                <w:spacing w:val="-4"/>
                <w:sz w:val="18"/>
                <w:szCs w:val="18"/>
                <w:lang w:val="el-GR"/>
              </w:rPr>
              <w:t>2024</w:t>
            </w:r>
          </w:p>
        </w:tc>
        <w:tc>
          <w:tcPr>
            <w:tcW w:w="1417" w:type="dxa"/>
            <w:vAlign w:val="center"/>
          </w:tcPr>
          <w:p w14:paraId="03D02E35" w14:textId="77777777" w:rsidR="0056738E" w:rsidRDefault="0056738E" w:rsidP="007C2AEE">
            <w:pPr>
              <w:ind w:left="-173" w:right="-108"/>
              <w:jc w:val="center"/>
              <w:rPr>
                <w:rFonts w:ascii="Arial" w:hAnsi="Arial" w:cs="Arial"/>
                <w:sz w:val="18"/>
                <w:szCs w:val="18"/>
                <w:lang w:val="el-GR"/>
              </w:rPr>
            </w:pPr>
            <w:r>
              <w:rPr>
                <w:rFonts w:ascii="Arial" w:hAnsi="Arial" w:cs="Arial"/>
                <w:sz w:val="18"/>
                <w:szCs w:val="18"/>
                <w:lang w:val="el-GR"/>
              </w:rPr>
              <w:t>31 Δεκεμβρίου</w:t>
            </w:r>
          </w:p>
          <w:p w14:paraId="6489624C" w14:textId="77777777" w:rsidR="0056738E" w:rsidRPr="00B51630" w:rsidRDefault="0056738E" w:rsidP="007C2AEE">
            <w:pPr>
              <w:jc w:val="center"/>
              <w:rPr>
                <w:rFonts w:ascii="Arial" w:hAnsi="Arial" w:cs="Arial"/>
                <w:bCs/>
                <w:sz w:val="18"/>
                <w:szCs w:val="18"/>
              </w:rPr>
            </w:pPr>
            <w:r>
              <w:rPr>
                <w:rFonts w:ascii="Arial" w:hAnsi="Arial" w:cs="Arial"/>
                <w:sz w:val="18"/>
                <w:szCs w:val="18"/>
                <w:lang w:val="el-GR"/>
              </w:rPr>
              <w:t>2023</w:t>
            </w:r>
          </w:p>
        </w:tc>
      </w:tr>
      <w:tr w:rsidR="0056738E" w:rsidRPr="008F4486" w14:paraId="69E38CFA" w14:textId="77777777" w:rsidTr="007C2AEE">
        <w:trPr>
          <w:trHeight w:val="236"/>
        </w:trPr>
        <w:tc>
          <w:tcPr>
            <w:tcW w:w="3856" w:type="dxa"/>
            <w:vAlign w:val="center"/>
          </w:tcPr>
          <w:p w14:paraId="07F59FA9" w14:textId="77777777" w:rsidR="0056738E" w:rsidRDefault="0056738E" w:rsidP="007C2AEE">
            <w:pPr>
              <w:tabs>
                <w:tab w:val="left" w:pos="0"/>
                <w:tab w:val="right" w:pos="7560"/>
                <w:tab w:val="right" w:pos="9000"/>
              </w:tabs>
              <w:rPr>
                <w:rFonts w:ascii="Arial" w:hAnsi="Arial" w:cs="Arial"/>
                <w:sz w:val="18"/>
                <w:szCs w:val="18"/>
                <w:lang w:val="el-GR"/>
              </w:rPr>
            </w:pPr>
          </w:p>
        </w:tc>
        <w:tc>
          <w:tcPr>
            <w:tcW w:w="1417" w:type="dxa"/>
            <w:vAlign w:val="center"/>
          </w:tcPr>
          <w:p w14:paraId="74FABDBB" w14:textId="77777777" w:rsidR="0056738E" w:rsidRPr="003D41C5" w:rsidRDefault="0056738E" w:rsidP="007C2AEE">
            <w:pPr>
              <w:tabs>
                <w:tab w:val="right" w:pos="7560"/>
                <w:tab w:val="right" w:pos="9000"/>
              </w:tabs>
              <w:ind w:left="-150" w:right="19"/>
              <w:jc w:val="center"/>
              <w:rPr>
                <w:rFonts w:ascii="Arial" w:hAnsi="Arial" w:cs="Arial"/>
                <w:b/>
                <w:bCs/>
                <w:sz w:val="18"/>
                <w:szCs w:val="18"/>
              </w:rPr>
            </w:pPr>
            <w:r w:rsidRPr="003D41C5">
              <w:rPr>
                <w:rFonts w:ascii="Arial" w:hAnsi="Arial" w:cs="Arial"/>
                <w:b/>
                <w:bCs/>
                <w:sz w:val="18"/>
                <w:szCs w:val="18"/>
                <w:lang w:val="en-GB"/>
              </w:rPr>
              <w:t>€000</w:t>
            </w:r>
          </w:p>
        </w:tc>
        <w:tc>
          <w:tcPr>
            <w:tcW w:w="1417" w:type="dxa"/>
            <w:vAlign w:val="center"/>
          </w:tcPr>
          <w:p w14:paraId="524D96A2" w14:textId="77777777" w:rsidR="0056738E" w:rsidRPr="003D41C5" w:rsidRDefault="0056738E" w:rsidP="007C2AEE">
            <w:pPr>
              <w:tabs>
                <w:tab w:val="right" w:pos="7560"/>
                <w:tab w:val="right" w:pos="9000"/>
              </w:tabs>
              <w:ind w:left="-150" w:right="19"/>
              <w:jc w:val="center"/>
              <w:rPr>
                <w:rFonts w:ascii="Arial" w:hAnsi="Arial" w:cs="Arial"/>
                <w:b/>
                <w:bCs/>
                <w:sz w:val="18"/>
                <w:szCs w:val="18"/>
              </w:rPr>
            </w:pPr>
            <w:r w:rsidRPr="008352B7">
              <w:rPr>
                <w:rFonts w:ascii="Arial" w:hAnsi="Arial" w:cs="Arial"/>
                <w:bCs/>
                <w:sz w:val="18"/>
                <w:szCs w:val="18"/>
              </w:rPr>
              <w:t>€000</w:t>
            </w:r>
          </w:p>
        </w:tc>
        <w:tc>
          <w:tcPr>
            <w:tcW w:w="1417" w:type="dxa"/>
            <w:vAlign w:val="center"/>
          </w:tcPr>
          <w:p w14:paraId="0598ADAE" w14:textId="77777777" w:rsidR="0056738E" w:rsidRPr="003D41C5" w:rsidRDefault="0056738E" w:rsidP="007C2AEE">
            <w:pPr>
              <w:tabs>
                <w:tab w:val="right" w:pos="7560"/>
                <w:tab w:val="right" w:pos="9000"/>
              </w:tabs>
              <w:ind w:left="-150" w:right="19"/>
              <w:jc w:val="center"/>
              <w:rPr>
                <w:rFonts w:ascii="Arial" w:hAnsi="Arial" w:cs="Arial"/>
                <w:b/>
                <w:bCs/>
                <w:sz w:val="18"/>
                <w:szCs w:val="18"/>
                <w:lang w:val="el-GR"/>
              </w:rPr>
            </w:pPr>
            <w:r w:rsidRPr="008352B7">
              <w:rPr>
                <w:rFonts w:ascii="Arial" w:hAnsi="Arial" w:cs="Arial"/>
                <w:bCs/>
                <w:sz w:val="18"/>
                <w:szCs w:val="18"/>
              </w:rPr>
              <w:t>€000</w:t>
            </w:r>
          </w:p>
        </w:tc>
        <w:tc>
          <w:tcPr>
            <w:tcW w:w="1417" w:type="dxa"/>
            <w:vAlign w:val="center"/>
          </w:tcPr>
          <w:p w14:paraId="4D4BA41B" w14:textId="77777777" w:rsidR="0056738E" w:rsidRDefault="0056738E" w:rsidP="007C2AEE">
            <w:pPr>
              <w:tabs>
                <w:tab w:val="right" w:pos="7560"/>
                <w:tab w:val="right" w:pos="9000"/>
              </w:tabs>
              <w:ind w:left="-150" w:right="19"/>
              <w:jc w:val="center"/>
              <w:rPr>
                <w:rFonts w:ascii="Arial" w:hAnsi="Arial" w:cs="Arial"/>
                <w:bCs/>
                <w:sz w:val="18"/>
                <w:szCs w:val="18"/>
              </w:rPr>
            </w:pPr>
            <w:r w:rsidRPr="008352B7">
              <w:rPr>
                <w:rFonts w:ascii="Arial" w:hAnsi="Arial" w:cs="Arial"/>
                <w:bCs/>
                <w:sz w:val="18"/>
                <w:szCs w:val="18"/>
                <w:lang w:val="en-GB"/>
              </w:rPr>
              <w:t>€000</w:t>
            </w:r>
          </w:p>
        </w:tc>
      </w:tr>
      <w:tr w:rsidR="0056738E" w:rsidRPr="008F4486" w14:paraId="5C0B512D" w14:textId="77777777" w:rsidTr="007C2AEE">
        <w:trPr>
          <w:trHeight w:val="236"/>
        </w:trPr>
        <w:tc>
          <w:tcPr>
            <w:tcW w:w="3856" w:type="dxa"/>
            <w:vAlign w:val="center"/>
          </w:tcPr>
          <w:p w14:paraId="59A4459C" w14:textId="77777777" w:rsidR="0056738E" w:rsidRPr="00D42D91" w:rsidRDefault="0056738E" w:rsidP="007C2AEE">
            <w:pPr>
              <w:tabs>
                <w:tab w:val="left" w:pos="0"/>
                <w:tab w:val="right" w:pos="7560"/>
                <w:tab w:val="right" w:pos="9000"/>
              </w:tabs>
              <w:rPr>
                <w:rFonts w:ascii="Arial" w:hAnsi="Arial" w:cs="Arial"/>
                <w:sz w:val="18"/>
                <w:szCs w:val="18"/>
                <w:lang w:val="el-GR"/>
              </w:rPr>
            </w:pPr>
            <w:r>
              <w:rPr>
                <w:rFonts w:ascii="Arial" w:hAnsi="Arial" w:cs="Arial"/>
                <w:sz w:val="18"/>
                <w:szCs w:val="18"/>
                <w:lang w:val="el-GR"/>
              </w:rPr>
              <w:t>Ίδια κεφάλαια που αναλογούν στους ιδιοκτήτες της Εταιρίας (</w:t>
            </w:r>
            <w:r w:rsidRPr="00527619">
              <w:rPr>
                <w:rFonts w:ascii="Arial" w:hAnsi="Arial" w:cs="Arial"/>
                <w:sz w:val="18"/>
                <w:szCs w:val="18"/>
                <w:lang w:val="el-GR"/>
              </w:rPr>
              <w:t>στην απαιτούμενη από τη νομοθεσία βάση</w:t>
            </w:r>
            <w:r>
              <w:rPr>
                <w:rFonts w:ascii="Arial" w:hAnsi="Arial" w:cs="Arial"/>
                <w:sz w:val="18"/>
                <w:szCs w:val="18"/>
                <w:lang w:val="el-GR"/>
              </w:rPr>
              <w:t>)</w:t>
            </w:r>
          </w:p>
        </w:tc>
        <w:tc>
          <w:tcPr>
            <w:tcW w:w="1417" w:type="dxa"/>
            <w:tcBorders>
              <w:bottom w:val="single" w:sz="4" w:space="0" w:color="D9D9D9" w:themeColor="background1" w:themeShade="D9"/>
            </w:tcBorders>
            <w:vAlign w:val="center"/>
          </w:tcPr>
          <w:p w14:paraId="0E0F5601" w14:textId="77777777" w:rsidR="0056738E" w:rsidRPr="003D41C5" w:rsidRDefault="0056738E" w:rsidP="007C2AEE">
            <w:pPr>
              <w:tabs>
                <w:tab w:val="right" w:pos="7560"/>
                <w:tab w:val="right" w:pos="9000"/>
              </w:tabs>
              <w:ind w:left="-150" w:right="19"/>
              <w:jc w:val="right"/>
              <w:rPr>
                <w:rFonts w:ascii="Arial" w:hAnsi="Arial" w:cs="Arial"/>
                <w:b/>
                <w:bCs/>
                <w:sz w:val="18"/>
                <w:szCs w:val="18"/>
                <w:lang w:val="el-GR"/>
              </w:rPr>
            </w:pPr>
            <w:r>
              <w:rPr>
                <w:rFonts w:ascii="Arial" w:hAnsi="Arial" w:cs="Arial"/>
                <w:b/>
                <w:sz w:val="18"/>
                <w:szCs w:val="18"/>
              </w:rPr>
              <w:t>2,508,085</w:t>
            </w:r>
          </w:p>
        </w:tc>
        <w:tc>
          <w:tcPr>
            <w:tcW w:w="1417" w:type="dxa"/>
            <w:tcBorders>
              <w:bottom w:val="single" w:sz="4" w:space="0" w:color="D9D9D9" w:themeColor="background1" w:themeShade="D9"/>
            </w:tcBorders>
            <w:vAlign w:val="center"/>
          </w:tcPr>
          <w:p w14:paraId="7D632027" w14:textId="77777777" w:rsidR="0056738E" w:rsidRPr="003D41C5" w:rsidRDefault="0056738E" w:rsidP="007C2AEE">
            <w:pPr>
              <w:tabs>
                <w:tab w:val="right" w:pos="7560"/>
                <w:tab w:val="right" w:pos="9000"/>
              </w:tabs>
              <w:ind w:left="-150" w:right="19"/>
              <w:jc w:val="right"/>
              <w:rPr>
                <w:rFonts w:ascii="Arial" w:hAnsi="Arial" w:cs="Arial"/>
                <w:b/>
                <w:bCs/>
                <w:sz w:val="18"/>
                <w:szCs w:val="18"/>
                <w:lang w:val="el-GR"/>
              </w:rPr>
            </w:pPr>
            <w:r w:rsidRPr="00CB55B0">
              <w:rPr>
                <w:rFonts w:ascii="Arial" w:hAnsi="Arial" w:cs="Arial"/>
                <w:bCs/>
                <w:sz w:val="18"/>
                <w:szCs w:val="18"/>
              </w:rPr>
              <w:t>2,387,383</w:t>
            </w:r>
          </w:p>
        </w:tc>
        <w:tc>
          <w:tcPr>
            <w:tcW w:w="1417" w:type="dxa"/>
            <w:tcBorders>
              <w:bottom w:val="single" w:sz="4" w:space="0" w:color="D9D9D9" w:themeColor="background1" w:themeShade="D9"/>
            </w:tcBorders>
            <w:vAlign w:val="center"/>
          </w:tcPr>
          <w:p w14:paraId="5ED5766C" w14:textId="77777777" w:rsidR="0056738E" w:rsidRPr="003D41C5" w:rsidRDefault="0056738E" w:rsidP="007C2AEE">
            <w:pPr>
              <w:tabs>
                <w:tab w:val="right" w:pos="7560"/>
                <w:tab w:val="right" w:pos="9000"/>
              </w:tabs>
              <w:ind w:left="-150" w:right="19"/>
              <w:jc w:val="right"/>
              <w:rPr>
                <w:rFonts w:ascii="Arial" w:hAnsi="Arial" w:cs="Arial"/>
                <w:b/>
                <w:bCs/>
                <w:sz w:val="18"/>
                <w:szCs w:val="18"/>
                <w:lang w:val="el-GR"/>
              </w:rPr>
            </w:pPr>
            <w:r>
              <w:rPr>
                <w:rFonts w:ascii="Arial" w:hAnsi="Arial" w:cs="Arial"/>
                <w:bCs/>
                <w:sz w:val="18"/>
                <w:szCs w:val="18"/>
              </w:rPr>
              <w:t>2,380,876</w:t>
            </w:r>
          </w:p>
        </w:tc>
        <w:tc>
          <w:tcPr>
            <w:tcW w:w="1417" w:type="dxa"/>
            <w:tcBorders>
              <w:bottom w:val="single" w:sz="4" w:space="0" w:color="D9D9D9" w:themeColor="background1" w:themeShade="D9"/>
            </w:tcBorders>
            <w:vAlign w:val="center"/>
          </w:tcPr>
          <w:p w14:paraId="3E2CE99F" w14:textId="77777777" w:rsidR="0056738E" w:rsidRPr="008F4486" w:rsidRDefault="0056738E" w:rsidP="007C2AEE">
            <w:pPr>
              <w:tabs>
                <w:tab w:val="right" w:pos="7560"/>
                <w:tab w:val="right" w:pos="9000"/>
              </w:tabs>
              <w:ind w:left="-150" w:right="19"/>
              <w:jc w:val="right"/>
              <w:rPr>
                <w:rFonts w:ascii="Arial" w:hAnsi="Arial" w:cs="Arial"/>
                <w:bCs/>
                <w:sz w:val="18"/>
                <w:szCs w:val="18"/>
                <w:lang w:val="el-GR"/>
              </w:rPr>
            </w:pPr>
            <w:r w:rsidRPr="00487C44">
              <w:rPr>
                <w:rFonts w:ascii="Arial" w:hAnsi="Arial" w:cs="Arial"/>
                <w:bCs/>
                <w:sz w:val="18"/>
                <w:szCs w:val="18"/>
              </w:rPr>
              <w:t>2,247,080</w:t>
            </w:r>
          </w:p>
        </w:tc>
      </w:tr>
      <w:tr w:rsidR="0056738E" w:rsidRPr="008F4486" w14:paraId="5B82F659" w14:textId="77777777" w:rsidTr="007C2AEE">
        <w:trPr>
          <w:trHeight w:val="236"/>
        </w:trPr>
        <w:tc>
          <w:tcPr>
            <w:tcW w:w="3856" w:type="dxa"/>
            <w:vAlign w:val="center"/>
          </w:tcPr>
          <w:p w14:paraId="39361213" w14:textId="77777777" w:rsidR="0056738E" w:rsidRPr="00D42D91" w:rsidRDefault="0056738E" w:rsidP="007C2AEE">
            <w:pPr>
              <w:tabs>
                <w:tab w:val="left" w:pos="0"/>
                <w:tab w:val="right" w:pos="7560"/>
                <w:tab w:val="right" w:pos="9000"/>
              </w:tabs>
              <w:rPr>
                <w:rFonts w:ascii="Arial" w:hAnsi="Arial" w:cs="Arial"/>
                <w:sz w:val="18"/>
                <w:szCs w:val="18"/>
                <w:lang w:val="el-GR"/>
              </w:rPr>
            </w:pPr>
            <w:r>
              <w:rPr>
                <w:rFonts w:ascii="Arial" w:hAnsi="Arial" w:cs="Arial"/>
                <w:sz w:val="18"/>
                <w:szCs w:val="18"/>
                <w:lang w:val="el-GR"/>
              </w:rPr>
              <w:t>Μείον</w:t>
            </w:r>
            <w:r w:rsidRPr="00D42D91">
              <w:rPr>
                <w:rFonts w:ascii="Arial" w:hAnsi="Arial" w:cs="Arial"/>
                <w:sz w:val="18"/>
                <w:szCs w:val="18"/>
                <w:lang w:val="el-GR"/>
              </w:rPr>
              <w:t>:</w:t>
            </w:r>
            <w:r>
              <w:rPr>
                <w:rFonts w:ascii="Arial" w:hAnsi="Arial" w:cs="Arial"/>
                <w:sz w:val="18"/>
                <w:szCs w:val="18"/>
                <w:lang w:val="el-GR"/>
              </w:rPr>
              <w:t xml:space="preserve"> Άυλα περιουσιακά στοιχεία (</w:t>
            </w:r>
            <w:r w:rsidRPr="00527619">
              <w:rPr>
                <w:rFonts w:ascii="Arial" w:hAnsi="Arial" w:cs="Arial"/>
                <w:sz w:val="18"/>
                <w:szCs w:val="18"/>
                <w:lang w:val="el-GR"/>
              </w:rPr>
              <w:t>στην απαιτούμενη από τη νομοθεσία βάση</w:t>
            </w:r>
            <w:r>
              <w:rPr>
                <w:rFonts w:ascii="Arial" w:hAnsi="Arial" w:cs="Arial"/>
                <w:sz w:val="18"/>
                <w:szCs w:val="18"/>
                <w:lang w:val="el-GR"/>
              </w:rPr>
              <w:t>)</w:t>
            </w:r>
          </w:p>
        </w:tc>
        <w:tc>
          <w:tcPr>
            <w:tcW w:w="1417" w:type="dxa"/>
            <w:tcBorders>
              <w:bottom w:val="single" w:sz="6" w:space="0" w:color="000000" w:themeColor="text1"/>
            </w:tcBorders>
            <w:vAlign w:val="center"/>
          </w:tcPr>
          <w:p w14:paraId="6A603DDD" w14:textId="77777777" w:rsidR="0056738E" w:rsidRPr="003D41C5" w:rsidRDefault="0056738E" w:rsidP="007C2AEE">
            <w:pPr>
              <w:tabs>
                <w:tab w:val="right" w:pos="7560"/>
                <w:tab w:val="right" w:pos="9000"/>
              </w:tabs>
              <w:ind w:left="-150" w:right="19"/>
              <w:jc w:val="right"/>
              <w:rPr>
                <w:rFonts w:ascii="Arial" w:hAnsi="Arial" w:cs="Arial"/>
                <w:b/>
                <w:bCs/>
                <w:sz w:val="18"/>
                <w:szCs w:val="18"/>
                <w:lang w:val="el-GR"/>
              </w:rPr>
            </w:pPr>
            <w:r>
              <w:rPr>
                <w:rFonts w:ascii="Arial" w:hAnsi="Arial" w:cs="Arial"/>
                <w:b/>
                <w:sz w:val="18"/>
                <w:szCs w:val="18"/>
              </w:rPr>
              <w:t>(45,451)</w:t>
            </w:r>
          </w:p>
        </w:tc>
        <w:tc>
          <w:tcPr>
            <w:tcW w:w="1417" w:type="dxa"/>
            <w:tcBorders>
              <w:bottom w:val="single" w:sz="6" w:space="0" w:color="000000" w:themeColor="text1"/>
            </w:tcBorders>
            <w:vAlign w:val="center"/>
          </w:tcPr>
          <w:p w14:paraId="093234C2" w14:textId="77777777" w:rsidR="0056738E" w:rsidRPr="003D41C5" w:rsidRDefault="0056738E" w:rsidP="007C2AEE">
            <w:pPr>
              <w:tabs>
                <w:tab w:val="right" w:pos="7560"/>
                <w:tab w:val="right" w:pos="9000"/>
              </w:tabs>
              <w:ind w:left="-150" w:right="19"/>
              <w:jc w:val="right"/>
              <w:rPr>
                <w:rFonts w:ascii="Arial" w:hAnsi="Arial" w:cs="Arial"/>
                <w:b/>
                <w:bCs/>
                <w:sz w:val="18"/>
                <w:szCs w:val="18"/>
                <w:lang w:val="el-GR"/>
              </w:rPr>
            </w:pPr>
            <w:r w:rsidRPr="00CB55B0">
              <w:rPr>
                <w:rFonts w:ascii="Arial" w:hAnsi="Arial" w:cs="Arial"/>
                <w:bCs/>
                <w:sz w:val="18"/>
                <w:szCs w:val="18"/>
              </w:rPr>
              <w:t>(45,686)</w:t>
            </w:r>
          </w:p>
        </w:tc>
        <w:tc>
          <w:tcPr>
            <w:tcW w:w="1417" w:type="dxa"/>
            <w:tcBorders>
              <w:bottom w:val="single" w:sz="6" w:space="0" w:color="000000" w:themeColor="text1"/>
            </w:tcBorders>
            <w:vAlign w:val="center"/>
          </w:tcPr>
          <w:p w14:paraId="661EB869" w14:textId="77777777" w:rsidR="0056738E" w:rsidRPr="003D41C5" w:rsidRDefault="0056738E" w:rsidP="007C2AEE">
            <w:pPr>
              <w:tabs>
                <w:tab w:val="right" w:pos="7560"/>
                <w:tab w:val="right" w:pos="9000"/>
              </w:tabs>
              <w:ind w:left="-150" w:right="19"/>
              <w:jc w:val="right"/>
              <w:rPr>
                <w:rFonts w:ascii="Arial" w:hAnsi="Arial" w:cs="Arial"/>
                <w:b/>
                <w:bCs/>
                <w:sz w:val="18"/>
                <w:szCs w:val="18"/>
                <w:lang w:val="el-GR"/>
              </w:rPr>
            </w:pPr>
            <w:r>
              <w:rPr>
                <w:rFonts w:ascii="Arial" w:hAnsi="Arial" w:cs="Arial"/>
                <w:bCs/>
                <w:sz w:val="18"/>
                <w:szCs w:val="18"/>
              </w:rPr>
              <w:t>(46,609)</w:t>
            </w:r>
          </w:p>
        </w:tc>
        <w:tc>
          <w:tcPr>
            <w:tcW w:w="1417" w:type="dxa"/>
            <w:tcBorders>
              <w:bottom w:val="single" w:sz="6" w:space="0" w:color="000000" w:themeColor="text1"/>
            </w:tcBorders>
            <w:vAlign w:val="center"/>
          </w:tcPr>
          <w:p w14:paraId="43958E5A" w14:textId="77777777" w:rsidR="0056738E" w:rsidRPr="008F4486" w:rsidRDefault="0056738E" w:rsidP="007C2AEE">
            <w:pPr>
              <w:tabs>
                <w:tab w:val="right" w:pos="7560"/>
                <w:tab w:val="right" w:pos="9000"/>
              </w:tabs>
              <w:ind w:left="-150" w:right="19"/>
              <w:jc w:val="right"/>
              <w:rPr>
                <w:rFonts w:ascii="Arial" w:hAnsi="Arial" w:cs="Arial"/>
                <w:bCs/>
                <w:sz w:val="18"/>
                <w:szCs w:val="18"/>
                <w:lang w:val="el-GR"/>
              </w:rPr>
            </w:pPr>
            <w:r w:rsidRPr="00487C44">
              <w:rPr>
                <w:rFonts w:ascii="Arial" w:hAnsi="Arial" w:cs="Arial"/>
                <w:bCs/>
                <w:sz w:val="18"/>
                <w:szCs w:val="18"/>
              </w:rPr>
              <w:t>(48,635)</w:t>
            </w:r>
          </w:p>
        </w:tc>
      </w:tr>
      <w:tr w:rsidR="0056738E" w:rsidRPr="00B51630" w14:paraId="74E00F9E" w14:textId="77777777" w:rsidTr="007C2AEE">
        <w:trPr>
          <w:trHeight w:val="236"/>
        </w:trPr>
        <w:tc>
          <w:tcPr>
            <w:tcW w:w="3856" w:type="dxa"/>
            <w:tcBorders>
              <w:top w:val="single" w:sz="4" w:space="0" w:color="D9D9D9" w:themeColor="background1" w:themeShade="D9"/>
              <w:bottom w:val="single" w:sz="4" w:space="0" w:color="D9D9D9" w:themeColor="background1" w:themeShade="D9"/>
            </w:tcBorders>
            <w:vAlign w:val="center"/>
          </w:tcPr>
          <w:p w14:paraId="4A31A480" w14:textId="77777777" w:rsidR="0056738E" w:rsidRPr="00D42D91" w:rsidRDefault="0056738E" w:rsidP="007C2AEE">
            <w:pPr>
              <w:tabs>
                <w:tab w:val="left" w:pos="0"/>
                <w:tab w:val="right" w:pos="7560"/>
                <w:tab w:val="right" w:pos="9000"/>
              </w:tabs>
              <w:jc w:val="both"/>
              <w:rPr>
                <w:rFonts w:ascii="Verdana" w:hAnsi="Verdana" w:cs="Arial"/>
                <w:b/>
                <w:sz w:val="18"/>
                <w:szCs w:val="18"/>
                <w:lang w:val="el-GR"/>
              </w:rPr>
            </w:pPr>
            <w:r w:rsidRPr="00041815">
              <w:rPr>
                <w:rFonts w:ascii="Arial" w:hAnsi="Arial" w:cs="Arial"/>
                <w:b/>
                <w:sz w:val="18"/>
                <w:szCs w:val="18"/>
                <w:lang w:val="el-GR"/>
              </w:rPr>
              <w:t xml:space="preserve">Συνολικά ενσώματα </w:t>
            </w:r>
            <w:r>
              <w:rPr>
                <w:rFonts w:ascii="Arial" w:hAnsi="Arial" w:cs="Arial"/>
                <w:b/>
                <w:sz w:val="18"/>
                <w:szCs w:val="18"/>
                <w:lang w:val="el-GR"/>
              </w:rPr>
              <w:t>ί</w:t>
            </w:r>
            <w:r w:rsidRPr="00041815">
              <w:rPr>
                <w:rFonts w:ascii="Arial" w:hAnsi="Arial" w:cs="Arial"/>
                <w:b/>
                <w:sz w:val="18"/>
                <w:szCs w:val="18"/>
                <w:lang w:val="el-GR"/>
              </w:rPr>
              <w:t>δ</w:t>
            </w:r>
            <w:r>
              <w:rPr>
                <w:rFonts w:ascii="Arial" w:hAnsi="Arial" w:cs="Arial"/>
                <w:b/>
                <w:sz w:val="18"/>
                <w:szCs w:val="18"/>
                <w:lang w:val="el-GR"/>
              </w:rPr>
              <w:t>ια</w:t>
            </w:r>
            <w:r w:rsidRPr="00041815">
              <w:rPr>
                <w:rFonts w:ascii="Arial" w:hAnsi="Arial" w:cs="Arial"/>
                <w:b/>
                <w:sz w:val="18"/>
                <w:szCs w:val="18"/>
                <w:lang w:val="el-GR"/>
              </w:rPr>
              <w:t xml:space="preserve"> </w:t>
            </w:r>
            <w:r>
              <w:rPr>
                <w:rFonts w:ascii="Arial" w:hAnsi="Arial" w:cs="Arial"/>
                <w:b/>
                <w:sz w:val="18"/>
                <w:szCs w:val="18"/>
                <w:lang w:val="el-GR"/>
              </w:rPr>
              <w:t>κ</w:t>
            </w:r>
            <w:r w:rsidRPr="00041815">
              <w:rPr>
                <w:rFonts w:ascii="Arial" w:hAnsi="Arial" w:cs="Arial"/>
                <w:b/>
                <w:sz w:val="18"/>
                <w:szCs w:val="18"/>
                <w:lang w:val="el-GR"/>
              </w:rPr>
              <w:t>εφ</w:t>
            </w:r>
            <w:r>
              <w:rPr>
                <w:rFonts w:ascii="Arial" w:hAnsi="Arial" w:cs="Arial"/>
                <w:b/>
                <w:sz w:val="18"/>
                <w:szCs w:val="18"/>
                <w:lang w:val="el-GR"/>
              </w:rPr>
              <w:t>ά</w:t>
            </w:r>
            <w:r w:rsidRPr="00041815">
              <w:rPr>
                <w:rFonts w:ascii="Arial" w:hAnsi="Arial" w:cs="Arial"/>
                <w:b/>
                <w:sz w:val="18"/>
                <w:szCs w:val="18"/>
                <w:lang w:val="el-GR"/>
              </w:rPr>
              <w:t>λα</w:t>
            </w:r>
            <w:r>
              <w:rPr>
                <w:rFonts w:ascii="Arial" w:hAnsi="Arial" w:cs="Arial"/>
                <w:b/>
                <w:sz w:val="18"/>
                <w:szCs w:val="18"/>
                <w:lang w:val="el-GR"/>
              </w:rPr>
              <w:t>ια</w:t>
            </w:r>
            <w:r w:rsidRPr="00041815">
              <w:rPr>
                <w:rFonts w:ascii="Arial" w:hAnsi="Arial" w:cs="Arial"/>
                <w:b/>
                <w:sz w:val="18"/>
                <w:szCs w:val="18"/>
                <w:lang w:val="el-GR"/>
              </w:rPr>
              <w:t xml:space="preserve"> που αναλογούν στους ιδιοκτήτες της Εταιρίας</w:t>
            </w:r>
          </w:p>
        </w:tc>
        <w:tc>
          <w:tcPr>
            <w:tcW w:w="1417" w:type="dxa"/>
            <w:tcBorders>
              <w:top w:val="single" w:sz="6" w:space="0" w:color="000000" w:themeColor="text1"/>
              <w:bottom w:val="double" w:sz="6" w:space="0" w:color="auto"/>
            </w:tcBorders>
            <w:vAlign w:val="center"/>
          </w:tcPr>
          <w:p w14:paraId="6D80991D" w14:textId="77777777" w:rsidR="0056738E" w:rsidRPr="003D41C5" w:rsidRDefault="0056738E" w:rsidP="007C2AEE">
            <w:pPr>
              <w:tabs>
                <w:tab w:val="right" w:pos="7560"/>
                <w:tab w:val="right" w:pos="9000"/>
              </w:tabs>
              <w:ind w:left="-150" w:right="19"/>
              <w:jc w:val="right"/>
              <w:rPr>
                <w:rFonts w:ascii="Arial" w:hAnsi="Arial" w:cs="Arial"/>
                <w:b/>
                <w:bCs/>
                <w:sz w:val="18"/>
                <w:szCs w:val="18"/>
                <w:lang w:val="el-GR"/>
              </w:rPr>
            </w:pPr>
            <w:r>
              <w:rPr>
                <w:rFonts w:ascii="Arial" w:hAnsi="Arial" w:cs="Arial"/>
                <w:b/>
                <w:sz w:val="18"/>
                <w:szCs w:val="18"/>
              </w:rPr>
              <w:t>2,462,634</w:t>
            </w:r>
          </w:p>
        </w:tc>
        <w:tc>
          <w:tcPr>
            <w:tcW w:w="1417" w:type="dxa"/>
            <w:tcBorders>
              <w:top w:val="single" w:sz="6" w:space="0" w:color="000000" w:themeColor="text1"/>
              <w:bottom w:val="double" w:sz="6" w:space="0" w:color="auto"/>
            </w:tcBorders>
            <w:vAlign w:val="center"/>
          </w:tcPr>
          <w:p w14:paraId="797EECD6" w14:textId="77777777" w:rsidR="0056738E" w:rsidRPr="003D41C5" w:rsidRDefault="0056738E" w:rsidP="007C2AEE">
            <w:pPr>
              <w:tabs>
                <w:tab w:val="right" w:pos="7560"/>
                <w:tab w:val="right" w:pos="9000"/>
              </w:tabs>
              <w:ind w:left="-150" w:right="19"/>
              <w:jc w:val="right"/>
              <w:rPr>
                <w:rFonts w:ascii="Arial" w:hAnsi="Arial" w:cs="Arial"/>
                <w:b/>
                <w:bCs/>
                <w:sz w:val="18"/>
                <w:szCs w:val="18"/>
                <w:lang w:val="el-GR"/>
              </w:rPr>
            </w:pPr>
            <w:r>
              <w:rPr>
                <w:rFonts w:ascii="Arial" w:hAnsi="Arial" w:cs="Arial"/>
                <w:bCs/>
                <w:sz w:val="18"/>
                <w:szCs w:val="18"/>
              </w:rPr>
              <w:t>2,341,697</w:t>
            </w:r>
          </w:p>
        </w:tc>
        <w:tc>
          <w:tcPr>
            <w:tcW w:w="1417" w:type="dxa"/>
            <w:tcBorders>
              <w:top w:val="single" w:sz="6" w:space="0" w:color="000000" w:themeColor="text1"/>
              <w:bottom w:val="double" w:sz="6" w:space="0" w:color="auto"/>
            </w:tcBorders>
            <w:vAlign w:val="center"/>
          </w:tcPr>
          <w:p w14:paraId="1550BEF6" w14:textId="77777777" w:rsidR="0056738E" w:rsidRPr="003D41C5" w:rsidRDefault="0056738E" w:rsidP="007C2AEE">
            <w:pPr>
              <w:tabs>
                <w:tab w:val="right" w:pos="7560"/>
                <w:tab w:val="right" w:pos="9000"/>
              </w:tabs>
              <w:ind w:left="-150" w:right="19"/>
              <w:jc w:val="right"/>
              <w:rPr>
                <w:rFonts w:ascii="Arial" w:hAnsi="Arial" w:cs="Arial"/>
                <w:b/>
                <w:bCs/>
                <w:sz w:val="18"/>
                <w:szCs w:val="18"/>
                <w:lang w:val="el-GR"/>
              </w:rPr>
            </w:pPr>
            <w:r>
              <w:rPr>
                <w:rFonts w:ascii="Arial" w:hAnsi="Arial" w:cs="Arial"/>
                <w:bCs/>
                <w:sz w:val="18"/>
                <w:szCs w:val="18"/>
              </w:rPr>
              <w:t>2,334,267</w:t>
            </w:r>
          </w:p>
        </w:tc>
        <w:tc>
          <w:tcPr>
            <w:tcW w:w="1417" w:type="dxa"/>
            <w:tcBorders>
              <w:top w:val="single" w:sz="6" w:space="0" w:color="000000" w:themeColor="text1"/>
              <w:bottom w:val="double" w:sz="6" w:space="0" w:color="auto"/>
            </w:tcBorders>
            <w:vAlign w:val="center"/>
          </w:tcPr>
          <w:p w14:paraId="55BAA886" w14:textId="77777777" w:rsidR="0056738E" w:rsidRPr="00B51630" w:rsidRDefault="0056738E" w:rsidP="007C2AEE">
            <w:pPr>
              <w:tabs>
                <w:tab w:val="right" w:pos="7560"/>
                <w:tab w:val="right" w:pos="9000"/>
              </w:tabs>
              <w:ind w:left="-150" w:right="19"/>
              <w:jc w:val="right"/>
              <w:rPr>
                <w:rFonts w:ascii="Arial" w:hAnsi="Arial" w:cs="Arial"/>
                <w:bCs/>
                <w:sz w:val="18"/>
                <w:szCs w:val="18"/>
              </w:rPr>
            </w:pPr>
            <w:r w:rsidRPr="00487C44">
              <w:rPr>
                <w:rFonts w:ascii="Arial" w:hAnsi="Arial" w:cs="Arial"/>
                <w:bCs/>
                <w:sz w:val="18"/>
                <w:szCs w:val="18"/>
              </w:rPr>
              <w:t>2,198,445</w:t>
            </w:r>
          </w:p>
        </w:tc>
      </w:tr>
      <w:tr w:rsidR="0056738E" w:rsidRPr="00B51630" w14:paraId="33DF7659" w14:textId="77777777" w:rsidTr="007C2AEE">
        <w:trPr>
          <w:trHeight w:val="236"/>
        </w:trPr>
        <w:tc>
          <w:tcPr>
            <w:tcW w:w="3856" w:type="dxa"/>
            <w:tcBorders>
              <w:top w:val="single" w:sz="4" w:space="0" w:color="D9D9D9" w:themeColor="background1" w:themeShade="D9"/>
              <w:bottom w:val="single" w:sz="4" w:space="0" w:color="D9D9D9" w:themeColor="background1" w:themeShade="D9"/>
            </w:tcBorders>
            <w:vAlign w:val="center"/>
          </w:tcPr>
          <w:p w14:paraId="52C412AA" w14:textId="77777777" w:rsidR="0056738E" w:rsidRPr="00B51630" w:rsidRDefault="0056738E" w:rsidP="007C2AEE">
            <w:pPr>
              <w:tabs>
                <w:tab w:val="left" w:pos="0"/>
                <w:tab w:val="right" w:pos="7560"/>
                <w:tab w:val="right" w:pos="9000"/>
              </w:tabs>
              <w:jc w:val="both"/>
              <w:rPr>
                <w:rFonts w:ascii="Verdana" w:hAnsi="Verdana" w:cs="Arial"/>
                <w:b/>
                <w:sz w:val="18"/>
                <w:szCs w:val="18"/>
              </w:rPr>
            </w:pPr>
          </w:p>
        </w:tc>
        <w:tc>
          <w:tcPr>
            <w:tcW w:w="1417" w:type="dxa"/>
            <w:tcBorders>
              <w:top w:val="double" w:sz="6" w:space="0" w:color="auto"/>
              <w:bottom w:val="single" w:sz="4" w:space="0" w:color="D9D9D9" w:themeColor="background1" w:themeShade="D9"/>
            </w:tcBorders>
          </w:tcPr>
          <w:p w14:paraId="470CDDBF" w14:textId="77777777" w:rsidR="0056738E" w:rsidRPr="00B51630" w:rsidRDefault="0056738E" w:rsidP="007C2AEE">
            <w:pPr>
              <w:tabs>
                <w:tab w:val="left" w:pos="0"/>
                <w:tab w:val="right" w:pos="7560"/>
                <w:tab w:val="right" w:pos="9000"/>
              </w:tabs>
              <w:jc w:val="right"/>
              <w:rPr>
                <w:rFonts w:ascii="Verdana" w:hAnsi="Verdana" w:cs="Arial"/>
                <w:b/>
                <w:bCs/>
                <w:sz w:val="18"/>
                <w:szCs w:val="18"/>
              </w:rPr>
            </w:pPr>
          </w:p>
        </w:tc>
        <w:tc>
          <w:tcPr>
            <w:tcW w:w="1417" w:type="dxa"/>
            <w:tcBorders>
              <w:top w:val="double" w:sz="6" w:space="0" w:color="auto"/>
              <w:bottom w:val="single" w:sz="4" w:space="0" w:color="D9D9D9" w:themeColor="background1" w:themeShade="D9"/>
            </w:tcBorders>
          </w:tcPr>
          <w:p w14:paraId="53A3C7FF" w14:textId="77777777" w:rsidR="0056738E" w:rsidRPr="00B51630" w:rsidRDefault="0056738E" w:rsidP="007C2AEE">
            <w:pPr>
              <w:tabs>
                <w:tab w:val="left" w:pos="0"/>
                <w:tab w:val="right" w:pos="7560"/>
                <w:tab w:val="right" w:pos="9000"/>
              </w:tabs>
              <w:jc w:val="right"/>
              <w:rPr>
                <w:rFonts w:ascii="Verdana" w:hAnsi="Verdana" w:cs="Arial"/>
                <w:b/>
                <w:bCs/>
                <w:sz w:val="18"/>
                <w:szCs w:val="18"/>
              </w:rPr>
            </w:pPr>
          </w:p>
        </w:tc>
        <w:tc>
          <w:tcPr>
            <w:tcW w:w="1417" w:type="dxa"/>
            <w:tcBorders>
              <w:top w:val="double" w:sz="6" w:space="0" w:color="auto"/>
              <w:bottom w:val="single" w:sz="4" w:space="0" w:color="D9D9D9" w:themeColor="background1" w:themeShade="D9"/>
            </w:tcBorders>
          </w:tcPr>
          <w:p w14:paraId="4D3C52C9" w14:textId="77777777" w:rsidR="0056738E" w:rsidRPr="00B51630" w:rsidRDefault="0056738E" w:rsidP="007C2AEE">
            <w:pPr>
              <w:tabs>
                <w:tab w:val="left" w:pos="0"/>
                <w:tab w:val="right" w:pos="7560"/>
                <w:tab w:val="right" w:pos="9000"/>
              </w:tabs>
              <w:jc w:val="right"/>
              <w:rPr>
                <w:rFonts w:ascii="Verdana" w:hAnsi="Verdana" w:cs="Arial"/>
                <w:b/>
                <w:bCs/>
                <w:sz w:val="18"/>
                <w:szCs w:val="18"/>
              </w:rPr>
            </w:pPr>
          </w:p>
        </w:tc>
        <w:tc>
          <w:tcPr>
            <w:tcW w:w="1417" w:type="dxa"/>
            <w:tcBorders>
              <w:top w:val="double" w:sz="6" w:space="0" w:color="auto"/>
              <w:bottom w:val="single" w:sz="4" w:space="0" w:color="D9D9D9" w:themeColor="background1" w:themeShade="D9"/>
            </w:tcBorders>
            <w:vAlign w:val="center"/>
          </w:tcPr>
          <w:p w14:paraId="1E40B7FF" w14:textId="77777777" w:rsidR="0056738E" w:rsidRPr="00B51630" w:rsidRDefault="0056738E" w:rsidP="007C2AEE">
            <w:pPr>
              <w:tabs>
                <w:tab w:val="left" w:pos="0"/>
                <w:tab w:val="right" w:pos="7560"/>
                <w:tab w:val="right" w:pos="9000"/>
              </w:tabs>
              <w:jc w:val="right"/>
              <w:rPr>
                <w:rFonts w:ascii="Verdana" w:hAnsi="Verdana" w:cs="Arial"/>
                <w:b/>
                <w:bCs/>
                <w:sz w:val="18"/>
                <w:szCs w:val="18"/>
              </w:rPr>
            </w:pPr>
          </w:p>
        </w:tc>
      </w:tr>
      <w:tr w:rsidR="0056738E" w:rsidRPr="0056738E" w14:paraId="77811B9A" w14:textId="77777777" w:rsidTr="007C2AEE">
        <w:trPr>
          <w:trHeight w:val="236"/>
        </w:trPr>
        <w:tc>
          <w:tcPr>
            <w:tcW w:w="3856" w:type="dxa"/>
            <w:tcBorders>
              <w:top w:val="single" w:sz="4" w:space="0" w:color="D9D9D9" w:themeColor="background1" w:themeShade="D9"/>
              <w:bottom w:val="single" w:sz="4" w:space="0" w:color="D9D9D9" w:themeColor="background1" w:themeShade="D9"/>
            </w:tcBorders>
            <w:vAlign w:val="center"/>
          </w:tcPr>
          <w:p w14:paraId="1ECBFD77" w14:textId="77777777" w:rsidR="0056738E" w:rsidRPr="00D42D91" w:rsidRDefault="0056738E" w:rsidP="007C2AEE">
            <w:pPr>
              <w:tabs>
                <w:tab w:val="left" w:pos="0"/>
                <w:tab w:val="right" w:pos="7560"/>
                <w:tab w:val="right" w:pos="9000"/>
              </w:tabs>
              <w:ind w:left="22"/>
              <w:rPr>
                <w:rFonts w:ascii="Verdana" w:hAnsi="Verdana" w:cs="Arial"/>
                <w:b/>
                <w:sz w:val="18"/>
                <w:szCs w:val="18"/>
                <w:lang w:val="el-GR"/>
              </w:rPr>
            </w:pPr>
            <w:r w:rsidRPr="00041815">
              <w:rPr>
                <w:rFonts w:ascii="Arial" w:hAnsi="Arial" w:cs="Arial"/>
                <w:b/>
                <w:sz w:val="18"/>
                <w:szCs w:val="18"/>
                <w:lang w:val="el-GR"/>
              </w:rPr>
              <w:t>6</w:t>
            </w:r>
            <w:r w:rsidRPr="00D42D91">
              <w:rPr>
                <w:rFonts w:ascii="Arial" w:hAnsi="Arial" w:cs="Arial"/>
                <w:b/>
                <w:sz w:val="18"/>
                <w:szCs w:val="18"/>
                <w:lang w:val="el-GR"/>
              </w:rPr>
              <w:t xml:space="preserve">.2  </w:t>
            </w:r>
            <w:r>
              <w:rPr>
                <w:rFonts w:ascii="Arial" w:hAnsi="Arial" w:cs="Arial"/>
                <w:b/>
                <w:sz w:val="18"/>
                <w:szCs w:val="18"/>
                <w:lang w:val="el-GR"/>
              </w:rPr>
              <w:t>Τριμηνιαίος μέσος όρος των ενσωμάτων ιδίων κεφαλαίων</w:t>
            </w:r>
            <w:r w:rsidRPr="00D42D91">
              <w:rPr>
                <w:rFonts w:ascii="Arial" w:hAnsi="Arial" w:cs="Arial"/>
                <w:b/>
                <w:sz w:val="18"/>
                <w:szCs w:val="18"/>
                <w:lang w:val="el-GR"/>
              </w:rPr>
              <w:t xml:space="preserve"> </w:t>
            </w:r>
            <w:r>
              <w:rPr>
                <w:rFonts w:ascii="Arial" w:hAnsi="Arial" w:cs="Arial"/>
                <w:b/>
                <w:sz w:val="18"/>
                <w:szCs w:val="18"/>
                <w:lang w:val="el-GR"/>
              </w:rPr>
              <w:t xml:space="preserve">που αναλογούν στους ιδιοκτήτες της Εταιρίας </w:t>
            </w:r>
            <w:r w:rsidRPr="00D42D91">
              <w:rPr>
                <w:rFonts w:ascii="Arial" w:hAnsi="Arial" w:cs="Arial"/>
                <w:b/>
                <w:sz w:val="18"/>
                <w:szCs w:val="18"/>
                <w:lang w:val="el-GR"/>
              </w:rPr>
              <w:t>(€000</w:t>
            </w:r>
            <w:r w:rsidRPr="00955C85">
              <w:rPr>
                <w:rFonts w:ascii="Arial" w:hAnsi="Arial" w:cs="Arial"/>
                <w:b/>
                <w:sz w:val="18"/>
                <w:szCs w:val="18"/>
                <w:lang w:val="el-GR"/>
              </w:rPr>
              <w:t>)</w:t>
            </w:r>
          </w:p>
        </w:tc>
        <w:tc>
          <w:tcPr>
            <w:tcW w:w="1417" w:type="dxa"/>
            <w:tcBorders>
              <w:top w:val="single" w:sz="4" w:space="0" w:color="D9D9D9" w:themeColor="background1" w:themeShade="D9"/>
              <w:bottom w:val="single" w:sz="4" w:space="0" w:color="D9D9D9" w:themeColor="background1" w:themeShade="D9"/>
            </w:tcBorders>
          </w:tcPr>
          <w:p w14:paraId="12C77C80" w14:textId="77777777" w:rsidR="0056738E" w:rsidRPr="00D42D91" w:rsidRDefault="0056738E" w:rsidP="007C2AEE">
            <w:pPr>
              <w:tabs>
                <w:tab w:val="left" w:pos="0"/>
                <w:tab w:val="right" w:pos="7560"/>
                <w:tab w:val="right" w:pos="9000"/>
              </w:tabs>
              <w:jc w:val="right"/>
              <w:rPr>
                <w:rFonts w:ascii="Verdana" w:hAnsi="Verdana" w:cs="Arial"/>
                <w:b/>
                <w:bCs/>
                <w:sz w:val="18"/>
                <w:szCs w:val="18"/>
                <w:lang w:val="el-GR"/>
              </w:rPr>
            </w:pPr>
          </w:p>
        </w:tc>
        <w:tc>
          <w:tcPr>
            <w:tcW w:w="1417" w:type="dxa"/>
            <w:tcBorders>
              <w:top w:val="single" w:sz="4" w:space="0" w:color="D9D9D9" w:themeColor="background1" w:themeShade="D9"/>
              <w:bottom w:val="single" w:sz="4" w:space="0" w:color="D9D9D9" w:themeColor="background1" w:themeShade="D9"/>
            </w:tcBorders>
          </w:tcPr>
          <w:p w14:paraId="09FFEBCE" w14:textId="77777777" w:rsidR="0056738E" w:rsidRPr="00D42D91" w:rsidRDefault="0056738E" w:rsidP="007C2AEE">
            <w:pPr>
              <w:tabs>
                <w:tab w:val="left" w:pos="0"/>
                <w:tab w:val="right" w:pos="7560"/>
                <w:tab w:val="right" w:pos="9000"/>
              </w:tabs>
              <w:jc w:val="right"/>
              <w:rPr>
                <w:rFonts w:ascii="Verdana" w:hAnsi="Verdana" w:cs="Arial"/>
                <w:b/>
                <w:bCs/>
                <w:sz w:val="18"/>
                <w:szCs w:val="18"/>
                <w:lang w:val="el-GR"/>
              </w:rPr>
            </w:pPr>
          </w:p>
        </w:tc>
        <w:tc>
          <w:tcPr>
            <w:tcW w:w="1417" w:type="dxa"/>
            <w:tcBorders>
              <w:top w:val="single" w:sz="4" w:space="0" w:color="D9D9D9" w:themeColor="background1" w:themeShade="D9"/>
              <w:bottom w:val="single" w:sz="4" w:space="0" w:color="D9D9D9" w:themeColor="background1" w:themeShade="D9"/>
            </w:tcBorders>
          </w:tcPr>
          <w:p w14:paraId="3A06053E" w14:textId="77777777" w:rsidR="0056738E" w:rsidRPr="00D42D91" w:rsidRDefault="0056738E" w:rsidP="007C2AEE">
            <w:pPr>
              <w:tabs>
                <w:tab w:val="left" w:pos="0"/>
                <w:tab w:val="right" w:pos="7560"/>
                <w:tab w:val="right" w:pos="9000"/>
              </w:tabs>
              <w:jc w:val="right"/>
              <w:rPr>
                <w:rFonts w:ascii="Verdana" w:hAnsi="Verdana" w:cs="Arial"/>
                <w:b/>
                <w:bCs/>
                <w:sz w:val="18"/>
                <w:szCs w:val="18"/>
                <w:lang w:val="el-GR"/>
              </w:rPr>
            </w:pPr>
          </w:p>
        </w:tc>
        <w:tc>
          <w:tcPr>
            <w:tcW w:w="1417" w:type="dxa"/>
            <w:tcBorders>
              <w:top w:val="single" w:sz="4" w:space="0" w:color="D9D9D9" w:themeColor="background1" w:themeShade="D9"/>
              <w:bottom w:val="single" w:sz="4" w:space="0" w:color="D9D9D9" w:themeColor="background1" w:themeShade="D9"/>
            </w:tcBorders>
            <w:vAlign w:val="center"/>
          </w:tcPr>
          <w:p w14:paraId="1403F956" w14:textId="77777777" w:rsidR="0056738E" w:rsidRPr="00D42D91" w:rsidRDefault="0056738E" w:rsidP="007C2AEE">
            <w:pPr>
              <w:tabs>
                <w:tab w:val="left" w:pos="0"/>
                <w:tab w:val="right" w:pos="7560"/>
                <w:tab w:val="right" w:pos="9000"/>
              </w:tabs>
              <w:jc w:val="right"/>
              <w:rPr>
                <w:rFonts w:ascii="Verdana" w:hAnsi="Verdana" w:cs="Arial"/>
                <w:b/>
                <w:bCs/>
                <w:sz w:val="18"/>
                <w:szCs w:val="18"/>
                <w:lang w:val="el-GR"/>
              </w:rPr>
            </w:pPr>
          </w:p>
        </w:tc>
      </w:tr>
      <w:tr w:rsidR="0056738E" w:rsidRPr="00B51630" w14:paraId="61FB8832" w14:textId="77777777" w:rsidTr="007C2AEE">
        <w:trPr>
          <w:trHeight w:val="236"/>
        </w:trPr>
        <w:tc>
          <w:tcPr>
            <w:tcW w:w="3856" w:type="dxa"/>
            <w:tcBorders>
              <w:top w:val="single" w:sz="4" w:space="0" w:color="D9D9D9" w:themeColor="background1" w:themeShade="D9"/>
              <w:bottom w:val="single" w:sz="4" w:space="0" w:color="D9D9D9" w:themeColor="background1" w:themeShade="D9"/>
            </w:tcBorders>
            <w:vAlign w:val="center"/>
          </w:tcPr>
          <w:p w14:paraId="2F0CC81A" w14:textId="77777777" w:rsidR="0056738E" w:rsidRPr="00B51630" w:rsidRDefault="0056738E" w:rsidP="0056738E">
            <w:pPr>
              <w:numPr>
                <w:ilvl w:val="0"/>
                <w:numId w:val="9"/>
              </w:numPr>
              <w:tabs>
                <w:tab w:val="left" w:pos="0"/>
                <w:tab w:val="right" w:pos="7560"/>
                <w:tab w:val="right" w:pos="9000"/>
              </w:tabs>
              <w:ind w:left="474" w:hanging="283"/>
              <w:jc w:val="both"/>
              <w:rPr>
                <w:rFonts w:ascii="Arial" w:hAnsi="Arial" w:cs="Arial"/>
                <w:sz w:val="18"/>
                <w:szCs w:val="18"/>
              </w:rPr>
            </w:pPr>
            <w:r>
              <w:rPr>
                <w:rFonts w:ascii="Arial" w:hAnsi="Arial" w:cs="Arial"/>
                <w:sz w:val="18"/>
                <w:szCs w:val="18"/>
                <w:lang w:val="el-GR"/>
              </w:rPr>
              <w:t xml:space="preserve">στις </w:t>
            </w:r>
            <w:r w:rsidRPr="0006335E">
              <w:rPr>
                <w:rFonts w:ascii="Arial" w:hAnsi="Arial" w:cs="Arial"/>
                <w:sz w:val="18"/>
                <w:szCs w:val="18"/>
                <w:lang w:val="el-GR"/>
              </w:rPr>
              <w:t xml:space="preserve">30 Σεπτεμβρίου </w:t>
            </w:r>
            <w:r>
              <w:rPr>
                <w:rFonts w:ascii="Arial" w:hAnsi="Arial" w:cs="Arial"/>
                <w:sz w:val="18"/>
                <w:szCs w:val="18"/>
                <w:lang w:val="el-GR"/>
              </w:rPr>
              <w:t>2024</w:t>
            </w:r>
          </w:p>
        </w:tc>
        <w:tc>
          <w:tcPr>
            <w:tcW w:w="1417" w:type="dxa"/>
            <w:tcBorders>
              <w:top w:val="single" w:sz="4" w:space="0" w:color="D9D9D9" w:themeColor="background1" w:themeShade="D9"/>
              <w:bottom w:val="single" w:sz="4" w:space="0" w:color="D9D9D9" w:themeColor="background1" w:themeShade="D9"/>
            </w:tcBorders>
          </w:tcPr>
          <w:p w14:paraId="18654951" w14:textId="77777777" w:rsidR="0056738E" w:rsidRPr="00B51630" w:rsidRDefault="0056738E" w:rsidP="007C2AEE">
            <w:pPr>
              <w:tabs>
                <w:tab w:val="left" w:pos="0"/>
                <w:tab w:val="right" w:pos="7560"/>
                <w:tab w:val="right" w:pos="9000"/>
              </w:tabs>
              <w:jc w:val="right"/>
              <w:rPr>
                <w:rFonts w:ascii="Verdana" w:hAnsi="Verdana" w:cs="Arial"/>
                <w:b/>
                <w:bCs/>
                <w:sz w:val="18"/>
                <w:szCs w:val="18"/>
              </w:rPr>
            </w:pPr>
          </w:p>
        </w:tc>
        <w:tc>
          <w:tcPr>
            <w:tcW w:w="1417" w:type="dxa"/>
            <w:tcBorders>
              <w:top w:val="single" w:sz="4" w:space="0" w:color="D9D9D9" w:themeColor="background1" w:themeShade="D9"/>
              <w:bottom w:val="single" w:sz="4" w:space="0" w:color="D9D9D9" w:themeColor="background1" w:themeShade="D9"/>
            </w:tcBorders>
          </w:tcPr>
          <w:p w14:paraId="00BA60ED" w14:textId="77777777" w:rsidR="0056738E" w:rsidRPr="00B51630" w:rsidRDefault="0056738E" w:rsidP="007C2AEE">
            <w:pPr>
              <w:tabs>
                <w:tab w:val="left" w:pos="0"/>
                <w:tab w:val="right" w:pos="7560"/>
                <w:tab w:val="right" w:pos="9000"/>
              </w:tabs>
              <w:jc w:val="right"/>
              <w:rPr>
                <w:rFonts w:ascii="Verdana" w:hAnsi="Verdana" w:cs="Arial"/>
                <w:b/>
                <w:bCs/>
                <w:sz w:val="18"/>
                <w:szCs w:val="18"/>
              </w:rPr>
            </w:pPr>
          </w:p>
        </w:tc>
        <w:tc>
          <w:tcPr>
            <w:tcW w:w="1417" w:type="dxa"/>
            <w:tcBorders>
              <w:top w:val="single" w:sz="4" w:space="0" w:color="D9D9D9" w:themeColor="background1" w:themeShade="D9"/>
              <w:bottom w:val="single" w:sz="4" w:space="0" w:color="D9D9D9" w:themeColor="background1" w:themeShade="D9"/>
            </w:tcBorders>
          </w:tcPr>
          <w:p w14:paraId="092515EE" w14:textId="77777777" w:rsidR="0056738E" w:rsidRPr="00B51630" w:rsidRDefault="0056738E" w:rsidP="007C2AEE">
            <w:pPr>
              <w:tabs>
                <w:tab w:val="left" w:pos="0"/>
                <w:tab w:val="right" w:pos="7560"/>
                <w:tab w:val="right" w:pos="9000"/>
              </w:tabs>
              <w:jc w:val="right"/>
              <w:rPr>
                <w:rFonts w:ascii="Verdana" w:hAnsi="Verdana" w:cs="Arial"/>
                <w:b/>
                <w:bCs/>
                <w:sz w:val="18"/>
                <w:szCs w:val="18"/>
              </w:rPr>
            </w:pPr>
          </w:p>
        </w:tc>
        <w:tc>
          <w:tcPr>
            <w:tcW w:w="1417" w:type="dxa"/>
            <w:tcBorders>
              <w:top w:val="single" w:sz="4" w:space="0" w:color="D9D9D9" w:themeColor="background1" w:themeShade="D9"/>
              <w:bottom w:val="single" w:sz="4" w:space="0" w:color="D9D9D9" w:themeColor="background1" w:themeShade="D9"/>
            </w:tcBorders>
            <w:vAlign w:val="center"/>
          </w:tcPr>
          <w:p w14:paraId="6EC6F6EB" w14:textId="77777777" w:rsidR="0056738E" w:rsidRPr="00041815"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2,334,261</w:t>
            </w:r>
          </w:p>
        </w:tc>
      </w:tr>
      <w:tr w:rsidR="0056738E" w:rsidRPr="00A87169" w14:paraId="1AEC7C65" w14:textId="77777777" w:rsidTr="007C2AEE">
        <w:trPr>
          <w:trHeight w:val="236"/>
        </w:trPr>
        <w:tc>
          <w:tcPr>
            <w:tcW w:w="3856" w:type="dxa"/>
            <w:tcBorders>
              <w:top w:val="single" w:sz="4" w:space="0" w:color="D9D9D9" w:themeColor="background1" w:themeShade="D9"/>
              <w:bottom w:val="single" w:sz="4" w:space="0" w:color="D9D9D9" w:themeColor="background1" w:themeShade="D9"/>
            </w:tcBorders>
            <w:vAlign w:val="center"/>
          </w:tcPr>
          <w:p w14:paraId="09A4E146" w14:textId="77777777" w:rsidR="0056738E" w:rsidRPr="00B51630" w:rsidRDefault="0056738E" w:rsidP="0056738E">
            <w:pPr>
              <w:numPr>
                <w:ilvl w:val="0"/>
                <w:numId w:val="9"/>
              </w:numPr>
              <w:tabs>
                <w:tab w:val="left" w:pos="0"/>
                <w:tab w:val="right" w:pos="7560"/>
                <w:tab w:val="right" w:pos="9000"/>
              </w:tabs>
              <w:ind w:left="474" w:hanging="283"/>
              <w:rPr>
                <w:rFonts w:ascii="Arial" w:hAnsi="Arial" w:cs="Arial"/>
                <w:sz w:val="18"/>
                <w:szCs w:val="18"/>
              </w:rPr>
            </w:pPr>
            <w:r>
              <w:rPr>
                <w:rFonts w:ascii="Arial" w:hAnsi="Arial" w:cs="Arial"/>
                <w:sz w:val="18"/>
                <w:szCs w:val="18"/>
                <w:lang w:val="el-GR"/>
              </w:rPr>
              <w:t xml:space="preserve">στις </w:t>
            </w:r>
            <w:r w:rsidRPr="0006335E">
              <w:rPr>
                <w:rFonts w:ascii="Arial" w:hAnsi="Arial" w:cs="Arial"/>
                <w:sz w:val="18"/>
                <w:szCs w:val="18"/>
                <w:lang w:val="el-GR"/>
              </w:rPr>
              <w:t xml:space="preserve">30 Σεπτεμβρίου </w:t>
            </w:r>
            <w:r>
              <w:rPr>
                <w:rFonts w:ascii="Arial" w:hAnsi="Arial" w:cs="Arial"/>
                <w:sz w:val="18"/>
                <w:szCs w:val="18"/>
                <w:lang w:val="el-GR"/>
              </w:rPr>
              <w:t>2023</w:t>
            </w:r>
          </w:p>
        </w:tc>
        <w:tc>
          <w:tcPr>
            <w:tcW w:w="1417" w:type="dxa"/>
            <w:tcBorders>
              <w:top w:val="single" w:sz="4" w:space="0" w:color="D9D9D9" w:themeColor="background1" w:themeShade="D9"/>
              <w:bottom w:val="single" w:sz="4" w:space="0" w:color="D9D9D9" w:themeColor="background1" w:themeShade="D9"/>
            </w:tcBorders>
          </w:tcPr>
          <w:p w14:paraId="1562FE9E" w14:textId="77777777" w:rsidR="0056738E" w:rsidRPr="00A87169" w:rsidRDefault="0056738E" w:rsidP="007C2AEE">
            <w:pPr>
              <w:tabs>
                <w:tab w:val="left" w:pos="0"/>
                <w:tab w:val="right" w:pos="7560"/>
                <w:tab w:val="right" w:pos="9000"/>
              </w:tabs>
              <w:jc w:val="right"/>
              <w:rPr>
                <w:rFonts w:ascii="Verdana" w:hAnsi="Verdana" w:cs="Arial"/>
                <w:bCs/>
                <w:sz w:val="18"/>
                <w:szCs w:val="18"/>
              </w:rPr>
            </w:pPr>
          </w:p>
        </w:tc>
        <w:tc>
          <w:tcPr>
            <w:tcW w:w="1417" w:type="dxa"/>
            <w:tcBorders>
              <w:top w:val="single" w:sz="4" w:space="0" w:color="D9D9D9" w:themeColor="background1" w:themeShade="D9"/>
              <w:bottom w:val="single" w:sz="4" w:space="0" w:color="D9D9D9" w:themeColor="background1" w:themeShade="D9"/>
            </w:tcBorders>
          </w:tcPr>
          <w:p w14:paraId="11CEB21E" w14:textId="77777777" w:rsidR="0056738E" w:rsidRPr="00A87169" w:rsidRDefault="0056738E" w:rsidP="007C2AEE">
            <w:pPr>
              <w:tabs>
                <w:tab w:val="left" w:pos="0"/>
                <w:tab w:val="right" w:pos="7560"/>
                <w:tab w:val="right" w:pos="9000"/>
              </w:tabs>
              <w:jc w:val="right"/>
              <w:rPr>
                <w:rFonts w:ascii="Verdana" w:hAnsi="Verdana" w:cs="Arial"/>
                <w:bCs/>
                <w:sz w:val="18"/>
                <w:szCs w:val="18"/>
              </w:rPr>
            </w:pPr>
          </w:p>
        </w:tc>
        <w:tc>
          <w:tcPr>
            <w:tcW w:w="1417" w:type="dxa"/>
            <w:tcBorders>
              <w:top w:val="single" w:sz="4" w:space="0" w:color="D9D9D9" w:themeColor="background1" w:themeShade="D9"/>
              <w:bottom w:val="single" w:sz="4" w:space="0" w:color="D9D9D9" w:themeColor="background1" w:themeShade="D9"/>
            </w:tcBorders>
          </w:tcPr>
          <w:p w14:paraId="4193DDA6" w14:textId="77777777" w:rsidR="0056738E" w:rsidRPr="00A87169" w:rsidRDefault="0056738E" w:rsidP="007C2AEE">
            <w:pPr>
              <w:tabs>
                <w:tab w:val="left" w:pos="0"/>
                <w:tab w:val="right" w:pos="7560"/>
                <w:tab w:val="right" w:pos="9000"/>
              </w:tabs>
              <w:jc w:val="right"/>
              <w:rPr>
                <w:rFonts w:ascii="Verdana" w:hAnsi="Verdana" w:cs="Arial"/>
                <w:bCs/>
                <w:sz w:val="18"/>
                <w:szCs w:val="18"/>
              </w:rPr>
            </w:pPr>
          </w:p>
        </w:tc>
        <w:tc>
          <w:tcPr>
            <w:tcW w:w="1417" w:type="dxa"/>
            <w:tcBorders>
              <w:top w:val="single" w:sz="4" w:space="0" w:color="D9D9D9" w:themeColor="background1" w:themeShade="D9"/>
              <w:bottom w:val="single" w:sz="4" w:space="0" w:color="D9D9D9" w:themeColor="background1" w:themeShade="D9"/>
            </w:tcBorders>
            <w:vAlign w:val="center"/>
          </w:tcPr>
          <w:p w14:paraId="60AAFE59" w14:textId="77777777" w:rsidR="0056738E" w:rsidRPr="00041815" w:rsidRDefault="0056738E" w:rsidP="007C2AEE">
            <w:pPr>
              <w:tabs>
                <w:tab w:val="left" w:pos="0"/>
                <w:tab w:val="right" w:pos="7560"/>
                <w:tab w:val="right" w:pos="9000"/>
              </w:tabs>
              <w:jc w:val="right"/>
              <w:rPr>
                <w:rFonts w:ascii="Arial" w:hAnsi="Arial" w:cs="Arial"/>
                <w:bCs/>
                <w:sz w:val="18"/>
                <w:szCs w:val="18"/>
                <w:lang w:val="el-GR"/>
              </w:rPr>
            </w:pPr>
            <w:r w:rsidRPr="00CB55B0">
              <w:rPr>
                <w:rFonts w:ascii="Arial" w:hAnsi="Arial" w:cs="Arial"/>
                <w:sz w:val="18"/>
                <w:szCs w:val="18"/>
              </w:rPr>
              <w:t>1,901,882</w:t>
            </w:r>
          </w:p>
        </w:tc>
      </w:tr>
    </w:tbl>
    <w:p w14:paraId="7D6CDCEB" w14:textId="77777777" w:rsidR="0056738E" w:rsidRPr="004660BE" w:rsidRDefault="0056738E" w:rsidP="0056738E">
      <w:pPr>
        <w:shd w:val="clear" w:color="auto" w:fill="FFFFFF"/>
        <w:suppressAutoHyphens/>
        <w:spacing w:after="0" w:line="240" w:lineRule="auto"/>
        <w:jc w:val="both"/>
        <w:rPr>
          <w:rFonts w:ascii="Arial" w:hAnsi="Arial" w:cs="Arial"/>
          <w:color w:val="262626"/>
          <w:sz w:val="16"/>
          <w:szCs w:val="16"/>
        </w:rPr>
      </w:pPr>
    </w:p>
    <w:p w14:paraId="54642658" w14:textId="77777777" w:rsidR="0056738E" w:rsidRPr="00C7288C" w:rsidRDefault="0056738E" w:rsidP="0056738E">
      <w:pPr>
        <w:spacing w:after="120" w:line="240" w:lineRule="auto"/>
        <w:ind w:left="851" w:hanging="851"/>
        <w:jc w:val="both"/>
        <w:rPr>
          <w:rFonts w:ascii="Arial" w:hAnsi="Arial" w:cs="Arial"/>
          <w:b/>
          <w:color w:val="FF9900"/>
          <w:lang w:val="el-GR"/>
        </w:rPr>
      </w:pPr>
      <w:r w:rsidRPr="0064071E">
        <w:rPr>
          <w:rFonts w:ascii="Arial" w:hAnsi="Arial" w:cs="Arial"/>
          <w:b/>
          <w:color w:val="FF9900"/>
          <w:lang w:val="el-GR"/>
        </w:rPr>
        <w:t>7.</w:t>
      </w:r>
      <w:r w:rsidRPr="0064071E">
        <w:rPr>
          <w:rFonts w:ascii="Arial" w:hAnsi="Arial" w:cs="Arial"/>
          <w:b/>
          <w:color w:val="FF9900"/>
          <w:lang w:val="el-GR"/>
        </w:rPr>
        <w:tab/>
      </w:r>
      <w:r w:rsidRPr="00D17E65">
        <w:rPr>
          <w:rFonts w:ascii="Arial" w:hAnsi="Arial" w:cs="Arial"/>
          <w:b/>
          <w:color w:val="FF9900"/>
          <w:lang w:val="el-GR"/>
        </w:rPr>
        <w:t xml:space="preserve">Απόδοση ενσώματων ιδίων κεφαλαίων (ROTE) </w:t>
      </w:r>
      <w:r>
        <w:rPr>
          <w:rFonts w:ascii="Arial" w:hAnsi="Arial" w:cs="Arial"/>
          <w:b/>
          <w:color w:val="FF9900"/>
          <w:lang w:val="el-GR"/>
        </w:rPr>
        <w:t xml:space="preserve">υπολογισμένη σε </w:t>
      </w:r>
      <w:r w:rsidRPr="00D17E65">
        <w:rPr>
          <w:rFonts w:ascii="Arial" w:hAnsi="Arial" w:cs="Arial"/>
          <w:b/>
          <w:color w:val="FF9900"/>
          <w:lang w:val="el-GR"/>
        </w:rPr>
        <w:t>Δείκτη Κεφαλαίου Κοινών Μετοχών Κατηγορίας 1 (</w:t>
      </w:r>
      <w:r w:rsidRPr="00D17E65">
        <w:rPr>
          <w:rFonts w:ascii="Arial" w:hAnsi="Arial" w:cs="Arial"/>
          <w:b/>
          <w:color w:val="FF9900"/>
          <w:lang w:val="en-US"/>
        </w:rPr>
        <w:t>CET</w:t>
      </w:r>
      <w:r w:rsidRPr="00D17E65">
        <w:rPr>
          <w:rFonts w:ascii="Arial" w:hAnsi="Arial" w:cs="Arial"/>
          <w:b/>
          <w:color w:val="FF9900"/>
          <w:lang w:val="el-GR"/>
        </w:rPr>
        <w:t xml:space="preserve">1) </w:t>
      </w:r>
      <w:r>
        <w:rPr>
          <w:rFonts w:ascii="Arial" w:hAnsi="Arial" w:cs="Arial"/>
          <w:b/>
          <w:color w:val="FF9900"/>
          <w:lang w:val="el-GR"/>
        </w:rPr>
        <w:t>ύψους</w:t>
      </w:r>
      <w:r w:rsidRPr="00D17E65">
        <w:rPr>
          <w:rFonts w:ascii="Arial" w:hAnsi="Arial" w:cs="Arial"/>
          <w:b/>
          <w:color w:val="FF9900"/>
          <w:lang w:val="el-GR"/>
        </w:rPr>
        <w:t xml:space="preserve"> 15%</w:t>
      </w:r>
      <w:r w:rsidRPr="00C7288C">
        <w:rPr>
          <w:rFonts w:ascii="Arial" w:hAnsi="Arial" w:cs="Arial"/>
          <w:b/>
          <w:color w:val="FF9900"/>
          <w:lang w:val="el-GR"/>
        </w:rPr>
        <w:t xml:space="preserve"> </w:t>
      </w:r>
    </w:p>
    <w:p w14:paraId="211FEB4B" w14:textId="77777777" w:rsidR="0056738E" w:rsidRPr="00743284" w:rsidRDefault="0056738E" w:rsidP="0056738E">
      <w:pPr>
        <w:shd w:val="clear" w:color="auto" w:fill="FFFFFF"/>
        <w:tabs>
          <w:tab w:val="left" w:pos="810"/>
        </w:tabs>
        <w:suppressAutoHyphens/>
        <w:spacing w:after="120" w:line="240" w:lineRule="auto"/>
        <w:jc w:val="both"/>
        <w:rPr>
          <w:rFonts w:ascii="Arial" w:hAnsi="Arial" w:cs="Arial"/>
          <w:sz w:val="18"/>
          <w:szCs w:val="18"/>
          <w:lang w:val="el-GR"/>
        </w:rPr>
      </w:pPr>
      <w:r w:rsidRPr="00D17E65">
        <w:rPr>
          <w:rFonts w:ascii="Arial" w:hAnsi="Arial" w:cs="Arial"/>
          <w:sz w:val="18"/>
          <w:szCs w:val="18"/>
          <w:lang w:val="el-GR"/>
        </w:rPr>
        <w:t>Οι παράμετροι που χρησιμοποιούνται στον προσδιορισμό της ‘Απόδοσης ενσωμάτων ιδίων κεφαλαίων (</w:t>
      </w:r>
      <w:r w:rsidRPr="00D17E65">
        <w:rPr>
          <w:rFonts w:ascii="Arial" w:hAnsi="Arial" w:cs="Arial"/>
          <w:sz w:val="18"/>
          <w:szCs w:val="18"/>
          <w:lang w:val="en-US"/>
        </w:rPr>
        <w:t>ROTE</w:t>
      </w:r>
      <w:r w:rsidRPr="00D17E65">
        <w:rPr>
          <w:rFonts w:ascii="Arial" w:hAnsi="Arial" w:cs="Arial"/>
          <w:sz w:val="18"/>
          <w:szCs w:val="18"/>
          <w:lang w:val="el-GR"/>
        </w:rPr>
        <w:t xml:space="preserve">) </w:t>
      </w:r>
      <w:r>
        <w:rPr>
          <w:rFonts w:ascii="Arial" w:hAnsi="Arial" w:cs="Arial"/>
          <w:sz w:val="18"/>
          <w:szCs w:val="18"/>
          <w:lang w:val="el-GR"/>
        </w:rPr>
        <w:t xml:space="preserve">υπολογισμένη σε </w:t>
      </w:r>
      <w:r w:rsidRPr="00D17E65">
        <w:rPr>
          <w:rFonts w:ascii="Arial" w:hAnsi="Arial" w:cs="Arial"/>
          <w:sz w:val="18"/>
          <w:szCs w:val="18"/>
          <w:lang w:val="el-GR"/>
        </w:rPr>
        <w:t>Δείκτη Κεφαλαίου Κοινών Μετοχών Κατηγορίας 1 (</w:t>
      </w:r>
      <w:r w:rsidRPr="00D17E65">
        <w:rPr>
          <w:rFonts w:ascii="Arial" w:hAnsi="Arial" w:cs="Arial"/>
          <w:sz w:val="18"/>
          <w:szCs w:val="18"/>
          <w:lang w:val="en-US"/>
        </w:rPr>
        <w:t>CET</w:t>
      </w:r>
      <w:r w:rsidRPr="00D17E65">
        <w:rPr>
          <w:rFonts w:ascii="Arial" w:hAnsi="Arial" w:cs="Arial"/>
          <w:sz w:val="18"/>
          <w:szCs w:val="18"/>
          <w:lang w:val="el-GR"/>
        </w:rPr>
        <w:t xml:space="preserve">1) </w:t>
      </w:r>
      <w:r>
        <w:rPr>
          <w:rFonts w:ascii="Arial" w:hAnsi="Arial" w:cs="Arial"/>
          <w:sz w:val="18"/>
          <w:szCs w:val="18"/>
          <w:lang w:val="el-GR"/>
        </w:rPr>
        <w:t>ύψους</w:t>
      </w:r>
      <w:r w:rsidRPr="00D17E65">
        <w:rPr>
          <w:rFonts w:ascii="Arial" w:hAnsi="Arial" w:cs="Arial"/>
          <w:sz w:val="18"/>
          <w:szCs w:val="18"/>
          <w:lang w:val="el-GR"/>
        </w:rPr>
        <w:t xml:space="preserve"> 15%</w:t>
      </w:r>
      <w:r>
        <w:rPr>
          <w:rFonts w:ascii="Arial" w:hAnsi="Arial" w:cs="Arial"/>
          <w:sz w:val="18"/>
          <w:szCs w:val="18"/>
          <w:lang w:val="el-GR"/>
        </w:rPr>
        <w:t>’, παρατίθενται πιο κάτω</w:t>
      </w:r>
      <w:r w:rsidRPr="00D17E65">
        <w:rPr>
          <w:rFonts w:ascii="Arial" w:hAnsi="Arial" w:cs="Arial"/>
          <w:sz w:val="18"/>
          <w:szCs w:val="18"/>
          <w:lang w:val="el-GR"/>
        </w:rPr>
        <w:t>:</w:t>
      </w:r>
    </w:p>
    <w:tbl>
      <w:tblPr>
        <w:tblStyle w:val="TableGrid"/>
        <w:tblW w:w="952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90"/>
        <w:gridCol w:w="1417"/>
        <w:gridCol w:w="1418"/>
      </w:tblGrid>
      <w:tr w:rsidR="0056738E" w:rsidRPr="00ED1475" w14:paraId="7FE283A1" w14:textId="77777777" w:rsidTr="007C2AEE">
        <w:trPr>
          <w:trHeight w:val="255"/>
        </w:trPr>
        <w:tc>
          <w:tcPr>
            <w:tcW w:w="6690" w:type="dxa"/>
            <w:vAlign w:val="center"/>
          </w:tcPr>
          <w:p w14:paraId="6092503F" w14:textId="77777777" w:rsidR="0056738E" w:rsidRPr="000B76A8" w:rsidRDefault="0056738E" w:rsidP="007C2AEE">
            <w:pPr>
              <w:tabs>
                <w:tab w:val="left" w:pos="0"/>
                <w:tab w:val="left" w:pos="360"/>
              </w:tabs>
              <w:rPr>
                <w:rFonts w:ascii="Verdana" w:hAnsi="Verdana" w:cs="ArialMT"/>
                <w:b/>
                <w:sz w:val="18"/>
                <w:szCs w:val="18"/>
                <w:lang w:val="el-GR"/>
              </w:rPr>
            </w:pPr>
          </w:p>
        </w:tc>
        <w:tc>
          <w:tcPr>
            <w:tcW w:w="1417" w:type="dxa"/>
            <w:shd w:val="clear" w:color="auto" w:fill="auto"/>
            <w:vAlign w:val="center"/>
          </w:tcPr>
          <w:p w14:paraId="681D5CF9" w14:textId="77777777" w:rsidR="0056738E" w:rsidRPr="000B76A8" w:rsidRDefault="0056738E" w:rsidP="007C2AEE">
            <w:pPr>
              <w:ind w:left="-101" w:right="-115"/>
              <w:jc w:val="center"/>
              <w:rPr>
                <w:rFonts w:ascii="Verdana" w:hAnsi="Verdana"/>
                <w:b/>
                <w:iCs/>
                <w:spacing w:val="-4"/>
                <w:sz w:val="18"/>
                <w:szCs w:val="18"/>
                <w:lang w:val="el-GR"/>
              </w:rPr>
            </w:pPr>
            <w:r w:rsidRPr="00041815">
              <w:rPr>
                <w:rFonts w:ascii="Arial" w:eastAsia="Batang" w:hAnsi="Arial" w:cs="Arial"/>
                <w:b/>
                <w:sz w:val="18"/>
                <w:szCs w:val="18"/>
                <w:lang w:val="el-GR"/>
              </w:rPr>
              <w:t>202</w:t>
            </w:r>
            <w:r>
              <w:rPr>
                <w:rFonts w:ascii="Arial" w:eastAsia="Batang" w:hAnsi="Arial" w:cs="Arial"/>
                <w:b/>
                <w:sz w:val="18"/>
                <w:szCs w:val="18"/>
                <w:lang w:val="el-GR"/>
              </w:rPr>
              <w:t>4</w:t>
            </w:r>
          </w:p>
        </w:tc>
        <w:tc>
          <w:tcPr>
            <w:tcW w:w="1418" w:type="dxa"/>
            <w:vAlign w:val="center"/>
          </w:tcPr>
          <w:p w14:paraId="49849F5D" w14:textId="77777777" w:rsidR="0056738E" w:rsidRPr="00041815" w:rsidRDefault="0056738E" w:rsidP="007C2AEE">
            <w:pPr>
              <w:ind w:left="-173" w:right="-108"/>
              <w:jc w:val="center"/>
              <w:rPr>
                <w:rFonts w:ascii="Arial" w:hAnsi="Arial" w:cs="Arial"/>
                <w:sz w:val="18"/>
                <w:szCs w:val="18"/>
                <w:lang w:val="el-GR"/>
              </w:rPr>
            </w:pPr>
            <w:r w:rsidRPr="00041815">
              <w:rPr>
                <w:rFonts w:ascii="Arial" w:hAnsi="Arial" w:cs="Arial"/>
                <w:sz w:val="18"/>
                <w:szCs w:val="18"/>
                <w:lang w:val="el-GR"/>
              </w:rPr>
              <w:t>202</w:t>
            </w:r>
            <w:r>
              <w:rPr>
                <w:rFonts w:ascii="Arial" w:hAnsi="Arial" w:cs="Arial"/>
                <w:sz w:val="18"/>
                <w:szCs w:val="18"/>
                <w:lang w:val="el-GR"/>
              </w:rPr>
              <w:t>3</w:t>
            </w:r>
          </w:p>
        </w:tc>
      </w:tr>
      <w:tr w:rsidR="0056738E" w:rsidRPr="00ED1475" w14:paraId="54055CD3" w14:textId="77777777" w:rsidTr="007C2AEE">
        <w:trPr>
          <w:trHeight w:val="255"/>
        </w:trPr>
        <w:tc>
          <w:tcPr>
            <w:tcW w:w="6690" w:type="dxa"/>
            <w:vAlign w:val="center"/>
          </w:tcPr>
          <w:p w14:paraId="2FE0B751" w14:textId="77777777" w:rsidR="0056738E" w:rsidRPr="0064071E" w:rsidRDefault="0056738E" w:rsidP="007C2AEE">
            <w:pPr>
              <w:tabs>
                <w:tab w:val="left" w:pos="0"/>
                <w:tab w:val="right" w:pos="7560"/>
                <w:tab w:val="right" w:pos="9000"/>
              </w:tabs>
              <w:jc w:val="both"/>
              <w:rPr>
                <w:rFonts w:ascii="Arial" w:hAnsi="Arial" w:cs="Arial"/>
                <w:sz w:val="18"/>
                <w:szCs w:val="18"/>
                <w:lang w:val="el-GR"/>
              </w:rPr>
            </w:pPr>
            <w:r>
              <w:rPr>
                <w:rFonts w:ascii="Arial" w:hAnsi="Arial" w:cs="Arial"/>
                <w:sz w:val="18"/>
                <w:szCs w:val="18"/>
                <w:lang w:val="el-GR"/>
              </w:rPr>
              <w:t>Κ</w:t>
            </w:r>
            <w:r w:rsidRPr="0064071E">
              <w:rPr>
                <w:rFonts w:ascii="Arial" w:hAnsi="Arial" w:cs="Arial"/>
                <w:sz w:val="18"/>
                <w:szCs w:val="18"/>
                <w:lang w:val="el-GR"/>
              </w:rPr>
              <w:t>έρδη μετά τη φορολογία</w:t>
            </w:r>
            <w:r>
              <w:rPr>
                <w:rFonts w:ascii="Arial" w:hAnsi="Arial" w:cs="Arial"/>
                <w:sz w:val="18"/>
                <w:szCs w:val="18"/>
                <w:lang w:val="el-GR"/>
              </w:rPr>
              <w:t xml:space="preserve"> για την περίοδο </w:t>
            </w:r>
            <w:r w:rsidRPr="0064071E">
              <w:rPr>
                <w:rFonts w:ascii="Arial" w:hAnsi="Arial" w:cs="Arial"/>
                <w:sz w:val="18"/>
                <w:szCs w:val="18"/>
                <w:lang w:val="el-GR"/>
              </w:rPr>
              <w:t xml:space="preserve">(που αναλογούν στους ιδιοκτήτες της Εταιρίας) </w:t>
            </w:r>
            <w:proofErr w:type="spellStart"/>
            <w:r>
              <w:rPr>
                <w:rFonts w:ascii="Arial" w:hAnsi="Arial" w:cs="Arial"/>
                <w:sz w:val="18"/>
                <w:szCs w:val="18"/>
                <w:lang w:val="el-GR"/>
              </w:rPr>
              <w:t>ετησιοποιημένα</w:t>
            </w:r>
            <w:proofErr w:type="spellEnd"/>
            <w:r>
              <w:rPr>
                <w:rFonts w:ascii="Arial" w:hAnsi="Arial" w:cs="Arial"/>
                <w:sz w:val="18"/>
                <w:szCs w:val="18"/>
                <w:lang w:val="el-GR"/>
              </w:rPr>
              <w:t xml:space="preserve"> </w:t>
            </w:r>
            <w:r w:rsidRPr="0064071E">
              <w:rPr>
                <w:rFonts w:ascii="Arial" w:hAnsi="Arial" w:cs="Arial"/>
                <w:sz w:val="18"/>
                <w:szCs w:val="18"/>
                <w:lang w:val="el-GR"/>
              </w:rPr>
              <w:t>στην υποκείμενη βάση/στην απαιτούμενη από τη νομοθεσία βάση</w:t>
            </w:r>
            <w:r w:rsidRPr="0064071E" w:rsidDel="00527619">
              <w:rPr>
                <w:rFonts w:ascii="Arial" w:hAnsi="Arial" w:cs="Arial"/>
                <w:sz w:val="18"/>
                <w:szCs w:val="18"/>
                <w:lang w:val="el-GR"/>
              </w:rPr>
              <w:t xml:space="preserve"> </w:t>
            </w:r>
            <w:r w:rsidRPr="0064071E">
              <w:rPr>
                <w:rFonts w:ascii="Arial" w:hAnsi="Arial" w:cs="Arial"/>
                <w:bCs/>
                <w:sz w:val="18"/>
                <w:szCs w:val="18"/>
                <w:lang w:val="el-GR"/>
              </w:rPr>
              <w:t xml:space="preserve">για το </w:t>
            </w:r>
            <w:r>
              <w:rPr>
                <w:rFonts w:ascii="Arial" w:hAnsi="Arial" w:cs="Arial"/>
                <w:sz w:val="18"/>
                <w:szCs w:val="18"/>
                <w:lang w:val="el-GR"/>
              </w:rPr>
              <w:t>εννεάμηνο</w:t>
            </w:r>
            <w:r w:rsidRPr="0064071E">
              <w:rPr>
                <w:rFonts w:ascii="Arial" w:hAnsi="Arial" w:cs="Arial"/>
                <w:sz w:val="18"/>
                <w:szCs w:val="18"/>
                <w:lang w:val="el-GR"/>
              </w:rPr>
              <w:t xml:space="preserve"> </w:t>
            </w:r>
            <w:r w:rsidRPr="0064071E">
              <w:rPr>
                <w:rFonts w:ascii="Arial" w:hAnsi="Arial" w:cs="Arial"/>
                <w:bCs/>
                <w:sz w:val="18"/>
                <w:szCs w:val="18"/>
                <w:lang w:val="el-GR"/>
              </w:rPr>
              <w:t xml:space="preserve">που έληξε στις </w:t>
            </w:r>
            <w:r w:rsidRPr="002135C9">
              <w:rPr>
                <w:rFonts w:ascii="Arial" w:hAnsi="Arial" w:cs="Arial"/>
                <w:sz w:val="18"/>
                <w:szCs w:val="18"/>
                <w:lang w:val="el-GR"/>
              </w:rPr>
              <w:t>3</w:t>
            </w:r>
            <w:r>
              <w:rPr>
                <w:rFonts w:ascii="Arial" w:hAnsi="Arial" w:cs="Arial"/>
                <w:sz w:val="18"/>
                <w:szCs w:val="18"/>
                <w:lang w:val="el-GR"/>
              </w:rPr>
              <w:t>0</w:t>
            </w:r>
            <w:r w:rsidRPr="002135C9">
              <w:rPr>
                <w:rFonts w:ascii="Arial" w:hAnsi="Arial" w:cs="Arial"/>
                <w:sz w:val="18"/>
                <w:szCs w:val="18"/>
                <w:lang w:val="el-GR"/>
              </w:rPr>
              <w:t xml:space="preserve"> </w:t>
            </w:r>
            <w:r w:rsidRPr="004660BE">
              <w:rPr>
                <w:rFonts w:ascii="Arial" w:hAnsi="Arial" w:cs="Arial"/>
                <w:sz w:val="18"/>
                <w:szCs w:val="18"/>
                <w:lang w:val="el-GR"/>
              </w:rPr>
              <w:t xml:space="preserve">Σεπτεμβρίου </w:t>
            </w:r>
            <w:r w:rsidRPr="0064071E">
              <w:rPr>
                <w:rFonts w:ascii="Arial" w:hAnsi="Arial" w:cs="Arial"/>
                <w:sz w:val="18"/>
                <w:szCs w:val="18"/>
                <w:lang w:val="el-GR"/>
              </w:rPr>
              <w:t>(€000)</w:t>
            </w:r>
          </w:p>
        </w:tc>
        <w:tc>
          <w:tcPr>
            <w:tcW w:w="1417" w:type="dxa"/>
            <w:shd w:val="clear" w:color="auto" w:fill="auto"/>
            <w:vAlign w:val="center"/>
          </w:tcPr>
          <w:p w14:paraId="5AE573C5" w14:textId="77777777" w:rsidR="0056738E" w:rsidRPr="0064071E" w:rsidRDefault="0056738E" w:rsidP="007C2AEE">
            <w:pPr>
              <w:tabs>
                <w:tab w:val="left" w:pos="0"/>
                <w:tab w:val="right" w:pos="7560"/>
                <w:tab w:val="right" w:pos="9000"/>
              </w:tabs>
              <w:jc w:val="right"/>
              <w:rPr>
                <w:rFonts w:ascii="Arial" w:hAnsi="Arial" w:cs="Arial"/>
                <w:b/>
                <w:bCs/>
                <w:sz w:val="18"/>
                <w:szCs w:val="18"/>
                <w:lang w:val="el-GR"/>
              </w:rPr>
            </w:pPr>
            <w:r>
              <w:rPr>
                <w:rFonts w:ascii="Arial" w:hAnsi="Arial" w:cs="Arial"/>
                <w:b/>
                <w:bCs/>
                <w:sz w:val="18"/>
                <w:szCs w:val="18"/>
              </w:rPr>
              <w:t>535,121</w:t>
            </w:r>
          </w:p>
        </w:tc>
        <w:tc>
          <w:tcPr>
            <w:tcW w:w="1418" w:type="dxa"/>
            <w:shd w:val="clear" w:color="auto" w:fill="auto"/>
            <w:vAlign w:val="center"/>
          </w:tcPr>
          <w:p w14:paraId="2F972223" w14:textId="77777777" w:rsidR="0056738E" w:rsidRPr="00EF2806" w:rsidRDefault="0056738E" w:rsidP="007C2AEE">
            <w:pPr>
              <w:tabs>
                <w:tab w:val="right" w:pos="7560"/>
                <w:tab w:val="right" w:pos="9000"/>
              </w:tabs>
              <w:ind w:left="-150" w:right="19"/>
              <w:jc w:val="right"/>
              <w:rPr>
                <w:rFonts w:ascii="Arial" w:hAnsi="Arial" w:cs="Arial"/>
                <w:bCs/>
                <w:sz w:val="18"/>
                <w:szCs w:val="18"/>
              </w:rPr>
            </w:pPr>
            <w:r>
              <w:rPr>
                <w:rFonts w:ascii="Arial" w:hAnsi="Arial" w:cs="Arial"/>
                <w:sz w:val="18"/>
                <w:szCs w:val="18"/>
              </w:rPr>
              <w:t>467,097</w:t>
            </w:r>
          </w:p>
        </w:tc>
      </w:tr>
      <w:tr w:rsidR="0056738E" w:rsidRPr="00FB58C4" w14:paraId="506CDD7D" w14:textId="77777777" w:rsidTr="007C2AEE">
        <w:trPr>
          <w:trHeight w:val="255"/>
        </w:trPr>
        <w:tc>
          <w:tcPr>
            <w:tcW w:w="6690" w:type="dxa"/>
            <w:vAlign w:val="center"/>
          </w:tcPr>
          <w:p w14:paraId="6CC6E8C3" w14:textId="77777777" w:rsidR="0056738E" w:rsidRPr="0064071E" w:rsidRDefault="0056738E" w:rsidP="007C2AEE">
            <w:pPr>
              <w:tabs>
                <w:tab w:val="left" w:pos="0"/>
                <w:tab w:val="right" w:pos="7560"/>
                <w:tab w:val="right" w:pos="9000"/>
              </w:tabs>
              <w:jc w:val="both"/>
              <w:rPr>
                <w:rFonts w:ascii="Arial" w:hAnsi="Arial" w:cs="Arial"/>
                <w:sz w:val="18"/>
                <w:szCs w:val="18"/>
                <w:lang w:val="el-GR"/>
              </w:rPr>
            </w:pPr>
            <w:r w:rsidRPr="0051408B">
              <w:rPr>
                <w:rFonts w:ascii="Arial" w:hAnsi="Arial" w:cs="Arial"/>
                <w:sz w:val="18"/>
                <w:szCs w:val="18"/>
                <w:lang w:val="el-GR"/>
              </w:rPr>
              <w:t xml:space="preserve">Τριμηνιαίος μέσος όρος των ενσώματων ιδίων κεφαλαίων που αναλογούν στους ιδιοκτήτες της Εταιρίας </w:t>
            </w:r>
            <w:r w:rsidRPr="00D17E65">
              <w:rPr>
                <w:rFonts w:ascii="Arial" w:hAnsi="Arial" w:cs="Arial"/>
                <w:sz w:val="18"/>
                <w:szCs w:val="18"/>
                <w:lang w:val="el-GR"/>
              </w:rPr>
              <w:t xml:space="preserve">προσαρμοσμένος για </w:t>
            </w:r>
            <w:r w:rsidRPr="0051408B">
              <w:rPr>
                <w:rFonts w:ascii="Arial" w:hAnsi="Arial" w:cs="Arial"/>
                <w:sz w:val="18"/>
                <w:szCs w:val="18"/>
                <w:lang w:val="el-GR"/>
              </w:rPr>
              <w:t xml:space="preserve">το πλεόνασμα Κεφαλαίου με </w:t>
            </w:r>
            <w:r w:rsidRPr="00D17E65">
              <w:rPr>
                <w:rFonts w:ascii="Arial" w:hAnsi="Arial" w:cs="Arial"/>
                <w:sz w:val="18"/>
                <w:szCs w:val="18"/>
                <w:lang w:val="el-GR"/>
              </w:rPr>
              <w:t xml:space="preserve">το </w:t>
            </w:r>
            <w:r w:rsidRPr="0051408B">
              <w:rPr>
                <w:rFonts w:ascii="Arial" w:hAnsi="Arial" w:cs="Arial"/>
                <w:sz w:val="18"/>
                <w:szCs w:val="18"/>
                <w:lang w:val="el-GR"/>
              </w:rPr>
              <w:t>Δείκτη Κοινών Μετοχών Κατηγορίας 1 (</w:t>
            </w:r>
            <w:r w:rsidRPr="0051408B">
              <w:rPr>
                <w:rFonts w:ascii="Arial" w:hAnsi="Arial" w:cs="Arial"/>
                <w:sz w:val="18"/>
                <w:szCs w:val="18"/>
              </w:rPr>
              <w:t>CET</w:t>
            </w:r>
            <w:r w:rsidRPr="00D17E65">
              <w:rPr>
                <w:rFonts w:ascii="Arial" w:hAnsi="Arial" w:cs="Arial"/>
                <w:sz w:val="18"/>
                <w:szCs w:val="18"/>
                <w:lang w:val="el-GR"/>
              </w:rPr>
              <w:t xml:space="preserve">1) </w:t>
            </w:r>
            <w:r w:rsidRPr="0051408B">
              <w:rPr>
                <w:rFonts w:ascii="Arial" w:hAnsi="Arial" w:cs="Arial"/>
                <w:sz w:val="18"/>
                <w:szCs w:val="18"/>
                <w:lang w:val="el-GR"/>
              </w:rPr>
              <w:t xml:space="preserve">στο 15% στις </w:t>
            </w:r>
            <w:r w:rsidRPr="002135C9">
              <w:rPr>
                <w:rFonts w:ascii="Arial" w:hAnsi="Arial" w:cs="Arial"/>
                <w:sz w:val="18"/>
                <w:szCs w:val="18"/>
                <w:lang w:val="el-GR"/>
              </w:rPr>
              <w:t>3</w:t>
            </w:r>
            <w:r>
              <w:rPr>
                <w:rFonts w:ascii="Arial" w:hAnsi="Arial" w:cs="Arial"/>
                <w:sz w:val="18"/>
                <w:szCs w:val="18"/>
                <w:lang w:val="el-GR"/>
              </w:rPr>
              <w:t>0</w:t>
            </w:r>
            <w:r w:rsidRPr="002135C9">
              <w:rPr>
                <w:rFonts w:ascii="Arial" w:hAnsi="Arial" w:cs="Arial"/>
                <w:sz w:val="18"/>
                <w:szCs w:val="18"/>
                <w:lang w:val="el-GR"/>
              </w:rPr>
              <w:t xml:space="preserve"> </w:t>
            </w:r>
            <w:r w:rsidRPr="004660BE">
              <w:rPr>
                <w:rFonts w:ascii="Arial" w:hAnsi="Arial" w:cs="Arial"/>
                <w:sz w:val="18"/>
                <w:szCs w:val="18"/>
                <w:lang w:val="el-GR"/>
              </w:rPr>
              <w:t xml:space="preserve">Σεπτεμβρίου </w:t>
            </w:r>
            <w:r w:rsidRPr="0051408B">
              <w:rPr>
                <w:rFonts w:ascii="Arial" w:hAnsi="Arial" w:cs="Arial"/>
                <w:i/>
                <w:iCs/>
                <w:sz w:val="18"/>
                <w:szCs w:val="18"/>
                <w:lang w:val="el-GR"/>
              </w:rPr>
              <w:t xml:space="preserve">(ως </w:t>
            </w:r>
            <w:r w:rsidRPr="00D17E65">
              <w:rPr>
                <w:rFonts w:ascii="Arial" w:hAnsi="Arial" w:cs="Arial"/>
                <w:i/>
                <w:iCs/>
                <w:sz w:val="18"/>
                <w:szCs w:val="18"/>
                <w:lang w:val="el-GR"/>
              </w:rPr>
              <w:t>ο</w:t>
            </w:r>
            <w:r w:rsidRPr="00D17E65">
              <w:rPr>
                <w:rFonts w:ascii="Arial" w:hAnsi="Arial" w:cs="Arial"/>
                <w:sz w:val="18"/>
                <w:szCs w:val="18"/>
                <w:lang w:val="el-GR"/>
              </w:rPr>
              <w:t xml:space="preserve"> </w:t>
            </w:r>
            <w:r w:rsidRPr="00D17E65">
              <w:rPr>
                <w:rFonts w:ascii="Arial" w:hAnsi="Arial" w:cs="Arial"/>
                <w:i/>
                <w:iCs/>
                <w:sz w:val="18"/>
                <w:szCs w:val="18"/>
                <w:lang w:val="el-GR"/>
              </w:rPr>
              <w:t>πίνακας 7.2 πιο κάτω</w:t>
            </w:r>
            <w:r w:rsidRPr="0051408B">
              <w:rPr>
                <w:rFonts w:ascii="Arial" w:hAnsi="Arial" w:cs="Arial"/>
                <w:i/>
                <w:iCs/>
                <w:sz w:val="18"/>
                <w:szCs w:val="18"/>
                <w:lang w:val="el-GR"/>
              </w:rPr>
              <w:t xml:space="preserve">) </w:t>
            </w:r>
            <w:r w:rsidRPr="0051408B">
              <w:rPr>
                <w:rFonts w:ascii="Arial" w:hAnsi="Arial" w:cs="Arial"/>
                <w:sz w:val="18"/>
                <w:szCs w:val="18"/>
                <w:lang w:val="el-GR"/>
              </w:rPr>
              <w:t>(€000)</w:t>
            </w:r>
          </w:p>
        </w:tc>
        <w:tc>
          <w:tcPr>
            <w:tcW w:w="1417" w:type="dxa"/>
            <w:shd w:val="clear" w:color="auto" w:fill="auto"/>
            <w:vAlign w:val="center"/>
          </w:tcPr>
          <w:p w14:paraId="25DC6013" w14:textId="77777777" w:rsidR="0056738E" w:rsidRPr="00053336" w:rsidRDefault="0056738E" w:rsidP="007C2AEE">
            <w:pPr>
              <w:tabs>
                <w:tab w:val="left" w:pos="0"/>
                <w:tab w:val="right" w:pos="7560"/>
                <w:tab w:val="right" w:pos="9000"/>
              </w:tabs>
              <w:jc w:val="right"/>
              <w:rPr>
                <w:rFonts w:ascii="Verdana" w:hAnsi="Verdana" w:cs="Arial"/>
                <w:b/>
                <w:bCs/>
                <w:sz w:val="18"/>
                <w:szCs w:val="18"/>
                <w:lang w:val="el-GR"/>
              </w:rPr>
            </w:pPr>
            <w:r>
              <w:rPr>
                <w:rFonts w:ascii="Arial" w:hAnsi="Arial" w:cs="Arial"/>
                <w:b/>
                <w:bCs/>
                <w:sz w:val="18"/>
                <w:szCs w:val="18"/>
              </w:rPr>
              <w:t>1,836,93</w:t>
            </w:r>
            <w:r>
              <w:rPr>
                <w:rFonts w:ascii="Arial" w:hAnsi="Arial" w:cs="Arial"/>
                <w:b/>
                <w:bCs/>
                <w:sz w:val="18"/>
                <w:szCs w:val="18"/>
                <w:lang w:val="el-GR"/>
              </w:rPr>
              <w:t>6</w:t>
            </w:r>
          </w:p>
        </w:tc>
        <w:tc>
          <w:tcPr>
            <w:tcW w:w="1418" w:type="dxa"/>
            <w:shd w:val="clear" w:color="auto" w:fill="auto"/>
            <w:vAlign w:val="center"/>
          </w:tcPr>
          <w:p w14:paraId="125E8DA6" w14:textId="77777777" w:rsidR="0056738E" w:rsidRPr="006A56AB" w:rsidRDefault="0056738E" w:rsidP="007C2AEE">
            <w:pPr>
              <w:tabs>
                <w:tab w:val="right" w:pos="7560"/>
                <w:tab w:val="right" w:pos="9000"/>
              </w:tabs>
              <w:ind w:left="-150" w:right="19"/>
              <w:jc w:val="right"/>
              <w:rPr>
                <w:rFonts w:ascii="Arial" w:hAnsi="Arial" w:cs="Arial"/>
                <w:bCs/>
                <w:sz w:val="18"/>
                <w:szCs w:val="18"/>
                <w:lang w:val="el-GR"/>
              </w:rPr>
            </w:pPr>
            <w:r w:rsidRPr="00E25891">
              <w:rPr>
                <w:rFonts w:ascii="Arial" w:hAnsi="Arial" w:cs="Arial"/>
                <w:sz w:val="18"/>
                <w:szCs w:val="18"/>
              </w:rPr>
              <w:t>1,</w:t>
            </w:r>
            <w:r>
              <w:rPr>
                <w:rFonts w:ascii="Arial" w:hAnsi="Arial" w:cs="Arial"/>
                <w:sz w:val="18"/>
                <w:szCs w:val="18"/>
                <w:lang w:val="el-GR"/>
              </w:rPr>
              <w:t>770</w:t>
            </w:r>
            <w:r w:rsidRPr="00E25891">
              <w:rPr>
                <w:rFonts w:ascii="Arial" w:hAnsi="Arial" w:cs="Arial"/>
                <w:sz w:val="18"/>
                <w:szCs w:val="18"/>
              </w:rPr>
              <w:t>,</w:t>
            </w:r>
            <w:r>
              <w:rPr>
                <w:rFonts w:ascii="Arial" w:hAnsi="Arial" w:cs="Arial"/>
                <w:sz w:val="18"/>
                <w:szCs w:val="18"/>
                <w:lang w:val="el-GR"/>
              </w:rPr>
              <w:t>744</w:t>
            </w:r>
          </w:p>
        </w:tc>
      </w:tr>
      <w:tr w:rsidR="0056738E" w:rsidRPr="00ED1475" w14:paraId="12A79145" w14:textId="77777777" w:rsidTr="007C2AEE">
        <w:trPr>
          <w:trHeight w:val="255"/>
        </w:trPr>
        <w:tc>
          <w:tcPr>
            <w:tcW w:w="6690" w:type="dxa"/>
            <w:vAlign w:val="center"/>
          </w:tcPr>
          <w:p w14:paraId="7B79E97C" w14:textId="77777777" w:rsidR="0056738E" w:rsidRPr="00D85B05" w:rsidRDefault="0056738E" w:rsidP="007C2AEE">
            <w:pPr>
              <w:tabs>
                <w:tab w:val="left" w:pos="0"/>
                <w:tab w:val="right" w:pos="7560"/>
                <w:tab w:val="right" w:pos="9000"/>
              </w:tabs>
              <w:jc w:val="both"/>
              <w:rPr>
                <w:rFonts w:ascii="Arial" w:hAnsi="Arial" w:cs="Arial"/>
                <w:sz w:val="18"/>
                <w:szCs w:val="18"/>
                <w:lang w:val="el-GR"/>
              </w:rPr>
            </w:pPr>
            <w:r w:rsidRPr="0064071E">
              <w:rPr>
                <w:rFonts w:ascii="Arial" w:hAnsi="Arial" w:cs="Arial"/>
                <w:sz w:val="18"/>
                <w:szCs w:val="18"/>
                <w:lang w:val="el-GR"/>
              </w:rPr>
              <w:t>Απόδοση ενσώματων ιδίων κεφαλαίων (</w:t>
            </w:r>
            <w:r w:rsidRPr="0064071E">
              <w:rPr>
                <w:rFonts w:ascii="Arial" w:hAnsi="Arial" w:cs="Arial"/>
                <w:sz w:val="18"/>
                <w:szCs w:val="18"/>
              </w:rPr>
              <w:t>ROTE</w:t>
            </w:r>
            <w:r w:rsidRPr="0064071E">
              <w:rPr>
                <w:rFonts w:ascii="Arial" w:hAnsi="Arial" w:cs="Arial"/>
                <w:sz w:val="18"/>
                <w:szCs w:val="18"/>
                <w:lang w:val="el-GR"/>
              </w:rPr>
              <w:t>)</w:t>
            </w:r>
            <w:r w:rsidRPr="0064071E">
              <w:rPr>
                <w:rFonts w:ascii="Arial" w:eastAsiaTheme="minorEastAsia" w:hAnsi="Arial" w:cs="Arial"/>
                <w:sz w:val="18"/>
                <w:szCs w:val="18"/>
                <w:lang w:val="el-GR" w:eastAsia="en-GB"/>
              </w:rPr>
              <w:t xml:space="preserve">, </w:t>
            </w:r>
            <w:r>
              <w:rPr>
                <w:rFonts w:ascii="Arial" w:eastAsiaTheme="minorEastAsia" w:hAnsi="Arial" w:cs="Arial"/>
                <w:sz w:val="18"/>
                <w:szCs w:val="18"/>
                <w:lang w:val="el-GR" w:eastAsia="en-GB"/>
              </w:rPr>
              <w:t>υπολογισμένη σε</w:t>
            </w:r>
            <w:r>
              <w:rPr>
                <w:rFonts w:ascii="Arial" w:hAnsi="Arial" w:cs="Arial"/>
                <w:sz w:val="18"/>
                <w:szCs w:val="18"/>
                <w:lang w:val="el-GR"/>
              </w:rPr>
              <w:t xml:space="preserve"> Δείκτη Κεφαλαίου Κοινών Μετοχών Κατηγορίας 1 (</w:t>
            </w:r>
            <w:r>
              <w:rPr>
                <w:rFonts w:ascii="Arial" w:hAnsi="Arial" w:cs="Arial"/>
                <w:sz w:val="18"/>
                <w:szCs w:val="18"/>
              </w:rPr>
              <w:t>CET</w:t>
            </w:r>
            <w:r w:rsidRPr="00D17E65">
              <w:rPr>
                <w:rFonts w:ascii="Arial" w:hAnsi="Arial" w:cs="Arial"/>
                <w:sz w:val="18"/>
                <w:szCs w:val="18"/>
                <w:lang w:val="el-GR"/>
              </w:rPr>
              <w:t>1)</w:t>
            </w:r>
            <w:r>
              <w:rPr>
                <w:rFonts w:ascii="Arial" w:hAnsi="Arial" w:cs="Arial"/>
                <w:sz w:val="18"/>
                <w:szCs w:val="18"/>
                <w:lang w:val="el-GR"/>
              </w:rPr>
              <w:t xml:space="preserve"> ύψους 15% (%)</w:t>
            </w:r>
          </w:p>
        </w:tc>
        <w:tc>
          <w:tcPr>
            <w:tcW w:w="1417" w:type="dxa"/>
            <w:shd w:val="clear" w:color="auto" w:fill="auto"/>
            <w:vAlign w:val="center"/>
          </w:tcPr>
          <w:p w14:paraId="0EFF3B87" w14:textId="77777777" w:rsidR="0056738E" w:rsidRPr="003858E3" w:rsidRDefault="0056738E" w:rsidP="007C2AEE">
            <w:pPr>
              <w:tabs>
                <w:tab w:val="right" w:pos="7560"/>
                <w:tab w:val="right" w:pos="9000"/>
              </w:tabs>
              <w:ind w:left="-121"/>
              <w:jc w:val="right"/>
              <w:rPr>
                <w:rFonts w:ascii="Verdana" w:hAnsi="Verdana" w:cs="Arial"/>
                <w:b/>
                <w:bCs/>
                <w:sz w:val="18"/>
                <w:szCs w:val="18"/>
                <w:lang w:val="el-GR"/>
              </w:rPr>
            </w:pPr>
            <w:r>
              <w:rPr>
                <w:rFonts w:ascii="Arial" w:hAnsi="Arial" w:cs="Arial"/>
                <w:b/>
                <w:bCs/>
                <w:sz w:val="18"/>
                <w:szCs w:val="18"/>
              </w:rPr>
              <w:t>29.1%</w:t>
            </w:r>
          </w:p>
        </w:tc>
        <w:tc>
          <w:tcPr>
            <w:tcW w:w="1418" w:type="dxa"/>
            <w:shd w:val="clear" w:color="auto" w:fill="auto"/>
            <w:vAlign w:val="center"/>
          </w:tcPr>
          <w:p w14:paraId="709B58B8" w14:textId="77777777" w:rsidR="0056738E" w:rsidRPr="00041815" w:rsidRDefault="0056738E" w:rsidP="007C2AEE">
            <w:pPr>
              <w:tabs>
                <w:tab w:val="right" w:pos="7560"/>
                <w:tab w:val="right" w:pos="9000"/>
              </w:tabs>
              <w:ind w:left="-150" w:right="19"/>
              <w:jc w:val="right"/>
              <w:rPr>
                <w:rFonts w:ascii="Arial" w:hAnsi="Arial" w:cs="Arial"/>
                <w:bCs/>
                <w:sz w:val="18"/>
                <w:szCs w:val="18"/>
              </w:rPr>
            </w:pPr>
            <w:r w:rsidRPr="00E25891">
              <w:rPr>
                <w:rFonts w:ascii="Arial" w:hAnsi="Arial" w:cs="Arial"/>
                <w:sz w:val="18"/>
                <w:szCs w:val="18"/>
              </w:rPr>
              <w:t>2</w:t>
            </w:r>
            <w:r>
              <w:rPr>
                <w:rFonts w:ascii="Arial" w:hAnsi="Arial" w:cs="Arial"/>
                <w:sz w:val="18"/>
                <w:szCs w:val="18"/>
                <w:lang w:val="el-GR"/>
              </w:rPr>
              <w:t>6</w:t>
            </w:r>
            <w:r w:rsidRPr="00E25891">
              <w:rPr>
                <w:rFonts w:ascii="Arial" w:hAnsi="Arial" w:cs="Arial"/>
                <w:sz w:val="18"/>
                <w:szCs w:val="18"/>
              </w:rPr>
              <w:t>.</w:t>
            </w:r>
            <w:r>
              <w:rPr>
                <w:rFonts w:ascii="Arial" w:hAnsi="Arial" w:cs="Arial"/>
                <w:sz w:val="18"/>
                <w:szCs w:val="18"/>
                <w:lang w:val="el-GR"/>
              </w:rPr>
              <w:t>4</w:t>
            </w:r>
            <w:r w:rsidRPr="00E25891">
              <w:rPr>
                <w:rFonts w:ascii="Arial" w:hAnsi="Arial" w:cs="Arial"/>
                <w:sz w:val="18"/>
                <w:szCs w:val="18"/>
              </w:rPr>
              <w:t>%</w:t>
            </w:r>
          </w:p>
        </w:tc>
      </w:tr>
    </w:tbl>
    <w:p w14:paraId="417CB272" w14:textId="77777777" w:rsidR="0056738E" w:rsidRDefault="0056738E" w:rsidP="0056738E">
      <w:pPr>
        <w:pStyle w:val="ListParagraph"/>
        <w:shd w:val="clear" w:color="auto" w:fill="FFFFFF"/>
        <w:suppressAutoHyphens/>
        <w:ind w:left="0"/>
        <w:jc w:val="both"/>
        <w:rPr>
          <w:rFonts w:ascii="Verdana" w:hAnsi="Verdana"/>
          <w:b/>
          <w:bCs/>
          <w:color w:val="262626"/>
          <w:sz w:val="14"/>
          <w:szCs w:val="14"/>
          <w:lang w:val="el-GR"/>
        </w:rPr>
      </w:pPr>
    </w:p>
    <w:p w14:paraId="67D6A9F6" w14:textId="77777777" w:rsidR="0056738E" w:rsidRDefault="0056738E" w:rsidP="0056738E">
      <w:pPr>
        <w:rPr>
          <w:rFonts w:ascii="Verdana" w:eastAsia="Times New Roman" w:hAnsi="Verdana" w:cs="Times New Roman"/>
          <w:b/>
          <w:bCs/>
          <w:color w:val="262626"/>
          <w:sz w:val="14"/>
          <w:szCs w:val="14"/>
          <w:lang w:val="el-GR"/>
        </w:rPr>
      </w:pPr>
      <w:r>
        <w:rPr>
          <w:rFonts w:ascii="Verdana" w:hAnsi="Verdana"/>
          <w:b/>
          <w:bCs/>
          <w:color w:val="262626"/>
          <w:sz w:val="14"/>
          <w:szCs w:val="14"/>
          <w:lang w:val="el-GR"/>
        </w:rPr>
        <w:br w:type="page"/>
      </w:r>
    </w:p>
    <w:p w14:paraId="31432772" w14:textId="77777777" w:rsidR="0056738E" w:rsidRDefault="0056738E" w:rsidP="0056738E">
      <w:pPr>
        <w:spacing w:after="0" w:line="360" w:lineRule="auto"/>
        <w:ind w:left="851" w:hanging="851"/>
        <w:rPr>
          <w:rFonts w:ascii="Arial" w:hAnsi="Arial" w:cs="Arial"/>
          <w:b/>
          <w:color w:val="FF9900"/>
          <w:lang w:val="el-GR"/>
        </w:rPr>
      </w:pPr>
      <w:r>
        <w:rPr>
          <w:rFonts w:ascii="Arial" w:hAnsi="Arial" w:cs="Arial"/>
          <w:b/>
          <w:color w:val="FF9900"/>
          <w:lang w:val="el-GR"/>
        </w:rPr>
        <w:lastRenderedPageBreak/>
        <w:t>Η</w:t>
      </w:r>
      <w:r w:rsidRPr="009B5694">
        <w:rPr>
          <w:rFonts w:ascii="Arial" w:hAnsi="Arial" w:cs="Arial"/>
          <w:b/>
          <w:color w:val="FF9900"/>
          <w:lang w:val="el-GR"/>
        </w:rPr>
        <w:t xml:space="preserve">. </w:t>
      </w:r>
      <w:r w:rsidRPr="009B5694">
        <w:rPr>
          <w:rFonts w:ascii="Arial" w:hAnsi="Arial" w:cs="Arial"/>
          <w:b/>
          <w:color w:val="FF9900"/>
          <w:lang w:val="el-GR"/>
        </w:rPr>
        <w:tab/>
      </w:r>
      <w:r w:rsidRPr="009D3A1F">
        <w:rPr>
          <w:rFonts w:ascii="Arial" w:hAnsi="Arial" w:cs="Arial"/>
          <w:b/>
          <w:color w:val="FF9900"/>
          <w:lang w:val="el-GR"/>
        </w:rPr>
        <w:t>Εναλλακτικ</w:t>
      </w:r>
      <w:r>
        <w:rPr>
          <w:rFonts w:ascii="Arial" w:hAnsi="Arial" w:cs="Arial"/>
          <w:b/>
          <w:color w:val="FF9900"/>
          <w:lang w:val="el-GR"/>
        </w:rPr>
        <w:t>ά</w:t>
      </w:r>
      <w:r w:rsidRPr="009D3A1F">
        <w:rPr>
          <w:rFonts w:ascii="Arial" w:hAnsi="Arial" w:cs="Arial"/>
          <w:b/>
          <w:color w:val="FF9900"/>
          <w:lang w:val="el-GR"/>
        </w:rPr>
        <w:t xml:space="preserve"> Μέτρ</w:t>
      </w:r>
      <w:r>
        <w:rPr>
          <w:rFonts w:ascii="Arial" w:hAnsi="Arial" w:cs="Arial"/>
          <w:b/>
          <w:color w:val="FF9900"/>
          <w:lang w:val="el-GR"/>
        </w:rPr>
        <w:t>α</w:t>
      </w:r>
      <w:r w:rsidRPr="009D3A1F">
        <w:rPr>
          <w:rFonts w:ascii="Arial" w:hAnsi="Arial" w:cs="Arial"/>
          <w:b/>
          <w:color w:val="FF9900"/>
          <w:lang w:val="el-GR"/>
        </w:rPr>
        <w:t xml:space="preserve"> Απόδοσης</w:t>
      </w:r>
      <w:r>
        <w:rPr>
          <w:rFonts w:ascii="Arial" w:hAnsi="Arial" w:cs="Arial"/>
          <w:b/>
          <w:color w:val="FF9900"/>
          <w:lang w:val="el-GR"/>
        </w:rPr>
        <w:t xml:space="preserve"> </w:t>
      </w:r>
      <w:r w:rsidRPr="00B964B1">
        <w:rPr>
          <w:rFonts w:ascii="Arial" w:hAnsi="Arial" w:cs="Arial"/>
          <w:color w:val="FF9900"/>
          <w:lang w:val="el-GR"/>
        </w:rPr>
        <w:t>(συνέχεια)</w:t>
      </w:r>
    </w:p>
    <w:p w14:paraId="784D1B86" w14:textId="77777777" w:rsidR="0056738E" w:rsidRDefault="0056738E" w:rsidP="0056738E">
      <w:pPr>
        <w:shd w:val="clear" w:color="auto" w:fill="FFFFFF"/>
        <w:suppressAutoHyphens/>
        <w:spacing w:after="0" w:line="360" w:lineRule="auto"/>
        <w:jc w:val="both"/>
        <w:rPr>
          <w:rFonts w:ascii="Arial" w:hAnsi="Arial" w:cs="Arial"/>
          <w:color w:val="FF9900"/>
          <w:sz w:val="20"/>
          <w:szCs w:val="20"/>
          <w:lang w:val="el-GR"/>
        </w:rPr>
      </w:pPr>
      <w:r w:rsidRPr="005B05F8">
        <w:rPr>
          <w:rFonts w:ascii="Arial" w:eastAsia="Times New Roman" w:hAnsi="Arial" w:cs="Arial"/>
          <w:b/>
          <w:color w:val="FF9900"/>
          <w:u w:val="single"/>
          <w:lang w:val="el-GR"/>
        </w:rPr>
        <w:t>Πληροφορίες Βασικών Δεικτών Απόδοσης</w:t>
      </w:r>
      <w:r w:rsidRPr="00041815">
        <w:rPr>
          <w:rFonts w:ascii="Arial" w:hAnsi="Arial" w:cs="Arial"/>
          <w:color w:val="FF9900"/>
          <w:sz w:val="20"/>
          <w:szCs w:val="20"/>
          <w:lang w:val="el-GR"/>
        </w:rPr>
        <w:t xml:space="preserve"> </w:t>
      </w:r>
      <w:r w:rsidRPr="00A03828">
        <w:rPr>
          <w:rFonts w:ascii="Arial" w:hAnsi="Arial" w:cs="Arial"/>
          <w:color w:val="FF9900"/>
          <w:lang w:val="el-GR"/>
        </w:rPr>
        <w:t>(συνέχεια)</w:t>
      </w:r>
    </w:p>
    <w:p w14:paraId="4125DF16" w14:textId="77777777" w:rsidR="0056738E" w:rsidRPr="00D17E65" w:rsidRDefault="0056738E" w:rsidP="0056738E">
      <w:pPr>
        <w:pStyle w:val="ListParagraph"/>
        <w:shd w:val="clear" w:color="auto" w:fill="FFFFFF"/>
        <w:suppressAutoHyphens/>
        <w:spacing w:after="120"/>
        <w:ind w:left="0"/>
        <w:jc w:val="both"/>
        <w:rPr>
          <w:rFonts w:ascii="Verdana" w:hAnsi="Verdana"/>
          <w:b/>
          <w:bCs/>
          <w:color w:val="262626"/>
          <w:sz w:val="14"/>
          <w:szCs w:val="14"/>
          <w:lang w:val="el-GR"/>
        </w:rPr>
      </w:pPr>
      <w:r w:rsidRPr="0064071E">
        <w:rPr>
          <w:rFonts w:ascii="Arial" w:hAnsi="Arial" w:cs="Arial"/>
          <w:b/>
          <w:color w:val="FF9900"/>
          <w:lang w:val="el-GR"/>
        </w:rPr>
        <w:t>7.</w:t>
      </w:r>
      <w:r w:rsidRPr="0064071E">
        <w:rPr>
          <w:rFonts w:ascii="Arial" w:hAnsi="Arial" w:cs="Arial"/>
          <w:b/>
          <w:color w:val="FF9900"/>
          <w:lang w:val="el-GR"/>
        </w:rPr>
        <w:tab/>
      </w:r>
      <w:r w:rsidRPr="00A03828">
        <w:rPr>
          <w:rFonts w:ascii="Arial" w:hAnsi="Arial" w:cs="Arial"/>
          <w:b/>
          <w:color w:val="FF9900"/>
          <w:sz w:val="22"/>
          <w:szCs w:val="22"/>
          <w:lang w:val="el-GR"/>
        </w:rPr>
        <w:t>Απόδοση ενσώματων ιδίων κεφαλαίων (ROTE) υπολογισμένη σε Δείκτη Κεφαλαίου Κοινών Μετοχών Κατηγορίας 1 (</w:t>
      </w:r>
      <w:r w:rsidRPr="00A03828">
        <w:rPr>
          <w:rFonts w:ascii="Arial" w:hAnsi="Arial" w:cs="Arial"/>
          <w:b/>
          <w:color w:val="FF9900"/>
          <w:sz w:val="22"/>
          <w:szCs w:val="22"/>
          <w:lang w:val="en-US"/>
        </w:rPr>
        <w:t>CET</w:t>
      </w:r>
      <w:r w:rsidRPr="00A03828">
        <w:rPr>
          <w:rFonts w:ascii="Arial" w:hAnsi="Arial" w:cs="Arial"/>
          <w:b/>
          <w:color w:val="FF9900"/>
          <w:sz w:val="22"/>
          <w:szCs w:val="22"/>
          <w:lang w:val="el-GR"/>
        </w:rPr>
        <w:t>1) ύψους 15%</w:t>
      </w:r>
      <w:r w:rsidRPr="00C7288C">
        <w:rPr>
          <w:rFonts w:ascii="Arial" w:hAnsi="Arial" w:cs="Arial"/>
          <w:b/>
          <w:color w:val="FF9900"/>
          <w:lang w:val="el-GR"/>
        </w:rPr>
        <w:t xml:space="preserve"> </w:t>
      </w:r>
      <w:r w:rsidRPr="00A03828">
        <w:rPr>
          <w:rFonts w:ascii="Arial" w:hAnsi="Arial" w:cs="Arial"/>
          <w:color w:val="FF9900"/>
          <w:sz w:val="22"/>
          <w:szCs w:val="22"/>
          <w:lang w:val="el-GR"/>
        </w:rPr>
        <w:t>(συνέχεια)</w:t>
      </w:r>
    </w:p>
    <w:tbl>
      <w:tblPr>
        <w:tblStyle w:val="TableGrid"/>
        <w:tblW w:w="941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742"/>
        <w:gridCol w:w="1417"/>
        <w:gridCol w:w="1417"/>
        <w:gridCol w:w="1418"/>
        <w:gridCol w:w="1417"/>
      </w:tblGrid>
      <w:tr w:rsidR="0056738E" w:rsidRPr="00ED1475" w14:paraId="248C9167" w14:textId="77777777" w:rsidTr="007C2AEE">
        <w:trPr>
          <w:trHeight w:val="255"/>
          <w:jc w:val="center"/>
        </w:trPr>
        <w:tc>
          <w:tcPr>
            <w:tcW w:w="3742" w:type="dxa"/>
            <w:vMerge w:val="restart"/>
            <w:vAlign w:val="center"/>
          </w:tcPr>
          <w:p w14:paraId="64EC2F20" w14:textId="77777777" w:rsidR="0056738E" w:rsidRPr="0064071E" w:rsidRDefault="0056738E" w:rsidP="007C2AEE">
            <w:pPr>
              <w:ind w:left="596" w:hanging="425"/>
              <w:jc w:val="both"/>
              <w:rPr>
                <w:rFonts w:ascii="Verdana" w:hAnsi="Verdana" w:cs="ArialMT"/>
                <w:b/>
                <w:sz w:val="18"/>
                <w:szCs w:val="18"/>
                <w:lang w:val="el-GR"/>
              </w:rPr>
            </w:pPr>
            <w:r w:rsidRPr="0064071E">
              <w:rPr>
                <w:rFonts w:ascii="Arial" w:hAnsi="Arial" w:cs="Arial"/>
                <w:b/>
                <w:sz w:val="18"/>
                <w:szCs w:val="18"/>
                <w:lang w:val="el-GR"/>
              </w:rPr>
              <w:t xml:space="preserve">7.1 </w:t>
            </w:r>
            <w:r w:rsidRPr="00D17E65">
              <w:rPr>
                <w:rFonts w:ascii="Arial" w:hAnsi="Arial" w:cs="Arial"/>
                <w:b/>
                <w:sz w:val="18"/>
                <w:szCs w:val="18"/>
                <w:lang w:val="el-GR"/>
              </w:rPr>
              <w:t xml:space="preserve">Ενσώματα ίδια κεφάλαια που αναλογούν στους ιδιοκτήτες </w:t>
            </w:r>
            <w:r>
              <w:rPr>
                <w:rFonts w:ascii="Arial" w:hAnsi="Arial" w:cs="Arial"/>
                <w:b/>
                <w:sz w:val="18"/>
                <w:szCs w:val="18"/>
                <w:lang w:val="el-GR"/>
              </w:rPr>
              <w:t xml:space="preserve">της </w:t>
            </w:r>
            <w:r w:rsidRPr="00D17E65">
              <w:rPr>
                <w:rFonts w:ascii="Arial" w:hAnsi="Arial" w:cs="Arial"/>
                <w:b/>
                <w:sz w:val="18"/>
                <w:szCs w:val="18"/>
                <w:lang w:val="el-GR"/>
              </w:rPr>
              <w:t>Εταιρίας</w:t>
            </w:r>
            <w:r w:rsidRPr="00526BCD">
              <w:rPr>
                <w:rFonts w:ascii="Arial" w:hAnsi="Arial" w:cs="Arial"/>
                <w:b/>
                <w:sz w:val="18"/>
                <w:szCs w:val="18"/>
                <w:lang w:val="el-GR"/>
              </w:rPr>
              <w:t xml:space="preserve"> </w:t>
            </w:r>
            <w:r>
              <w:rPr>
                <w:rFonts w:ascii="Arial" w:hAnsi="Arial" w:cs="Arial"/>
                <w:b/>
                <w:sz w:val="18"/>
                <w:szCs w:val="18"/>
                <w:lang w:val="el-GR"/>
              </w:rPr>
              <w:t xml:space="preserve">υπολογισμένα σε </w:t>
            </w:r>
            <w:r w:rsidRPr="00526BCD">
              <w:rPr>
                <w:rFonts w:ascii="Arial" w:hAnsi="Arial" w:cs="Arial"/>
                <w:b/>
                <w:sz w:val="18"/>
                <w:szCs w:val="18"/>
                <w:lang w:val="el-GR"/>
              </w:rPr>
              <w:t xml:space="preserve">Δείκτη Κοινών Μετοχών Κατηγορίας 1 (CET1) </w:t>
            </w:r>
            <w:r>
              <w:rPr>
                <w:rFonts w:ascii="Arial" w:hAnsi="Arial" w:cs="Arial"/>
                <w:b/>
                <w:sz w:val="18"/>
                <w:szCs w:val="18"/>
                <w:lang w:val="el-GR"/>
              </w:rPr>
              <w:t>ύψους</w:t>
            </w:r>
            <w:r w:rsidRPr="00526BCD">
              <w:rPr>
                <w:rFonts w:ascii="Arial" w:hAnsi="Arial" w:cs="Arial"/>
                <w:b/>
                <w:sz w:val="18"/>
                <w:szCs w:val="18"/>
                <w:lang w:val="el-GR"/>
              </w:rPr>
              <w:t xml:space="preserve"> 15%</w:t>
            </w:r>
          </w:p>
        </w:tc>
        <w:tc>
          <w:tcPr>
            <w:tcW w:w="1417" w:type="dxa"/>
            <w:vAlign w:val="center"/>
          </w:tcPr>
          <w:p w14:paraId="53D8BA30" w14:textId="77777777" w:rsidR="0056738E" w:rsidRPr="00331BC0" w:rsidRDefault="0056738E" w:rsidP="007C2AEE">
            <w:pPr>
              <w:ind w:left="-101" w:right="-115"/>
              <w:jc w:val="center"/>
              <w:rPr>
                <w:rFonts w:ascii="Arial" w:hAnsi="Arial" w:cs="Arial"/>
                <w:b/>
                <w:sz w:val="18"/>
                <w:szCs w:val="18"/>
                <w:lang w:val="el-GR"/>
              </w:rPr>
            </w:pPr>
            <w:r w:rsidRPr="00331BC0">
              <w:rPr>
                <w:rFonts w:ascii="Arial" w:hAnsi="Arial" w:cs="Arial"/>
                <w:b/>
                <w:sz w:val="18"/>
                <w:szCs w:val="18"/>
                <w:lang w:val="el-GR"/>
              </w:rPr>
              <w:t>30 Σεπτεμβρίου</w:t>
            </w:r>
            <w:r w:rsidRPr="00A3773A">
              <w:rPr>
                <w:rFonts w:ascii="Arial" w:hAnsi="Arial" w:cs="Arial"/>
                <w:b/>
                <w:sz w:val="18"/>
                <w:szCs w:val="18"/>
                <w:lang w:val="el-GR"/>
              </w:rPr>
              <w:t xml:space="preserve"> 202</w:t>
            </w:r>
            <w:r>
              <w:rPr>
                <w:rFonts w:ascii="Arial" w:hAnsi="Arial" w:cs="Arial"/>
                <w:b/>
                <w:sz w:val="18"/>
                <w:szCs w:val="18"/>
                <w:lang w:val="el-GR"/>
              </w:rPr>
              <w:t>4</w:t>
            </w:r>
          </w:p>
        </w:tc>
        <w:tc>
          <w:tcPr>
            <w:tcW w:w="1417" w:type="dxa"/>
            <w:shd w:val="clear" w:color="auto" w:fill="auto"/>
            <w:vAlign w:val="center"/>
          </w:tcPr>
          <w:p w14:paraId="3C6B9BEE" w14:textId="77777777" w:rsidR="0056738E" w:rsidRDefault="0056738E" w:rsidP="007C2AEE">
            <w:pPr>
              <w:ind w:left="-134" w:right="-186"/>
              <w:jc w:val="center"/>
              <w:rPr>
                <w:rFonts w:ascii="Arial" w:hAnsi="Arial" w:cs="Arial"/>
                <w:bCs/>
                <w:sz w:val="18"/>
                <w:szCs w:val="18"/>
                <w:lang w:val="el-GR"/>
              </w:rPr>
            </w:pPr>
            <w:r w:rsidRPr="00CF0DAD">
              <w:rPr>
                <w:rFonts w:ascii="Arial" w:hAnsi="Arial" w:cs="Arial"/>
                <w:bCs/>
                <w:sz w:val="18"/>
                <w:szCs w:val="18"/>
                <w:lang w:val="el-GR"/>
              </w:rPr>
              <w:t>30 Ιουνίου</w:t>
            </w:r>
          </w:p>
          <w:p w14:paraId="0749C0CC" w14:textId="77777777" w:rsidR="0056738E" w:rsidRPr="008F1CF2" w:rsidRDefault="0056738E" w:rsidP="007C2AEE">
            <w:pPr>
              <w:ind w:left="-101" w:right="-115"/>
              <w:jc w:val="center"/>
              <w:rPr>
                <w:rFonts w:ascii="Verdana" w:hAnsi="Verdana"/>
                <w:iCs/>
                <w:spacing w:val="-4"/>
                <w:sz w:val="18"/>
                <w:szCs w:val="18"/>
                <w:lang w:val="el-GR"/>
              </w:rPr>
            </w:pPr>
            <w:r w:rsidRPr="00CF0DAD">
              <w:rPr>
                <w:rFonts w:ascii="Arial" w:hAnsi="Arial" w:cs="Arial"/>
                <w:bCs/>
                <w:sz w:val="18"/>
                <w:szCs w:val="18"/>
                <w:lang w:val="el-GR"/>
              </w:rPr>
              <w:t xml:space="preserve"> 2024</w:t>
            </w:r>
          </w:p>
        </w:tc>
        <w:tc>
          <w:tcPr>
            <w:tcW w:w="1418" w:type="dxa"/>
            <w:vAlign w:val="center"/>
          </w:tcPr>
          <w:p w14:paraId="33760297" w14:textId="77777777" w:rsidR="0056738E" w:rsidRDefault="0056738E" w:rsidP="007C2AEE">
            <w:pPr>
              <w:ind w:left="-195" w:right="-104"/>
              <w:jc w:val="center"/>
              <w:rPr>
                <w:rFonts w:ascii="Arial" w:hAnsi="Arial" w:cs="Arial"/>
                <w:iCs/>
                <w:spacing w:val="-4"/>
                <w:sz w:val="18"/>
                <w:szCs w:val="18"/>
                <w:lang w:val="el-GR"/>
              </w:rPr>
            </w:pPr>
            <w:r>
              <w:rPr>
                <w:rFonts w:ascii="Arial" w:hAnsi="Arial" w:cs="Arial"/>
                <w:iCs/>
                <w:spacing w:val="-4"/>
                <w:sz w:val="18"/>
                <w:szCs w:val="18"/>
                <w:lang w:val="el-GR"/>
              </w:rPr>
              <w:t>31 Μαρτίου</w:t>
            </w:r>
          </w:p>
          <w:p w14:paraId="514E2256" w14:textId="77777777" w:rsidR="0056738E" w:rsidRPr="00041815" w:rsidRDefault="0056738E" w:rsidP="007C2AEE">
            <w:pPr>
              <w:ind w:left="-173" w:right="-108"/>
              <w:jc w:val="center"/>
              <w:rPr>
                <w:rFonts w:ascii="Arial" w:hAnsi="Arial" w:cs="Arial"/>
                <w:sz w:val="18"/>
                <w:szCs w:val="18"/>
                <w:lang w:val="el-GR"/>
              </w:rPr>
            </w:pPr>
            <w:r>
              <w:rPr>
                <w:rFonts w:ascii="Arial" w:hAnsi="Arial" w:cs="Arial"/>
                <w:iCs/>
                <w:spacing w:val="-4"/>
                <w:sz w:val="18"/>
                <w:szCs w:val="18"/>
                <w:lang w:val="el-GR"/>
              </w:rPr>
              <w:t>2024</w:t>
            </w:r>
          </w:p>
        </w:tc>
        <w:tc>
          <w:tcPr>
            <w:tcW w:w="1417" w:type="dxa"/>
            <w:vAlign w:val="center"/>
          </w:tcPr>
          <w:p w14:paraId="3D882205" w14:textId="77777777" w:rsidR="0056738E" w:rsidRPr="00041815" w:rsidRDefault="0056738E" w:rsidP="007C2AEE">
            <w:pPr>
              <w:ind w:left="-173" w:right="-108"/>
              <w:jc w:val="center"/>
              <w:rPr>
                <w:rFonts w:ascii="Arial" w:hAnsi="Arial" w:cs="Arial"/>
                <w:sz w:val="18"/>
                <w:szCs w:val="18"/>
                <w:lang w:val="el-GR"/>
              </w:rPr>
            </w:pPr>
            <w:r w:rsidRPr="00041815">
              <w:rPr>
                <w:rFonts w:ascii="Arial" w:hAnsi="Arial" w:cs="Arial"/>
                <w:sz w:val="18"/>
                <w:szCs w:val="18"/>
                <w:lang w:val="el-GR"/>
              </w:rPr>
              <w:t>31 Δεκεμβρίου</w:t>
            </w:r>
          </w:p>
          <w:p w14:paraId="2A8DFF6C" w14:textId="77777777" w:rsidR="0056738E" w:rsidRPr="000B76A8" w:rsidRDefault="0056738E" w:rsidP="007C2AEE">
            <w:pPr>
              <w:ind w:left="-173" w:right="-108"/>
              <w:jc w:val="center"/>
              <w:rPr>
                <w:rFonts w:ascii="Verdana" w:hAnsi="Verdana"/>
                <w:iCs/>
                <w:spacing w:val="-4"/>
                <w:sz w:val="18"/>
                <w:szCs w:val="18"/>
                <w:lang w:val="el-GR"/>
              </w:rPr>
            </w:pPr>
            <w:r w:rsidRPr="00041815">
              <w:rPr>
                <w:rFonts w:ascii="Arial" w:hAnsi="Arial" w:cs="Arial"/>
                <w:sz w:val="18"/>
                <w:szCs w:val="18"/>
                <w:lang w:val="el-GR"/>
              </w:rPr>
              <w:t>202</w:t>
            </w:r>
            <w:r>
              <w:rPr>
                <w:rFonts w:ascii="Arial" w:hAnsi="Arial" w:cs="Arial"/>
                <w:sz w:val="18"/>
                <w:szCs w:val="18"/>
                <w:lang w:val="el-GR"/>
              </w:rPr>
              <w:t>3</w:t>
            </w:r>
          </w:p>
        </w:tc>
      </w:tr>
      <w:tr w:rsidR="0056738E" w:rsidRPr="00ED1475" w14:paraId="6A630F1D" w14:textId="77777777" w:rsidTr="007C2AEE">
        <w:trPr>
          <w:trHeight w:val="255"/>
          <w:jc w:val="center"/>
        </w:trPr>
        <w:tc>
          <w:tcPr>
            <w:tcW w:w="3742" w:type="dxa"/>
            <w:vMerge/>
            <w:vAlign w:val="center"/>
          </w:tcPr>
          <w:p w14:paraId="3FB2D49D" w14:textId="77777777" w:rsidR="0056738E" w:rsidRPr="000B76A8" w:rsidRDefault="0056738E" w:rsidP="007C2AEE">
            <w:pPr>
              <w:tabs>
                <w:tab w:val="left" w:pos="0"/>
                <w:tab w:val="right" w:pos="7560"/>
                <w:tab w:val="right" w:pos="9000"/>
              </w:tabs>
              <w:jc w:val="both"/>
              <w:rPr>
                <w:rFonts w:ascii="Verdana" w:hAnsi="Verdana" w:cs="Arial"/>
                <w:sz w:val="18"/>
                <w:szCs w:val="18"/>
              </w:rPr>
            </w:pPr>
          </w:p>
        </w:tc>
        <w:tc>
          <w:tcPr>
            <w:tcW w:w="1417" w:type="dxa"/>
            <w:vAlign w:val="center"/>
          </w:tcPr>
          <w:p w14:paraId="4A936DB7" w14:textId="77777777" w:rsidR="0056738E" w:rsidRPr="00041815" w:rsidRDefault="0056738E" w:rsidP="007C2AEE">
            <w:pPr>
              <w:tabs>
                <w:tab w:val="left" w:pos="0"/>
                <w:tab w:val="right" w:pos="7560"/>
                <w:tab w:val="right" w:pos="9000"/>
              </w:tabs>
              <w:jc w:val="center"/>
              <w:rPr>
                <w:rFonts w:ascii="Arial" w:hAnsi="Arial" w:cs="Arial"/>
                <w:b/>
                <w:sz w:val="18"/>
                <w:szCs w:val="18"/>
                <w:lang w:val="el-GR"/>
              </w:rPr>
            </w:pPr>
            <w:r w:rsidRPr="00041815">
              <w:rPr>
                <w:rFonts w:ascii="Arial" w:hAnsi="Arial" w:cs="Arial"/>
                <w:b/>
                <w:sz w:val="18"/>
                <w:szCs w:val="18"/>
                <w:lang w:val="el-GR"/>
              </w:rPr>
              <w:t>€000</w:t>
            </w:r>
          </w:p>
        </w:tc>
        <w:tc>
          <w:tcPr>
            <w:tcW w:w="1417" w:type="dxa"/>
            <w:shd w:val="clear" w:color="auto" w:fill="auto"/>
            <w:vAlign w:val="center"/>
          </w:tcPr>
          <w:p w14:paraId="14E4E7CA" w14:textId="77777777" w:rsidR="0056738E" w:rsidRPr="00354301" w:rsidRDefault="0056738E" w:rsidP="007C2AEE">
            <w:pPr>
              <w:tabs>
                <w:tab w:val="left" w:pos="0"/>
                <w:tab w:val="right" w:pos="7560"/>
                <w:tab w:val="right" w:pos="9000"/>
              </w:tabs>
              <w:jc w:val="center"/>
              <w:rPr>
                <w:rFonts w:ascii="Verdana" w:hAnsi="Verdana" w:cs="Arial"/>
                <w:b/>
                <w:bCs/>
                <w:sz w:val="18"/>
                <w:szCs w:val="18"/>
              </w:rPr>
            </w:pPr>
            <w:r w:rsidRPr="008352B7">
              <w:rPr>
                <w:rFonts w:ascii="Arial" w:hAnsi="Arial" w:cs="Arial"/>
                <w:bCs/>
                <w:sz w:val="18"/>
                <w:szCs w:val="18"/>
              </w:rPr>
              <w:t>€000</w:t>
            </w:r>
          </w:p>
        </w:tc>
        <w:tc>
          <w:tcPr>
            <w:tcW w:w="1418" w:type="dxa"/>
            <w:vAlign w:val="center"/>
          </w:tcPr>
          <w:p w14:paraId="2C9CEFD9" w14:textId="77777777" w:rsidR="0056738E" w:rsidRPr="00041815" w:rsidRDefault="0056738E" w:rsidP="007C2AEE">
            <w:pPr>
              <w:tabs>
                <w:tab w:val="left" w:pos="0"/>
                <w:tab w:val="right" w:pos="7560"/>
                <w:tab w:val="right" w:pos="9000"/>
              </w:tabs>
              <w:jc w:val="center"/>
              <w:rPr>
                <w:rFonts w:ascii="Arial" w:hAnsi="Arial" w:cs="Arial"/>
                <w:sz w:val="18"/>
                <w:szCs w:val="18"/>
                <w:lang w:val="el-GR"/>
              </w:rPr>
            </w:pPr>
            <w:r w:rsidRPr="008352B7">
              <w:rPr>
                <w:rFonts w:ascii="Arial" w:hAnsi="Arial" w:cs="Arial"/>
                <w:bCs/>
                <w:sz w:val="18"/>
                <w:szCs w:val="18"/>
              </w:rPr>
              <w:t>€000</w:t>
            </w:r>
          </w:p>
        </w:tc>
        <w:tc>
          <w:tcPr>
            <w:tcW w:w="1417" w:type="dxa"/>
            <w:vAlign w:val="center"/>
          </w:tcPr>
          <w:p w14:paraId="1BAA2BE7" w14:textId="77777777" w:rsidR="0056738E" w:rsidRPr="000B76A8" w:rsidRDefault="0056738E" w:rsidP="007C2AEE">
            <w:pPr>
              <w:tabs>
                <w:tab w:val="left" w:pos="0"/>
                <w:tab w:val="right" w:pos="7560"/>
                <w:tab w:val="right" w:pos="9000"/>
              </w:tabs>
              <w:jc w:val="center"/>
              <w:rPr>
                <w:rFonts w:ascii="Verdana" w:hAnsi="Verdana" w:cs="Arial"/>
                <w:bCs/>
                <w:sz w:val="18"/>
                <w:szCs w:val="18"/>
              </w:rPr>
            </w:pPr>
            <w:r w:rsidRPr="00041815">
              <w:rPr>
                <w:rFonts w:ascii="Arial" w:hAnsi="Arial" w:cs="Arial"/>
                <w:sz w:val="18"/>
                <w:szCs w:val="18"/>
                <w:lang w:val="el-GR"/>
              </w:rPr>
              <w:t>€000</w:t>
            </w:r>
          </w:p>
        </w:tc>
      </w:tr>
      <w:tr w:rsidR="0056738E" w:rsidRPr="00ED1475" w14:paraId="75CFA1A3" w14:textId="77777777" w:rsidTr="007C2AEE">
        <w:trPr>
          <w:trHeight w:val="255"/>
          <w:jc w:val="center"/>
        </w:trPr>
        <w:tc>
          <w:tcPr>
            <w:tcW w:w="3742" w:type="dxa"/>
            <w:vAlign w:val="center"/>
          </w:tcPr>
          <w:p w14:paraId="7547AF56" w14:textId="77777777" w:rsidR="0056738E" w:rsidRPr="00041815" w:rsidRDefault="0056738E" w:rsidP="007C2AEE">
            <w:pPr>
              <w:tabs>
                <w:tab w:val="left" w:pos="0"/>
                <w:tab w:val="right" w:pos="7560"/>
                <w:tab w:val="right" w:pos="9000"/>
              </w:tabs>
              <w:jc w:val="both"/>
              <w:rPr>
                <w:rFonts w:ascii="Arial" w:hAnsi="Arial" w:cs="Arial"/>
                <w:sz w:val="18"/>
                <w:szCs w:val="18"/>
                <w:lang w:val="el-GR"/>
              </w:rPr>
            </w:pPr>
            <w:r w:rsidRPr="00041815">
              <w:rPr>
                <w:rFonts w:ascii="Arial" w:hAnsi="Arial" w:cs="Arial"/>
                <w:sz w:val="18"/>
                <w:szCs w:val="18"/>
                <w:lang w:val="el-GR"/>
              </w:rPr>
              <w:t>Ίδια κεφάλαια που αναλογούν στους ιδιοκτήτες της Εταιρίας (</w:t>
            </w:r>
            <w:r w:rsidRPr="00527619">
              <w:rPr>
                <w:rFonts w:ascii="Arial" w:hAnsi="Arial" w:cs="Arial"/>
                <w:sz w:val="18"/>
                <w:szCs w:val="18"/>
                <w:lang w:val="el-GR"/>
              </w:rPr>
              <w:t>στην απαιτούμενη από τη νομοθεσία βάση</w:t>
            </w:r>
            <w:r w:rsidRPr="00041815">
              <w:rPr>
                <w:rFonts w:ascii="Arial" w:hAnsi="Arial" w:cs="Arial"/>
                <w:sz w:val="18"/>
                <w:szCs w:val="18"/>
                <w:lang w:val="el-GR"/>
              </w:rPr>
              <w:t>)</w:t>
            </w:r>
          </w:p>
        </w:tc>
        <w:tc>
          <w:tcPr>
            <w:tcW w:w="1417" w:type="dxa"/>
            <w:vAlign w:val="center"/>
          </w:tcPr>
          <w:p w14:paraId="5A1E7458" w14:textId="77777777" w:rsidR="0056738E" w:rsidRPr="00ED1E78" w:rsidRDefault="0056738E" w:rsidP="007C2AEE">
            <w:pPr>
              <w:tabs>
                <w:tab w:val="right" w:pos="7560"/>
                <w:tab w:val="right" w:pos="9000"/>
              </w:tabs>
              <w:ind w:left="-150" w:right="19"/>
              <w:jc w:val="right"/>
              <w:rPr>
                <w:rFonts w:ascii="Verdana" w:hAnsi="Verdana" w:cs="Arial"/>
                <w:sz w:val="18"/>
                <w:szCs w:val="18"/>
                <w:lang w:val="el-GR"/>
              </w:rPr>
            </w:pPr>
            <w:r>
              <w:rPr>
                <w:rFonts w:ascii="Arial" w:hAnsi="Arial" w:cs="Arial"/>
                <w:b/>
                <w:sz w:val="18"/>
                <w:szCs w:val="18"/>
              </w:rPr>
              <w:t>2,508,085</w:t>
            </w:r>
          </w:p>
        </w:tc>
        <w:tc>
          <w:tcPr>
            <w:tcW w:w="1417" w:type="dxa"/>
            <w:vAlign w:val="center"/>
          </w:tcPr>
          <w:p w14:paraId="5D6248C8" w14:textId="77777777" w:rsidR="0056738E" w:rsidRPr="004660BE" w:rsidRDefault="0056738E" w:rsidP="007C2AEE">
            <w:pPr>
              <w:tabs>
                <w:tab w:val="right" w:pos="7560"/>
                <w:tab w:val="right" w:pos="9000"/>
              </w:tabs>
              <w:ind w:left="-150" w:right="19"/>
              <w:jc w:val="right"/>
              <w:rPr>
                <w:rFonts w:ascii="Arial" w:hAnsi="Arial" w:cs="Arial"/>
                <w:bCs/>
                <w:sz w:val="18"/>
                <w:szCs w:val="18"/>
              </w:rPr>
            </w:pPr>
            <w:r w:rsidRPr="00ED2904">
              <w:rPr>
                <w:rFonts w:ascii="Arial" w:hAnsi="Arial" w:cs="Arial"/>
                <w:bCs/>
                <w:sz w:val="18"/>
                <w:szCs w:val="18"/>
              </w:rPr>
              <w:t>2,387,383</w:t>
            </w:r>
          </w:p>
        </w:tc>
        <w:tc>
          <w:tcPr>
            <w:tcW w:w="1418" w:type="dxa"/>
            <w:vAlign w:val="center"/>
          </w:tcPr>
          <w:p w14:paraId="1E8F0151" w14:textId="77777777" w:rsidR="0056738E" w:rsidRPr="004660BE" w:rsidRDefault="0056738E" w:rsidP="007C2AEE">
            <w:pPr>
              <w:tabs>
                <w:tab w:val="right" w:pos="7560"/>
                <w:tab w:val="right" w:pos="9000"/>
              </w:tabs>
              <w:ind w:left="-150" w:right="19"/>
              <w:jc w:val="right"/>
              <w:rPr>
                <w:rFonts w:ascii="Arial" w:hAnsi="Arial" w:cs="Arial"/>
                <w:bCs/>
                <w:sz w:val="18"/>
                <w:szCs w:val="18"/>
                <w:lang w:val="el-GR"/>
              </w:rPr>
            </w:pPr>
            <w:r w:rsidRPr="00ED2904">
              <w:rPr>
                <w:rFonts w:ascii="Arial" w:hAnsi="Arial" w:cs="Arial"/>
                <w:bCs/>
                <w:sz w:val="18"/>
                <w:szCs w:val="18"/>
              </w:rPr>
              <w:t>2,380,876</w:t>
            </w:r>
          </w:p>
        </w:tc>
        <w:tc>
          <w:tcPr>
            <w:tcW w:w="1417" w:type="dxa"/>
            <w:vAlign w:val="center"/>
          </w:tcPr>
          <w:p w14:paraId="6F32400A" w14:textId="77777777" w:rsidR="0056738E" w:rsidRPr="00041815" w:rsidRDefault="0056738E" w:rsidP="007C2AEE">
            <w:pPr>
              <w:tabs>
                <w:tab w:val="right" w:pos="7560"/>
                <w:tab w:val="right" w:pos="9000"/>
              </w:tabs>
              <w:ind w:left="-150" w:right="19"/>
              <w:jc w:val="right"/>
              <w:rPr>
                <w:rFonts w:ascii="Arial" w:hAnsi="Arial" w:cs="Arial"/>
                <w:bCs/>
                <w:sz w:val="18"/>
                <w:szCs w:val="18"/>
              </w:rPr>
            </w:pPr>
            <w:r w:rsidRPr="002D1FED">
              <w:rPr>
                <w:rFonts w:ascii="Arial" w:hAnsi="Arial" w:cs="Arial"/>
                <w:bCs/>
                <w:sz w:val="18"/>
                <w:szCs w:val="18"/>
              </w:rPr>
              <w:t>2,247,080</w:t>
            </w:r>
          </w:p>
        </w:tc>
      </w:tr>
      <w:tr w:rsidR="0056738E" w:rsidRPr="00ED1475" w14:paraId="4CABD10C" w14:textId="77777777" w:rsidTr="007C2AEE">
        <w:trPr>
          <w:trHeight w:val="255"/>
          <w:jc w:val="center"/>
        </w:trPr>
        <w:tc>
          <w:tcPr>
            <w:tcW w:w="3742" w:type="dxa"/>
            <w:vAlign w:val="center"/>
          </w:tcPr>
          <w:p w14:paraId="3978DA88" w14:textId="77777777" w:rsidR="0056738E" w:rsidRPr="00041815" w:rsidRDefault="0056738E" w:rsidP="007C2AEE">
            <w:pPr>
              <w:tabs>
                <w:tab w:val="left" w:pos="0"/>
                <w:tab w:val="right" w:pos="7560"/>
                <w:tab w:val="right" w:pos="9000"/>
              </w:tabs>
              <w:jc w:val="both"/>
              <w:rPr>
                <w:rFonts w:ascii="Arial" w:hAnsi="Arial" w:cs="Arial"/>
                <w:sz w:val="18"/>
                <w:szCs w:val="18"/>
                <w:lang w:val="el-GR"/>
              </w:rPr>
            </w:pPr>
            <w:r w:rsidRPr="00041815">
              <w:rPr>
                <w:rFonts w:ascii="Arial" w:hAnsi="Arial" w:cs="Arial"/>
                <w:sz w:val="18"/>
                <w:szCs w:val="18"/>
                <w:lang w:val="el-GR"/>
              </w:rPr>
              <w:t>Μείον: Άυλα περιουσιακά στοιχεία (</w:t>
            </w:r>
            <w:r w:rsidRPr="00527619">
              <w:rPr>
                <w:rFonts w:ascii="Arial" w:hAnsi="Arial" w:cs="Arial"/>
                <w:sz w:val="18"/>
                <w:szCs w:val="18"/>
                <w:lang w:val="el-GR"/>
              </w:rPr>
              <w:t>στην απαιτούμενη από τη νομοθεσία βάση</w:t>
            </w:r>
            <w:r w:rsidRPr="00041815">
              <w:rPr>
                <w:rFonts w:ascii="Arial" w:hAnsi="Arial" w:cs="Arial"/>
                <w:sz w:val="18"/>
                <w:szCs w:val="18"/>
                <w:lang w:val="el-GR"/>
              </w:rPr>
              <w:t>)</w:t>
            </w:r>
          </w:p>
        </w:tc>
        <w:tc>
          <w:tcPr>
            <w:tcW w:w="1417" w:type="dxa"/>
            <w:tcBorders>
              <w:bottom w:val="single" w:sz="4" w:space="0" w:color="D9D9D9" w:themeColor="background1" w:themeShade="D9"/>
            </w:tcBorders>
            <w:vAlign w:val="center"/>
          </w:tcPr>
          <w:p w14:paraId="6C647808" w14:textId="77777777" w:rsidR="0056738E" w:rsidRPr="00041815" w:rsidRDefault="0056738E" w:rsidP="007C2AEE">
            <w:pPr>
              <w:ind w:left="-173"/>
              <w:jc w:val="right"/>
              <w:rPr>
                <w:rFonts w:ascii="Arial" w:hAnsi="Arial" w:cs="Arial"/>
                <w:sz w:val="18"/>
                <w:szCs w:val="18"/>
                <w:lang w:val="el-GR"/>
              </w:rPr>
            </w:pPr>
            <w:r>
              <w:rPr>
                <w:rFonts w:ascii="Arial" w:hAnsi="Arial" w:cs="Arial"/>
                <w:b/>
                <w:sz w:val="18"/>
                <w:szCs w:val="18"/>
              </w:rPr>
              <w:t>(45,451)</w:t>
            </w:r>
          </w:p>
        </w:tc>
        <w:tc>
          <w:tcPr>
            <w:tcW w:w="1417" w:type="dxa"/>
            <w:tcBorders>
              <w:bottom w:val="single" w:sz="4" w:space="0" w:color="D9D9D9" w:themeColor="background1" w:themeShade="D9"/>
            </w:tcBorders>
            <w:vAlign w:val="center"/>
          </w:tcPr>
          <w:p w14:paraId="655DC8EF" w14:textId="77777777" w:rsidR="0056738E" w:rsidRPr="004660BE" w:rsidRDefault="0056738E" w:rsidP="007C2AEE">
            <w:pPr>
              <w:tabs>
                <w:tab w:val="right" w:pos="7560"/>
                <w:tab w:val="right" w:pos="9000"/>
              </w:tabs>
              <w:ind w:left="-150" w:right="19"/>
              <w:jc w:val="right"/>
              <w:rPr>
                <w:rFonts w:ascii="Arial" w:hAnsi="Arial" w:cs="Arial"/>
                <w:bCs/>
                <w:sz w:val="18"/>
                <w:szCs w:val="18"/>
              </w:rPr>
            </w:pPr>
            <w:r w:rsidRPr="00ED2904">
              <w:rPr>
                <w:rFonts w:ascii="Arial" w:hAnsi="Arial" w:cs="Arial"/>
                <w:bCs/>
                <w:sz w:val="18"/>
                <w:szCs w:val="18"/>
              </w:rPr>
              <w:t>(45,686)</w:t>
            </w:r>
          </w:p>
        </w:tc>
        <w:tc>
          <w:tcPr>
            <w:tcW w:w="1418" w:type="dxa"/>
            <w:tcBorders>
              <w:bottom w:val="single" w:sz="4" w:space="0" w:color="D9D9D9" w:themeColor="background1" w:themeShade="D9"/>
            </w:tcBorders>
            <w:vAlign w:val="center"/>
          </w:tcPr>
          <w:p w14:paraId="59F266BE" w14:textId="77777777" w:rsidR="0056738E" w:rsidRPr="004660BE" w:rsidRDefault="0056738E" w:rsidP="007C2AEE">
            <w:pPr>
              <w:tabs>
                <w:tab w:val="right" w:pos="7560"/>
                <w:tab w:val="right" w:pos="9000"/>
              </w:tabs>
              <w:ind w:left="-150" w:right="19"/>
              <w:jc w:val="right"/>
              <w:rPr>
                <w:rFonts w:ascii="Arial" w:hAnsi="Arial" w:cs="Arial"/>
                <w:bCs/>
                <w:sz w:val="18"/>
                <w:szCs w:val="18"/>
                <w:lang w:val="el-GR"/>
              </w:rPr>
            </w:pPr>
            <w:r w:rsidRPr="00ED2904">
              <w:rPr>
                <w:rFonts w:ascii="Arial" w:hAnsi="Arial" w:cs="Arial"/>
                <w:bCs/>
                <w:sz w:val="18"/>
                <w:szCs w:val="18"/>
                <w:lang w:val="en-GB"/>
              </w:rPr>
              <w:t>(46,609)</w:t>
            </w:r>
          </w:p>
        </w:tc>
        <w:tc>
          <w:tcPr>
            <w:tcW w:w="1417" w:type="dxa"/>
            <w:tcBorders>
              <w:bottom w:val="single" w:sz="4" w:space="0" w:color="D9D9D9" w:themeColor="background1" w:themeShade="D9"/>
            </w:tcBorders>
            <w:vAlign w:val="center"/>
          </w:tcPr>
          <w:p w14:paraId="435C72C5" w14:textId="77777777" w:rsidR="0056738E" w:rsidRPr="00041815" w:rsidRDefault="0056738E" w:rsidP="007C2AEE">
            <w:pPr>
              <w:tabs>
                <w:tab w:val="right" w:pos="7560"/>
                <w:tab w:val="right" w:pos="9000"/>
              </w:tabs>
              <w:ind w:left="-150" w:right="19"/>
              <w:jc w:val="right"/>
              <w:rPr>
                <w:rFonts w:ascii="Arial" w:hAnsi="Arial" w:cs="Arial"/>
                <w:bCs/>
                <w:sz w:val="18"/>
                <w:szCs w:val="18"/>
              </w:rPr>
            </w:pPr>
            <w:r w:rsidRPr="002D1FED">
              <w:rPr>
                <w:rFonts w:ascii="Arial" w:hAnsi="Arial" w:cs="Arial"/>
                <w:bCs/>
                <w:sz w:val="18"/>
                <w:szCs w:val="18"/>
              </w:rPr>
              <w:t>(48,635)</w:t>
            </w:r>
          </w:p>
        </w:tc>
      </w:tr>
      <w:tr w:rsidR="0056738E" w:rsidRPr="0064071E" w14:paraId="4CD7135C" w14:textId="77777777" w:rsidTr="007C2AEE">
        <w:trPr>
          <w:trHeight w:val="255"/>
          <w:jc w:val="center"/>
        </w:trPr>
        <w:tc>
          <w:tcPr>
            <w:tcW w:w="3742" w:type="dxa"/>
            <w:vAlign w:val="center"/>
          </w:tcPr>
          <w:p w14:paraId="767F9F42" w14:textId="77777777" w:rsidR="0056738E" w:rsidRPr="00F56561" w:rsidRDefault="0056738E" w:rsidP="007C2AEE">
            <w:pPr>
              <w:tabs>
                <w:tab w:val="left" w:pos="0"/>
                <w:tab w:val="right" w:pos="7560"/>
                <w:tab w:val="right" w:pos="9000"/>
              </w:tabs>
              <w:jc w:val="both"/>
              <w:rPr>
                <w:rFonts w:ascii="Arial" w:hAnsi="Arial" w:cs="Arial"/>
                <w:sz w:val="18"/>
                <w:szCs w:val="18"/>
                <w:lang w:val="el-GR"/>
              </w:rPr>
            </w:pPr>
            <w:r w:rsidRPr="0064071E">
              <w:rPr>
                <w:rFonts w:ascii="Arial" w:hAnsi="Arial" w:cs="Arial"/>
                <w:sz w:val="18"/>
                <w:szCs w:val="18"/>
                <w:lang w:val="el-GR"/>
              </w:rPr>
              <w:t>Μείον</w:t>
            </w:r>
            <w:r w:rsidRPr="00D17E65">
              <w:rPr>
                <w:rFonts w:ascii="Arial" w:hAnsi="Arial" w:cs="Arial"/>
                <w:sz w:val="18"/>
                <w:szCs w:val="18"/>
                <w:lang w:val="el-GR"/>
              </w:rPr>
              <w:t xml:space="preserve">: </w:t>
            </w:r>
            <w:r>
              <w:rPr>
                <w:rFonts w:ascii="Arial" w:eastAsiaTheme="minorEastAsia" w:hAnsi="Arial" w:cs="Arial"/>
                <w:sz w:val="18"/>
                <w:szCs w:val="18"/>
                <w:lang w:val="el-GR" w:eastAsia="en-GB"/>
              </w:rPr>
              <w:t xml:space="preserve">το εγκεκριμένο ποσό διανομής για το οικονομικό έτος </w:t>
            </w:r>
            <w:r w:rsidRPr="00D17E65">
              <w:rPr>
                <w:rFonts w:ascii="Arial" w:hAnsi="Arial" w:cs="Arial"/>
                <w:sz w:val="18"/>
                <w:szCs w:val="18"/>
                <w:lang w:val="el-GR"/>
              </w:rPr>
              <w:t>2023</w:t>
            </w:r>
            <w:r w:rsidRPr="00A03828">
              <w:rPr>
                <w:rFonts w:ascii="Arial" w:hAnsi="Arial" w:cs="Arial"/>
                <w:sz w:val="18"/>
                <w:szCs w:val="18"/>
                <w:lang w:val="el-GR"/>
              </w:rPr>
              <w:t>**</w:t>
            </w:r>
          </w:p>
        </w:tc>
        <w:tc>
          <w:tcPr>
            <w:tcW w:w="1417" w:type="dxa"/>
            <w:tcBorders>
              <w:bottom w:val="single" w:sz="4" w:space="0" w:color="D9D9D9" w:themeColor="background1" w:themeShade="D9"/>
            </w:tcBorders>
            <w:shd w:val="clear" w:color="auto" w:fill="auto"/>
            <w:vAlign w:val="center"/>
          </w:tcPr>
          <w:p w14:paraId="190DA861" w14:textId="77777777" w:rsidR="0056738E" w:rsidRPr="00041815" w:rsidRDefault="0056738E" w:rsidP="007C2AEE">
            <w:pPr>
              <w:ind w:left="-173"/>
              <w:jc w:val="right"/>
              <w:rPr>
                <w:rFonts w:ascii="Arial" w:hAnsi="Arial" w:cs="Arial"/>
                <w:b/>
                <w:sz w:val="18"/>
                <w:szCs w:val="18"/>
                <w:lang w:val="el-GR"/>
              </w:rPr>
            </w:pPr>
            <w:r w:rsidRPr="00E81940">
              <w:rPr>
                <w:rFonts w:ascii="Arial" w:hAnsi="Arial" w:cs="Arial"/>
                <w:b/>
                <w:sz w:val="18"/>
                <w:szCs w:val="18"/>
              </w:rPr>
              <w:t>(9,871)</w:t>
            </w:r>
          </w:p>
        </w:tc>
        <w:tc>
          <w:tcPr>
            <w:tcW w:w="1417" w:type="dxa"/>
            <w:tcBorders>
              <w:bottom w:val="single" w:sz="4" w:space="0" w:color="D9D9D9" w:themeColor="background1" w:themeShade="D9"/>
            </w:tcBorders>
            <w:vAlign w:val="center"/>
          </w:tcPr>
          <w:p w14:paraId="3C015F64" w14:textId="77777777" w:rsidR="0056738E" w:rsidRPr="004660BE" w:rsidRDefault="0056738E" w:rsidP="007C2AEE">
            <w:pPr>
              <w:tabs>
                <w:tab w:val="right" w:pos="7560"/>
                <w:tab w:val="right" w:pos="9000"/>
              </w:tabs>
              <w:ind w:left="-150" w:right="19"/>
              <w:jc w:val="right"/>
              <w:rPr>
                <w:rFonts w:ascii="Arial" w:hAnsi="Arial" w:cs="Arial"/>
                <w:bCs/>
                <w:sz w:val="18"/>
                <w:szCs w:val="18"/>
              </w:rPr>
            </w:pPr>
            <w:r w:rsidRPr="00ED2904">
              <w:rPr>
                <w:rFonts w:ascii="Arial" w:hAnsi="Arial" w:cs="Arial"/>
                <w:bCs/>
                <w:sz w:val="18"/>
                <w:szCs w:val="18"/>
              </w:rPr>
              <w:t>(19,011)</w:t>
            </w:r>
          </w:p>
        </w:tc>
        <w:tc>
          <w:tcPr>
            <w:tcW w:w="1418" w:type="dxa"/>
            <w:tcBorders>
              <w:bottom w:val="single" w:sz="4" w:space="0" w:color="D9D9D9" w:themeColor="background1" w:themeShade="D9"/>
            </w:tcBorders>
            <w:vAlign w:val="center"/>
          </w:tcPr>
          <w:p w14:paraId="1BB5441D" w14:textId="77777777" w:rsidR="0056738E" w:rsidRPr="004660BE" w:rsidRDefault="0056738E" w:rsidP="007C2AEE">
            <w:pPr>
              <w:tabs>
                <w:tab w:val="right" w:pos="7560"/>
                <w:tab w:val="right" w:pos="9000"/>
              </w:tabs>
              <w:ind w:left="-150" w:right="19"/>
              <w:jc w:val="right"/>
              <w:rPr>
                <w:rFonts w:ascii="Arial" w:hAnsi="Arial" w:cs="Arial"/>
                <w:bCs/>
                <w:sz w:val="18"/>
                <w:szCs w:val="18"/>
                <w:lang w:val="el-GR"/>
              </w:rPr>
            </w:pPr>
            <w:r w:rsidRPr="00ED2904">
              <w:rPr>
                <w:rFonts w:ascii="Arial" w:hAnsi="Arial" w:cs="Arial"/>
                <w:bCs/>
                <w:sz w:val="18"/>
                <w:szCs w:val="18"/>
                <w:lang w:val="en-GB"/>
              </w:rPr>
              <w:t>(136,590)</w:t>
            </w:r>
          </w:p>
        </w:tc>
        <w:tc>
          <w:tcPr>
            <w:tcW w:w="1417" w:type="dxa"/>
            <w:tcBorders>
              <w:bottom w:val="single" w:sz="4" w:space="0" w:color="D9D9D9" w:themeColor="background1" w:themeShade="D9"/>
            </w:tcBorders>
            <w:vAlign w:val="center"/>
          </w:tcPr>
          <w:p w14:paraId="1402DCA3" w14:textId="77777777" w:rsidR="0056738E" w:rsidRPr="0064071E" w:rsidRDefault="0056738E" w:rsidP="007C2AEE">
            <w:pPr>
              <w:tabs>
                <w:tab w:val="right" w:pos="7560"/>
                <w:tab w:val="right" w:pos="9000"/>
              </w:tabs>
              <w:ind w:left="-150" w:right="19"/>
              <w:jc w:val="right"/>
              <w:rPr>
                <w:rFonts w:ascii="Arial" w:hAnsi="Arial" w:cs="Arial"/>
                <w:bCs/>
                <w:sz w:val="18"/>
                <w:szCs w:val="18"/>
                <w:lang w:val="el-GR"/>
              </w:rPr>
            </w:pPr>
            <w:r w:rsidRPr="002D1FED">
              <w:rPr>
                <w:rFonts w:ascii="Arial" w:hAnsi="Arial" w:cs="Arial"/>
                <w:bCs/>
                <w:sz w:val="18"/>
                <w:szCs w:val="18"/>
              </w:rPr>
              <w:t>(136,590)</w:t>
            </w:r>
          </w:p>
        </w:tc>
      </w:tr>
      <w:tr w:rsidR="0056738E" w:rsidRPr="0064071E" w14:paraId="5BE783AE" w14:textId="77777777" w:rsidTr="007C2AEE">
        <w:trPr>
          <w:trHeight w:val="255"/>
          <w:jc w:val="center"/>
        </w:trPr>
        <w:tc>
          <w:tcPr>
            <w:tcW w:w="3742" w:type="dxa"/>
            <w:vAlign w:val="center"/>
          </w:tcPr>
          <w:p w14:paraId="720E8876" w14:textId="77777777" w:rsidR="0056738E" w:rsidRPr="00D17E65" w:rsidRDefault="0056738E" w:rsidP="007C2AEE">
            <w:pPr>
              <w:tabs>
                <w:tab w:val="left" w:pos="0"/>
                <w:tab w:val="right" w:pos="7560"/>
                <w:tab w:val="right" w:pos="9000"/>
              </w:tabs>
              <w:jc w:val="both"/>
              <w:rPr>
                <w:rFonts w:ascii="Arial" w:hAnsi="Arial" w:cs="Arial"/>
                <w:sz w:val="18"/>
                <w:szCs w:val="18"/>
                <w:highlight w:val="yellow"/>
                <w:lang w:val="el-GR"/>
              </w:rPr>
            </w:pPr>
            <w:r w:rsidRPr="000A2727">
              <w:rPr>
                <w:rFonts w:ascii="Arial" w:hAnsi="Arial" w:cs="Arial"/>
                <w:sz w:val="18"/>
                <w:szCs w:val="18"/>
                <w:lang w:val="el-GR"/>
              </w:rPr>
              <w:t>Μείον</w:t>
            </w:r>
            <w:r w:rsidRPr="00D17E65">
              <w:rPr>
                <w:rFonts w:ascii="Arial" w:hAnsi="Arial" w:cs="Arial"/>
                <w:sz w:val="18"/>
                <w:szCs w:val="18"/>
                <w:lang w:val="el-GR"/>
              </w:rPr>
              <w:t xml:space="preserve">: </w:t>
            </w:r>
            <w:r>
              <w:rPr>
                <w:rFonts w:ascii="Arial" w:hAnsi="Arial" w:cs="Arial"/>
                <w:sz w:val="18"/>
                <w:szCs w:val="18"/>
                <w:lang w:val="el-GR"/>
              </w:rPr>
              <w:t xml:space="preserve">το </w:t>
            </w:r>
            <w:r w:rsidRPr="000A2727">
              <w:rPr>
                <w:rFonts w:ascii="Arial" w:hAnsi="Arial" w:cs="Arial"/>
                <w:sz w:val="18"/>
                <w:szCs w:val="18"/>
                <w:lang w:val="el-GR"/>
              </w:rPr>
              <w:t>πλεόνασμα Κεφαλαίου</w:t>
            </w:r>
            <w:r w:rsidRPr="00D17E65">
              <w:rPr>
                <w:rFonts w:ascii="Arial" w:hAnsi="Arial" w:cs="Arial"/>
                <w:sz w:val="18"/>
                <w:szCs w:val="18"/>
                <w:lang w:val="el-GR"/>
              </w:rPr>
              <w:t>*</w:t>
            </w:r>
            <w:r w:rsidRPr="000A2727">
              <w:rPr>
                <w:rFonts w:ascii="Arial" w:hAnsi="Arial" w:cs="Arial"/>
                <w:sz w:val="18"/>
                <w:szCs w:val="18"/>
                <w:lang w:val="el-GR"/>
              </w:rPr>
              <w:t xml:space="preserve"> με </w:t>
            </w:r>
            <w:r>
              <w:rPr>
                <w:rFonts w:ascii="Arial" w:hAnsi="Arial" w:cs="Arial"/>
                <w:sz w:val="18"/>
                <w:szCs w:val="18"/>
                <w:lang w:val="el-GR"/>
              </w:rPr>
              <w:t xml:space="preserve">το </w:t>
            </w:r>
            <w:r w:rsidRPr="000A2727">
              <w:rPr>
                <w:rFonts w:ascii="Arial" w:hAnsi="Arial" w:cs="Arial"/>
                <w:sz w:val="18"/>
                <w:szCs w:val="18"/>
                <w:lang w:val="el-GR"/>
              </w:rPr>
              <w:t>Δείκτη Κοινών Μετοχών Κατηγορίας 1 (</w:t>
            </w:r>
            <w:r w:rsidRPr="000A2727">
              <w:rPr>
                <w:rFonts w:ascii="Arial" w:hAnsi="Arial" w:cs="Arial"/>
                <w:sz w:val="18"/>
                <w:szCs w:val="18"/>
              </w:rPr>
              <w:t>CET</w:t>
            </w:r>
            <w:r w:rsidRPr="000A2727">
              <w:rPr>
                <w:rFonts w:ascii="Arial" w:hAnsi="Arial" w:cs="Arial"/>
                <w:sz w:val="18"/>
                <w:szCs w:val="18"/>
                <w:lang w:val="el-GR"/>
              </w:rPr>
              <w:t xml:space="preserve">1) στο 15% </w:t>
            </w:r>
          </w:p>
        </w:tc>
        <w:tc>
          <w:tcPr>
            <w:tcW w:w="1417" w:type="dxa"/>
            <w:tcBorders>
              <w:top w:val="single" w:sz="4" w:space="0" w:color="D9D9D9" w:themeColor="background1" w:themeShade="D9"/>
              <w:bottom w:val="single" w:sz="6" w:space="0" w:color="000000" w:themeColor="text1"/>
            </w:tcBorders>
            <w:shd w:val="clear" w:color="auto" w:fill="auto"/>
            <w:vAlign w:val="center"/>
          </w:tcPr>
          <w:p w14:paraId="3296011E" w14:textId="77777777" w:rsidR="0056738E" w:rsidRPr="004660BE" w:rsidRDefault="0056738E" w:rsidP="007C2AEE">
            <w:pPr>
              <w:ind w:left="-173" w:right="-108"/>
              <w:jc w:val="center"/>
              <w:rPr>
                <w:rFonts w:ascii="Arial" w:hAnsi="Arial" w:cs="Arial"/>
                <w:b/>
                <w:sz w:val="18"/>
                <w:szCs w:val="18"/>
                <w:lang w:val="el-GR"/>
              </w:rPr>
            </w:pPr>
            <w:r>
              <w:rPr>
                <w:rFonts w:ascii="Arial" w:hAnsi="Arial" w:cs="Arial"/>
                <w:b/>
                <w:sz w:val="18"/>
                <w:szCs w:val="18"/>
                <w:lang w:val="el-GR"/>
              </w:rPr>
              <w:t xml:space="preserve">          </w:t>
            </w:r>
            <w:r w:rsidRPr="00E81940">
              <w:rPr>
                <w:rFonts w:ascii="Arial" w:hAnsi="Arial" w:cs="Arial"/>
                <w:b/>
                <w:sz w:val="18"/>
                <w:szCs w:val="18"/>
              </w:rPr>
              <w:t>(619,625)</w:t>
            </w:r>
          </w:p>
        </w:tc>
        <w:tc>
          <w:tcPr>
            <w:tcW w:w="1417" w:type="dxa"/>
            <w:tcBorders>
              <w:top w:val="single" w:sz="4" w:space="0" w:color="D9D9D9" w:themeColor="background1" w:themeShade="D9"/>
              <w:bottom w:val="single" w:sz="6" w:space="0" w:color="000000" w:themeColor="text1"/>
            </w:tcBorders>
            <w:vAlign w:val="center"/>
          </w:tcPr>
          <w:p w14:paraId="3FB5A541" w14:textId="77777777" w:rsidR="0056738E" w:rsidRPr="004660BE" w:rsidRDefault="0056738E" w:rsidP="007C2AEE">
            <w:pPr>
              <w:tabs>
                <w:tab w:val="right" w:pos="7560"/>
                <w:tab w:val="right" w:pos="9000"/>
              </w:tabs>
              <w:ind w:left="-150" w:right="19"/>
              <w:jc w:val="right"/>
              <w:rPr>
                <w:rFonts w:ascii="Arial" w:hAnsi="Arial" w:cs="Arial"/>
                <w:bCs/>
                <w:sz w:val="18"/>
                <w:szCs w:val="18"/>
              </w:rPr>
            </w:pPr>
            <w:r w:rsidRPr="00ED2904">
              <w:rPr>
                <w:rFonts w:ascii="Arial" w:hAnsi="Arial" w:cs="Arial"/>
                <w:bCs/>
                <w:sz w:val="18"/>
                <w:szCs w:val="18"/>
              </w:rPr>
              <w:t>(479,000)</w:t>
            </w:r>
          </w:p>
        </w:tc>
        <w:tc>
          <w:tcPr>
            <w:tcW w:w="1418" w:type="dxa"/>
            <w:tcBorders>
              <w:top w:val="single" w:sz="4" w:space="0" w:color="D9D9D9" w:themeColor="background1" w:themeShade="D9"/>
              <w:bottom w:val="single" w:sz="6" w:space="0" w:color="000000" w:themeColor="text1"/>
            </w:tcBorders>
            <w:vAlign w:val="center"/>
          </w:tcPr>
          <w:p w14:paraId="369181C9" w14:textId="77777777" w:rsidR="0056738E" w:rsidRPr="004660BE" w:rsidRDefault="0056738E" w:rsidP="007C2AEE">
            <w:pPr>
              <w:tabs>
                <w:tab w:val="right" w:pos="7560"/>
                <w:tab w:val="right" w:pos="9000"/>
              </w:tabs>
              <w:ind w:left="-150" w:right="19"/>
              <w:jc w:val="right"/>
              <w:rPr>
                <w:rFonts w:ascii="Arial" w:hAnsi="Arial" w:cs="Arial"/>
                <w:bCs/>
                <w:sz w:val="18"/>
                <w:szCs w:val="18"/>
              </w:rPr>
            </w:pPr>
            <w:r w:rsidRPr="00ED2904">
              <w:rPr>
                <w:rFonts w:ascii="Arial" w:hAnsi="Arial" w:cs="Arial"/>
                <w:bCs/>
                <w:sz w:val="18"/>
                <w:szCs w:val="18"/>
                <w:lang w:val="en-GB"/>
              </w:rPr>
              <w:t>(341,460)</w:t>
            </w:r>
          </w:p>
        </w:tc>
        <w:tc>
          <w:tcPr>
            <w:tcW w:w="1417" w:type="dxa"/>
            <w:tcBorders>
              <w:top w:val="single" w:sz="4" w:space="0" w:color="D9D9D9" w:themeColor="background1" w:themeShade="D9"/>
              <w:bottom w:val="single" w:sz="6" w:space="0" w:color="000000" w:themeColor="text1"/>
            </w:tcBorders>
            <w:vAlign w:val="center"/>
          </w:tcPr>
          <w:p w14:paraId="072CC754" w14:textId="77777777" w:rsidR="0056738E" w:rsidRPr="005E3D2C" w:rsidRDefault="0056738E" w:rsidP="007C2AEE">
            <w:pPr>
              <w:tabs>
                <w:tab w:val="right" w:pos="7560"/>
                <w:tab w:val="right" w:pos="9000"/>
              </w:tabs>
              <w:ind w:left="-150" w:right="19"/>
              <w:jc w:val="right"/>
              <w:rPr>
                <w:rFonts w:ascii="Arial" w:hAnsi="Arial" w:cs="Arial"/>
                <w:bCs/>
                <w:sz w:val="18"/>
                <w:szCs w:val="18"/>
              </w:rPr>
            </w:pPr>
            <w:r>
              <w:rPr>
                <w:rFonts w:ascii="Arial" w:hAnsi="Arial" w:cs="Arial"/>
                <w:bCs/>
                <w:sz w:val="18"/>
                <w:szCs w:val="18"/>
              </w:rPr>
              <w:t>(247,153)</w:t>
            </w:r>
          </w:p>
        </w:tc>
      </w:tr>
      <w:tr w:rsidR="0056738E" w:rsidRPr="00ED1475" w14:paraId="0EBB9160" w14:textId="77777777" w:rsidTr="007C2AEE">
        <w:trPr>
          <w:trHeight w:val="170"/>
          <w:jc w:val="center"/>
        </w:trPr>
        <w:tc>
          <w:tcPr>
            <w:tcW w:w="3742" w:type="dxa"/>
            <w:vAlign w:val="center"/>
          </w:tcPr>
          <w:p w14:paraId="5BB3A3D1" w14:textId="77777777" w:rsidR="0056738E" w:rsidRPr="0064071E" w:rsidRDefault="0056738E" w:rsidP="007C2AEE">
            <w:pPr>
              <w:tabs>
                <w:tab w:val="left" w:pos="0"/>
                <w:tab w:val="right" w:pos="7560"/>
                <w:tab w:val="right" w:pos="9000"/>
              </w:tabs>
              <w:jc w:val="both"/>
              <w:rPr>
                <w:rFonts w:ascii="Arial" w:hAnsi="Arial" w:cs="Arial"/>
                <w:b/>
                <w:sz w:val="18"/>
                <w:szCs w:val="18"/>
                <w:lang w:val="el-GR"/>
              </w:rPr>
            </w:pPr>
            <w:r w:rsidRPr="0064071E">
              <w:rPr>
                <w:rFonts w:ascii="Arial" w:hAnsi="Arial" w:cs="Arial"/>
                <w:b/>
                <w:sz w:val="18"/>
                <w:szCs w:val="18"/>
                <w:lang w:val="el-GR"/>
              </w:rPr>
              <w:t>Συνολικά ενσώματα ίδια κεφάλαια που αναλογούν στους ιδιοκτήτες της Εταιρίας</w:t>
            </w:r>
            <w:r w:rsidRPr="00D17E65">
              <w:rPr>
                <w:rFonts w:ascii="Arial" w:hAnsi="Arial" w:cs="Arial"/>
                <w:b/>
                <w:sz w:val="18"/>
                <w:szCs w:val="18"/>
                <w:lang w:val="el-GR"/>
              </w:rPr>
              <w:t xml:space="preserve"> </w:t>
            </w:r>
            <w:r>
              <w:rPr>
                <w:rFonts w:ascii="Arial" w:hAnsi="Arial" w:cs="Arial"/>
                <w:b/>
                <w:sz w:val="18"/>
                <w:szCs w:val="18"/>
                <w:lang w:val="el-GR"/>
              </w:rPr>
              <w:t xml:space="preserve">υπολογισμένα σε </w:t>
            </w:r>
            <w:r w:rsidRPr="00D17E65">
              <w:rPr>
                <w:rFonts w:ascii="Arial" w:hAnsi="Arial" w:cs="Arial"/>
                <w:b/>
                <w:sz w:val="18"/>
                <w:szCs w:val="18"/>
                <w:lang w:val="el-GR"/>
              </w:rPr>
              <w:t xml:space="preserve">Δείκτη Κοινών Μετοχών Κατηγορίας 1 (CET1) </w:t>
            </w:r>
            <w:r>
              <w:rPr>
                <w:rFonts w:ascii="Arial" w:hAnsi="Arial" w:cs="Arial"/>
                <w:b/>
                <w:sz w:val="18"/>
                <w:szCs w:val="18"/>
                <w:lang w:val="el-GR"/>
              </w:rPr>
              <w:t>ύψους</w:t>
            </w:r>
            <w:r w:rsidRPr="00D17E65">
              <w:rPr>
                <w:rFonts w:ascii="Arial" w:hAnsi="Arial" w:cs="Arial"/>
                <w:b/>
                <w:sz w:val="18"/>
                <w:szCs w:val="18"/>
                <w:lang w:val="el-GR"/>
              </w:rPr>
              <w:t xml:space="preserve"> 15%</w:t>
            </w:r>
          </w:p>
        </w:tc>
        <w:tc>
          <w:tcPr>
            <w:tcW w:w="1417" w:type="dxa"/>
            <w:tcBorders>
              <w:top w:val="single" w:sz="6" w:space="0" w:color="000000" w:themeColor="text1"/>
              <w:bottom w:val="double" w:sz="6" w:space="0" w:color="auto"/>
            </w:tcBorders>
            <w:shd w:val="clear" w:color="auto" w:fill="auto"/>
            <w:vAlign w:val="center"/>
          </w:tcPr>
          <w:p w14:paraId="15A08190" w14:textId="77777777" w:rsidR="0056738E" w:rsidRPr="00896999" w:rsidRDefault="0056738E" w:rsidP="007C2AEE">
            <w:pPr>
              <w:tabs>
                <w:tab w:val="right" w:pos="7560"/>
                <w:tab w:val="right" w:pos="9000"/>
              </w:tabs>
              <w:ind w:left="-150"/>
              <w:jc w:val="right"/>
              <w:rPr>
                <w:rFonts w:ascii="Verdana" w:hAnsi="Verdana" w:cs="Arial"/>
                <w:sz w:val="18"/>
                <w:szCs w:val="18"/>
                <w:lang w:val="el-GR"/>
              </w:rPr>
            </w:pPr>
            <w:r w:rsidRPr="00E81940">
              <w:rPr>
                <w:rFonts w:ascii="Arial" w:hAnsi="Arial" w:cs="Arial"/>
                <w:b/>
                <w:sz w:val="18"/>
                <w:szCs w:val="18"/>
              </w:rPr>
              <w:t>1,833,138</w:t>
            </w:r>
          </w:p>
        </w:tc>
        <w:tc>
          <w:tcPr>
            <w:tcW w:w="1417" w:type="dxa"/>
            <w:tcBorders>
              <w:top w:val="single" w:sz="6" w:space="0" w:color="000000" w:themeColor="text1"/>
              <w:bottom w:val="double" w:sz="6" w:space="0" w:color="auto"/>
            </w:tcBorders>
            <w:vAlign w:val="center"/>
          </w:tcPr>
          <w:p w14:paraId="499735B9" w14:textId="77777777" w:rsidR="0056738E" w:rsidRPr="00896999" w:rsidRDefault="0056738E" w:rsidP="007C2AEE">
            <w:pPr>
              <w:tabs>
                <w:tab w:val="right" w:pos="7560"/>
                <w:tab w:val="right" w:pos="9000"/>
              </w:tabs>
              <w:ind w:left="-150"/>
              <w:jc w:val="right"/>
              <w:rPr>
                <w:rFonts w:ascii="Verdana" w:hAnsi="Verdana" w:cs="Arial"/>
                <w:sz w:val="18"/>
                <w:szCs w:val="18"/>
                <w:lang w:val="el-GR"/>
              </w:rPr>
            </w:pPr>
            <w:r w:rsidRPr="003465A5">
              <w:rPr>
                <w:rFonts w:ascii="Arial" w:hAnsi="Arial" w:cs="Arial"/>
                <w:bCs/>
                <w:sz w:val="18"/>
                <w:szCs w:val="18"/>
              </w:rPr>
              <w:t>1,843,686</w:t>
            </w:r>
          </w:p>
        </w:tc>
        <w:tc>
          <w:tcPr>
            <w:tcW w:w="1418" w:type="dxa"/>
            <w:tcBorders>
              <w:top w:val="single" w:sz="6" w:space="0" w:color="000000" w:themeColor="text1"/>
              <w:bottom w:val="double" w:sz="6" w:space="0" w:color="auto"/>
            </w:tcBorders>
            <w:vAlign w:val="center"/>
          </w:tcPr>
          <w:p w14:paraId="48F4CDD4" w14:textId="77777777" w:rsidR="0056738E" w:rsidRPr="004660BE" w:rsidRDefault="0056738E" w:rsidP="007C2AEE">
            <w:pPr>
              <w:tabs>
                <w:tab w:val="right" w:pos="7560"/>
                <w:tab w:val="right" w:pos="9000"/>
              </w:tabs>
              <w:ind w:left="-150" w:right="19"/>
              <w:jc w:val="right"/>
              <w:rPr>
                <w:rFonts w:ascii="Arial" w:hAnsi="Arial" w:cs="Arial"/>
                <w:bCs/>
                <w:sz w:val="18"/>
                <w:szCs w:val="18"/>
                <w:lang w:val="el-GR"/>
              </w:rPr>
            </w:pPr>
            <w:r w:rsidRPr="00ED2904">
              <w:rPr>
                <w:rFonts w:ascii="Arial" w:hAnsi="Arial" w:cs="Arial"/>
                <w:bCs/>
                <w:sz w:val="18"/>
                <w:szCs w:val="18"/>
                <w:lang w:val="en-GB"/>
              </w:rPr>
              <w:t>1,856,217</w:t>
            </w:r>
          </w:p>
        </w:tc>
        <w:tc>
          <w:tcPr>
            <w:tcW w:w="1417" w:type="dxa"/>
            <w:tcBorders>
              <w:top w:val="single" w:sz="6" w:space="0" w:color="000000" w:themeColor="text1"/>
              <w:bottom w:val="double" w:sz="6" w:space="0" w:color="auto"/>
            </w:tcBorders>
            <w:vAlign w:val="center"/>
          </w:tcPr>
          <w:p w14:paraId="72890CC3" w14:textId="77777777" w:rsidR="0056738E" w:rsidRPr="00041815" w:rsidRDefault="0056738E" w:rsidP="007C2AEE">
            <w:pPr>
              <w:tabs>
                <w:tab w:val="right" w:pos="7560"/>
                <w:tab w:val="right" w:pos="9000"/>
              </w:tabs>
              <w:ind w:left="-150" w:right="19"/>
              <w:jc w:val="right"/>
              <w:rPr>
                <w:rFonts w:ascii="Arial" w:hAnsi="Arial" w:cs="Arial"/>
                <w:bCs/>
                <w:sz w:val="18"/>
                <w:szCs w:val="18"/>
              </w:rPr>
            </w:pPr>
            <w:r>
              <w:rPr>
                <w:rFonts w:ascii="Arial" w:hAnsi="Arial" w:cs="Arial"/>
                <w:bCs/>
                <w:sz w:val="18"/>
                <w:szCs w:val="18"/>
              </w:rPr>
              <w:t>1,814,702</w:t>
            </w:r>
          </w:p>
        </w:tc>
      </w:tr>
    </w:tbl>
    <w:p w14:paraId="4CC4BF28" w14:textId="77777777" w:rsidR="0056738E" w:rsidRPr="00A03828" w:rsidRDefault="0056738E" w:rsidP="0056738E">
      <w:pPr>
        <w:shd w:val="clear" w:color="auto" w:fill="FFFFFF"/>
        <w:tabs>
          <w:tab w:val="left" w:pos="810"/>
        </w:tabs>
        <w:suppressAutoHyphens/>
        <w:spacing w:before="120" w:after="0" w:line="240" w:lineRule="auto"/>
        <w:jc w:val="both"/>
        <w:rPr>
          <w:rFonts w:ascii="Arial" w:hAnsi="Arial" w:cs="Arial"/>
          <w:i/>
          <w:iCs/>
          <w:sz w:val="16"/>
          <w:szCs w:val="16"/>
          <w:lang w:val="el-GR"/>
        </w:rPr>
      </w:pPr>
      <w:r w:rsidRPr="00D17E65">
        <w:rPr>
          <w:rFonts w:ascii="Arial" w:hAnsi="Arial" w:cs="Arial"/>
          <w:i/>
          <w:iCs/>
          <w:sz w:val="16"/>
          <w:szCs w:val="16"/>
          <w:lang w:val="el-GR"/>
        </w:rPr>
        <w:t xml:space="preserve">*Περιλαμβάνει το ποσό της προβλεπόμενης χρέωσης για τη δεδουλευμένη διανομή στους μετόχους στο υψηλότερο ποσοστό εγκεκριμένης πολιτικής διανομής του Συγκροτήματος που αφαιρείται από το Δείκτη Κεφαλαίου Κοινών Μετοχών Κατηγορίας 1 (CET1) </w:t>
      </w:r>
      <w:r>
        <w:rPr>
          <w:rFonts w:ascii="Arial" w:hAnsi="Arial" w:cs="Arial"/>
          <w:i/>
          <w:iCs/>
          <w:sz w:val="16"/>
          <w:szCs w:val="16"/>
          <w:lang w:val="el-GR"/>
        </w:rPr>
        <w:t>ως εφαρμόζεται.</w:t>
      </w:r>
    </w:p>
    <w:p w14:paraId="32E62C9C" w14:textId="77777777" w:rsidR="0056738E" w:rsidRPr="00A03828" w:rsidRDefault="0056738E" w:rsidP="0056738E">
      <w:pPr>
        <w:shd w:val="clear" w:color="auto" w:fill="FFFFFF"/>
        <w:tabs>
          <w:tab w:val="left" w:pos="810"/>
        </w:tabs>
        <w:suppressAutoHyphens/>
        <w:spacing w:before="120" w:after="0" w:line="240" w:lineRule="auto"/>
        <w:jc w:val="both"/>
        <w:rPr>
          <w:rFonts w:ascii="Arial" w:hAnsi="Arial" w:cs="Arial"/>
          <w:i/>
          <w:iCs/>
          <w:sz w:val="16"/>
          <w:szCs w:val="16"/>
          <w:lang w:val="el-GR"/>
        </w:rPr>
      </w:pPr>
      <w:r w:rsidRPr="00A03828">
        <w:rPr>
          <w:rFonts w:ascii="Arial" w:hAnsi="Arial" w:cs="Arial"/>
          <w:i/>
          <w:iCs/>
          <w:sz w:val="16"/>
          <w:szCs w:val="16"/>
          <w:lang w:val="el-GR"/>
        </w:rPr>
        <w:t xml:space="preserve">** Το εγκεκριμένο ποσό διανομής για το οικονομικό έτος 2023 προσαρμόζεται στο βαθμό που δεν έχει ήδη αφαιρεθεί από τα Ίδια κεφάλαια που αναλογούν στους ιδιοκτήτες της Εταιρίας (στην απαιτούμενη από τη νομοθεσία βάση) στο τέλος της κάθε περιόδου. Στις </w:t>
      </w:r>
      <w:r>
        <w:rPr>
          <w:rFonts w:ascii="Arial" w:hAnsi="Arial" w:cs="Arial"/>
          <w:i/>
          <w:iCs/>
          <w:sz w:val="16"/>
          <w:szCs w:val="16"/>
          <w:lang w:val="el-GR"/>
        </w:rPr>
        <w:t xml:space="preserve">30 Σεπτεμβρίου 2024 και </w:t>
      </w:r>
      <w:r w:rsidRPr="00A03828">
        <w:rPr>
          <w:rFonts w:ascii="Arial" w:hAnsi="Arial" w:cs="Arial"/>
          <w:i/>
          <w:iCs/>
          <w:sz w:val="16"/>
          <w:szCs w:val="16"/>
          <w:lang w:val="el-GR"/>
        </w:rPr>
        <w:t>30 Ιουνίου 2024, προσαρμόζεται μόνο με το εγκεκριμένο ποσό της επαναγοράς ιδίων μετοχών ύψους €25 εκατ. που δεν έχει</w:t>
      </w:r>
      <w:r>
        <w:rPr>
          <w:rFonts w:ascii="Arial" w:hAnsi="Arial" w:cs="Arial"/>
          <w:i/>
          <w:iCs/>
          <w:sz w:val="16"/>
          <w:szCs w:val="16"/>
          <w:lang w:val="el-GR"/>
        </w:rPr>
        <w:t xml:space="preserve"> ακόμη</w:t>
      </w:r>
      <w:r w:rsidRPr="00A03828">
        <w:rPr>
          <w:rFonts w:ascii="Arial" w:hAnsi="Arial" w:cs="Arial"/>
          <w:i/>
          <w:iCs/>
          <w:sz w:val="16"/>
          <w:szCs w:val="16"/>
          <w:lang w:val="el-GR"/>
        </w:rPr>
        <w:t xml:space="preserve"> εκτελεστεί. Για προηγούμενες περιόδους, προσαρμόζεται με το συνολικό ποσό της διανομής για το οικονομικό έτος 2023.</w:t>
      </w:r>
    </w:p>
    <w:p w14:paraId="434A36A9" w14:textId="77777777" w:rsidR="0056738E" w:rsidRPr="008F0A99" w:rsidRDefault="0056738E" w:rsidP="0056738E">
      <w:pPr>
        <w:spacing w:after="120" w:line="240" w:lineRule="auto"/>
        <w:ind w:left="851" w:hanging="851"/>
        <w:jc w:val="both"/>
        <w:rPr>
          <w:rFonts w:ascii="Arial" w:hAnsi="Arial" w:cs="Arial"/>
          <w:b/>
          <w:color w:val="FF9900"/>
          <w:lang w:val="el-GR"/>
        </w:rPr>
      </w:pPr>
    </w:p>
    <w:tbl>
      <w:tblPr>
        <w:tblStyle w:val="TableGrid14"/>
        <w:tblW w:w="935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20"/>
        <w:gridCol w:w="1417"/>
        <w:gridCol w:w="1418"/>
      </w:tblGrid>
      <w:tr w:rsidR="0056738E" w:rsidRPr="0056738E" w14:paraId="52FB3362" w14:textId="77777777" w:rsidTr="007C2AEE">
        <w:trPr>
          <w:trHeight w:val="305"/>
        </w:trPr>
        <w:tc>
          <w:tcPr>
            <w:tcW w:w="6520" w:type="dxa"/>
            <w:tcBorders>
              <w:top w:val="single" w:sz="4" w:space="0" w:color="D9D9D9" w:themeColor="background1" w:themeShade="D9"/>
              <w:bottom w:val="single" w:sz="4" w:space="0" w:color="D9D9D9" w:themeColor="background1" w:themeShade="D9"/>
            </w:tcBorders>
            <w:vAlign w:val="center"/>
          </w:tcPr>
          <w:p w14:paraId="111FD102" w14:textId="77777777" w:rsidR="0056738E" w:rsidRPr="0048064D" w:rsidRDefault="0056738E" w:rsidP="007C2AEE">
            <w:pPr>
              <w:tabs>
                <w:tab w:val="left" w:pos="0"/>
                <w:tab w:val="right" w:pos="7560"/>
                <w:tab w:val="right" w:pos="9000"/>
              </w:tabs>
              <w:ind w:left="22"/>
              <w:jc w:val="both"/>
              <w:rPr>
                <w:rFonts w:ascii="Arial" w:hAnsi="Arial" w:cs="Arial"/>
                <w:b/>
                <w:sz w:val="18"/>
                <w:szCs w:val="18"/>
                <w:lang w:val="el-GR"/>
              </w:rPr>
            </w:pPr>
            <w:r w:rsidRPr="0048064D">
              <w:rPr>
                <w:rFonts w:ascii="Arial" w:hAnsi="Arial" w:cs="Arial"/>
                <w:b/>
                <w:sz w:val="18"/>
                <w:szCs w:val="18"/>
                <w:lang w:val="el-GR"/>
              </w:rPr>
              <w:t>7.2  Τριμηνιαίος μέσος όρος των ενσωμάτων ιδίων κεφαλαίων που αναλογούν στους ιδιοκτήτες της Εταιρίας</w:t>
            </w:r>
            <w:r w:rsidRPr="00D17E65">
              <w:rPr>
                <w:rFonts w:ascii="Arial" w:hAnsi="Arial" w:cs="Arial"/>
                <w:b/>
                <w:sz w:val="18"/>
                <w:szCs w:val="18"/>
                <w:lang w:val="el-GR"/>
              </w:rPr>
              <w:t xml:space="preserve"> </w:t>
            </w:r>
            <w:r>
              <w:rPr>
                <w:rFonts w:ascii="Arial" w:hAnsi="Arial" w:cs="Arial"/>
                <w:b/>
                <w:sz w:val="18"/>
                <w:szCs w:val="18"/>
                <w:lang w:val="el-GR"/>
              </w:rPr>
              <w:t>υπολογισμένων σε Δείκτη Κοινών Μετοχών Κατηγορίας 1 (</w:t>
            </w:r>
            <w:r>
              <w:rPr>
                <w:rFonts w:ascii="Arial" w:hAnsi="Arial" w:cs="Arial"/>
                <w:b/>
                <w:sz w:val="18"/>
                <w:szCs w:val="18"/>
              </w:rPr>
              <w:t>CET</w:t>
            </w:r>
            <w:r w:rsidRPr="00D17E65">
              <w:rPr>
                <w:rFonts w:ascii="Arial" w:hAnsi="Arial" w:cs="Arial"/>
                <w:b/>
                <w:sz w:val="18"/>
                <w:szCs w:val="18"/>
                <w:lang w:val="el-GR"/>
              </w:rPr>
              <w:t xml:space="preserve">1) </w:t>
            </w:r>
            <w:r>
              <w:rPr>
                <w:rFonts w:ascii="Arial" w:hAnsi="Arial" w:cs="Arial"/>
                <w:b/>
                <w:sz w:val="18"/>
                <w:szCs w:val="18"/>
                <w:lang w:val="el-GR"/>
              </w:rPr>
              <w:t>ύψους 15%</w:t>
            </w:r>
            <w:r w:rsidRPr="0048064D">
              <w:rPr>
                <w:rFonts w:ascii="Arial" w:hAnsi="Arial" w:cs="Arial"/>
                <w:b/>
                <w:sz w:val="18"/>
                <w:szCs w:val="18"/>
                <w:lang w:val="el-GR"/>
              </w:rPr>
              <w:t xml:space="preserve"> (€000)</w:t>
            </w:r>
          </w:p>
        </w:tc>
        <w:tc>
          <w:tcPr>
            <w:tcW w:w="1417" w:type="dxa"/>
            <w:tcBorders>
              <w:top w:val="single" w:sz="4" w:space="0" w:color="D9D9D9" w:themeColor="background1" w:themeShade="D9"/>
              <w:bottom w:val="single" w:sz="4" w:space="0" w:color="D9D9D9" w:themeColor="background1" w:themeShade="D9"/>
            </w:tcBorders>
            <w:vAlign w:val="center"/>
          </w:tcPr>
          <w:p w14:paraId="0CA1E484" w14:textId="77777777" w:rsidR="0056738E" w:rsidRPr="0048064D" w:rsidRDefault="0056738E" w:rsidP="007C2AEE">
            <w:pPr>
              <w:tabs>
                <w:tab w:val="left" w:pos="0"/>
                <w:tab w:val="right" w:pos="7560"/>
                <w:tab w:val="right" w:pos="9000"/>
              </w:tabs>
              <w:jc w:val="right"/>
              <w:rPr>
                <w:rFonts w:ascii="Arial" w:hAnsi="Arial" w:cs="Arial"/>
                <w:b/>
                <w:bCs/>
                <w:sz w:val="18"/>
                <w:szCs w:val="18"/>
                <w:lang w:val="el-GR"/>
              </w:rPr>
            </w:pPr>
          </w:p>
        </w:tc>
        <w:tc>
          <w:tcPr>
            <w:tcW w:w="1418" w:type="dxa"/>
            <w:tcBorders>
              <w:top w:val="single" w:sz="4" w:space="0" w:color="D9D9D9" w:themeColor="background1" w:themeShade="D9"/>
              <w:bottom w:val="single" w:sz="4" w:space="0" w:color="D9D9D9" w:themeColor="background1" w:themeShade="D9"/>
            </w:tcBorders>
            <w:vAlign w:val="center"/>
          </w:tcPr>
          <w:p w14:paraId="39C84491" w14:textId="77777777" w:rsidR="0056738E" w:rsidRPr="0048064D" w:rsidRDefault="0056738E" w:rsidP="007C2AEE">
            <w:pPr>
              <w:tabs>
                <w:tab w:val="left" w:pos="0"/>
                <w:tab w:val="right" w:pos="7560"/>
                <w:tab w:val="right" w:pos="9000"/>
              </w:tabs>
              <w:jc w:val="right"/>
              <w:rPr>
                <w:rFonts w:ascii="Arial" w:hAnsi="Arial" w:cs="Arial"/>
                <w:b/>
                <w:bCs/>
                <w:sz w:val="18"/>
                <w:szCs w:val="18"/>
                <w:lang w:val="el-GR"/>
              </w:rPr>
            </w:pPr>
          </w:p>
        </w:tc>
      </w:tr>
      <w:tr w:rsidR="0056738E" w:rsidRPr="0048064D" w14:paraId="5EFA6068" w14:textId="77777777" w:rsidTr="007C2AEE">
        <w:trPr>
          <w:trHeight w:val="305"/>
        </w:trPr>
        <w:tc>
          <w:tcPr>
            <w:tcW w:w="6520" w:type="dxa"/>
            <w:tcBorders>
              <w:top w:val="single" w:sz="4" w:space="0" w:color="D9D9D9" w:themeColor="background1" w:themeShade="D9"/>
              <w:bottom w:val="single" w:sz="4" w:space="0" w:color="D9D9D9" w:themeColor="background1" w:themeShade="D9"/>
            </w:tcBorders>
            <w:vAlign w:val="center"/>
          </w:tcPr>
          <w:p w14:paraId="09EF2619" w14:textId="77777777" w:rsidR="0056738E" w:rsidRPr="0048064D" w:rsidRDefault="0056738E" w:rsidP="0056738E">
            <w:pPr>
              <w:numPr>
                <w:ilvl w:val="0"/>
                <w:numId w:val="9"/>
              </w:numPr>
              <w:tabs>
                <w:tab w:val="left" w:pos="0"/>
                <w:tab w:val="right" w:pos="7560"/>
                <w:tab w:val="right" w:pos="9000"/>
              </w:tabs>
              <w:ind w:left="474" w:hanging="283"/>
              <w:jc w:val="both"/>
              <w:rPr>
                <w:rFonts w:ascii="Arial" w:hAnsi="Arial" w:cs="Arial"/>
                <w:sz w:val="18"/>
                <w:szCs w:val="18"/>
              </w:rPr>
            </w:pPr>
            <w:r>
              <w:rPr>
                <w:rFonts w:ascii="Arial" w:hAnsi="Arial" w:cs="Arial"/>
                <w:sz w:val="18"/>
                <w:szCs w:val="18"/>
                <w:lang w:val="el-GR"/>
              </w:rPr>
              <w:t xml:space="preserve">στις </w:t>
            </w:r>
            <w:r w:rsidRPr="0006335E">
              <w:rPr>
                <w:rFonts w:ascii="Arial" w:hAnsi="Arial" w:cs="Arial"/>
                <w:sz w:val="18"/>
                <w:szCs w:val="18"/>
                <w:lang w:val="el-GR"/>
              </w:rPr>
              <w:t xml:space="preserve">30 Σεπτεμβρίου </w:t>
            </w:r>
            <w:r w:rsidRPr="0048064D">
              <w:rPr>
                <w:rFonts w:ascii="Arial" w:hAnsi="Arial" w:cs="Arial"/>
                <w:sz w:val="18"/>
                <w:szCs w:val="18"/>
                <w:lang w:val="el-GR"/>
              </w:rPr>
              <w:t>2024</w:t>
            </w:r>
          </w:p>
        </w:tc>
        <w:tc>
          <w:tcPr>
            <w:tcW w:w="1417" w:type="dxa"/>
            <w:tcBorders>
              <w:top w:val="single" w:sz="4" w:space="0" w:color="D9D9D9" w:themeColor="background1" w:themeShade="D9"/>
              <w:bottom w:val="single" w:sz="4" w:space="0" w:color="D9D9D9" w:themeColor="background1" w:themeShade="D9"/>
            </w:tcBorders>
            <w:vAlign w:val="center"/>
          </w:tcPr>
          <w:p w14:paraId="36954B59" w14:textId="77777777" w:rsidR="0056738E" w:rsidRPr="006A56AB" w:rsidRDefault="0056738E" w:rsidP="007C2AEE">
            <w:pPr>
              <w:tabs>
                <w:tab w:val="left" w:pos="0"/>
                <w:tab w:val="right" w:pos="7560"/>
                <w:tab w:val="right" w:pos="9000"/>
              </w:tabs>
              <w:jc w:val="right"/>
              <w:rPr>
                <w:rFonts w:ascii="Arial" w:hAnsi="Arial" w:cs="Arial"/>
                <w:b/>
                <w:bCs/>
                <w:sz w:val="18"/>
                <w:szCs w:val="18"/>
                <w:lang w:val="el-GR"/>
              </w:rPr>
            </w:pPr>
          </w:p>
        </w:tc>
        <w:tc>
          <w:tcPr>
            <w:tcW w:w="1418" w:type="dxa"/>
            <w:tcBorders>
              <w:top w:val="single" w:sz="4" w:space="0" w:color="D9D9D9" w:themeColor="background1" w:themeShade="D9"/>
              <w:bottom w:val="single" w:sz="4" w:space="0" w:color="D9D9D9" w:themeColor="background1" w:themeShade="D9"/>
            </w:tcBorders>
            <w:vAlign w:val="center"/>
          </w:tcPr>
          <w:p w14:paraId="18786D00" w14:textId="77777777" w:rsidR="0056738E" w:rsidRPr="00A03828" w:rsidRDefault="0056738E" w:rsidP="007C2AEE">
            <w:pPr>
              <w:jc w:val="right"/>
              <w:rPr>
                <w:rFonts w:ascii="Arial" w:hAnsi="Arial" w:cs="Arial"/>
                <w:b/>
                <w:sz w:val="18"/>
                <w:szCs w:val="18"/>
                <w:lang w:val="el-GR"/>
              </w:rPr>
            </w:pPr>
            <w:r>
              <w:rPr>
                <w:rFonts w:ascii="Arial" w:hAnsi="Arial" w:cs="Arial"/>
                <w:b/>
                <w:bCs/>
                <w:sz w:val="18"/>
                <w:szCs w:val="18"/>
              </w:rPr>
              <w:t>1,836,93</w:t>
            </w:r>
            <w:r>
              <w:rPr>
                <w:rFonts w:ascii="Arial" w:hAnsi="Arial" w:cs="Arial"/>
                <w:b/>
                <w:bCs/>
                <w:sz w:val="18"/>
                <w:szCs w:val="18"/>
                <w:lang w:val="el-GR"/>
              </w:rPr>
              <w:t>6</w:t>
            </w:r>
          </w:p>
        </w:tc>
      </w:tr>
      <w:tr w:rsidR="0056738E" w:rsidRPr="0048064D" w14:paraId="7ED19C73" w14:textId="77777777" w:rsidTr="007C2AEE">
        <w:trPr>
          <w:trHeight w:val="305"/>
        </w:trPr>
        <w:tc>
          <w:tcPr>
            <w:tcW w:w="6520" w:type="dxa"/>
            <w:tcBorders>
              <w:top w:val="single" w:sz="4" w:space="0" w:color="D9D9D9" w:themeColor="background1" w:themeShade="D9"/>
              <w:bottom w:val="single" w:sz="4" w:space="0" w:color="D9D9D9" w:themeColor="background1" w:themeShade="D9"/>
            </w:tcBorders>
            <w:vAlign w:val="center"/>
          </w:tcPr>
          <w:p w14:paraId="46515397" w14:textId="77777777" w:rsidR="0056738E" w:rsidRPr="0048064D" w:rsidRDefault="0056738E" w:rsidP="0056738E">
            <w:pPr>
              <w:numPr>
                <w:ilvl w:val="0"/>
                <w:numId w:val="9"/>
              </w:numPr>
              <w:tabs>
                <w:tab w:val="left" w:pos="0"/>
                <w:tab w:val="right" w:pos="7560"/>
                <w:tab w:val="right" w:pos="9000"/>
              </w:tabs>
              <w:ind w:left="474" w:right="-77" w:hanging="283"/>
              <w:jc w:val="both"/>
              <w:rPr>
                <w:rFonts w:ascii="Arial" w:hAnsi="Arial" w:cs="Arial"/>
                <w:sz w:val="18"/>
                <w:szCs w:val="18"/>
              </w:rPr>
            </w:pPr>
            <w:r>
              <w:rPr>
                <w:rFonts w:ascii="Arial" w:hAnsi="Arial" w:cs="Arial"/>
                <w:sz w:val="18"/>
                <w:szCs w:val="18"/>
                <w:lang w:val="el-GR"/>
              </w:rPr>
              <w:t xml:space="preserve">στις </w:t>
            </w:r>
            <w:r w:rsidRPr="0048064D">
              <w:rPr>
                <w:rFonts w:ascii="Arial" w:hAnsi="Arial" w:cs="Arial"/>
                <w:sz w:val="18"/>
                <w:szCs w:val="18"/>
                <w:lang w:val="el-GR"/>
              </w:rPr>
              <w:t xml:space="preserve">31 </w:t>
            </w:r>
            <w:r>
              <w:rPr>
                <w:rFonts w:ascii="Arial" w:hAnsi="Arial" w:cs="Arial"/>
                <w:sz w:val="18"/>
                <w:szCs w:val="18"/>
                <w:lang w:val="el-GR"/>
              </w:rPr>
              <w:t>Δεκεμβρίου</w:t>
            </w:r>
            <w:r w:rsidRPr="0048064D">
              <w:rPr>
                <w:rFonts w:ascii="Arial" w:hAnsi="Arial" w:cs="Arial"/>
                <w:sz w:val="18"/>
                <w:szCs w:val="18"/>
                <w:lang w:val="el-GR"/>
              </w:rPr>
              <w:t xml:space="preserve"> 2023</w:t>
            </w:r>
          </w:p>
        </w:tc>
        <w:tc>
          <w:tcPr>
            <w:tcW w:w="1417" w:type="dxa"/>
            <w:tcBorders>
              <w:top w:val="single" w:sz="4" w:space="0" w:color="D9D9D9" w:themeColor="background1" w:themeShade="D9"/>
              <w:bottom w:val="single" w:sz="4" w:space="0" w:color="D9D9D9" w:themeColor="background1" w:themeShade="D9"/>
            </w:tcBorders>
            <w:vAlign w:val="center"/>
          </w:tcPr>
          <w:p w14:paraId="3900B194" w14:textId="77777777" w:rsidR="0056738E" w:rsidRPr="006A56AB" w:rsidRDefault="0056738E" w:rsidP="007C2AEE">
            <w:pPr>
              <w:tabs>
                <w:tab w:val="left" w:pos="0"/>
                <w:tab w:val="right" w:pos="7560"/>
                <w:tab w:val="right" w:pos="9000"/>
              </w:tabs>
              <w:jc w:val="right"/>
              <w:rPr>
                <w:rFonts w:ascii="Arial" w:hAnsi="Arial" w:cs="Arial"/>
                <w:bCs/>
                <w:sz w:val="18"/>
                <w:szCs w:val="18"/>
                <w:lang w:val="el-GR"/>
              </w:rPr>
            </w:pPr>
          </w:p>
        </w:tc>
        <w:tc>
          <w:tcPr>
            <w:tcW w:w="1418" w:type="dxa"/>
            <w:tcBorders>
              <w:top w:val="single" w:sz="4" w:space="0" w:color="D9D9D9" w:themeColor="background1" w:themeShade="D9"/>
              <w:bottom w:val="single" w:sz="4" w:space="0" w:color="D9D9D9" w:themeColor="background1" w:themeShade="D9"/>
            </w:tcBorders>
            <w:shd w:val="clear" w:color="auto" w:fill="auto"/>
            <w:vAlign w:val="center"/>
          </w:tcPr>
          <w:p w14:paraId="6AA95FEB" w14:textId="77777777" w:rsidR="0056738E" w:rsidRPr="00566B0B" w:rsidRDefault="0056738E" w:rsidP="007C2AEE">
            <w:pPr>
              <w:jc w:val="right"/>
              <w:rPr>
                <w:rFonts w:ascii="Arial" w:hAnsi="Arial" w:cs="Arial"/>
                <w:bCs/>
                <w:sz w:val="18"/>
                <w:szCs w:val="18"/>
              </w:rPr>
            </w:pPr>
            <w:r>
              <w:rPr>
                <w:rFonts w:ascii="Arial" w:hAnsi="Arial" w:cs="Arial"/>
                <w:bCs/>
                <w:sz w:val="18"/>
                <w:szCs w:val="18"/>
              </w:rPr>
              <w:t>1,</w:t>
            </w:r>
            <w:r>
              <w:rPr>
                <w:rFonts w:ascii="Arial" w:hAnsi="Arial" w:cs="Arial"/>
                <w:bCs/>
                <w:sz w:val="18"/>
                <w:szCs w:val="18"/>
                <w:lang w:val="el-GR"/>
              </w:rPr>
              <w:t>779</w:t>
            </w:r>
            <w:r>
              <w:rPr>
                <w:rFonts w:ascii="Arial" w:hAnsi="Arial" w:cs="Arial"/>
                <w:bCs/>
                <w:sz w:val="18"/>
                <w:szCs w:val="18"/>
              </w:rPr>
              <w:t>,</w:t>
            </w:r>
            <w:r>
              <w:rPr>
                <w:rFonts w:ascii="Arial" w:hAnsi="Arial" w:cs="Arial"/>
                <w:bCs/>
                <w:sz w:val="18"/>
                <w:szCs w:val="18"/>
                <w:lang w:val="el-GR"/>
              </w:rPr>
              <w:t>597</w:t>
            </w:r>
          </w:p>
        </w:tc>
      </w:tr>
      <w:tr w:rsidR="0056738E" w:rsidRPr="0048064D" w14:paraId="06EC9361" w14:textId="77777777" w:rsidTr="007C2AEE">
        <w:trPr>
          <w:trHeight w:val="305"/>
        </w:trPr>
        <w:tc>
          <w:tcPr>
            <w:tcW w:w="6520" w:type="dxa"/>
            <w:tcBorders>
              <w:top w:val="single" w:sz="4" w:space="0" w:color="D9D9D9" w:themeColor="background1" w:themeShade="D9"/>
              <w:bottom w:val="single" w:sz="4" w:space="0" w:color="D9D9D9" w:themeColor="background1" w:themeShade="D9"/>
            </w:tcBorders>
            <w:vAlign w:val="center"/>
          </w:tcPr>
          <w:p w14:paraId="4A6BDF10" w14:textId="77777777" w:rsidR="0056738E" w:rsidRPr="0048064D" w:rsidRDefault="0056738E" w:rsidP="0056738E">
            <w:pPr>
              <w:numPr>
                <w:ilvl w:val="0"/>
                <w:numId w:val="9"/>
              </w:numPr>
              <w:tabs>
                <w:tab w:val="left" w:pos="0"/>
                <w:tab w:val="right" w:pos="7560"/>
                <w:tab w:val="right" w:pos="9000"/>
              </w:tabs>
              <w:ind w:left="474" w:right="-77" w:hanging="283"/>
              <w:jc w:val="both"/>
              <w:rPr>
                <w:rFonts w:ascii="Arial" w:hAnsi="Arial" w:cs="Arial"/>
                <w:sz w:val="18"/>
                <w:szCs w:val="18"/>
                <w:lang w:val="el-GR"/>
              </w:rPr>
            </w:pPr>
            <w:r>
              <w:rPr>
                <w:rFonts w:ascii="Arial" w:hAnsi="Arial" w:cs="Arial"/>
                <w:sz w:val="18"/>
                <w:szCs w:val="18"/>
                <w:lang w:val="el-GR"/>
              </w:rPr>
              <w:t xml:space="preserve">στις </w:t>
            </w:r>
            <w:r w:rsidRPr="0006335E">
              <w:rPr>
                <w:rFonts w:ascii="Arial" w:hAnsi="Arial" w:cs="Arial"/>
                <w:sz w:val="18"/>
                <w:szCs w:val="18"/>
                <w:lang w:val="el-GR"/>
              </w:rPr>
              <w:t xml:space="preserve">30 Σεπτεμβρίου </w:t>
            </w:r>
            <w:r>
              <w:rPr>
                <w:rFonts w:ascii="Arial" w:hAnsi="Arial" w:cs="Arial"/>
                <w:sz w:val="18"/>
                <w:szCs w:val="18"/>
                <w:lang w:val="el-GR"/>
              </w:rPr>
              <w:t>2023</w:t>
            </w:r>
          </w:p>
        </w:tc>
        <w:tc>
          <w:tcPr>
            <w:tcW w:w="1417" w:type="dxa"/>
            <w:tcBorders>
              <w:top w:val="single" w:sz="4" w:space="0" w:color="D9D9D9" w:themeColor="background1" w:themeShade="D9"/>
              <w:bottom w:val="single" w:sz="4" w:space="0" w:color="D9D9D9" w:themeColor="background1" w:themeShade="D9"/>
            </w:tcBorders>
            <w:vAlign w:val="center"/>
          </w:tcPr>
          <w:p w14:paraId="2759493F" w14:textId="77777777" w:rsidR="0056738E" w:rsidRPr="006A56AB" w:rsidRDefault="0056738E" w:rsidP="007C2AEE">
            <w:pPr>
              <w:tabs>
                <w:tab w:val="left" w:pos="0"/>
                <w:tab w:val="right" w:pos="7560"/>
                <w:tab w:val="right" w:pos="9000"/>
              </w:tabs>
              <w:jc w:val="right"/>
              <w:rPr>
                <w:rFonts w:ascii="Arial" w:hAnsi="Arial" w:cs="Arial"/>
                <w:bCs/>
                <w:sz w:val="18"/>
                <w:szCs w:val="18"/>
                <w:lang w:val="el-GR"/>
              </w:rPr>
            </w:pPr>
          </w:p>
        </w:tc>
        <w:tc>
          <w:tcPr>
            <w:tcW w:w="1418" w:type="dxa"/>
            <w:tcBorders>
              <w:top w:val="single" w:sz="4" w:space="0" w:color="D9D9D9" w:themeColor="background1" w:themeShade="D9"/>
              <w:bottom w:val="single" w:sz="4" w:space="0" w:color="D9D9D9" w:themeColor="background1" w:themeShade="D9"/>
            </w:tcBorders>
            <w:shd w:val="clear" w:color="auto" w:fill="auto"/>
            <w:vAlign w:val="center"/>
          </w:tcPr>
          <w:p w14:paraId="275BC6F6" w14:textId="77777777" w:rsidR="0056738E" w:rsidRPr="00566B0B" w:rsidRDefault="0056738E" w:rsidP="007C2AEE">
            <w:pPr>
              <w:jc w:val="right"/>
              <w:rPr>
                <w:rFonts w:ascii="Arial" w:hAnsi="Arial" w:cs="Arial"/>
                <w:bCs/>
                <w:sz w:val="18"/>
                <w:szCs w:val="18"/>
              </w:rPr>
            </w:pPr>
            <w:r w:rsidRPr="000700B2">
              <w:rPr>
                <w:rFonts w:ascii="Arial" w:hAnsi="Arial" w:cs="Arial"/>
                <w:bCs/>
                <w:sz w:val="18"/>
                <w:szCs w:val="18"/>
              </w:rPr>
              <w:t>1,901,882</w:t>
            </w:r>
          </w:p>
        </w:tc>
      </w:tr>
    </w:tbl>
    <w:p w14:paraId="3CDE92B5" w14:textId="77777777" w:rsidR="0056738E" w:rsidRDefault="0056738E" w:rsidP="0056738E">
      <w:pPr>
        <w:shd w:val="clear" w:color="auto" w:fill="FFFFFF"/>
        <w:suppressAutoHyphens/>
        <w:spacing w:after="0" w:line="240" w:lineRule="auto"/>
        <w:jc w:val="both"/>
        <w:rPr>
          <w:rFonts w:ascii="Arial" w:hAnsi="Arial" w:cs="Arial"/>
          <w:color w:val="FF9900"/>
          <w:sz w:val="20"/>
          <w:szCs w:val="20"/>
          <w:lang w:val="el-GR"/>
        </w:rPr>
      </w:pPr>
    </w:p>
    <w:p w14:paraId="41AEF282" w14:textId="77777777" w:rsidR="0056738E" w:rsidRPr="00A03828" w:rsidRDefault="0056738E" w:rsidP="0056738E">
      <w:pPr>
        <w:pStyle w:val="ListParagraph"/>
        <w:numPr>
          <w:ilvl w:val="0"/>
          <w:numId w:val="18"/>
        </w:numPr>
        <w:shd w:val="clear" w:color="auto" w:fill="FFFFFF"/>
        <w:suppressAutoHyphens/>
        <w:spacing w:line="360" w:lineRule="auto"/>
        <w:ind w:left="851" w:hanging="851"/>
        <w:jc w:val="both"/>
        <w:rPr>
          <w:rFonts w:ascii="Arial" w:hAnsi="Arial" w:cs="Arial"/>
          <w:b/>
          <w:color w:val="FF9900"/>
          <w:sz w:val="22"/>
          <w:szCs w:val="22"/>
          <w:lang w:val="el-GR"/>
        </w:rPr>
      </w:pPr>
      <w:r w:rsidRPr="00A03828">
        <w:rPr>
          <w:rFonts w:ascii="Arial" w:hAnsi="Arial" w:cs="Arial"/>
          <w:b/>
          <w:color w:val="FF9900"/>
          <w:sz w:val="22"/>
          <w:szCs w:val="22"/>
          <w:lang w:val="el-GR"/>
        </w:rPr>
        <w:t>Ενσώματα ίδια κεφάλαια ανά μετοχή</w:t>
      </w:r>
    </w:p>
    <w:tbl>
      <w:tblPr>
        <w:tblStyle w:val="TableGrid"/>
        <w:tblW w:w="9297"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463"/>
        <w:gridCol w:w="1417"/>
        <w:gridCol w:w="1417"/>
      </w:tblGrid>
      <w:tr w:rsidR="0056738E" w:rsidRPr="009B39F0" w14:paraId="2F88BBF2" w14:textId="77777777" w:rsidTr="007C2AEE">
        <w:trPr>
          <w:trHeight w:val="283"/>
          <w:jc w:val="center"/>
        </w:trPr>
        <w:tc>
          <w:tcPr>
            <w:tcW w:w="6463" w:type="dxa"/>
            <w:vMerge w:val="restart"/>
            <w:vAlign w:val="center"/>
          </w:tcPr>
          <w:p w14:paraId="6F9A4D60" w14:textId="77777777" w:rsidR="0056738E" w:rsidRPr="00041815" w:rsidRDefault="0056738E" w:rsidP="007C2AEE">
            <w:pPr>
              <w:ind w:left="589" w:hanging="425"/>
              <w:jc w:val="both"/>
              <w:rPr>
                <w:rFonts w:ascii="Verdana" w:hAnsi="Verdana" w:cs="ArialMT"/>
                <w:b/>
                <w:sz w:val="18"/>
                <w:szCs w:val="18"/>
                <w:lang w:val="el-GR"/>
              </w:rPr>
            </w:pPr>
          </w:p>
        </w:tc>
        <w:tc>
          <w:tcPr>
            <w:tcW w:w="1417" w:type="dxa"/>
            <w:vAlign w:val="center"/>
          </w:tcPr>
          <w:p w14:paraId="0D974826" w14:textId="77777777" w:rsidR="0056738E" w:rsidRPr="0048064D" w:rsidRDefault="0056738E" w:rsidP="007C2AEE">
            <w:pPr>
              <w:ind w:left="-196" w:right="-186"/>
              <w:jc w:val="center"/>
              <w:rPr>
                <w:rFonts w:ascii="Arial" w:hAnsi="Arial" w:cs="Arial"/>
                <w:b/>
                <w:sz w:val="18"/>
                <w:szCs w:val="18"/>
                <w:lang w:val="el-GR"/>
              </w:rPr>
            </w:pPr>
            <w:r w:rsidRPr="00331BC0">
              <w:rPr>
                <w:rFonts w:ascii="Arial" w:hAnsi="Arial" w:cs="Arial"/>
                <w:b/>
                <w:sz w:val="18"/>
                <w:szCs w:val="18"/>
                <w:lang w:val="el-GR"/>
              </w:rPr>
              <w:t>30 Σεπτεμβρίου</w:t>
            </w:r>
            <w:r>
              <w:rPr>
                <w:rFonts w:ascii="Arial" w:hAnsi="Arial" w:cs="Arial"/>
                <w:b/>
                <w:sz w:val="18"/>
                <w:szCs w:val="18"/>
              </w:rPr>
              <w:t xml:space="preserve"> 202</w:t>
            </w:r>
            <w:r>
              <w:rPr>
                <w:rFonts w:ascii="Arial" w:hAnsi="Arial" w:cs="Arial"/>
                <w:b/>
                <w:sz w:val="18"/>
                <w:szCs w:val="18"/>
                <w:lang w:val="el-GR"/>
              </w:rPr>
              <w:t>4</w:t>
            </w:r>
          </w:p>
        </w:tc>
        <w:tc>
          <w:tcPr>
            <w:tcW w:w="1417" w:type="dxa"/>
            <w:vAlign w:val="center"/>
          </w:tcPr>
          <w:p w14:paraId="7FB79F69" w14:textId="77777777" w:rsidR="0056738E" w:rsidRDefault="0056738E" w:rsidP="007C2AEE">
            <w:pPr>
              <w:ind w:left="-134" w:right="-186"/>
              <w:jc w:val="center"/>
              <w:rPr>
                <w:rFonts w:ascii="Arial" w:eastAsia="Batang" w:hAnsi="Arial" w:cs="Arial"/>
                <w:sz w:val="18"/>
                <w:szCs w:val="18"/>
                <w:lang w:val="el-GR"/>
              </w:rPr>
            </w:pPr>
            <w:r>
              <w:rPr>
                <w:rFonts w:ascii="Arial" w:eastAsia="Batang" w:hAnsi="Arial" w:cs="Arial"/>
                <w:sz w:val="18"/>
                <w:szCs w:val="18"/>
                <w:lang w:val="el-GR"/>
              </w:rPr>
              <w:t>3</w:t>
            </w:r>
            <w:r>
              <w:rPr>
                <w:rFonts w:ascii="Arial" w:eastAsia="Batang" w:hAnsi="Arial" w:cs="Arial"/>
                <w:sz w:val="18"/>
                <w:szCs w:val="18"/>
              </w:rPr>
              <w:t>0</w:t>
            </w:r>
            <w:r>
              <w:rPr>
                <w:rFonts w:ascii="Arial" w:eastAsia="Batang" w:hAnsi="Arial" w:cs="Arial"/>
                <w:sz w:val="18"/>
                <w:szCs w:val="18"/>
                <w:lang w:val="el-GR"/>
              </w:rPr>
              <w:t xml:space="preserve"> Σεπτεμβρίου</w:t>
            </w:r>
          </w:p>
          <w:p w14:paraId="426B7588" w14:textId="77777777" w:rsidR="0056738E" w:rsidRPr="0048064D" w:rsidRDefault="0056738E" w:rsidP="007C2AEE">
            <w:pPr>
              <w:ind w:left="-134" w:right="-186"/>
              <w:jc w:val="center"/>
              <w:rPr>
                <w:rFonts w:ascii="Arial" w:hAnsi="Arial" w:cs="Arial"/>
                <w:b/>
                <w:sz w:val="18"/>
                <w:szCs w:val="18"/>
                <w:lang w:val="el-GR"/>
              </w:rPr>
            </w:pPr>
            <w:r>
              <w:rPr>
                <w:rFonts w:ascii="Arial" w:eastAsia="Batang" w:hAnsi="Arial" w:cs="Arial"/>
                <w:sz w:val="18"/>
                <w:szCs w:val="18"/>
                <w:lang w:val="el-GR"/>
              </w:rPr>
              <w:t>2023</w:t>
            </w:r>
          </w:p>
        </w:tc>
      </w:tr>
      <w:tr w:rsidR="0056738E" w:rsidRPr="009B39F0" w14:paraId="678FF9A7" w14:textId="77777777" w:rsidTr="007C2AEE">
        <w:trPr>
          <w:trHeight w:val="255"/>
          <w:jc w:val="center"/>
        </w:trPr>
        <w:tc>
          <w:tcPr>
            <w:tcW w:w="6463" w:type="dxa"/>
            <w:vMerge/>
            <w:vAlign w:val="center"/>
          </w:tcPr>
          <w:p w14:paraId="2B9F0F14" w14:textId="77777777" w:rsidR="0056738E" w:rsidRPr="009B39F0" w:rsidRDefault="0056738E" w:rsidP="007C2AEE">
            <w:pPr>
              <w:tabs>
                <w:tab w:val="left" w:pos="0"/>
                <w:tab w:val="right" w:pos="7560"/>
                <w:tab w:val="right" w:pos="9000"/>
              </w:tabs>
              <w:jc w:val="both"/>
              <w:rPr>
                <w:rFonts w:ascii="Verdana" w:hAnsi="Verdana" w:cs="Arial"/>
                <w:sz w:val="18"/>
                <w:szCs w:val="18"/>
              </w:rPr>
            </w:pPr>
          </w:p>
        </w:tc>
        <w:tc>
          <w:tcPr>
            <w:tcW w:w="1417" w:type="dxa"/>
            <w:vAlign w:val="center"/>
          </w:tcPr>
          <w:p w14:paraId="101235C7" w14:textId="77777777" w:rsidR="0056738E" w:rsidRPr="00E846FB" w:rsidRDefault="0056738E" w:rsidP="007C2AEE">
            <w:pPr>
              <w:tabs>
                <w:tab w:val="left" w:pos="0"/>
                <w:tab w:val="right" w:pos="7560"/>
                <w:tab w:val="right" w:pos="9000"/>
              </w:tabs>
              <w:jc w:val="center"/>
              <w:rPr>
                <w:rFonts w:ascii="Arial" w:eastAsia="Batang" w:hAnsi="Arial" w:cs="Arial"/>
                <w:b/>
                <w:sz w:val="18"/>
                <w:szCs w:val="18"/>
              </w:rPr>
            </w:pPr>
            <w:r w:rsidRPr="00E846FB">
              <w:rPr>
                <w:rFonts w:ascii="Arial" w:eastAsia="Batang" w:hAnsi="Arial" w:cs="Arial"/>
                <w:b/>
                <w:sz w:val="18"/>
                <w:szCs w:val="18"/>
              </w:rPr>
              <w:t>€000</w:t>
            </w:r>
          </w:p>
        </w:tc>
        <w:tc>
          <w:tcPr>
            <w:tcW w:w="1417" w:type="dxa"/>
            <w:vAlign w:val="center"/>
          </w:tcPr>
          <w:p w14:paraId="25A5E005" w14:textId="77777777" w:rsidR="0056738E" w:rsidRPr="009B39F0" w:rsidRDefault="0056738E" w:rsidP="007C2AEE">
            <w:pPr>
              <w:tabs>
                <w:tab w:val="left" w:pos="0"/>
                <w:tab w:val="right" w:pos="7560"/>
                <w:tab w:val="right" w:pos="9000"/>
              </w:tabs>
              <w:jc w:val="center"/>
              <w:rPr>
                <w:rFonts w:ascii="Verdana" w:hAnsi="Verdana" w:cs="Arial"/>
                <w:bCs/>
                <w:sz w:val="18"/>
                <w:szCs w:val="18"/>
              </w:rPr>
            </w:pPr>
            <w:r w:rsidRPr="00E846FB">
              <w:rPr>
                <w:rFonts w:ascii="Arial" w:eastAsia="Batang" w:hAnsi="Arial" w:cs="Arial"/>
                <w:bCs/>
                <w:sz w:val="18"/>
                <w:szCs w:val="18"/>
              </w:rPr>
              <w:t>€000</w:t>
            </w:r>
          </w:p>
        </w:tc>
      </w:tr>
      <w:tr w:rsidR="0056738E" w:rsidRPr="00E0028A" w14:paraId="6351B8DA" w14:textId="77777777" w:rsidTr="007C2AEE">
        <w:trPr>
          <w:trHeight w:val="283"/>
          <w:jc w:val="center"/>
        </w:trPr>
        <w:tc>
          <w:tcPr>
            <w:tcW w:w="6463" w:type="dxa"/>
            <w:vAlign w:val="center"/>
          </w:tcPr>
          <w:p w14:paraId="196973B5" w14:textId="77777777" w:rsidR="0056738E" w:rsidRPr="00041815" w:rsidRDefault="0056738E" w:rsidP="007C2AEE">
            <w:pPr>
              <w:tabs>
                <w:tab w:val="left" w:pos="0"/>
                <w:tab w:val="right" w:pos="7560"/>
                <w:tab w:val="right" w:pos="9000"/>
              </w:tabs>
              <w:jc w:val="both"/>
              <w:rPr>
                <w:rFonts w:ascii="Arial" w:hAnsi="Arial" w:cs="Arial"/>
                <w:sz w:val="18"/>
                <w:szCs w:val="18"/>
                <w:lang w:val="el-GR"/>
              </w:rPr>
            </w:pPr>
            <w:r w:rsidRPr="00041815">
              <w:rPr>
                <w:rFonts w:ascii="Arial" w:hAnsi="Arial" w:cs="Arial"/>
                <w:sz w:val="18"/>
                <w:szCs w:val="18"/>
                <w:lang w:val="el-GR"/>
              </w:rPr>
              <w:t>Ενσώματα ίδια κεφάλαια που αναλογούν στους ιδιοκτήτες της Εταιρίας</w:t>
            </w:r>
            <w:r w:rsidRPr="00041815" w:rsidDel="00DD6FD0">
              <w:rPr>
                <w:rFonts w:ascii="Arial" w:hAnsi="Arial" w:cs="Arial"/>
                <w:sz w:val="18"/>
                <w:szCs w:val="18"/>
                <w:lang w:val="el-GR"/>
              </w:rPr>
              <w:t xml:space="preserve"> </w:t>
            </w:r>
            <w:r w:rsidRPr="00041815">
              <w:rPr>
                <w:rFonts w:ascii="Arial" w:hAnsi="Arial" w:cs="Arial"/>
                <w:sz w:val="18"/>
                <w:szCs w:val="18"/>
                <w:lang w:val="el-GR"/>
              </w:rPr>
              <w:t>(</w:t>
            </w:r>
            <w:r w:rsidRPr="00CD5513">
              <w:rPr>
                <w:rFonts w:ascii="Arial" w:hAnsi="Arial" w:cs="Arial"/>
                <w:i/>
                <w:iCs/>
                <w:sz w:val="18"/>
                <w:szCs w:val="18"/>
                <w:lang w:val="el-GR"/>
              </w:rPr>
              <w:t xml:space="preserve">ως ο πίνακας </w:t>
            </w:r>
            <w:r>
              <w:rPr>
                <w:rFonts w:ascii="Arial" w:hAnsi="Arial" w:cs="Arial"/>
                <w:i/>
                <w:iCs/>
                <w:sz w:val="18"/>
                <w:szCs w:val="18"/>
                <w:lang w:val="el-GR"/>
              </w:rPr>
              <w:t>6</w:t>
            </w:r>
            <w:r w:rsidRPr="00CD5513">
              <w:rPr>
                <w:rFonts w:ascii="Arial" w:hAnsi="Arial" w:cs="Arial"/>
                <w:i/>
                <w:iCs/>
                <w:sz w:val="18"/>
                <w:szCs w:val="18"/>
                <w:lang w:val="el-GR"/>
              </w:rPr>
              <w:t xml:space="preserve">.1 πιο </w:t>
            </w:r>
            <w:r>
              <w:rPr>
                <w:rFonts w:ascii="Arial" w:hAnsi="Arial" w:cs="Arial"/>
                <w:i/>
                <w:iCs/>
                <w:sz w:val="18"/>
                <w:szCs w:val="18"/>
                <w:lang w:val="el-GR"/>
              </w:rPr>
              <w:t>π</w:t>
            </w:r>
            <w:r w:rsidRPr="00CD5513">
              <w:rPr>
                <w:rFonts w:ascii="Arial" w:hAnsi="Arial" w:cs="Arial"/>
                <w:i/>
                <w:iCs/>
                <w:sz w:val="18"/>
                <w:szCs w:val="18"/>
                <w:lang w:val="el-GR"/>
              </w:rPr>
              <w:t>ά</w:t>
            </w:r>
            <w:r>
              <w:rPr>
                <w:rFonts w:ascii="Arial" w:hAnsi="Arial" w:cs="Arial"/>
                <w:i/>
                <w:iCs/>
                <w:sz w:val="18"/>
                <w:szCs w:val="18"/>
                <w:lang w:val="el-GR"/>
              </w:rPr>
              <w:t>ν</w:t>
            </w:r>
            <w:r w:rsidRPr="00CD5513">
              <w:rPr>
                <w:rFonts w:ascii="Arial" w:hAnsi="Arial" w:cs="Arial"/>
                <w:i/>
                <w:iCs/>
                <w:sz w:val="18"/>
                <w:szCs w:val="18"/>
                <w:lang w:val="el-GR"/>
              </w:rPr>
              <w:t>ω</w:t>
            </w:r>
            <w:r w:rsidRPr="00041815">
              <w:rPr>
                <w:rFonts w:ascii="Arial" w:hAnsi="Arial" w:cs="Arial"/>
                <w:sz w:val="18"/>
                <w:szCs w:val="18"/>
                <w:lang w:val="el-GR"/>
              </w:rPr>
              <w:t>) (€000)</w:t>
            </w:r>
          </w:p>
        </w:tc>
        <w:tc>
          <w:tcPr>
            <w:tcW w:w="1417" w:type="dxa"/>
            <w:vAlign w:val="center"/>
          </w:tcPr>
          <w:p w14:paraId="7D8899C7" w14:textId="77777777" w:rsidR="0056738E" w:rsidRPr="00896999" w:rsidRDefault="0056738E" w:rsidP="007C2AEE">
            <w:pPr>
              <w:tabs>
                <w:tab w:val="left" w:pos="0"/>
                <w:tab w:val="right" w:pos="7560"/>
                <w:tab w:val="right" w:pos="9000"/>
              </w:tabs>
              <w:jc w:val="right"/>
              <w:rPr>
                <w:rFonts w:ascii="Arial" w:hAnsi="Arial" w:cs="Arial"/>
                <w:b/>
                <w:sz w:val="18"/>
                <w:szCs w:val="18"/>
                <w:lang w:val="el-GR"/>
              </w:rPr>
            </w:pPr>
            <w:r>
              <w:rPr>
                <w:rFonts w:ascii="Arial" w:hAnsi="Arial" w:cs="Arial"/>
                <w:b/>
                <w:sz w:val="18"/>
                <w:szCs w:val="18"/>
              </w:rPr>
              <w:t>2,462,634</w:t>
            </w:r>
          </w:p>
        </w:tc>
        <w:tc>
          <w:tcPr>
            <w:tcW w:w="1417" w:type="dxa"/>
            <w:vAlign w:val="center"/>
          </w:tcPr>
          <w:p w14:paraId="7C805BE1" w14:textId="77777777" w:rsidR="0056738E" w:rsidRPr="00896999" w:rsidRDefault="0056738E" w:rsidP="007C2AEE">
            <w:pPr>
              <w:tabs>
                <w:tab w:val="left" w:pos="0"/>
                <w:tab w:val="right" w:pos="7560"/>
                <w:tab w:val="right" w:pos="9000"/>
              </w:tabs>
              <w:jc w:val="right"/>
              <w:rPr>
                <w:rFonts w:ascii="Arial" w:hAnsi="Arial" w:cs="Arial"/>
                <w:bCs/>
                <w:sz w:val="18"/>
                <w:szCs w:val="18"/>
                <w:lang w:val="el-GR"/>
              </w:rPr>
            </w:pPr>
            <w:r w:rsidRPr="00DA4D9B">
              <w:rPr>
                <w:rFonts w:ascii="Arial" w:hAnsi="Arial" w:cs="Arial"/>
                <w:bCs/>
                <w:sz w:val="18"/>
                <w:szCs w:val="18"/>
              </w:rPr>
              <w:t>2,067,121</w:t>
            </w:r>
          </w:p>
        </w:tc>
      </w:tr>
      <w:tr w:rsidR="0056738E" w:rsidRPr="00E0028A" w14:paraId="30F0D749" w14:textId="77777777" w:rsidTr="007C2AEE">
        <w:trPr>
          <w:trHeight w:val="283"/>
          <w:jc w:val="center"/>
        </w:trPr>
        <w:tc>
          <w:tcPr>
            <w:tcW w:w="6463" w:type="dxa"/>
            <w:vAlign w:val="center"/>
          </w:tcPr>
          <w:p w14:paraId="512D759C" w14:textId="77777777" w:rsidR="0056738E" w:rsidRPr="00041815" w:rsidRDefault="0056738E" w:rsidP="007C2AEE">
            <w:pPr>
              <w:tabs>
                <w:tab w:val="left" w:pos="0"/>
                <w:tab w:val="right" w:pos="7560"/>
                <w:tab w:val="right" w:pos="9000"/>
              </w:tabs>
              <w:jc w:val="both"/>
              <w:rPr>
                <w:rFonts w:ascii="Arial" w:hAnsi="Arial" w:cs="Arial"/>
                <w:sz w:val="18"/>
                <w:szCs w:val="18"/>
                <w:lang w:val="el-GR"/>
              </w:rPr>
            </w:pPr>
            <w:r>
              <w:rPr>
                <w:rFonts w:ascii="Arial" w:hAnsi="Arial" w:cs="Arial"/>
                <w:bCs/>
                <w:sz w:val="18"/>
                <w:szCs w:val="18"/>
                <w:lang w:val="el-GR"/>
              </w:rPr>
              <w:t>Α</w:t>
            </w:r>
            <w:r w:rsidRPr="00C42B7D">
              <w:rPr>
                <w:rFonts w:ascii="Arial" w:hAnsi="Arial" w:cs="Arial"/>
                <w:bCs/>
                <w:sz w:val="18"/>
                <w:szCs w:val="18"/>
                <w:lang w:val="el-GR"/>
              </w:rPr>
              <w:t xml:space="preserve">ριθμός μετοχών που ήταν εκδομένες κατά </w:t>
            </w:r>
            <w:r>
              <w:rPr>
                <w:rFonts w:ascii="Arial" w:hAnsi="Arial" w:cs="Arial"/>
                <w:bCs/>
                <w:sz w:val="18"/>
                <w:szCs w:val="18"/>
                <w:lang w:val="el-GR"/>
              </w:rPr>
              <w:t>το τέλος</w:t>
            </w:r>
            <w:r w:rsidRPr="00C42B7D">
              <w:rPr>
                <w:rFonts w:ascii="Arial" w:hAnsi="Arial" w:cs="Arial"/>
                <w:bCs/>
                <w:sz w:val="18"/>
                <w:szCs w:val="18"/>
                <w:lang w:val="el-GR"/>
              </w:rPr>
              <w:t xml:space="preserve"> της περιόδου, εξαιρουμένων των ιδίων μετοχών (</w:t>
            </w:r>
            <w:r>
              <w:rPr>
                <w:rFonts w:ascii="Arial" w:hAnsi="Arial" w:cs="Arial"/>
                <w:bCs/>
                <w:sz w:val="18"/>
                <w:szCs w:val="18"/>
                <w:lang w:val="el-GR"/>
              </w:rPr>
              <w:t>χιλ.</w:t>
            </w:r>
            <w:r w:rsidRPr="00C42B7D">
              <w:rPr>
                <w:rFonts w:ascii="Arial" w:hAnsi="Arial" w:cs="Arial"/>
                <w:bCs/>
                <w:sz w:val="18"/>
                <w:szCs w:val="18"/>
                <w:lang w:val="el-GR"/>
              </w:rPr>
              <w:t>)</w:t>
            </w:r>
          </w:p>
        </w:tc>
        <w:tc>
          <w:tcPr>
            <w:tcW w:w="1417" w:type="dxa"/>
            <w:tcBorders>
              <w:bottom w:val="single" w:sz="4" w:space="0" w:color="D9D9D9" w:themeColor="background1" w:themeShade="D9"/>
            </w:tcBorders>
            <w:vAlign w:val="center"/>
          </w:tcPr>
          <w:p w14:paraId="5805C985" w14:textId="77777777" w:rsidR="0056738E" w:rsidRPr="00896999" w:rsidRDefault="0056738E" w:rsidP="007C2AEE">
            <w:pPr>
              <w:tabs>
                <w:tab w:val="left" w:pos="0"/>
                <w:tab w:val="right" w:pos="7560"/>
                <w:tab w:val="right" w:pos="9000"/>
              </w:tabs>
              <w:jc w:val="right"/>
              <w:rPr>
                <w:rFonts w:ascii="Arial" w:hAnsi="Arial" w:cs="Arial"/>
                <w:b/>
                <w:sz w:val="18"/>
                <w:szCs w:val="18"/>
                <w:lang w:val="el-GR"/>
              </w:rPr>
            </w:pPr>
            <w:r>
              <w:rPr>
                <w:rFonts w:ascii="Arial" w:hAnsi="Arial" w:cs="Arial"/>
                <w:b/>
                <w:sz w:val="18"/>
                <w:szCs w:val="18"/>
                <w:lang w:val="en-GB"/>
              </w:rPr>
              <w:t>442,571</w:t>
            </w:r>
          </w:p>
        </w:tc>
        <w:tc>
          <w:tcPr>
            <w:tcW w:w="1417" w:type="dxa"/>
            <w:tcBorders>
              <w:bottom w:val="single" w:sz="4" w:space="0" w:color="D9D9D9" w:themeColor="background1" w:themeShade="D9"/>
            </w:tcBorders>
            <w:vAlign w:val="center"/>
          </w:tcPr>
          <w:p w14:paraId="7110EA13" w14:textId="77777777" w:rsidR="0056738E" w:rsidRPr="00896999" w:rsidRDefault="0056738E" w:rsidP="007C2AEE">
            <w:pPr>
              <w:tabs>
                <w:tab w:val="left" w:pos="0"/>
                <w:tab w:val="right" w:pos="7560"/>
                <w:tab w:val="right" w:pos="9000"/>
              </w:tabs>
              <w:jc w:val="right"/>
              <w:rPr>
                <w:rFonts w:ascii="Arial" w:hAnsi="Arial" w:cs="Arial"/>
                <w:bCs/>
                <w:sz w:val="18"/>
                <w:szCs w:val="18"/>
                <w:lang w:val="el-GR"/>
              </w:rPr>
            </w:pPr>
            <w:r>
              <w:rPr>
                <w:rFonts w:ascii="Arial" w:hAnsi="Arial" w:cs="Arial"/>
                <w:bCs/>
                <w:sz w:val="18"/>
                <w:szCs w:val="18"/>
              </w:rPr>
              <w:t>446,058</w:t>
            </w:r>
          </w:p>
        </w:tc>
      </w:tr>
      <w:tr w:rsidR="0056738E" w:rsidRPr="00E0028A" w14:paraId="23F424ED" w14:textId="77777777" w:rsidTr="007C2AEE">
        <w:trPr>
          <w:trHeight w:val="283"/>
          <w:jc w:val="center"/>
        </w:trPr>
        <w:tc>
          <w:tcPr>
            <w:tcW w:w="6463" w:type="dxa"/>
            <w:vAlign w:val="center"/>
          </w:tcPr>
          <w:p w14:paraId="227FD314" w14:textId="77777777" w:rsidR="0056738E" w:rsidRPr="00041815" w:rsidRDefault="0056738E" w:rsidP="007C2AEE">
            <w:pPr>
              <w:tabs>
                <w:tab w:val="left" w:pos="0"/>
                <w:tab w:val="right" w:pos="7560"/>
                <w:tab w:val="right" w:pos="9000"/>
              </w:tabs>
              <w:jc w:val="both"/>
              <w:rPr>
                <w:rFonts w:ascii="Arial" w:hAnsi="Arial" w:cs="Arial"/>
                <w:sz w:val="18"/>
                <w:szCs w:val="18"/>
                <w:lang w:val="el-GR"/>
              </w:rPr>
            </w:pPr>
            <w:r w:rsidRPr="00041815">
              <w:rPr>
                <w:rFonts w:ascii="Arial" w:hAnsi="Arial" w:cs="Arial"/>
                <w:sz w:val="18"/>
                <w:szCs w:val="18"/>
                <w:lang w:val="el-GR"/>
              </w:rPr>
              <w:t>Ενσώματα ίδια κεφάλαια ανά μετοχή (€)</w:t>
            </w:r>
          </w:p>
        </w:tc>
        <w:tc>
          <w:tcPr>
            <w:tcW w:w="1417" w:type="dxa"/>
            <w:vAlign w:val="center"/>
          </w:tcPr>
          <w:p w14:paraId="1CD16BA7" w14:textId="77777777" w:rsidR="0056738E" w:rsidRPr="00896999" w:rsidRDefault="0056738E" w:rsidP="007C2AEE">
            <w:pPr>
              <w:tabs>
                <w:tab w:val="left" w:pos="0"/>
                <w:tab w:val="right" w:pos="7560"/>
                <w:tab w:val="right" w:pos="9000"/>
              </w:tabs>
              <w:jc w:val="right"/>
              <w:rPr>
                <w:rFonts w:ascii="Arial" w:hAnsi="Arial" w:cs="Arial"/>
                <w:b/>
                <w:sz w:val="18"/>
                <w:szCs w:val="18"/>
                <w:lang w:val="el-GR"/>
              </w:rPr>
            </w:pPr>
            <w:r>
              <w:rPr>
                <w:rFonts w:ascii="Arial" w:hAnsi="Arial" w:cs="Arial"/>
                <w:b/>
                <w:sz w:val="18"/>
                <w:szCs w:val="18"/>
                <w:lang w:val="en-GB"/>
              </w:rPr>
              <w:t>5.56</w:t>
            </w:r>
          </w:p>
        </w:tc>
        <w:tc>
          <w:tcPr>
            <w:tcW w:w="1417" w:type="dxa"/>
            <w:vAlign w:val="center"/>
          </w:tcPr>
          <w:p w14:paraId="291BA0CA" w14:textId="77777777" w:rsidR="0056738E" w:rsidRPr="00896999" w:rsidRDefault="0056738E" w:rsidP="007C2AEE">
            <w:pPr>
              <w:tabs>
                <w:tab w:val="left" w:pos="0"/>
                <w:tab w:val="right" w:pos="7560"/>
                <w:tab w:val="right" w:pos="9000"/>
              </w:tabs>
              <w:jc w:val="right"/>
              <w:rPr>
                <w:rFonts w:ascii="Arial" w:hAnsi="Arial" w:cs="Arial"/>
                <w:bCs/>
                <w:sz w:val="18"/>
                <w:szCs w:val="18"/>
                <w:lang w:val="el-GR"/>
              </w:rPr>
            </w:pPr>
            <w:r w:rsidRPr="00DA4D9B">
              <w:rPr>
                <w:rFonts w:ascii="Arial" w:hAnsi="Arial" w:cs="Arial"/>
                <w:bCs/>
                <w:sz w:val="18"/>
                <w:szCs w:val="18"/>
              </w:rPr>
              <w:t>4.63</w:t>
            </w:r>
          </w:p>
        </w:tc>
      </w:tr>
      <w:tr w:rsidR="0056738E" w:rsidRPr="00E0028A" w14:paraId="054490CB" w14:textId="77777777" w:rsidTr="007C2AEE">
        <w:trPr>
          <w:trHeight w:val="283"/>
          <w:jc w:val="center"/>
        </w:trPr>
        <w:tc>
          <w:tcPr>
            <w:tcW w:w="6463" w:type="dxa"/>
            <w:tcBorders>
              <w:top w:val="single" w:sz="4" w:space="0" w:color="D9D9D9" w:themeColor="background1" w:themeShade="D9"/>
              <w:left w:val="nil"/>
              <w:bottom w:val="nil"/>
              <w:right w:val="nil"/>
            </w:tcBorders>
            <w:vAlign w:val="center"/>
          </w:tcPr>
          <w:p w14:paraId="68394CC5" w14:textId="77777777" w:rsidR="0056738E" w:rsidRPr="00896999" w:rsidRDefault="0056738E" w:rsidP="007C2AEE">
            <w:pPr>
              <w:tabs>
                <w:tab w:val="left" w:pos="0"/>
                <w:tab w:val="right" w:pos="7560"/>
                <w:tab w:val="right" w:pos="9000"/>
              </w:tabs>
              <w:jc w:val="both"/>
              <w:rPr>
                <w:rFonts w:ascii="Arial" w:hAnsi="Arial" w:cs="Arial"/>
                <w:b/>
                <w:sz w:val="18"/>
                <w:szCs w:val="18"/>
                <w:lang w:val="el-GR"/>
              </w:rPr>
            </w:pPr>
          </w:p>
        </w:tc>
        <w:tc>
          <w:tcPr>
            <w:tcW w:w="1417" w:type="dxa"/>
            <w:tcBorders>
              <w:top w:val="single" w:sz="4" w:space="0" w:color="D9D9D9" w:themeColor="background1" w:themeShade="D9"/>
              <w:left w:val="nil"/>
              <w:bottom w:val="nil"/>
              <w:right w:val="nil"/>
            </w:tcBorders>
            <w:vAlign w:val="center"/>
          </w:tcPr>
          <w:p w14:paraId="79431600" w14:textId="77777777" w:rsidR="0056738E" w:rsidRPr="00896999" w:rsidRDefault="0056738E" w:rsidP="007C2AEE">
            <w:pPr>
              <w:tabs>
                <w:tab w:val="left" w:pos="0"/>
                <w:tab w:val="right" w:pos="7560"/>
                <w:tab w:val="right" w:pos="9000"/>
              </w:tabs>
              <w:jc w:val="right"/>
              <w:rPr>
                <w:rFonts w:ascii="Verdana" w:hAnsi="Verdana" w:cs="Arial"/>
                <w:bCs/>
                <w:sz w:val="18"/>
                <w:szCs w:val="18"/>
                <w:lang w:val="el-GR"/>
              </w:rPr>
            </w:pPr>
          </w:p>
        </w:tc>
        <w:tc>
          <w:tcPr>
            <w:tcW w:w="1417" w:type="dxa"/>
            <w:tcBorders>
              <w:top w:val="single" w:sz="4" w:space="0" w:color="D9D9D9" w:themeColor="background1" w:themeShade="D9"/>
              <w:left w:val="nil"/>
              <w:bottom w:val="nil"/>
              <w:right w:val="nil"/>
            </w:tcBorders>
            <w:vAlign w:val="center"/>
          </w:tcPr>
          <w:p w14:paraId="1DB0088B" w14:textId="77777777" w:rsidR="0056738E" w:rsidRPr="00896999" w:rsidRDefault="0056738E" w:rsidP="007C2AEE">
            <w:pPr>
              <w:tabs>
                <w:tab w:val="left" w:pos="0"/>
                <w:tab w:val="right" w:pos="7560"/>
                <w:tab w:val="right" w:pos="9000"/>
              </w:tabs>
              <w:jc w:val="right"/>
              <w:rPr>
                <w:rFonts w:ascii="Arial" w:hAnsi="Arial" w:cs="Arial"/>
                <w:bCs/>
                <w:sz w:val="18"/>
                <w:szCs w:val="18"/>
                <w:lang w:val="el-GR"/>
              </w:rPr>
            </w:pPr>
          </w:p>
        </w:tc>
      </w:tr>
    </w:tbl>
    <w:p w14:paraId="32737C7C" w14:textId="77777777" w:rsidR="0056738E" w:rsidRPr="00A03828" w:rsidRDefault="0056738E" w:rsidP="0056738E">
      <w:pPr>
        <w:numPr>
          <w:ilvl w:val="0"/>
          <w:numId w:val="21"/>
        </w:numPr>
        <w:spacing w:after="0" w:line="360" w:lineRule="auto"/>
        <w:ind w:left="851" w:hanging="851"/>
        <w:rPr>
          <w:rFonts w:ascii="Arial" w:eastAsia="Times New Roman" w:hAnsi="Arial" w:cs="Arial"/>
          <w:b/>
          <w:color w:val="FF9900"/>
          <w:lang w:val="el-GR"/>
        </w:rPr>
      </w:pPr>
      <w:r w:rsidRPr="00A03828">
        <w:rPr>
          <w:rFonts w:ascii="Arial" w:eastAsia="Times New Roman" w:hAnsi="Arial" w:cs="Arial"/>
          <w:b/>
          <w:color w:val="FF9900"/>
          <w:lang w:val="el-GR"/>
        </w:rPr>
        <w:t xml:space="preserve">Δείκτης </w:t>
      </w:r>
      <w:proofErr w:type="spellStart"/>
      <w:r w:rsidRPr="00A03828">
        <w:rPr>
          <w:rFonts w:ascii="Arial" w:eastAsia="Times New Roman" w:hAnsi="Arial" w:cs="Arial"/>
          <w:b/>
          <w:color w:val="FF9900"/>
          <w:lang w:val="el-GR"/>
        </w:rPr>
        <w:t>μόχλευσης</w:t>
      </w:r>
      <w:proofErr w:type="spellEnd"/>
    </w:p>
    <w:tbl>
      <w:tblPr>
        <w:tblStyle w:val="TableGrid12"/>
        <w:tblW w:w="9502"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63"/>
        <w:gridCol w:w="1417"/>
        <w:gridCol w:w="1422"/>
      </w:tblGrid>
      <w:tr w:rsidR="0056738E" w:rsidRPr="0048064D" w14:paraId="785A2237" w14:textId="77777777" w:rsidTr="007C2AEE">
        <w:trPr>
          <w:trHeight w:val="354"/>
        </w:trPr>
        <w:tc>
          <w:tcPr>
            <w:tcW w:w="6663" w:type="dxa"/>
            <w:vAlign w:val="center"/>
          </w:tcPr>
          <w:p w14:paraId="137B787E" w14:textId="77777777" w:rsidR="0056738E" w:rsidRPr="0048064D" w:rsidRDefault="0056738E" w:rsidP="007C2AEE">
            <w:pPr>
              <w:tabs>
                <w:tab w:val="left" w:pos="0"/>
              </w:tabs>
              <w:rPr>
                <w:rFonts w:ascii="Verdana" w:hAnsi="Verdana" w:cs="ArialMT"/>
                <w:b/>
                <w:sz w:val="18"/>
                <w:szCs w:val="18"/>
                <w:lang w:val="el-GR"/>
              </w:rPr>
            </w:pPr>
          </w:p>
        </w:tc>
        <w:tc>
          <w:tcPr>
            <w:tcW w:w="1417" w:type="dxa"/>
            <w:shd w:val="clear" w:color="auto" w:fill="auto"/>
            <w:vAlign w:val="center"/>
          </w:tcPr>
          <w:p w14:paraId="02CA2C47" w14:textId="77777777" w:rsidR="0056738E" w:rsidRPr="00816B10" w:rsidRDefault="0056738E" w:rsidP="007C2AEE">
            <w:pPr>
              <w:ind w:left="-101" w:right="-115"/>
              <w:jc w:val="center"/>
              <w:rPr>
                <w:rFonts w:ascii="Arial" w:hAnsi="Arial" w:cs="Arial"/>
                <w:b/>
                <w:sz w:val="18"/>
                <w:szCs w:val="18"/>
                <w:lang w:val="el-GR"/>
              </w:rPr>
            </w:pPr>
            <w:r w:rsidRPr="00331BC0">
              <w:rPr>
                <w:rFonts w:ascii="Arial" w:hAnsi="Arial" w:cs="Arial"/>
                <w:b/>
                <w:sz w:val="18"/>
                <w:szCs w:val="18"/>
                <w:lang w:val="el-GR"/>
              </w:rPr>
              <w:t>30 Σεπτεμβρίου</w:t>
            </w:r>
            <w:r w:rsidRPr="00816B10">
              <w:rPr>
                <w:rFonts w:ascii="Arial" w:hAnsi="Arial" w:cs="Arial"/>
                <w:b/>
                <w:sz w:val="18"/>
                <w:szCs w:val="18"/>
                <w:lang w:val="el-GR"/>
              </w:rPr>
              <w:t xml:space="preserve"> 2024</w:t>
            </w:r>
          </w:p>
        </w:tc>
        <w:tc>
          <w:tcPr>
            <w:tcW w:w="1422" w:type="dxa"/>
            <w:vAlign w:val="center"/>
          </w:tcPr>
          <w:p w14:paraId="2111639B" w14:textId="77777777" w:rsidR="0056738E" w:rsidRPr="00816B10" w:rsidRDefault="0056738E" w:rsidP="007C2AEE">
            <w:pPr>
              <w:ind w:left="-173" w:right="-108"/>
              <w:jc w:val="center"/>
              <w:rPr>
                <w:rFonts w:ascii="Arial" w:hAnsi="Arial" w:cs="Arial"/>
                <w:bCs/>
                <w:sz w:val="18"/>
                <w:szCs w:val="18"/>
                <w:lang w:val="el-GR"/>
              </w:rPr>
            </w:pPr>
            <w:r w:rsidRPr="00816B10">
              <w:rPr>
                <w:rFonts w:ascii="Arial" w:hAnsi="Arial" w:cs="Arial"/>
                <w:bCs/>
                <w:sz w:val="18"/>
                <w:szCs w:val="18"/>
                <w:lang w:val="el-GR"/>
              </w:rPr>
              <w:t>31 Δεκεμβρίου</w:t>
            </w:r>
          </w:p>
          <w:p w14:paraId="3326F38C" w14:textId="77777777" w:rsidR="0056738E" w:rsidRPr="00816B10" w:rsidRDefault="0056738E" w:rsidP="007C2AEE">
            <w:pPr>
              <w:ind w:left="-173" w:right="-108"/>
              <w:jc w:val="center"/>
              <w:rPr>
                <w:rFonts w:ascii="Arial" w:hAnsi="Arial" w:cs="Arial"/>
                <w:b/>
                <w:sz w:val="18"/>
                <w:szCs w:val="18"/>
                <w:lang w:val="el-GR"/>
              </w:rPr>
            </w:pPr>
            <w:r w:rsidRPr="00816B10">
              <w:rPr>
                <w:rFonts w:ascii="Arial" w:hAnsi="Arial" w:cs="Arial"/>
                <w:bCs/>
                <w:sz w:val="18"/>
                <w:szCs w:val="18"/>
                <w:lang w:val="el-GR"/>
              </w:rPr>
              <w:t>2023</w:t>
            </w:r>
          </w:p>
        </w:tc>
      </w:tr>
      <w:tr w:rsidR="0056738E" w:rsidRPr="0048064D" w14:paraId="69D98BD3" w14:textId="77777777" w:rsidTr="007C2AEE">
        <w:trPr>
          <w:trHeight w:val="306"/>
        </w:trPr>
        <w:tc>
          <w:tcPr>
            <w:tcW w:w="6663" w:type="dxa"/>
            <w:vAlign w:val="center"/>
          </w:tcPr>
          <w:p w14:paraId="34DF8873" w14:textId="77777777" w:rsidR="0056738E" w:rsidRPr="00816B10" w:rsidRDefault="0056738E" w:rsidP="007C2AEE">
            <w:pPr>
              <w:tabs>
                <w:tab w:val="left" w:pos="0"/>
                <w:tab w:val="right" w:pos="7560"/>
                <w:tab w:val="right" w:pos="9000"/>
              </w:tabs>
              <w:jc w:val="both"/>
              <w:rPr>
                <w:rFonts w:ascii="Arial" w:hAnsi="Arial" w:cs="Arial"/>
                <w:sz w:val="18"/>
                <w:szCs w:val="18"/>
                <w:lang w:val="el-GR"/>
              </w:rPr>
            </w:pPr>
            <w:r w:rsidRPr="00816B10">
              <w:rPr>
                <w:rFonts w:ascii="Arial" w:hAnsi="Arial" w:cs="Arial"/>
                <w:sz w:val="18"/>
                <w:szCs w:val="18"/>
                <w:lang w:val="el-GR"/>
              </w:rPr>
              <w:t>Συνολικά ενσώματα ίδια κεφάλαια (περιλαμβανομένων των Λοιπών συμμετοχικών τίτλων) (</w:t>
            </w:r>
            <w:r w:rsidRPr="00D17E65">
              <w:rPr>
                <w:rFonts w:ascii="Arial" w:hAnsi="Arial" w:cs="Arial"/>
                <w:i/>
                <w:iCs/>
                <w:sz w:val="18"/>
                <w:szCs w:val="18"/>
                <w:lang w:val="el-GR"/>
              </w:rPr>
              <w:t>ως ο πίνακας 9.1 πιο κάτω</w:t>
            </w:r>
            <w:r w:rsidRPr="00816B10">
              <w:rPr>
                <w:rFonts w:ascii="Arial" w:hAnsi="Arial" w:cs="Arial"/>
                <w:sz w:val="18"/>
                <w:szCs w:val="18"/>
                <w:lang w:val="el-GR"/>
              </w:rPr>
              <w:t>) (€000)</w:t>
            </w:r>
          </w:p>
        </w:tc>
        <w:tc>
          <w:tcPr>
            <w:tcW w:w="1417" w:type="dxa"/>
            <w:shd w:val="clear" w:color="auto" w:fill="auto"/>
            <w:vAlign w:val="center"/>
          </w:tcPr>
          <w:p w14:paraId="7E826FFA" w14:textId="77777777" w:rsidR="0056738E" w:rsidRPr="0048064D" w:rsidRDefault="0056738E" w:rsidP="007C2AEE">
            <w:pPr>
              <w:jc w:val="right"/>
              <w:rPr>
                <w:rFonts w:ascii="Verdana" w:eastAsia="Batang" w:hAnsi="Verdana" w:cs="Arial"/>
                <w:b/>
                <w:sz w:val="18"/>
                <w:szCs w:val="18"/>
                <w:lang w:val="el-GR"/>
              </w:rPr>
            </w:pPr>
            <w:r>
              <w:rPr>
                <w:rFonts w:ascii="Arial" w:hAnsi="Arial" w:cs="Arial"/>
                <w:b/>
                <w:sz w:val="18"/>
                <w:szCs w:val="18"/>
              </w:rPr>
              <w:t>2,682,634</w:t>
            </w:r>
          </w:p>
        </w:tc>
        <w:tc>
          <w:tcPr>
            <w:tcW w:w="1422" w:type="dxa"/>
            <w:shd w:val="clear" w:color="auto" w:fill="auto"/>
            <w:vAlign w:val="center"/>
          </w:tcPr>
          <w:p w14:paraId="6D0EBF9B" w14:textId="77777777" w:rsidR="0056738E" w:rsidRPr="0048064D" w:rsidRDefault="0056738E" w:rsidP="007C2AEE">
            <w:pPr>
              <w:jc w:val="right"/>
              <w:rPr>
                <w:rFonts w:ascii="Arial" w:eastAsia="Batang" w:hAnsi="Arial" w:cs="Arial"/>
                <w:bCs/>
                <w:sz w:val="18"/>
                <w:szCs w:val="18"/>
              </w:rPr>
            </w:pPr>
            <w:r w:rsidRPr="002D1FED">
              <w:rPr>
                <w:rFonts w:ascii="Arial" w:hAnsi="Arial" w:cs="Arial"/>
                <w:bCs/>
                <w:sz w:val="18"/>
                <w:szCs w:val="18"/>
              </w:rPr>
              <w:t>2,418,445</w:t>
            </w:r>
          </w:p>
        </w:tc>
      </w:tr>
      <w:tr w:rsidR="0056738E" w:rsidRPr="0048064D" w14:paraId="3A4360C4" w14:textId="77777777" w:rsidTr="007C2AEE">
        <w:trPr>
          <w:trHeight w:val="306"/>
        </w:trPr>
        <w:tc>
          <w:tcPr>
            <w:tcW w:w="6663" w:type="dxa"/>
            <w:vAlign w:val="center"/>
          </w:tcPr>
          <w:p w14:paraId="59D61ADB" w14:textId="77777777" w:rsidR="0056738E" w:rsidRPr="00816B10" w:rsidRDefault="0056738E" w:rsidP="007C2AEE">
            <w:pPr>
              <w:tabs>
                <w:tab w:val="left" w:pos="0"/>
                <w:tab w:val="right" w:pos="7560"/>
                <w:tab w:val="right" w:pos="9000"/>
              </w:tabs>
              <w:jc w:val="both"/>
              <w:rPr>
                <w:rFonts w:ascii="Arial" w:hAnsi="Arial" w:cs="Arial"/>
                <w:sz w:val="18"/>
                <w:szCs w:val="18"/>
                <w:lang w:val="el-GR"/>
              </w:rPr>
            </w:pPr>
            <w:r w:rsidRPr="00816B10">
              <w:rPr>
                <w:rFonts w:ascii="Arial" w:hAnsi="Arial" w:cs="Arial"/>
                <w:sz w:val="18"/>
                <w:szCs w:val="18"/>
                <w:lang w:val="el-GR"/>
              </w:rPr>
              <w:t xml:space="preserve">Συνολικά περιουσιακά στοιχεία στην απαιτούμενη από τη νομοθεσία βάση (€000) </w:t>
            </w:r>
          </w:p>
        </w:tc>
        <w:tc>
          <w:tcPr>
            <w:tcW w:w="1417" w:type="dxa"/>
            <w:shd w:val="clear" w:color="auto" w:fill="auto"/>
            <w:vAlign w:val="center"/>
          </w:tcPr>
          <w:p w14:paraId="05D13168" w14:textId="77777777" w:rsidR="0056738E" w:rsidRPr="00896999" w:rsidRDefault="0056738E" w:rsidP="007C2AEE">
            <w:pPr>
              <w:jc w:val="right"/>
              <w:rPr>
                <w:rFonts w:ascii="Verdana" w:eastAsia="Batang" w:hAnsi="Verdana" w:cs="Arial"/>
                <w:b/>
                <w:sz w:val="18"/>
                <w:szCs w:val="18"/>
                <w:lang w:val="el-GR"/>
              </w:rPr>
            </w:pPr>
            <w:r>
              <w:rPr>
                <w:rFonts w:ascii="Arial" w:hAnsi="Arial" w:cs="Arial"/>
                <w:b/>
                <w:bCs/>
                <w:sz w:val="18"/>
                <w:szCs w:val="18"/>
              </w:rPr>
              <w:t>25,863,097</w:t>
            </w:r>
          </w:p>
        </w:tc>
        <w:tc>
          <w:tcPr>
            <w:tcW w:w="1422" w:type="dxa"/>
            <w:shd w:val="clear" w:color="auto" w:fill="auto"/>
            <w:vAlign w:val="center"/>
          </w:tcPr>
          <w:p w14:paraId="45612132" w14:textId="77777777" w:rsidR="0056738E" w:rsidRPr="0048064D" w:rsidRDefault="0056738E" w:rsidP="007C2AEE">
            <w:pPr>
              <w:jc w:val="right"/>
              <w:rPr>
                <w:rFonts w:ascii="Arial" w:eastAsia="Batang" w:hAnsi="Arial" w:cs="Arial"/>
                <w:bCs/>
                <w:sz w:val="18"/>
                <w:szCs w:val="18"/>
              </w:rPr>
            </w:pPr>
            <w:r w:rsidRPr="002D1FED">
              <w:rPr>
                <w:rFonts w:ascii="Arial" w:hAnsi="Arial" w:cs="Arial"/>
                <w:bCs/>
                <w:sz w:val="18"/>
                <w:szCs w:val="18"/>
              </w:rPr>
              <w:t>26,628,577</w:t>
            </w:r>
          </w:p>
        </w:tc>
      </w:tr>
      <w:tr w:rsidR="0056738E" w:rsidRPr="0048064D" w14:paraId="11C43073" w14:textId="77777777" w:rsidTr="007C2AEE">
        <w:trPr>
          <w:trHeight w:val="306"/>
        </w:trPr>
        <w:tc>
          <w:tcPr>
            <w:tcW w:w="6663" w:type="dxa"/>
            <w:vAlign w:val="center"/>
          </w:tcPr>
          <w:p w14:paraId="45E424BB" w14:textId="77777777" w:rsidR="0056738E" w:rsidRPr="00816B10" w:rsidRDefault="0056738E" w:rsidP="007C2AEE">
            <w:pPr>
              <w:tabs>
                <w:tab w:val="left" w:pos="0"/>
                <w:tab w:val="right" w:pos="7560"/>
                <w:tab w:val="right" w:pos="9000"/>
              </w:tabs>
              <w:jc w:val="both"/>
              <w:rPr>
                <w:rFonts w:ascii="Arial" w:hAnsi="Arial" w:cs="Arial"/>
                <w:sz w:val="18"/>
                <w:szCs w:val="18"/>
                <w:lang w:val="el-GR"/>
              </w:rPr>
            </w:pPr>
            <w:r w:rsidRPr="00816B10">
              <w:rPr>
                <w:rFonts w:ascii="Arial" w:hAnsi="Arial" w:cs="Arial"/>
                <w:sz w:val="18"/>
                <w:szCs w:val="18"/>
                <w:lang w:val="el-GR"/>
              </w:rPr>
              <w:t xml:space="preserve">Δείκτης </w:t>
            </w:r>
            <w:proofErr w:type="spellStart"/>
            <w:r w:rsidRPr="00816B10">
              <w:rPr>
                <w:rFonts w:ascii="Arial" w:hAnsi="Arial" w:cs="Arial"/>
                <w:sz w:val="18"/>
                <w:szCs w:val="18"/>
                <w:lang w:val="el-GR"/>
              </w:rPr>
              <w:t>μόχλευσης</w:t>
            </w:r>
            <w:proofErr w:type="spellEnd"/>
            <w:r w:rsidRPr="00816B10">
              <w:rPr>
                <w:rFonts w:ascii="Arial" w:hAnsi="Arial" w:cs="Arial"/>
                <w:sz w:val="18"/>
                <w:szCs w:val="18"/>
                <w:lang w:val="el-GR"/>
              </w:rPr>
              <w:t xml:space="preserve">  </w:t>
            </w:r>
          </w:p>
        </w:tc>
        <w:tc>
          <w:tcPr>
            <w:tcW w:w="1417" w:type="dxa"/>
            <w:shd w:val="clear" w:color="auto" w:fill="auto"/>
            <w:vAlign w:val="center"/>
          </w:tcPr>
          <w:p w14:paraId="5C61F87E" w14:textId="77777777" w:rsidR="0056738E" w:rsidRPr="0048064D" w:rsidRDefault="0056738E" w:rsidP="007C2AEE">
            <w:pPr>
              <w:jc w:val="right"/>
              <w:rPr>
                <w:rFonts w:ascii="Verdana" w:eastAsia="Batang" w:hAnsi="Verdana" w:cs="Arial"/>
                <w:b/>
                <w:sz w:val="18"/>
                <w:szCs w:val="18"/>
              </w:rPr>
            </w:pPr>
            <w:r>
              <w:rPr>
                <w:rFonts w:ascii="Arial" w:hAnsi="Arial" w:cs="Arial"/>
                <w:b/>
                <w:bCs/>
                <w:sz w:val="18"/>
                <w:szCs w:val="18"/>
              </w:rPr>
              <w:t>10.4%</w:t>
            </w:r>
          </w:p>
        </w:tc>
        <w:tc>
          <w:tcPr>
            <w:tcW w:w="1422" w:type="dxa"/>
            <w:shd w:val="clear" w:color="auto" w:fill="auto"/>
            <w:vAlign w:val="center"/>
          </w:tcPr>
          <w:p w14:paraId="3586DC74" w14:textId="77777777" w:rsidR="0056738E" w:rsidRPr="0048064D" w:rsidRDefault="0056738E" w:rsidP="007C2AEE">
            <w:pPr>
              <w:jc w:val="right"/>
              <w:rPr>
                <w:rFonts w:ascii="Arial" w:eastAsia="Batang" w:hAnsi="Arial" w:cs="Arial"/>
                <w:bCs/>
                <w:sz w:val="18"/>
                <w:szCs w:val="18"/>
              </w:rPr>
            </w:pPr>
            <w:r w:rsidRPr="002D1FED">
              <w:rPr>
                <w:rFonts w:ascii="Arial" w:hAnsi="Arial" w:cs="Arial"/>
                <w:bCs/>
                <w:sz w:val="18"/>
                <w:szCs w:val="18"/>
              </w:rPr>
              <w:t>9.1%</w:t>
            </w:r>
          </w:p>
        </w:tc>
      </w:tr>
    </w:tbl>
    <w:p w14:paraId="2E836B3E" w14:textId="77777777" w:rsidR="0056738E" w:rsidRDefault="0056738E" w:rsidP="0056738E">
      <w:pPr>
        <w:rPr>
          <w:rFonts w:ascii="Verdana" w:eastAsia="Batang" w:hAnsi="Verdana" w:cs="Times New Roman"/>
          <w:bCs/>
          <w:sz w:val="18"/>
          <w:szCs w:val="18"/>
          <w:lang w:val="el-GR" w:eastAsia="en-US"/>
        </w:rPr>
      </w:pPr>
      <w:r>
        <w:rPr>
          <w:rFonts w:ascii="Verdana" w:eastAsia="Batang" w:hAnsi="Verdana" w:cs="Times New Roman"/>
          <w:bCs/>
          <w:sz w:val="18"/>
          <w:szCs w:val="18"/>
          <w:lang w:val="el-GR" w:eastAsia="en-US"/>
        </w:rPr>
        <w:br w:type="page"/>
      </w:r>
    </w:p>
    <w:p w14:paraId="02B5FD99" w14:textId="77777777" w:rsidR="0056738E" w:rsidRDefault="0056738E" w:rsidP="0056738E">
      <w:pPr>
        <w:spacing w:after="0" w:line="360" w:lineRule="auto"/>
        <w:ind w:left="851" w:hanging="851"/>
        <w:rPr>
          <w:rFonts w:ascii="Arial" w:hAnsi="Arial" w:cs="Arial"/>
          <w:b/>
          <w:color w:val="FF9900"/>
          <w:lang w:val="el-GR"/>
        </w:rPr>
      </w:pPr>
      <w:r>
        <w:rPr>
          <w:rFonts w:ascii="Arial" w:hAnsi="Arial" w:cs="Arial"/>
          <w:b/>
          <w:color w:val="FF9900"/>
          <w:lang w:val="el-GR"/>
        </w:rPr>
        <w:lastRenderedPageBreak/>
        <w:t>Η</w:t>
      </w:r>
      <w:r w:rsidRPr="009B5694">
        <w:rPr>
          <w:rFonts w:ascii="Arial" w:hAnsi="Arial" w:cs="Arial"/>
          <w:b/>
          <w:color w:val="FF9900"/>
          <w:lang w:val="el-GR"/>
        </w:rPr>
        <w:t xml:space="preserve">. </w:t>
      </w:r>
      <w:r w:rsidRPr="009B5694">
        <w:rPr>
          <w:rFonts w:ascii="Arial" w:hAnsi="Arial" w:cs="Arial"/>
          <w:b/>
          <w:color w:val="FF9900"/>
          <w:lang w:val="el-GR"/>
        </w:rPr>
        <w:tab/>
      </w:r>
      <w:r w:rsidRPr="009D3A1F">
        <w:rPr>
          <w:rFonts w:ascii="Arial" w:hAnsi="Arial" w:cs="Arial"/>
          <w:b/>
          <w:color w:val="FF9900"/>
          <w:lang w:val="el-GR"/>
        </w:rPr>
        <w:t>Εναλλακτικ</w:t>
      </w:r>
      <w:r>
        <w:rPr>
          <w:rFonts w:ascii="Arial" w:hAnsi="Arial" w:cs="Arial"/>
          <w:b/>
          <w:color w:val="FF9900"/>
          <w:lang w:val="el-GR"/>
        </w:rPr>
        <w:t>ά</w:t>
      </w:r>
      <w:r w:rsidRPr="009D3A1F">
        <w:rPr>
          <w:rFonts w:ascii="Arial" w:hAnsi="Arial" w:cs="Arial"/>
          <w:b/>
          <w:color w:val="FF9900"/>
          <w:lang w:val="el-GR"/>
        </w:rPr>
        <w:t xml:space="preserve"> Μέτρ</w:t>
      </w:r>
      <w:r>
        <w:rPr>
          <w:rFonts w:ascii="Arial" w:hAnsi="Arial" w:cs="Arial"/>
          <w:b/>
          <w:color w:val="FF9900"/>
          <w:lang w:val="el-GR"/>
        </w:rPr>
        <w:t>α</w:t>
      </w:r>
      <w:r w:rsidRPr="009D3A1F">
        <w:rPr>
          <w:rFonts w:ascii="Arial" w:hAnsi="Arial" w:cs="Arial"/>
          <w:b/>
          <w:color w:val="FF9900"/>
          <w:lang w:val="el-GR"/>
        </w:rPr>
        <w:t xml:space="preserve"> Απόδοσης</w:t>
      </w:r>
      <w:r>
        <w:rPr>
          <w:rFonts w:ascii="Arial" w:hAnsi="Arial" w:cs="Arial"/>
          <w:b/>
          <w:color w:val="FF9900"/>
          <w:lang w:val="el-GR"/>
        </w:rPr>
        <w:t xml:space="preserve"> </w:t>
      </w:r>
      <w:r w:rsidRPr="00B964B1">
        <w:rPr>
          <w:rFonts w:ascii="Arial" w:hAnsi="Arial" w:cs="Arial"/>
          <w:color w:val="FF9900"/>
          <w:lang w:val="el-GR"/>
        </w:rPr>
        <w:t>(συνέχεια)</w:t>
      </w:r>
    </w:p>
    <w:p w14:paraId="1ACE826B" w14:textId="77777777" w:rsidR="0056738E" w:rsidRDefault="0056738E" w:rsidP="0056738E">
      <w:pPr>
        <w:shd w:val="clear" w:color="auto" w:fill="FFFFFF"/>
        <w:suppressAutoHyphens/>
        <w:spacing w:after="0" w:line="360" w:lineRule="auto"/>
        <w:jc w:val="both"/>
        <w:rPr>
          <w:rFonts w:ascii="Arial" w:hAnsi="Arial" w:cs="Arial"/>
          <w:color w:val="FF9900"/>
          <w:sz w:val="20"/>
          <w:szCs w:val="20"/>
          <w:lang w:val="el-GR"/>
        </w:rPr>
      </w:pPr>
      <w:r w:rsidRPr="005B05F8">
        <w:rPr>
          <w:rFonts w:ascii="Arial" w:eastAsia="Times New Roman" w:hAnsi="Arial" w:cs="Arial"/>
          <w:b/>
          <w:color w:val="FF9900"/>
          <w:u w:val="single"/>
          <w:lang w:val="el-GR"/>
        </w:rPr>
        <w:t>Πληροφορίες Βασικών Δεικτών Απόδοσης</w:t>
      </w:r>
      <w:r w:rsidRPr="00041815">
        <w:rPr>
          <w:rFonts w:ascii="Arial" w:hAnsi="Arial" w:cs="Arial"/>
          <w:color w:val="FF9900"/>
          <w:sz w:val="20"/>
          <w:szCs w:val="20"/>
          <w:lang w:val="el-GR"/>
        </w:rPr>
        <w:t xml:space="preserve"> </w:t>
      </w:r>
      <w:bookmarkStart w:id="51" w:name="_Hlk178852045"/>
      <w:r w:rsidRPr="00E81398">
        <w:rPr>
          <w:rFonts w:ascii="Arial" w:hAnsi="Arial" w:cs="Arial"/>
          <w:color w:val="FF9900"/>
          <w:lang w:val="el-GR"/>
        </w:rPr>
        <w:t>(συνέχεια)</w:t>
      </w:r>
      <w:bookmarkEnd w:id="51"/>
    </w:p>
    <w:p w14:paraId="7F6E0050" w14:textId="77777777" w:rsidR="0056738E" w:rsidRPr="00A03828" w:rsidRDefault="0056738E" w:rsidP="0056738E">
      <w:pPr>
        <w:spacing w:after="0" w:line="360" w:lineRule="auto"/>
        <w:rPr>
          <w:rFonts w:ascii="Arial" w:hAnsi="Arial" w:cs="Arial"/>
          <w:b/>
          <w:color w:val="FF9900"/>
          <w:lang w:val="en-US"/>
        </w:rPr>
      </w:pPr>
      <w:r w:rsidRPr="00A03828">
        <w:rPr>
          <w:rFonts w:ascii="Arial" w:hAnsi="Arial" w:cs="Arial"/>
          <w:b/>
          <w:color w:val="FF9900"/>
          <w:lang w:val="el-GR"/>
        </w:rPr>
        <w:t>9.</w:t>
      </w:r>
      <w:r w:rsidRPr="00A03828">
        <w:rPr>
          <w:rFonts w:ascii="Arial" w:hAnsi="Arial" w:cs="Arial"/>
          <w:b/>
          <w:color w:val="FF9900"/>
          <w:lang w:val="el-GR"/>
        </w:rPr>
        <w:tab/>
        <w:t xml:space="preserve">Δείκτης </w:t>
      </w:r>
      <w:proofErr w:type="spellStart"/>
      <w:r w:rsidRPr="00A03828">
        <w:rPr>
          <w:rFonts w:ascii="Arial" w:hAnsi="Arial" w:cs="Arial"/>
          <w:b/>
          <w:color w:val="FF9900"/>
          <w:lang w:val="el-GR"/>
        </w:rPr>
        <w:t>μόχλευσης</w:t>
      </w:r>
      <w:proofErr w:type="spellEnd"/>
      <w:r>
        <w:rPr>
          <w:rFonts w:ascii="Arial" w:hAnsi="Arial" w:cs="Arial"/>
          <w:b/>
          <w:color w:val="FF9900"/>
          <w:lang w:val="en-US"/>
        </w:rPr>
        <w:t xml:space="preserve"> </w:t>
      </w:r>
      <w:r w:rsidRPr="00E81398">
        <w:rPr>
          <w:rFonts w:ascii="Arial" w:hAnsi="Arial" w:cs="Arial"/>
          <w:color w:val="FF9900"/>
          <w:lang w:val="el-GR"/>
        </w:rPr>
        <w:t>(συνέχεια)</w:t>
      </w:r>
    </w:p>
    <w:tbl>
      <w:tblPr>
        <w:tblStyle w:val="TableGrid15"/>
        <w:tblW w:w="949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58"/>
        <w:gridCol w:w="1417"/>
        <w:gridCol w:w="1418"/>
      </w:tblGrid>
      <w:tr w:rsidR="0056738E" w:rsidRPr="0048064D" w14:paraId="372C0AA5" w14:textId="77777777" w:rsidTr="007C2AEE">
        <w:trPr>
          <w:trHeight w:val="283"/>
        </w:trPr>
        <w:tc>
          <w:tcPr>
            <w:tcW w:w="6658" w:type="dxa"/>
            <w:vMerge w:val="restart"/>
            <w:vAlign w:val="center"/>
          </w:tcPr>
          <w:p w14:paraId="3A0EEBCF" w14:textId="77777777" w:rsidR="0056738E" w:rsidRPr="0048064D" w:rsidRDefault="0056738E" w:rsidP="007C2AEE">
            <w:pPr>
              <w:ind w:left="596" w:hanging="425"/>
              <w:rPr>
                <w:rFonts w:ascii="Arial" w:hAnsi="Arial" w:cs="Arial"/>
                <w:b/>
                <w:sz w:val="18"/>
                <w:szCs w:val="18"/>
              </w:rPr>
            </w:pPr>
            <w:r w:rsidRPr="0048064D">
              <w:rPr>
                <w:rFonts w:ascii="Arial" w:hAnsi="Arial" w:cs="Arial"/>
                <w:b/>
                <w:sz w:val="18"/>
                <w:szCs w:val="18"/>
                <w:lang w:val="el-GR"/>
              </w:rPr>
              <w:t>9</w:t>
            </w:r>
            <w:r w:rsidRPr="0048064D">
              <w:rPr>
                <w:rFonts w:ascii="Arial" w:hAnsi="Arial" w:cs="Arial"/>
                <w:b/>
                <w:sz w:val="18"/>
                <w:szCs w:val="18"/>
              </w:rPr>
              <w:t xml:space="preserve">.1  </w:t>
            </w:r>
            <w:r w:rsidRPr="0048064D">
              <w:rPr>
                <w:rFonts w:ascii="Arial" w:hAnsi="Arial" w:cs="Arial"/>
                <w:b/>
                <w:sz w:val="18"/>
                <w:szCs w:val="18"/>
                <w:lang w:val="el-GR"/>
              </w:rPr>
              <w:t xml:space="preserve"> </w:t>
            </w:r>
            <w:r w:rsidRPr="0048064D">
              <w:rPr>
                <w:rFonts w:ascii="Arial" w:eastAsiaTheme="minorEastAsia" w:hAnsi="Arial" w:cs="Arial"/>
                <w:b/>
                <w:sz w:val="18"/>
                <w:szCs w:val="18"/>
                <w:lang w:val="el-GR"/>
              </w:rPr>
              <w:t>Ενσώματα ίδια κεφάλαια</w:t>
            </w:r>
          </w:p>
        </w:tc>
        <w:tc>
          <w:tcPr>
            <w:tcW w:w="1417" w:type="dxa"/>
            <w:shd w:val="clear" w:color="auto" w:fill="auto"/>
            <w:vAlign w:val="center"/>
          </w:tcPr>
          <w:p w14:paraId="697929A8" w14:textId="77777777" w:rsidR="0056738E" w:rsidRPr="0048064D" w:rsidRDefault="0056738E" w:rsidP="007C2AEE">
            <w:pPr>
              <w:ind w:left="-101" w:right="-115"/>
              <w:jc w:val="center"/>
              <w:rPr>
                <w:rFonts w:ascii="Arial" w:hAnsi="Arial" w:cs="Arial"/>
                <w:spacing w:val="-4"/>
                <w:sz w:val="18"/>
                <w:szCs w:val="18"/>
                <w:lang w:val="el-GR"/>
              </w:rPr>
            </w:pPr>
            <w:r w:rsidRPr="00331BC0">
              <w:rPr>
                <w:rFonts w:ascii="Arial" w:hAnsi="Arial" w:cs="Arial"/>
                <w:b/>
                <w:sz w:val="18"/>
                <w:szCs w:val="18"/>
                <w:lang w:val="el-GR"/>
              </w:rPr>
              <w:t>30 Σεπτεμβρίου</w:t>
            </w:r>
            <w:r w:rsidRPr="0048064D">
              <w:rPr>
                <w:rFonts w:ascii="Arial" w:hAnsi="Arial" w:cs="Arial"/>
                <w:b/>
                <w:sz w:val="18"/>
                <w:szCs w:val="18"/>
                <w:lang w:val="el-GR"/>
              </w:rPr>
              <w:t xml:space="preserve"> 202</w:t>
            </w:r>
            <w:r>
              <w:rPr>
                <w:rFonts w:ascii="Arial" w:hAnsi="Arial" w:cs="Arial"/>
                <w:b/>
                <w:sz w:val="18"/>
                <w:szCs w:val="18"/>
                <w:lang w:val="el-GR"/>
              </w:rPr>
              <w:t>4</w:t>
            </w:r>
          </w:p>
        </w:tc>
        <w:tc>
          <w:tcPr>
            <w:tcW w:w="1418" w:type="dxa"/>
            <w:vAlign w:val="center"/>
          </w:tcPr>
          <w:p w14:paraId="683FFA7B" w14:textId="77777777" w:rsidR="0056738E" w:rsidRDefault="0056738E" w:rsidP="007C2AEE">
            <w:pPr>
              <w:ind w:left="-173" w:right="-108"/>
              <w:jc w:val="center"/>
              <w:rPr>
                <w:rFonts w:ascii="Arial" w:hAnsi="Arial" w:cs="Arial"/>
                <w:sz w:val="18"/>
                <w:szCs w:val="18"/>
                <w:lang w:val="el-GR"/>
              </w:rPr>
            </w:pPr>
            <w:r>
              <w:rPr>
                <w:rFonts w:ascii="Arial" w:hAnsi="Arial" w:cs="Arial"/>
                <w:sz w:val="18"/>
                <w:szCs w:val="18"/>
                <w:lang w:val="el-GR"/>
              </w:rPr>
              <w:t>31 Δεκεμβρίου</w:t>
            </w:r>
          </w:p>
          <w:p w14:paraId="79792276" w14:textId="77777777" w:rsidR="0056738E" w:rsidRPr="0048064D" w:rsidRDefault="0056738E" w:rsidP="007C2AEE">
            <w:pPr>
              <w:ind w:left="-173" w:right="-108"/>
              <w:jc w:val="center"/>
              <w:rPr>
                <w:rFonts w:ascii="Arial" w:hAnsi="Arial" w:cs="Arial"/>
                <w:spacing w:val="-4"/>
                <w:sz w:val="18"/>
                <w:szCs w:val="18"/>
                <w:lang w:val="el-GR"/>
              </w:rPr>
            </w:pPr>
            <w:r w:rsidRPr="0048064D">
              <w:rPr>
                <w:rFonts w:ascii="Arial" w:hAnsi="Arial" w:cs="Arial"/>
                <w:sz w:val="18"/>
                <w:szCs w:val="18"/>
                <w:lang w:val="el-GR"/>
              </w:rPr>
              <w:t>202</w:t>
            </w:r>
            <w:r>
              <w:rPr>
                <w:rFonts w:ascii="Arial" w:hAnsi="Arial" w:cs="Arial"/>
                <w:sz w:val="18"/>
                <w:szCs w:val="18"/>
                <w:lang w:val="el-GR"/>
              </w:rPr>
              <w:t>3</w:t>
            </w:r>
          </w:p>
        </w:tc>
      </w:tr>
      <w:tr w:rsidR="0056738E" w:rsidRPr="0048064D" w14:paraId="495F9F24" w14:textId="77777777" w:rsidTr="007C2AEE">
        <w:trPr>
          <w:trHeight w:val="283"/>
        </w:trPr>
        <w:tc>
          <w:tcPr>
            <w:tcW w:w="6658" w:type="dxa"/>
            <w:vMerge/>
            <w:vAlign w:val="center"/>
          </w:tcPr>
          <w:p w14:paraId="2FA1267F" w14:textId="77777777" w:rsidR="0056738E" w:rsidRPr="0048064D" w:rsidRDefault="0056738E" w:rsidP="007C2AEE">
            <w:pPr>
              <w:tabs>
                <w:tab w:val="left" w:pos="0"/>
                <w:tab w:val="right" w:pos="7560"/>
                <w:tab w:val="right" w:pos="9000"/>
              </w:tabs>
              <w:rPr>
                <w:rFonts w:ascii="Arial" w:hAnsi="Arial" w:cs="Arial"/>
                <w:sz w:val="18"/>
                <w:szCs w:val="18"/>
              </w:rPr>
            </w:pPr>
          </w:p>
        </w:tc>
        <w:tc>
          <w:tcPr>
            <w:tcW w:w="1417" w:type="dxa"/>
            <w:shd w:val="clear" w:color="auto" w:fill="auto"/>
            <w:vAlign w:val="center"/>
          </w:tcPr>
          <w:p w14:paraId="544EA5B6" w14:textId="77777777" w:rsidR="0056738E" w:rsidRPr="0048064D" w:rsidRDefault="0056738E" w:rsidP="007C2AEE">
            <w:pPr>
              <w:tabs>
                <w:tab w:val="left" w:pos="0"/>
                <w:tab w:val="right" w:pos="7560"/>
                <w:tab w:val="right" w:pos="9000"/>
              </w:tabs>
              <w:jc w:val="center"/>
              <w:rPr>
                <w:rFonts w:ascii="Arial" w:hAnsi="Arial" w:cs="Arial"/>
                <w:b/>
                <w:bCs/>
                <w:sz w:val="18"/>
                <w:szCs w:val="18"/>
              </w:rPr>
            </w:pPr>
            <w:r w:rsidRPr="0048064D">
              <w:rPr>
                <w:rFonts w:ascii="Arial" w:hAnsi="Arial" w:cs="Arial"/>
                <w:b/>
                <w:sz w:val="18"/>
                <w:szCs w:val="18"/>
                <w:lang w:val="el-GR"/>
              </w:rPr>
              <w:t>€000</w:t>
            </w:r>
          </w:p>
        </w:tc>
        <w:tc>
          <w:tcPr>
            <w:tcW w:w="1418" w:type="dxa"/>
            <w:vAlign w:val="center"/>
          </w:tcPr>
          <w:p w14:paraId="68380D35" w14:textId="77777777" w:rsidR="0056738E" w:rsidRPr="0048064D" w:rsidRDefault="0056738E" w:rsidP="007C2AEE">
            <w:pPr>
              <w:tabs>
                <w:tab w:val="left" w:pos="0"/>
                <w:tab w:val="right" w:pos="7560"/>
                <w:tab w:val="right" w:pos="9000"/>
              </w:tabs>
              <w:jc w:val="center"/>
              <w:rPr>
                <w:rFonts w:ascii="Arial" w:hAnsi="Arial" w:cs="Arial"/>
                <w:bCs/>
                <w:sz w:val="18"/>
                <w:szCs w:val="18"/>
              </w:rPr>
            </w:pPr>
            <w:r w:rsidRPr="0048064D">
              <w:rPr>
                <w:rFonts w:ascii="Arial" w:hAnsi="Arial" w:cs="Arial"/>
                <w:sz w:val="18"/>
                <w:szCs w:val="18"/>
                <w:lang w:val="el-GR"/>
              </w:rPr>
              <w:t>€000</w:t>
            </w:r>
          </w:p>
        </w:tc>
      </w:tr>
      <w:tr w:rsidR="0056738E" w:rsidRPr="0048064D" w14:paraId="1D4A4251" w14:textId="77777777" w:rsidTr="007C2AEE">
        <w:trPr>
          <w:trHeight w:val="283"/>
        </w:trPr>
        <w:tc>
          <w:tcPr>
            <w:tcW w:w="6658" w:type="dxa"/>
            <w:vAlign w:val="center"/>
          </w:tcPr>
          <w:p w14:paraId="74690FB3" w14:textId="77777777" w:rsidR="0056738E" w:rsidRPr="0048064D" w:rsidRDefault="0056738E" w:rsidP="007C2AEE">
            <w:pPr>
              <w:tabs>
                <w:tab w:val="left" w:pos="0"/>
                <w:tab w:val="right" w:pos="7560"/>
                <w:tab w:val="right" w:pos="9000"/>
              </w:tabs>
              <w:jc w:val="both"/>
              <w:rPr>
                <w:rFonts w:ascii="Arial" w:hAnsi="Arial" w:cs="Arial"/>
                <w:sz w:val="18"/>
                <w:szCs w:val="18"/>
                <w:lang w:val="el-GR"/>
              </w:rPr>
            </w:pPr>
            <w:r w:rsidRPr="0048064D">
              <w:rPr>
                <w:rFonts w:ascii="Arial" w:hAnsi="Arial" w:cs="Arial"/>
                <w:sz w:val="18"/>
                <w:szCs w:val="18"/>
                <w:lang w:val="el-GR"/>
              </w:rPr>
              <w:t xml:space="preserve">Ίδια κεφάλαια που αναλογούν στους ιδιοκτήτες της Εταιρίας </w:t>
            </w:r>
            <w:r>
              <w:rPr>
                <w:rFonts w:ascii="Arial" w:hAnsi="Arial" w:cs="Arial"/>
                <w:sz w:val="18"/>
                <w:szCs w:val="18"/>
                <w:lang w:val="el-GR"/>
              </w:rPr>
              <w:t>(</w:t>
            </w:r>
            <w:r w:rsidRPr="0048064D">
              <w:rPr>
                <w:rFonts w:ascii="Arial" w:hAnsi="Arial" w:cs="Arial"/>
                <w:sz w:val="18"/>
                <w:szCs w:val="18"/>
                <w:lang w:val="el-GR"/>
              </w:rPr>
              <w:t>στην απαιτούμενη από τη νομοθεσία βάση</w:t>
            </w:r>
            <w:r>
              <w:rPr>
                <w:rFonts w:ascii="Arial" w:hAnsi="Arial" w:cs="Arial"/>
                <w:sz w:val="18"/>
                <w:szCs w:val="18"/>
                <w:lang w:val="el-GR"/>
              </w:rPr>
              <w:t>)</w:t>
            </w:r>
          </w:p>
        </w:tc>
        <w:tc>
          <w:tcPr>
            <w:tcW w:w="1417" w:type="dxa"/>
            <w:vAlign w:val="center"/>
          </w:tcPr>
          <w:p w14:paraId="7D8C4E3E" w14:textId="77777777" w:rsidR="0056738E" w:rsidRPr="00896999" w:rsidRDefault="0056738E" w:rsidP="007C2AEE">
            <w:pPr>
              <w:jc w:val="right"/>
              <w:rPr>
                <w:rFonts w:ascii="Arial" w:eastAsia="Batang" w:hAnsi="Arial" w:cs="Arial"/>
                <w:b/>
                <w:sz w:val="18"/>
                <w:szCs w:val="18"/>
                <w:lang w:val="el-GR"/>
              </w:rPr>
            </w:pPr>
            <w:r>
              <w:rPr>
                <w:rFonts w:ascii="Arial" w:hAnsi="Arial" w:cs="Arial"/>
                <w:b/>
                <w:sz w:val="18"/>
                <w:szCs w:val="18"/>
                <w:lang w:val="en-GB"/>
              </w:rPr>
              <w:t>2,508,085</w:t>
            </w:r>
          </w:p>
        </w:tc>
        <w:tc>
          <w:tcPr>
            <w:tcW w:w="1418" w:type="dxa"/>
            <w:vAlign w:val="center"/>
          </w:tcPr>
          <w:p w14:paraId="0AA2A96C" w14:textId="77777777" w:rsidR="0056738E" w:rsidRPr="0048064D" w:rsidRDefault="0056738E" w:rsidP="007C2AEE">
            <w:pPr>
              <w:jc w:val="right"/>
              <w:rPr>
                <w:rFonts w:ascii="Arial" w:eastAsia="Batang" w:hAnsi="Arial" w:cs="Arial"/>
                <w:bCs/>
                <w:sz w:val="18"/>
                <w:szCs w:val="18"/>
              </w:rPr>
            </w:pPr>
            <w:r w:rsidRPr="002D1FED">
              <w:rPr>
                <w:rFonts w:ascii="Arial" w:hAnsi="Arial" w:cs="Arial"/>
                <w:bCs/>
                <w:sz w:val="18"/>
                <w:szCs w:val="18"/>
              </w:rPr>
              <w:t>2,247,080</w:t>
            </w:r>
          </w:p>
        </w:tc>
      </w:tr>
      <w:tr w:rsidR="0056738E" w:rsidRPr="0048064D" w14:paraId="715681B7" w14:textId="77777777" w:rsidTr="007C2AEE">
        <w:trPr>
          <w:trHeight w:val="283"/>
        </w:trPr>
        <w:tc>
          <w:tcPr>
            <w:tcW w:w="6658" w:type="dxa"/>
            <w:vAlign w:val="center"/>
          </w:tcPr>
          <w:p w14:paraId="44DEEC1A" w14:textId="77777777" w:rsidR="0056738E" w:rsidRPr="0048064D" w:rsidRDefault="0056738E" w:rsidP="007C2AEE">
            <w:pPr>
              <w:tabs>
                <w:tab w:val="left" w:pos="0"/>
                <w:tab w:val="right" w:pos="7560"/>
                <w:tab w:val="right" w:pos="9000"/>
              </w:tabs>
              <w:jc w:val="both"/>
              <w:rPr>
                <w:rFonts w:ascii="Arial" w:hAnsi="Arial" w:cs="Arial"/>
                <w:sz w:val="18"/>
                <w:szCs w:val="18"/>
                <w:lang w:val="el-GR"/>
              </w:rPr>
            </w:pPr>
            <w:r w:rsidRPr="0048064D">
              <w:rPr>
                <w:rFonts w:ascii="Arial" w:hAnsi="Arial" w:cs="Arial"/>
                <w:sz w:val="18"/>
                <w:szCs w:val="18"/>
                <w:lang w:val="el-GR"/>
              </w:rPr>
              <w:t xml:space="preserve">Λοιποί συμμετοχικοί τίτλοι </w:t>
            </w:r>
          </w:p>
        </w:tc>
        <w:tc>
          <w:tcPr>
            <w:tcW w:w="1417" w:type="dxa"/>
            <w:tcBorders>
              <w:bottom w:val="single" w:sz="4" w:space="0" w:color="D9D9D9" w:themeColor="background1" w:themeShade="D9"/>
            </w:tcBorders>
            <w:vAlign w:val="center"/>
          </w:tcPr>
          <w:p w14:paraId="371470A5" w14:textId="77777777" w:rsidR="0056738E" w:rsidRPr="00896999" w:rsidRDefault="0056738E" w:rsidP="007C2AEE">
            <w:pPr>
              <w:jc w:val="right"/>
              <w:rPr>
                <w:rFonts w:ascii="Arial" w:eastAsia="Batang" w:hAnsi="Arial" w:cs="Arial"/>
                <w:b/>
                <w:sz w:val="18"/>
                <w:szCs w:val="18"/>
                <w:lang w:val="el-GR"/>
              </w:rPr>
            </w:pPr>
            <w:r>
              <w:rPr>
                <w:rFonts w:ascii="Arial" w:hAnsi="Arial" w:cs="Arial"/>
                <w:b/>
                <w:sz w:val="18"/>
                <w:szCs w:val="18"/>
                <w:lang w:val="en-GB"/>
              </w:rPr>
              <w:t>220,000</w:t>
            </w:r>
          </w:p>
        </w:tc>
        <w:tc>
          <w:tcPr>
            <w:tcW w:w="1418" w:type="dxa"/>
            <w:tcBorders>
              <w:bottom w:val="single" w:sz="4" w:space="0" w:color="D9D9D9" w:themeColor="background1" w:themeShade="D9"/>
            </w:tcBorders>
            <w:vAlign w:val="center"/>
          </w:tcPr>
          <w:p w14:paraId="2632438F" w14:textId="77777777" w:rsidR="0056738E" w:rsidRPr="0048064D" w:rsidRDefault="0056738E" w:rsidP="007C2AEE">
            <w:pPr>
              <w:jc w:val="right"/>
              <w:rPr>
                <w:rFonts w:ascii="Arial" w:eastAsia="Batang" w:hAnsi="Arial" w:cs="Arial"/>
                <w:bCs/>
                <w:sz w:val="18"/>
                <w:szCs w:val="18"/>
              </w:rPr>
            </w:pPr>
            <w:r w:rsidRPr="002D1FED">
              <w:rPr>
                <w:rFonts w:ascii="Arial" w:hAnsi="Arial" w:cs="Arial"/>
                <w:bCs/>
                <w:sz w:val="18"/>
                <w:szCs w:val="18"/>
              </w:rPr>
              <w:t>220,000</w:t>
            </w:r>
          </w:p>
        </w:tc>
      </w:tr>
      <w:tr w:rsidR="0056738E" w:rsidRPr="0048064D" w14:paraId="00F5A03A" w14:textId="77777777" w:rsidTr="007C2AEE">
        <w:trPr>
          <w:trHeight w:val="283"/>
        </w:trPr>
        <w:tc>
          <w:tcPr>
            <w:tcW w:w="6658" w:type="dxa"/>
            <w:vAlign w:val="center"/>
          </w:tcPr>
          <w:p w14:paraId="1EBB2F3C" w14:textId="77777777" w:rsidR="0056738E" w:rsidRPr="00050B06" w:rsidRDefault="0056738E" w:rsidP="007C2AEE">
            <w:pPr>
              <w:tabs>
                <w:tab w:val="left" w:pos="0"/>
                <w:tab w:val="right" w:pos="7560"/>
                <w:tab w:val="right" w:pos="9000"/>
              </w:tabs>
              <w:jc w:val="both"/>
              <w:rPr>
                <w:rFonts w:ascii="Arial" w:hAnsi="Arial" w:cs="Arial"/>
                <w:sz w:val="18"/>
                <w:szCs w:val="18"/>
                <w:lang w:val="el-GR"/>
              </w:rPr>
            </w:pPr>
            <w:r w:rsidRPr="0048064D">
              <w:rPr>
                <w:rFonts w:ascii="Arial" w:hAnsi="Arial" w:cs="Arial"/>
                <w:sz w:val="18"/>
                <w:szCs w:val="18"/>
                <w:lang w:val="el-GR"/>
              </w:rPr>
              <w:t xml:space="preserve">Μείον: Άυλα περιουσιακά στοιχεία </w:t>
            </w:r>
            <w:r>
              <w:rPr>
                <w:rFonts w:ascii="Arial" w:hAnsi="Arial" w:cs="Arial"/>
                <w:sz w:val="18"/>
                <w:szCs w:val="18"/>
                <w:lang w:val="el-GR"/>
              </w:rPr>
              <w:t>(</w:t>
            </w:r>
            <w:r w:rsidRPr="0048064D">
              <w:rPr>
                <w:rFonts w:ascii="Arial" w:hAnsi="Arial" w:cs="Arial"/>
                <w:sz w:val="18"/>
                <w:szCs w:val="18"/>
                <w:lang w:val="el-GR"/>
              </w:rPr>
              <w:t>στην απαιτούμενη από τη νομοθεσία βάση</w:t>
            </w:r>
            <w:r>
              <w:rPr>
                <w:rFonts w:ascii="Arial" w:hAnsi="Arial" w:cs="Arial"/>
                <w:sz w:val="18"/>
                <w:szCs w:val="18"/>
                <w:lang w:val="el-GR"/>
              </w:rPr>
              <w:t>)</w:t>
            </w:r>
          </w:p>
        </w:tc>
        <w:tc>
          <w:tcPr>
            <w:tcW w:w="1417" w:type="dxa"/>
            <w:tcBorders>
              <w:bottom w:val="single" w:sz="6" w:space="0" w:color="auto"/>
            </w:tcBorders>
            <w:vAlign w:val="center"/>
          </w:tcPr>
          <w:p w14:paraId="0E0FDE0D" w14:textId="77777777" w:rsidR="0056738E" w:rsidRPr="00896999" w:rsidRDefault="0056738E" w:rsidP="007C2AEE">
            <w:pPr>
              <w:jc w:val="right"/>
              <w:rPr>
                <w:rFonts w:ascii="Arial" w:eastAsia="Batang" w:hAnsi="Arial" w:cs="Arial"/>
                <w:b/>
                <w:sz w:val="18"/>
                <w:szCs w:val="18"/>
                <w:lang w:val="el-GR"/>
              </w:rPr>
            </w:pPr>
            <w:r>
              <w:rPr>
                <w:rFonts w:ascii="Arial" w:hAnsi="Arial" w:cs="Arial"/>
                <w:b/>
                <w:sz w:val="18"/>
                <w:szCs w:val="18"/>
                <w:lang w:val="en-GB"/>
              </w:rPr>
              <w:t>(45,451)</w:t>
            </w:r>
          </w:p>
        </w:tc>
        <w:tc>
          <w:tcPr>
            <w:tcW w:w="1418" w:type="dxa"/>
            <w:tcBorders>
              <w:bottom w:val="single" w:sz="6" w:space="0" w:color="auto"/>
            </w:tcBorders>
            <w:vAlign w:val="center"/>
          </w:tcPr>
          <w:p w14:paraId="11C6569E" w14:textId="77777777" w:rsidR="0056738E" w:rsidRPr="0048064D" w:rsidRDefault="0056738E" w:rsidP="007C2AEE">
            <w:pPr>
              <w:jc w:val="right"/>
              <w:rPr>
                <w:rFonts w:ascii="Arial" w:eastAsia="Batang" w:hAnsi="Arial" w:cs="Arial"/>
                <w:bCs/>
                <w:sz w:val="18"/>
                <w:szCs w:val="18"/>
              </w:rPr>
            </w:pPr>
            <w:r w:rsidRPr="002D1FED">
              <w:rPr>
                <w:rFonts w:ascii="Arial" w:hAnsi="Arial" w:cs="Arial"/>
                <w:bCs/>
                <w:sz w:val="18"/>
                <w:szCs w:val="18"/>
              </w:rPr>
              <w:t>(48,635)</w:t>
            </w:r>
          </w:p>
        </w:tc>
      </w:tr>
      <w:tr w:rsidR="0056738E" w:rsidRPr="0048064D" w14:paraId="00CE146F" w14:textId="77777777" w:rsidTr="007C2AEE">
        <w:trPr>
          <w:trHeight w:val="283"/>
        </w:trPr>
        <w:tc>
          <w:tcPr>
            <w:tcW w:w="6658" w:type="dxa"/>
            <w:tcBorders>
              <w:top w:val="single" w:sz="4" w:space="0" w:color="D9D9D9" w:themeColor="background1" w:themeShade="D9"/>
              <w:bottom w:val="single" w:sz="4" w:space="0" w:color="D9D9D9" w:themeColor="background1" w:themeShade="D9"/>
            </w:tcBorders>
            <w:vAlign w:val="center"/>
          </w:tcPr>
          <w:p w14:paraId="6A1086B7" w14:textId="77777777" w:rsidR="0056738E" w:rsidRPr="0048064D" w:rsidRDefault="0056738E" w:rsidP="007C2AEE">
            <w:pPr>
              <w:tabs>
                <w:tab w:val="left" w:pos="0"/>
                <w:tab w:val="right" w:pos="7560"/>
                <w:tab w:val="right" w:pos="9000"/>
              </w:tabs>
              <w:jc w:val="both"/>
              <w:rPr>
                <w:rFonts w:ascii="Arial" w:hAnsi="Arial" w:cs="Arial"/>
                <w:b/>
                <w:sz w:val="18"/>
                <w:szCs w:val="18"/>
                <w:lang w:val="el-GR"/>
              </w:rPr>
            </w:pPr>
            <w:r w:rsidRPr="0048064D">
              <w:rPr>
                <w:rFonts w:ascii="Arial" w:hAnsi="Arial" w:cs="Arial"/>
                <w:b/>
                <w:sz w:val="18"/>
                <w:szCs w:val="18"/>
                <w:lang w:val="el-GR"/>
              </w:rPr>
              <w:t xml:space="preserve">Ενσώματα </w:t>
            </w:r>
            <w:r w:rsidRPr="0048064D">
              <w:rPr>
                <w:rFonts w:ascii="Arial" w:eastAsiaTheme="minorEastAsia" w:hAnsi="Arial" w:cs="Arial"/>
                <w:b/>
                <w:sz w:val="18"/>
                <w:szCs w:val="18"/>
                <w:lang w:val="el-GR"/>
              </w:rPr>
              <w:t>ίδια κεφάλαια</w:t>
            </w:r>
            <w:r w:rsidRPr="0048064D" w:rsidDel="005A59C5">
              <w:rPr>
                <w:rFonts w:ascii="Arial" w:hAnsi="Arial" w:cs="Arial"/>
                <w:b/>
                <w:sz w:val="18"/>
                <w:szCs w:val="18"/>
                <w:lang w:val="el-GR"/>
              </w:rPr>
              <w:t xml:space="preserve"> </w:t>
            </w:r>
          </w:p>
        </w:tc>
        <w:tc>
          <w:tcPr>
            <w:tcW w:w="1417" w:type="dxa"/>
            <w:tcBorders>
              <w:top w:val="single" w:sz="6" w:space="0" w:color="auto"/>
              <w:bottom w:val="double" w:sz="6" w:space="0" w:color="auto"/>
            </w:tcBorders>
            <w:vAlign w:val="center"/>
          </w:tcPr>
          <w:p w14:paraId="170D1CC9" w14:textId="77777777" w:rsidR="0056738E" w:rsidRPr="0048064D" w:rsidRDefault="0056738E" w:rsidP="007C2AEE">
            <w:pPr>
              <w:jc w:val="right"/>
              <w:rPr>
                <w:rFonts w:ascii="Arial" w:eastAsia="Batang" w:hAnsi="Arial" w:cs="Arial"/>
                <w:b/>
                <w:sz w:val="18"/>
                <w:szCs w:val="18"/>
              </w:rPr>
            </w:pPr>
            <w:r>
              <w:rPr>
                <w:rFonts w:ascii="Arial" w:hAnsi="Arial" w:cs="Arial"/>
                <w:b/>
                <w:sz w:val="18"/>
                <w:szCs w:val="18"/>
              </w:rPr>
              <w:t>2,682,634</w:t>
            </w:r>
          </w:p>
        </w:tc>
        <w:tc>
          <w:tcPr>
            <w:tcW w:w="1418" w:type="dxa"/>
            <w:tcBorders>
              <w:top w:val="single" w:sz="6" w:space="0" w:color="auto"/>
              <w:bottom w:val="double" w:sz="6" w:space="0" w:color="auto"/>
            </w:tcBorders>
            <w:vAlign w:val="center"/>
          </w:tcPr>
          <w:p w14:paraId="6D160516" w14:textId="77777777" w:rsidR="0056738E" w:rsidRPr="0048064D" w:rsidRDefault="0056738E" w:rsidP="007C2AEE">
            <w:pPr>
              <w:jc w:val="right"/>
              <w:rPr>
                <w:rFonts w:ascii="Arial" w:eastAsia="Batang" w:hAnsi="Arial" w:cs="Arial"/>
                <w:bCs/>
                <w:sz w:val="18"/>
                <w:szCs w:val="18"/>
              </w:rPr>
            </w:pPr>
            <w:r w:rsidRPr="002D1FED">
              <w:rPr>
                <w:rFonts w:ascii="Arial" w:hAnsi="Arial" w:cs="Arial"/>
                <w:bCs/>
                <w:sz w:val="18"/>
                <w:szCs w:val="18"/>
              </w:rPr>
              <w:t>2,418,445</w:t>
            </w:r>
          </w:p>
        </w:tc>
      </w:tr>
    </w:tbl>
    <w:p w14:paraId="7CF2881D" w14:textId="77777777" w:rsidR="0056738E" w:rsidRPr="00955C85" w:rsidRDefault="0056738E" w:rsidP="0056738E">
      <w:pPr>
        <w:autoSpaceDE w:val="0"/>
        <w:autoSpaceDN w:val="0"/>
        <w:adjustRightInd w:val="0"/>
        <w:spacing w:after="0" w:line="240" w:lineRule="auto"/>
        <w:jc w:val="both"/>
        <w:rPr>
          <w:rFonts w:ascii="Arial" w:hAnsi="Arial" w:cs="Arial"/>
          <w:b/>
          <w:color w:val="FF9900"/>
        </w:rPr>
      </w:pPr>
    </w:p>
    <w:p w14:paraId="16112AC6" w14:textId="77777777" w:rsidR="005D55DD" w:rsidRPr="005D55DD" w:rsidRDefault="005D55DD" w:rsidP="00445BFD">
      <w:pPr>
        <w:spacing w:after="0" w:line="240" w:lineRule="auto"/>
        <w:jc w:val="both"/>
        <w:rPr>
          <w:rFonts w:ascii="Arial" w:hAnsi="Arial" w:cs="Arial"/>
          <w:bCs/>
          <w:sz w:val="18"/>
          <w:szCs w:val="28"/>
          <w:lang w:val="el-GR"/>
        </w:rPr>
      </w:pPr>
    </w:p>
    <w:p w14:paraId="5F2BBA03" w14:textId="7AA2EDBA" w:rsidR="0056738E" w:rsidRDefault="0056738E">
      <w:pPr>
        <w:rPr>
          <w:rFonts w:ascii="Arial" w:hAnsi="Arial" w:cs="Arial"/>
          <w:bCs/>
          <w:sz w:val="18"/>
          <w:szCs w:val="28"/>
          <w:lang w:val="el-GR"/>
        </w:rPr>
      </w:pPr>
      <w:r>
        <w:rPr>
          <w:rFonts w:ascii="Arial" w:hAnsi="Arial" w:cs="Arial"/>
          <w:bCs/>
          <w:sz w:val="18"/>
          <w:szCs w:val="28"/>
          <w:lang w:val="el-GR"/>
        </w:rPr>
        <w:br w:type="page"/>
      </w:r>
    </w:p>
    <w:tbl>
      <w:tblPr>
        <w:tblStyle w:val="TableGrid"/>
        <w:tblW w:w="9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28"/>
        <w:gridCol w:w="6225"/>
        <w:gridCol w:w="97"/>
        <w:gridCol w:w="98"/>
      </w:tblGrid>
      <w:tr w:rsidR="008036AA" w:rsidRPr="00D41B36" w14:paraId="181E7F1C" w14:textId="77777777" w:rsidTr="00895408">
        <w:tc>
          <w:tcPr>
            <w:tcW w:w="9681" w:type="dxa"/>
            <w:gridSpan w:val="5"/>
            <w:shd w:val="clear" w:color="auto" w:fill="auto"/>
          </w:tcPr>
          <w:p w14:paraId="2F6A0F18" w14:textId="3499B811" w:rsidR="008036AA" w:rsidRPr="006A5C18" w:rsidRDefault="005F1DE6" w:rsidP="00FD10BB">
            <w:pPr>
              <w:spacing w:line="360" w:lineRule="auto"/>
              <w:rPr>
                <w:rFonts w:ascii="Arial" w:hAnsi="Arial" w:cs="Arial"/>
                <w:b/>
                <w:color w:val="FF9900"/>
                <w:szCs w:val="24"/>
                <w:lang w:val="el-GR"/>
              </w:rPr>
            </w:pPr>
            <w:bookmarkStart w:id="52" w:name="_Hlk158981312"/>
            <w:bookmarkStart w:id="53" w:name="_Hlk81323517"/>
            <w:bookmarkEnd w:id="32"/>
            <w:r>
              <w:rPr>
                <w:rFonts w:ascii="Arial" w:hAnsi="Arial" w:cs="Arial"/>
                <w:b/>
                <w:color w:val="FF9900"/>
                <w:sz w:val="24"/>
                <w:szCs w:val="24"/>
                <w:lang w:val="el-GR"/>
              </w:rPr>
              <w:lastRenderedPageBreak/>
              <w:t>Θ</w:t>
            </w:r>
            <w:r w:rsidR="008036AA" w:rsidRPr="006A5C18">
              <w:rPr>
                <w:rFonts w:ascii="Arial" w:hAnsi="Arial" w:cs="Arial"/>
                <w:b/>
                <w:color w:val="FF9900"/>
                <w:sz w:val="24"/>
                <w:szCs w:val="24"/>
                <w:lang w:val="el-GR"/>
              </w:rPr>
              <w:t>.</w:t>
            </w:r>
            <w:r w:rsidR="00922B9D" w:rsidRPr="006A5C18">
              <w:rPr>
                <w:rFonts w:ascii="Arial" w:hAnsi="Arial" w:cs="Arial"/>
                <w:b/>
                <w:color w:val="FF9900"/>
                <w:sz w:val="24"/>
                <w:szCs w:val="24"/>
                <w:lang w:val="el-GR"/>
              </w:rPr>
              <w:t xml:space="preserve"> </w:t>
            </w:r>
            <w:r w:rsidR="008F48B4" w:rsidRPr="006A5C18">
              <w:rPr>
                <w:rFonts w:ascii="Arial" w:hAnsi="Arial" w:cs="Arial"/>
                <w:b/>
                <w:color w:val="FF9900"/>
                <w:sz w:val="24"/>
                <w:szCs w:val="24"/>
                <w:lang w:val="el-GR"/>
              </w:rPr>
              <w:t>Όροι και Επεξηγήσεις</w:t>
            </w:r>
          </w:p>
          <w:p w14:paraId="12D1DD2B" w14:textId="77777777" w:rsidR="008036AA" w:rsidRPr="006A5C18" w:rsidRDefault="008036AA" w:rsidP="00F87C5D">
            <w:pPr>
              <w:pStyle w:val="FootnoteText"/>
              <w:jc w:val="both"/>
              <w:rPr>
                <w:rFonts w:ascii="Arial" w:hAnsi="Arial" w:cs="Arial"/>
                <w:color w:val="000000"/>
                <w:sz w:val="18"/>
                <w:szCs w:val="18"/>
                <w:lang w:val="el-GR"/>
              </w:rPr>
            </w:pPr>
          </w:p>
        </w:tc>
      </w:tr>
      <w:tr w:rsidR="008036AA" w:rsidRPr="0056738E" w14:paraId="1AE0D853" w14:textId="77777777" w:rsidTr="00A21CB9">
        <w:tc>
          <w:tcPr>
            <w:tcW w:w="3261" w:type="dxa"/>
            <w:gridSpan w:val="2"/>
          </w:tcPr>
          <w:p w14:paraId="6B0D920F" w14:textId="77777777" w:rsidR="008036AA" w:rsidRPr="006A5C18" w:rsidRDefault="008036AA" w:rsidP="00F87C5D">
            <w:pPr>
              <w:pStyle w:val="FootnoteText"/>
              <w:rPr>
                <w:rFonts w:ascii="Arial" w:hAnsi="Arial" w:cs="Arial"/>
                <w:sz w:val="18"/>
                <w:szCs w:val="18"/>
                <w:lang w:val="el-GR"/>
              </w:rPr>
            </w:pPr>
            <w:r w:rsidRPr="006A5C18">
              <w:rPr>
                <w:rFonts w:ascii="Arial" w:hAnsi="Arial" w:cs="Arial"/>
                <w:sz w:val="18"/>
                <w:szCs w:val="18"/>
                <w:lang w:val="el-GR"/>
              </w:rPr>
              <w:t>Απόδοση Ενσώματων Ιδίων Κεφαλαίων (</w:t>
            </w:r>
            <w:r w:rsidRPr="006A5C18">
              <w:rPr>
                <w:rFonts w:ascii="Arial" w:hAnsi="Arial" w:cs="Arial"/>
                <w:sz w:val="18"/>
                <w:szCs w:val="18"/>
              </w:rPr>
              <w:t>ROTE</w:t>
            </w:r>
            <w:r w:rsidRPr="006A5C18">
              <w:rPr>
                <w:rFonts w:ascii="Arial" w:hAnsi="Arial" w:cs="Arial"/>
                <w:sz w:val="18"/>
                <w:szCs w:val="18"/>
                <w:lang w:val="el-GR"/>
              </w:rPr>
              <w:t xml:space="preserve">) </w:t>
            </w:r>
          </w:p>
        </w:tc>
        <w:tc>
          <w:tcPr>
            <w:tcW w:w="6420" w:type="dxa"/>
            <w:gridSpan w:val="3"/>
          </w:tcPr>
          <w:p w14:paraId="34C23E67" w14:textId="1F3E67BB" w:rsidR="00904F64" w:rsidRPr="006A5C18" w:rsidRDefault="008036AA" w:rsidP="00F87C5D">
            <w:pPr>
              <w:pStyle w:val="FootnoteText"/>
              <w:jc w:val="both"/>
              <w:rPr>
                <w:rFonts w:ascii="Arial" w:hAnsi="Arial" w:cs="Arial"/>
                <w:sz w:val="18"/>
                <w:szCs w:val="18"/>
                <w:lang w:val="el-GR"/>
              </w:rPr>
            </w:pPr>
            <w:r w:rsidRPr="006A5C18">
              <w:rPr>
                <w:rFonts w:ascii="Arial" w:hAnsi="Arial" w:cs="Arial"/>
                <w:sz w:val="18"/>
                <w:szCs w:val="18"/>
                <w:lang w:val="el-GR"/>
              </w:rPr>
              <w:t>Η Απόδοση Ενσώματων Ιδίων Κεφαλαίων (</w:t>
            </w:r>
            <w:r w:rsidRPr="006A5C18">
              <w:rPr>
                <w:rFonts w:ascii="Arial" w:hAnsi="Arial" w:cs="Arial"/>
                <w:sz w:val="18"/>
                <w:szCs w:val="18"/>
              </w:rPr>
              <w:t>ROTE</w:t>
            </w:r>
            <w:r w:rsidRPr="006A5C18">
              <w:rPr>
                <w:rFonts w:ascii="Arial" w:hAnsi="Arial" w:cs="Arial"/>
                <w:sz w:val="18"/>
                <w:szCs w:val="18"/>
                <w:lang w:val="el-GR"/>
              </w:rPr>
              <w:t>) υπολογίζεται ως προς το Κέρδος/(Ζημιά) μετά τη φορολογία (που αναλογούν στους ιδιοκτήτες της Εταιρίας) (ως ορίζονται) (</w:t>
            </w:r>
            <w:proofErr w:type="spellStart"/>
            <w:r w:rsidRPr="006A5C18">
              <w:rPr>
                <w:rFonts w:ascii="Arial" w:hAnsi="Arial" w:cs="Arial"/>
                <w:sz w:val="18"/>
                <w:szCs w:val="18"/>
                <w:lang w:val="el-GR"/>
              </w:rPr>
              <w:t>ετησιοποιημένα</w:t>
            </w:r>
            <w:proofErr w:type="spellEnd"/>
            <w:r w:rsidRPr="006A5C18">
              <w:rPr>
                <w:rFonts w:ascii="Arial" w:hAnsi="Arial" w:cs="Arial"/>
                <w:sz w:val="18"/>
                <w:szCs w:val="18"/>
                <w:lang w:val="el-GR"/>
              </w:rPr>
              <w:t xml:space="preserve"> – (βασισμένα στις μέρες από την αρχή του έτους μέχρι σήμερα)), ως προς τον τριμηνιαίο μέσο όρο των ίδιων κεφαλαίων που αναλογούν στους ιδιοκτήτες της Εταιρίας μείον άυλα περιουσιακά στοιχεία</w:t>
            </w:r>
            <w:r w:rsidR="00904F64" w:rsidRPr="006A5C18">
              <w:rPr>
                <w:rFonts w:ascii="Arial" w:hAnsi="Arial" w:cs="Arial"/>
                <w:sz w:val="18"/>
                <w:szCs w:val="18"/>
                <w:lang w:val="el-GR"/>
              </w:rPr>
              <w:t xml:space="preserve"> στο τέλος κάθε τριμήνου.</w:t>
            </w:r>
          </w:p>
        </w:tc>
      </w:tr>
      <w:tr w:rsidR="00904F64" w:rsidRPr="0056738E" w14:paraId="374F0216" w14:textId="77777777" w:rsidTr="00555781">
        <w:trPr>
          <w:trHeight w:val="68"/>
        </w:trPr>
        <w:tc>
          <w:tcPr>
            <w:tcW w:w="3261" w:type="dxa"/>
            <w:gridSpan w:val="2"/>
          </w:tcPr>
          <w:p w14:paraId="4CF91FF0" w14:textId="381E39C4" w:rsidR="00904F64" w:rsidRPr="006A5C18" w:rsidRDefault="00904F64" w:rsidP="00F87C5D">
            <w:pPr>
              <w:pStyle w:val="FootnoteText"/>
              <w:rPr>
                <w:rFonts w:ascii="Arial" w:hAnsi="Arial" w:cs="Arial"/>
                <w:sz w:val="18"/>
                <w:szCs w:val="18"/>
                <w:lang w:val="el-GR"/>
              </w:rPr>
            </w:pPr>
          </w:p>
        </w:tc>
        <w:tc>
          <w:tcPr>
            <w:tcW w:w="6420" w:type="dxa"/>
            <w:gridSpan w:val="3"/>
          </w:tcPr>
          <w:p w14:paraId="0C4B141B" w14:textId="52C41654" w:rsidR="00904F64" w:rsidRPr="006A5C18" w:rsidRDefault="00904F64" w:rsidP="00F87C5D">
            <w:pPr>
              <w:pStyle w:val="FootnoteText"/>
              <w:jc w:val="both"/>
              <w:rPr>
                <w:rFonts w:ascii="Arial" w:hAnsi="Arial" w:cs="Arial"/>
                <w:sz w:val="18"/>
                <w:szCs w:val="18"/>
                <w:lang w:val="el-GR"/>
              </w:rPr>
            </w:pPr>
          </w:p>
        </w:tc>
      </w:tr>
      <w:tr w:rsidR="008036AA" w:rsidRPr="0056738E" w14:paraId="4F8407B6" w14:textId="77777777" w:rsidTr="00A21CB9">
        <w:tc>
          <w:tcPr>
            <w:tcW w:w="3261" w:type="dxa"/>
            <w:gridSpan w:val="2"/>
          </w:tcPr>
          <w:p w14:paraId="1E14920B" w14:textId="64DAC2D7" w:rsidR="00904F64" w:rsidRPr="006A5C18" w:rsidRDefault="00904F64" w:rsidP="0023793B">
            <w:pPr>
              <w:pStyle w:val="FootnoteText"/>
              <w:rPr>
                <w:rFonts w:ascii="Arial" w:hAnsi="Arial" w:cs="Arial"/>
                <w:sz w:val="18"/>
                <w:szCs w:val="18"/>
                <w:lang w:val="el-GR"/>
              </w:rPr>
            </w:pPr>
            <w:r w:rsidRPr="006A5C18">
              <w:rPr>
                <w:rFonts w:ascii="Arial" w:hAnsi="Arial" w:cs="Arial"/>
                <w:sz w:val="18"/>
                <w:szCs w:val="18"/>
                <w:lang w:val="el-GR"/>
              </w:rPr>
              <w:t>Απόδοση Ενσώματων Ιδίων Κεφαλαίων (ROTE), υπολογισμένη σε Δείκτη Κεφαλαίου Κοινών Μετοχών Κατηγορίας 1 (CET1) ύψους 15%</w:t>
            </w:r>
          </w:p>
        </w:tc>
        <w:tc>
          <w:tcPr>
            <w:tcW w:w="6420" w:type="dxa"/>
            <w:gridSpan w:val="3"/>
          </w:tcPr>
          <w:p w14:paraId="10B49877" w14:textId="37719CA8" w:rsidR="00B917EA" w:rsidRPr="006A5C18" w:rsidRDefault="00904F64" w:rsidP="00ED71B5">
            <w:pPr>
              <w:pStyle w:val="FootnoteText"/>
              <w:jc w:val="both"/>
              <w:rPr>
                <w:rFonts w:ascii="Arial" w:hAnsi="Arial" w:cs="Arial"/>
                <w:sz w:val="18"/>
                <w:szCs w:val="18"/>
                <w:lang w:val="el-GR"/>
              </w:rPr>
            </w:pPr>
            <w:r w:rsidRPr="006A5C18">
              <w:rPr>
                <w:rFonts w:ascii="Arial" w:hAnsi="Arial" w:cs="Arial"/>
                <w:sz w:val="18"/>
                <w:szCs w:val="18"/>
                <w:lang w:val="el-GR"/>
              </w:rPr>
              <w:t>Υπολογίζεται ως προς το Κέρδος/(Ζημιά) μετά τη φορολογία (που αναλογούν στους ιδιοκτήτες της Εταιρίας) (ως ορίζονται) (</w:t>
            </w:r>
            <w:proofErr w:type="spellStart"/>
            <w:r w:rsidRPr="006A5C18">
              <w:rPr>
                <w:rFonts w:ascii="Arial" w:hAnsi="Arial" w:cs="Arial"/>
                <w:sz w:val="18"/>
                <w:szCs w:val="18"/>
                <w:lang w:val="el-GR"/>
              </w:rPr>
              <w:t>ετησιοποιημένα</w:t>
            </w:r>
            <w:proofErr w:type="spellEnd"/>
            <w:r w:rsidRPr="006A5C18">
              <w:rPr>
                <w:rFonts w:ascii="Arial" w:hAnsi="Arial" w:cs="Arial"/>
                <w:sz w:val="18"/>
                <w:szCs w:val="18"/>
                <w:lang w:val="el-GR"/>
              </w:rPr>
              <w:t xml:space="preserve"> – (βασισμένα στις μέρες από την αρχή του έτους μέχρι σήμερα)), ως προς τον τριμηνιαίο μέσο όρο των ιδίων κεφαλαίων που αναλογούν στους ιδιοκτήτες της Εταιρίας μείον τα άυλα περιουσιακά στοιχεία</w:t>
            </w:r>
            <w:r w:rsidR="0023793B" w:rsidRPr="006A5C18">
              <w:rPr>
                <w:rFonts w:ascii="Arial" w:hAnsi="Arial" w:cs="Arial"/>
                <w:sz w:val="18"/>
                <w:szCs w:val="18"/>
                <w:lang w:val="el-GR"/>
              </w:rPr>
              <w:t xml:space="preserve">, </w:t>
            </w:r>
            <w:r w:rsidRPr="006A5C18">
              <w:rPr>
                <w:rFonts w:ascii="Arial" w:hAnsi="Arial" w:cs="Arial"/>
                <w:sz w:val="18"/>
                <w:szCs w:val="18"/>
                <w:lang w:val="el-GR"/>
              </w:rPr>
              <w:t>και μετά την αφαίρεση του</w:t>
            </w:r>
            <w:r w:rsidR="00ED71B5" w:rsidRPr="006A5C18">
              <w:rPr>
                <w:rFonts w:ascii="Arial" w:hAnsi="Arial" w:cs="Arial"/>
                <w:sz w:val="18"/>
                <w:szCs w:val="18"/>
                <w:lang w:val="el-GR"/>
              </w:rPr>
              <w:t xml:space="preserve"> πλεονάσματος που προκύπτει από τον Δείκτη Κεφαλαίου Κοινών Μετοχών Κατηγορίας 1 (CET1) σε σύγκριση με Δείκτη Κεφαλαίου Κοινών Μετοχών Κατηγορίας 1 (CET1) ύψους 15%, από την ενσώματη λογιστική αξία.</w:t>
            </w:r>
          </w:p>
          <w:p w14:paraId="163377B5" w14:textId="573041C2" w:rsidR="00ED71B5" w:rsidRPr="006A5C18" w:rsidRDefault="00ED71B5" w:rsidP="00ED71B5">
            <w:pPr>
              <w:pStyle w:val="FootnoteText"/>
              <w:jc w:val="both"/>
              <w:rPr>
                <w:rFonts w:ascii="Arial" w:hAnsi="Arial" w:cs="Arial"/>
                <w:sz w:val="18"/>
                <w:szCs w:val="18"/>
                <w:lang w:val="el-GR"/>
              </w:rPr>
            </w:pPr>
            <w:r w:rsidRPr="006A5C18">
              <w:rPr>
                <w:rFonts w:ascii="Arial" w:hAnsi="Arial" w:cs="Arial"/>
                <w:sz w:val="18"/>
                <w:szCs w:val="18"/>
                <w:lang w:val="el-GR"/>
              </w:rPr>
              <w:t xml:space="preserve"> </w:t>
            </w:r>
          </w:p>
        </w:tc>
      </w:tr>
      <w:tr w:rsidR="00A67706" w:rsidRPr="0056738E" w14:paraId="22609D1D" w14:textId="77777777" w:rsidTr="00A21CB9">
        <w:tc>
          <w:tcPr>
            <w:tcW w:w="3261" w:type="dxa"/>
            <w:gridSpan w:val="2"/>
          </w:tcPr>
          <w:p w14:paraId="5D33ADF0" w14:textId="77777777" w:rsidR="00A67706" w:rsidRPr="006A5C18" w:rsidRDefault="00A67706" w:rsidP="00B917EA">
            <w:pPr>
              <w:pStyle w:val="FootnoteText"/>
              <w:rPr>
                <w:rFonts w:ascii="Arial" w:hAnsi="Arial" w:cs="Arial"/>
                <w:sz w:val="18"/>
                <w:szCs w:val="18"/>
                <w:lang w:val="el-GR"/>
              </w:rPr>
            </w:pPr>
          </w:p>
        </w:tc>
        <w:tc>
          <w:tcPr>
            <w:tcW w:w="6420" w:type="dxa"/>
            <w:gridSpan w:val="3"/>
          </w:tcPr>
          <w:p w14:paraId="22A4ABD4" w14:textId="77777777" w:rsidR="00A67706" w:rsidRPr="006A5C18" w:rsidRDefault="00A67706" w:rsidP="00B917EA">
            <w:pPr>
              <w:pStyle w:val="FootnoteText"/>
              <w:jc w:val="both"/>
              <w:rPr>
                <w:rFonts w:ascii="Arial" w:hAnsi="Arial" w:cs="Arial"/>
                <w:sz w:val="18"/>
                <w:szCs w:val="18"/>
                <w:lang w:val="el-GR"/>
              </w:rPr>
            </w:pPr>
          </w:p>
        </w:tc>
      </w:tr>
      <w:tr w:rsidR="00B917EA" w:rsidRPr="0056738E" w14:paraId="0169B8C5" w14:textId="77777777" w:rsidTr="00A21CB9">
        <w:tc>
          <w:tcPr>
            <w:tcW w:w="3261" w:type="dxa"/>
            <w:gridSpan w:val="2"/>
          </w:tcPr>
          <w:p w14:paraId="1728AA5C" w14:textId="4A96C4A1" w:rsidR="00B917EA" w:rsidRPr="006A5C18" w:rsidRDefault="00B917EA" w:rsidP="00B917EA">
            <w:pPr>
              <w:pStyle w:val="FootnoteText"/>
              <w:rPr>
                <w:rFonts w:ascii="Arial" w:hAnsi="Arial" w:cs="Arial"/>
                <w:sz w:val="18"/>
                <w:szCs w:val="18"/>
                <w:lang w:val="el-GR"/>
              </w:rPr>
            </w:pPr>
            <w:r w:rsidRPr="006A5C18">
              <w:rPr>
                <w:rFonts w:ascii="Arial" w:hAnsi="Arial" w:cs="Arial"/>
                <w:sz w:val="18"/>
                <w:szCs w:val="18"/>
                <w:lang w:val="el-GR"/>
              </w:rPr>
              <w:t xml:space="preserve">Βασικά κέρδη ανά μετοχή (που αναλογούν στους ιδιοκτήτες της Εταιρίας) </w:t>
            </w:r>
          </w:p>
          <w:p w14:paraId="0E1C4BB7" w14:textId="77777777" w:rsidR="00B917EA" w:rsidRPr="006A5C18" w:rsidRDefault="00B917EA" w:rsidP="00B917EA">
            <w:pPr>
              <w:pStyle w:val="FootnoteText"/>
              <w:rPr>
                <w:rFonts w:ascii="Arial" w:hAnsi="Arial" w:cs="Arial"/>
                <w:sz w:val="18"/>
                <w:szCs w:val="18"/>
                <w:lang w:val="el-GR"/>
              </w:rPr>
            </w:pPr>
          </w:p>
        </w:tc>
        <w:tc>
          <w:tcPr>
            <w:tcW w:w="6420" w:type="dxa"/>
            <w:gridSpan w:val="3"/>
          </w:tcPr>
          <w:p w14:paraId="6E91591C" w14:textId="0B11F511" w:rsidR="00B917EA" w:rsidRPr="006A5C18" w:rsidRDefault="00B917EA" w:rsidP="00B917EA">
            <w:pPr>
              <w:pStyle w:val="FootnoteText"/>
              <w:jc w:val="both"/>
              <w:rPr>
                <w:rFonts w:ascii="Arial" w:hAnsi="Arial" w:cs="Arial"/>
                <w:sz w:val="18"/>
                <w:szCs w:val="18"/>
                <w:lang w:val="el-GR"/>
              </w:rPr>
            </w:pPr>
            <w:r w:rsidRPr="006A5C18">
              <w:rPr>
                <w:rFonts w:ascii="Arial" w:hAnsi="Arial" w:cs="Arial"/>
                <w:sz w:val="18"/>
                <w:szCs w:val="18"/>
                <w:lang w:val="el-GR"/>
              </w:rPr>
              <w:t xml:space="preserve">Τα βασικά κέρδη μετά τη φορολογία ανά μετοχή (που αναλογούν στους ιδιοκτήτες της Εταιρίας) είναι τα κέρδη/(ζημιά) μετά τη φορολογία (που αναλογούν στους ιδιοκτήτες της Εταιρίας) διαιρεμένα με το </w:t>
            </w:r>
            <w:proofErr w:type="spellStart"/>
            <w:r w:rsidRPr="006A5C18">
              <w:rPr>
                <w:rFonts w:ascii="Arial" w:hAnsi="Arial" w:cs="Arial"/>
                <w:sz w:val="18"/>
                <w:szCs w:val="18"/>
                <w:lang w:val="el-GR"/>
              </w:rPr>
              <w:t>μεσοσταθμικό</w:t>
            </w:r>
            <w:proofErr w:type="spellEnd"/>
            <w:r w:rsidRPr="006A5C18">
              <w:rPr>
                <w:rFonts w:ascii="Arial" w:hAnsi="Arial" w:cs="Arial"/>
                <w:sz w:val="18"/>
                <w:szCs w:val="18"/>
                <w:lang w:val="el-GR"/>
              </w:rPr>
              <w:t xml:space="preserve"> αριθμό μετοχών που ήταν εκδομένες κατά τη διάρκεια της περιόδου, εξαιρουμένων των ιδίων μετοχών.</w:t>
            </w:r>
          </w:p>
          <w:p w14:paraId="591478C3" w14:textId="77777777" w:rsidR="00B917EA" w:rsidRPr="006A5C18" w:rsidRDefault="00B917EA" w:rsidP="00B917EA">
            <w:pPr>
              <w:pStyle w:val="FootnoteText"/>
              <w:jc w:val="both"/>
              <w:rPr>
                <w:rFonts w:ascii="Arial" w:hAnsi="Arial" w:cs="Arial"/>
                <w:sz w:val="18"/>
                <w:szCs w:val="18"/>
                <w:lang w:val="el-GR"/>
              </w:rPr>
            </w:pPr>
          </w:p>
        </w:tc>
      </w:tr>
      <w:tr w:rsidR="00A67706" w:rsidRPr="0056738E" w14:paraId="4BA53682" w14:textId="77777777" w:rsidTr="00DB30A6">
        <w:tc>
          <w:tcPr>
            <w:tcW w:w="3261" w:type="dxa"/>
            <w:gridSpan w:val="2"/>
            <w:shd w:val="clear" w:color="auto" w:fill="auto"/>
          </w:tcPr>
          <w:p w14:paraId="34A02045" w14:textId="77777777" w:rsidR="00A67706" w:rsidRPr="006A5C18" w:rsidRDefault="00A67706" w:rsidP="00B917EA">
            <w:pPr>
              <w:pStyle w:val="FootnoteText"/>
              <w:rPr>
                <w:rFonts w:ascii="Arial" w:hAnsi="Arial" w:cs="Arial"/>
                <w:sz w:val="18"/>
                <w:szCs w:val="18"/>
                <w:lang w:val="el-GR"/>
              </w:rPr>
            </w:pPr>
          </w:p>
        </w:tc>
        <w:tc>
          <w:tcPr>
            <w:tcW w:w="6420" w:type="dxa"/>
            <w:gridSpan w:val="3"/>
            <w:shd w:val="clear" w:color="auto" w:fill="auto"/>
          </w:tcPr>
          <w:p w14:paraId="7E02C750" w14:textId="77777777" w:rsidR="00A67706" w:rsidRPr="006A5C18" w:rsidRDefault="00A67706" w:rsidP="00B917EA">
            <w:pPr>
              <w:pStyle w:val="FootnoteText"/>
              <w:jc w:val="both"/>
              <w:rPr>
                <w:rFonts w:ascii="Arial" w:hAnsi="Arial" w:cs="Arial"/>
                <w:sz w:val="18"/>
                <w:szCs w:val="18"/>
                <w:lang w:val="el-GR"/>
              </w:rPr>
            </w:pPr>
          </w:p>
        </w:tc>
      </w:tr>
      <w:tr w:rsidR="00B917EA" w:rsidRPr="0056738E" w14:paraId="5DEA94AD" w14:textId="77777777" w:rsidTr="00DB30A6">
        <w:tc>
          <w:tcPr>
            <w:tcW w:w="3261" w:type="dxa"/>
            <w:gridSpan w:val="2"/>
            <w:shd w:val="clear" w:color="auto" w:fill="auto"/>
          </w:tcPr>
          <w:p w14:paraId="4FE20E92" w14:textId="77777777" w:rsidR="00B917EA" w:rsidRPr="006A5C18" w:rsidRDefault="00B917EA" w:rsidP="00B917EA">
            <w:pPr>
              <w:pStyle w:val="FootnoteText"/>
              <w:rPr>
                <w:rFonts w:ascii="Arial" w:hAnsi="Arial" w:cs="Arial"/>
                <w:sz w:val="18"/>
                <w:szCs w:val="18"/>
                <w:lang w:val="el-GR"/>
              </w:rPr>
            </w:pPr>
            <w:r w:rsidRPr="006A5C18">
              <w:rPr>
                <w:rFonts w:ascii="Arial" w:hAnsi="Arial" w:cs="Arial"/>
                <w:sz w:val="18"/>
                <w:szCs w:val="18"/>
                <w:lang w:val="el-GR"/>
              </w:rPr>
              <w:t>Δάνεια</w:t>
            </w:r>
          </w:p>
        </w:tc>
        <w:tc>
          <w:tcPr>
            <w:tcW w:w="6420" w:type="dxa"/>
            <w:gridSpan w:val="3"/>
            <w:shd w:val="clear" w:color="auto" w:fill="auto"/>
          </w:tcPr>
          <w:p w14:paraId="2E55C8F0" w14:textId="17D03B65" w:rsidR="00B917EA" w:rsidRPr="006A5C18" w:rsidRDefault="00B917EA" w:rsidP="00B917EA">
            <w:pPr>
              <w:pStyle w:val="FootnoteText"/>
              <w:jc w:val="both"/>
              <w:rPr>
                <w:rFonts w:ascii="Arial" w:hAnsi="Arial" w:cs="Arial"/>
                <w:sz w:val="18"/>
                <w:szCs w:val="18"/>
                <w:lang w:val="el-GR"/>
              </w:rPr>
            </w:pPr>
            <w:r w:rsidRPr="006A5C18">
              <w:rPr>
                <w:rFonts w:ascii="Arial" w:hAnsi="Arial" w:cs="Arial"/>
                <w:sz w:val="18"/>
                <w:szCs w:val="18"/>
                <w:lang w:val="el-GR"/>
              </w:rPr>
              <w:t xml:space="preserve">Τα δάνεια αποτελούνται από: (i) μεικτά δάνεια και απαιτήσεις από πελάτες που επιμετρούνται σε αποσβεσμένο κόστος πριν από την </w:t>
            </w:r>
            <w:proofErr w:type="spellStart"/>
            <w:r w:rsidRPr="006A5C18">
              <w:rPr>
                <w:rFonts w:ascii="Arial" w:hAnsi="Arial" w:cs="Arial"/>
                <w:sz w:val="18"/>
                <w:szCs w:val="18"/>
                <w:lang w:val="el-GR"/>
              </w:rPr>
              <w:t>εναπομείνουσα</w:t>
            </w:r>
            <w:proofErr w:type="spellEnd"/>
            <w:r w:rsidRPr="006A5C18">
              <w:rPr>
                <w:rFonts w:ascii="Arial" w:hAnsi="Arial" w:cs="Arial"/>
                <w:sz w:val="18"/>
                <w:szCs w:val="18"/>
                <w:lang w:val="el-GR"/>
              </w:rPr>
              <w:t xml:space="preserve"> αναπροσαρμογή στην εύλογη αξία κατά την αρχική αναγνώριση (περιλαμβανομένων δανείων και απαιτήσεων από πελάτες που κατηγοριοποιούνται ως μη κυκλοφοριακά περιουσιακά στοιχεία που κατέχονται προς πώληση όπου εφαρμόζεται) και (</w:t>
            </w:r>
            <w:proofErr w:type="spellStart"/>
            <w:r w:rsidRPr="006A5C18">
              <w:rPr>
                <w:rFonts w:ascii="Arial" w:hAnsi="Arial" w:cs="Arial"/>
                <w:sz w:val="18"/>
                <w:szCs w:val="18"/>
                <w:lang w:val="el-GR"/>
              </w:rPr>
              <w:t>ii</w:t>
            </w:r>
            <w:proofErr w:type="spellEnd"/>
            <w:r w:rsidRPr="006A5C18">
              <w:rPr>
                <w:rFonts w:ascii="Arial" w:hAnsi="Arial" w:cs="Arial"/>
                <w:sz w:val="18"/>
                <w:szCs w:val="18"/>
                <w:lang w:val="el-GR"/>
              </w:rPr>
              <w:t xml:space="preserve">) δάνεια και απαιτήσεις από πελάτες που κατηγοριοποιούνται και επιμετρούνται στην εύλογη αξία μέσω των αποτελεσμάτων αναπροσαρμοσμένα για τη συσσωρευμένη αναπροσαρμογή στην εύλογη αξία. </w:t>
            </w:r>
          </w:p>
          <w:p w14:paraId="2C0A7296" w14:textId="77777777" w:rsidR="00B917EA" w:rsidRPr="006A5C18" w:rsidRDefault="00B917EA" w:rsidP="00B917EA">
            <w:pPr>
              <w:pStyle w:val="FootnoteText"/>
              <w:jc w:val="both"/>
              <w:rPr>
                <w:rFonts w:ascii="Arial" w:hAnsi="Arial" w:cs="Arial"/>
                <w:sz w:val="18"/>
                <w:szCs w:val="18"/>
                <w:lang w:val="el-GR"/>
              </w:rPr>
            </w:pPr>
          </w:p>
          <w:p w14:paraId="27DA9E57" w14:textId="7C83029E" w:rsidR="00B917EA" w:rsidRPr="006A5C18" w:rsidRDefault="00B917EA" w:rsidP="00B917EA">
            <w:pPr>
              <w:pStyle w:val="FootnoteText"/>
              <w:jc w:val="both"/>
              <w:rPr>
                <w:rFonts w:ascii="Arial" w:hAnsi="Arial" w:cs="Arial"/>
                <w:sz w:val="18"/>
                <w:szCs w:val="18"/>
                <w:lang w:val="el-GR"/>
              </w:rPr>
            </w:pPr>
            <w:r w:rsidRPr="006A5C18">
              <w:rPr>
                <w:rFonts w:ascii="Arial" w:hAnsi="Arial" w:cs="Arial"/>
                <w:sz w:val="18"/>
                <w:szCs w:val="18"/>
                <w:lang w:val="el-GR"/>
              </w:rPr>
              <w:t>Τα δάνεια παρουσιάζονται πριν την αναπροσαρμογή στην υπολειμματική εύλογη αξία κατά την αρχική αναγνώριση κυρίως σε σχέση με τα δάνεια που αποκτήθηκαν από τη Λαϊκή Τράπεζα (υπολογίζεται ως η διαφορά μεταξύ του ανεξόφλητου συμβατικού ποσού και της εύλογης αξίας των δανείων κατά την ημερομηνία της εξαγοράς) συνολικού ύψους €</w:t>
            </w:r>
            <w:r w:rsidR="00A01BCD" w:rsidRPr="006A5C18">
              <w:rPr>
                <w:rFonts w:ascii="Arial" w:hAnsi="Arial" w:cs="Arial"/>
                <w:sz w:val="18"/>
                <w:szCs w:val="18"/>
                <w:lang w:val="el-GR"/>
              </w:rPr>
              <w:t>61</w:t>
            </w:r>
            <w:r w:rsidRPr="006A5C18">
              <w:rPr>
                <w:rFonts w:ascii="Arial" w:hAnsi="Arial" w:cs="Arial"/>
                <w:sz w:val="18"/>
                <w:szCs w:val="18"/>
                <w:lang w:val="el-GR"/>
              </w:rPr>
              <w:t xml:space="preserve"> εκατ. στις </w:t>
            </w:r>
            <w:r w:rsidR="00A67706" w:rsidRPr="006A5C18">
              <w:rPr>
                <w:rFonts w:ascii="Arial" w:hAnsi="Arial" w:cs="Arial"/>
                <w:sz w:val="18"/>
                <w:szCs w:val="18"/>
                <w:lang w:val="el-GR"/>
              </w:rPr>
              <w:t>30</w:t>
            </w:r>
            <w:r w:rsidRPr="006A5C18">
              <w:rPr>
                <w:rFonts w:ascii="Arial" w:hAnsi="Arial" w:cs="Arial"/>
                <w:sz w:val="18"/>
                <w:szCs w:val="18"/>
                <w:lang w:val="el-GR"/>
              </w:rPr>
              <w:t xml:space="preserve"> </w:t>
            </w:r>
            <w:r w:rsidR="00A01BCD" w:rsidRPr="006A5C18">
              <w:rPr>
                <w:rFonts w:ascii="Arial" w:hAnsi="Arial" w:cs="Arial"/>
                <w:sz w:val="18"/>
                <w:szCs w:val="18"/>
                <w:lang w:val="el-GR"/>
              </w:rPr>
              <w:t>Σεπτεμβρίου</w:t>
            </w:r>
            <w:r w:rsidRPr="006A5C18">
              <w:rPr>
                <w:rFonts w:ascii="Arial" w:hAnsi="Arial" w:cs="Arial"/>
                <w:sz w:val="18"/>
                <w:szCs w:val="18"/>
                <w:lang w:val="el-GR"/>
              </w:rPr>
              <w:t xml:space="preserve"> 2024 (σε σύγκριση με </w:t>
            </w:r>
            <w:r w:rsidR="00A01BCD" w:rsidRPr="006A5C18">
              <w:rPr>
                <w:rFonts w:ascii="Arial" w:hAnsi="Arial" w:cs="Arial"/>
                <w:sz w:val="18"/>
                <w:szCs w:val="18"/>
                <w:lang w:val="el-GR"/>
              </w:rPr>
              <w:t xml:space="preserve">€60 εκατ. στις 30 Ιουνίου 2024, με €67 εκατ. στις 31 Μαρτίου 2024 </w:t>
            </w:r>
            <w:r w:rsidR="00A67706" w:rsidRPr="006A5C18">
              <w:rPr>
                <w:rFonts w:ascii="Arial" w:hAnsi="Arial" w:cs="Arial"/>
                <w:sz w:val="18"/>
                <w:szCs w:val="18"/>
                <w:lang w:val="el-GR"/>
              </w:rPr>
              <w:t xml:space="preserve">και με </w:t>
            </w:r>
            <w:r w:rsidRPr="006A5C18">
              <w:rPr>
                <w:rFonts w:ascii="Arial" w:hAnsi="Arial" w:cs="Arial"/>
                <w:sz w:val="18"/>
                <w:szCs w:val="18"/>
                <w:lang w:val="el-GR"/>
              </w:rPr>
              <w:t xml:space="preserve">€69 εκατ. στις 31 Δεκεμβρίου 2023). </w:t>
            </w:r>
          </w:p>
          <w:p w14:paraId="08F92BC7" w14:textId="77777777" w:rsidR="00B917EA" w:rsidRPr="006A5C18" w:rsidRDefault="00B917EA" w:rsidP="00B917EA">
            <w:pPr>
              <w:pStyle w:val="FootnoteText"/>
              <w:jc w:val="both"/>
              <w:rPr>
                <w:rFonts w:ascii="Arial" w:hAnsi="Arial" w:cs="Arial"/>
                <w:sz w:val="18"/>
                <w:szCs w:val="18"/>
                <w:lang w:val="el-GR"/>
              </w:rPr>
            </w:pPr>
          </w:p>
          <w:p w14:paraId="5A111F4C" w14:textId="30B44F0B" w:rsidR="00B917EA" w:rsidRPr="006A5C18" w:rsidRDefault="00B917EA" w:rsidP="00B917EA">
            <w:pPr>
              <w:pStyle w:val="FootnoteText"/>
              <w:jc w:val="both"/>
              <w:rPr>
                <w:rFonts w:ascii="Arial" w:hAnsi="Arial" w:cs="Arial"/>
                <w:sz w:val="18"/>
                <w:szCs w:val="18"/>
                <w:lang w:val="el-GR"/>
              </w:rPr>
            </w:pPr>
            <w:r w:rsidRPr="006A5C18">
              <w:rPr>
                <w:rFonts w:ascii="Arial" w:hAnsi="Arial" w:cs="Arial"/>
                <w:sz w:val="18"/>
                <w:szCs w:val="18"/>
                <w:lang w:val="el-GR"/>
              </w:rPr>
              <w:t>Επιπρόσθετα, τα δάνεια περιλαμβάνουν δάνεια και απαιτήσεις από πελάτες που κατηγοριοποιούνται και επιμετρούνται στην εύλογη αξία μέσω της κατάστασης λογαριασμού αποτελεσμάτων</w:t>
            </w:r>
            <w:r w:rsidRPr="006A5C18">
              <w:rPr>
                <w:rFonts w:ascii="Arial" w:hAnsi="Arial" w:cs="Arial"/>
                <w:lang w:val="el-GR"/>
              </w:rPr>
              <w:t xml:space="preserve"> </w:t>
            </w:r>
            <w:r w:rsidRPr="006A5C18">
              <w:rPr>
                <w:rFonts w:ascii="Arial" w:hAnsi="Arial" w:cs="Arial"/>
                <w:sz w:val="18"/>
                <w:szCs w:val="18"/>
                <w:lang w:val="el-GR"/>
              </w:rPr>
              <w:t>αναπροσαρμοσμένα για τη συσσωρευμένη αναπροσαρμογή στην εύλογη αξία ύψους €</w:t>
            </w:r>
            <w:r w:rsidR="00A01BCD" w:rsidRPr="006A5C18">
              <w:rPr>
                <w:rFonts w:ascii="Arial" w:hAnsi="Arial" w:cs="Arial"/>
                <w:sz w:val="18"/>
                <w:szCs w:val="18"/>
                <w:lang w:val="el-GR"/>
              </w:rPr>
              <w:t>129</w:t>
            </w:r>
            <w:r w:rsidRPr="006A5C18">
              <w:rPr>
                <w:rFonts w:ascii="Arial" w:hAnsi="Arial" w:cs="Arial"/>
                <w:sz w:val="18"/>
                <w:szCs w:val="18"/>
                <w:lang w:val="el-GR"/>
              </w:rPr>
              <w:t xml:space="preserve"> εκατ.</w:t>
            </w:r>
            <w:r w:rsidR="00A67706" w:rsidRPr="006A5C18">
              <w:rPr>
                <w:rFonts w:ascii="Arial" w:hAnsi="Arial" w:cs="Arial"/>
                <w:sz w:val="18"/>
                <w:szCs w:val="18"/>
                <w:lang w:val="el-GR"/>
              </w:rPr>
              <w:t xml:space="preserve"> </w:t>
            </w:r>
            <w:r w:rsidRPr="006A5C18">
              <w:rPr>
                <w:rFonts w:ascii="Arial" w:hAnsi="Arial" w:cs="Arial"/>
                <w:sz w:val="18"/>
                <w:szCs w:val="18"/>
                <w:lang w:val="el-GR"/>
              </w:rPr>
              <w:t xml:space="preserve">στις </w:t>
            </w:r>
            <w:r w:rsidR="00A67706" w:rsidRPr="006A5C18">
              <w:rPr>
                <w:rFonts w:ascii="Arial" w:hAnsi="Arial" w:cs="Arial"/>
                <w:sz w:val="18"/>
                <w:szCs w:val="18"/>
                <w:lang w:val="el-GR"/>
              </w:rPr>
              <w:t>30</w:t>
            </w:r>
            <w:r w:rsidRPr="006A5C18">
              <w:rPr>
                <w:rFonts w:ascii="Arial" w:hAnsi="Arial" w:cs="Arial"/>
                <w:sz w:val="18"/>
                <w:szCs w:val="18"/>
                <w:lang w:val="el-GR"/>
              </w:rPr>
              <w:t xml:space="preserve"> </w:t>
            </w:r>
            <w:r w:rsidR="00A01BCD" w:rsidRPr="006A5C18">
              <w:rPr>
                <w:rFonts w:ascii="Arial" w:hAnsi="Arial" w:cs="Arial"/>
                <w:sz w:val="18"/>
                <w:szCs w:val="18"/>
                <w:lang w:val="el-GR"/>
              </w:rPr>
              <w:t>Σεπτεμβρίου</w:t>
            </w:r>
            <w:r w:rsidRPr="006A5C18">
              <w:rPr>
                <w:rFonts w:ascii="Arial" w:hAnsi="Arial" w:cs="Arial"/>
                <w:sz w:val="18"/>
                <w:szCs w:val="18"/>
                <w:lang w:val="el-GR"/>
              </w:rPr>
              <w:t xml:space="preserve"> 2024 (σε σύγκριση με </w:t>
            </w:r>
            <w:r w:rsidR="00A01BCD" w:rsidRPr="006A5C18">
              <w:rPr>
                <w:rFonts w:ascii="Arial" w:hAnsi="Arial" w:cs="Arial"/>
                <w:sz w:val="18"/>
                <w:szCs w:val="18"/>
                <w:lang w:val="el-GR"/>
              </w:rPr>
              <w:t xml:space="preserve">€133 εκατ. στις 30 Ιουνίου 2024, με </w:t>
            </w:r>
            <w:r w:rsidR="00A67706" w:rsidRPr="006A5C18">
              <w:rPr>
                <w:rFonts w:ascii="Arial" w:hAnsi="Arial" w:cs="Arial"/>
                <w:sz w:val="18"/>
                <w:szCs w:val="18"/>
                <w:lang w:val="el-GR"/>
              </w:rPr>
              <w:t xml:space="preserve">€134 εκατ. στις 31 Μαρτίου 2024 και με </w:t>
            </w:r>
            <w:r w:rsidRPr="006A5C18">
              <w:rPr>
                <w:rFonts w:ascii="Arial" w:hAnsi="Arial" w:cs="Arial"/>
                <w:sz w:val="18"/>
                <w:szCs w:val="18"/>
                <w:lang w:val="el-GR"/>
              </w:rPr>
              <w:t xml:space="preserve">€138 εκατ. στις 31 Δεκεμβρίου 2023). </w:t>
            </w:r>
          </w:p>
        </w:tc>
      </w:tr>
      <w:tr w:rsidR="00B917EA" w:rsidRPr="0056738E" w14:paraId="1D612C98" w14:textId="77777777" w:rsidTr="00A21CB9">
        <w:tc>
          <w:tcPr>
            <w:tcW w:w="3261" w:type="dxa"/>
            <w:gridSpan w:val="2"/>
          </w:tcPr>
          <w:p w14:paraId="0B56AA89" w14:textId="77777777" w:rsidR="00B917EA" w:rsidRPr="006A5C18" w:rsidRDefault="00B917EA" w:rsidP="00B917EA">
            <w:pPr>
              <w:pStyle w:val="FootnoteText"/>
              <w:rPr>
                <w:rFonts w:ascii="Arial" w:hAnsi="Arial" w:cs="Arial"/>
                <w:sz w:val="18"/>
                <w:szCs w:val="18"/>
                <w:lang w:val="el-GR"/>
              </w:rPr>
            </w:pPr>
          </w:p>
        </w:tc>
        <w:tc>
          <w:tcPr>
            <w:tcW w:w="6420" w:type="dxa"/>
            <w:gridSpan w:val="3"/>
          </w:tcPr>
          <w:p w14:paraId="16D8FCA6" w14:textId="77777777" w:rsidR="00B917EA" w:rsidRPr="006A5C18" w:rsidRDefault="00B917EA" w:rsidP="00B917EA">
            <w:pPr>
              <w:pStyle w:val="FootnoteText"/>
              <w:jc w:val="both"/>
              <w:rPr>
                <w:rFonts w:ascii="Arial" w:hAnsi="Arial" w:cs="Arial"/>
                <w:sz w:val="18"/>
                <w:szCs w:val="18"/>
                <w:lang w:val="el-GR"/>
              </w:rPr>
            </w:pPr>
          </w:p>
        </w:tc>
      </w:tr>
      <w:tr w:rsidR="00B917EA" w:rsidRPr="0056738E" w14:paraId="1964BCA8" w14:textId="77777777" w:rsidTr="00A21CB9">
        <w:tc>
          <w:tcPr>
            <w:tcW w:w="3261" w:type="dxa"/>
            <w:gridSpan w:val="2"/>
          </w:tcPr>
          <w:p w14:paraId="022E8B1E" w14:textId="77777777" w:rsidR="00B917EA" w:rsidRPr="006A5C18" w:rsidRDefault="00B917EA" w:rsidP="00B917EA">
            <w:pPr>
              <w:pStyle w:val="FootnoteText"/>
              <w:rPr>
                <w:rFonts w:ascii="Arial" w:hAnsi="Arial" w:cs="Arial"/>
                <w:sz w:val="18"/>
                <w:szCs w:val="18"/>
                <w:lang w:val="el-GR"/>
              </w:rPr>
            </w:pPr>
            <w:r w:rsidRPr="006A5C18">
              <w:rPr>
                <w:rFonts w:ascii="Arial" w:hAnsi="Arial" w:cs="Arial"/>
                <w:bCs/>
                <w:sz w:val="18"/>
                <w:szCs w:val="18"/>
                <w:lang w:val="el-GR"/>
              </w:rPr>
              <w:t>Δείκτης Καθαρής Σταθερής Χρηματοδότησης (ΔΚΣΧ)</w:t>
            </w:r>
          </w:p>
        </w:tc>
        <w:tc>
          <w:tcPr>
            <w:tcW w:w="6420" w:type="dxa"/>
            <w:gridSpan w:val="3"/>
          </w:tcPr>
          <w:p w14:paraId="4E9BA622" w14:textId="77777777" w:rsidR="00B917EA" w:rsidRPr="006A5C18" w:rsidRDefault="00B917EA" w:rsidP="00B917EA">
            <w:pPr>
              <w:jc w:val="both"/>
              <w:rPr>
                <w:rFonts w:ascii="Arial" w:hAnsi="Arial" w:cs="Arial"/>
                <w:sz w:val="18"/>
                <w:szCs w:val="18"/>
                <w:lang w:val="el-GR"/>
              </w:rPr>
            </w:pPr>
            <w:r w:rsidRPr="006A5C18">
              <w:rPr>
                <w:rFonts w:ascii="Arial" w:hAnsi="Arial" w:cs="Arial"/>
                <w:sz w:val="18"/>
                <w:szCs w:val="18"/>
                <w:lang w:val="el-GR"/>
              </w:rPr>
              <w:t xml:space="preserve">Ο Δείκτης Καθαρής Σταθερής Χρηματοδότησης (ΔΚΣΧ) υπολογίζεται ως τα ‘Διαθέσιμα Ποσά Σταθερής Χρηματοδότησης’ σε σχέση με τα ‘Απαιτούμενα Ποσά Σταθερής Χρηματοδότησης’. Το όριο με βάση τον Κανονισμό Κεφαλαιακών Απαιτήσεων ΙΙ (CRR II) που μπήκε σε ισχύ τον Ιούνιο του 2021 έχει τεθεί στο 100%.  </w:t>
            </w:r>
          </w:p>
          <w:p w14:paraId="444154F3" w14:textId="77777777" w:rsidR="00B917EA" w:rsidRPr="006A5C18" w:rsidRDefault="00B917EA" w:rsidP="00B917EA">
            <w:pPr>
              <w:jc w:val="both"/>
              <w:rPr>
                <w:rFonts w:ascii="Arial" w:hAnsi="Arial" w:cs="Arial"/>
                <w:sz w:val="18"/>
                <w:szCs w:val="18"/>
                <w:lang w:val="el-GR"/>
              </w:rPr>
            </w:pPr>
          </w:p>
        </w:tc>
      </w:tr>
      <w:tr w:rsidR="00B917EA" w:rsidRPr="0056738E" w14:paraId="4B8ED77D" w14:textId="77777777" w:rsidTr="00A21CB9">
        <w:tc>
          <w:tcPr>
            <w:tcW w:w="3261" w:type="dxa"/>
            <w:gridSpan w:val="2"/>
          </w:tcPr>
          <w:p w14:paraId="2C00AE8A" w14:textId="77777777" w:rsidR="00B917EA" w:rsidRPr="006A5C18" w:rsidRDefault="00B917EA" w:rsidP="00B917EA">
            <w:pPr>
              <w:pStyle w:val="FootnoteText"/>
              <w:rPr>
                <w:rFonts w:ascii="Arial" w:hAnsi="Arial" w:cs="Arial"/>
                <w:sz w:val="18"/>
                <w:szCs w:val="18"/>
                <w:lang w:val="el-GR"/>
              </w:rPr>
            </w:pPr>
          </w:p>
        </w:tc>
        <w:tc>
          <w:tcPr>
            <w:tcW w:w="6420" w:type="dxa"/>
            <w:gridSpan w:val="3"/>
          </w:tcPr>
          <w:p w14:paraId="3134A446" w14:textId="77777777" w:rsidR="00B917EA" w:rsidRPr="006A5C18" w:rsidRDefault="00B917EA" w:rsidP="00B917EA">
            <w:pPr>
              <w:jc w:val="both"/>
              <w:rPr>
                <w:rFonts w:ascii="Arial" w:hAnsi="Arial" w:cs="Arial"/>
                <w:sz w:val="18"/>
                <w:szCs w:val="18"/>
                <w:lang w:val="el-GR"/>
              </w:rPr>
            </w:pPr>
          </w:p>
        </w:tc>
      </w:tr>
      <w:tr w:rsidR="00B917EA" w:rsidRPr="0056738E" w14:paraId="719AA529" w14:textId="77777777" w:rsidTr="00A21CB9">
        <w:tc>
          <w:tcPr>
            <w:tcW w:w="3261" w:type="dxa"/>
            <w:gridSpan w:val="2"/>
          </w:tcPr>
          <w:p w14:paraId="48A62C5B" w14:textId="77777777" w:rsidR="00B917EA" w:rsidRPr="006A5C18" w:rsidRDefault="00B917EA" w:rsidP="00B917EA">
            <w:pPr>
              <w:pStyle w:val="FootnoteText"/>
              <w:rPr>
                <w:rFonts w:ascii="Arial" w:hAnsi="Arial" w:cs="Arial"/>
                <w:bCs/>
                <w:sz w:val="18"/>
                <w:szCs w:val="18"/>
                <w:lang w:val="el-GR"/>
              </w:rPr>
            </w:pPr>
            <w:r w:rsidRPr="006A5C18">
              <w:rPr>
                <w:rFonts w:ascii="Arial" w:hAnsi="Arial" w:cs="Arial"/>
                <w:sz w:val="18"/>
                <w:szCs w:val="18"/>
                <w:lang w:val="el-GR"/>
              </w:rPr>
              <w:t>Δείκτης καθαρών δανείων προς καταθέσεις</w:t>
            </w:r>
          </w:p>
        </w:tc>
        <w:tc>
          <w:tcPr>
            <w:tcW w:w="6420" w:type="dxa"/>
            <w:gridSpan w:val="3"/>
          </w:tcPr>
          <w:p w14:paraId="2A008929" w14:textId="77777777" w:rsidR="00B917EA" w:rsidRPr="006A5C18" w:rsidRDefault="00B917EA" w:rsidP="00B917EA">
            <w:pPr>
              <w:jc w:val="both"/>
              <w:rPr>
                <w:rFonts w:ascii="Arial" w:hAnsi="Arial" w:cs="Arial"/>
                <w:sz w:val="18"/>
                <w:szCs w:val="18"/>
                <w:lang w:val="el-GR"/>
              </w:rPr>
            </w:pPr>
            <w:r w:rsidRPr="006A5C18">
              <w:rPr>
                <w:rFonts w:ascii="Arial" w:hAnsi="Arial" w:cs="Arial"/>
                <w:sz w:val="18"/>
                <w:szCs w:val="18"/>
                <w:lang w:val="el-GR"/>
              </w:rPr>
              <w:t xml:space="preserve">Ο δείκτης καθαρών δανείων προς καταθέσεις υπολογίζεται ως τα δάνεια (όπως ορίζονται) μείον τις συσσωρευμένες αναμενόμενες πιστωτικές ζημιές δανείων (όπως ορίζονται) ως προς το σύνολο των καταθέσεων. </w:t>
            </w:r>
          </w:p>
        </w:tc>
      </w:tr>
      <w:bookmarkEnd w:id="52"/>
      <w:tr w:rsidR="00A67706" w:rsidRPr="0056738E" w14:paraId="2E566297" w14:textId="77777777" w:rsidTr="00A67706">
        <w:trPr>
          <w:trHeight w:val="211"/>
        </w:trPr>
        <w:tc>
          <w:tcPr>
            <w:tcW w:w="3261" w:type="dxa"/>
            <w:gridSpan w:val="2"/>
          </w:tcPr>
          <w:p w14:paraId="3F94F34A" w14:textId="77777777" w:rsidR="00A67706" w:rsidRPr="006A5C18" w:rsidRDefault="00A67706" w:rsidP="00A67706">
            <w:pPr>
              <w:pStyle w:val="FootnoteText"/>
              <w:rPr>
                <w:rFonts w:ascii="Arial" w:hAnsi="Arial" w:cs="Arial"/>
                <w:sz w:val="18"/>
                <w:szCs w:val="18"/>
                <w:lang w:val="el-GR"/>
              </w:rPr>
            </w:pPr>
          </w:p>
        </w:tc>
        <w:tc>
          <w:tcPr>
            <w:tcW w:w="6420" w:type="dxa"/>
            <w:gridSpan w:val="3"/>
          </w:tcPr>
          <w:p w14:paraId="50462716" w14:textId="13E02603" w:rsidR="00A67706" w:rsidRPr="006A5C18" w:rsidRDefault="00A67706" w:rsidP="00A67706">
            <w:pPr>
              <w:jc w:val="both"/>
              <w:rPr>
                <w:rFonts w:ascii="Arial" w:hAnsi="Arial" w:cs="Arial"/>
                <w:sz w:val="18"/>
                <w:szCs w:val="18"/>
                <w:lang w:val="el-GR"/>
              </w:rPr>
            </w:pPr>
          </w:p>
        </w:tc>
      </w:tr>
      <w:tr w:rsidR="00A67706" w:rsidRPr="0056738E" w14:paraId="50837AD6" w14:textId="77777777" w:rsidTr="00A21CB9">
        <w:tc>
          <w:tcPr>
            <w:tcW w:w="3261" w:type="dxa"/>
            <w:gridSpan w:val="2"/>
          </w:tcPr>
          <w:p w14:paraId="70346A5D" w14:textId="7FCF58A6" w:rsidR="00A67706" w:rsidRPr="006A5C18" w:rsidRDefault="00A67706" w:rsidP="00A67706">
            <w:pPr>
              <w:pStyle w:val="FootnoteText"/>
              <w:rPr>
                <w:rFonts w:ascii="Arial" w:hAnsi="Arial" w:cs="Arial"/>
                <w:sz w:val="18"/>
                <w:szCs w:val="18"/>
                <w:lang w:val="el-GR"/>
              </w:rPr>
            </w:pPr>
            <w:r w:rsidRPr="006A5C18">
              <w:rPr>
                <w:rFonts w:ascii="Arial" w:hAnsi="Arial" w:cs="Arial"/>
                <w:sz w:val="18"/>
                <w:szCs w:val="18"/>
                <w:lang w:val="el-GR"/>
              </w:rPr>
              <w:t>Δείκτης Κεφαλαίου Κοινών Μετοχών Κατηγορίας 1 (CET1) (με μεταβατικές διατάξεις)</w:t>
            </w:r>
          </w:p>
        </w:tc>
        <w:tc>
          <w:tcPr>
            <w:tcW w:w="6420" w:type="dxa"/>
            <w:gridSpan w:val="3"/>
          </w:tcPr>
          <w:p w14:paraId="25E154EB" w14:textId="3120DD4A" w:rsidR="00A67706" w:rsidRPr="006A5C18" w:rsidRDefault="00A67706" w:rsidP="00A67706">
            <w:pPr>
              <w:jc w:val="both"/>
              <w:rPr>
                <w:rFonts w:ascii="Arial" w:hAnsi="Arial" w:cs="Arial"/>
                <w:sz w:val="18"/>
                <w:szCs w:val="18"/>
                <w:lang w:val="el-GR"/>
              </w:rPr>
            </w:pPr>
            <w:r w:rsidRPr="006A5C18">
              <w:rPr>
                <w:rFonts w:ascii="Arial" w:hAnsi="Arial" w:cs="Arial"/>
                <w:sz w:val="18"/>
                <w:szCs w:val="18"/>
                <w:lang w:val="el-GR"/>
              </w:rPr>
              <w:t xml:space="preserve">Ο Δείκτης Κεφαλαίου Κοινών Μετοχών Κατηγορίας 1 (με μεταβατικές διατάξεις) έχει καθοριστεί σύμφωνα με τις απαιτήσεις του Κανονισμού Κεφαλαιακών Απαιτήσεων (CRR) (ΕΕ) </w:t>
            </w:r>
            <w:proofErr w:type="spellStart"/>
            <w:r w:rsidRPr="006A5C18">
              <w:rPr>
                <w:rFonts w:ascii="Arial" w:hAnsi="Arial" w:cs="Arial"/>
                <w:sz w:val="18"/>
                <w:szCs w:val="18"/>
                <w:lang w:val="el-GR"/>
              </w:rPr>
              <w:t>Αρ</w:t>
            </w:r>
            <w:proofErr w:type="spellEnd"/>
            <w:r w:rsidRPr="006A5C18">
              <w:rPr>
                <w:rFonts w:ascii="Arial" w:hAnsi="Arial" w:cs="Arial"/>
                <w:sz w:val="18"/>
                <w:szCs w:val="18"/>
                <w:lang w:val="el-GR"/>
              </w:rPr>
              <w:t xml:space="preserve">. 575/2013, όπως τροποποιήθηκε από τον </w:t>
            </w:r>
            <w:r w:rsidRPr="006A5C18">
              <w:rPr>
                <w:rFonts w:ascii="Arial" w:hAnsi="Arial" w:cs="Arial"/>
                <w:sz w:val="18"/>
                <w:szCs w:val="18"/>
              </w:rPr>
              <w:t>CRR</w:t>
            </w:r>
            <w:r w:rsidRPr="006A5C18">
              <w:rPr>
                <w:rFonts w:ascii="Arial" w:hAnsi="Arial" w:cs="Arial"/>
                <w:sz w:val="18"/>
                <w:szCs w:val="18"/>
                <w:lang w:val="el-GR"/>
              </w:rPr>
              <w:t xml:space="preserve"> </w:t>
            </w:r>
            <w:r w:rsidRPr="006A5C18">
              <w:rPr>
                <w:rFonts w:ascii="Arial" w:hAnsi="Arial" w:cs="Arial"/>
                <w:sz w:val="18"/>
                <w:szCs w:val="18"/>
              </w:rPr>
              <w:t>II</w:t>
            </w:r>
            <w:r w:rsidRPr="006A5C18">
              <w:rPr>
                <w:rFonts w:ascii="Arial" w:hAnsi="Arial" w:cs="Arial"/>
                <w:sz w:val="18"/>
                <w:szCs w:val="18"/>
                <w:lang w:val="el-GR"/>
              </w:rPr>
              <w:t>, όπως εφαρμόζεται κατά την ημερομηνία αναφοράς.</w:t>
            </w:r>
          </w:p>
        </w:tc>
      </w:tr>
      <w:tr w:rsidR="00A67706" w:rsidRPr="0056738E" w14:paraId="6CCE2806" w14:textId="77777777" w:rsidTr="00EC61E2">
        <w:tc>
          <w:tcPr>
            <w:tcW w:w="9681" w:type="dxa"/>
            <w:gridSpan w:val="5"/>
          </w:tcPr>
          <w:p w14:paraId="0674A1D7" w14:textId="77777777" w:rsidR="00A67706" w:rsidRPr="006A5C18" w:rsidRDefault="00A67706" w:rsidP="00A67706">
            <w:pPr>
              <w:jc w:val="both"/>
              <w:rPr>
                <w:rFonts w:ascii="Arial" w:hAnsi="Arial" w:cs="Arial"/>
                <w:b/>
                <w:color w:val="FF9900"/>
                <w:sz w:val="24"/>
                <w:szCs w:val="24"/>
                <w:lang w:val="el-GR"/>
              </w:rPr>
            </w:pPr>
          </w:p>
          <w:p w14:paraId="2A95B92A" w14:textId="4B4D05E0" w:rsidR="00A67706" w:rsidRPr="006A5C18" w:rsidRDefault="005F1DE6" w:rsidP="00A67706">
            <w:pPr>
              <w:jc w:val="both"/>
              <w:rPr>
                <w:rFonts w:ascii="Arial" w:hAnsi="Arial" w:cs="Arial"/>
                <w:bCs/>
                <w:color w:val="FF9900"/>
                <w:sz w:val="24"/>
                <w:szCs w:val="24"/>
                <w:lang w:val="el-GR"/>
              </w:rPr>
            </w:pPr>
            <w:r>
              <w:rPr>
                <w:rFonts w:ascii="Arial" w:hAnsi="Arial" w:cs="Arial"/>
                <w:b/>
                <w:color w:val="FF9900"/>
                <w:sz w:val="24"/>
                <w:szCs w:val="24"/>
                <w:lang w:val="el-GR"/>
              </w:rPr>
              <w:lastRenderedPageBreak/>
              <w:t>Θ</w:t>
            </w:r>
            <w:r w:rsidR="00A67706" w:rsidRPr="006A5C18">
              <w:rPr>
                <w:rFonts w:ascii="Arial" w:hAnsi="Arial" w:cs="Arial"/>
                <w:b/>
                <w:color w:val="FF9900"/>
                <w:sz w:val="24"/>
                <w:szCs w:val="24"/>
                <w:lang w:val="el-GR"/>
              </w:rPr>
              <w:t>. Όροι και Επεξηγήσεις</w:t>
            </w:r>
            <w:r w:rsidR="00A67706" w:rsidRPr="006A5C18">
              <w:rPr>
                <w:rFonts w:ascii="Arial" w:hAnsi="Arial" w:cs="Arial"/>
                <w:bCs/>
                <w:color w:val="FF9900"/>
                <w:sz w:val="24"/>
                <w:szCs w:val="24"/>
                <w:lang w:val="el-GR"/>
              </w:rPr>
              <w:t xml:space="preserve"> (συνέχεια)</w:t>
            </w:r>
          </w:p>
          <w:p w14:paraId="4259097F" w14:textId="77777777" w:rsidR="00A67706" w:rsidRPr="006A5C18" w:rsidRDefault="00A67706" w:rsidP="00A67706">
            <w:pPr>
              <w:jc w:val="both"/>
              <w:rPr>
                <w:rFonts w:ascii="Arial" w:hAnsi="Arial" w:cs="Arial"/>
                <w:sz w:val="18"/>
                <w:szCs w:val="18"/>
                <w:lang w:val="el-GR"/>
              </w:rPr>
            </w:pPr>
          </w:p>
        </w:tc>
      </w:tr>
      <w:tr w:rsidR="00A67706" w:rsidRPr="0056738E" w14:paraId="36AB09F0" w14:textId="77777777" w:rsidTr="00A21CB9">
        <w:tc>
          <w:tcPr>
            <w:tcW w:w="3261" w:type="dxa"/>
            <w:gridSpan w:val="2"/>
          </w:tcPr>
          <w:p w14:paraId="3013208C" w14:textId="019201D2" w:rsidR="00A67706" w:rsidRPr="006A5C18" w:rsidRDefault="00A67706" w:rsidP="00A67706">
            <w:pPr>
              <w:pStyle w:val="FootnoteText"/>
              <w:rPr>
                <w:rFonts w:ascii="Arial" w:hAnsi="Arial" w:cs="Arial"/>
                <w:sz w:val="18"/>
                <w:szCs w:val="18"/>
                <w:lang w:val="el-GR"/>
              </w:rPr>
            </w:pPr>
            <w:r w:rsidRPr="006A5C18">
              <w:rPr>
                <w:rFonts w:ascii="Arial" w:hAnsi="Arial" w:cs="Arial"/>
                <w:sz w:val="18"/>
                <w:szCs w:val="18"/>
                <w:lang w:val="el-GR"/>
              </w:rPr>
              <w:lastRenderedPageBreak/>
              <w:t>Δείκτης Κεφαλαίου Κοινών Μετοχών Κατηγορίας 1 (CET1) (χωρίς μεταβατικές διατάξεις)</w:t>
            </w:r>
          </w:p>
        </w:tc>
        <w:tc>
          <w:tcPr>
            <w:tcW w:w="6420" w:type="dxa"/>
            <w:gridSpan w:val="3"/>
          </w:tcPr>
          <w:p w14:paraId="68D46171" w14:textId="6021B946" w:rsidR="00A67706" w:rsidRPr="006A5C18" w:rsidRDefault="00A67706" w:rsidP="00A67706">
            <w:pPr>
              <w:jc w:val="both"/>
              <w:rPr>
                <w:rFonts w:ascii="Arial" w:hAnsi="Arial" w:cs="Arial"/>
                <w:sz w:val="18"/>
                <w:szCs w:val="18"/>
                <w:lang w:val="el-GR"/>
              </w:rPr>
            </w:pPr>
            <w:r w:rsidRPr="006A5C18">
              <w:rPr>
                <w:rFonts w:ascii="Arial" w:hAnsi="Arial" w:cs="Arial"/>
                <w:sz w:val="18"/>
                <w:szCs w:val="18"/>
                <w:lang w:val="el-GR"/>
              </w:rPr>
              <w:t xml:space="preserve">Ο Δείκτης Κεφαλαίου Κοινών Μετοχών Κατηγορίας 1 (χωρίς μεταβατικές διατάξεις) έχει καθοριστεί σύμφωνα με τις απαιτήσεις του Κανονισμού Κεφαλαιακών Απαιτήσεων (ΕΕ) Αρ.575/2013, όπως τροποποιήθηκε από τον </w:t>
            </w:r>
            <w:r w:rsidRPr="006A5C18">
              <w:rPr>
                <w:rFonts w:ascii="Arial" w:hAnsi="Arial" w:cs="Arial"/>
                <w:sz w:val="18"/>
                <w:szCs w:val="18"/>
              </w:rPr>
              <w:t>CRR</w:t>
            </w:r>
            <w:r w:rsidRPr="006A5C18">
              <w:rPr>
                <w:rFonts w:ascii="Arial" w:hAnsi="Arial" w:cs="Arial"/>
                <w:sz w:val="18"/>
                <w:szCs w:val="18"/>
                <w:lang w:val="el-GR"/>
              </w:rPr>
              <w:t xml:space="preserve"> </w:t>
            </w:r>
            <w:r w:rsidRPr="006A5C18">
              <w:rPr>
                <w:rFonts w:ascii="Arial" w:hAnsi="Arial" w:cs="Arial"/>
                <w:sz w:val="18"/>
                <w:szCs w:val="18"/>
              </w:rPr>
              <w:t>II</w:t>
            </w:r>
            <w:r w:rsidRPr="006A5C18">
              <w:rPr>
                <w:rFonts w:ascii="Arial" w:hAnsi="Arial" w:cs="Arial"/>
                <w:sz w:val="18"/>
                <w:szCs w:val="18"/>
                <w:lang w:val="el-GR"/>
              </w:rPr>
              <w:t>, όπως εφαρμόζεται κατά την ημερομηνία αναφοράς.</w:t>
            </w:r>
          </w:p>
        </w:tc>
      </w:tr>
      <w:tr w:rsidR="00A67706" w:rsidRPr="0056738E" w14:paraId="1DF89DDA" w14:textId="77777777" w:rsidTr="00715401">
        <w:trPr>
          <w:gridAfter w:val="1"/>
          <w:wAfter w:w="98" w:type="dxa"/>
        </w:trPr>
        <w:tc>
          <w:tcPr>
            <w:tcW w:w="3233" w:type="dxa"/>
          </w:tcPr>
          <w:p w14:paraId="4D5E7AEA" w14:textId="77777777" w:rsidR="00A67706" w:rsidRPr="006A5C18" w:rsidRDefault="00A67706" w:rsidP="00A67706">
            <w:pPr>
              <w:pStyle w:val="FootnoteText"/>
              <w:rPr>
                <w:rFonts w:ascii="Arial" w:hAnsi="Arial" w:cs="Arial"/>
                <w:sz w:val="18"/>
                <w:szCs w:val="18"/>
                <w:lang w:val="el-GR"/>
              </w:rPr>
            </w:pPr>
          </w:p>
        </w:tc>
        <w:tc>
          <w:tcPr>
            <w:tcW w:w="6350" w:type="dxa"/>
            <w:gridSpan w:val="3"/>
          </w:tcPr>
          <w:p w14:paraId="3C9E3F8B" w14:textId="77777777" w:rsidR="00A67706" w:rsidRPr="006A5C18" w:rsidRDefault="00A67706" w:rsidP="00A67706">
            <w:pPr>
              <w:jc w:val="both"/>
              <w:rPr>
                <w:rFonts w:ascii="Arial" w:hAnsi="Arial" w:cs="Arial"/>
                <w:sz w:val="18"/>
                <w:szCs w:val="18"/>
                <w:lang w:val="el-GR"/>
              </w:rPr>
            </w:pPr>
          </w:p>
        </w:tc>
      </w:tr>
      <w:tr w:rsidR="00A67706" w:rsidRPr="0056738E" w14:paraId="6869FDDD" w14:textId="77777777" w:rsidTr="00715401">
        <w:trPr>
          <w:gridAfter w:val="1"/>
          <w:wAfter w:w="98" w:type="dxa"/>
        </w:trPr>
        <w:tc>
          <w:tcPr>
            <w:tcW w:w="3233" w:type="dxa"/>
          </w:tcPr>
          <w:p w14:paraId="4B8B3C09" w14:textId="77777777" w:rsidR="00A67706" w:rsidRPr="006A5C18" w:rsidRDefault="00A67706" w:rsidP="00A67706">
            <w:pPr>
              <w:pStyle w:val="FootnoteText"/>
              <w:rPr>
                <w:rFonts w:ascii="Arial" w:hAnsi="Arial" w:cs="Arial"/>
                <w:sz w:val="18"/>
                <w:szCs w:val="18"/>
                <w:lang w:val="el-GR"/>
              </w:rPr>
            </w:pPr>
            <w:r w:rsidRPr="006A5C18">
              <w:rPr>
                <w:rFonts w:ascii="Arial" w:hAnsi="Arial" w:cs="Arial"/>
                <w:sz w:val="18"/>
                <w:szCs w:val="18"/>
                <w:lang w:val="el-GR"/>
              </w:rPr>
              <w:t>Δείκτης κόστος προς έσοδα</w:t>
            </w:r>
            <w:r w:rsidRPr="006A5C18" w:rsidDel="00460A94">
              <w:rPr>
                <w:rFonts w:ascii="Arial" w:hAnsi="Arial" w:cs="Arial"/>
                <w:sz w:val="18"/>
                <w:szCs w:val="18"/>
                <w:lang w:val="el-GR"/>
              </w:rPr>
              <w:t xml:space="preserve"> </w:t>
            </w:r>
          </w:p>
        </w:tc>
        <w:tc>
          <w:tcPr>
            <w:tcW w:w="6350" w:type="dxa"/>
            <w:gridSpan w:val="3"/>
          </w:tcPr>
          <w:p w14:paraId="378AF1C6" w14:textId="77777777" w:rsidR="00A67706" w:rsidRPr="006A5C18" w:rsidRDefault="00A67706" w:rsidP="00A67706">
            <w:pPr>
              <w:jc w:val="both"/>
              <w:rPr>
                <w:rFonts w:ascii="Arial" w:hAnsi="Arial" w:cs="Arial"/>
                <w:sz w:val="18"/>
                <w:szCs w:val="18"/>
                <w:lang w:val="el-GR"/>
              </w:rPr>
            </w:pPr>
            <w:r w:rsidRPr="006A5C18">
              <w:rPr>
                <w:rFonts w:ascii="Arial" w:hAnsi="Arial" w:cs="Arial"/>
                <w:sz w:val="18"/>
                <w:szCs w:val="18"/>
                <w:lang w:val="el-GR"/>
              </w:rPr>
              <w:t xml:space="preserve">Ο δείκτης κόστος προς έσοδα υπολογίζεται ως το Σύνολο Λειτουργικών Εξόδων (όπως ορίζεται) διαιρεμένο με το Σύνολο Εσόδων (όπως ορίζεται). </w:t>
            </w:r>
          </w:p>
        </w:tc>
      </w:tr>
      <w:tr w:rsidR="00A67706" w:rsidRPr="0056738E" w14:paraId="20B09FEC" w14:textId="77777777" w:rsidTr="00715401">
        <w:trPr>
          <w:gridAfter w:val="1"/>
          <w:wAfter w:w="98" w:type="dxa"/>
        </w:trPr>
        <w:tc>
          <w:tcPr>
            <w:tcW w:w="3233" w:type="dxa"/>
          </w:tcPr>
          <w:p w14:paraId="658600A2" w14:textId="77777777" w:rsidR="00A67706" w:rsidRPr="006A5C18" w:rsidRDefault="00A67706" w:rsidP="00A67706">
            <w:pPr>
              <w:pStyle w:val="FootnoteText"/>
              <w:rPr>
                <w:rFonts w:ascii="Arial" w:hAnsi="Arial" w:cs="Arial"/>
                <w:bCs/>
                <w:sz w:val="18"/>
                <w:szCs w:val="18"/>
                <w:lang w:val="el-GR"/>
              </w:rPr>
            </w:pPr>
          </w:p>
        </w:tc>
        <w:tc>
          <w:tcPr>
            <w:tcW w:w="6350" w:type="dxa"/>
            <w:gridSpan w:val="3"/>
          </w:tcPr>
          <w:p w14:paraId="60D32EA0" w14:textId="77777777" w:rsidR="00A67706" w:rsidRPr="006A5C18" w:rsidRDefault="00A67706" w:rsidP="00A67706">
            <w:pPr>
              <w:jc w:val="both"/>
              <w:rPr>
                <w:rFonts w:ascii="Arial" w:hAnsi="Arial" w:cs="Arial"/>
                <w:sz w:val="18"/>
                <w:szCs w:val="18"/>
                <w:lang w:val="el-GR"/>
              </w:rPr>
            </w:pPr>
          </w:p>
        </w:tc>
      </w:tr>
      <w:tr w:rsidR="00A67706" w:rsidRPr="0056738E" w14:paraId="3752AC04" w14:textId="77777777" w:rsidTr="00715401">
        <w:trPr>
          <w:gridAfter w:val="1"/>
          <w:wAfter w:w="98" w:type="dxa"/>
        </w:trPr>
        <w:tc>
          <w:tcPr>
            <w:tcW w:w="3233" w:type="dxa"/>
          </w:tcPr>
          <w:p w14:paraId="5A79E12C" w14:textId="4734219C" w:rsidR="00A67706" w:rsidRPr="006A5C18" w:rsidRDefault="00A67706" w:rsidP="00A67706">
            <w:pPr>
              <w:pStyle w:val="FootnoteText"/>
              <w:rPr>
                <w:rFonts w:ascii="Arial" w:hAnsi="Arial" w:cs="Arial"/>
                <w:sz w:val="18"/>
                <w:szCs w:val="18"/>
                <w:lang w:val="el-GR"/>
              </w:rPr>
            </w:pPr>
            <w:r w:rsidRPr="006A5C18">
              <w:rPr>
                <w:rFonts w:ascii="Arial" w:hAnsi="Arial" w:cs="Arial"/>
                <w:sz w:val="18"/>
                <w:szCs w:val="18"/>
                <w:lang w:val="el-GR"/>
              </w:rPr>
              <w:t xml:space="preserve">Δείκτης </w:t>
            </w:r>
            <w:proofErr w:type="spellStart"/>
            <w:r w:rsidRPr="006A5C18">
              <w:rPr>
                <w:rFonts w:ascii="Arial" w:hAnsi="Arial" w:cs="Arial"/>
                <w:sz w:val="18"/>
                <w:szCs w:val="18"/>
                <w:lang w:val="el-GR"/>
              </w:rPr>
              <w:t>μόχλευσης</w:t>
            </w:r>
            <w:proofErr w:type="spellEnd"/>
          </w:p>
        </w:tc>
        <w:tc>
          <w:tcPr>
            <w:tcW w:w="6350" w:type="dxa"/>
            <w:gridSpan w:val="3"/>
          </w:tcPr>
          <w:p w14:paraId="35FA2A06" w14:textId="77777777" w:rsidR="00A67706" w:rsidRPr="006A5C18" w:rsidRDefault="00A67706" w:rsidP="00A67706">
            <w:pPr>
              <w:pStyle w:val="FootnoteText"/>
              <w:jc w:val="both"/>
              <w:rPr>
                <w:rFonts w:ascii="Arial" w:hAnsi="Arial" w:cs="Arial"/>
                <w:sz w:val="18"/>
                <w:szCs w:val="18"/>
                <w:lang w:val="el-GR"/>
              </w:rPr>
            </w:pPr>
            <w:r w:rsidRPr="006A5C18">
              <w:rPr>
                <w:rFonts w:ascii="Arial" w:hAnsi="Arial" w:cs="Arial"/>
                <w:sz w:val="18"/>
                <w:szCs w:val="18"/>
                <w:lang w:val="el-GR"/>
              </w:rPr>
              <w:t xml:space="preserve">Ο δείκτης </w:t>
            </w:r>
            <w:proofErr w:type="spellStart"/>
            <w:r w:rsidRPr="006A5C18">
              <w:rPr>
                <w:rFonts w:ascii="Arial" w:hAnsi="Arial" w:cs="Arial"/>
                <w:sz w:val="18"/>
                <w:szCs w:val="18"/>
                <w:lang w:val="el-GR"/>
              </w:rPr>
              <w:t>μόχλευσης</w:t>
            </w:r>
            <w:proofErr w:type="spellEnd"/>
            <w:r w:rsidRPr="006A5C18">
              <w:rPr>
                <w:rFonts w:ascii="Arial" w:hAnsi="Arial" w:cs="Arial"/>
                <w:sz w:val="18"/>
                <w:szCs w:val="18"/>
                <w:lang w:val="el-GR"/>
              </w:rPr>
              <w:t xml:space="preserve"> είναι ο δείκτης του συνόλου των ενσώματων ιδίων κεφαλαίων προς το σύνολο των περιουσιακών στοιχείων όπως αυτά παρουσιάζονται στον ισολογισμό. Τα ενσώματα ίδια κεφάλαια αποτελούνται από τα ίδια κεφάλαια που αναλογούν στους ιδιοκτήτες της Εταιρίας και τους Λοιπούς συμμετοχικούς τίτλους μείον τα άυλα περιουσιακά στοιχεία.</w:t>
            </w:r>
          </w:p>
          <w:p w14:paraId="10C02B88" w14:textId="77777777" w:rsidR="00A67706" w:rsidRPr="006A5C18" w:rsidRDefault="00A67706" w:rsidP="00A67706">
            <w:pPr>
              <w:pStyle w:val="FootnoteText"/>
              <w:jc w:val="both"/>
              <w:rPr>
                <w:rFonts w:ascii="Arial" w:hAnsi="Arial" w:cs="Arial"/>
                <w:sz w:val="18"/>
                <w:szCs w:val="18"/>
                <w:lang w:val="el-GR"/>
              </w:rPr>
            </w:pPr>
          </w:p>
        </w:tc>
      </w:tr>
      <w:tr w:rsidR="00A67706" w:rsidRPr="0056738E" w14:paraId="41F742E5" w14:textId="77777777" w:rsidTr="00715401">
        <w:trPr>
          <w:gridAfter w:val="1"/>
          <w:wAfter w:w="98" w:type="dxa"/>
        </w:trPr>
        <w:tc>
          <w:tcPr>
            <w:tcW w:w="3233" w:type="dxa"/>
          </w:tcPr>
          <w:p w14:paraId="21364B67" w14:textId="77777777" w:rsidR="00A67706" w:rsidRPr="006A5C18" w:rsidRDefault="00A67706" w:rsidP="00A67706">
            <w:pPr>
              <w:pStyle w:val="FootnoteText"/>
              <w:rPr>
                <w:rFonts w:ascii="Arial" w:hAnsi="Arial" w:cs="Arial"/>
                <w:sz w:val="18"/>
                <w:szCs w:val="18"/>
                <w:lang w:val="el-GR"/>
              </w:rPr>
            </w:pPr>
          </w:p>
        </w:tc>
        <w:tc>
          <w:tcPr>
            <w:tcW w:w="6350" w:type="dxa"/>
            <w:gridSpan w:val="3"/>
          </w:tcPr>
          <w:p w14:paraId="3AF772AE" w14:textId="77777777" w:rsidR="00A67706" w:rsidRPr="006A5C18" w:rsidRDefault="00A67706" w:rsidP="00A67706">
            <w:pPr>
              <w:pStyle w:val="FootnoteText"/>
              <w:jc w:val="both"/>
              <w:rPr>
                <w:rFonts w:ascii="Arial" w:hAnsi="Arial" w:cs="Arial"/>
                <w:sz w:val="18"/>
                <w:szCs w:val="18"/>
                <w:lang w:val="el-GR"/>
              </w:rPr>
            </w:pPr>
          </w:p>
        </w:tc>
      </w:tr>
      <w:tr w:rsidR="00A67706" w:rsidRPr="0056738E" w14:paraId="2BF7A0A3" w14:textId="77777777" w:rsidTr="00715401">
        <w:trPr>
          <w:gridAfter w:val="1"/>
          <w:wAfter w:w="98" w:type="dxa"/>
        </w:trPr>
        <w:tc>
          <w:tcPr>
            <w:tcW w:w="3233" w:type="dxa"/>
          </w:tcPr>
          <w:p w14:paraId="5B6F12FA" w14:textId="77777777" w:rsidR="00A67706" w:rsidRPr="006A5C18" w:rsidRDefault="00A67706" w:rsidP="00A67706">
            <w:pPr>
              <w:pStyle w:val="FootnoteText"/>
              <w:rPr>
                <w:rFonts w:ascii="Arial" w:hAnsi="Arial" w:cs="Arial"/>
                <w:sz w:val="18"/>
                <w:szCs w:val="18"/>
                <w:lang w:val="el-GR"/>
              </w:rPr>
            </w:pPr>
            <w:r w:rsidRPr="006A5C18">
              <w:rPr>
                <w:rFonts w:ascii="Arial" w:hAnsi="Arial" w:cs="Arial"/>
                <w:sz w:val="18"/>
                <w:szCs w:val="18"/>
                <w:lang w:val="el-GR"/>
              </w:rPr>
              <w:t xml:space="preserve">Δείκτης </w:t>
            </w:r>
            <w:proofErr w:type="spellStart"/>
            <w:r w:rsidRPr="006A5C18">
              <w:rPr>
                <w:rFonts w:ascii="Arial" w:hAnsi="Arial" w:cs="Arial"/>
                <w:sz w:val="18"/>
                <w:szCs w:val="18"/>
                <w:lang w:val="el-GR"/>
              </w:rPr>
              <w:t>μόχλευσης</w:t>
            </w:r>
            <w:proofErr w:type="spellEnd"/>
            <w:r w:rsidRPr="006A5C18">
              <w:rPr>
                <w:rFonts w:ascii="Arial" w:hAnsi="Arial" w:cs="Arial"/>
                <w:sz w:val="18"/>
                <w:szCs w:val="18"/>
                <w:lang w:val="el-GR"/>
              </w:rPr>
              <w:t xml:space="preserve"> μέτρου συνολικού ανοίγματος (</w:t>
            </w:r>
            <w:r w:rsidRPr="006A5C18">
              <w:rPr>
                <w:rFonts w:ascii="Arial" w:hAnsi="Arial" w:cs="Arial"/>
                <w:sz w:val="18"/>
                <w:szCs w:val="18"/>
              </w:rPr>
              <w:t>leverage</w:t>
            </w:r>
            <w:r w:rsidRPr="006A5C18">
              <w:rPr>
                <w:rFonts w:ascii="Arial" w:hAnsi="Arial" w:cs="Arial"/>
                <w:sz w:val="18"/>
                <w:szCs w:val="18"/>
                <w:lang w:val="el-GR"/>
              </w:rPr>
              <w:t xml:space="preserve"> </w:t>
            </w:r>
            <w:r w:rsidRPr="006A5C18">
              <w:rPr>
                <w:rFonts w:ascii="Arial" w:hAnsi="Arial" w:cs="Arial"/>
                <w:sz w:val="18"/>
                <w:szCs w:val="18"/>
              </w:rPr>
              <w:t>ratio</w:t>
            </w:r>
            <w:r w:rsidRPr="006A5C18">
              <w:rPr>
                <w:rFonts w:ascii="Arial" w:hAnsi="Arial" w:cs="Arial"/>
                <w:sz w:val="18"/>
                <w:szCs w:val="18"/>
                <w:lang w:val="el-GR"/>
              </w:rPr>
              <w:t xml:space="preserve"> </w:t>
            </w:r>
            <w:r w:rsidRPr="006A5C18">
              <w:rPr>
                <w:rFonts w:ascii="Arial" w:hAnsi="Arial" w:cs="Arial"/>
                <w:sz w:val="18"/>
                <w:szCs w:val="18"/>
              </w:rPr>
              <w:t>exposure</w:t>
            </w:r>
            <w:r w:rsidRPr="006A5C18">
              <w:rPr>
                <w:rFonts w:ascii="Arial" w:hAnsi="Arial" w:cs="Arial"/>
                <w:sz w:val="18"/>
                <w:szCs w:val="18"/>
                <w:lang w:val="el-GR"/>
              </w:rPr>
              <w:t xml:space="preserve">, </w:t>
            </w:r>
            <w:r w:rsidRPr="006A5C18">
              <w:rPr>
                <w:rFonts w:ascii="Arial" w:hAnsi="Arial" w:cs="Arial"/>
                <w:sz w:val="18"/>
                <w:szCs w:val="18"/>
              </w:rPr>
              <w:t>LRE</w:t>
            </w:r>
            <w:r w:rsidRPr="006A5C18">
              <w:rPr>
                <w:rFonts w:ascii="Arial" w:hAnsi="Arial" w:cs="Arial"/>
                <w:sz w:val="18"/>
                <w:szCs w:val="18"/>
                <w:lang w:val="el-GR"/>
              </w:rPr>
              <w:t xml:space="preserve">) </w:t>
            </w:r>
          </w:p>
        </w:tc>
        <w:tc>
          <w:tcPr>
            <w:tcW w:w="6350" w:type="dxa"/>
            <w:gridSpan w:val="3"/>
          </w:tcPr>
          <w:p w14:paraId="4F37D51D" w14:textId="77777777" w:rsidR="00A67706" w:rsidRPr="006A5C18" w:rsidRDefault="00A67706" w:rsidP="00A67706">
            <w:pPr>
              <w:pStyle w:val="FootnoteText"/>
              <w:jc w:val="both"/>
              <w:rPr>
                <w:rFonts w:ascii="Arial" w:hAnsi="Arial" w:cs="Arial"/>
                <w:sz w:val="18"/>
                <w:szCs w:val="18"/>
                <w:lang w:val="el-GR"/>
              </w:rPr>
            </w:pPr>
            <w:r w:rsidRPr="006A5C18">
              <w:rPr>
                <w:rFonts w:ascii="Arial" w:hAnsi="Arial" w:cs="Arial"/>
                <w:sz w:val="18"/>
                <w:szCs w:val="18"/>
                <w:lang w:val="el-GR"/>
              </w:rPr>
              <w:t xml:space="preserve">Ο δείκτης </w:t>
            </w:r>
            <w:proofErr w:type="spellStart"/>
            <w:r w:rsidRPr="006A5C18">
              <w:rPr>
                <w:rFonts w:ascii="Arial" w:hAnsi="Arial" w:cs="Arial"/>
                <w:sz w:val="18"/>
                <w:szCs w:val="18"/>
                <w:lang w:val="el-GR"/>
              </w:rPr>
              <w:t>μόχλευσης</w:t>
            </w:r>
            <w:proofErr w:type="spellEnd"/>
            <w:r w:rsidRPr="006A5C18">
              <w:rPr>
                <w:rFonts w:ascii="Arial" w:hAnsi="Arial" w:cs="Arial"/>
                <w:sz w:val="18"/>
                <w:szCs w:val="18"/>
                <w:lang w:val="el-GR"/>
              </w:rPr>
              <w:t xml:space="preserve"> μέτρου συνολικού ανοίγματος (</w:t>
            </w:r>
            <w:r w:rsidRPr="006A5C18">
              <w:rPr>
                <w:rFonts w:ascii="Arial" w:hAnsi="Arial" w:cs="Arial"/>
                <w:sz w:val="18"/>
                <w:szCs w:val="18"/>
              </w:rPr>
              <w:t>leverage</w:t>
            </w:r>
            <w:r w:rsidRPr="006A5C18">
              <w:rPr>
                <w:rFonts w:ascii="Arial" w:hAnsi="Arial" w:cs="Arial"/>
                <w:sz w:val="18"/>
                <w:szCs w:val="18"/>
                <w:lang w:val="el-GR"/>
              </w:rPr>
              <w:t xml:space="preserve"> </w:t>
            </w:r>
            <w:r w:rsidRPr="006A5C18">
              <w:rPr>
                <w:rFonts w:ascii="Arial" w:hAnsi="Arial" w:cs="Arial"/>
                <w:sz w:val="18"/>
                <w:szCs w:val="18"/>
              </w:rPr>
              <w:t>ratio</w:t>
            </w:r>
            <w:r w:rsidRPr="006A5C18">
              <w:rPr>
                <w:rFonts w:ascii="Arial" w:hAnsi="Arial" w:cs="Arial"/>
                <w:sz w:val="18"/>
                <w:szCs w:val="18"/>
                <w:lang w:val="el-GR"/>
              </w:rPr>
              <w:t xml:space="preserve"> </w:t>
            </w:r>
            <w:r w:rsidRPr="006A5C18">
              <w:rPr>
                <w:rFonts w:ascii="Arial" w:hAnsi="Arial" w:cs="Arial"/>
                <w:sz w:val="18"/>
                <w:szCs w:val="18"/>
              </w:rPr>
              <w:t>exposure</w:t>
            </w:r>
            <w:r w:rsidRPr="006A5C18">
              <w:rPr>
                <w:rFonts w:ascii="Arial" w:hAnsi="Arial" w:cs="Arial"/>
                <w:sz w:val="18"/>
                <w:szCs w:val="18"/>
                <w:lang w:val="el-GR"/>
              </w:rPr>
              <w:t xml:space="preserve">, </w:t>
            </w:r>
            <w:r w:rsidRPr="006A5C18">
              <w:rPr>
                <w:rFonts w:ascii="Arial" w:hAnsi="Arial" w:cs="Arial"/>
                <w:sz w:val="18"/>
                <w:szCs w:val="18"/>
              </w:rPr>
              <w:t>LRE</w:t>
            </w:r>
            <w:r w:rsidRPr="006A5C18">
              <w:rPr>
                <w:rFonts w:ascii="Arial" w:hAnsi="Arial" w:cs="Arial"/>
                <w:sz w:val="18"/>
                <w:szCs w:val="18"/>
                <w:lang w:val="el-GR"/>
              </w:rPr>
              <w:t>) έχει καθοριστεί σύμφωνα με τις απαιτήσεις του Κανονισμού Κεφαλαιακών Απαιτήσεων (ΕΕ) Αρ.575/2013, όπως τροποποιήθηκε.</w:t>
            </w:r>
          </w:p>
        </w:tc>
      </w:tr>
      <w:tr w:rsidR="00A67706" w:rsidRPr="0056738E" w14:paraId="506031A3" w14:textId="77777777" w:rsidTr="00715401">
        <w:trPr>
          <w:gridAfter w:val="1"/>
          <w:wAfter w:w="98" w:type="dxa"/>
        </w:trPr>
        <w:tc>
          <w:tcPr>
            <w:tcW w:w="3233" w:type="dxa"/>
          </w:tcPr>
          <w:p w14:paraId="1395421E" w14:textId="77777777" w:rsidR="00A67706" w:rsidRPr="006A5C18" w:rsidRDefault="00A67706" w:rsidP="00A67706">
            <w:pPr>
              <w:pStyle w:val="FootnoteText"/>
              <w:rPr>
                <w:rFonts w:ascii="Arial" w:hAnsi="Arial" w:cs="Arial"/>
                <w:sz w:val="18"/>
                <w:szCs w:val="18"/>
                <w:lang w:val="el-GR"/>
              </w:rPr>
            </w:pPr>
          </w:p>
        </w:tc>
        <w:tc>
          <w:tcPr>
            <w:tcW w:w="6350" w:type="dxa"/>
            <w:gridSpan w:val="3"/>
          </w:tcPr>
          <w:p w14:paraId="60163E48" w14:textId="77777777" w:rsidR="00A67706" w:rsidRPr="006A5C18" w:rsidRDefault="00A67706" w:rsidP="00A67706">
            <w:pPr>
              <w:pStyle w:val="FootnoteText"/>
              <w:jc w:val="both"/>
              <w:rPr>
                <w:rFonts w:ascii="Arial" w:hAnsi="Arial" w:cs="Arial"/>
                <w:sz w:val="18"/>
                <w:szCs w:val="18"/>
                <w:lang w:val="el-GR"/>
              </w:rPr>
            </w:pPr>
          </w:p>
        </w:tc>
      </w:tr>
      <w:tr w:rsidR="00A67706" w:rsidRPr="0056738E" w14:paraId="524F849C" w14:textId="77777777" w:rsidTr="00715401">
        <w:trPr>
          <w:gridAfter w:val="1"/>
          <w:wAfter w:w="98" w:type="dxa"/>
        </w:trPr>
        <w:tc>
          <w:tcPr>
            <w:tcW w:w="3233" w:type="dxa"/>
          </w:tcPr>
          <w:p w14:paraId="6D5FB6E5" w14:textId="7AE44DA4" w:rsidR="00A67706" w:rsidRPr="006A5C18" w:rsidRDefault="00A67706" w:rsidP="00A67706">
            <w:pPr>
              <w:pStyle w:val="FootnoteText"/>
              <w:rPr>
                <w:rFonts w:ascii="Arial" w:hAnsi="Arial" w:cs="Arial"/>
                <w:sz w:val="18"/>
                <w:szCs w:val="18"/>
                <w:lang w:val="el-GR"/>
              </w:rPr>
            </w:pPr>
            <w:r w:rsidRPr="006A5C18">
              <w:rPr>
                <w:rFonts w:ascii="Arial" w:hAnsi="Arial" w:cs="Arial"/>
                <w:sz w:val="18"/>
                <w:szCs w:val="18"/>
                <w:lang w:val="el-GR"/>
              </w:rPr>
              <w:t>Δείκτης Πράσινων Ενυπόθηκων Δανείων</w:t>
            </w:r>
          </w:p>
        </w:tc>
        <w:tc>
          <w:tcPr>
            <w:tcW w:w="6350" w:type="dxa"/>
            <w:gridSpan w:val="3"/>
          </w:tcPr>
          <w:p w14:paraId="0BF85E8A" w14:textId="00B1888F" w:rsidR="00A67706" w:rsidRPr="006A5C18" w:rsidRDefault="00A67706" w:rsidP="00A67706">
            <w:pPr>
              <w:pStyle w:val="FootnoteText"/>
              <w:jc w:val="both"/>
              <w:rPr>
                <w:rFonts w:ascii="Arial" w:hAnsi="Arial" w:cs="Arial"/>
                <w:sz w:val="18"/>
                <w:szCs w:val="18"/>
                <w:lang w:val="el-GR"/>
              </w:rPr>
            </w:pPr>
            <w:r w:rsidRPr="006A5C18">
              <w:rPr>
                <w:rFonts w:ascii="Arial" w:hAnsi="Arial" w:cs="Arial"/>
                <w:sz w:val="18"/>
                <w:szCs w:val="18"/>
                <w:lang w:val="el-GR"/>
              </w:rPr>
              <w:t>Το ποσοστό του μεριδίου των στοιχείων ενεργητικού του πιστωτικού ιδρύματος που χρηματοδοτούν ενυπόθηκες (αγορά, κατασκευή ή ανακαίνιση κτιρίων) οικονομικές δραστηριότητες ευθυγραμμισμένες με την Ταξινομία της ΕΕ, ως μέρος του συνόλου των ενυπόθηκων στοιχείων ενεργητικού.</w:t>
            </w:r>
          </w:p>
        </w:tc>
      </w:tr>
      <w:tr w:rsidR="00A67706" w:rsidRPr="0056738E" w14:paraId="5D09905D" w14:textId="77777777" w:rsidTr="00715401">
        <w:trPr>
          <w:gridAfter w:val="1"/>
          <w:wAfter w:w="98" w:type="dxa"/>
        </w:trPr>
        <w:tc>
          <w:tcPr>
            <w:tcW w:w="3233" w:type="dxa"/>
          </w:tcPr>
          <w:p w14:paraId="55DA64A8" w14:textId="77777777" w:rsidR="00A67706" w:rsidRPr="006A5C18" w:rsidRDefault="00A67706" w:rsidP="00A67706">
            <w:pPr>
              <w:pStyle w:val="FootnoteText"/>
              <w:rPr>
                <w:rFonts w:ascii="Arial" w:hAnsi="Arial" w:cs="Arial"/>
                <w:sz w:val="18"/>
                <w:szCs w:val="18"/>
                <w:lang w:val="el-GR"/>
              </w:rPr>
            </w:pPr>
          </w:p>
        </w:tc>
        <w:tc>
          <w:tcPr>
            <w:tcW w:w="6350" w:type="dxa"/>
            <w:gridSpan w:val="3"/>
          </w:tcPr>
          <w:p w14:paraId="365459E6" w14:textId="77777777" w:rsidR="00A67706" w:rsidRPr="006A5C18" w:rsidRDefault="00A67706" w:rsidP="00A67706">
            <w:pPr>
              <w:pStyle w:val="FootnoteText"/>
              <w:jc w:val="both"/>
              <w:rPr>
                <w:rFonts w:ascii="Arial" w:hAnsi="Arial" w:cs="Arial"/>
                <w:sz w:val="18"/>
                <w:szCs w:val="18"/>
                <w:lang w:val="el-GR"/>
              </w:rPr>
            </w:pPr>
          </w:p>
        </w:tc>
      </w:tr>
      <w:tr w:rsidR="00A67706" w:rsidRPr="0056738E" w14:paraId="52A2260D" w14:textId="77777777" w:rsidTr="00715401">
        <w:trPr>
          <w:gridAfter w:val="1"/>
          <w:wAfter w:w="98" w:type="dxa"/>
        </w:trPr>
        <w:tc>
          <w:tcPr>
            <w:tcW w:w="3233" w:type="dxa"/>
          </w:tcPr>
          <w:p w14:paraId="4D45066A" w14:textId="56269662" w:rsidR="00A67706" w:rsidRPr="006A5C18" w:rsidRDefault="00A67706" w:rsidP="00A67706">
            <w:pPr>
              <w:pStyle w:val="FootnoteText"/>
              <w:rPr>
                <w:rFonts w:ascii="Arial" w:hAnsi="Arial" w:cs="Arial"/>
                <w:sz w:val="18"/>
                <w:szCs w:val="18"/>
                <w:lang w:val="el-GR"/>
              </w:rPr>
            </w:pPr>
            <w:r w:rsidRPr="006A5C18">
              <w:rPr>
                <w:rFonts w:ascii="Arial" w:hAnsi="Arial" w:cs="Arial"/>
                <w:sz w:val="18"/>
                <w:szCs w:val="18"/>
                <w:lang w:val="el-GR"/>
              </w:rPr>
              <w:t>Δείκτης Πράσινων Στοιχείων Ενεργητικού</w:t>
            </w:r>
          </w:p>
        </w:tc>
        <w:tc>
          <w:tcPr>
            <w:tcW w:w="6350" w:type="dxa"/>
            <w:gridSpan w:val="3"/>
          </w:tcPr>
          <w:p w14:paraId="6C13E76D" w14:textId="45CE222F" w:rsidR="00A67706" w:rsidRPr="006A5C18" w:rsidRDefault="00A67706" w:rsidP="00A67706">
            <w:pPr>
              <w:jc w:val="both"/>
              <w:rPr>
                <w:rFonts w:ascii="Arial" w:hAnsi="Arial" w:cs="Arial"/>
                <w:sz w:val="18"/>
                <w:szCs w:val="18"/>
                <w:lang w:val="el-GR"/>
              </w:rPr>
            </w:pPr>
            <w:r w:rsidRPr="006A5C18">
              <w:rPr>
                <w:rFonts w:ascii="Arial" w:hAnsi="Arial" w:cs="Arial"/>
                <w:sz w:val="18"/>
                <w:szCs w:val="18"/>
                <w:lang w:val="el-GR"/>
              </w:rPr>
              <w:t>Το ποσοστό του μεριδίου των στοιχείων ενεργητικού του πιστωτικού ιδρύματος που χρηματοδοτούν και επενδύονται σε οικονομικές δραστηριότητες ευθυγραμμισμένες με την Ταξινομία της Ε.Ε., ως μέρος του συνόλου των καλυπτόμενων στοιχείων ενεργητικού.</w:t>
            </w:r>
          </w:p>
        </w:tc>
      </w:tr>
      <w:tr w:rsidR="00A67706" w:rsidRPr="0056738E" w14:paraId="622BA9D7" w14:textId="77777777" w:rsidTr="00715401">
        <w:trPr>
          <w:gridAfter w:val="1"/>
          <w:wAfter w:w="98" w:type="dxa"/>
        </w:trPr>
        <w:tc>
          <w:tcPr>
            <w:tcW w:w="3233" w:type="dxa"/>
          </w:tcPr>
          <w:p w14:paraId="32ADA862" w14:textId="77777777" w:rsidR="00A67706" w:rsidRPr="006A5C18" w:rsidRDefault="00A67706" w:rsidP="00A67706">
            <w:pPr>
              <w:pStyle w:val="FootnoteText"/>
              <w:rPr>
                <w:rFonts w:ascii="Arial" w:hAnsi="Arial" w:cs="Arial"/>
                <w:sz w:val="18"/>
                <w:szCs w:val="18"/>
                <w:lang w:val="el-GR"/>
              </w:rPr>
            </w:pPr>
          </w:p>
        </w:tc>
        <w:tc>
          <w:tcPr>
            <w:tcW w:w="6350" w:type="dxa"/>
            <w:gridSpan w:val="3"/>
          </w:tcPr>
          <w:p w14:paraId="4B2193B0" w14:textId="77777777" w:rsidR="00A67706" w:rsidRPr="006A5C18" w:rsidRDefault="00A67706" w:rsidP="00A67706">
            <w:pPr>
              <w:pStyle w:val="FootnoteText"/>
              <w:jc w:val="both"/>
              <w:rPr>
                <w:rFonts w:ascii="Arial" w:hAnsi="Arial" w:cs="Arial"/>
                <w:sz w:val="18"/>
                <w:szCs w:val="18"/>
                <w:lang w:val="el-GR"/>
              </w:rPr>
            </w:pPr>
          </w:p>
        </w:tc>
      </w:tr>
      <w:tr w:rsidR="00A67706" w:rsidRPr="0056738E" w14:paraId="0A277E7C" w14:textId="77777777" w:rsidTr="00715401">
        <w:trPr>
          <w:gridAfter w:val="1"/>
          <w:wAfter w:w="98" w:type="dxa"/>
        </w:trPr>
        <w:tc>
          <w:tcPr>
            <w:tcW w:w="3233" w:type="dxa"/>
          </w:tcPr>
          <w:p w14:paraId="519073D2" w14:textId="77777777" w:rsidR="00A67706" w:rsidRPr="006A5C18" w:rsidRDefault="00A67706" w:rsidP="00A67706">
            <w:pPr>
              <w:pStyle w:val="FootnoteText"/>
              <w:spacing w:after="240"/>
              <w:rPr>
                <w:rFonts w:ascii="Arial" w:hAnsi="Arial" w:cs="Arial"/>
                <w:sz w:val="18"/>
                <w:szCs w:val="18"/>
                <w:lang w:val="el-GR"/>
              </w:rPr>
            </w:pPr>
            <w:r w:rsidRPr="006A5C18">
              <w:rPr>
                <w:rFonts w:ascii="Arial" w:hAnsi="Arial" w:cs="Arial"/>
                <w:sz w:val="18"/>
                <w:szCs w:val="18"/>
                <w:lang w:val="el-GR"/>
              </w:rPr>
              <w:t>Διαγραφές</w:t>
            </w:r>
            <w:r w:rsidRPr="006A5C18">
              <w:rPr>
                <w:rFonts w:ascii="Arial" w:hAnsi="Arial" w:cs="Arial"/>
                <w:sz w:val="18"/>
                <w:szCs w:val="18"/>
                <w:lang w:val="el-GR"/>
              </w:rPr>
              <w:tab/>
            </w:r>
          </w:p>
        </w:tc>
        <w:tc>
          <w:tcPr>
            <w:tcW w:w="6350" w:type="dxa"/>
            <w:gridSpan w:val="3"/>
          </w:tcPr>
          <w:p w14:paraId="2DB815C2" w14:textId="17CA0FBD" w:rsidR="00A67706" w:rsidRPr="006A5C18" w:rsidRDefault="00A67706" w:rsidP="00A67706">
            <w:pPr>
              <w:pStyle w:val="FootnoteText"/>
              <w:spacing w:after="160"/>
              <w:jc w:val="both"/>
              <w:rPr>
                <w:rFonts w:ascii="Arial" w:hAnsi="Arial" w:cs="Arial"/>
                <w:sz w:val="18"/>
                <w:szCs w:val="18"/>
                <w:lang w:val="el-GR"/>
              </w:rPr>
            </w:pPr>
            <w:r w:rsidRPr="006A5C18">
              <w:rPr>
                <w:rFonts w:ascii="Arial" w:hAnsi="Arial" w:cs="Arial"/>
                <w:sz w:val="18"/>
                <w:szCs w:val="18"/>
                <w:lang w:val="el-GR"/>
              </w:rPr>
              <w:t>Δάνεια μαζί με τις σχετικές πιστωτικές ζημιές δανείων τους διαγράφονται όταν δεν υπάρχει ρεαλιστική προοπτική για ανάκτησή τους. Μερικές διαγραφές, περιλαμβανομένων μη συμβατικών διαγραφών, μπορεί επίσης να προκύψουν όταν εκτιμάται ότι δεν υπάρχει εφικτή προοπτική για ανάκτηση των μελλοντικών ταμειακών ροών. Επιπλέον οι διαγραφές μπορεί να αντικατοπτρίζουν ενέργειες αναδιάρθρωσης με πελάτες και υπόκεινται στους όρους συμφωνίας και στην ικανοποιητική επίδοση.</w:t>
            </w:r>
          </w:p>
        </w:tc>
      </w:tr>
      <w:tr w:rsidR="0070005B" w:rsidRPr="0056738E" w14:paraId="54A82EF7" w14:textId="77777777" w:rsidTr="00715401">
        <w:trPr>
          <w:gridAfter w:val="1"/>
          <w:wAfter w:w="98" w:type="dxa"/>
          <w:trHeight w:val="70"/>
        </w:trPr>
        <w:tc>
          <w:tcPr>
            <w:tcW w:w="3233" w:type="dxa"/>
          </w:tcPr>
          <w:p w14:paraId="28664D0E" w14:textId="7AC24D21" w:rsidR="0070005B" w:rsidRPr="006A5C18" w:rsidRDefault="0070005B" w:rsidP="00982DBB">
            <w:pPr>
              <w:pStyle w:val="FootnoteText"/>
              <w:rPr>
                <w:rFonts w:ascii="Arial" w:hAnsi="Arial" w:cs="Arial"/>
                <w:sz w:val="18"/>
                <w:szCs w:val="18"/>
                <w:lang w:val="el-GR"/>
              </w:rPr>
            </w:pPr>
          </w:p>
        </w:tc>
        <w:tc>
          <w:tcPr>
            <w:tcW w:w="6350" w:type="dxa"/>
            <w:gridSpan w:val="3"/>
          </w:tcPr>
          <w:p w14:paraId="77A6CA34" w14:textId="77777777" w:rsidR="0070005B" w:rsidRPr="006A5C18" w:rsidRDefault="0070005B" w:rsidP="00982DBB">
            <w:pPr>
              <w:pStyle w:val="FootnoteText"/>
              <w:jc w:val="both"/>
              <w:rPr>
                <w:rFonts w:ascii="Arial" w:hAnsi="Arial" w:cs="Arial"/>
                <w:sz w:val="18"/>
                <w:szCs w:val="18"/>
                <w:lang w:val="el-GR"/>
              </w:rPr>
            </w:pPr>
          </w:p>
        </w:tc>
      </w:tr>
      <w:tr w:rsidR="0070005B" w:rsidRPr="0056738E" w14:paraId="28173E09" w14:textId="77777777" w:rsidTr="00715401">
        <w:trPr>
          <w:gridAfter w:val="1"/>
          <w:wAfter w:w="98" w:type="dxa"/>
        </w:trPr>
        <w:tc>
          <w:tcPr>
            <w:tcW w:w="3233" w:type="dxa"/>
          </w:tcPr>
          <w:p w14:paraId="282C07B5" w14:textId="77777777" w:rsidR="0070005B" w:rsidRPr="006A5C18" w:rsidRDefault="0070005B" w:rsidP="0070005B">
            <w:pPr>
              <w:pStyle w:val="FootnoteText"/>
              <w:spacing w:after="240"/>
              <w:rPr>
                <w:rFonts w:ascii="Arial" w:hAnsi="Arial" w:cs="Arial"/>
                <w:sz w:val="18"/>
                <w:szCs w:val="18"/>
                <w:lang w:val="el-GR"/>
              </w:rPr>
            </w:pPr>
            <w:r w:rsidRPr="006A5C18">
              <w:rPr>
                <w:rFonts w:ascii="Arial" w:hAnsi="Arial" w:cs="Arial"/>
                <w:sz w:val="18"/>
                <w:szCs w:val="18"/>
                <w:lang w:val="el-GR"/>
              </w:rPr>
              <w:t>Ειδικός φόρος</w:t>
            </w:r>
            <w:r w:rsidRPr="006A5C18">
              <w:rPr>
                <w:rFonts w:ascii="Arial" w:hAnsi="Arial" w:cs="Arial"/>
                <w:lang w:val="el-GR"/>
              </w:rPr>
              <w:t xml:space="preserve"> </w:t>
            </w:r>
            <w:r w:rsidRPr="006A5C18">
              <w:rPr>
                <w:rFonts w:ascii="Arial" w:hAnsi="Arial" w:cs="Arial"/>
                <w:sz w:val="18"/>
                <w:szCs w:val="18"/>
                <w:lang w:val="el-GR"/>
              </w:rPr>
              <w:t>επί των καταθέσεων και άλλα τέλη/εισφορές</w:t>
            </w:r>
          </w:p>
        </w:tc>
        <w:tc>
          <w:tcPr>
            <w:tcW w:w="6350" w:type="dxa"/>
            <w:gridSpan w:val="3"/>
          </w:tcPr>
          <w:p w14:paraId="3C30681F" w14:textId="77777777" w:rsidR="0070005B" w:rsidRPr="006A5C18" w:rsidRDefault="0070005B" w:rsidP="0070005B">
            <w:pPr>
              <w:pStyle w:val="FootnoteText"/>
              <w:spacing w:after="160"/>
              <w:jc w:val="both"/>
              <w:rPr>
                <w:rFonts w:ascii="Arial" w:hAnsi="Arial" w:cs="Arial"/>
                <w:sz w:val="18"/>
                <w:szCs w:val="18"/>
                <w:lang w:val="el-GR"/>
              </w:rPr>
            </w:pPr>
            <w:r w:rsidRPr="006A5C18">
              <w:rPr>
                <w:rFonts w:ascii="Arial" w:hAnsi="Arial" w:cs="Arial"/>
                <w:sz w:val="18"/>
                <w:szCs w:val="18"/>
                <w:lang w:val="el-GR"/>
              </w:rPr>
              <w:t xml:space="preserve">Αφορά τον ειδικό φόρο επί των καταθέσεων των πιστωτικών ιδρυμάτων στην Κύπρο, τις συνεισφορές στο Ενιαίο Ταμείο Εξυγίανσης (ΕΤΕ), τις συνεισφορές στο Ταμείο </w:t>
            </w:r>
            <w:r w:rsidRPr="006A5C18">
              <w:rPr>
                <w:rFonts w:ascii="Arial" w:hAnsi="Arial" w:cs="Arial"/>
                <w:sz w:val="18"/>
                <w:szCs w:val="18"/>
                <w:lang w:val="el-GR" w:eastAsia="el-GR"/>
              </w:rPr>
              <w:t>Εγγύησης Καταθέσεων (</w:t>
            </w:r>
            <w:r w:rsidRPr="006A5C18">
              <w:rPr>
                <w:rFonts w:ascii="Arial" w:hAnsi="Arial" w:cs="Arial"/>
                <w:sz w:val="18"/>
                <w:szCs w:val="18"/>
                <w:lang w:val="el-GR"/>
              </w:rPr>
              <w:t>ΤΕΚ), καθώς και το τέλος για ΑΦΠ, όπου εφαρμόζεται.</w:t>
            </w:r>
          </w:p>
        </w:tc>
      </w:tr>
      <w:tr w:rsidR="0070005B" w:rsidRPr="0056738E" w14:paraId="690BBA0F" w14:textId="77777777" w:rsidTr="00715401">
        <w:trPr>
          <w:gridAfter w:val="1"/>
          <w:wAfter w:w="98" w:type="dxa"/>
          <w:trHeight w:val="248"/>
        </w:trPr>
        <w:tc>
          <w:tcPr>
            <w:tcW w:w="3233" w:type="dxa"/>
          </w:tcPr>
          <w:p w14:paraId="09B94BD1" w14:textId="77777777" w:rsidR="0070005B" w:rsidRPr="006A5C18" w:rsidRDefault="0070005B" w:rsidP="00982DBB">
            <w:pPr>
              <w:pStyle w:val="FootnoteText"/>
              <w:rPr>
                <w:rFonts w:ascii="Arial" w:hAnsi="Arial" w:cs="Arial"/>
                <w:sz w:val="18"/>
                <w:szCs w:val="18"/>
                <w:lang w:val="el-GR"/>
              </w:rPr>
            </w:pPr>
          </w:p>
        </w:tc>
        <w:tc>
          <w:tcPr>
            <w:tcW w:w="6350" w:type="dxa"/>
            <w:gridSpan w:val="3"/>
          </w:tcPr>
          <w:p w14:paraId="249E5410" w14:textId="77777777" w:rsidR="0070005B" w:rsidRPr="006A5C18" w:rsidRDefault="0070005B" w:rsidP="00982DBB">
            <w:pPr>
              <w:pStyle w:val="FootnoteText"/>
              <w:tabs>
                <w:tab w:val="center" w:pos="3102"/>
              </w:tabs>
              <w:jc w:val="both"/>
              <w:rPr>
                <w:rFonts w:ascii="Arial" w:hAnsi="Arial" w:cs="Arial"/>
                <w:sz w:val="18"/>
                <w:szCs w:val="18"/>
                <w:lang w:val="el-GR"/>
              </w:rPr>
            </w:pPr>
          </w:p>
        </w:tc>
      </w:tr>
      <w:tr w:rsidR="0070005B" w:rsidRPr="006A5C18" w14:paraId="118A0694" w14:textId="77777777" w:rsidTr="00715401">
        <w:trPr>
          <w:gridAfter w:val="1"/>
          <w:wAfter w:w="98" w:type="dxa"/>
        </w:trPr>
        <w:tc>
          <w:tcPr>
            <w:tcW w:w="3233" w:type="dxa"/>
          </w:tcPr>
          <w:p w14:paraId="1EB3B1C5" w14:textId="77777777" w:rsidR="0070005B" w:rsidRPr="006A5C18" w:rsidRDefault="0070005B" w:rsidP="0070005B">
            <w:pPr>
              <w:pStyle w:val="FootnoteText"/>
              <w:spacing w:after="240"/>
              <w:rPr>
                <w:rFonts w:ascii="Arial" w:hAnsi="Arial" w:cs="Arial"/>
                <w:sz w:val="18"/>
                <w:szCs w:val="18"/>
                <w:lang w:val="el-GR"/>
              </w:rPr>
            </w:pPr>
            <w:r w:rsidRPr="006A5C18">
              <w:rPr>
                <w:rFonts w:ascii="Arial" w:hAnsi="Arial" w:cs="Arial"/>
                <w:sz w:val="18"/>
                <w:szCs w:val="18"/>
                <w:lang w:val="el-GR"/>
              </w:rPr>
              <w:t>ΕΚΤ</w:t>
            </w:r>
          </w:p>
        </w:tc>
        <w:tc>
          <w:tcPr>
            <w:tcW w:w="6350" w:type="dxa"/>
            <w:gridSpan w:val="3"/>
          </w:tcPr>
          <w:p w14:paraId="6EB78584" w14:textId="5FA281F8" w:rsidR="0070005B" w:rsidRPr="006A5C18" w:rsidRDefault="0070005B" w:rsidP="0070005B">
            <w:pPr>
              <w:pStyle w:val="FootnoteText"/>
              <w:tabs>
                <w:tab w:val="center" w:pos="3102"/>
              </w:tabs>
              <w:spacing w:after="160"/>
              <w:jc w:val="both"/>
              <w:rPr>
                <w:rFonts w:ascii="Arial" w:hAnsi="Arial" w:cs="Arial"/>
                <w:sz w:val="18"/>
                <w:szCs w:val="18"/>
                <w:lang w:val="el-GR"/>
              </w:rPr>
            </w:pPr>
            <w:r w:rsidRPr="006A5C18">
              <w:rPr>
                <w:rFonts w:ascii="Arial" w:hAnsi="Arial" w:cs="Arial"/>
                <w:sz w:val="18"/>
                <w:szCs w:val="18"/>
                <w:lang w:val="el-GR"/>
              </w:rPr>
              <w:t>Ευρωπαϊκή Κεντρική Τράπεζα.</w:t>
            </w:r>
            <w:r w:rsidRPr="006A5C18">
              <w:rPr>
                <w:rFonts w:ascii="Arial" w:hAnsi="Arial" w:cs="Arial"/>
                <w:sz w:val="18"/>
                <w:szCs w:val="18"/>
                <w:lang w:val="el-GR"/>
              </w:rPr>
              <w:tab/>
            </w:r>
          </w:p>
        </w:tc>
      </w:tr>
      <w:tr w:rsidR="0070005B" w:rsidRPr="006A5C18" w14:paraId="79CB7BEF" w14:textId="77777777" w:rsidTr="00715401">
        <w:trPr>
          <w:gridAfter w:val="1"/>
          <w:wAfter w:w="98" w:type="dxa"/>
          <w:trHeight w:val="70"/>
        </w:trPr>
        <w:tc>
          <w:tcPr>
            <w:tcW w:w="3233" w:type="dxa"/>
          </w:tcPr>
          <w:p w14:paraId="789E1D88" w14:textId="77777777" w:rsidR="0070005B" w:rsidRPr="006A5C18" w:rsidRDefault="0070005B" w:rsidP="00982DBB">
            <w:pPr>
              <w:pStyle w:val="FootnoteText"/>
              <w:rPr>
                <w:rFonts w:ascii="Arial" w:hAnsi="Arial" w:cs="Arial"/>
                <w:sz w:val="18"/>
                <w:szCs w:val="18"/>
                <w:lang w:val="el-GR"/>
              </w:rPr>
            </w:pPr>
          </w:p>
        </w:tc>
        <w:tc>
          <w:tcPr>
            <w:tcW w:w="6350" w:type="dxa"/>
            <w:gridSpan w:val="3"/>
          </w:tcPr>
          <w:p w14:paraId="64DFD3C1" w14:textId="77777777" w:rsidR="0070005B" w:rsidRPr="006A5C18" w:rsidRDefault="0070005B" w:rsidP="00982DBB">
            <w:pPr>
              <w:pStyle w:val="FootnoteText"/>
              <w:jc w:val="both"/>
              <w:rPr>
                <w:rFonts w:ascii="Arial" w:hAnsi="Arial" w:cs="Arial"/>
                <w:sz w:val="18"/>
                <w:szCs w:val="18"/>
                <w:lang w:val="el-GR"/>
              </w:rPr>
            </w:pPr>
          </w:p>
        </w:tc>
      </w:tr>
      <w:tr w:rsidR="0070005B" w:rsidRPr="0056738E" w14:paraId="77FBAC0D" w14:textId="77777777" w:rsidTr="00715401">
        <w:trPr>
          <w:gridAfter w:val="1"/>
          <w:wAfter w:w="98" w:type="dxa"/>
          <w:trHeight w:val="608"/>
        </w:trPr>
        <w:tc>
          <w:tcPr>
            <w:tcW w:w="3233" w:type="dxa"/>
          </w:tcPr>
          <w:p w14:paraId="1A851276" w14:textId="7E3DE0C1" w:rsidR="0070005B" w:rsidRPr="006A5C18" w:rsidRDefault="0070005B" w:rsidP="0070005B">
            <w:pPr>
              <w:pStyle w:val="FootnoteText"/>
              <w:spacing w:after="240"/>
              <w:rPr>
                <w:rFonts w:ascii="Arial" w:hAnsi="Arial" w:cs="Arial"/>
                <w:sz w:val="18"/>
                <w:szCs w:val="18"/>
                <w:lang w:val="el-GR"/>
              </w:rPr>
            </w:pPr>
            <w:bookmarkStart w:id="54" w:name="_Hlk158980460"/>
            <w:r w:rsidRPr="006A5C18">
              <w:rPr>
                <w:rFonts w:ascii="Arial" w:hAnsi="Arial" w:cs="Arial"/>
                <w:sz w:val="18"/>
                <w:szCs w:val="18"/>
                <w:lang w:val="el-GR"/>
              </w:rPr>
              <w:t>Ενσώματη λογιστική αξία ανά μετοχή</w:t>
            </w:r>
          </w:p>
        </w:tc>
        <w:tc>
          <w:tcPr>
            <w:tcW w:w="6350" w:type="dxa"/>
            <w:gridSpan w:val="3"/>
            <w:shd w:val="clear" w:color="auto" w:fill="auto"/>
          </w:tcPr>
          <w:p w14:paraId="7E21F688" w14:textId="42E5D3E7" w:rsidR="0070005B" w:rsidRPr="006A5C18" w:rsidRDefault="0070005B" w:rsidP="0070005B">
            <w:pPr>
              <w:pStyle w:val="FootnoteText"/>
              <w:spacing w:after="160"/>
              <w:jc w:val="both"/>
              <w:rPr>
                <w:rFonts w:ascii="Arial" w:hAnsi="Arial" w:cs="Arial"/>
                <w:sz w:val="18"/>
                <w:szCs w:val="18"/>
                <w:lang w:val="el-GR"/>
              </w:rPr>
            </w:pPr>
            <w:r w:rsidRPr="006A5C18">
              <w:rPr>
                <w:rFonts w:ascii="Arial" w:hAnsi="Arial" w:cs="Arial"/>
                <w:sz w:val="18"/>
                <w:szCs w:val="18"/>
                <w:lang w:val="el-GR"/>
              </w:rPr>
              <w:t>Υπολογισμένη ως προς τα</w:t>
            </w:r>
            <w:r w:rsidRPr="006A5C18">
              <w:rPr>
                <w:lang w:val="el-GR"/>
              </w:rPr>
              <w:t xml:space="preserve"> </w:t>
            </w:r>
            <w:r w:rsidRPr="006A5C18">
              <w:rPr>
                <w:rFonts w:ascii="Arial" w:hAnsi="Arial" w:cs="Arial"/>
                <w:sz w:val="18"/>
                <w:szCs w:val="18"/>
                <w:lang w:val="el-GR"/>
              </w:rPr>
              <w:t>Ίδια κεφάλαια που αναλογούν στους ιδιοκτήτες της Εταιρίας (</w:t>
            </w:r>
            <w:proofErr w:type="spellStart"/>
            <w:r w:rsidRPr="006A5C18">
              <w:rPr>
                <w:rFonts w:ascii="Arial" w:hAnsi="Arial" w:cs="Arial"/>
                <w:sz w:val="18"/>
                <w:szCs w:val="18"/>
                <w:lang w:val="el-GR"/>
              </w:rPr>
              <w:t>δλδ</w:t>
            </w:r>
            <w:proofErr w:type="spellEnd"/>
            <w:r w:rsidRPr="006A5C18">
              <w:rPr>
                <w:rFonts w:ascii="Arial" w:hAnsi="Arial" w:cs="Arial"/>
                <w:sz w:val="18"/>
                <w:szCs w:val="18"/>
                <w:lang w:val="el-GR"/>
              </w:rPr>
              <w:t xml:space="preserve">  χωρίς τους λοιπούς συμμετοχικούς τίτλους (</w:t>
            </w:r>
            <w:r w:rsidRPr="006A5C18">
              <w:rPr>
                <w:rFonts w:ascii="Arial" w:hAnsi="Arial" w:cs="Arial"/>
                <w:sz w:val="18"/>
                <w:szCs w:val="18"/>
              </w:rPr>
              <w:t>AT</w:t>
            </w:r>
            <w:r w:rsidRPr="006A5C18">
              <w:rPr>
                <w:rFonts w:ascii="Arial" w:hAnsi="Arial" w:cs="Arial"/>
                <w:sz w:val="18"/>
                <w:szCs w:val="18"/>
                <w:lang w:val="el-GR"/>
              </w:rPr>
              <w:t>1)) μείον άυλα περιουσιακά στοιχεία ως προς τις συνήθεις μετοχές του Συγκροτήματος</w:t>
            </w:r>
            <w:r w:rsidR="00982DBB" w:rsidRPr="006A5C18">
              <w:rPr>
                <w:rFonts w:ascii="Arial" w:hAnsi="Arial" w:cs="Arial"/>
                <w:sz w:val="18"/>
                <w:szCs w:val="18"/>
                <w:lang w:val="el-GR"/>
              </w:rPr>
              <w:t xml:space="preserve"> (μείον των ιδίων μετοχών) που κατέχονται κατά το τέλος της περιόδου/του τριμήνου.</w:t>
            </w:r>
          </w:p>
        </w:tc>
      </w:tr>
      <w:tr w:rsidR="0070005B" w:rsidRPr="0056738E" w14:paraId="7F7B5B2C" w14:textId="77777777" w:rsidTr="00216133">
        <w:trPr>
          <w:gridAfter w:val="1"/>
          <w:wAfter w:w="98" w:type="dxa"/>
        </w:trPr>
        <w:tc>
          <w:tcPr>
            <w:tcW w:w="9583" w:type="dxa"/>
            <w:gridSpan w:val="4"/>
          </w:tcPr>
          <w:p w14:paraId="41B95EEC" w14:textId="77777777" w:rsidR="0070005B" w:rsidRPr="006A5C18" w:rsidRDefault="0070005B" w:rsidP="0070005B">
            <w:pPr>
              <w:jc w:val="both"/>
              <w:rPr>
                <w:rFonts w:ascii="Arial" w:hAnsi="Arial" w:cs="Arial"/>
                <w:sz w:val="18"/>
                <w:szCs w:val="18"/>
                <w:lang w:val="el-GR"/>
              </w:rPr>
            </w:pPr>
          </w:p>
        </w:tc>
      </w:tr>
      <w:bookmarkEnd w:id="54"/>
      <w:tr w:rsidR="0070005B" w:rsidRPr="0056738E" w14:paraId="1C789328" w14:textId="77777777" w:rsidTr="00715401">
        <w:trPr>
          <w:gridAfter w:val="1"/>
          <w:wAfter w:w="98" w:type="dxa"/>
          <w:trHeight w:val="764"/>
        </w:trPr>
        <w:tc>
          <w:tcPr>
            <w:tcW w:w="3233" w:type="dxa"/>
          </w:tcPr>
          <w:p w14:paraId="28DA140D" w14:textId="4B53CDB9" w:rsidR="0070005B" w:rsidRPr="006A5C18" w:rsidRDefault="0070005B" w:rsidP="0070005B">
            <w:pPr>
              <w:pStyle w:val="FootnoteText"/>
              <w:spacing w:after="240"/>
              <w:rPr>
                <w:rFonts w:ascii="Arial" w:hAnsi="Arial" w:cs="Arial"/>
                <w:sz w:val="18"/>
                <w:szCs w:val="18"/>
                <w:lang w:val="el-GR"/>
              </w:rPr>
            </w:pPr>
            <w:r w:rsidRPr="006A5C18">
              <w:rPr>
                <w:rFonts w:ascii="Arial" w:hAnsi="Arial" w:cs="Arial"/>
                <w:color w:val="000000" w:themeColor="text1"/>
                <w:sz w:val="18"/>
                <w:szCs w:val="18"/>
                <w:lang w:val="el-GR"/>
              </w:rPr>
              <w:t xml:space="preserve">Ενσώματη λογιστική αξία </w:t>
            </w:r>
            <w:r w:rsidRPr="006A5C18">
              <w:rPr>
                <w:rFonts w:ascii="Arial" w:hAnsi="Arial" w:cs="Arial"/>
                <w:sz w:val="18"/>
                <w:szCs w:val="18"/>
                <w:lang w:val="el-GR"/>
              </w:rPr>
              <w:t xml:space="preserve">ανά μετοχή </w:t>
            </w:r>
            <w:r w:rsidRPr="006A5C18">
              <w:rPr>
                <w:rFonts w:ascii="Arial" w:hAnsi="Arial" w:cs="Arial"/>
                <w:color w:val="000000" w:themeColor="text1"/>
                <w:sz w:val="18"/>
                <w:szCs w:val="18"/>
                <w:lang w:val="el-GR"/>
              </w:rPr>
              <w:t>εξαιρουμένης του μερίσματος σε μετρητά</w:t>
            </w:r>
          </w:p>
        </w:tc>
        <w:tc>
          <w:tcPr>
            <w:tcW w:w="6350" w:type="dxa"/>
            <w:gridSpan w:val="3"/>
          </w:tcPr>
          <w:p w14:paraId="513FED1F" w14:textId="5905B229" w:rsidR="0070005B" w:rsidRPr="006A5C18" w:rsidRDefault="0070005B" w:rsidP="0070005B">
            <w:pPr>
              <w:pStyle w:val="FootnoteText"/>
              <w:spacing w:after="160"/>
              <w:jc w:val="both"/>
              <w:rPr>
                <w:rFonts w:ascii="Arial" w:hAnsi="Arial" w:cs="Arial"/>
                <w:sz w:val="18"/>
                <w:szCs w:val="18"/>
                <w:lang w:val="el-GR"/>
              </w:rPr>
            </w:pPr>
            <w:r w:rsidRPr="006A5C18">
              <w:rPr>
                <w:rFonts w:ascii="Arial" w:hAnsi="Arial" w:cs="Arial"/>
                <w:sz w:val="18"/>
                <w:szCs w:val="18"/>
                <w:lang w:val="el-GR"/>
              </w:rPr>
              <w:t>Υπολογισμένη ως προς τα</w:t>
            </w:r>
            <w:r w:rsidRPr="006A5C18">
              <w:rPr>
                <w:lang w:val="el-GR"/>
              </w:rPr>
              <w:t xml:space="preserve"> </w:t>
            </w:r>
            <w:r w:rsidRPr="006A5C18">
              <w:rPr>
                <w:rFonts w:ascii="Arial" w:hAnsi="Arial" w:cs="Arial"/>
                <w:sz w:val="18"/>
                <w:szCs w:val="18"/>
                <w:lang w:val="el-GR"/>
              </w:rPr>
              <w:t>Ίδια κεφάλαια που αναλογούν στους ιδιοκτήτες της Εταιρίας (</w:t>
            </w:r>
            <w:proofErr w:type="spellStart"/>
            <w:r w:rsidRPr="006A5C18">
              <w:rPr>
                <w:rFonts w:ascii="Arial" w:hAnsi="Arial" w:cs="Arial"/>
                <w:sz w:val="18"/>
                <w:szCs w:val="18"/>
                <w:lang w:val="el-GR"/>
              </w:rPr>
              <w:t>δλδ</w:t>
            </w:r>
            <w:proofErr w:type="spellEnd"/>
            <w:r w:rsidRPr="006A5C18">
              <w:rPr>
                <w:rFonts w:ascii="Arial" w:hAnsi="Arial" w:cs="Arial"/>
                <w:sz w:val="18"/>
                <w:szCs w:val="18"/>
                <w:lang w:val="el-GR"/>
              </w:rPr>
              <w:t xml:space="preserve">  χωρίς τους λοιπούς συμμετοχικούς τίτλους (</w:t>
            </w:r>
            <w:r w:rsidRPr="006A5C18">
              <w:rPr>
                <w:rFonts w:ascii="Arial" w:hAnsi="Arial" w:cs="Arial"/>
                <w:sz w:val="18"/>
                <w:szCs w:val="18"/>
              </w:rPr>
              <w:t>AT</w:t>
            </w:r>
            <w:r w:rsidRPr="006A5C18">
              <w:rPr>
                <w:rFonts w:ascii="Arial" w:hAnsi="Arial" w:cs="Arial"/>
                <w:sz w:val="18"/>
                <w:szCs w:val="18"/>
                <w:lang w:val="el-GR"/>
              </w:rPr>
              <w:t>1)) μείον άυλα περιουσιακά στοιχεία και των ποσών που εγκρίθηκαν/προτάθηκαν για μέρισμα σε μετρητά ως προς τις συνήθεις μετοχές του Συγκροτήματος</w:t>
            </w:r>
            <w:r w:rsidR="00982DBB" w:rsidRPr="006A5C18">
              <w:rPr>
                <w:rFonts w:ascii="Arial" w:hAnsi="Arial" w:cs="Arial"/>
                <w:sz w:val="18"/>
                <w:szCs w:val="18"/>
                <w:lang w:val="el-GR"/>
              </w:rPr>
              <w:t xml:space="preserve"> (μείον των ιδίων μετοχών) που κατέχονται κατά το τέλος της περιόδου/του τριμήνου.</w:t>
            </w:r>
          </w:p>
        </w:tc>
      </w:tr>
      <w:tr w:rsidR="00982DBB" w:rsidRPr="0056738E" w14:paraId="7E758A37" w14:textId="77777777" w:rsidTr="00715401">
        <w:trPr>
          <w:gridAfter w:val="1"/>
          <w:wAfter w:w="98" w:type="dxa"/>
          <w:trHeight w:val="70"/>
        </w:trPr>
        <w:tc>
          <w:tcPr>
            <w:tcW w:w="3233" w:type="dxa"/>
          </w:tcPr>
          <w:p w14:paraId="01876F34" w14:textId="77777777" w:rsidR="00982DBB" w:rsidRPr="006A5C18" w:rsidRDefault="00982DBB" w:rsidP="00982DBB">
            <w:pPr>
              <w:pStyle w:val="FootnoteText"/>
              <w:rPr>
                <w:rFonts w:ascii="Arial" w:hAnsi="Arial" w:cs="Arial"/>
                <w:sz w:val="18"/>
                <w:szCs w:val="18"/>
                <w:lang w:val="el-GR"/>
              </w:rPr>
            </w:pPr>
          </w:p>
        </w:tc>
        <w:tc>
          <w:tcPr>
            <w:tcW w:w="6350" w:type="dxa"/>
            <w:gridSpan w:val="3"/>
          </w:tcPr>
          <w:p w14:paraId="43C1D783"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69D7B122" w14:textId="77777777" w:rsidTr="00715401">
        <w:trPr>
          <w:gridAfter w:val="1"/>
          <w:wAfter w:w="98" w:type="dxa"/>
        </w:trPr>
        <w:tc>
          <w:tcPr>
            <w:tcW w:w="3233" w:type="dxa"/>
          </w:tcPr>
          <w:p w14:paraId="772B0559" w14:textId="5C31C7E3" w:rsidR="00982DBB" w:rsidRPr="006A5C18" w:rsidRDefault="00982DBB" w:rsidP="00982DBB">
            <w:pPr>
              <w:pStyle w:val="FootnoteText"/>
              <w:spacing w:after="240"/>
              <w:rPr>
                <w:rFonts w:ascii="Arial" w:hAnsi="Arial" w:cs="Arial"/>
                <w:sz w:val="18"/>
                <w:szCs w:val="18"/>
                <w:lang w:val="el-GR"/>
              </w:rPr>
            </w:pPr>
            <w:r w:rsidRPr="006A5C18">
              <w:rPr>
                <w:rFonts w:ascii="Arial" w:hAnsi="Arial" w:cs="Arial"/>
                <w:sz w:val="18"/>
                <w:szCs w:val="18"/>
                <w:lang w:val="el-GR"/>
              </w:rPr>
              <w:t>Έξοδα συμβούλων και άλλα έξοδα μετασχηματισμού</w:t>
            </w:r>
          </w:p>
        </w:tc>
        <w:tc>
          <w:tcPr>
            <w:tcW w:w="6350" w:type="dxa"/>
            <w:gridSpan w:val="3"/>
          </w:tcPr>
          <w:p w14:paraId="48792044" w14:textId="1BEC6C44" w:rsidR="00982DBB" w:rsidRPr="006A5C18" w:rsidRDefault="00982DBB" w:rsidP="00982DBB">
            <w:pPr>
              <w:pStyle w:val="FootnoteText"/>
              <w:spacing w:after="160"/>
              <w:jc w:val="both"/>
              <w:rPr>
                <w:rFonts w:ascii="Arial" w:hAnsi="Arial" w:cs="Arial"/>
                <w:sz w:val="18"/>
                <w:szCs w:val="18"/>
                <w:lang w:val="el-GR"/>
              </w:rPr>
            </w:pPr>
            <w:r w:rsidRPr="006A5C18">
              <w:rPr>
                <w:rFonts w:ascii="Arial" w:hAnsi="Arial" w:cs="Arial"/>
                <w:sz w:val="18"/>
                <w:szCs w:val="18"/>
                <w:lang w:val="el-GR"/>
              </w:rPr>
              <w:t>Αποτελούνται κυρίως από το κόστος εξωτερικών συμβούλων που αφορά: (i)</w:t>
            </w:r>
            <w:r w:rsidRPr="006A5C18">
              <w:rPr>
                <w:rFonts w:ascii="Arial" w:hAnsi="Arial" w:cs="Arial"/>
                <w:lang w:val="el-GR"/>
              </w:rPr>
              <w:t xml:space="preserve"> τ</w:t>
            </w:r>
            <w:r w:rsidRPr="006A5C18">
              <w:rPr>
                <w:rFonts w:ascii="Arial" w:hAnsi="Arial" w:cs="Arial"/>
                <w:sz w:val="18"/>
                <w:szCs w:val="18"/>
                <w:lang w:val="el-GR"/>
              </w:rPr>
              <w:t>ο πρόγραμμα μετασχηματισμού και άλλα στρατηγικά έργα του Συγκροτήματος και (</w:t>
            </w:r>
            <w:proofErr w:type="spellStart"/>
            <w:r w:rsidRPr="006A5C18">
              <w:rPr>
                <w:rFonts w:ascii="Arial" w:hAnsi="Arial" w:cs="Arial"/>
                <w:sz w:val="18"/>
                <w:szCs w:val="18"/>
                <w:lang w:val="el-GR"/>
              </w:rPr>
              <w:t>ii</w:t>
            </w:r>
            <w:proofErr w:type="spellEnd"/>
            <w:r w:rsidRPr="006A5C18">
              <w:rPr>
                <w:rFonts w:ascii="Arial" w:hAnsi="Arial" w:cs="Arial"/>
                <w:sz w:val="18"/>
                <w:szCs w:val="18"/>
                <w:lang w:val="el-GR"/>
              </w:rPr>
              <w:t>) τέλη για τις δραστηριότητες αναδιάρθρωσης δανείων πελατών.</w:t>
            </w:r>
          </w:p>
        </w:tc>
      </w:tr>
      <w:tr w:rsidR="00982DBB" w:rsidRPr="0056738E" w14:paraId="64AD90D8" w14:textId="77777777" w:rsidTr="00715401">
        <w:trPr>
          <w:gridAfter w:val="1"/>
          <w:wAfter w:w="98" w:type="dxa"/>
        </w:trPr>
        <w:tc>
          <w:tcPr>
            <w:tcW w:w="3233" w:type="dxa"/>
            <w:shd w:val="clear" w:color="auto" w:fill="auto"/>
          </w:tcPr>
          <w:p w14:paraId="7EEB03B8" w14:textId="77777777" w:rsidR="00982DBB" w:rsidRPr="006A5C18" w:rsidRDefault="00982DBB" w:rsidP="00982DBB">
            <w:pPr>
              <w:pStyle w:val="FootnoteText"/>
              <w:rPr>
                <w:rFonts w:ascii="Arial" w:hAnsi="Arial" w:cs="Arial"/>
                <w:sz w:val="18"/>
                <w:szCs w:val="18"/>
                <w:lang w:val="el-GR"/>
              </w:rPr>
            </w:pPr>
          </w:p>
        </w:tc>
        <w:tc>
          <w:tcPr>
            <w:tcW w:w="6350" w:type="dxa"/>
            <w:gridSpan w:val="3"/>
            <w:shd w:val="clear" w:color="auto" w:fill="auto"/>
          </w:tcPr>
          <w:p w14:paraId="18FAB2E4"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61F1B843" w14:textId="77777777" w:rsidTr="00EC61E2">
        <w:trPr>
          <w:gridAfter w:val="1"/>
          <w:wAfter w:w="98" w:type="dxa"/>
        </w:trPr>
        <w:tc>
          <w:tcPr>
            <w:tcW w:w="9583" w:type="dxa"/>
            <w:gridSpan w:val="4"/>
            <w:shd w:val="clear" w:color="auto" w:fill="auto"/>
          </w:tcPr>
          <w:p w14:paraId="2274AF84" w14:textId="77777777" w:rsidR="00982DBB" w:rsidRPr="006A5C18" w:rsidRDefault="00982DBB" w:rsidP="00982DBB">
            <w:pPr>
              <w:jc w:val="both"/>
              <w:rPr>
                <w:rFonts w:ascii="Arial" w:hAnsi="Arial" w:cs="Arial"/>
                <w:b/>
                <w:color w:val="FF9900"/>
                <w:sz w:val="24"/>
                <w:szCs w:val="24"/>
                <w:lang w:val="el-GR"/>
              </w:rPr>
            </w:pPr>
          </w:p>
          <w:p w14:paraId="781162BD" w14:textId="13EFD352" w:rsidR="00982DBB" w:rsidRPr="006A5C18" w:rsidRDefault="005F1DE6" w:rsidP="00982DBB">
            <w:pPr>
              <w:jc w:val="both"/>
              <w:rPr>
                <w:rFonts w:ascii="Arial" w:hAnsi="Arial" w:cs="Arial"/>
                <w:bCs/>
                <w:color w:val="FF9900"/>
                <w:sz w:val="24"/>
                <w:szCs w:val="24"/>
                <w:lang w:val="el-GR"/>
              </w:rPr>
            </w:pPr>
            <w:r>
              <w:rPr>
                <w:rFonts w:ascii="Arial" w:hAnsi="Arial" w:cs="Arial"/>
                <w:b/>
                <w:color w:val="FF9900"/>
                <w:sz w:val="24"/>
                <w:szCs w:val="24"/>
                <w:lang w:val="el-GR"/>
              </w:rPr>
              <w:lastRenderedPageBreak/>
              <w:t>Θ</w:t>
            </w:r>
            <w:r w:rsidR="00982DBB" w:rsidRPr="006A5C18">
              <w:rPr>
                <w:rFonts w:ascii="Arial" w:hAnsi="Arial" w:cs="Arial"/>
                <w:b/>
                <w:color w:val="FF9900"/>
                <w:sz w:val="24"/>
                <w:szCs w:val="24"/>
                <w:lang w:val="el-GR"/>
              </w:rPr>
              <w:t>. Όροι και Επεξηγήσεις</w:t>
            </w:r>
            <w:r w:rsidR="00982DBB" w:rsidRPr="006A5C18">
              <w:rPr>
                <w:rFonts w:ascii="Arial" w:hAnsi="Arial" w:cs="Arial"/>
                <w:bCs/>
                <w:color w:val="FF9900"/>
                <w:sz w:val="24"/>
                <w:szCs w:val="24"/>
                <w:lang w:val="el-GR"/>
              </w:rPr>
              <w:t xml:space="preserve"> (συνέχεια)</w:t>
            </w:r>
          </w:p>
          <w:p w14:paraId="217D60A7" w14:textId="77777777" w:rsidR="00982DBB" w:rsidRPr="006A5C18" w:rsidRDefault="00982DBB" w:rsidP="00982DBB">
            <w:pPr>
              <w:pStyle w:val="FootnoteText"/>
              <w:rPr>
                <w:rFonts w:ascii="Arial" w:hAnsi="Arial" w:cs="Arial"/>
                <w:sz w:val="18"/>
                <w:szCs w:val="18"/>
                <w:lang w:val="el-GR"/>
              </w:rPr>
            </w:pPr>
          </w:p>
        </w:tc>
      </w:tr>
      <w:tr w:rsidR="00982DBB" w:rsidRPr="006A5C18" w14:paraId="1B6CBA29" w14:textId="77777777" w:rsidTr="00715401">
        <w:trPr>
          <w:gridAfter w:val="1"/>
          <w:wAfter w:w="98" w:type="dxa"/>
        </w:trPr>
        <w:tc>
          <w:tcPr>
            <w:tcW w:w="3233" w:type="dxa"/>
            <w:shd w:val="clear" w:color="auto" w:fill="auto"/>
          </w:tcPr>
          <w:p w14:paraId="12B35CCA" w14:textId="77777777" w:rsidR="00982DBB" w:rsidRPr="006A5C18" w:rsidRDefault="00982DBB" w:rsidP="00982DBB">
            <w:pPr>
              <w:pStyle w:val="FootnoteText"/>
              <w:spacing w:after="240"/>
              <w:rPr>
                <w:rFonts w:ascii="Arial" w:hAnsi="Arial" w:cs="Arial"/>
                <w:sz w:val="18"/>
                <w:szCs w:val="18"/>
                <w:lang w:val="el-GR"/>
              </w:rPr>
            </w:pPr>
            <w:r w:rsidRPr="006A5C18">
              <w:rPr>
                <w:rFonts w:ascii="Arial" w:hAnsi="Arial" w:cs="Arial"/>
                <w:sz w:val="18"/>
                <w:szCs w:val="18"/>
                <w:lang w:val="el-GR"/>
              </w:rPr>
              <w:lastRenderedPageBreak/>
              <w:t>Ετήσια Βάση</w:t>
            </w:r>
          </w:p>
        </w:tc>
        <w:tc>
          <w:tcPr>
            <w:tcW w:w="6350" w:type="dxa"/>
            <w:gridSpan w:val="3"/>
            <w:shd w:val="clear" w:color="auto" w:fill="auto"/>
          </w:tcPr>
          <w:p w14:paraId="05FB7965" w14:textId="7C5B6A22" w:rsidR="00982DBB" w:rsidRPr="006A5C18" w:rsidRDefault="00982DBB" w:rsidP="00982DBB">
            <w:pPr>
              <w:pStyle w:val="FootnoteText"/>
              <w:spacing w:after="160"/>
              <w:jc w:val="both"/>
              <w:rPr>
                <w:rFonts w:ascii="Arial" w:hAnsi="Arial" w:cs="Arial"/>
                <w:sz w:val="18"/>
                <w:szCs w:val="18"/>
                <w:lang w:val="el-GR"/>
              </w:rPr>
            </w:pPr>
            <w:r w:rsidRPr="006A5C18">
              <w:rPr>
                <w:rFonts w:ascii="Arial" w:hAnsi="Arial" w:cs="Arial"/>
                <w:sz w:val="18"/>
                <w:szCs w:val="18"/>
                <w:lang w:val="el-GR"/>
              </w:rPr>
              <w:t>Αλλαγές σε ετήσια βάση.</w:t>
            </w:r>
          </w:p>
        </w:tc>
      </w:tr>
      <w:tr w:rsidR="00982DBB" w:rsidRPr="006A5C18" w14:paraId="0E958FC1" w14:textId="77777777" w:rsidTr="00715401">
        <w:trPr>
          <w:gridAfter w:val="1"/>
          <w:wAfter w:w="98" w:type="dxa"/>
        </w:trPr>
        <w:tc>
          <w:tcPr>
            <w:tcW w:w="3233" w:type="dxa"/>
          </w:tcPr>
          <w:p w14:paraId="27BCDA14" w14:textId="77777777" w:rsidR="00982DBB" w:rsidRPr="006A5C18" w:rsidRDefault="00982DBB" w:rsidP="00982DBB">
            <w:pPr>
              <w:pStyle w:val="FootnoteText"/>
              <w:rPr>
                <w:rFonts w:ascii="Arial" w:hAnsi="Arial" w:cs="Arial"/>
                <w:sz w:val="18"/>
                <w:szCs w:val="18"/>
                <w:lang w:val="el-GR"/>
              </w:rPr>
            </w:pPr>
          </w:p>
        </w:tc>
        <w:tc>
          <w:tcPr>
            <w:tcW w:w="6350" w:type="dxa"/>
            <w:gridSpan w:val="3"/>
          </w:tcPr>
          <w:p w14:paraId="1306FFF2"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6A565F4C" w14:textId="77777777" w:rsidTr="00715401">
        <w:trPr>
          <w:gridAfter w:val="1"/>
          <w:wAfter w:w="98" w:type="dxa"/>
        </w:trPr>
        <w:tc>
          <w:tcPr>
            <w:tcW w:w="3233" w:type="dxa"/>
          </w:tcPr>
          <w:p w14:paraId="0BEADCFE" w14:textId="13647ECA" w:rsidR="00982DBB" w:rsidRPr="006A5C18" w:rsidRDefault="00982DBB" w:rsidP="00982DBB">
            <w:pPr>
              <w:pStyle w:val="FootnoteText"/>
              <w:spacing w:after="240"/>
              <w:rPr>
                <w:rFonts w:ascii="Arial" w:hAnsi="Arial" w:cs="Arial"/>
                <w:sz w:val="18"/>
                <w:szCs w:val="18"/>
                <w:lang w:val="el-GR"/>
              </w:rPr>
            </w:pPr>
            <w:r w:rsidRPr="006A5C18">
              <w:rPr>
                <w:rFonts w:ascii="Arial" w:hAnsi="Arial" w:cs="Arial"/>
                <w:sz w:val="18"/>
                <w:szCs w:val="18"/>
                <w:lang w:val="el-GR"/>
              </w:rPr>
              <w:t>Ίδια κεφάλαια που αναλογούν στους ιδιοκτήτες της Εταιρίας</w:t>
            </w:r>
          </w:p>
        </w:tc>
        <w:tc>
          <w:tcPr>
            <w:tcW w:w="6350" w:type="dxa"/>
            <w:gridSpan w:val="3"/>
          </w:tcPr>
          <w:p w14:paraId="4C2CB631" w14:textId="374CEC6B" w:rsidR="00982DBB" w:rsidRPr="006A5C18" w:rsidRDefault="00982DBB" w:rsidP="00982DBB">
            <w:pPr>
              <w:pStyle w:val="FootnoteText"/>
              <w:spacing w:after="160"/>
              <w:jc w:val="both"/>
              <w:rPr>
                <w:rFonts w:ascii="Arial" w:hAnsi="Arial" w:cs="Arial"/>
                <w:sz w:val="18"/>
                <w:szCs w:val="18"/>
                <w:lang w:val="el-GR"/>
              </w:rPr>
            </w:pPr>
            <w:r w:rsidRPr="006A5C18">
              <w:rPr>
                <w:rFonts w:ascii="Arial" w:hAnsi="Arial" w:cs="Arial"/>
                <w:sz w:val="18"/>
                <w:szCs w:val="18"/>
              </w:rPr>
              <w:t>T</w:t>
            </w:r>
            <w:r w:rsidRPr="006A5C18">
              <w:rPr>
                <w:rFonts w:ascii="Arial" w:hAnsi="Arial" w:cs="Arial"/>
                <w:sz w:val="18"/>
                <w:szCs w:val="18"/>
                <w:lang w:val="el-GR"/>
              </w:rPr>
              <w:t>α ίδια κεφάλαια που αναλογούν στους ιδιοκτήτες της Εταιρίας αποτελούνται από το σύνολο ιδίων κεφαλαίων προσαρμοσμένα για τα δικαιώματα μειοψηφίας και τους Λοιπούς συμμετοχικούς τίτλους.</w:t>
            </w:r>
          </w:p>
        </w:tc>
      </w:tr>
      <w:tr w:rsidR="00982DBB" w:rsidRPr="0056738E" w14:paraId="3EFC53CB" w14:textId="77777777" w:rsidTr="00715401">
        <w:trPr>
          <w:gridAfter w:val="1"/>
          <w:wAfter w:w="98" w:type="dxa"/>
        </w:trPr>
        <w:tc>
          <w:tcPr>
            <w:tcW w:w="3233" w:type="dxa"/>
          </w:tcPr>
          <w:p w14:paraId="36C1730D" w14:textId="77777777" w:rsidR="00982DBB" w:rsidRPr="006A5C18" w:rsidRDefault="00982DBB" w:rsidP="00982DBB">
            <w:pPr>
              <w:pStyle w:val="FootnoteText"/>
              <w:rPr>
                <w:rFonts w:ascii="Arial" w:hAnsi="Arial" w:cs="Arial"/>
                <w:sz w:val="18"/>
                <w:szCs w:val="18"/>
                <w:lang w:val="el-GR"/>
              </w:rPr>
            </w:pPr>
          </w:p>
        </w:tc>
        <w:tc>
          <w:tcPr>
            <w:tcW w:w="6350" w:type="dxa"/>
            <w:gridSpan w:val="3"/>
          </w:tcPr>
          <w:p w14:paraId="36679643"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204C4D34" w14:textId="77777777" w:rsidTr="00715401">
        <w:trPr>
          <w:gridAfter w:val="1"/>
          <w:wAfter w:w="98" w:type="dxa"/>
        </w:trPr>
        <w:tc>
          <w:tcPr>
            <w:tcW w:w="3233" w:type="dxa"/>
          </w:tcPr>
          <w:p w14:paraId="1B61CCF0" w14:textId="77777777" w:rsidR="00982DBB" w:rsidRPr="006A5C18" w:rsidRDefault="00982DBB" w:rsidP="00982DBB">
            <w:pPr>
              <w:pStyle w:val="FootnoteText"/>
              <w:spacing w:after="240"/>
              <w:rPr>
                <w:rFonts w:ascii="Arial" w:hAnsi="Arial" w:cs="Arial"/>
                <w:sz w:val="18"/>
                <w:szCs w:val="18"/>
                <w:lang w:val="el-GR"/>
              </w:rPr>
            </w:pPr>
            <w:r w:rsidRPr="006A5C18">
              <w:rPr>
                <w:rFonts w:ascii="Arial" w:hAnsi="Arial" w:cs="Arial"/>
                <w:sz w:val="18"/>
                <w:szCs w:val="18"/>
                <w:lang w:val="el-GR"/>
              </w:rPr>
              <w:t>Καθαρά δάνεια και απαιτήσεις από πελάτες</w:t>
            </w:r>
          </w:p>
        </w:tc>
        <w:tc>
          <w:tcPr>
            <w:tcW w:w="6350" w:type="dxa"/>
            <w:gridSpan w:val="3"/>
          </w:tcPr>
          <w:p w14:paraId="11FFE04B" w14:textId="3A1A0954" w:rsidR="00982DBB" w:rsidRPr="006A5C18" w:rsidRDefault="00982DBB" w:rsidP="00982DBB">
            <w:pPr>
              <w:pStyle w:val="FootnoteText"/>
              <w:spacing w:after="160"/>
              <w:jc w:val="both"/>
              <w:rPr>
                <w:rFonts w:ascii="Arial" w:hAnsi="Arial" w:cs="Arial"/>
                <w:sz w:val="18"/>
                <w:szCs w:val="18"/>
                <w:lang w:val="el-GR"/>
              </w:rPr>
            </w:pPr>
            <w:r w:rsidRPr="006A5C18">
              <w:rPr>
                <w:rFonts w:ascii="Arial" w:hAnsi="Arial" w:cs="Arial"/>
                <w:sz w:val="18"/>
                <w:szCs w:val="18"/>
                <w:lang w:val="el-GR"/>
              </w:rPr>
              <w:t>Τα καθαρά δάνεια και απαιτήσεις από πελάτες αποτελούνται από τα Δάνεια (όπως ορίζονται) μείον τις συσσωρευμένες αναμενόμενες πιστωτικές ζημιές (όπως ορίζονται, αλλά μη περιλαμβανομένων των συσσωρευμένων αναμενόμενων πιστωτικών ζημιών για στοιχεία εκτός ισολογισμού, τα οποία περιλαμβάνονται στον ισολογισμό στις άλλες υποχρεώσεις).</w:t>
            </w:r>
          </w:p>
        </w:tc>
      </w:tr>
      <w:tr w:rsidR="00982DBB" w:rsidRPr="0056738E" w14:paraId="75734313" w14:textId="77777777" w:rsidTr="00715401">
        <w:trPr>
          <w:gridAfter w:val="1"/>
          <w:wAfter w:w="98" w:type="dxa"/>
        </w:trPr>
        <w:tc>
          <w:tcPr>
            <w:tcW w:w="3233" w:type="dxa"/>
          </w:tcPr>
          <w:p w14:paraId="4E0B0E21" w14:textId="77777777" w:rsidR="00982DBB" w:rsidRPr="006A5C18" w:rsidRDefault="00982DBB" w:rsidP="00982DBB">
            <w:pPr>
              <w:pStyle w:val="FootnoteText"/>
              <w:rPr>
                <w:rFonts w:ascii="Arial" w:hAnsi="Arial" w:cs="Arial"/>
                <w:sz w:val="18"/>
                <w:szCs w:val="18"/>
                <w:lang w:val="el-GR"/>
              </w:rPr>
            </w:pPr>
          </w:p>
        </w:tc>
        <w:tc>
          <w:tcPr>
            <w:tcW w:w="6350" w:type="dxa"/>
            <w:gridSpan w:val="3"/>
          </w:tcPr>
          <w:p w14:paraId="1929D8EA"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7EA75AB7" w14:textId="77777777" w:rsidTr="00715401">
        <w:trPr>
          <w:gridAfter w:val="1"/>
          <w:wAfter w:w="98" w:type="dxa"/>
        </w:trPr>
        <w:tc>
          <w:tcPr>
            <w:tcW w:w="3233" w:type="dxa"/>
          </w:tcPr>
          <w:p w14:paraId="162BA756" w14:textId="77777777" w:rsidR="00982DBB" w:rsidRPr="006A5C18" w:rsidRDefault="00982DBB" w:rsidP="00982DBB">
            <w:pPr>
              <w:pStyle w:val="FootnoteText"/>
              <w:spacing w:after="240"/>
              <w:rPr>
                <w:rFonts w:ascii="Arial" w:hAnsi="Arial" w:cs="Arial"/>
                <w:sz w:val="18"/>
                <w:szCs w:val="18"/>
                <w:lang w:val="el-GR"/>
              </w:rPr>
            </w:pPr>
            <w:r w:rsidRPr="006A5C18">
              <w:rPr>
                <w:rFonts w:ascii="Arial" w:hAnsi="Arial" w:cs="Arial"/>
                <w:sz w:val="18"/>
                <w:szCs w:val="18"/>
                <w:lang w:val="el-GR"/>
              </w:rPr>
              <w:t xml:space="preserve">Καθαρό </w:t>
            </w:r>
            <w:proofErr w:type="spellStart"/>
            <w:r w:rsidRPr="006A5C18">
              <w:rPr>
                <w:rFonts w:ascii="Arial" w:hAnsi="Arial" w:cs="Arial"/>
                <w:sz w:val="18"/>
                <w:szCs w:val="18"/>
                <w:lang w:val="el-GR"/>
              </w:rPr>
              <w:t>επιτοκιακό</w:t>
            </w:r>
            <w:proofErr w:type="spellEnd"/>
            <w:r w:rsidRPr="006A5C18">
              <w:rPr>
                <w:rFonts w:ascii="Arial" w:hAnsi="Arial" w:cs="Arial"/>
                <w:sz w:val="18"/>
                <w:szCs w:val="18"/>
                <w:lang w:val="el-GR"/>
              </w:rPr>
              <w:t xml:space="preserve"> περιθώριο</w:t>
            </w:r>
          </w:p>
        </w:tc>
        <w:tc>
          <w:tcPr>
            <w:tcW w:w="6350" w:type="dxa"/>
            <w:gridSpan w:val="3"/>
          </w:tcPr>
          <w:p w14:paraId="23BF5833" w14:textId="77777777" w:rsidR="00982DBB" w:rsidRPr="006A5C18" w:rsidRDefault="00982DBB" w:rsidP="00982DBB">
            <w:pPr>
              <w:pStyle w:val="FootnoteText"/>
              <w:spacing w:after="160"/>
              <w:jc w:val="both"/>
              <w:rPr>
                <w:rFonts w:ascii="Arial" w:hAnsi="Arial" w:cs="Arial"/>
                <w:sz w:val="18"/>
                <w:szCs w:val="18"/>
                <w:lang w:val="el-GR"/>
              </w:rPr>
            </w:pPr>
            <w:r w:rsidRPr="006A5C18">
              <w:rPr>
                <w:rFonts w:ascii="Arial" w:hAnsi="Arial" w:cs="Arial"/>
                <w:sz w:val="18"/>
                <w:szCs w:val="18"/>
                <w:lang w:val="el-GR"/>
              </w:rPr>
              <w:t xml:space="preserve">Το καθαρό </w:t>
            </w:r>
            <w:proofErr w:type="spellStart"/>
            <w:r w:rsidRPr="006A5C18">
              <w:rPr>
                <w:rFonts w:ascii="Arial" w:hAnsi="Arial" w:cs="Arial"/>
                <w:sz w:val="18"/>
                <w:szCs w:val="18"/>
                <w:lang w:val="el-GR"/>
              </w:rPr>
              <w:t>επιτοκιακό</w:t>
            </w:r>
            <w:proofErr w:type="spellEnd"/>
            <w:r w:rsidRPr="006A5C18">
              <w:rPr>
                <w:rFonts w:ascii="Arial" w:hAnsi="Arial" w:cs="Arial"/>
                <w:sz w:val="18"/>
                <w:szCs w:val="18"/>
                <w:lang w:val="el-GR"/>
              </w:rPr>
              <w:t xml:space="preserve"> περιθώριο υπολογίζεται ως τα καθαρά έσοδα από τόκους (</w:t>
            </w:r>
            <w:proofErr w:type="spellStart"/>
            <w:r w:rsidRPr="006A5C18">
              <w:rPr>
                <w:rFonts w:ascii="Arial" w:hAnsi="Arial" w:cs="Arial"/>
                <w:sz w:val="18"/>
                <w:szCs w:val="18"/>
                <w:lang w:val="el-GR"/>
              </w:rPr>
              <w:t>ετησιοποιημένα</w:t>
            </w:r>
            <w:proofErr w:type="spellEnd"/>
            <w:r w:rsidRPr="006A5C18">
              <w:rPr>
                <w:rFonts w:ascii="Arial" w:hAnsi="Arial" w:cs="Arial"/>
                <w:sz w:val="18"/>
                <w:szCs w:val="18"/>
                <w:lang w:val="el-GR"/>
              </w:rPr>
              <w:t>) ως προς τον τριμηνιαίο μέσο όρο των τοκοφόρων περιουσιακών στοιχείων (όπως ορίζεται).</w:t>
            </w:r>
          </w:p>
        </w:tc>
      </w:tr>
      <w:tr w:rsidR="00982DBB" w:rsidRPr="0056738E" w14:paraId="22BBAB2F" w14:textId="77777777" w:rsidTr="00715401">
        <w:trPr>
          <w:gridAfter w:val="1"/>
          <w:wAfter w:w="98" w:type="dxa"/>
        </w:trPr>
        <w:tc>
          <w:tcPr>
            <w:tcW w:w="3233" w:type="dxa"/>
          </w:tcPr>
          <w:p w14:paraId="16D0A791" w14:textId="77777777" w:rsidR="00982DBB" w:rsidRPr="006A5C18" w:rsidRDefault="00982DBB" w:rsidP="00982DBB">
            <w:pPr>
              <w:pStyle w:val="FootnoteText"/>
              <w:rPr>
                <w:rFonts w:ascii="Arial" w:hAnsi="Arial" w:cs="Arial"/>
                <w:sz w:val="18"/>
                <w:szCs w:val="18"/>
                <w:lang w:val="el-GR"/>
              </w:rPr>
            </w:pPr>
          </w:p>
        </w:tc>
        <w:tc>
          <w:tcPr>
            <w:tcW w:w="6350" w:type="dxa"/>
            <w:gridSpan w:val="3"/>
          </w:tcPr>
          <w:p w14:paraId="5DB9248A"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5A69408F" w14:textId="77777777" w:rsidTr="00715401">
        <w:trPr>
          <w:gridAfter w:val="1"/>
          <w:wAfter w:w="98" w:type="dxa"/>
        </w:trPr>
        <w:tc>
          <w:tcPr>
            <w:tcW w:w="3233" w:type="dxa"/>
          </w:tcPr>
          <w:p w14:paraId="7550158A" w14:textId="77777777" w:rsidR="00982DBB" w:rsidRPr="006A5C18" w:rsidRDefault="00982DBB" w:rsidP="00982DBB">
            <w:pPr>
              <w:pStyle w:val="FootnoteText"/>
              <w:spacing w:after="160"/>
              <w:rPr>
                <w:rFonts w:ascii="Arial" w:hAnsi="Arial" w:cs="Arial"/>
                <w:sz w:val="18"/>
                <w:szCs w:val="18"/>
                <w:lang w:val="el-GR"/>
              </w:rPr>
            </w:pPr>
            <w:r w:rsidRPr="006A5C18">
              <w:rPr>
                <w:rFonts w:ascii="Arial" w:hAnsi="Arial" w:cs="Arial"/>
                <w:sz w:val="18"/>
                <w:szCs w:val="18"/>
                <w:lang w:val="el-GR"/>
              </w:rPr>
              <w:t>Καθαρό μηδενικό ισοζύγιο εκπομπών (</w:t>
            </w:r>
            <w:proofErr w:type="spellStart"/>
            <w:r w:rsidRPr="006A5C18">
              <w:rPr>
                <w:rFonts w:ascii="Arial" w:hAnsi="Arial" w:cs="Arial"/>
                <w:sz w:val="18"/>
                <w:szCs w:val="18"/>
                <w:lang w:val="el-GR"/>
              </w:rPr>
              <w:t>Net</w:t>
            </w:r>
            <w:proofErr w:type="spellEnd"/>
            <w:r w:rsidRPr="006A5C18">
              <w:rPr>
                <w:rFonts w:ascii="Arial" w:hAnsi="Arial" w:cs="Arial"/>
                <w:sz w:val="18"/>
                <w:szCs w:val="18"/>
                <w:lang w:val="el-GR"/>
              </w:rPr>
              <w:t xml:space="preserve"> </w:t>
            </w:r>
            <w:proofErr w:type="spellStart"/>
            <w:r w:rsidRPr="006A5C18">
              <w:rPr>
                <w:rFonts w:ascii="Arial" w:hAnsi="Arial" w:cs="Arial"/>
                <w:sz w:val="18"/>
                <w:szCs w:val="18"/>
                <w:lang w:val="el-GR"/>
              </w:rPr>
              <w:t>zero</w:t>
            </w:r>
            <w:proofErr w:type="spellEnd"/>
            <w:r w:rsidRPr="006A5C18">
              <w:rPr>
                <w:rFonts w:ascii="Arial" w:hAnsi="Arial" w:cs="Arial"/>
                <w:sz w:val="18"/>
                <w:szCs w:val="18"/>
                <w:lang w:val="el-GR"/>
              </w:rPr>
              <w:t xml:space="preserve"> </w:t>
            </w:r>
            <w:proofErr w:type="spellStart"/>
            <w:r w:rsidRPr="006A5C18">
              <w:rPr>
                <w:rFonts w:ascii="Arial" w:hAnsi="Arial" w:cs="Arial"/>
                <w:sz w:val="18"/>
                <w:szCs w:val="18"/>
                <w:lang w:val="el-GR"/>
              </w:rPr>
              <w:t>emissions</w:t>
            </w:r>
            <w:proofErr w:type="spellEnd"/>
            <w:r w:rsidRPr="006A5C18">
              <w:rPr>
                <w:rFonts w:ascii="Arial" w:hAnsi="Arial" w:cs="Arial"/>
                <w:sz w:val="18"/>
                <w:szCs w:val="18"/>
                <w:lang w:val="el-GR"/>
              </w:rPr>
              <w:t>)</w:t>
            </w:r>
          </w:p>
        </w:tc>
        <w:tc>
          <w:tcPr>
            <w:tcW w:w="6350" w:type="dxa"/>
            <w:gridSpan w:val="3"/>
          </w:tcPr>
          <w:p w14:paraId="1C57411A" w14:textId="72F154D8" w:rsidR="00982DBB" w:rsidRPr="006A5C18" w:rsidRDefault="00982DBB" w:rsidP="00982DBB">
            <w:pPr>
              <w:pStyle w:val="FootnoteText"/>
              <w:jc w:val="both"/>
              <w:rPr>
                <w:rFonts w:ascii="Arial" w:hAnsi="Arial" w:cs="Arial"/>
                <w:sz w:val="18"/>
                <w:szCs w:val="18"/>
                <w:lang w:val="el-GR"/>
              </w:rPr>
            </w:pPr>
            <w:r w:rsidRPr="006A5C18">
              <w:rPr>
                <w:rFonts w:ascii="Arial" w:hAnsi="Arial" w:cs="Arial"/>
                <w:sz w:val="18"/>
                <w:szCs w:val="18"/>
                <w:lang w:val="el-GR"/>
              </w:rPr>
              <w:t>Η μείωση των εκπομπών αερίων του θερμοκηπίου μέσω μέτρων μείωσης και επενδύσεων αντιστάθμισης για την επίτευξη καθαρών μηδενικών εκπομπών.</w:t>
            </w:r>
          </w:p>
        </w:tc>
      </w:tr>
      <w:tr w:rsidR="00982DBB" w:rsidRPr="0056738E" w14:paraId="47F289AE" w14:textId="77777777" w:rsidTr="00715401">
        <w:trPr>
          <w:gridAfter w:val="1"/>
          <w:wAfter w:w="98" w:type="dxa"/>
        </w:trPr>
        <w:tc>
          <w:tcPr>
            <w:tcW w:w="3233" w:type="dxa"/>
          </w:tcPr>
          <w:p w14:paraId="34344FF0" w14:textId="77777777" w:rsidR="00982DBB" w:rsidRPr="006A5C18" w:rsidRDefault="00982DBB" w:rsidP="00982DBB">
            <w:pPr>
              <w:pStyle w:val="FootnoteText"/>
              <w:rPr>
                <w:rFonts w:ascii="Arial" w:hAnsi="Arial" w:cs="Arial"/>
                <w:sz w:val="18"/>
                <w:szCs w:val="18"/>
                <w:lang w:val="el-GR"/>
              </w:rPr>
            </w:pPr>
          </w:p>
        </w:tc>
        <w:tc>
          <w:tcPr>
            <w:tcW w:w="6350" w:type="dxa"/>
            <w:gridSpan w:val="3"/>
          </w:tcPr>
          <w:p w14:paraId="55EB88F9"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22342601" w14:textId="77777777" w:rsidTr="00715401">
        <w:trPr>
          <w:gridAfter w:val="1"/>
          <w:wAfter w:w="98" w:type="dxa"/>
        </w:trPr>
        <w:tc>
          <w:tcPr>
            <w:tcW w:w="3233" w:type="dxa"/>
          </w:tcPr>
          <w:p w14:paraId="12DE9E0C" w14:textId="6D52665D" w:rsidR="00982DBB" w:rsidRPr="006A5C18" w:rsidRDefault="00982DBB" w:rsidP="00982DBB">
            <w:pPr>
              <w:pStyle w:val="FootnoteText"/>
              <w:spacing w:after="240"/>
              <w:rPr>
                <w:rFonts w:ascii="Arial" w:hAnsi="Arial" w:cs="Arial"/>
                <w:sz w:val="18"/>
                <w:szCs w:val="18"/>
                <w:lang w:val="el-GR"/>
              </w:rPr>
            </w:pPr>
            <w:r w:rsidRPr="006A5C18">
              <w:rPr>
                <w:rFonts w:ascii="Arial" w:hAnsi="Arial" w:cs="Arial"/>
                <w:sz w:val="18"/>
                <w:szCs w:val="18"/>
                <w:lang w:val="el-GR"/>
              </w:rPr>
              <w:t xml:space="preserve">Κέρδη μετά τη φορολογία και πριν τα μη-επαναλαμβανόμενα στοιχεία </w:t>
            </w:r>
            <w:r w:rsidRPr="006A5C18">
              <w:rPr>
                <w:rFonts w:ascii="Arial" w:hAnsi="Arial" w:cs="Arial"/>
                <w:bCs/>
                <w:sz w:val="18"/>
                <w:szCs w:val="18"/>
                <w:lang w:val="el-GR"/>
              </w:rPr>
              <w:t>(που αναλογούν στους ιδιοκτήτες της Εταιρίας)</w:t>
            </w:r>
          </w:p>
        </w:tc>
        <w:tc>
          <w:tcPr>
            <w:tcW w:w="6350" w:type="dxa"/>
            <w:gridSpan w:val="3"/>
          </w:tcPr>
          <w:p w14:paraId="0161DBA6" w14:textId="0D2DFA05" w:rsidR="00982DBB" w:rsidRPr="006A5C18" w:rsidRDefault="00982DBB" w:rsidP="00982DBB">
            <w:pPr>
              <w:pStyle w:val="FootnoteText"/>
              <w:spacing w:after="160"/>
              <w:jc w:val="both"/>
              <w:rPr>
                <w:rFonts w:ascii="Arial" w:hAnsi="Arial" w:cs="Arial"/>
                <w:sz w:val="18"/>
                <w:szCs w:val="18"/>
                <w:lang w:val="el-GR"/>
              </w:rPr>
            </w:pPr>
            <w:r w:rsidRPr="006A5C18">
              <w:rPr>
                <w:rFonts w:ascii="Arial" w:hAnsi="Arial" w:cs="Arial"/>
                <w:sz w:val="18"/>
                <w:szCs w:val="18"/>
                <w:lang w:val="el-GR"/>
              </w:rPr>
              <w:t>Αυτό αναφέρεται στα κέρδη μετά τη φορολογία (</w:t>
            </w:r>
            <w:r w:rsidRPr="006A5C18">
              <w:rPr>
                <w:rFonts w:ascii="Arial" w:hAnsi="Arial" w:cs="Arial"/>
                <w:bCs/>
                <w:sz w:val="18"/>
                <w:szCs w:val="18"/>
                <w:lang w:val="el-GR"/>
              </w:rPr>
              <w:t xml:space="preserve">που αναλογούν στους ιδιοκτήτες της Εταιρίας), </w:t>
            </w:r>
            <w:r w:rsidRPr="006A5C18">
              <w:rPr>
                <w:rFonts w:ascii="Arial" w:hAnsi="Arial" w:cs="Arial"/>
                <w:sz w:val="18"/>
                <w:szCs w:val="18"/>
                <w:lang w:val="el-GR"/>
              </w:rPr>
              <w:t xml:space="preserve">εξαιρουμένων των ‘μη-επαναλαμβανομένων στοιχείων’ (ως ορίζονται). </w:t>
            </w:r>
          </w:p>
        </w:tc>
      </w:tr>
      <w:tr w:rsidR="00982DBB" w:rsidRPr="0056738E" w14:paraId="5B368783" w14:textId="77777777" w:rsidTr="00715401">
        <w:trPr>
          <w:gridAfter w:val="1"/>
          <w:wAfter w:w="98" w:type="dxa"/>
        </w:trPr>
        <w:tc>
          <w:tcPr>
            <w:tcW w:w="3233" w:type="dxa"/>
          </w:tcPr>
          <w:p w14:paraId="52409E52" w14:textId="77777777" w:rsidR="00982DBB" w:rsidRPr="006A5C18" w:rsidRDefault="00982DBB" w:rsidP="00982DBB">
            <w:pPr>
              <w:pStyle w:val="FootnoteText"/>
              <w:rPr>
                <w:rFonts w:ascii="Arial" w:hAnsi="Arial" w:cs="Arial"/>
                <w:sz w:val="18"/>
                <w:szCs w:val="18"/>
                <w:lang w:val="el-GR"/>
              </w:rPr>
            </w:pPr>
          </w:p>
        </w:tc>
        <w:tc>
          <w:tcPr>
            <w:tcW w:w="6350" w:type="dxa"/>
            <w:gridSpan w:val="3"/>
          </w:tcPr>
          <w:p w14:paraId="140692B3"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7D193864" w14:textId="77777777" w:rsidTr="00715401">
        <w:trPr>
          <w:gridAfter w:val="1"/>
          <w:wAfter w:w="98" w:type="dxa"/>
        </w:trPr>
        <w:tc>
          <w:tcPr>
            <w:tcW w:w="3233" w:type="dxa"/>
          </w:tcPr>
          <w:p w14:paraId="2C957DF6" w14:textId="77777777" w:rsidR="00982DBB" w:rsidRPr="006A5C18" w:rsidRDefault="00982DBB" w:rsidP="00982DBB">
            <w:pPr>
              <w:pStyle w:val="FootnoteText"/>
              <w:spacing w:after="240"/>
              <w:rPr>
                <w:rFonts w:ascii="Arial" w:hAnsi="Arial" w:cs="Arial"/>
                <w:sz w:val="18"/>
                <w:szCs w:val="18"/>
                <w:lang w:val="el-GR"/>
              </w:rPr>
            </w:pPr>
            <w:r w:rsidRPr="006A5C18">
              <w:rPr>
                <w:rFonts w:ascii="Arial" w:hAnsi="Arial" w:cs="Arial"/>
                <w:sz w:val="18"/>
                <w:szCs w:val="18"/>
                <w:lang w:val="el-GR"/>
              </w:rPr>
              <w:t xml:space="preserve">Κέρδη/(ζημιά) μετά τη φορολογία –οργανικά </w:t>
            </w:r>
            <w:r w:rsidRPr="006A5C18">
              <w:rPr>
                <w:rFonts w:ascii="Arial" w:hAnsi="Arial" w:cs="Arial"/>
                <w:bCs/>
                <w:sz w:val="18"/>
                <w:szCs w:val="18"/>
                <w:lang w:val="el-GR"/>
              </w:rPr>
              <w:t>(που αναλογούν στους ιδιοκτήτες της Εταιρίας)</w:t>
            </w:r>
          </w:p>
        </w:tc>
        <w:tc>
          <w:tcPr>
            <w:tcW w:w="6350" w:type="dxa"/>
            <w:gridSpan w:val="3"/>
          </w:tcPr>
          <w:p w14:paraId="7E0E13C4" w14:textId="7964D0A8" w:rsidR="00982DBB" w:rsidRPr="006A5C18" w:rsidRDefault="00982DBB" w:rsidP="00982DBB">
            <w:pPr>
              <w:pStyle w:val="FootnoteText"/>
              <w:spacing w:after="160"/>
              <w:jc w:val="both"/>
              <w:rPr>
                <w:rFonts w:ascii="Arial" w:hAnsi="Arial" w:cs="Arial"/>
                <w:sz w:val="18"/>
                <w:szCs w:val="18"/>
                <w:lang w:val="el-GR"/>
              </w:rPr>
            </w:pPr>
            <w:r w:rsidRPr="006A5C18">
              <w:rPr>
                <w:rFonts w:ascii="Arial" w:hAnsi="Arial" w:cs="Arial"/>
                <w:sz w:val="18"/>
                <w:szCs w:val="18"/>
                <w:lang w:val="el-GR"/>
              </w:rPr>
              <w:t xml:space="preserve">Αυτό αναφέρεται στα κέρδη ή τη ζημιά μετά τη φορολογία </w:t>
            </w:r>
            <w:r w:rsidRPr="006A5C18">
              <w:rPr>
                <w:rFonts w:ascii="Arial" w:hAnsi="Arial" w:cs="Arial"/>
                <w:bCs/>
                <w:sz w:val="18"/>
                <w:szCs w:val="18"/>
                <w:lang w:val="el-GR"/>
              </w:rPr>
              <w:t>(που αναλογούν στους ιδιοκτήτες της Εταιρίας)</w:t>
            </w:r>
            <w:r w:rsidRPr="006A5C18">
              <w:rPr>
                <w:rFonts w:ascii="Arial" w:hAnsi="Arial" w:cs="Arial"/>
                <w:sz w:val="18"/>
                <w:szCs w:val="18"/>
                <w:lang w:val="el-GR"/>
              </w:rPr>
              <w:t>, εξαιρουμένων των μη-επαναλαμβανόμενων στοιχείων (όπως ορίζονται, εκτός από τα ‘έξοδα συμβούλων και άλλα έξοδα μετασχηματισμού – οργανικά’).</w:t>
            </w:r>
          </w:p>
        </w:tc>
      </w:tr>
      <w:tr w:rsidR="00982DBB" w:rsidRPr="0056738E" w14:paraId="1530840C" w14:textId="77777777" w:rsidTr="00715401">
        <w:trPr>
          <w:gridAfter w:val="1"/>
          <w:wAfter w:w="98" w:type="dxa"/>
          <w:trHeight w:val="57"/>
        </w:trPr>
        <w:tc>
          <w:tcPr>
            <w:tcW w:w="3233" w:type="dxa"/>
            <w:shd w:val="clear" w:color="auto" w:fill="auto"/>
          </w:tcPr>
          <w:p w14:paraId="4ABE9499" w14:textId="77777777" w:rsidR="00982DBB" w:rsidRPr="006A5C18" w:rsidRDefault="00982DBB" w:rsidP="00982DBB">
            <w:pPr>
              <w:pStyle w:val="FootnoteText"/>
              <w:rPr>
                <w:rFonts w:ascii="Arial" w:hAnsi="Arial" w:cs="Arial"/>
                <w:sz w:val="18"/>
                <w:szCs w:val="18"/>
                <w:lang w:val="el-GR"/>
              </w:rPr>
            </w:pPr>
          </w:p>
        </w:tc>
        <w:tc>
          <w:tcPr>
            <w:tcW w:w="6350" w:type="dxa"/>
            <w:gridSpan w:val="3"/>
            <w:shd w:val="clear" w:color="auto" w:fill="auto"/>
          </w:tcPr>
          <w:p w14:paraId="0C578907"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521D4E08" w14:textId="77777777" w:rsidTr="00715401">
        <w:trPr>
          <w:gridAfter w:val="1"/>
          <w:wAfter w:w="98" w:type="dxa"/>
          <w:trHeight w:val="958"/>
        </w:trPr>
        <w:tc>
          <w:tcPr>
            <w:tcW w:w="3233" w:type="dxa"/>
            <w:shd w:val="clear" w:color="auto" w:fill="auto"/>
          </w:tcPr>
          <w:p w14:paraId="7C66F2E9" w14:textId="60F28C41" w:rsidR="00982DBB" w:rsidRPr="006A5C18" w:rsidRDefault="00982DBB" w:rsidP="00982DBB">
            <w:pPr>
              <w:pStyle w:val="FootnoteText"/>
              <w:spacing w:after="240"/>
              <w:rPr>
                <w:rFonts w:ascii="Arial" w:hAnsi="Arial" w:cs="Arial"/>
                <w:sz w:val="18"/>
                <w:szCs w:val="18"/>
                <w:lang w:val="el-GR"/>
              </w:rPr>
            </w:pPr>
            <w:r w:rsidRPr="006A5C18">
              <w:rPr>
                <w:rFonts w:ascii="Arial" w:hAnsi="Arial" w:cs="Arial"/>
                <w:sz w:val="18"/>
                <w:szCs w:val="18"/>
                <w:lang w:val="el-GR"/>
              </w:rPr>
              <w:t>Κλιματική ουδετερότητα (</w:t>
            </w:r>
            <w:proofErr w:type="spellStart"/>
            <w:r w:rsidRPr="006A5C18">
              <w:rPr>
                <w:rFonts w:ascii="Arial" w:hAnsi="Arial" w:cs="Arial"/>
                <w:sz w:val="18"/>
                <w:szCs w:val="18"/>
                <w:lang w:val="el-GR"/>
              </w:rPr>
              <w:t>Carbon</w:t>
            </w:r>
            <w:proofErr w:type="spellEnd"/>
            <w:r w:rsidRPr="006A5C18">
              <w:rPr>
                <w:rFonts w:ascii="Arial" w:hAnsi="Arial" w:cs="Arial"/>
                <w:sz w:val="18"/>
                <w:szCs w:val="18"/>
                <w:lang w:val="el-GR"/>
              </w:rPr>
              <w:t xml:space="preserve"> </w:t>
            </w:r>
            <w:proofErr w:type="spellStart"/>
            <w:r w:rsidRPr="006A5C18">
              <w:rPr>
                <w:rFonts w:ascii="Arial" w:hAnsi="Arial" w:cs="Arial"/>
                <w:sz w:val="18"/>
                <w:szCs w:val="18"/>
                <w:lang w:val="el-GR"/>
              </w:rPr>
              <w:t>neutral</w:t>
            </w:r>
            <w:proofErr w:type="spellEnd"/>
            <w:r w:rsidRPr="006A5C18">
              <w:rPr>
                <w:rFonts w:ascii="Arial" w:hAnsi="Arial" w:cs="Arial"/>
                <w:sz w:val="18"/>
                <w:szCs w:val="18"/>
                <w:lang w:val="el-GR"/>
              </w:rPr>
              <w:t>)</w:t>
            </w:r>
          </w:p>
        </w:tc>
        <w:tc>
          <w:tcPr>
            <w:tcW w:w="6350" w:type="dxa"/>
            <w:gridSpan w:val="3"/>
            <w:shd w:val="clear" w:color="auto" w:fill="auto"/>
          </w:tcPr>
          <w:p w14:paraId="1481C989" w14:textId="6CDFBD7A" w:rsidR="00982DBB" w:rsidRPr="006A5C18" w:rsidRDefault="00982DBB" w:rsidP="00982DBB">
            <w:pPr>
              <w:pStyle w:val="FootnoteText"/>
              <w:jc w:val="both"/>
              <w:rPr>
                <w:rFonts w:ascii="Arial" w:hAnsi="Arial" w:cs="Arial"/>
                <w:sz w:val="18"/>
                <w:szCs w:val="18"/>
                <w:lang w:val="el-GR"/>
              </w:rPr>
            </w:pPr>
            <w:r w:rsidRPr="006A5C18">
              <w:rPr>
                <w:rFonts w:ascii="Arial" w:hAnsi="Arial" w:cs="Arial"/>
                <w:sz w:val="18"/>
                <w:szCs w:val="18"/>
                <w:lang w:val="el-GR"/>
              </w:rPr>
              <w:t>Η μείωση και η εξισορρόπησή (μέσω συνδυασμού επενδύσεων αντιστάθμισης ή πιστώσεων έναντι των εκπομπών) των εκπομπών αερίων του θερμοκηπίου από ίδιες δραστηριότητες.</w:t>
            </w:r>
          </w:p>
        </w:tc>
      </w:tr>
      <w:tr w:rsidR="00982DBB" w:rsidRPr="0056738E" w14:paraId="2A901D85" w14:textId="77777777" w:rsidTr="00715401">
        <w:trPr>
          <w:gridAfter w:val="1"/>
          <w:wAfter w:w="98" w:type="dxa"/>
          <w:trHeight w:val="57"/>
        </w:trPr>
        <w:tc>
          <w:tcPr>
            <w:tcW w:w="3233" w:type="dxa"/>
            <w:shd w:val="clear" w:color="auto" w:fill="auto"/>
          </w:tcPr>
          <w:p w14:paraId="005061C4" w14:textId="77777777" w:rsidR="00982DBB" w:rsidRPr="006A5C18" w:rsidRDefault="00982DBB" w:rsidP="00982DBB">
            <w:pPr>
              <w:pStyle w:val="FootnoteText"/>
              <w:rPr>
                <w:rFonts w:ascii="Arial" w:hAnsi="Arial" w:cs="Arial"/>
                <w:sz w:val="18"/>
                <w:szCs w:val="18"/>
                <w:lang w:val="el-GR"/>
              </w:rPr>
            </w:pPr>
          </w:p>
        </w:tc>
        <w:tc>
          <w:tcPr>
            <w:tcW w:w="6350" w:type="dxa"/>
            <w:gridSpan w:val="3"/>
            <w:shd w:val="clear" w:color="auto" w:fill="auto"/>
          </w:tcPr>
          <w:p w14:paraId="26C339E0"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7772718F" w14:textId="77777777" w:rsidTr="00715401">
        <w:trPr>
          <w:gridAfter w:val="1"/>
          <w:wAfter w:w="98" w:type="dxa"/>
          <w:trHeight w:val="1361"/>
        </w:trPr>
        <w:tc>
          <w:tcPr>
            <w:tcW w:w="3233" w:type="dxa"/>
            <w:shd w:val="clear" w:color="auto" w:fill="auto"/>
          </w:tcPr>
          <w:p w14:paraId="7EFFE2E2" w14:textId="5425C6B5" w:rsidR="00982DBB" w:rsidRPr="006A5C18" w:rsidRDefault="00982DBB" w:rsidP="00982DBB">
            <w:pPr>
              <w:pStyle w:val="FootnoteText"/>
              <w:spacing w:after="240"/>
              <w:rPr>
                <w:rFonts w:ascii="Arial" w:hAnsi="Arial" w:cs="Arial"/>
                <w:sz w:val="18"/>
                <w:szCs w:val="18"/>
                <w:lang w:val="el-GR"/>
              </w:rPr>
            </w:pPr>
            <w:r w:rsidRPr="006A5C18">
              <w:rPr>
                <w:rFonts w:ascii="Arial" w:hAnsi="Arial" w:cs="Arial"/>
                <w:sz w:val="18"/>
                <w:szCs w:val="18"/>
                <w:lang w:val="el-GR"/>
              </w:rPr>
              <w:t>Λειτουργικά κέρδη</w:t>
            </w:r>
          </w:p>
        </w:tc>
        <w:tc>
          <w:tcPr>
            <w:tcW w:w="6350" w:type="dxa"/>
            <w:gridSpan w:val="3"/>
            <w:shd w:val="clear" w:color="auto" w:fill="auto"/>
          </w:tcPr>
          <w:p w14:paraId="21FD98ED" w14:textId="07407D8D" w:rsidR="00982DBB" w:rsidRPr="006A5C18" w:rsidRDefault="00982DBB" w:rsidP="00982DBB">
            <w:pPr>
              <w:pStyle w:val="FootnoteText"/>
              <w:jc w:val="both"/>
              <w:rPr>
                <w:rFonts w:ascii="Arial" w:hAnsi="Arial" w:cs="Arial"/>
                <w:sz w:val="18"/>
                <w:szCs w:val="18"/>
                <w:lang w:val="el-GR"/>
              </w:rPr>
            </w:pPr>
            <w:r w:rsidRPr="006A5C18">
              <w:rPr>
                <w:rFonts w:ascii="Arial" w:hAnsi="Arial" w:cs="Arial"/>
                <w:sz w:val="18"/>
                <w:szCs w:val="18"/>
                <w:lang w:val="el-GR"/>
              </w:rPr>
              <w:t xml:space="preserve">Τα λειτουργικά κέρδη αποτελούνται από τα κέρδη πριν τις πιστωτικές ζημιές δανείων (ως ορίζονται), τις </w:t>
            </w:r>
            <w:proofErr w:type="spellStart"/>
            <w:r w:rsidRPr="006A5C18">
              <w:rPr>
                <w:rFonts w:ascii="Arial" w:hAnsi="Arial" w:cs="Arial"/>
                <w:sz w:val="18"/>
                <w:szCs w:val="18"/>
                <w:lang w:val="el-GR"/>
              </w:rPr>
              <w:t>απομειώσεις</w:t>
            </w:r>
            <w:proofErr w:type="spellEnd"/>
            <w:r w:rsidRPr="006A5C18">
              <w:rPr>
                <w:rFonts w:ascii="Arial" w:hAnsi="Arial" w:cs="Arial"/>
                <w:sz w:val="18"/>
                <w:szCs w:val="18"/>
                <w:lang w:val="el-GR"/>
              </w:rPr>
              <w:t xml:space="preserve"> άλλων χρηματοοικονομικών και μη χρηματοοικονομικών περιουσιακών στοιχείων, τις προβλέψεις για επιδικίες, απαιτήσεις, κανονιστικά</w:t>
            </w:r>
            <w:r w:rsidR="00A5040B" w:rsidRPr="006A5C18">
              <w:rPr>
                <w:rFonts w:ascii="Arial" w:hAnsi="Arial" w:cs="Arial"/>
                <w:sz w:val="18"/>
                <w:szCs w:val="18"/>
                <w:lang w:val="el-GR"/>
              </w:rPr>
              <w:t xml:space="preserve"> </w:t>
            </w:r>
            <w:r w:rsidRPr="006A5C18">
              <w:rPr>
                <w:rFonts w:ascii="Arial" w:hAnsi="Arial" w:cs="Arial"/>
                <w:sz w:val="18"/>
                <w:szCs w:val="18"/>
                <w:lang w:val="el-GR"/>
              </w:rPr>
              <w:t>και άλλα θέματα (μετά από αναστροφές), τη φορολογία, τα (κέρδη)/ζημιά που αναλογούν στα δικαιώματα μειοψηφίας και μη επαναλαμβανόμενα στοιχεία (ως ορίζονται).</w:t>
            </w:r>
          </w:p>
          <w:p w14:paraId="18E07EF0" w14:textId="0D836C14" w:rsidR="00982DBB" w:rsidRPr="006A5C18" w:rsidRDefault="00982DBB" w:rsidP="00982DBB">
            <w:pPr>
              <w:pStyle w:val="FootnoteText"/>
              <w:tabs>
                <w:tab w:val="left" w:pos="1309"/>
              </w:tabs>
              <w:jc w:val="both"/>
              <w:rPr>
                <w:rFonts w:ascii="Arial" w:hAnsi="Arial" w:cs="Arial"/>
                <w:sz w:val="18"/>
                <w:szCs w:val="18"/>
                <w:lang w:val="el-GR"/>
              </w:rPr>
            </w:pPr>
            <w:r w:rsidRPr="006A5C18">
              <w:rPr>
                <w:rFonts w:ascii="Arial" w:hAnsi="Arial" w:cs="Arial"/>
                <w:sz w:val="18"/>
                <w:szCs w:val="18"/>
                <w:lang w:val="el-GR"/>
              </w:rPr>
              <w:tab/>
            </w:r>
          </w:p>
        </w:tc>
      </w:tr>
      <w:tr w:rsidR="00982DBB" w:rsidRPr="0056738E" w14:paraId="35C37200" w14:textId="77777777" w:rsidTr="00715401">
        <w:trPr>
          <w:gridAfter w:val="1"/>
          <w:wAfter w:w="98" w:type="dxa"/>
        </w:trPr>
        <w:tc>
          <w:tcPr>
            <w:tcW w:w="3233" w:type="dxa"/>
          </w:tcPr>
          <w:p w14:paraId="0C2B7D9A" w14:textId="77777777" w:rsidR="00982DBB" w:rsidRPr="006A5C18" w:rsidRDefault="00982DBB" w:rsidP="00982DBB">
            <w:pPr>
              <w:pStyle w:val="FootnoteText"/>
              <w:rPr>
                <w:rFonts w:ascii="Arial" w:hAnsi="Arial" w:cs="Arial"/>
                <w:sz w:val="18"/>
                <w:szCs w:val="18"/>
                <w:lang w:val="el-GR"/>
              </w:rPr>
            </w:pPr>
          </w:p>
        </w:tc>
        <w:tc>
          <w:tcPr>
            <w:tcW w:w="6350" w:type="dxa"/>
            <w:gridSpan w:val="3"/>
          </w:tcPr>
          <w:p w14:paraId="7B7E4253"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0F25C12C" w14:textId="77777777" w:rsidTr="00715401">
        <w:trPr>
          <w:gridAfter w:val="1"/>
          <w:wAfter w:w="98" w:type="dxa"/>
        </w:trPr>
        <w:tc>
          <w:tcPr>
            <w:tcW w:w="3233" w:type="dxa"/>
          </w:tcPr>
          <w:p w14:paraId="7C7B79E0" w14:textId="77777777" w:rsidR="00982DBB" w:rsidRPr="006A5C18" w:rsidRDefault="00982DBB" w:rsidP="00982DBB">
            <w:pPr>
              <w:pStyle w:val="FootnoteText"/>
              <w:spacing w:after="240"/>
              <w:rPr>
                <w:rFonts w:ascii="Arial" w:hAnsi="Arial" w:cs="Arial"/>
                <w:sz w:val="18"/>
                <w:szCs w:val="18"/>
                <w:lang w:val="el-GR"/>
              </w:rPr>
            </w:pPr>
            <w:r w:rsidRPr="006A5C18">
              <w:rPr>
                <w:rFonts w:ascii="Arial" w:hAnsi="Arial" w:cs="Arial"/>
                <w:sz w:val="18"/>
                <w:szCs w:val="18"/>
                <w:lang w:val="el-GR"/>
              </w:rPr>
              <w:t>Λειτουργικά κέρδη επί του μέσου όρου των περιουσιακών στοιχείων</w:t>
            </w:r>
          </w:p>
        </w:tc>
        <w:tc>
          <w:tcPr>
            <w:tcW w:w="6350" w:type="dxa"/>
            <w:gridSpan w:val="3"/>
          </w:tcPr>
          <w:p w14:paraId="375C79D7" w14:textId="77777777" w:rsidR="00982DBB" w:rsidRPr="006A5C18" w:rsidRDefault="00982DBB" w:rsidP="00982DBB">
            <w:pPr>
              <w:pStyle w:val="FootnoteText"/>
              <w:jc w:val="both"/>
              <w:rPr>
                <w:rFonts w:ascii="Arial" w:hAnsi="Arial" w:cs="Arial"/>
                <w:sz w:val="18"/>
                <w:szCs w:val="18"/>
                <w:lang w:val="el-GR"/>
              </w:rPr>
            </w:pPr>
            <w:r w:rsidRPr="006A5C18">
              <w:rPr>
                <w:rFonts w:ascii="Arial" w:hAnsi="Arial" w:cs="Arial"/>
                <w:sz w:val="18"/>
                <w:szCs w:val="18"/>
                <w:lang w:val="el-GR"/>
              </w:rPr>
              <w:t xml:space="preserve">Τα λειτουργικά κέρδη επί του μέσου όρου των περιουσιακών στοιχείων υπολογίζονται ως τα </w:t>
            </w:r>
            <w:proofErr w:type="spellStart"/>
            <w:r w:rsidRPr="006A5C18">
              <w:rPr>
                <w:rFonts w:ascii="Arial" w:hAnsi="Arial" w:cs="Arial"/>
                <w:sz w:val="18"/>
                <w:szCs w:val="18"/>
                <w:lang w:val="el-GR"/>
              </w:rPr>
              <w:t>ετησιοποιημένα</w:t>
            </w:r>
            <w:proofErr w:type="spellEnd"/>
            <w:r w:rsidRPr="006A5C18">
              <w:rPr>
                <w:rFonts w:ascii="Arial" w:hAnsi="Arial" w:cs="Arial"/>
                <w:sz w:val="18"/>
                <w:szCs w:val="18"/>
                <w:lang w:val="el-GR"/>
              </w:rPr>
              <w:t xml:space="preserve"> λειτουργικά κέρδη (ως ορίζονται) ως προς τον τριμηνιαίο μέσο όρο των περιουσιακών στοιχείων για τη σχετική περίοδο. Στο μέσο όρο των περιουσιακών στοιχείων δεν περιλαμβάνονται τα συνολικά περιουσιακά στοιχεία των μη συνεχιζόμενων δραστηριοτήτων στο τέλος κάθε τρίμηνου, όπου ισχύει.</w:t>
            </w:r>
          </w:p>
          <w:p w14:paraId="27FF7B31" w14:textId="34E103D3" w:rsidR="00982DBB" w:rsidRPr="006A5C18" w:rsidRDefault="00982DBB" w:rsidP="00982DBB">
            <w:pPr>
              <w:pStyle w:val="FootnoteText"/>
              <w:jc w:val="both"/>
              <w:rPr>
                <w:rFonts w:ascii="Arial" w:hAnsi="Arial" w:cs="Arial"/>
                <w:sz w:val="18"/>
                <w:szCs w:val="18"/>
                <w:lang w:val="el-GR"/>
              </w:rPr>
            </w:pPr>
          </w:p>
        </w:tc>
      </w:tr>
      <w:tr w:rsidR="00982DBB" w:rsidRPr="0056738E" w14:paraId="41E6EC32" w14:textId="77777777" w:rsidTr="00715401">
        <w:trPr>
          <w:gridAfter w:val="1"/>
          <w:wAfter w:w="98" w:type="dxa"/>
        </w:trPr>
        <w:tc>
          <w:tcPr>
            <w:tcW w:w="3233" w:type="dxa"/>
          </w:tcPr>
          <w:p w14:paraId="20D4BB30" w14:textId="77777777" w:rsidR="00982DBB" w:rsidRPr="006A5C18" w:rsidRDefault="00982DBB" w:rsidP="00982DBB">
            <w:pPr>
              <w:pStyle w:val="FootnoteText"/>
              <w:rPr>
                <w:rFonts w:ascii="Arial" w:hAnsi="Arial" w:cs="Arial"/>
                <w:sz w:val="18"/>
                <w:szCs w:val="18"/>
                <w:lang w:val="el-GR"/>
              </w:rPr>
            </w:pPr>
          </w:p>
        </w:tc>
        <w:tc>
          <w:tcPr>
            <w:tcW w:w="6350" w:type="dxa"/>
            <w:gridSpan w:val="3"/>
          </w:tcPr>
          <w:p w14:paraId="1C1DE500" w14:textId="77777777" w:rsidR="00982DBB" w:rsidRPr="006A5C18" w:rsidRDefault="00982DBB" w:rsidP="00982DBB">
            <w:pPr>
              <w:jc w:val="both"/>
              <w:rPr>
                <w:rFonts w:ascii="Arial" w:hAnsi="Arial" w:cs="Arial"/>
                <w:sz w:val="18"/>
                <w:szCs w:val="18"/>
                <w:lang w:val="el-GR"/>
              </w:rPr>
            </w:pPr>
          </w:p>
        </w:tc>
      </w:tr>
      <w:tr w:rsidR="00982DBB" w:rsidRPr="0056738E" w14:paraId="38A68328" w14:textId="77777777" w:rsidTr="00715401">
        <w:trPr>
          <w:gridAfter w:val="1"/>
          <w:wAfter w:w="98" w:type="dxa"/>
        </w:trPr>
        <w:tc>
          <w:tcPr>
            <w:tcW w:w="3233" w:type="dxa"/>
          </w:tcPr>
          <w:p w14:paraId="2241599D" w14:textId="77777777" w:rsidR="00982DBB" w:rsidRPr="006A5C18" w:rsidRDefault="00982DBB" w:rsidP="00982DBB">
            <w:pPr>
              <w:pStyle w:val="FootnoteText"/>
              <w:spacing w:after="240"/>
              <w:rPr>
                <w:rFonts w:ascii="Arial" w:hAnsi="Arial" w:cs="Arial"/>
                <w:sz w:val="18"/>
                <w:szCs w:val="18"/>
                <w:lang w:val="el-GR"/>
              </w:rPr>
            </w:pPr>
            <w:r w:rsidRPr="006A5C18">
              <w:rPr>
                <w:rFonts w:ascii="Arial" w:hAnsi="Arial" w:cs="Arial"/>
                <w:sz w:val="18"/>
                <w:szCs w:val="18"/>
                <w:lang w:val="el-GR"/>
              </w:rPr>
              <w:t xml:space="preserve">Μερίδια αγοράς </w:t>
            </w:r>
          </w:p>
        </w:tc>
        <w:tc>
          <w:tcPr>
            <w:tcW w:w="6350" w:type="dxa"/>
            <w:gridSpan w:val="3"/>
          </w:tcPr>
          <w:p w14:paraId="32C6E9AC" w14:textId="23E4CA45" w:rsidR="00982DBB" w:rsidRPr="006A5C18" w:rsidRDefault="00982DBB" w:rsidP="00982DBB">
            <w:pPr>
              <w:jc w:val="both"/>
              <w:rPr>
                <w:rFonts w:ascii="Arial" w:hAnsi="Arial" w:cs="Arial"/>
                <w:sz w:val="18"/>
                <w:szCs w:val="18"/>
                <w:lang w:val="el-GR" w:eastAsia="el-GR"/>
              </w:rPr>
            </w:pPr>
            <w:r w:rsidRPr="006A5C18">
              <w:rPr>
                <w:rFonts w:ascii="Arial" w:hAnsi="Arial" w:cs="Arial"/>
                <w:sz w:val="18"/>
                <w:szCs w:val="18"/>
                <w:lang w:val="el-GR"/>
              </w:rPr>
              <w:t>Τα μερίδια αγοράς των καταθέσεων και των δανείων βασίζονται σε στοιχεία της ΚΤΚ.</w:t>
            </w:r>
            <w:r w:rsidRPr="006A5C18">
              <w:rPr>
                <w:rFonts w:ascii="Arial" w:hAnsi="Arial" w:cs="Arial"/>
                <w:sz w:val="18"/>
                <w:szCs w:val="18"/>
                <w:lang w:val="el-GR" w:eastAsia="el-GR"/>
              </w:rPr>
              <w:t xml:space="preserve"> Η Τράπεζα είναι ο μεγαλύτερος δανειστής στην Κύπρο με το μερίδιο αγοράς της επί των δανείων να ανέρχεται σε 43.2% στις 30 </w:t>
            </w:r>
            <w:r w:rsidR="00A01BCD" w:rsidRPr="006A5C18">
              <w:rPr>
                <w:rFonts w:ascii="Arial" w:hAnsi="Arial" w:cs="Arial"/>
                <w:sz w:val="18"/>
                <w:szCs w:val="18"/>
                <w:lang w:val="el-GR" w:eastAsia="el-GR"/>
              </w:rPr>
              <w:t>Σεπτεμβρίου</w:t>
            </w:r>
            <w:r w:rsidRPr="006A5C18">
              <w:rPr>
                <w:rFonts w:ascii="Arial" w:hAnsi="Arial" w:cs="Arial"/>
                <w:sz w:val="18"/>
                <w:szCs w:val="18"/>
                <w:lang w:val="el-GR" w:eastAsia="el-GR"/>
              </w:rPr>
              <w:t xml:space="preserve"> 2024 (σε σύγκριση με </w:t>
            </w:r>
            <w:r w:rsidR="00A01BCD" w:rsidRPr="006A5C18">
              <w:rPr>
                <w:rFonts w:ascii="Arial" w:hAnsi="Arial" w:cs="Arial"/>
                <w:sz w:val="18"/>
                <w:szCs w:val="18"/>
                <w:lang w:val="el-GR" w:eastAsia="el-GR"/>
              </w:rPr>
              <w:t xml:space="preserve">43.2% στις 30 Ιουνίου </w:t>
            </w:r>
            <w:r w:rsidR="00341CE7">
              <w:rPr>
                <w:rFonts w:ascii="Arial" w:hAnsi="Arial" w:cs="Arial"/>
                <w:sz w:val="18"/>
                <w:szCs w:val="18"/>
                <w:lang w:val="el-GR" w:eastAsia="el-GR"/>
              </w:rPr>
              <w:t>2024</w:t>
            </w:r>
            <w:r w:rsidR="00A01BCD" w:rsidRPr="006A5C18">
              <w:rPr>
                <w:rFonts w:ascii="Arial" w:hAnsi="Arial" w:cs="Arial"/>
                <w:sz w:val="18"/>
                <w:szCs w:val="18"/>
                <w:lang w:val="el-GR" w:eastAsia="el-GR"/>
              </w:rPr>
              <w:t xml:space="preserve">, με </w:t>
            </w:r>
            <w:r w:rsidRPr="006A5C18">
              <w:rPr>
                <w:rFonts w:ascii="Arial" w:hAnsi="Arial" w:cs="Arial"/>
                <w:sz w:val="18"/>
                <w:szCs w:val="18"/>
                <w:lang w:val="el-GR" w:eastAsia="el-GR"/>
              </w:rPr>
              <w:t>42.9% στις 31 Μαρτίου 2024 και με 42.2% στις 31 Δεκεμβρίου 2023). Το μερίδιο αγοράς της Τράπεζας στις καταθέσεις στην Κύπρο ανήλθε σε 37.</w:t>
            </w:r>
            <w:r w:rsidR="00A01BCD" w:rsidRPr="006A5C18">
              <w:rPr>
                <w:rFonts w:ascii="Arial" w:hAnsi="Arial" w:cs="Arial"/>
                <w:sz w:val="18"/>
                <w:szCs w:val="18"/>
                <w:lang w:val="el-GR" w:eastAsia="el-GR"/>
              </w:rPr>
              <w:t>6</w:t>
            </w:r>
            <w:r w:rsidRPr="006A5C18">
              <w:rPr>
                <w:rFonts w:ascii="Arial" w:hAnsi="Arial" w:cs="Arial"/>
                <w:sz w:val="18"/>
                <w:szCs w:val="18"/>
                <w:lang w:val="el-GR" w:eastAsia="el-GR"/>
              </w:rPr>
              <w:t xml:space="preserve">% στις 30 </w:t>
            </w:r>
            <w:r w:rsidR="00A01BCD" w:rsidRPr="006A5C18">
              <w:rPr>
                <w:rFonts w:ascii="Arial" w:hAnsi="Arial" w:cs="Arial"/>
                <w:sz w:val="18"/>
                <w:szCs w:val="18"/>
                <w:lang w:val="el-GR" w:eastAsia="el-GR"/>
              </w:rPr>
              <w:t xml:space="preserve">Σεπτεμβρίου </w:t>
            </w:r>
            <w:r w:rsidRPr="006A5C18">
              <w:rPr>
                <w:rFonts w:ascii="Arial" w:hAnsi="Arial" w:cs="Arial"/>
                <w:sz w:val="18"/>
                <w:szCs w:val="18"/>
                <w:lang w:val="el-GR" w:eastAsia="el-GR"/>
              </w:rPr>
              <w:t xml:space="preserve">2024 (σε σύγκριση με </w:t>
            </w:r>
            <w:r w:rsidR="00A01BCD" w:rsidRPr="006A5C18">
              <w:rPr>
                <w:rFonts w:ascii="Arial" w:hAnsi="Arial" w:cs="Arial"/>
                <w:sz w:val="18"/>
                <w:szCs w:val="18"/>
                <w:lang w:val="el-GR" w:eastAsia="el-GR"/>
              </w:rPr>
              <w:t xml:space="preserve">37.5% στις 30 Ιουνίου 2024 και </w:t>
            </w:r>
            <w:r w:rsidRPr="006A5C18">
              <w:rPr>
                <w:rFonts w:ascii="Arial" w:hAnsi="Arial" w:cs="Arial"/>
                <w:sz w:val="18"/>
                <w:szCs w:val="18"/>
                <w:lang w:val="el-GR" w:eastAsia="el-GR"/>
              </w:rPr>
              <w:t>31 Μαρτίου 2024 και με 37.7% στις 31 Δεκεμβρίου 2023).</w:t>
            </w:r>
          </w:p>
          <w:p w14:paraId="6573809B" w14:textId="77777777" w:rsidR="00982DBB" w:rsidRPr="006A5C18" w:rsidRDefault="00982DBB" w:rsidP="00982DBB">
            <w:pPr>
              <w:jc w:val="both"/>
              <w:rPr>
                <w:rFonts w:ascii="Arial" w:hAnsi="Arial" w:cs="Arial"/>
                <w:sz w:val="18"/>
                <w:szCs w:val="18"/>
                <w:lang w:val="el-GR" w:eastAsia="el-GR"/>
              </w:rPr>
            </w:pPr>
          </w:p>
          <w:p w14:paraId="6433F763" w14:textId="45B7AF25" w:rsidR="00982DBB" w:rsidRPr="006A5C18" w:rsidRDefault="00982DBB" w:rsidP="00982DBB">
            <w:pPr>
              <w:jc w:val="both"/>
              <w:rPr>
                <w:rFonts w:ascii="Arial" w:hAnsi="Arial" w:cs="Arial"/>
                <w:sz w:val="18"/>
                <w:szCs w:val="18"/>
                <w:lang w:val="el-GR" w:eastAsia="el-GR"/>
              </w:rPr>
            </w:pPr>
          </w:p>
        </w:tc>
      </w:tr>
      <w:tr w:rsidR="00982DBB" w:rsidRPr="0056738E" w14:paraId="4681435A" w14:textId="77777777" w:rsidTr="00216133">
        <w:trPr>
          <w:gridAfter w:val="1"/>
          <w:wAfter w:w="98" w:type="dxa"/>
        </w:trPr>
        <w:tc>
          <w:tcPr>
            <w:tcW w:w="9583" w:type="dxa"/>
            <w:gridSpan w:val="4"/>
            <w:shd w:val="clear" w:color="auto" w:fill="auto"/>
          </w:tcPr>
          <w:p w14:paraId="2F79A8CC" w14:textId="4F840B91" w:rsidR="00982DBB" w:rsidRPr="006A5C18" w:rsidRDefault="005F1DE6" w:rsidP="00982DBB">
            <w:pPr>
              <w:jc w:val="both"/>
              <w:rPr>
                <w:rFonts w:ascii="Arial" w:hAnsi="Arial" w:cs="Arial"/>
                <w:bCs/>
                <w:color w:val="FF9900"/>
                <w:sz w:val="24"/>
                <w:szCs w:val="24"/>
                <w:lang w:val="el-GR"/>
              </w:rPr>
            </w:pPr>
            <w:r>
              <w:rPr>
                <w:rFonts w:ascii="Arial" w:hAnsi="Arial" w:cs="Arial"/>
                <w:b/>
                <w:color w:val="FF9900"/>
                <w:sz w:val="24"/>
                <w:szCs w:val="24"/>
                <w:lang w:val="el-GR"/>
              </w:rPr>
              <w:lastRenderedPageBreak/>
              <w:t>Θ</w:t>
            </w:r>
            <w:r w:rsidR="00982DBB" w:rsidRPr="006A5C18">
              <w:rPr>
                <w:rFonts w:ascii="Arial" w:hAnsi="Arial" w:cs="Arial"/>
                <w:b/>
                <w:color w:val="FF9900"/>
                <w:sz w:val="24"/>
                <w:szCs w:val="24"/>
                <w:lang w:val="el-GR"/>
              </w:rPr>
              <w:t>. Όροι και Επεξηγήσεις</w:t>
            </w:r>
            <w:r w:rsidR="00982DBB" w:rsidRPr="006A5C18">
              <w:rPr>
                <w:rFonts w:ascii="Arial" w:hAnsi="Arial" w:cs="Arial"/>
                <w:bCs/>
                <w:color w:val="FF9900"/>
                <w:sz w:val="24"/>
                <w:szCs w:val="24"/>
                <w:lang w:val="el-GR"/>
              </w:rPr>
              <w:t xml:space="preserve"> (συνέχεια)</w:t>
            </w:r>
          </w:p>
          <w:p w14:paraId="67EB3C9D"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501BCDCD" w14:textId="77777777" w:rsidTr="00715401">
        <w:trPr>
          <w:gridAfter w:val="1"/>
          <w:wAfter w:w="98" w:type="dxa"/>
        </w:trPr>
        <w:tc>
          <w:tcPr>
            <w:tcW w:w="3233" w:type="dxa"/>
            <w:shd w:val="clear" w:color="auto" w:fill="auto"/>
          </w:tcPr>
          <w:p w14:paraId="6702687A" w14:textId="77777777" w:rsidR="00982DBB" w:rsidRPr="006A5C18" w:rsidRDefault="00982DBB" w:rsidP="00982DBB">
            <w:pPr>
              <w:pStyle w:val="FootnoteText"/>
              <w:spacing w:after="240"/>
              <w:rPr>
                <w:rFonts w:ascii="Arial" w:hAnsi="Arial" w:cs="Arial"/>
                <w:sz w:val="18"/>
                <w:szCs w:val="18"/>
                <w:lang w:val="el-GR"/>
              </w:rPr>
            </w:pPr>
            <w:r w:rsidRPr="006A5C18">
              <w:rPr>
                <w:rFonts w:ascii="Arial" w:hAnsi="Arial" w:cs="Arial"/>
                <w:sz w:val="18"/>
                <w:szCs w:val="18"/>
                <w:lang w:val="el-GR"/>
              </w:rPr>
              <w:t>Μέσος τριμηνιαίος όρος των τοκοφόρων περιουσιακών στοιχείων</w:t>
            </w:r>
          </w:p>
        </w:tc>
        <w:tc>
          <w:tcPr>
            <w:tcW w:w="6350" w:type="dxa"/>
            <w:gridSpan w:val="3"/>
          </w:tcPr>
          <w:p w14:paraId="626EED14" w14:textId="67D030FE" w:rsidR="00982DBB" w:rsidRPr="006A5C18" w:rsidRDefault="00982DBB" w:rsidP="00982DBB">
            <w:pPr>
              <w:pStyle w:val="FootnoteText"/>
              <w:jc w:val="both"/>
              <w:rPr>
                <w:rFonts w:ascii="Arial" w:hAnsi="Arial" w:cs="Arial"/>
                <w:sz w:val="18"/>
                <w:szCs w:val="18"/>
                <w:lang w:val="el-GR"/>
              </w:rPr>
            </w:pPr>
            <w:r w:rsidRPr="006A5C18">
              <w:rPr>
                <w:rFonts w:ascii="Arial" w:hAnsi="Arial" w:cs="Arial"/>
                <w:sz w:val="18"/>
                <w:szCs w:val="18"/>
                <w:lang w:val="el-GR"/>
              </w:rPr>
              <w:t xml:space="preserve">Αναφέρεται στον μέσο τριμηνιαίο όρο των τοκοφόρων περιουσιακών στοιχείων κατά την αρχή και το τέλος του σχετικού τριμήνου. Τα τοκοφόρα περιουσιακά στοιχεία είναι το σύνολο των: μετρητών και καταθέσεων με κεντρικές τράπεζες (περιλαμβανομένων μετρητών και καταθέσεων με κεντρικές τράπεζες που κατηγοριοποιήθηκαν ως μη </w:t>
            </w:r>
            <w:proofErr w:type="spellStart"/>
            <w:r w:rsidRPr="006A5C18">
              <w:rPr>
                <w:rFonts w:ascii="Arial" w:hAnsi="Arial" w:cs="Arial"/>
                <w:sz w:val="18"/>
                <w:szCs w:val="18"/>
                <w:lang w:val="el-GR"/>
              </w:rPr>
              <w:t>κυκλοφορούντα</w:t>
            </w:r>
            <w:proofErr w:type="spellEnd"/>
            <w:r w:rsidRPr="006A5C18">
              <w:rPr>
                <w:rFonts w:ascii="Arial" w:hAnsi="Arial" w:cs="Arial"/>
                <w:sz w:val="18"/>
                <w:szCs w:val="18"/>
                <w:lang w:val="el-GR"/>
              </w:rPr>
              <w:t xml:space="preserve"> περιουσιακά στοιχεία που κατέχονται προς πώληση),</w:t>
            </w:r>
            <w:r w:rsidRPr="006A5C18">
              <w:rPr>
                <w:lang w:val="el-GR"/>
              </w:rPr>
              <w:t xml:space="preserve"> </w:t>
            </w:r>
            <w:r w:rsidRPr="006A5C18">
              <w:rPr>
                <w:rFonts w:ascii="Arial" w:hAnsi="Arial" w:cs="Arial"/>
                <w:sz w:val="18"/>
                <w:szCs w:val="18"/>
                <w:lang w:val="el-GR"/>
              </w:rPr>
              <w:t xml:space="preserve">συμφωνιών </w:t>
            </w:r>
            <w:proofErr w:type="spellStart"/>
            <w:r w:rsidRPr="006A5C18">
              <w:rPr>
                <w:rFonts w:ascii="Arial" w:hAnsi="Arial" w:cs="Arial"/>
                <w:sz w:val="18"/>
                <w:szCs w:val="18"/>
                <w:lang w:val="el-GR"/>
              </w:rPr>
              <w:t>επαναπώλησης</w:t>
            </w:r>
            <w:proofErr w:type="spellEnd"/>
            <w:r w:rsidRPr="006A5C18">
              <w:rPr>
                <w:rFonts w:ascii="Arial" w:hAnsi="Arial" w:cs="Arial"/>
                <w:sz w:val="18"/>
                <w:szCs w:val="18"/>
                <w:lang w:val="el-GR"/>
              </w:rPr>
              <w:t xml:space="preserve"> (‘</w:t>
            </w:r>
            <w:proofErr w:type="spellStart"/>
            <w:r w:rsidRPr="006A5C18">
              <w:rPr>
                <w:rFonts w:ascii="Arial" w:hAnsi="Arial" w:cs="Arial"/>
                <w:sz w:val="18"/>
                <w:szCs w:val="18"/>
                <w:lang w:val="el-GR"/>
              </w:rPr>
              <w:t>reverse</w:t>
            </w:r>
            <w:proofErr w:type="spellEnd"/>
            <w:r w:rsidRPr="006A5C18">
              <w:rPr>
                <w:rFonts w:ascii="Arial" w:hAnsi="Arial" w:cs="Arial"/>
                <w:sz w:val="18"/>
                <w:szCs w:val="18"/>
                <w:lang w:val="el-GR"/>
              </w:rPr>
              <w:t xml:space="preserve"> </w:t>
            </w:r>
            <w:proofErr w:type="spellStart"/>
            <w:r w:rsidRPr="006A5C18">
              <w:rPr>
                <w:rFonts w:ascii="Arial" w:hAnsi="Arial" w:cs="Arial"/>
                <w:sz w:val="18"/>
                <w:szCs w:val="18"/>
                <w:lang w:val="el-GR"/>
              </w:rPr>
              <w:t>repos</w:t>
            </w:r>
            <w:proofErr w:type="spellEnd"/>
            <w:r w:rsidRPr="006A5C18">
              <w:rPr>
                <w:rFonts w:ascii="Arial" w:hAnsi="Arial" w:cs="Arial"/>
                <w:sz w:val="18"/>
                <w:szCs w:val="18"/>
                <w:lang w:val="el-GR"/>
              </w:rPr>
              <w:t>’), δανείων και απαιτήσεων σε τράπεζες, καθαρών δανείων και απαιτήσεων από πελάτες (</w:t>
            </w:r>
            <w:bookmarkStart w:id="55" w:name="_Hlk112660963"/>
            <w:r w:rsidRPr="006A5C18">
              <w:rPr>
                <w:rFonts w:ascii="Arial" w:hAnsi="Arial" w:cs="Arial"/>
                <w:sz w:val="18"/>
                <w:szCs w:val="18"/>
                <w:lang w:val="el-GR"/>
              </w:rPr>
              <w:t xml:space="preserve">περιλαμβανομένων δανείων και απαιτήσεων από πελάτες που κατηγοριοποιήθηκαν ως μη </w:t>
            </w:r>
            <w:proofErr w:type="spellStart"/>
            <w:r w:rsidRPr="006A5C18">
              <w:rPr>
                <w:rFonts w:ascii="Arial" w:hAnsi="Arial" w:cs="Arial"/>
                <w:sz w:val="18"/>
                <w:szCs w:val="18"/>
                <w:lang w:val="el-GR"/>
              </w:rPr>
              <w:t>κυκλοφορούντα</w:t>
            </w:r>
            <w:proofErr w:type="spellEnd"/>
            <w:r w:rsidRPr="006A5C18">
              <w:rPr>
                <w:rFonts w:ascii="Arial" w:hAnsi="Arial" w:cs="Arial"/>
                <w:sz w:val="18"/>
                <w:szCs w:val="18"/>
                <w:lang w:val="el-GR"/>
              </w:rPr>
              <w:t xml:space="preserve"> περιουσιακά στοιχεία που κατέχονται προς πώληση), </w:t>
            </w:r>
            <w:bookmarkEnd w:id="55"/>
            <w:r w:rsidRPr="006A5C18">
              <w:rPr>
                <w:rFonts w:ascii="Arial" w:hAnsi="Arial" w:cs="Arial"/>
                <w:sz w:val="18"/>
                <w:szCs w:val="18"/>
                <w:lang w:val="el-GR"/>
              </w:rPr>
              <w:t xml:space="preserve">και ‘αναβαλλόμενου εισπρακτέου τιμήματος πώλησης’ το οποίο περιλαμβάνεται στα ‘λοιπά περιουσιακά στοιχεία’, και επενδύσεων (με εξαίρεση τις μετοχές, τα αμοιβαία κεφάλαια και άλλες μη-τοκοφόρες επενδύσεις). </w:t>
            </w:r>
          </w:p>
          <w:p w14:paraId="548A1386"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2F00E410" w14:textId="77777777" w:rsidTr="00715401">
        <w:trPr>
          <w:gridAfter w:val="1"/>
          <w:wAfter w:w="98" w:type="dxa"/>
        </w:trPr>
        <w:tc>
          <w:tcPr>
            <w:tcW w:w="3233" w:type="dxa"/>
          </w:tcPr>
          <w:p w14:paraId="53B63C24" w14:textId="77777777" w:rsidR="00982DBB" w:rsidRPr="006A5C18" w:rsidRDefault="00982DBB" w:rsidP="00982DBB">
            <w:pPr>
              <w:pStyle w:val="FootnoteText"/>
              <w:rPr>
                <w:rFonts w:ascii="Arial" w:hAnsi="Arial" w:cs="Arial"/>
                <w:sz w:val="18"/>
                <w:szCs w:val="18"/>
                <w:lang w:val="el-GR"/>
              </w:rPr>
            </w:pPr>
          </w:p>
        </w:tc>
        <w:tc>
          <w:tcPr>
            <w:tcW w:w="6350" w:type="dxa"/>
            <w:gridSpan w:val="3"/>
          </w:tcPr>
          <w:p w14:paraId="112E0EF7"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00728449" w14:textId="77777777" w:rsidTr="00715401">
        <w:trPr>
          <w:gridAfter w:val="1"/>
          <w:wAfter w:w="98" w:type="dxa"/>
        </w:trPr>
        <w:tc>
          <w:tcPr>
            <w:tcW w:w="3233" w:type="dxa"/>
          </w:tcPr>
          <w:p w14:paraId="36BFC35E" w14:textId="77777777" w:rsidR="00982DBB" w:rsidRPr="006A5C18" w:rsidRDefault="00982DBB" w:rsidP="00982DBB">
            <w:pPr>
              <w:pStyle w:val="FootnoteText"/>
              <w:spacing w:after="240"/>
              <w:rPr>
                <w:rFonts w:ascii="Arial" w:hAnsi="Arial" w:cs="Arial"/>
                <w:sz w:val="18"/>
                <w:szCs w:val="18"/>
                <w:lang w:val="el-GR"/>
              </w:rPr>
            </w:pPr>
            <w:r w:rsidRPr="006A5C18">
              <w:rPr>
                <w:rFonts w:ascii="Arial" w:hAnsi="Arial" w:cs="Arial"/>
                <w:sz w:val="18"/>
                <w:szCs w:val="18"/>
                <w:lang w:val="el-GR"/>
              </w:rPr>
              <w:t>Μεταβατικές διατάξεις για το αποθεματικό ασφαλείας διατήρησης κεφαλαίου (</w:t>
            </w:r>
            <w:r w:rsidRPr="006A5C18">
              <w:rPr>
                <w:rFonts w:ascii="Arial" w:hAnsi="Arial" w:cs="Arial"/>
                <w:sz w:val="18"/>
                <w:szCs w:val="18"/>
              </w:rPr>
              <w:t>CCB</w:t>
            </w:r>
            <w:r w:rsidRPr="006A5C18">
              <w:rPr>
                <w:rFonts w:ascii="Arial" w:hAnsi="Arial" w:cs="Arial"/>
                <w:sz w:val="18"/>
                <w:szCs w:val="18"/>
                <w:lang w:val="el-GR"/>
              </w:rPr>
              <w:t>)</w:t>
            </w:r>
          </w:p>
        </w:tc>
        <w:tc>
          <w:tcPr>
            <w:tcW w:w="6350" w:type="dxa"/>
            <w:gridSpan w:val="3"/>
          </w:tcPr>
          <w:p w14:paraId="75B6CA0E" w14:textId="77777777" w:rsidR="00982DBB" w:rsidRPr="006A5C18" w:rsidRDefault="00982DBB" w:rsidP="00982DBB">
            <w:pPr>
              <w:pStyle w:val="FootnoteText"/>
              <w:jc w:val="both"/>
              <w:rPr>
                <w:rFonts w:ascii="Arial" w:hAnsi="Arial" w:cs="Arial"/>
                <w:sz w:val="18"/>
                <w:szCs w:val="18"/>
                <w:lang w:val="el-GR"/>
              </w:rPr>
            </w:pPr>
            <w:r w:rsidRPr="006A5C18">
              <w:rPr>
                <w:rFonts w:ascii="Arial" w:hAnsi="Arial" w:cs="Arial"/>
                <w:sz w:val="18"/>
                <w:szCs w:val="18"/>
                <w:lang w:val="el-GR"/>
              </w:rPr>
              <w:t>Σύμφωνα με την Κυπριακή νομοθεσία η οποία έχει ορισθεί για όλα τα πιστωτικά ιδρύματα, το αποθεματικό ασφαλείας διατήρησης κεφαλαίου ανέρχεται σε 1.25% για το 2017, 1.875% για το 2018 και 2.5% για το 2019 (σε πλήρη ισχύ).</w:t>
            </w:r>
          </w:p>
        </w:tc>
      </w:tr>
      <w:tr w:rsidR="00982DBB" w:rsidRPr="0056738E" w14:paraId="0871E2FC" w14:textId="77777777" w:rsidTr="00715401">
        <w:trPr>
          <w:gridAfter w:val="1"/>
          <w:wAfter w:w="98" w:type="dxa"/>
        </w:trPr>
        <w:tc>
          <w:tcPr>
            <w:tcW w:w="3233" w:type="dxa"/>
          </w:tcPr>
          <w:p w14:paraId="66982778" w14:textId="77777777" w:rsidR="00982DBB" w:rsidRPr="006A5C18" w:rsidRDefault="00982DBB" w:rsidP="00982DBB">
            <w:pPr>
              <w:pStyle w:val="FootnoteText"/>
              <w:rPr>
                <w:rFonts w:ascii="Arial" w:hAnsi="Arial" w:cs="Arial"/>
                <w:sz w:val="18"/>
                <w:szCs w:val="18"/>
                <w:lang w:val="el-GR"/>
              </w:rPr>
            </w:pPr>
          </w:p>
        </w:tc>
        <w:tc>
          <w:tcPr>
            <w:tcW w:w="6350" w:type="dxa"/>
            <w:gridSpan w:val="3"/>
          </w:tcPr>
          <w:p w14:paraId="762F1CD4"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00C6A267" w14:textId="77777777" w:rsidTr="00715401">
        <w:trPr>
          <w:gridAfter w:val="2"/>
          <w:wAfter w:w="195" w:type="dxa"/>
        </w:trPr>
        <w:tc>
          <w:tcPr>
            <w:tcW w:w="3233" w:type="dxa"/>
          </w:tcPr>
          <w:p w14:paraId="7A5F7C45" w14:textId="77777777" w:rsidR="00982DBB" w:rsidRPr="006A5C18" w:rsidRDefault="00982DBB" w:rsidP="00982DBB">
            <w:pPr>
              <w:pStyle w:val="FootnoteText"/>
              <w:rPr>
                <w:rFonts w:ascii="Arial" w:hAnsi="Arial" w:cs="Arial"/>
                <w:sz w:val="18"/>
                <w:szCs w:val="18"/>
                <w:lang w:val="el-GR"/>
              </w:rPr>
            </w:pPr>
          </w:p>
        </w:tc>
        <w:tc>
          <w:tcPr>
            <w:tcW w:w="6253" w:type="dxa"/>
            <w:gridSpan w:val="2"/>
          </w:tcPr>
          <w:p w14:paraId="3C2F61C5"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5938AE57" w14:textId="77777777" w:rsidTr="00715401">
        <w:trPr>
          <w:gridAfter w:val="2"/>
          <w:wAfter w:w="195" w:type="dxa"/>
          <w:trHeight w:val="142"/>
        </w:trPr>
        <w:tc>
          <w:tcPr>
            <w:tcW w:w="3233" w:type="dxa"/>
          </w:tcPr>
          <w:p w14:paraId="5F51091B" w14:textId="264B2DE0" w:rsidR="00982DBB" w:rsidRPr="006A5C18" w:rsidRDefault="00982DBB" w:rsidP="00982DBB">
            <w:pPr>
              <w:pStyle w:val="FootnoteText"/>
              <w:rPr>
                <w:rFonts w:ascii="Arial" w:hAnsi="Arial" w:cs="Arial"/>
                <w:sz w:val="18"/>
                <w:szCs w:val="18"/>
                <w:lang w:val="el-GR"/>
              </w:rPr>
            </w:pPr>
            <w:r w:rsidRPr="006A5C18">
              <w:rPr>
                <w:rFonts w:ascii="Arial" w:hAnsi="Arial" w:cs="Arial"/>
                <w:sz w:val="18"/>
                <w:szCs w:val="18"/>
              </w:rPr>
              <w:t>M</w:t>
            </w:r>
            <w:r w:rsidRPr="006A5C18">
              <w:rPr>
                <w:rFonts w:ascii="Arial" w:hAnsi="Arial" w:cs="Arial"/>
                <w:sz w:val="18"/>
                <w:szCs w:val="18"/>
                <w:lang w:val="el-GR"/>
              </w:rPr>
              <w:t xml:space="preserve">η εξυπηρετούμενα δάνεια (ΜΕΔ) </w:t>
            </w:r>
          </w:p>
        </w:tc>
        <w:tc>
          <w:tcPr>
            <w:tcW w:w="6253" w:type="dxa"/>
            <w:gridSpan w:val="2"/>
          </w:tcPr>
          <w:p w14:paraId="42D739C9" w14:textId="77777777" w:rsidR="00982DBB" w:rsidRPr="006A5C18" w:rsidRDefault="00982DBB" w:rsidP="00982DBB">
            <w:pPr>
              <w:jc w:val="both"/>
              <w:rPr>
                <w:rFonts w:ascii="Arial" w:hAnsi="Arial" w:cs="Arial"/>
                <w:sz w:val="18"/>
                <w:szCs w:val="18"/>
                <w:lang w:val="el-GR"/>
              </w:rPr>
            </w:pPr>
            <w:r w:rsidRPr="006A5C18">
              <w:rPr>
                <w:rFonts w:ascii="Arial" w:hAnsi="Arial" w:cs="Arial"/>
                <w:sz w:val="18"/>
                <w:szCs w:val="18"/>
                <w:lang w:val="el-GR"/>
              </w:rPr>
              <w:t>Με βάση τα πρότυπα αναφοράς της Ευρωπαϊκής Αρχής Τραπεζών (ΕΑΤ) και τις κατευθυντήριες γραμμές της Ευρωπαϊκής Κεντρικής Τράπεζας (ΕΚΤ) προς τις τράπεζες για τα Μη Εξυπηρετούμενα Δάνεια (που δημοσιεύθηκε τον Μάρτιο 2017), Μη Εξυπηρετούμενα Δάνεια (ΜΕΔ) ορίζονται τα ανοίγματα τα οποία ικανοποιούν ένα από τους πιο κάτω όρους:</w:t>
            </w:r>
          </w:p>
          <w:p w14:paraId="55D0A551" w14:textId="79A02394" w:rsidR="00982DBB" w:rsidRPr="006A5C18" w:rsidRDefault="00982DBB" w:rsidP="00982DBB">
            <w:pPr>
              <w:ind w:left="885" w:hanging="425"/>
              <w:jc w:val="both"/>
              <w:rPr>
                <w:rFonts w:ascii="Arial" w:hAnsi="Arial" w:cs="Arial"/>
                <w:sz w:val="18"/>
                <w:szCs w:val="18"/>
                <w:lang w:val="el-GR"/>
              </w:rPr>
            </w:pPr>
            <w:r w:rsidRPr="006A5C18">
              <w:rPr>
                <w:rFonts w:ascii="Arial" w:hAnsi="Arial" w:cs="Arial"/>
                <w:sz w:val="18"/>
                <w:szCs w:val="18"/>
                <w:lang w:val="el-GR"/>
              </w:rPr>
              <w:t>(i)      Ο δανειολήπτης έχει αξιολογηθεί ότι δεν είναι πιθανό να εκπληρώσει πλήρως τις πιστωτικές του υποχρεώσεις χωρίς την εκποίηση της εξασφάλισής του, ανεξάρτητα από την ύπαρξη τυχόν ληξιπρόθεσμων οφειλών ή τον αριθμό των ημερών σε καθυστέρηση.</w:t>
            </w:r>
          </w:p>
          <w:p w14:paraId="4062F156" w14:textId="150E8D0B" w:rsidR="00982DBB" w:rsidRPr="006A5C18" w:rsidRDefault="00982DBB" w:rsidP="00982DBB">
            <w:pPr>
              <w:ind w:left="885" w:hanging="425"/>
              <w:jc w:val="both"/>
              <w:rPr>
                <w:rFonts w:ascii="Arial" w:hAnsi="Arial" w:cs="Arial"/>
                <w:sz w:val="18"/>
                <w:szCs w:val="18"/>
                <w:lang w:val="el-GR"/>
              </w:rPr>
            </w:pPr>
            <w:r w:rsidRPr="006A5C18">
              <w:rPr>
                <w:rFonts w:ascii="Arial" w:hAnsi="Arial" w:cs="Arial"/>
                <w:sz w:val="18"/>
                <w:szCs w:val="18"/>
                <w:lang w:val="el-GR"/>
              </w:rPr>
              <w:t>(</w:t>
            </w:r>
            <w:proofErr w:type="spellStart"/>
            <w:r w:rsidRPr="006A5C18">
              <w:rPr>
                <w:rFonts w:ascii="Arial" w:hAnsi="Arial" w:cs="Arial"/>
                <w:sz w:val="18"/>
                <w:szCs w:val="18"/>
                <w:lang w:val="el-GR"/>
              </w:rPr>
              <w:t>ii</w:t>
            </w:r>
            <w:proofErr w:type="spellEnd"/>
            <w:r w:rsidRPr="006A5C18">
              <w:rPr>
                <w:rFonts w:ascii="Arial" w:hAnsi="Arial" w:cs="Arial"/>
                <w:sz w:val="18"/>
                <w:szCs w:val="18"/>
                <w:lang w:val="el-GR"/>
              </w:rPr>
              <w:t xml:space="preserve">)  Δάνεια σε αθέτηση ή </w:t>
            </w:r>
            <w:proofErr w:type="spellStart"/>
            <w:r w:rsidRPr="006A5C18">
              <w:rPr>
                <w:rFonts w:ascii="Arial" w:hAnsi="Arial" w:cs="Arial"/>
                <w:sz w:val="18"/>
                <w:szCs w:val="18"/>
                <w:lang w:val="el-GR"/>
              </w:rPr>
              <w:t>απομειωμένα</w:t>
            </w:r>
            <w:proofErr w:type="spellEnd"/>
            <w:r w:rsidRPr="006A5C18">
              <w:rPr>
                <w:rFonts w:ascii="Arial" w:hAnsi="Arial" w:cs="Arial"/>
                <w:sz w:val="18"/>
                <w:szCs w:val="18"/>
                <w:lang w:val="el-GR"/>
              </w:rPr>
              <w:t xml:space="preserve"> δάνεια σύμφωνα με την προσέγγιση που προβλέπεται από τον Κανονισμό Κεφαλαιακών Απαιτήσεων (CRR), τα οποία θα προκαλούσαν επίσης αθέτηση υποχρέωσης βάσει συγκεκριμένης πιστωτικής προσαρμογής, μείωση της χρηματοοικονομικής υποχρέωσης και πτώχευση του οφειλέτη.</w:t>
            </w:r>
          </w:p>
          <w:p w14:paraId="2ED15313" w14:textId="08F18A91" w:rsidR="00982DBB" w:rsidRPr="006A5C18" w:rsidRDefault="00982DBB" w:rsidP="00982DBB">
            <w:pPr>
              <w:ind w:left="885" w:hanging="425"/>
              <w:jc w:val="both"/>
              <w:rPr>
                <w:rFonts w:ascii="Arial" w:hAnsi="Arial" w:cs="Arial"/>
                <w:sz w:val="18"/>
                <w:szCs w:val="18"/>
                <w:lang w:val="el-GR"/>
              </w:rPr>
            </w:pPr>
            <w:r w:rsidRPr="006A5C18">
              <w:rPr>
                <w:rFonts w:ascii="Arial" w:hAnsi="Arial" w:cs="Arial"/>
                <w:sz w:val="18"/>
                <w:szCs w:val="18"/>
                <w:lang w:val="el-GR"/>
              </w:rPr>
              <w:t>(</w:t>
            </w:r>
            <w:proofErr w:type="spellStart"/>
            <w:r w:rsidRPr="006A5C18">
              <w:rPr>
                <w:rFonts w:ascii="Arial" w:hAnsi="Arial" w:cs="Arial"/>
                <w:sz w:val="18"/>
                <w:szCs w:val="18"/>
                <w:lang w:val="el-GR"/>
              </w:rPr>
              <w:t>iii</w:t>
            </w:r>
            <w:proofErr w:type="spellEnd"/>
            <w:r w:rsidRPr="006A5C18">
              <w:rPr>
                <w:rFonts w:ascii="Arial" w:hAnsi="Arial" w:cs="Arial"/>
                <w:sz w:val="18"/>
                <w:szCs w:val="18"/>
                <w:lang w:val="el-GR"/>
              </w:rPr>
              <w:t>)  Σημαντικά ανοίγματα όπως καθορίζονται από την ΚΤΚ, τα οποία παρουσιάζουν ληξιπρόθεσμες οφειλές πάνω από 90 μέρες.</w:t>
            </w:r>
          </w:p>
          <w:p w14:paraId="2F6CC9C8" w14:textId="5FE34BAF" w:rsidR="00982DBB" w:rsidRPr="006A5C18" w:rsidRDefault="00982DBB" w:rsidP="00982DBB">
            <w:pPr>
              <w:ind w:left="885" w:hanging="425"/>
              <w:jc w:val="both"/>
              <w:rPr>
                <w:rFonts w:ascii="Arial" w:hAnsi="Arial" w:cs="Arial"/>
                <w:sz w:val="18"/>
                <w:szCs w:val="18"/>
                <w:lang w:val="el-GR"/>
              </w:rPr>
            </w:pPr>
            <w:r w:rsidRPr="006A5C18">
              <w:rPr>
                <w:rFonts w:ascii="Arial" w:hAnsi="Arial" w:cs="Arial"/>
                <w:sz w:val="18"/>
                <w:szCs w:val="18"/>
                <w:lang w:val="el-GR"/>
              </w:rPr>
              <w:t>(</w:t>
            </w:r>
            <w:proofErr w:type="spellStart"/>
            <w:r w:rsidRPr="006A5C18">
              <w:rPr>
                <w:rFonts w:ascii="Arial" w:hAnsi="Arial" w:cs="Arial"/>
                <w:sz w:val="18"/>
                <w:szCs w:val="18"/>
                <w:lang w:val="el-GR"/>
              </w:rPr>
              <w:t>iv</w:t>
            </w:r>
            <w:proofErr w:type="spellEnd"/>
            <w:r w:rsidRPr="006A5C18">
              <w:rPr>
                <w:rFonts w:ascii="Arial" w:hAnsi="Arial" w:cs="Arial"/>
                <w:sz w:val="18"/>
                <w:szCs w:val="18"/>
                <w:lang w:val="el-GR"/>
              </w:rPr>
              <w:t>)  Εξυπηρετούμενα, ρυθμισμένα δάνεια υπό επίβλεψη για τα οποία έγιναν επιπρόσθετες ρυθμίσεις.</w:t>
            </w:r>
          </w:p>
          <w:p w14:paraId="174D5F0B" w14:textId="56A14861" w:rsidR="00982DBB" w:rsidRPr="006A5C18" w:rsidRDefault="00982DBB" w:rsidP="00982DBB">
            <w:pPr>
              <w:ind w:left="885" w:hanging="425"/>
              <w:jc w:val="both"/>
              <w:rPr>
                <w:rFonts w:ascii="Arial" w:hAnsi="Arial" w:cs="Arial"/>
                <w:sz w:val="18"/>
                <w:szCs w:val="18"/>
                <w:lang w:val="el-GR"/>
              </w:rPr>
            </w:pPr>
            <w:r w:rsidRPr="006A5C18">
              <w:rPr>
                <w:rFonts w:ascii="Arial" w:hAnsi="Arial" w:cs="Arial"/>
                <w:sz w:val="18"/>
                <w:szCs w:val="18"/>
                <w:lang w:val="el-GR"/>
              </w:rPr>
              <w:t>(v)  Εξυπηρετούμενα, ρυθμισμένα δάνεια που είχαν προηγουμένως ταξινομηθεί ως ΜΕΔ τα οποία παρουσιάζουν ληξιπρόθεσμες οφειλές πάνω από 30 μέρες εντός της περιόδου επίβλεψης.</w:t>
            </w:r>
          </w:p>
          <w:p w14:paraId="39A098F2" w14:textId="77777777" w:rsidR="00715401" w:rsidRPr="006A5C18" w:rsidRDefault="00715401" w:rsidP="00982DBB">
            <w:pPr>
              <w:ind w:left="885" w:hanging="425"/>
              <w:jc w:val="both"/>
              <w:rPr>
                <w:rFonts w:ascii="Arial" w:hAnsi="Arial" w:cs="Arial"/>
                <w:sz w:val="18"/>
                <w:szCs w:val="18"/>
                <w:lang w:val="el-GR"/>
              </w:rPr>
            </w:pPr>
          </w:p>
          <w:p w14:paraId="183CBB88" w14:textId="77777777" w:rsidR="00715401" w:rsidRPr="006A5C18" w:rsidRDefault="00715401" w:rsidP="00715401">
            <w:pPr>
              <w:pStyle w:val="FootnoteText"/>
              <w:jc w:val="both"/>
              <w:rPr>
                <w:rFonts w:ascii="Arial" w:hAnsi="Arial" w:cs="Arial"/>
                <w:sz w:val="18"/>
                <w:szCs w:val="18"/>
                <w:lang w:val="el-GR"/>
              </w:rPr>
            </w:pPr>
            <w:r w:rsidRPr="006A5C18">
              <w:rPr>
                <w:rFonts w:ascii="Arial" w:hAnsi="Arial" w:cs="Arial"/>
                <w:sz w:val="18"/>
                <w:szCs w:val="18"/>
                <w:lang w:val="el-GR"/>
              </w:rPr>
              <w:t>Από 1 Ιανουαρίου 2021 εφαρμόζονται δύο νέες εποπτικές κατευθυντήριες γραμμές οι οποίες επηρεάζουν την ταξινόμηση των ΜΕΔ και τον υπολογισμό των ημερών σε καθυστέρηση. Συγκεκριμένα, αυτές οι οδηγίες αφορούν τα ρυθμιστικά τεχνικά πρότυπα για το όριο σημαντικότητας για πιστωτικές υποχρεώσεις σε καθυστέρηση (EBA/RTS/2016/06) και τις  κατευθυντήριες γραμμές σε σχέση με την εφαρμογή του ορισμού της αθέτησης υποχρέωσης δυνάμει του άρθρου 178 (EBA/ RTS /2016/07).</w:t>
            </w:r>
          </w:p>
          <w:p w14:paraId="6CF3181C" w14:textId="77777777" w:rsidR="00715401" w:rsidRPr="006A5C18" w:rsidRDefault="00715401" w:rsidP="00715401">
            <w:pPr>
              <w:jc w:val="both"/>
              <w:rPr>
                <w:rFonts w:ascii="Arial" w:hAnsi="Arial" w:cs="Arial"/>
                <w:sz w:val="18"/>
                <w:szCs w:val="18"/>
                <w:lang w:val="el-GR"/>
              </w:rPr>
            </w:pPr>
          </w:p>
          <w:p w14:paraId="7D6187F6" w14:textId="77777777" w:rsidR="00982DBB" w:rsidRPr="006A5C18" w:rsidRDefault="00715401" w:rsidP="00982DBB">
            <w:pPr>
              <w:jc w:val="both"/>
              <w:rPr>
                <w:rFonts w:ascii="Arial" w:hAnsi="Arial" w:cs="Arial"/>
                <w:sz w:val="18"/>
                <w:szCs w:val="18"/>
                <w:lang w:val="el-GR"/>
              </w:rPr>
            </w:pPr>
            <w:r w:rsidRPr="006A5C18">
              <w:rPr>
                <w:rFonts w:ascii="Arial" w:hAnsi="Arial" w:cs="Arial"/>
                <w:sz w:val="18"/>
                <w:szCs w:val="18"/>
                <w:lang w:val="el-GR"/>
              </w:rPr>
              <w:t>Βάσει του υπολογισμού των ημερών σε καθυστέρηση, οι ημέρες σε καθυστέρηση ξεκινούν να υπολογίζονται όταν οι καθυστερήσεις/υπερβάσεις του δανείου ξεπεράσουν το όριο σημαντικότητας (αντί από την πρώτη μέρα που το δάνειο παρουσιάζει καθυστέρηση/υπέρβαση). Επίσης, οι ημέρες σε καθυστέρηση θα μηδενίζονται όταν οι καθυστερήσεις/υπερβάσεις του δανείου μειωθούν κάτω από το όριο σημαντικότητας. Οι πληρωμές έναντι του δανείου που δεν μειώνουν τις καθυστερήσεις/υπερβάσεις πιο κάτω από το όριο σημαντικότητας, δεν θα επηρεάζουν τον υπολογισμό του αριθμού ημερών σε καθυστέρηση.</w:t>
            </w:r>
          </w:p>
          <w:p w14:paraId="0CCDAC11" w14:textId="77777777" w:rsidR="00060097" w:rsidRPr="006A5C18" w:rsidRDefault="00060097" w:rsidP="00982DBB">
            <w:pPr>
              <w:jc w:val="both"/>
              <w:rPr>
                <w:rFonts w:ascii="Arial" w:hAnsi="Arial" w:cs="Arial"/>
                <w:sz w:val="18"/>
                <w:szCs w:val="18"/>
                <w:lang w:val="el-GR"/>
              </w:rPr>
            </w:pPr>
          </w:p>
          <w:p w14:paraId="6A6DFF43" w14:textId="77777777" w:rsidR="00060097" w:rsidRPr="006A5C18" w:rsidRDefault="00060097" w:rsidP="00982DBB">
            <w:pPr>
              <w:jc w:val="both"/>
              <w:rPr>
                <w:rFonts w:ascii="Arial" w:hAnsi="Arial" w:cs="Arial"/>
                <w:sz w:val="18"/>
                <w:szCs w:val="18"/>
                <w:lang w:val="el-GR"/>
              </w:rPr>
            </w:pPr>
          </w:p>
          <w:p w14:paraId="7B85DB3D" w14:textId="6FF443A0" w:rsidR="00060097" w:rsidRPr="006A5C18" w:rsidRDefault="00060097" w:rsidP="00982DBB">
            <w:pPr>
              <w:jc w:val="both"/>
              <w:rPr>
                <w:rFonts w:ascii="Arial" w:hAnsi="Arial" w:cs="Arial"/>
                <w:sz w:val="18"/>
                <w:szCs w:val="18"/>
                <w:lang w:val="el-GR"/>
              </w:rPr>
            </w:pPr>
          </w:p>
        </w:tc>
      </w:tr>
      <w:tr w:rsidR="00715401" w:rsidRPr="0056738E" w14:paraId="63EE0F85" w14:textId="77777777" w:rsidTr="00715401">
        <w:trPr>
          <w:gridAfter w:val="1"/>
          <w:wAfter w:w="98" w:type="dxa"/>
          <w:trHeight w:val="426"/>
        </w:trPr>
        <w:tc>
          <w:tcPr>
            <w:tcW w:w="9583" w:type="dxa"/>
            <w:gridSpan w:val="4"/>
          </w:tcPr>
          <w:p w14:paraId="049BB150" w14:textId="3AF223EA" w:rsidR="00715401" w:rsidRPr="006A5C18" w:rsidRDefault="005F1DE6" w:rsidP="00715401">
            <w:pPr>
              <w:jc w:val="both"/>
              <w:rPr>
                <w:rFonts w:ascii="Arial" w:hAnsi="Arial" w:cs="Arial"/>
                <w:bCs/>
                <w:color w:val="FF9900"/>
                <w:sz w:val="24"/>
                <w:szCs w:val="24"/>
                <w:lang w:val="el-GR"/>
              </w:rPr>
            </w:pPr>
            <w:r>
              <w:rPr>
                <w:rFonts w:ascii="Arial" w:hAnsi="Arial" w:cs="Arial"/>
                <w:b/>
                <w:color w:val="FF9900"/>
                <w:sz w:val="24"/>
                <w:szCs w:val="24"/>
                <w:lang w:val="el-GR"/>
              </w:rPr>
              <w:lastRenderedPageBreak/>
              <w:t>Θ</w:t>
            </w:r>
            <w:r w:rsidR="00715401" w:rsidRPr="006A5C18">
              <w:rPr>
                <w:rFonts w:ascii="Arial" w:hAnsi="Arial" w:cs="Arial"/>
                <w:b/>
                <w:color w:val="FF9900"/>
                <w:sz w:val="24"/>
                <w:szCs w:val="24"/>
                <w:lang w:val="el-GR"/>
              </w:rPr>
              <w:t>. Όροι και Επεξηγήσεις</w:t>
            </w:r>
            <w:r w:rsidR="00715401" w:rsidRPr="006A5C18">
              <w:rPr>
                <w:rFonts w:ascii="Arial" w:hAnsi="Arial" w:cs="Arial"/>
                <w:bCs/>
                <w:color w:val="FF9900"/>
                <w:sz w:val="24"/>
                <w:szCs w:val="24"/>
                <w:lang w:val="el-GR"/>
              </w:rPr>
              <w:t xml:space="preserve"> (συνέχεια)</w:t>
            </w:r>
          </w:p>
        </w:tc>
      </w:tr>
      <w:tr w:rsidR="00982DBB" w:rsidRPr="0056738E" w14:paraId="2A20B204" w14:textId="77777777" w:rsidTr="00715401">
        <w:trPr>
          <w:gridAfter w:val="1"/>
          <w:wAfter w:w="98" w:type="dxa"/>
          <w:trHeight w:val="832"/>
        </w:trPr>
        <w:tc>
          <w:tcPr>
            <w:tcW w:w="3233" w:type="dxa"/>
          </w:tcPr>
          <w:p w14:paraId="5DD68AA4" w14:textId="326DA955" w:rsidR="00982DBB" w:rsidRPr="006A5C18" w:rsidRDefault="00715401" w:rsidP="00982DBB">
            <w:pPr>
              <w:spacing w:after="240"/>
              <w:rPr>
                <w:rFonts w:ascii="Arial" w:hAnsi="Arial" w:cs="Arial"/>
                <w:sz w:val="18"/>
                <w:szCs w:val="18"/>
                <w:lang w:val="el-GR"/>
              </w:rPr>
            </w:pPr>
            <w:r w:rsidRPr="006A5C18">
              <w:rPr>
                <w:rFonts w:ascii="Arial" w:hAnsi="Arial" w:cs="Arial"/>
                <w:sz w:val="18"/>
                <w:szCs w:val="18"/>
              </w:rPr>
              <w:t>M</w:t>
            </w:r>
            <w:r w:rsidRPr="006A5C18">
              <w:rPr>
                <w:rFonts w:ascii="Arial" w:hAnsi="Arial" w:cs="Arial"/>
                <w:sz w:val="18"/>
                <w:szCs w:val="18"/>
                <w:lang w:val="el-GR"/>
              </w:rPr>
              <w:t>η εξυπηρετούμενα δάνεια (ΜΕΔ) (συνέχεια)</w:t>
            </w:r>
          </w:p>
        </w:tc>
        <w:tc>
          <w:tcPr>
            <w:tcW w:w="6350" w:type="dxa"/>
            <w:gridSpan w:val="3"/>
          </w:tcPr>
          <w:p w14:paraId="17FF8938" w14:textId="77777777" w:rsidR="001E000D" w:rsidRPr="006A5C18" w:rsidRDefault="00715401" w:rsidP="00715401">
            <w:pPr>
              <w:jc w:val="both"/>
              <w:rPr>
                <w:rFonts w:ascii="Arial" w:hAnsi="Arial" w:cs="Arial"/>
                <w:sz w:val="18"/>
                <w:szCs w:val="18"/>
                <w:lang w:val="el-GR"/>
              </w:rPr>
            </w:pPr>
            <w:r w:rsidRPr="006A5C18">
              <w:rPr>
                <w:rFonts w:ascii="Arial" w:hAnsi="Arial" w:cs="Arial"/>
                <w:sz w:val="18"/>
                <w:szCs w:val="18"/>
                <w:lang w:val="el-GR"/>
              </w:rPr>
              <w:t xml:space="preserve">Για ιδιώτες οφειλέτες όταν ένα συγκεκριμένο μέρος των δανείων του οφειλέτη, το οποίο πληροί τα πιο πάνω κριτήρια των ΜΕΔ, υπερβαίνει το 20% της μεικτής λογιστικής αξίας όλων των εντός ισολογισμού δανείων του, τότε όλα τα δάνεια του οφειλέτη κατηγοριοποιούνται ως μη εξυπηρετούμενα. Σε αντίθετη περίπτωση, μόνο το συγκεκριμένο μέρος των δανείων κατηγοριοποιείται ως μη εξυπηρετούμενο. </w:t>
            </w:r>
          </w:p>
          <w:p w14:paraId="5B1BD2DA" w14:textId="77777777" w:rsidR="001E000D" w:rsidRPr="006A5C18" w:rsidRDefault="001E000D" w:rsidP="00715401">
            <w:pPr>
              <w:jc w:val="both"/>
              <w:rPr>
                <w:rFonts w:ascii="Arial" w:hAnsi="Arial" w:cs="Arial"/>
                <w:sz w:val="18"/>
                <w:szCs w:val="18"/>
                <w:lang w:val="el-GR"/>
              </w:rPr>
            </w:pPr>
          </w:p>
          <w:p w14:paraId="57C12EFB" w14:textId="4D1512C9" w:rsidR="00715401" w:rsidRPr="006A5C18" w:rsidRDefault="00715401" w:rsidP="00715401">
            <w:pPr>
              <w:jc w:val="both"/>
              <w:rPr>
                <w:rFonts w:ascii="Arial" w:hAnsi="Arial" w:cs="Arial"/>
                <w:sz w:val="18"/>
                <w:szCs w:val="18"/>
                <w:lang w:val="el-GR"/>
              </w:rPr>
            </w:pPr>
            <w:r w:rsidRPr="006A5C18">
              <w:rPr>
                <w:rFonts w:ascii="Arial" w:hAnsi="Arial" w:cs="Arial"/>
                <w:sz w:val="18"/>
                <w:szCs w:val="18"/>
                <w:lang w:val="el-GR"/>
              </w:rPr>
              <w:t>Για μη ιδιώτες οφειλέτες, όταν το άνοιγμα πληροί τα κριτήρια ΜΕΔ που αναφέρονται πιο πάνω, τότε το συνολικό άνοιγμα του πελάτη ταξινομείται ως μη εξυπηρετούμενο.</w:t>
            </w:r>
            <w:r w:rsidR="001E000D" w:rsidRPr="006A5C18">
              <w:rPr>
                <w:rFonts w:ascii="Arial" w:hAnsi="Arial" w:cs="Arial"/>
                <w:sz w:val="18"/>
                <w:szCs w:val="18"/>
                <w:lang w:val="el-GR"/>
              </w:rPr>
              <w:t xml:space="preserve"> </w:t>
            </w:r>
            <w:r w:rsidRPr="006A5C18">
              <w:rPr>
                <w:rFonts w:ascii="Arial" w:hAnsi="Arial" w:cs="Arial"/>
                <w:sz w:val="18"/>
                <w:szCs w:val="18"/>
                <w:lang w:val="el-GR"/>
              </w:rPr>
              <w:t xml:space="preserve">Σημαντικές καθυστερήσεις/υπερβάσεις ορίζονται ως εξής: (α) Έκθεση σε ιδιώτες: Συνολικές καθυστερήσεις/υπερβάσεις πάνω από €100, (β) Έκθεση σε μη ιδιώτες: Συνολικές καθυστερήσεις/υπερβάσεις πάνω από €500 και το ποσό σε καθυστέρηση/υπέρβαση να είναι τουλάχιστον 1% του συνολικού ποσού χρηματοδότησης του πελάτη. </w:t>
            </w:r>
          </w:p>
          <w:p w14:paraId="2934399D" w14:textId="77777777" w:rsidR="00715401" w:rsidRPr="006A5C18" w:rsidRDefault="00715401" w:rsidP="00715401">
            <w:pPr>
              <w:jc w:val="both"/>
              <w:rPr>
                <w:rFonts w:ascii="Arial" w:hAnsi="Arial" w:cs="Arial"/>
                <w:sz w:val="18"/>
                <w:szCs w:val="18"/>
                <w:lang w:val="el-GR"/>
              </w:rPr>
            </w:pPr>
          </w:p>
          <w:p w14:paraId="5392FB20" w14:textId="77777777" w:rsidR="00715401" w:rsidRPr="006A5C18" w:rsidRDefault="00715401" w:rsidP="00715401">
            <w:pPr>
              <w:jc w:val="both"/>
              <w:rPr>
                <w:rFonts w:ascii="Arial" w:hAnsi="Arial" w:cs="Arial"/>
                <w:sz w:val="18"/>
                <w:szCs w:val="18"/>
                <w:lang w:val="el-GR"/>
              </w:rPr>
            </w:pPr>
            <w:r w:rsidRPr="006A5C18">
              <w:rPr>
                <w:rFonts w:ascii="Arial" w:hAnsi="Arial" w:cs="Arial"/>
                <w:sz w:val="18"/>
                <w:szCs w:val="18"/>
                <w:lang w:val="el-GR"/>
              </w:rPr>
              <w:t>Τα ΜΕΔ αναφέρονται πριν από την αφαίρεση των συσσωρευμένων αναμενόμενων πιστωτικών ζημιών δανείων (όπως ορίζεται).</w:t>
            </w:r>
          </w:p>
          <w:p w14:paraId="3B7F9FC2" w14:textId="6C4A7B20" w:rsidR="00982DBB" w:rsidRPr="006A5C18" w:rsidRDefault="00982DBB" w:rsidP="00982DBB">
            <w:pPr>
              <w:jc w:val="both"/>
              <w:rPr>
                <w:rFonts w:ascii="Arial" w:hAnsi="Arial" w:cs="Arial"/>
                <w:sz w:val="18"/>
                <w:szCs w:val="18"/>
                <w:lang w:val="el-GR"/>
              </w:rPr>
            </w:pPr>
          </w:p>
        </w:tc>
      </w:tr>
      <w:tr w:rsidR="00715401" w:rsidRPr="0056738E" w14:paraId="083F47A8" w14:textId="77777777" w:rsidTr="00715401">
        <w:trPr>
          <w:trHeight w:val="57"/>
        </w:trPr>
        <w:tc>
          <w:tcPr>
            <w:tcW w:w="3233" w:type="dxa"/>
          </w:tcPr>
          <w:p w14:paraId="4F57D096" w14:textId="77777777" w:rsidR="00715401" w:rsidRPr="006A5C18" w:rsidRDefault="00715401" w:rsidP="00715401">
            <w:pPr>
              <w:pStyle w:val="FootnoteText"/>
              <w:rPr>
                <w:rFonts w:ascii="Arial" w:hAnsi="Arial" w:cs="Arial"/>
                <w:sz w:val="18"/>
                <w:szCs w:val="18"/>
                <w:lang w:val="el-GR"/>
              </w:rPr>
            </w:pPr>
          </w:p>
        </w:tc>
        <w:tc>
          <w:tcPr>
            <w:tcW w:w="6448" w:type="dxa"/>
            <w:gridSpan w:val="4"/>
          </w:tcPr>
          <w:p w14:paraId="76E9F3EA" w14:textId="77777777" w:rsidR="00715401" w:rsidRPr="006A5C18" w:rsidRDefault="00715401" w:rsidP="00715401">
            <w:pPr>
              <w:pStyle w:val="FootnoteText"/>
              <w:rPr>
                <w:rFonts w:ascii="Arial" w:hAnsi="Arial" w:cs="Arial"/>
                <w:sz w:val="18"/>
                <w:szCs w:val="18"/>
                <w:lang w:val="el-GR"/>
              </w:rPr>
            </w:pPr>
          </w:p>
        </w:tc>
      </w:tr>
      <w:tr w:rsidR="00982DBB" w:rsidRPr="0056738E" w14:paraId="44CB501C" w14:textId="77777777" w:rsidTr="00715401">
        <w:trPr>
          <w:trHeight w:val="832"/>
        </w:trPr>
        <w:tc>
          <w:tcPr>
            <w:tcW w:w="3233" w:type="dxa"/>
          </w:tcPr>
          <w:p w14:paraId="435A0371" w14:textId="77777777" w:rsidR="00982DBB" w:rsidRPr="006A5C18" w:rsidRDefault="00982DBB" w:rsidP="00982DBB">
            <w:pPr>
              <w:spacing w:after="240"/>
              <w:rPr>
                <w:rFonts w:ascii="Arial" w:hAnsi="Arial" w:cs="Arial"/>
                <w:sz w:val="18"/>
                <w:szCs w:val="18"/>
                <w:lang w:val="el-GR"/>
              </w:rPr>
            </w:pPr>
            <w:r w:rsidRPr="006A5C18">
              <w:rPr>
                <w:rFonts w:ascii="Arial" w:hAnsi="Arial" w:cs="Arial"/>
                <w:sz w:val="18"/>
                <w:szCs w:val="18"/>
                <w:lang w:val="el-GR"/>
              </w:rPr>
              <w:t>Μη</w:t>
            </w:r>
            <w:r w:rsidRPr="006A5C18">
              <w:rPr>
                <w:rFonts w:ascii="Arial" w:hAnsi="Arial" w:cs="Arial"/>
                <w:sz w:val="18"/>
                <w:szCs w:val="18"/>
              </w:rPr>
              <w:t xml:space="preserve"> </w:t>
            </w:r>
            <w:r w:rsidRPr="006A5C18">
              <w:rPr>
                <w:rFonts w:ascii="Arial" w:hAnsi="Arial" w:cs="Arial"/>
                <w:sz w:val="18"/>
                <w:szCs w:val="18"/>
                <w:lang w:val="el-GR"/>
              </w:rPr>
              <w:t>επαναλαμβανόμενα στοιχεία</w:t>
            </w:r>
          </w:p>
        </w:tc>
        <w:tc>
          <w:tcPr>
            <w:tcW w:w="6448" w:type="dxa"/>
            <w:gridSpan w:val="4"/>
          </w:tcPr>
          <w:p w14:paraId="125CE24D" w14:textId="05CB641E" w:rsidR="00982DBB" w:rsidRPr="006A5C18" w:rsidRDefault="00982DBB" w:rsidP="00982DBB">
            <w:pPr>
              <w:jc w:val="both"/>
              <w:rPr>
                <w:rFonts w:ascii="Arial" w:hAnsi="Arial" w:cs="Arial"/>
                <w:sz w:val="18"/>
                <w:szCs w:val="18"/>
                <w:lang w:val="el-GR"/>
              </w:rPr>
            </w:pPr>
            <w:r w:rsidRPr="006A5C18">
              <w:rPr>
                <w:rFonts w:ascii="Arial" w:hAnsi="Arial" w:cs="Arial"/>
                <w:sz w:val="18"/>
                <w:szCs w:val="18"/>
                <w:lang w:val="el-GR"/>
              </w:rPr>
              <w:t xml:space="preserve">Τα μη επαναλαμβανόμενα στοιχεία όπως παρουσιάζονται στη ‘Μη Ελεγμένη Ενδιάμεση Συνοπτική Ενοποιημένη Κατάσταση Λογαριασμού Αποτελεσμάτων – Υποκείμενη βάση’ αφορούν: Έξοδα συμβούλων και άλλα έξοδα μετασχηματισμού – οργανικά’. </w:t>
            </w:r>
          </w:p>
          <w:p w14:paraId="7446377B" w14:textId="77777777" w:rsidR="00982DBB" w:rsidRPr="006A5C18" w:rsidRDefault="00982DBB" w:rsidP="00982DBB">
            <w:pPr>
              <w:jc w:val="both"/>
              <w:rPr>
                <w:rFonts w:ascii="Arial" w:hAnsi="Arial" w:cs="Arial"/>
                <w:sz w:val="12"/>
                <w:szCs w:val="12"/>
                <w:lang w:val="el-GR"/>
              </w:rPr>
            </w:pPr>
          </w:p>
        </w:tc>
      </w:tr>
      <w:tr w:rsidR="00715401" w:rsidRPr="0056738E" w14:paraId="73DFD107" w14:textId="77777777" w:rsidTr="00715401">
        <w:trPr>
          <w:trHeight w:val="57"/>
        </w:trPr>
        <w:tc>
          <w:tcPr>
            <w:tcW w:w="3233" w:type="dxa"/>
          </w:tcPr>
          <w:p w14:paraId="012A1EA7" w14:textId="77777777" w:rsidR="00715401" w:rsidRPr="006A5C18" w:rsidRDefault="00715401" w:rsidP="00715401">
            <w:pPr>
              <w:pStyle w:val="FootnoteText"/>
              <w:rPr>
                <w:rFonts w:ascii="Arial" w:hAnsi="Arial" w:cs="Arial"/>
                <w:sz w:val="18"/>
                <w:szCs w:val="18"/>
                <w:lang w:val="el-GR"/>
              </w:rPr>
            </w:pPr>
          </w:p>
        </w:tc>
        <w:tc>
          <w:tcPr>
            <w:tcW w:w="6448" w:type="dxa"/>
            <w:gridSpan w:val="4"/>
          </w:tcPr>
          <w:p w14:paraId="47E6949B" w14:textId="77777777" w:rsidR="00715401" w:rsidRPr="006A5C18" w:rsidRDefault="00715401" w:rsidP="00715401">
            <w:pPr>
              <w:pStyle w:val="FootnoteText"/>
              <w:rPr>
                <w:rFonts w:ascii="Arial" w:hAnsi="Arial" w:cs="Arial"/>
                <w:sz w:val="18"/>
                <w:szCs w:val="18"/>
                <w:lang w:val="el-GR"/>
              </w:rPr>
            </w:pPr>
          </w:p>
        </w:tc>
      </w:tr>
      <w:tr w:rsidR="00982DBB" w:rsidRPr="0056738E" w14:paraId="330AFF4B" w14:textId="77777777" w:rsidTr="00715401">
        <w:trPr>
          <w:trHeight w:val="832"/>
        </w:trPr>
        <w:tc>
          <w:tcPr>
            <w:tcW w:w="3233" w:type="dxa"/>
          </w:tcPr>
          <w:p w14:paraId="46CD27B3" w14:textId="77777777" w:rsidR="00982DBB" w:rsidRPr="006A5C18" w:rsidRDefault="00982DBB" w:rsidP="00982DBB">
            <w:pPr>
              <w:spacing w:after="240"/>
              <w:rPr>
                <w:rFonts w:ascii="Arial" w:hAnsi="Arial" w:cs="Arial"/>
                <w:sz w:val="18"/>
                <w:szCs w:val="18"/>
                <w:lang w:val="el-GR"/>
              </w:rPr>
            </w:pPr>
            <w:proofErr w:type="spellStart"/>
            <w:r w:rsidRPr="006A5C18">
              <w:rPr>
                <w:rFonts w:ascii="Arial" w:hAnsi="Arial" w:cs="Arial"/>
                <w:sz w:val="18"/>
                <w:szCs w:val="18"/>
                <w:lang w:val="el-GR"/>
              </w:rPr>
              <w:t>Mη</w:t>
            </w:r>
            <w:proofErr w:type="spellEnd"/>
            <w:r w:rsidRPr="006A5C18">
              <w:rPr>
                <w:rFonts w:ascii="Arial" w:hAnsi="Arial" w:cs="Arial"/>
                <w:sz w:val="18"/>
                <w:szCs w:val="18"/>
                <w:lang w:val="el-GR"/>
              </w:rPr>
              <w:t xml:space="preserve"> </w:t>
            </w:r>
            <w:proofErr w:type="spellStart"/>
            <w:r w:rsidRPr="006A5C18">
              <w:rPr>
                <w:rFonts w:ascii="Arial" w:hAnsi="Arial" w:cs="Arial"/>
                <w:sz w:val="18"/>
                <w:szCs w:val="18"/>
                <w:lang w:val="el-GR"/>
              </w:rPr>
              <w:t>επιτοκιακά</w:t>
            </w:r>
            <w:proofErr w:type="spellEnd"/>
            <w:r w:rsidRPr="006A5C18">
              <w:rPr>
                <w:rFonts w:ascii="Arial" w:hAnsi="Arial" w:cs="Arial"/>
                <w:sz w:val="18"/>
                <w:szCs w:val="18"/>
                <w:lang w:val="el-GR"/>
              </w:rPr>
              <w:t xml:space="preserve"> έσοδα</w:t>
            </w:r>
          </w:p>
        </w:tc>
        <w:tc>
          <w:tcPr>
            <w:tcW w:w="6448" w:type="dxa"/>
            <w:gridSpan w:val="4"/>
          </w:tcPr>
          <w:p w14:paraId="4778DC96" w14:textId="2BBFA35B" w:rsidR="00982DBB" w:rsidRPr="006A5C18" w:rsidRDefault="00982DBB" w:rsidP="00982DBB">
            <w:pPr>
              <w:jc w:val="both"/>
              <w:rPr>
                <w:rFonts w:ascii="Arial" w:hAnsi="Arial" w:cs="Arial"/>
                <w:sz w:val="18"/>
                <w:szCs w:val="18"/>
                <w:lang w:val="el-GR"/>
              </w:rPr>
            </w:pPr>
            <w:r w:rsidRPr="006A5C18">
              <w:rPr>
                <w:rFonts w:ascii="Arial" w:hAnsi="Arial" w:cs="Arial"/>
                <w:sz w:val="18"/>
                <w:szCs w:val="18"/>
                <w:lang w:val="el-GR"/>
              </w:rPr>
              <w:t>Τα μη επιτοκιακά έσοδα αποτελούνται από Καθαρά έσοδα από δικαιώματα και προμήθειες, Καθαρά κέρδη</w:t>
            </w:r>
            <w:r w:rsidR="00A01BCD" w:rsidRPr="006A5C18">
              <w:rPr>
                <w:rFonts w:ascii="Arial" w:hAnsi="Arial" w:cs="Arial"/>
                <w:sz w:val="18"/>
                <w:szCs w:val="18"/>
                <w:lang w:val="el-GR"/>
              </w:rPr>
              <w:t xml:space="preserve"> </w:t>
            </w:r>
            <w:r w:rsidRPr="006A5C18">
              <w:rPr>
                <w:rFonts w:ascii="Arial" w:hAnsi="Arial" w:cs="Arial"/>
                <w:sz w:val="18"/>
                <w:szCs w:val="18"/>
                <w:lang w:val="el-GR"/>
              </w:rPr>
              <w:t>από διαπραγμάτευση συναλλάγματος και καθαρά κέρδη</w:t>
            </w:r>
            <w:r w:rsidR="00A01BCD" w:rsidRPr="006A5C18">
              <w:rPr>
                <w:rFonts w:ascii="Arial" w:hAnsi="Arial" w:cs="Arial"/>
                <w:sz w:val="18"/>
                <w:szCs w:val="18"/>
                <w:lang w:val="el-GR"/>
              </w:rPr>
              <w:t xml:space="preserve">/(ζημιές) </w:t>
            </w:r>
            <w:r w:rsidRPr="006A5C18">
              <w:rPr>
                <w:rFonts w:ascii="Arial" w:hAnsi="Arial" w:cs="Arial"/>
                <w:sz w:val="18"/>
                <w:szCs w:val="18"/>
                <w:lang w:val="el-GR"/>
              </w:rPr>
              <w:t>από συναλλαγές με χρηματοοικονομικά μέσα (με εξαίρεση τα καθαρά κέρδη από δάνεια και απαιτήσεις από πελάτες σε εύλογη αξία μέσω των αποτελεσμάτων),</w:t>
            </w:r>
            <w:r w:rsidR="00A01BCD" w:rsidRPr="006A5C18">
              <w:rPr>
                <w:rFonts w:ascii="Arial" w:hAnsi="Arial" w:cs="Arial"/>
                <w:sz w:val="18"/>
                <w:szCs w:val="18"/>
                <w:lang w:val="el-GR"/>
              </w:rPr>
              <w:t xml:space="preserve"> </w:t>
            </w:r>
            <w:r w:rsidRPr="006A5C18">
              <w:rPr>
                <w:rFonts w:ascii="Arial" w:hAnsi="Arial" w:cs="Arial"/>
                <w:sz w:val="18"/>
                <w:szCs w:val="18"/>
                <w:lang w:val="el-GR"/>
              </w:rPr>
              <w:t>Καθαρό αποτέλεσμα από ασφαλιστικές εργασίες, Καθαρά κέρδη/(ζημιές) από επανεκτίμηση και πώληση επενδύσεων σε ακίνητα και από πώληση αποθεμάτων ακινήτων, και Λοιπά έσοδα.</w:t>
            </w:r>
          </w:p>
          <w:p w14:paraId="02B3492D" w14:textId="77777777" w:rsidR="00982DBB" w:rsidRPr="006A5C18" w:rsidRDefault="00982DBB" w:rsidP="00982DBB">
            <w:pPr>
              <w:jc w:val="both"/>
              <w:rPr>
                <w:rFonts w:ascii="Arial" w:hAnsi="Arial" w:cs="Arial"/>
                <w:sz w:val="18"/>
                <w:szCs w:val="18"/>
                <w:lang w:val="el-GR"/>
              </w:rPr>
            </w:pPr>
          </w:p>
        </w:tc>
      </w:tr>
      <w:tr w:rsidR="00715401" w:rsidRPr="0056738E" w14:paraId="38149E1A" w14:textId="77777777" w:rsidTr="00715401">
        <w:trPr>
          <w:trHeight w:val="57"/>
        </w:trPr>
        <w:tc>
          <w:tcPr>
            <w:tcW w:w="3233" w:type="dxa"/>
          </w:tcPr>
          <w:p w14:paraId="6BE2DE2E" w14:textId="77777777" w:rsidR="00715401" w:rsidRPr="006A5C18" w:rsidRDefault="00715401" w:rsidP="00715401">
            <w:pPr>
              <w:pStyle w:val="FootnoteText"/>
              <w:rPr>
                <w:rFonts w:ascii="Arial" w:hAnsi="Arial" w:cs="Arial"/>
                <w:sz w:val="18"/>
                <w:szCs w:val="18"/>
                <w:lang w:val="el-GR"/>
              </w:rPr>
            </w:pPr>
          </w:p>
        </w:tc>
        <w:tc>
          <w:tcPr>
            <w:tcW w:w="6448" w:type="dxa"/>
            <w:gridSpan w:val="4"/>
          </w:tcPr>
          <w:p w14:paraId="79727C39" w14:textId="77777777" w:rsidR="00715401" w:rsidRPr="006A5C18" w:rsidRDefault="00715401" w:rsidP="00715401">
            <w:pPr>
              <w:pStyle w:val="FootnoteText"/>
              <w:rPr>
                <w:rFonts w:ascii="Arial" w:hAnsi="Arial" w:cs="Arial"/>
                <w:sz w:val="18"/>
                <w:szCs w:val="18"/>
                <w:lang w:val="el-GR"/>
              </w:rPr>
            </w:pPr>
          </w:p>
        </w:tc>
      </w:tr>
      <w:tr w:rsidR="00982DBB" w:rsidRPr="0056738E" w14:paraId="6CE6C316" w14:textId="77777777" w:rsidTr="00715401">
        <w:trPr>
          <w:trHeight w:val="832"/>
        </w:trPr>
        <w:tc>
          <w:tcPr>
            <w:tcW w:w="3233" w:type="dxa"/>
          </w:tcPr>
          <w:p w14:paraId="47F09FB6" w14:textId="77777777" w:rsidR="00982DBB" w:rsidRPr="006A5C18" w:rsidRDefault="00982DBB" w:rsidP="00982DBB">
            <w:pPr>
              <w:spacing w:after="240"/>
              <w:rPr>
                <w:rFonts w:ascii="Arial" w:hAnsi="Arial" w:cs="Arial"/>
                <w:sz w:val="18"/>
                <w:szCs w:val="18"/>
                <w:lang w:val="el-GR"/>
              </w:rPr>
            </w:pPr>
            <w:r w:rsidRPr="006A5C18">
              <w:rPr>
                <w:rFonts w:ascii="Arial" w:hAnsi="Arial" w:cs="Arial"/>
                <w:sz w:val="18"/>
                <w:szCs w:val="18"/>
                <w:lang w:val="el-GR"/>
              </w:rPr>
              <w:t>Νέος δανεισμός</w:t>
            </w:r>
          </w:p>
        </w:tc>
        <w:tc>
          <w:tcPr>
            <w:tcW w:w="6448" w:type="dxa"/>
            <w:gridSpan w:val="4"/>
          </w:tcPr>
          <w:p w14:paraId="752BF430" w14:textId="77777777" w:rsidR="00982DBB" w:rsidRPr="006A5C18" w:rsidRDefault="00982DBB" w:rsidP="00982DBB">
            <w:pPr>
              <w:jc w:val="both"/>
              <w:rPr>
                <w:rFonts w:ascii="Arial" w:hAnsi="Arial" w:cs="Arial"/>
                <w:sz w:val="18"/>
                <w:szCs w:val="18"/>
                <w:lang w:val="el-GR"/>
              </w:rPr>
            </w:pPr>
            <w:r w:rsidRPr="006A5C18">
              <w:rPr>
                <w:rFonts w:ascii="Arial" w:hAnsi="Arial" w:cs="Arial"/>
                <w:sz w:val="18"/>
                <w:szCs w:val="18"/>
                <w:lang w:val="el-GR"/>
              </w:rPr>
              <w:t>Ο νέος δανεισμός περιλαμβάνει ποσά που έχουν εκταμιευθεί για νέες και υφιστάμενες μη-</w:t>
            </w:r>
            <w:proofErr w:type="spellStart"/>
            <w:r w:rsidRPr="006A5C18">
              <w:rPr>
                <w:rFonts w:ascii="Arial" w:hAnsi="Arial" w:cs="Arial"/>
                <w:sz w:val="18"/>
                <w:szCs w:val="18"/>
                <w:lang w:val="el-GR"/>
              </w:rPr>
              <w:t>ανακυκλούμενες</w:t>
            </w:r>
            <w:proofErr w:type="spellEnd"/>
            <w:r w:rsidRPr="006A5C18">
              <w:rPr>
                <w:rFonts w:ascii="Arial" w:hAnsi="Arial" w:cs="Arial"/>
                <w:sz w:val="18"/>
                <w:szCs w:val="18"/>
                <w:lang w:val="el-GR"/>
              </w:rPr>
              <w:t xml:space="preserve"> διευκολύνσεις (εξαιρουμένων των ρυθμίσεων ή την εκ νέου διαπραγμάτευση των λογαριασμών (αναδιαρθρώσεων)) καθώς επίσης όσον αφορά τους τρεχούμενους λογαριασμούς και τα παρατραβήγματα περιλαμβάνει τη μέση μεταβολή (εάν είναι θετική) του υπολοίπου στην αρχή και στο τέλος της περιόδου. Οι διευκολύνσεις του τομέα ‘Ανακτήσεις Χρεών’ εξαιρούνται από τον υπολογισμό αφού η μεταβολή στους τρεχούμενους λογαριασμούς και τα παρατραβήγματα σχετίζεται κυρίως με τους δεδουλευμένους τόκους και όχι με νέο δανεισμό.</w:t>
            </w:r>
          </w:p>
          <w:p w14:paraId="3243C4EF" w14:textId="77777777" w:rsidR="00982DBB" w:rsidRPr="006A5C18" w:rsidRDefault="00982DBB" w:rsidP="00982DBB">
            <w:pPr>
              <w:jc w:val="both"/>
              <w:rPr>
                <w:rFonts w:ascii="Arial" w:hAnsi="Arial" w:cs="Arial"/>
                <w:sz w:val="18"/>
                <w:szCs w:val="18"/>
                <w:lang w:val="el-GR"/>
              </w:rPr>
            </w:pPr>
          </w:p>
        </w:tc>
      </w:tr>
      <w:tr w:rsidR="00715401" w:rsidRPr="0056738E" w14:paraId="447081B4" w14:textId="77777777" w:rsidTr="00715401">
        <w:tc>
          <w:tcPr>
            <w:tcW w:w="3233" w:type="dxa"/>
          </w:tcPr>
          <w:p w14:paraId="2D5CFD12" w14:textId="77777777" w:rsidR="00715401" w:rsidRPr="006A5C18" w:rsidRDefault="00715401" w:rsidP="00715401">
            <w:pPr>
              <w:pStyle w:val="FootnoteText"/>
              <w:rPr>
                <w:rFonts w:ascii="Arial" w:hAnsi="Arial" w:cs="Arial"/>
                <w:sz w:val="18"/>
                <w:szCs w:val="18"/>
                <w:lang w:val="el-GR"/>
              </w:rPr>
            </w:pPr>
          </w:p>
        </w:tc>
        <w:tc>
          <w:tcPr>
            <w:tcW w:w="6448" w:type="dxa"/>
            <w:gridSpan w:val="4"/>
          </w:tcPr>
          <w:p w14:paraId="636568C0" w14:textId="77777777" w:rsidR="00715401" w:rsidRPr="006A5C18" w:rsidRDefault="00715401" w:rsidP="00715401">
            <w:pPr>
              <w:pStyle w:val="FootnoteText"/>
              <w:jc w:val="both"/>
              <w:rPr>
                <w:rFonts w:ascii="Arial" w:hAnsi="Arial" w:cs="Arial"/>
                <w:sz w:val="18"/>
                <w:szCs w:val="18"/>
                <w:lang w:val="el-GR"/>
              </w:rPr>
            </w:pPr>
          </w:p>
        </w:tc>
      </w:tr>
      <w:tr w:rsidR="00982DBB" w:rsidRPr="0056738E" w14:paraId="2C54ACF3" w14:textId="77777777" w:rsidTr="00715401">
        <w:tc>
          <w:tcPr>
            <w:tcW w:w="3233" w:type="dxa"/>
          </w:tcPr>
          <w:p w14:paraId="5C009959" w14:textId="7EC6552E" w:rsidR="00982DBB" w:rsidRPr="006A5C18" w:rsidRDefault="00982DBB" w:rsidP="00982DBB">
            <w:pPr>
              <w:pStyle w:val="FootnoteText"/>
              <w:spacing w:after="120"/>
              <w:rPr>
                <w:rFonts w:ascii="Arial" w:hAnsi="Arial" w:cs="Arial"/>
                <w:sz w:val="18"/>
                <w:szCs w:val="18"/>
                <w:lang w:val="el-GR"/>
              </w:rPr>
            </w:pPr>
            <w:r w:rsidRPr="006A5C18">
              <w:rPr>
                <w:rFonts w:ascii="Arial" w:hAnsi="Arial" w:cs="Arial"/>
                <w:sz w:val="18"/>
                <w:szCs w:val="18"/>
                <w:lang w:val="el-GR"/>
              </w:rPr>
              <w:t>Ποσοστό/Δείκτης ΜΕΔ προς δάνεια</w:t>
            </w:r>
          </w:p>
        </w:tc>
        <w:tc>
          <w:tcPr>
            <w:tcW w:w="6448" w:type="dxa"/>
            <w:gridSpan w:val="4"/>
          </w:tcPr>
          <w:p w14:paraId="1E07CD1E" w14:textId="19BECAF0" w:rsidR="00982DBB" w:rsidRPr="006A5C18" w:rsidRDefault="00982DBB" w:rsidP="00982DBB">
            <w:pPr>
              <w:pStyle w:val="FootnoteText"/>
              <w:spacing w:after="160"/>
              <w:jc w:val="both"/>
              <w:rPr>
                <w:rFonts w:ascii="Arial" w:hAnsi="Arial" w:cs="Arial"/>
                <w:sz w:val="18"/>
                <w:szCs w:val="18"/>
                <w:lang w:val="el-GR"/>
              </w:rPr>
            </w:pPr>
            <w:r w:rsidRPr="006A5C18">
              <w:rPr>
                <w:rFonts w:ascii="Arial" w:hAnsi="Arial" w:cs="Arial"/>
                <w:sz w:val="18"/>
                <w:szCs w:val="18"/>
                <w:lang w:val="el-GR"/>
              </w:rPr>
              <w:t>Υπολογίζεται ως τα ΜΕΔ (όπως ορίζονται) ως προς τα δάνεια (όπως ορίζονται).</w:t>
            </w:r>
          </w:p>
        </w:tc>
      </w:tr>
      <w:tr w:rsidR="00715401" w:rsidRPr="0056738E" w14:paraId="38E4E0EC" w14:textId="77777777" w:rsidTr="00715401">
        <w:trPr>
          <w:trHeight w:val="57"/>
        </w:trPr>
        <w:tc>
          <w:tcPr>
            <w:tcW w:w="3233" w:type="dxa"/>
          </w:tcPr>
          <w:p w14:paraId="41F99612" w14:textId="77777777" w:rsidR="00715401" w:rsidRPr="006A5C18" w:rsidRDefault="00715401" w:rsidP="00982DBB">
            <w:pPr>
              <w:pStyle w:val="FootnoteText"/>
              <w:rPr>
                <w:rFonts w:ascii="Arial" w:hAnsi="Arial" w:cs="Arial"/>
                <w:sz w:val="18"/>
                <w:szCs w:val="18"/>
                <w:lang w:val="el-GR"/>
              </w:rPr>
            </w:pPr>
          </w:p>
        </w:tc>
        <w:tc>
          <w:tcPr>
            <w:tcW w:w="6448" w:type="dxa"/>
            <w:gridSpan w:val="4"/>
          </w:tcPr>
          <w:p w14:paraId="1EFF080F" w14:textId="77777777" w:rsidR="00715401" w:rsidRPr="006A5C18" w:rsidRDefault="00715401" w:rsidP="00982DBB">
            <w:pPr>
              <w:pStyle w:val="FootnoteText"/>
              <w:spacing w:after="160"/>
              <w:jc w:val="both"/>
              <w:rPr>
                <w:rFonts w:ascii="Arial" w:hAnsi="Arial" w:cs="Arial"/>
                <w:sz w:val="18"/>
                <w:szCs w:val="18"/>
                <w:lang w:val="el-GR"/>
              </w:rPr>
            </w:pPr>
          </w:p>
        </w:tc>
      </w:tr>
      <w:tr w:rsidR="00982DBB" w:rsidRPr="0056738E" w14:paraId="5F1A28BB" w14:textId="77777777" w:rsidTr="00715401">
        <w:tc>
          <w:tcPr>
            <w:tcW w:w="3233" w:type="dxa"/>
          </w:tcPr>
          <w:p w14:paraId="477BB0D5" w14:textId="477C0B2A" w:rsidR="00982DBB" w:rsidRPr="006A5C18" w:rsidRDefault="00982DBB" w:rsidP="00982DBB">
            <w:pPr>
              <w:pStyle w:val="FootnoteText"/>
              <w:rPr>
                <w:rFonts w:ascii="Arial" w:hAnsi="Arial" w:cs="Arial"/>
                <w:sz w:val="18"/>
                <w:szCs w:val="18"/>
                <w:lang w:val="el-GR"/>
              </w:rPr>
            </w:pPr>
            <w:r w:rsidRPr="006A5C18">
              <w:rPr>
                <w:rFonts w:ascii="Arial" w:hAnsi="Arial" w:cs="Arial"/>
                <w:sz w:val="18"/>
                <w:szCs w:val="18"/>
                <w:lang w:val="el-GR"/>
              </w:rPr>
              <w:t xml:space="preserve">Ποσοστό/Δείκτης  κάλυψης ΜΕΔ </w:t>
            </w:r>
          </w:p>
        </w:tc>
        <w:tc>
          <w:tcPr>
            <w:tcW w:w="6448" w:type="dxa"/>
            <w:gridSpan w:val="4"/>
          </w:tcPr>
          <w:p w14:paraId="6F3BAAF3" w14:textId="7CC52A03" w:rsidR="00982DBB" w:rsidRPr="006A5C18" w:rsidRDefault="00982DBB" w:rsidP="00982DBB">
            <w:pPr>
              <w:pStyle w:val="FootnoteText"/>
              <w:spacing w:after="160"/>
              <w:jc w:val="both"/>
              <w:rPr>
                <w:rFonts w:ascii="Arial" w:hAnsi="Arial" w:cs="Arial"/>
                <w:sz w:val="18"/>
                <w:szCs w:val="18"/>
                <w:lang w:val="el-GR"/>
              </w:rPr>
            </w:pPr>
            <w:r w:rsidRPr="006A5C18">
              <w:rPr>
                <w:rFonts w:ascii="Arial" w:hAnsi="Arial" w:cs="Arial"/>
                <w:sz w:val="18"/>
                <w:szCs w:val="18"/>
                <w:lang w:val="el-GR"/>
              </w:rPr>
              <w:t>Υπολογίζεται ως οι συσσωρευμένες αναμενόμενες πιστωτικές ζημιές δανείων (όπως ορίζονται) ως προς το σύνολο των ΜΕΔ (όπως ορίζονται).</w:t>
            </w:r>
          </w:p>
        </w:tc>
      </w:tr>
      <w:tr w:rsidR="00715401" w:rsidRPr="0056738E" w14:paraId="4EF855C7" w14:textId="77777777" w:rsidTr="00715401">
        <w:tc>
          <w:tcPr>
            <w:tcW w:w="3233" w:type="dxa"/>
          </w:tcPr>
          <w:p w14:paraId="3ABE6477" w14:textId="77777777" w:rsidR="00715401" w:rsidRPr="006A5C18" w:rsidRDefault="00715401" w:rsidP="00715401">
            <w:pPr>
              <w:pStyle w:val="FootnoteText"/>
              <w:rPr>
                <w:rFonts w:ascii="Arial" w:hAnsi="Arial" w:cs="Arial"/>
                <w:sz w:val="18"/>
                <w:szCs w:val="18"/>
                <w:lang w:val="el-GR"/>
              </w:rPr>
            </w:pPr>
          </w:p>
        </w:tc>
        <w:tc>
          <w:tcPr>
            <w:tcW w:w="6448" w:type="dxa"/>
            <w:gridSpan w:val="4"/>
          </w:tcPr>
          <w:p w14:paraId="35210638" w14:textId="77777777" w:rsidR="00715401" w:rsidRPr="006A5C18" w:rsidRDefault="00715401" w:rsidP="00715401">
            <w:pPr>
              <w:pStyle w:val="FootnoteText"/>
              <w:jc w:val="both"/>
              <w:rPr>
                <w:rFonts w:ascii="Arial" w:hAnsi="Arial" w:cs="Arial"/>
                <w:sz w:val="18"/>
                <w:szCs w:val="18"/>
                <w:lang w:val="el-GR"/>
              </w:rPr>
            </w:pPr>
          </w:p>
        </w:tc>
      </w:tr>
      <w:tr w:rsidR="00982DBB" w:rsidRPr="0056738E" w14:paraId="17C50B72" w14:textId="77777777" w:rsidTr="00715401">
        <w:tc>
          <w:tcPr>
            <w:tcW w:w="3233" w:type="dxa"/>
          </w:tcPr>
          <w:p w14:paraId="595A5BDE" w14:textId="77777777" w:rsidR="00982DBB" w:rsidRPr="006A5C18" w:rsidRDefault="00982DBB" w:rsidP="00982DBB">
            <w:pPr>
              <w:pStyle w:val="FootnoteText"/>
              <w:spacing w:after="120"/>
              <w:rPr>
                <w:rFonts w:ascii="Arial" w:hAnsi="Arial" w:cs="Arial"/>
                <w:sz w:val="18"/>
                <w:szCs w:val="18"/>
                <w:lang w:val="el-GR"/>
              </w:rPr>
            </w:pPr>
            <w:r w:rsidRPr="006A5C18">
              <w:rPr>
                <w:rFonts w:ascii="Arial" w:hAnsi="Arial" w:cs="Arial"/>
                <w:sz w:val="18"/>
                <w:szCs w:val="18"/>
                <w:lang w:val="el-GR"/>
              </w:rPr>
              <w:t>Πιστωτικές ζημιές δανείων (</w:t>
            </w:r>
            <w:r w:rsidRPr="006A5C18">
              <w:rPr>
                <w:rFonts w:ascii="Arial" w:hAnsi="Arial" w:cs="Arial"/>
                <w:sz w:val="18"/>
                <w:szCs w:val="18"/>
              </w:rPr>
              <w:t>PL</w:t>
            </w:r>
            <w:r w:rsidRPr="006A5C18">
              <w:rPr>
                <w:rFonts w:ascii="Arial" w:hAnsi="Arial" w:cs="Arial"/>
                <w:sz w:val="18"/>
                <w:szCs w:val="18"/>
                <w:lang w:val="el-GR"/>
              </w:rPr>
              <w:t>)</w:t>
            </w:r>
          </w:p>
        </w:tc>
        <w:tc>
          <w:tcPr>
            <w:tcW w:w="6448" w:type="dxa"/>
            <w:gridSpan w:val="4"/>
          </w:tcPr>
          <w:p w14:paraId="7A833CEB" w14:textId="2E471CD0" w:rsidR="00982DBB" w:rsidRPr="006A5C18" w:rsidRDefault="00982DBB" w:rsidP="00982DBB">
            <w:pPr>
              <w:pStyle w:val="FootnoteText"/>
              <w:spacing w:after="120"/>
              <w:jc w:val="both"/>
              <w:rPr>
                <w:rFonts w:ascii="Arial" w:hAnsi="Arial" w:cs="Arial"/>
                <w:sz w:val="18"/>
                <w:szCs w:val="18"/>
                <w:lang w:val="el-GR"/>
              </w:rPr>
            </w:pPr>
            <w:r w:rsidRPr="006A5C18">
              <w:rPr>
                <w:rFonts w:ascii="Arial" w:hAnsi="Arial" w:cs="Arial"/>
                <w:sz w:val="18"/>
                <w:szCs w:val="18"/>
                <w:lang w:val="el-GR"/>
              </w:rPr>
              <w:t>Οι πιστωτικές ζημιές δανείων αποτελούνται από: (i) πιστωτικές ζημιές για κάλυψη πιστωτικού κινδύνου δανείων και απαιτήσεων από πελάτες, (</w:t>
            </w:r>
            <w:proofErr w:type="spellStart"/>
            <w:r w:rsidRPr="006A5C18">
              <w:rPr>
                <w:rFonts w:ascii="Arial" w:hAnsi="Arial" w:cs="Arial"/>
                <w:sz w:val="18"/>
                <w:szCs w:val="18"/>
                <w:lang w:val="el-GR"/>
              </w:rPr>
              <w:t>ii</w:t>
            </w:r>
            <w:proofErr w:type="spellEnd"/>
            <w:r w:rsidRPr="006A5C18">
              <w:rPr>
                <w:rFonts w:ascii="Arial" w:hAnsi="Arial" w:cs="Arial"/>
                <w:sz w:val="18"/>
                <w:szCs w:val="18"/>
                <w:lang w:val="el-GR"/>
              </w:rPr>
              <w:t xml:space="preserve">) καθαρά κέρδη από </w:t>
            </w:r>
            <w:proofErr w:type="spellStart"/>
            <w:r w:rsidRPr="006A5C18">
              <w:rPr>
                <w:rFonts w:ascii="Arial" w:hAnsi="Arial" w:cs="Arial"/>
                <w:sz w:val="18"/>
                <w:szCs w:val="18"/>
                <w:lang w:val="el-GR"/>
              </w:rPr>
              <w:t>αποαναγνώριση</w:t>
            </w:r>
            <w:proofErr w:type="spellEnd"/>
            <w:r w:rsidRPr="006A5C18">
              <w:rPr>
                <w:rFonts w:ascii="Arial" w:hAnsi="Arial" w:cs="Arial"/>
                <w:sz w:val="18"/>
                <w:szCs w:val="18"/>
                <w:lang w:val="el-GR"/>
              </w:rPr>
              <w:t xml:space="preserve"> χρηματοοικονομικών περιουσιακών στοιχείων που επιμετρούνται σε αποσβεσμένο κόστος και αφορούν δάνεια και απαιτήσεις από πελάτες και (</w:t>
            </w:r>
            <w:proofErr w:type="spellStart"/>
            <w:r w:rsidRPr="006A5C18">
              <w:rPr>
                <w:rFonts w:ascii="Arial" w:hAnsi="Arial" w:cs="Arial"/>
                <w:sz w:val="18"/>
                <w:szCs w:val="18"/>
                <w:lang w:val="el-GR"/>
              </w:rPr>
              <w:t>iii</w:t>
            </w:r>
            <w:proofErr w:type="spellEnd"/>
            <w:r w:rsidRPr="006A5C18">
              <w:rPr>
                <w:rFonts w:ascii="Arial" w:hAnsi="Arial" w:cs="Arial"/>
                <w:sz w:val="18"/>
                <w:szCs w:val="18"/>
                <w:lang w:val="el-GR"/>
              </w:rPr>
              <w:t>) τα καθαρά κέρδη από δάνεια και απαιτήσεις από πελάτες στην εύλογη αξία μέσω των αποτελεσμάτων, για την περίοδο/για το έτος.</w:t>
            </w:r>
          </w:p>
        </w:tc>
      </w:tr>
      <w:tr w:rsidR="00715401" w:rsidRPr="0056738E" w14:paraId="4AC6E6FB" w14:textId="77777777" w:rsidTr="00715401">
        <w:tc>
          <w:tcPr>
            <w:tcW w:w="3233" w:type="dxa"/>
          </w:tcPr>
          <w:p w14:paraId="27137053" w14:textId="77777777" w:rsidR="00715401" w:rsidRPr="006A5C18" w:rsidRDefault="00715401" w:rsidP="00715401">
            <w:pPr>
              <w:pStyle w:val="FootnoteText"/>
              <w:rPr>
                <w:rFonts w:ascii="Arial" w:hAnsi="Arial" w:cs="Arial"/>
                <w:sz w:val="18"/>
                <w:szCs w:val="18"/>
                <w:lang w:val="el-GR"/>
              </w:rPr>
            </w:pPr>
          </w:p>
        </w:tc>
        <w:tc>
          <w:tcPr>
            <w:tcW w:w="6448" w:type="dxa"/>
            <w:gridSpan w:val="4"/>
          </w:tcPr>
          <w:p w14:paraId="2FC8F0B4" w14:textId="77777777" w:rsidR="00715401" w:rsidRPr="006A5C18" w:rsidRDefault="00715401" w:rsidP="00715401">
            <w:pPr>
              <w:pStyle w:val="FootnoteText"/>
              <w:jc w:val="both"/>
              <w:rPr>
                <w:rFonts w:ascii="Arial" w:hAnsi="Arial" w:cs="Arial"/>
                <w:sz w:val="18"/>
                <w:szCs w:val="18"/>
                <w:lang w:val="el-GR"/>
              </w:rPr>
            </w:pPr>
          </w:p>
        </w:tc>
      </w:tr>
      <w:tr w:rsidR="00982DBB" w:rsidRPr="0056738E" w14:paraId="08BEF538" w14:textId="77777777" w:rsidTr="00715401">
        <w:tc>
          <w:tcPr>
            <w:tcW w:w="3233" w:type="dxa"/>
          </w:tcPr>
          <w:p w14:paraId="3E517E47" w14:textId="4534A05F" w:rsidR="00982DBB" w:rsidRPr="006A5C18" w:rsidRDefault="00982DBB" w:rsidP="00982DBB">
            <w:pPr>
              <w:pStyle w:val="FootnoteText"/>
              <w:spacing w:after="120"/>
              <w:rPr>
                <w:rFonts w:ascii="Arial" w:hAnsi="Arial" w:cs="Arial"/>
                <w:sz w:val="18"/>
                <w:szCs w:val="18"/>
                <w:lang w:val="el-GR"/>
              </w:rPr>
            </w:pPr>
            <w:r w:rsidRPr="006A5C18">
              <w:rPr>
                <w:rFonts w:ascii="Arial" w:hAnsi="Arial" w:cs="Arial"/>
                <w:sz w:val="18"/>
                <w:szCs w:val="18"/>
                <w:lang w:val="el-GR"/>
              </w:rPr>
              <w:t xml:space="preserve">Προσαρμοσμένα κέρδη κατά μετοχή αναλογούντα στους ιδιοκτήτες της Εταιρίας </w:t>
            </w:r>
          </w:p>
        </w:tc>
        <w:tc>
          <w:tcPr>
            <w:tcW w:w="6448" w:type="dxa"/>
            <w:gridSpan w:val="4"/>
          </w:tcPr>
          <w:p w14:paraId="57664056" w14:textId="41B90C7E" w:rsidR="00982DBB" w:rsidRPr="006A5C18" w:rsidRDefault="00982DBB" w:rsidP="00982DBB">
            <w:pPr>
              <w:pStyle w:val="FootnoteText"/>
              <w:spacing w:after="120"/>
              <w:jc w:val="both"/>
              <w:rPr>
                <w:rFonts w:ascii="Arial" w:hAnsi="Arial" w:cs="Arial"/>
                <w:sz w:val="18"/>
                <w:szCs w:val="18"/>
                <w:lang w:val="el-GR"/>
              </w:rPr>
            </w:pPr>
            <w:r w:rsidRPr="006A5C18">
              <w:rPr>
                <w:rFonts w:ascii="Arial" w:hAnsi="Arial" w:cs="Arial"/>
                <w:sz w:val="18"/>
                <w:szCs w:val="18"/>
                <w:lang w:val="el-GR"/>
              </w:rPr>
              <w:t xml:space="preserve">Τα προσαρμοσμένα κέρδη μετά τη φορολογία ανά μετοχή (που αναλογούν στους ιδιοκτήτες της Εταιρίας) είναι τα κέρδη/(ζημιές) μετά τη φορολογία (που αναλογούν στους ιδιοκτήτες της Εταιρίας) διαιρεμένα με το </w:t>
            </w:r>
            <w:proofErr w:type="spellStart"/>
            <w:r w:rsidRPr="006A5C18">
              <w:rPr>
                <w:rFonts w:ascii="Arial" w:hAnsi="Arial" w:cs="Arial"/>
                <w:sz w:val="18"/>
                <w:szCs w:val="18"/>
                <w:lang w:val="el-GR"/>
              </w:rPr>
              <w:t>μεσοσταθμικό</w:t>
            </w:r>
            <w:proofErr w:type="spellEnd"/>
            <w:r w:rsidRPr="006A5C18">
              <w:rPr>
                <w:rFonts w:ascii="Arial" w:hAnsi="Arial" w:cs="Arial"/>
                <w:sz w:val="18"/>
                <w:szCs w:val="18"/>
                <w:lang w:val="el-GR"/>
              </w:rPr>
              <w:t xml:space="preserve"> αριθμό μετοχών που ήταν εκδομένες κατά τη διάρκεια της περιόδου, εξαιρουμένων των ιδίων μετοχών, προσαρμοσμένο για τις κοινές μετοχές που ενδέχεται να προκύψουν σε σχέση με παροχές που εξαρτώνται από την αξία μετοχών σε εκτελεστικά διευθυντικά στελέχη και την ανώτερη διοίκηση του</w:t>
            </w:r>
          </w:p>
        </w:tc>
      </w:tr>
      <w:tr w:rsidR="00982DBB" w:rsidRPr="0056738E" w14:paraId="3C293163" w14:textId="77777777" w:rsidTr="00216133">
        <w:tc>
          <w:tcPr>
            <w:tcW w:w="9681" w:type="dxa"/>
            <w:gridSpan w:val="5"/>
          </w:tcPr>
          <w:p w14:paraId="525DB205" w14:textId="4214CA31" w:rsidR="00982DBB" w:rsidRPr="006A5C18" w:rsidRDefault="005F1DE6" w:rsidP="00715401">
            <w:pPr>
              <w:jc w:val="both"/>
              <w:rPr>
                <w:rFonts w:ascii="Arial" w:hAnsi="Arial" w:cs="Arial"/>
                <w:bCs/>
                <w:color w:val="FF9900"/>
                <w:sz w:val="24"/>
                <w:szCs w:val="24"/>
                <w:lang w:val="el-GR"/>
              </w:rPr>
            </w:pPr>
            <w:r>
              <w:rPr>
                <w:rFonts w:ascii="Arial" w:hAnsi="Arial" w:cs="Arial"/>
                <w:b/>
                <w:color w:val="FF9900"/>
                <w:sz w:val="24"/>
                <w:szCs w:val="24"/>
                <w:lang w:val="el-GR"/>
              </w:rPr>
              <w:lastRenderedPageBreak/>
              <w:t>Θ</w:t>
            </w:r>
            <w:r w:rsidR="00982DBB" w:rsidRPr="006A5C18">
              <w:rPr>
                <w:rFonts w:ascii="Arial" w:hAnsi="Arial" w:cs="Arial"/>
                <w:b/>
                <w:color w:val="FF9900"/>
                <w:sz w:val="24"/>
                <w:szCs w:val="24"/>
                <w:lang w:val="el-GR"/>
              </w:rPr>
              <w:t>. Όροι και Επεξηγήσεις</w:t>
            </w:r>
            <w:r w:rsidR="00982DBB" w:rsidRPr="006A5C18">
              <w:rPr>
                <w:rFonts w:ascii="Arial" w:hAnsi="Arial" w:cs="Arial"/>
                <w:bCs/>
                <w:color w:val="FF9900"/>
                <w:sz w:val="24"/>
                <w:szCs w:val="24"/>
                <w:lang w:val="el-GR"/>
              </w:rPr>
              <w:t xml:space="preserve"> (συνέχεια)</w:t>
            </w:r>
          </w:p>
          <w:p w14:paraId="659C6706" w14:textId="433C11E6" w:rsidR="00715401" w:rsidRPr="006A5C18" w:rsidRDefault="00715401" w:rsidP="00715401">
            <w:pPr>
              <w:jc w:val="both"/>
              <w:rPr>
                <w:rFonts w:ascii="Arial" w:hAnsi="Arial" w:cs="Arial"/>
                <w:bCs/>
                <w:color w:val="FF9900"/>
                <w:sz w:val="24"/>
                <w:szCs w:val="24"/>
                <w:lang w:val="el-GR"/>
              </w:rPr>
            </w:pPr>
          </w:p>
        </w:tc>
      </w:tr>
      <w:tr w:rsidR="00982DBB" w:rsidRPr="0056738E" w14:paraId="155A136D" w14:textId="77777777" w:rsidTr="00715401">
        <w:tc>
          <w:tcPr>
            <w:tcW w:w="3233" w:type="dxa"/>
          </w:tcPr>
          <w:p w14:paraId="126B09E1" w14:textId="47E3C748" w:rsidR="00982DBB" w:rsidRPr="006A5C18" w:rsidRDefault="00982DBB" w:rsidP="00982DBB">
            <w:pPr>
              <w:pStyle w:val="FootnoteText"/>
              <w:spacing w:after="120"/>
              <w:rPr>
                <w:rFonts w:ascii="Arial" w:hAnsi="Arial" w:cs="Arial"/>
                <w:sz w:val="18"/>
                <w:szCs w:val="18"/>
                <w:lang w:val="el-GR"/>
              </w:rPr>
            </w:pPr>
            <w:r w:rsidRPr="006A5C18">
              <w:rPr>
                <w:rFonts w:ascii="Arial" w:hAnsi="Arial" w:cs="Arial"/>
                <w:sz w:val="18"/>
                <w:szCs w:val="18"/>
                <w:lang w:val="el-GR"/>
              </w:rPr>
              <w:t>Προσαρμοσμένα κέρδη κατά μετοχή αναλογούντα στους ιδιοκτήτες της Εταιρίας (συνέχεια)</w:t>
            </w:r>
          </w:p>
        </w:tc>
        <w:tc>
          <w:tcPr>
            <w:tcW w:w="6448" w:type="dxa"/>
            <w:gridSpan w:val="4"/>
          </w:tcPr>
          <w:p w14:paraId="2F66C9D7" w14:textId="73210EEB" w:rsidR="00982DBB" w:rsidRPr="006A5C18" w:rsidRDefault="00982DBB" w:rsidP="00982DBB">
            <w:pPr>
              <w:pStyle w:val="FootnoteText"/>
              <w:spacing w:after="120"/>
              <w:jc w:val="both"/>
              <w:rPr>
                <w:rFonts w:ascii="Arial" w:hAnsi="Arial" w:cs="Arial"/>
                <w:sz w:val="18"/>
                <w:szCs w:val="18"/>
                <w:lang w:val="el-GR"/>
              </w:rPr>
            </w:pPr>
            <w:r w:rsidRPr="006A5C18">
              <w:rPr>
                <w:rFonts w:ascii="Arial" w:hAnsi="Arial" w:cs="Arial"/>
                <w:sz w:val="18"/>
                <w:szCs w:val="18"/>
                <w:lang w:val="el-GR"/>
              </w:rPr>
              <w:t>του Συγκροτήματος βάσει των Μακροπρόθεσμων Σχεδίων Παροχής Κινήτρων (LTIP).</w:t>
            </w:r>
          </w:p>
        </w:tc>
      </w:tr>
      <w:tr w:rsidR="00715401" w:rsidRPr="0056738E" w14:paraId="3540793F" w14:textId="77777777" w:rsidTr="00715401">
        <w:tc>
          <w:tcPr>
            <w:tcW w:w="3233" w:type="dxa"/>
          </w:tcPr>
          <w:p w14:paraId="4FE4EBBF" w14:textId="77777777" w:rsidR="00715401" w:rsidRPr="006A5C18" w:rsidRDefault="00715401" w:rsidP="00715401">
            <w:pPr>
              <w:pStyle w:val="FootnoteText"/>
              <w:rPr>
                <w:rFonts w:ascii="Arial" w:hAnsi="Arial" w:cs="Arial"/>
                <w:sz w:val="18"/>
                <w:szCs w:val="18"/>
                <w:lang w:val="el-GR"/>
              </w:rPr>
            </w:pPr>
          </w:p>
        </w:tc>
        <w:tc>
          <w:tcPr>
            <w:tcW w:w="6448" w:type="dxa"/>
            <w:gridSpan w:val="4"/>
          </w:tcPr>
          <w:p w14:paraId="1C34EBA2" w14:textId="77777777" w:rsidR="00715401" w:rsidRPr="006A5C18" w:rsidRDefault="00715401" w:rsidP="00715401">
            <w:pPr>
              <w:pStyle w:val="FootnoteText"/>
              <w:jc w:val="both"/>
              <w:rPr>
                <w:rFonts w:ascii="Arial" w:hAnsi="Arial" w:cs="Arial"/>
                <w:sz w:val="18"/>
                <w:szCs w:val="18"/>
                <w:lang w:val="el-GR"/>
              </w:rPr>
            </w:pPr>
          </w:p>
        </w:tc>
      </w:tr>
      <w:tr w:rsidR="00982DBB" w:rsidRPr="0056738E" w14:paraId="1034B537" w14:textId="77777777" w:rsidTr="00715401">
        <w:tc>
          <w:tcPr>
            <w:tcW w:w="3233" w:type="dxa"/>
          </w:tcPr>
          <w:p w14:paraId="006BE36B" w14:textId="01DE13A1" w:rsidR="00982DBB" w:rsidRPr="006A5C18" w:rsidRDefault="00982DBB" w:rsidP="00982DBB">
            <w:pPr>
              <w:pStyle w:val="FootnoteText"/>
              <w:spacing w:after="120"/>
              <w:rPr>
                <w:rFonts w:ascii="Arial" w:hAnsi="Arial" w:cs="Arial"/>
                <w:sz w:val="18"/>
                <w:szCs w:val="18"/>
                <w:lang w:val="el-GR"/>
              </w:rPr>
            </w:pPr>
            <w:r w:rsidRPr="006A5C18">
              <w:rPr>
                <w:rFonts w:ascii="Arial" w:hAnsi="Arial" w:cs="Arial"/>
                <w:sz w:val="18"/>
                <w:szCs w:val="18"/>
                <w:lang w:val="el-GR"/>
              </w:rPr>
              <w:t>Προσαρμοσμένη κερδοφορία πριν τα μη-επαναλαμβανόμενα στοιχεία</w:t>
            </w:r>
          </w:p>
        </w:tc>
        <w:tc>
          <w:tcPr>
            <w:tcW w:w="6448" w:type="dxa"/>
            <w:gridSpan w:val="4"/>
          </w:tcPr>
          <w:p w14:paraId="46002FC0" w14:textId="2E8BB81B" w:rsidR="00982DBB" w:rsidRPr="006A5C18" w:rsidRDefault="00982DBB" w:rsidP="00982DBB">
            <w:pPr>
              <w:pStyle w:val="FootnoteText"/>
              <w:spacing w:after="120"/>
              <w:jc w:val="both"/>
              <w:rPr>
                <w:rFonts w:ascii="Arial" w:hAnsi="Arial" w:cs="Arial"/>
                <w:sz w:val="18"/>
                <w:szCs w:val="18"/>
                <w:lang w:val="el-GR"/>
              </w:rPr>
            </w:pPr>
            <w:r w:rsidRPr="006A5C18">
              <w:rPr>
                <w:rFonts w:ascii="Arial" w:hAnsi="Arial" w:cs="Arial"/>
                <w:sz w:val="18"/>
                <w:szCs w:val="18"/>
                <w:lang w:val="el-GR"/>
              </w:rPr>
              <w:t>Τα κέρδη του Συγκροτήματος μετά τη φορολογία και πριν τα μη-επαναλαμβανόμενα στοιχεία (που αναλογούν στους ιδιοκτήτες της Εταιρίας), λαμβάνοντας υπόψη τις διανομές λοιπών συμμετοχικών τίτλων όπως την πληρωμή κουπονιού στους κατόχους Χρεογράφων Πρόσθετου Κεφαλαίου</w:t>
            </w:r>
            <w:r w:rsidRPr="006A5C18">
              <w:rPr>
                <w:rFonts w:ascii="Arial" w:hAnsi="Arial" w:cs="Arial"/>
                <w:color w:val="000000" w:themeColor="text1"/>
                <w:sz w:val="18"/>
                <w:szCs w:val="18"/>
                <w:lang w:val="el-GR"/>
              </w:rPr>
              <w:t xml:space="preserve"> Κατηγορίας 1</w:t>
            </w:r>
            <w:r w:rsidRPr="006A5C18">
              <w:rPr>
                <w:rFonts w:ascii="Arial" w:hAnsi="Arial" w:cs="Arial"/>
                <w:sz w:val="18"/>
                <w:szCs w:val="18"/>
                <w:lang w:val="el-GR"/>
              </w:rPr>
              <w:t>.</w:t>
            </w:r>
          </w:p>
        </w:tc>
      </w:tr>
      <w:tr w:rsidR="00715401" w:rsidRPr="0056738E" w14:paraId="5B1A0D1C" w14:textId="77777777" w:rsidTr="00715401">
        <w:tc>
          <w:tcPr>
            <w:tcW w:w="3233" w:type="dxa"/>
          </w:tcPr>
          <w:p w14:paraId="1EB602CB" w14:textId="77777777" w:rsidR="00715401" w:rsidRPr="006A5C18" w:rsidRDefault="00715401" w:rsidP="00715401">
            <w:pPr>
              <w:pStyle w:val="FootnoteText"/>
              <w:rPr>
                <w:rFonts w:ascii="Arial" w:hAnsi="Arial" w:cs="Arial"/>
                <w:sz w:val="18"/>
                <w:szCs w:val="18"/>
                <w:lang w:val="el-GR"/>
              </w:rPr>
            </w:pPr>
          </w:p>
        </w:tc>
        <w:tc>
          <w:tcPr>
            <w:tcW w:w="6448" w:type="dxa"/>
            <w:gridSpan w:val="4"/>
          </w:tcPr>
          <w:p w14:paraId="4795DBB2" w14:textId="77777777" w:rsidR="00715401" w:rsidRPr="006A5C18" w:rsidRDefault="00715401" w:rsidP="00715401">
            <w:pPr>
              <w:pStyle w:val="FootnoteText"/>
              <w:tabs>
                <w:tab w:val="left" w:pos="1141"/>
              </w:tabs>
              <w:jc w:val="both"/>
              <w:rPr>
                <w:rFonts w:ascii="Arial" w:hAnsi="Arial" w:cs="Arial"/>
                <w:sz w:val="18"/>
                <w:szCs w:val="18"/>
                <w:lang w:val="el-GR"/>
              </w:rPr>
            </w:pPr>
          </w:p>
        </w:tc>
      </w:tr>
      <w:tr w:rsidR="00982DBB" w:rsidRPr="0056738E" w14:paraId="7305A22F" w14:textId="77777777" w:rsidTr="00715401">
        <w:tc>
          <w:tcPr>
            <w:tcW w:w="3233" w:type="dxa"/>
          </w:tcPr>
          <w:p w14:paraId="5B312F06" w14:textId="21BC3FE7" w:rsidR="00982DBB" w:rsidRPr="006A5C18" w:rsidRDefault="00982DBB" w:rsidP="00982DBB">
            <w:pPr>
              <w:pStyle w:val="FootnoteText"/>
              <w:spacing w:after="120"/>
              <w:rPr>
                <w:rFonts w:ascii="Arial" w:hAnsi="Arial" w:cs="Arial"/>
                <w:sz w:val="18"/>
                <w:szCs w:val="18"/>
                <w:lang w:val="el-GR"/>
              </w:rPr>
            </w:pPr>
            <w:r w:rsidRPr="006A5C18">
              <w:rPr>
                <w:rFonts w:ascii="Arial" w:hAnsi="Arial" w:cs="Arial"/>
                <w:sz w:val="18"/>
                <w:szCs w:val="18"/>
                <w:lang w:val="el-GR"/>
              </w:rPr>
              <w:t>Πρόσθετα Κεφάλαια Κατηγορίας 1 (ΑΤ1)</w:t>
            </w:r>
          </w:p>
        </w:tc>
        <w:tc>
          <w:tcPr>
            <w:tcW w:w="6448" w:type="dxa"/>
            <w:gridSpan w:val="4"/>
          </w:tcPr>
          <w:p w14:paraId="08E5CD67" w14:textId="4DEC38E4" w:rsidR="00982DBB" w:rsidRPr="006A5C18" w:rsidRDefault="00982DBB" w:rsidP="00982DBB">
            <w:pPr>
              <w:pStyle w:val="FootnoteText"/>
              <w:tabs>
                <w:tab w:val="left" w:pos="1141"/>
              </w:tabs>
              <w:spacing w:after="120"/>
              <w:jc w:val="both"/>
              <w:rPr>
                <w:rFonts w:ascii="Arial" w:hAnsi="Arial" w:cs="Arial"/>
                <w:sz w:val="18"/>
                <w:szCs w:val="18"/>
                <w:lang w:val="el-GR"/>
              </w:rPr>
            </w:pPr>
            <w:r w:rsidRPr="006A5C18">
              <w:rPr>
                <w:rFonts w:ascii="Arial" w:hAnsi="Arial" w:cs="Arial"/>
                <w:sz w:val="18"/>
                <w:szCs w:val="18"/>
                <w:lang w:val="el-GR"/>
              </w:rPr>
              <w:t xml:space="preserve">Τα Πρόσθετα Κεφάλαια Κατηγορίας 1 (ΑΤ1) έχουν καθοριστεί σύμφωνα με τον Κανονισμό Κεφαλαιακών Απαιτήσεων (ΕΕ) Αρ.575/2013, όπως τροποποιήθηκε από τον </w:t>
            </w:r>
            <w:r w:rsidRPr="006A5C18">
              <w:rPr>
                <w:rFonts w:ascii="Arial" w:hAnsi="Arial" w:cs="Arial"/>
                <w:sz w:val="18"/>
                <w:szCs w:val="18"/>
              </w:rPr>
              <w:t>CRR</w:t>
            </w:r>
            <w:r w:rsidRPr="006A5C18">
              <w:rPr>
                <w:rFonts w:ascii="Arial" w:hAnsi="Arial" w:cs="Arial"/>
                <w:sz w:val="18"/>
                <w:szCs w:val="18"/>
                <w:lang w:val="el-GR"/>
              </w:rPr>
              <w:t xml:space="preserve"> </w:t>
            </w:r>
            <w:r w:rsidRPr="006A5C18">
              <w:rPr>
                <w:rFonts w:ascii="Arial" w:hAnsi="Arial" w:cs="Arial"/>
                <w:sz w:val="18"/>
                <w:szCs w:val="18"/>
              </w:rPr>
              <w:t>II</w:t>
            </w:r>
            <w:r w:rsidRPr="006A5C18">
              <w:rPr>
                <w:rFonts w:ascii="Arial" w:hAnsi="Arial" w:cs="Arial"/>
                <w:sz w:val="18"/>
                <w:szCs w:val="18"/>
                <w:lang w:val="el-GR"/>
              </w:rPr>
              <w:t>, όπως εφαρμόζεται κατά την ημερομηνία αναφοράς.</w:t>
            </w:r>
          </w:p>
        </w:tc>
      </w:tr>
      <w:tr w:rsidR="00982DBB" w:rsidRPr="0056738E" w14:paraId="2FE1BC2B" w14:textId="77777777" w:rsidTr="00715401">
        <w:tc>
          <w:tcPr>
            <w:tcW w:w="3233" w:type="dxa"/>
          </w:tcPr>
          <w:p w14:paraId="409CFDC6" w14:textId="15DAF5D1" w:rsidR="00982DBB" w:rsidRPr="006A5C18" w:rsidRDefault="00982DBB" w:rsidP="00715401">
            <w:pPr>
              <w:pStyle w:val="FootnoteText"/>
              <w:rPr>
                <w:rFonts w:ascii="Arial" w:hAnsi="Arial" w:cs="Arial"/>
                <w:sz w:val="18"/>
                <w:szCs w:val="18"/>
                <w:lang w:val="el-GR"/>
              </w:rPr>
            </w:pPr>
          </w:p>
        </w:tc>
        <w:tc>
          <w:tcPr>
            <w:tcW w:w="6448" w:type="dxa"/>
            <w:gridSpan w:val="4"/>
          </w:tcPr>
          <w:p w14:paraId="61C078A8" w14:textId="1F66BACA" w:rsidR="00982DBB" w:rsidRPr="006A5C18" w:rsidRDefault="00982DBB" w:rsidP="00715401">
            <w:pPr>
              <w:jc w:val="both"/>
              <w:rPr>
                <w:rFonts w:ascii="Arial" w:hAnsi="Arial" w:cs="Arial"/>
                <w:sz w:val="18"/>
                <w:szCs w:val="18"/>
                <w:lang w:val="el-GR"/>
              </w:rPr>
            </w:pPr>
          </w:p>
        </w:tc>
      </w:tr>
      <w:tr w:rsidR="00982DBB" w:rsidRPr="0056738E" w14:paraId="68470AE9" w14:textId="77777777" w:rsidTr="00715401">
        <w:tc>
          <w:tcPr>
            <w:tcW w:w="3233" w:type="dxa"/>
          </w:tcPr>
          <w:p w14:paraId="7D54C27E" w14:textId="43188F94" w:rsidR="00982DBB" w:rsidRPr="006A5C18" w:rsidRDefault="00982DBB" w:rsidP="00982DBB">
            <w:pPr>
              <w:pStyle w:val="FootnoteText"/>
              <w:spacing w:after="120"/>
              <w:rPr>
                <w:rFonts w:ascii="Arial" w:hAnsi="Arial" w:cs="Arial"/>
                <w:sz w:val="18"/>
                <w:szCs w:val="18"/>
                <w:lang w:val="el-GR"/>
              </w:rPr>
            </w:pPr>
            <w:r w:rsidRPr="006A5C18">
              <w:rPr>
                <w:rFonts w:ascii="Arial" w:hAnsi="Arial" w:cs="Arial"/>
                <w:sz w:val="18"/>
                <w:szCs w:val="18"/>
                <w:lang w:val="el-GR"/>
              </w:rPr>
              <w:t>Ρυθμός ψηφιακής υιοθέτησης</w:t>
            </w:r>
          </w:p>
        </w:tc>
        <w:tc>
          <w:tcPr>
            <w:tcW w:w="6448" w:type="dxa"/>
            <w:gridSpan w:val="4"/>
          </w:tcPr>
          <w:p w14:paraId="37B650D0" w14:textId="0FC089C9" w:rsidR="00982DBB" w:rsidRPr="006A5C18" w:rsidRDefault="00982DBB" w:rsidP="00982DBB">
            <w:pPr>
              <w:pStyle w:val="FootnoteText"/>
              <w:spacing w:after="120"/>
              <w:jc w:val="both"/>
              <w:rPr>
                <w:rFonts w:ascii="Arial" w:hAnsi="Arial" w:cs="Arial"/>
                <w:sz w:val="18"/>
                <w:szCs w:val="18"/>
                <w:lang w:val="el-GR"/>
              </w:rPr>
            </w:pPr>
            <w:r w:rsidRPr="006A5C18">
              <w:rPr>
                <w:rFonts w:ascii="Arial" w:hAnsi="Arial" w:cs="Arial"/>
                <w:sz w:val="18"/>
                <w:szCs w:val="18"/>
                <w:lang w:val="el-GR"/>
              </w:rPr>
              <w:t>Ο αριθμός των ιδιωτών πελατών που έχουν υιοθετήσει τα ψηφιακά κανάλια και προϊόντα της Τράπεζας ως προς τον συνολικό αριθμό των ιδιωτών πελατών. Οι  ψηφιακά ενεργοί πελάτες είναι τα άτομα που χρησιμοποιούν τα ψηφιακά κανάλια της Τράπεζας (την τραπεζική εφαρμογή για κινητά, τη διαδικτυακή τραπεζική και τις Αυτόματες Ταμειακές Μηχανές (</w:t>
            </w:r>
            <w:proofErr w:type="spellStart"/>
            <w:r w:rsidRPr="006A5C18">
              <w:rPr>
                <w:rFonts w:ascii="Arial" w:hAnsi="Arial" w:cs="Arial"/>
                <w:sz w:val="18"/>
                <w:szCs w:val="18"/>
                <w:lang w:val="el-GR"/>
              </w:rPr>
              <w:t>ΑΤΜs</w:t>
            </w:r>
            <w:proofErr w:type="spellEnd"/>
            <w:r w:rsidRPr="006A5C18">
              <w:rPr>
                <w:rFonts w:ascii="Arial" w:hAnsi="Arial" w:cs="Arial"/>
                <w:sz w:val="18"/>
                <w:szCs w:val="18"/>
                <w:lang w:val="el-GR"/>
              </w:rPr>
              <w:t xml:space="preserve">)) για να πραγματοποιήσουν τις τραπεζικές τους συναλλαγές, καθώς και μέσα διευκόλυνσης διεκπεραίωσης ψηφιακών συναλλαγών, όπως τις κάρτες που εκδίδει η Τράπεζα για την πραγματοποίηση ηλεκτρονικών αγορών, βάσει της </w:t>
            </w:r>
            <w:proofErr w:type="spellStart"/>
            <w:r w:rsidRPr="006A5C18">
              <w:rPr>
                <w:rFonts w:ascii="Arial" w:hAnsi="Arial" w:cs="Arial"/>
                <w:sz w:val="18"/>
                <w:szCs w:val="18"/>
                <w:lang w:val="el-GR"/>
              </w:rPr>
              <w:t>σκοροκάρτας</w:t>
            </w:r>
            <w:proofErr w:type="spellEnd"/>
            <w:r w:rsidRPr="006A5C18">
              <w:rPr>
                <w:rFonts w:ascii="Arial" w:hAnsi="Arial" w:cs="Arial"/>
                <w:sz w:val="18"/>
                <w:szCs w:val="18"/>
                <w:lang w:val="el-GR"/>
              </w:rPr>
              <w:t xml:space="preserve"> που έχει αναπτυχθεί εσωτερικά (</w:t>
            </w:r>
            <w:proofErr w:type="spellStart"/>
            <w:r w:rsidRPr="006A5C18">
              <w:rPr>
                <w:rFonts w:ascii="Arial" w:hAnsi="Arial" w:cs="Arial"/>
                <w:sz w:val="18"/>
                <w:szCs w:val="18"/>
                <w:lang w:val="el-GR"/>
              </w:rPr>
              <w:t>scorecard</w:t>
            </w:r>
            <w:proofErr w:type="spellEnd"/>
            <w:r w:rsidRPr="006A5C18">
              <w:rPr>
                <w:rFonts w:ascii="Arial" w:hAnsi="Arial" w:cs="Arial"/>
                <w:sz w:val="18"/>
                <w:szCs w:val="18"/>
                <w:lang w:val="el-GR"/>
              </w:rPr>
              <w:t xml:space="preserve">). </w:t>
            </w:r>
          </w:p>
        </w:tc>
      </w:tr>
      <w:tr w:rsidR="00982DBB" w:rsidRPr="0056738E" w14:paraId="38EAAA0F" w14:textId="77777777" w:rsidTr="00715401">
        <w:tc>
          <w:tcPr>
            <w:tcW w:w="3233" w:type="dxa"/>
          </w:tcPr>
          <w:p w14:paraId="5B76EB2A" w14:textId="77777777" w:rsidR="00982DBB" w:rsidRPr="006A5C18" w:rsidRDefault="00982DBB" w:rsidP="00715401">
            <w:pPr>
              <w:pStyle w:val="FootnoteText"/>
              <w:rPr>
                <w:rFonts w:ascii="Arial" w:hAnsi="Arial" w:cs="Arial"/>
                <w:sz w:val="18"/>
                <w:szCs w:val="18"/>
                <w:lang w:val="el-GR"/>
              </w:rPr>
            </w:pPr>
          </w:p>
        </w:tc>
        <w:tc>
          <w:tcPr>
            <w:tcW w:w="6448" w:type="dxa"/>
            <w:gridSpan w:val="4"/>
          </w:tcPr>
          <w:p w14:paraId="7C288105" w14:textId="77777777" w:rsidR="00982DBB" w:rsidRPr="006A5C18" w:rsidRDefault="00982DBB" w:rsidP="00715401">
            <w:pPr>
              <w:pStyle w:val="FootnoteText"/>
              <w:jc w:val="both"/>
              <w:rPr>
                <w:rFonts w:ascii="Arial" w:hAnsi="Arial" w:cs="Arial"/>
                <w:sz w:val="18"/>
                <w:szCs w:val="18"/>
                <w:lang w:val="el-GR"/>
              </w:rPr>
            </w:pPr>
          </w:p>
        </w:tc>
      </w:tr>
      <w:tr w:rsidR="00982DBB" w:rsidRPr="0056738E" w14:paraId="102E6AEC" w14:textId="77777777" w:rsidTr="00715401">
        <w:tc>
          <w:tcPr>
            <w:tcW w:w="3233" w:type="dxa"/>
          </w:tcPr>
          <w:p w14:paraId="3F1F0F02" w14:textId="6872A175" w:rsidR="00982DBB" w:rsidRPr="006A5C18" w:rsidRDefault="00982DBB" w:rsidP="00982DBB">
            <w:pPr>
              <w:pStyle w:val="FootnoteText"/>
              <w:spacing w:after="120"/>
              <w:rPr>
                <w:rFonts w:ascii="Arial" w:hAnsi="Arial" w:cs="Arial"/>
                <w:sz w:val="18"/>
                <w:szCs w:val="18"/>
                <w:lang w:val="el-GR"/>
              </w:rPr>
            </w:pPr>
            <w:r w:rsidRPr="006A5C18">
              <w:rPr>
                <w:rFonts w:ascii="Arial" w:hAnsi="Arial" w:cs="Arial"/>
                <w:sz w:val="18"/>
                <w:szCs w:val="18"/>
                <w:lang w:val="el-GR"/>
              </w:rPr>
              <w:t xml:space="preserve">Στοιχεία από τη Στατιστική Υπηρεσία </w:t>
            </w:r>
          </w:p>
        </w:tc>
        <w:tc>
          <w:tcPr>
            <w:tcW w:w="6448" w:type="dxa"/>
            <w:gridSpan w:val="4"/>
          </w:tcPr>
          <w:p w14:paraId="258F9406" w14:textId="2FBE5B30" w:rsidR="00982DBB" w:rsidRPr="006A5C18" w:rsidRDefault="00982DBB" w:rsidP="00982DBB">
            <w:pPr>
              <w:pStyle w:val="FootnoteText"/>
              <w:jc w:val="both"/>
              <w:rPr>
                <w:rFonts w:ascii="Arial" w:hAnsi="Arial" w:cs="Arial"/>
                <w:sz w:val="18"/>
                <w:szCs w:val="18"/>
                <w:lang w:val="el-GR"/>
              </w:rPr>
            </w:pPr>
            <w:r w:rsidRPr="006A5C18">
              <w:rPr>
                <w:rFonts w:ascii="Arial" w:hAnsi="Arial" w:cs="Arial"/>
                <w:sz w:val="18"/>
                <w:szCs w:val="18"/>
                <w:lang w:val="el-GR"/>
              </w:rPr>
              <w:t xml:space="preserve">Τα τελευταία στοιχεία δημοσιεύτηκαν από τη Στατιστική Υπηρεσία της Κυπριακής Δημοκρατίας (Κυπριακή Στατιστική Υπηρεσία) στις 30 </w:t>
            </w:r>
            <w:r w:rsidR="00A01BCD" w:rsidRPr="006A5C18">
              <w:rPr>
                <w:rFonts w:ascii="Arial" w:hAnsi="Arial" w:cs="Arial"/>
                <w:sz w:val="18"/>
                <w:szCs w:val="18"/>
                <w:lang w:val="el-GR"/>
              </w:rPr>
              <w:t>Οκτωβρίου</w:t>
            </w:r>
            <w:r w:rsidRPr="006A5C18">
              <w:rPr>
                <w:rFonts w:ascii="Arial" w:hAnsi="Arial" w:cs="Arial"/>
                <w:sz w:val="18"/>
                <w:szCs w:val="18"/>
                <w:lang w:val="el-GR"/>
              </w:rPr>
              <w:t xml:space="preserve"> 2024.</w:t>
            </w:r>
          </w:p>
        </w:tc>
      </w:tr>
      <w:tr w:rsidR="00982DBB" w:rsidRPr="0056738E" w14:paraId="27905F47" w14:textId="77777777" w:rsidTr="00715401">
        <w:tc>
          <w:tcPr>
            <w:tcW w:w="3233" w:type="dxa"/>
          </w:tcPr>
          <w:p w14:paraId="444F8042" w14:textId="77777777" w:rsidR="00982DBB" w:rsidRPr="006A5C18" w:rsidRDefault="00982DBB" w:rsidP="00982DBB">
            <w:pPr>
              <w:pStyle w:val="FootnoteText"/>
              <w:rPr>
                <w:rFonts w:ascii="Arial" w:hAnsi="Arial" w:cs="Arial"/>
                <w:sz w:val="18"/>
                <w:szCs w:val="18"/>
                <w:lang w:val="el-GR"/>
              </w:rPr>
            </w:pPr>
          </w:p>
        </w:tc>
        <w:tc>
          <w:tcPr>
            <w:tcW w:w="6448" w:type="dxa"/>
            <w:gridSpan w:val="4"/>
          </w:tcPr>
          <w:p w14:paraId="38F84589" w14:textId="1D3EF14F" w:rsidR="00982DBB" w:rsidRPr="006A5C18" w:rsidRDefault="00982DBB" w:rsidP="00982DBB">
            <w:pPr>
              <w:pStyle w:val="FootnoteText"/>
              <w:jc w:val="both"/>
              <w:rPr>
                <w:rFonts w:ascii="Arial" w:hAnsi="Arial" w:cs="Arial"/>
                <w:sz w:val="18"/>
                <w:szCs w:val="18"/>
                <w:lang w:val="el-GR"/>
              </w:rPr>
            </w:pPr>
          </w:p>
        </w:tc>
      </w:tr>
      <w:tr w:rsidR="00982DBB" w:rsidRPr="0056738E" w14:paraId="303C92A7" w14:textId="77777777" w:rsidTr="00715401">
        <w:tc>
          <w:tcPr>
            <w:tcW w:w="3233" w:type="dxa"/>
          </w:tcPr>
          <w:p w14:paraId="60A6522C" w14:textId="6F18140C" w:rsidR="00982DBB" w:rsidRPr="006A5C18" w:rsidRDefault="00982DBB" w:rsidP="00982DBB">
            <w:pPr>
              <w:pStyle w:val="FootnoteText"/>
              <w:rPr>
                <w:rFonts w:ascii="Arial" w:hAnsi="Arial" w:cs="Arial"/>
                <w:sz w:val="18"/>
                <w:szCs w:val="18"/>
                <w:lang w:val="el-GR"/>
              </w:rPr>
            </w:pPr>
            <w:r w:rsidRPr="006A5C18">
              <w:rPr>
                <w:rFonts w:ascii="Arial" w:hAnsi="Arial" w:cs="Arial"/>
                <w:sz w:val="18"/>
                <w:szCs w:val="18"/>
                <w:lang w:val="el-GR"/>
              </w:rPr>
              <w:t xml:space="preserve">Συγκρότημα </w:t>
            </w:r>
          </w:p>
        </w:tc>
        <w:tc>
          <w:tcPr>
            <w:tcW w:w="6448" w:type="dxa"/>
            <w:gridSpan w:val="4"/>
          </w:tcPr>
          <w:p w14:paraId="67AB432A" w14:textId="41EBF0EB" w:rsidR="00982DBB" w:rsidRPr="006A5C18" w:rsidRDefault="00982DBB" w:rsidP="00982DBB">
            <w:pPr>
              <w:pStyle w:val="FootnoteText"/>
              <w:jc w:val="both"/>
              <w:rPr>
                <w:rFonts w:ascii="Arial" w:hAnsi="Arial" w:cs="Arial"/>
                <w:sz w:val="18"/>
                <w:szCs w:val="18"/>
                <w:lang w:val="el-GR"/>
              </w:rPr>
            </w:pPr>
            <w:r w:rsidRPr="006A5C18">
              <w:rPr>
                <w:rFonts w:ascii="Arial" w:hAnsi="Arial" w:cs="Arial"/>
                <w:sz w:val="18"/>
                <w:szCs w:val="18"/>
                <w:lang w:val="el-GR"/>
              </w:rPr>
              <w:t xml:space="preserve">Το Συγκρότημα αποτελείται από την Bank of Cyprus Holdings </w:t>
            </w:r>
            <w:proofErr w:type="spellStart"/>
            <w:r w:rsidRPr="006A5C18">
              <w:rPr>
                <w:rFonts w:ascii="Arial" w:hAnsi="Arial" w:cs="Arial"/>
                <w:sz w:val="18"/>
                <w:szCs w:val="18"/>
                <w:lang w:val="el-GR"/>
              </w:rPr>
              <w:t>Public</w:t>
            </w:r>
            <w:proofErr w:type="spellEnd"/>
            <w:r w:rsidRPr="006A5C18">
              <w:rPr>
                <w:rFonts w:ascii="Arial" w:hAnsi="Arial" w:cs="Arial"/>
                <w:sz w:val="18"/>
                <w:szCs w:val="18"/>
                <w:lang w:val="el-GR"/>
              </w:rPr>
              <w:t xml:space="preserve"> </w:t>
            </w:r>
            <w:proofErr w:type="spellStart"/>
            <w:r w:rsidRPr="006A5C18">
              <w:rPr>
                <w:rFonts w:ascii="Arial" w:hAnsi="Arial" w:cs="Arial"/>
                <w:sz w:val="18"/>
                <w:szCs w:val="18"/>
                <w:lang w:val="el-GR"/>
              </w:rPr>
              <w:t>Limited</w:t>
            </w:r>
            <w:proofErr w:type="spellEnd"/>
            <w:r w:rsidRPr="006A5C18">
              <w:rPr>
                <w:rFonts w:ascii="Arial" w:hAnsi="Arial" w:cs="Arial"/>
                <w:sz w:val="18"/>
                <w:szCs w:val="18"/>
                <w:lang w:val="el-GR"/>
              </w:rPr>
              <w:t xml:space="preserve"> </w:t>
            </w:r>
            <w:proofErr w:type="spellStart"/>
            <w:r w:rsidRPr="006A5C18">
              <w:rPr>
                <w:rFonts w:ascii="Arial" w:hAnsi="Arial" w:cs="Arial"/>
                <w:sz w:val="18"/>
                <w:szCs w:val="18"/>
                <w:lang w:val="el-GR"/>
              </w:rPr>
              <w:t>Company</w:t>
            </w:r>
            <w:proofErr w:type="spellEnd"/>
            <w:r w:rsidRPr="006A5C18">
              <w:rPr>
                <w:rFonts w:ascii="Arial" w:hAnsi="Arial" w:cs="Arial"/>
                <w:sz w:val="18"/>
                <w:szCs w:val="18"/>
                <w:lang w:val="el-GR"/>
              </w:rPr>
              <w:t>, ‘BOC Holdings’</w:t>
            </w:r>
            <w:r w:rsidRPr="006A5C18">
              <w:rPr>
                <w:rFonts w:ascii="Arial" w:hAnsi="Arial" w:cs="Arial"/>
                <w:sz w:val="18"/>
                <w:szCs w:val="18"/>
                <w:lang w:val="el-GR" w:eastAsia="el-GR"/>
              </w:rPr>
              <w:t xml:space="preserve"> ή η ‘Εταιρία’</w:t>
            </w:r>
            <w:r w:rsidRPr="006A5C18">
              <w:rPr>
                <w:rFonts w:ascii="Arial" w:hAnsi="Arial" w:cs="Arial"/>
                <w:sz w:val="18"/>
                <w:szCs w:val="18"/>
                <w:lang w:val="el-GR"/>
              </w:rPr>
              <w:t xml:space="preserve">, τη θυγατρική της </w:t>
            </w:r>
            <w:r w:rsidRPr="006A5C18">
              <w:rPr>
                <w:rFonts w:ascii="Arial" w:hAnsi="Arial" w:cs="Arial"/>
                <w:sz w:val="18"/>
                <w:szCs w:val="18"/>
                <w:lang w:val="el-GR" w:eastAsia="el-GR"/>
              </w:rPr>
              <w:t xml:space="preserve">Τράπεζα Κύπρου Δημόσια Εταιρία </w:t>
            </w:r>
            <w:proofErr w:type="spellStart"/>
            <w:r w:rsidRPr="006A5C18">
              <w:rPr>
                <w:rFonts w:ascii="Arial" w:hAnsi="Arial" w:cs="Arial"/>
                <w:sz w:val="18"/>
                <w:szCs w:val="18"/>
                <w:lang w:val="el-GR" w:eastAsia="el-GR"/>
              </w:rPr>
              <w:t>Λίμιτεδ</w:t>
            </w:r>
            <w:proofErr w:type="spellEnd"/>
            <w:r w:rsidRPr="006A5C18">
              <w:rPr>
                <w:rFonts w:ascii="Arial" w:hAnsi="Arial" w:cs="Arial"/>
                <w:sz w:val="18"/>
                <w:szCs w:val="18"/>
                <w:lang w:val="el-GR"/>
              </w:rPr>
              <w:t xml:space="preserve">, την </w:t>
            </w:r>
            <w:r w:rsidRPr="006A5C18">
              <w:rPr>
                <w:rFonts w:ascii="Arial" w:hAnsi="Arial" w:cs="Arial"/>
                <w:sz w:val="18"/>
                <w:szCs w:val="18"/>
                <w:lang w:val="el-GR" w:eastAsia="el-GR"/>
              </w:rPr>
              <w:t>‘</w:t>
            </w:r>
            <w:r w:rsidRPr="006A5C18">
              <w:rPr>
                <w:rFonts w:ascii="Arial" w:hAnsi="Arial" w:cs="Arial"/>
                <w:sz w:val="18"/>
                <w:szCs w:val="18"/>
                <w:lang w:val="el-GR"/>
              </w:rPr>
              <w:t>Τράπεζα</w:t>
            </w:r>
            <w:r w:rsidRPr="006A5C18">
              <w:rPr>
                <w:rFonts w:ascii="Arial" w:hAnsi="Arial" w:cs="Arial"/>
                <w:sz w:val="18"/>
                <w:szCs w:val="18"/>
                <w:lang w:val="el-GR" w:eastAsia="el-GR"/>
              </w:rPr>
              <w:t>’</w:t>
            </w:r>
            <w:r w:rsidRPr="006A5C18">
              <w:rPr>
                <w:rFonts w:ascii="Arial" w:hAnsi="Arial" w:cs="Arial"/>
                <w:sz w:val="18"/>
                <w:szCs w:val="18"/>
                <w:lang w:val="el-GR"/>
              </w:rPr>
              <w:t xml:space="preserve"> και τις θυγατρικές της Τράπεζας.</w:t>
            </w:r>
          </w:p>
        </w:tc>
      </w:tr>
      <w:tr w:rsidR="00982DBB" w:rsidRPr="0056738E" w14:paraId="5DA47D1F" w14:textId="77777777" w:rsidTr="00715401">
        <w:tc>
          <w:tcPr>
            <w:tcW w:w="3233" w:type="dxa"/>
          </w:tcPr>
          <w:p w14:paraId="1ED2D5D4" w14:textId="77777777" w:rsidR="00982DBB" w:rsidRPr="006A5C18" w:rsidRDefault="00982DBB" w:rsidP="00982DBB">
            <w:pPr>
              <w:pStyle w:val="FootnoteText"/>
              <w:rPr>
                <w:rFonts w:ascii="Arial" w:hAnsi="Arial" w:cs="Arial"/>
                <w:sz w:val="18"/>
                <w:szCs w:val="18"/>
                <w:lang w:val="el-GR"/>
              </w:rPr>
            </w:pPr>
          </w:p>
        </w:tc>
        <w:tc>
          <w:tcPr>
            <w:tcW w:w="6448" w:type="dxa"/>
            <w:gridSpan w:val="4"/>
          </w:tcPr>
          <w:p w14:paraId="1961F298"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22F2652E" w14:textId="77777777" w:rsidTr="00715401">
        <w:tc>
          <w:tcPr>
            <w:tcW w:w="3233" w:type="dxa"/>
          </w:tcPr>
          <w:p w14:paraId="0A60E82E" w14:textId="138638C0" w:rsidR="00982DBB" w:rsidRPr="006A5C18" w:rsidRDefault="00982DBB" w:rsidP="00982DBB">
            <w:pPr>
              <w:pStyle w:val="FootnoteText"/>
              <w:rPr>
                <w:rFonts w:ascii="Arial" w:hAnsi="Arial" w:cs="Arial"/>
                <w:sz w:val="18"/>
                <w:szCs w:val="18"/>
                <w:lang w:val="el-GR"/>
              </w:rPr>
            </w:pPr>
            <w:r w:rsidRPr="006A5C18">
              <w:rPr>
                <w:rFonts w:ascii="Arial" w:hAnsi="Arial" w:cs="Arial"/>
                <w:sz w:val="18"/>
                <w:szCs w:val="18"/>
                <w:lang w:val="el-GR"/>
              </w:rPr>
              <w:t>Συνολικός δείκτης κεφαλαιακής επάρκειας</w:t>
            </w:r>
          </w:p>
        </w:tc>
        <w:tc>
          <w:tcPr>
            <w:tcW w:w="6448" w:type="dxa"/>
            <w:gridSpan w:val="4"/>
          </w:tcPr>
          <w:p w14:paraId="42B7DEFD" w14:textId="0C988E42" w:rsidR="00982DBB" w:rsidRPr="006A5C18" w:rsidRDefault="00982DBB" w:rsidP="00982DBB">
            <w:pPr>
              <w:pStyle w:val="FootnoteText"/>
              <w:jc w:val="both"/>
              <w:rPr>
                <w:rFonts w:ascii="Arial" w:hAnsi="Arial" w:cs="Arial"/>
                <w:sz w:val="18"/>
                <w:szCs w:val="18"/>
                <w:lang w:val="el-GR"/>
              </w:rPr>
            </w:pPr>
            <w:r w:rsidRPr="006A5C18">
              <w:rPr>
                <w:rFonts w:ascii="Arial" w:hAnsi="Arial" w:cs="Arial"/>
                <w:sz w:val="18"/>
                <w:szCs w:val="18"/>
                <w:lang w:val="el-GR"/>
              </w:rPr>
              <w:t xml:space="preserve">Ο συνολικός δείκτης κεφαλαιακής επάρκειας έχει καθοριστεί σύμφωνα με τον Κανονισμό Κεφαλαιακών Απαιτήσεων (ΕΕ) Αρ.575/2013, όπως τροποποιήθηκε από τον </w:t>
            </w:r>
            <w:r w:rsidRPr="006A5C18">
              <w:rPr>
                <w:rFonts w:ascii="Arial" w:hAnsi="Arial" w:cs="Arial"/>
                <w:sz w:val="18"/>
                <w:szCs w:val="18"/>
              </w:rPr>
              <w:t>CRR</w:t>
            </w:r>
            <w:r w:rsidRPr="006A5C18">
              <w:rPr>
                <w:rFonts w:ascii="Arial" w:hAnsi="Arial" w:cs="Arial"/>
                <w:sz w:val="18"/>
                <w:szCs w:val="18"/>
                <w:lang w:val="el-GR"/>
              </w:rPr>
              <w:t xml:space="preserve"> </w:t>
            </w:r>
            <w:r w:rsidRPr="006A5C18">
              <w:rPr>
                <w:rFonts w:ascii="Arial" w:hAnsi="Arial" w:cs="Arial"/>
                <w:sz w:val="18"/>
                <w:szCs w:val="18"/>
              </w:rPr>
              <w:t>II</w:t>
            </w:r>
            <w:r w:rsidRPr="006A5C18">
              <w:rPr>
                <w:rFonts w:ascii="Arial" w:hAnsi="Arial" w:cs="Arial"/>
                <w:sz w:val="18"/>
                <w:szCs w:val="18"/>
                <w:lang w:val="el-GR"/>
              </w:rPr>
              <w:t>, όπως εφαρμόζεται κατά την ημερομηνία αναφοράς.</w:t>
            </w:r>
          </w:p>
        </w:tc>
      </w:tr>
      <w:tr w:rsidR="00982DBB" w:rsidRPr="0056738E" w14:paraId="47982FFB" w14:textId="77777777" w:rsidTr="00715401">
        <w:tc>
          <w:tcPr>
            <w:tcW w:w="3233" w:type="dxa"/>
          </w:tcPr>
          <w:p w14:paraId="4820644F" w14:textId="77777777" w:rsidR="00982DBB" w:rsidRPr="006A5C18" w:rsidRDefault="00982DBB" w:rsidP="00982DBB">
            <w:pPr>
              <w:pStyle w:val="FootnoteText"/>
              <w:rPr>
                <w:rFonts w:ascii="Arial" w:hAnsi="Arial" w:cs="Arial"/>
                <w:sz w:val="18"/>
                <w:szCs w:val="18"/>
                <w:lang w:val="el-GR"/>
              </w:rPr>
            </w:pPr>
          </w:p>
        </w:tc>
        <w:tc>
          <w:tcPr>
            <w:tcW w:w="6448" w:type="dxa"/>
            <w:gridSpan w:val="4"/>
          </w:tcPr>
          <w:p w14:paraId="1DB5194C" w14:textId="77777777" w:rsidR="00982DBB" w:rsidRPr="006A5C18" w:rsidRDefault="00982DBB" w:rsidP="00982DBB">
            <w:pPr>
              <w:pStyle w:val="FootnoteText"/>
              <w:jc w:val="both"/>
              <w:rPr>
                <w:rFonts w:ascii="Arial" w:hAnsi="Arial" w:cs="Arial"/>
                <w:sz w:val="18"/>
                <w:szCs w:val="18"/>
                <w:lang w:val="el-GR"/>
              </w:rPr>
            </w:pPr>
          </w:p>
        </w:tc>
      </w:tr>
      <w:tr w:rsidR="00982DBB" w:rsidRPr="0056738E" w14:paraId="28399293" w14:textId="77777777" w:rsidTr="00715401">
        <w:tc>
          <w:tcPr>
            <w:tcW w:w="3233" w:type="dxa"/>
          </w:tcPr>
          <w:p w14:paraId="347592F1" w14:textId="5396383E" w:rsidR="00982DBB" w:rsidRPr="006A5C18" w:rsidRDefault="00982DBB" w:rsidP="00982DBB">
            <w:pPr>
              <w:pStyle w:val="FootnoteText"/>
              <w:rPr>
                <w:rFonts w:ascii="Arial" w:hAnsi="Arial" w:cs="Arial"/>
                <w:sz w:val="18"/>
                <w:szCs w:val="18"/>
                <w:lang w:val="el-GR"/>
              </w:rPr>
            </w:pPr>
            <w:r w:rsidRPr="006A5C18">
              <w:rPr>
                <w:rFonts w:ascii="Arial" w:hAnsi="Arial" w:cs="Arial"/>
                <w:sz w:val="18"/>
                <w:szCs w:val="18"/>
                <w:lang w:val="el-GR"/>
              </w:rPr>
              <w:t>Σύνολο εξόδων</w:t>
            </w:r>
          </w:p>
        </w:tc>
        <w:tc>
          <w:tcPr>
            <w:tcW w:w="6448" w:type="dxa"/>
            <w:gridSpan w:val="4"/>
          </w:tcPr>
          <w:p w14:paraId="1D92EA77" w14:textId="7EDCC774" w:rsidR="00982DBB" w:rsidRPr="006A5C18" w:rsidRDefault="00982DBB" w:rsidP="00982DBB">
            <w:pPr>
              <w:pStyle w:val="FootnoteText"/>
              <w:jc w:val="both"/>
              <w:rPr>
                <w:rFonts w:ascii="Arial" w:hAnsi="Arial" w:cs="Arial"/>
                <w:sz w:val="18"/>
                <w:szCs w:val="18"/>
                <w:lang w:val="el-GR"/>
              </w:rPr>
            </w:pPr>
            <w:r w:rsidRPr="006A5C18">
              <w:rPr>
                <w:rFonts w:ascii="Arial" w:hAnsi="Arial" w:cs="Arial"/>
                <w:sz w:val="18"/>
                <w:szCs w:val="18"/>
                <w:lang w:val="el-GR"/>
              </w:rPr>
              <w:t xml:space="preserve">Το σύνολο λειτουργικών εξόδων αποτελείται από το κόστος προσωπικού, </w:t>
            </w:r>
            <w:r w:rsidR="00A5040B" w:rsidRPr="006A5C18">
              <w:rPr>
                <w:rFonts w:ascii="Arial" w:hAnsi="Arial" w:cs="Arial"/>
                <w:sz w:val="18"/>
                <w:szCs w:val="18"/>
                <w:lang w:val="el-GR"/>
              </w:rPr>
              <w:t xml:space="preserve">λοιπά </w:t>
            </w:r>
            <w:r w:rsidRPr="006A5C18">
              <w:rPr>
                <w:rFonts w:ascii="Arial" w:hAnsi="Arial" w:cs="Arial"/>
                <w:sz w:val="18"/>
                <w:szCs w:val="18"/>
                <w:lang w:val="el-GR"/>
              </w:rPr>
              <w:t xml:space="preserve">λειτουργικά έξοδα και τον ειδικό φόρο επί των καταθέσεων και άλλα τέλη/εισφορές. Δεν περιλαμβάνει ‘έξοδα συμβούλων και άλλα έξοδα μετασχηματισμού- οργανικά’, όπου εφαρμόζονται. Τα ‘έξοδα συμβούλων και άλλα έξοδα μετασχηματισμού- οργανικά’ ήταν μηδενικά για </w:t>
            </w:r>
            <w:r w:rsidR="001E000D" w:rsidRPr="006A5C18">
              <w:rPr>
                <w:rFonts w:ascii="Arial" w:hAnsi="Arial" w:cs="Arial"/>
                <w:sz w:val="18"/>
                <w:szCs w:val="18"/>
                <w:lang w:val="el-GR"/>
              </w:rPr>
              <w:t>γ</w:t>
            </w:r>
            <w:r w:rsidRPr="006A5C18">
              <w:rPr>
                <w:rFonts w:ascii="Arial" w:hAnsi="Arial" w:cs="Arial"/>
                <w:sz w:val="18"/>
                <w:szCs w:val="18"/>
                <w:lang w:val="el-GR"/>
              </w:rPr>
              <w:t>’ τρίμηνο 2024 (σε σύγκριση με μηδενικά για α’ τρίμηνο 2024</w:t>
            </w:r>
            <w:r w:rsidR="001E000D" w:rsidRPr="006A5C18">
              <w:rPr>
                <w:rFonts w:ascii="Arial" w:hAnsi="Arial" w:cs="Arial"/>
                <w:sz w:val="18"/>
                <w:szCs w:val="18"/>
                <w:lang w:val="el-GR"/>
              </w:rPr>
              <w:t xml:space="preserve"> και β’ τρίμηνο 2024</w:t>
            </w:r>
            <w:r w:rsidRPr="006A5C18">
              <w:rPr>
                <w:rFonts w:ascii="Arial" w:hAnsi="Arial" w:cs="Arial"/>
                <w:sz w:val="18"/>
                <w:szCs w:val="18"/>
                <w:lang w:val="el-GR"/>
              </w:rPr>
              <w:t xml:space="preserve"> και με €2 εκατ. για το </w:t>
            </w:r>
            <w:r w:rsidR="007A2F9B">
              <w:rPr>
                <w:rFonts w:ascii="Arial" w:hAnsi="Arial" w:cs="Arial"/>
                <w:sz w:val="18"/>
                <w:szCs w:val="18"/>
                <w:lang w:val="el-GR"/>
              </w:rPr>
              <w:t>εννεάμηνο</w:t>
            </w:r>
            <w:r w:rsidR="001E000D" w:rsidRPr="006A5C18">
              <w:rPr>
                <w:rFonts w:ascii="Arial" w:hAnsi="Arial" w:cs="Arial"/>
                <w:sz w:val="18"/>
                <w:szCs w:val="18"/>
                <w:lang w:val="el-GR"/>
              </w:rPr>
              <w:t xml:space="preserve"> που έληξε στις 30 Σεπτεμβρίου</w:t>
            </w:r>
            <w:r w:rsidRPr="006A5C18">
              <w:rPr>
                <w:rFonts w:ascii="Arial" w:hAnsi="Arial" w:cs="Arial"/>
                <w:sz w:val="18"/>
                <w:szCs w:val="18"/>
                <w:lang w:val="el-GR"/>
              </w:rPr>
              <w:t xml:space="preserve"> 2023). </w:t>
            </w:r>
          </w:p>
        </w:tc>
      </w:tr>
      <w:tr w:rsidR="00715401" w:rsidRPr="0056738E" w14:paraId="5A44DA3A" w14:textId="77777777" w:rsidTr="00715401">
        <w:trPr>
          <w:trHeight w:val="72"/>
        </w:trPr>
        <w:tc>
          <w:tcPr>
            <w:tcW w:w="3233" w:type="dxa"/>
          </w:tcPr>
          <w:p w14:paraId="12F83247" w14:textId="77777777" w:rsidR="00715401" w:rsidRPr="006A5C18" w:rsidRDefault="00715401" w:rsidP="00982DBB">
            <w:pPr>
              <w:pStyle w:val="FootnoteText"/>
              <w:rPr>
                <w:rFonts w:ascii="Arial" w:hAnsi="Arial" w:cs="Arial"/>
                <w:sz w:val="18"/>
                <w:szCs w:val="18"/>
                <w:lang w:val="el-GR"/>
              </w:rPr>
            </w:pPr>
          </w:p>
        </w:tc>
        <w:tc>
          <w:tcPr>
            <w:tcW w:w="6448" w:type="dxa"/>
            <w:gridSpan w:val="4"/>
          </w:tcPr>
          <w:p w14:paraId="56AD87F0" w14:textId="77777777" w:rsidR="00715401" w:rsidRPr="006A5C18" w:rsidRDefault="00715401" w:rsidP="00982DBB">
            <w:pPr>
              <w:pStyle w:val="FootnoteText"/>
              <w:jc w:val="both"/>
              <w:rPr>
                <w:rFonts w:ascii="Arial" w:hAnsi="Arial" w:cs="Arial"/>
                <w:sz w:val="18"/>
                <w:szCs w:val="18"/>
                <w:lang w:val="el-GR"/>
              </w:rPr>
            </w:pPr>
          </w:p>
        </w:tc>
      </w:tr>
      <w:tr w:rsidR="00982DBB" w:rsidRPr="0056738E" w14:paraId="3D263E6D" w14:textId="77777777" w:rsidTr="00715401">
        <w:trPr>
          <w:trHeight w:val="610"/>
        </w:trPr>
        <w:tc>
          <w:tcPr>
            <w:tcW w:w="3233" w:type="dxa"/>
          </w:tcPr>
          <w:p w14:paraId="43B8E5D9" w14:textId="132C7BC2" w:rsidR="00982DBB" w:rsidRPr="006A5C18" w:rsidRDefault="00982DBB" w:rsidP="00982DBB">
            <w:pPr>
              <w:pStyle w:val="FootnoteText"/>
              <w:rPr>
                <w:rFonts w:ascii="Arial" w:hAnsi="Arial" w:cs="Arial"/>
                <w:sz w:val="18"/>
                <w:szCs w:val="18"/>
                <w:lang w:val="el-GR"/>
              </w:rPr>
            </w:pPr>
            <w:r w:rsidRPr="006A5C18">
              <w:rPr>
                <w:rFonts w:ascii="Arial" w:hAnsi="Arial" w:cs="Arial"/>
                <w:sz w:val="18"/>
                <w:szCs w:val="18"/>
                <w:lang w:val="el-GR"/>
              </w:rPr>
              <w:t xml:space="preserve">Σύνολο εσόδων </w:t>
            </w:r>
          </w:p>
        </w:tc>
        <w:tc>
          <w:tcPr>
            <w:tcW w:w="6448" w:type="dxa"/>
            <w:gridSpan w:val="4"/>
          </w:tcPr>
          <w:p w14:paraId="27568482" w14:textId="2C947F5F" w:rsidR="00982DBB" w:rsidRPr="006A5C18" w:rsidRDefault="00982DBB" w:rsidP="00982DBB">
            <w:pPr>
              <w:pStyle w:val="FootnoteText"/>
              <w:jc w:val="both"/>
              <w:rPr>
                <w:rFonts w:ascii="Arial" w:hAnsi="Arial" w:cs="Arial"/>
                <w:sz w:val="18"/>
                <w:szCs w:val="18"/>
                <w:lang w:val="el-GR"/>
              </w:rPr>
            </w:pPr>
            <w:r w:rsidRPr="006A5C18">
              <w:rPr>
                <w:rFonts w:ascii="Arial" w:hAnsi="Arial" w:cs="Arial"/>
                <w:sz w:val="18"/>
                <w:szCs w:val="18"/>
                <w:lang w:val="el-GR"/>
              </w:rPr>
              <w:t>Το σύνολο εσόδων αποτελείται από τα καθαρά έσοδα από τόκους και τα μη επιτοκιακά έσοδα (ως ορίζεται).</w:t>
            </w:r>
          </w:p>
        </w:tc>
      </w:tr>
      <w:tr w:rsidR="00715401" w:rsidRPr="0056738E" w14:paraId="0461B3ED" w14:textId="77777777" w:rsidTr="00715401">
        <w:trPr>
          <w:trHeight w:val="99"/>
        </w:trPr>
        <w:tc>
          <w:tcPr>
            <w:tcW w:w="3233" w:type="dxa"/>
          </w:tcPr>
          <w:p w14:paraId="565F3D18" w14:textId="77777777" w:rsidR="00715401" w:rsidRPr="006A5C18" w:rsidRDefault="00715401" w:rsidP="00715401">
            <w:pPr>
              <w:pStyle w:val="FootnoteText"/>
              <w:rPr>
                <w:rFonts w:ascii="Arial" w:hAnsi="Arial" w:cs="Arial"/>
                <w:sz w:val="18"/>
                <w:szCs w:val="18"/>
                <w:lang w:val="el-GR"/>
              </w:rPr>
            </w:pPr>
          </w:p>
        </w:tc>
        <w:tc>
          <w:tcPr>
            <w:tcW w:w="6448" w:type="dxa"/>
            <w:gridSpan w:val="4"/>
          </w:tcPr>
          <w:p w14:paraId="1EB7987D" w14:textId="77777777" w:rsidR="00715401" w:rsidRPr="006A5C18" w:rsidRDefault="00715401" w:rsidP="00715401">
            <w:pPr>
              <w:pStyle w:val="FootnoteText"/>
              <w:jc w:val="both"/>
              <w:rPr>
                <w:rFonts w:ascii="Arial" w:hAnsi="Arial" w:cs="Arial"/>
                <w:sz w:val="18"/>
                <w:szCs w:val="18"/>
                <w:lang w:val="el-GR"/>
              </w:rPr>
            </w:pPr>
          </w:p>
        </w:tc>
      </w:tr>
      <w:tr w:rsidR="00982DBB" w:rsidRPr="0056738E" w14:paraId="21B07437" w14:textId="77777777" w:rsidTr="00715401">
        <w:tc>
          <w:tcPr>
            <w:tcW w:w="3233" w:type="dxa"/>
          </w:tcPr>
          <w:p w14:paraId="7F35B535" w14:textId="235BCED1" w:rsidR="00982DBB" w:rsidRPr="006A5C18" w:rsidRDefault="00982DBB" w:rsidP="00982DBB">
            <w:pPr>
              <w:pStyle w:val="FootnoteText"/>
              <w:spacing w:after="240"/>
              <w:rPr>
                <w:rFonts w:ascii="Arial" w:hAnsi="Arial" w:cs="Arial"/>
                <w:sz w:val="18"/>
                <w:szCs w:val="18"/>
                <w:lang w:val="el-GR"/>
              </w:rPr>
            </w:pPr>
            <w:r w:rsidRPr="006A5C18">
              <w:rPr>
                <w:rFonts w:ascii="Arial" w:hAnsi="Arial" w:cs="Arial"/>
                <w:sz w:val="18"/>
                <w:szCs w:val="18"/>
                <w:lang w:val="el-GR"/>
              </w:rPr>
              <w:t xml:space="preserve">Σύνολο πιστωτικών ζημιών δανείων, </w:t>
            </w:r>
            <w:proofErr w:type="spellStart"/>
            <w:r w:rsidRPr="006A5C18">
              <w:rPr>
                <w:rFonts w:ascii="Arial" w:hAnsi="Arial" w:cs="Arial"/>
                <w:sz w:val="18"/>
                <w:szCs w:val="18"/>
                <w:lang w:val="el-GR"/>
              </w:rPr>
              <w:t>απομειώσεων</w:t>
            </w:r>
            <w:proofErr w:type="spellEnd"/>
            <w:r w:rsidRPr="006A5C18">
              <w:rPr>
                <w:rFonts w:ascii="Arial" w:hAnsi="Arial" w:cs="Arial"/>
                <w:sz w:val="18"/>
                <w:szCs w:val="18"/>
                <w:lang w:val="el-GR"/>
              </w:rPr>
              <w:t xml:space="preserve"> και προβλέψεων</w:t>
            </w:r>
          </w:p>
        </w:tc>
        <w:tc>
          <w:tcPr>
            <w:tcW w:w="6448" w:type="dxa"/>
            <w:gridSpan w:val="4"/>
          </w:tcPr>
          <w:p w14:paraId="3B1D3124" w14:textId="0F10DF78" w:rsidR="00982DBB" w:rsidRPr="006A5C18" w:rsidRDefault="00982DBB" w:rsidP="00982DBB">
            <w:pPr>
              <w:pStyle w:val="FootnoteText"/>
              <w:jc w:val="both"/>
              <w:rPr>
                <w:rFonts w:ascii="Arial" w:hAnsi="Arial" w:cs="Arial"/>
                <w:sz w:val="18"/>
                <w:szCs w:val="18"/>
                <w:lang w:val="el-GR"/>
              </w:rPr>
            </w:pPr>
            <w:r w:rsidRPr="006A5C18">
              <w:rPr>
                <w:rFonts w:ascii="Arial" w:hAnsi="Arial" w:cs="Arial"/>
                <w:sz w:val="18"/>
                <w:szCs w:val="18"/>
                <w:lang w:val="el-GR"/>
              </w:rPr>
              <w:t xml:space="preserve">Το σύνολο πιστωτικών ζημιών δανείων, </w:t>
            </w:r>
            <w:proofErr w:type="spellStart"/>
            <w:r w:rsidRPr="006A5C18">
              <w:rPr>
                <w:rFonts w:ascii="Arial" w:hAnsi="Arial" w:cs="Arial"/>
                <w:sz w:val="18"/>
                <w:szCs w:val="18"/>
                <w:lang w:val="el-GR"/>
              </w:rPr>
              <w:t>απομειώσεων</w:t>
            </w:r>
            <w:proofErr w:type="spellEnd"/>
            <w:r w:rsidRPr="006A5C18">
              <w:rPr>
                <w:rFonts w:ascii="Arial" w:hAnsi="Arial" w:cs="Arial"/>
                <w:sz w:val="18"/>
                <w:szCs w:val="18"/>
                <w:lang w:val="el-GR"/>
              </w:rPr>
              <w:t xml:space="preserve"> και προβλέψεων αποτελείται από πιστωτικές ζημιές δανείων (όπως ορίζονται), και </w:t>
            </w:r>
            <w:proofErr w:type="spellStart"/>
            <w:r w:rsidRPr="006A5C18">
              <w:rPr>
                <w:rFonts w:ascii="Arial" w:hAnsi="Arial" w:cs="Arial"/>
                <w:sz w:val="18"/>
                <w:szCs w:val="18"/>
                <w:lang w:val="el-GR"/>
              </w:rPr>
              <w:t>απομειώσεις</w:t>
            </w:r>
            <w:proofErr w:type="spellEnd"/>
            <w:r w:rsidRPr="006A5C18">
              <w:rPr>
                <w:rFonts w:ascii="Arial" w:hAnsi="Arial" w:cs="Arial"/>
                <w:sz w:val="18"/>
                <w:szCs w:val="18"/>
                <w:lang w:val="el-GR"/>
              </w:rPr>
              <w:t xml:space="preserve"> άλλων χρηματοοικονομικών και μη χρηματοοικονομικών περιουσιακών στοιχείων</w:t>
            </w:r>
            <w:r w:rsidRPr="006A5C18" w:rsidDel="004F3C50">
              <w:rPr>
                <w:rFonts w:ascii="Arial" w:hAnsi="Arial" w:cs="Arial"/>
                <w:sz w:val="18"/>
                <w:szCs w:val="18"/>
                <w:lang w:val="el-GR"/>
              </w:rPr>
              <w:t xml:space="preserve"> </w:t>
            </w:r>
            <w:r w:rsidRPr="006A5C18">
              <w:rPr>
                <w:rFonts w:ascii="Arial" w:hAnsi="Arial" w:cs="Arial"/>
                <w:sz w:val="18"/>
                <w:szCs w:val="18"/>
                <w:lang w:val="el-GR"/>
              </w:rPr>
              <w:t>και προβλέψεις για επιδικίες, απαιτήσεις, κανονιστικά</w:t>
            </w:r>
            <w:r w:rsidR="00A5040B" w:rsidRPr="006A5C18">
              <w:rPr>
                <w:rFonts w:ascii="Arial" w:hAnsi="Arial" w:cs="Arial"/>
                <w:sz w:val="18"/>
                <w:szCs w:val="18"/>
                <w:lang w:val="el-GR"/>
              </w:rPr>
              <w:t xml:space="preserve"> </w:t>
            </w:r>
            <w:r w:rsidRPr="006A5C18">
              <w:rPr>
                <w:rFonts w:ascii="Arial" w:hAnsi="Arial" w:cs="Arial"/>
                <w:sz w:val="18"/>
                <w:szCs w:val="18"/>
                <w:lang w:val="el-GR"/>
              </w:rPr>
              <w:t>και άλλα θέματα (μετά από αναστροφές).</w:t>
            </w:r>
          </w:p>
          <w:p w14:paraId="4A75BBBF" w14:textId="1CCA3B1A" w:rsidR="00982DBB" w:rsidRPr="006A5C18" w:rsidRDefault="00982DBB" w:rsidP="00982DBB">
            <w:pPr>
              <w:pStyle w:val="FootnoteText"/>
              <w:spacing w:after="240"/>
              <w:jc w:val="both"/>
              <w:rPr>
                <w:rFonts w:ascii="Arial" w:hAnsi="Arial" w:cs="Arial"/>
                <w:sz w:val="18"/>
                <w:szCs w:val="18"/>
                <w:lang w:val="el-GR"/>
              </w:rPr>
            </w:pPr>
          </w:p>
        </w:tc>
      </w:tr>
      <w:tr w:rsidR="00982DBB" w:rsidRPr="0056738E" w14:paraId="7F8CB52C" w14:textId="77777777" w:rsidTr="00715401">
        <w:tc>
          <w:tcPr>
            <w:tcW w:w="3233" w:type="dxa"/>
          </w:tcPr>
          <w:p w14:paraId="0967360E" w14:textId="154A26DF" w:rsidR="00982DBB" w:rsidRPr="006A5C18" w:rsidRDefault="00982DBB" w:rsidP="00715401">
            <w:pPr>
              <w:pStyle w:val="FootnoteText"/>
              <w:rPr>
                <w:rFonts w:ascii="Arial" w:hAnsi="Arial" w:cs="Arial"/>
                <w:sz w:val="18"/>
                <w:szCs w:val="18"/>
                <w:lang w:val="el-GR"/>
              </w:rPr>
            </w:pPr>
          </w:p>
        </w:tc>
        <w:tc>
          <w:tcPr>
            <w:tcW w:w="6448" w:type="dxa"/>
            <w:gridSpan w:val="4"/>
          </w:tcPr>
          <w:p w14:paraId="579162EB" w14:textId="217AD604" w:rsidR="00982DBB" w:rsidRPr="006A5C18" w:rsidRDefault="00982DBB" w:rsidP="00715401">
            <w:pPr>
              <w:pStyle w:val="FootnoteText"/>
              <w:jc w:val="both"/>
              <w:rPr>
                <w:rFonts w:ascii="Arial" w:hAnsi="Arial" w:cs="Arial"/>
                <w:sz w:val="18"/>
                <w:szCs w:val="18"/>
                <w:lang w:val="el-GR"/>
              </w:rPr>
            </w:pPr>
          </w:p>
        </w:tc>
      </w:tr>
      <w:tr w:rsidR="00715401" w:rsidRPr="0056738E" w14:paraId="7191BB81" w14:textId="77777777" w:rsidTr="00715401">
        <w:tc>
          <w:tcPr>
            <w:tcW w:w="3233" w:type="dxa"/>
          </w:tcPr>
          <w:p w14:paraId="72A2D941" w14:textId="050D4B7B" w:rsidR="00715401" w:rsidRPr="006A5C18" w:rsidRDefault="00715401" w:rsidP="00715401">
            <w:pPr>
              <w:pStyle w:val="FootnoteText"/>
              <w:rPr>
                <w:rFonts w:ascii="Arial" w:hAnsi="Arial" w:cs="Arial"/>
                <w:sz w:val="18"/>
                <w:szCs w:val="18"/>
                <w:lang w:val="el-GR"/>
              </w:rPr>
            </w:pPr>
            <w:r w:rsidRPr="006A5C18">
              <w:rPr>
                <w:rFonts w:ascii="Arial" w:hAnsi="Arial" w:cs="Arial"/>
                <w:sz w:val="18"/>
                <w:szCs w:val="18"/>
                <w:lang w:val="el-GR"/>
              </w:rPr>
              <w:t xml:space="preserve">Σύνολο πιστωτικών ζημιών δανείων, </w:t>
            </w:r>
            <w:proofErr w:type="spellStart"/>
            <w:r w:rsidRPr="006A5C18">
              <w:rPr>
                <w:rFonts w:ascii="Arial" w:hAnsi="Arial" w:cs="Arial"/>
                <w:sz w:val="18"/>
                <w:szCs w:val="18"/>
                <w:lang w:val="el-GR"/>
              </w:rPr>
              <w:t>απομειώσεων</w:t>
            </w:r>
            <w:proofErr w:type="spellEnd"/>
            <w:r w:rsidRPr="006A5C18">
              <w:rPr>
                <w:rFonts w:ascii="Arial" w:hAnsi="Arial" w:cs="Arial"/>
                <w:sz w:val="18"/>
                <w:szCs w:val="18"/>
                <w:lang w:val="el-GR"/>
              </w:rPr>
              <w:t xml:space="preserve"> και προβλέψεων</w:t>
            </w:r>
          </w:p>
        </w:tc>
        <w:tc>
          <w:tcPr>
            <w:tcW w:w="6448" w:type="dxa"/>
            <w:gridSpan w:val="4"/>
          </w:tcPr>
          <w:p w14:paraId="6A155698" w14:textId="1559B1D9" w:rsidR="00715401" w:rsidRPr="006A5C18" w:rsidRDefault="00715401" w:rsidP="00715401">
            <w:pPr>
              <w:pStyle w:val="FootnoteText"/>
              <w:jc w:val="both"/>
              <w:rPr>
                <w:rFonts w:ascii="Arial" w:hAnsi="Arial" w:cs="Arial"/>
                <w:sz w:val="18"/>
                <w:szCs w:val="18"/>
                <w:lang w:val="el-GR"/>
              </w:rPr>
            </w:pPr>
            <w:r w:rsidRPr="006A5C18">
              <w:rPr>
                <w:rFonts w:ascii="Arial" w:hAnsi="Arial" w:cs="Arial"/>
                <w:sz w:val="18"/>
                <w:szCs w:val="18"/>
                <w:lang w:val="el-GR"/>
              </w:rPr>
              <w:t xml:space="preserve">Το σύνολο πιστωτικών ζημιών δανείων, </w:t>
            </w:r>
            <w:proofErr w:type="spellStart"/>
            <w:r w:rsidRPr="006A5C18">
              <w:rPr>
                <w:rFonts w:ascii="Arial" w:hAnsi="Arial" w:cs="Arial"/>
                <w:sz w:val="18"/>
                <w:szCs w:val="18"/>
                <w:lang w:val="el-GR"/>
              </w:rPr>
              <w:t>απομειώσεων</w:t>
            </w:r>
            <w:proofErr w:type="spellEnd"/>
            <w:r w:rsidRPr="006A5C18">
              <w:rPr>
                <w:rFonts w:ascii="Arial" w:hAnsi="Arial" w:cs="Arial"/>
                <w:sz w:val="18"/>
                <w:szCs w:val="18"/>
                <w:lang w:val="el-GR"/>
              </w:rPr>
              <w:t xml:space="preserve"> και προβλέψεων αποτελείται από πιστωτικές ζημιές δανείων (όπως ορίζονται), και </w:t>
            </w:r>
            <w:proofErr w:type="spellStart"/>
            <w:r w:rsidRPr="006A5C18">
              <w:rPr>
                <w:rFonts w:ascii="Arial" w:hAnsi="Arial" w:cs="Arial"/>
                <w:sz w:val="18"/>
                <w:szCs w:val="18"/>
                <w:lang w:val="el-GR"/>
              </w:rPr>
              <w:t>απομειώσεις</w:t>
            </w:r>
            <w:proofErr w:type="spellEnd"/>
            <w:r w:rsidRPr="006A5C18">
              <w:rPr>
                <w:rFonts w:ascii="Arial" w:hAnsi="Arial" w:cs="Arial"/>
                <w:sz w:val="18"/>
                <w:szCs w:val="18"/>
                <w:lang w:val="el-GR"/>
              </w:rPr>
              <w:t xml:space="preserve"> άλλων χρηματοοικονομικών και μη χρηματοοικονομικών περιουσιακών στοιχείων</w:t>
            </w:r>
            <w:r w:rsidRPr="006A5C18" w:rsidDel="004F3C50">
              <w:rPr>
                <w:rFonts w:ascii="Arial" w:hAnsi="Arial" w:cs="Arial"/>
                <w:sz w:val="18"/>
                <w:szCs w:val="18"/>
                <w:lang w:val="el-GR"/>
              </w:rPr>
              <w:t xml:space="preserve"> </w:t>
            </w:r>
            <w:r w:rsidRPr="006A5C18">
              <w:rPr>
                <w:rFonts w:ascii="Arial" w:hAnsi="Arial" w:cs="Arial"/>
                <w:sz w:val="18"/>
                <w:szCs w:val="18"/>
                <w:lang w:val="el-GR"/>
              </w:rPr>
              <w:t>και προβλέψεις για επιδικίες, απαιτήσεις, κανονιστικά</w:t>
            </w:r>
            <w:r w:rsidR="00A5040B" w:rsidRPr="006A5C18">
              <w:rPr>
                <w:rFonts w:ascii="Arial" w:hAnsi="Arial" w:cs="Arial"/>
                <w:sz w:val="18"/>
                <w:szCs w:val="18"/>
                <w:lang w:val="el-GR"/>
              </w:rPr>
              <w:t xml:space="preserve"> </w:t>
            </w:r>
            <w:r w:rsidRPr="006A5C18">
              <w:rPr>
                <w:rFonts w:ascii="Arial" w:hAnsi="Arial" w:cs="Arial"/>
                <w:sz w:val="18"/>
                <w:szCs w:val="18"/>
                <w:lang w:val="el-GR"/>
              </w:rPr>
              <w:t>και άλλα θέματα (μετά από αναστροφές).</w:t>
            </w:r>
          </w:p>
          <w:p w14:paraId="6C757837" w14:textId="77777777" w:rsidR="00715401" w:rsidRPr="006A5C18" w:rsidRDefault="00715401" w:rsidP="00715401">
            <w:pPr>
              <w:pStyle w:val="FootnoteText"/>
              <w:jc w:val="both"/>
              <w:rPr>
                <w:rFonts w:ascii="Arial" w:hAnsi="Arial" w:cs="Arial"/>
                <w:sz w:val="18"/>
                <w:szCs w:val="18"/>
                <w:lang w:val="el-GR"/>
              </w:rPr>
            </w:pPr>
          </w:p>
        </w:tc>
      </w:tr>
      <w:tr w:rsidR="00715401" w:rsidRPr="0056738E" w14:paraId="36F48CD2" w14:textId="77777777" w:rsidTr="00715401">
        <w:trPr>
          <w:trHeight w:val="426"/>
        </w:trPr>
        <w:tc>
          <w:tcPr>
            <w:tcW w:w="9681" w:type="dxa"/>
            <w:gridSpan w:val="5"/>
          </w:tcPr>
          <w:p w14:paraId="411753BF" w14:textId="63B13B2D" w:rsidR="00715401" w:rsidRPr="006A5C18" w:rsidRDefault="005F1DE6" w:rsidP="00715401">
            <w:pPr>
              <w:jc w:val="both"/>
              <w:rPr>
                <w:rFonts w:ascii="Arial" w:hAnsi="Arial" w:cs="Arial"/>
                <w:bCs/>
                <w:color w:val="FF9900"/>
                <w:sz w:val="24"/>
                <w:szCs w:val="24"/>
                <w:lang w:val="el-GR"/>
              </w:rPr>
            </w:pPr>
            <w:r>
              <w:rPr>
                <w:rFonts w:ascii="Arial" w:hAnsi="Arial" w:cs="Arial"/>
                <w:b/>
                <w:color w:val="FF9900"/>
                <w:sz w:val="24"/>
                <w:szCs w:val="24"/>
                <w:lang w:val="el-GR"/>
              </w:rPr>
              <w:lastRenderedPageBreak/>
              <w:t>Θ</w:t>
            </w:r>
            <w:r w:rsidR="00715401" w:rsidRPr="006A5C18">
              <w:rPr>
                <w:rFonts w:ascii="Arial" w:hAnsi="Arial" w:cs="Arial"/>
                <w:b/>
                <w:color w:val="FF9900"/>
                <w:sz w:val="24"/>
                <w:szCs w:val="24"/>
                <w:lang w:val="el-GR"/>
              </w:rPr>
              <w:t>. Όροι και Επεξηγήσεις</w:t>
            </w:r>
            <w:r w:rsidR="00715401" w:rsidRPr="006A5C18">
              <w:rPr>
                <w:rFonts w:ascii="Arial" w:hAnsi="Arial" w:cs="Arial"/>
                <w:bCs/>
                <w:color w:val="FF9900"/>
                <w:sz w:val="24"/>
                <w:szCs w:val="24"/>
                <w:lang w:val="el-GR"/>
              </w:rPr>
              <w:t xml:space="preserve"> (συνέχεια)</w:t>
            </w:r>
          </w:p>
        </w:tc>
      </w:tr>
      <w:tr w:rsidR="00715401" w:rsidRPr="0056738E" w14:paraId="7D8FE474" w14:textId="77777777" w:rsidTr="00715401">
        <w:tc>
          <w:tcPr>
            <w:tcW w:w="3233" w:type="dxa"/>
          </w:tcPr>
          <w:p w14:paraId="6569BA1C" w14:textId="77777777" w:rsidR="00715401" w:rsidRPr="006A5C18" w:rsidRDefault="00715401" w:rsidP="00715401">
            <w:pPr>
              <w:pStyle w:val="FootnoteText"/>
              <w:spacing w:after="120"/>
              <w:rPr>
                <w:rFonts w:ascii="Arial" w:hAnsi="Arial" w:cs="Arial"/>
                <w:sz w:val="18"/>
                <w:szCs w:val="18"/>
                <w:lang w:val="el-GR"/>
              </w:rPr>
            </w:pPr>
            <w:r w:rsidRPr="006A5C18">
              <w:rPr>
                <w:rFonts w:ascii="Arial" w:hAnsi="Arial" w:cs="Arial"/>
                <w:sz w:val="18"/>
                <w:szCs w:val="18"/>
                <w:lang w:val="el-GR"/>
              </w:rPr>
              <w:t>Συσσωρευμένες αναμενόμενες πιστωτικές ζημιές δανείων (</w:t>
            </w:r>
            <w:r w:rsidRPr="006A5C18">
              <w:rPr>
                <w:rFonts w:ascii="Arial" w:hAnsi="Arial" w:cs="Arial"/>
                <w:sz w:val="18"/>
                <w:szCs w:val="18"/>
              </w:rPr>
              <w:t>B</w:t>
            </w:r>
            <w:r w:rsidRPr="006A5C18">
              <w:rPr>
                <w:rFonts w:ascii="Arial" w:hAnsi="Arial" w:cs="Arial"/>
                <w:sz w:val="18"/>
                <w:szCs w:val="18"/>
                <w:lang w:val="el-GR"/>
              </w:rPr>
              <w:t>/</w:t>
            </w:r>
            <w:r w:rsidRPr="006A5C18">
              <w:rPr>
                <w:rFonts w:ascii="Arial" w:hAnsi="Arial" w:cs="Arial"/>
                <w:sz w:val="18"/>
                <w:szCs w:val="18"/>
              </w:rPr>
              <w:t>S</w:t>
            </w:r>
            <w:r w:rsidRPr="006A5C18">
              <w:rPr>
                <w:rFonts w:ascii="Arial" w:hAnsi="Arial" w:cs="Arial"/>
                <w:sz w:val="18"/>
                <w:szCs w:val="18"/>
                <w:lang w:val="el-GR"/>
              </w:rPr>
              <w:t>)</w:t>
            </w:r>
          </w:p>
        </w:tc>
        <w:tc>
          <w:tcPr>
            <w:tcW w:w="6448" w:type="dxa"/>
            <w:gridSpan w:val="4"/>
          </w:tcPr>
          <w:p w14:paraId="2415B10B" w14:textId="0068270E" w:rsidR="00715401" w:rsidRPr="006A5C18" w:rsidRDefault="00715401" w:rsidP="00715401">
            <w:pPr>
              <w:pStyle w:val="FootnoteText"/>
              <w:jc w:val="both"/>
              <w:rPr>
                <w:rFonts w:ascii="Arial" w:hAnsi="Arial" w:cs="Arial"/>
                <w:sz w:val="18"/>
                <w:szCs w:val="18"/>
                <w:lang w:val="el-GR"/>
              </w:rPr>
            </w:pPr>
            <w:r w:rsidRPr="006A5C18">
              <w:rPr>
                <w:rFonts w:ascii="Arial" w:hAnsi="Arial" w:cs="Arial"/>
                <w:sz w:val="18"/>
                <w:szCs w:val="18"/>
                <w:lang w:val="el-GR"/>
              </w:rPr>
              <w:t>Οι συσσωρευμένες αναμενόμενες πιστωτικές ζημιές για κάλυψη πιστωτικού κινδύνου δανείων και απαιτήσεων από πελάτες περιλαμβάνουν: (i) αναμενόμενες πιστωτικές ζημιές δανείων και απαιτήσεων από πελάτες (περιλαμβανομένων αναμενομένων πιστωτικών ζημιών δανείων και απαιτήσεων από πελάτες που κατέχονται προς πώληση όπου εφαρμόζεται), (</w:t>
            </w:r>
            <w:proofErr w:type="spellStart"/>
            <w:r w:rsidRPr="006A5C18">
              <w:rPr>
                <w:rFonts w:ascii="Arial" w:hAnsi="Arial" w:cs="Arial"/>
                <w:sz w:val="18"/>
                <w:szCs w:val="18"/>
                <w:lang w:val="el-GR"/>
              </w:rPr>
              <w:t>ii</w:t>
            </w:r>
            <w:proofErr w:type="spellEnd"/>
            <w:r w:rsidRPr="006A5C18">
              <w:rPr>
                <w:rFonts w:ascii="Arial" w:hAnsi="Arial" w:cs="Arial"/>
                <w:sz w:val="18"/>
                <w:szCs w:val="18"/>
                <w:lang w:val="el-GR"/>
              </w:rPr>
              <w:t xml:space="preserve">) </w:t>
            </w:r>
            <w:proofErr w:type="spellStart"/>
            <w:r w:rsidRPr="006A5C18">
              <w:rPr>
                <w:rFonts w:ascii="Arial" w:hAnsi="Arial" w:cs="Arial"/>
                <w:sz w:val="18"/>
                <w:szCs w:val="18"/>
                <w:lang w:val="el-GR"/>
              </w:rPr>
              <w:t>εναπομείνουσα</w:t>
            </w:r>
            <w:proofErr w:type="spellEnd"/>
            <w:r w:rsidRPr="006A5C18">
              <w:rPr>
                <w:rFonts w:ascii="Arial" w:hAnsi="Arial" w:cs="Arial"/>
                <w:sz w:val="18"/>
                <w:szCs w:val="18"/>
                <w:lang w:val="el-GR"/>
              </w:rPr>
              <w:t xml:space="preserve"> αναπροσαρμογή στην εύλογη αξία κατά την αρχική αναγνώριση των δανείων και απαιτήσεων από πελάτες, (περιλαμβανομένης της </w:t>
            </w:r>
            <w:proofErr w:type="spellStart"/>
            <w:r w:rsidRPr="006A5C18">
              <w:rPr>
                <w:rFonts w:ascii="Arial" w:hAnsi="Arial" w:cs="Arial"/>
                <w:sz w:val="18"/>
                <w:szCs w:val="18"/>
                <w:lang w:val="el-GR"/>
              </w:rPr>
              <w:t>εναπομείνουσας</w:t>
            </w:r>
            <w:proofErr w:type="spellEnd"/>
            <w:r w:rsidRPr="006A5C18">
              <w:rPr>
                <w:rFonts w:ascii="Arial" w:hAnsi="Arial" w:cs="Arial"/>
                <w:sz w:val="18"/>
                <w:szCs w:val="18"/>
                <w:lang w:val="el-GR"/>
              </w:rPr>
              <w:t xml:space="preserve"> αναπροσαρμογής στην εύλογη αξία κατά την αρχική αναγνώριση των δανείων και απαιτήσεων από πελάτες που κατέχονται προς πώληση όπου εφαρμόζεται), (</w:t>
            </w:r>
            <w:proofErr w:type="spellStart"/>
            <w:r w:rsidRPr="006A5C18">
              <w:rPr>
                <w:rFonts w:ascii="Arial" w:hAnsi="Arial" w:cs="Arial"/>
                <w:sz w:val="18"/>
                <w:szCs w:val="18"/>
                <w:lang w:val="el-GR"/>
              </w:rPr>
              <w:t>iii</w:t>
            </w:r>
            <w:proofErr w:type="spellEnd"/>
            <w:r w:rsidRPr="006A5C18">
              <w:rPr>
                <w:rFonts w:ascii="Arial" w:hAnsi="Arial" w:cs="Arial"/>
                <w:sz w:val="18"/>
                <w:szCs w:val="18"/>
                <w:lang w:val="el-GR"/>
              </w:rPr>
              <w:t>) αναμενόμενες πιστωτικές ζημιές για στοιχεία εκτός ισολογισμού (χρηματοοικονομικές εγγυήσεις και ανειλημμένες υποχρεώσεις) που παρουσιάζονται στον ισολογισμό στις λοιπές υποχρεώσεις και (</w:t>
            </w:r>
            <w:proofErr w:type="spellStart"/>
            <w:r w:rsidRPr="006A5C18">
              <w:rPr>
                <w:rFonts w:ascii="Arial" w:hAnsi="Arial" w:cs="Arial"/>
                <w:sz w:val="18"/>
                <w:szCs w:val="18"/>
                <w:lang w:val="el-GR"/>
              </w:rPr>
              <w:t>iv</w:t>
            </w:r>
            <w:proofErr w:type="spellEnd"/>
            <w:r w:rsidRPr="006A5C18">
              <w:rPr>
                <w:rFonts w:ascii="Arial" w:hAnsi="Arial" w:cs="Arial"/>
                <w:sz w:val="18"/>
                <w:szCs w:val="18"/>
                <w:lang w:val="el-GR"/>
              </w:rPr>
              <w:t>) συσσωρευμένη αναπροσαρμογή στην εύλογη αξία για δάνεια και απαιτήσεις από πελάτες που κατηγοριοποιούνται και επιμετρούνται στην εύλογη αξία μέσω των αποτελεσμάτων.</w:t>
            </w:r>
          </w:p>
          <w:p w14:paraId="6F35C9E9" w14:textId="77777777" w:rsidR="00715401" w:rsidRPr="006A5C18" w:rsidRDefault="00715401" w:rsidP="00715401">
            <w:pPr>
              <w:pStyle w:val="FootnoteText"/>
              <w:jc w:val="both"/>
              <w:rPr>
                <w:rFonts w:ascii="Arial" w:hAnsi="Arial" w:cs="Arial"/>
                <w:sz w:val="18"/>
                <w:szCs w:val="18"/>
                <w:lang w:val="el-GR"/>
              </w:rPr>
            </w:pPr>
          </w:p>
        </w:tc>
      </w:tr>
      <w:tr w:rsidR="00715401" w:rsidRPr="0056738E" w14:paraId="0A757F83" w14:textId="77777777" w:rsidTr="00715401">
        <w:tc>
          <w:tcPr>
            <w:tcW w:w="3233" w:type="dxa"/>
          </w:tcPr>
          <w:p w14:paraId="24C101A1" w14:textId="77777777" w:rsidR="00715401" w:rsidRPr="006A5C18" w:rsidRDefault="00715401" w:rsidP="00715401">
            <w:pPr>
              <w:pStyle w:val="FootnoteText"/>
              <w:rPr>
                <w:rFonts w:ascii="Arial" w:hAnsi="Arial" w:cs="Arial"/>
                <w:sz w:val="18"/>
                <w:szCs w:val="18"/>
                <w:lang w:val="el-GR"/>
              </w:rPr>
            </w:pPr>
          </w:p>
        </w:tc>
        <w:tc>
          <w:tcPr>
            <w:tcW w:w="6448" w:type="dxa"/>
            <w:gridSpan w:val="4"/>
          </w:tcPr>
          <w:p w14:paraId="1B6846EC" w14:textId="77777777" w:rsidR="00715401" w:rsidRPr="006A5C18" w:rsidRDefault="00715401" w:rsidP="00715401">
            <w:pPr>
              <w:pStyle w:val="FootnoteText"/>
              <w:jc w:val="both"/>
              <w:rPr>
                <w:rFonts w:ascii="Arial" w:hAnsi="Arial" w:cs="Arial"/>
                <w:sz w:val="18"/>
                <w:szCs w:val="18"/>
                <w:lang w:val="el-GR"/>
              </w:rPr>
            </w:pPr>
          </w:p>
        </w:tc>
      </w:tr>
      <w:tr w:rsidR="00715401" w:rsidRPr="00D41B36" w14:paraId="12331DC8" w14:textId="77777777" w:rsidTr="00715401">
        <w:tc>
          <w:tcPr>
            <w:tcW w:w="3233" w:type="dxa"/>
          </w:tcPr>
          <w:p w14:paraId="143C3D3D" w14:textId="77777777" w:rsidR="00715401" w:rsidRPr="006A5C18" w:rsidRDefault="00715401" w:rsidP="00715401">
            <w:pPr>
              <w:pStyle w:val="FootnoteText"/>
              <w:spacing w:after="120"/>
              <w:rPr>
                <w:rFonts w:ascii="Arial" w:hAnsi="Arial" w:cs="Arial"/>
                <w:sz w:val="18"/>
                <w:szCs w:val="18"/>
                <w:lang w:val="el-GR"/>
              </w:rPr>
            </w:pPr>
            <w:r w:rsidRPr="006A5C18">
              <w:rPr>
                <w:rFonts w:ascii="Arial" w:hAnsi="Arial" w:cs="Arial"/>
                <w:sz w:val="18"/>
                <w:szCs w:val="18"/>
                <w:lang w:val="el-GR"/>
              </w:rPr>
              <w:t>Τριμηνιαία βάση</w:t>
            </w:r>
          </w:p>
        </w:tc>
        <w:tc>
          <w:tcPr>
            <w:tcW w:w="6448" w:type="dxa"/>
            <w:gridSpan w:val="4"/>
          </w:tcPr>
          <w:p w14:paraId="660613D1" w14:textId="665F5C21" w:rsidR="00715401" w:rsidRPr="006A5C18" w:rsidRDefault="00715401" w:rsidP="00715401">
            <w:pPr>
              <w:pStyle w:val="FootnoteText"/>
              <w:jc w:val="both"/>
              <w:rPr>
                <w:rFonts w:ascii="Arial" w:hAnsi="Arial" w:cs="Arial"/>
                <w:sz w:val="18"/>
                <w:szCs w:val="18"/>
                <w:lang w:val="el-GR"/>
              </w:rPr>
            </w:pPr>
            <w:r w:rsidRPr="006A5C18">
              <w:rPr>
                <w:rFonts w:ascii="Arial" w:hAnsi="Arial" w:cs="Arial"/>
                <w:sz w:val="18"/>
                <w:szCs w:val="18"/>
                <w:lang w:val="el-GR"/>
              </w:rPr>
              <w:t>Αλλαγές σε τριμηνιαία βάση</w:t>
            </w:r>
          </w:p>
        </w:tc>
      </w:tr>
      <w:tr w:rsidR="00715401" w:rsidRPr="00D41B36" w14:paraId="299970C3" w14:textId="77777777" w:rsidTr="00715401">
        <w:tc>
          <w:tcPr>
            <w:tcW w:w="3233" w:type="dxa"/>
          </w:tcPr>
          <w:p w14:paraId="40A4A912" w14:textId="2267E6BB" w:rsidR="00715401" w:rsidRPr="006A5C18" w:rsidRDefault="00715401" w:rsidP="00715401">
            <w:pPr>
              <w:pStyle w:val="FootnoteText"/>
              <w:rPr>
                <w:rFonts w:ascii="Arial" w:hAnsi="Arial" w:cs="Arial"/>
                <w:sz w:val="18"/>
                <w:szCs w:val="18"/>
                <w:lang w:val="el-GR"/>
              </w:rPr>
            </w:pPr>
          </w:p>
        </w:tc>
        <w:tc>
          <w:tcPr>
            <w:tcW w:w="6448" w:type="dxa"/>
            <w:gridSpan w:val="4"/>
          </w:tcPr>
          <w:p w14:paraId="07F6FECB" w14:textId="1F739253" w:rsidR="00715401" w:rsidRPr="006A5C18" w:rsidRDefault="00715401" w:rsidP="00715401">
            <w:pPr>
              <w:pStyle w:val="FootnoteText"/>
              <w:jc w:val="both"/>
              <w:rPr>
                <w:rFonts w:ascii="Arial" w:hAnsi="Arial" w:cs="Arial"/>
                <w:sz w:val="18"/>
                <w:szCs w:val="18"/>
                <w:lang w:val="el-GR"/>
              </w:rPr>
            </w:pPr>
          </w:p>
        </w:tc>
      </w:tr>
      <w:tr w:rsidR="00715401" w:rsidRPr="0056738E" w14:paraId="76A347A1" w14:textId="77777777" w:rsidTr="00715401">
        <w:tc>
          <w:tcPr>
            <w:tcW w:w="3233" w:type="dxa"/>
          </w:tcPr>
          <w:p w14:paraId="28836651" w14:textId="77777777" w:rsidR="00715401" w:rsidRPr="006A5C18" w:rsidRDefault="00715401" w:rsidP="00715401">
            <w:pPr>
              <w:pStyle w:val="FootnoteText"/>
              <w:spacing w:after="120"/>
              <w:rPr>
                <w:rFonts w:ascii="Arial" w:hAnsi="Arial" w:cs="Arial"/>
                <w:sz w:val="18"/>
                <w:szCs w:val="18"/>
                <w:lang w:val="el-GR"/>
              </w:rPr>
            </w:pPr>
            <w:r w:rsidRPr="006A5C18">
              <w:rPr>
                <w:rFonts w:ascii="Arial" w:hAnsi="Arial" w:cs="Arial"/>
                <w:sz w:val="18"/>
                <w:szCs w:val="18"/>
                <w:lang w:val="el-GR"/>
              </w:rPr>
              <w:t>Υποκείμενη βάση</w:t>
            </w:r>
          </w:p>
          <w:p w14:paraId="2C4D7310" w14:textId="77777777" w:rsidR="00715401" w:rsidRPr="006A5C18" w:rsidRDefault="00715401" w:rsidP="00715401">
            <w:pPr>
              <w:pStyle w:val="FootnoteText"/>
              <w:spacing w:after="240"/>
              <w:rPr>
                <w:rFonts w:ascii="Arial" w:hAnsi="Arial" w:cs="Arial"/>
                <w:sz w:val="18"/>
                <w:szCs w:val="18"/>
                <w:lang w:val="el-GR"/>
              </w:rPr>
            </w:pPr>
          </w:p>
        </w:tc>
        <w:tc>
          <w:tcPr>
            <w:tcW w:w="6448" w:type="dxa"/>
            <w:gridSpan w:val="4"/>
          </w:tcPr>
          <w:p w14:paraId="324405E7" w14:textId="23B9E15E" w:rsidR="00715401" w:rsidRPr="006A5C18" w:rsidRDefault="00715401" w:rsidP="00715401">
            <w:pPr>
              <w:pStyle w:val="FootnoteText"/>
              <w:spacing w:after="120"/>
              <w:jc w:val="both"/>
              <w:rPr>
                <w:rFonts w:ascii="Arial" w:hAnsi="Arial" w:cs="Arial"/>
                <w:sz w:val="18"/>
                <w:szCs w:val="18"/>
                <w:lang w:val="el-GR"/>
              </w:rPr>
            </w:pPr>
            <w:r w:rsidRPr="006A5C18">
              <w:rPr>
                <w:rFonts w:ascii="Arial" w:hAnsi="Arial" w:cs="Arial"/>
                <w:sz w:val="18"/>
                <w:szCs w:val="18"/>
                <w:lang w:val="el-GR"/>
              </w:rPr>
              <w:t xml:space="preserve">Αναφέρεται στα οικονομικά αποτελέσματα στην βάση ως απαιτείται από τη νομοθεσία μετά την προσαρμογή για </w:t>
            </w:r>
            <w:proofErr w:type="spellStart"/>
            <w:r w:rsidRPr="006A5C18">
              <w:rPr>
                <w:rFonts w:ascii="Arial" w:hAnsi="Arial" w:cs="Arial"/>
                <w:sz w:val="18"/>
                <w:szCs w:val="18"/>
                <w:lang w:val="el-GR"/>
              </w:rPr>
              <w:t>επαναταξινόμηση</w:t>
            </w:r>
            <w:proofErr w:type="spellEnd"/>
            <w:r w:rsidRPr="006A5C18">
              <w:rPr>
                <w:rFonts w:ascii="Arial" w:hAnsi="Arial" w:cs="Arial"/>
                <w:sz w:val="18"/>
                <w:szCs w:val="18"/>
                <w:lang w:val="el-GR"/>
              </w:rPr>
              <w:t xml:space="preserve"> ορισμένων στοιχείων όπως επεξηγείται στη Βάση Παρουσίασης.</w:t>
            </w:r>
          </w:p>
        </w:tc>
      </w:tr>
      <w:tr w:rsidR="00715401" w:rsidRPr="0056738E" w14:paraId="11245107" w14:textId="77777777" w:rsidTr="00715401">
        <w:tc>
          <w:tcPr>
            <w:tcW w:w="3233" w:type="dxa"/>
          </w:tcPr>
          <w:p w14:paraId="2853989A" w14:textId="77777777" w:rsidR="00715401" w:rsidRPr="006A5C18" w:rsidRDefault="00715401" w:rsidP="00715401">
            <w:pPr>
              <w:pStyle w:val="FootnoteText"/>
              <w:rPr>
                <w:rFonts w:ascii="Arial" w:hAnsi="Arial" w:cs="Arial"/>
                <w:sz w:val="18"/>
                <w:szCs w:val="18"/>
                <w:lang w:val="el-GR"/>
              </w:rPr>
            </w:pPr>
          </w:p>
        </w:tc>
        <w:tc>
          <w:tcPr>
            <w:tcW w:w="6448" w:type="dxa"/>
            <w:gridSpan w:val="4"/>
          </w:tcPr>
          <w:p w14:paraId="2A120A5D" w14:textId="77777777" w:rsidR="00715401" w:rsidRPr="006A5C18" w:rsidRDefault="00715401" w:rsidP="00715401">
            <w:pPr>
              <w:pStyle w:val="FootnoteText"/>
              <w:jc w:val="both"/>
              <w:rPr>
                <w:rFonts w:ascii="Arial" w:hAnsi="Arial" w:cs="Arial"/>
                <w:sz w:val="18"/>
                <w:szCs w:val="18"/>
                <w:lang w:val="el-GR"/>
              </w:rPr>
            </w:pPr>
          </w:p>
        </w:tc>
      </w:tr>
      <w:tr w:rsidR="00715401" w:rsidRPr="0056738E" w14:paraId="1555A5DE" w14:textId="77777777" w:rsidTr="00715401">
        <w:tc>
          <w:tcPr>
            <w:tcW w:w="3233" w:type="dxa"/>
          </w:tcPr>
          <w:p w14:paraId="763FEEE4" w14:textId="4A99F0AD" w:rsidR="00715401" w:rsidRPr="006A5C18" w:rsidRDefault="00715401" w:rsidP="00715401">
            <w:pPr>
              <w:pStyle w:val="FootnoteText"/>
              <w:spacing w:after="240"/>
              <w:rPr>
                <w:rFonts w:ascii="Arial" w:hAnsi="Arial" w:cs="Arial"/>
                <w:sz w:val="18"/>
                <w:szCs w:val="18"/>
                <w:lang w:val="el-GR"/>
              </w:rPr>
            </w:pPr>
            <w:r w:rsidRPr="006A5C18">
              <w:rPr>
                <w:rFonts w:ascii="Arial" w:hAnsi="Arial" w:cs="Arial"/>
                <w:sz w:val="18"/>
                <w:szCs w:val="18"/>
                <w:lang w:val="el-GR"/>
              </w:rPr>
              <w:t>Χαρτοφυλάκιο καθαρών εξυπηρετούμενων δανείων</w:t>
            </w:r>
          </w:p>
        </w:tc>
        <w:tc>
          <w:tcPr>
            <w:tcW w:w="6448" w:type="dxa"/>
            <w:gridSpan w:val="4"/>
          </w:tcPr>
          <w:p w14:paraId="0DBC8C0E" w14:textId="24F9E8E2" w:rsidR="00715401" w:rsidRPr="006A5C18" w:rsidRDefault="00715401" w:rsidP="00715401">
            <w:pPr>
              <w:pStyle w:val="FootnoteText"/>
              <w:spacing w:after="120"/>
              <w:jc w:val="both"/>
              <w:rPr>
                <w:rFonts w:ascii="Arial" w:hAnsi="Arial" w:cs="Arial"/>
                <w:sz w:val="18"/>
                <w:szCs w:val="18"/>
                <w:lang w:val="el-GR"/>
              </w:rPr>
            </w:pPr>
            <w:r w:rsidRPr="006A5C18">
              <w:rPr>
                <w:rFonts w:ascii="Arial" w:hAnsi="Arial" w:cs="Arial"/>
                <w:sz w:val="18"/>
                <w:szCs w:val="18"/>
                <w:lang w:val="el-GR"/>
              </w:rPr>
              <w:t>Το χαρτοφυλάκιο καθαρών εξυπηρετούμενων δανείων αποτελείται από το σύνολο τον καθαρών δανείων και απαιτήσεων από πελάτες (ως ορίζεται) εξαιρουμένων των καθαρών δανείων των χαρτοφυλακίων (i) της Μονάδας Αναδιάρθρωσης και Ανάκτησης Χρεών (</w:t>
            </w:r>
            <w:proofErr w:type="spellStart"/>
            <w:r w:rsidRPr="006A5C18">
              <w:rPr>
                <w:rFonts w:ascii="Arial" w:hAnsi="Arial" w:cs="Arial"/>
                <w:sz w:val="18"/>
                <w:szCs w:val="18"/>
                <w:lang w:val="el-GR"/>
              </w:rPr>
              <w:t>Restructuring</w:t>
            </w:r>
            <w:proofErr w:type="spellEnd"/>
            <w:r w:rsidRPr="006A5C18">
              <w:rPr>
                <w:rFonts w:ascii="Arial" w:hAnsi="Arial" w:cs="Arial"/>
                <w:sz w:val="18"/>
                <w:szCs w:val="18"/>
                <w:lang w:val="el-GR"/>
              </w:rPr>
              <w:t xml:space="preserve"> &amp; </w:t>
            </w:r>
            <w:proofErr w:type="spellStart"/>
            <w:r w:rsidRPr="006A5C18">
              <w:rPr>
                <w:rFonts w:ascii="Arial" w:hAnsi="Arial" w:cs="Arial"/>
                <w:sz w:val="18"/>
                <w:szCs w:val="18"/>
                <w:lang w:val="el-GR"/>
              </w:rPr>
              <w:t>Recoveries</w:t>
            </w:r>
            <w:proofErr w:type="spellEnd"/>
            <w:r w:rsidRPr="006A5C18">
              <w:rPr>
                <w:rFonts w:ascii="Arial" w:hAnsi="Arial" w:cs="Arial"/>
                <w:sz w:val="18"/>
                <w:szCs w:val="18"/>
                <w:lang w:val="el-GR"/>
              </w:rPr>
              <w:t xml:space="preserve"> Division, RRD), (</w:t>
            </w:r>
            <w:proofErr w:type="spellStart"/>
            <w:r w:rsidRPr="006A5C18">
              <w:rPr>
                <w:rFonts w:ascii="Arial" w:hAnsi="Arial" w:cs="Arial"/>
                <w:sz w:val="18"/>
                <w:szCs w:val="18"/>
                <w:lang w:val="el-GR"/>
              </w:rPr>
              <w:t>ii</w:t>
            </w:r>
            <w:proofErr w:type="spellEnd"/>
            <w:r w:rsidRPr="006A5C18">
              <w:rPr>
                <w:rFonts w:ascii="Arial" w:hAnsi="Arial" w:cs="Arial"/>
                <w:sz w:val="18"/>
                <w:szCs w:val="18"/>
                <w:lang w:val="el-GR"/>
              </w:rPr>
              <w:t xml:space="preserve">) της Διεύθυνσης Διαχείρισης Ακινήτων (Real Estate </w:t>
            </w:r>
            <w:proofErr w:type="spellStart"/>
            <w:r w:rsidRPr="006A5C18">
              <w:rPr>
                <w:rFonts w:ascii="Arial" w:hAnsi="Arial" w:cs="Arial"/>
                <w:sz w:val="18"/>
                <w:szCs w:val="18"/>
                <w:lang w:val="el-GR"/>
              </w:rPr>
              <w:t>Management</w:t>
            </w:r>
            <w:proofErr w:type="spellEnd"/>
            <w:r w:rsidRPr="006A5C18">
              <w:rPr>
                <w:rFonts w:ascii="Arial" w:hAnsi="Arial" w:cs="Arial"/>
                <w:sz w:val="18"/>
                <w:szCs w:val="18"/>
                <w:lang w:val="el-GR"/>
              </w:rPr>
              <w:t xml:space="preserve"> </w:t>
            </w:r>
            <w:proofErr w:type="spellStart"/>
            <w:r w:rsidRPr="006A5C18">
              <w:rPr>
                <w:rFonts w:ascii="Arial" w:hAnsi="Arial" w:cs="Arial"/>
                <w:sz w:val="18"/>
                <w:szCs w:val="18"/>
                <w:lang w:val="el-GR"/>
              </w:rPr>
              <w:t>Unit</w:t>
            </w:r>
            <w:proofErr w:type="spellEnd"/>
            <w:r w:rsidRPr="006A5C18">
              <w:rPr>
                <w:rFonts w:ascii="Arial" w:hAnsi="Arial" w:cs="Arial"/>
                <w:sz w:val="18"/>
                <w:szCs w:val="18"/>
                <w:lang w:val="el-GR"/>
              </w:rPr>
              <w:t>, REMU), και (</w:t>
            </w:r>
            <w:proofErr w:type="spellStart"/>
            <w:r w:rsidRPr="006A5C18">
              <w:rPr>
                <w:rFonts w:ascii="Arial" w:hAnsi="Arial" w:cs="Arial"/>
                <w:sz w:val="18"/>
                <w:szCs w:val="18"/>
                <w:lang w:val="el-GR"/>
              </w:rPr>
              <w:t>iii</w:t>
            </w:r>
            <w:proofErr w:type="spellEnd"/>
            <w:r w:rsidRPr="006A5C18">
              <w:rPr>
                <w:rFonts w:ascii="Arial" w:hAnsi="Arial" w:cs="Arial"/>
                <w:sz w:val="18"/>
                <w:szCs w:val="18"/>
                <w:lang w:val="el-GR"/>
              </w:rPr>
              <w:t>) των μη κύριων εκθέσεων εξωτερικού.</w:t>
            </w:r>
          </w:p>
        </w:tc>
      </w:tr>
      <w:tr w:rsidR="00715401" w:rsidRPr="0056738E" w14:paraId="2326C6CC" w14:textId="77777777" w:rsidTr="00715401">
        <w:tc>
          <w:tcPr>
            <w:tcW w:w="3233" w:type="dxa"/>
          </w:tcPr>
          <w:p w14:paraId="5ED7D093" w14:textId="77777777" w:rsidR="00715401" w:rsidRPr="006A5C18" w:rsidRDefault="00715401" w:rsidP="00715401">
            <w:pPr>
              <w:pStyle w:val="FootnoteText"/>
              <w:rPr>
                <w:rFonts w:ascii="Arial" w:hAnsi="Arial" w:cs="Arial"/>
                <w:sz w:val="18"/>
                <w:szCs w:val="18"/>
                <w:lang w:val="el-GR"/>
              </w:rPr>
            </w:pPr>
          </w:p>
        </w:tc>
        <w:tc>
          <w:tcPr>
            <w:tcW w:w="6448" w:type="dxa"/>
            <w:gridSpan w:val="4"/>
          </w:tcPr>
          <w:p w14:paraId="1869852D" w14:textId="77777777" w:rsidR="00715401" w:rsidRPr="006A5C18" w:rsidRDefault="00715401" w:rsidP="00715401">
            <w:pPr>
              <w:pStyle w:val="FootnoteText"/>
              <w:jc w:val="both"/>
              <w:rPr>
                <w:rFonts w:ascii="Arial" w:hAnsi="Arial" w:cs="Arial"/>
                <w:sz w:val="18"/>
                <w:szCs w:val="18"/>
                <w:lang w:val="el-GR"/>
              </w:rPr>
            </w:pPr>
          </w:p>
        </w:tc>
      </w:tr>
      <w:tr w:rsidR="00715401" w:rsidRPr="0056738E" w14:paraId="32AC35B5" w14:textId="77777777" w:rsidTr="00715401">
        <w:tc>
          <w:tcPr>
            <w:tcW w:w="3233" w:type="dxa"/>
          </w:tcPr>
          <w:p w14:paraId="762847AC" w14:textId="77777777" w:rsidR="00715401" w:rsidRPr="006A5C18" w:rsidRDefault="00715401" w:rsidP="00715401">
            <w:pPr>
              <w:pStyle w:val="FootnoteText"/>
              <w:spacing w:after="240"/>
              <w:rPr>
                <w:rFonts w:ascii="Arial" w:hAnsi="Arial" w:cs="Arial"/>
                <w:sz w:val="18"/>
                <w:szCs w:val="18"/>
                <w:lang w:val="el-GR"/>
              </w:rPr>
            </w:pPr>
            <w:r w:rsidRPr="006A5C18">
              <w:rPr>
                <w:rFonts w:ascii="Arial" w:hAnsi="Arial" w:cs="Arial"/>
                <w:sz w:val="18"/>
                <w:szCs w:val="18"/>
                <w:lang w:val="el-GR"/>
              </w:rPr>
              <w:t>Χρέωση για πιστωτικές ζημιές δανείων (</w:t>
            </w:r>
            <w:proofErr w:type="spellStart"/>
            <w:r w:rsidRPr="006A5C18">
              <w:rPr>
                <w:rFonts w:ascii="Arial" w:hAnsi="Arial" w:cs="Arial"/>
                <w:sz w:val="18"/>
                <w:szCs w:val="18"/>
                <w:lang w:val="el-GR"/>
              </w:rPr>
              <w:t>cost</w:t>
            </w:r>
            <w:proofErr w:type="spellEnd"/>
            <w:r w:rsidRPr="006A5C18">
              <w:rPr>
                <w:rFonts w:ascii="Arial" w:hAnsi="Arial" w:cs="Arial"/>
                <w:sz w:val="18"/>
                <w:szCs w:val="18"/>
                <w:lang w:val="el-GR"/>
              </w:rPr>
              <w:t xml:space="preserve"> of </w:t>
            </w:r>
            <w:proofErr w:type="spellStart"/>
            <w:r w:rsidRPr="006A5C18">
              <w:rPr>
                <w:rFonts w:ascii="Arial" w:hAnsi="Arial" w:cs="Arial"/>
                <w:sz w:val="18"/>
                <w:szCs w:val="18"/>
                <w:lang w:val="el-GR"/>
              </w:rPr>
              <w:t>risk</w:t>
            </w:r>
            <w:proofErr w:type="spellEnd"/>
            <w:r w:rsidRPr="006A5C18">
              <w:rPr>
                <w:rFonts w:ascii="Arial" w:hAnsi="Arial" w:cs="Arial"/>
                <w:sz w:val="18"/>
                <w:szCs w:val="18"/>
                <w:lang w:val="el-GR"/>
              </w:rPr>
              <w:t>)</w:t>
            </w:r>
          </w:p>
        </w:tc>
        <w:tc>
          <w:tcPr>
            <w:tcW w:w="6448" w:type="dxa"/>
            <w:gridSpan w:val="4"/>
          </w:tcPr>
          <w:p w14:paraId="0252845B" w14:textId="53A4F995" w:rsidR="00715401" w:rsidRPr="006A5C18" w:rsidRDefault="00715401" w:rsidP="00715401">
            <w:pPr>
              <w:pStyle w:val="FootnoteText"/>
              <w:spacing w:after="120"/>
              <w:jc w:val="both"/>
              <w:rPr>
                <w:rFonts w:ascii="Arial" w:hAnsi="Arial" w:cs="Arial"/>
                <w:sz w:val="18"/>
                <w:szCs w:val="18"/>
                <w:lang w:val="el-GR"/>
              </w:rPr>
            </w:pPr>
            <w:r w:rsidRPr="006A5C18">
              <w:rPr>
                <w:rFonts w:ascii="Arial" w:hAnsi="Arial" w:cs="Arial"/>
                <w:sz w:val="18"/>
                <w:szCs w:val="18"/>
                <w:lang w:val="el-GR"/>
              </w:rPr>
              <w:t>Η χρέωση για πιστωτικές ζημιές δανείων (</w:t>
            </w:r>
            <w:proofErr w:type="spellStart"/>
            <w:r w:rsidRPr="006A5C18">
              <w:rPr>
                <w:rFonts w:ascii="Arial" w:hAnsi="Arial" w:cs="Arial"/>
                <w:sz w:val="18"/>
                <w:szCs w:val="18"/>
                <w:lang w:val="el-GR"/>
              </w:rPr>
              <w:t>cost</w:t>
            </w:r>
            <w:proofErr w:type="spellEnd"/>
            <w:r w:rsidRPr="006A5C18">
              <w:rPr>
                <w:rFonts w:ascii="Arial" w:hAnsi="Arial" w:cs="Arial"/>
                <w:sz w:val="18"/>
                <w:szCs w:val="18"/>
                <w:lang w:val="el-GR"/>
              </w:rPr>
              <w:t xml:space="preserve"> of </w:t>
            </w:r>
            <w:proofErr w:type="spellStart"/>
            <w:r w:rsidRPr="006A5C18">
              <w:rPr>
                <w:rFonts w:ascii="Arial" w:hAnsi="Arial" w:cs="Arial"/>
                <w:sz w:val="18"/>
                <w:szCs w:val="18"/>
                <w:lang w:val="el-GR"/>
              </w:rPr>
              <w:t>risk</w:t>
            </w:r>
            <w:proofErr w:type="spellEnd"/>
            <w:r w:rsidRPr="006A5C18">
              <w:rPr>
                <w:rFonts w:ascii="Arial" w:hAnsi="Arial" w:cs="Arial"/>
                <w:sz w:val="18"/>
                <w:szCs w:val="18"/>
                <w:lang w:val="el-GR"/>
              </w:rPr>
              <w:t xml:space="preserve">) (από την αρχή του έτους μέχρι σήμερα) υπολογίζεται ως οι </w:t>
            </w:r>
            <w:proofErr w:type="spellStart"/>
            <w:r w:rsidRPr="006A5C18">
              <w:rPr>
                <w:rFonts w:ascii="Arial" w:hAnsi="Arial" w:cs="Arial"/>
                <w:sz w:val="18"/>
                <w:szCs w:val="18"/>
                <w:lang w:val="el-GR"/>
              </w:rPr>
              <w:t>ετησιοποιημένες</w:t>
            </w:r>
            <w:proofErr w:type="spellEnd"/>
            <w:r w:rsidRPr="006A5C18">
              <w:rPr>
                <w:rFonts w:ascii="Arial" w:hAnsi="Arial" w:cs="Arial"/>
                <w:sz w:val="18"/>
                <w:szCs w:val="18"/>
                <w:lang w:val="el-GR"/>
              </w:rPr>
              <w:t xml:space="preserve"> ‘πιστωτικές ζημιές δανείων’ (όπως ορίζονται) ως προς τον μέσο όρο των δανείων. Ο μέσος όρος των δανείων υπολογίζεται ως ο μέσος όρος του αρχικού υπόλοιπου και του τελικού υπόλοιπου των δανείων (ως ορίζεται), για την περίοδο/για το έτος.</w:t>
            </w:r>
          </w:p>
        </w:tc>
      </w:tr>
      <w:tr w:rsidR="00715401" w:rsidRPr="0056738E" w14:paraId="3D72330F" w14:textId="77777777" w:rsidTr="00715401">
        <w:trPr>
          <w:trHeight w:val="57"/>
        </w:trPr>
        <w:tc>
          <w:tcPr>
            <w:tcW w:w="3233" w:type="dxa"/>
          </w:tcPr>
          <w:p w14:paraId="70A84DBC" w14:textId="77777777" w:rsidR="00715401" w:rsidRPr="006A5C18" w:rsidRDefault="00715401" w:rsidP="00715401">
            <w:pPr>
              <w:pStyle w:val="FootnoteText"/>
              <w:rPr>
                <w:rFonts w:ascii="Arial" w:hAnsi="Arial" w:cs="Arial"/>
                <w:sz w:val="18"/>
                <w:szCs w:val="18"/>
                <w:lang w:val="el-GR"/>
              </w:rPr>
            </w:pPr>
          </w:p>
        </w:tc>
        <w:tc>
          <w:tcPr>
            <w:tcW w:w="6448" w:type="dxa"/>
            <w:gridSpan w:val="4"/>
          </w:tcPr>
          <w:p w14:paraId="03BB2474" w14:textId="77777777" w:rsidR="00715401" w:rsidRPr="006A5C18" w:rsidRDefault="00715401" w:rsidP="00715401">
            <w:pPr>
              <w:pStyle w:val="FootnoteText"/>
              <w:spacing w:after="120"/>
              <w:rPr>
                <w:rFonts w:ascii="Arial" w:hAnsi="Arial" w:cs="Arial"/>
                <w:sz w:val="18"/>
                <w:szCs w:val="18"/>
                <w:lang w:val="el-GR"/>
              </w:rPr>
            </w:pPr>
          </w:p>
        </w:tc>
      </w:tr>
      <w:tr w:rsidR="00715401" w:rsidRPr="0056738E" w14:paraId="4A616366" w14:textId="77777777" w:rsidTr="00715401">
        <w:tc>
          <w:tcPr>
            <w:tcW w:w="3233" w:type="dxa"/>
          </w:tcPr>
          <w:p w14:paraId="13951F66" w14:textId="77777777" w:rsidR="00715401" w:rsidRPr="006A5C18" w:rsidRDefault="00715401" w:rsidP="00715401">
            <w:pPr>
              <w:pStyle w:val="FootnoteText"/>
              <w:jc w:val="both"/>
              <w:rPr>
                <w:rFonts w:ascii="Arial" w:hAnsi="Arial" w:cs="Arial"/>
                <w:sz w:val="18"/>
                <w:szCs w:val="18"/>
                <w:lang w:val="el-GR"/>
              </w:rPr>
            </w:pPr>
            <w:r w:rsidRPr="006A5C18">
              <w:rPr>
                <w:rFonts w:ascii="Arial" w:hAnsi="Arial" w:cs="Arial"/>
                <w:sz w:val="18"/>
                <w:szCs w:val="18"/>
                <w:lang w:val="el-GR"/>
              </w:rPr>
              <w:t xml:space="preserve">MSCI ΠΚΔ Αξιολόγηση   </w:t>
            </w:r>
          </w:p>
          <w:p w14:paraId="5AE250D6" w14:textId="77777777" w:rsidR="00715401" w:rsidRPr="006A5C18" w:rsidRDefault="00715401" w:rsidP="00715401">
            <w:pPr>
              <w:pStyle w:val="FootnoteText"/>
              <w:spacing w:after="240"/>
              <w:rPr>
                <w:rFonts w:ascii="Arial" w:hAnsi="Arial" w:cs="Arial"/>
                <w:sz w:val="18"/>
                <w:szCs w:val="18"/>
                <w:lang w:val="el-GR"/>
              </w:rPr>
            </w:pPr>
          </w:p>
        </w:tc>
        <w:tc>
          <w:tcPr>
            <w:tcW w:w="6448" w:type="dxa"/>
            <w:gridSpan w:val="4"/>
          </w:tcPr>
          <w:p w14:paraId="37441834" w14:textId="77777777" w:rsidR="00715401" w:rsidRPr="006A5C18" w:rsidRDefault="00715401" w:rsidP="00715401">
            <w:pPr>
              <w:pStyle w:val="FootnoteText"/>
              <w:spacing w:after="120"/>
              <w:jc w:val="both"/>
              <w:rPr>
                <w:rFonts w:ascii="Arial" w:hAnsi="Arial" w:cs="Arial"/>
                <w:sz w:val="18"/>
                <w:szCs w:val="18"/>
                <w:lang w:val="el-GR"/>
              </w:rPr>
            </w:pPr>
            <w:r w:rsidRPr="006A5C18">
              <w:rPr>
                <w:rFonts w:ascii="Arial" w:hAnsi="Arial" w:cs="Arial"/>
                <w:sz w:val="18"/>
                <w:szCs w:val="18"/>
                <w:lang w:val="el-GR"/>
              </w:rPr>
              <w:t xml:space="preserve">Η χρήση από την Εταιρία και την Τράπεζα οποιωνδήποτε στοιχείων από την MSCI ESG Research LLC ή των συνεργατών της (‘MSCI’), και η χρήση λογότυπων, εμπορικών σημάτων, σημάτων υπηρεσίας ή ευρετήριο ονομάτων της </w:t>
            </w:r>
            <w:r w:rsidRPr="006A5C18">
              <w:rPr>
                <w:rFonts w:ascii="Arial" w:hAnsi="Arial" w:cs="Arial"/>
                <w:sz w:val="18"/>
                <w:szCs w:val="18"/>
              </w:rPr>
              <w:t>MSCI</w:t>
            </w:r>
            <w:r w:rsidRPr="006A5C18">
              <w:rPr>
                <w:rFonts w:ascii="Arial" w:hAnsi="Arial" w:cs="Arial"/>
                <w:sz w:val="18"/>
                <w:szCs w:val="18"/>
                <w:lang w:val="el-GR"/>
              </w:rPr>
              <w:t xml:space="preserve">, δεν αποτελούν χορηγία, </w:t>
            </w:r>
            <w:r w:rsidRPr="006A5C18">
              <w:rPr>
                <w:rFonts w:ascii="Arial" w:hAnsi="Arial" w:cs="Arial"/>
                <w:sz w:val="18"/>
                <w:szCs w:val="18"/>
              </w:rPr>
              <w:t>endorsement</w:t>
            </w:r>
            <w:r w:rsidRPr="006A5C18">
              <w:rPr>
                <w:rFonts w:ascii="Arial" w:hAnsi="Arial" w:cs="Arial"/>
                <w:sz w:val="18"/>
                <w:szCs w:val="18"/>
                <w:lang w:val="el-GR"/>
              </w:rPr>
              <w:t xml:space="preserve">, σύσταση ή </w:t>
            </w:r>
            <w:proofErr w:type="spellStart"/>
            <w:r w:rsidRPr="006A5C18">
              <w:rPr>
                <w:rFonts w:ascii="Arial" w:hAnsi="Arial" w:cs="Arial"/>
                <w:sz w:val="18"/>
                <w:szCs w:val="18"/>
                <w:lang w:val="el-GR"/>
              </w:rPr>
              <w:t>πρoβολή</w:t>
            </w:r>
            <w:proofErr w:type="spellEnd"/>
            <w:r w:rsidRPr="006A5C18">
              <w:rPr>
                <w:rFonts w:ascii="Arial" w:hAnsi="Arial" w:cs="Arial"/>
                <w:sz w:val="18"/>
                <w:szCs w:val="18"/>
                <w:lang w:val="el-GR"/>
              </w:rPr>
              <w:t xml:space="preserve"> της Εταιρίας ή της Τράπεζας, από την MSCI. Οι Υπηρεσίες της MSCI, καθώς και τα δεδομένα είναι περιουσία της MSCI ή των παροχών πληροφοριών της και δηλώνονται 'όπως-είναι' και χωρίς εγγύηση. Τα ονόματα και λογότυπα της MSCI είναι εμπορικά σήματα ή σήματα υπηρεσιών της MSCI.</w:t>
            </w:r>
          </w:p>
        </w:tc>
      </w:tr>
    </w:tbl>
    <w:p w14:paraId="1DA168DE" w14:textId="6FE0300C" w:rsidR="007D4583" w:rsidRPr="00D41B36" w:rsidRDefault="007D4583" w:rsidP="00F87C5D">
      <w:pPr>
        <w:rPr>
          <w:rFonts w:ascii="Arial" w:hAnsi="Arial" w:cs="Arial"/>
          <w:highlight w:val="yellow"/>
          <w:lang w:val="el-GR"/>
        </w:rPr>
      </w:pPr>
      <w:r w:rsidRPr="00D41B36">
        <w:rPr>
          <w:rFonts w:ascii="Arial" w:hAnsi="Arial" w:cs="Arial"/>
          <w:highlight w:val="yellow"/>
          <w:lang w:val="el-GR"/>
        </w:rPr>
        <w:br w:type="page"/>
      </w:r>
      <w:bookmarkEnd w:id="53"/>
    </w:p>
    <w:p w14:paraId="6F3CE11D" w14:textId="77777777" w:rsidR="0021296F" w:rsidRPr="00D41B36" w:rsidRDefault="0021296F" w:rsidP="00474C5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center"/>
        <w:rPr>
          <w:rFonts w:ascii="Arial" w:hAnsi="Arial" w:cs="Arial"/>
          <w:b/>
          <w:bCs/>
          <w:color w:val="FF9900"/>
          <w:szCs w:val="24"/>
          <w:highlight w:val="yellow"/>
          <w:lang w:val="el-GR"/>
        </w:rPr>
      </w:pPr>
      <w:bookmarkStart w:id="56" w:name="_Hlk64657807"/>
    </w:p>
    <w:p w14:paraId="09DC865B" w14:textId="77777777" w:rsidR="00BC4C32" w:rsidRPr="004F7797" w:rsidRDefault="00BC4C32" w:rsidP="004953B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360" w:lineRule="auto"/>
        <w:jc w:val="center"/>
        <w:rPr>
          <w:rFonts w:ascii="Arial" w:hAnsi="Arial" w:cs="Arial"/>
          <w:b/>
          <w:bCs/>
          <w:color w:val="FF9900"/>
          <w:sz w:val="24"/>
          <w:szCs w:val="24"/>
          <w:lang w:val="el-GR"/>
        </w:rPr>
      </w:pPr>
      <w:r w:rsidRPr="00D40D89">
        <w:rPr>
          <w:rFonts w:ascii="Arial" w:hAnsi="Arial" w:cs="Arial"/>
          <w:b/>
          <w:bCs/>
          <w:color w:val="FF9900"/>
          <w:sz w:val="24"/>
          <w:szCs w:val="24"/>
          <w:lang w:val="el-GR"/>
        </w:rPr>
        <w:t>Βάση Παρουσίασης</w:t>
      </w:r>
    </w:p>
    <w:p w14:paraId="6161E645" w14:textId="639DFA5D" w:rsidR="00BC4C32" w:rsidRPr="00D40D89" w:rsidRDefault="00BC4C32"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r w:rsidRPr="00D40D89">
        <w:rPr>
          <w:rFonts w:ascii="Arial" w:hAnsi="Arial" w:cs="Arial"/>
          <w:sz w:val="18"/>
          <w:szCs w:val="18"/>
          <w:lang w:val="el-GR" w:eastAsia="el-GR"/>
        </w:rPr>
        <w:t xml:space="preserve">Τα οικονομικά αποτελέσματα που αναφέρονται σε αυτή την ανακοίνωση αφορούν την </w:t>
      </w:r>
      <w:r w:rsidRPr="00D40D89">
        <w:rPr>
          <w:rFonts w:ascii="Arial" w:hAnsi="Arial" w:cs="Arial"/>
          <w:sz w:val="18"/>
          <w:szCs w:val="18"/>
          <w:lang w:eastAsia="el-GR"/>
        </w:rPr>
        <w:t>Bank</w:t>
      </w:r>
      <w:r w:rsidRPr="00D40D89">
        <w:rPr>
          <w:rFonts w:ascii="Arial" w:hAnsi="Arial" w:cs="Arial"/>
          <w:sz w:val="18"/>
          <w:szCs w:val="18"/>
          <w:lang w:val="el-GR" w:eastAsia="el-GR"/>
        </w:rPr>
        <w:t xml:space="preserve"> </w:t>
      </w:r>
      <w:r w:rsidRPr="00D40D89">
        <w:rPr>
          <w:rFonts w:ascii="Arial" w:hAnsi="Arial" w:cs="Arial"/>
          <w:sz w:val="18"/>
          <w:szCs w:val="18"/>
          <w:lang w:eastAsia="el-GR"/>
        </w:rPr>
        <w:t>of</w:t>
      </w:r>
      <w:r w:rsidRPr="00D40D89">
        <w:rPr>
          <w:rFonts w:ascii="Arial" w:hAnsi="Arial" w:cs="Arial"/>
          <w:sz w:val="18"/>
          <w:szCs w:val="18"/>
          <w:lang w:val="el-GR" w:eastAsia="el-GR"/>
        </w:rPr>
        <w:t xml:space="preserve"> </w:t>
      </w:r>
      <w:r w:rsidRPr="00D40D89">
        <w:rPr>
          <w:rFonts w:ascii="Arial" w:hAnsi="Arial" w:cs="Arial"/>
          <w:sz w:val="18"/>
          <w:szCs w:val="18"/>
          <w:lang w:eastAsia="el-GR"/>
        </w:rPr>
        <w:t>Cyprus</w:t>
      </w:r>
      <w:r w:rsidRPr="00D40D89">
        <w:rPr>
          <w:rFonts w:ascii="Arial" w:hAnsi="Arial" w:cs="Arial"/>
          <w:sz w:val="18"/>
          <w:szCs w:val="18"/>
          <w:lang w:val="el-GR" w:eastAsia="el-GR"/>
        </w:rPr>
        <w:t xml:space="preserve"> </w:t>
      </w:r>
      <w:r w:rsidRPr="00D40D89">
        <w:rPr>
          <w:rFonts w:ascii="Arial" w:hAnsi="Arial" w:cs="Arial"/>
          <w:sz w:val="18"/>
          <w:szCs w:val="18"/>
          <w:lang w:eastAsia="el-GR"/>
        </w:rPr>
        <w:t>Holdings</w:t>
      </w:r>
      <w:r w:rsidRPr="00D40D89">
        <w:rPr>
          <w:rFonts w:ascii="Arial" w:hAnsi="Arial" w:cs="Arial"/>
          <w:sz w:val="18"/>
          <w:szCs w:val="18"/>
          <w:lang w:val="el-GR" w:eastAsia="el-GR"/>
        </w:rPr>
        <w:t xml:space="preserve"> </w:t>
      </w:r>
      <w:r w:rsidRPr="00D40D89">
        <w:rPr>
          <w:rFonts w:ascii="Arial" w:hAnsi="Arial" w:cs="Arial"/>
          <w:sz w:val="18"/>
          <w:szCs w:val="18"/>
          <w:lang w:eastAsia="el-GR"/>
        </w:rPr>
        <w:t>Public</w:t>
      </w:r>
      <w:r w:rsidRPr="00D40D89">
        <w:rPr>
          <w:rFonts w:ascii="Arial" w:hAnsi="Arial" w:cs="Arial"/>
          <w:sz w:val="18"/>
          <w:szCs w:val="18"/>
          <w:lang w:val="el-GR" w:eastAsia="el-GR"/>
        </w:rPr>
        <w:t xml:space="preserve"> </w:t>
      </w:r>
      <w:r w:rsidRPr="00D40D89">
        <w:rPr>
          <w:rFonts w:ascii="Arial" w:hAnsi="Arial" w:cs="Arial"/>
          <w:sz w:val="18"/>
          <w:szCs w:val="18"/>
          <w:lang w:eastAsia="el-GR"/>
        </w:rPr>
        <w:t>Limited</w:t>
      </w:r>
      <w:r w:rsidRPr="00D40D89">
        <w:rPr>
          <w:rFonts w:ascii="Arial" w:hAnsi="Arial" w:cs="Arial"/>
          <w:sz w:val="18"/>
          <w:szCs w:val="18"/>
          <w:lang w:val="el-GR" w:eastAsia="el-GR"/>
        </w:rPr>
        <w:t xml:space="preserve"> </w:t>
      </w:r>
      <w:r w:rsidRPr="00D40D89">
        <w:rPr>
          <w:rFonts w:ascii="Arial" w:hAnsi="Arial" w:cs="Arial"/>
          <w:sz w:val="18"/>
          <w:szCs w:val="18"/>
          <w:lang w:eastAsia="el-GR"/>
        </w:rPr>
        <w:t>Company</w:t>
      </w:r>
      <w:r w:rsidRPr="00D40D89">
        <w:rPr>
          <w:rFonts w:ascii="Arial" w:hAnsi="Arial" w:cs="Arial"/>
          <w:sz w:val="18"/>
          <w:szCs w:val="18"/>
          <w:lang w:val="el-GR" w:eastAsia="el-GR"/>
        </w:rPr>
        <w:t xml:space="preserve">, </w:t>
      </w:r>
      <w:r w:rsidR="0047304E" w:rsidRPr="00D40D89">
        <w:rPr>
          <w:rFonts w:ascii="Arial" w:hAnsi="Arial" w:cs="Arial"/>
          <w:sz w:val="18"/>
          <w:szCs w:val="18"/>
          <w:lang w:val="el-GR" w:eastAsia="el-GR"/>
        </w:rPr>
        <w:t>‘</w:t>
      </w:r>
      <w:r w:rsidRPr="00D40D89">
        <w:rPr>
          <w:rFonts w:ascii="Arial" w:hAnsi="Arial" w:cs="Arial"/>
          <w:sz w:val="18"/>
          <w:szCs w:val="18"/>
          <w:lang w:eastAsia="el-GR"/>
        </w:rPr>
        <w:t>BOC</w:t>
      </w:r>
      <w:r w:rsidRPr="00D40D89">
        <w:rPr>
          <w:rFonts w:ascii="Arial" w:hAnsi="Arial" w:cs="Arial"/>
          <w:sz w:val="18"/>
          <w:szCs w:val="18"/>
          <w:lang w:val="el-GR" w:eastAsia="el-GR"/>
        </w:rPr>
        <w:t xml:space="preserve"> </w:t>
      </w:r>
      <w:r w:rsidRPr="00D40D89">
        <w:rPr>
          <w:rFonts w:ascii="Arial" w:hAnsi="Arial" w:cs="Arial"/>
          <w:sz w:val="18"/>
          <w:szCs w:val="18"/>
          <w:lang w:eastAsia="el-GR"/>
        </w:rPr>
        <w:t>Holdings</w:t>
      </w:r>
      <w:r w:rsidR="0047304E" w:rsidRPr="00D40D89">
        <w:rPr>
          <w:rFonts w:ascii="Arial" w:hAnsi="Arial" w:cs="Arial"/>
          <w:sz w:val="18"/>
          <w:szCs w:val="18"/>
          <w:lang w:val="el-GR" w:eastAsia="el-GR"/>
        </w:rPr>
        <w:t>’</w:t>
      </w:r>
      <w:r w:rsidRPr="00D40D89">
        <w:rPr>
          <w:rFonts w:ascii="Arial" w:hAnsi="Arial" w:cs="Arial"/>
          <w:sz w:val="18"/>
          <w:szCs w:val="18"/>
          <w:lang w:val="el-GR" w:eastAsia="el-GR"/>
        </w:rPr>
        <w:t xml:space="preserve"> ή η </w:t>
      </w:r>
      <w:r w:rsidR="0047304E" w:rsidRPr="00D40D89">
        <w:rPr>
          <w:rFonts w:ascii="Arial" w:hAnsi="Arial" w:cs="Arial"/>
          <w:sz w:val="18"/>
          <w:szCs w:val="18"/>
          <w:lang w:val="el-GR" w:eastAsia="el-GR"/>
        </w:rPr>
        <w:t>‘</w:t>
      </w:r>
      <w:r w:rsidRPr="00D40D89">
        <w:rPr>
          <w:rFonts w:ascii="Arial" w:hAnsi="Arial" w:cs="Arial"/>
          <w:sz w:val="18"/>
          <w:szCs w:val="18"/>
          <w:lang w:val="el-GR" w:eastAsia="el-GR"/>
        </w:rPr>
        <w:t>Εταιρία</w:t>
      </w:r>
      <w:r w:rsidR="0047304E" w:rsidRPr="00D40D89">
        <w:rPr>
          <w:rFonts w:ascii="Arial" w:hAnsi="Arial" w:cs="Arial"/>
          <w:sz w:val="18"/>
          <w:szCs w:val="18"/>
          <w:lang w:val="el-GR" w:eastAsia="el-GR"/>
        </w:rPr>
        <w:t>’</w:t>
      </w:r>
      <w:r w:rsidRPr="00D40D89">
        <w:rPr>
          <w:rFonts w:ascii="Arial" w:hAnsi="Arial" w:cs="Arial"/>
          <w:sz w:val="18"/>
          <w:szCs w:val="18"/>
          <w:lang w:val="el-GR" w:eastAsia="el-GR"/>
        </w:rPr>
        <w:t xml:space="preserve">, τη θυγατρική της </w:t>
      </w:r>
      <w:r w:rsidRPr="00D40D89">
        <w:rPr>
          <w:rFonts w:ascii="Arial" w:hAnsi="Arial" w:cs="Arial"/>
          <w:sz w:val="18"/>
          <w:szCs w:val="18"/>
          <w:lang w:eastAsia="el-GR"/>
        </w:rPr>
        <w:t>Bank</w:t>
      </w:r>
      <w:r w:rsidRPr="00D40D89">
        <w:rPr>
          <w:rFonts w:ascii="Arial" w:hAnsi="Arial" w:cs="Arial"/>
          <w:sz w:val="18"/>
          <w:szCs w:val="18"/>
          <w:lang w:val="el-GR" w:eastAsia="el-GR"/>
        </w:rPr>
        <w:t xml:space="preserve"> </w:t>
      </w:r>
      <w:r w:rsidRPr="00D40D89">
        <w:rPr>
          <w:rFonts w:ascii="Arial" w:hAnsi="Arial" w:cs="Arial"/>
          <w:sz w:val="18"/>
          <w:szCs w:val="18"/>
          <w:lang w:eastAsia="el-GR"/>
        </w:rPr>
        <w:t>of</w:t>
      </w:r>
      <w:r w:rsidRPr="00D40D89">
        <w:rPr>
          <w:rFonts w:ascii="Arial" w:hAnsi="Arial" w:cs="Arial"/>
          <w:sz w:val="18"/>
          <w:szCs w:val="18"/>
          <w:lang w:val="el-GR" w:eastAsia="el-GR"/>
        </w:rPr>
        <w:t xml:space="preserve"> </w:t>
      </w:r>
      <w:r w:rsidRPr="00D40D89">
        <w:rPr>
          <w:rFonts w:ascii="Arial" w:hAnsi="Arial" w:cs="Arial"/>
          <w:sz w:val="18"/>
          <w:szCs w:val="18"/>
          <w:lang w:eastAsia="el-GR"/>
        </w:rPr>
        <w:t>Cyprus</w:t>
      </w:r>
      <w:r w:rsidRPr="00D40D89">
        <w:rPr>
          <w:rFonts w:ascii="Arial" w:hAnsi="Arial" w:cs="Arial"/>
          <w:sz w:val="18"/>
          <w:szCs w:val="18"/>
          <w:lang w:val="el-GR" w:eastAsia="el-GR"/>
        </w:rPr>
        <w:t xml:space="preserve"> </w:t>
      </w:r>
      <w:r w:rsidRPr="00D40D89">
        <w:rPr>
          <w:rFonts w:ascii="Arial" w:hAnsi="Arial" w:cs="Arial"/>
          <w:sz w:val="18"/>
          <w:szCs w:val="18"/>
          <w:lang w:eastAsia="el-GR"/>
        </w:rPr>
        <w:t>Public</w:t>
      </w:r>
      <w:r w:rsidRPr="00D40D89">
        <w:rPr>
          <w:rFonts w:ascii="Arial" w:hAnsi="Arial" w:cs="Arial"/>
          <w:sz w:val="18"/>
          <w:szCs w:val="18"/>
          <w:lang w:val="el-GR" w:eastAsia="el-GR"/>
        </w:rPr>
        <w:t xml:space="preserve"> </w:t>
      </w:r>
      <w:r w:rsidRPr="00D40D89">
        <w:rPr>
          <w:rFonts w:ascii="Arial" w:hAnsi="Arial" w:cs="Arial"/>
          <w:sz w:val="18"/>
          <w:szCs w:val="18"/>
          <w:lang w:eastAsia="el-GR"/>
        </w:rPr>
        <w:t>Company</w:t>
      </w:r>
      <w:r w:rsidRPr="00D40D89">
        <w:rPr>
          <w:rFonts w:ascii="Arial" w:hAnsi="Arial" w:cs="Arial"/>
          <w:sz w:val="18"/>
          <w:szCs w:val="18"/>
          <w:lang w:val="el-GR" w:eastAsia="el-GR"/>
        </w:rPr>
        <w:t xml:space="preserve"> </w:t>
      </w:r>
      <w:r w:rsidRPr="00D40D89">
        <w:rPr>
          <w:rFonts w:ascii="Arial" w:hAnsi="Arial" w:cs="Arial"/>
          <w:sz w:val="18"/>
          <w:szCs w:val="18"/>
          <w:lang w:eastAsia="el-GR"/>
        </w:rPr>
        <w:t>Limited</w:t>
      </w:r>
      <w:r w:rsidRPr="00D40D89">
        <w:rPr>
          <w:rFonts w:ascii="Arial" w:hAnsi="Arial" w:cs="Arial"/>
          <w:sz w:val="18"/>
          <w:szCs w:val="18"/>
          <w:lang w:val="el-GR" w:eastAsia="el-GR"/>
        </w:rPr>
        <w:t xml:space="preserve">, η </w:t>
      </w:r>
      <w:r w:rsidR="0047304E" w:rsidRPr="00D40D89">
        <w:rPr>
          <w:rFonts w:ascii="Arial" w:hAnsi="Arial" w:cs="Arial"/>
          <w:sz w:val="18"/>
          <w:szCs w:val="18"/>
          <w:lang w:val="el-GR" w:eastAsia="el-GR"/>
        </w:rPr>
        <w:t>‘</w:t>
      </w:r>
      <w:r w:rsidRPr="00D40D89">
        <w:rPr>
          <w:rFonts w:ascii="Arial" w:hAnsi="Arial" w:cs="Arial"/>
          <w:sz w:val="18"/>
          <w:szCs w:val="18"/>
          <w:lang w:val="el-GR" w:eastAsia="el-GR"/>
        </w:rPr>
        <w:t>Τράπεζα</w:t>
      </w:r>
      <w:r w:rsidR="0047304E" w:rsidRPr="00D40D89">
        <w:rPr>
          <w:rFonts w:ascii="Arial" w:hAnsi="Arial" w:cs="Arial"/>
          <w:sz w:val="18"/>
          <w:szCs w:val="18"/>
          <w:lang w:val="el-GR" w:eastAsia="el-GR"/>
        </w:rPr>
        <w:t>’</w:t>
      </w:r>
      <w:r w:rsidRPr="00D40D89">
        <w:rPr>
          <w:rFonts w:ascii="Arial" w:hAnsi="Arial" w:cs="Arial"/>
          <w:sz w:val="18"/>
          <w:szCs w:val="18"/>
          <w:lang w:val="el-GR" w:eastAsia="el-GR"/>
        </w:rPr>
        <w:t xml:space="preserve"> ή </w:t>
      </w:r>
      <w:r w:rsidR="0047304E" w:rsidRPr="00D40D89">
        <w:rPr>
          <w:rFonts w:ascii="Arial" w:hAnsi="Arial" w:cs="Arial"/>
          <w:sz w:val="18"/>
          <w:szCs w:val="18"/>
          <w:lang w:val="el-GR" w:eastAsia="el-GR"/>
        </w:rPr>
        <w:t>‘</w:t>
      </w:r>
      <w:r w:rsidRPr="00D40D89">
        <w:rPr>
          <w:rFonts w:ascii="Arial" w:hAnsi="Arial" w:cs="Arial"/>
          <w:sz w:val="18"/>
          <w:szCs w:val="18"/>
          <w:lang w:val="en-US" w:eastAsia="el-GR"/>
        </w:rPr>
        <w:t>BOC</w:t>
      </w:r>
      <w:r w:rsidRPr="00D40D89">
        <w:rPr>
          <w:rFonts w:ascii="Arial" w:hAnsi="Arial" w:cs="Arial"/>
          <w:sz w:val="18"/>
          <w:szCs w:val="18"/>
          <w:lang w:val="el-GR" w:eastAsia="el-GR"/>
        </w:rPr>
        <w:t xml:space="preserve"> </w:t>
      </w:r>
      <w:r w:rsidRPr="00D40D89">
        <w:rPr>
          <w:rFonts w:ascii="Arial" w:hAnsi="Arial" w:cs="Arial"/>
          <w:sz w:val="18"/>
          <w:szCs w:val="18"/>
          <w:lang w:val="en-US" w:eastAsia="el-GR"/>
        </w:rPr>
        <w:t>PC</w:t>
      </w:r>
      <w:r w:rsidR="00515BE2" w:rsidRPr="00D40D89">
        <w:rPr>
          <w:rFonts w:ascii="Arial" w:hAnsi="Arial" w:cs="Arial"/>
          <w:sz w:val="18"/>
          <w:szCs w:val="18"/>
          <w:lang w:val="en-US" w:eastAsia="el-GR"/>
        </w:rPr>
        <w:t>L</w:t>
      </w:r>
      <w:r w:rsidR="0047304E" w:rsidRPr="00D40D89">
        <w:rPr>
          <w:rFonts w:ascii="Arial" w:hAnsi="Arial" w:cs="Arial"/>
          <w:sz w:val="18"/>
          <w:szCs w:val="18"/>
          <w:lang w:val="el-GR" w:eastAsia="el-GR"/>
        </w:rPr>
        <w:t>’</w:t>
      </w:r>
      <w:r w:rsidRPr="00D40D89">
        <w:rPr>
          <w:rFonts w:ascii="Arial" w:hAnsi="Arial" w:cs="Arial"/>
          <w:sz w:val="18"/>
          <w:szCs w:val="18"/>
          <w:lang w:val="el-GR" w:eastAsia="el-GR"/>
        </w:rPr>
        <w:t xml:space="preserve">, και μαζί με τις θυγατρικές της, το </w:t>
      </w:r>
      <w:r w:rsidR="0047304E" w:rsidRPr="00D40D89">
        <w:rPr>
          <w:rFonts w:ascii="Arial" w:hAnsi="Arial" w:cs="Arial"/>
          <w:sz w:val="18"/>
          <w:szCs w:val="18"/>
          <w:lang w:val="el-GR" w:eastAsia="el-GR"/>
        </w:rPr>
        <w:t>‘</w:t>
      </w:r>
      <w:r w:rsidRPr="00D40D89">
        <w:rPr>
          <w:rFonts w:ascii="Arial" w:hAnsi="Arial" w:cs="Arial"/>
          <w:sz w:val="18"/>
          <w:szCs w:val="18"/>
          <w:lang w:val="el-GR" w:eastAsia="el-GR"/>
        </w:rPr>
        <w:t>Συγκρότημα</w:t>
      </w:r>
      <w:r w:rsidR="0047304E" w:rsidRPr="00D40D89">
        <w:rPr>
          <w:rFonts w:ascii="Arial" w:hAnsi="Arial" w:cs="Arial"/>
          <w:sz w:val="18"/>
          <w:szCs w:val="18"/>
          <w:lang w:val="el-GR" w:eastAsia="el-GR"/>
        </w:rPr>
        <w:t>’</w:t>
      </w:r>
      <w:r w:rsidRPr="00D40D89">
        <w:rPr>
          <w:rFonts w:ascii="Arial" w:hAnsi="Arial" w:cs="Arial"/>
          <w:sz w:val="18"/>
          <w:szCs w:val="18"/>
          <w:lang w:val="el-GR" w:eastAsia="el-GR"/>
        </w:rPr>
        <w:t xml:space="preserve">, για το </w:t>
      </w:r>
      <w:r w:rsidR="007A2F9B">
        <w:rPr>
          <w:rFonts w:ascii="Arial" w:hAnsi="Arial" w:cs="Arial"/>
          <w:sz w:val="18"/>
          <w:szCs w:val="18"/>
          <w:lang w:val="el-GR" w:eastAsia="el-GR"/>
        </w:rPr>
        <w:t>εννεάμηνο</w:t>
      </w:r>
      <w:r w:rsidR="00840A96" w:rsidRPr="00D40D89">
        <w:rPr>
          <w:rFonts w:ascii="Arial" w:hAnsi="Arial" w:cs="Arial"/>
          <w:sz w:val="18"/>
          <w:szCs w:val="18"/>
          <w:lang w:val="el-GR" w:eastAsia="el-GR"/>
        </w:rPr>
        <w:t xml:space="preserve"> </w:t>
      </w:r>
      <w:r w:rsidR="00844DEE" w:rsidRPr="00D40D89">
        <w:rPr>
          <w:rFonts w:ascii="Arial" w:hAnsi="Arial" w:cs="Arial"/>
          <w:sz w:val="18"/>
          <w:szCs w:val="18"/>
          <w:lang w:val="el-GR" w:eastAsia="el-GR"/>
        </w:rPr>
        <w:t xml:space="preserve">που </w:t>
      </w:r>
      <w:r w:rsidRPr="00D40D89">
        <w:rPr>
          <w:rFonts w:ascii="Arial" w:hAnsi="Arial" w:cs="Arial"/>
          <w:sz w:val="18"/>
          <w:szCs w:val="18"/>
          <w:lang w:val="el-GR" w:eastAsia="el-GR"/>
        </w:rPr>
        <w:t xml:space="preserve">έληξε στις </w:t>
      </w:r>
      <w:r w:rsidR="00AD13A0" w:rsidRPr="00D40D89">
        <w:rPr>
          <w:rFonts w:ascii="Arial" w:hAnsi="Arial" w:cs="Arial"/>
          <w:sz w:val="18"/>
          <w:szCs w:val="18"/>
          <w:lang w:val="el-GR" w:eastAsia="el-GR"/>
        </w:rPr>
        <w:t>30</w:t>
      </w:r>
      <w:r w:rsidR="00C96D7F" w:rsidRPr="00D40D89">
        <w:rPr>
          <w:rFonts w:ascii="Arial" w:hAnsi="Arial" w:cs="Arial"/>
          <w:sz w:val="18"/>
          <w:szCs w:val="18"/>
          <w:lang w:val="el-GR" w:eastAsia="el-GR"/>
        </w:rPr>
        <w:t xml:space="preserve"> </w:t>
      </w:r>
      <w:r w:rsidR="00D40D89" w:rsidRPr="00D40D89">
        <w:rPr>
          <w:rFonts w:ascii="Arial" w:hAnsi="Arial" w:cs="Arial"/>
          <w:sz w:val="18"/>
          <w:szCs w:val="18"/>
          <w:lang w:val="el-GR" w:eastAsia="el-GR"/>
        </w:rPr>
        <w:t>Σεπτεμβρίου</w:t>
      </w:r>
      <w:r w:rsidR="00840A96" w:rsidRPr="00D40D89">
        <w:rPr>
          <w:rFonts w:ascii="Arial" w:hAnsi="Arial" w:cs="Arial"/>
          <w:sz w:val="18"/>
          <w:szCs w:val="18"/>
          <w:lang w:val="el-GR" w:eastAsia="el-GR"/>
        </w:rPr>
        <w:t xml:space="preserve"> 2024</w:t>
      </w:r>
      <w:r w:rsidRPr="00D40D89">
        <w:rPr>
          <w:rFonts w:ascii="Arial" w:hAnsi="Arial" w:cs="Arial"/>
          <w:sz w:val="18"/>
          <w:szCs w:val="18"/>
          <w:lang w:val="el-GR" w:eastAsia="el-GR"/>
        </w:rPr>
        <w:t xml:space="preserve">. </w:t>
      </w:r>
    </w:p>
    <w:p w14:paraId="03CBD696" w14:textId="77777777" w:rsidR="00BC4C32" w:rsidRPr="00D40D89" w:rsidRDefault="00BC4C32"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p>
    <w:p w14:paraId="3DF3F316" w14:textId="697D5D73" w:rsidR="00BC4C32" w:rsidRPr="00D40D89" w:rsidRDefault="00BC4C32" w:rsidP="00711D11">
      <w:pPr>
        <w:pStyle w:val="Footnote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w:hAnsi="Arial" w:cs="Arial"/>
          <w:sz w:val="18"/>
          <w:szCs w:val="18"/>
          <w:lang w:val="el-GR" w:eastAsia="el-GR"/>
        </w:rPr>
      </w:pPr>
      <w:r w:rsidRPr="00D40D89">
        <w:rPr>
          <w:rFonts w:ascii="Arial" w:hAnsi="Arial" w:cs="Arial"/>
          <w:sz w:val="18"/>
          <w:szCs w:val="18"/>
          <w:lang w:val="el-GR" w:eastAsia="el-GR"/>
        </w:rPr>
        <w:t>Στις 31 Δεκεμβρίου 2016, η Τράπεζα ήταν εισηγμένη στο Χρηματιστήριο Αξιών Κύπρου (ΧΑΚ) και στο Χρηματιστήριο Αθηνών</w:t>
      </w:r>
      <w:r w:rsidR="006D7ED6" w:rsidRPr="006D7ED6">
        <w:rPr>
          <w:rFonts w:ascii="Arial" w:hAnsi="Arial" w:cs="Arial"/>
          <w:sz w:val="18"/>
          <w:szCs w:val="18"/>
          <w:lang w:val="el-GR" w:eastAsia="el-GR"/>
        </w:rPr>
        <w:t xml:space="preserve"> (‘</w:t>
      </w:r>
      <w:r w:rsidR="006D7ED6">
        <w:rPr>
          <w:rFonts w:ascii="Arial" w:hAnsi="Arial" w:cs="Arial"/>
          <w:sz w:val="18"/>
          <w:szCs w:val="18"/>
          <w:lang w:val="en-US" w:eastAsia="el-GR"/>
        </w:rPr>
        <w:t>XA</w:t>
      </w:r>
      <w:r w:rsidR="006D7ED6" w:rsidRPr="006D7ED6">
        <w:rPr>
          <w:rFonts w:ascii="Arial" w:hAnsi="Arial" w:cs="Arial"/>
          <w:sz w:val="18"/>
          <w:szCs w:val="18"/>
          <w:lang w:val="el-GR" w:eastAsia="el-GR"/>
        </w:rPr>
        <w:t>’)</w:t>
      </w:r>
      <w:r w:rsidRPr="00D40D89">
        <w:rPr>
          <w:rFonts w:ascii="Arial" w:hAnsi="Arial" w:cs="Arial"/>
          <w:sz w:val="18"/>
          <w:szCs w:val="18"/>
          <w:lang w:val="el-GR" w:eastAsia="el-GR"/>
        </w:rPr>
        <w:t>.</w:t>
      </w:r>
      <w:r w:rsidR="00D40D89">
        <w:rPr>
          <w:rFonts w:ascii="Arial" w:hAnsi="Arial" w:cs="Arial"/>
          <w:sz w:val="18"/>
          <w:szCs w:val="18"/>
          <w:lang w:val="el-GR" w:eastAsia="el-GR"/>
        </w:rPr>
        <w:t xml:space="preserve"> </w:t>
      </w:r>
      <w:r w:rsidRPr="00D40D89">
        <w:rPr>
          <w:rFonts w:ascii="Arial" w:hAnsi="Arial" w:cs="Arial"/>
          <w:sz w:val="18"/>
          <w:szCs w:val="18"/>
          <w:lang w:val="el-GR" w:eastAsia="el-GR"/>
        </w:rPr>
        <w:t xml:space="preserve">Στις 18 Ιανουαρίου 2017, η </w:t>
      </w:r>
      <w:r w:rsidRPr="00D40D89">
        <w:rPr>
          <w:rFonts w:ascii="Arial" w:hAnsi="Arial" w:cs="Arial"/>
          <w:sz w:val="18"/>
          <w:szCs w:val="18"/>
          <w:lang w:eastAsia="el-GR"/>
        </w:rPr>
        <w:t>BOC</w:t>
      </w:r>
      <w:r w:rsidRPr="00D40D89">
        <w:rPr>
          <w:rFonts w:ascii="Arial" w:hAnsi="Arial" w:cs="Arial"/>
          <w:sz w:val="18"/>
          <w:szCs w:val="18"/>
          <w:lang w:val="el-GR" w:eastAsia="el-GR"/>
        </w:rPr>
        <w:t xml:space="preserve"> </w:t>
      </w:r>
      <w:r w:rsidRPr="00D40D89">
        <w:rPr>
          <w:rFonts w:ascii="Arial" w:hAnsi="Arial" w:cs="Arial"/>
          <w:sz w:val="18"/>
          <w:szCs w:val="18"/>
          <w:lang w:eastAsia="el-GR"/>
        </w:rPr>
        <w:t>Holdings</w:t>
      </w:r>
      <w:r w:rsidRPr="00D40D89">
        <w:rPr>
          <w:rFonts w:ascii="Arial" w:hAnsi="Arial" w:cs="Arial"/>
          <w:sz w:val="18"/>
          <w:szCs w:val="18"/>
          <w:lang w:val="el-GR" w:eastAsia="el-GR"/>
        </w:rPr>
        <w:t xml:space="preserve">, η οποία ιδρύθηκε στην Ιρλανδία, εντάχθηκε στη δομή του Συγκροτήματος ως η νέα μητρική εταιρία της Τράπεζας. Στις 19 Ιανουαρίου 2017, το συνολικό εκδομένο μετοχικό κεφάλαιο της </w:t>
      </w:r>
      <w:r w:rsidRPr="00D40D89">
        <w:rPr>
          <w:rFonts w:ascii="Arial" w:hAnsi="Arial" w:cs="Arial"/>
          <w:sz w:val="18"/>
          <w:szCs w:val="18"/>
          <w:lang w:eastAsia="el-GR"/>
        </w:rPr>
        <w:t>BOC</w:t>
      </w:r>
      <w:r w:rsidRPr="00D40D89">
        <w:rPr>
          <w:rFonts w:ascii="Arial" w:hAnsi="Arial" w:cs="Arial"/>
          <w:sz w:val="18"/>
          <w:szCs w:val="18"/>
          <w:lang w:val="el-GR" w:eastAsia="el-GR"/>
        </w:rPr>
        <w:t xml:space="preserve"> </w:t>
      </w:r>
      <w:r w:rsidRPr="00D40D89">
        <w:rPr>
          <w:rFonts w:ascii="Arial" w:hAnsi="Arial" w:cs="Arial"/>
          <w:sz w:val="18"/>
          <w:szCs w:val="18"/>
          <w:lang w:eastAsia="el-GR"/>
        </w:rPr>
        <w:t>Holdings</w:t>
      </w:r>
      <w:r w:rsidRPr="00D40D89">
        <w:rPr>
          <w:rFonts w:ascii="Arial" w:hAnsi="Arial" w:cs="Arial"/>
          <w:sz w:val="18"/>
          <w:szCs w:val="18"/>
          <w:lang w:val="el-GR" w:eastAsia="el-GR"/>
        </w:rPr>
        <w:t xml:space="preserve"> </w:t>
      </w:r>
      <w:proofErr w:type="spellStart"/>
      <w:r w:rsidRPr="00D40D89">
        <w:rPr>
          <w:rFonts w:ascii="Arial" w:hAnsi="Arial" w:cs="Arial"/>
          <w:sz w:val="18"/>
          <w:szCs w:val="18"/>
          <w:lang w:val="el-GR" w:eastAsia="el-GR"/>
        </w:rPr>
        <w:t>εισήχθηκε</w:t>
      </w:r>
      <w:proofErr w:type="spellEnd"/>
      <w:r w:rsidRPr="00D40D89">
        <w:rPr>
          <w:rFonts w:ascii="Arial" w:hAnsi="Arial" w:cs="Arial"/>
          <w:sz w:val="18"/>
          <w:szCs w:val="18"/>
          <w:lang w:val="el-GR" w:eastAsia="el-GR"/>
        </w:rPr>
        <w:t xml:space="preserve"> για διαπραγμάτευση στο Χρηματιστήριο Αξιών του Λονδίνου και στο ΧΑΚ.</w:t>
      </w:r>
      <w:r w:rsidR="00D40D89" w:rsidRPr="00D40D89">
        <w:rPr>
          <w:rFonts w:ascii="Arial" w:hAnsi="Arial" w:cs="Arial"/>
          <w:sz w:val="18"/>
          <w:szCs w:val="18"/>
          <w:lang w:val="el-GR" w:eastAsia="el-GR"/>
        </w:rPr>
        <w:t xml:space="preserve"> Στις 19 Σεπτεμβρίου 2024, η Εταιρία διέγραψε το συνολικό </w:t>
      </w:r>
      <w:r w:rsidR="00D40D89">
        <w:rPr>
          <w:rFonts w:ascii="Arial" w:hAnsi="Arial" w:cs="Arial"/>
          <w:sz w:val="18"/>
          <w:szCs w:val="18"/>
          <w:lang w:val="el-GR" w:eastAsia="el-GR"/>
        </w:rPr>
        <w:t xml:space="preserve">της </w:t>
      </w:r>
      <w:r w:rsidR="00D40D89" w:rsidRPr="00D40D89">
        <w:rPr>
          <w:rFonts w:ascii="Arial" w:hAnsi="Arial" w:cs="Arial"/>
          <w:sz w:val="18"/>
          <w:szCs w:val="18"/>
          <w:lang w:val="el-GR" w:eastAsia="el-GR"/>
        </w:rPr>
        <w:t>μετοχικό κεφάλαιο</w:t>
      </w:r>
      <w:r w:rsidR="00D40D89">
        <w:rPr>
          <w:rFonts w:ascii="Arial" w:hAnsi="Arial" w:cs="Arial"/>
          <w:sz w:val="18"/>
          <w:szCs w:val="18"/>
          <w:lang w:val="el-GR" w:eastAsia="el-GR"/>
        </w:rPr>
        <w:t xml:space="preserve"> </w:t>
      </w:r>
      <w:r w:rsidR="00D40D89" w:rsidRPr="00D40D89">
        <w:rPr>
          <w:rFonts w:ascii="Arial" w:hAnsi="Arial" w:cs="Arial"/>
          <w:sz w:val="18"/>
          <w:szCs w:val="18"/>
          <w:lang w:val="el-GR" w:eastAsia="el-GR"/>
        </w:rPr>
        <w:t xml:space="preserve">από το Χρηματιστήριο Αξιών του Λονδίνου και ακύρωσε την εισαγωγή της στο Χρηματιστήριο Αξιών του Λονδίνου. Στις 23 Σεπτεμβρίου 2024, η Εταιρία προχώρησε στην εισαγωγή των συνήθων μετοχών της στην </w:t>
      </w:r>
      <w:r w:rsidR="00D40D89" w:rsidRPr="00D40D89">
        <w:rPr>
          <w:rFonts w:ascii="Arial" w:hAnsi="Arial" w:cs="Arial"/>
          <w:bCs/>
          <w:sz w:val="18"/>
          <w:szCs w:val="28"/>
          <w:lang w:val="el-GR"/>
        </w:rPr>
        <w:t>Κύρια Αγορά της Ρυθμιζόμενης Αγοράς του Χρηματιστηρίου Αθηνών.</w:t>
      </w:r>
    </w:p>
    <w:p w14:paraId="52C16E7B" w14:textId="77777777" w:rsidR="00BC4C32" w:rsidRPr="00D40D89" w:rsidRDefault="00BC4C32" w:rsidP="00711D11">
      <w:pPr>
        <w:pStyle w:val="Footnote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w:hAnsi="Arial" w:cs="Arial"/>
          <w:sz w:val="18"/>
          <w:szCs w:val="18"/>
          <w:lang w:val="el-GR" w:eastAsia="el-GR"/>
        </w:rPr>
      </w:pPr>
    </w:p>
    <w:p w14:paraId="73E19B4B" w14:textId="4DBE2A5F" w:rsidR="00F809D1" w:rsidRPr="00D40D89" w:rsidRDefault="00BC4C32" w:rsidP="00711D11">
      <w:pPr>
        <w:pStyle w:val="Footnote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w:hAnsi="Arial" w:cs="Arial"/>
          <w:sz w:val="18"/>
          <w:szCs w:val="18"/>
          <w:lang w:val="el-GR" w:eastAsia="el-GR"/>
        </w:rPr>
      </w:pPr>
      <w:r w:rsidRPr="00D40D89">
        <w:rPr>
          <w:rFonts w:ascii="Arial" w:hAnsi="Arial" w:cs="Arial"/>
          <w:sz w:val="18"/>
          <w:szCs w:val="18"/>
          <w:lang w:val="el-GR" w:eastAsia="el-GR"/>
        </w:rPr>
        <w:t xml:space="preserve">Η χρηματοοικονομική πληροφόρηση που παρέχεται σε αυτή την ανακοίνωση δημοσιεύεται με σκοπό την παροχή των οικονομικών αποτελεσμάτων για το Συγκρότημα για το </w:t>
      </w:r>
      <w:r w:rsidR="007A2F9B">
        <w:rPr>
          <w:rFonts w:ascii="Arial" w:hAnsi="Arial" w:cs="Arial"/>
          <w:sz w:val="18"/>
          <w:szCs w:val="18"/>
          <w:lang w:val="el-GR" w:eastAsia="el-GR"/>
        </w:rPr>
        <w:t>εννεάμηνο</w:t>
      </w:r>
      <w:r w:rsidR="00D40D89" w:rsidRPr="00D40D89">
        <w:rPr>
          <w:rFonts w:ascii="Arial" w:hAnsi="Arial" w:cs="Arial"/>
          <w:sz w:val="18"/>
          <w:szCs w:val="18"/>
          <w:lang w:val="el-GR" w:eastAsia="el-GR"/>
        </w:rPr>
        <w:t xml:space="preserve"> </w:t>
      </w:r>
      <w:r w:rsidR="00655337" w:rsidRPr="00D40D89">
        <w:rPr>
          <w:rFonts w:ascii="Arial" w:hAnsi="Arial" w:cs="Arial"/>
          <w:sz w:val="18"/>
          <w:szCs w:val="18"/>
          <w:lang w:val="el-GR" w:eastAsia="el-GR"/>
        </w:rPr>
        <w:t xml:space="preserve">που έληξε στις </w:t>
      </w:r>
      <w:r w:rsidR="00AD13A0" w:rsidRPr="00D40D89">
        <w:rPr>
          <w:rFonts w:ascii="Arial" w:hAnsi="Arial" w:cs="Arial"/>
          <w:sz w:val="18"/>
          <w:szCs w:val="18"/>
          <w:lang w:val="el-GR" w:eastAsia="el-GR"/>
        </w:rPr>
        <w:t xml:space="preserve">30 </w:t>
      </w:r>
      <w:r w:rsidR="00D40D89" w:rsidRPr="00D40D89">
        <w:rPr>
          <w:rFonts w:ascii="Arial" w:hAnsi="Arial" w:cs="Arial"/>
          <w:sz w:val="18"/>
          <w:szCs w:val="18"/>
          <w:lang w:val="el-GR" w:eastAsia="el-GR"/>
        </w:rPr>
        <w:t>Σεπτεμβρίου</w:t>
      </w:r>
      <w:r w:rsidR="00AD13A0" w:rsidRPr="00D40D89">
        <w:rPr>
          <w:rFonts w:ascii="Arial" w:hAnsi="Arial" w:cs="Arial"/>
          <w:sz w:val="18"/>
          <w:szCs w:val="18"/>
          <w:lang w:val="el-GR" w:eastAsia="el-GR"/>
        </w:rPr>
        <w:t xml:space="preserve"> </w:t>
      </w:r>
      <w:r w:rsidR="00840A96" w:rsidRPr="00D40D89">
        <w:rPr>
          <w:rFonts w:ascii="Arial" w:hAnsi="Arial" w:cs="Arial"/>
          <w:sz w:val="18"/>
          <w:szCs w:val="18"/>
          <w:lang w:val="el-GR" w:eastAsia="el-GR"/>
        </w:rPr>
        <w:t>2024</w:t>
      </w:r>
      <w:r w:rsidRPr="00D40D89">
        <w:rPr>
          <w:rFonts w:ascii="Arial" w:hAnsi="Arial" w:cs="Arial"/>
          <w:sz w:val="18"/>
          <w:szCs w:val="18"/>
          <w:lang w:val="el-GR" w:eastAsia="el-GR"/>
        </w:rPr>
        <w:t xml:space="preserve">. </w:t>
      </w:r>
    </w:p>
    <w:p w14:paraId="3C696B14" w14:textId="77777777" w:rsidR="00F809D1" w:rsidRPr="00D40D89" w:rsidRDefault="00F809D1" w:rsidP="00655337">
      <w:pPr>
        <w:pStyle w:val="Footnote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w:hAnsi="Arial" w:cs="Arial"/>
          <w:sz w:val="18"/>
          <w:szCs w:val="18"/>
          <w:lang w:val="el-GR" w:eastAsia="el-GR"/>
        </w:rPr>
      </w:pPr>
    </w:p>
    <w:p w14:paraId="18730ED6" w14:textId="40830F7A" w:rsidR="00CB41D9" w:rsidRPr="00D41B36" w:rsidRDefault="00BC4C32" w:rsidP="00CB41D9">
      <w:pPr>
        <w:pStyle w:val="Footnote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w:hAnsi="Arial" w:cs="Arial"/>
          <w:sz w:val="18"/>
          <w:szCs w:val="18"/>
          <w:highlight w:val="yellow"/>
          <w:lang w:val="el-GR" w:eastAsia="el-GR"/>
        </w:rPr>
      </w:pPr>
      <w:r w:rsidRPr="00D40D89">
        <w:rPr>
          <w:rFonts w:ascii="Arial" w:hAnsi="Arial" w:cs="Arial"/>
          <w:sz w:val="18"/>
          <w:szCs w:val="18"/>
          <w:lang w:val="el-GR" w:eastAsia="el-GR"/>
        </w:rPr>
        <w:t xml:space="preserve">Η χρηματοοικονομική πληροφόρηση σε αυτή την ανακοίνωση </w:t>
      </w:r>
      <w:r w:rsidR="0090192D" w:rsidRPr="00D40D89">
        <w:rPr>
          <w:rFonts w:ascii="Arial" w:hAnsi="Arial" w:cs="Arial"/>
          <w:sz w:val="18"/>
          <w:szCs w:val="18"/>
          <w:lang w:val="el-GR" w:eastAsia="el-GR"/>
        </w:rPr>
        <w:t xml:space="preserve">δεν </w:t>
      </w:r>
      <w:r w:rsidR="00A742EA" w:rsidRPr="00D40D89">
        <w:rPr>
          <w:rFonts w:ascii="Arial" w:hAnsi="Arial" w:cs="Arial"/>
          <w:sz w:val="18"/>
          <w:szCs w:val="18"/>
          <w:lang w:val="el-GR" w:eastAsia="el-GR"/>
        </w:rPr>
        <w:t xml:space="preserve">έχει </w:t>
      </w:r>
      <w:r w:rsidR="00196665" w:rsidRPr="00D40D89">
        <w:rPr>
          <w:rFonts w:ascii="Arial" w:hAnsi="Arial" w:cs="Arial"/>
          <w:sz w:val="18"/>
          <w:szCs w:val="18"/>
          <w:lang w:val="el-GR" w:eastAsia="el-GR"/>
        </w:rPr>
        <w:t>ελεγχθεί από τους εξωτερικούς ελεγκτές</w:t>
      </w:r>
      <w:r w:rsidR="0090192D" w:rsidRPr="00D40D89">
        <w:rPr>
          <w:rFonts w:ascii="Arial" w:hAnsi="Arial" w:cs="Arial"/>
          <w:sz w:val="18"/>
          <w:szCs w:val="18"/>
          <w:lang w:val="el-GR" w:eastAsia="el-GR"/>
        </w:rPr>
        <w:t xml:space="preserve"> και </w:t>
      </w:r>
      <w:r w:rsidRPr="00D40D89">
        <w:rPr>
          <w:rFonts w:ascii="Arial" w:hAnsi="Arial" w:cs="Arial"/>
          <w:sz w:val="18"/>
          <w:szCs w:val="18"/>
          <w:lang w:val="el-GR" w:eastAsia="el-GR"/>
        </w:rPr>
        <w:t xml:space="preserve">δεν αποτελεί τις απαιτούμενες από τη νομοθεσία οικονομικές καταστάσεις της </w:t>
      </w:r>
      <w:r w:rsidRPr="00D40D89">
        <w:rPr>
          <w:rFonts w:ascii="Arial" w:hAnsi="Arial" w:cs="Arial"/>
          <w:sz w:val="18"/>
          <w:szCs w:val="18"/>
          <w:lang w:eastAsia="el-GR"/>
        </w:rPr>
        <w:t>BOC</w:t>
      </w:r>
      <w:r w:rsidRPr="00D40D89">
        <w:rPr>
          <w:rFonts w:ascii="Arial" w:hAnsi="Arial" w:cs="Arial"/>
          <w:sz w:val="18"/>
          <w:szCs w:val="18"/>
          <w:lang w:val="el-GR" w:eastAsia="el-GR"/>
        </w:rPr>
        <w:t xml:space="preserve"> </w:t>
      </w:r>
      <w:r w:rsidRPr="00D40D89">
        <w:rPr>
          <w:rFonts w:ascii="Arial" w:hAnsi="Arial" w:cs="Arial"/>
          <w:sz w:val="18"/>
          <w:szCs w:val="18"/>
          <w:lang w:eastAsia="el-GR"/>
        </w:rPr>
        <w:t>Holdings</w:t>
      </w:r>
      <w:r w:rsidRPr="00D40D89">
        <w:rPr>
          <w:rFonts w:ascii="Arial" w:hAnsi="Arial" w:cs="Arial"/>
          <w:sz w:val="18"/>
          <w:szCs w:val="18"/>
          <w:lang w:val="el-GR" w:eastAsia="el-GR"/>
        </w:rPr>
        <w:t xml:space="preserve"> σύμφωνα με το άρθρο 340 της νομοθεσίας για </w:t>
      </w:r>
      <w:r w:rsidR="00AD13A0" w:rsidRPr="00D40D89">
        <w:rPr>
          <w:rFonts w:ascii="Arial" w:hAnsi="Arial" w:cs="Arial"/>
          <w:sz w:val="18"/>
          <w:szCs w:val="18"/>
          <w:lang w:val="el-GR" w:eastAsia="el-GR"/>
        </w:rPr>
        <w:t>Ε</w:t>
      </w:r>
      <w:r w:rsidRPr="00D40D89">
        <w:rPr>
          <w:rFonts w:ascii="Arial" w:hAnsi="Arial" w:cs="Arial"/>
          <w:sz w:val="18"/>
          <w:szCs w:val="18"/>
          <w:lang w:val="el-GR" w:eastAsia="el-GR"/>
        </w:rPr>
        <w:t>ταιρ</w:t>
      </w:r>
      <w:r w:rsidR="00AD13A0" w:rsidRPr="00D40D89">
        <w:rPr>
          <w:rFonts w:ascii="Arial" w:hAnsi="Arial" w:cs="Arial"/>
          <w:sz w:val="18"/>
          <w:szCs w:val="18"/>
          <w:lang w:val="el-GR" w:eastAsia="el-GR"/>
        </w:rPr>
        <w:t xml:space="preserve">είες του </w:t>
      </w:r>
      <w:r w:rsidRPr="00D40D89">
        <w:rPr>
          <w:rFonts w:ascii="Arial" w:hAnsi="Arial" w:cs="Arial"/>
          <w:sz w:val="18"/>
          <w:szCs w:val="18"/>
          <w:lang w:val="el-GR" w:eastAsia="el-GR"/>
        </w:rPr>
        <w:t>201</w:t>
      </w:r>
      <w:r w:rsidR="00AD13A0" w:rsidRPr="00D40D89">
        <w:rPr>
          <w:rFonts w:ascii="Arial" w:hAnsi="Arial" w:cs="Arial"/>
          <w:sz w:val="18"/>
          <w:szCs w:val="18"/>
          <w:lang w:val="el-GR" w:eastAsia="el-GR"/>
        </w:rPr>
        <w:t>4</w:t>
      </w:r>
      <w:r w:rsidRPr="00D40D89">
        <w:rPr>
          <w:rFonts w:ascii="Arial" w:hAnsi="Arial" w:cs="Arial"/>
          <w:sz w:val="18"/>
          <w:szCs w:val="18"/>
          <w:lang w:val="el-GR" w:eastAsia="el-GR"/>
        </w:rPr>
        <w:t>.</w:t>
      </w:r>
      <w:r w:rsidR="00AD13A0" w:rsidRPr="00D40D89">
        <w:rPr>
          <w:rFonts w:ascii="Arial" w:hAnsi="Arial" w:cs="Arial"/>
          <w:sz w:val="18"/>
          <w:szCs w:val="18"/>
          <w:lang w:val="el-GR" w:eastAsia="el-GR"/>
        </w:rPr>
        <w:t xml:space="preserve"> </w:t>
      </w:r>
      <w:r w:rsidRPr="0056738E">
        <w:rPr>
          <w:rFonts w:ascii="Arial" w:hAnsi="Arial" w:cs="Arial"/>
          <w:sz w:val="18"/>
          <w:szCs w:val="18"/>
          <w:lang w:val="el-GR" w:eastAsia="el-GR"/>
        </w:rPr>
        <w:t>Οι απαιτούμενες από τη νομοθεσία οικονομικές καταστάσεις του Συγκροτήματος για το</w:t>
      </w:r>
      <w:r w:rsidR="00AD13A0" w:rsidRPr="0056738E">
        <w:rPr>
          <w:rFonts w:ascii="Arial" w:hAnsi="Arial" w:cs="Arial"/>
          <w:sz w:val="18"/>
          <w:szCs w:val="18"/>
          <w:lang w:val="el-GR" w:eastAsia="el-GR"/>
        </w:rPr>
        <w:t xml:space="preserve"> </w:t>
      </w:r>
      <w:r w:rsidRPr="0056738E">
        <w:rPr>
          <w:rFonts w:ascii="Arial" w:hAnsi="Arial" w:cs="Arial"/>
          <w:sz w:val="18"/>
          <w:szCs w:val="18"/>
          <w:lang w:val="el-GR" w:eastAsia="el-GR"/>
        </w:rPr>
        <w:t xml:space="preserve">έτος που έληξε στις 31 Δεκεμβρίου </w:t>
      </w:r>
      <w:r w:rsidR="00655337" w:rsidRPr="0056738E">
        <w:rPr>
          <w:rFonts w:ascii="Arial" w:hAnsi="Arial" w:cs="Arial"/>
          <w:sz w:val="18"/>
          <w:szCs w:val="18"/>
          <w:lang w:val="el-GR" w:eastAsia="el-GR"/>
        </w:rPr>
        <w:t>2023</w:t>
      </w:r>
      <w:r w:rsidR="00AD13A0" w:rsidRPr="0056738E">
        <w:rPr>
          <w:rFonts w:ascii="Arial" w:hAnsi="Arial" w:cs="Arial"/>
          <w:sz w:val="18"/>
          <w:szCs w:val="18"/>
          <w:lang w:val="el-GR" w:eastAsia="el-GR"/>
        </w:rPr>
        <w:t xml:space="preserve"> που δημοσιεύτηκαν στις 28 Μαρτίου 2024 και </w:t>
      </w:r>
      <w:r w:rsidR="00732410" w:rsidRPr="0056738E">
        <w:rPr>
          <w:rFonts w:ascii="Arial" w:hAnsi="Arial" w:cs="Arial"/>
          <w:sz w:val="18"/>
          <w:szCs w:val="18"/>
          <w:lang w:val="el-GR" w:eastAsia="el-GR"/>
        </w:rPr>
        <w:t>κατά τις οποίες οι ελεγκτές έχουν εκδώσει έκθεση ελεγκτών</w:t>
      </w:r>
      <w:r w:rsidR="00AD13A0" w:rsidRPr="0056738E">
        <w:rPr>
          <w:rFonts w:ascii="Arial" w:hAnsi="Arial" w:cs="Arial"/>
          <w:sz w:val="18"/>
          <w:szCs w:val="18"/>
          <w:lang w:val="el-GR" w:eastAsia="el-GR"/>
        </w:rPr>
        <w:t xml:space="preserve"> </w:t>
      </w:r>
      <w:r w:rsidR="00732410" w:rsidRPr="0056738E">
        <w:rPr>
          <w:rFonts w:ascii="Arial" w:hAnsi="Arial" w:cs="Arial"/>
          <w:sz w:val="18"/>
          <w:szCs w:val="18"/>
          <w:lang w:val="el-GR" w:eastAsia="el-GR"/>
        </w:rPr>
        <w:t xml:space="preserve">χωρίς επιφύλαξη, </w:t>
      </w:r>
      <w:r w:rsidR="00196665" w:rsidRPr="0056738E">
        <w:rPr>
          <w:rFonts w:ascii="Arial" w:hAnsi="Arial" w:cs="Arial"/>
          <w:sz w:val="18"/>
          <w:szCs w:val="18"/>
          <w:lang w:val="el-GR" w:eastAsia="el-GR"/>
        </w:rPr>
        <w:t xml:space="preserve">αναμένεται να κατατεθούν στον Έφορο Εταιριών της Ιρλανδίας εντός 56 ημερών από τις 30 Σεπτεμβρίου </w:t>
      </w:r>
      <w:r w:rsidR="00655337" w:rsidRPr="0056738E">
        <w:rPr>
          <w:rFonts w:ascii="Arial" w:hAnsi="Arial" w:cs="Arial"/>
          <w:sz w:val="18"/>
          <w:szCs w:val="18"/>
          <w:lang w:val="el-GR" w:eastAsia="el-GR"/>
        </w:rPr>
        <w:t>2024</w:t>
      </w:r>
      <w:r w:rsidR="00CB41D9" w:rsidRPr="0056738E">
        <w:rPr>
          <w:rFonts w:ascii="Arial" w:hAnsi="Arial" w:cs="Arial"/>
          <w:sz w:val="18"/>
          <w:szCs w:val="18"/>
          <w:lang w:val="el-GR" w:eastAsia="el-GR"/>
        </w:rPr>
        <w:t>.</w:t>
      </w:r>
      <w:r w:rsidR="00AD13A0" w:rsidRPr="00B97E1B">
        <w:rPr>
          <w:rFonts w:ascii="Arial" w:hAnsi="Arial" w:cs="Arial"/>
          <w:sz w:val="18"/>
          <w:szCs w:val="18"/>
          <w:lang w:val="el-GR" w:eastAsia="el-GR"/>
        </w:rPr>
        <w:t xml:space="preserve"> </w:t>
      </w:r>
      <w:r w:rsidR="00CB41D9" w:rsidRPr="00B97E1B">
        <w:rPr>
          <w:rFonts w:ascii="Arial" w:hAnsi="Arial" w:cs="Arial"/>
          <w:sz w:val="18"/>
          <w:szCs w:val="18"/>
          <w:lang w:val="el-GR" w:eastAsia="el-GR"/>
        </w:rPr>
        <w:t xml:space="preserve">Το Διοικητικό Συμβούλιο ενέκρινε τις </w:t>
      </w:r>
      <w:r w:rsidR="009D6E90" w:rsidRPr="00B97E1B">
        <w:rPr>
          <w:rFonts w:ascii="Arial" w:hAnsi="Arial" w:cs="Arial"/>
          <w:sz w:val="18"/>
          <w:szCs w:val="18"/>
          <w:lang w:val="el-GR" w:eastAsia="el-GR"/>
        </w:rPr>
        <w:t xml:space="preserve">Ενοποιημένες Συνοπτικές </w:t>
      </w:r>
      <w:r w:rsidR="006B29D6" w:rsidRPr="00B97E1B">
        <w:rPr>
          <w:rFonts w:ascii="Arial" w:hAnsi="Arial" w:cs="Arial"/>
          <w:sz w:val="18"/>
          <w:szCs w:val="18"/>
          <w:lang w:val="en-US" w:eastAsia="el-GR"/>
        </w:rPr>
        <w:t>O</w:t>
      </w:r>
      <w:proofErr w:type="spellStart"/>
      <w:r w:rsidR="00CB41D9" w:rsidRPr="00B97E1B">
        <w:rPr>
          <w:rFonts w:ascii="Arial" w:hAnsi="Arial" w:cs="Arial"/>
          <w:sz w:val="18"/>
          <w:szCs w:val="18"/>
          <w:lang w:val="el-GR" w:eastAsia="el-GR"/>
        </w:rPr>
        <w:t>ικονομικές</w:t>
      </w:r>
      <w:proofErr w:type="spellEnd"/>
      <w:r w:rsidR="00CB41D9" w:rsidRPr="00B97E1B">
        <w:rPr>
          <w:rFonts w:ascii="Arial" w:hAnsi="Arial" w:cs="Arial"/>
          <w:sz w:val="18"/>
          <w:szCs w:val="18"/>
          <w:lang w:val="el-GR" w:eastAsia="el-GR"/>
        </w:rPr>
        <w:t xml:space="preserve"> </w:t>
      </w:r>
      <w:r w:rsidR="006B29D6" w:rsidRPr="00B97E1B">
        <w:rPr>
          <w:rFonts w:ascii="Arial" w:hAnsi="Arial" w:cs="Arial"/>
          <w:sz w:val="18"/>
          <w:szCs w:val="18"/>
          <w:lang w:val="en-US" w:eastAsia="el-GR"/>
        </w:rPr>
        <w:t>K</w:t>
      </w:r>
      <w:proofErr w:type="spellStart"/>
      <w:r w:rsidR="00CB41D9" w:rsidRPr="00B97E1B">
        <w:rPr>
          <w:rFonts w:ascii="Arial" w:hAnsi="Arial" w:cs="Arial"/>
          <w:sz w:val="18"/>
          <w:szCs w:val="18"/>
          <w:lang w:val="el-GR" w:eastAsia="el-GR"/>
        </w:rPr>
        <w:t>αταστάσεις</w:t>
      </w:r>
      <w:proofErr w:type="spellEnd"/>
      <w:r w:rsidR="00CB41D9" w:rsidRPr="00B97E1B">
        <w:rPr>
          <w:rFonts w:ascii="Arial" w:hAnsi="Arial" w:cs="Arial"/>
          <w:sz w:val="18"/>
          <w:szCs w:val="18"/>
          <w:lang w:val="el-GR" w:eastAsia="el-GR"/>
        </w:rPr>
        <w:t xml:space="preserve"> του Συγκροτήματος για το </w:t>
      </w:r>
      <w:r w:rsidR="007A2F9B">
        <w:rPr>
          <w:rFonts w:ascii="Arial" w:hAnsi="Arial" w:cs="Arial"/>
          <w:sz w:val="18"/>
          <w:szCs w:val="18"/>
          <w:lang w:val="el-GR" w:eastAsia="el-GR"/>
        </w:rPr>
        <w:t>εννεάμηνο</w:t>
      </w:r>
      <w:r w:rsidR="00CB41D9" w:rsidRPr="00B97E1B">
        <w:rPr>
          <w:rFonts w:ascii="Arial" w:hAnsi="Arial" w:cs="Arial"/>
          <w:sz w:val="18"/>
          <w:szCs w:val="18"/>
          <w:lang w:val="el-GR" w:eastAsia="el-GR"/>
        </w:rPr>
        <w:t xml:space="preserve"> που έληξε στις </w:t>
      </w:r>
      <w:r w:rsidR="00AD13A0" w:rsidRPr="00B97E1B">
        <w:rPr>
          <w:rFonts w:ascii="Arial" w:hAnsi="Arial" w:cs="Arial"/>
          <w:sz w:val="18"/>
          <w:szCs w:val="18"/>
          <w:lang w:val="el-GR" w:eastAsia="el-GR"/>
        </w:rPr>
        <w:t>30</w:t>
      </w:r>
      <w:r w:rsidR="00CB41D9" w:rsidRPr="00B97E1B">
        <w:rPr>
          <w:rFonts w:ascii="Arial" w:hAnsi="Arial" w:cs="Arial"/>
          <w:sz w:val="18"/>
          <w:szCs w:val="18"/>
          <w:lang w:val="el-GR" w:eastAsia="el-GR"/>
        </w:rPr>
        <w:t xml:space="preserve"> </w:t>
      </w:r>
      <w:r w:rsidR="00B97E1B" w:rsidRPr="00B97E1B">
        <w:rPr>
          <w:rFonts w:ascii="Arial" w:hAnsi="Arial" w:cs="Arial"/>
          <w:sz w:val="18"/>
          <w:szCs w:val="18"/>
          <w:lang w:val="el-GR" w:eastAsia="el-GR"/>
        </w:rPr>
        <w:t>Σεπτεμβρίου</w:t>
      </w:r>
      <w:r w:rsidR="00CB41D9" w:rsidRPr="00B97E1B">
        <w:rPr>
          <w:rFonts w:ascii="Arial" w:hAnsi="Arial" w:cs="Arial"/>
          <w:sz w:val="18"/>
          <w:szCs w:val="18"/>
          <w:lang w:val="el-GR" w:eastAsia="el-GR"/>
        </w:rPr>
        <w:t xml:space="preserve"> 2024 στις </w:t>
      </w:r>
      <w:r w:rsidR="00B97E1B" w:rsidRPr="00B97E1B">
        <w:rPr>
          <w:rFonts w:ascii="Arial" w:hAnsi="Arial" w:cs="Arial"/>
          <w:sz w:val="18"/>
          <w:szCs w:val="18"/>
          <w:lang w:val="el-GR" w:eastAsia="el-GR"/>
        </w:rPr>
        <w:t>11</w:t>
      </w:r>
      <w:r w:rsidR="00CB41D9" w:rsidRPr="00B97E1B">
        <w:rPr>
          <w:rFonts w:ascii="Arial" w:hAnsi="Arial" w:cs="Arial"/>
          <w:sz w:val="18"/>
          <w:szCs w:val="18"/>
          <w:lang w:val="el-GR" w:eastAsia="el-GR"/>
        </w:rPr>
        <w:t xml:space="preserve"> </w:t>
      </w:r>
      <w:r w:rsidR="00B97E1B" w:rsidRPr="00B97E1B">
        <w:rPr>
          <w:rFonts w:ascii="Arial" w:hAnsi="Arial" w:cs="Arial"/>
          <w:sz w:val="18"/>
          <w:szCs w:val="18"/>
          <w:lang w:val="el-GR" w:eastAsia="el-GR"/>
        </w:rPr>
        <w:t>Νοεμβρίου</w:t>
      </w:r>
      <w:r w:rsidR="00CB41D9" w:rsidRPr="00B97E1B">
        <w:rPr>
          <w:rFonts w:ascii="Arial" w:hAnsi="Arial" w:cs="Arial"/>
          <w:sz w:val="18"/>
          <w:szCs w:val="18"/>
          <w:lang w:val="el-GR" w:eastAsia="el-GR"/>
        </w:rPr>
        <w:t xml:space="preserve"> 2024.</w:t>
      </w:r>
    </w:p>
    <w:p w14:paraId="11FA5DDD" w14:textId="77777777" w:rsidR="00BC4C32" w:rsidRPr="00B97E1B" w:rsidRDefault="00BC4C32" w:rsidP="00711D11">
      <w:pPr>
        <w:pStyle w:val="Footnote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w:hAnsi="Arial" w:cs="Arial"/>
          <w:sz w:val="18"/>
          <w:szCs w:val="18"/>
          <w:lang w:val="el-GR" w:eastAsia="el-GR"/>
        </w:rPr>
      </w:pPr>
    </w:p>
    <w:p w14:paraId="4CEFA1E1" w14:textId="11A3C402" w:rsidR="00BC4C32" w:rsidRPr="00D41B36" w:rsidRDefault="00BC4C32"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highlight w:val="yellow"/>
          <w:lang w:val="el-GR" w:eastAsia="el-GR"/>
        </w:rPr>
      </w:pPr>
      <w:r w:rsidRPr="00B97E1B">
        <w:rPr>
          <w:rFonts w:ascii="Arial" w:hAnsi="Arial" w:cs="Arial"/>
          <w:b/>
          <w:sz w:val="18"/>
          <w:szCs w:val="18"/>
          <w:lang w:val="el-GR" w:eastAsia="el-GR"/>
        </w:rPr>
        <w:t>Βάση</w:t>
      </w:r>
      <w:r w:rsidRPr="00B97E1B">
        <w:rPr>
          <w:rFonts w:ascii="Arial" w:hAnsi="Arial" w:cs="Arial"/>
          <w:b/>
          <w:sz w:val="20"/>
          <w:lang w:val="el-GR"/>
        </w:rPr>
        <w:t xml:space="preserve"> </w:t>
      </w:r>
      <w:r w:rsidRPr="00B97E1B">
        <w:rPr>
          <w:rFonts w:ascii="Arial" w:hAnsi="Arial" w:cs="Arial"/>
          <w:b/>
          <w:sz w:val="18"/>
          <w:szCs w:val="18"/>
          <w:lang w:val="el-GR" w:eastAsia="el-GR"/>
        </w:rPr>
        <w:t>όπως απαιτείται από τη νομοθεσία:</w:t>
      </w:r>
      <w:r w:rsidRPr="00B97E1B">
        <w:rPr>
          <w:rFonts w:ascii="Arial" w:hAnsi="Arial" w:cs="Arial"/>
          <w:sz w:val="18"/>
          <w:szCs w:val="18"/>
          <w:lang w:val="el-GR" w:eastAsia="el-GR"/>
        </w:rPr>
        <w:t xml:space="preserve"> Η πληροφόρηση με βάση ‘όπως απαιτείται από τη νομοθεσία’ παρατίθεται στις </w:t>
      </w:r>
      <w:r w:rsidRPr="0056738E">
        <w:rPr>
          <w:rFonts w:ascii="Arial" w:hAnsi="Arial" w:cs="Arial"/>
          <w:sz w:val="18"/>
          <w:szCs w:val="18"/>
          <w:lang w:val="el-GR" w:eastAsia="el-GR"/>
        </w:rPr>
        <w:t xml:space="preserve">σελίδες </w:t>
      </w:r>
      <w:r w:rsidR="006D7ED6" w:rsidRPr="0056738E">
        <w:rPr>
          <w:rFonts w:ascii="Arial" w:hAnsi="Arial" w:cs="Arial"/>
          <w:sz w:val="18"/>
          <w:szCs w:val="18"/>
          <w:lang w:val="el-GR" w:eastAsia="el-GR"/>
        </w:rPr>
        <w:t>36-3</w:t>
      </w:r>
      <w:r w:rsidR="0056738E" w:rsidRPr="0056738E">
        <w:rPr>
          <w:rFonts w:ascii="Arial" w:hAnsi="Arial" w:cs="Arial"/>
          <w:sz w:val="18"/>
          <w:szCs w:val="18"/>
          <w:lang w:val="el-GR" w:eastAsia="el-GR"/>
        </w:rPr>
        <w:t>8</w:t>
      </w:r>
      <w:r w:rsidRPr="00B97E1B">
        <w:rPr>
          <w:rFonts w:ascii="Arial" w:hAnsi="Arial" w:cs="Arial"/>
          <w:sz w:val="18"/>
          <w:szCs w:val="18"/>
          <w:lang w:val="el-GR" w:eastAsia="el-GR"/>
        </w:rPr>
        <w:t>.</w:t>
      </w:r>
      <w:r w:rsidR="00B97E1B" w:rsidRPr="00B97E1B">
        <w:rPr>
          <w:rFonts w:ascii="Arial" w:hAnsi="Arial" w:cs="Arial"/>
          <w:sz w:val="18"/>
          <w:szCs w:val="18"/>
          <w:lang w:val="el-GR" w:eastAsia="el-GR"/>
        </w:rPr>
        <w:t xml:space="preserve"> </w:t>
      </w:r>
      <w:r w:rsidRPr="00B97E1B">
        <w:rPr>
          <w:rFonts w:ascii="Arial" w:hAnsi="Arial" w:cs="Arial"/>
          <w:sz w:val="18"/>
          <w:szCs w:val="18"/>
          <w:lang w:val="el-GR" w:eastAsia="el-GR"/>
        </w:rPr>
        <w:t xml:space="preserve">Ωστόσο, διάφοροι παράγοντες έχουν επηρεάσει σημαντικά τη </w:t>
      </w:r>
      <w:proofErr w:type="spellStart"/>
      <w:r w:rsidRPr="00B97E1B">
        <w:rPr>
          <w:rFonts w:ascii="Arial" w:hAnsi="Arial" w:cs="Arial"/>
          <w:sz w:val="18"/>
          <w:szCs w:val="18"/>
          <w:lang w:val="el-GR" w:eastAsia="el-GR"/>
        </w:rPr>
        <w:t>συγκρισιμότητα</w:t>
      </w:r>
      <w:proofErr w:type="spellEnd"/>
      <w:r w:rsidRPr="00B97E1B">
        <w:rPr>
          <w:rFonts w:ascii="Arial" w:hAnsi="Arial" w:cs="Arial"/>
          <w:sz w:val="18"/>
          <w:szCs w:val="18"/>
          <w:lang w:val="el-GR" w:eastAsia="el-GR"/>
        </w:rPr>
        <w:t xml:space="preserve"> της χρηματοοικονομικής θέσης και των αποτελεσμάτων του Συγκροτήματος. Κατά συνέπεια, τα αποτελέσματα παρουσιάζονται επίσης σε υποκείμενη βάση. </w:t>
      </w:r>
    </w:p>
    <w:p w14:paraId="2022103A" w14:textId="77777777" w:rsidR="00BC4C32" w:rsidRPr="00B97E1B" w:rsidRDefault="00BC4C32"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p>
    <w:p w14:paraId="55D55297" w14:textId="238EE8BE" w:rsidR="00BC4C32" w:rsidRPr="00D41B36" w:rsidRDefault="00BC4C32"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highlight w:val="yellow"/>
          <w:lang w:val="el-GR" w:eastAsia="el-GR"/>
        </w:rPr>
      </w:pPr>
      <w:r w:rsidRPr="00B97E1B">
        <w:rPr>
          <w:rFonts w:ascii="Arial" w:hAnsi="Arial" w:cs="Arial"/>
          <w:b/>
          <w:sz w:val="18"/>
          <w:szCs w:val="18"/>
          <w:lang w:val="el-GR" w:eastAsia="el-GR"/>
        </w:rPr>
        <w:t>Υποκείμενη βάση:</w:t>
      </w:r>
      <w:r w:rsidRPr="00B97E1B">
        <w:rPr>
          <w:rFonts w:ascii="Arial" w:hAnsi="Arial" w:cs="Arial"/>
          <w:sz w:val="18"/>
          <w:szCs w:val="18"/>
          <w:lang w:val="el-GR" w:eastAsia="el-GR"/>
        </w:rPr>
        <w:t xml:space="preserve"> Η χρηματοοικονομική πληροφόρηση που παρουσιάζεται στην υποκείμενη βάση παρέχει μια ανασκόπηση των οικονομικών αποτελεσμάτων του Συγκροτήματος για το </w:t>
      </w:r>
      <w:r w:rsidR="007A2F9B">
        <w:rPr>
          <w:rFonts w:ascii="Arial" w:hAnsi="Arial" w:cs="Arial"/>
          <w:sz w:val="18"/>
          <w:szCs w:val="18"/>
          <w:lang w:val="el-GR" w:eastAsia="el-GR"/>
        </w:rPr>
        <w:t>εννεάμηνο</w:t>
      </w:r>
      <w:r w:rsidR="00CB41D9" w:rsidRPr="00B97E1B">
        <w:rPr>
          <w:rFonts w:ascii="Arial" w:hAnsi="Arial" w:cs="Arial"/>
          <w:sz w:val="18"/>
          <w:szCs w:val="18"/>
          <w:lang w:val="el-GR" w:eastAsia="el-GR"/>
        </w:rPr>
        <w:t xml:space="preserve"> </w:t>
      </w:r>
      <w:r w:rsidR="00CF7DE4" w:rsidRPr="00B97E1B">
        <w:rPr>
          <w:rFonts w:ascii="Arial" w:hAnsi="Arial" w:cs="Arial"/>
          <w:sz w:val="18"/>
          <w:szCs w:val="18"/>
          <w:lang w:val="el-GR" w:eastAsia="el-GR"/>
        </w:rPr>
        <w:t xml:space="preserve">που έληξε στις </w:t>
      </w:r>
      <w:r w:rsidR="009D6E90" w:rsidRPr="00B97E1B">
        <w:rPr>
          <w:rFonts w:ascii="Arial" w:hAnsi="Arial" w:cs="Arial"/>
          <w:sz w:val="18"/>
          <w:szCs w:val="18"/>
          <w:lang w:val="el-GR" w:eastAsia="el-GR"/>
        </w:rPr>
        <w:t>30</w:t>
      </w:r>
      <w:r w:rsidR="00CF7DE4" w:rsidRPr="00B97E1B">
        <w:rPr>
          <w:rFonts w:ascii="Arial" w:hAnsi="Arial" w:cs="Arial"/>
          <w:sz w:val="18"/>
          <w:szCs w:val="18"/>
          <w:lang w:val="el-GR" w:eastAsia="el-GR"/>
        </w:rPr>
        <w:t xml:space="preserve"> </w:t>
      </w:r>
      <w:r w:rsidR="00B97E1B" w:rsidRPr="00B97E1B">
        <w:rPr>
          <w:rFonts w:ascii="Arial" w:hAnsi="Arial" w:cs="Arial"/>
          <w:sz w:val="18"/>
          <w:szCs w:val="18"/>
          <w:lang w:val="el-GR" w:eastAsia="el-GR"/>
        </w:rPr>
        <w:t>Σεπτεμβρίου</w:t>
      </w:r>
      <w:r w:rsidR="00CB41D9" w:rsidRPr="00B97E1B">
        <w:rPr>
          <w:rFonts w:ascii="Arial" w:hAnsi="Arial" w:cs="Arial"/>
          <w:sz w:val="18"/>
          <w:szCs w:val="18"/>
          <w:lang w:val="el-GR" w:eastAsia="el-GR"/>
        </w:rPr>
        <w:t xml:space="preserve"> 2024</w:t>
      </w:r>
      <w:r w:rsidRPr="00B97E1B">
        <w:rPr>
          <w:rFonts w:ascii="Arial" w:hAnsi="Arial" w:cs="Arial"/>
          <w:sz w:val="18"/>
          <w:szCs w:val="18"/>
          <w:lang w:val="el-GR" w:eastAsia="el-GR"/>
        </w:rPr>
        <w:t xml:space="preserve">, στην οποία η Διεύθυνση πιστεύει ότι παρουσιάζει καλύτερα την επιμέτρηση της απόδοσης και της θέσης του Συγκροτήματος. Για περισσότερες πληροφορίες, ανατρέξτε στην ενότητα ‘Σχόλια για την υποκείμενη βάση’ </w:t>
      </w:r>
      <w:r w:rsidR="00B97E1B" w:rsidRPr="00B97E1B">
        <w:rPr>
          <w:rFonts w:ascii="Arial" w:hAnsi="Arial" w:cs="Arial"/>
          <w:sz w:val="18"/>
          <w:szCs w:val="18"/>
          <w:lang w:val="el-GR" w:eastAsia="el-GR"/>
        </w:rPr>
        <w:t>στ</w:t>
      </w:r>
      <w:r w:rsidR="006D7ED6">
        <w:rPr>
          <w:rFonts w:ascii="Arial" w:hAnsi="Arial" w:cs="Arial"/>
          <w:sz w:val="18"/>
          <w:szCs w:val="18"/>
          <w:lang w:val="el-GR" w:eastAsia="el-GR"/>
        </w:rPr>
        <w:t>η</w:t>
      </w:r>
      <w:r w:rsidR="00CB41D9" w:rsidRPr="00B97E1B">
        <w:rPr>
          <w:rFonts w:ascii="Arial" w:hAnsi="Arial" w:cs="Arial"/>
          <w:sz w:val="18"/>
          <w:szCs w:val="18"/>
          <w:lang w:val="el-GR" w:eastAsia="el-GR"/>
        </w:rPr>
        <w:t xml:space="preserve"> </w:t>
      </w:r>
      <w:r w:rsidR="00B97E1B" w:rsidRPr="00B97E1B">
        <w:rPr>
          <w:rFonts w:ascii="Arial" w:hAnsi="Arial" w:cs="Arial"/>
          <w:sz w:val="18"/>
          <w:szCs w:val="18"/>
          <w:lang w:val="el-GR" w:eastAsia="el-GR"/>
        </w:rPr>
        <w:t>σελίδ</w:t>
      </w:r>
      <w:r w:rsidR="006D7ED6">
        <w:rPr>
          <w:rFonts w:ascii="Arial" w:hAnsi="Arial" w:cs="Arial"/>
          <w:sz w:val="18"/>
          <w:szCs w:val="18"/>
          <w:lang w:val="el-GR" w:eastAsia="el-GR"/>
        </w:rPr>
        <w:t>α</w:t>
      </w:r>
      <w:r w:rsidR="00CB41D9" w:rsidRPr="00B97E1B">
        <w:rPr>
          <w:rFonts w:ascii="Arial" w:hAnsi="Arial" w:cs="Arial"/>
          <w:sz w:val="18"/>
          <w:szCs w:val="18"/>
          <w:lang w:val="el-GR" w:eastAsia="el-GR"/>
        </w:rPr>
        <w:t xml:space="preserve"> </w:t>
      </w:r>
      <w:r w:rsidR="00B97E1B" w:rsidRPr="00B97E1B">
        <w:rPr>
          <w:rFonts w:ascii="Arial" w:hAnsi="Arial" w:cs="Arial"/>
          <w:color w:val="000000" w:themeColor="text1"/>
          <w:sz w:val="18"/>
          <w:szCs w:val="18"/>
          <w:lang w:val="el-GR" w:eastAsia="el-GR"/>
        </w:rPr>
        <w:t>5</w:t>
      </w:r>
      <w:r w:rsidRPr="00B97E1B">
        <w:rPr>
          <w:rFonts w:ascii="Arial" w:hAnsi="Arial" w:cs="Arial"/>
          <w:color w:val="000000" w:themeColor="text1"/>
          <w:sz w:val="18"/>
          <w:szCs w:val="18"/>
          <w:lang w:val="el-GR" w:eastAsia="el-GR"/>
        </w:rPr>
        <w:t>.</w:t>
      </w:r>
      <w:r w:rsidR="009D1B99" w:rsidRPr="00B97E1B">
        <w:rPr>
          <w:rFonts w:ascii="Arial" w:hAnsi="Arial" w:cs="Arial"/>
          <w:color w:val="FF0000"/>
          <w:sz w:val="18"/>
          <w:szCs w:val="18"/>
          <w:lang w:val="el-GR" w:eastAsia="el-GR"/>
        </w:rPr>
        <w:t xml:space="preserve"> </w:t>
      </w:r>
      <w:r w:rsidRPr="00B97E1B">
        <w:rPr>
          <w:rFonts w:ascii="Arial" w:hAnsi="Arial" w:cs="Arial"/>
          <w:sz w:val="18"/>
          <w:szCs w:val="18"/>
          <w:lang w:val="el-GR" w:eastAsia="el-GR"/>
        </w:rPr>
        <w:t xml:space="preserve">Τα αποτελέσματα στην απαιτούμενη από τη νομοθεσία βάση αναπροσαρμόζονται για ορισμένα στοιχεία (βλέπε </w:t>
      </w:r>
      <w:r w:rsidR="00631D69" w:rsidRPr="00B97E1B">
        <w:rPr>
          <w:rFonts w:ascii="Arial" w:hAnsi="Arial" w:cs="Arial"/>
          <w:sz w:val="18"/>
          <w:szCs w:val="18"/>
          <w:lang w:val="el-GR" w:eastAsia="el-GR"/>
        </w:rPr>
        <w:t xml:space="preserve">Μέρος </w:t>
      </w:r>
      <w:r w:rsidR="005F1DE6">
        <w:rPr>
          <w:rFonts w:ascii="Arial" w:hAnsi="Arial" w:cs="Arial"/>
          <w:sz w:val="18"/>
          <w:szCs w:val="18"/>
          <w:lang w:val="el-GR" w:eastAsia="el-GR"/>
        </w:rPr>
        <w:t>ΣΤ</w:t>
      </w:r>
      <w:r w:rsidR="00631D69" w:rsidRPr="00B97E1B">
        <w:rPr>
          <w:rFonts w:ascii="Arial" w:hAnsi="Arial" w:cs="Arial"/>
          <w:sz w:val="18"/>
          <w:szCs w:val="18"/>
          <w:lang w:val="el-GR" w:eastAsia="el-GR"/>
        </w:rPr>
        <w:t>.1</w:t>
      </w:r>
      <w:r w:rsidRPr="00B97E1B">
        <w:rPr>
          <w:rFonts w:ascii="Arial" w:hAnsi="Arial" w:cs="Arial"/>
          <w:sz w:val="18"/>
          <w:szCs w:val="18"/>
          <w:lang w:val="el-GR" w:eastAsia="el-GR"/>
        </w:rPr>
        <w:t>), ώστε να επιτρέπουν τη σύγκριση τη</w:t>
      </w:r>
      <w:r w:rsidR="009B6002" w:rsidRPr="00B97E1B">
        <w:rPr>
          <w:rFonts w:ascii="Arial" w:hAnsi="Arial" w:cs="Arial"/>
          <w:sz w:val="18"/>
          <w:szCs w:val="18"/>
          <w:lang w:val="el-GR" w:eastAsia="el-GR"/>
        </w:rPr>
        <w:t>ς</w:t>
      </w:r>
      <w:r w:rsidRPr="00B97E1B">
        <w:rPr>
          <w:rFonts w:ascii="Arial" w:hAnsi="Arial" w:cs="Arial"/>
          <w:sz w:val="18"/>
          <w:szCs w:val="18"/>
          <w:lang w:val="el-GR" w:eastAsia="el-GR"/>
        </w:rPr>
        <w:t xml:space="preserve"> υποκείμενης οικονομικής απόδοσης του Συγκροτήματος.</w:t>
      </w:r>
    </w:p>
    <w:p w14:paraId="53657785" w14:textId="76FC59BF" w:rsidR="00E21D0B" w:rsidRPr="00B97E1B" w:rsidRDefault="00E21D0B"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p>
    <w:p w14:paraId="4FC9E461" w14:textId="77777777" w:rsidR="00366668" w:rsidRPr="00B97E1B" w:rsidRDefault="00E21D0B"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r w:rsidRPr="00B97E1B">
        <w:rPr>
          <w:rFonts w:ascii="Arial" w:hAnsi="Arial" w:cs="Arial"/>
          <w:sz w:val="18"/>
          <w:szCs w:val="18"/>
          <w:lang w:val="el-GR" w:eastAsia="el-GR"/>
        </w:rPr>
        <w:t>Η χρηματοοικονομική πληροφόρηση που αναφέρεται</w:t>
      </w:r>
      <w:r w:rsidR="00903D61" w:rsidRPr="00B97E1B">
        <w:rPr>
          <w:rFonts w:ascii="Arial" w:hAnsi="Arial" w:cs="Arial"/>
          <w:sz w:val="18"/>
          <w:szCs w:val="18"/>
          <w:lang w:val="el-GR" w:eastAsia="el-GR"/>
        </w:rPr>
        <w:t xml:space="preserve"> σε αυτή την ανακοίνωση δεν έχει επισκοπηθεί ή ελεγχθεί από τους εξωτερικούς ελεγκτές του Συγκροτήματος.</w:t>
      </w:r>
    </w:p>
    <w:p w14:paraId="6D0E4E9D" w14:textId="1559BF0F" w:rsidR="00E21D0B" w:rsidRPr="00B97E1B" w:rsidRDefault="00E21D0B"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p>
    <w:p w14:paraId="252B53A6" w14:textId="5F6EFAA2" w:rsidR="00FA563D" w:rsidRPr="00B97E1B" w:rsidRDefault="00FA563D"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r w:rsidRPr="00B97E1B">
        <w:rPr>
          <w:rFonts w:ascii="Arial" w:hAnsi="Arial" w:cs="Arial"/>
          <w:sz w:val="18"/>
          <w:szCs w:val="18"/>
          <w:lang w:val="el-GR" w:eastAsia="el-GR"/>
        </w:rPr>
        <w:t xml:space="preserve">Η ανακοίνωση αυτή και η παρουσίαση των Οικονομικών Αποτελεσμάτων του Συγκροτήματος για το </w:t>
      </w:r>
      <w:r w:rsidR="007A2F9B">
        <w:rPr>
          <w:rFonts w:ascii="Arial" w:hAnsi="Arial" w:cs="Arial"/>
          <w:sz w:val="18"/>
          <w:szCs w:val="18"/>
          <w:lang w:val="el-GR" w:eastAsia="el-GR"/>
        </w:rPr>
        <w:t>εννεάμηνο</w:t>
      </w:r>
      <w:r w:rsidR="00CB41D9" w:rsidRPr="00B97E1B">
        <w:rPr>
          <w:rFonts w:ascii="Arial" w:hAnsi="Arial" w:cs="Arial"/>
          <w:sz w:val="18"/>
          <w:szCs w:val="18"/>
          <w:lang w:val="el-GR" w:eastAsia="el-GR"/>
        </w:rPr>
        <w:t xml:space="preserve"> </w:t>
      </w:r>
      <w:r w:rsidR="002357C3" w:rsidRPr="00B97E1B">
        <w:rPr>
          <w:rFonts w:ascii="Arial" w:hAnsi="Arial" w:cs="Arial"/>
          <w:sz w:val="18"/>
          <w:szCs w:val="18"/>
          <w:lang w:val="el-GR" w:eastAsia="el-GR"/>
        </w:rPr>
        <w:t xml:space="preserve">που έληξε στις </w:t>
      </w:r>
      <w:r w:rsidR="00B97E1B" w:rsidRPr="00B97E1B">
        <w:rPr>
          <w:rFonts w:ascii="Arial" w:hAnsi="Arial" w:cs="Arial"/>
          <w:sz w:val="18"/>
          <w:szCs w:val="18"/>
          <w:lang w:val="el-GR" w:eastAsia="el-GR"/>
        </w:rPr>
        <w:t>30</w:t>
      </w:r>
      <w:r w:rsidR="002357C3" w:rsidRPr="00B97E1B">
        <w:rPr>
          <w:rFonts w:ascii="Arial" w:hAnsi="Arial" w:cs="Arial"/>
          <w:sz w:val="18"/>
          <w:szCs w:val="18"/>
          <w:lang w:val="el-GR" w:eastAsia="el-GR"/>
        </w:rPr>
        <w:t xml:space="preserve"> </w:t>
      </w:r>
      <w:r w:rsidR="00B97E1B" w:rsidRPr="00B97E1B">
        <w:rPr>
          <w:rFonts w:ascii="Arial" w:hAnsi="Arial" w:cs="Arial"/>
          <w:sz w:val="18"/>
          <w:szCs w:val="18"/>
          <w:lang w:val="el-GR" w:eastAsia="el-GR"/>
        </w:rPr>
        <w:t>Σεπτεμβρίου</w:t>
      </w:r>
      <w:r w:rsidR="00CB41D9" w:rsidRPr="00B97E1B">
        <w:rPr>
          <w:rFonts w:ascii="Arial" w:hAnsi="Arial" w:cs="Arial"/>
          <w:sz w:val="18"/>
          <w:szCs w:val="18"/>
          <w:lang w:val="el-GR" w:eastAsia="el-GR"/>
        </w:rPr>
        <w:t xml:space="preserve"> 2024 </w:t>
      </w:r>
      <w:r w:rsidRPr="00B97E1B">
        <w:rPr>
          <w:rFonts w:ascii="Arial" w:hAnsi="Arial" w:cs="Arial"/>
          <w:sz w:val="18"/>
          <w:szCs w:val="18"/>
          <w:lang w:val="el-GR" w:eastAsia="el-GR"/>
        </w:rPr>
        <w:t>έχουν αναρτηθεί στην ιστοσελίδα του Συγκροτήματος</w:t>
      </w:r>
      <w:r w:rsidR="00CC6F93" w:rsidRPr="00B97E1B">
        <w:rPr>
          <w:rFonts w:ascii="Arial" w:hAnsi="Arial" w:cs="Arial"/>
          <w:sz w:val="18"/>
          <w:szCs w:val="18"/>
          <w:lang w:val="el-GR" w:eastAsia="el-GR"/>
        </w:rPr>
        <w:t xml:space="preserve"> </w:t>
      </w:r>
      <w:r w:rsidR="00CC6F93" w:rsidRPr="00B97E1B">
        <w:rPr>
          <w:rFonts w:ascii="Arial" w:hAnsi="Arial" w:cs="Arial"/>
          <w:color w:val="0000FF"/>
          <w:sz w:val="18"/>
          <w:szCs w:val="18"/>
          <w:u w:val="single"/>
          <w:lang w:val="el-GR" w:eastAsia="el-GR"/>
        </w:rPr>
        <w:t>www.bankofcyprus.com</w:t>
      </w:r>
      <w:r w:rsidR="00920C17" w:rsidRPr="00B97E1B">
        <w:rPr>
          <w:rFonts w:ascii="Arial" w:hAnsi="Arial" w:cs="Arial"/>
          <w:sz w:val="18"/>
          <w:szCs w:val="18"/>
          <w:lang w:val="el-GR" w:eastAsia="el-GR"/>
        </w:rPr>
        <w:t xml:space="preserve"> </w:t>
      </w:r>
      <w:r w:rsidRPr="00B97E1B">
        <w:rPr>
          <w:rFonts w:ascii="Arial" w:hAnsi="Arial" w:cs="Arial"/>
          <w:sz w:val="18"/>
          <w:szCs w:val="18"/>
          <w:lang w:val="el-GR" w:eastAsia="el-GR"/>
        </w:rPr>
        <w:t>(</w:t>
      </w:r>
      <w:r w:rsidRPr="00B97E1B">
        <w:rPr>
          <w:rFonts w:ascii="Arial" w:hAnsi="Arial" w:cs="Arial"/>
          <w:sz w:val="18"/>
          <w:szCs w:val="18"/>
          <w:lang w:val="en-US" w:eastAsia="el-GR"/>
        </w:rPr>
        <w:t>Group</w:t>
      </w:r>
      <w:r w:rsidRPr="00B97E1B">
        <w:rPr>
          <w:rFonts w:ascii="Arial" w:hAnsi="Arial" w:cs="Arial"/>
          <w:sz w:val="18"/>
          <w:szCs w:val="18"/>
          <w:lang w:val="el-GR" w:eastAsia="el-GR"/>
        </w:rPr>
        <w:t>/Σχέσεις Επενδυτών/Οικονομικά Αποτελέσματα).</w:t>
      </w:r>
    </w:p>
    <w:p w14:paraId="5208582B" w14:textId="77777777" w:rsidR="00FA563D" w:rsidRPr="00B97E1B" w:rsidRDefault="00FA563D"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p>
    <w:p w14:paraId="772C8842" w14:textId="49D48FE6" w:rsidR="00BC4C32" w:rsidRPr="00B97E1B" w:rsidRDefault="00BC4C32"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r w:rsidRPr="00B97E1B">
        <w:rPr>
          <w:rFonts w:ascii="Arial" w:hAnsi="Arial" w:cs="Arial"/>
          <w:b/>
          <w:sz w:val="18"/>
          <w:szCs w:val="18"/>
          <w:lang w:val="el-GR" w:eastAsia="el-GR"/>
        </w:rPr>
        <w:t>Όροι:</w:t>
      </w:r>
      <w:r w:rsidR="002357C3" w:rsidRPr="00B97E1B">
        <w:rPr>
          <w:rFonts w:ascii="Arial" w:hAnsi="Arial" w:cs="Arial"/>
          <w:sz w:val="18"/>
          <w:szCs w:val="18"/>
          <w:lang w:val="el-GR" w:eastAsia="el-GR"/>
        </w:rPr>
        <w:t xml:space="preserve"> </w:t>
      </w:r>
      <w:r w:rsidRPr="00B97E1B">
        <w:rPr>
          <w:rFonts w:ascii="Arial" w:hAnsi="Arial" w:cs="Arial"/>
          <w:sz w:val="18"/>
          <w:szCs w:val="18"/>
          <w:lang w:val="el-GR" w:eastAsia="el-GR"/>
        </w:rPr>
        <w:t xml:space="preserve">Το Συγκρότημα χρησιμοποιεί ορισμένους όρους κατά το σχολιασμό της επιχειρηματικής του απόδοσης και χρηματοοικονομικής του θέσης ως αυτοί ορίζονται στο Μέρος </w:t>
      </w:r>
      <w:r w:rsidR="005F1DE6">
        <w:rPr>
          <w:rFonts w:ascii="Arial" w:hAnsi="Arial" w:cs="Arial"/>
          <w:sz w:val="18"/>
          <w:szCs w:val="18"/>
          <w:lang w:val="el-GR" w:eastAsia="el-GR"/>
        </w:rPr>
        <w:t>Θ</w:t>
      </w:r>
      <w:r w:rsidRPr="00B97E1B">
        <w:rPr>
          <w:rFonts w:ascii="Arial" w:hAnsi="Arial" w:cs="Arial"/>
          <w:sz w:val="18"/>
          <w:szCs w:val="18"/>
          <w:lang w:val="el-GR" w:eastAsia="el-GR"/>
        </w:rPr>
        <w:t xml:space="preserve">, μαζί με επεξηγήσεις.  </w:t>
      </w:r>
    </w:p>
    <w:p w14:paraId="02743DCC" w14:textId="77777777" w:rsidR="00BC4C32" w:rsidRPr="00B97E1B" w:rsidRDefault="00BC4C32"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p>
    <w:p w14:paraId="40736B4A" w14:textId="613A1261" w:rsidR="00BC4C32" w:rsidRPr="00B97E1B" w:rsidRDefault="00BC4C32"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r w:rsidRPr="00B97E1B">
        <w:rPr>
          <w:rFonts w:ascii="Arial" w:hAnsi="Arial" w:cs="Arial"/>
          <w:sz w:val="18"/>
          <w:szCs w:val="18"/>
          <w:lang w:val="el-GR" w:eastAsia="el-GR"/>
        </w:rPr>
        <w:t xml:space="preserve">Τα Οικονομικά Αποτελέσματα του Συγκροτήματος </w:t>
      </w:r>
      <w:r w:rsidR="00CC6F93" w:rsidRPr="00B97E1B">
        <w:rPr>
          <w:rFonts w:ascii="Arial" w:hAnsi="Arial" w:cs="Arial"/>
          <w:sz w:val="18"/>
          <w:szCs w:val="18"/>
          <w:lang w:val="el-GR" w:eastAsia="el-GR"/>
        </w:rPr>
        <w:t xml:space="preserve">για το </w:t>
      </w:r>
      <w:r w:rsidR="007A2F9B">
        <w:rPr>
          <w:rFonts w:ascii="Arial" w:hAnsi="Arial" w:cs="Arial"/>
          <w:sz w:val="18"/>
          <w:szCs w:val="18"/>
          <w:lang w:val="el-GR" w:eastAsia="el-GR"/>
        </w:rPr>
        <w:t>εννεάμηνο</w:t>
      </w:r>
      <w:r w:rsidR="002357C3" w:rsidRPr="00B97E1B">
        <w:rPr>
          <w:rFonts w:ascii="Arial" w:hAnsi="Arial" w:cs="Arial"/>
          <w:sz w:val="18"/>
          <w:szCs w:val="18"/>
          <w:lang w:val="el-GR" w:eastAsia="el-GR"/>
        </w:rPr>
        <w:t xml:space="preserve"> που έληξε στις </w:t>
      </w:r>
      <w:r w:rsidR="009D6E90" w:rsidRPr="00B97E1B">
        <w:rPr>
          <w:rFonts w:ascii="Arial" w:hAnsi="Arial" w:cs="Arial"/>
          <w:sz w:val="18"/>
          <w:szCs w:val="18"/>
          <w:lang w:val="el-GR" w:eastAsia="el-GR"/>
        </w:rPr>
        <w:t>30</w:t>
      </w:r>
      <w:r w:rsidR="002357C3" w:rsidRPr="00B97E1B">
        <w:rPr>
          <w:rFonts w:ascii="Arial" w:hAnsi="Arial" w:cs="Arial"/>
          <w:sz w:val="18"/>
          <w:szCs w:val="18"/>
          <w:lang w:val="el-GR" w:eastAsia="el-GR"/>
        </w:rPr>
        <w:t xml:space="preserve"> </w:t>
      </w:r>
      <w:r w:rsidR="00B97E1B" w:rsidRPr="00B97E1B">
        <w:rPr>
          <w:rFonts w:ascii="Arial" w:hAnsi="Arial" w:cs="Arial"/>
          <w:sz w:val="18"/>
          <w:szCs w:val="18"/>
          <w:lang w:val="el-GR" w:eastAsia="el-GR"/>
        </w:rPr>
        <w:t xml:space="preserve">Σεπτεμβρίου </w:t>
      </w:r>
      <w:r w:rsidR="00CB41D9" w:rsidRPr="00B97E1B">
        <w:rPr>
          <w:rFonts w:ascii="Arial" w:hAnsi="Arial" w:cs="Arial"/>
          <w:sz w:val="18"/>
          <w:szCs w:val="18"/>
          <w:lang w:val="el-GR" w:eastAsia="el-GR"/>
        </w:rPr>
        <w:t xml:space="preserve">2024 </w:t>
      </w:r>
      <w:r w:rsidRPr="00B97E1B">
        <w:rPr>
          <w:rFonts w:ascii="Arial" w:hAnsi="Arial" w:cs="Arial"/>
          <w:sz w:val="18"/>
          <w:szCs w:val="18"/>
          <w:lang w:val="el-GR" w:eastAsia="el-GR"/>
        </w:rPr>
        <w:t xml:space="preserve">παρουσιάζονται σε Ευρώ (€) και όλα τα ποσά στρογγυλοποιούνται ως αναφέρονται. Το κόμμα χρησιμοποιείται για να διαχωρίζει τις χιλιάδες και η τελεία χρησιμοποιείται για να διαχωρίσει τα δεκαδικά σημεία. </w:t>
      </w:r>
    </w:p>
    <w:p w14:paraId="404BD231" w14:textId="2AC1CBC9" w:rsidR="00474C52" w:rsidRPr="00D41B36" w:rsidRDefault="00474C52" w:rsidP="00474C5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highlight w:val="yellow"/>
          <w:lang w:val="el-GR" w:eastAsia="el-GR"/>
        </w:rPr>
      </w:pPr>
    </w:p>
    <w:p w14:paraId="16A6197B" w14:textId="77777777" w:rsidR="00474C52" w:rsidRPr="00D41B36" w:rsidRDefault="00474C52" w:rsidP="00474C52">
      <w:pPr>
        <w:autoSpaceDE w:val="0"/>
        <w:autoSpaceDN w:val="0"/>
        <w:adjustRightInd w:val="0"/>
        <w:spacing w:after="0" w:line="240" w:lineRule="auto"/>
        <w:jc w:val="center"/>
        <w:rPr>
          <w:rFonts w:ascii="Arial" w:hAnsi="Arial" w:cs="Arial"/>
          <w:b/>
          <w:bCs/>
          <w:color w:val="FF9900"/>
          <w:sz w:val="24"/>
          <w:szCs w:val="24"/>
          <w:highlight w:val="yellow"/>
          <w:lang w:val="el-GR"/>
        </w:rPr>
      </w:pPr>
    </w:p>
    <w:p w14:paraId="51F6B314" w14:textId="77777777" w:rsidR="004A142D" w:rsidRPr="00D41B36" w:rsidRDefault="00474C52" w:rsidP="004A142D">
      <w:pPr>
        <w:jc w:val="center"/>
        <w:rPr>
          <w:rFonts w:ascii="Arial" w:hAnsi="Arial" w:cs="Arial"/>
          <w:b/>
          <w:bCs/>
          <w:color w:val="FF9900"/>
          <w:sz w:val="24"/>
          <w:szCs w:val="24"/>
          <w:highlight w:val="yellow"/>
          <w:lang w:val="el-GR"/>
        </w:rPr>
      </w:pPr>
      <w:r w:rsidRPr="00D41B36">
        <w:rPr>
          <w:rFonts w:ascii="Arial" w:hAnsi="Arial" w:cs="Arial"/>
          <w:b/>
          <w:bCs/>
          <w:color w:val="FF9900"/>
          <w:sz w:val="24"/>
          <w:szCs w:val="24"/>
          <w:highlight w:val="yellow"/>
          <w:lang w:val="el-GR"/>
        </w:rPr>
        <w:br w:type="page"/>
      </w:r>
    </w:p>
    <w:p w14:paraId="48902377" w14:textId="77777777" w:rsidR="004A142D" w:rsidRPr="00B97E1B" w:rsidRDefault="004A142D" w:rsidP="004953BA">
      <w:pPr>
        <w:spacing w:after="0" w:line="360" w:lineRule="auto"/>
        <w:jc w:val="center"/>
        <w:rPr>
          <w:rFonts w:ascii="Arial" w:hAnsi="Arial" w:cs="Arial"/>
          <w:b/>
          <w:bCs/>
          <w:color w:val="FF9900"/>
          <w:sz w:val="24"/>
          <w:szCs w:val="24"/>
          <w:lang w:val="el-GR"/>
        </w:rPr>
      </w:pPr>
      <w:bookmarkStart w:id="57" w:name="_Hlk158979273"/>
      <w:r w:rsidRPr="00B97E1B">
        <w:rPr>
          <w:rFonts w:ascii="Arial" w:hAnsi="Arial" w:cs="Arial"/>
          <w:b/>
          <w:bCs/>
          <w:color w:val="FF9900"/>
          <w:sz w:val="24"/>
          <w:szCs w:val="24"/>
          <w:lang w:val="el-GR"/>
        </w:rPr>
        <w:lastRenderedPageBreak/>
        <w:t>Προβλέψεις και Αναφορές για το Μέλλον</w:t>
      </w:r>
    </w:p>
    <w:p w14:paraId="6ABE8B4F" w14:textId="013AF3DC" w:rsidR="004539C2" w:rsidRPr="00B97E1B" w:rsidRDefault="004A142D" w:rsidP="004539C2">
      <w:pPr>
        <w:autoSpaceDE w:val="0"/>
        <w:autoSpaceDN w:val="0"/>
        <w:adjustRightInd w:val="0"/>
        <w:spacing w:after="0" w:line="240" w:lineRule="auto"/>
        <w:jc w:val="both"/>
        <w:rPr>
          <w:rFonts w:ascii="Arial" w:hAnsi="Arial" w:cs="Arial"/>
          <w:sz w:val="18"/>
          <w:szCs w:val="20"/>
          <w:lang w:val="el-GR" w:eastAsia="el-GR"/>
        </w:rPr>
      </w:pPr>
      <w:r w:rsidRPr="00B97E1B">
        <w:rPr>
          <w:rFonts w:ascii="Arial" w:hAnsi="Arial" w:cs="Arial"/>
          <w:sz w:val="18"/>
          <w:szCs w:val="20"/>
          <w:lang w:val="el-GR" w:eastAsia="el-GR"/>
        </w:rPr>
        <w:t xml:space="preserve">Το παρόν έγγραφο περιέχει ορισμένες αναφορές για το μέλλον, οι οποίες συνήθως προσδιορίζονται με τη χρήση όρων όπως </w:t>
      </w:r>
      <w:r w:rsidR="00590419" w:rsidRPr="00B97E1B">
        <w:rPr>
          <w:rFonts w:ascii="Arial" w:hAnsi="Arial" w:cs="Arial"/>
          <w:sz w:val="18"/>
          <w:szCs w:val="20"/>
          <w:lang w:val="el-GR" w:eastAsia="el-GR"/>
        </w:rPr>
        <w:t>‘</w:t>
      </w:r>
      <w:r w:rsidRPr="00B97E1B">
        <w:rPr>
          <w:rFonts w:ascii="Arial" w:hAnsi="Arial" w:cs="Arial"/>
          <w:sz w:val="18"/>
          <w:szCs w:val="20"/>
          <w:lang w:val="el-GR" w:eastAsia="el-GR"/>
        </w:rPr>
        <w:t>προσδοκά</w:t>
      </w:r>
      <w:r w:rsidR="00590419" w:rsidRPr="00B97E1B">
        <w:rPr>
          <w:rFonts w:ascii="Arial" w:hAnsi="Arial" w:cs="Arial"/>
          <w:sz w:val="18"/>
          <w:szCs w:val="20"/>
          <w:lang w:val="el-GR" w:eastAsia="el-GR"/>
        </w:rPr>
        <w:t>’</w:t>
      </w:r>
      <w:r w:rsidRPr="00B97E1B">
        <w:rPr>
          <w:rFonts w:ascii="Arial" w:hAnsi="Arial" w:cs="Arial"/>
          <w:sz w:val="18"/>
          <w:szCs w:val="20"/>
          <w:lang w:val="el-GR" w:eastAsia="el-GR"/>
        </w:rPr>
        <w:t xml:space="preserve">, </w:t>
      </w:r>
      <w:r w:rsidR="00590419" w:rsidRPr="00B97E1B">
        <w:rPr>
          <w:rFonts w:ascii="Arial" w:hAnsi="Arial" w:cs="Arial"/>
          <w:sz w:val="18"/>
          <w:szCs w:val="20"/>
          <w:lang w:val="el-GR" w:eastAsia="el-GR"/>
        </w:rPr>
        <w:t>‘</w:t>
      </w:r>
      <w:r w:rsidRPr="00B97E1B">
        <w:rPr>
          <w:rFonts w:ascii="Arial" w:hAnsi="Arial" w:cs="Arial"/>
          <w:sz w:val="18"/>
          <w:szCs w:val="20"/>
          <w:lang w:val="el-GR" w:eastAsia="el-GR"/>
        </w:rPr>
        <w:t>θα πρέπει να είναι</w:t>
      </w:r>
      <w:r w:rsidR="00590419" w:rsidRPr="00B97E1B">
        <w:rPr>
          <w:rFonts w:ascii="Arial" w:hAnsi="Arial" w:cs="Arial"/>
          <w:sz w:val="18"/>
          <w:szCs w:val="20"/>
          <w:lang w:val="el-GR" w:eastAsia="el-GR"/>
        </w:rPr>
        <w:t>’</w:t>
      </w:r>
      <w:r w:rsidRPr="00B97E1B">
        <w:rPr>
          <w:rFonts w:ascii="Arial" w:hAnsi="Arial" w:cs="Arial"/>
          <w:sz w:val="18"/>
          <w:szCs w:val="20"/>
          <w:lang w:val="el-GR" w:eastAsia="el-GR"/>
        </w:rPr>
        <w:t xml:space="preserve">, </w:t>
      </w:r>
      <w:r w:rsidR="00590419" w:rsidRPr="00B97E1B">
        <w:rPr>
          <w:rFonts w:ascii="Arial" w:hAnsi="Arial" w:cs="Arial"/>
          <w:sz w:val="18"/>
          <w:szCs w:val="20"/>
          <w:lang w:val="el-GR" w:eastAsia="el-GR"/>
        </w:rPr>
        <w:t>‘</w:t>
      </w:r>
      <w:r w:rsidRPr="00B97E1B">
        <w:rPr>
          <w:rFonts w:ascii="Arial" w:hAnsi="Arial" w:cs="Arial"/>
          <w:sz w:val="18"/>
          <w:szCs w:val="20"/>
          <w:lang w:val="el-GR" w:eastAsia="el-GR"/>
        </w:rPr>
        <w:t>θα είναι</w:t>
      </w:r>
      <w:r w:rsidR="00590419" w:rsidRPr="00B97E1B">
        <w:rPr>
          <w:rFonts w:ascii="Arial" w:hAnsi="Arial" w:cs="Arial"/>
          <w:sz w:val="18"/>
          <w:szCs w:val="20"/>
          <w:lang w:val="el-GR" w:eastAsia="el-GR"/>
        </w:rPr>
        <w:t>’</w:t>
      </w:r>
      <w:r w:rsidRPr="00B97E1B">
        <w:rPr>
          <w:rFonts w:ascii="Arial" w:hAnsi="Arial" w:cs="Arial"/>
          <w:sz w:val="18"/>
          <w:szCs w:val="20"/>
          <w:lang w:val="el-GR" w:eastAsia="el-GR"/>
        </w:rPr>
        <w:t xml:space="preserve"> και παρόμοιες εκφράσεις ή παραλλαγές τους,</w:t>
      </w:r>
      <w:r w:rsidRPr="00B97E1B">
        <w:rPr>
          <w:rFonts w:ascii="Arial" w:hAnsi="Arial" w:cs="Arial"/>
          <w:lang w:val="el-GR"/>
        </w:rPr>
        <w:t xml:space="preserve"> </w:t>
      </w:r>
      <w:r w:rsidRPr="00B97E1B">
        <w:rPr>
          <w:rFonts w:ascii="Arial" w:hAnsi="Arial" w:cs="Arial"/>
          <w:sz w:val="18"/>
          <w:szCs w:val="20"/>
          <w:lang w:val="el-GR" w:eastAsia="el-GR"/>
        </w:rPr>
        <w:t xml:space="preserve">ή την αρνητική μεταβολή τους, αλλά η απουσία τους δεν σημαίνει ότι η αναφορά δεν αναφέρεται στο μέλλον. Παραδείγματα αναφορών για το μέλλον περιλαμβάνουν, αλλά δεν περιορίζονται σε, δηλώσεις σχετικά με τις βραχυπρόθεσμες, μεσοπρόθεσμες και μακροπρόθεσμες μελλοντικές κεφαλαιακές απαιτήσεις και κεφαλαιακούς δείκτες, τις προθέσεις του Συγκροτήματος, τις πεποιθήσεις ή τις τρέχουσες εκτιμήσεις και προβλέψεις αναφορικά με τα μελλοντικά λειτουργικά αποτελέσματα, τη χρηματοοικονομική κατάσταση, τις αναμενόμενες </w:t>
      </w:r>
      <w:proofErr w:type="spellStart"/>
      <w:r w:rsidRPr="00B97E1B">
        <w:rPr>
          <w:rFonts w:ascii="Arial" w:hAnsi="Arial" w:cs="Arial"/>
          <w:sz w:val="18"/>
          <w:szCs w:val="20"/>
          <w:lang w:val="el-GR" w:eastAsia="el-GR"/>
        </w:rPr>
        <w:t>απομειώσεις</w:t>
      </w:r>
      <w:proofErr w:type="spellEnd"/>
      <w:r w:rsidRPr="00B97E1B">
        <w:rPr>
          <w:rFonts w:ascii="Arial" w:hAnsi="Arial" w:cs="Arial"/>
          <w:sz w:val="18"/>
          <w:szCs w:val="20"/>
          <w:lang w:val="el-GR" w:eastAsia="el-GR"/>
        </w:rPr>
        <w:t xml:space="preserve">, το μέγεθος του ισολογισμού, τη ρευστότητα, την επίδοση, των προοπτικών, την αναμενόμενη ανάπτυξη, τις προβλέψεις, τις </w:t>
      </w:r>
      <w:proofErr w:type="spellStart"/>
      <w:r w:rsidRPr="00B97E1B">
        <w:rPr>
          <w:rFonts w:ascii="Arial" w:hAnsi="Arial" w:cs="Arial"/>
          <w:sz w:val="18"/>
          <w:szCs w:val="20"/>
          <w:lang w:val="el-GR" w:eastAsia="el-GR"/>
        </w:rPr>
        <w:t>απομειώσεις</w:t>
      </w:r>
      <w:proofErr w:type="spellEnd"/>
      <w:r w:rsidRPr="00B97E1B">
        <w:rPr>
          <w:rFonts w:ascii="Arial" w:hAnsi="Arial" w:cs="Arial"/>
          <w:sz w:val="18"/>
          <w:szCs w:val="20"/>
          <w:lang w:val="el-GR" w:eastAsia="el-GR"/>
        </w:rPr>
        <w:t>, τις επιχειρηματικές στρατηγικές και τις ευκαιρίες του Συγκροτήματος. Από τη φύση τους, οι προβλέψεις και αναφορές για το μέλλον εμπεριέχουν κινδύνους και αβεβαιότητες επειδή σχετίζονται με γεγονότα και εξαρτώνται από περιστάσεις που θα συμβούν ή πιθανόν να συμβούν στο μέλλον. Παράγοντες οι οποίοι θα μπορούσαν να προκαλέσουν ουσιαστική διαφορά μεταξύ των πραγματικών εργασιών, της στρατηγικής και/ή των αποτελεσμάτων του Συγκροτήματος και των σχεδίων, των στόχων, των προσδοκιών, των εκτιμήσεων και των προθέσεων του Συγκροτήματος, οι οποίες εκφράστηκαν σε παρόμοιες δηλώσεις προβλέψεων και αναφορών για το μέλλον από το Συγκρότημα, περιλαμβάνουν, αλλά δεν περιορίζονται σε: γενικές οικονομικές και πολιτικές συνθήκες στην Κύπρο και σε άλλα κράτη μέλη της Ευρωπαϊκής Ένωσης (ΕΕ), διακυμάνσεις των επιτοκίων και των συναλλαγματικών ισοτιμιών, νομοθετικές, δημοσιονομικές και κανονιστικές εξελίξεις και κινδύνους σχετικά με την τεχνολογία και πληροφορική, επιδικίες και άλλους λειτουργικούς κινδύνους, δυσμενείς συνθήκες της αγοράς, αντίκτυπο  εξάρσεων, επιδημιών ή πανδημιών</w:t>
      </w:r>
      <w:r w:rsidR="004A6861" w:rsidRPr="00B97E1B">
        <w:rPr>
          <w:rFonts w:ascii="Arial" w:hAnsi="Arial" w:cs="Arial"/>
          <w:sz w:val="18"/>
          <w:szCs w:val="20"/>
          <w:lang w:val="el-GR" w:eastAsia="el-GR"/>
        </w:rPr>
        <w:t xml:space="preserve"> και γεωπολιτικών εξελίξεων. </w:t>
      </w:r>
      <w:r w:rsidRPr="00B97E1B">
        <w:rPr>
          <w:rFonts w:ascii="Arial" w:eastAsia="Arial" w:hAnsi="Arial" w:cs="Arial"/>
          <w:bCs/>
          <w:iCs/>
          <w:sz w:val="18"/>
          <w:szCs w:val="18"/>
          <w:lang w:val="el-GR"/>
        </w:rPr>
        <w:t>Αυτό δημιουργεί σημαντικά αυξημένη αβεβαιότητα σε σχέση με τις προβλέψεις και αναφορές για το μέλλον.</w:t>
      </w:r>
      <w:r w:rsidRPr="00B97E1B">
        <w:rPr>
          <w:rFonts w:ascii="Arial" w:hAnsi="Arial" w:cs="Arial"/>
          <w:color w:val="FF0000"/>
          <w:sz w:val="18"/>
          <w:szCs w:val="18"/>
          <w:lang w:val="el-GR"/>
        </w:rPr>
        <w:t xml:space="preserve"> </w:t>
      </w:r>
      <w:r w:rsidRPr="00B97E1B">
        <w:rPr>
          <w:rFonts w:ascii="Arial" w:hAnsi="Arial" w:cs="Arial"/>
          <w:sz w:val="18"/>
          <w:szCs w:val="20"/>
          <w:lang w:val="el-GR" w:eastAsia="el-GR"/>
        </w:rPr>
        <w:t xml:space="preserve">Σε περίπτωση που συμβεί κάποιος ή περισσότεροι από αυτούς ή άλλοι παράγοντες, ή εάν οι υποκείμενες υποθέσεις αποδειχθούν λανθασμένες, τα πραγματικά αποτελέσματα ή τα γεγονότα ενδέχεται να διαφέρουν σημαντικά από εκείνα που αναμένονται αυτήν την περίοδο όπως αντικατοπτρίζονται σε τέτοιες δηλώσεις προβλέψεων και αναφορών για το μέλλον. Οι δηλώσεις που αναφέρονται στο παρόν έγγραφο ισχύουν μόνο κατά την ημερομηνία δημοσίευσης του παρόντος εγγράφου. Εκτός εάν απαιτείται από οποιονδήποτε εφαρμοστέο νόμο ή κανονισμό, το Συγκρότημα αποποιείται ρητά οποιαδήποτε υποχρέωση ή δέσμευση να δημοσιοποιήσει τυχόν </w:t>
      </w:r>
      <w:proofErr w:type="spellStart"/>
      <w:r w:rsidRPr="00B97E1B">
        <w:rPr>
          <w:rFonts w:ascii="Arial" w:hAnsi="Arial" w:cs="Arial"/>
          <w:sz w:val="18"/>
          <w:szCs w:val="20"/>
          <w:lang w:val="el-GR" w:eastAsia="el-GR"/>
        </w:rPr>
        <w:t>επικαιροποιήσεις</w:t>
      </w:r>
      <w:proofErr w:type="spellEnd"/>
      <w:r w:rsidRPr="00B97E1B">
        <w:rPr>
          <w:rFonts w:ascii="Arial" w:hAnsi="Arial" w:cs="Arial"/>
          <w:sz w:val="18"/>
          <w:szCs w:val="20"/>
          <w:lang w:val="el-GR" w:eastAsia="el-GR"/>
        </w:rPr>
        <w:t xml:space="preserve"> ή αναθεωρήσεις αναφορικά με οποιεσδήποτε προβλέψεις που συμπεριλαμβάνονται στο παρόν έγγραφο, ώστε να αντικατοπτρίζει οποιαδήποτε αλλαγή στις προσδοκίες του Συγκροτήματος ή οποιαδήποτε αλλαγή γεγονότων ή περιστάσεων στις οποίες βασίζεται οποιαδήποτε δήλωση.</w:t>
      </w:r>
      <w:r w:rsidR="0001349D" w:rsidRPr="00B97E1B">
        <w:rPr>
          <w:rFonts w:ascii="Arial" w:hAnsi="Arial" w:cs="Arial"/>
          <w:sz w:val="18"/>
          <w:szCs w:val="20"/>
          <w:lang w:val="el-GR" w:eastAsia="el-GR"/>
        </w:rPr>
        <w:t xml:space="preserve"> </w:t>
      </w:r>
      <w:r w:rsidR="004539C2" w:rsidRPr="00B97E1B">
        <w:rPr>
          <w:rFonts w:ascii="Arial" w:hAnsi="Arial" w:cs="Arial"/>
          <w:sz w:val="18"/>
          <w:szCs w:val="20"/>
          <w:lang w:val="el-GR" w:eastAsia="el-GR"/>
        </w:rPr>
        <w:t>Αλλαγές στα λογιστικά πρότυπα</w:t>
      </w:r>
      <w:r w:rsidR="00962B59" w:rsidRPr="00B97E1B">
        <w:rPr>
          <w:rFonts w:ascii="Arial" w:hAnsi="Arial" w:cs="Arial"/>
          <w:sz w:val="18"/>
          <w:szCs w:val="20"/>
          <w:lang w:val="el-GR" w:eastAsia="el-GR"/>
        </w:rPr>
        <w:t>,</w:t>
      </w:r>
      <w:r w:rsidR="000823B1" w:rsidRPr="00B97E1B">
        <w:rPr>
          <w:rFonts w:ascii="Arial" w:hAnsi="Arial" w:cs="Arial"/>
          <w:sz w:val="18"/>
          <w:szCs w:val="20"/>
          <w:lang w:val="el-GR" w:eastAsia="el-GR"/>
        </w:rPr>
        <w:t xml:space="preserve"> </w:t>
      </w:r>
      <w:r w:rsidR="004539C2" w:rsidRPr="00B97E1B">
        <w:rPr>
          <w:rFonts w:ascii="Arial" w:hAnsi="Arial" w:cs="Arial"/>
          <w:sz w:val="18"/>
          <w:szCs w:val="20"/>
          <w:lang w:val="el-GR" w:eastAsia="el-GR"/>
        </w:rPr>
        <w:t>μπορεί να έχουν σημαντική επίδραση στο τρόπο παρουσίασης των οικονομικών μας καταστάσεων και</w:t>
      </w:r>
      <w:r w:rsidR="000823B1" w:rsidRPr="00B97E1B">
        <w:rPr>
          <w:rFonts w:ascii="Arial" w:hAnsi="Arial" w:cs="Arial"/>
          <w:sz w:val="18"/>
          <w:szCs w:val="20"/>
          <w:lang w:val="el-GR" w:eastAsia="el-GR"/>
        </w:rPr>
        <w:t xml:space="preserve"> </w:t>
      </w:r>
      <w:r w:rsidR="004539C2" w:rsidRPr="00B97E1B">
        <w:rPr>
          <w:rFonts w:ascii="Arial" w:hAnsi="Arial" w:cs="Arial"/>
          <w:sz w:val="18"/>
          <w:szCs w:val="20"/>
          <w:lang w:val="el-GR" w:eastAsia="el-GR"/>
        </w:rPr>
        <w:t>μπορεί να επηρεάσει αρνητικά την κερδοφορία των ασφαλιστικών δραστηριοτήτων του Συγκροτήματος.</w:t>
      </w:r>
    </w:p>
    <w:p w14:paraId="66A95371" w14:textId="77777777" w:rsidR="004A142D" w:rsidRPr="00D41B36" w:rsidRDefault="004A142D" w:rsidP="004A142D">
      <w:pPr>
        <w:autoSpaceDE w:val="0"/>
        <w:autoSpaceDN w:val="0"/>
        <w:adjustRightInd w:val="0"/>
        <w:spacing w:after="0" w:line="240" w:lineRule="auto"/>
        <w:jc w:val="center"/>
        <w:rPr>
          <w:rFonts w:ascii="Arial" w:hAnsi="Arial" w:cs="Arial"/>
          <w:b/>
          <w:bCs/>
          <w:color w:val="FF9900"/>
          <w:sz w:val="24"/>
          <w:szCs w:val="24"/>
          <w:highlight w:val="yellow"/>
          <w:lang w:val="el-GR"/>
        </w:rPr>
      </w:pPr>
    </w:p>
    <w:p w14:paraId="5510D7F3" w14:textId="77777777" w:rsidR="004A142D" w:rsidRPr="00D41B36" w:rsidRDefault="004A142D" w:rsidP="00326C29">
      <w:pPr>
        <w:spacing w:after="0" w:line="240" w:lineRule="auto"/>
        <w:ind w:right="-20"/>
        <w:jc w:val="both"/>
        <w:rPr>
          <w:rFonts w:ascii="Arial" w:eastAsia="Arial" w:hAnsi="Arial" w:cs="Arial"/>
          <w:bCs/>
          <w:sz w:val="18"/>
          <w:szCs w:val="18"/>
          <w:highlight w:val="yellow"/>
          <w:lang w:val="el-GR"/>
        </w:rPr>
      </w:pPr>
    </w:p>
    <w:bookmarkEnd w:id="57"/>
    <w:p w14:paraId="0239779F" w14:textId="77777777" w:rsidR="004A142D" w:rsidRPr="00B97E1B" w:rsidRDefault="004A142D" w:rsidP="004A142D">
      <w:pPr>
        <w:spacing w:after="0" w:line="240" w:lineRule="auto"/>
        <w:ind w:right="-20"/>
        <w:jc w:val="both"/>
        <w:rPr>
          <w:rFonts w:ascii="Arial" w:eastAsia="Arial" w:hAnsi="Arial" w:cs="Arial"/>
          <w:bCs/>
          <w:sz w:val="18"/>
          <w:szCs w:val="18"/>
          <w:lang w:val="el-GR"/>
        </w:rPr>
      </w:pPr>
    </w:p>
    <w:p w14:paraId="71AEC947" w14:textId="77777777" w:rsidR="004A142D" w:rsidRPr="00B97E1B" w:rsidRDefault="004A142D" w:rsidP="004A142D">
      <w:pPr>
        <w:spacing w:after="0" w:line="240" w:lineRule="auto"/>
        <w:ind w:right="-20"/>
        <w:jc w:val="both"/>
        <w:rPr>
          <w:rFonts w:ascii="Arial" w:eastAsia="Arial" w:hAnsi="Arial" w:cs="Arial"/>
          <w:bCs/>
          <w:sz w:val="18"/>
          <w:szCs w:val="18"/>
          <w:lang w:val="el-GR"/>
        </w:rPr>
      </w:pPr>
    </w:p>
    <w:p w14:paraId="596CA3AD" w14:textId="77777777" w:rsidR="004A142D" w:rsidRPr="00B97E1B" w:rsidRDefault="004A142D" w:rsidP="004953BA">
      <w:pPr>
        <w:spacing w:after="0" w:line="360" w:lineRule="auto"/>
        <w:jc w:val="center"/>
        <w:rPr>
          <w:rFonts w:ascii="Arial" w:hAnsi="Arial" w:cs="Arial"/>
          <w:b/>
          <w:color w:val="FF9900"/>
          <w:szCs w:val="24"/>
          <w:lang w:val="el-GR"/>
        </w:rPr>
      </w:pPr>
      <w:r w:rsidRPr="00B97E1B">
        <w:rPr>
          <w:rFonts w:ascii="Arial" w:hAnsi="Arial" w:cs="Arial"/>
          <w:b/>
          <w:color w:val="FF9900"/>
          <w:szCs w:val="24"/>
          <w:lang w:val="el-GR"/>
        </w:rPr>
        <w:t>Επικοινωνία</w:t>
      </w:r>
    </w:p>
    <w:p w14:paraId="37D01092" w14:textId="77777777" w:rsidR="004A142D" w:rsidRPr="00B97E1B" w:rsidRDefault="004A142D" w:rsidP="00711D11">
      <w:pPr>
        <w:pStyle w:val="BodyText3"/>
        <w:jc w:val="center"/>
        <w:rPr>
          <w:rFonts w:ascii="Arial" w:hAnsi="Arial" w:cs="Arial"/>
          <w:color w:val="000000"/>
          <w:sz w:val="18"/>
          <w:szCs w:val="13"/>
          <w:lang w:val="el-GR"/>
        </w:rPr>
      </w:pPr>
      <w:r w:rsidRPr="00B97E1B">
        <w:rPr>
          <w:rFonts w:ascii="Arial" w:hAnsi="Arial" w:cs="Arial"/>
          <w:color w:val="000000"/>
          <w:sz w:val="18"/>
          <w:szCs w:val="13"/>
          <w:lang w:val="el-GR"/>
        </w:rPr>
        <w:t>Για περισσότερες πληροφορίες μπορείτε να επικοινωνήσετε με:</w:t>
      </w:r>
    </w:p>
    <w:p w14:paraId="44187A05" w14:textId="77777777" w:rsidR="004A142D" w:rsidRPr="00B97E1B" w:rsidRDefault="004A142D" w:rsidP="00711D11">
      <w:pPr>
        <w:pStyle w:val="BodyText3"/>
        <w:jc w:val="center"/>
        <w:rPr>
          <w:rFonts w:ascii="Arial" w:hAnsi="Arial" w:cs="Arial"/>
          <w:b/>
          <w:color w:val="000000"/>
          <w:sz w:val="18"/>
          <w:szCs w:val="13"/>
          <w:lang w:val="el-GR"/>
        </w:rPr>
      </w:pPr>
      <w:r w:rsidRPr="00B97E1B">
        <w:rPr>
          <w:rFonts w:ascii="Arial" w:hAnsi="Arial" w:cs="Arial"/>
          <w:b/>
          <w:color w:val="000000"/>
          <w:sz w:val="18"/>
          <w:szCs w:val="13"/>
          <w:lang w:val="el-GR"/>
        </w:rPr>
        <w:t>Σχέσεις Επενδυτών</w:t>
      </w:r>
    </w:p>
    <w:p w14:paraId="7A0DE881" w14:textId="77777777" w:rsidR="004A142D" w:rsidRPr="00B97E1B" w:rsidRDefault="004A142D" w:rsidP="00711D11">
      <w:pPr>
        <w:pStyle w:val="BodyText3"/>
        <w:jc w:val="center"/>
        <w:rPr>
          <w:rFonts w:ascii="Arial" w:hAnsi="Arial" w:cs="Arial"/>
          <w:color w:val="000000"/>
          <w:sz w:val="18"/>
          <w:szCs w:val="13"/>
          <w:lang w:val="el-GR"/>
        </w:rPr>
      </w:pPr>
      <w:r w:rsidRPr="00B97E1B">
        <w:rPr>
          <w:rFonts w:ascii="Arial" w:hAnsi="Arial" w:cs="Arial"/>
          <w:color w:val="000000"/>
          <w:sz w:val="18"/>
          <w:szCs w:val="13"/>
          <w:lang w:val="el-GR"/>
        </w:rPr>
        <w:t>+ 357 22 122239</w:t>
      </w:r>
    </w:p>
    <w:p w14:paraId="029DA324" w14:textId="77777777" w:rsidR="004A142D" w:rsidRPr="00B97E1B" w:rsidRDefault="004A142D" w:rsidP="00711D11">
      <w:pPr>
        <w:pStyle w:val="BodyText3"/>
        <w:jc w:val="center"/>
        <w:rPr>
          <w:rFonts w:ascii="Arial" w:hAnsi="Arial" w:cs="Arial"/>
          <w:color w:val="000000"/>
          <w:sz w:val="18"/>
          <w:szCs w:val="13"/>
          <w:lang w:val="el-GR"/>
        </w:rPr>
      </w:pPr>
      <w:r w:rsidRPr="00B97E1B">
        <w:rPr>
          <w:rFonts w:ascii="Arial" w:hAnsi="Arial" w:cs="Arial"/>
          <w:color w:val="000000"/>
          <w:sz w:val="18"/>
          <w:szCs w:val="13"/>
          <w:lang w:val="en-US"/>
        </w:rPr>
        <w:t>investors</w:t>
      </w:r>
      <w:r w:rsidRPr="00B97E1B">
        <w:rPr>
          <w:rFonts w:ascii="Arial" w:hAnsi="Arial" w:cs="Arial"/>
          <w:color w:val="000000"/>
          <w:sz w:val="18"/>
          <w:szCs w:val="13"/>
          <w:lang w:val="el-GR"/>
        </w:rPr>
        <w:t>@</w:t>
      </w:r>
      <w:proofErr w:type="spellStart"/>
      <w:r w:rsidRPr="00B97E1B">
        <w:rPr>
          <w:rFonts w:ascii="Arial" w:hAnsi="Arial" w:cs="Arial"/>
          <w:color w:val="000000"/>
          <w:sz w:val="18"/>
          <w:szCs w:val="13"/>
        </w:rPr>
        <w:t>bankofcyprus</w:t>
      </w:r>
      <w:proofErr w:type="spellEnd"/>
      <w:r w:rsidRPr="00B97E1B">
        <w:rPr>
          <w:rFonts w:ascii="Arial" w:hAnsi="Arial" w:cs="Arial"/>
          <w:color w:val="000000"/>
          <w:sz w:val="18"/>
          <w:szCs w:val="13"/>
          <w:lang w:val="el-GR"/>
        </w:rPr>
        <w:t>.</w:t>
      </w:r>
      <w:r w:rsidRPr="00B97E1B">
        <w:rPr>
          <w:rFonts w:ascii="Arial" w:hAnsi="Arial" w:cs="Arial"/>
          <w:color w:val="000000"/>
          <w:sz w:val="18"/>
          <w:szCs w:val="13"/>
        </w:rPr>
        <w:t>com</w:t>
      </w:r>
    </w:p>
    <w:p w14:paraId="74883C5F" w14:textId="77777777" w:rsidR="004A142D" w:rsidRPr="00D41B36" w:rsidRDefault="004A142D" w:rsidP="00711D11">
      <w:pPr>
        <w:pStyle w:val="BodyText3"/>
        <w:jc w:val="center"/>
        <w:rPr>
          <w:rFonts w:ascii="Arial" w:hAnsi="Arial" w:cs="Arial"/>
          <w:color w:val="000000"/>
          <w:sz w:val="18"/>
          <w:szCs w:val="13"/>
          <w:highlight w:val="yellow"/>
          <w:lang w:val="el-GR"/>
        </w:rPr>
      </w:pPr>
    </w:p>
    <w:p w14:paraId="2980ED5F" w14:textId="0B0B33A0" w:rsidR="004A142D" w:rsidRPr="00D41B36" w:rsidRDefault="004A142D" w:rsidP="004A142D">
      <w:pPr>
        <w:pStyle w:val="BodyText3"/>
        <w:jc w:val="both"/>
        <w:rPr>
          <w:rFonts w:ascii="Arial" w:hAnsi="Arial" w:cs="Arial"/>
          <w:color w:val="000000"/>
          <w:sz w:val="18"/>
          <w:szCs w:val="18"/>
          <w:highlight w:val="yellow"/>
          <w:lang w:val="el-GR"/>
        </w:rPr>
      </w:pPr>
    </w:p>
    <w:p w14:paraId="47C8332D" w14:textId="38C68213" w:rsidR="00711D11" w:rsidRPr="00D41B36" w:rsidRDefault="00711D11" w:rsidP="004A142D">
      <w:pPr>
        <w:pStyle w:val="BodyText3"/>
        <w:jc w:val="both"/>
        <w:rPr>
          <w:rFonts w:ascii="Arial" w:hAnsi="Arial" w:cs="Arial"/>
          <w:color w:val="000000"/>
          <w:sz w:val="18"/>
          <w:szCs w:val="18"/>
          <w:highlight w:val="yellow"/>
          <w:lang w:val="el-GR"/>
        </w:rPr>
      </w:pPr>
    </w:p>
    <w:p w14:paraId="3278E1F4" w14:textId="492B6D89" w:rsidR="00711D11" w:rsidRPr="00D41B36" w:rsidRDefault="00711D11" w:rsidP="004A142D">
      <w:pPr>
        <w:pStyle w:val="BodyText3"/>
        <w:jc w:val="both"/>
        <w:rPr>
          <w:rFonts w:ascii="Arial" w:hAnsi="Arial" w:cs="Arial"/>
          <w:color w:val="000000"/>
          <w:sz w:val="18"/>
          <w:szCs w:val="18"/>
          <w:highlight w:val="yellow"/>
          <w:lang w:val="el-GR"/>
        </w:rPr>
      </w:pPr>
    </w:p>
    <w:p w14:paraId="2777E194" w14:textId="77777777" w:rsidR="00E96A9E" w:rsidRPr="00D41B36" w:rsidRDefault="00E96A9E" w:rsidP="004A142D">
      <w:pPr>
        <w:pStyle w:val="BodyText3"/>
        <w:jc w:val="both"/>
        <w:rPr>
          <w:rFonts w:ascii="Arial" w:hAnsi="Arial" w:cs="Arial"/>
          <w:color w:val="000000"/>
          <w:sz w:val="18"/>
          <w:szCs w:val="18"/>
          <w:highlight w:val="yellow"/>
          <w:lang w:val="el-GR"/>
        </w:rPr>
      </w:pPr>
    </w:p>
    <w:p w14:paraId="5A2D38CB" w14:textId="77777777" w:rsidR="00E96A9E" w:rsidRPr="00D41B36" w:rsidRDefault="00E96A9E" w:rsidP="004A142D">
      <w:pPr>
        <w:pStyle w:val="BodyText3"/>
        <w:jc w:val="both"/>
        <w:rPr>
          <w:rFonts w:ascii="Arial" w:hAnsi="Arial" w:cs="Arial"/>
          <w:color w:val="000000"/>
          <w:sz w:val="18"/>
          <w:szCs w:val="18"/>
          <w:highlight w:val="yellow"/>
          <w:lang w:val="el-GR"/>
        </w:rPr>
      </w:pPr>
    </w:p>
    <w:p w14:paraId="583917BC" w14:textId="77777777" w:rsidR="00E96A9E" w:rsidRPr="00D41B36" w:rsidRDefault="00E96A9E" w:rsidP="004A142D">
      <w:pPr>
        <w:pStyle w:val="BodyText3"/>
        <w:jc w:val="both"/>
        <w:rPr>
          <w:rFonts w:ascii="Arial" w:hAnsi="Arial" w:cs="Arial"/>
          <w:color w:val="000000"/>
          <w:sz w:val="18"/>
          <w:szCs w:val="18"/>
          <w:highlight w:val="yellow"/>
          <w:lang w:val="el-GR"/>
        </w:rPr>
      </w:pPr>
    </w:p>
    <w:p w14:paraId="314835C4" w14:textId="77777777" w:rsidR="00E96A9E" w:rsidRPr="00D41B36" w:rsidRDefault="00E96A9E" w:rsidP="004A142D">
      <w:pPr>
        <w:pStyle w:val="BodyText3"/>
        <w:jc w:val="both"/>
        <w:rPr>
          <w:rFonts w:ascii="Arial" w:hAnsi="Arial" w:cs="Arial"/>
          <w:color w:val="000000"/>
          <w:sz w:val="18"/>
          <w:szCs w:val="18"/>
          <w:highlight w:val="yellow"/>
          <w:lang w:val="el-GR"/>
        </w:rPr>
      </w:pPr>
    </w:p>
    <w:p w14:paraId="3FD82CF3" w14:textId="77777777" w:rsidR="00E96A9E" w:rsidRPr="00D41B36" w:rsidRDefault="00E96A9E" w:rsidP="004A142D">
      <w:pPr>
        <w:pStyle w:val="BodyText3"/>
        <w:jc w:val="both"/>
        <w:rPr>
          <w:rFonts w:ascii="Arial" w:hAnsi="Arial" w:cs="Arial"/>
          <w:color w:val="000000"/>
          <w:sz w:val="18"/>
          <w:szCs w:val="18"/>
          <w:highlight w:val="yellow"/>
          <w:lang w:val="el-GR"/>
        </w:rPr>
      </w:pPr>
    </w:p>
    <w:p w14:paraId="6858FFE4" w14:textId="77777777" w:rsidR="00E96A9E" w:rsidRPr="00D41B36" w:rsidRDefault="00E96A9E" w:rsidP="004A142D">
      <w:pPr>
        <w:pStyle w:val="BodyText3"/>
        <w:jc w:val="both"/>
        <w:rPr>
          <w:rFonts w:ascii="Arial" w:hAnsi="Arial" w:cs="Arial"/>
          <w:color w:val="000000"/>
          <w:sz w:val="18"/>
          <w:szCs w:val="18"/>
          <w:highlight w:val="yellow"/>
          <w:lang w:val="el-GR"/>
        </w:rPr>
      </w:pPr>
    </w:p>
    <w:p w14:paraId="22160553" w14:textId="0DC98EAE" w:rsidR="00711D11" w:rsidRPr="00D41B36" w:rsidRDefault="00711D11" w:rsidP="004A142D">
      <w:pPr>
        <w:pStyle w:val="BodyText3"/>
        <w:jc w:val="both"/>
        <w:rPr>
          <w:rFonts w:ascii="Arial" w:hAnsi="Arial" w:cs="Arial"/>
          <w:color w:val="000000"/>
          <w:sz w:val="18"/>
          <w:szCs w:val="18"/>
          <w:highlight w:val="yellow"/>
          <w:lang w:val="el-GR"/>
        </w:rPr>
      </w:pPr>
    </w:p>
    <w:p w14:paraId="087357E5" w14:textId="1C8F7990" w:rsidR="00711D11" w:rsidRPr="00D41B36" w:rsidRDefault="00711D11" w:rsidP="004A142D">
      <w:pPr>
        <w:pStyle w:val="BodyText3"/>
        <w:jc w:val="both"/>
        <w:rPr>
          <w:rFonts w:ascii="Arial" w:hAnsi="Arial" w:cs="Arial"/>
          <w:color w:val="000000"/>
          <w:sz w:val="18"/>
          <w:szCs w:val="18"/>
          <w:highlight w:val="yellow"/>
          <w:lang w:val="el-GR"/>
        </w:rPr>
      </w:pPr>
    </w:p>
    <w:p w14:paraId="47374508" w14:textId="1C8B0666" w:rsidR="00711D11" w:rsidRPr="00D41B36" w:rsidRDefault="00711D11" w:rsidP="004A142D">
      <w:pPr>
        <w:pStyle w:val="BodyText3"/>
        <w:jc w:val="both"/>
        <w:rPr>
          <w:rFonts w:ascii="Arial" w:hAnsi="Arial" w:cs="Arial"/>
          <w:color w:val="000000"/>
          <w:sz w:val="18"/>
          <w:szCs w:val="18"/>
          <w:highlight w:val="yellow"/>
          <w:lang w:val="el-GR"/>
        </w:rPr>
      </w:pPr>
    </w:p>
    <w:p w14:paraId="1C814223" w14:textId="0A4FBDCC" w:rsidR="00711D11" w:rsidRPr="00D41B36" w:rsidRDefault="00711D11" w:rsidP="004A142D">
      <w:pPr>
        <w:pStyle w:val="BodyText3"/>
        <w:jc w:val="both"/>
        <w:rPr>
          <w:rFonts w:ascii="Arial" w:hAnsi="Arial" w:cs="Arial"/>
          <w:color w:val="000000"/>
          <w:sz w:val="18"/>
          <w:szCs w:val="18"/>
          <w:highlight w:val="yellow"/>
          <w:lang w:val="el-GR"/>
        </w:rPr>
      </w:pPr>
    </w:p>
    <w:p w14:paraId="10115EE7" w14:textId="439A615F" w:rsidR="00711D11" w:rsidRPr="00D41B36" w:rsidRDefault="00711D11" w:rsidP="004A142D">
      <w:pPr>
        <w:pStyle w:val="BodyText3"/>
        <w:jc w:val="both"/>
        <w:rPr>
          <w:rFonts w:ascii="Arial" w:hAnsi="Arial" w:cs="Arial"/>
          <w:color w:val="000000"/>
          <w:sz w:val="18"/>
          <w:szCs w:val="18"/>
          <w:highlight w:val="yellow"/>
          <w:lang w:val="el-GR"/>
        </w:rPr>
      </w:pPr>
    </w:p>
    <w:p w14:paraId="149656A7" w14:textId="33BC65E4" w:rsidR="00711D11" w:rsidRDefault="00711D11" w:rsidP="004A142D">
      <w:pPr>
        <w:pStyle w:val="BodyText3"/>
        <w:jc w:val="both"/>
        <w:rPr>
          <w:rFonts w:ascii="Arial" w:eastAsiaTheme="minorEastAsia" w:hAnsi="Arial" w:cs="Arial"/>
          <w:color w:val="FF9900"/>
          <w:sz w:val="18"/>
          <w:szCs w:val="18"/>
          <w:highlight w:val="yellow"/>
          <w:lang w:val="en-US" w:eastAsia="en-GB"/>
        </w:rPr>
      </w:pPr>
    </w:p>
    <w:p w14:paraId="02641923" w14:textId="77777777" w:rsidR="0056738E" w:rsidRPr="0056738E" w:rsidRDefault="0056738E" w:rsidP="004A142D">
      <w:pPr>
        <w:pStyle w:val="BodyText3"/>
        <w:jc w:val="both"/>
        <w:rPr>
          <w:rFonts w:ascii="Arial" w:eastAsiaTheme="minorEastAsia" w:hAnsi="Arial" w:cs="Arial"/>
          <w:color w:val="FF9900"/>
          <w:sz w:val="18"/>
          <w:szCs w:val="18"/>
          <w:highlight w:val="yellow"/>
          <w:lang w:val="en-US" w:eastAsia="en-GB"/>
        </w:rPr>
      </w:pPr>
    </w:p>
    <w:p w14:paraId="02673FFE" w14:textId="77777777" w:rsidR="004A142D" w:rsidRPr="00D41B36" w:rsidRDefault="004A142D" w:rsidP="004A142D">
      <w:pPr>
        <w:pStyle w:val="BodyText3"/>
        <w:jc w:val="both"/>
        <w:rPr>
          <w:rFonts w:ascii="Arial" w:eastAsiaTheme="minorEastAsia" w:hAnsi="Arial" w:cs="Arial"/>
          <w:color w:val="FF9900"/>
          <w:sz w:val="18"/>
          <w:szCs w:val="18"/>
          <w:highlight w:val="yellow"/>
          <w:lang w:val="el-GR" w:eastAsia="en-GB"/>
        </w:rPr>
      </w:pPr>
    </w:p>
    <w:p w14:paraId="6F8DAAB3" w14:textId="77777777" w:rsidR="00416385" w:rsidRPr="00B97E1B" w:rsidRDefault="00416385" w:rsidP="004A142D">
      <w:pPr>
        <w:autoSpaceDE w:val="0"/>
        <w:autoSpaceDN w:val="0"/>
        <w:adjustRightInd w:val="0"/>
        <w:spacing w:after="0" w:line="240" w:lineRule="auto"/>
        <w:jc w:val="both"/>
        <w:rPr>
          <w:rFonts w:ascii="Arial" w:hAnsi="Arial" w:cs="Arial"/>
          <w:color w:val="FF9900"/>
          <w:sz w:val="18"/>
          <w:szCs w:val="18"/>
          <w:lang w:val="el-GR"/>
        </w:rPr>
      </w:pPr>
    </w:p>
    <w:p w14:paraId="5E4FAA13" w14:textId="1427866A" w:rsidR="00AE2DB9" w:rsidRPr="00EB611F" w:rsidRDefault="004A142D">
      <w:pPr>
        <w:autoSpaceDE w:val="0"/>
        <w:autoSpaceDN w:val="0"/>
        <w:adjustRightInd w:val="0"/>
        <w:spacing w:after="0" w:line="240" w:lineRule="auto"/>
        <w:jc w:val="both"/>
        <w:rPr>
          <w:rFonts w:ascii="Arial" w:hAnsi="Arial" w:cs="Arial"/>
          <w:color w:val="FF9900"/>
          <w:sz w:val="18"/>
          <w:szCs w:val="18"/>
          <w:lang w:val="el-GR"/>
        </w:rPr>
      </w:pPr>
      <w:proofErr w:type="spellStart"/>
      <w:r w:rsidRPr="00B97E1B">
        <w:rPr>
          <w:rFonts w:ascii="Arial" w:hAnsi="Arial" w:cs="Arial"/>
          <w:color w:val="FF9900"/>
          <w:sz w:val="18"/>
          <w:szCs w:val="18"/>
          <w:lang w:val="el-GR"/>
        </w:rPr>
        <w:t>Tο</w:t>
      </w:r>
      <w:proofErr w:type="spellEnd"/>
      <w:r w:rsidRPr="00B97E1B">
        <w:rPr>
          <w:rFonts w:ascii="Arial" w:hAnsi="Arial" w:cs="Arial"/>
          <w:color w:val="FF9900"/>
          <w:sz w:val="18"/>
          <w:szCs w:val="18"/>
          <w:lang w:val="el-GR"/>
        </w:rPr>
        <w:t xml:space="preserve"> Συγκρότημα Τράπεζας Κύπρου είναι ο μεγαλύτερος χρηματοοικονομικός οργανισμός στην Κύπρο και προσφέρει ένα ευρύ φάσμα χρηματοοικονομικών προϊόντων και υπηρεσιών που περιλαμβάνει τραπεζικές υπηρεσίες, χρηματοδοτήσεις, </w:t>
      </w:r>
      <w:proofErr w:type="spellStart"/>
      <w:r w:rsidRPr="00B97E1B">
        <w:rPr>
          <w:rFonts w:ascii="Arial" w:hAnsi="Arial" w:cs="Arial"/>
          <w:color w:val="FF9900"/>
          <w:sz w:val="18"/>
          <w:szCs w:val="18"/>
          <w:lang w:val="el-GR"/>
        </w:rPr>
        <w:t>φάκτοριγκ</w:t>
      </w:r>
      <w:proofErr w:type="spellEnd"/>
      <w:r w:rsidRPr="00B97E1B">
        <w:rPr>
          <w:rFonts w:ascii="Arial" w:hAnsi="Arial" w:cs="Arial"/>
          <w:color w:val="FF9900"/>
          <w:sz w:val="18"/>
          <w:szCs w:val="18"/>
          <w:lang w:val="el-GR"/>
        </w:rPr>
        <w:t xml:space="preserve">, </w:t>
      </w:r>
      <w:proofErr w:type="spellStart"/>
      <w:r w:rsidRPr="00B97E1B">
        <w:rPr>
          <w:rFonts w:ascii="Arial" w:hAnsi="Arial" w:cs="Arial"/>
          <w:color w:val="FF9900"/>
          <w:sz w:val="18"/>
          <w:szCs w:val="18"/>
          <w:lang w:val="el-GR"/>
        </w:rPr>
        <w:t>χρηματοεπενδυτικές</w:t>
      </w:r>
      <w:proofErr w:type="spellEnd"/>
      <w:r w:rsidRPr="00B97E1B">
        <w:rPr>
          <w:rFonts w:ascii="Arial" w:hAnsi="Arial" w:cs="Arial"/>
          <w:color w:val="FF9900"/>
          <w:sz w:val="18"/>
          <w:szCs w:val="18"/>
          <w:lang w:val="el-GR"/>
        </w:rPr>
        <w:t xml:space="preserve"> υπηρεσίες, διαχείριση κεφαλαίων και ασφάλειες γενικού κλάδου και ζωής. Στις </w:t>
      </w:r>
      <w:r w:rsidR="007A315A" w:rsidRPr="00B97E1B">
        <w:rPr>
          <w:rFonts w:ascii="Arial" w:hAnsi="Arial" w:cs="Arial"/>
          <w:color w:val="FF9900"/>
          <w:sz w:val="18"/>
          <w:szCs w:val="18"/>
          <w:lang w:val="el-GR"/>
        </w:rPr>
        <w:t>30</w:t>
      </w:r>
      <w:r w:rsidR="004C1CB1" w:rsidRPr="00B97E1B">
        <w:rPr>
          <w:rFonts w:ascii="Arial" w:hAnsi="Arial" w:cs="Arial"/>
          <w:color w:val="FF9900"/>
          <w:sz w:val="18"/>
          <w:szCs w:val="18"/>
          <w:lang w:val="el-GR"/>
        </w:rPr>
        <w:t xml:space="preserve"> </w:t>
      </w:r>
      <w:r w:rsidR="00B97E1B" w:rsidRPr="00B97E1B">
        <w:rPr>
          <w:rFonts w:ascii="Arial" w:hAnsi="Arial" w:cs="Arial"/>
          <w:color w:val="FF9900"/>
          <w:sz w:val="18"/>
          <w:szCs w:val="18"/>
          <w:lang w:val="el-GR"/>
        </w:rPr>
        <w:t>Σεπτεμβρίου</w:t>
      </w:r>
      <w:r w:rsidR="00FB2221" w:rsidRPr="00B97E1B">
        <w:rPr>
          <w:rFonts w:ascii="Arial" w:hAnsi="Arial" w:cs="Arial"/>
          <w:color w:val="FF9900"/>
          <w:sz w:val="18"/>
          <w:szCs w:val="18"/>
          <w:lang w:val="el-GR"/>
        </w:rPr>
        <w:t xml:space="preserve"> 2024</w:t>
      </w:r>
      <w:r w:rsidRPr="00B97E1B">
        <w:rPr>
          <w:rFonts w:ascii="Arial" w:hAnsi="Arial" w:cs="Arial"/>
          <w:color w:val="FF9900"/>
          <w:sz w:val="18"/>
          <w:szCs w:val="18"/>
          <w:lang w:val="el-GR"/>
        </w:rPr>
        <w:t>,</w:t>
      </w:r>
      <w:r w:rsidR="00865B42" w:rsidRPr="00B97E1B">
        <w:rPr>
          <w:rFonts w:ascii="Arial" w:hAnsi="Arial" w:cs="Arial"/>
          <w:color w:val="FF9900"/>
          <w:sz w:val="18"/>
          <w:szCs w:val="18"/>
          <w:lang w:val="el-GR"/>
        </w:rPr>
        <w:t xml:space="preserve"> </w:t>
      </w:r>
      <w:r w:rsidRPr="00B97E1B">
        <w:rPr>
          <w:rFonts w:ascii="Arial" w:hAnsi="Arial" w:cs="Arial"/>
          <w:color w:val="FF9900"/>
          <w:sz w:val="18"/>
          <w:szCs w:val="18"/>
          <w:lang w:val="el-GR"/>
        </w:rPr>
        <w:t xml:space="preserve">το Συγκρότημα Τράπεζας Κύπρου λειτουργούσε </w:t>
      </w:r>
      <w:r w:rsidRPr="007A7DD5">
        <w:rPr>
          <w:rFonts w:ascii="Arial" w:hAnsi="Arial" w:cs="Arial"/>
          <w:color w:val="FF9900"/>
          <w:sz w:val="18"/>
          <w:szCs w:val="18"/>
          <w:lang w:val="el-GR"/>
        </w:rPr>
        <w:t xml:space="preserve">μέσω </w:t>
      </w:r>
      <w:r w:rsidR="00B97E1B" w:rsidRPr="007A7DD5">
        <w:rPr>
          <w:rFonts w:ascii="Arial" w:hAnsi="Arial" w:cs="Arial"/>
          <w:color w:val="FF9900"/>
          <w:sz w:val="18"/>
          <w:szCs w:val="18"/>
          <w:lang w:val="el-GR"/>
        </w:rPr>
        <w:t>57</w:t>
      </w:r>
      <w:r w:rsidR="00FB2221" w:rsidRPr="007A7DD5">
        <w:rPr>
          <w:rFonts w:ascii="Arial" w:hAnsi="Arial" w:cs="Arial"/>
          <w:color w:val="FF9900"/>
          <w:sz w:val="18"/>
          <w:szCs w:val="18"/>
          <w:lang w:val="el-GR"/>
        </w:rPr>
        <w:t xml:space="preserve"> </w:t>
      </w:r>
      <w:r w:rsidRPr="007A7DD5">
        <w:rPr>
          <w:rFonts w:ascii="Arial" w:hAnsi="Arial" w:cs="Arial"/>
          <w:color w:val="FF9900"/>
          <w:sz w:val="18"/>
          <w:szCs w:val="18"/>
          <w:lang w:val="el-GR"/>
        </w:rPr>
        <w:t xml:space="preserve">καταστημάτων στην Κύπρο, εκ των οποίων τα </w:t>
      </w:r>
      <w:r w:rsidR="00B97E1B" w:rsidRPr="007A7DD5">
        <w:rPr>
          <w:rFonts w:ascii="Arial" w:hAnsi="Arial" w:cs="Arial"/>
          <w:color w:val="FF9900"/>
          <w:sz w:val="18"/>
          <w:szCs w:val="18"/>
          <w:lang w:val="el-GR"/>
        </w:rPr>
        <w:t>2</w:t>
      </w:r>
      <w:r w:rsidR="00FB2221" w:rsidRPr="007A7DD5">
        <w:rPr>
          <w:rFonts w:ascii="Arial" w:hAnsi="Arial" w:cs="Arial"/>
          <w:color w:val="FF9900"/>
          <w:sz w:val="18"/>
          <w:szCs w:val="18"/>
          <w:lang w:val="el-GR"/>
        </w:rPr>
        <w:t xml:space="preserve"> </w:t>
      </w:r>
      <w:r w:rsidRPr="007A7DD5">
        <w:rPr>
          <w:rFonts w:ascii="Arial" w:hAnsi="Arial" w:cs="Arial"/>
          <w:color w:val="FF9900"/>
          <w:sz w:val="18"/>
          <w:szCs w:val="18"/>
          <w:lang w:val="el-GR"/>
        </w:rPr>
        <w:t xml:space="preserve">λειτουργούσαν ως θυρίδες. Το Συγκρότημα Τράπεζας Κύπρου </w:t>
      </w:r>
      <w:proofErr w:type="spellStart"/>
      <w:r w:rsidRPr="007A7DD5">
        <w:rPr>
          <w:rFonts w:ascii="Arial" w:hAnsi="Arial" w:cs="Arial"/>
          <w:color w:val="FF9900"/>
          <w:sz w:val="18"/>
          <w:szCs w:val="18"/>
          <w:lang w:val="el-GR"/>
        </w:rPr>
        <w:t>εργοδοτούσε</w:t>
      </w:r>
      <w:proofErr w:type="spellEnd"/>
      <w:r w:rsidRPr="007A7DD5">
        <w:rPr>
          <w:rFonts w:ascii="Arial" w:hAnsi="Arial" w:cs="Arial"/>
          <w:color w:val="FF9900"/>
          <w:sz w:val="18"/>
          <w:szCs w:val="18"/>
          <w:lang w:val="el-GR"/>
        </w:rPr>
        <w:t xml:space="preserve"> </w:t>
      </w:r>
      <w:r w:rsidR="007A315A" w:rsidRPr="007A7DD5">
        <w:rPr>
          <w:rFonts w:ascii="Arial" w:hAnsi="Arial" w:cs="Arial"/>
          <w:color w:val="FF9900"/>
          <w:sz w:val="18"/>
          <w:szCs w:val="18"/>
          <w:lang w:val="el-GR"/>
        </w:rPr>
        <w:t>2,8</w:t>
      </w:r>
      <w:r w:rsidR="00B97E1B" w:rsidRPr="007A7DD5">
        <w:rPr>
          <w:rFonts w:ascii="Arial" w:hAnsi="Arial" w:cs="Arial"/>
          <w:color w:val="FF9900"/>
          <w:sz w:val="18"/>
          <w:szCs w:val="18"/>
          <w:lang w:val="el-GR"/>
        </w:rPr>
        <w:t>74</w:t>
      </w:r>
      <w:r w:rsidR="007A315A" w:rsidRPr="007A7DD5">
        <w:rPr>
          <w:rFonts w:ascii="Arial" w:hAnsi="Arial" w:cs="Arial"/>
          <w:color w:val="FF9900"/>
          <w:sz w:val="18"/>
          <w:szCs w:val="18"/>
          <w:lang w:val="el-GR"/>
        </w:rPr>
        <w:t xml:space="preserve"> </w:t>
      </w:r>
      <w:r w:rsidRPr="007A7DD5">
        <w:rPr>
          <w:rFonts w:ascii="Arial" w:hAnsi="Arial" w:cs="Arial"/>
          <w:color w:val="FF9900"/>
          <w:sz w:val="18"/>
          <w:szCs w:val="18"/>
          <w:lang w:val="el-GR"/>
        </w:rPr>
        <w:t>άτομα διεθνώς</w:t>
      </w:r>
      <w:r w:rsidR="007A30ED" w:rsidRPr="007A7DD5">
        <w:rPr>
          <w:rFonts w:ascii="Arial" w:hAnsi="Arial" w:cs="Arial"/>
          <w:color w:val="FF9900"/>
          <w:sz w:val="18"/>
          <w:szCs w:val="18"/>
          <w:lang w:val="el-GR"/>
        </w:rPr>
        <w:t>.</w:t>
      </w:r>
      <w:r w:rsidRPr="007A7DD5">
        <w:rPr>
          <w:rFonts w:ascii="Arial" w:hAnsi="Arial" w:cs="Arial"/>
          <w:color w:val="FF9900"/>
          <w:sz w:val="18"/>
          <w:szCs w:val="18"/>
          <w:lang w:val="el-GR"/>
        </w:rPr>
        <w:t xml:space="preserve"> </w:t>
      </w:r>
      <w:r w:rsidR="0004132F" w:rsidRPr="007A7DD5">
        <w:rPr>
          <w:rFonts w:ascii="Arial" w:hAnsi="Arial" w:cs="Arial"/>
          <w:color w:val="FF9900"/>
          <w:sz w:val="18"/>
          <w:szCs w:val="18"/>
          <w:lang w:val="el-GR"/>
        </w:rPr>
        <w:t xml:space="preserve">Στις </w:t>
      </w:r>
      <w:r w:rsidR="007A315A" w:rsidRPr="007A7DD5">
        <w:rPr>
          <w:rFonts w:ascii="Arial" w:hAnsi="Arial" w:cs="Arial"/>
          <w:color w:val="FF9900"/>
          <w:sz w:val="18"/>
          <w:szCs w:val="18"/>
          <w:lang w:val="el-GR"/>
        </w:rPr>
        <w:t xml:space="preserve">30 </w:t>
      </w:r>
      <w:r w:rsidR="00B97E1B" w:rsidRPr="007A7DD5">
        <w:rPr>
          <w:rFonts w:ascii="Arial" w:hAnsi="Arial" w:cs="Arial"/>
          <w:color w:val="FF9900"/>
          <w:sz w:val="18"/>
          <w:szCs w:val="18"/>
          <w:lang w:val="el-GR"/>
        </w:rPr>
        <w:t xml:space="preserve">Σεπτεμβρίου </w:t>
      </w:r>
      <w:r w:rsidR="00FB2221" w:rsidRPr="007A7DD5">
        <w:rPr>
          <w:rFonts w:ascii="Arial" w:hAnsi="Arial" w:cs="Arial"/>
          <w:color w:val="FF9900"/>
          <w:sz w:val="18"/>
          <w:szCs w:val="18"/>
          <w:lang w:val="el-GR"/>
        </w:rPr>
        <w:t>2024</w:t>
      </w:r>
      <w:r w:rsidR="0004132F" w:rsidRPr="007A7DD5">
        <w:rPr>
          <w:rFonts w:ascii="Arial" w:hAnsi="Arial" w:cs="Arial"/>
          <w:color w:val="FF9900"/>
          <w:sz w:val="18"/>
          <w:szCs w:val="18"/>
          <w:lang w:val="el-GR"/>
        </w:rPr>
        <w:t>,</w:t>
      </w:r>
      <w:r w:rsidR="007A7DD5" w:rsidRPr="007A7DD5">
        <w:rPr>
          <w:rFonts w:ascii="Arial" w:hAnsi="Arial" w:cs="Arial"/>
          <w:color w:val="FF9900"/>
          <w:sz w:val="18"/>
          <w:szCs w:val="18"/>
          <w:lang w:val="el-GR"/>
        </w:rPr>
        <w:t xml:space="preserve"> </w:t>
      </w:r>
      <w:r w:rsidR="0004132F" w:rsidRPr="007A7DD5">
        <w:rPr>
          <w:rFonts w:ascii="Arial" w:hAnsi="Arial" w:cs="Arial"/>
          <w:color w:val="FF9900"/>
          <w:sz w:val="18"/>
          <w:szCs w:val="18"/>
          <w:lang w:val="el-GR"/>
        </w:rPr>
        <w:t xml:space="preserve">το Σύνολο Περιουσιακών Στοιχείων ανερχόταν σε </w:t>
      </w:r>
      <w:r w:rsidR="00EB611F" w:rsidRPr="007A7DD5">
        <w:rPr>
          <w:rFonts w:ascii="Arial" w:hAnsi="Arial" w:cs="Arial"/>
          <w:color w:val="FF9900"/>
          <w:sz w:val="18"/>
          <w:szCs w:val="18"/>
          <w:lang w:val="el-GR"/>
        </w:rPr>
        <w:t>€</w:t>
      </w:r>
      <w:r w:rsidR="007A315A" w:rsidRPr="007A7DD5">
        <w:rPr>
          <w:rFonts w:ascii="Arial" w:hAnsi="Arial" w:cs="Arial"/>
          <w:color w:val="FF9900"/>
          <w:sz w:val="18"/>
          <w:szCs w:val="18"/>
          <w:lang w:val="el-GR"/>
        </w:rPr>
        <w:t>25.</w:t>
      </w:r>
      <w:r w:rsidR="007A7DD5" w:rsidRPr="007A7DD5">
        <w:rPr>
          <w:rFonts w:ascii="Arial" w:hAnsi="Arial" w:cs="Arial"/>
          <w:color w:val="FF9900"/>
          <w:sz w:val="18"/>
          <w:szCs w:val="18"/>
          <w:lang w:val="el-GR"/>
        </w:rPr>
        <w:t>9</w:t>
      </w:r>
      <w:r w:rsidR="007A315A" w:rsidRPr="007A7DD5">
        <w:rPr>
          <w:rFonts w:ascii="Arial" w:hAnsi="Arial" w:cs="Arial"/>
          <w:color w:val="FF9900"/>
          <w:sz w:val="18"/>
          <w:szCs w:val="18"/>
          <w:lang w:val="el-GR"/>
        </w:rPr>
        <w:t xml:space="preserve"> </w:t>
      </w:r>
      <w:r w:rsidR="0004132F" w:rsidRPr="007A7DD5">
        <w:rPr>
          <w:rFonts w:ascii="Arial" w:hAnsi="Arial" w:cs="Arial"/>
          <w:color w:val="FF9900"/>
          <w:sz w:val="18"/>
          <w:szCs w:val="18"/>
          <w:lang w:val="el-GR"/>
        </w:rPr>
        <w:t>δις και τα Ίδια Κεφάλαια του σε €</w:t>
      </w:r>
      <w:r w:rsidR="007A315A" w:rsidRPr="007A7DD5">
        <w:rPr>
          <w:rFonts w:ascii="Arial" w:hAnsi="Arial" w:cs="Arial"/>
          <w:color w:val="FF9900"/>
          <w:sz w:val="18"/>
          <w:szCs w:val="18"/>
          <w:lang w:val="el-GR"/>
        </w:rPr>
        <w:t>2.</w:t>
      </w:r>
      <w:r w:rsidR="007A7DD5" w:rsidRPr="007A7DD5">
        <w:rPr>
          <w:rFonts w:ascii="Arial" w:hAnsi="Arial" w:cs="Arial"/>
          <w:color w:val="FF9900"/>
          <w:sz w:val="18"/>
          <w:szCs w:val="18"/>
          <w:lang w:val="el-GR"/>
        </w:rPr>
        <w:t>8</w:t>
      </w:r>
      <w:r w:rsidR="007A315A" w:rsidRPr="007A7DD5">
        <w:rPr>
          <w:rFonts w:ascii="Arial" w:hAnsi="Arial" w:cs="Arial"/>
          <w:color w:val="FF9900"/>
          <w:sz w:val="18"/>
          <w:szCs w:val="18"/>
          <w:lang w:val="el-GR"/>
        </w:rPr>
        <w:t xml:space="preserve"> </w:t>
      </w:r>
      <w:r w:rsidR="0004132F" w:rsidRPr="007A7DD5">
        <w:rPr>
          <w:rFonts w:ascii="Arial" w:hAnsi="Arial" w:cs="Arial"/>
          <w:color w:val="FF9900"/>
          <w:sz w:val="18"/>
          <w:szCs w:val="18"/>
          <w:lang w:val="el-GR"/>
        </w:rPr>
        <w:t>δις</w:t>
      </w:r>
      <w:r w:rsidR="005C4F70" w:rsidRPr="007A7DD5">
        <w:rPr>
          <w:rFonts w:ascii="Arial" w:hAnsi="Arial" w:cs="Arial"/>
          <w:color w:val="FF9900"/>
          <w:sz w:val="18"/>
          <w:szCs w:val="18"/>
          <w:lang w:val="el-GR"/>
        </w:rPr>
        <w:t>.</w:t>
      </w:r>
      <w:r w:rsidR="0004132F" w:rsidRPr="007A7DD5">
        <w:rPr>
          <w:rFonts w:ascii="Arial" w:hAnsi="Arial" w:cs="Arial"/>
          <w:color w:val="FF9900"/>
          <w:sz w:val="18"/>
          <w:szCs w:val="18"/>
          <w:lang w:val="el-GR"/>
        </w:rPr>
        <w:t xml:space="preserve"> </w:t>
      </w:r>
      <w:r w:rsidRPr="007A7DD5">
        <w:rPr>
          <w:rFonts w:ascii="Arial" w:hAnsi="Arial" w:cs="Arial"/>
          <w:color w:val="FF9900"/>
          <w:sz w:val="18"/>
          <w:szCs w:val="18"/>
          <w:lang w:val="el-GR"/>
        </w:rPr>
        <w:t xml:space="preserve">Το Συγκρότημα Τράπεζας Κύπρου αποτελείται από την Bank of Cyprus Holdings </w:t>
      </w:r>
      <w:proofErr w:type="spellStart"/>
      <w:r w:rsidRPr="007A7DD5">
        <w:rPr>
          <w:rFonts w:ascii="Arial" w:hAnsi="Arial" w:cs="Arial"/>
          <w:color w:val="FF9900"/>
          <w:sz w:val="18"/>
          <w:szCs w:val="18"/>
          <w:lang w:val="el-GR"/>
        </w:rPr>
        <w:t>Public</w:t>
      </w:r>
      <w:proofErr w:type="spellEnd"/>
      <w:r w:rsidRPr="007A7DD5">
        <w:rPr>
          <w:rFonts w:ascii="Arial" w:hAnsi="Arial" w:cs="Arial"/>
          <w:color w:val="FF9900"/>
          <w:sz w:val="18"/>
          <w:szCs w:val="18"/>
          <w:lang w:val="el-GR"/>
        </w:rPr>
        <w:t xml:space="preserve"> </w:t>
      </w:r>
      <w:proofErr w:type="spellStart"/>
      <w:r w:rsidRPr="007A7DD5">
        <w:rPr>
          <w:rFonts w:ascii="Arial" w:hAnsi="Arial" w:cs="Arial"/>
          <w:color w:val="FF9900"/>
          <w:sz w:val="18"/>
          <w:szCs w:val="18"/>
          <w:lang w:val="el-GR"/>
        </w:rPr>
        <w:t>Limited</w:t>
      </w:r>
      <w:proofErr w:type="spellEnd"/>
      <w:r w:rsidRPr="007A7DD5">
        <w:rPr>
          <w:rFonts w:ascii="Arial" w:hAnsi="Arial" w:cs="Arial"/>
          <w:color w:val="FF9900"/>
          <w:sz w:val="18"/>
          <w:szCs w:val="18"/>
          <w:lang w:val="el-GR"/>
        </w:rPr>
        <w:t xml:space="preserve"> </w:t>
      </w:r>
      <w:proofErr w:type="spellStart"/>
      <w:r w:rsidRPr="007A7DD5">
        <w:rPr>
          <w:rFonts w:ascii="Arial" w:hAnsi="Arial" w:cs="Arial"/>
          <w:color w:val="FF9900"/>
          <w:sz w:val="18"/>
          <w:szCs w:val="18"/>
          <w:lang w:val="el-GR"/>
        </w:rPr>
        <w:t>Company</w:t>
      </w:r>
      <w:proofErr w:type="spellEnd"/>
      <w:r w:rsidRPr="007A7DD5">
        <w:rPr>
          <w:rFonts w:ascii="Arial" w:hAnsi="Arial" w:cs="Arial"/>
          <w:color w:val="FF9900"/>
          <w:sz w:val="18"/>
          <w:szCs w:val="18"/>
          <w:lang w:val="el-GR"/>
        </w:rPr>
        <w:t xml:space="preserve">, τη θυγατρική της Τράπεζα Κύπρου Δημόσια Εταιρία </w:t>
      </w:r>
      <w:proofErr w:type="spellStart"/>
      <w:r w:rsidRPr="007A7DD5">
        <w:rPr>
          <w:rFonts w:ascii="Arial" w:hAnsi="Arial" w:cs="Arial"/>
          <w:color w:val="FF9900"/>
          <w:sz w:val="18"/>
          <w:szCs w:val="18"/>
          <w:lang w:val="el-GR"/>
        </w:rPr>
        <w:t>Λίμιτεδ</w:t>
      </w:r>
      <w:proofErr w:type="spellEnd"/>
      <w:r w:rsidRPr="007A7DD5">
        <w:rPr>
          <w:rFonts w:ascii="Arial" w:hAnsi="Arial" w:cs="Arial"/>
          <w:color w:val="FF9900"/>
          <w:sz w:val="18"/>
          <w:szCs w:val="18"/>
          <w:lang w:val="el-GR"/>
        </w:rPr>
        <w:t xml:space="preserve"> και τις θυγατρικές αυτής.</w:t>
      </w:r>
      <w:r w:rsidRPr="00EB611F">
        <w:rPr>
          <w:rFonts w:ascii="Arial" w:hAnsi="Arial" w:cs="Arial"/>
          <w:color w:val="FF9900"/>
          <w:sz w:val="18"/>
          <w:szCs w:val="18"/>
          <w:lang w:val="el-GR"/>
        </w:rPr>
        <w:t xml:space="preserve"> </w:t>
      </w:r>
      <w:bookmarkEnd w:id="56"/>
    </w:p>
    <w:sectPr w:rsidR="00AE2DB9" w:rsidRPr="00EB611F" w:rsidSect="0056738E">
      <w:footerReference w:type="default" r:id="rId20"/>
      <w:pgSz w:w="11906" w:h="16838" w:code="9"/>
      <w:pgMar w:top="1077" w:right="1134" w:bottom="1418" w:left="1077"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5C5B9" w14:textId="77777777" w:rsidR="00143BAD" w:rsidRDefault="00143BAD" w:rsidP="005C0A4E">
      <w:pPr>
        <w:spacing w:after="0" w:line="240" w:lineRule="auto"/>
      </w:pPr>
      <w:r>
        <w:separator/>
      </w:r>
    </w:p>
  </w:endnote>
  <w:endnote w:type="continuationSeparator" w:id="0">
    <w:p w14:paraId="14662FA7" w14:textId="77777777" w:rsidR="00143BAD" w:rsidRDefault="00143BAD" w:rsidP="005C0A4E">
      <w:pPr>
        <w:spacing w:after="0" w:line="240" w:lineRule="auto"/>
      </w:pPr>
      <w:r>
        <w:continuationSeparator/>
      </w:r>
    </w:p>
  </w:endnote>
  <w:endnote w:type="continuationNotice" w:id="1">
    <w:p w14:paraId="1B2AC9C2" w14:textId="77777777" w:rsidR="00143BAD" w:rsidRDefault="00143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83" w:usb1="00000000" w:usb2="00000000" w:usb3="00000000" w:csb0="00000009" w:csb1="00000000"/>
  </w:font>
  <w:font w:name="Calibri">
    <w:panose1 w:val="020F0502020204030204"/>
    <w:charset w:val="A1"/>
    <w:family w:val="swiss"/>
    <w:pitch w:val="variable"/>
    <w:sig w:usb0="E4002EFF" w:usb1="C200247B" w:usb2="00000009" w:usb3="00000000" w:csb0="000001FF" w:csb1="00000000"/>
  </w:font>
  <w:font w:name="Work Sans SemiBold">
    <w:charset w:val="00"/>
    <w:family w:val="auto"/>
    <w:pitch w:val="variable"/>
    <w:sig w:usb0="A00000FF" w:usb1="5000E07B" w:usb2="00000000" w:usb3="00000000" w:csb0="00000193"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Lucida Grande">
    <w:panose1 w:val="00000000000000000000"/>
    <w:charset w:val="00"/>
    <w:family w:val="roman"/>
    <w:notTrueType/>
    <w:pitch w:val="default"/>
  </w:font>
  <w:font w:name="EYInterstate Light">
    <w:altName w:val="Times New Roman"/>
    <w:charset w:val="00"/>
    <w:family w:val="auto"/>
    <w:pitch w:val="default"/>
  </w:font>
  <w:font w:name="PF BeauSans Pro">
    <w:altName w:val="Times New Roman"/>
    <w:panose1 w:val="00000000000000000000"/>
    <w:charset w:val="4D"/>
    <w:family w:val="swiss"/>
    <w:notTrueType/>
    <w:pitch w:val="default"/>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755510"/>
      <w:docPartObj>
        <w:docPartGallery w:val="Page Numbers (Bottom of Page)"/>
        <w:docPartUnique/>
      </w:docPartObj>
    </w:sdtPr>
    <w:sdtEndPr>
      <w:rPr>
        <w:rFonts w:ascii="Arial" w:hAnsi="Arial" w:cs="Arial"/>
        <w:sz w:val="18"/>
        <w:szCs w:val="18"/>
      </w:rPr>
    </w:sdtEndPr>
    <w:sdtContent>
      <w:p w14:paraId="7F5CBDAA" w14:textId="77777777" w:rsidR="0056738E" w:rsidRPr="00EA5ABC" w:rsidRDefault="0056738E">
        <w:pPr>
          <w:pStyle w:val="Footer"/>
          <w:jc w:val="center"/>
          <w:rPr>
            <w:rFonts w:ascii="Arial" w:hAnsi="Arial" w:cs="Arial"/>
            <w:sz w:val="18"/>
            <w:szCs w:val="18"/>
          </w:rPr>
        </w:pPr>
        <w:r w:rsidRPr="00EA5ABC">
          <w:rPr>
            <w:rFonts w:ascii="Arial" w:hAnsi="Arial" w:cs="Arial"/>
            <w:sz w:val="18"/>
            <w:szCs w:val="18"/>
          </w:rPr>
          <w:fldChar w:fldCharType="begin"/>
        </w:r>
        <w:r w:rsidRPr="00EA5ABC">
          <w:rPr>
            <w:rFonts w:ascii="Arial" w:hAnsi="Arial" w:cs="Arial"/>
            <w:sz w:val="18"/>
            <w:szCs w:val="18"/>
          </w:rPr>
          <w:instrText xml:space="preserve"> PAGE   \* MERGEFORMAT </w:instrText>
        </w:r>
        <w:r w:rsidRPr="00EA5ABC">
          <w:rPr>
            <w:rFonts w:ascii="Arial" w:hAnsi="Arial" w:cs="Arial"/>
            <w:sz w:val="18"/>
            <w:szCs w:val="18"/>
          </w:rPr>
          <w:fldChar w:fldCharType="separate"/>
        </w:r>
        <w:r>
          <w:rPr>
            <w:rFonts w:ascii="Arial" w:hAnsi="Arial" w:cs="Arial"/>
            <w:noProof/>
            <w:sz w:val="18"/>
            <w:szCs w:val="18"/>
          </w:rPr>
          <w:t>3</w:t>
        </w:r>
        <w:r w:rsidRPr="00EA5ABC">
          <w:rPr>
            <w:rFonts w:ascii="Arial" w:hAnsi="Arial" w:cs="Arial"/>
            <w:sz w:val="18"/>
            <w:szCs w:val="18"/>
          </w:rPr>
          <w:fldChar w:fldCharType="end"/>
        </w:r>
      </w:p>
    </w:sdtContent>
  </w:sdt>
  <w:p w14:paraId="23E5152D" w14:textId="77777777" w:rsidR="0056738E" w:rsidRDefault="00567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113138"/>
      <w:docPartObj>
        <w:docPartGallery w:val="Page Numbers (Bottom of Page)"/>
        <w:docPartUnique/>
      </w:docPartObj>
    </w:sdtPr>
    <w:sdtEndPr>
      <w:rPr>
        <w:rFonts w:ascii="Arial" w:hAnsi="Arial" w:cs="Arial"/>
        <w:sz w:val="18"/>
        <w:szCs w:val="18"/>
      </w:rPr>
    </w:sdtEndPr>
    <w:sdtContent>
      <w:p w14:paraId="147EBB55" w14:textId="77777777" w:rsidR="0056738E" w:rsidRPr="00EA5ABC" w:rsidRDefault="0056738E">
        <w:pPr>
          <w:pStyle w:val="Footer"/>
          <w:jc w:val="center"/>
          <w:rPr>
            <w:rFonts w:ascii="Arial" w:hAnsi="Arial" w:cs="Arial"/>
            <w:sz w:val="18"/>
            <w:szCs w:val="18"/>
          </w:rPr>
        </w:pPr>
        <w:r w:rsidRPr="00EA5ABC">
          <w:rPr>
            <w:rFonts w:ascii="Arial" w:hAnsi="Arial" w:cs="Arial"/>
            <w:sz w:val="18"/>
            <w:szCs w:val="18"/>
          </w:rPr>
          <w:fldChar w:fldCharType="begin"/>
        </w:r>
        <w:r w:rsidRPr="00EA5ABC">
          <w:rPr>
            <w:rFonts w:ascii="Arial" w:hAnsi="Arial" w:cs="Arial"/>
            <w:sz w:val="18"/>
            <w:szCs w:val="18"/>
          </w:rPr>
          <w:instrText xml:space="preserve"> PAGE   \* MERGEFORMAT </w:instrText>
        </w:r>
        <w:r w:rsidRPr="00EA5ABC">
          <w:rPr>
            <w:rFonts w:ascii="Arial" w:hAnsi="Arial" w:cs="Arial"/>
            <w:sz w:val="18"/>
            <w:szCs w:val="18"/>
          </w:rPr>
          <w:fldChar w:fldCharType="separate"/>
        </w:r>
        <w:r>
          <w:rPr>
            <w:rFonts w:ascii="Arial" w:hAnsi="Arial" w:cs="Arial"/>
            <w:noProof/>
            <w:sz w:val="18"/>
            <w:szCs w:val="18"/>
          </w:rPr>
          <w:t>4</w:t>
        </w:r>
        <w:r w:rsidRPr="00EA5ABC">
          <w:rPr>
            <w:rFonts w:ascii="Arial" w:hAnsi="Arial" w:cs="Arial"/>
            <w:sz w:val="18"/>
            <w:szCs w:val="18"/>
          </w:rPr>
          <w:fldChar w:fldCharType="end"/>
        </w:r>
      </w:p>
    </w:sdtContent>
  </w:sdt>
  <w:p w14:paraId="5CE578C1" w14:textId="77777777" w:rsidR="0056738E" w:rsidRDefault="00567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258943"/>
      <w:docPartObj>
        <w:docPartGallery w:val="Page Numbers (Bottom of Page)"/>
        <w:docPartUnique/>
      </w:docPartObj>
    </w:sdtPr>
    <w:sdtEndPr>
      <w:rPr>
        <w:rFonts w:ascii="Arial" w:hAnsi="Arial" w:cs="Arial"/>
        <w:sz w:val="18"/>
        <w:szCs w:val="18"/>
      </w:rPr>
    </w:sdtEndPr>
    <w:sdtContent>
      <w:p w14:paraId="28D1F715" w14:textId="77777777" w:rsidR="0056738E" w:rsidRDefault="0056738E">
        <w:pPr>
          <w:pStyle w:val="Footer"/>
          <w:jc w:val="center"/>
        </w:pPr>
        <w:r w:rsidRPr="00EA5ABC">
          <w:rPr>
            <w:rFonts w:ascii="Arial" w:hAnsi="Arial" w:cs="Arial"/>
            <w:sz w:val="18"/>
            <w:szCs w:val="18"/>
          </w:rPr>
          <w:fldChar w:fldCharType="begin"/>
        </w:r>
        <w:r w:rsidRPr="00EA5ABC">
          <w:rPr>
            <w:rFonts w:ascii="Arial" w:hAnsi="Arial" w:cs="Arial"/>
            <w:sz w:val="18"/>
            <w:szCs w:val="18"/>
          </w:rPr>
          <w:instrText xml:space="preserve"> PAGE   \* MERGEFORMAT </w:instrText>
        </w:r>
        <w:r w:rsidRPr="00EA5ABC">
          <w:rPr>
            <w:rFonts w:ascii="Arial" w:hAnsi="Arial" w:cs="Arial"/>
            <w:sz w:val="18"/>
            <w:szCs w:val="18"/>
          </w:rPr>
          <w:fldChar w:fldCharType="separate"/>
        </w:r>
        <w:r>
          <w:rPr>
            <w:rFonts w:ascii="Arial" w:hAnsi="Arial" w:cs="Arial"/>
            <w:noProof/>
            <w:sz w:val="18"/>
            <w:szCs w:val="18"/>
          </w:rPr>
          <w:t>21</w:t>
        </w:r>
        <w:r w:rsidRPr="00EA5ABC">
          <w:rPr>
            <w:rFonts w:ascii="Arial" w:hAnsi="Arial" w:cs="Arial"/>
            <w:sz w:val="18"/>
            <w:szCs w:val="18"/>
          </w:rPr>
          <w:fldChar w:fldCharType="end"/>
        </w:r>
      </w:p>
    </w:sdtContent>
  </w:sdt>
  <w:p w14:paraId="1A00A989" w14:textId="77777777" w:rsidR="0056738E" w:rsidRDefault="0056738E" w:rsidP="00AC52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914387294"/>
      <w:docPartObj>
        <w:docPartGallery w:val="Page Numbers (Bottom of Page)"/>
        <w:docPartUnique/>
      </w:docPartObj>
    </w:sdtPr>
    <w:sdtEndPr>
      <w:rPr>
        <w:noProof/>
      </w:rPr>
    </w:sdtEndPr>
    <w:sdtContent>
      <w:p w14:paraId="44784601" w14:textId="31B34F36" w:rsidR="00BC5BE8" w:rsidRPr="00BC5BE8" w:rsidRDefault="00BC5BE8">
        <w:pPr>
          <w:pStyle w:val="Footer"/>
          <w:jc w:val="center"/>
          <w:rPr>
            <w:rFonts w:ascii="Arial" w:hAnsi="Arial" w:cs="Arial"/>
            <w:sz w:val="18"/>
            <w:szCs w:val="18"/>
          </w:rPr>
        </w:pPr>
        <w:r w:rsidRPr="00BC5BE8">
          <w:rPr>
            <w:rFonts w:ascii="Arial" w:hAnsi="Arial" w:cs="Arial"/>
            <w:sz w:val="18"/>
            <w:szCs w:val="18"/>
          </w:rPr>
          <w:fldChar w:fldCharType="begin"/>
        </w:r>
        <w:r w:rsidRPr="00BC5BE8">
          <w:rPr>
            <w:rFonts w:ascii="Arial" w:hAnsi="Arial" w:cs="Arial"/>
            <w:sz w:val="18"/>
            <w:szCs w:val="18"/>
          </w:rPr>
          <w:instrText xml:space="preserve"> PAGE   \* MERGEFORMAT </w:instrText>
        </w:r>
        <w:r w:rsidRPr="00BC5BE8">
          <w:rPr>
            <w:rFonts w:ascii="Arial" w:hAnsi="Arial" w:cs="Arial"/>
            <w:sz w:val="18"/>
            <w:szCs w:val="18"/>
          </w:rPr>
          <w:fldChar w:fldCharType="separate"/>
        </w:r>
        <w:r w:rsidRPr="00BC5BE8">
          <w:rPr>
            <w:rFonts w:ascii="Arial" w:hAnsi="Arial" w:cs="Arial"/>
            <w:noProof/>
            <w:sz w:val="18"/>
            <w:szCs w:val="18"/>
          </w:rPr>
          <w:t>2</w:t>
        </w:r>
        <w:r w:rsidRPr="00BC5BE8">
          <w:rPr>
            <w:rFonts w:ascii="Arial" w:hAnsi="Arial" w:cs="Arial"/>
            <w:noProof/>
            <w:sz w:val="18"/>
            <w:szCs w:val="18"/>
          </w:rPr>
          <w:fldChar w:fldCharType="end"/>
        </w:r>
      </w:p>
    </w:sdtContent>
  </w:sdt>
  <w:p w14:paraId="1C2F68F2" w14:textId="77777777" w:rsidR="00107A79" w:rsidRDefault="00107A79">
    <w:pPr>
      <w:pStyle w:val="Footer"/>
    </w:pPr>
  </w:p>
  <w:p w14:paraId="4D283450" w14:textId="1D1268F2" w:rsidR="009B3668" w:rsidRDefault="009B36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A1990" w14:textId="77777777" w:rsidR="00143BAD" w:rsidRDefault="00143BAD" w:rsidP="005C0A4E">
      <w:pPr>
        <w:spacing w:after="0" w:line="240" w:lineRule="auto"/>
      </w:pPr>
      <w:r>
        <w:separator/>
      </w:r>
    </w:p>
  </w:footnote>
  <w:footnote w:type="continuationSeparator" w:id="0">
    <w:p w14:paraId="08CC1EA5" w14:textId="77777777" w:rsidR="00143BAD" w:rsidRDefault="00143BAD" w:rsidP="005C0A4E">
      <w:pPr>
        <w:spacing w:after="0" w:line="240" w:lineRule="auto"/>
      </w:pPr>
      <w:r>
        <w:continuationSeparator/>
      </w:r>
    </w:p>
  </w:footnote>
  <w:footnote w:type="continuationNotice" w:id="1">
    <w:p w14:paraId="033E76AF" w14:textId="77777777" w:rsidR="00143BAD" w:rsidRDefault="00143B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D6203" w14:textId="77777777" w:rsidR="0056738E" w:rsidRPr="002F014C" w:rsidRDefault="0056738E" w:rsidP="00C30CF6">
    <w:pPr>
      <w:tabs>
        <w:tab w:val="left" w:pos="0"/>
        <w:tab w:val="left" w:pos="1416"/>
        <w:tab w:val="decimal" w:pos="4962"/>
        <w:tab w:val="decimal" w:pos="6521"/>
        <w:tab w:val="right" w:pos="7560"/>
        <w:tab w:val="decimal" w:pos="8220"/>
        <w:tab w:val="left" w:pos="8640"/>
        <w:tab w:val="right" w:pos="9000"/>
      </w:tabs>
      <w:suppressAutoHyphens/>
      <w:spacing w:after="0" w:line="240" w:lineRule="auto"/>
      <w:rPr>
        <w:rFonts w:ascii="Arial" w:hAnsi="Arial" w:cs="Arial"/>
        <w:bCs/>
        <w:color w:val="262626"/>
        <w:sz w:val="16"/>
      </w:rPr>
    </w:pPr>
  </w:p>
  <w:p w14:paraId="7525DEFC" w14:textId="77777777" w:rsidR="0056738E" w:rsidRPr="002F014C" w:rsidRDefault="0056738E" w:rsidP="00C30CF6">
    <w:pPr>
      <w:tabs>
        <w:tab w:val="left" w:pos="0"/>
        <w:tab w:val="left" w:pos="1416"/>
        <w:tab w:val="decimal" w:pos="4962"/>
        <w:tab w:val="decimal" w:pos="6521"/>
        <w:tab w:val="right" w:pos="7560"/>
        <w:tab w:val="decimal" w:pos="8220"/>
        <w:tab w:val="left" w:pos="8640"/>
        <w:tab w:val="right" w:pos="9000"/>
      </w:tabs>
      <w:suppressAutoHyphens/>
      <w:spacing w:after="0" w:line="240" w:lineRule="auto"/>
      <w:rPr>
        <w:rFonts w:ascii="Arial" w:hAnsi="Arial" w:cs="Arial"/>
        <w:bCs/>
        <w:color w:val="262626"/>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5D343" w14:textId="77777777" w:rsidR="0056738E" w:rsidRPr="001F31C3" w:rsidRDefault="0056738E" w:rsidP="00C30CF6">
    <w:pPr>
      <w:tabs>
        <w:tab w:val="left" w:pos="282"/>
        <w:tab w:val="left" w:pos="720"/>
      </w:tabs>
      <w:suppressAutoHyphens/>
      <w:spacing w:after="0" w:line="240" w:lineRule="auto"/>
      <w:rPr>
        <w:rFonts w:ascii="Verdana" w:hAnsi="Verdana" w:cs="Arial"/>
        <w:color w:val="262626"/>
        <w:sz w:val="16"/>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11CD" w14:textId="77777777" w:rsidR="0056738E" w:rsidRPr="0066735A" w:rsidRDefault="0056738E" w:rsidP="00C30C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B147" w14:textId="77777777" w:rsidR="0056738E" w:rsidRPr="00D10BCC" w:rsidRDefault="0056738E" w:rsidP="00B40F20">
    <w:pPr>
      <w:pStyle w:val="Header"/>
      <w:rPr>
        <w:rFonts w:ascii="Verdana" w:hAnsi="Verdana"/>
        <w:color w:val="262626"/>
        <w:sz w:val="16"/>
        <w:szCs w:val="16"/>
        <w:lang w:val="el-G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D1B0F" w14:textId="77777777" w:rsidR="0056738E" w:rsidRPr="002F014C" w:rsidRDefault="0056738E" w:rsidP="00095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F6255BE"/>
    <w:lvl w:ilvl="0">
      <w:start w:val="1"/>
      <w:numFmt w:val="decimal"/>
      <w:pStyle w:val="ListNumber"/>
      <w:lvlText w:val="%1."/>
      <w:lvlJc w:val="left"/>
      <w:pPr>
        <w:ind w:left="916" w:hanging="720"/>
      </w:pPr>
      <w:rPr>
        <w:rFonts w:hint="default"/>
      </w:rPr>
    </w:lvl>
  </w:abstractNum>
  <w:abstractNum w:abstractNumId="1" w15:restartNumberingAfterBreak="0">
    <w:nsid w:val="03A929A4"/>
    <w:multiLevelType w:val="hybridMultilevel"/>
    <w:tmpl w:val="7C3A2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C4465"/>
    <w:multiLevelType w:val="multilevel"/>
    <w:tmpl w:val="C2EC4BE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cs="ArialMT" w:hint="default"/>
        <w:b/>
        <w:color w:val="000000"/>
      </w:rPr>
    </w:lvl>
    <w:lvl w:ilvl="2">
      <w:start w:val="1"/>
      <w:numFmt w:val="decimal"/>
      <w:isLgl/>
      <w:lvlText w:val="%1.%2.%3."/>
      <w:lvlJc w:val="left"/>
      <w:pPr>
        <w:ind w:left="1080" w:hanging="720"/>
      </w:pPr>
      <w:rPr>
        <w:rFonts w:cs="ArialMT" w:hint="default"/>
        <w:b/>
        <w:color w:val="000000"/>
      </w:rPr>
    </w:lvl>
    <w:lvl w:ilvl="3">
      <w:start w:val="1"/>
      <w:numFmt w:val="decimal"/>
      <w:isLgl/>
      <w:lvlText w:val="%1.%2.%3.%4."/>
      <w:lvlJc w:val="left"/>
      <w:pPr>
        <w:ind w:left="1440" w:hanging="1080"/>
      </w:pPr>
      <w:rPr>
        <w:rFonts w:cs="ArialMT" w:hint="default"/>
        <w:b/>
        <w:color w:val="000000"/>
      </w:rPr>
    </w:lvl>
    <w:lvl w:ilvl="4">
      <w:start w:val="1"/>
      <w:numFmt w:val="decimal"/>
      <w:isLgl/>
      <w:lvlText w:val="%1.%2.%3.%4.%5."/>
      <w:lvlJc w:val="left"/>
      <w:pPr>
        <w:ind w:left="1440" w:hanging="1080"/>
      </w:pPr>
      <w:rPr>
        <w:rFonts w:cs="ArialMT" w:hint="default"/>
        <w:b/>
        <w:color w:val="000000"/>
      </w:rPr>
    </w:lvl>
    <w:lvl w:ilvl="5">
      <w:start w:val="1"/>
      <w:numFmt w:val="decimal"/>
      <w:isLgl/>
      <w:lvlText w:val="%1.%2.%3.%4.%5.%6."/>
      <w:lvlJc w:val="left"/>
      <w:pPr>
        <w:ind w:left="1800" w:hanging="1440"/>
      </w:pPr>
      <w:rPr>
        <w:rFonts w:cs="ArialMT" w:hint="default"/>
        <w:b/>
        <w:color w:val="000000"/>
      </w:rPr>
    </w:lvl>
    <w:lvl w:ilvl="6">
      <w:start w:val="1"/>
      <w:numFmt w:val="decimal"/>
      <w:isLgl/>
      <w:lvlText w:val="%1.%2.%3.%4.%5.%6.%7."/>
      <w:lvlJc w:val="left"/>
      <w:pPr>
        <w:ind w:left="1800" w:hanging="1440"/>
      </w:pPr>
      <w:rPr>
        <w:rFonts w:cs="ArialMT" w:hint="default"/>
        <w:b/>
        <w:color w:val="000000"/>
      </w:rPr>
    </w:lvl>
    <w:lvl w:ilvl="7">
      <w:start w:val="1"/>
      <w:numFmt w:val="decimal"/>
      <w:isLgl/>
      <w:lvlText w:val="%1.%2.%3.%4.%5.%6.%7.%8."/>
      <w:lvlJc w:val="left"/>
      <w:pPr>
        <w:ind w:left="2160" w:hanging="1800"/>
      </w:pPr>
      <w:rPr>
        <w:rFonts w:cs="ArialMT" w:hint="default"/>
        <w:b/>
        <w:color w:val="000000"/>
      </w:rPr>
    </w:lvl>
    <w:lvl w:ilvl="8">
      <w:start w:val="1"/>
      <w:numFmt w:val="decimal"/>
      <w:isLgl/>
      <w:lvlText w:val="%1.%2.%3.%4.%5.%6.%7.%8.%9."/>
      <w:lvlJc w:val="left"/>
      <w:pPr>
        <w:ind w:left="2160" w:hanging="1800"/>
      </w:pPr>
      <w:rPr>
        <w:rFonts w:cs="ArialMT" w:hint="default"/>
        <w:b/>
        <w:color w:val="000000"/>
      </w:rPr>
    </w:lvl>
  </w:abstractNum>
  <w:abstractNum w:abstractNumId="3" w15:restartNumberingAfterBreak="0">
    <w:nsid w:val="0A3A15FF"/>
    <w:multiLevelType w:val="hybridMultilevel"/>
    <w:tmpl w:val="B1187C7C"/>
    <w:lvl w:ilvl="0" w:tplc="EA102E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81041C"/>
    <w:multiLevelType w:val="multilevel"/>
    <w:tmpl w:val="8550B730"/>
    <w:lvl w:ilvl="0">
      <w:numFmt w:val="bullet"/>
      <w:lvlText w:val="·"/>
      <w:lvlJc w:val="left"/>
      <w:pPr>
        <w:tabs>
          <w:tab w:val="left" w:pos="72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A20B2"/>
    <w:multiLevelType w:val="hybridMultilevel"/>
    <w:tmpl w:val="A560D5A0"/>
    <w:lvl w:ilvl="0" w:tplc="08090001">
      <w:start w:val="1"/>
      <w:numFmt w:val="bullet"/>
      <w:lvlText w:val=""/>
      <w:lvlJc w:val="left"/>
      <w:pPr>
        <w:ind w:left="502" w:hanging="360"/>
      </w:pPr>
      <w:rPr>
        <w:rFonts w:ascii="Symbol" w:hAnsi="Symbol" w:hint="default"/>
        <w:sz w:val="18"/>
        <w:lang w:val="el-GR"/>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809A3"/>
    <w:multiLevelType w:val="hybridMultilevel"/>
    <w:tmpl w:val="34EA6F10"/>
    <w:lvl w:ilvl="0" w:tplc="D54E9002">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972B27"/>
    <w:multiLevelType w:val="hybridMultilevel"/>
    <w:tmpl w:val="7118228E"/>
    <w:lvl w:ilvl="0" w:tplc="82C2D918">
      <w:start w:val="1"/>
      <w:numFmt w:val="bullet"/>
      <w:lvlText w:val="­"/>
      <w:lvlJc w:val="left"/>
      <w:pPr>
        <w:ind w:left="1440" w:hanging="360"/>
      </w:pPr>
      <w:rPr>
        <w:rFonts w:ascii="Work Sans SemiBold" w:hAnsi="Work Sans SemiBold"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B27BFD"/>
    <w:multiLevelType w:val="multilevel"/>
    <w:tmpl w:val="CA909A88"/>
    <w:lvl w:ilvl="0">
      <w:start w:val="1"/>
      <w:numFmt w:val="bullet"/>
      <w:pStyle w:val="01squarebullet"/>
      <w:lvlText w:val="■"/>
      <w:lvlJc w:val="left"/>
      <w:pPr>
        <w:ind w:left="360" w:hanging="360"/>
      </w:pPr>
      <w:rPr>
        <w:b w:val="0"/>
        <w:bCs w:val="0"/>
        <w:i w:val="0"/>
        <w:iCs w:val="0"/>
        <w:caps w:val="0"/>
        <w:smallCaps w:val="0"/>
        <w:strike w:val="0"/>
        <w:dstrike w:val="0"/>
        <w:noProof w:val="0"/>
        <w:vanish w:val="0"/>
        <w:color w:val="008080"/>
        <w:spacing w:val="0"/>
        <w:kern w:val="0"/>
        <w:position w:val="0"/>
        <w:sz w:val="24"/>
        <w:szCs w:val="24"/>
        <w:u w:val="none"/>
        <w:effect w:val="none"/>
        <w:vertAlign w:val="baseline"/>
        <w:em w:val="none"/>
        <w:specVanish w:val="0"/>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9" w15:restartNumberingAfterBreak="0">
    <w:nsid w:val="2A2878EE"/>
    <w:multiLevelType w:val="multilevel"/>
    <w:tmpl w:val="7994BE5E"/>
    <w:lvl w:ilvl="0">
      <w:start w:val="3"/>
      <w:numFmt w:val="decimal"/>
      <w:lvlText w:val="%1."/>
      <w:lvlJc w:val="left"/>
      <w:pPr>
        <w:ind w:left="720" w:hanging="360"/>
      </w:pPr>
      <w:rPr>
        <w:rFonts w:hint="default"/>
        <w:b/>
      </w:rPr>
    </w:lvl>
    <w:lvl w:ilvl="1">
      <w:start w:val="2"/>
      <w:numFmt w:val="decimal"/>
      <w:isLgl/>
      <w:lvlText w:val="%1.%2."/>
      <w:lvlJc w:val="left"/>
      <w:pPr>
        <w:ind w:left="1003" w:hanging="720"/>
      </w:pPr>
      <w:rPr>
        <w:rFonts w:cs="ArialMT" w:hint="default"/>
        <w:b/>
        <w:color w:val="000000"/>
      </w:rPr>
    </w:lvl>
    <w:lvl w:ilvl="2">
      <w:start w:val="1"/>
      <w:numFmt w:val="decimal"/>
      <w:isLgl/>
      <w:lvlText w:val="%1.%2.%3."/>
      <w:lvlJc w:val="left"/>
      <w:pPr>
        <w:ind w:left="1080" w:hanging="720"/>
      </w:pPr>
      <w:rPr>
        <w:rFonts w:cs="ArialMT" w:hint="default"/>
        <w:b/>
        <w:color w:val="000000"/>
      </w:rPr>
    </w:lvl>
    <w:lvl w:ilvl="3">
      <w:start w:val="1"/>
      <w:numFmt w:val="decimal"/>
      <w:isLgl/>
      <w:lvlText w:val="%1.%2.%3.%4."/>
      <w:lvlJc w:val="left"/>
      <w:pPr>
        <w:ind w:left="1440" w:hanging="1080"/>
      </w:pPr>
      <w:rPr>
        <w:rFonts w:cs="ArialMT" w:hint="default"/>
        <w:b/>
        <w:color w:val="000000"/>
      </w:rPr>
    </w:lvl>
    <w:lvl w:ilvl="4">
      <w:start w:val="1"/>
      <w:numFmt w:val="decimal"/>
      <w:isLgl/>
      <w:lvlText w:val="%1.%2.%3.%4.%5."/>
      <w:lvlJc w:val="left"/>
      <w:pPr>
        <w:ind w:left="1440" w:hanging="1080"/>
      </w:pPr>
      <w:rPr>
        <w:rFonts w:cs="ArialMT" w:hint="default"/>
        <w:b/>
        <w:color w:val="000000"/>
      </w:rPr>
    </w:lvl>
    <w:lvl w:ilvl="5">
      <w:start w:val="1"/>
      <w:numFmt w:val="decimal"/>
      <w:isLgl/>
      <w:lvlText w:val="%1.%2.%3.%4.%5.%6."/>
      <w:lvlJc w:val="left"/>
      <w:pPr>
        <w:ind w:left="1800" w:hanging="1440"/>
      </w:pPr>
      <w:rPr>
        <w:rFonts w:cs="ArialMT" w:hint="default"/>
        <w:b/>
        <w:color w:val="000000"/>
      </w:rPr>
    </w:lvl>
    <w:lvl w:ilvl="6">
      <w:start w:val="1"/>
      <w:numFmt w:val="decimal"/>
      <w:isLgl/>
      <w:lvlText w:val="%1.%2.%3.%4.%5.%6.%7."/>
      <w:lvlJc w:val="left"/>
      <w:pPr>
        <w:ind w:left="1800" w:hanging="1440"/>
      </w:pPr>
      <w:rPr>
        <w:rFonts w:cs="ArialMT" w:hint="default"/>
        <w:b/>
        <w:color w:val="000000"/>
      </w:rPr>
    </w:lvl>
    <w:lvl w:ilvl="7">
      <w:start w:val="1"/>
      <w:numFmt w:val="decimal"/>
      <w:isLgl/>
      <w:lvlText w:val="%1.%2.%3.%4.%5.%6.%7.%8."/>
      <w:lvlJc w:val="left"/>
      <w:pPr>
        <w:ind w:left="2160" w:hanging="1800"/>
      </w:pPr>
      <w:rPr>
        <w:rFonts w:cs="ArialMT" w:hint="default"/>
        <w:b/>
        <w:color w:val="000000"/>
      </w:rPr>
    </w:lvl>
    <w:lvl w:ilvl="8">
      <w:start w:val="1"/>
      <w:numFmt w:val="decimal"/>
      <w:isLgl/>
      <w:lvlText w:val="%1.%2.%3.%4.%5.%6.%7.%8.%9."/>
      <w:lvlJc w:val="left"/>
      <w:pPr>
        <w:ind w:left="2160" w:hanging="1800"/>
      </w:pPr>
      <w:rPr>
        <w:rFonts w:cs="ArialMT" w:hint="default"/>
        <w:b/>
        <w:color w:val="000000"/>
      </w:rPr>
    </w:lvl>
  </w:abstractNum>
  <w:abstractNum w:abstractNumId="10" w15:restartNumberingAfterBreak="0">
    <w:nsid w:val="368F50F3"/>
    <w:multiLevelType w:val="hybridMultilevel"/>
    <w:tmpl w:val="8D5C7FC4"/>
    <w:lvl w:ilvl="0" w:tplc="08090001">
      <w:start w:val="1"/>
      <w:numFmt w:val="bullet"/>
      <w:lvlText w:val=""/>
      <w:lvlJc w:val="left"/>
      <w:pPr>
        <w:ind w:left="3747" w:hanging="360"/>
      </w:pPr>
      <w:rPr>
        <w:rFonts w:ascii="Symbol" w:hAnsi="Symbol" w:hint="default"/>
      </w:rPr>
    </w:lvl>
    <w:lvl w:ilvl="1" w:tplc="08090003">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11" w15:restartNumberingAfterBreak="0">
    <w:nsid w:val="3A412159"/>
    <w:multiLevelType w:val="hybridMultilevel"/>
    <w:tmpl w:val="B05A01AA"/>
    <w:lvl w:ilvl="0" w:tplc="16B0CCF6">
      <w:start w:val="17"/>
      <w:numFmt w:val="bullet"/>
      <w:lvlText w:val="-"/>
      <w:lvlJc w:val="left"/>
      <w:pPr>
        <w:ind w:left="720" w:hanging="360"/>
      </w:pPr>
      <w:rPr>
        <w:rFonts w:ascii="Verdana" w:eastAsia="Batang"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917C5"/>
    <w:multiLevelType w:val="hybridMultilevel"/>
    <w:tmpl w:val="7040B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8B6F11"/>
    <w:multiLevelType w:val="hybridMultilevel"/>
    <w:tmpl w:val="2DC649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B9523A"/>
    <w:multiLevelType w:val="hybridMultilevel"/>
    <w:tmpl w:val="E4E4A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81A43"/>
    <w:multiLevelType w:val="multilevel"/>
    <w:tmpl w:val="FEFC8D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cs="ArialMT" w:hint="default"/>
        <w:b/>
        <w:color w:val="000000"/>
      </w:rPr>
    </w:lvl>
    <w:lvl w:ilvl="2">
      <w:start w:val="1"/>
      <w:numFmt w:val="decimal"/>
      <w:isLgl/>
      <w:lvlText w:val="%1.%2.%3."/>
      <w:lvlJc w:val="left"/>
      <w:pPr>
        <w:ind w:left="1080" w:hanging="720"/>
      </w:pPr>
      <w:rPr>
        <w:rFonts w:cs="ArialMT" w:hint="default"/>
        <w:b/>
        <w:color w:val="000000"/>
      </w:rPr>
    </w:lvl>
    <w:lvl w:ilvl="3">
      <w:start w:val="1"/>
      <w:numFmt w:val="decimal"/>
      <w:isLgl/>
      <w:lvlText w:val="%1.%2.%3.%4."/>
      <w:lvlJc w:val="left"/>
      <w:pPr>
        <w:ind w:left="1440" w:hanging="1080"/>
      </w:pPr>
      <w:rPr>
        <w:rFonts w:cs="ArialMT" w:hint="default"/>
        <w:b/>
        <w:color w:val="000000"/>
      </w:rPr>
    </w:lvl>
    <w:lvl w:ilvl="4">
      <w:start w:val="1"/>
      <w:numFmt w:val="decimal"/>
      <w:isLgl/>
      <w:lvlText w:val="%1.%2.%3.%4.%5."/>
      <w:lvlJc w:val="left"/>
      <w:pPr>
        <w:ind w:left="1440" w:hanging="1080"/>
      </w:pPr>
      <w:rPr>
        <w:rFonts w:cs="ArialMT" w:hint="default"/>
        <w:b/>
        <w:color w:val="000000"/>
      </w:rPr>
    </w:lvl>
    <w:lvl w:ilvl="5">
      <w:start w:val="1"/>
      <w:numFmt w:val="decimal"/>
      <w:isLgl/>
      <w:lvlText w:val="%1.%2.%3.%4.%5.%6."/>
      <w:lvlJc w:val="left"/>
      <w:pPr>
        <w:ind w:left="1800" w:hanging="1440"/>
      </w:pPr>
      <w:rPr>
        <w:rFonts w:cs="ArialMT" w:hint="default"/>
        <w:b/>
        <w:color w:val="000000"/>
      </w:rPr>
    </w:lvl>
    <w:lvl w:ilvl="6">
      <w:start w:val="1"/>
      <w:numFmt w:val="decimal"/>
      <w:isLgl/>
      <w:lvlText w:val="%1.%2.%3.%4.%5.%6.%7."/>
      <w:lvlJc w:val="left"/>
      <w:pPr>
        <w:ind w:left="1800" w:hanging="1440"/>
      </w:pPr>
      <w:rPr>
        <w:rFonts w:cs="ArialMT" w:hint="default"/>
        <w:b/>
        <w:color w:val="000000"/>
      </w:rPr>
    </w:lvl>
    <w:lvl w:ilvl="7">
      <w:start w:val="1"/>
      <w:numFmt w:val="decimal"/>
      <w:isLgl/>
      <w:lvlText w:val="%1.%2.%3.%4.%5.%6.%7.%8."/>
      <w:lvlJc w:val="left"/>
      <w:pPr>
        <w:ind w:left="2160" w:hanging="1800"/>
      </w:pPr>
      <w:rPr>
        <w:rFonts w:cs="ArialMT" w:hint="default"/>
        <w:b/>
        <w:color w:val="000000"/>
      </w:rPr>
    </w:lvl>
    <w:lvl w:ilvl="8">
      <w:start w:val="1"/>
      <w:numFmt w:val="decimal"/>
      <w:isLgl/>
      <w:lvlText w:val="%1.%2.%3.%4.%5.%6.%7.%8.%9."/>
      <w:lvlJc w:val="left"/>
      <w:pPr>
        <w:ind w:left="2160" w:hanging="1800"/>
      </w:pPr>
      <w:rPr>
        <w:rFonts w:cs="ArialMT" w:hint="default"/>
        <w:b/>
        <w:color w:val="000000"/>
      </w:rPr>
    </w:lvl>
  </w:abstractNum>
  <w:abstractNum w:abstractNumId="16" w15:restartNumberingAfterBreak="0">
    <w:nsid w:val="5C574A11"/>
    <w:multiLevelType w:val="hybridMultilevel"/>
    <w:tmpl w:val="A4724AFC"/>
    <w:lvl w:ilvl="0" w:tplc="A5064B78">
      <w:start w:val="1"/>
      <w:numFmt w:val="bullet"/>
      <w:pStyle w:val="02dash"/>
      <w:lvlText w:val="‒"/>
      <w:lvlJc w:val="left"/>
      <w:pPr>
        <w:ind w:left="717" w:hanging="360"/>
      </w:pPr>
      <w:rPr>
        <w:rFonts w:hint="default"/>
        <w:b w:val="0"/>
        <w:bCs w:val="0"/>
        <w:i w:val="0"/>
        <w:iCs w:val="0"/>
        <w:caps w:val="0"/>
        <w:smallCaps w:val="0"/>
        <w:strike w:val="0"/>
        <w:dstrike w:val="0"/>
        <w:noProof w:val="0"/>
        <w:vanish w:val="0"/>
        <w:color w:val="008080"/>
        <w:spacing w:val="0"/>
        <w:kern w:val="0"/>
        <w:position w:val="0"/>
        <w:u w:val="none"/>
        <w:effect w:val="none"/>
        <w:vertAlign w:val="baseline"/>
        <w:em w:val="none"/>
        <w:specVanish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5006DC"/>
    <w:multiLevelType w:val="hybridMultilevel"/>
    <w:tmpl w:val="4AAC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7048D4"/>
    <w:multiLevelType w:val="hybridMultilevel"/>
    <w:tmpl w:val="97A88A44"/>
    <w:lvl w:ilvl="0" w:tplc="8DD81FC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110240"/>
    <w:multiLevelType w:val="hybridMultilevel"/>
    <w:tmpl w:val="0F56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1590C"/>
    <w:multiLevelType w:val="multilevel"/>
    <w:tmpl w:val="257C4980"/>
    <w:lvl w:ilvl="0">
      <w:start w:val="8"/>
      <w:numFmt w:val="decimal"/>
      <w:lvlText w:val="%1."/>
      <w:lvlJc w:val="left"/>
      <w:pPr>
        <w:ind w:left="720" w:hanging="360"/>
      </w:pPr>
      <w:rPr>
        <w:rFonts w:hint="default"/>
        <w:b/>
        <w:bCs/>
        <w:sz w:val="22"/>
        <w:szCs w:val="22"/>
      </w:rPr>
    </w:lvl>
    <w:lvl w:ilvl="1">
      <w:start w:val="2"/>
      <w:numFmt w:val="decimal"/>
      <w:isLgl/>
      <w:lvlText w:val="%1.%2."/>
      <w:lvlJc w:val="left"/>
      <w:pPr>
        <w:ind w:left="1080" w:hanging="720"/>
      </w:pPr>
      <w:rPr>
        <w:rFonts w:cs="ArialMT" w:hint="default"/>
        <w:b/>
        <w:color w:val="000000"/>
      </w:rPr>
    </w:lvl>
    <w:lvl w:ilvl="2">
      <w:start w:val="1"/>
      <w:numFmt w:val="decimal"/>
      <w:isLgl/>
      <w:lvlText w:val="%1.%2.%3."/>
      <w:lvlJc w:val="left"/>
      <w:pPr>
        <w:ind w:left="1080" w:hanging="720"/>
      </w:pPr>
      <w:rPr>
        <w:rFonts w:cs="ArialMT" w:hint="default"/>
        <w:b/>
        <w:color w:val="000000"/>
      </w:rPr>
    </w:lvl>
    <w:lvl w:ilvl="3">
      <w:start w:val="1"/>
      <w:numFmt w:val="decimal"/>
      <w:isLgl/>
      <w:lvlText w:val="%1.%2.%3.%4."/>
      <w:lvlJc w:val="left"/>
      <w:pPr>
        <w:ind w:left="1440" w:hanging="1080"/>
      </w:pPr>
      <w:rPr>
        <w:rFonts w:cs="ArialMT" w:hint="default"/>
        <w:b/>
        <w:color w:val="000000"/>
      </w:rPr>
    </w:lvl>
    <w:lvl w:ilvl="4">
      <w:start w:val="1"/>
      <w:numFmt w:val="decimal"/>
      <w:isLgl/>
      <w:lvlText w:val="%1.%2.%3.%4.%5."/>
      <w:lvlJc w:val="left"/>
      <w:pPr>
        <w:ind w:left="1440" w:hanging="1080"/>
      </w:pPr>
      <w:rPr>
        <w:rFonts w:cs="ArialMT" w:hint="default"/>
        <w:b/>
        <w:color w:val="000000"/>
      </w:rPr>
    </w:lvl>
    <w:lvl w:ilvl="5">
      <w:start w:val="1"/>
      <w:numFmt w:val="decimal"/>
      <w:isLgl/>
      <w:lvlText w:val="%1.%2.%3.%4.%5.%6."/>
      <w:lvlJc w:val="left"/>
      <w:pPr>
        <w:ind w:left="1800" w:hanging="1440"/>
      </w:pPr>
      <w:rPr>
        <w:rFonts w:cs="ArialMT" w:hint="default"/>
        <w:b/>
        <w:color w:val="000000"/>
      </w:rPr>
    </w:lvl>
    <w:lvl w:ilvl="6">
      <w:start w:val="1"/>
      <w:numFmt w:val="decimal"/>
      <w:isLgl/>
      <w:lvlText w:val="%1.%2.%3.%4.%5.%6.%7."/>
      <w:lvlJc w:val="left"/>
      <w:pPr>
        <w:ind w:left="1800" w:hanging="1440"/>
      </w:pPr>
      <w:rPr>
        <w:rFonts w:cs="ArialMT" w:hint="default"/>
        <w:b/>
        <w:color w:val="000000"/>
      </w:rPr>
    </w:lvl>
    <w:lvl w:ilvl="7">
      <w:start w:val="1"/>
      <w:numFmt w:val="decimal"/>
      <w:isLgl/>
      <w:lvlText w:val="%1.%2.%3.%4.%5.%6.%7.%8."/>
      <w:lvlJc w:val="left"/>
      <w:pPr>
        <w:ind w:left="2160" w:hanging="1800"/>
      </w:pPr>
      <w:rPr>
        <w:rFonts w:cs="ArialMT" w:hint="default"/>
        <w:b/>
        <w:color w:val="000000"/>
      </w:rPr>
    </w:lvl>
    <w:lvl w:ilvl="8">
      <w:start w:val="1"/>
      <w:numFmt w:val="decimal"/>
      <w:isLgl/>
      <w:lvlText w:val="%1.%2.%3.%4.%5.%6.%7.%8.%9."/>
      <w:lvlJc w:val="left"/>
      <w:pPr>
        <w:ind w:left="2160" w:hanging="1800"/>
      </w:pPr>
      <w:rPr>
        <w:rFonts w:cs="ArialMT" w:hint="default"/>
        <w:b/>
        <w:color w:val="000000"/>
      </w:rPr>
    </w:lvl>
  </w:abstractNum>
  <w:abstractNum w:abstractNumId="21" w15:restartNumberingAfterBreak="0">
    <w:nsid w:val="703B4C98"/>
    <w:multiLevelType w:val="hybridMultilevel"/>
    <w:tmpl w:val="C0A4C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AB56B9"/>
    <w:multiLevelType w:val="hybridMultilevel"/>
    <w:tmpl w:val="4F20EB16"/>
    <w:lvl w:ilvl="0" w:tplc="E5F0AF28">
      <w:start w:val="1"/>
      <w:numFmt w:val="decimal"/>
      <w:lvlText w:val="%1."/>
      <w:lvlJc w:val="left"/>
      <w:pPr>
        <w:ind w:left="720" w:hanging="360"/>
      </w:pPr>
      <w:rPr>
        <w:rFonts w:hint="default"/>
        <w:sz w:val="16"/>
        <w:szCs w:val="16"/>
        <w:lang w:val="el-GR"/>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49B285E"/>
    <w:multiLevelType w:val="hybridMultilevel"/>
    <w:tmpl w:val="030A0EC8"/>
    <w:lvl w:ilvl="0" w:tplc="82CC5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DE686E"/>
    <w:multiLevelType w:val="hybridMultilevel"/>
    <w:tmpl w:val="416A1166"/>
    <w:lvl w:ilvl="0" w:tplc="ABDA46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C6FDA"/>
    <w:multiLevelType w:val="hybridMultilevel"/>
    <w:tmpl w:val="B8A2D668"/>
    <w:lvl w:ilvl="0" w:tplc="F7145EF8">
      <w:start w:val="1"/>
      <w:numFmt w:val="bullet"/>
      <w:pStyle w:val="03opensquarebullet"/>
      <w:lvlText w:val="□"/>
      <w:lvlJc w:val="left"/>
      <w:pPr>
        <w:ind w:left="1006" w:hanging="360"/>
      </w:pPr>
      <w:rPr>
        <w:rFonts w:hint="default"/>
        <w:b w:val="0"/>
        <w:bCs w:val="0"/>
        <w:i w:val="0"/>
        <w:iCs w:val="0"/>
        <w:caps w:val="0"/>
        <w:smallCaps w:val="0"/>
        <w:strike w:val="0"/>
        <w:dstrike w:val="0"/>
        <w:noProof w:val="0"/>
        <w:vanish w:val="0"/>
        <w:color w:val="008080"/>
        <w:spacing w:val="0"/>
        <w:kern w:val="0"/>
        <w:position w:val="0"/>
        <w:u w:val="none"/>
        <w:effect w:val="none"/>
        <w:vertAlign w:val="baseline"/>
        <w:em w:val="none"/>
        <w:specVanish w:val="0"/>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78968354">
    <w:abstractNumId w:val="8"/>
  </w:num>
  <w:num w:numId="2" w16cid:durableId="266818203">
    <w:abstractNumId w:val="16"/>
  </w:num>
  <w:num w:numId="3" w16cid:durableId="1016734258">
    <w:abstractNumId w:val="25"/>
  </w:num>
  <w:num w:numId="4" w16cid:durableId="1366976946">
    <w:abstractNumId w:val="5"/>
  </w:num>
  <w:num w:numId="5" w16cid:durableId="1572231091">
    <w:abstractNumId w:val="0"/>
  </w:num>
  <w:num w:numId="6" w16cid:durableId="1820801583">
    <w:abstractNumId w:val="10"/>
  </w:num>
  <w:num w:numId="7" w16cid:durableId="1260289771">
    <w:abstractNumId w:val="24"/>
  </w:num>
  <w:num w:numId="8" w16cid:durableId="106774545">
    <w:abstractNumId w:val="2"/>
  </w:num>
  <w:num w:numId="9" w16cid:durableId="2113697100">
    <w:abstractNumId w:val="11"/>
  </w:num>
  <w:num w:numId="10" w16cid:durableId="431050457">
    <w:abstractNumId w:val="23"/>
  </w:num>
  <w:num w:numId="11" w16cid:durableId="2131391772">
    <w:abstractNumId w:val="17"/>
  </w:num>
  <w:num w:numId="12" w16cid:durableId="25177986">
    <w:abstractNumId w:val="1"/>
  </w:num>
  <w:num w:numId="13" w16cid:durableId="237331289">
    <w:abstractNumId w:val="22"/>
  </w:num>
  <w:num w:numId="14" w16cid:durableId="188033702">
    <w:abstractNumId w:val="14"/>
  </w:num>
  <w:num w:numId="15" w16cid:durableId="1410729501">
    <w:abstractNumId w:val="9"/>
  </w:num>
  <w:num w:numId="16" w16cid:durableId="1498689384">
    <w:abstractNumId w:val="21"/>
  </w:num>
  <w:num w:numId="17" w16cid:durableId="2127501019">
    <w:abstractNumId w:val="6"/>
  </w:num>
  <w:num w:numId="18" w16cid:durableId="46535710">
    <w:abstractNumId w:val="20"/>
  </w:num>
  <w:num w:numId="19" w16cid:durableId="194851773">
    <w:abstractNumId w:val="12"/>
  </w:num>
  <w:num w:numId="20" w16cid:durableId="1751658886">
    <w:abstractNumId w:val="19"/>
  </w:num>
  <w:num w:numId="21" w16cid:durableId="1711613763">
    <w:abstractNumId w:val="18"/>
  </w:num>
  <w:num w:numId="22" w16cid:durableId="1096289646">
    <w:abstractNumId w:val="15"/>
  </w:num>
  <w:num w:numId="23" w16cid:durableId="1595360897">
    <w:abstractNumId w:val="3"/>
  </w:num>
  <w:num w:numId="24" w16cid:durableId="633409371">
    <w:abstractNumId w:val="13"/>
  </w:num>
  <w:num w:numId="25" w16cid:durableId="1003164533">
    <w:abstractNumId w:val="4"/>
  </w:num>
  <w:num w:numId="26" w16cid:durableId="320815465">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850"/>
    <w:rsid w:val="00000044"/>
    <w:rsid w:val="00000152"/>
    <w:rsid w:val="000001B4"/>
    <w:rsid w:val="000001C0"/>
    <w:rsid w:val="00000417"/>
    <w:rsid w:val="0000057F"/>
    <w:rsid w:val="0000059B"/>
    <w:rsid w:val="000006C2"/>
    <w:rsid w:val="000008F4"/>
    <w:rsid w:val="00000B42"/>
    <w:rsid w:val="00000D74"/>
    <w:rsid w:val="00000D8A"/>
    <w:rsid w:val="00000E6F"/>
    <w:rsid w:val="00000FF6"/>
    <w:rsid w:val="0000115F"/>
    <w:rsid w:val="0000120C"/>
    <w:rsid w:val="000018FE"/>
    <w:rsid w:val="00001993"/>
    <w:rsid w:val="00001CD1"/>
    <w:rsid w:val="00001FDF"/>
    <w:rsid w:val="0000201E"/>
    <w:rsid w:val="00002175"/>
    <w:rsid w:val="000022CB"/>
    <w:rsid w:val="000027F3"/>
    <w:rsid w:val="00002867"/>
    <w:rsid w:val="0000290D"/>
    <w:rsid w:val="00002A62"/>
    <w:rsid w:val="00002C92"/>
    <w:rsid w:val="00002E94"/>
    <w:rsid w:val="00002ED6"/>
    <w:rsid w:val="0000320C"/>
    <w:rsid w:val="0000320F"/>
    <w:rsid w:val="00003489"/>
    <w:rsid w:val="000034FB"/>
    <w:rsid w:val="000035C3"/>
    <w:rsid w:val="00003677"/>
    <w:rsid w:val="00003816"/>
    <w:rsid w:val="000039F8"/>
    <w:rsid w:val="00003AF4"/>
    <w:rsid w:val="00003BFD"/>
    <w:rsid w:val="00004062"/>
    <w:rsid w:val="00004215"/>
    <w:rsid w:val="00004240"/>
    <w:rsid w:val="000045F3"/>
    <w:rsid w:val="00004707"/>
    <w:rsid w:val="0000486B"/>
    <w:rsid w:val="00004A0C"/>
    <w:rsid w:val="00004A0E"/>
    <w:rsid w:val="00004BDF"/>
    <w:rsid w:val="00005017"/>
    <w:rsid w:val="000051F0"/>
    <w:rsid w:val="00005254"/>
    <w:rsid w:val="000052F6"/>
    <w:rsid w:val="000053C2"/>
    <w:rsid w:val="0000548F"/>
    <w:rsid w:val="00005666"/>
    <w:rsid w:val="000057C6"/>
    <w:rsid w:val="00005800"/>
    <w:rsid w:val="00005B58"/>
    <w:rsid w:val="00005EC6"/>
    <w:rsid w:val="00005EDF"/>
    <w:rsid w:val="00005EE7"/>
    <w:rsid w:val="00005F96"/>
    <w:rsid w:val="00005FFB"/>
    <w:rsid w:val="000060BC"/>
    <w:rsid w:val="000061B2"/>
    <w:rsid w:val="000063AC"/>
    <w:rsid w:val="000065C1"/>
    <w:rsid w:val="0000676C"/>
    <w:rsid w:val="00006D2F"/>
    <w:rsid w:val="00006D6E"/>
    <w:rsid w:val="0000706D"/>
    <w:rsid w:val="000071DB"/>
    <w:rsid w:val="000072FE"/>
    <w:rsid w:val="0000742F"/>
    <w:rsid w:val="0000749C"/>
    <w:rsid w:val="00007984"/>
    <w:rsid w:val="000079CE"/>
    <w:rsid w:val="00007A1B"/>
    <w:rsid w:val="00007A66"/>
    <w:rsid w:val="00007C70"/>
    <w:rsid w:val="00007D45"/>
    <w:rsid w:val="00007D57"/>
    <w:rsid w:val="00007D79"/>
    <w:rsid w:val="00007DA4"/>
    <w:rsid w:val="000105C2"/>
    <w:rsid w:val="000105D8"/>
    <w:rsid w:val="00010722"/>
    <w:rsid w:val="000109B3"/>
    <w:rsid w:val="000109D5"/>
    <w:rsid w:val="00010ABD"/>
    <w:rsid w:val="00010C1F"/>
    <w:rsid w:val="00010D12"/>
    <w:rsid w:val="00010D13"/>
    <w:rsid w:val="00010D3D"/>
    <w:rsid w:val="00010E4B"/>
    <w:rsid w:val="00010E97"/>
    <w:rsid w:val="00011146"/>
    <w:rsid w:val="000111FA"/>
    <w:rsid w:val="00011293"/>
    <w:rsid w:val="0001130F"/>
    <w:rsid w:val="00011383"/>
    <w:rsid w:val="0001140D"/>
    <w:rsid w:val="00011444"/>
    <w:rsid w:val="00011458"/>
    <w:rsid w:val="00011560"/>
    <w:rsid w:val="000115BF"/>
    <w:rsid w:val="000115CE"/>
    <w:rsid w:val="00011664"/>
    <w:rsid w:val="00011757"/>
    <w:rsid w:val="000118B0"/>
    <w:rsid w:val="00011A25"/>
    <w:rsid w:val="00011CF5"/>
    <w:rsid w:val="00011F86"/>
    <w:rsid w:val="000122F2"/>
    <w:rsid w:val="0001232E"/>
    <w:rsid w:val="000124E7"/>
    <w:rsid w:val="000125BD"/>
    <w:rsid w:val="00012D92"/>
    <w:rsid w:val="00012F45"/>
    <w:rsid w:val="000131B8"/>
    <w:rsid w:val="00013324"/>
    <w:rsid w:val="0001349D"/>
    <w:rsid w:val="000136A2"/>
    <w:rsid w:val="0001370B"/>
    <w:rsid w:val="000137F1"/>
    <w:rsid w:val="0001381A"/>
    <w:rsid w:val="00013D3A"/>
    <w:rsid w:val="00013D99"/>
    <w:rsid w:val="00013F27"/>
    <w:rsid w:val="00014022"/>
    <w:rsid w:val="0001408D"/>
    <w:rsid w:val="000142E7"/>
    <w:rsid w:val="000145E4"/>
    <w:rsid w:val="0001477D"/>
    <w:rsid w:val="000149EF"/>
    <w:rsid w:val="00014A6F"/>
    <w:rsid w:val="00014CD4"/>
    <w:rsid w:val="00014FB3"/>
    <w:rsid w:val="0001508C"/>
    <w:rsid w:val="00015198"/>
    <w:rsid w:val="000157DE"/>
    <w:rsid w:val="00016152"/>
    <w:rsid w:val="00016466"/>
    <w:rsid w:val="0001647B"/>
    <w:rsid w:val="0001656F"/>
    <w:rsid w:val="000167D8"/>
    <w:rsid w:val="00016B65"/>
    <w:rsid w:val="00017278"/>
    <w:rsid w:val="00017383"/>
    <w:rsid w:val="00017520"/>
    <w:rsid w:val="000176FF"/>
    <w:rsid w:val="0001781F"/>
    <w:rsid w:val="000179F1"/>
    <w:rsid w:val="00017B11"/>
    <w:rsid w:val="00017B9B"/>
    <w:rsid w:val="00017D17"/>
    <w:rsid w:val="00017D19"/>
    <w:rsid w:val="00017EC4"/>
    <w:rsid w:val="00017FBF"/>
    <w:rsid w:val="000201FE"/>
    <w:rsid w:val="0002045F"/>
    <w:rsid w:val="00020661"/>
    <w:rsid w:val="00020698"/>
    <w:rsid w:val="000207B2"/>
    <w:rsid w:val="000207E5"/>
    <w:rsid w:val="00020973"/>
    <w:rsid w:val="00020983"/>
    <w:rsid w:val="00020DAF"/>
    <w:rsid w:val="00020DB5"/>
    <w:rsid w:val="00020E6E"/>
    <w:rsid w:val="000213D4"/>
    <w:rsid w:val="0002142A"/>
    <w:rsid w:val="0002177E"/>
    <w:rsid w:val="00021938"/>
    <w:rsid w:val="00021C4D"/>
    <w:rsid w:val="00021F19"/>
    <w:rsid w:val="0002238F"/>
    <w:rsid w:val="00022535"/>
    <w:rsid w:val="00022759"/>
    <w:rsid w:val="000227D5"/>
    <w:rsid w:val="000227DC"/>
    <w:rsid w:val="000228BE"/>
    <w:rsid w:val="00022BC9"/>
    <w:rsid w:val="000230B1"/>
    <w:rsid w:val="00023185"/>
    <w:rsid w:val="000232A2"/>
    <w:rsid w:val="000235E8"/>
    <w:rsid w:val="000235EC"/>
    <w:rsid w:val="0002362F"/>
    <w:rsid w:val="000236A1"/>
    <w:rsid w:val="00023705"/>
    <w:rsid w:val="0002376A"/>
    <w:rsid w:val="000238B0"/>
    <w:rsid w:val="000238F5"/>
    <w:rsid w:val="00023A46"/>
    <w:rsid w:val="00023CFF"/>
    <w:rsid w:val="00023D4B"/>
    <w:rsid w:val="00023E52"/>
    <w:rsid w:val="00024062"/>
    <w:rsid w:val="000245E9"/>
    <w:rsid w:val="000248CF"/>
    <w:rsid w:val="0002493B"/>
    <w:rsid w:val="00024956"/>
    <w:rsid w:val="0002499F"/>
    <w:rsid w:val="00024F64"/>
    <w:rsid w:val="00024FE2"/>
    <w:rsid w:val="0002513E"/>
    <w:rsid w:val="000253FD"/>
    <w:rsid w:val="0002566D"/>
    <w:rsid w:val="000256B0"/>
    <w:rsid w:val="00025702"/>
    <w:rsid w:val="000257B0"/>
    <w:rsid w:val="00025856"/>
    <w:rsid w:val="00025C3E"/>
    <w:rsid w:val="00026061"/>
    <w:rsid w:val="00026113"/>
    <w:rsid w:val="00026326"/>
    <w:rsid w:val="00026349"/>
    <w:rsid w:val="000263EC"/>
    <w:rsid w:val="0002640C"/>
    <w:rsid w:val="0002660E"/>
    <w:rsid w:val="00026784"/>
    <w:rsid w:val="000267BC"/>
    <w:rsid w:val="000267FC"/>
    <w:rsid w:val="00026998"/>
    <w:rsid w:val="00026CA6"/>
    <w:rsid w:val="00026D9B"/>
    <w:rsid w:val="00026FF1"/>
    <w:rsid w:val="0002728C"/>
    <w:rsid w:val="0002742D"/>
    <w:rsid w:val="00027456"/>
    <w:rsid w:val="000274DD"/>
    <w:rsid w:val="000274E6"/>
    <w:rsid w:val="00027847"/>
    <w:rsid w:val="00027894"/>
    <w:rsid w:val="00027A6E"/>
    <w:rsid w:val="00027A9E"/>
    <w:rsid w:val="00027C96"/>
    <w:rsid w:val="00027D87"/>
    <w:rsid w:val="00027E86"/>
    <w:rsid w:val="00027EF1"/>
    <w:rsid w:val="00030036"/>
    <w:rsid w:val="00030298"/>
    <w:rsid w:val="0003039C"/>
    <w:rsid w:val="0003042A"/>
    <w:rsid w:val="000304B2"/>
    <w:rsid w:val="00030643"/>
    <w:rsid w:val="00030790"/>
    <w:rsid w:val="000308B4"/>
    <w:rsid w:val="00030A80"/>
    <w:rsid w:val="00030DB6"/>
    <w:rsid w:val="00030E1D"/>
    <w:rsid w:val="00030F82"/>
    <w:rsid w:val="00031006"/>
    <w:rsid w:val="00031034"/>
    <w:rsid w:val="000311BF"/>
    <w:rsid w:val="00031222"/>
    <w:rsid w:val="000312CE"/>
    <w:rsid w:val="000314D2"/>
    <w:rsid w:val="0003155D"/>
    <w:rsid w:val="000316F0"/>
    <w:rsid w:val="00031738"/>
    <w:rsid w:val="000319A7"/>
    <w:rsid w:val="00031B72"/>
    <w:rsid w:val="00031C02"/>
    <w:rsid w:val="00031CC8"/>
    <w:rsid w:val="00031D3F"/>
    <w:rsid w:val="00031E2D"/>
    <w:rsid w:val="00031F40"/>
    <w:rsid w:val="000320C9"/>
    <w:rsid w:val="0003213C"/>
    <w:rsid w:val="00032366"/>
    <w:rsid w:val="000325C5"/>
    <w:rsid w:val="00032765"/>
    <w:rsid w:val="00032822"/>
    <w:rsid w:val="0003285C"/>
    <w:rsid w:val="00032E37"/>
    <w:rsid w:val="00032F98"/>
    <w:rsid w:val="00033010"/>
    <w:rsid w:val="000330C4"/>
    <w:rsid w:val="00033243"/>
    <w:rsid w:val="000332F5"/>
    <w:rsid w:val="00033420"/>
    <w:rsid w:val="00033502"/>
    <w:rsid w:val="000335CB"/>
    <w:rsid w:val="000335F0"/>
    <w:rsid w:val="000336A5"/>
    <w:rsid w:val="000339AB"/>
    <w:rsid w:val="00033D81"/>
    <w:rsid w:val="00033EEE"/>
    <w:rsid w:val="0003421D"/>
    <w:rsid w:val="00034256"/>
    <w:rsid w:val="000342D3"/>
    <w:rsid w:val="000343DE"/>
    <w:rsid w:val="00034673"/>
    <w:rsid w:val="0003476C"/>
    <w:rsid w:val="00034AD6"/>
    <w:rsid w:val="00034CAA"/>
    <w:rsid w:val="00034CE5"/>
    <w:rsid w:val="00034E38"/>
    <w:rsid w:val="000350EA"/>
    <w:rsid w:val="000354BE"/>
    <w:rsid w:val="000354E4"/>
    <w:rsid w:val="000355D1"/>
    <w:rsid w:val="000357ED"/>
    <w:rsid w:val="00035835"/>
    <w:rsid w:val="000359E7"/>
    <w:rsid w:val="00035BAE"/>
    <w:rsid w:val="00035C7E"/>
    <w:rsid w:val="00035D8D"/>
    <w:rsid w:val="00035EF8"/>
    <w:rsid w:val="000361E5"/>
    <w:rsid w:val="0003622F"/>
    <w:rsid w:val="000364DA"/>
    <w:rsid w:val="00036505"/>
    <w:rsid w:val="00036612"/>
    <w:rsid w:val="00036AA6"/>
    <w:rsid w:val="00036BF6"/>
    <w:rsid w:val="00036D7D"/>
    <w:rsid w:val="00036F7D"/>
    <w:rsid w:val="000371D9"/>
    <w:rsid w:val="00037211"/>
    <w:rsid w:val="00037494"/>
    <w:rsid w:val="00037639"/>
    <w:rsid w:val="000376BD"/>
    <w:rsid w:val="00037769"/>
    <w:rsid w:val="00037791"/>
    <w:rsid w:val="00037847"/>
    <w:rsid w:val="00037991"/>
    <w:rsid w:val="000401DB"/>
    <w:rsid w:val="00040293"/>
    <w:rsid w:val="00040379"/>
    <w:rsid w:val="000404E3"/>
    <w:rsid w:val="00040C08"/>
    <w:rsid w:val="00040C34"/>
    <w:rsid w:val="0004104E"/>
    <w:rsid w:val="00041094"/>
    <w:rsid w:val="0004117F"/>
    <w:rsid w:val="00041190"/>
    <w:rsid w:val="0004132F"/>
    <w:rsid w:val="000414E1"/>
    <w:rsid w:val="000414F7"/>
    <w:rsid w:val="00041637"/>
    <w:rsid w:val="0004192C"/>
    <w:rsid w:val="000419C7"/>
    <w:rsid w:val="00041A10"/>
    <w:rsid w:val="00041BB2"/>
    <w:rsid w:val="00041BC2"/>
    <w:rsid w:val="00041D21"/>
    <w:rsid w:val="00041D74"/>
    <w:rsid w:val="00041EF5"/>
    <w:rsid w:val="00042012"/>
    <w:rsid w:val="000422A6"/>
    <w:rsid w:val="0004243F"/>
    <w:rsid w:val="000429D3"/>
    <w:rsid w:val="00042BF4"/>
    <w:rsid w:val="00042C77"/>
    <w:rsid w:val="00042C94"/>
    <w:rsid w:val="00042D90"/>
    <w:rsid w:val="00042DC9"/>
    <w:rsid w:val="00042FDE"/>
    <w:rsid w:val="00043074"/>
    <w:rsid w:val="00043101"/>
    <w:rsid w:val="00043183"/>
    <w:rsid w:val="00043292"/>
    <w:rsid w:val="00043581"/>
    <w:rsid w:val="000435E3"/>
    <w:rsid w:val="00043675"/>
    <w:rsid w:val="00043A49"/>
    <w:rsid w:val="00043CE6"/>
    <w:rsid w:val="00043D87"/>
    <w:rsid w:val="0004413A"/>
    <w:rsid w:val="000442B9"/>
    <w:rsid w:val="000444E9"/>
    <w:rsid w:val="00044507"/>
    <w:rsid w:val="0004472E"/>
    <w:rsid w:val="00044781"/>
    <w:rsid w:val="0004481B"/>
    <w:rsid w:val="00044962"/>
    <w:rsid w:val="00044B38"/>
    <w:rsid w:val="00044BD5"/>
    <w:rsid w:val="00044FF6"/>
    <w:rsid w:val="000452D1"/>
    <w:rsid w:val="00045312"/>
    <w:rsid w:val="00045344"/>
    <w:rsid w:val="00045601"/>
    <w:rsid w:val="0004570E"/>
    <w:rsid w:val="0004574A"/>
    <w:rsid w:val="00045963"/>
    <w:rsid w:val="0004598F"/>
    <w:rsid w:val="00045A71"/>
    <w:rsid w:val="00045BE1"/>
    <w:rsid w:val="00045C72"/>
    <w:rsid w:val="00045FA4"/>
    <w:rsid w:val="000464B8"/>
    <w:rsid w:val="00046647"/>
    <w:rsid w:val="000468F9"/>
    <w:rsid w:val="000469FD"/>
    <w:rsid w:val="00046A63"/>
    <w:rsid w:val="00046B26"/>
    <w:rsid w:val="00046D93"/>
    <w:rsid w:val="00046D96"/>
    <w:rsid w:val="00046E6D"/>
    <w:rsid w:val="0004734C"/>
    <w:rsid w:val="00047BBF"/>
    <w:rsid w:val="00047CC6"/>
    <w:rsid w:val="00047CD7"/>
    <w:rsid w:val="00047EA4"/>
    <w:rsid w:val="00047F2C"/>
    <w:rsid w:val="00050033"/>
    <w:rsid w:val="000501B0"/>
    <w:rsid w:val="0005039B"/>
    <w:rsid w:val="000503CB"/>
    <w:rsid w:val="000504A2"/>
    <w:rsid w:val="00050557"/>
    <w:rsid w:val="00050560"/>
    <w:rsid w:val="00050877"/>
    <w:rsid w:val="00050983"/>
    <w:rsid w:val="00050D43"/>
    <w:rsid w:val="00050FA0"/>
    <w:rsid w:val="00051076"/>
    <w:rsid w:val="0005109B"/>
    <w:rsid w:val="0005134A"/>
    <w:rsid w:val="000515B8"/>
    <w:rsid w:val="00051986"/>
    <w:rsid w:val="00051A96"/>
    <w:rsid w:val="00051B6F"/>
    <w:rsid w:val="00051C45"/>
    <w:rsid w:val="000520A7"/>
    <w:rsid w:val="0005238B"/>
    <w:rsid w:val="000524B0"/>
    <w:rsid w:val="000524EC"/>
    <w:rsid w:val="000526FE"/>
    <w:rsid w:val="00052BD9"/>
    <w:rsid w:val="00052C7A"/>
    <w:rsid w:val="00053127"/>
    <w:rsid w:val="000531BC"/>
    <w:rsid w:val="000534BB"/>
    <w:rsid w:val="0005365D"/>
    <w:rsid w:val="00053671"/>
    <w:rsid w:val="0005372A"/>
    <w:rsid w:val="0005373F"/>
    <w:rsid w:val="000537EC"/>
    <w:rsid w:val="00053830"/>
    <w:rsid w:val="000538CA"/>
    <w:rsid w:val="00053992"/>
    <w:rsid w:val="000539A2"/>
    <w:rsid w:val="000539D2"/>
    <w:rsid w:val="00053B08"/>
    <w:rsid w:val="00053B80"/>
    <w:rsid w:val="00053E8E"/>
    <w:rsid w:val="00053EFE"/>
    <w:rsid w:val="00053F9B"/>
    <w:rsid w:val="00054061"/>
    <w:rsid w:val="000542B8"/>
    <w:rsid w:val="00054493"/>
    <w:rsid w:val="000544A6"/>
    <w:rsid w:val="00054806"/>
    <w:rsid w:val="00054C1C"/>
    <w:rsid w:val="00054E11"/>
    <w:rsid w:val="00055092"/>
    <w:rsid w:val="000550D8"/>
    <w:rsid w:val="00055319"/>
    <w:rsid w:val="000554B8"/>
    <w:rsid w:val="000555E7"/>
    <w:rsid w:val="00055655"/>
    <w:rsid w:val="00055B63"/>
    <w:rsid w:val="00055ED9"/>
    <w:rsid w:val="00055FED"/>
    <w:rsid w:val="00056034"/>
    <w:rsid w:val="00056172"/>
    <w:rsid w:val="000562D4"/>
    <w:rsid w:val="0005658E"/>
    <w:rsid w:val="000567CA"/>
    <w:rsid w:val="00056913"/>
    <w:rsid w:val="00056CFD"/>
    <w:rsid w:val="00056E36"/>
    <w:rsid w:val="00056F94"/>
    <w:rsid w:val="00056FE2"/>
    <w:rsid w:val="00057205"/>
    <w:rsid w:val="000573AC"/>
    <w:rsid w:val="000574B3"/>
    <w:rsid w:val="000574BE"/>
    <w:rsid w:val="000574F9"/>
    <w:rsid w:val="000574FC"/>
    <w:rsid w:val="00057550"/>
    <w:rsid w:val="0005769A"/>
    <w:rsid w:val="00057761"/>
    <w:rsid w:val="0005777D"/>
    <w:rsid w:val="000577BD"/>
    <w:rsid w:val="0005792F"/>
    <w:rsid w:val="00057A1C"/>
    <w:rsid w:val="00057BA3"/>
    <w:rsid w:val="00057CBC"/>
    <w:rsid w:val="00057F83"/>
    <w:rsid w:val="00057FD6"/>
    <w:rsid w:val="00060097"/>
    <w:rsid w:val="000601EF"/>
    <w:rsid w:val="000602F4"/>
    <w:rsid w:val="00060348"/>
    <w:rsid w:val="00060455"/>
    <w:rsid w:val="00060C58"/>
    <w:rsid w:val="00060E10"/>
    <w:rsid w:val="00060E6F"/>
    <w:rsid w:val="00060F80"/>
    <w:rsid w:val="00061093"/>
    <w:rsid w:val="000610C2"/>
    <w:rsid w:val="000610E3"/>
    <w:rsid w:val="0006122F"/>
    <w:rsid w:val="0006139A"/>
    <w:rsid w:val="000614D5"/>
    <w:rsid w:val="000615C0"/>
    <w:rsid w:val="000616B3"/>
    <w:rsid w:val="00061770"/>
    <w:rsid w:val="0006194C"/>
    <w:rsid w:val="00061D46"/>
    <w:rsid w:val="00061D7E"/>
    <w:rsid w:val="0006272B"/>
    <w:rsid w:val="00062921"/>
    <w:rsid w:val="00062982"/>
    <w:rsid w:val="00062DF8"/>
    <w:rsid w:val="00062EDE"/>
    <w:rsid w:val="0006304B"/>
    <w:rsid w:val="00063074"/>
    <w:rsid w:val="00063081"/>
    <w:rsid w:val="0006333B"/>
    <w:rsid w:val="00063423"/>
    <w:rsid w:val="0006351F"/>
    <w:rsid w:val="00063556"/>
    <w:rsid w:val="00063660"/>
    <w:rsid w:val="0006390C"/>
    <w:rsid w:val="00063957"/>
    <w:rsid w:val="000639A6"/>
    <w:rsid w:val="00063BB5"/>
    <w:rsid w:val="00063D0E"/>
    <w:rsid w:val="00063E3C"/>
    <w:rsid w:val="00063E69"/>
    <w:rsid w:val="00063F60"/>
    <w:rsid w:val="00063F9B"/>
    <w:rsid w:val="00064158"/>
    <w:rsid w:val="000641D6"/>
    <w:rsid w:val="000642AB"/>
    <w:rsid w:val="000642EC"/>
    <w:rsid w:val="000642F4"/>
    <w:rsid w:val="000645C3"/>
    <w:rsid w:val="00064635"/>
    <w:rsid w:val="000646A3"/>
    <w:rsid w:val="00064700"/>
    <w:rsid w:val="0006487F"/>
    <w:rsid w:val="00064A4F"/>
    <w:rsid w:val="00064C40"/>
    <w:rsid w:val="00064D04"/>
    <w:rsid w:val="00064DA3"/>
    <w:rsid w:val="00064DE7"/>
    <w:rsid w:val="00064DEB"/>
    <w:rsid w:val="00064E98"/>
    <w:rsid w:val="00065113"/>
    <w:rsid w:val="00065260"/>
    <w:rsid w:val="00065518"/>
    <w:rsid w:val="00065539"/>
    <w:rsid w:val="000657E7"/>
    <w:rsid w:val="000657ED"/>
    <w:rsid w:val="00065827"/>
    <w:rsid w:val="00065A15"/>
    <w:rsid w:val="00065BC9"/>
    <w:rsid w:val="00065D3D"/>
    <w:rsid w:val="00065DED"/>
    <w:rsid w:val="00065E9D"/>
    <w:rsid w:val="00065ECA"/>
    <w:rsid w:val="00065FC0"/>
    <w:rsid w:val="00066018"/>
    <w:rsid w:val="000660AB"/>
    <w:rsid w:val="00066235"/>
    <w:rsid w:val="000662F8"/>
    <w:rsid w:val="000663A9"/>
    <w:rsid w:val="00066468"/>
    <w:rsid w:val="0006646A"/>
    <w:rsid w:val="000664AB"/>
    <w:rsid w:val="000664CF"/>
    <w:rsid w:val="00066568"/>
    <w:rsid w:val="000666D2"/>
    <w:rsid w:val="00066740"/>
    <w:rsid w:val="000667B5"/>
    <w:rsid w:val="00066B3D"/>
    <w:rsid w:val="00066CEB"/>
    <w:rsid w:val="00066FD2"/>
    <w:rsid w:val="00067006"/>
    <w:rsid w:val="000670B1"/>
    <w:rsid w:val="0006716B"/>
    <w:rsid w:val="00067804"/>
    <w:rsid w:val="00067C4C"/>
    <w:rsid w:val="00067EBD"/>
    <w:rsid w:val="00067ED0"/>
    <w:rsid w:val="00067EE3"/>
    <w:rsid w:val="00070135"/>
    <w:rsid w:val="000701BD"/>
    <w:rsid w:val="00070246"/>
    <w:rsid w:val="00070278"/>
    <w:rsid w:val="0007036C"/>
    <w:rsid w:val="00070405"/>
    <w:rsid w:val="00070514"/>
    <w:rsid w:val="00070690"/>
    <w:rsid w:val="0007077C"/>
    <w:rsid w:val="000707BA"/>
    <w:rsid w:val="000707FF"/>
    <w:rsid w:val="0007097C"/>
    <w:rsid w:val="00070C24"/>
    <w:rsid w:val="00070C69"/>
    <w:rsid w:val="00070D74"/>
    <w:rsid w:val="00071570"/>
    <w:rsid w:val="000716C2"/>
    <w:rsid w:val="00071759"/>
    <w:rsid w:val="00071884"/>
    <w:rsid w:val="00071DC1"/>
    <w:rsid w:val="00071F47"/>
    <w:rsid w:val="000724CB"/>
    <w:rsid w:val="0007273E"/>
    <w:rsid w:val="00072A97"/>
    <w:rsid w:val="00072AA7"/>
    <w:rsid w:val="000731FD"/>
    <w:rsid w:val="0007335F"/>
    <w:rsid w:val="0007355B"/>
    <w:rsid w:val="00073578"/>
    <w:rsid w:val="000737C3"/>
    <w:rsid w:val="000737D4"/>
    <w:rsid w:val="00073B39"/>
    <w:rsid w:val="00073C15"/>
    <w:rsid w:val="00073CF2"/>
    <w:rsid w:val="00073E8C"/>
    <w:rsid w:val="00073EF7"/>
    <w:rsid w:val="00073F51"/>
    <w:rsid w:val="00074025"/>
    <w:rsid w:val="00074042"/>
    <w:rsid w:val="00074434"/>
    <w:rsid w:val="00074604"/>
    <w:rsid w:val="000747BE"/>
    <w:rsid w:val="00074BB0"/>
    <w:rsid w:val="00074DFA"/>
    <w:rsid w:val="00074E66"/>
    <w:rsid w:val="000752BF"/>
    <w:rsid w:val="000754B9"/>
    <w:rsid w:val="000754F1"/>
    <w:rsid w:val="0007566E"/>
    <w:rsid w:val="00075912"/>
    <w:rsid w:val="0007609E"/>
    <w:rsid w:val="000760BD"/>
    <w:rsid w:val="000760E7"/>
    <w:rsid w:val="0007625F"/>
    <w:rsid w:val="000762BE"/>
    <w:rsid w:val="0007648E"/>
    <w:rsid w:val="00076573"/>
    <w:rsid w:val="0007667B"/>
    <w:rsid w:val="00076D3B"/>
    <w:rsid w:val="00077159"/>
    <w:rsid w:val="000772F6"/>
    <w:rsid w:val="00077350"/>
    <w:rsid w:val="000774E4"/>
    <w:rsid w:val="00077696"/>
    <w:rsid w:val="000777E7"/>
    <w:rsid w:val="000779F0"/>
    <w:rsid w:val="00077B4D"/>
    <w:rsid w:val="00077B86"/>
    <w:rsid w:val="00077BA2"/>
    <w:rsid w:val="00077C39"/>
    <w:rsid w:val="00077C5A"/>
    <w:rsid w:val="00077CFC"/>
    <w:rsid w:val="00077D21"/>
    <w:rsid w:val="00077E3B"/>
    <w:rsid w:val="0008000D"/>
    <w:rsid w:val="00080177"/>
    <w:rsid w:val="00080564"/>
    <w:rsid w:val="000808DB"/>
    <w:rsid w:val="0008091D"/>
    <w:rsid w:val="00080FD2"/>
    <w:rsid w:val="0008101E"/>
    <w:rsid w:val="00081063"/>
    <w:rsid w:val="000810A9"/>
    <w:rsid w:val="000810AC"/>
    <w:rsid w:val="000811A4"/>
    <w:rsid w:val="000812EC"/>
    <w:rsid w:val="0008135F"/>
    <w:rsid w:val="0008149F"/>
    <w:rsid w:val="000819E4"/>
    <w:rsid w:val="00081A9A"/>
    <w:rsid w:val="00081B23"/>
    <w:rsid w:val="00081E4C"/>
    <w:rsid w:val="00081EAB"/>
    <w:rsid w:val="0008201F"/>
    <w:rsid w:val="000823B1"/>
    <w:rsid w:val="00082900"/>
    <w:rsid w:val="00082B2F"/>
    <w:rsid w:val="00082CBA"/>
    <w:rsid w:val="000831B5"/>
    <w:rsid w:val="000832D7"/>
    <w:rsid w:val="00083407"/>
    <w:rsid w:val="00083449"/>
    <w:rsid w:val="000835AC"/>
    <w:rsid w:val="000838E6"/>
    <w:rsid w:val="00083945"/>
    <w:rsid w:val="00083B9A"/>
    <w:rsid w:val="00083D0C"/>
    <w:rsid w:val="00083D31"/>
    <w:rsid w:val="00083D4C"/>
    <w:rsid w:val="00083D7E"/>
    <w:rsid w:val="0008403B"/>
    <w:rsid w:val="000840FB"/>
    <w:rsid w:val="000843A5"/>
    <w:rsid w:val="0008463A"/>
    <w:rsid w:val="00084641"/>
    <w:rsid w:val="00084647"/>
    <w:rsid w:val="00084899"/>
    <w:rsid w:val="000848EF"/>
    <w:rsid w:val="00084C37"/>
    <w:rsid w:val="0008515F"/>
    <w:rsid w:val="00085164"/>
    <w:rsid w:val="0008537B"/>
    <w:rsid w:val="00085382"/>
    <w:rsid w:val="000853AC"/>
    <w:rsid w:val="00085443"/>
    <w:rsid w:val="00085581"/>
    <w:rsid w:val="00085590"/>
    <w:rsid w:val="00085830"/>
    <w:rsid w:val="00085DAB"/>
    <w:rsid w:val="00085DD1"/>
    <w:rsid w:val="00085E17"/>
    <w:rsid w:val="00085E23"/>
    <w:rsid w:val="00085FB2"/>
    <w:rsid w:val="00085FBF"/>
    <w:rsid w:val="000861E6"/>
    <w:rsid w:val="000861F9"/>
    <w:rsid w:val="00086471"/>
    <w:rsid w:val="0008663A"/>
    <w:rsid w:val="00086733"/>
    <w:rsid w:val="00086A32"/>
    <w:rsid w:val="00086B75"/>
    <w:rsid w:val="00086B7C"/>
    <w:rsid w:val="00086D0D"/>
    <w:rsid w:val="00086EB9"/>
    <w:rsid w:val="00086F82"/>
    <w:rsid w:val="00087145"/>
    <w:rsid w:val="00087283"/>
    <w:rsid w:val="000873A2"/>
    <w:rsid w:val="000873A9"/>
    <w:rsid w:val="0008750F"/>
    <w:rsid w:val="00087642"/>
    <w:rsid w:val="0008768F"/>
    <w:rsid w:val="00087B62"/>
    <w:rsid w:val="00087E18"/>
    <w:rsid w:val="00087E23"/>
    <w:rsid w:val="00087E56"/>
    <w:rsid w:val="00090007"/>
    <w:rsid w:val="0009006C"/>
    <w:rsid w:val="00090293"/>
    <w:rsid w:val="00090476"/>
    <w:rsid w:val="000904D8"/>
    <w:rsid w:val="00090544"/>
    <w:rsid w:val="00090682"/>
    <w:rsid w:val="000908C8"/>
    <w:rsid w:val="0009097C"/>
    <w:rsid w:val="00090D6E"/>
    <w:rsid w:val="00090E72"/>
    <w:rsid w:val="00090EAE"/>
    <w:rsid w:val="0009140B"/>
    <w:rsid w:val="000916E4"/>
    <w:rsid w:val="000917AD"/>
    <w:rsid w:val="000918ED"/>
    <w:rsid w:val="000918FF"/>
    <w:rsid w:val="000919EF"/>
    <w:rsid w:val="00091A23"/>
    <w:rsid w:val="00091A6C"/>
    <w:rsid w:val="00091C51"/>
    <w:rsid w:val="000920D7"/>
    <w:rsid w:val="00092154"/>
    <w:rsid w:val="000921CC"/>
    <w:rsid w:val="000922E6"/>
    <w:rsid w:val="0009235E"/>
    <w:rsid w:val="000928F4"/>
    <w:rsid w:val="00092AB6"/>
    <w:rsid w:val="00092B3E"/>
    <w:rsid w:val="0009322B"/>
    <w:rsid w:val="0009342E"/>
    <w:rsid w:val="0009360D"/>
    <w:rsid w:val="00093DAC"/>
    <w:rsid w:val="00093DBB"/>
    <w:rsid w:val="00093F11"/>
    <w:rsid w:val="00093FCC"/>
    <w:rsid w:val="00094089"/>
    <w:rsid w:val="00094387"/>
    <w:rsid w:val="0009441D"/>
    <w:rsid w:val="000945EA"/>
    <w:rsid w:val="000948CC"/>
    <w:rsid w:val="00094AD2"/>
    <w:rsid w:val="00094C10"/>
    <w:rsid w:val="00094C53"/>
    <w:rsid w:val="00094D51"/>
    <w:rsid w:val="00094F55"/>
    <w:rsid w:val="00095048"/>
    <w:rsid w:val="00095064"/>
    <w:rsid w:val="00095078"/>
    <w:rsid w:val="00095116"/>
    <w:rsid w:val="000951B7"/>
    <w:rsid w:val="000952D2"/>
    <w:rsid w:val="000953E8"/>
    <w:rsid w:val="000954A0"/>
    <w:rsid w:val="000954F1"/>
    <w:rsid w:val="000955B0"/>
    <w:rsid w:val="0009564B"/>
    <w:rsid w:val="0009583C"/>
    <w:rsid w:val="0009584E"/>
    <w:rsid w:val="00095D97"/>
    <w:rsid w:val="00095F6D"/>
    <w:rsid w:val="0009641B"/>
    <w:rsid w:val="000965A7"/>
    <w:rsid w:val="0009670C"/>
    <w:rsid w:val="000967F6"/>
    <w:rsid w:val="00096818"/>
    <w:rsid w:val="00096FF9"/>
    <w:rsid w:val="00097000"/>
    <w:rsid w:val="000970B5"/>
    <w:rsid w:val="00097119"/>
    <w:rsid w:val="00097365"/>
    <w:rsid w:val="00097399"/>
    <w:rsid w:val="000973A8"/>
    <w:rsid w:val="000973FB"/>
    <w:rsid w:val="00097756"/>
    <w:rsid w:val="00097B14"/>
    <w:rsid w:val="00097B9C"/>
    <w:rsid w:val="00097C44"/>
    <w:rsid w:val="00097E38"/>
    <w:rsid w:val="000A01EF"/>
    <w:rsid w:val="000A02D5"/>
    <w:rsid w:val="000A0301"/>
    <w:rsid w:val="000A04BF"/>
    <w:rsid w:val="000A08EE"/>
    <w:rsid w:val="000A0E11"/>
    <w:rsid w:val="000A0ED4"/>
    <w:rsid w:val="000A0F01"/>
    <w:rsid w:val="000A1811"/>
    <w:rsid w:val="000A1925"/>
    <w:rsid w:val="000A1EC1"/>
    <w:rsid w:val="000A1F68"/>
    <w:rsid w:val="000A1FA7"/>
    <w:rsid w:val="000A229E"/>
    <w:rsid w:val="000A24ED"/>
    <w:rsid w:val="000A276E"/>
    <w:rsid w:val="000A2786"/>
    <w:rsid w:val="000A279D"/>
    <w:rsid w:val="000A27AB"/>
    <w:rsid w:val="000A28C1"/>
    <w:rsid w:val="000A297B"/>
    <w:rsid w:val="000A2AB6"/>
    <w:rsid w:val="000A2B83"/>
    <w:rsid w:val="000A2BEF"/>
    <w:rsid w:val="000A2BF4"/>
    <w:rsid w:val="000A2C2B"/>
    <w:rsid w:val="000A2F48"/>
    <w:rsid w:val="000A302B"/>
    <w:rsid w:val="000A3140"/>
    <w:rsid w:val="000A3216"/>
    <w:rsid w:val="000A3312"/>
    <w:rsid w:val="000A339F"/>
    <w:rsid w:val="000A36BA"/>
    <w:rsid w:val="000A3763"/>
    <w:rsid w:val="000A37C3"/>
    <w:rsid w:val="000A37E0"/>
    <w:rsid w:val="000A3B25"/>
    <w:rsid w:val="000A3D4E"/>
    <w:rsid w:val="000A3E25"/>
    <w:rsid w:val="000A3E96"/>
    <w:rsid w:val="000A412F"/>
    <w:rsid w:val="000A4337"/>
    <w:rsid w:val="000A44D4"/>
    <w:rsid w:val="000A461A"/>
    <w:rsid w:val="000A4A1E"/>
    <w:rsid w:val="000A4A49"/>
    <w:rsid w:val="000A5021"/>
    <w:rsid w:val="000A50DD"/>
    <w:rsid w:val="000A522A"/>
    <w:rsid w:val="000A56CC"/>
    <w:rsid w:val="000A5850"/>
    <w:rsid w:val="000A5C52"/>
    <w:rsid w:val="000A5C9C"/>
    <w:rsid w:val="000A5EA5"/>
    <w:rsid w:val="000A5F99"/>
    <w:rsid w:val="000A5FF8"/>
    <w:rsid w:val="000A63F4"/>
    <w:rsid w:val="000A6473"/>
    <w:rsid w:val="000A6583"/>
    <w:rsid w:val="000A6772"/>
    <w:rsid w:val="000A6A10"/>
    <w:rsid w:val="000A6AE4"/>
    <w:rsid w:val="000A6B26"/>
    <w:rsid w:val="000A70B4"/>
    <w:rsid w:val="000A7202"/>
    <w:rsid w:val="000A78B6"/>
    <w:rsid w:val="000A79D6"/>
    <w:rsid w:val="000A7AB2"/>
    <w:rsid w:val="000A7AD4"/>
    <w:rsid w:val="000A7E84"/>
    <w:rsid w:val="000A7F9E"/>
    <w:rsid w:val="000B0062"/>
    <w:rsid w:val="000B0099"/>
    <w:rsid w:val="000B00CF"/>
    <w:rsid w:val="000B011C"/>
    <w:rsid w:val="000B0442"/>
    <w:rsid w:val="000B0AF8"/>
    <w:rsid w:val="000B0CE7"/>
    <w:rsid w:val="000B0DA0"/>
    <w:rsid w:val="000B0E8F"/>
    <w:rsid w:val="000B0EF7"/>
    <w:rsid w:val="000B0FC9"/>
    <w:rsid w:val="000B1074"/>
    <w:rsid w:val="000B10D1"/>
    <w:rsid w:val="000B1D4E"/>
    <w:rsid w:val="000B1E71"/>
    <w:rsid w:val="000B1F2B"/>
    <w:rsid w:val="000B204D"/>
    <w:rsid w:val="000B21BD"/>
    <w:rsid w:val="000B2586"/>
    <w:rsid w:val="000B25FE"/>
    <w:rsid w:val="000B2607"/>
    <w:rsid w:val="000B2B74"/>
    <w:rsid w:val="000B2CEC"/>
    <w:rsid w:val="000B2E1F"/>
    <w:rsid w:val="000B2FB3"/>
    <w:rsid w:val="000B2FF3"/>
    <w:rsid w:val="000B30F9"/>
    <w:rsid w:val="000B31CE"/>
    <w:rsid w:val="000B35F0"/>
    <w:rsid w:val="000B3773"/>
    <w:rsid w:val="000B3B0B"/>
    <w:rsid w:val="000B3B39"/>
    <w:rsid w:val="000B3BB5"/>
    <w:rsid w:val="000B3ECD"/>
    <w:rsid w:val="000B40A4"/>
    <w:rsid w:val="000B42B5"/>
    <w:rsid w:val="000B4547"/>
    <w:rsid w:val="000B462C"/>
    <w:rsid w:val="000B47B1"/>
    <w:rsid w:val="000B47EA"/>
    <w:rsid w:val="000B4828"/>
    <w:rsid w:val="000B493F"/>
    <w:rsid w:val="000B4993"/>
    <w:rsid w:val="000B4AB4"/>
    <w:rsid w:val="000B4F1A"/>
    <w:rsid w:val="000B502B"/>
    <w:rsid w:val="000B5070"/>
    <w:rsid w:val="000B5277"/>
    <w:rsid w:val="000B53C6"/>
    <w:rsid w:val="000B53F1"/>
    <w:rsid w:val="000B5437"/>
    <w:rsid w:val="000B5518"/>
    <w:rsid w:val="000B5648"/>
    <w:rsid w:val="000B5769"/>
    <w:rsid w:val="000B578B"/>
    <w:rsid w:val="000B5B49"/>
    <w:rsid w:val="000B5DE3"/>
    <w:rsid w:val="000B5F04"/>
    <w:rsid w:val="000B6183"/>
    <w:rsid w:val="000B64AF"/>
    <w:rsid w:val="000B652A"/>
    <w:rsid w:val="000B6534"/>
    <w:rsid w:val="000B66B4"/>
    <w:rsid w:val="000B66ED"/>
    <w:rsid w:val="000B67EB"/>
    <w:rsid w:val="000B68A0"/>
    <w:rsid w:val="000B6BBE"/>
    <w:rsid w:val="000B6D89"/>
    <w:rsid w:val="000B6F6A"/>
    <w:rsid w:val="000B713C"/>
    <w:rsid w:val="000B72D6"/>
    <w:rsid w:val="000B73ED"/>
    <w:rsid w:val="000B75D6"/>
    <w:rsid w:val="000B772C"/>
    <w:rsid w:val="000B7859"/>
    <w:rsid w:val="000B7B30"/>
    <w:rsid w:val="000B7BAB"/>
    <w:rsid w:val="000B7DE2"/>
    <w:rsid w:val="000B7EFD"/>
    <w:rsid w:val="000B7F48"/>
    <w:rsid w:val="000C0090"/>
    <w:rsid w:val="000C013C"/>
    <w:rsid w:val="000C0141"/>
    <w:rsid w:val="000C0526"/>
    <w:rsid w:val="000C056C"/>
    <w:rsid w:val="000C05C3"/>
    <w:rsid w:val="000C0A04"/>
    <w:rsid w:val="000C0AF7"/>
    <w:rsid w:val="000C0DAD"/>
    <w:rsid w:val="000C0F84"/>
    <w:rsid w:val="000C112B"/>
    <w:rsid w:val="000C13CA"/>
    <w:rsid w:val="000C15B9"/>
    <w:rsid w:val="000C16EB"/>
    <w:rsid w:val="000C17C3"/>
    <w:rsid w:val="000C1A69"/>
    <w:rsid w:val="000C1AC5"/>
    <w:rsid w:val="000C1C44"/>
    <w:rsid w:val="000C1C71"/>
    <w:rsid w:val="000C1FEB"/>
    <w:rsid w:val="000C2278"/>
    <w:rsid w:val="000C2381"/>
    <w:rsid w:val="000C240B"/>
    <w:rsid w:val="000C2439"/>
    <w:rsid w:val="000C2488"/>
    <w:rsid w:val="000C2952"/>
    <w:rsid w:val="000C296F"/>
    <w:rsid w:val="000C3018"/>
    <w:rsid w:val="000C30EA"/>
    <w:rsid w:val="000C3435"/>
    <w:rsid w:val="000C40BD"/>
    <w:rsid w:val="000C4471"/>
    <w:rsid w:val="000C44AF"/>
    <w:rsid w:val="000C454E"/>
    <w:rsid w:val="000C48FA"/>
    <w:rsid w:val="000C4B4D"/>
    <w:rsid w:val="000C4E0F"/>
    <w:rsid w:val="000C4FDF"/>
    <w:rsid w:val="000C511F"/>
    <w:rsid w:val="000C5308"/>
    <w:rsid w:val="000C5334"/>
    <w:rsid w:val="000C53FF"/>
    <w:rsid w:val="000C55D0"/>
    <w:rsid w:val="000C57F9"/>
    <w:rsid w:val="000C5860"/>
    <w:rsid w:val="000C58F5"/>
    <w:rsid w:val="000C593E"/>
    <w:rsid w:val="000C5D44"/>
    <w:rsid w:val="000C5FE6"/>
    <w:rsid w:val="000C6006"/>
    <w:rsid w:val="000C603F"/>
    <w:rsid w:val="000C61E2"/>
    <w:rsid w:val="000C61F5"/>
    <w:rsid w:val="000C6369"/>
    <w:rsid w:val="000C6515"/>
    <w:rsid w:val="000C6632"/>
    <w:rsid w:val="000C690D"/>
    <w:rsid w:val="000C6A8E"/>
    <w:rsid w:val="000C6B4C"/>
    <w:rsid w:val="000C6B85"/>
    <w:rsid w:val="000C6F33"/>
    <w:rsid w:val="000C7108"/>
    <w:rsid w:val="000C7116"/>
    <w:rsid w:val="000C712B"/>
    <w:rsid w:val="000C7164"/>
    <w:rsid w:val="000C71E7"/>
    <w:rsid w:val="000C72CC"/>
    <w:rsid w:val="000C761A"/>
    <w:rsid w:val="000C76DD"/>
    <w:rsid w:val="000C7701"/>
    <w:rsid w:val="000C7A30"/>
    <w:rsid w:val="000C7AA8"/>
    <w:rsid w:val="000C7CA0"/>
    <w:rsid w:val="000C7CE0"/>
    <w:rsid w:val="000C7DB8"/>
    <w:rsid w:val="000C7DF3"/>
    <w:rsid w:val="000C7F31"/>
    <w:rsid w:val="000D003E"/>
    <w:rsid w:val="000D0200"/>
    <w:rsid w:val="000D06E8"/>
    <w:rsid w:val="000D06F8"/>
    <w:rsid w:val="000D0943"/>
    <w:rsid w:val="000D098B"/>
    <w:rsid w:val="000D0A2E"/>
    <w:rsid w:val="000D0C6A"/>
    <w:rsid w:val="000D0C95"/>
    <w:rsid w:val="000D0E36"/>
    <w:rsid w:val="000D0F31"/>
    <w:rsid w:val="000D104E"/>
    <w:rsid w:val="000D1102"/>
    <w:rsid w:val="000D1800"/>
    <w:rsid w:val="000D1BB2"/>
    <w:rsid w:val="000D1D19"/>
    <w:rsid w:val="000D1F2A"/>
    <w:rsid w:val="000D20C9"/>
    <w:rsid w:val="000D21DC"/>
    <w:rsid w:val="000D220C"/>
    <w:rsid w:val="000D223A"/>
    <w:rsid w:val="000D22CB"/>
    <w:rsid w:val="000D264F"/>
    <w:rsid w:val="000D267D"/>
    <w:rsid w:val="000D2743"/>
    <w:rsid w:val="000D2AF6"/>
    <w:rsid w:val="000D2EE8"/>
    <w:rsid w:val="000D318B"/>
    <w:rsid w:val="000D32CE"/>
    <w:rsid w:val="000D335C"/>
    <w:rsid w:val="000D3435"/>
    <w:rsid w:val="000D3466"/>
    <w:rsid w:val="000D37DB"/>
    <w:rsid w:val="000D39B7"/>
    <w:rsid w:val="000D3B9D"/>
    <w:rsid w:val="000D3C9D"/>
    <w:rsid w:val="000D3CFF"/>
    <w:rsid w:val="000D441D"/>
    <w:rsid w:val="000D4438"/>
    <w:rsid w:val="000D499A"/>
    <w:rsid w:val="000D4C3A"/>
    <w:rsid w:val="000D4D7F"/>
    <w:rsid w:val="000D4F5E"/>
    <w:rsid w:val="000D5530"/>
    <w:rsid w:val="000D5558"/>
    <w:rsid w:val="000D5571"/>
    <w:rsid w:val="000D56F0"/>
    <w:rsid w:val="000D5735"/>
    <w:rsid w:val="000D5A7C"/>
    <w:rsid w:val="000D5CA2"/>
    <w:rsid w:val="000D5DF1"/>
    <w:rsid w:val="000D5F52"/>
    <w:rsid w:val="000D6684"/>
    <w:rsid w:val="000D6747"/>
    <w:rsid w:val="000D6AFB"/>
    <w:rsid w:val="000D6CCC"/>
    <w:rsid w:val="000D6E89"/>
    <w:rsid w:val="000D6ECB"/>
    <w:rsid w:val="000D6F52"/>
    <w:rsid w:val="000D7274"/>
    <w:rsid w:val="000D79AF"/>
    <w:rsid w:val="000D7C8D"/>
    <w:rsid w:val="000D7E09"/>
    <w:rsid w:val="000D7FA5"/>
    <w:rsid w:val="000D7FDF"/>
    <w:rsid w:val="000E0149"/>
    <w:rsid w:val="000E06BF"/>
    <w:rsid w:val="000E0AC7"/>
    <w:rsid w:val="000E0BA5"/>
    <w:rsid w:val="000E0D58"/>
    <w:rsid w:val="000E0FD3"/>
    <w:rsid w:val="000E1153"/>
    <w:rsid w:val="000E1200"/>
    <w:rsid w:val="000E14AB"/>
    <w:rsid w:val="000E160E"/>
    <w:rsid w:val="000E1617"/>
    <w:rsid w:val="000E1828"/>
    <w:rsid w:val="000E183C"/>
    <w:rsid w:val="000E18CE"/>
    <w:rsid w:val="000E1A29"/>
    <w:rsid w:val="000E1A63"/>
    <w:rsid w:val="000E1C18"/>
    <w:rsid w:val="000E20CA"/>
    <w:rsid w:val="000E21C0"/>
    <w:rsid w:val="000E21D6"/>
    <w:rsid w:val="000E2261"/>
    <w:rsid w:val="000E23B6"/>
    <w:rsid w:val="000E2556"/>
    <w:rsid w:val="000E2731"/>
    <w:rsid w:val="000E2993"/>
    <w:rsid w:val="000E2AB4"/>
    <w:rsid w:val="000E2BED"/>
    <w:rsid w:val="000E2CEC"/>
    <w:rsid w:val="000E2D05"/>
    <w:rsid w:val="000E303B"/>
    <w:rsid w:val="000E3129"/>
    <w:rsid w:val="000E3ACF"/>
    <w:rsid w:val="000E3E9A"/>
    <w:rsid w:val="000E3F25"/>
    <w:rsid w:val="000E4180"/>
    <w:rsid w:val="000E4277"/>
    <w:rsid w:val="000E43FE"/>
    <w:rsid w:val="000E4A07"/>
    <w:rsid w:val="000E4A5A"/>
    <w:rsid w:val="000E4B1B"/>
    <w:rsid w:val="000E4B9B"/>
    <w:rsid w:val="000E4BDC"/>
    <w:rsid w:val="000E4DC8"/>
    <w:rsid w:val="000E4EA4"/>
    <w:rsid w:val="000E5143"/>
    <w:rsid w:val="000E5196"/>
    <w:rsid w:val="000E5220"/>
    <w:rsid w:val="000E52BE"/>
    <w:rsid w:val="000E5457"/>
    <w:rsid w:val="000E555F"/>
    <w:rsid w:val="000E57B3"/>
    <w:rsid w:val="000E596B"/>
    <w:rsid w:val="000E5A55"/>
    <w:rsid w:val="000E5B28"/>
    <w:rsid w:val="000E5BC5"/>
    <w:rsid w:val="000E5F20"/>
    <w:rsid w:val="000E6065"/>
    <w:rsid w:val="000E641F"/>
    <w:rsid w:val="000E6468"/>
    <w:rsid w:val="000E64D9"/>
    <w:rsid w:val="000E6542"/>
    <w:rsid w:val="000E66CD"/>
    <w:rsid w:val="000E66F0"/>
    <w:rsid w:val="000E6A6A"/>
    <w:rsid w:val="000E6A93"/>
    <w:rsid w:val="000E6C4C"/>
    <w:rsid w:val="000E6CA2"/>
    <w:rsid w:val="000E6F93"/>
    <w:rsid w:val="000E70E2"/>
    <w:rsid w:val="000E71AE"/>
    <w:rsid w:val="000E71B4"/>
    <w:rsid w:val="000E7248"/>
    <w:rsid w:val="000E7250"/>
    <w:rsid w:val="000E7254"/>
    <w:rsid w:val="000E735E"/>
    <w:rsid w:val="000E7420"/>
    <w:rsid w:val="000E76D7"/>
    <w:rsid w:val="000E7784"/>
    <w:rsid w:val="000E7788"/>
    <w:rsid w:val="000E77D0"/>
    <w:rsid w:val="000E7950"/>
    <w:rsid w:val="000E7BA8"/>
    <w:rsid w:val="000E7BB0"/>
    <w:rsid w:val="000E7C94"/>
    <w:rsid w:val="000E7E25"/>
    <w:rsid w:val="000E7E77"/>
    <w:rsid w:val="000E7EFE"/>
    <w:rsid w:val="000F007A"/>
    <w:rsid w:val="000F00B3"/>
    <w:rsid w:val="000F054D"/>
    <w:rsid w:val="000F0882"/>
    <w:rsid w:val="000F09F4"/>
    <w:rsid w:val="000F0B04"/>
    <w:rsid w:val="000F0CD8"/>
    <w:rsid w:val="000F1051"/>
    <w:rsid w:val="000F119D"/>
    <w:rsid w:val="000F11D5"/>
    <w:rsid w:val="000F13FF"/>
    <w:rsid w:val="000F159A"/>
    <w:rsid w:val="000F16B1"/>
    <w:rsid w:val="000F16FC"/>
    <w:rsid w:val="000F1719"/>
    <w:rsid w:val="000F1730"/>
    <w:rsid w:val="000F1914"/>
    <w:rsid w:val="000F196C"/>
    <w:rsid w:val="000F1CFB"/>
    <w:rsid w:val="000F1DC7"/>
    <w:rsid w:val="000F204F"/>
    <w:rsid w:val="000F22A8"/>
    <w:rsid w:val="000F22B8"/>
    <w:rsid w:val="000F273D"/>
    <w:rsid w:val="000F282A"/>
    <w:rsid w:val="000F28A6"/>
    <w:rsid w:val="000F29EB"/>
    <w:rsid w:val="000F2BC6"/>
    <w:rsid w:val="000F2CD6"/>
    <w:rsid w:val="000F2D3F"/>
    <w:rsid w:val="000F2D64"/>
    <w:rsid w:val="000F2EF8"/>
    <w:rsid w:val="000F2F2B"/>
    <w:rsid w:val="000F2F61"/>
    <w:rsid w:val="000F2FA0"/>
    <w:rsid w:val="000F3025"/>
    <w:rsid w:val="000F326C"/>
    <w:rsid w:val="000F3290"/>
    <w:rsid w:val="000F32CE"/>
    <w:rsid w:val="000F340A"/>
    <w:rsid w:val="000F35FA"/>
    <w:rsid w:val="000F36BE"/>
    <w:rsid w:val="000F392F"/>
    <w:rsid w:val="000F3A34"/>
    <w:rsid w:val="000F3B98"/>
    <w:rsid w:val="000F3BAD"/>
    <w:rsid w:val="000F3CA0"/>
    <w:rsid w:val="000F3FAC"/>
    <w:rsid w:val="000F416B"/>
    <w:rsid w:val="000F460D"/>
    <w:rsid w:val="000F481E"/>
    <w:rsid w:val="000F4872"/>
    <w:rsid w:val="000F49B1"/>
    <w:rsid w:val="000F4A6C"/>
    <w:rsid w:val="000F4AB3"/>
    <w:rsid w:val="000F4CB0"/>
    <w:rsid w:val="000F4FB5"/>
    <w:rsid w:val="000F50FA"/>
    <w:rsid w:val="000F51A6"/>
    <w:rsid w:val="000F52DE"/>
    <w:rsid w:val="000F5664"/>
    <w:rsid w:val="000F589D"/>
    <w:rsid w:val="000F58EC"/>
    <w:rsid w:val="000F5A86"/>
    <w:rsid w:val="000F5D28"/>
    <w:rsid w:val="000F5DB3"/>
    <w:rsid w:val="000F5E23"/>
    <w:rsid w:val="000F5EDC"/>
    <w:rsid w:val="000F65D3"/>
    <w:rsid w:val="000F68BB"/>
    <w:rsid w:val="000F6C31"/>
    <w:rsid w:val="000F6E1C"/>
    <w:rsid w:val="000F7370"/>
    <w:rsid w:val="000F7452"/>
    <w:rsid w:val="000F7475"/>
    <w:rsid w:val="000F757D"/>
    <w:rsid w:val="000F76BC"/>
    <w:rsid w:val="000F7768"/>
    <w:rsid w:val="000F785D"/>
    <w:rsid w:val="000F7919"/>
    <w:rsid w:val="000F7974"/>
    <w:rsid w:val="000F79AC"/>
    <w:rsid w:val="000F7A0B"/>
    <w:rsid w:val="000F7A55"/>
    <w:rsid w:val="000F7ADA"/>
    <w:rsid w:val="000F7DAB"/>
    <w:rsid w:val="000F7E71"/>
    <w:rsid w:val="000F7E80"/>
    <w:rsid w:val="000F7FB0"/>
    <w:rsid w:val="00100077"/>
    <w:rsid w:val="001000B3"/>
    <w:rsid w:val="001000F7"/>
    <w:rsid w:val="00100141"/>
    <w:rsid w:val="001001AE"/>
    <w:rsid w:val="00100289"/>
    <w:rsid w:val="001002F1"/>
    <w:rsid w:val="00100489"/>
    <w:rsid w:val="0010093B"/>
    <w:rsid w:val="00100AFD"/>
    <w:rsid w:val="00100B03"/>
    <w:rsid w:val="00100BC8"/>
    <w:rsid w:val="00100C1A"/>
    <w:rsid w:val="00100CA4"/>
    <w:rsid w:val="001010D5"/>
    <w:rsid w:val="00101118"/>
    <w:rsid w:val="001011B9"/>
    <w:rsid w:val="00101279"/>
    <w:rsid w:val="0010133C"/>
    <w:rsid w:val="00101365"/>
    <w:rsid w:val="001014D3"/>
    <w:rsid w:val="001015E8"/>
    <w:rsid w:val="00101844"/>
    <w:rsid w:val="001019EF"/>
    <w:rsid w:val="00101A56"/>
    <w:rsid w:val="00101AE0"/>
    <w:rsid w:val="00101F03"/>
    <w:rsid w:val="001022D8"/>
    <w:rsid w:val="001022F4"/>
    <w:rsid w:val="00102495"/>
    <w:rsid w:val="0010250D"/>
    <w:rsid w:val="001025CB"/>
    <w:rsid w:val="00102702"/>
    <w:rsid w:val="0010280B"/>
    <w:rsid w:val="001029C7"/>
    <w:rsid w:val="00102B39"/>
    <w:rsid w:val="00102C7B"/>
    <w:rsid w:val="00103188"/>
    <w:rsid w:val="0010326E"/>
    <w:rsid w:val="001033C7"/>
    <w:rsid w:val="00103441"/>
    <w:rsid w:val="001034E0"/>
    <w:rsid w:val="00103529"/>
    <w:rsid w:val="001037BE"/>
    <w:rsid w:val="00103859"/>
    <w:rsid w:val="00103E66"/>
    <w:rsid w:val="00103F18"/>
    <w:rsid w:val="00103F2E"/>
    <w:rsid w:val="0010402D"/>
    <w:rsid w:val="001041A4"/>
    <w:rsid w:val="001041EF"/>
    <w:rsid w:val="001043AF"/>
    <w:rsid w:val="001044A1"/>
    <w:rsid w:val="001047FB"/>
    <w:rsid w:val="00104970"/>
    <w:rsid w:val="00104F02"/>
    <w:rsid w:val="00105102"/>
    <w:rsid w:val="00105153"/>
    <w:rsid w:val="00105291"/>
    <w:rsid w:val="00105415"/>
    <w:rsid w:val="0010545F"/>
    <w:rsid w:val="00105522"/>
    <w:rsid w:val="001055A1"/>
    <w:rsid w:val="00105602"/>
    <w:rsid w:val="001056B6"/>
    <w:rsid w:val="001057C8"/>
    <w:rsid w:val="00105A8C"/>
    <w:rsid w:val="00105CF0"/>
    <w:rsid w:val="00105D79"/>
    <w:rsid w:val="001062E8"/>
    <w:rsid w:val="001065FE"/>
    <w:rsid w:val="00106783"/>
    <w:rsid w:val="00106806"/>
    <w:rsid w:val="0010688C"/>
    <w:rsid w:val="00106B3B"/>
    <w:rsid w:val="00106C3D"/>
    <w:rsid w:val="00106C50"/>
    <w:rsid w:val="00106E2A"/>
    <w:rsid w:val="0010701B"/>
    <w:rsid w:val="0010710E"/>
    <w:rsid w:val="0010726E"/>
    <w:rsid w:val="00107324"/>
    <w:rsid w:val="00107505"/>
    <w:rsid w:val="001075FF"/>
    <w:rsid w:val="00107698"/>
    <w:rsid w:val="00107807"/>
    <w:rsid w:val="0010785D"/>
    <w:rsid w:val="00107993"/>
    <w:rsid w:val="00107A31"/>
    <w:rsid w:val="00107A77"/>
    <w:rsid w:val="00107A79"/>
    <w:rsid w:val="001104D9"/>
    <w:rsid w:val="00110556"/>
    <w:rsid w:val="0011083F"/>
    <w:rsid w:val="00110943"/>
    <w:rsid w:val="00110DB7"/>
    <w:rsid w:val="00110F49"/>
    <w:rsid w:val="00110FCD"/>
    <w:rsid w:val="001110B4"/>
    <w:rsid w:val="0011114D"/>
    <w:rsid w:val="001111DD"/>
    <w:rsid w:val="0011130D"/>
    <w:rsid w:val="001114CF"/>
    <w:rsid w:val="00111592"/>
    <w:rsid w:val="001116F2"/>
    <w:rsid w:val="001116F4"/>
    <w:rsid w:val="001118CE"/>
    <w:rsid w:val="0011204F"/>
    <w:rsid w:val="001121B4"/>
    <w:rsid w:val="001121B5"/>
    <w:rsid w:val="00112247"/>
    <w:rsid w:val="00112320"/>
    <w:rsid w:val="00112338"/>
    <w:rsid w:val="001124CA"/>
    <w:rsid w:val="001125E7"/>
    <w:rsid w:val="001126C9"/>
    <w:rsid w:val="00112731"/>
    <w:rsid w:val="00112807"/>
    <w:rsid w:val="00112BFB"/>
    <w:rsid w:val="00112CCE"/>
    <w:rsid w:val="00112DE2"/>
    <w:rsid w:val="00112EA5"/>
    <w:rsid w:val="0011301B"/>
    <w:rsid w:val="001132EB"/>
    <w:rsid w:val="001134A5"/>
    <w:rsid w:val="001135BF"/>
    <w:rsid w:val="00113630"/>
    <w:rsid w:val="0011394A"/>
    <w:rsid w:val="00113D34"/>
    <w:rsid w:val="00113EA5"/>
    <w:rsid w:val="00114110"/>
    <w:rsid w:val="001141EC"/>
    <w:rsid w:val="0011471A"/>
    <w:rsid w:val="00114C01"/>
    <w:rsid w:val="00114C73"/>
    <w:rsid w:val="00114D22"/>
    <w:rsid w:val="00114D4F"/>
    <w:rsid w:val="00114FBC"/>
    <w:rsid w:val="0011504A"/>
    <w:rsid w:val="00115216"/>
    <w:rsid w:val="00115B41"/>
    <w:rsid w:val="00115B87"/>
    <w:rsid w:val="00115CC1"/>
    <w:rsid w:val="00115EF8"/>
    <w:rsid w:val="001161D9"/>
    <w:rsid w:val="001161E9"/>
    <w:rsid w:val="001163CD"/>
    <w:rsid w:val="0011659B"/>
    <w:rsid w:val="0011676F"/>
    <w:rsid w:val="001167F9"/>
    <w:rsid w:val="00116C58"/>
    <w:rsid w:val="00116D14"/>
    <w:rsid w:val="00116FC0"/>
    <w:rsid w:val="001170F5"/>
    <w:rsid w:val="001171E7"/>
    <w:rsid w:val="001171FA"/>
    <w:rsid w:val="0011726E"/>
    <w:rsid w:val="001179AA"/>
    <w:rsid w:val="001179B6"/>
    <w:rsid w:val="00117A54"/>
    <w:rsid w:val="00117B3A"/>
    <w:rsid w:val="00117C20"/>
    <w:rsid w:val="00117C23"/>
    <w:rsid w:val="00117C99"/>
    <w:rsid w:val="00117FC2"/>
    <w:rsid w:val="0012035E"/>
    <w:rsid w:val="0012067F"/>
    <w:rsid w:val="00120713"/>
    <w:rsid w:val="00120789"/>
    <w:rsid w:val="001207BE"/>
    <w:rsid w:val="00120830"/>
    <w:rsid w:val="0012088A"/>
    <w:rsid w:val="00120A04"/>
    <w:rsid w:val="00120A17"/>
    <w:rsid w:val="00120AFA"/>
    <w:rsid w:val="00120B1C"/>
    <w:rsid w:val="00120B46"/>
    <w:rsid w:val="00120DBE"/>
    <w:rsid w:val="00120F3A"/>
    <w:rsid w:val="00120F56"/>
    <w:rsid w:val="00120F93"/>
    <w:rsid w:val="001211FD"/>
    <w:rsid w:val="001212AD"/>
    <w:rsid w:val="0012134F"/>
    <w:rsid w:val="0012139B"/>
    <w:rsid w:val="00121408"/>
    <w:rsid w:val="001216CA"/>
    <w:rsid w:val="00121A8B"/>
    <w:rsid w:val="00121C13"/>
    <w:rsid w:val="00121CC1"/>
    <w:rsid w:val="00121CDD"/>
    <w:rsid w:val="00121EF8"/>
    <w:rsid w:val="001220E9"/>
    <w:rsid w:val="00122172"/>
    <w:rsid w:val="001223FD"/>
    <w:rsid w:val="00122745"/>
    <w:rsid w:val="0012286D"/>
    <w:rsid w:val="00122914"/>
    <w:rsid w:val="00122C96"/>
    <w:rsid w:val="0012322E"/>
    <w:rsid w:val="0012330A"/>
    <w:rsid w:val="00123357"/>
    <w:rsid w:val="00123396"/>
    <w:rsid w:val="00123448"/>
    <w:rsid w:val="0012369B"/>
    <w:rsid w:val="001236B2"/>
    <w:rsid w:val="00123895"/>
    <w:rsid w:val="00123A04"/>
    <w:rsid w:val="00123A89"/>
    <w:rsid w:val="00123B1D"/>
    <w:rsid w:val="00123BEE"/>
    <w:rsid w:val="00123DC7"/>
    <w:rsid w:val="00123E73"/>
    <w:rsid w:val="00123FF4"/>
    <w:rsid w:val="001240AB"/>
    <w:rsid w:val="001241E5"/>
    <w:rsid w:val="00124200"/>
    <w:rsid w:val="0012424D"/>
    <w:rsid w:val="001242C2"/>
    <w:rsid w:val="00124387"/>
    <w:rsid w:val="0012442A"/>
    <w:rsid w:val="001244E0"/>
    <w:rsid w:val="0012468B"/>
    <w:rsid w:val="001247AF"/>
    <w:rsid w:val="001247D4"/>
    <w:rsid w:val="001249EB"/>
    <w:rsid w:val="00124B33"/>
    <w:rsid w:val="00124CED"/>
    <w:rsid w:val="00124E19"/>
    <w:rsid w:val="00125098"/>
    <w:rsid w:val="0012512C"/>
    <w:rsid w:val="0012528B"/>
    <w:rsid w:val="001252A7"/>
    <w:rsid w:val="001253DA"/>
    <w:rsid w:val="00125455"/>
    <w:rsid w:val="00125483"/>
    <w:rsid w:val="0012548A"/>
    <w:rsid w:val="001254BC"/>
    <w:rsid w:val="00125512"/>
    <w:rsid w:val="00125519"/>
    <w:rsid w:val="00125579"/>
    <w:rsid w:val="00125604"/>
    <w:rsid w:val="0012571D"/>
    <w:rsid w:val="0012578D"/>
    <w:rsid w:val="001258C3"/>
    <w:rsid w:val="00125A42"/>
    <w:rsid w:val="00125AEB"/>
    <w:rsid w:val="00125C26"/>
    <w:rsid w:val="00125EC6"/>
    <w:rsid w:val="0012607B"/>
    <w:rsid w:val="001261B9"/>
    <w:rsid w:val="00126229"/>
    <w:rsid w:val="001262D6"/>
    <w:rsid w:val="001263D7"/>
    <w:rsid w:val="0012646D"/>
    <w:rsid w:val="00126521"/>
    <w:rsid w:val="00126749"/>
    <w:rsid w:val="001267D1"/>
    <w:rsid w:val="00126B0E"/>
    <w:rsid w:val="00126B1E"/>
    <w:rsid w:val="00126B36"/>
    <w:rsid w:val="00126B54"/>
    <w:rsid w:val="00126C9B"/>
    <w:rsid w:val="00127277"/>
    <w:rsid w:val="00127359"/>
    <w:rsid w:val="001276FF"/>
    <w:rsid w:val="00127769"/>
    <w:rsid w:val="00127C4F"/>
    <w:rsid w:val="001301D7"/>
    <w:rsid w:val="00130412"/>
    <w:rsid w:val="001305E3"/>
    <w:rsid w:val="00130692"/>
    <w:rsid w:val="001306F8"/>
    <w:rsid w:val="0013083C"/>
    <w:rsid w:val="0013083D"/>
    <w:rsid w:val="001309AC"/>
    <w:rsid w:val="001309C4"/>
    <w:rsid w:val="00130ACF"/>
    <w:rsid w:val="00130C0D"/>
    <w:rsid w:val="00130FB5"/>
    <w:rsid w:val="001312B0"/>
    <w:rsid w:val="001312BA"/>
    <w:rsid w:val="00131496"/>
    <w:rsid w:val="001316CA"/>
    <w:rsid w:val="00131887"/>
    <w:rsid w:val="00131A02"/>
    <w:rsid w:val="00131A30"/>
    <w:rsid w:val="00131A88"/>
    <w:rsid w:val="00131B4E"/>
    <w:rsid w:val="00131C9A"/>
    <w:rsid w:val="00131CCD"/>
    <w:rsid w:val="00131DCA"/>
    <w:rsid w:val="00131ECC"/>
    <w:rsid w:val="0013203D"/>
    <w:rsid w:val="001320D2"/>
    <w:rsid w:val="001320EF"/>
    <w:rsid w:val="001322B1"/>
    <w:rsid w:val="001322E5"/>
    <w:rsid w:val="001325B1"/>
    <w:rsid w:val="0013266A"/>
    <w:rsid w:val="00132672"/>
    <w:rsid w:val="00132848"/>
    <w:rsid w:val="00132A8B"/>
    <w:rsid w:val="00132B64"/>
    <w:rsid w:val="00132BE7"/>
    <w:rsid w:val="00132D9A"/>
    <w:rsid w:val="00132E5A"/>
    <w:rsid w:val="00132EA3"/>
    <w:rsid w:val="001330CE"/>
    <w:rsid w:val="0013346E"/>
    <w:rsid w:val="001334C9"/>
    <w:rsid w:val="00133732"/>
    <w:rsid w:val="00133A4F"/>
    <w:rsid w:val="00133A63"/>
    <w:rsid w:val="00133C72"/>
    <w:rsid w:val="00133E21"/>
    <w:rsid w:val="00133F68"/>
    <w:rsid w:val="00133FAB"/>
    <w:rsid w:val="00134353"/>
    <w:rsid w:val="00134439"/>
    <w:rsid w:val="00134839"/>
    <w:rsid w:val="00134B9D"/>
    <w:rsid w:val="00134C2D"/>
    <w:rsid w:val="00134CD3"/>
    <w:rsid w:val="00134F34"/>
    <w:rsid w:val="0013503C"/>
    <w:rsid w:val="001352E6"/>
    <w:rsid w:val="001353CD"/>
    <w:rsid w:val="0013557F"/>
    <w:rsid w:val="00135591"/>
    <w:rsid w:val="001357CE"/>
    <w:rsid w:val="00135951"/>
    <w:rsid w:val="001359CA"/>
    <w:rsid w:val="00135C81"/>
    <w:rsid w:val="00135E33"/>
    <w:rsid w:val="00135FBD"/>
    <w:rsid w:val="001361FA"/>
    <w:rsid w:val="0013627B"/>
    <w:rsid w:val="00136357"/>
    <w:rsid w:val="00136532"/>
    <w:rsid w:val="0013655E"/>
    <w:rsid w:val="001365FD"/>
    <w:rsid w:val="00136C71"/>
    <w:rsid w:val="00136C7E"/>
    <w:rsid w:val="00136DC3"/>
    <w:rsid w:val="00136EDB"/>
    <w:rsid w:val="00136F2C"/>
    <w:rsid w:val="00137120"/>
    <w:rsid w:val="00137195"/>
    <w:rsid w:val="0013726C"/>
    <w:rsid w:val="00137414"/>
    <w:rsid w:val="0013746D"/>
    <w:rsid w:val="0013750D"/>
    <w:rsid w:val="00137581"/>
    <w:rsid w:val="001377F2"/>
    <w:rsid w:val="00137A74"/>
    <w:rsid w:val="00137A81"/>
    <w:rsid w:val="00137E96"/>
    <w:rsid w:val="0014009A"/>
    <w:rsid w:val="0014011B"/>
    <w:rsid w:val="00140324"/>
    <w:rsid w:val="001404CB"/>
    <w:rsid w:val="001407E2"/>
    <w:rsid w:val="0014082B"/>
    <w:rsid w:val="001408A8"/>
    <w:rsid w:val="00140B79"/>
    <w:rsid w:val="00140DCA"/>
    <w:rsid w:val="00140F21"/>
    <w:rsid w:val="0014185A"/>
    <w:rsid w:val="00141BA2"/>
    <w:rsid w:val="00141FEF"/>
    <w:rsid w:val="00142268"/>
    <w:rsid w:val="0014264B"/>
    <w:rsid w:val="001427D7"/>
    <w:rsid w:val="001429DE"/>
    <w:rsid w:val="001429F6"/>
    <w:rsid w:val="00142A52"/>
    <w:rsid w:val="00142C68"/>
    <w:rsid w:val="00142C6A"/>
    <w:rsid w:val="001433FD"/>
    <w:rsid w:val="00143495"/>
    <w:rsid w:val="00143537"/>
    <w:rsid w:val="0014358E"/>
    <w:rsid w:val="001435DF"/>
    <w:rsid w:val="00143625"/>
    <w:rsid w:val="0014382C"/>
    <w:rsid w:val="001438A6"/>
    <w:rsid w:val="001439DC"/>
    <w:rsid w:val="00143BAD"/>
    <w:rsid w:val="00143E5A"/>
    <w:rsid w:val="00143F50"/>
    <w:rsid w:val="00144052"/>
    <w:rsid w:val="001440AC"/>
    <w:rsid w:val="001440F4"/>
    <w:rsid w:val="00144183"/>
    <w:rsid w:val="00144305"/>
    <w:rsid w:val="0014438E"/>
    <w:rsid w:val="00144405"/>
    <w:rsid w:val="001446D1"/>
    <w:rsid w:val="00144734"/>
    <w:rsid w:val="00144789"/>
    <w:rsid w:val="001449ED"/>
    <w:rsid w:val="00144A4C"/>
    <w:rsid w:val="00144A61"/>
    <w:rsid w:val="00144D87"/>
    <w:rsid w:val="00144E03"/>
    <w:rsid w:val="0014502F"/>
    <w:rsid w:val="00145123"/>
    <w:rsid w:val="0014512A"/>
    <w:rsid w:val="001451B7"/>
    <w:rsid w:val="00145374"/>
    <w:rsid w:val="0014562C"/>
    <w:rsid w:val="0014581C"/>
    <w:rsid w:val="00146391"/>
    <w:rsid w:val="00146417"/>
    <w:rsid w:val="00146570"/>
    <w:rsid w:val="00146681"/>
    <w:rsid w:val="001466D3"/>
    <w:rsid w:val="00146734"/>
    <w:rsid w:val="00146B9A"/>
    <w:rsid w:val="00146F6C"/>
    <w:rsid w:val="0014703F"/>
    <w:rsid w:val="00147042"/>
    <w:rsid w:val="00147164"/>
    <w:rsid w:val="001471FD"/>
    <w:rsid w:val="00147456"/>
    <w:rsid w:val="00147544"/>
    <w:rsid w:val="00147554"/>
    <w:rsid w:val="0014769B"/>
    <w:rsid w:val="001477D0"/>
    <w:rsid w:val="0014786B"/>
    <w:rsid w:val="0014794D"/>
    <w:rsid w:val="001479C1"/>
    <w:rsid w:val="00147A03"/>
    <w:rsid w:val="00147A8B"/>
    <w:rsid w:val="00147B11"/>
    <w:rsid w:val="00147C42"/>
    <w:rsid w:val="00147CA8"/>
    <w:rsid w:val="00147CF4"/>
    <w:rsid w:val="00147F7F"/>
    <w:rsid w:val="00150212"/>
    <w:rsid w:val="0015047E"/>
    <w:rsid w:val="00150545"/>
    <w:rsid w:val="001506FB"/>
    <w:rsid w:val="001509BD"/>
    <w:rsid w:val="00150A9A"/>
    <w:rsid w:val="00150AC6"/>
    <w:rsid w:val="00150DD0"/>
    <w:rsid w:val="00150E1B"/>
    <w:rsid w:val="00150F75"/>
    <w:rsid w:val="00150FF5"/>
    <w:rsid w:val="0015102D"/>
    <w:rsid w:val="00151054"/>
    <w:rsid w:val="00151103"/>
    <w:rsid w:val="001511A7"/>
    <w:rsid w:val="00151278"/>
    <w:rsid w:val="0015149C"/>
    <w:rsid w:val="00151569"/>
    <w:rsid w:val="0015168E"/>
    <w:rsid w:val="0015188C"/>
    <w:rsid w:val="00151978"/>
    <w:rsid w:val="00151AF1"/>
    <w:rsid w:val="00151B06"/>
    <w:rsid w:val="00151B58"/>
    <w:rsid w:val="00151E5A"/>
    <w:rsid w:val="00152105"/>
    <w:rsid w:val="0015221C"/>
    <w:rsid w:val="001522AD"/>
    <w:rsid w:val="001522C8"/>
    <w:rsid w:val="001524BB"/>
    <w:rsid w:val="00152727"/>
    <w:rsid w:val="00152BDC"/>
    <w:rsid w:val="00152C18"/>
    <w:rsid w:val="00152E0B"/>
    <w:rsid w:val="001534CE"/>
    <w:rsid w:val="001535B4"/>
    <w:rsid w:val="001536F1"/>
    <w:rsid w:val="00153793"/>
    <w:rsid w:val="001537C2"/>
    <w:rsid w:val="00153860"/>
    <w:rsid w:val="00153911"/>
    <w:rsid w:val="00153C12"/>
    <w:rsid w:val="00153CB3"/>
    <w:rsid w:val="00153DED"/>
    <w:rsid w:val="00154391"/>
    <w:rsid w:val="00154699"/>
    <w:rsid w:val="00154875"/>
    <w:rsid w:val="00154D4E"/>
    <w:rsid w:val="00154FD9"/>
    <w:rsid w:val="00155092"/>
    <w:rsid w:val="00155127"/>
    <w:rsid w:val="0015522D"/>
    <w:rsid w:val="0015525A"/>
    <w:rsid w:val="00155305"/>
    <w:rsid w:val="001553FF"/>
    <w:rsid w:val="00155452"/>
    <w:rsid w:val="0015568F"/>
    <w:rsid w:val="00155798"/>
    <w:rsid w:val="00155857"/>
    <w:rsid w:val="001558B8"/>
    <w:rsid w:val="00155B29"/>
    <w:rsid w:val="00155C2B"/>
    <w:rsid w:val="00155C81"/>
    <w:rsid w:val="00155CF5"/>
    <w:rsid w:val="00155D29"/>
    <w:rsid w:val="00155DC5"/>
    <w:rsid w:val="0015604F"/>
    <w:rsid w:val="0015608C"/>
    <w:rsid w:val="001562CB"/>
    <w:rsid w:val="001563A8"/>
    <w:rsid w:val="001563DA"/>
    <w:rsid w:val="0015647B"/>
    <w:rsid w:val="00156559"/>
    <w:rsid w:val="0015696E"/>
    <w:rsid w:val="00156B3F"/>
    <w:rsid w:val="00157103"/>
    <w:rsid w:val="0015710C"/>
    <w:rsid w:val="001573BF"/>
    <w:rsid w:val="00157700"/>
    <w:rsid w:val="00157757"/>
    <w:rsid w:val="00157990"/>
    <w:rsid w:val="00157E56"/>
    <w:rsid w:val="001602BD"/>
    <w:rsid w:val="00160340"/>
    <w:rsid w:val="00160544"/>
    <w:rsid w:val="001605A5"/>
    <w:rsid w:val="00160AEB"/>
    <w:rsid w:val="00160B77"/>
    <w:rsid w:val="00160D3F"/>
    <w:rsid w:val="00160ECB"/>
    <w:rsid w:val="00160F0A"/>
    <w:rsid w:val="00160F83"/>
    <w:rsid w:val="00161059"/>
    <w:rsid w:val="0016105E"/>
    <w:rsid w:val="001611D1"/>
    <w:rsid w:val="001612EC"/>
    <w:rsid w:val="0016197B"/>
    <w:rsid w:val="001619E0"/>
    <w:rsid w:val="00161C31"/>
    <w:rsid w:val="00161C7D"/>
    <w:rsid w:val="00161FF5"/>
    <w:rsid w:val="0016204A"/>
    <w:rsid w:val="00162262"/>
    <w:rsid w:val="00162280"/>
    <w:rsid w:val="0016236F"/>
    <w:rsid w:val="00162474"/>
    <w:rsid w:val="00162754"/>
    <w:rsid w:val="001629DA"/>
    <w:rsid w:val="00162B0C"/>
    <w:rsid w:val="00162B5C"/>
    <w:rsid w:val="00162C18"/>
    <w:rsid w:val="00162CB0"/>
    <w:rsid w:val="00162DBF"/>
    <w:rsid w:val="00162F39"/>
    <w:rsid w:val="00162F46"/>
    <w:rsid w:val="00162F7F"/>
    <w:rsid w:val="00163065"/>
    <w:rsid w:val="001632B0"/>
    <w:rsid w:val="001634E3"/>
    <w:rsid w:val="001634E7"/>
    <w:rsid w:val="0016370C"/>
    <w:rsid w:val="00163ACD"/>
    <w:rsid w:val="00163CB2"/>
    <w:rsid w:val="00164082"/>
    <w:rsid w:val="00164104"/>
    <w:rsid w:val="00164319"/>
    <w:rsid w:val="0016446F"/>
    <w:rsid w:val="00164556"/>
    <w:rsid w:val="00164803"/>
    <w:rsid w:val="00164A68"/>
    <w:rsid w:val="00164B1A"/>
    <w:rsid w:val="00164C5A"/>
    <w:rsid w:val="00164D45"/>
    <w:rsid w:val="00164E28"/>
    <w:rsid w:val="00164F5C"/>
    <w:rsid w:val="00164F90"/>
    <w:rsid w:val="00164FA9"/>
    <w:rsid w:val="0016510E"/>
    <w:rsid w:val="00165285"/>
    <w:rsid w:val="001652E0"/>
    <w:rsid w:val="00165495"/>
    <w:rsid w:val="00165599"/>
    <w:rsid w:val="001655D9"/>
    <w:rsid w:val="00165767"/>
    <w:rsid w:val="001657EF"/>
    <w:rsid w:val="00165836"/>
    <w:rsid w:val="00165890"/>
    <w:rsid w:val="00165B7F"/>
    <w:rsid w:val="00165C41"/>
    <w:rsid w:val="00165CCB"/>
    <w:rsid w:val="00165D93"/>
    <w:rsid w:val="00165E3C"/>
    <w:rsid w:val="00165EDD"/>
    <w:rsid w:val="00165FEC"/>
    <w:rsid w:val="00166197"/>
    <w:rsid w:val="001661FB"/>
    <w:rsid w:val="00166291"/>
    <w:rsid w:val="001668AE"/>
    <w:rsid w:val="00166B7E"/>
    <w:rsid w:val="00166E96"/>
    <w:rsid w:val="001672AB"/>
    <w:rsid w:val="001674BA"/>
    <w:rsid w:val="0016761D"/>
    <w:rsid w:val="001677EE"/>
    <w:rsid w:val="00167843"/>
    <w:rsid w:val="0016784D"/>
    <w:rsid w:val="001678EA"/>
    <w:rsid w:val="00167B85"/>
    <w:rsid w:val="00167D33"/>
    <w:rsid w:val="00167D57"/>
    <w:rsid w:val="00167DC5"/>
    <w:rsid w:val="00167E2A"/>
    <w:rsid w:val="00167EC9"/>
    <w:rsid w:val="00170239"/>
    <w:rsid w:val="0017023D"/>
    <w:rsid w:val="00170361"/>
    <w:rsid w:val="001706D8"/>
    <w:rsid w:val="001708AB"/>
    <w:rsid w:val="00170A0F"/>
    <w:rsid w:val="00170A7E"/>
    <w:rsid w:val="00170D02"/>
    <w:rsid w:val="00170DDA"/>
    <w:rsid w:val="00170DE0"/>
    <w:rsid w:val="00170E19"/>
    <w:rsid w:val="00170ED9"/>
    <w:rsid w:val="001711AF"/>
    <w:rsid w:val="001713AF"/>
    <w:rsid w:val="00171520"/>
    <w:rsid w:val="0017169C"/>
    <w:rsid w:val="001716A4"/>
    <w:rsid w:val="001717A9"/>
    <w:rsid w:val="00171857"/>
    <w:rsid w:val="001719B8"/>
    <w:rsid w:val="00171ABB"/>
    <w:rsid w:val="00171B6D"/>
    <w:rsid w:val="001720EB"/>
    <w:rsid w:val="00172356"/>
    <w:rsid w:val="001723AC"/>
    <w:rsid w:val="00172401"/>
    <w:rsid w:val="001725C9"/>
    <w:rsid w:val="001726D1"/>
    <w:rsid w:val="0017290B"/>
    <w:rsid w:val="00172910"/>
    <w:rsid w:val="00172962"/>
    <w:rsid w:val="0017297A"/>
    <w:rsid w:val="00172D52"/>
    <w:rsid w:val="00172E2F"/>
    <w:rsid w:val="00173464"/>
    <w:rsid w:val="0017349E"/>
    <w:rsid w:val="001734A2"/>
    <w:rsid w:val="00173572"/>
    <w:rsid w:val="00173828"/>
    <w:rsid w:val="00173B9E"/>
    <w:rsid w:val="00173C32"/>
    <w:rsid w:val="00173E5D"/>
    <w:rsid w:val="00174442"/>
    <w:rsid w:val="001744C1"/>
    <w:rsid w:val="00174575"/>
    <w:rsid w:val="001745D4"/>
    <w:rsid w:val="001745DD"/>
    <w:rsid w:val="00174821"/>
    <w:rsid w:val="001748DF"/>
    <w:rsid w:val="00174CFF"/>
    <w:rsid w:val="00174EDA"/>
    <w:rsid w:val="00175047"/>
    <w:rsid w:val="001750CC"/>
    <w:rsid w:val="0017528A"/>
    <w:rsid w:val="00175493"/>
    <w:rsid w:val="00175496"/>
    <w:rsid w:val="0017577A"/>
    <w:rsid w:val="0017585D"/>
    <w:rsid w:val="00175D5B"/>
    <w:rsid w:val="00175D79"/>
    <w:rsid w:val="00175E00"/>
    <w:rsid w:val="00176159"/>
    <w:rsid w:val="001762C1"/>
    <w:rsid w:val="001768AA"/>
    <w:rsid w:val="0017690A"/>
    <w:rsid w:val="0017695E"/>
    <w:rsid w:val="001769E4"/>
    <w:rsid w:val="00176B78"/>
    <w:rsid w:val="00176C36"/>
    <w:rsid w:val="00176C81"/>
    <w:rsid w:val="00176CBA"/>
    <w:rsid w:val="00176CE8"/>
    <w:rsid w:val="00176D35"/>
    <w:rsid w:val="00176D42"/>
    <w:rsid w:val="00176D7D"/>
    <w:rsid w:val="00176E28"/>
    <w:rsid w:val="00176FAD"/>
    <w:rsid w:val="0017725E"/>
    <w:rsid w:val="001777E2"/>
    <w:rsid w:val="001777F4"/>
    <w:rsid w:val="0017790C"/>
    <w:rsid w:val="001779FA"/>
    <w:rsid w:val="00177CA6"/>
    <w:rsid w:val="00177D36"/>
    <w:rsid w:val="001800EB"/>
    <w:rsid w:val="00180306"/>
    <w:rsid w:val="0018040E"/>
    <w:rsid w:val="0018046F"/>
    <w:rsid w:val="001805A1"/>
    <w:rsid w:val="001806C8"/>
    <w:rsid w:val="0018077C"/>
    <w:rsid w:val="001808E1"/>
    <w:rsid w:val="00180900"/>
    <w:rsid w:val="00180B15"/>
    <w:rsid w:val="00180E01"/>
    <w:rsid w:val="00180F20"/>
    <w:rsid w:val="00181026"/>
    <w:rsid w:val="0018109A"/>
    <w:rsid w:val="0018169F"/>
    <w:rsid w:val="001816E5"/>
    <w:rsid w:val="00181A49"/>
    <w:rsid w:val="00181AFF"/>
    <w:rsid w:val="00181B74"/>
    <w:rsid w:val="00181C16"/>
    <w:rsid w:val="00181D02"/>
    <w:rsid w:val="00181EA3"/>
    <w:rsid w:val="00181F20"/>
    <w:rsid w:val="001821EF"/>
    <w:rsid w:val="0018239D"/>
    <w:rsid w:val="00182879"/>
    <w:rsid w:val="001829BF"/>
    <w:rsid w:val="00182A05"/>
    <w:rsid w:val="00182AB2"/>
    <w:rsid w:val="00182D3F"/>
    <w:rsid w:val="0018322C"/>
    <w:rsid w:val="001833DF"/>
    <w:rsid w:val="0018341B"/>
    <w:rsid w:val="0018354A"/>
    <w:rsid w:val="001835AD"/>
    <w:rsid w:val="0018367B"/>
    <w:rsid w:val="0018368B"/>
    <w:rsid w:val="001838A4"/>
    <w:rsid w:val="001838C1"/>
    <w:rsid w:val="00183942"/>
    <w:rsid w:val="00183958"/>
    <w:rsid w:val="00183C45"/>
    <w:rsid w:val="00183D07"/>
    <w:rsid w:val="00183F87"/>
    <w:rsid w:val="001844D3"/>
    <w:rsid w:val="00184534"/>
    <w:rsid w:val="0018476F"/>
    <w:rsid w:val="00184D43"/>
    <w:rsid w:val="00184DE4"/>
    <w:rsid w:val="00184EF4"/>
    <w:rsid w:val="00184F58"/>
    <w:rsid w:val="00184F8A"/>
    <w:rsid w:val="00184FEC"/>
    <w:rsid w:val="00185014"/>
    <w:rsid w:val="00185030"/>
    <w:rsid w:val="00185099"/>
    <w:rsid w:val="00185327"/>
    <w:rsid w:val="00185386"/>
    <w:rsid w:val="001853B8"/>
    <w:rsid w:val="00185805"/>
    <w:rsid w:val="00185B61"/>
    <w:rsid w:val="00185DE9"/>
    <w:rsid w:val="00185EAD"/>
    <w:rsid w:val="00185ED7"/>
    <w:rsid w:val="00186106"/>
    <w:rsid w:val="00186177"/>
    <w:rsid w:val="0018644F"/>
    <w:rsid w:val="00186454"/>
    <w:rsid w:val="00186721"/>
    <w:rsid w:val="00186755"/>
    <w:rsid w:val="001870E2"/>
    <w:rsid w:val="00187557"/>
    <w:rsid w:val="001875B0"/>
    <w:rsid w:val="00187672"/>
    <w:rsid w:val="001878B5"/>
    <w:rsid w:val="00187CEC"/>
    <w:rsid w:val="00187F1E"/>
    <w:rsid w:val="0019016E"/>
    <w:rsid w:val="001901DB"/>
    <w:rsid w:val="001902E4"/>
    <w:rsid w:val="0019059E"/>
    <w:rsid w:val="001905EC"/>
    <w:rsid w:val="00190CD2"/>
    <w:rsid w:val="00191228"/>
    <w:rsid w:val="001913AB"/>
    <w:rsid w:val="001915AA"/>
    <w:rsid w:val="00191733"/>
    <w:rsid w:val="00191945"/>
    <w:rsid w:val="001919A6"/>
    <w:rsid w:val="001919D5"/>
    <w:rsid w:val="001919D9"/>
    <w:rsid w:val="00191BFC"/>
    <w:rsid w:val="00191C19"/>
    <w:rsid w:val="00191C56"/>
    <w:rsid w:val="00191C79"/>
    <w:rsid w:val="00191D35"/>
    <w:rsid w:val="00191DC0"/>
    <w:rsid w:val="00191E71"/>
    <w:rsid w:val="001920B9"/>
    <w:rsid w:val="001920C5"/>
    <w:rsid w:val="00192116"/>
    <w:rsid w:val="001921EF"/>
    <w:rsid w:val="00192299"/>
    <w:rsid w:val="00192370"/>
    <w:rsid w:val="00192923"/>
    <w:rsid w:val="00192A2D"/>
    <w:rsid w:val="00192D36"/>
    <w:rsid w:val="00192EC4"/>
    <w:rsid w:val="00192ED6"/>
    <w:rsid w:val="00193071"/>
    <w:rsid w:val="001930B3"/>
    <w:rsid w:val="001930CA"/>
    <w:rsid w:val="0019323B"/>
    <w:rsid w:val="00193796"/>
    <w:rsid w:val="00193852"/>
    <w:rsid w:val="0019388D"/>
    <w:rsid w:val="00193954"/>
    <w:rsid w:val="0019396C"/>
    <w:rsid w:val="00193A07"/>
    <w:rsid w:val="00193C2F"/>
    <w:rsid w:val="00193D96"/>
    <w:rsid w:val="00193FD7"/>
    <w:rsid w:val="0019446E"/>
    <w:rsid w:val="001946F9"/>
    <w:rsid w:val="00194860"/>
    <w:rsid w:val="001949DC"/>
    <w:rsid w:val="00194A43"/>
    <w:rsid w:val="00194BBA"/>
    <w:rsid w:val="00194BC6"/>
    <w:rsid w:val="00194CF8"/>
    <w:rsid w:val="00194F1B"/>
    <w:rsid w:val="001950DD"/>
    <w:rsid w:val="001950E8"/>
    <w:rsid w:val="0019543E"/>
    <w:rsid w:val="00195456"/>
    <w:rsid w:val="001957D3"/>
    <w:rsid w:val="001958F9"/>
    <w:rsid w:val="00195995"/>
    <w:rsid w:val="00195BBE"/>
    <w:rsid w:val="00195D3B"/>
    <w:rsid w:val="00195DBC"/>
    <w:rsid w:val="00195E9F"/>
    <w:rsid w:val="00196048"/>
    <w:rsid w:val="00196326"/>
    <w:rsid w:val="00196348"/>
    <w:rsid w:val="0019642D"/>
    <w:rsid w:val="001964A0"/>
    <w:rsid w:val="001964E4"/>
    <w:rsid w:val="00196665"/>
    <w:rsid w:val="0019687B"/>
    <w:rsid w:val="001969A7"/>
    <w:rsid w:val="00196A6A"/>
    <w:rsid w:val="00196C15"/>
    <w:rsid w:val="00196D1E"/>
    <w:rsid w:val="00196ECE"/>
    <w:rsid w:val="00196F97"/>
    <w:rsid w:val="0019726F"/>
    <w:rsid w:val="00197443"/>
    <w:rsid w:val="0019763D"/>
    <w:rsid w:val="0019766A"/>
    <w:rsid w:val="00197806"/>
    <w:rsid w:val="00197993"/>
    <w:rsid w:val="00197ADD"/>
    <w:rsid w:val="00197B48"/>
    <w:rsid w:val="00197C93"/>
    <w:rsid w:val="00197CC3"/>
    <w:rsid w:val="001A00B7"/>
    <w:rsid w:val="001A01DB"/>
    <w:rsid w:val="001A055E"/>
    <w:rsid w:val="001A065B"/>
    <w:rsid w:val="001A0759"/>
    <w:rsid w:val="001A0EC6"/>
    <w:rsid w:val="001A0ED1"/>
    <w:rsid w:val="001A0EE4"/>
    <w:rsid w:val="001A1230"/>
    <w:rsid w:val="001A1262"/>
    <w:rsid w:val="001A1499"/>
    <w:rsid w:val="001A1587"/>
    <w:rsid w:val="001A15ED"/>
    <w:rsid w:val="001A1742"/>
    <w:rsid w:val="001A1A82"/>
    <w:rsid w:val="001A1E1A"/>
    <w:rsid w:val="001A1EEA"/>
    <w:rsid w:val="001A1F8E"/>
    <w:rsid w:val="001A207B"/>
    <w:rsid w:val="001A24A1"/>
    <w:rsid w:val="001A24D1"/>
    <w:rsid w:val="001A27A0"/>
    <w:rsid w:val="001A27EA"/>
    <w:rsid w:val="001A282B"/>
    <w:rsid w:val="001A2BE5"/>
    <w:rsid w:val="001A2C9C"/>
    <w:rsid w:val="001A2E9B"/>
    <w:rsid w:val="001A30E0"/>
    <w:rsid w:val="001A3196"/>
    <w:rsid w:val="001A31EE"/>
    <w:rsid w:val="001A3480"/>
    <w:rsid w:val="001A3560"/>
    <w:rsid w:val="001A3632"/>
    <w:rsid w:val="001A3713"/>
    <w:rsid w:val="001A3A46"/>
    <w:rsid w:val="001A3E02"/>
    <w:rsid w:val="001A3E44"/>
    <w:rsid w:val="001A4264"/>
    <w:rsid w:val="001A4396"/>
    <w:rsid w:val="001A46A4"/>
    <w:rsid w:val="001A47FC"/>
    <w:rsid w:val="001A48F3"/>
    <w:rsid w:val="001A4938"/>
    <w:rsid w:val="001A4B5F"/>
    <w:rsid w:val="001A4BA3"/>
    <w:rsid w:val="001A4C56"/>
    <w:rsid w:val="001A4EC6"/>
    <w:rsid w:val="001A4EDE"/>
    <w:rsid w:val="001A4F35"/>
    <w:rsid w:val="001A4F69"/>
    <w:rsid w:val="001A524F"/>
    <w:rsid w:val="001A52E4"/>
    <w:rsid w:val="001A535D"/>
    <w:rsid w:val="001A5362"/>
    <w:rsid w:val="001A58C8"/>
    <w:rsid w:val="001A5941"/>
    <w:rsid w:val="001A59E2"/>
    <w:rsid w:val="001A5AFA"/>
    <w:rsid w:val="001A5B1E"/>
    <w:rsid w:val="001A5C2E"/>
    <w:rsid w:val="001A5D57"/>
    <w:rsid w:val="001A5D6D"/>
    <w:rsid w:val="001A5FA0"/>
    <w:rsid w:val="001A60F8"/>
    <w:rsid w:val="001A6296"/>
    <w:rsid w:val="001A62AC"/>
    <w:rsid w:val="001A6731"/>
    <w:rsid w:val="001A68B2"/>
    <w:rsid w:val="001A68B6"/>
    <w:rsid w:val="001A6D6F"/>
    <w:rsid w:val="001A6E97"/>
    <w:rsid w:val="001A716E"/>
    <w:rsid w:val="001A7183"/>
    <w:rsid w:val="001A77FB"/>
    <w:rsid w:val="001A7927"/>
    <w:rsid w:val="001A79B3"/>
    <w:rsid w:val="001A7BC3"/>
    <w:rsid w:val="001A7F42"/>
    <w:rsid w:val="001B01BE"/>
    <w:rsid w:val="001B0271"/>
    <w:rsid w:val="001B0296"/>
    <w:rsid w:val="001B03C6"/>
    <w:rsid w:val="001B042D"/>
    <w:rsid w:val="001B04A2"/>
    <w:rsid w:val="001B0510"/>
    <w:rsid w:val="001B0645"/>
    <w:rsid w:val="001B0972"/>
    <w:rsid w:val="001B0A31"/>
    <w:rsid w:val="001B0ABB"/>
    <w:rsid w:val="001B0F6B"/>
    <w:rsid w:val="001B131E"/>
    <w:rsid w:val="001B13B6"/>
    <w:rsid w:val="001B1480"/>
    <w:rsid w:val="001B15A9"/>
    <w:rsid w:val="001B15E8"/>
    <w:rsid w:val="001B16A6"/>
    <w:rsid w:val="001B16EC"/>
    <w:rsid w:val="001B1737"/>
    <w:rsid w:val="001B188E"/>
    <w:rsid w:val="001B19C5"/>
    <w:rsid w:val="001B1A0D"/>
    <w:rsid w:val="001B1BB1"/>
    <w:rsid w:val="001B1EE0"/>
    <w:rsid w:val="001B2606"/>
    <w:rsid w:val="001B285D"/>
    <w:rsid w:val="001B28DD"/>
    <w:rsid w:val="001B29DE"/>
    <w:rsid w:val="001B2B05"/>
    <w:rsid w:val="001B2B8F"/>
    <w:rsid w:val="001B2E80"/>
    <w:rsid w:val="001B2FE7"/>
    <w:rsid w:val="001B3376"/>
    <w:rsid w:val="001B369F"/>
    <w:rsid w:val="001B370E"/>
    <w:rsid w:val="001B380A"/>
    <w:rsid w:val="001B38B8"/>
    <w:rsid w:val="001B38F4"/>
    <w:rsid w:val="001B3A0E"/>
    <w:rsid w:val="001B3B55"/>
    <w:rsid w:val="001B3CCA"/>
    <w:rsid w:val="001B3D4F"/>
    <w:rsid w:val="001B3DB8"/>
    <w:rsid w:val="001B3E22"/>
    <w:rsid w:val="001B4095"/>
    <w:rsid w:val="001B40E8"/>
    <w:rsid w:val="001B4110"/>
    <w:rsid w:val="001B418B"/>
    <w:rsid w:val="001B423A"/>
    <w:rsid w:val="001B426A"/>
    <w:rsid w:val="001B4276"/>
    <w:rsid w:val="001B4907"/>
    <w:rsid w:val="001B493D"/>
    <w:rsid w:val="001B4E92"/>
    <w:rsid w:val="001B5162"/>
    <w:rsid w:val="001B51DD"/>
    <w:rsid w:val="001B5320"/>
    <w:rsid w:val="001B53FE"/>
    <w:rsid w:val="001B5406"/>
    <w:rsid w:val="001B5469"/>
    <w:rsid w:val="001B54AA"/>
    <w:rsid w:val="001B54C8"/>
    <w:rsid w:val="001B5512"/>
    <w:rsid w:val="001B5546"/>
    <w:rsid w:val="001B5551"/>
    <w:rsid w:val="001B56CB"/>
    <w:rsid w:val="001B579A"/>
    <w:rsid w:val="001B6032"/>
    <w:rsid w:val="001B626D"/>
    <w:rsid w:val="001B627B"/>
    <w:rsid w:val="001B6471"/>
    <w:rsid w:val="001B662D"/>
    <w:rsid w:val="001B6C80"/>
    <w:rsid w:val="001B7198"/>
    <w:rsid w:val="001B727B"/>
    <w:rsid w:val="001B7532"/>
    <w:rsid w:val="001B758A"/>
    <w:rsid w:val="001B75F2"/>
    <w:rsid w:val="001B76B6"/>
    <w:rsid w:val="001B77C2"/>
    <w:rsid w:val="001B77F9"/>
    <w:rsid w:val="001B791C"/>
    <w:rsid w:val="001B7BD0"/>
    <w:rsid w:val="001B7DB5"/>
    <w:rsid w:val="001C000D"/>
    <w:rsid w:val="001C024B"/>
    <w:rsid w:val="001C02AC"/>
    <w:rsid w:val="001C02D9"/>
    <w:rsid w:val="001C0408"/>
    <w:rsid w:val="001C0811"/>
    <w:rsid w:val="001C0A9B"/>
    <w:rsid w:val="001C0B18"/>
    <w:rsid w:val="001C0D15"/>
    <w:rsid w:val="001C0D75"/>
    <w:rsid w:val="001C10B2"/>
    <w:rsid w:val="001C11D8"/>
    <w:rsid w:val="001C1278"/>
    <w:rsid w:val="001C15E5"/>
    <w:rsid w:val="001C15FF"/>
    <w:rsid w:val="001C1667"/>
    <w:rsid w:val="001C16D6"/>
    <w:rsid w:val="001C175C"/>
    <w:rsid w:val="001C19B3"/>
    <w:rsid w:val="001C1A5D"/>
    <w:rsid w:val="001C1CC9"/>
    <w:rsid w:val="001C1DD1"/>
    <w:rsid w:val="001C1FFF"/>
    <w:rsid w:val="001C20C0"/>
    <w:rsid w:val="001C24CF"/>
    <w:rsid w:val="001C2612"/>
    <w:rsid w:val="001C28E5"/>
    <w:rsid w:val="001C295D"/>
    <w:rsid w:val="001C2CFB"/>
    <w:rsid w:val="001C302F"/>
    <w:rsid w:val="001C319D"/>
    <w:rsid w:val="001C336C"/>
    <w:rsid w:val="001C34A7"/>
    <w:rsid w:val="001C351E"/>
    <w:rsid w:val="001C3559"/>
    <w:rsid w:val="001C3764"/>
    <w:rsid w:val="001C37B0"/>
    <w:rsid w:val="001C39FB"/>
    <w:rsid w:val="001C3A08"/>
    <w:rsid w:val="001C3AE1"/>
    <w:rsid w:val="001C3B26"/>
    <w:rsid w:val="001C3C36"/>
    <w:rsid w:val="001C3DB1"/>
    <w:rsid w:val="001C4248"/>
    <w:rsid w:val="001C43D2"/>
    <w:rsid w:val="001C4700"/>
    <w:rsid w:val="001C4767"/>
    <w:rsid w:val="001C4A17"/>
    <w:rsid w:val="001C4ABC"/>
    <w:rsid w:val="001C4D6B"/>
    <w:rsid w:val="001C52D3"/>
    <w:rsid w:val="001C5307"/>
    <w:rsid w:val="001C5316"/>
    <w:rsid w:val="001C53F2"/>
    <w:rsid w:val="001C5903"/>
    <w:rsid w:val="001C59B2"/>
    <w:rsid w:val="001C5AC0"/>
    <w:rsid w:val="001C5D42"/>
    <w:rsid w:val="001C5ED7"/>
    <w:rsid w:val="001C5FC4"/>
    <w:rsid w:val="001C5FF4"/>
    <w:rsid w:val="001C607D"/>
    <w:rsid w:val="001C6286"/>
    <w:rsid w:val="001C62F4"/>
    <w:rsid w:val="001C6447"/>
    <w:rsid w:val="001C6769"/>
    <w:rsid w:val="001C6981"/>
    <w:rsid w:val="001C69AF"/>
    <w:rsid w:val="001C6A9E"/>
    <w:rsid w:val="001C6B78"/>
    <w:rsid w:val="001C6BDF"/>
    <w:rsid w:val="001C6C7B"/>
    <w:rsid w:val="001C6E98"/>
    <w:rsid w:val="001C6F9B"/>
    <w:rsid w:val="001C70D8"/>
    <w:rsid w:val="001C7227"/>
    <w:rsid w:val="001C732B"/>
    <w:rsid w:val="001C73D3"/>
    <w:rsid w:val="001C73E5"/>
    <w:rsid w:val="001C74D3"/>
    <w:rsid w:val="001C7803"/>
    <w:rsid w:val="001C78DA"/>
    <w:rsid w:val="001C79B0"/>
    <w:rsid w:val="001C7A1A"/>
    <w:rsid w:val="001C7A77"/>
    <w:rsid w:val="001C7ECB"/>
    <w:rsid w:val="001C7F88"/>
    <w:rsid w:val="001D0023"/>
    <w:rsid w:val="001D01F8"/>
    <w:rsid w:val="001D0361"/>
    <w:rsid w:val="001D0843"/>
    <w:rsid w:val="001D08A0"/>
    <w:rsid w:val="001D09AE"/>
    <w:rsid w:val="001D0DC9"/>
    <w:rsid w:val="001D0E38"/>
    <w:rsid w:val="001D0ED1"/>
    <w:rsid w:val="001D104E"/>
    <w:rsid w:val="001D105F"/>
    <w:rsid w:val="001D10D3"/>
    <w:rsid w:val="001D12D4"/>
    <w:rsid w:val="001D13DD"/>
    <w:rsid w:val="001D141F"/>
    <w:rsid w:val="001D1530"/>
    <w:rsid w:val="001D1535"/>
    <w:rsid w:val="001D179C"/>
    <w:rsid w:val="001D17AB"/>
    <w:rsid w:val="001D17E9"/>
    <w:rsid w:val="001D1A59"/>
    <w:rsid w:val="001D1A75"/>
    <w:rsid w:val="001D1B05"/>
    <w:rsid w:val="001D1D38"/>
    <w:rsid w:val="001D1E78"/>
    <w:rsid w:val="001D2194"/>
    <w:rsid w:val="001D2370"/>
    <w:rsid w:val="001D23ED"/>
    <w:rsid w:val="001D2539"/>
    <w:rsid w:val="001D25A8"/>
    <w:rsid w:val="001D2A97"/>
    <w:rsid w:val="001D2CC0"/>
    <w:rsid w:val="001D2F5D"/>
    <w:rsid w:val="001D30E0"/>
    <w:rsid w:val="001D312E"/>
    <w:rsid w:val="001D31C3"/>
    <w:rsid w:val="001D331D"/>
    <w:rsid w:val="001D344B"/>
    <w:rsid w:val="001D36B0"/>
    <w:rsid w:val="001D37FE"/>
    <w:rsid w:val="001D392D"/>
    <w:rsid w:val="001D3A23"/>
    <w:rsid w:val="001D3A73"/>
    <w:rsid w:val="001D3AD5"/>
    <w:rsid w:val="001D3B58"/>
    <w:rsid w:val="001D3BE8"/>
    <w:rsid w:val="001D3E23"/>
    <w:rsid w:val="001D4060"/>
    <w:rsid w:val="001D40E8"/>
    <w:rsid w:val="001D45EC"/>
    <w:rsid w:val="001D4750"/>
    <w:rsid w:val="001D47AE"/>
    <w:rsid w:val="001D487E"/>
    <w:rsid w:val="001D4914"/>
    <w:rsid w:val="001D4A35"/>
    <w:rsid w:val="001D4AD1"/>
    <w:rsid w:val="001D4CE7"/>
    <w:rsid w:val="001D4F19"/>
    <w:rsid w:val="001D5171"/>
    <w:rsid w:val="001D524E"/>
    <w:rsid w:val="001D54EA"/>
    <w:rsid w:val="001D56A3"/>
    <w:rsid w:val="001D57AB"/>
    <w:rsid w:val="001D5DEC"/>
    <w:rsid w:val="001D5EE3"/>
    <w:rsid w:val="001D5F92"/>
    <w:rsid w:val="001D6040"/>
    <w:rsid w:val="001D617D"/>
    <w:rsid w:val="001D62F0"/>
    <w:rsid w:val="001D652D"/>
    <w:rsid w:val="001D66EB"/>
    <w:rsid w:val="001D6722"/>
    <w:rsid w:val="001D6729"/>
    <w:rsid w:val="001D6894"/>
    <w:rsid w:val="001D6A35"/>
    <w:rsid w:val="001D6A90"/>
    <w:rsid w:val="001D6B15"/>
    <w:rsid w:val="001D6B38"/>
    <w:rsid w:val="001D6E95"/>
    <w:rsid w:val="001D6F45"/>
    <w:rsid w:val="001D6F7E"/>
    <w:rsid w:val="001D7224"/>
    <w:rsid w:val="001D75A2"/>
    <w:rsid w:val="001D75F2"/>
    <w:rsid w:val="001D77B6"/>
    <w:rsid w:val="001D7917"/>
    <w:rsid w:val="001D7CCE"/>
    <w:rsid w:val="001D7D11"/>
    <w:rsid w:val="001E000D"/>
    <w:rsid w:val="001E0058"/>
    <w:rsid w:val="001E04FE"/>
    <w:rsid w:val="001E07A9"/>
    <w:rsid w:val="001E0A56"/>
    <w:rsid w:val="001E0A84"/>
    <w:rsid w:val="001E0BAE"/>
    <w:rsid w:val="001E0DFE"/>
    <w:rsid w:val="001E0E03"/>
    <w:rsid w:val="001E0E16"/>
    <w:rsid w:val="001E0E2A"/>
    <w:rsid w:val="001E0EA9"/>
    <w:rsid w:val="001E10FD"/>
    <w:rsid w:val="001E126B"/>
    <w:rsid w:val="001E16A6"/>
    <w:rsid w:val="001E1756"/>
    <w:rsid w:val="001E18E8"/>
    <w:rsid w:val="001E1983"/>
    <w:rsid w:val="001E1C6C"/>
    <w:rsid w:val="001E1D45"/>
    <w:rsid w:val="001E1DD5"/>
    <w:rsid w:val="001E1E10"/>
    <w:rsid w:val="001E1E65"/>
    <w:rsid w:val="001E1E82"/>
    <w:rsid w:val="001E1F14"/>
    <w:rsid w:val="001E2063"/>
    <w:rsid w:val="001E2110"/>
    <w:rsid w:val="001E2364"/>
    <w:rsid w:val="001E244E"/>
    <w:rsid w:val="001E2509"/>
    <w:rsid w:val="001E26B3"/>
    <w:rsid w:val="001E2870"/>
    <w:rsid w:val="001E28CE"/>
    <w:rsid w:val="001E2A42"/>
    <w:rsid w:val="001E2A7B"/>
    <w:rsid w:val="001E2AB8"/>
    <w:rsid w:val="001E2E08"/>
    <w:rsid w:val="001E2E19"/>
    <w:rsid w:val="001E2E7A"/>
    <w:rsid w:val="001E2F5E"/>
    <w:rsid w:val="001E3129"/>
    <w:rsid w:val="001E3269"/>
    <w:rsid w:val="001E32D7"/>
    <w:rsid w:val="001E3409"/>
    <w:rsid w:val="001E35E8"/>
    <w:rsid w:val="001E3648"/>
    <w:rsid w:val="001E3711"/>
    <w:rsid w:val="001E3B76"/>
    <w:rsid w:val="001E3B78"/>
    <w:rsid w:val="001E3C78"/>
    <w:rsid w:val="001E4061"/>
    <w:rsid w:val="001E40AD"/>
    <w:rsid w:val="001E4473"/>
    <w:rsid w:val="001E465A"/>
    <w:rsid w:val="001E467A"/>
    <w:rsid w:val="001E4903"/>
    <w:rsid w:val="001E4A5F"/>
    <w:rsid w:val="001E4D79"/>
    <w:rsid w:val="001E4E2A"/>
    <w:rsid w:val="001E4FDD"/>
    <w:rsid w:val="001E50E1"/>
    <w:rsid w:val="001E5381"/>
    <w:rsid w:val="001E54D0"/>
    <w:rsid w:val="001E560C"/>
    <w:rsid w:val="001E57AD"/>
    <w:rsid w:val="001E57D1"/>
    <w:rsid w:val="001E5A81"/>
    <w:rsid w:val="001E5BE9"/>
    <w:rsid w:val="001E5D64"/>
    <w:rsid w:val="001E5F11"/>
    <w:rsid w:val="001E5FAF"/>
    <w:rsid w:val="001E6176"/>
    <w:rsid w:val="001E61A1"/>
    <w:rsid w:val="001E61DA"/>
    <w:rsid w:val="001E63A1"/>
    <w:rsid w:val="001E6629"/>
    <w:rsid w:val="001E6708"/>
    <w:rsid w:val="001E6BC2"/>
    <w:rsid w:val="001E6FD0"/>
    <w:rsid w:val="001E716B"/>
    <w:rsid w:val="001E71E9"/>
    <w:rsid w:val="001E72C4"/>
    <w:rsid w:val="001E7506"/>
    <w:rsid w:val="001E7507"/>
    <w:rsid w:val="001E7532"/>
    <w:rsid w:val="001E757D"/>
    <w:rsid w:val="001E75BF"/>
    <w:rsid w:val="001E75D7"/>
    <w:rsid w:val="001E7775"/>
    <w:rsid w:val="001E7943"/>
    <w:rsid w:val="001E79B7"/>
    <w:rsid w:val="001E79B8"/>
    <w:rsid w:val="001E7E84"/>
    <w:rsid w:val="001F01AC"/>
    <w:rsid w:val="001F02A5"/>
    <w:rsid w:val="001F035B"/>
    <w:rsid w:val="001F065C"/>
    <w:rsid w:val="001F08CF"/>
    <w:rsid w:val="001F0A29"/>
    <w:rsid w:val="001F0BBA"/>
    <w:rsid w:val="001F0E46"/>
    <w:rsid w:val="001F0F9E"/>
    <w:rsid w:val="001F107D"/>
    <w:rsid w:val="001F1114"/>
    <w:rsid w:val="001F151F"/>
    <w:rsid w:val="001F152D"/>
    <w:rsid w:val="001F15F0"/>
    <w:rsid w:val="001F18D0"/>
    <w:rsid w:val="001F18D9"/>
    <w:rsid w:val="001F193A"/>
    <w:rsid w:val="001F1940"/>
    <w:rsid w:val="001F1B68"/>
    <w:rsid w:val="001F1FB5"/>
    <w:rsid w:val="001F20C3"/>
    <w:rsid w:val="001F2191"/>
    <w:rsid w:val="001F21B3"/>
    <w:rsid w:val="001F225A"/>
    <w:rsid w:val="001F22D1"/>
    <w:rsid w:val="001F24A0"/>
    <w:rsid w:val="001F2585"/>
    <w:rsid w:val="001F26B1"/>
    <w:rsid w:val="001F296B"/>
    <w:rsid w:val="001F299F"/>
    <w:rsid w:val="001F2AC1"/>
    <w:rsid w:val="001F2C24"/>
    <w:rsid w:val="001F2EED"/>
    <w:rsid w:val="001F2F1B"/>
    <w:rsid w:val="001F2F3C"/>
    <w:rsid w:val="001F2F92"/>
    <w:rsid w:val="001F333C"/>
    <w:rsid w:val="001F3437"/>
    <w:rsid w:val="001F3515"/>
    <w:rsid w:val="001F3998"/>
    <w:rsid w:val="001F3B29"/>
    <w:rsid w:val="001F3D82"/>
    <w:rsid w:val="001F3EA2"/>
    <w:rsid w:val="001F4215"/>
    <w:rsid w:val="001F431E"/>
    <w:rsid w:val="001F4471"/>
    <w:rsid w:val="001F466C"/>
    <w:rsid w:val="001F4678"/>
    <w:rsid w:val="001F4761"/>
    <w:rsid w:val="001F4B03"/>
    <w:rsid w:val="001F4CF2"/>
    <w:rsid w:val="001F4D4D"/>
    <w:rsid w:val="001F4EBE"/>
    <w:rsid w:val="001F509E"/>
    <w:rsid w:val="001F5118"/>
    <w:rsid w:val="001F51CA"/>
    <w:rsid w:val="001F526C"/>
    <w:rsid w:val="001F5287"/>
    <w:rsid w:val="001F529A"/>
    <w:rsid w:val="001F5486"/>
    <w:rsid w:val="001F5592"/>
    <w:rsid w:val="001F561B"/>
    <w:rsid w:val="001F569A"/>
    <w:rsid w:val="001F569F"/>
    <w:rsid w:val="001F5763"/>
    <w:rsid w:val="001F599E"/>
    <w:rsid w:val="001F5AF9"/>
    <w:rsid w:val="001F5BB6"/>
    <w:rsid w:val="001F5C64"/>
    <w:rsid w:val="001F5EFD"/>
    <w:rsid w:val="001F605C"/>
    <w:rsid w:val="001F62E4"/>
    <w:rsid w:val="001F6796"/>
    <w:rsid w:val="001F6932"/>
    <w:rsid w:val="001F6AB3"/>
    <w:rsid w:val="001F6B47"/>
    <w:rsid w:val="001F6E94"/>
    <w:rsid w:val="001F6EEA"/>
    <w:rsid w:val="001F6F7D"/>
    <w:rsid w:val="001F72B8"/>
    <w:rsid w:val="001F7A72"/>
    <w:rsid w:val="001F7C3A"/>
    <w:rsid w:val="001F7E0C"/>
    <w:rsid w:val="001F7F72"/>
    <w:rsid w:val="002000A2"/>
    <w:rsid w:val="002001B2"/>
    <w:rsid w:val="002003D3"/>
    <w:rsid w:val="002005CE"/>
    <w:rsid w:val="00200737"/>
    <w:rsid w:val="002009E8"/>
    <w:rsid w:val="00200AD9"/>
    <w:rsid w:val="00200B55"/>
    <w:rsid w:val="00200C37"/>
    <w:rsid w:val="00200DA2"/>
    <w:rsid w:val="00200F20"/>
    <w:rsid w:val="0020105D"/>
    <w:rsid w:val="002013D8"/>
    <w:rsid w:val="00201512"/>
    <w:rsid w:val="0020154A"/>
    <w:rsid w:val="00201769"/>
    <w:rsid w:val="002017B3"/>
    <w:rsid w:val="00201D4B"/>
    <w:rsid w:val="00201E32"/>
    <w:rsid w:val="00201F57"/>
    <w:rsid w:val="00202136"/>
    <w:rsid w:val="00202408"/>
    <w:rsid w:val="002024E9"/>
    <w:rsid w:val="002026B6"/>
    <w:rsid w:val="0020285E"/>
    <w:rsid w:val="00202904"/>
    <w:rsid w:val="00202B5C"/>
    <w:rsid w:val="00202BF2"/>
    <w:rsid w:val="00202CC2"/>
    <w:rsid w:val="00202D0D"/>
    <w:rsid w:val="00202E34"/>
    <w:rsid w:val="00202FF6"/>
    <w:rsid w:val="002030BD"/>
    <w:rsid w:val="00203145"/>
    <w:rsid w:val="00203244"/>
    <w:rsid w:val="0020328F"/>
    <w:rsid w:val="0020347F"/>
    <w:rsid w:val="002035D3"/>
    <w:rsid w:val="0020366D"/>
    <w:rsid w:val="002037FA"/>
    <w:rsid w:val="0020381C"/>
    <w:rsid w:val="002039D5"/>
    <w:rsid w:val="00203AF9"/>
    <w:rsid w:val="00203B90"/>
    <w:rsid w:val="00203BB2"/>
    <w:rsid w:val="00203FAA"/>
    <w:rsid w:val="002041BB"/>
    <w:rsid w:val="002043BC"/>
    <w:rsid w:val="00204426"/>
    <w:rsid w:val="0020443C"/>
    <w:rsid w:val="002045B4"/>
    <w:rsid w:val="002045BE"/>
    <w:rsid w:val="002047C3"/>
    <w:rsid w:val="00204851"/>
    <w:rsid w:val="0020495D"/>
    <w:rsid w:val="00204BB3"/>
    <w:rsid w:val="00204C0B"/>
    <w:rsid w:val="00204DB4"/>
    <w:rsid w:val="00204DBF"/>
    <w:rsid w:val="00204F2D"/>
    <w:rsid w:val="00204F80"/>
    <w:rsid w:val="00204FEA"/>
    <w:rsid w:val="002051FC"/>
    <w:rsid w:val="00205364"/>
    <w:rsid w:val="00205532"/>
    <w:rsid w:val="0020560A"/>
    <w:rsid w:val="002056CC"/>
    <w:rsid w:val="002057FE"/>
    <w:rsid w:val="00205876"/>
    <w:rsid w:val="002058CC"/>
    <w:rsid w:val="00205A54"/>
    <w:rsid w:val="00205C47"/>
    <w:rsid w:val="00205FD6"/>
    <w:rsid w:val="00206079"/>
    <w:rsid w:val="0020622D"/>
    <w:rsid w:val="002063D7"/>
    <w:rsid w:val="002064A5"/>
    <w:rsid w:val="002066EB"/>
    <w:rsid w:val="0020674D"/>
    <w:rsid w:val="00206878"/>
    <w:rsid w:val="00206A21"/>
    <w:rsid w:val="00206AAF"/>
    <w:rsid w:val="00206BEE"/>
    <w:rsid w:val="00206CB4"/>
    <w:rsid w:val="00206EC2"/>
    <w:rsid w:val="0020722A"/>
    <w:rsid w:val="00207281"/>
    <w:rsid w:val="00207320"/>
    <w:rsid w:val="00207425"/>
    <w:rsid w:val="002079ED"/>
    <w:rsid w:val="00207A4C"/>
    <w:rsid w:val="00207ED1"/>
    <w:rsid w:val="00207FED"/>
    <w:rsid w:val="0021049E"/>
    <w:rsid w:val="00210675"/>
    <w:rsid w:val="0021076A"/>
    <w:rsid w:val="00210857"/>
    <w:rsid w:val="00210907"/>
    <w:rsid w:val="00210CBE"/>
    <w:rsid w:val="00210EC2"/>
    <w:rsid w:val="00211230"/>
    <w:rsid w:val="0021147F"/>
    <w:rsid w:val="002114BE"/>
    <w:rsid w:val="002119A8"/>
    <w:rsid w:val="002119FA"/>
    <w:rsid w:val="00211AC5"/>
    <w:rsid w:val="00212134"/>
    <w:rsid w:val="0021262D"/>
    <w:rsid w:val="00212904"/>
    <w:rsid w:val="0021296F"/>
    <w:rsid w:val="002129B5"/>
    <w:rsid w:val="002129BF"/>
    <w:rsid w:val="00212BA8"/>
    <w:rsid w:val="00212D99"/>
    <w:rsid w:val="00212EE7"/>
    <w:rsid w:val="00213025"/>
    <w:rsid w:val="002130D8"/>
    <w:rsid w:val="002134A0"/>
    <w:rsid w:val="002134BA"/>
    <w:rsid w:val="002135F7"/>
    <w:rsid w:val="0021383D"/>
    <w:rsid w:val="00213A9C"/>
    <w:rsid w:val="00213BE1"/>
    <w:rsid w:val="00213C2B"/>
    <w:rsid w:val="00213CBB"/>
    <w:rsid w:val="00213CC2"/>
    <w:rsid w:val="00213CF0"/>
    <w:rsid w:val="00213D7A"/>
    <w:rsid w:val="00213E61"/>
    <w:rsid w:val="00214090"/>
    <w:rsid w:val="00214240"/>
    <w:rsid w:val="00214588"/>
    <w:rsid w:val="002146F3"/>
    <w:rsid w:val="00214840"/>
    <w:rsid w:val="002148F2"/>
    <w:rsid w:val="00214ADE"/>
    <w:rsid w:val="00214B99"/>
    <w:rsid w:val="00214F62"/>
    <w:rsid w:val="00214F8C"/>
    <w:rsid w:val="002150CB"/>
    <w:rsid w:val="00215199"/>
    <w:rsid w:val="002153B5"/>
    <w:rsid w:val="002154A7"/>
    <w:rsid w:val="00215928"/>
    <w:rsid w:val="00215982"/>
    <w:rsid w:val="00215A0B"/>
    <w:rsid w:val="00215A68"/>
    <w:rsid w:val="00215CE6"/>
    <w:rsid w:val="00215FC4"/>
    <w:rsid w:val="00216070"/>
    <w:rsid w:val="00216117"/>
    <w:rsid w:val="00216133"/>
    <w:rsid w:val="002161AC"/>
    <w:rsid w:val="00216559"/>
    <w:rsid w:val="0021655B"/>
    <w:rsid w:val="00216607"/>
    <w:rsid w:val="00216C7C"/>
    <w:rsid w:val="00216D0A"/>
    <w:rsid w:val="0021708C"/>
    <w:rsid w:val="0021709D"/>
    <w:rsid w:val="00217376"/>
    <w:rsid w:val="002173C8"/>
    <w:rsid w:val="0021747B"/>
    <w:rsid w:val="0021771B"/>
    <w:rsid w:val="0021771C"/>
    <w:rsid w:val="002179E5"/>
    <w:rsid w:val="00217A31"/>
    <w:rsid w:val="00217A62"/>
    <w:rsid w:val="00217A95"/>
    <w:rsid w:val="00217DF2"/>
    <w:rsid w:val="00217E6E"/>
    <w:rsid w:val="00217E70"/>
    <w:rsid w:val="00220004"/>
    <w:rsid w:val="002200E8"/>
    <w:rsid w:val="0022016A"/>
    <w:rsid w:val="00220221"/>
    <w:rsid w:val="002203F3"/>
    <w:rsid w:val="00220745"/>
    <w:rsid w:val="00220972"/>
    <w:rsid w:val="00220DDC"/>
    <w:rsid w:val="00220EF7"/>
    <w:rsid w:val="00220F3B"/>
    <w:rsid w:val="00220F55"/>
    <w:rsid w:val="00220F9F"/>
    <w:rsid w:val="0022119A"/>
    <w:rsid w:val="00221335"/>
    <w:rsid w:val="002213DB"/>
    <w:rsid w:val="0022180A"/>
    <w:rsid w:val="0022188F"/>
    <w:rsid w:val="00221B14"/>
    <w:rsid w:val="00221B86"/>
    <w:rsid w:val="00221BB8"/>
    <w:rsid w:val="00221E80"/>
    <w:rsid w:val="002220A0"/>
    <w:rsid w:val="0022217B"/>
    <w:rsid w:val="002221F1"/>
    <w:rsid w:val="0022252D"/>
    <w:rsid w:val="002227C1"/>
    <w:rsid w:val="002228F3"/>
    <w:rsid w:val="00222943"/>
    <w:rsid w:val="00222A03"/>
    <w:rsid w:val="00222ADA"/>
    <w:rsid w:val="00222BE0"/>
    <w:rsid w:val="00222C4B"/>
    <w:rsid w:val="00223038"/>
    <w:rsid w:val="00223269"/>
    <w:rsid w:val="002233FA"/>
    <w:rsid w:val="002235DA"/>
    <w:rsid w:val="0022361A"/>
    <w:rsid w:val="00223A57"/>
    <w:rsid w:val="00223B70"/>
    <w:rsid w:val="0022406B"/>
    <w:rsid w:val="0022409D"/>
    <w:rsid w:val="002242D6"/>
    <w:rsid w:val="00224373"/>
    <w:rsid w:val="002243B7"/>
    <w:rsid w:val="0022456B"/>
    <w:rsid w:val="0022460E"/>
    <w:rsid w:val="00224690"/>
    <w:rsid w:val="0022489C"/>
    <w:rsid w:val="00224A12"/>
    <w:rsid w:val="00224AD9"/>
    <w:rsid w:val="00224B2A"/>
    <w:rsid w:val="00224D1D"/>
    <w:rsid w:val="00224DAA"/>
    <w:rsid w:val="0022507B"/>
    <w:rsid w:val="002250CC"/>
    <w:rsid w:val="0022529F"/>
    <w:rsid w:val="0022542C"/>
    <w:rsid w:val="002256EE"/>
    <w:rsid w:val="002259D1"/>
    <w:rsid w:val="00225A1A"/>
    <w:rsid w:val="00225A1F"/>
    <w:rsid w:val="00225BDC"/>
    <w:rsid w:val="00225C27"/>
    <w:rsid w:val="00225DA5"/>
    <w:rsid w:val="00225DD3"/>
    <w:rsid w:val="00225E4A"/>
    <w:rsid w:val="00226016"/>
    <w:rsid w:val="0022606A"/>
    <w:rsid w:val="00226077"/>
    <w:rsid w:val="002260A9"/>
    <w:rsid w:val="002263FC"/>
    <w:rsid w:val="0022642D"/>
    <w:rsid w:val="002264BC"/>
    <w:rsid w:val="0022668A"/>
    <w:rsid w:val="00226982"/>
    <w:rsid w:val="00226A01"/>
    <w:rsid w:val="00226DFD"/>
    <w:rsid w:val="00226EE2"/>
    <w:rsid w:val="002273E6"/>
    <w:rsid w:val="0022740F"/>
    <w:rsid w:val="0022750B"/>
    <w:rsid w:val="002278F9"/>
    <w:rsid w:val="0022798A"/>
    <w:rsid w:val="00227AF4"/>
    <w:rsid w:val="00227C82"/>
    <w:rsid w:val="00227D76"/>
    <w:rsid w:val="00227E0A"/>
    <w:rsid w:val="00227E96"/>
    <w:rsid w:val="00227F2D"/>
    <w:rsid w:val="0023017A"/>
    <w:rsid w:val="00230302"/>
    <w:rsid w:val="00230314"/>
    <w:rsid w:val="0023042F"/>
    <w:rsid w:val="002309AB"/>
    <w:rsid w:val="00230B0B"/>
    <w:rsid w:val="00230B33"/>
    <w:rsid w:val="00230BCF"/>
    <w:rsid w:val="00230DB6"/>
    <w:rsid w:val="00231097"/>
    <w:rsid w:val="0023111C"/>
    <w:rsid w:val="002311B2"/>
    <w:rsid w:val="00231345"/>
    <w:rsid w:val="00231511"/>
    <w:rsid w:val="002315B1"/>
    <w:rsid w:val="0023174D"/>
    <w:rsid w:val="00231CB0"/>
    <w:rsid w:val="00231F57"/>
    <w:rsid w:val="00231F58"/>
    <w:rsid w:val="00232110"/>
    <w:rsid w:val="00232258"/>
    <w:rsid w:val="0023225D"/>
    <w:rsid w:val="002323E7"/>
    <w:rsid w:val="002323FB"/>
    <w:rsid w:val="002324D4"/>
    <w:rsid w:val="00232567"/>
    <w:rsid w:val="002326D0"/>
    <w:rsid w:val="002326D3"/>
    <w:rsid w:val="00232938"/>
    <w:rsid w:val="00232A3A"/>
    <w:rsid w:val="00232E4A"/>
    <w:rsid w:val="00233453"/>
    <w:rsid w:val="0023351E"/>
    <w:rsid w:val="0023361D"/>
    <w:rsid w:val="0023397F"/>
    <w:rsid w:val="002339B6"/>
    <w:rsid w:val="00233AA3"/>
    <w:rsid w:val="00233C99"/>
    <w:rsid w:val="00233E09"/>
    <w:rsid w:val="00233EB7"/>
    <w:rsid w:val="00233F0A"/>
    <w:rsid w:val="00233F26"/>
    <w:rsid w:val="00233F66"/>
    <w:rsid w:val="002340D2"/>
    <w:rsid w:val="00234192"/>
    <w:rsid w:val="00234203"/>
    <w:rsid w:val="0023422D"/>
    <w:rsid w:val="00234697"/>
    <w:rsid w:val="00234744"/>
    <w:rsid w:val="00234745"/>
    <w:rsid w:val="0023499E"/>
    <w:rsid w:val="0023499F"/>
    <w:rsid w:val="00234F05"/>
    <w:rsid w:val="0023522D"/>
    <w:rsid w:val="002352F7"/>
    <w:rsid w:val="002353B5"/>
    <w:rsid w:val="002353D3"/>
    <w:rsid w:val="002354D5"/>
    <w:rsid w:val="0023552B"/>
    <w:rsid w:val="002357C3"/>
    <w:rsid w:val="0023583F"/>
    <w:rsid w:val="00235915"/>
    <w:rsid w:val="00235B48"/>
    <w:rsid w:val="00235C9B"/>
    <w:rsid w:val="00235FE8"/>
    <w:rsid w:val="00236076"/>
    <w:rsid w:val="00236175"/>
    <w:rsid w:val="002362F8"/>
    <w:rsid w:val="00236546"/>
    <w:rsid w:val="00236754"/>
    <w:rsid w:val="002367F0"/>
    <w:rsid w:val="002368F2"/>
    <w:rsid w:val="0023691A"/>
    <w:rsid w:val="00236A11"/>
    <w:rsid w:val="00236A83"/>
    <w:rsid w:val="00236B5C"/>
    <w:rsid w:val="00236D1A"/>
    <w:rsid w:val="00236E21"/>
    <w:rsid w:val="00236E8C"/>
    <w:rsid w:val="002371CD"/>
    <w:rsid w:val="00237235"/>
    <w:rsid w:val="0023723A"/>
    <w:rsid w:val="0023739A"/>
    <w:rsid w:val="00237444"/>
    <w:rsid w:val="00237553"/>
    <w:rsid w:val="0023758D"/>
    <w:rsid w:val="0023763D"/>
    <w:rsid w:val="0023765C"/>
    <w:rsid w:val="0023793B"/>
    <w:rsid w:val="0023798C"/>
    <w:rsid w:val="00237B79"/>
    <w:rsid w:val="00237BC0"/>
    <w:rsid w:val="00237DCC"/>
    <w:rsid w:val="00237ED2"/>
    <w:rsid w:val="0024013E"/>
    <w:rsid w:val="0024038C"/>
    <w:rsid w:val="002403E1"/>
    <w:rsid w:val="00240645"/>
    <w:rsid w:val="002407CB"/>
    <w:rsid w:val="0024086D"/>
    <w:rsid w:val="00240BB9"/>
    <w:rsid w:val="002411CC"/>
    <w:rsid w:val="0024153E"/>
    <w:rsid w:val="00241571"/>
    <w:rsid w:val="00241832"/>
    <w:rsid w:val="002419CC"/>
    <w:rsid w:val="002419EB"/>
    <w:rsid w:val="00241C81"/>
    <w:rsid w:val="00241DB0"/>
    <w:rsid w:val="0024207E"/>
    <w:rsid w:val="002421C4"/>
    <w:rsid w:val="002421E9"/>
    <w:rsid w:val="002424E1"/>
    <w:rsid w:val="002426A9"/>
    <w:rsid w:val="0024272E"/>
    <w:rsid w:val="0024283D"/>
    <w:rsid w:val="00242866"/>
    <w:rsid w:val="00242875"/>
    <w:rsid w:val="00242951"/>
    <w:rsid w:val="00242C52"/>
    <w:rsid w:val="00242D39"/>
    <w:rsid w:val="00242E2E"/>
    <w:rsid w:val="00242EF9"/>
    <w:rsid w:val="002431C6"/>
    <w:rsid w:val="002432E8"/>
    <w:rsid w:val="0024339F"/>
    <w:rsid w:val="0024376D"/>
    <w:rsid w:val="002437B2"/>
    <w:rsid w:val="00243812"/>
    <w:rsid w:val="00243973"/>
    <w:rsid w:val="00243C48"/>
    <w:rsid w:val="00243D0B"/>
    <w:rsid w:val="00243EB0"/>
    <w:rsid w:val="00243FA3"/>
    <w:rsid w:val="0024451C"/>
    <w:rsid w:val="0024453E"/>
    <w:rsid w:val="002445C6"/>
    <w:rsid w:val="0024465F"/>
    <w:rsid w:val="00244AFD"/>
    <w:rsid w:val="00245007"/>
    <w:rsid w:val="0024510F"/>
    <w:rsid w:val="00245280"/>
    <w:rsid w:val="002454A2"/>
    <w:rsid w:val="00245579"/>
    <w:rsid w:val="00245882"/>
    <w:rsid w:val="00245B6A"/>
    <w:rsid w:val="00245C20"/>
    <w:rsid w:val="00245E5F"/>
    <w:rsid w:val="00245F20"/>
    <w:rsid w:val="00246318"/>
    <w:rsid w:val="002463B7"/>
    <w:rsid w:val="00246417"/>
    <w:rsid w:val="00246575"/>
    <w:rsid w:val="0024677D"/>
    <w:rsid w:val="00246906"/>
    <w:rsid w:val="00246A32"/>
    <w:rsid w:val="00246A38"/>
    <w:rsid w:val="00246A98"/>
    <w:rsid w:val="00246D34"/>
    <w:rsid w:val="00246D70"/>
    <w:rsid w:val="002470CA"/>
    <w:rsid w:val="00247219"/>
    <w:rsid w:val="002474A2"/>
    <w:rsid w:val="00247573"/>
    <w:rsid w:val="0024782B"/>
    <w:rsid w:val="0024784F"/>
    <w:rsid w:val="00247B44"/>
    <w:rsid w:val="00247B5B"/>
    <w:rsid w:val="00247CE1"/>
    <w:rsid w:val="00250282"/>
    <w:rsid w:val="0025031F"/>
    <w:rsid w:val="002503BB"/>
    <w:rsid w:val="002504B8"/>
    <w:rsid w:val="00250BC4"/>
    <w:rsid w:val="00250CF7"/>
    <w:rsid w:val="00251092"/>
    <w:rsid w:val="00251172"/>
    <w:rsid w:val="00251476"/>
    <w:rsid w:val="00251689"/>
    <w:rsid w:val="002516DF"/>
    <w:rsid w:val="00251841"/>
    <w:rsid w:val="002518A8"/>
    <w:rsid w:val="002519A2"/>
    <w:rsid w:val="00251B9A"/>
    <w:rsid w:val="00251EBB"/>
    <w:rsid w:val="00252360"/>
    <w:rsid w:val="002523DE"/>
    <w:rsid w:val="002525B3"/>
    <w:rsid w:val="0025263C"/>
    <w:rsid w:val="00252703"/>
    <w:rsid w:val="0025279D"/>
    <w:rsid w:val="00252AAF"/>
    <w:rsid w:val="00252B92"/>
    <w:rsid w:val="00252C99"/>
    <w:rsid w:val="002530AA"/>
    <w:rsid w:val="002530DF"/>
    <w:rsid w:val="00253403"/>
    <w:rsid w:val="00253679"/>
    <w:rsid w:val="0025384C"/>
    <w:rsid w:val="0025387B"/>
    <w:rsid w:val="00253B61"/>
    <w:rsid w:val="00253DB2"/>
    <w:rsid w:val="00253E8F"/>
    <w:rsid w:val="00253F72"/>
    <w:rsid w:val="00253FC8"/>
    <w:rsid w:val="00254113"/>
    <w:rsid w:val="002544F4"/>
    <w:rsid w:val="0025451A"/>
    <w:rsid w:val="0025471F"/>
    <w:rsid w:val="00254829"/>
    <w:rsid w:val="00254A31"/>
    <w:rsid w:val="00254C5C"/>
    <w:rsid w:val="00254CED"/>
    <w:rsid w:val="00254E29"/>
    <w:rsid w:val="00255133"/>
    <w:rsid w:val="002553FD"/>
    <w:rsid w:val="00255659"/>
    <w:rsid w:val="00255760"/>
    <w:rsid w:val="002557C5"/>
    <w:rsid w:val="00255AFD"/>
    <w:rsid w:val="00255C67"/>
    <w:rsid w:val="00255F88"/>
    <w:rsid w:val="0025607B"/>
    <w:rsid w:val="00256208"/>
    <w:rsid w:val="00256613"/>
    <w:rsid w:val="0025669A"/>
    <w:rsid w:val="00256734"/>
    <w:rsid w:val="00256821"/>
    <w:rsid w:val="00256C07"/>
    <w:rsid w:val="00256CBD"/>
    <w:rsid w:val="00256D09"/>
    <w:rsid w:val="00256FE1"/>
    <w:rsid w:val="00257157"/>
    <w:rsid w:val="002572B0"/>
    <w:rsid w:val="00257379"/>
    <w:rsid w:val="00257532"/>
    <w:rsid w:val="0025758F"/>
    <w:rsid w:val="002575BD"/>
    <w:rsid w:val="002575FD"/>
    <w:rsid w:val="002576E2"/>
    <w:rsid w:val="0025782C"/>
    <w:rsid w:val="00257859"/>
    <w:rsid w:val="00257A16"/>
    <w:rsid w:val="00257B4C"/>
    <w:rsid w:val="00257B6C"/>
    <w:rsid w:val="00257C85"/>
    <w:rsid w:val="00257F18"/>
    <w:rsid w:val="00257FA3"/>
    <w:rsid w:val="00257FC2"/>
    <w:rsid w:val="00260059"/>
    <w:rsid w:val="0026008F"/>
    <w:rsid w:val="0026016D"/>
    <w:rsid w:val="002601D0"/>
    <w:rsid w:val="00260364"/>
    <w:rsid w:val="002604BD"/>
    <w:rsid w:val="0026058B"/>
    <w:rsid w:val="002605D0"/>
    <w:rsid w:val="0026069D"/>
    <w:rsid w:val="002606A8"/>
    <w:rsid w:val="002606FA"/>
    <w:rsid w:val="00260739"/>
    <w:rsid w:val="0026082A"/>
    <w:rsid w:val="0026091C"/>
    <w:rsid w:val="00260F5C"/>
    <w:rsid w:val="00260F65"/>
    <w:rsid w:val="00260F7A"/>
    <w:rsid w:val="002610A0"/>
    <w:rsid w:val="00261346"/>
    <w:rsid w:val="0026149E"/>
    <w:rsid w:val="002614D3"/>
    <w:rsid w:val="00261569"/>
    <w:rsid w:val="002618CE"/>
    <w:rsid w:val="002619A0"/>
    <w:rsid w:val="002619FD"/>
    <w:rsid w:val="00261A88"/>
    <w:rsid w:val="00261B76"/>
    <w:rsid w:val="00261C25"/>
    <w:rsid w:val="00261EBD"/>
    <w:rsid w:val="00262116"/>
    <w:rsid w:val="002621C8"/>
    <w:rsid w:val="00262229"/>
    <w:rsid w:val="00262246"/>
    <w:rsid w:val="00262407"/>
    <w:rsid w:val="002624AD"/>
    <w:rsid w:val="002625E1"/>
    <w:rsid w:val="00262767"/>
    <w:rsid w:val="002628A6"/>
    <w:rsid w:val="00262989"/>
    <w:rsid w:val="0026339C"/>
    <w:rsid w:val="002635D4"/>
    <w:rsid w:val="002636E0"/>
    <w:rsid w:val="00263765"/>
    <w:rsid w:val="00263C34"/>
    <w:rsid w:val="00263CD4"/>
    <w:rsid w:val="00263D89"/>
    <w:rsid w:val="00263F3C"/>
    <w:rsid w:val="00264038"/>
    <w:rsid w:val="0026431F"/>
    <w:rsid w:val="00264530"/>
    <w:rsid w:val="00264690"/>
    <w:rsid w:val="002648AD"/>
    <w:rsid w:val="00264AF7"/>
    <w:rsid w:val="00264FF8"/>
    <w:rsid w:val="00265287"/>
    <w:rsid w:val="00265537"/>
    <w:rsid w:val="00265566"/>
    <w:rsid w:val="00265710"/>
    <w:rsid w:val="002657AF"/>
    <w:rsid w:val="002658E6"/>
    <w:rsid w:val="0026592A"/>
    <w:rsid w:val="00265AA5"/>
    <w:rsid w:val="00265C71"/>
    <w:rsid w:val="00265CA4"/>
    <w:rsid w:val="00265D4B"/>
    <w:rsid w:val="00265DDD"/>
    <w:rsid w:val="00265E75"/>
    <w:rsid w:val="002660A4"/>
    <w:rsid w:val="0026620F"/>
    <w:rsid w:val="002662AA"/>
    <w:rsid w:val="002662E4"/>
    <w:rsid w:val="00266331"/>
    <w:rsid w:val="00266363"/>
    <w:rsid w:val="002663FD"/>
    <w:rsid w:val="0026658A"/>
    <w:rsid w:val="002665F8"/>
    <w:rsid w:val="0026661F"/>
    <w:rsid w:val="002666BD"/>
    <w:rsid w:val="002667DC"/>
    <w:rsid w:val="00266B46"/>
    <w:rsid w:val="00266EDC"/>
    <w:rsid w:val="00266F03"/>
    <w:rsid w:val="002671DA"/>
    <w:rsid w:val="002672BE"/>
    <w:rsid w:val="0026738B"/>
    <w:rsid w:val="002674F1"/>
    <w:rsid w:val="0026785A"/>
    <w:rsid w:val="0026798A"/>
    <w:rsid w:val="00267B2F"/>
    <w:rsid w:val="00267D68"/>
    <w:rsid w:val="00267DD7"/>
    <w:rsid w:val="002703B9"/>
    <w:rsid w:val="00270437"/>
    <w:rsid w:val="002704AC"/>
    <w:rsid w:val="002706AA"/>
    <w:rsid w:val="00270781"/>
    <w:rsid w:val="00270941"/>
    <w:rsid w:val="00270991"/>
    <w:rsid w:val="002709A4"/>
    <w:rsid w:val="002709D1"/>
    <w:rsid w:val="00270B31"/>
    <w:rsid w:val="00270C11"/>
    <w:rsid w:val="00270C2D"/>
    <w:rsid w:val="00270DAE"/>
    <w:rsid w:val="00270EDC"/>
    <w:rsid w:val="00270FB0"/>
    <w:rsid w:val="00271021"/>
    <w:rsid w:val="002712D6"/>
    <w:rsid w:val="002714DB"/>
    <w:rsid w:val="002716F2"/>
    <w:rsid w:val="00271AF7"/>
    <w:rsid w:val="00271B1F"/>
    <w:rsid w:val="00271BD2"/>
    <w:rsid w:val="00271BFE"/>
    <w:rsid w:val="00271E34"/>
    <w:rsid w:val="00271E89"/>
    <w:rsid w:val="00271E92"/>
    <w:rsid w:val="00272164"/>
    <w:rsid w:val="002721AE"/>
    <w:rsid w:val="0027234F"/>
    <w:rsid w:val="002723ED"/>
    <w:rsid w:val="00272472"/>
    <w:rsid w:val="002728E0"/>
    <w:rsid w:val="00272991"/>
    <w:rsid w:val="00272A64"/>
    <w:rsid w:val="00272B32"/>
    <w:rsid w:val="00272BA0"/>
    <w:rsid w:val="00272D87"/>
    <w:rsid w:val="0027306C"/>
    <w:rsid w:val="0027340A"/>
    <w:rsid w:val="002734B7"/>
    <w:rsid w:val="002736D3"/>
    <w:rsid w:val="002739D4"/>
    <w:rsid w:val="00273A9B"/>
    <w:rsid w:val="00273B25"/>
    <w:rsid w:val="00273C90"/>
    <w:rsid w:val="00273FAE"/>
    <w:rsid w:val="00273FE4"/>
    <w:rsid w:val="00274139"/>
    <w:rsid w:val="002747A6"/>
    <w:rsid w:val="002747C1"/>
    <w:rsid w:val="0027481A"/>
    <w:rsid w:val="002748D2"/>
    <w:rsid w:val="002749D5"/>
    <w:rsid w:val="00274A97"/>
    <w:rsid w:val="00274BD8"/>
    <w:rsid w:val="00274C98"/>
    <w:rsid w:val="00274CE2"/>
    <w:rsid w:val="0027545F"/>
    <w:rsid w:val="00275585"/>
    <w:rsid w:val="00275765"/>
    <w:rsid w:val="002759CD"/>
    <w:rsid w:val="00275A11"/>
    <w:rsid w:val="00275C48"/>
    <w:rsid w:val="00275DCC"/>
    <w:rsid w:val="00276007"/>
    <w:rsid w:val="0027613B"/>
    <w:rsid w:val="002761C8"/>
    <w:rsid w:val="002762F5"/>
    <w:rsid w:val="0027636A"/>
    <w:rsid w:val="00276390"/>
    <w:rsid w:val="002763A6"/>
    <w:rsid w:val="002764AE"/>
    <w:rsid w:val="002767E6"/>
    <w:rsid w:val="00276A22"/>
    <w:rsid w:val="00276E99"/>
    <w:rsid w:val="00276F2F"/>
    <w:rsid w:val="0027721D"/>
    <w:rsid w:val="002775B2"/>
    <w:rsid w:val="00277627"/>
    <w:rsid w:val="00277C32"/>
    <w:rsid w:val="00277D35"/>
    <w:rsid w:val="00277D5B"/>
    <w:rsid w:val="00277DD6"/>
    <w:rsid w:val="00277F06"/>
    <w:rsid w:val="00277FA0"/>
    <w:rsid w:val="00277FCC"/>
    <w:rsid w:val="00280042"/>
    <w:rsid w:val="0028014B"/>
    <w:rsid w:val="0028025F"/>
    <w:rsid w:val="0028028D"/>
    <w:rsid w:val="002803D2"/>
    <w:rsid w:val="0028044C"/>
    <w:rsid w:val="0028048F"/>
    <w:rsid w:val="00280550"/>
    <w:rsid w:val="00280567"/>
    <w:rsid w:val="0028099E"/>
    <w:rsid w:val="00280A64"/>
    <w:rsid w:val="00280CD0"/>
    <w:rsid w:val="00280D5C"/>
    <w:rsid w:val="00280D82"/>
    <w:rsid w:val="00280E31"/>
    <w:rsid w:val="0028117E"/>
    <w:rsid w:val="00281413"/>
    <w:rsid w:val="00281486"/>
    <w:rsid w:val="00281677"/>
    <w:rsid w:val="00281699"/>
    <w:rsid w:val="00281835"/>
    <w:rsid w:val="00281B3C"/>
    <w:rsid w:val="00281C99"/>
    <w:rsid w:val="00281D04"/>
    <w:rsid w:val="00281DE0"/>
    <w:rsid w:val="00281F6D"/>
    <w:rsid w:val="00281FDE"/>
    <w:rsid w:val="00281FE9"/>
    <w:rsid w:val="00282398"/>
    <w:rsid w:val="00282428"/>
    <w:rsid w:val="00282506"/>
    <w:rsid w:val="0028283E"/>
    <w:rsid w:val="00282860"/>
    <w:rsid w:val="00282D64"/>
    <w:rsid w:val="00282D76"/>
    <w:rsid w:val="00283034"/>
    <w:rsid w:val="002833A7"/>
    <w:rsid w:val="0028365C"/>
    <w:rsid w:val="002836C7"/>
    <w:rsid w:val="002836DA"/>
    <w:rsid w:val="0028376A"/>
    <w:rsid w:val="0028394F"/>
    <w:rsid w:val="00283B11"/>
    <w:rsid w:val="00283B87"/>
    <w:rsid w:val="00283C3A"/>
    <w:rsid w:val="00283D91"/>
    <w:rsid w:val="0028405A"/>
    <w:rsid w:val="00284362"/>
    <w:rsid w:val="0028436D"/>
    <w:rsid w:val="00284977"/>
    <w:rsid w:val="00284A62"/>
    <w:rsid w:val="00284CCF"/>
    <w:rsid w:val="00284D8D"/>
    <w:rsid w:val="00285169"/>
    <w:rsid w:val="00285173"/>
    <w:rsid w:val="002854F7"/>
    <w:rsid w:val="00285528"/>
    <w:rsid w:val="002855EA"/>
    <w:rsid w:val="00285601"/>
    <w:rsid w:val="002857C6"/>
    <w:rsid w:val="00285844"/>
    <w:rsid w:val="0028591D"/>
    <w:rsid w:val="00285B83"/>
    <w:rsid w:val="00285BC9"/>
    <w:rsid w:val="00285EB6"/>
    <w:rsid w:val="002860C8"/>
    <w:rsid w:val="00286144"/>
    <w:rsid w:val="002862EE"/>
    <w:rsid w:val="00286343"/>
    <w:rsid w:val="00286366"/>
    <w:rsid w:val="00286A7B"/>
    <w:rsid w:val="00286B90"/>
    <w:rsid w:val="00286C6D"/>
    <w:rsid w:val="00286D7E"/>
    <w:rsid w:val="00286F98"/>
    <w:rsid w:val="00287027"/>
    <w:rsid w:val="00287079"/>
    <w:rsid w:val="00287306"/>
    <w:rsid w:val="00287368"/>
    <w:rsid w:val="002873C3"/>
    <w:rsid w:val="0028744F"/>
    <w:rsid w:val="002874E0"/>
    <w:rsid w:val="00287544"/>
    <w:rsid w:val="0028778F"/>
    <w:rsid w:val="00287860"/>
    <w:rsid w:val="002878B0"/>
    <w:rsid w:val="002879B6"/>
    <w:rsid w:val="00287A5F"/>
    <w:rsid w:val="00287C83"/>
    <w:rsid w:val="00287FB1"/>
    <w:rsid w:val="00290661"/>
    <w:rsid w:val="00290708"/>
    <w:rsid w:val="00290797"/>
    <w:rsid w:val="00290D83"/>
    <w:rsid w:val="00290DB0"/>
    <w:rsid w:val="00290F57"/>
    <w:rsid w:val="00290F86"/>
    <w:rsid w:val="0029117A"/>
    <w:rsid w:val="002912B5"/>
    <w:rsid w:val="0029182E"/>
    <w:rsid w:val="002919D6"/>
    <w:rsid w:val="00291C99"/>
    <w:rsid w:val="00291D89"/>
    <w:rsid w:val="00291FED"/>
    <w:rsid w:val="00292070"/>
    <w:rsid w:val="00292095"/>
    <w:rsid w:val="00292383"/>
    <w:rsid w:val="0029248F"/>
    <w:rsid w:val="00292528"/>
    <w:rsid w:val="002925E5"/>
    <w:rsid w:val="00292624"/>
    <w:rsid w:val="00292958"/>
    <w:rsid w:val="0029296F"/>
    <w:rsid w:val="0029299B"/>
    <w:rsid w:val="00292B9C"/>
    <w:rsid w:val="00292BC9"/>
    <w:rsid w:val="00292CDF"/>
    <w:rsid w:val="00292D08"/>
    <w:rsid w:val="00292D2F"/>
    <w:rsid w:val="00292DAC"/>
    <w:rsid w:val="00292DD3"/>
    <w:rsid w:val="00293032"/>
    <w:rsid w:val="00293043"/>
    <w:rsid w:val="00293126"/>
    <w:rsid w:val="0029325A"/>
    <w:rsid w:val="0029325C"/>
    <w:rsid w:val="0029326C"/>
    <w:rsid w:val="002933E1"/>
    <w:rsid w:val="002937C7"/>
    <w:rsid w:val="002937D6"/>
    <w:rsid w:val="00293A64"/>
    <w:rsid w:val="00293E18"/>
    <w:rsid w:val="00293ED2"/>
    <w:rsid w:val="00293EE6"/>
    <w:rsid w:val="00293F13"/>
    <w:rsid w:val="00293F68"/>
    <w:rsid w:val="00294035"/>
    <w:rsid w:val="0029411C"/>
    <w:rsid w:val="00294434"/>
    <w:rsid w:val="002945F0"/>
    <w:rsid w:val="00294715"/>
    <w:rsid w:val="002947C0"/>
    <w:rsid w:val="00294985"/>
    <w:rsid w:val="00294EDC"/>
    <w:rsid w:val="00294FE1"/>
    <w:rsid w:val="002950DC"/>
    <w:rsid w:val="0029527A"/>
    <w:rsid w:val="0029566A"/>
    <w:rsid w:val="00295806"/>
    <w:rsid w:val="002958F2"/>
    <w:rsid w:val="00295937"/>
    <w:rsid w:val="00295950"/>
    <w:rsid w:val="00295A3C"/>
    <w:rsid w:val="00295C6C"/>
    <w:rsid w:val="00295C86"/>
    <w:rsid w:val="00295DC1"/>
    <w:rsid w:val="00296055"/>
    <w:rsid w:val="0029610C"/>
    <w:rsid w:val="00296218"/>
    <w:rsid w:val="0029630D"/>
    <w:rsid w:val="00296347"/>
    <w:rsid w:val="002964CC"/>
    <w:rsid w:val="00296A64"/>
    <w:rsid w:val="00296B43"/>
    <w:rsid w:val="00296CE3"/>
    <w:rsid w:val="00296D6E"/>
    <w:rsid w:val="002970F7"/>
    <w:rsid w:val="002972A1"/>
    <w:rsid w:val="002977FF"/>
    <w:rsid w:val="00297DDF"/>
    <w:rsid w:val="00297E56"/>
    <w:rsid w:val="002A0275"/>
    <w:rsid w:val="002A0376"/>
    <w:rsid w:val="002A040C"/>
    <w:rsid w:val="002A05E3"/>
    <w:rsid w:val="002A0615"/>
    <w:rsid w:val="002A07C5"/>
    <w:rsid w:val="002A098B"/>
    <w:rsid w:val="002A10D5"/>
    <w:rsid w:val="002A10DB"/>
    <w:rsid w:val="002A1103"/>
    <w:rsid w:val="002A1334"/>
    <w:rsid w:val="002A1409"/>
    <w:rsid w:val="002A1547"/>
    <w:rsid w:val="002A17E8"/>
    <w:rsid w:val="002A18D2"/>
    <w:rsid w:val="002A1ADC"/>
    <w:rsid w:val="002A1D9D"/>
    <w:rsid w:val="002A1DCC"/>
    <w:rsid w:val="002A1DF0"/>
    <w:rsid w:val="002A1F65"/>
    <w:rsid w:val="002A21EB"/>
    <w:rsid w:val="002A2288"/>
    <w:rsid w:val="002A2537"/>
    <w:rsid w:val="002A25DA"/>
    <w:rsid w:val="002A2725"/>
    <w:rsid w:val="002A2762"/>
    <w:rsid w:val="002A2816"/>
    <w:rsid w:val="002A2A28"/>
    <w:rsid w:val="002A2C67"/>
    <w:rsid w:val="002A306C"/>
    <w:rsid w:val="002A3414"/>
    <w:rsid w:val="002A3474"/>
    <w:rsid w:val="002A3561"/>
    <w:rsid w:val="002A35BC"/>
    <w:rsid w:val="002A365E"/>
    <w:rsid w:val="002A3816"/>
    <w:rsid w:val="002A3AB0"/>
    <w:rsid w:val="002A41BC"/>
    <w:rsid w:val="002A41F2"/>
    <w:rsid w:val="002A451B"/>
    <w:rsid w:val="002A469F"/>
    <w:rsid w:val="002A4973"/>
    <w:rsid w:val="002A4983"/>
    <w:rsid w:val="002A49AB"/>
    <w:rsid w:val="002A4AE8"/>
    <w:rsid w:val="002A4BA9"/>
    <w:rsid w:val="002A4BEB"/>
    <w:rsid w:val="002A4C13"/>
    <w:rsid w:val="002A4D10"/>
    <w:rsid w:val="002A4EC1"/>
    <w:rsid w:val="002A52B3"/>
    <w:rsid w:val="002A53FF"/>
    <w:rsid w:val="002A55D8"/>
    <w:rsid w:val="002A56D2"/>
    <w:rsid w:val="002A57F2"/>
    <w:rsid w:val="002A5A2F"/>
    <w:rsid w:val="002A5BE5"/>
    <w:rsid w:val="002A5C61"/>
    <w:rsid w:val="002A5D89"/>
    <w:rsid w:val="002A5EB1"/>
    <w:rsid w:val="002A5F95"/>
    <w:rsid w:val="002A6062"/>
    <w:rsid w:val="002A63BE"/>
    <w:rsid w:val="002A6415"/>
    <w:rsid w:val="002A6627"/>
    <w:rsid w:val="002A66E9"/>
    <w:rsid w:val="002A6772"/>
    <w:rsid w:val="002A6789"/>
    <w:rsid w:val="002A6960"/>
    <w:rsid w:val="002A6AE6"/>
    <w:rsid w:val="002A6D7C"/>
    <w:rsid w:val="002A6D99"/>
    <w:rsid w:val="002A6E37"/>
    <w:rsid w:val="002A6FED"/>
    <w:rsid w:val="002A70F9"/>
    <w:rsid w:val="002A72BA"/>
    <w:rsid w:val="002A72DD"/>
    <w:rsid w:val="002A754D"/>
    <w:rsid w:val="002A7833"/>
    <w:rsid w:val="002A7A2A"/>
    <w:rsid w:val="002A7BB3"/>
    <w:rsid w:val="002A7E15"/>
    <w:rsid w:val="002B0015"/>
    <w:rsid w:val="002B0101"/>
    <w:rsid w:val="002B01FA"/>
    <w:rsid w:val="002B0443"/>
    <w:rsid w:val="002B049B"/>
    <w:rsid w:val="002B05EF"/>
    <w:rsid w:val="002B09A9"/>
    <w:rsid w:val="002B0C4C"/>
    <w:rsid w:val="002B0E3D"/>
    <w:rsid w:val="002B0E4C"/>
    <w:rsid w:val="002B1375"/>
    <w:rsid w:val="002B16F7"/>
    <w:rsid w:val="002B1757"/>
    <w:rsid w:val="002B19AD"/>
    <w:rsid w:val="002B21FA"/>
    <w:rsid w:val="002B23D2"/>
    <w:rsid w:val="002B24DA"/>
    <w:rsid w:val="002B263C"/>
    <w:rsid w:val="002B266E"/>
    <w:rsid w:val="002B2691"/>
    <w:rsid w:val="002B28BF"/>
    <w:rsid w:val="002B2B6B"/>
    <w:rsid w:val="002B2E62"/>
    <w:rsid w:val="002B2F2A"/>
    <w:rsid w:val="002B2FE5"/>
    <w:rsid w:val="002B302F"/>
    <w:rsid w:val="002B308C"/>
    <w:rsid w:val="002B3356"/>
    <w:rsid w:val="002B34CC"/>
    <w:rsid w:val="002B352F"/>
    <w:rsid w:val="002B37B5"/>
    <w:rsid w:val="002B3ACD"/>
    <w:rsid w:val="002B3B62"/>
    <w:rsid w:val="002B3B9B"/>
    <w:rsid w:val="002B3C5E"/>
    <w:rsid w:val="002B3CE9"/>
    <w:rsid w:val="002B3E4B"/>
    <w:rsid w:val="002B4070"/>
    <w:rsid w:val="002B42D6"/>
    <w:rsid w:val="002B43CD"/>
    <w:rsid w:val="002B45C7"/>
    <w:rsid w:val="002B461F"/>
    <w:rsid w:val="002B4683"/>
    <w:rsid w:val="002B479F"/>
    <w:rsid w:val="002B4A5A"/>
    <w:rsid w:val="002B4A9C"/>
    <w:rsid w:val="002B4C64"/>
    <w:rsid w:val="002B4C6B"/>
    <w:rsid w:val="002B4DC8"/>
    <w:rsid w:val="002B4FE6"/>
    <w:rsid w:val="002B560F"/>
    <w:rsid w:val="002B5841"/>
    <w:rsid w:val="002B5850"/>
    <w:rsid w:val="002B5939"/>
    <w:rsid w:val="002B59D1"/>
    <w:rsid w:val="002B5AB3"/>
    <w:rsid w:val="002B5E10"/>
    <w:rsid w:val="002B5F6E"/>
    <w:rsid w:val="002B5F74"/>
    <w:rsid w:val="002B6347"/>
    <w:rsid w:val="002B63B5"/>
    <w:rsid w:val="002B64F3"/>
    <w:rsid w:val="002B6541"/>
    <w:rsid w:val="002B6652"/>
    <w:rsid w:val="002B66D6"/>
    <w:rsid w:val="002B6959"/>
    <w:rsid w:val="002B6A3B"/>
    <w:rsid w:val="002B6C11"/>
    <w:rsid w:val="002B6C38"/>
    <w:rsid w:val="002B6D15"/>
    <w:rsid w:val="002B6EC3"/>
    <w:rsid w:val="002B6F9B"/>
    <w:rsid w:val="002B74AA"/>
    <w:rsid w:val="002B76FA"/>
    <w:rsid w:val="002B793B"/>
    <w:rsid w:val="002B7A09"/>
    <w:rsid w:val="002B7D5E"/>
    <w:rsid w:val="002C0064"/>
    <w:rsid w:val="002C0218"/>
    <w:rsid w:val="002C0376"/>
    <w:rsid w:val="002C03AB"/>
    <w:rsid w:val="002C05EF"/>
    <w:rsid w:val="002C064D"/>
    <w:rsid w:val="002C0704"/>
    <w:rsid w:val="002C07AB"/>
    <w:rsid w:val="002C08BC"/>
    <w:rsid w:val="002C0C8A"/>
    <w:rsid w:val="002C0E78"/>
    <w:rsid w:val="002C0F2D"/>
    <w:rsid w:val="002C0FC8"/>
    <w:rsid w:val="002C106A"/>
    <w:rsid w:val="002C169F"/>
    <w:rsid w:val="002C175B"/>
    <w:rsid w:val="002C1837"/>
    <w:rsid w:val="002C1B73"/>
    <w:rsid w:val="002C1BE4"/>
    <w:rsid w:val="002C1DF4"/>
    <w:rsid w:val="002C21E3"/>
    <w:rsid w:val="002C2201"/>
    <w:rsid w:val="002C246F"/>
    <w:rsid w:val="002C24AE"/>
    <w:rsid w:val="002C2593"/>
    <w:rsid w:val="002C25E1"/>
    <w:rsid w:val="002C290F"/>
    <w:rsid w:val="002C2BBE"/>
    <w:rsid w:val="002C2D1B"/>
    <w:rsid w:val="002C3035"/>
    <w:rsid w:val="002C3095"/>
    <w:rsid w:val="002C30CA"/>
    <w:rsid w:val="002C339E"/>
    <w:rsid w:val="002C35EB"/>
    <w:rsid w:val="002C375C"/>
    <w:rsid w:val="002C3801"/>
    <w:rsid w:val="002C38DE"/>
    <w:rsid w:val="002C391F"/>
    <w:rsid w:val="002C3978"/>
    <w:rsid w:val="002C3A75"/>
    <w:rsid w:val="002C3A91"/>
    <w:rsid w:val="002C3D39"/>
    <w:rsid w:val="002C3E8D"/>
    <w:rsid w:val="002C3FB9"/>
    <w:rsid w:val="002C40CC"/>
    <w:rsid w:val="002C40FA"/>
    <w:rsid w:val="002C417C"/>
    <w:rsid w:val="002C41C9"/>
    <w:rsid w:val="002C447A"/>
    <w:rsid w:val="002C4600"/>
    <w:rsid w:val="002C46A6"/>
    <w:rsid w:val="002C49D5"/>
    <w:rsid w:val="002C4B03"/>
    <w:rsid w:val="002C4B15"/>
    <w:rsid w:val="002C4B3E"/>
    <w:rsid w:val="002C4C80"/>
    <w:rsid w:val="002C4E25"/>
    <w:rsid w:val="002C4E7B"/>
    <w:rsid w:val="002C4F8B"/>
    <w:rsid w:val="002C5200"/>
    <w:rsid w:val="002C53A6"/>
    <w:rsid w:val="002C54CE"/>
    <w:rsid w:val="002C5925"/>
    <w:rsid w:val="002C5AB4"/>
    <w:rsid w:val="002C5B83"/>
    <w:rsid w:val="002C5D99"/>
    <w:rsid w:val="002C5F49"/>
    <w:rsid w:val="002C5FE8"/>
    <w:rsid w:val="002C6018"/>
    <w:rsid w:val="002C62A5"/>
    <w:rsid w:val="002C62FA"/>
    <w:rsid w:val="002C66BA"/>
    <w:rsid w:val="002C66C7"/>
    <w:rsid w:val="002C67DC"/>
    <w:rsid w:val="002C6A33"/>
    <w:rsid w:val="002C6C3E"/>
    <w:rsid w:val="002C6F4F"/>
    <w:rsid w:val="002C70BA"/>
    <w:rsid w:val="002C70C3"/>
    <w:rsid w:val="002C7118"/>
    <w:rsid w:val="002C72BA"/>
    <w:rsid w:val="002C7514"/>
    <w:rsid w:val="002C7662"/>
    <w:rsid w:val="002C7917"/>
    <w:rsid w:val="002C7A6E"/>
    <w:rsid w:val="002C7B88"/>
    <w:rsid w:val="002C7D4C"/>
    <w:rsid w:val="002C7E0E"/>
    <w:rsid w:val="002C7EA6"/>
    <w:rsid w:val="002C7F08"/>
    <w:rsid w:val="002C7FAF"/>
    <w:rsid w:val="002D0642"/>
    <w:rsid w:val="002D0701"/>
    <w:rsid w:val="002D094E"/>
    <w:rsid w:val="002D0A23"/>
    <w:rsid w:val="002D0E00"/>
    <w:rsid w:val="002D0ED8"/>
    <w:rsid w:val="002D1011"/>
    <w:rsid w:val="002D138E"/>
    <w:rsid w:val="002D1407"/>
    <w:rsid w:val="002D16FC"/>
    <w:rsid w:val="002D17A6"/>
    <w:rsid w:val="002D17FF"/>
    <w:rsid w:val="002D18BB"/>
    <w:rsid w:val="002D19A9"/>
    <w:rsid w:val="002D1AF2"/>
    <w:rsid w:val="002D1BC8"/>
    <w:rsid w:val="002D202D"/>
    <w:rsid w:val="002D21F0"/>
    <w:rsid w:val="002D225F"/>
    <w:rsid w:val="002D24A5"/>
    <w:rsid w:val="002D24A7"/>
    <w:rsid w:val="002D2566"/>
    <w:rsid w:val="002D270F"/>
    <w:rsid w:val="002D28C4"/>
    <w:rsid w:val="002D2986"/>
    <w:rsid w:val="002D299D"/>
    <w:rsid w:val="002D2D73"/>
    <w:rsid w:val="002D2E3E"/>
    <w:rsid w:val="002D2F2D"/>
    <w:rsid w:val="002D3150"/>
    <w:rsid w:val="002D32B2"/>
    <w:rsid w:val="002D363E"/>
    <w:rsid w:val="002D367E"/>
    <w:rsid w:val="002D37D2"/>
    <w:rsid w:val="002D3A8E"/>
    <w:rsid w:val="002D3B97"/>
    <w:rsid w:val="002D4115"/>
    <w:rsid w:val="002D413E"/>
    <w:rsid w:val="002D421F"/>
    <w:rsid w:val="002D4612"/>
    <w:rsid w:val="002D46F0"/>
    <w:rsid w:val="002D4CC8"/>
    <w:rsid w:val="002D4DFF"/>
    <w:rsid w:val="002D509F"/>
    <w:rsid w:val="002D56CF"/>
    <w:rsid w:val="002D5796"/>
    <w:rsid w:val="002D5ABF"/>
    <w:rsid w:val="002D5F6A"/>
    <w:rsid w:val="002D6023"/>
    <w:rsid w:val="002D6370"/>
    <w:rsid w:val="002D63C7"/>
    <w:rsid w:val="002D6854"/>
    <w:rsid w:val="002D6CA5"/>
    <w:rsid w:val="002D6D57"/>
    <w:rsid w:val="002D6E40"/>
    <w:rsid w:val="002D6E43"/>
    <w:rsid w:val="002D6FD4"/>
    <w:rsid w:val="002D7208"/>
    <w:rsid w:val="002D744C"/>
    <w:rsid w:val="002D762D"/>
    <w:rsid w:val="002D76BC"/>
    <w:rsid w:val="002D771C"/>
    <w:rsid w:val="002D790D"/>
    <w:rsid w:val="002D795F"/>
    <w:rsid w:val="002D7A75"/>
    <w:rsid w:val="002D7B2D"/>
    <w:rsid w:val="002D7B75"/>
    <w:rsid w:val="002E0068"/>
    <w:rsid w:val="002E00D4"/>
    <w:rsid w:val="002E0205"/>
    <w:rsid w:val="002E035A"/>
    <w:rsid w:val="002E043E"/>
    <w:rsid w:val="002E0471"/>
    <w:rsid w:val="002E0599"/>
    <w:rsid w:val="002E072C"/>
    <w:rsid w:val="002E092E"/>
    <w:rsid w:val="002E09E0"/>
    <w:rsid w:val="002E0C6D"/>
    <w:rsid w:val="002E0E5E"/>
    <w:rsid w:val="002E0F3B"/>
    <w:rsid w:val="002E109D"/>
    <w:rsid w:val="002E10A8"/>
    <w:rsid w:val="002E1594"/>
    <w:rsid w:val="002E15D4"/>
    <w:rsid w:val="002E15FB"/>
    <w:rsid w:val="002E18BC"/>
    <w:rsid w:val="002E1978"/>
    <w:rsid w:val="002E1B59"/>
    <w:rsid w:val="002E1DC8"/>
    <w:rsid w:val="002E1EDE"/>
    <w:rsid w:val="002E2091"/>
    <w:rsid w:val="002E21BD"/>
    <w:rsid w:val="002E24F0"/>
    <w:rsid w:val="002E2595"/>
    <w:rsid w:val="002E2710"/>
    <w:rsid w:val="002E276B"/>
    <w:rsid w:val="002E2788"/>
    <w:rsid w:val="002E2900"/>
    <w:rsid w:val="002E290B"/>
    <w:rsid w:val="002E2973"/>
    <w:rsid w:val="002E2B04"/>
    <w:rsid w:val="002E2B1D"/>
    <w:rsid w:val="002E2C34"/>
    <w:rsid w:val="002E2DC4"/>
    <w:rsid w:val="002E3187"/>
    <w:rsid w:val="002E32F1"/>
    <w:rsid w:val="002E3345"/>
    <w:rsid w:val="002E3367"/>
    <w:rsid w:val="002E34EC"/>
    <w:rsid w:val="002E36A3"/>
    <w:rsid w:val="002E372D"/>
    <w:rsid w:val="002E3876"/>
    <w:rsid w:val="002E38BF"/>
    <w:rsid w:val="002E3AAB"/>
    <w:rsid w:val="002E3B9E"/>
    <w:rsid w:val="002E3EEE"/>
    <w:rsid w:val="002E40E3"/>
    <w:rsid w:val="002E41FD"/>
    <w:rsid w:val="002E422E"/>
    <w:rsid w:val="002E456D"/>
    <w:rsid w:val="002E4618"/>
    <w:rsid w:val="002E4696"/>
    <w:rsid w:val="002E4A49"/>
    <w:rsid w:val="002E4C71"/>
    <w:rsid w:val="002E4E23"/>
    <w:rsid w:val="002E4E25"/>
    <w:rsid w:val="002E4F67"/>
    <w:rsid w:val="002E5016"/>
    <w:rsid w:val="002E5019"/>
    <w:rsid w:val="002E5047"/>
    <w:rsid w:val="002E5837"/>
    <w:rsid w:val="002E59A3"/>
    <w:rsid w:val="002E5AAD"/>
    <w:rsid w:val="002E5AFF"/>
    <w:rsid w:val="002E5BA9"/>
    <w:rsid w:val="002E5C16"/>
    <w:rsid w:val="002E5C65"/>
    <w:rsid w:val="002E5E78"/>
    <w:rsid w:val="002E5F30"/>
    <w:rsid w:val="002E60F3"/>
    <w:rsid w:val="002E61E3"/>
    <w:rsid w:val="002E63EF"/>
    <w:rsid w:val="002E6471"/>
    <w:rsid w:val="002E64F1"/>
    <w:rsid w:val="002E6608"/>
    <w:rsid w:val="002E66F9"/>
    <w:rsid w:val="002E69D6"/>
    <w:rsid w:val="002E6C21"/>
    <w:rsid w:val="002E6D5D"/>
    <w:rsid w:val="002E6D64"/>
    <w:rsid w:val="002E6E7A"/>
    <w:rsid w:val="002E6EA7"/>
    <w:rsid w:val="002E712E"/>
    <w:rsid w:val="002E725B"/>
    <w:rsid w:val="002E7458"/>
    <w:rsid w:val="002E76C2"/>
    <w:rsid w:val="002E7729"/>
    <w:rsid w:val="002E785A"/>
    <w:rsid w:val="002E791B"/>
    <w:rsid w:val="002E7948"/>
    <w:rsid w:val="002E796B"/>
    <w:rsid w:val="002E7AA6"/>
    <w:rsid w:val="002E7C76"/>
    <w:rsid w:val="002E7E55"/>
    <w:rsid w:val="002F0512"/>
    <w:rsid w:val="002F0629"/>
    <w:rsid w:val="002F07E1"/>
    <w:rsid w:val="002F095F"/>
    <w:rsid w:val="002F0BCB"/>
    <w:rsid w:val="002F0BDD"/>
    <w:rsid w:val="002F0D18"/>
    <w:rsid w:val="002F0FF8"/>
    <w:rsid w:val="002F11EE"/>
    <w:rsid w:val="002F12EA"/>
    <w:rsid w:val="002F16C0"/>
    <w:rsid w:val="002F17F0"/>
    <w:rsid w:val="002F1814"/>
    <w:rsid w:val="002F1A72"/>
    <w:rsid w:val="002F1EE4"/>
    <w:rsid w:val="002F204D"/>
    <w:rsid w:val="002F211F"/>
    <w:rsid w:val="002F2181"/>
    <w:rsid w:val="002F218C"/>
    <w:rsid w:val="002F2241"/>
    <w:rsid w:val="002F2481"/>
    <w:rsid w:val="002F25CF"/>
    <w:rsid w:val="002F2737"/>
    <w:rsid w:val="002F29BF"/>
    <w:rsid w:val="002F29F6"/>
    <w:rsid w:val="002F2AE5"/>
    <w:rsid w:val="002F2B57"/>
    <w:rsid w:val="002F2EC4"/>
    <w:rsid w:val="002F2F57"/>
    <w:rsid w:val="002F2FFF"/>
    <w:rsid w:val="002F3382"/>
    <w:rsid w:val="002F37FF"/>
    <w:rsid w:val="002F380E"/>
    <w:rsid w:val="002F385C"/>
    <w:rsid w:val="002F38B1"/>
    <w:rsid w:val="002F3AB3"/>
    <w:rsid w:val="002F3E9E"/>
    <w:rsid w:val="002F3F5A"/>
    <w:rsid w:val="002F4312"/>
    <w:rsid w:val="002F4769"/>
    <w:rsid w:val="002F4803"/>
    <w:rsid w:val="002F4894"/>
    <w:rsid w:val="002F4B18"/>
    <w:rsid w:val="002F4B46"/>
    <w:rsid w:val="002F4CDD"/>
    <w:rsid w:val="002F4CFA"/>
    <w:rsid w:val="002F4D38"/>
    <w:rsid w:val="002F4DA5"/>
    <w:rsid w:val="002F4EE3"/>
    <w:rsid w:val="002F5396"/>
    <w:rsid w:val="002F53E8"/>
    <w:rsid w:val="002F5453"/>
    <w:rsid w:val="002F56C2"/>
    <w:rsid w:val="002F5709"/>
    <w:rsid w:val="002F5831"/>
    <w:rsid w:val="002F58A8"/>
    <w:rsid w:val="002F5A16"/>
    <w:rsid w:val="002F5C11"/>
    <w:rsid w:val="002F5EBA"/>
    <w:rsid w:val="002F6140"/>
    <w:rsid w:val="002F6386"/>
    <w:rsid w:val="002F64C5"/>
    <w:rsid w:val="002F685F"/>
    <w:rsid w:val="002F687B"/>
    <w:rsid w:val="002F69DD"/>
    <w:rsid w:val="002F6BCD"/>
    <w:rsid w:val="002F6D46"/>
    <w:rsid w:val="002F6EE9"/>
    <w:rsid w:val="002F6FD5"/>
    <w:rsid w:val="002F730C"/>
    <w:rsid w:val="002F7428"/>
    <w:rsid w:val="002F76FC"/>
    <w:rsid w:val="002F78C6"/>
    <w:rsid w:val="002F7CF5"/>
    <w:rsid w:val="002F7ED3"/>
    <w:rsid w:val="002F7FB1"/>
    <w:rsid w:val="003002C4"/>
    <w:rsid w:val="00300344"/>
    <w:rsid w:val="00300671"/>
    <w:rsid w:val="00300AEF"/>
    <w:rsid w:val="00300AFD"/>
    <w:rsid w:val="00300BB8"/>
    <w:rsid w:val="00300BD3"/>
    <w:rsid w:val="00300F2E"/>
    <w:rsid w:val="0030104A"/>
    <w:rsid w:val="00301115"/>
    <w:rsid w:val="003011AE"/>
    <w:rsid w:val="00301263"/>
    <w:rsid w:val="00301367"/>
    <w:rsid w:val="00301509"/>
    <w:rsid w:val="0030162C"/>
    <w:rsid w:val="003016CE"/>
    <w:rsid w:val="0030185C"/>
    <w:rsid w:val="00301CDA"/>
    <w:rsid w:val="00301D7E"/>
    <w:rsid w:val="00301E45"/>
    <w:rsid w:val="00301FF9"/>
    <w:rsid w:val="003020C5"/>
    <w:rsid w:val="00302109"/>
    <w:rsid w:val="0030228C"/>
    <w:rsid w:val="00302438"/>
    <w:rsid w:val="00302637"/>
    <w:rsid w:val="00302653"/>
    <w:rsid w:val="00302894"/>
    <w:rsid w:val="003028A9"/>
    <w:rsid w:val="00302971"/>
    <w:rsid w:val="00302B90"/>
    <w:rsid w:val="00302E18"/>
    <w:rsid w:val="00302EB0"/>
    <w:rsid w:val="0030305A"/>
    <w:rsid w:val="0030319E"/>
    <w:rsid w:val="003032FB"/>
    <w:rsid w:val="0030339B"/>
    <w:rsid w:val="003035D0"/>
    <w:rsid w:val="00303730"/>
    <w:rsid w:val="003039C9"/>
    <w:rsid w:val="00303B56"/>
    <w:rsid w:val="00303CCC"/>
    <w:rsid w:val="00303F19"/>
    <w:rsid w:val="00304162"/>
    <w:rsid w:val="003041C4"/>
    <w:rsid w:val="00304207"/>
    <w:rsid w:val="00304300"/>
    <w:rsid w:val="003043CF"/>
    <w:rsid w:val="003045CC"/>
    <w:rsid w:val="00304602"/>
    <w:rsid w:val="00304A65"/>
    <w:rsid w:val="00304B7F"/>
    <w:rsid w:val="00304D85"/>
    <w:rsid w:val="00304E72"/>
    <w:rsid w:val="0030501A"/>
    <w:rsid w:val="003050AE"/>
    <w:rsid w:val="00305357"/>
    <w:rsid w:val="0030541B"/>
    <w:rsid w:val="003054FA"/>
    <w:rsid w:val="00305542"/>
    <w:rsid w:val="00305710"/>
    <w:rsid w:val="0030578F"/>
    <w:rsid w:val="00305830"/>
    <w:rsid w:val="00305A06"/>
    <w:rsid w:val="00305CCA"/>
    <w:rsid w:val="003062E3"/>
    <w:rsid w:val="0030659A"/>
    <w:rsid w:val="003066A1"/>
    <w:rsid w:val="003066BB"/>
    <w:rsid w:val="0030694A"/>
    <w:rsid w:val="00306AC6"/>
    <w:rsid w:val="00306B89"/>
    <w:rsid w:val="00306C3E"/>
    <w:rsid w:val="00306F42"/>
    <w:rsid w:val="00307056"/>
    <w:rsid w:val="00307059"/>
    <w:rsid w:val="00307178"/>
    <w:rsid w:val="00307444"/>
    <w:rsid w:val="0030751F"/>
    <w:rsid w:val="003075CD"/>
    <w:rsid w:val="00307744"/>
    <w:rsid w:val="003078FC"/>
    <w:rsid w:val="0030790B"/>
    <w:rsid w:val="00307AC5"/>
    <w:rsid w:val="00307ACE"/>
    <w:rsid w:val="00307D5B"/>
    <w:rsid w:val="00307EE6"/>
    <w:rsid w:val="003100DE"/>
    <w:rsid w:val="00310792"/>
    <w:rsid w:val="00310896"/>
    <w:rsid w:val="00310923"/>
    <w:rsid w:val="00310A35"/>
    <w:rsid w:val="00310C4F"/>
    <w:rsid w:val="00310C56"/>
    <w:rsid w:val="00310D2F"/>
    <w:rsid w:val="00310D5C"/>
    <w:rsid w:val="00311206"/>
    <w:rsid w:val="003114EA"/>
    <w:rsid w:val="003116A5"/>
    <w:rsid w:val="003117BB"/>
    <w:rsid w:val="00311800"/>
    <w:rsid w:val="00311AF9"/>
    <w:rsid w:val="00311C5A"/>
    <w:rsid w:val="00311CE3"/>
    <w:rsid w:val="00311FD8"/>
    <w:rsid w:val="00312069"/>
    <w:rsid w:val="003120AD"/>
    <w:rsid w:val="003121AC"/>
    <w:rsid w:val="0031233E"/>
    <w:rsid w:val="0031246D"/>
    <w:rsid w:val="003124E7"/>
    <w:rsid w:val="00312727"/>
    <w:rsid w:val="0031295D"/>
    <w:rsid w:val="00312A2D"/>
    <w:rsid w:val="00312D16"/>
    <w:rsid w:val="00313100"/>
    <w:rsid w:val="0031318C"/>
    <w:rsid w:val="003133D5"/>
    <w:rsid w:val="003137C5"/>
    <w:rsid w:val="00313948"/>
    <w:rsid w:val="00313BE4"/>
    <w:rsid w:val="00313C06"/>
    <w:rsid w:val="003141C9"/>
    <w:rsid w:val="00314408"/>
    <w:rsid w:val="003145DC"/>
    <w:rsid w:val="003146B0"/>
    <w:rsid w:val="0031493C"/>
    <w:rsid w:val="0031494B"/>
    <w:rsid w:val="00314C08"/>
    <w:rsid w:val="00314CAF"/>
    <w:rsid w:val="00314DBE"/>
    <w:rsid w:val="00314E8B"/>
    <w:rsid w:val="00314F04"/>
    <w:rsid w:val="00315257"/>
    <w:rsid w:val="00315760"/>
    <w:rsid w:val="003157CD"/>
    <w:rsid w:val="0031591E"/>
    <w:rsid w:val="00315AE5"/>
    <w:rsid w:val="00315CE8"/>
    <w:rsid w:val="00315D52"/>
    <w:rsid w:val="00315E35"/>
    <w:rsid w:val="00315E64"/>
    <w:rsid w:val="003160A5"/>
    <w:rsid w:val="003161C8"/>
    <w:rsid w:val="0031629C"/>
    <w:rsid w:val="0031657F"/>
    <w:rsid w:val="0031697F"/>
    <w:rsid w:val="00316A30"/>
    <w:rsid w:val="00316BB9"/>
    <w:rsid w:val="00316C25"/>
    <w:rsid w:val="00316DD4"/>
    <w:rsid w:val="00317034"/>
    <w:rsid w:val="0031727D"/>
    <w:rsid w:val="00317360"/>
    <w:rsid w:val="00317523"/>
    <w:rsid w:val="00317AF1"/>
    <w:rsid w:val="00317B20"/>
    <w:rsid w:val="00317C0C"/>
    <w:rsid w:val="00317D1D"/>
    <w:rsid w:val="00317DAE"/>
    <w:rsid w:val="00317FC4"/>
    <w:rsid w:val="00320031"/>
    <w:rsid w:val="003202A9"/>
    <w:rsid w:val="00320460"/>
    <w:rsid w:val="0032060C"/>
    <w:rsid w:val="0032084E"/>
    <w:rsid w:val="00320868"/>
    <w:rsid w:val="0032096B"/>
    <w:rsid w:val="00320AE2"/>
    <w:rsid w:val="00320DB8"/>
    <w:rsid w:val="00321039"/>
    <w:rsid w:val="0032105A"/>
    <w:rsid w:val="0032119E"/>
    <w:rsid w:val="0032131A"/>
    <w:rsid w:val="00321570"/>
    <w:rsid w:val="003217EF"/>
    <w:rsid w:val="00321862"/>
    <w:rsid w:val="00321A21"/>
    <w:rsid w:val="00321AD5"/>
    <w:rsid w:val="00321C97"/>
    <w:rsid w:val="00321EF1"/>
    <w:rsid w:val="00321F80"/>
    <w:rsid w:val="00322047"/>
    <w:rsid w:val="003221EF"/>
    <w:rsid w:val="00322258"/>
    <w:rsid w:val="003222CA"/>
    <w:rsid w:val="003222D3"/>
    <w:rsid w:val="00322412"/>
    <w:rsid w:val="003224DB"/>
    <w:rsid w:val="00322626"/>
    <w:rsid w:val="00322856"/>
    <w:rsid w:val="00322CB6"/>
    <w:rsid w:val="00322D01"/>
    <w:rsid w:val="00323012"/>
    <w:rsid w:val="00323170"/>
    <w:rsid w:val="0032322C"/>
    <w:rsid w:val="00323252"/>
    <w:rsid w:val="00323313"/>
    <w:rsid w:val="003233A7"/>
    <w:rsid w:val="003233F1"/>
    <w:rsid w:val="003235D0"/>
    <w:rsid w:val="003236B9"/>
    <w:rsid w:val="00323AC5"/>
    <w:rsid w:val="00323B9C"/>
    <w:rsid w:val="00323B9E"/>
    <w:rsid w:val="00323C64"/>
    <w:rsid w:val="00323E9C"/>
    <w:rsid w:val="0032400A"/>
    <w:rsid w:val="00324490"/>
    <w:rsid w:val="00324499"/>
    <w:rsid w:val="003244F7"/>
    <w:rsid w:val="00324762"/>
    <w:rsid w:val="003247F5"/>
    <w:rsid w:val="00324891"/>
    <w:rsid w:val="00324E0A"/>
    <w:rsid w:val="00324E3D"/>
    <w:rsid w:val="00324E82"/>
    <w:rsid w:val="00325027"/>
    <w:rsid w:val="00325103"/>
    <w:rsid w:val="00325179"/>
    <w:rsid w:val="0032525D"/>
    <w:rsid w:val="003252FE"/>
    <w:rsid w:val="003255C5"/>
    <w:rsid w:val="003257A1"/>
    <w:rsid w:val="0032592B"/>
    <w:rsid w:val="003259BE"/>
    <w:rsid w:val="00325C1A"/>
    <w:rsid w:val="00325E0C"/>
    <w:rsid w:val="00325E77"/>
    <w:rsid w:val="00325E98"/>
    <w:rsid w:val="003260B4"/>
    <w:rsid w:val="00326271"/>
    <w:rsid w:val="0032643E"/>
    <w:rsid w:val="00326723"/>
    <w:rsid w:val="003269AB"/>
    <w:rsid w:val="00326C29"/>
    <w:rsid w:val="00326C7A"/>
    <w:rsid w:val="00326F06"/>
    <w:rsid w:val="003270E4"/>
    <w:rsid w:val="0032724B"/>
    <w:rsid w:val="003272EE"/>
    <w:rsid w:val="00327498"/>
    <w:rsid w:val="003274FD"/>
    <w:rsid w:val="003275E7"/>
    <w:rsid w:val="0032769C"/>
    <w:rsid w:val="0032771D"/>
    <w:rsid w:val="00327C7C"/>
    <w:rsid w:val="00327FA2"/>
    <w:rsid w:val="003300E2"/>
    <w:rsid w:val="00330172"/>
    <w:rsid w:val="003302D4"/>
    <w:rsid w:val="003303CC"/>
    <w:rsid w:val="003304D3"/>
    <w:rsid w:val="003305AE"/>
    <w:rsid w:val="00330686"/>
    <w:rsid w:val="00330940"/>
    <w:rsid w:val="00330960"/>
    <w:rsid w:val="00330C22"/>
    <w:rsid w:val="00330D47"/>
    <w:rsid w:val="00330D65"/>
    <w:rsid w:val="00330D8B"/>
    <w:rsid w:val="00330E1A"/>
    <w:rsid w:val="00330E85"/>
    <w:rsid w:val="00331045"/>
    <w:rsid w:val="0033113E"/>
    <w:rsid w:val="00331176"/>
    <w:rsid w:val="00331335"/>
    <w:rsid w:val="0033136B"/>
    <w:rsid w:val="00331435"/>
    <w:rsid w:val="00331600"/>
    <w:rsid w:val="003317B4"/>
    <w:rsid w:val="00331B35"/>
    <w:rsid w:val="003322A0"/>
    <w:rsid w:val="003324D8"/>
    <w:rsid w:val="00332B6F"/>
    <w:rsid w:val="00332C64"/>
    <w:rsid w:val="00332E22"/>
    <w:rsid w:val="00332E94"/>
    <w:rsid w:val="00333008"/>
    <w:rsid w:val="003330DC"/>
    <w:rsid w:val="003331C2"/>
    <w:rsid w:val="003333D2"/>
    <w:rsid w:val="003337D2"/>
    <w:rsid w:val="00333958"/>
    <w:rsid w:val="003339CB"/>
    <w:rsid w:val="00333C0F"/>
    <w:rsid w:val="00333C19"/>
    <w:rsid w:val="00333C1A"/>
    <w:rsid w:val="00333CA4"/>
    <w:rsid w:val="00333E1A"/>
    <w:rsid w:val="00333F32"/>
    <w:rsid w:val="00334098"/>
    <w:rsid w:val="003341D2"/>
    <w:rsid w:val="00334244"/>
    <w:rsid w:val="003343D5"/>
    <w:rsid w:val="00334483"/>
    <w:rsid w:val="003345B9"/>
    <w:rsid w:val="00334678"/>
    <w:rsid w:val="003346A0"/>
    <w:rsid w:val="003347F8"/>
    <w:rsid w:val="0033490E"/>
    <w:rsid w:val="00334A29"/>
    <w:rsid w:val="00334A62"/>
    <w:rsid w:val="00334C3F"/>
    <w:rsid w:val="00334C7B"/>
    <w:rsid w:val="00334F69"/>
    <w:rsid w:val="0033500B"/>
    <w:rsid w:val="00335112"/>
    <w:rsid w:val="003351ED"/>
    <w:rsid w:val="0033531A"/>
    <w:rsid w:val="00335324"/>
    <w:rsid w:val="003354CD"/>
    <w:rsid w:val="003355A5"/>
    <w:rsid w:val="00335894"/>
    <w:rsid w:val="003358D1"/>
    <w:rsid w:val="00335986"/>
    <w:rsid w:val="00335AE5"/>
    <w:rsid w:val="00335C2F"/>
    <w:rsid w:val="00335C5B"/>
    <w:rsid w:val="00335DE8"/>
    <w:rsid w:val="00335EA1"/>
    <w:rsid w:val="00335EE9"/>
    <w:rsid w:val="00335F17"/>
    <w:rsid w:val="0033602A"/>
    <w:rsid w:val="003361E5"/>
    <w:rsid w:val="003362DA"/>
    <w:rsid w:val="003367CC"/>
    <w:rsid w:val="00336A2B"/>
    <w:rsid w:val="00336B07"/>
    <w:rsid w:val="00336C29"/>
    <w:rsid w:val="00336C97"/>
    <w:rsid w:val="00336D62"/>
    <w:rsid w:val="00336F0B"/>
    <w:rsid w:val="003370DC"/>
    <w:rsid w:val="00337194"/>
    <w:rsid w:val="003371D4"/>
    <w:rsid w:val="0033729B"/>
    <w:rsid w:val="003377FC"/>
    <w:rsid w:val="003378D8"/>
    <w:rsid w:val="00337BE9"/>
    <w:rsid w:val="00337E21"/>
    <w:rsid w:val="00337EA6"/>
    <w:rsid w:val="00340077"/>
    <w:rsid w:val="00340165"/>
    <w:rsid w:val="003401CB"/>
    <w:rsid w:val="0034041C"/>
    <w:rsid w:val="00340572"/>
    <w:rsid w:val="003405E8"/>
    <w:rsid w:val="0034079B"/>
    <w:rsid w:val="00340B71"/>
    <w:rsid w:val="00340DE9"/>
    <w:rsid w:val="00340E01"/>
    <w:rsid w:val="00340EAB"/>
    <w:rsid w:val="00340F02"/>
    <w:rsid w:val="00341079"/>
    <w:rsid w:val="0034113E"/>
    <w:rsid w:val="00341151"/>
    <w:rsid w:val="00341631"/>
    <w:rsid w:val="003416FE"/>
    <w:rsid w:val="00341776"/>
    <w:rsid w:val="00341AF2"/>
    <w:rsid w:val="00341BB1"/>
    <w:rsid w:val="00341CCE"/>
    <w:rsid w:val="00341CE7"/>
    <w:rsid w:val="00341D74"/>
    <w:rsid w:val="00342041"/>
    <w:rsid w:val="003424B9"/>
    <w:rsid w:val="00342592"/>
    <w:rsid w:val="003425F0"/>
    <w:rsid w:val="00342A5E"/>
    <w:rsid w:val="00342A88"/>
    <w:rsid w:val="00343005"/>
    <w:rsid w:val="0034301E"/>
    <w:rsid w:val="0034335D"/>
    <w:rsid w:val="0034338A"/>
    <w:rsid w:val="0034360E"/>
    <w:rsid w:val="0034366B"/>
    <w:rsid w:val="003436A1"/>
    <w:rsid w:val="003437A1"/>
    <w:rsid w:val="00343816"/>
    <w:rsid w:val="00343864"/>
    <w:rsid w:val="0034387A"/>
    <w:rsid w:val="0034389D"/>
    <w:rsid w:val="00343A96"/>
    <w:rsid w:val="00343D6B"/>
    <w:rsid w:val="00343E1D"/>
    <w:rsid w:val="00343F85"/>
    <w:rsid w:val="00343FE5"/>
    <w:rsid w:val="00344245"/>
    <w:rsid w:val="00344275"/>
    <w:rsid w:val="003442B9"/>
    <w:rsid w:val="00344413"/>
    <w:rsid w:val="00344690"/>
    <w:rsid w:val="003447C2"/>
    <w:rsid w:val="00344A7B"/>
    <w:rsid w:val="00344B58"/>
    <w:rsid w:val="00344FE9"/>
    <w:rsid w:val="003451B9"/>
    <w:rsid w:val="003451C9"/>
    <w:rsid w:val="003451CC"/>
    <w:rsid w:val="0034527D"/>
    <w:rsid w:val="003452A7"/>
    <w:rsid w:val="00345526"/>
    <w:rsid w:val="003455A9"/>
    <w:rsid w:val="0034563F"/>
    <w:rsid w:val="00345707"/>
    <w:rsid w:val="00345751"/>
    <w:rsid w:val="0034577E"/>
    <w:rsid w:val="00345942"/>
    <w:rsid w:val="00345DF0"/>
    <w:rsid w:val="00345EE2"/>
    <w:rsid w:val="0034637C"/>
    <w:rsid w:val="003463E3"/>
    <w:rsid w:val="00346463"/>
    <w:rsid w:val="0034662C"/>
    <w:rsid w:val="003466E0"/>
    <w:rsid w:val="00346844"/>
    <w:rsid w:val="00346927"/>
    <w:rsid w:val="00346A80"/>
    <w:rsid w:val="00346BA0"/>
    <w:rsid w:val="00346CFA"/>
    <w:rsid w:val="00346D06"/>
    <w:rsid w:val="00346D85"/>
    <w:rsid w:val="00346DBD"/>
    <w:rsid w:val="00346DE2"/>
    <w:rsid w:val="00346E13"/>
    <w:rsid w:val="00347024"/>
    <w:rsid w:val="00347416"/>
    <w:rsid w:val="00347457"/>
    <w:rsid w:val="0034770C"/>
    <w:rsid w:val="00347764"/>
    <w:rsid w:val="00347935"/>
    <w:rsid w:val="0034799A"/>
    <w:rsid w:val="00347AC8"/>
    <w:rsid w:val="00347B0E"/>
    <w:rsid w:val="00347BEF"/>
    <w:rsid w:val="00347C9D"/>
    <w:rsid w:val="00347CFF"/>
    <w:rsid w:val="00347D14"/>
    <w:rsid w:val="00347D3A"/>
    <w:rsid w:val="00350088"/>
    <w:rsid w:val="00350299"/>
    <w:rsid w:val="003506F4"/>
    <w:rsid w:val="0035078B"/>
    <w:rsid w:val="00350790"/>
    <w:rsid w:val="00350BA4"/>
    <w:rsid w:val="0035100E"/>
    <w:rsid w:val="00351196"/>
    <w:rsid w:val="00351295"/>
    <w:rsid w:val="00351317"/>
    <w:rsid w:val="003517D4"/>
    <w:rsid w:val="003517E9"/>
    <w:rsid w:val="003519B4"/>
    <w:rsid w:val="00351BF6"/>
    <w:rsid w:val="00351C8E"/>
    <w:rsid w:val="00351CE5"/>
    <w:rsid w:val="00351E13"/>
    <w:rsid w:val="00352178"/>
    <w:rsid w:val="003521DE"/>
    <w:rsid w:val="003522F9"/>
    <w:rsid w:val="00352302"/>
    <w:rsid w:val="00352460"/>
    <w:rsid w:val="003524F2"/>
    <w:rsid w:val="00352599"/>
    <w:rsid w:val="00352660"/>
    <w:rsid w:val="003526C8"/>
    <w:rsid w:val="003528B0"/>
    <w:rsid w:val="00352995"/>
    <w:rsid w:val="00352A0E"/>
    <w:rsid w:val="00352D26"/>
    <w:rsid w:val="00352E00"/>
    <w:rsid w:val="00352EE1"/>
    <w:rsid w:val="00352FE9"/>
    <w:rsid w:val="00353031"/>
    <w:rsid w:val="0035304B"/>
    <w:rsid w:val="0035325B"/>
    <w:rsid w:val="00353484"/>
    <w:rsid w:val="0035390B"/>
    <w:rsid w:val="003539AC"/>
    <w:rsid w:val="00353A99"/>
    <w:rsid w:val="00353AB2"/>
    <w:rsid w:val="00353BC8"/>
    <w:rsid w:val="00353C02"/>
    <w:rsid w:val="00353D41"/>
    <w:rsid w:val="00353E49"/>
    <w:rsid w:val="00353F0E"/>
    <w:rsid w:val="00354307"/>
    <w:rsid w:val="00354362"/>
    <w:rsid w:val="00354626"/>
    <w:rsid w:val="0035496B"/>
    <w:rsid w:val="003549C8"/>
    <w:rsid w:val="00354AE5"/>
    <w:rsid w:val="00354CFD"/>
    <w:rsid w:val="00354D24"/>
    <w:rsid w:val="00354E8B"/>
    <w:rsid w:val="00354ECD"/>
    <w:rsid w:val="0035508E"/>
    <w:rsid w:val="003550AD"/>
    <w:rsid w:val="003551E3"/>
    <w:rsid w:val="003552A9"/>
    <w:rsid w:val="003554F6"/>
    <w:rsid w:val="00355733"/>
    <w:rsid w:val="00355801"/>
    <w:rsid w:val="003558F6"/>
    <w:rsid w:val="003558FC"/>
    <w:rsid w:val="0035592C"/>
    <w:rsid w:val="003559CB"/>
    <w:rsid w:val="003559D4"/>
    <w:rsid w:val="00355B72"/>
    <w:rsid w:val="00355F28"/>
    <w:rsid w:val="00355F9E"/>
    <w:rsid w:val="00355FA2"/>
    <w:rsid w:val="00356041"/>
    <w:rsid w:val="0035614D"/>
    <w:rsid w:val="003561FE"/>
    <w:rsid w:val="0035628B"/>
    <w:rsid w:val="00356461"/>
    <w:rsid w:val="003568B0"/>
    <w:rsid w:val="003568C5"/>
    <w:rsid w:val="003569F4"/>
    <w:rsid w:val="00356A21"/>
    <w:rsid w:val="00356B78"/>
    <w:rsid w:val="00356CDC"/>
    <w:rsid w:val="00356F1B"/>
    <w:rsid w:val="0035718E"/>
    <w:rsid w:val="00357336"/>
    <w:rsid w:val="00357487"/>
    <w:rsid w:val="00357584"/>
    <w:rsid w:val="00357641"/>
    <w:rsid w:val="00357648"/>
    <w:rsid w:val="00357772"/>
    <w:rsid w:val="0035777A"/>
    <w:rsid w:val="00357CB1"/>
    <w:rsid w:val="00357D2E"/>
    <w:rsid w:val="00357D50"/>
    <w:rsid w:val="00357D84"/>
    <w:rsid w:val="00357DB0"/>
    <w:rsid w:val="00357DE7"/>
    <w:rsid w:val="00360207"/>
    <w:rsid w:val="00360227"/>
    <w:rsid w:val="00360563"/>
    <w:rsid w:val="003605A3"/>
    <w:rsid w:val="003606F2"/>
    <w:rsid w:val="00360CE7"/>
    <w:rsid w:val="00360DED"/>
    <w:rsid w:val="00361086"/>
    <w:rsid w:val="003611E5"/>
    <w:rsid w:val="003615A9"/>
    <w:rsid w:val="00361763"/>
    <w:rsid w:val="00361ADA"/>
    <w:rsid w:val="00361DA5"/>
    <w:rsid w:val="00361F1B"/>
    <w:rsid w:val="00361F86"/>
    <w:rsid w:val="00362085"/>
    <w:rsid w:val="0036239F"/>
    <w:rsid w:val="003624CB"/>
    <w:rsid w:val="00362668"/>
    <w:rsid w:val="003626A8"/>
    <w:rsid w:val="003628EA"/>
    <w:rsid w:val="003628F2"/>
    <w:rsid w:val="00362CA5"/>
    <w:rsid w:val="00362CB3"/>
    <w:rsid w:val="00362D80"/>
    <w:rsid w:val="00362E7D"/>
    <w:rsid w:val="00362EC3"/>
    <w:rsid w:val="0036302E"/>
    <w:rsid w:val="0036320F"/>
    <w:rsid w:val="003632A3"/>
    <w:rsid w:val="003632E6"/>
    <w:rsid w:val="003634A3"/>
    <w:rsid w:val="00363521"/>
    <w:rsid w:val="003637A4"/>
    <w:rsid w:val="0036389C"/>
    <w:rsid w:val="003638B4"/>
    <w:rsid w:val="00363979"/>
    <w:rsid w:val="0036397B"/>
    <w:rsid w:val="00363B71"/>
    <w:rsid w:val="00363BC3"/>
    <w:rsid w:val="00363FE1"/>
    <w:rsid w:val="003641E1"/>
    <w:rsid w:val="00364217"/>
    <w:rsid w:val="00364444"/>
    <w:rsid w:val="00364733"/>
    <w:rsid w:val="00364767"/>
    <w:rsid w:val="00364A29"/>
    <w:rsid w:val="00364C56"/>
    <w:rsid w:val="00364C7C"/>
    <w:rsid w:val="00364DF4"/>
    <w:rsid w:val="00364EEF"/>
    <w:rsid w:val="00365111"/>
    <w:rsid w:val="0036511B"/>
    <w:rsid w:val="00365183"/>
    <w:rsid w:val="003651CB"/>
    <w:rsid w:val="0036529E"/>
    <w:rsid w:val="003652B6"/>
    <w:rsid w:val="00365A74"/>
    <w:rsid w:val="00365B15"/>
    <w:rsid w:val="00365B93"/>
    <w:rsid w:val="00365BF1"/>
    <w:rsid w:val="00365EEC"/>
    <w:rsid w:val="003660BA"/>
    <w:rsid w:val="003661F9"/>
    <w:rsid w:val="00366314"/>
    <w:rsid w:val="00366542"/>
    <w:rsid w:val="003665C4"/>
    <w:rsid w:val="00366644"/>
    <w:rsid w:val="00366668"/>
    <w:rsid w:val="003666F3"/>
    <w:rsid w:val="0036675C"/>
    <w:rsid w:val="0036678F"/>
    <w:rsid w:val="00366A9F"/>
    <w:rsid w:val="00366CED"/>
    <w:rsid w:val="00366EA4"/>
    <w:rsid w:val="003676BC"/>
    <w:rsid w:val="0036783A"/>
    <w:rsid w:val="0036795A"/>
    <w:rsid w:val="003679DA"/>
    <w:rsid w:val="00367AB8"/>
    <w:rsid w:val="00367D42"/>
    <w:rsid w:val="00367F24"/>
    <w:rsid w:val="00367F3F"/>
    <w:rsid w:val="0037003A"/>
    <w:rsid w:val="003702BA"/>
    <w:rsid w:val="0037031D"/>
    <w:rsid w:val="003703A5"/>
    <w:rsid w:val="0037049D"/>
    <w:rsid w:val="003704FB"/>
    <w:rsid w:val="00370570"/>
    <w:rsid w:val="00370598"/>
    <w:rsid w:val="003705F0"/>
    <w:rsid w:val="00370621"/>
    <w:rsid w:val="00370751"/>
    <w:rsid w:val="00370860"/>
    <w:rsid w:val="00370BFD"/>
    <w:rsid w:val="00370C3C"/>
    <w:rsid w:val="00370CD8"/>
    <w:rsid w:val="00370E8E"/>
    <w:rsid w:val="0037125C"/>
    <w:rsid w:val="0037126F"/>
    <w:rsid w:val="0037139B"/>
    <w:rsid w:val="003714DB"/>
    <w:rsid w:val="00371504"/>
    <w:rsid w:val="0037154B"/>
    <w:rsid w:val="00371561"/>
    <w:rsid w:val="0037161E"/>
    <w:rsid w:val="00371814"/>
    <w:rsid w:val="00371925"/>
    <w:rsid w:val="00371983"/>
    <w:rsid w:val="00371986"/>
    <w:rsid w:val="003719C5"/>
    <w:rsid w:val="00371A6B"/>
    <w:rsid w:val="00371B94"/>
    <w:rsid w:val="00371B98"/>
    <w:rsid w:val="00371CE6"/>
    <w:rsid w:val="00371DD1"/>
    <w:rsid w:val="00371F69"/>
    <w:rsid w:val="00371FBB"/>
    <w:rsid w:val="0037206D"/>
    <w:rsid w:val="003721AC"/>
    <w:rsid w:val="0037225C"/>
    <w:rsid w:val="00372578"/>
    <w:rsid w:val="00372841"/>
    <w:rsid w:val="00372A28"/>
    <w:rsid w:val="00372C17"/>
    <w:rsid w:val="00372D7E"/>
    <w:rsid w:val="00372EC7"/>
    <w:rsid w:val="00372FBC"/>
    <w:rsid w:val="003732AA"/>
    <w:rsid w:val="003733FA"/>
    <w:rsid w:val="00373463"/>
    <w:rsid w:val="00373659"/>
    <w:rsid w:val="00373709"/>
    <w:rsid w:val="00373742"/>
    <w:rsid w:val="00373C8E"/>
    <w:rsid w:val="00373D47"/>
    <w:rsid w:val="00373D76"/>
    <w:rsid w:val="00373F92"/>
    <w:rsid w:val="00374219"/>
    <w:rsid w:val="003742D2"/>
    <w:rsid w:val="00374833"/>
    <w:rsid w:val="003748B6"/>
    <w:rsid w:val="00374CAA"/>
    <w:rsid w:val="00374CC9"/>
    <w:rsid w:val="00374E8D"/>
    <w:rsid w:val="00374EB7"/>
    <w:rsid w:val="00374EDC"/>
    <w:rsid w:val="003758D8"/>
    <w:rsid w:val="00375A05"/>
    <w:rsid w:val="00375A4C"/>
    <w:rsid w:val="00375B4F"/>
    <w:rsid w:val="00375BDD"/>
    <w:rsid w:val="00375BF8"/>
    <w:rsid w:val="00375C5D"/>
    <w:rsid w:val="0037647D"/>
    <w:rsid w:val="00376562"/>
    <w:rsid w:val="003766F5"/>
    <w:rsid w:val="0037674E"/>
    <w:rsid w:val="00376758"/>
    <w:rsid w:val="003768B8"/>
    <w:rsid w:val="00376B26"/>
    <w:rsid w:val="00376C08"/>
    <w:rsid w:val="00376D7A"/>
    <w:rsid w:val="00376E22"/>
    <w:rsid w:val="003770D1"/>
    <w:rsid w:val="0037716A"/>
    <w:rsid w:val="00377619"/>
    <w:rsid w:val="003776CD"/>
    <w:rsid w:val="00377729"/>
    <w:rsid w:val="003779E5"/>
    <w:rsid w:val="00377AA9"/>
    <w:rsid w:val="00380130"/>
    <w:rsid w:val="003805CD"/>
    <w:rsid w:val="0038060E"/>
    <w:rsid w:val="00380699"/>
    <w:rsid w:val="003808DF"/>
    <w:rsid w:val="00380AD8"/>
    <w:rsid w:val="00380B0E"/>
    <w:rsid w:val="00380C3A"/>
    <w:rsid w:val="00380D8C"/>
    <w:rsid w:val="00380DD2"/>
    <w:rsid w:val="003810F5"/>
    <w:rsid w:val="00381173"/>
    <w:rsid w:val="003813C8"/>
    <w:rsid w:val="003813D4"/>
    <w:rsid w:val="003814C6"/>
    <w:rsid w:val="003815E9"/>
    <w:rsid w:val="00381725"/>
    <w:rsid w:val="003817E6"/>
    <w:rsid w:val="00381A29"/>
    <w:rsid w:val="00381E83"/>
    <w:rsid w:val="00381ED7"/>
    <w:rsid w:val="003822E6"/>
    <w:rsid w:val="0038247F"/>
    <w:rsid w:val="003824D9"/>
    <w:rsid w:val="0038250B"/>
    <w:rsid w:val="0038282E"/>
    <w:rsid w:val="003828CA"/>
    <w:rsid w:val="003829AE"/>
    <w:rsid w:val="00382EB4"/>
    <w:rsid w:val="00382F30"/>
    <w:rsid w:val="0038306D"/>
    <w:rsid w:val="00383078"/>
    <w:rsid w:val="00383109"/>
    <w:rsid w:val="00383354"/>
    <w:rsid w:val="003836DB"/>
    <w:rsid w:val="003837E8"/>
    <w:rsid w:val="00383864"/>
    <w:rsid w:val="003839CD"/>
    <w:rsid w:val="00383A5E"/>
    <w:rsid w:val="00383BD9"/>
    <w:rsid w:val="00383D5C"/>
    <w:rsid w:val="00383DCD"/>
    <w:rsid w:val="00383F9A"/>
    <w:rsid w:val="00384003"/>
    <w:rsid w:val="003841C0"/>
    <w:rsid w:val="00384731"/>
    <w:rsid w:val="00384733"/>
    <w:rsid w:val="0038477E"/>
    <w:rsid w:val="003849EA"/>
    <w:rsid w:val="00384B38"/>
    <w:rsid w:val="00384B6F"/>
    <w:rsid w:val="00384BEC"/>
    <w:rsid w:val="00384E3F"/>
    <w:rsid w:val="00384F00"/>
    <w:rsid w:val="00385342"/>
    <w:rsid w:val="0038565A"/>
    <w:rsid w:val="00385950"/>
    <w:rsid w:val="00385ECD"/>
    <w:rsid w:val="0038612B"/>
    <w:rsid w:val="003867AC"/>
    <w:rsid w:val="0038681E"/>
    <w:rsid w:val="00386835"/>
    <w:rsid w:val="00386883"/>
    <w:rsid w:val="00386896"/>
    <w:rsid w:val="003868FF"/>
    <w:rsid w:val="0038696F"/>
    <w:rsid w:val="003869C2"/>
    <w:rsid w:val="00386BAD"/>
    <w:rsid w:val="00386BE4"/>
    <w:rsid w:val="00386D93"/>
    <w:rsid w:val="00386EB9"/>
    <w:rsid w:val="00387085"/>
    <w:rsid w:val="0038720C"/>
    <w:rsid w:val="00387360"/>
    <w:rsid w:val="00387393"/>
    <w:rsid w:val="00387511"/>
    <w:rsid w:val="003875C8"/>
    <w:rsid w:val="00387663"/>
    <w:rsid w:val="003877D2"/>
    <w:rsid w:val="00387859"/>
    <w:rsid w:val="00387B9B"/>
    <w:rsid w:val="00387C41"/>
    <w:rsid w:val="00387D42"/>
    <w:rsid w:val="00387E0F"/>
    <w:rsid w:val="00387E2F"/>
    <w:rsid w:val="003900B5"/>
    <w:rsid w:val="003907B3"/>
    <w:rsid w:val="00390A6B"/>
    <w:rsid w:val="00390BDF"/>
    <w:rsid w:val="00390D72"/>
    <w:rsid w:val="00390E88"/>
    <w:rsid w:val="00390EC1"/>
    <w:rsid w:val="00390ECC"/>
    <w:rsid w:val="00390FA1"/>
    <w:rsid w:val="0039107C"/>
    <w:rsid w:val="003910FB"/>
    <w:rsid w:val="00391275"/>
    <w:rsid w:val="003914B1"/>
    <w:rsid w:val="003916B0"/>
    <w:rsid w:val="003917A0"/>
    <w:rsid w:val="0039199A"/>
    <w:rsid w:val="00391A11"/>
    <w:rsid w:val="00391D0A"/>
    <w:rsid w:val="00391DC9"/>
    <w:rsid w:val="00391EBF"/>
    <w:rsid w:val="003923E9"/>
    <w:rsid w:val="003924D5"/>
    <w:rsid w:val="00392576"/>
    <w:rsid w:val="00392696"/>
    <w:rsid w:val="00392703"/>
    <w:rsid w:val="003927FD"/>
    <w:rsid w:val="00392B1A"/>
    <w:rsid w:val="00392B1F"/>
    <w:rsid w:val="00392C19"/>
    <w:rsid w:val="00392EAC"/>
    <w:rsid w:val="00392ED7"/>
    <w:rsid w:val="00393084"/>
    <w:rsid w:val="00393368"/>
    <w:rsid w:val="0039344E"/>
    <w:rsid w:val="003934DB"/>
    <w:rsid w:val="003934F0"/>
    <w:rsid w:val="0039353D"/>
    <w:rsid w:val="0039376C"/>
    <w:rsid w:val="00393777"/>
    <w:rsid w:val="00393869"/>
    <w:rsid w:val="00393907"/>
    <w:rsid w:val="003939BD"/>
    <w:rsid w:val="00393B05"/>
    <w:rsid w:val="00393D64"/>
    <w:rsid w:val="00393FA9"/>
    <w:rsid w:val="00393FD1"/>
    <w:rsid w:val="003945A3"/>
    <w:rsid w:val="00394602"/>
    <w:rsid w:val="0039463D"/>
    <w:rsid w:val="00394D5C"/>
    <w:rsid w:val="00395080"/>
    <w:rsid w:val="00395495"/>
    <w:rsid w:val="003954BF"/>
    <w:rsid w:val="003958E9"/>
    <w:rsid w:val="00395A05"/>
    <w:rsid w:val="00395C25"/>
    <w:rsid w:val="00395E3A"/>
    <w:rsid w:val="00395E51"/>
    <w:rsid w:val="003964E1"/>
    <w:rsid w:val="003965B2"/>
    <w:rsid w:val="003965C6"/>
    <w:rsid w:val="00396638"/>
    <w:rsid w:val="003969CF"/>
    <w:rsid w:val="003971F2"/>
    <w:rsid w:val="003972ED"/>
    <w:rsid w:val="003973C8"/>
    <w:rsid w:val="00397545"/>
    <w:rsid w:val="00397896"/>
    <w:rsid w:val="0039792B"/>
    <w:rsid w:val="0039796B"/>
    <w:rsid w:val="00397DF2"/>
    <w:rsid w:val="00397FD7"/>
    <w:rsid w:val="003A014D"/>
    <w:rsid w:val="003A01B5"/>
    <w:rsid w:val="003A02E7"/>
    <w:rsid w:val="003A0351"/>
    <w:rsid w:val="003A04D2"/>
    <w:rsid w:val="003A05E3"/>
    <w:rsid w:val="003A066D"/>
    <w:rsid w:val="003A07F3"/>
    <w:rsid w:val="003A086F"/>
    <w:rsid w:val="003A0A98"/>
    <w:rsid w:val="003A0BA1"/>
    <w:rsid w:val="003A0BE5"/>
    <w:rsid w:val="003A0BF1"/>
    <w:rsid w:val="003A0C30"/>
    <w:rsid w:val="003A0DBE"/>
    <w:rsid w:val="003A0F71"/>
    <w:rsid w:val="003A1036"/>
    <w:rsid w:val="003A1110"/>
    <w:rsid w:val="003A12C4"/>
    <w:rsid w:val="003A140F"/>
    <w:rsid w:val="003A1725"/>
    <w:rsid w:val="003A172D"/>
    <w:rsid w:val="003A18CE"/>
    <w:rsid w:val="003A1A0F"/>
    <w:rsid w:val="003A1A9C"/>
    <w:rsid w:val="003A1B01"/>
    <w:rsid w:val="003A1B34"/>
    <w:rsid w:val="003A1F70"/>
    <w:rsid w:val="003A2016"/>
    <w:rsid w:val="003A2032"/>
    <w:rsid w:val="003A21F5"/>
    <w:rsid w:val="003A23A0"/>
    <w:rsid w:val="003A2408"/>
    <w:rsid w:val="003A2437"/>
    <w:rsid w:val="003A24A1"/>
    <w:rsid w:val="003A2647"/>
    <w:rsid w:val="003A2A46"/>
    <w:rsid w:val="003A2C36"/>
    <w:rsid w:val="003A2C3B"/>
    <w:rsid w:val="003A2D2A"/>
    <w:rsid w:val="003A2E7E"/>
    <w:rsid w:val="003A2EC2"/>
    <w:rsid w:val="003A3002"/>
    <w:rsid w:val="003A3535"/>
    <w:rsid w:val="003A3563"/>
    <w:rsid w:val="003A3653"/>
    <w:rsid w:val="003A36E1"/>
    <w:rsid w:val="003A371C"/>
    <w:rsid w:val="003A38E3"/>
    <w:rsid w:val="003A3A1D"/>
    <w:rsid w:val="003A3BF7"/>
    <w:rsid w:val="003A3E97"/>
    <w:rsid w:val="003A3EE7"/>
    <w:rsid w:val="003A3FF0"/>
    <w:rsid w:val="003A4186"/>
    <w:rsid w:val="003A4541"/>
    <w:rsid w:val="003A457B"/>
    <w:rsid w:val="003A46D6"/>
    <w:rsid w:val="003A4772"/>
    <w:rsid w:val="003A4820"/>
    <w:rsid w:val="003A4D87"/>
    <w:rsid w:val="003A5001"/>
    <w:rsid w:val="003A54D3"/>
    <w:rsid w:val="003A5613"/>
    <w:rsid w:val="003A58D6"/>
    <w:rsid w:val="003A5BF0"/>
    <w:rsid w:val="003A5CA8"/>
    <w:rsid w:val="003A5CDA"/>
    <w:rsid w:val="003A5DF8"/>
    <w:rsid w:val="003A5F26"/>
    <w:rsid w:val="003A60B6"/>
    <w:rsid w:val="003A60DF"/>
    <w:rsid w:val="003A61B4"/>
    <w:rsid w:val="003A62D8"/>
    <w:rsid w:val="003A67FA"/>
    <w:rsid w:val="003A687C"/>
    <w:rsid w:val="003A69E2"/>
    <w:rsid w:val="003A6AEA"/>
    <w:rsid w:val="003A6B13"/>
    <w:rsid w:val="003A6EDF"/>
    <w:rsid w:val="003A72E0"/>
    <w:rsid w:val="003A7417"/>
    <w:rsid w:val="003A743C"/>
    <w:rsid w:val="003A7586"/>
    <w:rsid w:val="003A7619"/>
    <w:rsid w:val="003A77C2"/>
    <w:rsid w:val="003A77FA"/>
    <w:rsid w:val="003A7E6A"/>
    <w:rsid w:val="003A7E9F"/>
    <w:rsid w:val="003B021D"/>
    <w:rsid w:val="003B02CE"/>
    <w:rsid w:val="003B0301"/>
    <w:rsid w:val="003B062E"/>
    <w:rsid w:val="003B0678"/>
    <w:rsid w:val="003B06C4"/>
    <w:rsid w:val="003B07E3"/>
    <w:rsid w:val="003B086E"/>
    <w:rsid w:val="003B090E"/>
    <w:rsid w:val="003B091B"/>
    <w:rsid w:val="003B093E"/>
    <w:rsid w:val="003B0B89"/>
    <w:rsid w:val="003B0C20"/>
    <w:rsid w:val="003B0CAA"/>
    <w:rsid w:val="003B0EAC"/>
    <w:rsid w:val="003B11E1"/>
    <w:rsid w:val="003B134F"/>
    <w:rsid w:val="003B14ED"/>
    <w:rsid w:val="003B186D"/>
    <w:rsid w:val="003B1B07"/>
    <w:rsid w:val="003B1C03"/>
    <w:rsid w:val="003B1F86"/>
    <w:rsid w:val="003B20B2"/>
    <w:rsid w:val="003B22EA"/>
    <w:rsid w:val="003B2393"/>
    <w:rsid w:val="003B23A6"/>
    <w:rsid w:val="003B242E"/>
    <w:rsid w:val="003B2570"/>
    <w:rsid w:val="003B26FD"/>
    <w:rsid w:val="003B2FD7"/>
    <w:rsid w:val="003B304C"/>
    <w:rsid w:val="003B309D"/>
    <w:rsid w:val="003B321E"/>
    <w:rsid w:val="003B33E4"/>
    <w:rsid w:val="003B3685"/>
    <w:rsid w:val="003B37B4"/>
    <w:rsid w:val="003B37E7"/>
    <w:rsid w:val="003B37FE"/>
    <w:rsid w:val="003B3854"/>
    <w:rsid w:val="003B3BE2"/>
    <w:rsid w:val="003B3C0B"/>
    <w:rsid w:val="003B3D52"/>
    <w:rsid w:val="003B3DC0"/>
    <w:rsid w:val="003B3E1D"/>
    <w:rsid w:val="003B3F33"/>
    <w:rsid w:val="003B3FDF"/>
    <w:rsid w:val="003B4023"/>
    <w:rsid w:val="003B453A"/>
    <w:rsid w:val="003B46B5"/>
    <w:rsid w:val="003B476D"/>
    <w:rsid w:val="003B4846"/>
    <w:rsid w:val="003B4AC6"/>
    <w:rsid w:val="003B4B74"/>
    <w:rsid w:val="003B4B9B"/>
    <w:rsid w:val="003B4BAD"/>
    <w:rsid w:val="003B4CC8"/>
    <w:rsid w:val="003B4E7F"/>
    <w:rsid w:val="003B4E96"/>
    <w:rsid w:val="003B4F69"/>
    <w:rsid w:val="003B5109"/>
    <w:rsid w:val="003B52CD"/>
    <w:rsid w:val="003B5316"/>
    <w:rsid w:val="003B550F"/>
    <w:rsid w:val="003B5617"/>
    <w:rsid w:val="003B5760"/>
    <w:rsid w:val="003B580C"/>
    <w:rsid w:val="003B5B06"/>
    <w:rsid w:val="003B5C0E"/>
    <w:rsid w:val="003B5C73"/>
    <w:rsid w:val="003B5E25"/>
    <w:rsid w:val="003B5E53"/>
    <w:rsid w:val="003B5E70"/>
    <w:rsid w:val="003B5F16"/>
    <w:rsid w:val="003B61F6"/>
    <w:rsid w:val="003B65F4"/>
    <w:rsid w:val="003B6638"/>
    <w:rsid w:val="003B6938"/>
    <w:rsid w:val="003B69B3"/>
    <w:rsid w:val="003B6B1C"/>
    <w:rsid w:val="003B6B4D"/>
    <w:rsid w:val="003B6DD2"/>
    <w:rsid w:val="003B6EFD"/>
    <w:rsid w:val="003B6F1B"/>
    <w:rsid w:val="003B6F1D"/>
    <w:rsid w:val="003B6F24"/>
    <w:rsid w:val="003B6F40"/>
    <w:rsid w:val="003B6F4F"/>
    <w:rsid w:val="003B6FDC"/>
    <w:rsid w:val="003B7085"/>
    <w:rsid w:val="003B734E"/>
    <w:rsid w:val="003B739C"/>
    <w:rsid w:val="003B743A"/>
    <w:rsid w:val="003B74C5"/>
    <w:rsid w:val="003B75C3"/>
    <w:rsid w:val="003B764E"/>
    <w:rsid w:val="003B7804"/>
    <w:rsid w:val="003B7CFE"/>
    <w:rsid w:val="003B7E4E"/>
    <w:rsid w:val="003B7EC9"/>
    <w:rsid w:val="003C00C9"/>
    <w:rsid w:val="003C02FB"/>
    <w:rsid w:val="003C03AF"/>
    <w:rsid w:val="003C03BF"/>
    <w:rsid w:val="003C03C8"/>
    <w:rsid w:val="003C058B"/>
    <w:rsid w:val="003C05B8"/>
    <w:rsid w:val="003C061B"/>
    <w:rsid w:val="003C067D"/>
    <w:rsid w:val="003C0694"/>
    <w:rsid w:val="003C0960"/>
    <w:rsid w:val="003C0B3D"/>
    <w:rsid w:val="003C0D78"/>
    <w:rsid w:val="003C1384"/>
    <w:rsid w:val="003C1392"/>
    <w:rsid w:val="003C13E1"/>
    <w:rsid w:val="003C1633"/>
    <w:rsid w:val="003C197D"/>
    <w:rsid w:val="003C1B4A"/>
    <w:rsid w:val="003C1D0A"/>
    <w:rsid w:val="003C1E8F"/>
    <w:rsid w:val="003C1F02"/>
    <w:rsid w:val="003C206A"/>
    <w:rsid w:val="003C223D"/>
    <w:rsid w:val="003C2240"/>
    <w:rsid w:val="003C22B3"/>
    <w:rsid w:val="003C22F7"/>
    <w:rsid w:val="003C2488"/>
    <w:rsid w:val="003C2494"/>
    <w:rsid w:val="003C253E"/>
    <w:rsid w:val="003C2540"/>
    <w:rsid w:val="003C2588"/>
    <w:rsid w:val="003C28D3"/>
    <w:rsid w:val="003C2A12"/>
    <w:rsid w:val="003C2A7A"/>
    <w:rsid w:val="003C2E86"/>
    <w:rsid w:val="003C2EA1"/>
    <w:rsid w:val="003C3088"/>
    <w:rsid w:val="003C3140"/>
    <w:rsid w:val="003C33FF"/>
    <w:rsid w:val="003C34DC"/>
    <w:rsid w:val="003C34F5"/>
    <w:rsid w:val="003C3862"/>
    <w:rsid w:val="003C3B81"/>
    <w:rsid w:val="003C3C77"/>
    <w:rsid w:val="003C3FEE"/>
    <w:rsid w:val="003C4252"/>
    <w:rsid w:val="003C4272"/>
    <w:rsid w:val="003C4350"/>
    <w:rsid w:val="003C439C"/>
    <w:rsid w:val="003C46AF"/>
    <w:rsid w:val="003C4746"/>
    <w:rsid w:val="003C47A7"/>
    <w:rsid w:val="003C49F1"/>
    <w:rsid w:val="003C4B36"/>
    <w:rsid w:val="003C4C2F"/>
    <w:rsid w:val="003C4CED"/>
    <w:rsid w:val="003C4DE1"/>
    <w:rsid w:val="003C5049"/>
    <w:rsid w:val="003C51EF"/>
    <w:rsid w:val="003C5334"/>
    <w:rsid w:val="003C5881"/>
    <w:rsid w:val="003C5C1A"/>
    <w:rsid w:val="003C5C4D"/>
    <w:rsid w:val="003C5CE4"/>
    <w:rsid w:val="003C5CF4"/>
    <w:rsid w:val="003C5D3E"/>
    <w:rsid w:val="003C5E64"/>
    <w:rsid w:val="003C6025"/>
    <w:rsid w:val="003C62E8"/>
    <w:rsid w:val="003C680F"/>
    <w:rsid w:val="003C691E"/>
    <w:rsid w:val="003C6ABB"/>
    <w:rsid w:val="003C6B56"/>
    <w:rsid w:val="003C6B5B"/>
    <w:rsid w:val="003C6D7C"/>
    <w:rsid w:val="003C7048"/>
    <w:rsid w:val="003C7057"/>
    <w:rsid w:val="003C71F5"/>
    <w:rsid w:val="003C72AF"/>
    <w:rsid w:val="003C7345"/>
    <w:rsid w:val="003C7527"/>
    <w:rsid w:val="003C7615"/>
    <w:rsid w:val="003C7651"/>
    <w:rsid w:val="003C7C16"/>
    <w:rsid w:val="003C7D15"/>
    <w:rsid w:val="003C7E34"/>
    <w:rsid w:val="003C7E60"/>
    <w:rsid w:val="003C7F1D"/>
    <w:rsid w:val="003D029A"/>
    <w:rsid w:val="003D0554"/>
    <w:rsid w:val="003D06A8"/>
    <w:rsid w:val="003D07F2"/>
    <w:rsid w:val="003D0A66"/>
    <w:rsid w:val="003D0B87"/>
    <w:rsid w:val="003D0BE0"/>
    <w:rsid w:val="003D0CAB"/>
    <w:rsid w:val="003D0E90"/>
    <w:rsid w:val="003D1055"/>
    <w:rsid w:val="003D117F"/>
    <w:rsid w:val="003D120E"/>
    <w:rsid w:val="003D1558"/>
    <w:rsid w:val="003D16B3"/>
    <w:rsid w:val="003D1816"/>
    <w:rsid w:val="003D18B4"/>
    <w:rsid w:val="003D1CE5"/>
    <w:rsid w:val="003D1F9E"/>
    <w:rsid w:val="003D2238"/>
    <w:rsid w:val="003D233F"/>
    <w:rsid w:val="003D23C4"/>
    <w:rsid w:val="003D28CF"/>
    <w:rsid w:val="003D2A86"/>
    <w:rsid w:val="003D2B2C"/>
    <w:rsid w:val="003D2F17"/>
    <w:rsid w:val="003D300F"/>
    <w:rsid w:val="003D31D6"/>
    <w:rsid w:val="003D3258"/>
    <w:rsid w:val="003D346D"/>
    <w:rsid w:val="003D3599"/>
    <w:rsid w:val="003D3BFF"/>
    <w:rsid w:val="003D3C7F"/>
    <w:rsid w:val="003D3D8B"/>
    <w:rsid w:val="003D40B4"/>
    <w:rsid w:val="003D42D6"/>
    <w:rsid w:val="003D4445"/>
    <w:rsid w:val="003D45E1"/>
    <w:rsid w:val="003D48DA"/>
    <w:rsid w:val="003D494C"/>
    <w:rsid w:val="003D4DF2"/>
    <w:rsid w:val="003D4F9A"/>
    <w:rsid w:val="003D4FF1"/>
    <w:rsid w:val="003D4FFF"/>
    <w:rsid w:val="003D503D"/>
    <w:rsid w:val="003D5123"/>
    <w:rsid w:val="003D5424"/>
    <w:rsid w:val="003D551C"/>
    <w:rsid w:val="003D56B4"/>
    <w:rsid w:val="003D56BC"/>
    <w:rsid w:val="003D56DD"/>
    <w:rsid w:val="003D58DC"/>
    <w:rsid w:val="003D5F04"/>
    <w:rsid w:val="003D5F6E"/>
    <w:rsid w:val="003D5FD3"/>
    <w:rsid w:val="003D6370"/>
    <w:rsid w:val="003D64A8"/>
    <w:rsid w:val="003D64F7"/>
    <w:rsid w:val="003D65DB"/>
    <w:rsid w:val="003D68CE"/>
    <w:rsid w:val="003D692B"/>
    <w:rsid w:val="003D69EB"/>
    <w:rsid w:val="003D6BE5"/>
    <w:rsid w:val="003D6DF7"/>
    <w:rsid w:val="003D6DFC"/>
    <w:rsid w:val="003D6EBC"/>
    <w:rsid w:val="003D7061"/>
    <w:rsid w:val="003D7064"/>
    <w:rsid w:val="003D715F"/>
    <w:rsid w:val="003D7742"/>
    <w:rsid w:val="003D774F"/>
    <w:rsid w:val="003D7837"/>
    <w:rsid w:val="003D7847"/>
    <w:rsid w:val="003D78E6"/>
    <w:rsid w:val="003D7907"/>
    <w:rsid w:val="003D7967"/>
    <w:rsid w:val="003D7AA7"/>
    <w:rsid w:val="003D7C96"/>
    <w:rsid w:val="003D7F1E"/>
    <w:rsid w:val="003E0024"/>
    <w:rsid w:val="003E028B"/>
    <w:rsid w:val="003E0325"/>
    <w:rsid w:val="003E04B5"/>
    <w:rsid w:val="003E0538"/>
    <w:rsid w:val="003E05E8"/>
    <w:rsid w:val="003E079F"/>
    <w:rsid w:val="003E0982"/>
    <w:rsid w:val="003E0A8D"/>
    <w:rsid w:val="003E0D12"/>
    <w:rsid w:val="003E0FB1"/>
    <w:rsid w:val="003E0FCA"/>
    <w:rsid w:val="003E1029"/>
    <w:rsid w:val="003E1062"/>
    <w:rsid w:val="003E1197"/>
    <w:rsid w:val="003E1586"/>
    <w:rsid w:val="003E16F4"/>
    <w:rsid w:val="003E1922"/>
    <w:rsid w:val="003E1B43"/>
    <w:rsid w:val="003E1DFA"/>
    <w:rsid w:val="003E1E55"/>
    <w:rsid w:val="003E1F83"/>
    <w:rsid w:val="003E21D6"/>
    <w:rsid w:val="003E22DB"/>
    <w:rsid w:val="003E2376"/>
    <w:rsid w:val="003E266A"/>
    <w:rsid w:val="003E2875"/>
    <w:rsid w:val="003E28D4"/>
    <w:rsid w:val="003E2CDF"/>
    <w:rsid w:val="003E2DA0"/>
    <w:rsid w:val="003E2FC6"/>
    <w:rsid w:val="003E32F3"/>
    <w:rsid w:val="003E3318"/>
    <w:rsid w:val="003E3504"/>
    <w:rsid w:val="003E36AB"/>
    <w:rsid w:val="003E376A"/>
    <w:rsid w:val="003E397B"/>
    <w:rsid w:val="003E39B6"/>
    <w:rsid w:val="003E39FD"/>
    <w:rsid w:val="003E3A2F"/>
    <w:rsid w:val="003E3BD6"/>
    <w:rsid w:val="003E3BE1"/>
    <w:rsid w:val="003E3D1C"/>
    <w:rsid w:val="003E3D21"/>
    <w:rsid w:val="003E3EA9"/>
    <w:rsid w:val="003E3EE0"/>
    <w:rsid w:val="003E40E7"/>
    <w:rsid w:val="003E410E"/>
    <w:rsid w:val="003E411F"/>
    <w:rsid w:val="003E420A"/>
    <w:rsid w:val="003E43F7"/>
    <w:rsid w:val="003E44DE"/>
    <w:rsid w:val="003E4AFB"/>
    <w:rsid w:val="003E4B6C"/>
    <w:rsid w:val="003E4BD2"/>
    <w:rsid w:val="003E4C63"/>
    <w:rsid w:val="003E4D31"/>
    <w:rsid w:val="003E4D56"/>
    <w:rsid w:val="003E4DBD"/>
    <w:rsid w:val="003E4EB0"/>
    <w:rsid w:val="003E50E5"/>
    <w:rsid w:val="003E5186"/>
    <w:rsid w:val="003E5205"/>
    <w:rsid w:val="003E5477"/>
    <w:rsid w:val="003E5C1E"/>
    <w:rsid w:val="003E5D41"/>
    <w:rsid w:val="003E5F89"/>
    <w:rsid w:val="003E6077"/>
    <w:rsid w:val="003E6152"/>
    <w:rsid w:val="003E6317"/>
    <w:rsid w:val="003E63BF"/>
    <w:rsid w:val="003E64E0"/>
    <w:rsid w:val="003E699A"/>
    <w:rsid w:val="003E6ADB"/>
    <w:rsid w:val="003E6B24"/>
    <w:rsid w:val="003E6EDF"/>
    <w:rsid w:val="003E7187"/>
    <w:rsid w:val="003E7250"/>
    <w:rsid w:val="003E725C"/>
    <w:rsid w:val="003E74BF"/>
    <w:rsid w:val="003E78BD"/>
    <w:rsid w:val="003E7FF8"/>
    <w:rsid w:val="003F0022"/>
    <w:rsid w:val="003F00BF"/>
    <w:rsid w:val="003F01A7"/>
    <w:rsid w:val="003F04D8"/>
    <w:rsid w:val="003F0557"/>
    <w:rsid w:val="003F0752"/>
    <w:rsid w:val="003F0B9A"/>
    <w:rsid w:val="003F0D5B"/>
    <w:rsid w:val="003F0F03"/>
    <w:rsid w:val="003F0F64"/>
    <w:rsid w:val="003F10B9"/>
    <w:rsid w:val="003F122F"/>
    <w:rsid w:val="003F1354"/>
    <w:rsid w:val="003F169B"/>
    <w:rsid w:val="003F1962"/>
    <w:rsid w:val="003F1A59"/>
    <w:rsid w:val="003F1CD3"/>
    <w:rsid w:val="003F1DF5"/>
    <w:rsid w:val="003F1E7D"/>
    <w:rsid w:val="003F20D6"/>
    <w:rsid w:val="003F2340"/>
    <w:rsid w:val="003F2567"/>
    <w:rsid w:val="003F2853"/>
    <w:rsid w:val="003F2A10"/>
    <w:rsid w:val="003F2A20"/>
    <w:rsid w:val="003F2A30"/>
    <w:rsid w:val="003F2B9C"/>
    <w:rsid w:val="003F2BA2"/>
    <w:rsid w:val="003F2BB4"/>
    <w:rsid w:val="003F2D5A"/>
    <w:rsid w:val="003F30AA"/>
    <w:rsid w:val="003F30CC"/>
    <w:rsid w:val="003F3205"/>
    <w:rsid w:val="003F3269"/>
    <w:rsid w:val="003F34AE"/>
    <w:rsid w:val="003F35C0"/>
    <w:rsid w:val="003F3724"/>
    <w:rsid w:val="003F37AB"/>
    <w:rsid w:val="003F38A2"/>
    <w:rsid w:val="003F38D2"/>
    <w:rsid w:val="003F3C90"/>
    <w:rsid w:val="003F3D69"/>
    <w:rsid w:val="003F3DAE"/>
    <w:rsid w:val="003F3FAA"/>
    <w:rsid w:val="003F40FF"/>
    <w:rsid w:val="003F412B"/>
    <w:rsid w:val="003F42CD"/>
    <w:rsid w:val="003F4B64"/>
    <w:rsid w:val="003F4DA9"/>
    <w:rsid w:val="003F4E1C"/>
    <w:rsid w:val="003F4F1E"/>
    <w:rsid w:val="003F4F4C"/>
    <w:rsid w:val="003F4FA4"/>
    <w:rsid w:val="003F51EA"/>
    <w:rsid w:val="003F5352"/>
    <w:rsid w:val="003F55EB"/>
    <w:rsid w:val="003F587B"/>
    <w:rsid w:val="003F5B20"/>
    <w:rsid w:val="003F5B85"/>
    <w:rsid w:val="003F5BB7"/>
    <w:rsid w:val="003F5C96"/>
    <w:rsid w:val="003F60CB"/>
    <w:rsid w:val="003F61A8"/>
    <w:rsid w:val="003F61C1"/>
    <w:rsid w:val="003F626D"/>
    <w:rsid w:val="003F63E3"/>
    <w:rsid w:val="003F6728"/>
    <w:rsid w:val="003F6784"/>
    <w:rsid w:val="003F693F"/>
    <w:rsid w:val="003F6973"/>
    <w:rsid w:val="003F6A7D"/>
    <w:rsid w:val="003F6C3C"/>
    <w:rsid w:val="003F6C73"/>
    <w:rsid w:val="003F6CF3"/>
    <w:rsid w:val="003F6D20"/>
    <w:rsid w:val="003F6DDB"/>
    <w:rsid w:val="003F6DFD"/>
    <w:rsid w:val="003F6EAA"/>
    <w:rsid w:val="003F6F52"/>
    <w:rsid w:val="003F6FE6"/>
    <w:rsid w:val="003F702A"/>
    <w:rsid w:val="003F7517"/>
    <w:rsid w:val="003F7537"/>
    <w:rsid w:val="003F7588"/>
    <w:rsid w:val="003F77E5"/>
    <w:rsid w:val="003F7981"/>
    <w:rsid w:val="003F79F3"/>
    <w:rsid w:val="003F7A9B"/>
    <w:rsid w:val="003F7B16"/>
    <w:rsid w:val="003F7B5D"/>
    <w:rsid w:val="003F7D3F"/>
    <w:rsid w:val="003F7E2E"/>
    <w:rsid w:val="003F7FDF"/>
    <w:rsid w:val="00400147"/>
    <w:rsid w:val="004001BA"/>
    <w:rsid w:val="0040025F"/>
    <w:rsid w:val="00400383"/>
    <w:rsid w:val="004003E7"/>
    <w:rsid w:val="00400702"/>
    <w:rsid w:val="0040072D"/>
    <w:rsid w:val="00400901"/>
    <w:rsid w:val="0040093F"/>
    <w:rsid w:val="00400967"/>
    <w:rsid w:val="004009CD"/>
    <w:rsid w:val="00400B00"/>
    <w:rsid w:val="00400B7E"/>
    <w:rsid w:val="00400F23"/>
    <w:rsid w:val="00400F42"/>
    <w:rsid w:val="00400FEA"/>
    <w:rsid w:val="00401489"/>
    <w:rsid w:val="004014A6"/>
    <w:rsid w:val="0040152D"/>
    <w:rsid w:val="00401C15"/>
    <w:rsid w:val="00401D24"/>
    <w:rsid w:val="00402207"/>
    <w:rsid w:val="004026BA"/>
    <w:rsid w:val="004026D6"/>
    <w:rsid w:val="00402780"/>
    <w:rsid w:val="00402904"/>
    <w:rsid w:val="00402D19"/>
    <w:rsid w:val="00403096"/>
    <w:rsid w:val="0040320C"/>
    <w:rsid w:val="0040352B"/>
    <w:rsid w:val="00403580"/>
    <w:rsid w:val="004036B6"/>
    <w:rsid w:val="0040399C"/>
    <w:rsid w:val="004039AE"/>
    <w:rsid w:val="004039FE"/>
    <w:rsid w:val="00403B33"/>
    <w:rsid w:val="00403EA3"/>
    <w:rsid w:val="00403EF2"/>
    <w:rsid w:val="00403F72"/>
    <w:rsid w:val="00403FE4"/>
    <w:rsid w:val="004040AE"/>
    <w:rsid w:val="004040B9"/>
    <w:rsid w:val="00404433"/>
    <w:rsid w:val="00404687"/>
    <w:rsid w:val="00404B41"/>
    <w:rsid w:val="00404D27"/>
    <w:rsid w:val="00404D72"/>
    <w:rsid w:val="00404E04"/>
    <w:rsid w:val="00404E5C"/>
    <w:rsid w:val="004050C3"/>
    <w:rsid w:val="00405709"/>
    <w:rsid w:val="004057A9"/>
    <w:rsid w:val="00405A73"/>
    <w:rsid w:val="00405ADC"/>
    <w:rsid w:val="00405B83"/>
    <w:rsid w:val="00406236"/>
    <w:rsid w:val="004063D2"/>
    <w:rsid w:val="004064E6"/>
    <w:rsid w:val="004065F4"/>
    <w:rsid w:val="00406747"/>
    <w:rsid w:val="004067DC"/>
    <w:rsid w:val="00406868"/>
    <w:rsid w:val="00406B4B"/>
    <w:rsid w:val="00406DDF"/>
    <w:rsid w:val="00406F78"/>
    <w:rsid w:val="00406FAE"/>
    <w:rsid w:val="0040777D"/>
    <w:rsid w:val="00407AD2"/>
    <w:rsid w:val="00407AEA"/>
    <w:rsid w:val="00407B5C"/>
    <w:rsid w:val="00407DD6"/>
    <w:rsid w:val="00410413"/>
    <w:rsid w:val="00410499"/>
    <w:rsid w:val="00410502"/>
    <w:rsid w:val="00410C49"/>
    <w:rsid w:val="004110B9"/>
    <w:rsid w:val="004112DB"/>
    <w:rsid w:val="004115A5"/>
    <w:rsid w:val="004115BA"/>
    <w:rsid w:val="00411B00"/>
    <w:rsid w:val="00411C04"/>
    <w:rsid w:val="00411C86"/>
    <w:rsid w:val="00411E3A"/>
    <w:rsid w:val="00411FD7"/>
    <w:rsid w:val="0041219C"/>
    <w:rsid w:val="004122C8"/>
    <w:rsid w:val="00412468"/>
    <w:rsid w:val="004125A4"/>
    <w:rsid w:val="00412606"/>
    <w:rsid w:val="00412673"/>
    <w:rsid w:val="004126B6"/>
    <w:rsid w:val="004127DF"/>
    <w:rsid w:val="0041299C"/>
    <w:rsid w:val="00412A43"/>
    <w:rsid w:val="00412A56"/>
    <w:rsid w:val="00412CF2"/>
    <w:rsid w:val="00412D3B"/>
    <w:rsid w:val="00412D42"/>
    <w:rsid w:val="0041305E"/>
    <w:rsid w:val="0041353F"/>
    <w:rsid w:val="004135FC"/>
    <w:rsid w:val="004138E6"/>
    <w:rsid w:val="00413966"/>
    <w:rsid w:val="004139C4"/>
    <w:rsid w:val="004140A2"/>
    <w:rsid w:val="004141C1"/>
    <w:rsid w:val="0041434C"/>
    <w:rsid w:val="0041438E"/>
    <w:rsid w:val="0041439E"/>
    <w:rsid w:val="0041475E"/>
    <w:rsid w:val="004149A5"/>
    <w:rsid w:val="00414D17"/>
    <w:rsid w:val="00414EAF"/>
    <w:rsid w:val="00414F63"/>
    <w:rsid w:val="00414F95"/>
    <w:rsid w:val="00415051"/>
    <w:rsid w:val="00415112"/>
    <w:rsid w:val="00415183"/>
    <w:rsid w:val="004153A6"/>
    <w:rsid w:val="004154CA"/>
    <w:rsid w:val="00415634"/>
    <w:rsid w:val="0041591B"/>
    <w:rsid w:val="004159E1"/>
    <w:rsid w:val="00415BF3"/>
    <w:rsid w:val="00415C00"/>
    <w:rsid w:val="00415C7E"/>
    <w:rsid w:val="00415C92"/>
    <w:rsid w:val="00415CAD"/>
    <w:rsid w:val="00415F84"/>
    <w:rsid w:val="00416122"/>
    <w:rsid w:val="00416201"/>
    <w:rsid w:val="0041635E"/>
    <w:rsid w:val="00416385"/>
    <w:rsid w:val="004166B1"/>
    <w:rsid w:val="004169EA"/>
    <w:rsid w:val="00416B10"/>
    <w:rsid w:val="00416E6E"/>
    <w:rsid w:val="004172DD"/>
    <w:rsid w:val="004172FF"/>
    <w:rsid w:val="004173BB"/>
    <w:rsid w:val="00417400"/>
    <w:rsid w:val="0041753F"/>
    <w:rsid w:val="00417554"/>
    <w:rsid w:val="00417613"/>
    <w:rsid w:val="004176E2"/>
    <w:rsid w:val="00417701"/>
    <w:rsid w:val="00417759"/>
    <w:rsid w:val="004177A5"/>
    <w:rsid w:val="0041785B"/>
    <w:rsid w:val="00417A54"/>
    <w:rsid w:val="00417AD5"/>
    <w:rsid w:val="00417CD5"/>
    <w:rsid w:val="00417DDE"/>
    <w:rsid w:val="00417F3F"/>
    <w:rsid w:val="0042001A"/>
    <w:rsid w:val="00420052"/>
    <w:rsid w:val="0042006B"/>
    <w:rsid w:val="004200FD"/>
    <w:rsid w:val="004201D3"/>
    <w:rsid w:val="004202BF"/>
    <w:rsid w:val="004203ED"/>
    <w:rsid w:val="00420686"/>
    <w:rsid w:val="00420844"/>
    <w:rsid w:val="00420A75"/>
    <w:rsid w:val="00420B76"/>
    <w:rsid w:val="00420BEF"/>
    <w:rsid w:val="00420F03"/>
    <w:rsid w:val="004210A0"/>
    <w:rsid w:val="00421815"/>
    <w:rsid w:val="00421B68"/>
    <w:rsid w:val="00421DF2"/>
    <w:rsid w:val="0042202A"/>
    <w:rsid w:val="00422338"/>
    <w:rsid w:val="0042251F"/>
    <w:rsid w:val="00422524"/>
    <w:rsid w:val="00422689"/>
    <w:rsid w:val="00422A31"/>
    <w:rsid w:val="00422A55"/>
    <w:rsid w:val="00422DB1"/>
    <w:rsid w:val="00422DC5"/>
    <w:rsid w:val="0042301B"/>
    <w:rsid w:val="0042302B"/>
    <w:rsid w:val="00423168"/>
    <w:rsid w:val="004231B2"/>
    <w:rsid w:val="00423213"/>
    <w:rsid w:val="00423349"/>
    <w:rsid w:val="00423368"/>
    <w:rsid w:val="004235F3"/>
    <w:rsid w:val="0042371B"/>
    <w:rsid w:val="00423968"/>
    <w:rsid w:val="00423BC3"/>
    <w:rsid w:val="00423E40"/>
    <w:rsid w:val="00423FA7"/>
    <w:rsid w:val="0042412B"/>
    <w:rsid w:val="00424216"/>
    <w:rsid w:val="0042427C"/>
    <w:rsid w:val="004243FD"/>
    <w:rsid w:val="004244A2"/>
    <w:rsid w:val="004249BF"/>
    <w:rsid w:val="00424D15"/>
    <w:rsid w:val="00424D49"/>
    <w:rsid w:val="00424DC1"/>
    <w:rsid w:val="00424FD2"/>
    <w:rsid w:val="00425109"/>
    <w:rsid w:val="004251F1"/>
    <w:rsid w:val="004252D2"/>
    <w:rsid w:val="004253B6"/>
    <w:rsid w:val="00425456"/>
    <w:rsid w:val="0042550D"/>
    <w:rsid w:val="00425769"/>
    <w:rsid w:val="0042584C"/>
    <w:rsid w:val="00425892"/>
    <w:rsid w:val="00425EC4"/>
    <w:rsid w:val="00425F9C"/>
    <w:rsid w:val="00425FB7"/>
    <w:rsid w:val="00426025"/>
    <w:rsid w:val="004261F8"/>
    <w:rsid w:val="00426296"/>
    <w:rsid w:val="00426739"/>
    <w:rsid w:val="004268EA"/>
    <w:rsid w:val="00426DC4"/>
    <w:rsid w:val="00426FC4"/>
    <w:rsid w:val="00427209"/>
    <w:rsid w:val="00427259"/>
    <w:rsid w:val="0042726E"/>
    <w:rsid w:val="004272AB"/>
    <w:rsid w:val="0042772E"/>
    <w:rsid w:val="0042787F"/>
    <w:rsid w:val="00427C80"/>
    <w:rsid w:val="00427CB5"/>
    <w:rsid w:val="00427D7E"/>
    <w:rsid w:val="00427F95"/>
    <w:rsid w:val="00427FF6"/>
    <w:rsid w:val="0043026A"/>
    <w:rsid w:val="0043066E"/>
    <w:rsid w:val="00430743"/>
    <w:rsid w:val="004309BC"/>
    <w:rsid w:val="00430A0C"/>
    <w:rsid w:val="00430B6D"/>
    <w:rsid w:val="00430D8F"/>
    <w:rsid w:val="0043150F"/>
    <w:rsid w:val="00431704"/>
    <w:rsid w:val="00431824"/>
    <w:rsid w:val="00431C64"/>
    <w:rsid w:val="00431FF6"/>
    <w:rsid w:val="00432146"/>
    <w:rsid w:val="004324AD"/>
    <w:rsid w:val="0043259E"/>
    <w:rsid w:val="004326FD"/>
    <w:rsid w:val="004327DD"/>
    <w:rsid w:val="0043291D"/>
    <w:rsid w:val="004329E4"/>
    <w:rsid w:val="00432A42"/>
    <w:rsid w:val="00432B1B"/>
    <w:rsid w:val="00432B20"/>
    <w:rsid w:val="0043313F"/>
    <w:rsid w:val="004333F8"/>
    <w:rsid w:val="004335F0"/>
    <w:rsid w:val="00433834"/>
    <w:rsid w:val="00433B70"/>
    <w:rsid w:val="00433BF2"/>
    <w:rsid w:val="00433EE6"/>
    <w:rsid w:val="00433FC3"/>
    <w:rsid w:val="00434502"/>
    <w:rsid w:val="0043470B"/>
    <w:rsid w:val="004347BA"/>
    <w:rsid w:val="0043491F"/>
    <w:rsid w:val="0043493B"/>
    <w:rsid w:val="00434AB3"/>
    <w:rsid w:val="00434D58"/>
    <w:rsid w:val="00434E9D"/>
    <w:rsid w:val="00434F44"/>
    <w:rsid w:val="00435002"/>
    <w:rsid w:val="004350AA"/>
    <w:rsid w:val="0043548E"/>
    <w:rsid w:val="004358DD"/>
    <w:rsid w:val="00435C57"/>
    <w:rsid w:val="00435D5E"/>
    <w:rsid w:val="0043601D"/>
    <w:rsid w:val="0043614E"/>
    <w:rsid w:val="0043621D"/>
    <w:rsid w:val="004362E3"/>
    <w:rsid w:val="004363DE"/>
    <w:rsid w:val="004363F3"/>
    <w:rsid w:val="004366CB"/>
    <w:rsid w:val="0043676F"/>
    <w:rsid w:val="004369F4"/>
    <w:rsid w:val="00436A2E"/>
    <w:rsid w:val="00436A9A"/>
    <w:rsid w:val="00436AB2"/>
    <w:rsid w:val="00436B30"/>
    <w:rsid w:val="00436C99"/>
    <w:rsid w:val="00436E0E"/>
    <w:rsid w:val="00436E33"/>
    <w:rsid w:val="00436ECC"/>
    <w:rsid w:val="00436FC6"/>
    <w:rsid w:val="00436FD9"/>
    <w:rsid w:val="0043703B"/>
    <w:rsid w:val="0043735F"/>
    <w:rsid w:val="0043776D"/>
    <w:rsid w:val="004377BA"/>
    <w:rsid w:val="00437BC9"/>
    <w:rsid w:val="00437D6E"/>
    <w:rsid w:val="00437FA5"/>
    <w:rsid w:val="004400D1"/>
    <w:rsid w:val="0044019B"/>
    <w:rsid w:val="004402E4"/>
    <w:rsid w:val="004403C5"/>
    <w:rsid w:val="00440938"/>
    <w:rsid w:val="0044098A"/>
    <w:rsid w:val="00440A6A"/>
    <w:rsid w:val="00440CCE"/>
    <w:rsid w:val="00440D88"/>
    <w:rsid w:val="00440E3B"/>
    <w:rsid w:val="004411A0"/>
    <w:rsid w:val="0044128F"/>
    <w:rsid w:val="00441336"/>
    <w:rsid w:val="0044140F"/>
    <w:rsid w:val="004415D9"/>
    <w:rsid w:val="00441B75"/>
    <w:rsid w:val="00441B88"/>
    <w:rsid w:val="00441EC2"/>
    <w:rsid w:val="00441FB4"/>
    <w:rsid w:val="0044208E"/>
    <w:rsid w:val="00442778"/>
    <w:rsid w:val="004427E2"/>
    <w:rsid w:val="00442820"/>
    <w:rsid w:val="00442875"/>
    <w:rsid w:val="00442943"/>
    <w:rsid w:val="00442A03"/>
    <w:rsid w:val="00442A54"/>
    <w:rsid w:val="00442BB7"/>
    <w:rsid w:val="00442BBE"/>
    <w:rsid w:val="00442BC0"/>
    <w:rsid w:val="00443188"/>
    <w:rsid w:val="00443409"/>
    <w:rsid w:val="00443494"/>
    <w:rsid w:val="004434D9"/>
    <w:rsid w:val="00443536"/>
    <w:rsid w:val="004438CD"/>
    <w:rsid w:val="00443A8D"/>
    <w:rsid w:val="00443BFF"/>
    <w:rsid w:val="00443D59"/>
    <w:rsid w:val="00443D7B"/>
    <w:rsid w:val="00444053"/>
    <w:rsid w:val="00444108"/>
    <w:rsid w:val="0044447A"/>
    <w:rsid w:val="00444509"/>
    <w:rsid w:val="004446B5"/>
    <w:rsid w:val="0044481B"/>
    <w:rsid w:val="0044494A"/>
    <w:rsid w:val="0044497F"/>
    <w:rsid w:val="004449A4"/>
    <w:rsid w:val="00445266"/>
    <w:rsid w:val="004453BA"/>
    <w:rsid w:val="00445509"/>
    <w:rsid w:val="004457BE"/>
    <w:rsid w:val="00445AF1"/>
    <w:rsid w:val="00445BA3"/>
    <w:rsid w:val="00445BFD"/>
    <w:rsid w:val="00445C02"/>
    <w:rsid w:val="00445CA0"/>
    <w:rsid w:val="00445F12"/>
    <w:rsid w:val="00445F24"/>
    <w:rsid w:val="0044610C"/>
    <w:rsid w:val="00446403"/>
    <w:rsid w:val="0044646D"/>
    <w:rsid w:val="004465D4"/>
    <w:rsid w:val="004467DF"/>
    <w:rsid w:val="004468AC"/>
    <w:rsid w:val="0044691D"/>
    <w:rsid w:val="00446B6B"/>
    <w:rsid w:val="00446C34"/>
    <w:rsid w:val="00446CCA"/>
    <w:rsid w:val="00446FEB"/>
    <w:rsid w:val="0044707D"/>
    <w:rsid w:val="004470C2"/>
    <w:rsid w:val="004471CC"/>
    <w:rsid w:val="00447292"/>
    <w:rsid w:val="0044736A"/>
    <w:rsid w:val="004473CE"/>
    <w:rsid w:val="00447493"/>
    <w:rsid w:val="004477E9"/>
    <w:rsid w:val="00447A0D"/>
    <w:rsid w:val="00447D2C"/>
    <w:rsid w:val="00447D2E"/>
    <w:rsid w:val="00447DBF"/>
    <w:rsid w:val="00447E4F"/>
    <w:rsid w:val="00447E5B"/>
    <w:rsid w:val="0045056C"/>
    <w:rsid w:val="004505DB"/>
    <w:rsid w:val="0045080A"/>
    <w:rsid w:val="00450894"/>
    <w:rsid w:val="00450B57"/>
    <w:rsid w:val="00450C23"/>
    <w:rsid w:val="00450D40"/>
    <w:rsid w:val="00450E3D"/>
    <w:rsid w:val="00450E8B"/>
    <w:rsid w:val="004510A5"/>
    <w:rsid w:val="00451123"/>
    <w:rsid w:val="004512F4"/>
    <w:rsid w:val="00451558"/>
    <w:rsid w:val="00451781"/>
    <w:rsid w:val="004517E2"/>
    <w:rsid w:val="004517FE"/>
    <w:rsid w:val="00451845"/>
    <w:rsid w:val="0045187D"/>
    <w:rsid w:val="0045188E"/>
    <w:rsid w:val="004519E6"/>
    <w:rsid w:val="00451B24"/>
    <w:rsid w:val="00451C5B"/>
    <w:rsid w:val="00451C62"/>
    <w:rsid w:val="00451D0F"/>
    <w:rsid w:val="00452125"/>
    <w:rsid w:val="00452163"/>
    <w:rsid w:val="00452454"/>
    <w:rsid w:val="00452551"/>
    <w:rsid w:val="0045259B"/>
    <w:rsid w:val="004525D4"/>
    <w:rsid w:val="004526A2"/>
    <w:rsid w:val="00452851"/>
    <w:rsid w:val="00452B21"/>
    <w:rsid w:val="00452B2A"/>
    <w:rsid w:val="00452ED5"/>
    <w:rsid w:val="0045341C"/>
    <w:rsid w:val="004534ED"/>
    <w:rsid w:val="004534EE"/>
    <w:rsid w:val="004539C2"/>
    <w:rsid w:val="00453CD5"/>
    <w:rsid w:val="00453E34"/>
    <w:rsid w:val="00453E7D"/>
    <w:rsid w:val="00453EED"/>
    <w:rsid w:val="0045400E"/>
    <w:rsid w:val="00454093"/>
    <w:rsid w:val="004540FD"/>
    <w:rsid w:val="00454120"/>
    <w:rsid w:val="004542C0"/>
    <w:rsid w:val="0045439F"/>
    <w:rsid w:val="004543B7"/>
    <w:rsid w:val="0045446F"/>
    <w:rsid w:val="00454819"/>
    <w:rsid w:val="0045484C"/>
    <w:rsid w:val="00454916"/>
    <w:rsid w:val="004549ED"/>
    <w:rsid w:val="00454A08"/>
    <w:rsid w:val="00454A49"/>
    <w:rsid w:val="00454BBF"/>
    <w:rsid w:val="00454C41"/>
    <w:rsid w:val="00454CAE"/>
    <w:rsid w:val="00454DB0"/>
    <w:rsid w:val="00454FCB"/>
    <w:rsid w:val="004551D9"/>
    <w:rsid w:val="00455321"/>
    <w:rsid w:val="004555DC"/>
    <w:rsid w:val="00455623"/>
    <w:rsid w:val="00455D41"/>
    <w:rsid w:val="00455DDC"/>
    <w:rsid w:val="00455FC0"/>
    <w:rsid w:val="004563C7"/>
    <w:rsid w:val="004565EF"/>
    <w:rsid w:val="0045665C"/>
    <w:rsid w:val="0045691F"/>
    <w:rsid w:val="00456B98"/>
    <w:rsid w:val="00457251"/>
    <w:rsid w:val="00457675"/>
    <w:rsid w:val="00457789"/>
    <w:rsid w:val="004578B2"/>
    <w:rsid w:val="00457937"/>
    <w:rsid w:val="004579A3"/>
    <w:rsid w:val="00457C9C"/>
    <w:rsid w:val="00457E36"/>
    <w:rsid w:val="0046004E"/>
    <w:rsid w:val="00460084"/>
    <w:rsid w:val="00460229"/>
    <w:rsid w:val="00460281"/>
    <w:rsid w:val="004602A4"/>
    <w:rsid w:val="004605C7"/>
    <w:rsid w:val="00460A66"/>
    <w:rsid w:val="00460A94"/>
    <w:rsid w:val="00460CE1"/>
    <w:rsid w:val="00460E1F"/>
    <w:rsid w:val="00460E5E"/>
    <w:rsid w:val="00460E8A"/>
    <w:rsid w:val="0046100B"/>
    <w:rsid w:val="00461021"/>
    <w:rsid w:val="0046112D"/>
    <w:rsid w:val="0046125A"/>
    <w:rsid w:val="00461356"/>
    <w:rsid w:val="00461371"/>
    <w:rsid w:val="00461378"/>
    <w:rsid w:val="004614B4"/>
    <w:rsid w:val="00461678"/>
    <w:rsid w:val="0046188A"/>
    <w:rsid w:val="00461A3E"/>
    <w:rsid w:val="00461CD5"/>
    <w:rsid w:val="00462100"/>
    <w:rsid w:val="0046218D"/>
    <w:rsid w:val="004623C0"/>
    <w:rsid w:val="00462BDC"/>
    <w:rsid w:val="00462DC0"/>
    <w:rsid w:val="004630DC"/>
    <w:rsid w:val="00463274"/>
    <w:rsid w:val="0046361A"/>
    <w:rsid w:val="00463692"/>
    <w:rsid w:val="00463845"/>
    <w:rsid w:val="00463C49"/>
    <w:rsid w:val="004644D4"/>
    <w:rsid w:val="00464611"/>
    <w:rsid w:val="00464686"/>
    <w:rsid w:val="004647FB"/>
    <w:rsid w:val="0046498C"/>
    <w:rsid w:val="00464A56"/>
    <w:rsid w:val="00464E73"/>
    <w:rsid w:val="00464F78"/>
    <w:rsid w:val="00465138"/>
    <w:rsid w:val="00465146"/>
    <w:rsid w:val="004652DD"/>
    <w:rsid w:val="00465370"/>
    <w:rsid w:val="004655B6"/>
    <w:rsid w:val="0046562D"/>
    <w:rsid w:val="004657F1"/>
    <w:rsid w:val="00465B2D"/>
    <w:rsid w:val="00465B8F"/>
    <w:rsid w:val="00465C52"/>
    <w:rsid w:val="00465D06"/>
    <w:rsid w:val="00465F3D"/>
    <w:rsid w:val="00466046"/>
    <w:rsid w:val="004661D7"/>
    <w:rsid w:val="00466381"/>
    <w:rsid w:val="00466476"/>
    <w:rsid w:val="00466690"/>
    <w:rsid w:val="004666CA"/>
    <w:rsid w:val="00466A7D"/>
    <w:rsid w:val="00466CC2"/>
    <w:rsid w:val="0046710D"/>
    <w:rsid w:val="00467195"/>
    <w:rsid w:val="00467458"/>
    <w:rsid w:val="00467469"/>
    <w:rsid w:val="004675CB"/>
    <w:rsid w:val="004677C3"/>
    <w:rsid w:val="00467811"/>
    <w:rsid w:val="00467931"/>
    <w:rsid w:val="004679B1"/>
    <w:rsid w:val="00467AE2"/>
    <w:rsid w:val="00467CB3"/>
    <w:rsid w:val="00467FFB"/>
    <w:rsid w:val="00470170"/>
    <w:rsid w:val="00470231"/>
    <w:rsid w:val="00470378"/>
    <w:rsid w:val="00470600"/>
    <w:rsid w:val="004707F2"/>
    <w:rsid w:val="004709D9"/>
    <w:rsid w:val="00470AC6"/>
    <w:rsid w:val="00470F08"/>
    <w:rsid w:val="00470FAB"/>
    <w:rsid w:val="0047101D"/>
    <w:rsid w:val="00471146"/>
    <w:rsid w:val="00471279"/>
    <w:rsid w:val="004712E6"/>
    <w:rsid w:val="00471392"/>
    <w:rsid w:val="004715DB"/>
    <w:rsid w:val="004716E3"/>
    <w:rsid w:val="004717F0"/>
    <w:rsid w:val="00471DEE"/>
    <w:rsid w:val="00471EE4"/>
    <w:rsid w:val="00471EF2"/>
    <w:rsid w:val="00472009"/>
    <w:rsid w:val="004720E1"/>
    <w:rsid w:val="00472277"/>
    <w:rsid w:val="00472534"/>
    <w:rsid w:val="004725C6"/>
    <w:rsid w:val="00472765"/>
    <w:rsid w:val="004727A0"/>
    <w:rsid w:val="004727E8"/>
    <w:rsid w:val="004729C0"/>
    <w:rsid w:val="00472B5F"/>
    <w:rsid w:val="0047304E"/>
    <w:rsid w:val="004731CB"/>
    <w:rsid w:val="004731D1"/>
    <w:rsid w:val="00473248"/>
    <w:rsid w:val="004732AA"/>
    <w:rsid w:val="0047339E"/>
    <w:rsid w:val="00473461"/>
    <w:rsid w:val="00473749"/>
    <w:rsid w:val="00473864"/>
    <w:rsid w:val="00473927"/>
    <w:rsid w:val="00473ACF"/>
    <w:rsid w:val="00473BD3"/>
    <w:rsid w:val="00473E37"/>
    <w:rsid w:val="00474109"/>
    <w:rsid w:val="004743BA"/>
    <w:rsid w:val="00474416"/>
    <w:rsid w:val="00474475"/>
    <w:rsid w:val="0047459C"/>
    <w:rsid w:val="00474662"/>
    <w:rsid w:val="0047467E"/>
    <w:rsid w:val="004746D9"/>
    <w:rsid w:val="0047491E"/>
    <w:rsid w:val="00474A5E"/>
    <w:rsid w:val="00474B83"/>
    <w:rsid w:val="00474C52"/>
    <w:rsid w:val="00474C6D"/>
    <w:rsid w:val="00474C92"/>
    <w:rsid w:val="00474FA5"/>
    <w:rsid w:val="004750BA"/>
    <w:rsid w:val="00475152"/>
    <w:rsid w:val="00475253"/>
    <w:rsid w:val="00475682"/>
    <w:rsid w:val="00475687"/>
    <w:rsid w:val="004757C7"/>
    <w:rsid w:val="004759F4"/>
    <w:rsid w:val="00475AF8"/>
    <w:rsid w:val="00475BA8"/>
    <w:rsid w:val="0047601F"/>
    <w:rsid w:val="0047632A"/>
    <w:rsid w:val="0047640F"/>
    <w:rsid w:val="0047645B"/>
    <w:rsid w:val="00476634"/>
    <w:rsid w:val="00476A29"/>
    <w:rsid w:val="00476E66"/>
    <w:rsid w:val="00477188"/>
    <w:rsid w:val="004772C7"/>
    <w:rsid w:val="00477538"/>
    <w:rsid w:val="0047788A"/>
    <w:rsid w:val="00477A1B"/>
    <w:rsid w:val="00477A4F"/>
    <w:rsid w:val="00477BF6"/>
    <w:rsid w:val="00477D26"/>
    <w:rsid w:val="00477E5D"/>
    <w:rsid w:val="00480079"/>
    <w:rsid w:val="0048013C"/>
    <w:rsid w:val="0048041F"/>
    <w:rsid w:val="0048051C"/>
    <w:rsid w:val="004807F7"/>
    <w:rsid w:val="004807F8"/>
    <w:rsid w:val="00480945"/>
    <w:rsid w:val="00480A12"/>
    <w:rsid w:val="00480DBD"/>
    <w:rsid w:val="0048108A"/>
    <w:rsid w:val="004810E5"/>
    <w:rsid w:val="004814A3"/>
    <w:rsid w:val="00481806"/>
    <w:rsid w:val="004819BB"/>
    <w:rsid w:val="00481A66"/>
    <w:rsid w:val="00481ACA"/>
    <w:rsid w:val="00481B1D"/>
    <w:rsid w:val="00481D98"/>
    <w:rsid w:val="00481DDC"/>
    <w:rsid w:val="00481FB0"/>
    <w:rsid w:val="004821EB"/>
    <w:rsid w:val="0048247F"/>
    <w:rsid w:val="00482494"/>
    <w:rsid w:val="004826B2"/>
    <w:rsid w:val="00482903"/>
    <w:rsid w:val="00482AB4"/>
    <w:rsid w:val="00482C96"/>
    <w:rsid w:val="00482CA9"/>
    <w:rsid w:val="00482E69"/>
    <w:rsid w:val="00482EF7"/>
    <w:rsid w:val="00483231"/>
    <w:rsid w:val="004836EA"/>
    <w:rsid w:val="0048373F"/>
    <w:rsid w:val="004837FC"/>
    <w:rsid w:val="00483961"/>
    <w:rsid w:val="00483AEC"/>
    <w:rsid w:val="00483B28"/>
    <w:rsid w:val="00483E6B"/>
    <w:rsid w:val="00483F70"/>
    <w:rsid w:val="0048407C"/>
    <w:rsid w:val="004841A4"/>
    <w:rsid w:val="004842B1"/>
    <w:rsid w:val="004842D3"/>
    <w:rsid w:val="004843C7"/>
    <w:rsid w:val="0048442F"/>
    <w:rsid w:val="004845C5"/>
    <w:rsid w:val="004845DD"/>
    <w:rsid w:val="0048460F"/>
    <w:rsid w:val="004849CE"/>
    <w:rsid w:val="004849E1"/>
    <w:rsid w:val="00484C12"/>
    <w:rsid w:val="00484D91"/>
    <w:rsid w:val="00484E0B"/>
    <w:rsid w:val="00484EBE"/>
    <w:rsid w:val="00484EC5"/>
    <w:rsid w:val="004854D2"/>
    <w:rsid w:val="0048594B"/>
    <w:rsid w:val="004859DD"/>
    <w:rsid w:val="00485BC4"/>
    <w:rsid w:val="00485BE8"/>
    <w:rsid w:val="00485C4D"/>
    <w:rsid w:val="00485C52"/>
    <w:rsid w:val="00485D78"/>
    <w:rsid w:val="00485D93"/>
    <w:rsid w:val="00485D9A"/>
    <w:rsid w:val="00485FF3"/>
    <w:rsid w:val="0048624B"/>
    <w:rsid w:val="004865A2"/>
    <w:rsid w:val="00486629"/>
    <w:rsid w:val="00486D00"/>
    <w:rsid w:val="00486E00"/>
    <w:rsid w:val="00486EB4"/>
    <w:rsid w:val="004872F9"/>
    <w:rsid w:val="0048732B"/>
    <w:rsid w:val="0048751D"/>
    <w:rsid w:val="0048760E"/>
    <w:rsid w:val="0048772A"/>
    <w:rsid w:val="004877DB"/>
    <w:rsid w:val="004878F4"/>
    <w:rsid w:val="00487A51"/>
    <w:rsid w:val="00487D40"/>
    <w:rsid w:val="00490169"/>
    <w:rsid w:val="0049017D"/>
    <w:rsid w:val="004903FA"/>
    <w:rsid w:val="00490474"/>
    <w:rsid w:val="00490508"/>
    <w:rsid w:val="0049065D"/>
    <w:rsid w:val="004906B1"/>
    <w:rsid w:val="004907D7"/>
    <w:rsid w:val="0049080A"/>
    <w:rsid w:val="0049081F"/>
    <w:rsid w:val="00490934"/>
    <w:rsid w:val="00490A9B"/>
    <w:rsid w:val="00490BBE"/>
    <w:rsid w:val="00490C1C"/>
    <w:rsid w:val="00491038"/>
    <w:rsid w:val="004911CE"/>
    <w:rsid w:val="0049136E"/>
    <w:rsid w:val="00491450"/>
    <w:rsid w:val="004919BA"/>
    <w:rsid w:val="00491B8E"/>
    <w:rsid w:val="00491B97"/>
    <w:rsid w:val="00491C46"/>
    <w:rsid w:val="00491C58"/>
    <w:rsid w:val="00491E9B"/>
    <w:rsid w:val="00491F4A"/>
    <w:rsid w:val="00491F54"/>
    <w:rsid w:val="00491FEF"/>
    <w:rsid w:val="004920E5"/>
    <w:rsid w:val="004922FC"/>
    <w:rsid w:val="0049230E"/>
    <w:rsid w:val="004923D4"/>
    <w:rsid w:val="00492AA9"/>
    <w:rsid w:val="00492BC9"/>
    <w:rsid w:val="00492F05"/>
    <w:rsid w:val="00492FAF"/>
    <w:rsid w:val="00493058"/>
    <w:rsid w:val="004931A0"/>
    <w:rsid w:val="00493313"/>
    <w:rsid w:val="0049332E"/>
    <w:rsid w:val="004934A3"/>
    <w:rsid w:val="004938D3"/>
    <w:rsid w:val="004939FE"/>
    <w:rsid w:val="00493B6D"/>
    <w:rsid w:val="00493B85"/>
    <w:rsid w:val="00493BB5"/>
    <w:rsid w:val="00493E4C"/>
    <w:rsid w:val="00493E92"/>
    <w:rsid w:val="00494195"/>
    <w:rsid w:val="004941EC"/>
    <w:rsid w:val="00494677"/>
    <w:rsid w:val="00494860"/>
    <w:rsid w:val="0049486E"/>
    <w:rsid w:val="00494CF0"/>
    <w:rsid w:val="00494D7A"/>
    <w:rsid w:val="00494F44"/>
    <w:rsid w:val="004950F9"/>
    <w:rsid w:val="00495197"/>
    <w:rsid w:val="004953BA"/>
    <w:rsid w:val="004956A7"/>
    <w:rsid w:val="00495760"/>
    <w:rsid w:val="00495C03"/>
    <w:rsid w:val="00495CE9"/>
    <w:rsid w:val="00495DCE"/>
    <w:rsid w:val="004960E2"/>
    <w:rsid w:val="004962C3"/>
    <w:rsid w:val="004964ED"/>
    <w:rsid w:val="00496530"/>
    <w:rsid w:val="00496A2B"/>
    <w:rsid w:val="00496B35"/>
    <w:rsid w:val="00496C6B"/>
    <w:rsid w:val="00496CDD"/>
    <w:rsid w:val="00496D24"/>
    <w:rsid w:val="004970E5"/>
    <w:rsid w:val="0049720C"/>
    <w:rsid w:val="00497285"/>
    <w:rsid w:val="004972B8"/>
    <w:rsid w:val="004972FF"/>
    <w:rsid w:val="004974A4"/>
    <w:rsid w:val="004974C7"/>
    <w:rsid w:val="0049774F"/>
    <w:rsid w:val="00497887"/>
    <w:rsid w:val="004979DC"/>
    <w:rsid w:val="00497AFC"/>
    <w:rsid w:val="00497D55"/>
    <w:rsid w:val="00497D6E"/>
    <w:rsid w:val="00497DAE"/>
    <w:rsid w:val="00497F9C"/>
    <w:rsid w:val="004A0151"/>
    <w:rsid w:val="004A02BC"/>
    <w:rsid w:val="004A0548"/>
    <w:rsid w:val="004A05C3"/>
    <w:rsid w:val="004A0676"/>
    <w:rsid w:val="004A06DC"/>
    <w:rsid w:val="004A08C3"/>
    <w:rsid w:val="004A0995"/>
    <w:rsid w:val="004A0A1E"/>
    <w:rsid w:val="004A0A57"/>
    <w:rsid w:val="004A0A5A"/>
    <w:rsid w:val="004A0CC8"/>
    <w:rsid w:val="004A0DF2"/>
    <w:rsid w:val="004A0E83"/>
    <w:rsid w:val="004A0F51"/>
    <w:rsid w:val="004A0FD8"/>
    <w:rsid w:val="004A1182"/>
    <w:rsid w:val="004A11F0"/>
    <w:rsid w:val="004A13E5"/>
    <w:rsid w:val="004A142D"/>
    <w:rsid w:val="004A1646"/>
    <w:rsid w:val="004A170B"/>
    <w:rsid w:val="004A1829"/>
    <w:rsid w:val="004A1D0E"/>
    <w:rsid w:val="004A1D42"/>
    <w:rsid w:val="004A1F23"/>
    <w:rsid w:val="004A1F74"/>
    <w:rsid w:val="004A215F"/>
    <w:rsid w:val="004A23F8"/>
    <w:rsid w:val="004A2405"/>
    <w:rsid w:val="004A24CC"/>
    <w:rsid w:val="004A278E"/>
    <w:rsid w:val="004A27A6"/>
    <w:rsid w:val="004A2A8C"/>
    <w:rsid w:val="004A2AFD"/>
    <w:rsid w:val="004A2BD9"/>
    <w:rsid w:val="004A2D47"/>
    <w:rsid w:val="004A2EEA"/>
    <w:rsid w:val="004A3283"/>
    <w:rsid w:val="004A35D8"/>
    <w:rsid w:val="004A3702"/>
    <w:rsid w:val="004A3892"/>
    <w:rsid w:val="004A3898"/>
    <w:rsid w:val="004A3BA1"/>
    <w:rsid w:val="004A3FE8"/>
    <w:rsid w:val="004A40C5"/>
    <w:rsid w:val="004A4112"/>
    <w:rsid w:val="004A42D3"/>
    <w:rsid w:val="004A4591"/>
    <w:rsid w:val="004A461F"/>
    <w:rsid w:val="004A46D1"/>
    <w:rsid w:val="004A4730"/>
    <w:rsid w:val="004A486E"/>
    <w:rsid w:val="004A4AD2"/>
    <w:rsid w:val="004A4DE8"/>
    <w:rsid w:val="004A4E85"/>
    <w:rsid w:val="004A55A0"/>
    <w:rsid w:val="004A561C"/>
    <w:rsid w:val="004A574D"/>
    <w:rsid w:val="004A596C"/>
    <w:rsid w:val="004A5BC4"/>
    <w:rsid w:val="004A5E75"/>
    <w:rsid w:val="004A6139"/>
    <w:rsid w:val="004A61DF"/>
    <w:rsid w:val="004A6239"/>
    <w:rsid w:val="004A665B"/>
    <w:rsid w:val="004A6861"/>
    <w:rsid w:val="004A6A64"/>
    <w:rsid w:val="004A6B27"/>
    <w:rsid w:val="004A7011"/>
    <w:rsid w:val="004A75B7"/>
    <w:rsid w:val="004A778B"/>
    <w:rsid w:val="004A77DF"/>
    <w:rsid w:val="004A7AF5"/>
    <w:rsid w:val="004A7D01"/>
    <w:rsid w:val="004A7D8B"/>
    <w:rsid w:val="004A7D9C"/>
    <w:rsid w:val="004A7F78"/>
    <w:rsid w:val="004B009C"/>
    <w:rsid w:val="004B01CA"/>
    <w:rsid w:val="004B01F9"/>
    <w:rsid w:val="004B0320"/>
    <w:rsid w:val="004B0447"/>
    <w:rsid w:val="004B0531"/>
    <w:rsid w:val="004B06EF"/>
    <w:rsid w:val="004B076A"/>
    <w:rsid w:val="004B0784"/>
    <w:rsid w:val="004B0796"/>
    <w:rsid w:val="004B0921"/>
    <w:rsid w:val="004B0962"/>
    <w:rsid w:val="004B0A6A"/>
    <w:rsid w:val="004B0AA6"/>
    <w:rsid w:val="004B0B4A"/>
    <w:rsid w:val="004B0C56"/>
    <w:rsid w:val="004B0C6C"/>
    <w:rsid w:val="004B0D02"/>
    <w:rsid w:val="004B0EA3"/>
    <w:rsid w:val="004B0F95"/>
    <w:rsid w:val="004B1051"/>
    <w:rsid w:val="004B1284"/>
    <w:rsid w:val="004B129F"/>
    <w:rsid w:val="004B12E2"/>
    <w:rsid w:val="004B156D"/>
    <w:rsid w:val="004B1A63"/>
    <w:rsid w:val="004B200E"/>
    <w:rsid w:val="004B20B8"/>
    <w:rsid w:val="004B2262"/>
    <w:rsid w:val="004B256F"/>
    <w:rsid w:val="004B29C2"/>
    <w:rsid w:val="004B29F2"/>
    <w:rsid w:val="004B2D54"/>
    <w:rsid w:val="004B2E0A"/>
    <w:rsid w:val="004B2E79"/>
    <w:rsid w:val="004B2E80"/>
    <w:rsid w:val="004B2F65"/>
    <w:rsid w:val="004B325B"/>
    <w:rsid w:val="004B328F"/>
    <w:rsid w:val="004B32F1"/>
    <w:rsid w:val="004B332E"/>
    <w:rsid w:val="004B33EC"/>
    <w:rsid w:val="004B364F"/>
    <w:rsid w:val="004B386C"/>
    <w:rsid w:val="004B3CEC"/>
    <w:rsid w:val="004B3EE7"/>
    <w:rsid w:val="004B3FB3"/>
    <w:rsid w:val="004B3FB8"/>
    <w:rsid w:val="004B3FCC"/>
    <w:rsid w:val="004B40B8"/>
    <w:rsid w:val="004B43FC"/>
    <w:rsid w:val="004B493D"/>
    <w:rsid w:val="004B49FD"/>
    <w:rsid w:val="004B4D8F"/>
    <w:rsid w:val="004B4EFD"/>
    <w:rsid w:val="004B5248"/>
    <w:rsid w:val="004B5347"/>
    <w:rsid w:val="004B5413"/>
    <w:rsid w:val="004B565E"/>
    <w:rsid w:val="004B58A5"/>
    <w:rsid w:val="004B5AC3"/>
    <w:rsid w:val="004B5C0D"/>
    <w:rsid w:val="004B5D26"/>
    <w:rsid w:val="004B5F3C"/>
    <w:rsid w:val="004B5FA7"/>
    <w:rsid w:val="004B61FA"/>
    <w:rsid w:val="004B6273"/>
    <w:rsid w:val="004B629C"/>
    <w:rsid w:val="004B6396"/>
    <w:rsid w:val="004B647B"/>
    <w:rsid w:val="004B6691"/>
    <w:rsid w:val="004B6761"/>
    <w:rsid w:val="004B696F"/>
    <w:rsid w:val="004B6AA0"/>
    <w:rsid w:val="004B6C75"/>
    <w:rsid w:val="004B6CD3"/>
    <w:rsid w:val="004B6CEC"/>
    <w:rsid w:val="004B714D"/>
    <w:rsid w:val="004B7295"/>
    <w:rsid w:val="004B74AB"/>
    <w:rsid w:val="004B7549"/>
    <w:rsid w:val="004B7670"/>
    <w:rsid w:val="004B77D6"/>
    <w:rsid w:val="004B7936"/>
    <w:rsid w:val="004B7B17"/>
    <w:rsid w:val="004B7E9E"/>
    <w:rsid w:val="004B7EAF"/>
    <w:rsid w:val="004B7F5A"/>
    <w:rsid w:val="004C0086"/>
    <w:rsid w:val="004C0196"/>
    <w:rsid w:val="004C0199"/>
    <w:rsid w:val="004C05A2"/>
    <w:rsid w:val="004C090B"/>
    <w:rsid w:val="004C0A4E"/>
    <w:rsid w:val="004C0AE7"/>
    <w:rsid w:val="004C0B63"/>
    <w:rsid w:val="004C0D3A"/>
    <w:rsid w:val="004C0F84"/>
    <w:rsid w:val="004C0FAB"/>
    <w:rsid w:val="004C10CC"/>
    <w:rsid w:val="004C1255"/>
    <w:rsid w:val="004C13EE"/>
    <w:rsid w:val="004C1424"/>
    <w:rsid w:val="004C15C3"/>
    <w:rsid w:val="004C179C"/>
    <w:rsid w:val="004C17F1"/>
    <w:rsid w:val="004C1A24"/>
    <w:rsid w:val="004C1AF9"/>
    <w:rsid w:val="004C1CB1"/>
    <w:rsid w:val="004C1CFD"/>
    <w:rsid w:val="004C1E46"/>
    <w:rsid w:val="004C1E80"/>
    <w:rsid w:val="004C1EA5"/>
    <w:rsid w:val="004C1FF6"/>
    <w:rsid w:val="004C2447"/>
    <w:rsid w:val="004C2476"/>
    <w:rsid w:val="004C2671"/>
    <w:rsid w:val="004C285C"/>
    <w:rsid w:val="004C2945"/>
    <w:rsid w:val="004C2C7A"/>
    <w:rsid w:val="004C2DDC"/>
    <w:rsid w:val="004C2EEC"/>
    <w:rsid w:val="004C2F67"/>
    <w:rsid w:val="004C2FEB"/>
    <w:rsid w:val="004C301D"/>
    <w:rsid w:val="004C322D"/>
    <w:rsid w:val="004C3274"/>
    <w:rsid w:val="004C338F"/>
    <w:rsid w:val="004C33D8"/>
    <w:rsid w:val="004C3526"/>
    <w:rsid w:val="004C35EB"/>
    <w:rsid w:val="004C3D7D"/>
    <w:rsid w:val="004C430A"/>
    <w:rsid w:val="004C45A2"/>
    <w:rsid w:val="004C46B1"/>
    <w:rsid w:val="004C470E"/>
    <w:rsid w:val="004C4A6C"/>
    <w:rsid w:val="004C4C0B"/>
    <w:rsid w:val="004C4C1B"/>
    <w:rsid w:val="004C4CA8"/>
    <w:rsid w:val="004C4CEB"/>
    <w:rsid w:val="004C4CF9"/>
    <w:rsid w:val="004C4DB2"/>
    <w:rsid w:val="004C4F85"/>
    <w:rsid w:val="004C5016"/>
    <w:rsid w:val="004C5133"/>
    <w:rsid w:val="004C54C4"/>
    <w:rsid w:val="004C5622"/>
    <w:rsid w:val="004C5834"/>
    <w:rsid w:val="004C58E9"/>
    <w:rsid w:val="004C58F2"/>
    <w:rsid w:val="004C58F9"/>
    <w:rsid w:val="004C5947"/>
    <w:rsid w:val="004C5AFB"/>
    <w:rsid w:val="004C5B9F"/>
    <w:rsid w:val="004C5E4A"/>
    <w:rsid w:val="004C62A1"/>
    <w:rsid w:val="004C64E8"/>
    <w:rsid w:val="004C6509"/>
    <w:rsid w:val="004C657C"/>
    <w:rsid w:val="004C658F"/>
    <w:rsid w:val="004C6656"/>
    <w:rsid w:val="004C66C1"/>
    <w:rsid w:val="004C6781"/>
    <w:rsid w:val="004C6843"/>
    <w:rsid w:val="004C68EB"/>
    <w:rsid w:val="004C698F"/>
    <w:rsid w:val="004C6BE5"/>
    <w:rsid w:val="004C6BFC"/>
    <w:rsid w:val="004C6C02"/>
    <w:rsid w:val="004C6C1B"/>
    <w:rsid w:val="004C6D03"/>
    <w:rsid w:val="004C6E9F"/>
    <w:rsid w:val="004C6FB9"/>
    <w:rsid w:val="004C7002"/>
    <w:rsid w:val="004C7607"/>
    <w:rsid w:val="004C763A"/>
    <w:rsid w:val="004C76BC"/>
    <w:rsid w:val="004C7734"/>
    <w:rsid w:val="004C7ADC"/>
    <w:rsid w:val="004C7B25"/>
    <w:rsid w:val="004C7B30"/>
    <w:rsid w:val="004C7BA4"/>
    <w:rsid w:val="004C7C05"/>
    <w:rsid w:val="004C7C68"/>
    <w:rsid w:val="004D0234"/>
    <w:rsid w:val="004D03FF"/>
    <w:rsid w:val="004D0477"/>
    <w:rsid w:val="004D06F0"/>
    <w:rsid w:val="004D07D5"/>
    <w:rsid w:val="004D086A"/>
    <w:rsid w:val="004D08B1"/>
    <w:rsid w:val="004D096B"/>
    <w:rsid w:val="004D097E"/>
    <w:rsid w:val="004D09EA"/>
    <w:rsid w:val="004D0E6D"/>
    <w:rsid w:val="004D0EFC"/>
    <w:rsid w:val="004D0F4F"/>
    <w:rsid w:val="004D0FC4"/>
    <w:rsid w:val="004D107F"/>
    <w:rsid w:val="004D127E"/>
    <w:rsid w:val="004D1327"/>
    <w:rsid w:val="004D14D0"/>
    <w:rsid w:val="004D1534"/>
    <w:rsid w:val="004D1C23"/>
    <w:rsid w:val="004D1E83"/>
    <w:rsid w:val="004D20CE"/>
    <w:rsid w:val="004D22C0"/>
    <w:rsid w:val="004D22C6"/>
    <w:rsid w:val="004D230C"/>
    <w:rsid w:val="004D2328"/>
    <w:rsid w:val="004D280B"/>
    <w:rsid w:val="004D281E"/>
    <w:rsid w:val="004D2B2F"/>
    <w:rsid w:val="004D2E33"/>
    <w:rsid w:val="004D2FE4"/>
    <w:rsid w:val="004D33BA"/>
    <w:rsid w:val="004D3485"/>
    <w:rsid w:val="004D35B4"/>
    <w:rsid w:val="004D35B6"/>
    <w:rsid w:val="004D3903"/>
    <w:rsid w:val="004D3960"/>
    <w:rsid w:val="004D3AA5"/>
    <w:rsid w:val="004D3CD1"/>
    <w:rsid w:val="004D3F35"/>
    <w:rsid w:val="004D4037"/>
    <w:rsid w:val="004D4217"/>
    <w:rsid w:val="004D43C1"/>
    <w:rsid w:val="004D43FD"/>
    <w:rsid w:val="004D4C89"/>
    <w:rsid w:val="004D4E5A"/>
    <w:rsid w:val="004D4F4D"/>
    <w:rsid w:val="004D5192"/>
    <w:rsid w:val="004D52A5"/>
    <w:rsid w:val="004D5411"/>
    <w:rsid w:val="004D5AE7"/>
    <w:rsid w:val="004D5BC0"/>
    <w:rsid w:val="004D5CA9"/>
    <w:rsid w:val="004D5D97"/>
    <w:rsid w:val="004D5DF5"/>
    <w:rsid w:val="004D5E31"/>
    <w:rsid w:val="004D5E5A"/>
    <w:rsid w:val="004D5E76"/>
    <w:rsid w:val="004D5ED7"/>
    <w:rsid w:val="004D5F7B"/>
    <w:rsid w:val="004D645C"/>
    <w:rsid w:val="004D6C2B"/>
    <w:rsid w:val="004D6D52"/>
    <w:rsid w:val="004D6EF1"/>
    <w:rsid w:val="004D6F2A"/>
    <w:rsid w:val="004D71EC"/>
    <w:rsid w:val="004D7537"/>
    <w:rsid w:val="004D75E7"/>
    <w:rsid w:val="004D7712"/>
    <w:rsid w:val="004D78FB"/>
    <w:rsid w:val="004D7943"/>
    <w:rsid w:val="004D7AB7"/>
    <w:rsid w:val="004D7D5D"/>
    <w:rsid w:val="004E0422"/>
    <w:rsid w:val="004E0596"/>
    <w:rsid w:val="004E05DE"/>
    <w:rsid w:val="004E0831"/>
    <w:rsid w:val="004E0C70"/>
    <w:rsid w:val="004E0D05"/>
    <w:rsid w:val="004E0D10"/>
    <w:rsid w:val="004E11DB"/>
    <w:rsid w:val="004E1235"/>
    <w:rsid w:val="004E123E"/>
    <w:rsid w:val="004E14DC"/>
    <w:rsid w:val="004E1639"/>
    <w:rsid w:val="004E16F4"/>
    <w:rsid w:val="004E174A"/>
    <w:rsid w:val="004E19FC"/>
    <w:rsid w:val="004E1DB9"/>
    <w:rsid w:val="004E22CC"/>
    <w:rsid w:val="004E2324"/>
    <w:rsid w:val="004E237C"/>
    <w:rsid w:val="004E2386"/>
    <w:rsid w:val="004E2393"/>
    <w:rsid w:val="004E262D"/>
    <w:rsid w:val="004E2AE4"/>
    <w:rsid w:val="004E2BF6"/>
    <w:rsid w:val="004E2DDF"/>
    <w:rsid w:val="004E2E2A"/>
    <w:rsid w:val="004E2ECD"/>
    <w:rsid w:val="004E34A7"/>
    <w:rsid w:val="004E35E5"/>
    <w:rsid w:val="004E3650"/>
    <w:rsid w:val="004E3681"/>
    <w:rsid w:val="004E3914"/>
    <w:rsid w:val="004E39C5"/>
    <w:rsid w:val="004E3A12"/>
    <w:rsid w:val="004E3A8F"/>
    <w:rsid w:val="004E3CE4"/>
    <w:rsid w:val="004E3ED2"/>
    <w:rsid w:val="004E3F6E"/>
    <w:rsid w:val="004E40C7"/>
    <w:rsid w:val="004E40D4"/>
    <w:rsid w:val="004E4140"/>
    <w:rsid w:val="004E446C"/>
    <w:rsid w:val="004E44E0"/>
    <w:rsid w:val="004E45F8"/>
    <w:rsid w:val="004E4744"/>
    <w:rsid w:val="004E47E3"/>
    <w:rsid w:val="004E4ADA"/>
    <w:rsid w:val="004E4B66"/>
    <w:rsid w:val="004E4BBC"/>
    <w:rsid w:val="004E4BE3"/>
    <w:rsid w:val="004E4C53"/>
    <w:rsid w:val="004E4E6A"/>
    <w:rsid w:val="004E4E8D"/>
    <w:rsid w:val="004E4EE4"/>
    <w:rsid w:val="004E500D"/>
    <w:rsid w:val="004E5012"/>
    <w:rsid w:val="004E51FC"/>
    <w:rsid w:val="004E57AF"/>
    <w:rsid w:val="004E5875"/>
    <w:rsid w:val="004E58D6"/>
    <w:rsid w:val="004E598D"/>
    <w:rsid w:val="004E5C04"/>
    <w:rsid w:val="004E5D99"/>
    <w:rsid w:val="004E5DFE"/>
    <w:rsid w:val="004E6077"/>
    <w:rsid w:val="004E6095"/>
    <w:rsid w:val="004E61BF"/>
    <w:rsid w:val="004E61E0"/>
    <w:rsid w:val="004E61E8"/>
    <w:rsid w:val="004E6396"/>
    <w:rsid w:val="004E6551"/>
    <w:rsid w:val="004E673A"/>
    <w:rsid w:val="004E67DD"/>
    <w:rsid w:val="004E699B"/>
    <w:rsid w:val="004E6A6C"/>
    <w:rsid w:val="004E6C51"/>
    <w:rsid w:val="004E7094"/>
    <w:rsid w:val="004E70AC"/>
    <w:rsid w:val="004E71CB"/>
    <w:rsid w:val="004E724A"/>
    <w:rsid w:val="004E73C7"/>
    <w:rsid w:val="004E73EB"/>
    <w:rsid w:val="004E7637"/>
    <w:rsid w:val="004E7775"/>
    <w:rsid w:val="004E7AF5"/>
    <w:rsid w:val="004E7C26"/>
    <w:rsid w:val="004E7D3B"/>
    <w:rsid w:val="004E7EC6"/>
    <w:rsid w:val="004F0288"/>
    <w:rsid w:val="004F02AF"/>
    <w:rsid w:val="004F03D8"/>
    <w:rsid w:val="004F0416"/>
    <w:rsid w:val="004F076A"/>
    <w:rsid w:val="004F0A4B"/>
    <w:rsid w:val="004F0B80"/>
    <w:rsid w:val="004F0D6C"/>
    <w:rsid w:val="004F0DB2"/>
    <w:rsid w:val="004F0ECA"/>
    <w:rsid w:val="004F0F91"/>
    <w:rsid w:val="004F10E9"/>
    <w:rsid w:val="004F1185"/>
    <w:rsid w:val="004F122E"/>
    <w:rsid w:val="004F1251"/>
    <w:rsid w:val="004F1253"/>
    <w:rsid w:val="004F1270"/>
    <w:rsid w:val="004F12B5"/>
    <w:rsid w:val="004F12D7"/>
    <w:rsid w:val="004F1980"/>
    <w:rsid w:val="004F1991"/>
    <w:rsid w:val="004F19E6"/>
    <w:rsid w:val="004F19FA"/>
    <w:rsid w:val="004F1D2A"/>
    <w:rsid w:val="004F1DDD"/>
    <w:rsid w:val="004F2276"/>
    <w:rsid w:val="004F22B3"/>
    <w:rsid w:val="004F2462"/>
    <w:rsid w:val="004F2561"/>
    <w:rsid w:val="004F2596"/>
    <w:rsid w:val="004F2760"/>
    <w:rsid w:val="004F282F"/>
    <w:rsid w:val="004F2C30"/>
    <w:rsid w:val="004F2D0B"/>
    <w:rsid w:val="004F3227"/>
    <w:rsid w:val="004F350B"/>
    <w:rsid w:val="004F3691"/>
    <w:rsid w:val="004F3852"/>
    <w:rsid w:val="004F38C6"/>
    <w:rsid w:val="004F39FC"/>
    <w:rsid w:val="004F3C50"/>
    <w:rsid w:val="004F3D71"/>
    <w:rsid w:val="004F3E0B"/>
    <w:rsid w:val="004F3FCE"/>
    <w:rsid w:val="004F4122"/>
    <w:rsid w:val="004F47EC"/>
    <w:rsid w:val="004F488E"/>
    <w:rsid w:val="004F4932"/>
    <w:rsid w:val="004F4990"/>
    <w:rsid w:val="004F4A2D"/>
    <w:rsid w:val="004F4AD9"/>
    <w:rsid w:val="004F4BA3"/>
    <w:rsid w:val="004F4BFF"/>
    <w:rsid w:val="004F4D88"/>
    <w:rsid w:val="004F4E33"/>
    <w:rsid w:val="004F4ED6"/>
    <w:rsid w:val="004F5301"/>
    <w:rsid w:val="004F55DF"/>
    <w:rsid w:val="004F57FC"/>
    <w:rsid w:val="004F5809"/>
    <w:rsid w:val="004F597B"/>
    <w:rsid w:val="004F5BE8"/>
    <w:rsid w:val="004F5C65"/>
    <w:rsid w:val="004F5CA6"/>
    <w:rsid w:val="004F6024"/>
    <w:rsid w:val="004F60B1"/>
    <w:rsid w:val="004F6160"/>
    <w:rsid w:val="004F639C"/>
    <w:rsid w:val="004F6556"/>
    <w:rsid w:val="004F6707"/>
    <w:rsid w:val="004F6AC8"/>
    <w:rsid w:val="004F6AD7"/>
    <w:rsid w:val="004F6DCC"/>
    <w:rsid w:val="004F6FA3"/>
    <w:rsid w:val="004F6FDA"/>
    <w:rsid w:val="004F71D1"/>
    <w:rsid w:val="004F7232"/>
    <w:rsid w:val="004F7312"/>
    <w:rsid w:val="004F746D"/>
    <w:rsid w:val="004F749B"/>
    <w:rsid w:val="004F76A9"/>
    <w:rsid w:val="004F76E7"/>
    <w:rsid w:val="004F7797"/>
    <w:rsid w:val="004F7A96"/>
    <w:rsid w:val="004F7B34"/>
    <w:rsid w:val="004F7D13"/>
    <w:rsid w:val="004F7E63"/>
    <w:rsid w:val="004F7F42"/>
    <w:rsid w:val="005000F6"/>
    <w:rsid w:val="00500125"/>
    <w:rsid w:val="00500301"/>
    <w:rsid w:val="00500469"/>
    <w:rsid w:val="005005D4"/>
    <w:rsid w:val="00500612"/>
    <w:rsid w:val="005006A9"/>
    <w:rsid w:val="005006B3"/>
    <w:rsid w:val="00500923"/>
    <w:rsid w:val="00500A08"/>
    <w:rsid w:val="00500A61"/>
    <w:rsid w:val="00500B2E"/>
    <w:rsid w:val="00500B58"/>
    <w:rsid w:val="00500B7E"/>
    <w:rsid w:val="00500DFE"/>
    <w:rsid w:val="00500F5A"/>
    <w:rsid w:val="0050100B"/>
    <w:rsid w:val="005011EF"/>
    <w:rsid w:val="0050170F"/>
    <w:rsid w:val="00501842"/>
    <w:rsid w:val="00501B23"/>
    <w:rsid w:val="00501CCE"/>
    <w:rsid w:val="00501D23"/>
    <w:rsid w:val="00501FC5"/>
    <w:rsid w:val="00502070"/>
    <w:rsid w:val="00502263"/>
    <w:rsid w:val="005023B8"/>
    <w:rsid w:val="0050257F"/>
    <w:rsid w:val="005025EB"/>
    <w:rsid w:val="00502780"/>
    <w:rsid w:val="00502A2F"/>
    <w:rsid w:val="00502AA9"/>
    <w:rsid w:val="00502B4F"/>
    <w:rsid w:val="00502D3C"/>
    <w:rsid w:val="00502ECA"/>
    <w:rsid w:val="00502F06"/>
    <w:rsid w:val="0050300D"/>
    <w:rsid w:val="00503056"/>
    <w:rsid w:val="0050309C"/>
    <w:rsid w:val="00503172"/>
    <w:rsid w:val="005031E1"/>
    <w:rsid w:val="00503267"/>
    <w:rsid w:val="005033FC"/>
    <w:rsid w:val="00503553"/>
    <w:rsid w:val="00503615"/>
    <w:rsid w:val="00503625"/>
    <w:rsid w:val="00503837"/>
    <w:rsid w:val="0050389B"/>
    <w:rsid w:val="0050395C"/>
    <w:rsid w:val="00503AA8"/>
    <w:rsid w:val="00503AD6"/>
    <w:rsid w:val="00503D61"/>
    <w:rsid w:val="00503FBF"/>
    <w:rsid w:val="00504081"/>
    <w:rsid w:val="005043A7"/>
    <w:rsid w:val="00504416"/>
    <w:rsid w:val="00504453"/>
    <w:rsid w:val="0050449C"/>
    <w:rsid w:val="00504557"/>
    <w:rsid w:val="005049DE"/>
    <w:rsid w:val="00504A20"/>
    <w:rsid w:val="00504B72"/>
    <w:rsid w:val="00504C1A"/>
    <w:rsid w:val="00504DC3"/>
    <w:rsid w:val="00504EAA"/>
    <w:rsid w:val="005050B6"/>
    <w:rsid w:val="0050519E"/>
    <w:rsid w:val="005052CF"/>
    <w:rsid w:val="0050541B"/>
    <w:rsid w:val="0050559D"/>
    <w:rsid w:val="005055FF"/>
    <w:rsid w:val="005056A0"/>
    <w:rsid w:val="00505736"/>
    <w:rsid w:val="00505741"/>
    <w:rsid w:val="0050582F"/>
    <w:rsid w:val="00505A0B"/>
    <w:rsid w:val="00505C67"/>
    <w:rsid w:val="00505CF5"/>
    <w:rsid w:val="00505E3C"/>
    <w:rsid w:val="005060DF"/>
    <w:rsid w:val="00506295"/>
    <w:rsid w:val="0050631B"/>
    <w:rsid w:val="005063C1"/>
    <w:rsid w:val="0050665C"/>
    <w:rsid w:val="005067DE"/>
    <w:rsid w:val="00506827"/>
    <w:rsid w:val="00506898"/>
    <w:rsid w:val="00506DCC"/>
    <w:rsid w:val="00506E4F"/>
    <w:rsid w:val="00506ED0"/>
    <w:rsid w:val="00506FA0"/>
    <w:rsid w:val="00507079"/>
    <w:rsid w:val="00507140"/>
    <w:rsid w:val="0050751D"/>
    <w:rsid w:val="00507581"/>
    <w:rsid w:val="0050765E"/>
    <w:rsid w:val="005076D8"/>
    <w:rsid w:val="005078BC"/>
    <w:rsid w:val="005078C9"/>
    <w:rsid w:val="005079B4"/>
    <w:rsid w:val="005079DD"/>
    <w:rsid w:val="00507D72"/>
    <w:rsid w:val="00510263"/>
    <w:rsid w:val="005102AE"/>
    <w:rsid w:val="005102D9"/>
    <w:rsid w:val="0051069F"/>
    <w:rsid w:val="0051075B"/>
    <w:rsid w:val="00510864"/>
    <w:rsid w:val="00510A41"/>
    <w:rsid w:val="00510A5D"/>
    <w:rsid w:val="00510B1B"/>
    <w:rsid w:val="00510BD1"/>
    <w:rsid w:val="00510EE9"/>
    <w:rsid w:val="00510F5E"/>
    <w:rsid w:val="00510F94"/>
    <w:rsid w:val="00510FAB"/>
    <w:rsid w:val="005110C9"/>
    <w:rsid w:val="0051118E"/>
    <w:rsid w:val="00511289"/>
    <w:rsid w:val="005112B8"/>
    <w:rsid w:val="0051137A"/>
    <w:rsid w:val="0051150F"/>
    <w:rsid w:val="005115A6"/>
    <w:rsid w:val="00511684"/>
    <w:rsid w:val="00511A7C"/>
    <w:rsid w:val="00511ACA"/>
    <w:rsid w:val="00511B0C"/>
    <w:rsid w:val="00511BC5"/>
    <w:rsid w:val="00511BD6"/>
    <w:rsid w:val="00511C8A"/>
    <w:rsid w:val="00511D3A"/>
    <w:rsid w:val="0051201E"/>
    <w:rsid w:val="005122EF"/>
    <w:rsid w:val="005123D1"/>
    <w:rsid w:val="005124B5"/>
    <w:rsid w:val="005124F7"/>
    <w:rsid w:val="005126F3"/>
    <w:rsid w:val="00512832"/>
    <w:rsid w:val="00512889"/>
    <w:rsid w:val="00512A7F"/>
    <w:rsid w:val="00512AA4"/>
    <w:rsid w:val="00512C70"/>
    <w:rsid w:val="00512E45"/>
    <w:rsid w:val="00512EA2"/>
    <w:rsid w:val="00513358"/>
    <w:rsid w:val="005134CF"/>
    <w:rsid w:val="005136F1"/>
    <w:rsid w:val="0051371F"/>
    <w:rsid w:val="005137BA"/>
    <w:rsid w:val="005138A2"/>
    <w:rsid w:val="00513972"/>
    <w:rsid w:val="00513995"/>
    <w:rsid w:val="005139BB"/>
    <w:rsid w:val="00513A13"/>
    <w:rsid w:val="00513C3D"/>
    <w:rsid w:val="00514046"/>
    <w:rsid w:val="00514058"/>
    <w:rsid w:val="00514279"/>
    <w:rsid w:val="00514299"/>
    <w:rsid w:val="005142A7"/>
    <w:rsid w:val="00514336"/>
    <w:rsid w:val="00514410"/>
    <w:rsid w:val="0051442D"/>
    <w:rsid w:val="005146C5"/>
    <w:rsid w:val="00514727"/>
    <w:rsid w:val="00514B93"/>
    <w:rsid w:val="00514D8C"/>
    <w:rsid w:val="00514E11"/>
    <w:rsid w:val="00514F0A"/>
    <w:rsid w:val="005151C8"/>
    <w:rsid w:val="0051525E"/>
    <w:rsid w:val="00515491"/>
    <w:rsid w:val="00515778"/>
    <w:rsid w:val="005159F7"/>
    <w:rsid w:val="005159F8"/>
    <w:rsid w:val="00515A1A"/>
    <w:rsid w:val="00515B5B"/>
    <w:rsid w:val="00515B6A"/>
    <w:rsid w:val="00515BE2"/>
    <w:rsid w:val="00515D63"/>
    <w:rsid w:val="00515DCA"/>
    <w:rsid w:val="00515EC2"/>
    <w:rsid w:val="00515FA2"/>
    <w:rsid w:val="00515FAA"/>
    <w:rsid w:val="00516058"/>
    <w:rsid w:val="005160BB"/>
    <w:rsid w:val="005161F9"/>
    <w:rsid w:val="00516299"/>
    <w:rsid w:val="00516557"/>
    <w:rsid w:val="00516573"/>
    <w:rsid w:val="00516959"/>
    <w:rsid w:val="00516A65"/>
    <w:rsid w:val="00516C84"/>
    <w:rsid w:val="00516D36"/>
    <w:rsid w:val="00516E32"/>
    <w:rsid w:val="00516EDD"/>
    <w:rsid w:val="00516FCC"/>
    <w:rsid w:val="00516FE0"/>
    <w:rsid w:val="0051703D"/>
    <w:rsid w:val="005171BF"/>
    <w:rsid w:val="005172FC"/>
    <w:rsid w:val="00517509"/>
    <w:rsid w:val="005176AD"/>
    <w:rsid w:val="00517999"/>
    <w:rsid w:val="00517A6A"/>
    <w:rsid w:val="00517B15"/>
    <w:rsid w:val="00517FDA"/>
    <w:rsid w:val="005204C7"/>
    <w:rsid w:val="0052052C"/>
    <w:rsid w:val="00520712"/>
    <w:rsid w:val="0052094C"/>
    <w:rsid w:val="00520DBF"/>
    <w:rsid w:val="00520F42"/>
    <w:rsid w:val="00521121"/>
    <w:rsid w:val="00521392"/>
    <w:rsid w:val="00521517"/>
    <w:rsid w:val="0052170A"/>
    <w:rsid w:val="005218AF"/>
    <w:rsid w:val="00521A93"/>
    <w:rsid w:val="00521D90"/>
    <w:rsid w:val="00521E5B"/>
    <w:rsid w:val="00521F03"/>
    <w:rsid w:val="0052206D"/>
    <w:rsid w:val="005221A2"/>
    <w:rsid w:val="005221C0"/>
    <w:rsid w:val="0052225E"/>
    <w:rsid w:val="0052229D"/>
    <w:rsid w:val="005222DE"/>
    <w:rsid w:val="00522433"/>
    <w:rsid w:val="0052244F"/>
    <w:rsid w:val="005224B3"/>
    <w:rsid w:val="0052260D"/>
    <w:rsid w:val="00522689"/>
    <w:rsid w:val="005227A6"/>
    <w:rsid w:val="00522AA5"/>
    <w:rsid w:val="00522E67"/>
    <w:rsid w:val="00522F6A"/>
    <w:rsid w:val="00523087"/>
    <w:rsid w:val="005233D1"/>
    <w:rsid w:val="00523423"/>
    <w:rsid w:val="0052347D"/>
    <w:rsid w:val="005235CB"/>
    <w:rsid w:val="005238AC"/>
    <w:rsid w:val="00523A14"/>
    <w:rsid w:val="00524768"/>
    <w:rsid w:val="0052499F"/>
    <w:rsid w:val="005249F2"/>
    <w:rsid w:val="00524A34"/>
    <w:rsid w:val="00524A87"/>
    <w:rsid w:val="00524E2B"/>
    <w:rsid w:val="00524F0F"/>
    <w:rsid w:val="00524F59"/>
    <w:rsid w:val="0052531F"/>
    <w:rsid w:val="005259E3"/>
    <w:rsid w:val="00525A7F"/>
    <w:rsid w:val="00525E0D"/>
    <w:rsid w:val="005261E8"/>
    <w:rsid w:val="005261F4"/>
    <w:rsid w:val="00526343"/>
    <w:rsid w:val="00526384"/>
    <w:rsid w:val="005263BC"/>
    <w:rsid w:val="00526542"/>
    <w:rsid w:val="0052665A"/>
    <w:rsid w:val="00526669"/>
    <w:rsid w:val="00526A45"/>
    <w:rsid w:val="00526BB4"/>
    <w:rsid w:val="00526BC7"/>
    <w:rsid w:val="00526D2B"/>
    <w:rsid w:val="00526D94"/>
    <w:rsid w:val="00526DA0"/>
    <w:rsid w:val="00526E5A"/>
    <w:rsid w:val="00526EA4"/>
    <w:rsid w:val="00527030"/>
    <w:rsid w:val="0052711B"/>
    <w:rsid w:val="00527349"/>
    <w:rsid w:val="0052746D"/>
    <w:rsid w:val="005274CD"/>
    <w:rsid w:val="00527574"/>
    <w:rsid w:val="0052784E"/>
    <w:rsid w:val="00527860"/>
    <w:rsid w:val="00527898"/>
    <w:rsid w:val="00527D75"/>
    <w:rsid w:val="00527E82"/>
    <w:rsid w:val="00530158"/>
    <w:rsid w:val="00530452"/>
    <w:rsid w:val="005304E7"/>
    <w:rsid w:val="00530581"/>
    <w:rsid w:val="00530741"/>
    <w:rsid w:val="00530921"/>
    <w:rsid w:val="005309AC"/>
    <w:rsid w:val="005309E2"/>
    <w:rsid w:val="00530FC4"/>
    <w:rsid w:val="00531019"/>
    <w:rsid w:val="00531028"/>
    <w:rsid w:val="00531154"/>
    <w:rsid w:val="005312CB"/>
    <w:rsid w:val="005312D0"/>
    <w:rsid w:val="005316D8"/>
    <w:rsid w:val="005317DE"/>
    <w:rsid w:val="00531978"/>
    <w:rsid w:val="00531DBD"/>
    <w:rsid w:val="00531E3C"/>
    <w:rsid w:val="00531F6A"/>
    <w:rsid w:val="00531FE7"/>
    <w:rsid w:val="0053202F"/>
    <w:rsid w:val="0053203A"/>
    <w:rsid w:val="00532048"/>
    <w:rsid w:val="00532156"/>
    <w:rsid w:val="0053222E"/>
    <w:rsid w:val="00532289"/>
    <w:rsid w:val="0053239F"/>
    <w:rsid w:val="005327BD"/>
    <w:rsid w:val="0053299F"/>
    <w:rsid w:val="00532A24"/>
    <w:rsid w:val="00532AA4"/>
    <w:rsid w:val="00532AD6"/>
    <w:rsid w:val="00532ED5"/>
    <w:rsid w:val="005330BD"/>
    <w:rsid w:val="00533132"/>
    <w:rsid w:val="0053328F"/>
    <w:rsid w:val="005333EC"/>
    <w:rsid w:val="00533504"/>
    <w:rsid w:val="00533566"/>
    <w:rsid w:val="00533821"/>
    <w:rsid w:val="00533B0F"/>
    <w:rsid w:val="00533C9E"/>
    <w:rsid w:val="00533DB3"/>
    <w:rsid w:val="00533E4B"/>
    <w:rsid w:val="00534122"/>
    <w:rsid w:val="005343B7"/>
    <w:rsid w:val="00534521"/>
    <w:rsid w:val="00534681"/>
    <w:rsid w:val="00534705"/>
    <w:rsid w:val="005349BE"/>
    <w:rsid w:val="00534C7D"/>
    <w:rsid w:val="00534CAF"/>
    <w:rsid w:val="00534D7C"/>
    <w:rsid w:val="0053504E"/>
    <w:rsid w:val="0053509E"/>
    <w:rsid w:val="00535172"/>
    <w:rsid w:val="005351AA"/>
    <w:rsid w:val="005354B5"/>
    <w:rsid w:val="005357FF"/>
    <w:rsid w:val="00535A48"/>
    <w:rsid w:val="00535A53"/>
    <w:rsid w:val="00535B4A"/>
    <w:rsid w:val="00535B90"/>
    <w:rsid w:val="00535F57"/>
    <w:rsid w:val="00535F77"/>
    <w:rsid w:val="00536085"/>
    <w:rsid w:val="005361E6"/>
    <w:rsid w:val="005362FD"/>
    <w:rsid w:val="005363EF"/>
    <w:rsid w:val="00536406"/>
    <w:rsid w:val="00536518"/>
    <w:rsid w:val="005366C6"/>
    <w:rsid w:val="005369D1"/>
    <w:rsid w:val="00536A7B"/>
    <w:rsid w:val="00536CBD"/>
    <w:rsid w:val="00536D33"/>
    <w:rsid w:val="00536DFE"/>
    <w:rsid w:val="00536E8F"/>
    <w:rsid w:val="00536F29"/>
    <w:rsid w:val="00536FE2"/>
    <w:rsid w:val="00537246"/>
    <w:rsid w:val="005377C3"/>
    <w:rsid w:val="00537A2F"/>
    <w:rsid w:val="00537A67"/>
    <w:rsid w:val="00537D38"/>
    <w:rsid w:val="00537DBA"/>
    <w:rsid w:val="00537F8A"/>
    <w:rsid w:val="00537FA8"/>
    <w:rsid w:val="00537FAE"/>
    <w:rsid w:val="005401FF"/>
    <w:rsid w:val="005403DC"/>
    <w:rsid w:val="00540674"/>
    <w:rsid w:val="00540AD3"/>
    <w:rsid w:val="00540B4E"/>
    <w:rsid w:val="00540BC5"/>
    <w:rsid w:val="00540C67"/>
    <w:rsid w:val="0054102F"/>
    <w:rsid w:val="005410D5"/>
    <w:rsid w:val="00541104"/>
    <w:rsid w:val="00541133"/>
    <w:rsid w:val="005412B2"/>
    <w:rsid w:val="005412E2"/>
    <w:rsid w:val="00541780"/>
    <w:rsid w:val="005418E8"/>
    <w:rsid w:val="00541A6D"/>
    <w:rsid w:val="00541A89"/>
    <w:rsid w:val="00541B7F"/>
    <w:rsid w:val="00541BD9"/>
    <w:rsid w:val="00541C01"/>
    <w:rsid w:val="00541D5C"/>
    <w:rsid w:val="00541D7A"/>
    <w:rsid w:val="00541F0C"/>
    <w:rsid w:val="00541F79"/>
    <w:rsid w:val="005421C4"/>
    <w:rsid w:val="005421CE"/>
    <w:rsid w:val="005425EE"/>
    <w:rsid w:val="0054260B"/>
    <w:rsid w:val="005426D1"/>
    <w:rsid w:val="00542A0B"/>
    <w:rsid w:val="00542B2A"/>
    <w:rsid w:val="00542B50"/>
    <w:rsid w:val="00542FF4"/>
    <w:rsid w:val="00543242"/>
    <w:rsid w:val="005434F4"/>
    <w:rsid w:val="0054366B"/>
    <w:rsid w:val="005437AF"/>
    <w:rsid w:val="0054396B"/>
    <w:rsid w:val="00543AA7"/>
    <w:rsid w:val="00543B24"/>
    <w:rsid w:val="00543B5E"/>
    <w:rsid w:val="00543C3F"/>
    <w:rsid w:val="00543D7B"/>
    <w:rsid w:val="00543EDC"/>
    <w:rsid w:val="0054429A"/>
    <w:rsid w:val="005443EE"/>
    <w:rsid w:val="005445FA"/>
    <w:rsid w:val="0054474E"/>
    <w:rsid w:val="0054479D"/>
    <w:rsid w:val="005448B9"/>
    <w:rsid w:val="00544A8F"/>
    <w:rsid w:val="00544AC0"/>
    <w:rsid w:val="00544B54"/>
    <w:rsid w:val="00544B7B"/>
    <w:rsid w:val="00544C0A"/>
    <w:rsid w:val="00544CE3"/>
    <w:rsid w:val="00544EA0"/>
    <w:rsid w:val="00545380"/>
    <w:rsid w:val="005457F6"/>
    <w:rsid w:val="00545910"/>
    <w:rsid w:val="0054596F"/>
    <w:rsid w:val="005459D3"/>
    <w:rsid w:val="00545AD5"/>
    <w:rsid w:val="00545CEA"/>
    <w:rsid w:val="00546007"/>
    <w:rsid w:val="00546607"/>
    <w:rsid w:val="005469D3"/>
    <w:rsid w:val="00546AA1"/>
    <w:rsid w:val="00546BA0"/>
    <w:rsid w:val="00546C83"/>
    <w:rsid w:val="00546D49"/>
    <w:rsid w:val="00546E28"/>
    <w:rsid w:val="00546F66"/>
    <w:rsid w:val="00546FE4"/>
    <w:rsid w:val="0054707C"/>
    <w:rsid w:val="0054716E"/>
    <w:rsid w:val="005471A9"/>
    <w:rsid w:val="00547398"/>
    <w:rsid w:val="00547596"/>
    <w:rsid w:val="0054770B"/>
    <w:rsid w:val="00547835"/>
    <w:rsid w:val="00547898"/>
    <w:rsid w:val="00547A8C"/>
    <w:rsid w:val="00547B5F"/>
    <w:rsid w:val="00547B93"/>
    <w:rsid w:val="00547D00"/>
    <w:rsid w:val="00547D22"/>
    <w:rsid w:val="00547EE0"/>
    <w:rsid w:val="0055007D"/>
    <w:rsid w:val="005500E2"/>
    <w:rsid w:val="0055029C"/>
    <w:rsid w:val="005502E8"/>
    <w:rsid w:val="005503A1"/>
    <w:rsid w:val="005503DA"/>
    <w:rsid w:val="0055041A"/>
    <w:rsid w:val="00550433"/>
    <w:rsid w:val="00550756"/>
    <w:rsid w:val="00550799"/>
    <w:rsid w:val="00550842"/>
    <w:rsid w:val="00550861"/>
    <w:rsid w:val="005508D1"/>
    <w:rsid w:val="005509D1"/>
    <w:rsid w:val="00550A9F"/>
    <w:rsid w:val="00550ABF"/>
    <w:rsid w:val="00550D0B"/>
    <w:rsid w:val="00550E04"/>
    <w:rsid w:val="00550EFC"/>
    <w:rsid w:val="0055101C"/>
    <w:rsid w:val="00551217"/>
    <w:rsid w:val="00551237"/>
    <w:rsid w:val="0055124B"/>
    <w:rsid w:val="00551475"/>
    <w:rsid w:val="005514C2"/>
    <w:rsid w:val="005516B7"/>
    <w:rsid w:val="0055176B"/>
    <w:rsid w:val="00551D14"/>
    <w:rsid w:val="00551E26"/>
    <w:rsid w:val="00552128"/>
    <w:rsid w:val="00552152"/>
    <w:rsid w:val="005521C3"/>
    <w:rsid w:val="00552315"/>
    <w:rsid w:val="00552508"/>
    <w:rsid w:val="0055259F"/>
    <w:rsid w:val="005528EF"/>
    <w:rsid w:val="0055296C"/>
    <w:rsid w:val="005529E1"/>
    <w:rsid w:val="005529EE"/>
    <w:rsid w:val="00552C8B"/>
    <w:rsid w:val="00552E8B"/>
    <w:rsid w:val="00552FD4"/>
    <w:rsid w:val="005531A7"/>
    <w:rsid w:val="00553267"/>
    <w:rsid w:val="00553362"/>
    <w:rsid w:val="00553392"/>
    <w:rsid w:val="0055343B"/>
    <w:rsid w:val="00553474"/>
    <w:rsid w:val="005536BB"/>
    <w:rsid w:val="005537FE"/>
    <w:rsid w:val="00553AA1"/>
    <w:rsid w:val="00553BEF"/>
    <w:rsid w:val="00553D40"/>
    <w:rsid w:val="005540A1"/>
    <w:rsid w:val="005541D2"/>
    <w:rsid w:val="00554425"/>
    <w:rsid w:val="0055447F"/>
    <w:rsid w:val="00554494"/>
    <w:rsid w:val="005544C8"/>
    <w:rsid w:val="005544CD"/>
    <w:rsid w:val="0055480F"/>
    <w:rsid w:val="0055487E"/>
    <w:rsid w:val="0055494E"/>
    <w:rsid w:val="00554971"/>
    <w:rsid w:val="00554B4D"/>
    <w:rsid w:val="00554EEE"/>
    <w:rsid w:val="00554F2C"/>
    <w:rsid w:val="00554F98"/>
    <w:rsid w:val="00554FF8"/>
    <w:rsid w:val="0055519E"/>
    <w:rsid w:val="005552F4"/>
    <w:rsid w:val="00555315"/>
    <w:rsid w:val="005554DC"/>
    <w:rsid w:val="00555774"/>
    <w:rsid w:val="00555781"/>
    <w:rsid w:val="005557DB"/>
    <w:rsid w:val="0055589E"/>
    <w:rsid w:val="00555B1B"/>
    <w:rsid w:val="00555B7E"/>
    <w:rsid w:val="00555C0E"/>
    <w:rsid w:val="00555CB0"/>
    <w:rsid w:val="00555D81"/>
    <w:rsid w:val="00555FAD"/>
    <w:rsid w:val="00555FE0"/>
    <w:rsid w:val="00556098"/>
    <w:rsid w:val="00556546"/>
    <w:rsid w:val="00556751"/>
    <w:rsid w:val="00556972"/>
    <w:rsid w:val="00556B29"/>
    <w:rsid w:val="00556B5F"/>
    <w:rsid w:val="00556CB4"/>
    <w:rsid w:val="00556E89"/>
    <w:rsid w:val="00556F2C"/>
    <w:rsid w:val="0055702B"/>
    <w:rsid w:val="00557186"/>
    <w:rsid w:val="005572DA"/>
    <w:rsid w:val="0055736A"/>
    <w:rsid w:val="005576AD"/>
    <w:rsid w:val="005576C3"/>
    <w:rsid w:val="00557763"/>
    <w:rsid w:val="0055779C"/>
    <w:rsid w:val="00557839"/>
    <w:rsid w:val="0055793A"/>
    <w:rsid w:val="00557A57"/>
    <w:rsid w:val="00557ECE"/>
    <w:rsid w:val="00557F36"/>
    <w:rsid w:val="00560288"/>
    <w:rsid w:val="00560310"/>
    <w:rsid w:val="00560312"/>
    <w:rsid w:val="005604F5"/>
    <w:rsid w:val="00560960"/>
    <w:rsid w:val="00560B87"/>
    <w:rsid w:val="00561259"/>
    <w:rsid w:val="005612E8"/>
    <w:rsid w:val="00561362"/>
    <w:rsid w:val="00561873"/>
    <w:rsid w:val="00561A65"/>
    <w:rsid w:val="00561E73"/>
    <w:rsid w:val="00561FE9"/>
    <w:rsid w:val="005620F5"/>
    <w:rsid w:val="005621F1"/>
    <w:rsid w:val="00562260"/>
    <w:rsid w:val="0056230A"/>
    <w:rsid w:val="0056242B"/>
    <w:rsid w:val="0056271A"/>
    <w:rsid w:val="005627F0"/>
    <w:rsid w:val="0056302A"/>
    <w:rsid w:val="00563089"/>
    <w:rsid w:val="00563165"/>
    <w:rsid w:val="00563562"/>
    <w:rsid w:val="005638E9"/>
    <w:rsid w:val="00563967"/>
    <w:rsid w:val="00563ABC"/>
    <w:rsid w:val="005640DF"/>
    <w:rsid w:val="005642EC"/>
    <w:rsid w:val="00564545"/>
    <w:rsid w:val="00564753"/>
    <w:rsid w:val="00564866"/>
    <w:rsid w:val="005649B6"/>
    <w:rsid w:val="00564D24"/>
    <w:rsid w:val="00564EAA"/>
    <w:rsid w:val="00564F4F"/>
    <w:rsid w:val="0056509E"/>
    <w:rsid w:val="0056537E"/>
    <w:rsid w:val="00565440"/>
    <w:rsid w:val="005656EF"/>
    <w:rsid w:val="005657BD"/>
    <w:rsid w:val="00565906"/>
    <w:rsid w:val="00565A69"/>
    <w:rsid w:val="00565C10"/>
    <w:rsid w:val="00565DE9"/>
    <w:rsid w:val="00566070"/>
    <w:rsid w:val="00566084"/>
    <w:rsid w:val="00566489"/>
    <w:rsid w:val="0056665D"/>
    <w:rsid w:val="0056680A"/>
    <w:rsid w:val="00566815"/>
    <w:rsid w:val="00566879"/>
    <w:rsid w:val="0056693F"/>
    <w:rsid w:val="00566C60"/>
    <w:rsid w:val="00566CAB"/>
    <w:rsid w:val="00566E12"/>
    <w:rsid w:val="00566E65"/>
    <w:rsid w:val="00566FC0"/>
    <w:rsid w:val="00567003"/>
    <w:rsid w:val="005671DD"/>
    <w:rsid w:val="00567230"/>
    <w:rsid w:val="0056734C"/>
    <w:rsid w:val="00567369"/>
    <w:rsid w:val="0056738E"/>
    <w:rsid w:val="00567CB1"/>
    <w:rsid w:val="00567E07"/>
    <w:rsid w:val="00567EF5"/>
    <w:rsid w:val="00567F7D"/>
    <w:rsid w:val="00570321"/>
    <w:rsid w:val="00570356"/>
    <w:rsid w:val="00570430"/>
    <w:rsid w:val="0057059E"/>
    <w:rsid w:val="0057088D"/>
    <w:rsid w:val="0057093A"/>
    <w:rsid w:val="005709A6"/>
    <w:rsid w:val="00570AAA"/>
    <w:rsid w:val="00570B6B"/>
    <w:rsid w:val="005711FC"/>
    <w:rsid w:val="005712B6"/>
    <w:rsid w:val="00571399"/>
    <w:rsid w:val="005714FD"/>
    <w:rsid w:val="0057159A"/>
    <w:rsid w:val="005716A7"/>
    <w:rsid w:val="005717FD"/>
    <w:rsid w:val="005718CE"/>
    <w:rsid w:val="005718EC"/>
    <w:rsid w:val="0057194D"/>
    <w:rsid w:val="00571A58"/>
    <w:rsid w:val="00571C9B"/>
    <w:rsid w:val="00572320"/>
    <w:rsid w:val="00572351"/>
    <w:rsid w:val="005723D2"/>
    <w:rsid w:val="0057255E"/>
    <w:rsid w:val="00572A1D"/>
    <w:rsid w:val="00572AAC"/>
    <w:rsid w:val="00572C9C"/>
    <w:rsid w:val="00572D17"/>
    <w:rsid w:val="00572E8D"/>
    <w:rsid w:val="0057313C"/>
    <w:rsid w:val="005731D9"/>
    <w:rsid w:val="0057320F"/>
    <w:rsid w:val="0057322D"/>
    <w:rsid w:val="00573323"/>
    <w:rsid w:val="005733F9"/>
    <w:rsid w:val="005735B1"/>
    <w:rsid w:val="005735CB"/>
    <w:rsid w:val="0057366F"/>
    <w:rsid w:val="00573760"/>
    <w:rsid w:val="005737C5"/>
    <w:rsid w:val="0057393A"/>
    <w:rsid w:val="005739BE"/>
    <w:rsid w:val="00573C7D"/>
    <w:rsid w:val="00573F10"/>
    <w:rsid w:val="00574029"/>
    <w:rsid w:val="00574132"/>
    <w:rsid w:val="0057422D"/>
    <w:rsid w:val="0057471B"/>
    <w:rsid w:val="00574799"/>
    <w:rsid w:val="0057486F"/>
    <w:rsid w:val="005748A2"/>
    <w:rsid w:val="00574A69"/>
    <w:rsid w:val="00574C0B"/>
    <w:rsid w:val="00574DC1"/>
    <w:rsid w:val="00574E10"/>
    <w:rsid w:val="00575022"/>
    <w:rsid w:val="0057517C"/>
    <w:rsid w:val="005753D2"/>
    <w:rsid w:val="0057546B"/>
    <w:rsid w:val="00575560"/>
    <w:rsid w:val="0057559C"/>
    <w:rsid w:val="00575636"/>
    <w:rsid w:val="005757DC"/>
    <w:rsid w:val="00575820"/>
    <w:rsid w:val="005758B3"/>
    <w:rsid w:val="00575B54"/>
    <w:rsid w:val="00575B7A"/>
    <w:rsid w:val="00575B9A"/>
    <w:rsid w:val="00575BD0"/>
    <w:rsid w:val="00575E54"/>
    <w:rsid w:val="00575E6C"/>
    <w:rsid w:val="00575FE6"/>
    <w:rsid w:val="00576025"/>
    <w:rsid w:val="005761F5"/>
    <w:rsid w:val="00576343"/>
    <w:rsid w:val="005765BF"/>
    <w:rsid w:val="00576859"/>
    <w:rsid w:val="005768EB"/>
    <w:rsid w:val="005769C6"/>
    <w:rsid w:val="00576C07"/>
    <w:rsid w:val="00576F55"/>
    <w:rsid w:val="00576F7B"/>
    <w:rsid w:val="00576FAC"/>
    <w:rsid w:val="00577039"/>
    <w:rsid w:val="00577042"/>
    <w:rsid w:val="00577071"/>
    <w:rsid w:val="0057734B"/>
    <w:rsid w:val="00577DD6"/>
    <w:rsid w:val="00577F0A"/>
    <w:rsid w:val="00577F86"/>
    <w:rsid w:val="00577FA6"/>
    <w:rsid w:val="00580370"/>
    <w:rsid w:val="00580393"/>
    <w:rsid w:val="005805F1"/>
    <w:rsid w:val="00580854"/>
    <w:rsid w:val="005809CA"/>
    <w:rsid w:val="00580C33"/>
    <w:rsid w:val="00580D3D"/>
    <w:rsid w:val="00580DE5"/>
    <w:rsid w:val="00580F0D"/>
    <w:rsid w:val="00581071"/>
    <w:rsid w:val="0058118C"/>
    <w:rsid w:val="005811E6"/>
    <w:rsid w:val="005811FB"/>
    <w:rsid w:val="00581479"/>
    <w:rsid w:val="00581517"/>
    <w:rsid w:val="00581640"/>
    <w:rsid w:val="00581641"/>
    <w:rsid w:val="005816B2"/>
    <w:rsid w:val="0058194B"/>
    <w:rsid w:val="00581A63"/>
    <w:rsid w:val="00581C52"/>
    <w:rsid w:val="00581DFB"/>
    <w:rsid w:val="00581E2C"/>
    <w:rsid w:val="005820D3"/>
    <w:rsid w:val="005820D7"/>
    <w:rsid w:val="005821A3"/>
    <w:rsid w:val="005824BD"/>
    <w:rsid w:val="00582653"/>
    <w:rsid w:val="00582936"/>
    <w:rsid w:val="005829D3"/>
    <w:rsid w:val="00582B42"/>
    <w:rsid w:val="0058302F"/>
    <w:rsid w:val="005831E9"/>
    <w:rsid w:val="0058337D"/>
    <w:rsid w:val="005833BF"/>
    <w:rsid w:val="0058343A"/>
    <w:rsid w:val="005837BF"/>
    <w:rsid w:val="00583820"/>
    <w:rsid w:val="00583828"/>
    <w:rsid w:val="0058398E"/>
    <w:rsid w:val="00583D4C"/>
    <w:rsid w:val="00583D8B"/>
    <w:rsid w:val="00583DA1"/>
    <w:rsid w:val="00584061"/>
    <w:rsid w:val="0058408C"/>
    <w:rsid w:val="00584426"/>
    <w:rsid w:val="005844AB"/>
    <w:rsid w:val="0058458A"/>
    <w:rsid w:val="00584662"/>
    <w:rsid w:val="00584831"/>
    <w:rsid w:val="0058497A"/>
    <w:rsid w:val="005849C5"/>
    <w:rsid w:val="00584A36"/>
    <w:rsid w:val="00584C67"/>
    <w:rsid w:val="00584E80"/>
    <w:rsid w:val="00584EDB"/>
    <w:rsid w:val="0058500D"/>
    <w:rsid w:val="0058519B"/>
    <w:rsid w:val="005851C5"/>
    <w:rsid w:val="0058567F"/>
    <w:rsid w:val="005857CB"/>
    <w:rsid w:val="00585888"/>
    <w:rsid w:val="005859CA"/>
    <w:rsid w:val="00585B57"/>
    <w:rsid w:val="00585D6D"/>
    <w:rsid w:val="00585D84"/>
    <w:rsid w:val="0058646E"/>
    <w:rsid w:val="005864D4"/>
    <w:rsid w:val="0058655A"/>
    <w:rsid w:val="005868CF"/>
    <w:rsid w:val="00586C8C"/>
    <w:rsid w:val="00586CE5"/>
    <w:rsid w:val="00586D69"/>
    <w:rsid w:val="00587049"/>
    <w:rsid w:val="0058719D"/>
    <w:rsid w:val="005871DB"/>
    <w:rsid w:val="00587260"/>
    <w:rsid w:val="0058737A"/>
    <w:rsid w:val="00587466"/>
    <w:rsid w:val="005877C3"/>
    <w:rsid w:val="0058787D"/>
    <w:rsid w:val="0058790F"/>
    <w:rsid w:val="00587957"/>
    <w:rsid w:val="00587AA4"/>
    <w:rsid w:val="00587B54"/>
    <w:rsid w:val="00587BAC"/>
    <w:rsid w:val="00587BED"/>
    <w:rsid w:val="00587C68"/>
    <w:rsid w:val="00587C82"/>
    <w:rsid w:val="00587E2E"/>
    <w:rsid w:val="00587F2D"/>
    <w:rsid w:val="00590419"/>
    <w:rsid w:val="00590687"/>
    <w:rsid w:val="00590907"/>
    <w:rsid w:val="00590F62"/>
    <w:rsid w:val="00590F6D"/>
    <w:rsid w:val="005911E2"/>
    <w:rsid w:val="00591357"/>
    <w:rsid w:val="005915FF"/>
    <w:rsid w:val="0059185A"/>
    <w:rsid w:val="00591906"/>
    <w:rsid w:val="0059191A"/>
    <w:rsid w:val="00591995"/>
    <w:rsid w:val="00591C30"/>
    <w:rsid w:val="00591DD7"/>
    <w:rsid w:val="00591F8A"/>
    <w:rsid w:val="0059202E"/>
    <w:rsid w:val="005920AF"/>
    <w:rsid w:val="0059214B"/>
    <w:rsid w:val="005921D5"/>
    <w:rsid w:val="005923CC"/>
    <w:rsid w:val="0059246E"/>
    <w:rsid w:val="005924CE"/>
    <w:rsid w:val="00592904"/>
    <w:rsid w:val="00592CB9"/>
    <w:rsid w:val="00592D13"/>
    <w:rsid w:val="00592F58"/>
    <w:rsid w:val="00592F8C"/>
    <w:rsid w:val="0059314E"/>
    <w:rsid w:val="00593605"/>
    <w:rsid w:val="00593763"/>
    <w:rsid w:val="0059386E"/>
    <w:rsid w:val="00593886"/>
    <w:rsid w:val="00593891"/>
    <w:rsid w:val="00593C0D"/>
    <w:rsid w:val="00593C85"/>
    <w:rsid w:val="00593CD7"/>
    <w:rsid w:val="00593E2A"/>
    <w:rsid w:val="00593E4C"/>
    <w:rsid w:val="005942CE"/>
    <w:rsid w:val="005944D4"/>
    <w:rsid w:val="005947CD"/>
    <w:rsid w:val="0059485D"/>
    <w:rsid w:val="00594893"/>
    <w:rsid w:val="00594932"/>
    <w:rsid w:val="00594BD2"/>
    <w:rsid w:val="00594F0F"/>
    <w:rsid w:val="00594F17"/>
    <w:rsid w:val="00595098"/>
    <w:rsid w:val="005955FF"/>
    <w:rsid w:val="00595743"/>
    <w:rsid w:val="00595982"/>
    <w:rsid w:val="00595B0A"/>
    <w:rsid w:val="00595B2E"/>
    <w:rsid w:val="0059618B"/>
    <w:rsid w:val="0059677A"/>
    <w:rsid w:val="0059687E"/>
    <w:rsid w:val="00596987"/>
    <w:rsid w:val="00596F92"/>
    <w:rsid w:val="00597095"/>
    <w:rsid w:val="005970AE"/>
    <w:rsid w:val="005971E3"/>
    <w:rsid w:val="0059727C"/>
    <w:rsid w:val="005972BB"/>
    <w:rsid w:val="005972E0"/>
    <w:rsid w:val="00597304"/>
    <w:rsid w:val="0059741C"/>
    <w:rsid w:val="00597764"/>
    <w:rsid w:val="005979E1"/>
    <w:rsid w:val="00597ADC"/>
    <w:rsid w:val="00597AEF"/>
    <w:rsid w:val="00597BCE"/>
    <w:rsid w:val="00597DDB"/>
    <w:rsid w:val="005A001C"/>
    <w:rsid w:val="005A025E"/>
    <w:rsid w:val="005A0293"/>
    <w:rsid w:val="005A04A1"/>
    <w:rsid w:val="005A0586"/>
    <w:rsid w:val="005A0627"/>
    <w:rsid w:val="005A0846"/>
    <w:rsid w:val="005A0980"/>
    <w:rsid w:val="005A0AA6"/>
    <w:rsid w:val="005A0B66"/>
    <w:rsid w:val="005A0E02"/>
    <w:rsid w:val="005A0E3D"/>
    <w:rsid w:val="005A0E85"/>
    <w:rsid w:val="005A0F11"/>
    <w:rsid w:val="005A0F54"/>
    <w:rsid w:val="005A1053"/>
    <w:rsid w:val="005A10B3"/>
    <w:rsid w:val="005A12D7"/>
    <w:rsid w:val="005A13FC"/>
    <w:rsid w:val="005A1491"/>
    <w:rsid w:val="005A14B9"/>
    <w:rsid w:val="005A14EE"/>
    <w:rsid w:val="005A15DF"/>
    <w:rsid w:val="005A17FD"/>
    <w:rsid w:val="005A1DAD"/>
    <w:rsid w:val="005A1DD4"/>
    <w:rsid w:val="005A2015"/>
    <w:rsid w:val="005A20DB"/>
    <w:rsid w:val="005A2297"/>
    <w:rsid w:val="005A244C"/>
    <w:rsid w:val="005A2469"/>
    <w:rsid w:val="005A25F4"/>
    <w:rsid w:val="005A2A88"/>
    <w:rsid w:val="005A2BCD"/>
    <w:rsid w:val="005A2E30"/>
    <w:rsid w:val="005A310B"/>
    <w:rsid w:val="005A314C"/>
    <w:rsid w:val="005A3259"/>
    <w:rsid w:val="005A334A"/>
    <w:rsid w:val="005A346D"/>
    <w:rsid w:val="005A34B9"/>
    <w:rsid w:val="005A354E"/>
    <w:rsid w:val="005A3996"/>
    <w:rsid w:val="005A3ABD"/>
    <w:rsid w:val="005A3B0F"/>
    <w:rsid w:val="005A3DF9"/>
    <w:rsid w:val="005A3E20"/>
    <w:rsid w:val="005A412A"/>
    <w:rsid w:val="005A417A"/>
    <w:rsid w:val="005A427D"/>
    <w:rsid w:val="005A446F"/>
    <w:rsid w:val="005A482C"/>
    <w:rsid w:val="005A4D06"/>
    <w:rsid w:val="005A4ED8"/>
    <w:rsid w:val="005A4F22"/>
    <w:rsid w:val="005A5042"/>
    <w:rsid w:val="005A5089"/>
    <w:rsid w:val="005A5339"/>
    <w:rsid w:val="005A54F7"/>
    <w:rsid w:val="005A5907"/>
    <w:rsid w:val="005A5AB8"/>
    <w:rsid w:val="005A5D01"/>
    <w:rsid w:val="005A5E23"/>
    <w:rsid w:val="005A618E"/>
    <w:rsid w:val="005A6221"/>
    <w:rsid w:val="005A6262"/>
    <w:rsid w:val="005A6270"/>
    <w:rsid w:val="005A62F8"/>
    <w:rsid w:val="005A62FC"/>
    <w:rsid w:val="005A6639"/>
    <w:rsid w:val="005A6731"/>
    <w:rsid w:val="005A69D1"/>
    <w:rsid w:val="005A6C25"/>
    <w:rsid w:val="005A6DB4"/>
    <w:rsid w:val="005A6F36"/>
    <w:rsid w:val="005A6F8C"/>
    <w:rsid w:val="005A7477"/>
    <w:rsid w:val="005A760A"/>
    <w:rsid w:val="005A77DC"/>
    <w:rsid w:val="005A7A93"/>
    <w:rsid w:val="005A7B82"/>
    <w:rsid w:val="005A7EF7"/>
    <w:rsid w:val="005A7F41"/>
    <w:rsid w:val="005B027C"/>
    <w:rsid w:val="005B02F2"/>
    <w:rsid w:val="005B0603"/>
    <w:rsid w:val="005B0668"/>
    <w:rsid w:val="005B08A4"/>
    <w:rsid w:val="005B0ADB"/>
    <w:rsid w:val="005B0BAF"/>
    <w:rsid w:val="005B0C16"/>
    <w:rsid w:val="005B0C36"/>
    <w:rsid w:val="005B0D61"/>
    <w:rsid w:val="005B0D97"/>
    <w:rsid w:val="005B0FCB"/>
    <w:rsid w:val="005B1039"/>
    <w:rsid w:val="005B14FF"/>
    <w:rsid w:val="005B1B16"/>
    <w:rsid w:val="005B1B30"/>
    <w:rsid w:val="005B1BA5"/>
    <w:rsid w:val="005B1F52"/>
    <w:rsid w:val="005B1FD1"/>
    <w:rsid w:val="005B1FD5"/>
    <w:rsid w:val="005B207C"/>
    <w:rsid w:val="005B2105"/>
    <w:rsid w:val="005B2390"/>
    <w:rsid w:val="005B2627"/>
    <w:rsid w:val="005B2885"/>
    <w:rsid w:val="005B28AA"/>
    <w:rsid w:val="005B2975"/>
    <w:rsid w:val="005B2A77"/>
    <w:rsid w:val="005B2AA4"/>
    <w:rsid w:val="005B2B0B"/>
    <w:rsid w:val="005B2DBE"/>
    <w:rsid w:val="005B30C1"/>
    <w:rsid w:val="005B3302"/>
    <w:rsid w:val="005B33A7"/>
    <w:rsid w:val="005B33D0"/>
    <w:rsid w:val="005B355D"/>
    <w:rsid w:val="005B38F3"/>
    <w:rsid w:val="005B3927"/>
    <w:rsid w:val="005B3F36"/>
    <w:rsid w:val="005B3FF4"/>
    <w:rsid w:val="005B41B0"/>
    <w:rsid w:val="005B4246"/>
    <w:rsid w:val="005B42A3"/>
    <w:rsid w:val="005B434C"/>
    <w:rsid w:val="005B467B"/>
    <w:rsid w:val="005B4699"/>
    <w:rsid w:val="005B4756"/>
    <w:rsid w:val="005B4853"/>
    <w:rsid w:val="005B48CD"/>
    <w:rsid w:val="005B4B40"/>
    <w:rsid w:val="005B4F38"/>
    <w:rsid w:val="005B50FF"/>
    <w:rsid w:val="005B512E"/>
    <w:rsid w:val="005B53B4"/>
    <w:rsid w:val="005B5578"/>
    <w:rsid w:val="005B55E3"/>
    <w:rsid w:val="005B5617"/>
    <w:rsid w:val="005B56DE"/>
    <w:rsid w:val="005B56FF"/>
    <w:rsid w:val="005B5793"/>
    <w:rsid w:val="005B5970"/>
    <w:rsid w:val="005B5C80"/>
    <w:rsid w:val="005B5CFC"/>
    <w:rsid w:val="005B5D62"/>
    <w:rsid w:val="005B5E3F"/>
    <w:rsid w:val="005B5EFD"/>
    <w:rsid w:val="005B5F4D"/>
    <w:rsid w:val="005B60B5"/>
    <w:rsid w:val="005B633D"/>
    <w:rsid w:val="005B63DA"/>
    <w:rsid w:val="005B64DF"/>
    <w:rsid w:val="005B6837"/>
    <w:rsid w:val="005B6B44"/>
    <w:rsid w:val="005B6D42"/>
    <w:rsid w:val="005B7018"/>
    <w:rsid w:val="005B71F9"/>
    <w:rsid w:val="005B720A"/>
    <w:rsid w:val="005B729D"/>
    <w:rsid w:val="005B73ED"/>
    <w:rsid w:val="005B7488"/>
    <w:rsid w:val="005B7582"/>
    <w:rsid w:val="005B77FD"/>
    <w:rsid w:val="005B7856"/>
    <w:rsid w:val="005B7943"/>
    <w:rsid w:val="005B7A39"/>
    <w:rsid w:val="005B7A73"/>
    <w:rsid w:val="005B7E0E"/>
    <w:rsid w:val="005B7EE0"/>
    <w:rsid w:val="005B7F55"/>
    <w:rsid w:val="005C00F8"/>
    <w:rsid w:val="005C024B"/>
    <w:rsid w:val="005C0251"/>
    <w:rsid w:val="005C0333"/>
    <w:rsid w:val="005C050A"/>
    <w:rsid w:val="005C0640"/>
    <w:rsid w:val="005C06BB"/>
    <w:rsid w:val="005C084A"/>
    <w:rsid w:val="005C08BA"/>
    <w:rsid w:val="005C0A4E"/>
    <w:rsid w:val="005C0A6F"/>
    <w:rsid w:val="005C0B65"/>
    <w:rsid w:val="005C0B82"/>
    <w:rsid w:val="005C0BA6"/>
    <w:rsid w:val="005C0D66"/>
    <w:rsid w:val="005C0F8D"/>
    <w:rsid w:val="005C0FDE"/>
    <w:rsid w:val="005C1082"/>
    <w:rsid w:val="005C126B"/>
    <w:rsid w:val="005C1402"/>
    <w:rsid w:val="005C143C"/>
    <w:rsid w:val="005C145E"/>
    <w:rsid w:val="005C1489"/>
    <w:rsid w:val="005C1562"/>
    <w:rsid w:val="005C15E7"/>
    <w:rsid w:val="005C17CC"/>
    <w:rsid w:val="005C1859"/>
    <w:rsid w:val="005C196E"/>
    <w:rsid w:val="005C1ABC"/>
    <w:rsid w:val="005C1E57"/>
    <w:rsid w:val="005C240E"/>
    <w:rsid w:val="005C2433"/>
    <w:rsid w:val="005C248D"/>
    <w:rsid w:val="005C2552"/>
    <w:rsid w:val="005C25B0"/>
    <w:rsid w:val="005C26A6"/>
    <w:rsid w:val="005C27F6"/>
    <w:rsid w:val="005C27FB"/>
    <w:rsid w:val="005C2BE8"/>
    <w:rsid w:val="005C2EC7"/>
    <w:rsid w:val="005C3173"/>
    <w:rsid w:val="005C3220"/>
    <w:rsid w:val="005C356F"/>
    <w:rsid w:val="005C3757"/>
    <w:rsid w:val="005C37F2"/>
    <w:rsid w:val="005C39A5"/>
    <w:rsid w:val="005C3D90"/>
    <w:rsid w:val="005C3F28"/>
    <w:rsid w:val="005C42DB"/>
    <w:rsid w:val="005C4341"/>
    <w:rsid w:val="005C44F2"/>
    <w:rsid w:val="005C4570"/>
    <w:rsid w:val="005C463A"/>
    <w:rsid w:val="005C46D4"/>
    <w:rsid w:val="005C4865"/>
    <w:rsid w:val="005C4967"/>
    <w:rsid w:val="005C4C9A"/>
    <w:rsid w:val="005C4E32"/>
    <w:rsid w:val="005C4EFA"/>
    <w:rsid w:val="005C4F70"/>
    <w:rsid w:val="005C5105"/>
    <w:rsid w:val="005C5218"/>
    <w:rsid w:val="005C523F"/>
    <w:rsid w:val="005C532B"/>
    <w:rsid w:val="005C53E6"/>
    <w:rsid w:val="005C5535"/>
    <w:rsid w:val="005C5AF5"/>
    <w:rsid w:val="005C5B50"/>
    <w:rsid w:val="005C5CE2"/>
    <w:rsid w:val="005C5DF8"/>
    <w:rsid w:val="005C5E25"/>
    <w:rsid w:val="005C62BB"/>
    <w:rsid w:val="005C6467"/>
    <w:rsid w:val="005C647E"/>
    <w:rsid w:val="005C649D"/>
    <w:rsid w:val="005C6529"/>
    <w:rsid w:val="005C6579"/>
    <w:rsid w:val="005C673B"/>
    <w:rsid w:val="005C69C8"/>
    <w:rsid w:val="005C6A1D"/>
    <w:rsid w:val="005C6BB6"/>
    <w:rsid w:val="005C6D36"/>
    <w:rsid w:val="005C6DA2"/>
    <w:rsid w:val="005C6DE1"/>
    <w:rsid w:val="005C6E36"/>
    <w:rsid w:val="005C6E5B"/>
    <w:rsid w:val="005C6F49"/>
    <w:rsid w:val="005C6F8E"/>
    <w:rsid w:val="005C70E0"/>
    <w:rsid w:val="005C715C"/>
    <w:rsid w:val="005C72FC"/>
    <w:rsid w:val="005C75B1"/>
    <w:rsid w:val="005C78A8"/>
    <w:rsid w:val="005C78B1"/>
    <w:rsid w:val="005C7960"/>
    <w:rsid w:val="005C7B34"/>
    <w:rsid w:val="005C7BA7"/>
    <w:rsid w:val="005C7BF1"/>
    <w:rsid w:val="005C7DAC"/>
    <w:rsid w:val="005C7E3F"/>
    <w:rsid w:val="005C7EEE"/>
    <w:rsid w:val="005C7F12"/>
    <w:rsid w:val="005C7F6E"/>
    <w:rsid w:val="005D020A"/>
    <w:rsid w:val="005D0562"/>
    <w:rsid w:val="005D05F4"/>
    <w:rsid w:val="005D0799"/>
    <w:rsid w:val="005D07B8"/>
    <w:rsid w:val="005D08FE"/>
    <w:rsid w:val="005D0916"/>
    <w:rsid w:val="005D0D59"/>
    <w:rsid w:val="005D0F3E"/>
    <w:rsid w:val="005D116A"/>
    <w:rsid w:val="005D119E"/>
    <w:rsid w:val="005D166B"/>
    <w:rsid w:val="005D16DE"/>
    <w:rsid w:val="005D171E"/>
    <w:rsid w:val="005D178C"/>
    <w:rsid w:val="005D1828"/>
    <w:rsid w:val="005D1854"/>
    <w:rsid w:val="005D1861"/>
    <w:rsid w:val="005D1E4B"/>
    <w:rsid w:val="005D231A"/>
    <w:rsid w:val="005D279B"/>
    <w:rsid w:val="005D28E6"/>
    <w:rsid w:val="005D2907"/>
    <w:rsid w:val="005D2A25"/>
    <w:rsid w:val="005D2A99"/>
    <w:rsid w:val="005D2BBE"/>
    <w:rsid w:val="005D2BCC"/>
    <w:rsid w:val="005D2DA3"/>
    <w:rsid w:val="005D2F90"/>
    <w:rsid w:val="005D31F6"/>
    <w:rsid w:val="005D32B9"/>
    <w:rsid w:val="005D33BC"/>
    <w:rsid w:val="005D345A"/>
    <w:rsid w:val="005D38E3"/>
    <w:rsid w:val="005D39AF"/>
    <w:rsid w:val="005D3A87"/>
    <w:rsid w:val="005D3B0E"/>
    <w:rsid w:val="005D3C5D"/>
    <w:rsid w:val="005D3E04"/>
    <w:rsid w:val="005D3E17"/>
    <w:rsid w:val="005D3F9B"/>
    <w:rsid w:val="005D3FCD"/>
    <w:rsid w:val="005D403F"/>
    <w:rsid w:val="005D4177"/>
    <w:rsid w:val="005D4327"/>
    <w:rsid w:val="005D4658"/>
    <w:rsid w:val="005D46D3"/>
    <w:rsid w:val="005D476C"/>
    <w:rsid w:val="005D4882"/>
    <w:rsid w:val="005D48B8"/>
    <w:rsid w:val="005D4999"/>
    <w:rsid w:val="005D4A11"/>
    <w:rsid w:val="005D4A5E"/>
    <w:rsid w:val="005D4EC8"/>
    <w:rsid w:val="005D5110"/>
    <w:rsid w:val="005D536C"/>
    <w:rsid w:val="005D537E"/>
    <w:rsid w:val="005D5380"/>
    <w:rsid w:val="005D5585"/>
    <w:rsid w:val="005D55DD"/>
    <w:rsid w:val="005D56B0"/>
    <w:rsid w:val="005D5907"/>
    <w:rsid w:val="005D591B"/>
    <w:rsid w:val="005D5976"/>
    <w:rsid w:val="005D597A"/>
    <w:rsid w:val="005D5A9B"/>
    <w:rsid w:val="005D5C8D"/>
    <w:rsid w:val="005D5CCC"/>
    <w:rsid w:val="005D5EE9"/>
    <w:rsid w:val="005D5FEE"/>
    <w:rsid w:val="005D6135"/>
    <w:rsid w:val="005D6163"/>
    <w:rsid w:val="005D6200"/>
    <w:rsid w:val="005D63B5"/>
    <w:rsid w:val="005D67D1"/>
    <w:rsid w:val="005D68DA"/>
    <w:rsid w:val="005D692D"/>
    <w:rsid w:val="005D6A8F"/>
    <w:rsid w:val="005D6AC4"/>
    <w:rsid w:val="005D6AE1"/>
    <w:rsid w:val="005D6B6B"/>
    <w:rsid w:val="005D6C52"/>
    <w:rsid w:val="005D719B"/>
    <w:rsid w:val="005D7232"/>
    <w:rsid w:val="005D7533"/>
    <w:rsid w:val="005D75F2"/>
    <w:rsid w:val="005D76D3"/>
    <w:rsid w:val="005D789A"/>
    <w:rsid w:val="005D7913"/>
    <w:rsid w:val="005D7C5B"/>
    <w:rsid w:val="005D7DF8"/>
    <w:rsid w:val="005D7E42"/>
    <w:rsid w:val="005D7FFC"/>
    <w:rsid w:val="005E024A"/>
    <w:rsid w:val="005E0341"/>
    <w:rsid w:val="005E057F"/>
    <w:rsid w:val="005E076C"/>
    <w:rsid w:val="005E083C"/>
    <w:rsid w:val="005E090C"/>
    <w:rsid w:val="005E096A"/>
    <w:rsid w:val="005E0C4E"/>
    <w:rsid w:val="005E0E08"/>
    <w:rsid w:val="005E0E26"/>
    <w:rsid w:val="005E1066"/>
    <w:rsid w:val="005E10A3"/>
    <w:rsid w:val="005E129D"/>
    <w:rsid w:val="005E1377"/>
    <w:rsid w:val="005E137C"/>
    <w:rsid w:val="005E1396"/>
    <w:rsid w:val="005E1490"/>
    <w:rsid w:val="005E1502"/>
    <w:rsid w:val="005E1798"/>
    <w:rsid w:val="005E1B71"/>
    <w:rsid w:val="005E1BDC"/>
    <w:rsid w:val="005E1CCB"/>
    <w:rsid w:val="005E1E17"/>
    <w:rsid w:val="005E1F19"/>
    <w:rsid w:val="005E2094"/>
    <w:rsid w:val="005E215D"/>
    <w:rsid w:val="005E242A"/>
    <w:rsid w:val="005E2452"/>
    <w:rsid w:val="005E254A"/>
    <w:rsid w:val="005E27A7"/>
    <w:rsid w:val="005E27DF"/>
    <w:rsid w:val="005E2939"/>
    <w:rsid w:val="005E2967"/>
    <w:rsid w:val="005E2A7B"/>
    <w:rsid w:val="005E2CBC"/>
    <w:rsid w:val="005E2DEB"/>
    <w:rsid w:val="005E2F49"/>
    <w:rsid w:val="005E2FEE"/>
    <w:rsid w:val="005E318A"/>
    <w:rsid w:val="005E325C"/>
    <w:rsid w:val="005E3308"/>
    <w:rsid w:val="005E348B"/>
    <w:rsid w:val="005E378A"/>
    <w:rsid w:val="005E37D3"/>
    <w:rsid w:val="005E3A21"/>
    <w:rsid w:val="005E3B70"/>
    <w:rsid w:val="005E3DB6"/>
    <w:rsid w:val="005E3E94"/>
    <w:rsid w:val="005E3EEC"/>
    <w:rsid w:val="005E3F85"/>
    <w:rsid w:val="005E4064"/>
    <w:rsid w:val="005E40C7"/>
    <w:rsid w:val="005E4170"/>
    <w:rsid w:val="005E4396"/>
    <w:rsid w:val="005E4452"/>
    <w:rsid w:val="005E446F"/>
    <w:rsid w:val="005E44C3"/>
    <w:rsid w:val="005E4533"/>
    <w:rsid w:val="005E45DF"/>
    <w:rsid w:val="005E46AE"/>
    <w:rsid w:val="005E4765"/>
    <w:rsid w:val="005E4901"/>
    <w:rsid w:val="005E4A4A"/>
    <w:rsid w:val="005E4A55"/>
    <w:rsid w:val="005E4A61"/>
    <w:rsid w:val="005E4DC7"/>
    <w:rsid w:val="005E4E7A"/>
    <w:rsid w:val="005E4EA7"/>
    <w:rsid w:val="005E4FAB"/>
    <w:rsid w:val="005E4FF5"/>
    <w:rsid w:val="005E511D"/>
    <w:rsid w:val="005E512D"/>
    <w:rsid w:val="005E5192"/>
    <w:rsid w:val="005E52AE"/>
    <w:rsid w:val="005E52E2"/>
    <w:rsid w:val="005E53BC"/>
    <w:rsid w:val="005E56C9"/>
    <w:rsid w:val="005E57D5"/>
    <w:rsid w:val="005E58FA"/>
    <w:rsid w:val="005E592E"/>
    <w:rsid w:val="005E59CC"/>
    <w:rsid w:val="005E5A30"/>
    <w:rsid w:val="005E5A76"/>
    <w:rsid w:val="005E5A7D"/>
    <w:rsid w:val="005E5A88"/>
    <w:rsid w:val="005E5B73"/>
    <w:rsid w:val="005E645F"/>
    <w:rsid w:val="005E661A"/>
    <w:rsid w:val="005E686B"/>
    <w:rsid w:val="005E6B52"/>
    <w:rsid w:val="005E6BEC"/>
    <w:rsid w:val="005E6BF1"/>
    <w:rsid w:val="005E725B"/>
    <w:rsid w:val="005E72C8"/>
    <w:rsid w:val="005E7E90"/>
    <w:rsid w:val="005F0206"/>
    <w:rsid w:val="005F0262"/>
    <w:rsid w:val="005F0350"/>
    <w:rsid w:val="005F0453"/>
    <w:rsid w:val="005F05FA"/>
    <w:rsid w:val="005F0777"/>
    <w:rsid w:val="005F07B7"/>
    <w:rsid w:val="005F07DA"/>
    <w:rsid w:val="005F0A2E"/>
    <w:rsid w:val="005F0CE6"/>
    <w:rsid w:val="005F1542"/>
    <w:rsid w:val="005F1585"/>
    <w:rsid w:val="005F15DB"/>
    <w:rsid w:val="005F15DC"/>
    <w:rsid w:val="005F1772"/>
    <w:rsid w:val="005F17C5"/>
    <w:rsid w:val="005F1806"/>
    <w:rsid w:val="005F181C"/>
    <w:rsid w:val="005F1935"/>
    <w:rsid w:val="005F1B95"/>
    <w:rsid w:val="005F1C63"/>
    <w:rsid w:val="005F1D24"/>
    <w:rsid w:val="005F1DE6"/>
    <w:rsid w:val="005F1E45"/>
    <w:rsid w:val="005F1EF8"/>
    <w:rsid w:val="005F1F4D"/>
    <w:rsid w:val="005F2613"/>
    <w:rsid w:val="005F2890"/>
    <w:rsid w:val="005F29FE"/>
    <w:rsid w:val="005F2A51"/>
    <w:rsid w:val="005F2AE5"/>
    <w:rsid w:val="005F2BC5"/>
    <w:rsid w:val="005F2BFA"/>
    <w:rsid w:val="005F2CE7"/>
    <w:rsid w:val="005F2E5D"/>
    <w:rsid w:val="005F2E70"/>
    <w:rsid w:val="005F2F54"/>
    <w:rsid w:val="005F3033"/>
    <w:rsid w:val="005F3392"/>
    <w:rsid w:val="005F342F"/>
    <w:rsid w:val="005F34AC"/>
    <w:rsid w:val="005F35DD"/>
    <w:rsid w:val="005F36EE"/>
    <w:rsid w:val="005F384C"/>
    <w:rsid w:val="005F3907"/>
    <w:rsid w:val="005F3A28"/>
    <w:rsid w:val="005F3B37"/>
    <w:rsid w:val="005F3B6D"/>
    <w:rsid w:val="005F3FC1"/>
    <w:rsid w:val="005F4077"/>
    <w:rsid w:val="005F40AD"/>
    <w:rsid w:val="005F41C6"/>
    <w:rsid w:val="005F4201"/>
    <w:rsid w:val="005F452A"/>
    <w:rsid w:val="005F4585"/>
    <w:rsid w:val="005F4853"/>
    <w:rsid w:val="005F4865"/>
    <w:rsid w:val="005F49CA"/>
    <w:rsid w:val="005F4C76"/>
    <w:rsid w:val="005F4CF4"/>
    <w:rsid w:val="005F4F2E"/>
    <w:rsid w:val="005F4F31"/>
    <w:rsid w:val="005F4FD4"/>
    <w:rsid w:val="005F5383"/>
    <w:rsid w:val="005F591E"/>
    <w:rsid w:val="005F5983"/>
    <w:rsid w:val="005F5A2E"/>
    <w:rsid w:val="005F5A5D"/>
    <w:rsid w:val="005F5AE2"/>
    <w:rsid w:val="005F5C6D"/>
    <w:rsid w:val="005F5FDF"/>
    <w:rsid w:val="005F5FF5"/>
    <w:rsid w:val="005F60AE"/>
    <w:rsid w:val="005F60DF"/>
    <w:rsid w:val="005F60E8"/>
    <w:rsid w:val="005F639B"/>
    <w:rsid w:val="005F6617"/>
    <w:rsid w:val="005F6658"/>
    <w:rsid w:val="005F670E"/>
    <w:rsid w:val="005F6743"/>
    <w:rsid w:val="005F68AF"/>
    <w:rsid w:val="005F68F9"/>
    <w:rsid w:val="005F6919"/>
    <w:rsid w:val="005F6BBC"/>
    <w:rsid w:val="005F6CB8"/>
    <w:rsid w:val="005F6FC3"/>
    <w:rsid w:val="005F7419"/>
    <w:rsid w:val="005F7425"/>
    <w:rsid w:val="005F78F3"/>
    <w:rsid w:val="005F78FA"/>
    <w:rsid w:val="005F7D85"/>
    <w:rsid w:val="0060000F"/>
    <w:rsid w:val="006003E0"/>
    <w:rsid w:val="006003F6"/>
    <w:rsid w:val="0060043E"/>
    <w:rsid w:val="006005FA"/>
    <w:rsid w:val="00600A34"/>
    <w:rsid w:val="00600DA0"/>
    <w:rsid w:val="00600EA9"/>
    <w:rsid w:val="006010BE"/>
    <w:rsid w:val="006011E0"/>
    <w:rsid w:val="00601292"/>
    <w:rsid w:val="006012E2"/>
    <w:rsid w:val="0060141A"/>
    <w:rsid w:val="00601469"/>
    <w:rsid w:val="006016EF"/>
    <w:rsid w:val="006016FC"/>
    <w:rsid w:val="00601A3D"/>
    <w:rsid w:val="00601B32"/>
    <w:rsid w:val="00601BA0"/>
    <w:rsid w:val="00601D4D"/>
    <w:rsid w:val="00601D7F"/>
    <w:rsid w:val="00601F3F"/>
    <w:rsid w:val="0060215A"/>
    <w:rsid w:val="006022D0"/>
    <w:rsid w:val="00602481"/>
    <w:rsid w:val="006025D1"/>
    <w:rsid w:val="006025EA"/>
    <w:rsid w:val="006025FD"/>
    <w:rsid w:val="00602802"/>
    <w:rsid w:val="0060288D"/>
    <w:rsid w:val="00602900"/>
    <w:rsid w:val="00602BD6"/>
    <w:rsid w:val="00602FB0"/>
    <w:rsid w:val="006031DE"/>
    <w:rsid w:val="00603344"/>
    <w:rsid w:val="0060336F"/>
    <w:rsid w:val="006034F7"/>
    <w:rsid w:val="0060351D"/>
    <w:rsid w:val="006036E7"/>
    <w:rsid w:val="006037C1"/>
    <w:rsid w:val="006038D6"/>
    <w:rsid w:val="00603B0F"/>
    <w:rsid w:val="00603CB9"/>
    <w:rsid w:val="00603D66"/>
    <w:rsid w:val="00603DA8"/>
    <w:rsid w:val="00603E12"/>
    <w:rsid w:val="006041B9"/>
    <w:rsid w:val="006043D6"/>
    <w:rsid w:val="00604457"/>
    <w:rsid w:val="006044CA"/>
    <w:rsid w:val="006048C4"/>
    <w:rsid w:val="00604906"/>
    <w:rsid w:val="00604AC1"/>
    <w:rsid w:val="00604B19"/>
    <w:rsid w:val="00604D2B"/>
    <w:rsid w:val="00604D71"/>
    <w:rsid w:val="00604DE3"/>
    <w:rsid w:val="00604E50"/>
    <w:rsid w:val="00604EE2"/>
    <w:rsid w:val="00604F62"/>
    <w:rsid w:val="00604F76"/>
    <w:rsid w:val="00604FC4"/>
    <w:rsid w:val="00604FD2"/>
    <w:rsid w:val="00605508"/>
    <w:rsid w:val="00605619"/>
    <w:rsid w:val="006056CE"/>
    <w:rsid w:val="006057B5"/>
    <w:rsid w:val="00605843"/>
    <w:rsid w:val="00605A79"/>
    <w:rsid w:val="00605BC7"/>
    <w:rsid w:val="00605BF6"/>
    <w:rsid w:val="00605C36"/>
    <w:rsid w:val="00606105"/>
    <w:rsid w:val="00606431"/>
    <w:rsid w:val="0060652F"/>
    <w:rsid w:val="00606765"/>
    <w:rsid w:val="00606815"/>
    <w:rsid w:val="006069C1"/>
    <w:rsid w:val="00606AB9"/>
    <w:rsid w:val="00606BE2"/>
    <w:rsid w:val="00606C13"/>
    <w:rsid w:val="00606CD7"/>
    <w:rsid w:val="00606CDE"/>
    <w:rsid w:val="00606E4E"/>
    <w:rsid w:val="00607111"/>
    <w:rsid w:val="006073C9"/>
    <w:rsid w:val="006074BE"/>
    <w:rsid w:val="00607558"/>
    <w:rsid w:val="006076A7"/>
    <w:rsid w:val="0060785D"/>
    <w:rsid w:val="006078E5"/>
    <w:rsid w:val="0060791E"/>
    <w:rsid w:val="00607927"/>
    <w:rsid w:val="0060796B"/>
    <w:rsid w:val="00607A81"/>
    <w:rsid w:val="00607BA5"/>
    <w:rsid w:val="00607E46"/>
    <w:rsid w:val="0061009C"/>
    <w:rsid w:val="006101EE"/>
    <w:rsid w:val="00610316"/>
    <w:rsid w:val="00610357"/>
    <w:rsid w:val="00610BE1"/>
    <w:rsid w:val="0061105C"/>
    <w:rsid w:val="00611100"/>
    <w:rsid w:val="00611214"/>
    <w:rsid w:val="0061127B"/>
    <w:rsid w:val="006114D5"/>
    <w:rsid w:val="00611553"/>
    <w:rsid w:val="006116EE"/>
    <w:rsid w:val="00611939"/>
    <w:rsid w:val="00611AD5"/>
    <w:rsid w:val="00611BF5"/>
    <w:rsid w:val="00611D24"/>
    <w:rsid w:val="00611DC5"/>
    <w:rsid w:val="00611E2C"/>
    <w:rsid w:val="00611E6D"/>
    <w:rsid w:val="00611E8C"/>
    <w:rsid w:val="00611F7F"/>
    <w:rsid w:val="0061205C"/>
    <w:rsid w:val="00612197"/>
    <w:rsid w:val="006122B1"/>
    <w:rsid w:val="00612388"/>
    <w:rsid w:val="00612493"/>
    <w:rsid w:val="006124D4"/>
    <w:rsid w:val="00612797"/>
    <w:rsid w:val="006127B7"/>
    <w:rsid w:val="006129F2"/>
    <w:rsid w:val="00612EB7"/>
    <w:rsid w:val="00613052"/>
    <w:rsid w:val="006130EE"/>
    <w:rsid w:val="006131EA"/>
    <w:rsid w:val="006131EC"/>
    <w:rsid w:val="006133B3"/>
    <w:rsid w:val="006134E6"/>
    <w:rsid w:val="00613775"/>
    <w:rsid w:val="00613A65"/>
    <w:rsid w:val="00613CBC"/>
    <w:rsid w:val="00614043"/>
    <w:rsid w:val="006140B4"/>
    <w:rsid w:val="00614217"/>
    <w:rsid w:val="006142A0"/>
    <w:rsid w:val="006142C4"/>
    <w:rsid w:val="00614410"/>
    <w:rsid w:val="0061453A"/>
    <w:rsid w:val="00614676"/>
    <w:rsid w:val="00614729"/>
    <w:rsid w:val="00614822"/>
    <w:rsid w:val="00614841"/>
    <w:rsid w:val="00614894"/>
    <w:rsid w:val="00614944"/>
    <w:rsid w:val="00614F5E"/>
    <w:rsid w:val="00615051"/>
    <w:rsid w:val="006151B9"/>
    <w:rsid w:val="0061538C"/>
    <w:rsid w:val="00615652"/>
    <w:rsid w:val="0061571E"/>
    <w:rsid w:val="00615A8F"/>
    <w:rsid w:val="00615D94"/>
    <w:rsid w:val="00616159"/>
    <w:rsid w:val="0061665C"/>
    <w:rsid w:val="006166EB"/>
    <w:rsid w:val="00616984"/>
    <w:rsid w:val="00616A0E"/>
    <w:rsid w:val="00616BA3"/>
    <w:rsid w:val="00616D97"/>
    <w:rsid w:val="00616E2E"/>
    <w:rsid w:val="00616E54"/>
    <w:rsid w:val="00616FC9"/>
    <w:rsid w:val="00617513"/>
    <w:rsid w:val="0061794A"/>
    <w:rsid w:val="00617B94"/>
    <w:rsid w:val="00617BD0"/>
    <w:rsid w:val="00617E13"/>
    <w:rsid w:val="00617F82"/>
    <w:rsid w:val="006203F7"/>
    <w:rsid w:val="00620596"/>
    <w:rsid w:val="00620821"/>
    <w:rsid w:val="00620B17"/>
    <w:rsid w:val="00620D58"/>
    <w:rsid w:val="00620E96"/>
    <w:rsid w:val="00620FAC"/>
    <w:rsid w:val="00621095"/>
    <w:rsid w:val="00621131"/>
    <w:rsid w:val="00621528"/>
    <w:rsid w:val="006216A9"/>
    <w:rsid w:val="006216DC"/>
    <w:rsid w:val="006217FE"/>
    <w:rsid w:val="0062185C"/>
    <w:rsid w:val="0062189E"/>
    <w:rsid w:val="00621A49"/>
    <w:rsid w:val="00621A5A"/>
    <w:rsid w:val="00621E17"/>
    <w:rsid w:val="00621F7D"/>
    <w:rsid w:val="00622015"/>
    <w:rsid w:val="006221D0"/>
    <w:rsid w:val="006226C3"/>
    <w:rsid w:val="0062294D"/>
    <w:rsid w:val="006229E9"/>
    <w:rsid w:val="00622CC8"/>
    <w:rsid w:val="00622CEB"/>
    <w:rsid w:val="00622E1D"/>
    <w:rsid w:val="00622E97"/>
    <w:rsid w:val="00622EC6"/>
    <w:rsid w:val="0062303C"/>
    <w:rsid w:val="00623536"/>
    <w:rsid w:val="006238B8"/>
    <w:rsid w:val="00623B61"/>
    <w:rsid w:val="00623C0F"/>
    <w:rsid w:val="00623D6E"/>
    <w:rsid w:val="00623ECC"/>
    <w:rsid w:val="0062402E"/>
    <w:rsid w:val="00624181"/>
    <w:rsid w:val="00624580"/>
    <w:rsid w:val="006245E8"/>
    <w:rsid w:val="00624BBC"/>
    <w:rsid w:val="00624CAD"/>
    <w:rsid w:val="00624CE3"/>
    <w:rsid w:val="00624FF4"/>
    <w:rsid w:val="0062517A"/>
    <w:rsid w:val="00625407"/>
    <w:rsid w:val="006255FE"/>
    <w:rsid w:val="006256B8"/>
    <w:rsid w:val="00625797"/>
    <w:rsid w:val="006259DE"/>
    <w:rsid w:val="00625A78"/>
    <w:rsid w:val="00625AF5"/>
    <w:rsid w:val="00625B60"/>
    <w:rsid w:val="00625B89"/>
    <w:rsid w:val="00625BD7"/>
    <w:rsid w:val="00625C46"/>
    <w:rsid w:val="00625C66"/>
    <w:rsid w:val="00625E7B"/>
    <w:rsid w:val="00625EA7"/>
    <w:rsid w:val="0062609C"/>
    <w:rsid w:val="006261EF"/>
    <w:rsid w:val="00626468"/>
    <w:rsid w:val="00626677"/>
    <w:rsid w:val="00626736"/>
    <w:rsid w:val="0062686B"/>
    <w:rsid w:val="00626C4F"/>
    <w:rsid w:val="00626CAC"/>
    <w:rsid w:val="00626D6A"/>
    <w:rsid w:val="0062710B"/>
    <w:rsid w:val="00627470"/>
    <w:rsid w:val="0062776B"/>
    <w:rsid w:val="006277C1"/>
    <w:rsid w:val="00627862"/>
    <w:rsid w:val="00627942"/>
    <w:rsid w:val="00627A1A"/>
    <w:rsid w:val="00627ADD"/>
    <w:rsid w:val="00627BF9"/>
    <w:rsid w:val="00627D09"/>
    <w:rsid w:val="00627E69"/>
    <w:rsid w:val="00630179"/>
    <w:rsid w:val="006303D8"/>
    <w:rsid w:val="006305E7"/>
    <w:rsid w:val="006305F7"/>
    <w:rsid w:val="00630883"/>
    <w:rsid w:val="00630895"/>
    <w:rsid w:val="006308A2"/>
    <w:rsid w:val="006309A7"/>
    <w:rsid w:val="006309F0"/>
    <w:rsid w:val="00630B4B"/>
    <w:rsid w:val="00630C40"/>
    <w:rsid w:val="00630C5B"/>
    <w:rsid w:val="00631167"/>
    <w:rsid w:val="00631276"/>
    <w:rsid w:val="006312AA"/>
    <w:rsid w:val="006315BC"/>
    <w:rsid w:val="006317BB"/>
    <w:rsid w:val="0063180A"/>
    <w:rsid w:val="0063198C"/>
    <w:rsid w:val="00631BF1"/>
    <w:rsid w:val="00631D06"/>
    <w:rsid w:val="00631D69"/>
    <w:rsid w:val="00631E62"/>
    <w:rsid w:val="00631FA8"/>
    <w:rsid w:val="00632077"/>
    <w:rsid w:val="006321BD"/>
    <w:rsid w:val="006322C4"/>
    <w:rsid w:val="006323E2"/>
    <w:rsid w:val="00632D8C"/>
    <w:rsid w:val="00632DB6"/>
    <w:rsid w:val="00632F13"/>
    <w:rsid w:val="00632FF7"/>
    <w:rsid w:val="006331C1"/>
    <w:rsid w:val="0063335F"/>
    <w:rsid w:val="006335AB"/>
    <w:rsid w:val="006335BA"/>
    <w:rsid w:val="00633613"/>
    <w:rsid w:val="006336A7"/>
    <w:rsid w:val="006339E8"/>
    <w:rsid w:val="00633C12"/>
    <w:rsid w:val="00634036"/>
    <w:rsid w:val="006343FE"/>
    <w:rsid w:val="00634777"/>
    <w:rsid w:val="00634837"/>
    <w:rsid w:val="00634D41"/>
    <w:rsid w:val="00635168"/>
    <w:rsid w:val="00635172"/>
    <w:rsid w:val="00635222"/>
    <w:rsid w:val="0063533A"/>
    <w:rsid w:val="006353F9"/>
    <w:rsid w:val="0063583A"/>
    <w:rsid w:val="0063591B"/>
    <w:rsid w:val="00635AA7"/>
    <w:rsid w:val="00635B5D"/>
    <w:rsid w:val="00635F20"/>
    <w:rsid w:val="00635FEE"/>
    <w:rsid w:val="00636104"/>
    <w:rsid w:val="00636A1C"/>
    <w:rsid w:val="00636B45"/>
    <w:rsid w:val="00636B90"/>
    <w:rsid w:val="00636DDA"/>
    <w:rsid w:val="00636E94"/>
    <w:rsid w:val="00637408"/>
    <w:rsid w:val="006377B7"/>
    <w:rsid w:val="00637870"/>
    <w:rsid w:val="00637A79"/>
    <w:rsid w:val="00637BF4"/>
    <w:rsid w:val="00637DA5"/>
    <w:rsid w:val="00637FD4"/>
    <w:rsid w:val="00640163"/>
    <w:rsid w:val="00640490"/>
    <w:rsid w:val="00640847"/>
    <w:rsid w:val="006409E1"/>
    <w:rsid w:val="00640B02"/>
    <w:rsid w:val="00640C35"/>
    <w:rsid w:val="00640E61"/>
    <w:rsid w:val="006410AF"/>
    <w:rsid w:val="00641208"/>
    <w:rsid w:val="00641228"/>
    <w:rsid w:val="0064124D"/>
    <w:rsid w:val="00641667"/>
    <w:rsid w:val="006416F2"/>
    <w:rsid w:val="00641780"/>
    <w:rsid w:val="006417DB"/>
    <w:rsid w:val="0064196F"/>
    <w:rsid w:val="006419D9"/>
    <w:rsid w:val="00641A1A"/>
    <w:rsid w:val="00641C59"/>
    <w:rsid w:val="00641EF7"/>
    <w:rsid w:val="00642098"/>
    <w:rsid w:val="0064233F"/>
    <w:rsid w:val="0064269D"/>
    <w:rsid w:val="006427B8"/>
    <w:rsid w:val="0064285C"/>
    <w:rsid w:val="00642906"/>
    <w:rsid w:val="00642CA2"/>
    <w:rsid w:val="00642E0A"/>
    <w:rsid w:val="00642E66"/>
    <w:rsid w:val="00642F21"/>
    <w:rsid w:val="00642F31"/>
    <w:rsid w:val="00643277"/>
    <w:rsid w:val="006432F2"/>
    <w:rsid w:val="00643343"/>
    <w:rsid w:val="00643451"/>
    <w:rsid w:val="00643795"/>
    <w:rsid w:val="00643A6B"/>
    <w:rsid w:val="00643AC0"/>
    <w:rsid w:val="00643B62"/>
    <w:rsid w:val="00643BB9"/>
    <w:rsid w:val="00643C10"/>
    <w:rsid w:val="00643E04"/>
    <w:rsid w:val="00644562"/>
    <w:rsid w:val="006446D5"/>
    <w:rsid w:val="0064479D"/>
    <w:rsid w:val="00644A4B"/>
    <w:rsid w:val="00644B46"/>
    <w:rsid w:val="00644FB1"/>
    <w:rsid w:val="0064514D"/>
    <w:rsid w:val="00645231"/>
    <w:rsid w:val="00645467"/>
    <w:rsid w:val="00645642"/>
    <w:rsid w:val="006456E7"/>
    <w:rsid w:val="00645C10"/>
    <w:rsid w:val="0064604A"/>
    <w:rsid w:val="00646836"/>
    <w:rsid w:val="006468D4"/>
    <w:rsid w:val="00646BAC"/>
    <w:rsid w:val="00646C73"/>
    <w:rsid w:val="00646DF7"/>
    <w:rsid w:val="006472B0"/>
    <w:rsid w:val="00647378"/>
    <w:rsid w:val="006477B3"/>
    <w:rsid w:val="0064780F"/>
    <w:rsid w:val="0064788F"/>
    <w:rsid w:val="00647923"/>
    <w:rsid w:val="006479D9"/>
    <w:rsid w:val="00647BA3"/>
    <w:rsid w:val="00647D96"/>
    <w:rsid w:val="00647F2E"/>
    <w:rsid w:val="0065015D"/>
    <w:rsid w:val="006501E1"/>
    <w:rsid w:val="00650268"/>
    <w:rsid w:val="006503AE"/>
    <w:rsid w:val="0065051E"/>
    <w:rsid w:val="00650694"/>
    <w:rsid w:val="00650736"/>
    <w:rsid w:val="0065089D"/>
    <w:rsid w:val="006509CC"/>
    <w:rsid w:val="00650AD5"/>
    <w:rsid w:val="00650B4B"/>
    <w:rsid w:val="00650DDD"/>
    <w:rsid w:val="00650E30"/>
    <w:rsid w:val="00650E6B"/>
    <w:rsid w:val="0065105E"/>
    <w:rsid w:val="0065106C"/>
    <w:rsid w:val="006514D3"/>
    <w:rsid w:val="0065173A"/>
    <w:rsid w:val="00651836"/>
    <w:rsid w:val="00651862"/>
    <w:rsid w:val="00651DFE"/>
    <w:rsid w:val="006524EC"/>
    <w:rsid w:val="006525F5"/>
    <w:rsid w:val="00652660"/>
    <w:rsid w:val="00652713"/>
    <w:rsid w:val="00652AAA"/>
    <w:rsid w:val="00652B08"/>
    <w:rsid w:val="00652C40"/>
    <w:rsid w:val="00652E05"/>
    <w:rsid w:val="00652FBD"/>
    <w:rsid w:val="00653006"/>
    <w:rsid w:val="00653172"/>
    <w:rsid w:val="00653324"/>
    <w:rsid w:val="0065339B"/>
    <w:rsid w:val="00653529"/>
    <w:rsid w:val="0065359F"/>
    <w:rsid w:val="00653C19"/>
    <w:rsid w:val="00653C51"/>
    <w:rsid w:val="00653D00"/>
    <w:rsid w:val="00653EE4"/>
    <w:rsid w:val="00653F9B"/>
    <w:rsid w:val="0065416C"/>
    <w:rsid w:val="006543BC"/>
    <w:rsid w:val="006544F9"/>
    <w:rsid w:val="0065455F"/>
    <w:rsid w:val="0065464B"/>
    <w:rsid w:val="00654723"/>
    <w:rsid w:val="00654764"/>
    <w:rsid w:val="0065480D"/>
    <w:rsid w:val="0065482C"/>
    <w:rsid w:val="00654951"/>
    <w:rsid w:val="00654B6D"/>
    <w:rsid w:val="00654C47"/>
    <w:rsid w:val="00654E23"/>
    <w:rsid w:val="00654E89"/>
    <w:rsid w:val="0065506B"/>
    <w:rsid w:val="006550DC"/>
    <w:rsid w:val="00655134"/>
    <w:rsid w:val="006551B1"/>
    <w:rsid w:val="0065528C"/>
    <w:rsid w:val="00655337"/>
    <w:rsid w:val="0065540E"/>
    <w:rsid w:val="00655519"/>
    <w:rsid w:val="00655731"/>
    <w:rsid w:val="0065581D"/>
    <w:rsid w:val="00655B4A"/>
    <w:rsid w:val="00655C06"/>
    <w:rsid w:val="00655EDA"/>
    <w:rsid w:val="00655FE1"/>
    <w:rsid w:val="006560C2"/>
    <w:rsid w:val="00656233"/>
    <w:rsid w:val="0065671A"/>
    <w:rsid w:val="00656772"/>
    <w:rsid w:val="006569DF"/>
    <w:rsid w:val="00656BBB"/>
    <w:rsid w:val="00656BFA"/>
    <w:rsid w:val="00656DC5"/>
    <w:rsid w:val="00656E52"/>
    <w:rsid w:val="00656F10"/>
    <w:rsid w:val="006572A8"/>
    <w:rsid w:val="0065736E"/>
    <w:rsid w:val="006575F3"/>
    <w:rsid w:val="006576BF"/>
    <w:rsid w:val="00657760"/>
    <w:rsid w:val="0065785B"/>
    <w:rsid w:val="00657B6D"/>
    <w:rsid w:val="00657D5C"/>
    <w:rsid w:val="00657DED"/>
    <w:rsid w:val="00657F4D"/>
    <w:rsid w:val="00657FEC"/>
    <w:rsid w:val="00660364"/>
    <w:rsid w:val="006603F7"/>
    <w:rsid w:val="00660458"/>
    <w:rsid w:val="0066048E"/>
    <w:rsid w:val="006605D4"/>
    <w:rsid w:val="006608D2"/>
    <w:rsid w:val="00660A31"/>
    <w:rsid w:val="00660BDC"/>
    <w:rsid w:val="00660D4E"/>
    <w:rsid w:val="00660D6F"/>
    <w:rsid w:val="00660DDA"/>
    <w:rsid w:val="00660EFC"/>
    <w:rsid w:val="00660F07"/>
    <w:rsid w:val="00661073"/>
    <w:rsid w:val="006610EF"/>
    <w:rsid w:val="0066111D"/>
    <w:rsid w:val="00661414"/>
    <w:rsid w:val="006616D4"/>
    <w:rsid w:val="00662068"/>
    <w:rsid w:val="006620D0"/>
    <w:rsid w:val="00662234"/>
    <w:rsid w:val="0066226F"/>
    <w:rsid w:val="00662577"/>
    <w:rsid w:val="006628D8"/>
    <w:rsid w:val="006629F7"/>
    <w:rsid w:val="00662A51"/>
    <w:rsid w:val="00662EEA"/>
    <w:rsid w:val="00662EF2"/>
    <w:rsid w:val="006630D6"/>
    <w:rsid w:val="0066331D"/>
    <w:rsid w:val="00663C50"/>
    <w:rsid w:val="00663C9C"/>
    <w:rsid w:val="0066409A"/>
    <w:rsid w:val="00664303"/>
    <w:rsid w:val="00664546"/>
    <w:rsid w:val="006646B0"/>
    <w:rsid w:val="006648B8"/>
    <w:rsid w:val="00664B32"/>
    <w:rsid w:val="00664C08"/>
    <w:rsid w:val="00664C6A"/>
    <w:rsid w:val="00664F41"/>
    <w:rsid w:val="0066519B"/>
    <w:rsid w:val="00665206"/>
    <w:rsid w:val="00665666"/>
    <w:rsid w:val="0066575E"/>
    <w:rsid w:val="006658CA"/>
    <w:rsid w:val="00665BC4"/>
    <w:rsid w:val="00665CEF"/>
    <w:rsid w:val="00665DF6"/>
    <w:rsid w:val="00665E92"/>
    <w:rsid w:val="0066607F"/>
    <w:rsid w:val="0066610C"/>
    <w:rsid w:val="00666287"/>
    <w:rsid w:val="006662E4"/>
    <w:rsid w:val="00666359"/>
    <w:rsid w:val="006663D5"/>
    <w:rsid w:val="00666461"/>
    <w:rsid w:val="00666518"/>
    <w:rsid w:val="006667AC"/>
    <w:rsid w:val="0066697E"/>
    <w:rsid w:val="006669D0"/>
    <w:rsid w:val="00666AB4"/>
    <w:rsid w:val="00666B76"/>
    <w:rsid w:val="00666C17"/>
    <w:rsid w:val="00666C59"/>
    <w:rsid w:val="00666C8B"/>
    <w:rsid w:val="00666DD3"/>
    <w:rsid w:val="00667414"/>
    <w:rsid w:val="00667666"/>
    <w:rsid w:val="00667783"/>
    <w:rsid w:val="00667818"/>
    <w:rsid w:val="006679AF"/>
    <w:rsid w:val="00667B4F"/>
    <w:rsid w:val="00670005"/>
    <w:rsid w:val="00670459"/>
    <w:rsid w:val="00670B14"/>
    <w:rsid w:val="00670BDD"/>
    <w:rsid w:val="00670DD7"/>
    <w:rsid w:val="00670F6D"/>
    <w:rsid w:val="00671269"/>
    <w:rsid w:val="00671332"/>
    <w:rsid w:val="0067133B"/>
    <w:rsid w:val="00671581"/>
    <w:rsid w:val="0067161B"/>
    <w:rsid w:val="006716AB"/>
    <w:rsid w:val="006716D0"/>
    <w:rsid w:val="00671A95"/>
    <w:rsid w:val="00671EB2"/>
    <w:rsid w:val="006723DF"/>
    <w:rsid w:val="0067262E"/>
    <w:rsid w:val="0067265F"/>
    <w:rsid w:val="00672743"/>
    <w:rsid w:val="006727D4"/>
    <w:rsid w:val="00672851"/>
    <w:rsid w:val="006728B5"/>
    <w:rsid w:val="006728D1"/>
    <w:rsid w:val="00672B1D"/>
    <w:rsid w:val="00672B2D"/>
    <w:rsid w:val="00672C9D"/>
    <w:rsid w:val="00672CB0"/>
    <w:rsid w:val="00672DE5"/>
    <w:rsid w:val="00672EF8"/>
    <w:rsid w:val="00672F4D"/>
    <w:rsid w:val="00673438"/>
    <w:rsid w:val="00673452"/>
    <w:rsid w:val="006735A4"/>
    <w:rsid w:val="006737C6"/>
    <w:rsid w:val="006738F0"/>
    <w:rsid w:val="00673B94"/>
    <w:rsid w:val="00673BC8"/>
    <w:rsid w:val="00673C50"/>
    <w:rsid w:val="00673E06"/>
    <w:rsid w:val="00673E5F"/>
    <w:rsid w:val="00673E70"/>
    <w:rsid w:val="00674138"/>
    <w:rsid w:val="00674259"/>
    <w:rsid w:val="0067434A"/>
    <w:rsid w:val="00674379"/>
    <w:rsid w:val="006747A5"/>
    <w:rsid w:val="00674829"/>
    <w:rsid w:val="00674C7A"/>
    <w:rsid w:val="00674D1D"/>
    <w:rsid w:val="006750AC"/>
    <w:rsid w:val="0067514F"/>
    <w:rsid w:val="00675164"/>
    <w:rsid w:val="0067558F"/>
    <w:rsid w:val="00675CBE"/>
    <w:rsid w:val="00675D1B"/>
    <w:rsid w:val="00675E31"/>
    <w:rsid w:val="00675ED9"/>
    <w:rsid w:val="00676036"/>
    <w:rsid w:val="0067625E"/>
    <w:rsid w:val="006762AB"/>
    <w:rsid w:val="006762F0"/>
    <w:rsid w:val="0067656F"/>
    <w:rsid w:val="00676855"/>
    <w:rsid w:val="006768A1"/>
    <w:rsid w:val="00676A3B"/>
    <w:rsid w:val="00676BAA"/>
    <w:rsid w:val="00676C10"/>
    <w:rsid w:val="00676CDB"/>
    <w:rsid w:val="00676E72"/>
    <w:rsid w:val="00676F4C"/>
    <w:rsid w:val="0067734F"/>
    <w:rsid w:val="00677402"/>
    <w:rsid w:val="006775A9"/>
    <w:rsid w:val="006775AE"/>
    <w:rsid w:val="0067764E"/>
    <w:rsid w:val="00677800"/>
    <w:rsid w:val="006779F6"/>
    <w:rsid w:val="00677A39"/>
    <w:rsid w:val="00677DDC"/>
    <w:rsid w:val="006801EA"/>
    <w:rsid w:val="00680295"/>
    <w:rsid w:val="00680631"/>
    <w:rsid w:val="00680690"/>
    <w:rsid w:val="006806EF"/>
    <w:rsid w:val="00680802"/>
    <w:rsid w:val="0068088C"/>
    <w:rsid w:val="006808BF"/>
    <w:rsid w:val="00680989"/>
    <w:rsid w:val="00680A3B"/>
    <w:rsid w:val="00680FEB"/>
    <w:rsid w:val="0068145B"/>
    <w:rsid w:val="00681568"/>
    <w:rsid w:val="00681581"/>
    <w:rsid w:val="006815BA"/>
    <w:rsid w:val="00681639"/>
    <w:rsid w:val="006816A5"/>
    <w:rsid w:val="006818D0"/>
    <w:rsid w:val="00681AAD"/>
    <w:rsid w:val="00681AFE"/>
    <w:rsid w:val="00681F2B"/>
    <w:rsid w:val="00682323"/>
    <w:rsid w:val="00682392"/>
    <w:rsid w:val="006824DB"/>
    <w:rsid w:val="006827AD"/>
    <w:rsid w:val="0068282C"/>
    <w:rsid w:val="006828E4"/>
    <w:rsid w:val="006828F3"/>
    <w:rsid w:val="00682B4A"/>
    <w:rsid w:val="00682C6C"/>
    <w:rsid w:val="00682CC1"/>
    <w:rsid w:val="00682DBC"/>
    <w:rsid w:val="00682E32"/>
    <w:rsid w:val="006832C9"/>
    <w:rsid w:val="00683459"/>
    <w:rsid w:val="00683527"/>
    <w:rsid w:val="006835A9"/>
    <w:rsid w:val="00683AB1"/>
    <w:rsid w:val="00683AEF"/>
    <w:rsid w:val="00683B49"/>
    <w:rsid w:val="00683C9E"/>
    <w:rsid w:val="00684033"/>
    <w:rsid w:val="00684322"/>
    <w:rsid w:val="006843CE"/>
    <w:rsid w:val="00684470"/>
    <w:rsid w:val="00684490"/>
    <w:rsid w:val="00684912"/>
    <w:rsid w:val="00684961"/>
    <w:rsid w:val="00684B9C"/>
    <w:rsid w:val="00684DB3"/>
    <w:rsid w:val="00684DF1"/>
    <w:rsid w:val="00684E20"/>
    <w:rsid w:val="00684E69"/>
    <w:rsid w:val="00684EDD"/>
    <w:rsid w:val="00684F61"/>
    <w:rsid w:val="006850F8"/>
    <w:rsid w:val="006851A8"/>
    <w:rsid w:val="0068547F"/>
    <w:rsid w:val="0068572B"/>
    <w:rsid w:val="00685809"/>
    <w:rsid w:val="00685B00"/>
    <w:rsid w:val="00685C1E"/>
    <w:rsid w:val="00685DE5"/>
    <w:rsid w:val="00686776"/>
    <w:rsid w:val="006867D0"/>
    <w:rsid w:val="00686938"/>
    <w:rsid w:val="00686980"/>
    <w:rsid w:val="00686A2C"/>
    <w:rsid w:val="00686BFD"/>
    <w:rsid w:val="00686F93"/>
    <w:rsid w:val="00687072"/>
    <w:rsid w:val="006870E6"/>
    <w:rsid w:val="0068744B"/>
    <w:rsid w:val="00687536"/>
    <w:rsid w:val="006876D8"/>
    <w:rsid w:val="00687A48"/>
    <w:rsid w:val="00687A6B"/>
    <w:rsid w:val="00687DE3"/>
    <w:rsid w:val="00687E35"/>
    <w:rsid w:val="00687E3F"/>
    <w:rsid w:val="0069003B"/>
    <w:rsid w:val="006901BC"/>
    <w:rsid w:val="00690420"/>
    <w:rsid w:val="00690647"/>
    <w:rsid w:val="0069064A"/>
    <w:rsid w:val="006906FD"/>
    <w:rsid w:val="00690B85"/>
    <w:rsid w:val="00690CAB"/>
    <w:rsid w:val="0069113B"/>
    <w:rsid w:val="0069139A"/>
    <w:rsid w:val="006914B2"/>
    <w:rsid w:val="006915EB"/>
    <w:rsid w:val="00691B94"/>
    <w:rsid w:val="00691DAE"/>
    <w:rsid w:val="00691DF9"/>
    <w:rsid w:val="00692187"/>
    <w:rsid w:val="00692223"/>
    <w:rsid w:val="00692229"/>
    <w:rsid w:val="006923FD"/>
    <w:rsid w:val="0069275C"/>
    <w:rsid w:val="006929F4"/>
    <w:rsid w:val="006929FA"/>
    <w:rsid w:val="00692ED0"/>
    <w:rsid w:val="0069316B"/>
    <w:rsid w:val="006935E9"/>
    <w:rsid w:val="00693689"/>
    <w:rsid w:val="006938CE"/>
    <w:rsid w:val="00693994"/>
    <w:rsid w:val="00693AA8"/>
    <w:rsid w:val="00693B91"/>
    <w:rsid w:val="00693CC4"/>
    <w:rsid w:val="00694040"/>
    <w:rsid w:val="0069405A"/>
    <w:rsid w:val="006940D4"/>
    <w:rsid w:val="00694173"/>
    <w:rsid w:val="00694218"/>
    <w:rsid w:val="006943CD"/>
    <w:rsid w:val="00694405"/>
    <w:rsid w:val="006946BD"/>
    <w:rsid w:val="00694961"/>
    <w:rsid w:val="00694C25"/>
    <w:rsid w:val="00694D99"/>
    <w:rsid w:val="00695091"/>
    <w:rsid w:val="0069553B"/>
    <w:rsid w:val="0069558B"/>
    <w:rsid w:val="006955E4"/>
    <w:rsid w:val="006955E8"/>
    <w:rsid w:val="00695779"/>
    <w:rsid w:val="006957EC"/>
    <w:rsid w:val="006959B7"/>
    <w:rsid w:val="00695A42"/>
    <w:rsid w:val="00695B10"/>
    <w:rsid w:val="00695B92"/>
    <w:rsid w:val="00695C14"/>
    <w:rsid w:val="00695C30"/>
    <w:rsid w:val="00695C4D"/>
    <w:rsid w:val="00695E49"/>
    <w:rsid w:val="00696087"/>
    <w:rsid w:val="006961C9"/>
    <w:rsid w:val="006962BA"/>
    <w:rsid w:val="006962C3"/>
    <w:rsid w:val="00696361"/>
    <w:rsid w:val="006963F4"/>
    <w:rsid w:val="00696447"/>
    <w:rsid w:val="006965A9"/>
    <w:rsid w:val="00696960"/>
    <w:rsid w:val="00696CBA"/>
    <w:rsid w:val="00696CCB"/>
    <w:rsid w:val="00696E6E"/>
    <w:rsid w:val="00696E9E"/>
    <w:rsid w:val="00696EEE"/>
    <w:rsid w:val="00696F73"/>
    <w:rsid w:val="006971E8"/>
    <w:rsid w:val="00697201"/>
    <w:rsid w:val="006974BF"/>
    <w:rsid w:val="00697589"/>
    <w:rsid w:val="006976EE"/>
    <w:rsid w:val="00697931"/>
    <w:rsid w:val="006979CB"/>
    <w:rsid w:val="00697B99"/>
    <w:rsid w:val="00697D4C"/>
    <w:rsid w:val="00697F45"/>
    <w:rsid w:val="00697F7F"/>
    <w:rsid w:val="006A009E"/>
    <w:rsid w:val="006A0350"/>
    <w:rsid w:val="006A05EC"/>
    <w:rsid w:val="006A065B"/>
    <w:rsid w:val="006A0961"/>
    <w:rsid w:val="006A0A0F"/>
    <w:rsid w:val="006A0ADF"/>
    <w:rsid w:val="006A0EC0"/>
    <w:rsid w:val="006A0F71"/>
    <w:rsid w:val="006A12AB"/>
    <w:rsid w:val="006A16EE"/>
    <w:rsid w:val="006A1797"/>
    <w:rsid w:val="006A1890"/>
    <w:rsid w:val="006A18D3"/>
    <w:rsid w:val="006A1995"/>
    <w:rsid w:val="006A1B63"/>
    <w:rsid w:val="006A1E22"/>
    <w:rsid w:val="006A21A1"/>
    <w:rsid w:val="006A21A2"/>
    <w:rsid w:val="006A2219"/>
    <w:rsid w:val="006A2331"/>
    <w:rsid w:val="006A24B8"/>
    <w:rsid w:val="006A24D6"/>
    <w:rsid w:val="006A2770"/>
    <w:rsid w:val="006A27A8"/>
    <w:rsid w:val="006A2C1F"/>
    <w:rsid w:val="006A2CFC"/>
    <w:rsid w:val="006A2D53"/>
    <w:rsid w:val="006A2E4F"/>
    <w:rsid w:val="006A2E89"/>
    <w:rsid w:val="006A3082"/>
    <w:rsid w:val="006A313E"/>
    <w:rsid w:val="006A31FF"/>
    <w:rsid w:val="006A380B"/>
    <w:rsid w:val="006A3815"/>
    <w:rsid w:val="006A3958"/>
    <w:rsid w:val="006A398F"/>
    <w:rsid w:val="006A3A57"/>
    <w:rsid w:val="006A3A94"/>
    <w:rsid w:val="006A3D4F"/>
    <w:rsid w:val="006A3F0A"/>
    <w:rsid w:val="006A3F93"/>
    <w:rsid w:val="006A446D"/>
    <w:rsid w:val="006A45E3"/>
    <w:rsid w:val="006A49CB"/>
    <w:rsid w:val="006A4BC3"/>
    <w:rsid w:val="006A4D65"/>
    <w:rsid w:val="006A503E"/>
    <w:rsid w:val="006A5093"/>
    <w:rsid w:val="006A5291"/>
    <w:rsid w:val="006A5313"/>
    <w:rsid w:val="006A54DA"/>
    <w:rsid w:val="006A5841"/>
    <w:rsid w:val="006A5881"/>
    <w:rsid w:val="006A5C0D"/>
    <w:rsid w:val="006A5C18"/>
    <w:rsid w:val="006A5C47"/>
    <w:rsid w:val="006A5E61"/>
    <w:rsid w:val="006A5ED7"/>
    <w:rsid w:val="006A62F3"/>
    <w:rsid w:val="006A6320"/>
    <w:rsid w:val="006A6726"/>
    <w:rsid w:val="006A6D32"/>
    <w:rsid w:val="006A6D5D"/>
    <w:rsid w:val="006A6DA9"/>
    <w:rsid w:val="006A6DBB"/>
    <w:rsid w:val="006A72C6"/>
    <w:rsid w:val="006A747F"/>
    <w:rsid w:val="006A7568"/>
    <w:rsid w:val="006A7690"/>
    <w:rsid w:val="006A7B76"/>
    <w:rsid w:val="006A7D43"/>
    <w:rsid w:val="006A7DAE"/>
    <w:rsid w:val="006A7DC1"/>
    <w:rsid w:val="006A7E5E"/>
    <w:rsid w:val="006A7F11"/>
    <w:rsid w:val="006B01C6"/>
    <w:rsid w:val="006B02E9"/>
    <w:rsid w:val="006B037A"/>
    <w:rsid w:val="006B0741"/>
    <w:rsid w:val="006B08A3"/>
    <w:rsid w:val="006B0BDC"/>
    <w:rsid w:val="006B0D56"/>
    <w:rsid w:val="006B0E61"/>
    <w:rsid w:val="006B0EA8"/>
    <w:rsid w:val="006B129F"/>
    <w:rsid w:val="006B133B"/>
    <w:rsid w:val="006B13DC"/>
    <w:rsid w:val="006B1407"/>
    <w:rsid w:val="006B14B9"/>
    <w:rsid w:val="006B16C9"/>
    <w:rsid w:val="006B16F3"/>
    <w:rsid w:val="006B1755"/>
    <w:rsid w:val="006B1A1C"/>
    <w:rsid w:val="006B1BFE"/>
    <w:rsid w:val="006B1C0C"/>
    <w:rsid w:val="006B1C1F"/>
    <w:rsid w:val="006B1EDE"/>
    <w:rsid w:val="006B1F4F"/>
    <w:rsid w:val="006B206E"/>
    <w:rsid w:val="006B213D"/>
    <w:rsid w:val="006B21C7"/>
    <w:rsid w:val="006B266E"/>
    <w:rsid w:val="006B2694"/>
    <w:rsid w:val="006B274D"/>
    <w:rsid w:val="006B27E4"/>
    <w:rsid w:val="006B2883"/>
    <w:rsid w:val="006B29CA"/>
    <w:rsid w:val="006B29D6"/>
    <w:rsid w:val="006B2BCB"/>
    <w:rsid w:val="006B2C35"/>
    <w:rsid w:val="006B2C84"/>
    <w:rsid w:val="006B2C9A"/>
    <w:rsid w:val="006B2FBB"/>
    <w:rsid w:val="006B2FF1"/>
    <w:rsid w:val="006B344D"/>
    <w:rsid w:val="006B347B"/>
    <w:rsid w:val="006B3594"/>
    <w:rsid w:val="006B3783"/>
    <w:rsid w:val="006B37C7"/>
    <w:rsid w:val="006B3947"/>
    <w:rsid w:val="006B398E"/>
    <w:rsid w:val="006B3B07"/>
    <w:rsid w:val="006B3BB5"/>
    <w:rsid w:val="006B3BFA"/>
    <w:rsid w:val="006B413D"/>
    <w:rsid w:val="006B4297"/>
    <w:rsid w:val="006B455A"/>
    <w:rsid w:val="006B4626"/>
    <w:rsid w:val="006B4C23"/>
    <w:rsid w:val="006B4DD9"/>
    <w:rsid w:val="006B4E87"/>
    <w:rsid w:val="006B5008"/>
    <w:rsid w:val="006B5511"/>
    <w:rsid w:val="006B551B"/>
    <w:rsid w:val="006B5A39"/>
    <w:rsid w:val="006B5B6D"/>
    <w:rsid w:val="006B5DFD"/>
    <w:rsid w:val="006B5E5F"/>
    <w:rsid w:val="006B5EAC"/>
    <w:rsid w:val="006B5F71"/>
    <w:rsid w:val="006B5F8F"/>
    <w:rsid w:val="006B602A"/>
    <w:rsid w:val="006B627B"/>
    <w:rsid w:val="006B62F6"/>
    <w:rsid w:val="006B6358"/>
    <w:rsid w:val="006B6385"/>
    <w:rsid w:val="006B65B1"/>
    <w:rsid w:val="006B67D3"/>
    <w:rsid w:val="006B687F"/>
    <w:rsid w:val="006B6890"/>
    <w:rsid w:val="006B69F5"/>
    <w:rsid w:val="006B6F1B"/>
    <w:rsid w:val="006B7270"/>
    <w:rsid w:val="006B7281"/>
    <w:rsid w:val="006B72CB"/>
    <w:rsid w:val="006B72F1"/>
    <w:rsid w:val="006B7359"/>
    <w:rsid w:val="006B751E"/>
    <w:rsid w:val="006B782C"/>
    <w:rsid w:val="006B794B"/>
    <w:rsid w:val="006B7A69"/>
    <w:rsid w:val="006B7AE8"/>
    <w:rsid w:val="006B7C31"/>
    <w:rsid w:val="006B7C4E"/>
    <w:rsid w:val="006B7CEC"/>
    <w:rsid w:val="006B7DE6"/>
    <w:rsid w:val="006B7EE9"/>
    <w:rsid w:val="006C0053"/>
    <w:rsid w:val="006C012D"/>
    <w:rsid w:val="006C0410"/>
    <w:rsid w:val="006C0465"/>
    <w:rsid w:val="006C04B5"/>
    <w:rsid w:val="006C04C9"/>
    <w:rsid w:val="006C0633"/>
    <w:rsid w:val="006C06E5"/>
    <w:rsid w:val="006C087A"/>
    <w:rsid w:val="006C09D8"/>
    <w:rsid w:val="006C0A91"/>
    <w:rsid w:val="006C0CFA"/>
    <w:rsid w:val="006C0D4C"/>
    <w:rsid w:val="006C0F42"/>
    <w:rsid w:val="006C115A"/>
    <w:rsid w:val="006C11B3"/>
    <w:rsid w:val="006C12D9"/>
    <w:rsid w:val="006C13E0"/>
    <w:rsid w:val="006C1407"/>
    <w:rsid w:val="006C1681"/>
    <w:rsid w:val="006C177F"/>
    <w:rsid w:val="006C1BA2"/>
    <w:rsid w:val="006C1BB6"/>
    <w:rsid w:val="006C1D1A"/>
    <w:rsid w:val="006C1DD2"/>
    <w:rsid w:val="006C1DF6"/>
    <w:rsid w:val="006C20CC"/>
    <w:rsid w:val="006C21F4"/>
    <w:rsid w:val="006C2327"/>
    <w:rsid w:val="006C2333"/>
    <w:rsid w:val="006C23D1"/>
    <w:rsid w:val="006C2435"/>
    <w:rsid w:val="006C2605"/>
    <w:rsid w:val="006C276C"/>
    <w:rsid w:val="006C29B2"/>
    <w:rsid w:val="006C2A26"/>
    <w:rsid w:val="006C2A85"/>
    <w:rsid w:val="006C2B1A"/>
    <w:rsid w:val="006C2B8D"/>
    <w:rsid w:val="006C2B98"/>
    <w:rsid w:val="006C2D0C"/>
    <w:rsid w:val="006C2F9B"/>
    <w:rsid w:val="006C3175"/>
    <w:rsid w:val="006C320A"/>
    <w:rsid w:val="006C338B"/>
    <w:rsid w:val="006C344A"/>
    <w:rsid w:val="006C349E"/>
    <w:rsid w:val="006C36BC"/>
    <w:rsid w:val="006C38FC"/>
    <w:rsid w:val="006C3907"/>
    <w:rsid w:val="006C3916"/>
    <w:rsid w:val="006C3AB0"/>
    <w:rsid w:val="006C3D4F"/>
    <w:rsid w:val="006C3DF8"/>
    <w:rsid w:val="006C3E81"/>
    <w:rsid w:val="006C3F79"/>
    <w:rsid w:val="006C3F91"/>
    <w:rsid w:val="006C415F"/>
    <w:rsid w:val="006C425F"/>
    <w:rsid w:val="006C4427"/>
    <w:rsid w:val="006C4535"/>
    <w:rsid w:val="006C48ED"/>
    <w:rsid w:val="006C49BD"/>
    <w:rsid w:val="006C4A5F"/>
    <w:rsid w:val="006C4A69"/>
    <w:rsid w:val="006C4AD5"/>
    <w:rsid w:val="006C4B1B"/>
    <w:rsid w:val="006C4D79"/>
    <w:rsid w:val="006C4DB6"/>
    <w:rsid w:val="006C4E8C"/>
    <w:rsid w:val="006C4F38"/>
    <w:rsid w:val="006C4F4C"/>
    <w:rsid w:val="006C5028"/>
    <w:rsid w:val="006C53C0"/>
    <w:rsid w:val="006C55E3"/>
    <w:rsid w:val="006C55F3"/>
    <w:rsid w:val="006C5671"/>
    <w:rsid w:val="006C56A5"/>
    <w:rsid w:val="006C56D7"/>
    <w:rsid w:val="006C57CB"/>
    <w:rsid w:val="006C58B1"/>
    <w:rsid w:val="006C5CAC"/>
    <w:rsid w:val="006C5CEE"/>
    <w:rsid w:val="006C5F31"/>
    <w:rsid w:val="006C6037"/>
    <w:rsid w:val="006C61D9"/>
    <w:rsid w:val="006C63A3"/>
    <w:rsid w:val="006C64AE"/>
    <w:rsid w:val="006C64C2"/>
    <w:rsid w:val="006C64DF"/>
    <w:rsid w:val="006C64F3"/>
    <w:rsid w:val="006C64FA"/>
    <w:rsid w:val="006C6708"/>
    <w:rsid w:val="006C6A57"/>
    <w:rsid w:val="006C6CF9"/>
    <w:rsid w:val="006C6D07"/>
    <w:rsid w:val="006C731B"/>
    <w:rsid w:val="006C775A"/>
    <w:rsid w:val="006C78F6"/>
    <w:rsid w:val="006C7ABB"/>
    <w:rsid w:val="006C7E2B"/>
    <w:rsid w:val="006C7E51"/>
    <w:rsid w:val="006C7FA6"/>
    <w:rsid w:val="006C7FDD"/>
    <w:rsid w:val="006D0059"/>
    <w:rsid w:val="006D00DC"/>
    <w:rsid w:val="006D054F"/>
    <w:rsid w:val="006D076C"/>
    <w:rsid w:val="006D0AC0"/>
    <w:rsid w:val="006D0B4B"/>
    <w:rsid w:val="006D0CA8"/>
    <w:rsid w:val="006D0E7B"/>
    <w:rsid w:val="006D0F9A"/>
    <w:rsid w:val="006D100A"/>
    <w:rsid w:val="006D10D1"/>
    <w:rsid w:val="006D10DC"/>
    <w:rsid w:val="006D10DE"/>
    <w:rsid w:val="006D14E9"/>
    <w:rsid w:val="006D150D"/>
    <w:rsid w:val="006D19A7"/>
    <w:rsid w:val="006D1B75"/>
    <w:rsid w:val="006D1D18"/>
    <w:rsid w:val="006D1DCF"/>
    <w:rsid w:val="006D1ED7"/>
    <w:rsid w:val="006D21AA"/>
    <w:rsid w:val="006D243A"/>
    <w:rsid w:val="006D2452"/>
    <w:rsid w:val="006D2908"/>
    <w:rsid w:val="006D29CB"/>
    <w:rsid w:val="006D2A63"/>
    <w:rsid w:val="006D2D3F"/>
    <w:rsid w:val="006D2FAF"/>
    <w:rsid w:val="006D3391"/>
    <w:rsid w:val="006D33BD"/>
    <w:rsid w:val="006D352A"/>
    <w:rsid w:val="006D35A2"/>
    <w:rsid w:val="006D3600"/>
    <w:rsid w:val="006D396A"/>
    <w:rsid w:val="006D3A60"/>
    <w:rsid w:val="006D3D6B"/>
    <w:rsid w:val="006D3E34"/>
    <w:rsid w:val="006D403C"/>
    <w:rsid w:val="006D40DC"/>
    <w:rsid w:val="006D421A"/>
    <w:rsid w:val="006D4358"/>
    <w:rsid w:val="006D43A6"/>
    <w:rsid w:val="006D442D"/>
    <w:rsid w:val="006D478C"/>
    <w:rsid w:val="006D47E4"/>
    <w:rsid w:val="006D4DD8"/>
    <w:rsid w:val="006D5091"/>
    <w:rsid w:val="006D57DD"/>
    <w:rsid w:val="006D583D"/>
    <w:rsid w:val="006D59F6"/>
    <w:rsid w:val="006D5B42"/>
    <w:rsid w:val="006D5BB4"/>
    <w:rsid w:val="006D5BB6"/>
    <w:rsid w:val="006D5C77"/>
    <w:rsid w:val="006D5F42"/>
    <w:rsid w:val="006D6434"/>
    <w:rsid w:val="006D646D"/>
    <w:rsid w:val="006D6749"/>
    <w:rsid w:val="006D6780"/>
    <w:rsid w:val="006D6867"/>
    <w:rsid w:val="006D6DD6"/>
    <w:rsid w:val="006D6E92"/>
    <w:rsid w:val="006D6F81"/>
    <w:rsid w:val="006D6FFF"/>
    <w:rsid w:val="006D72BA"/>
    <w:rsid w:val="006D72D1"/>
    <w:rsid w:val="006D751B"/>
    <w:rsid w:val="006D75B7"/>
    <w:rsid w:val="006D7696"/>
    <w:rsid w:val="006D7751"/>
    <w:rsid w:val="006D7991"/>
    <w:rsid w:val="006D7B94"/>
    <w:rsid w:val="006D7BE2"/>
    <w:rsid w:val="006D7D6F"/>
    <w:rsid w:val="006D7ED6"/>
    <w:rsid w:val="006D7F07"/>
    <w:rsid w:val="006D7FCA"/>
    <w:rsid w:val="006E0774"/>
    <w:rsid w:val="006E0775"/>
    <w:rsid w:val="006E07FE"/>
    <w:rsid w:val="006E0CDE"/>
    <w:rsid w:val="006E0E0F"/>
    <w:rsid w:val="006E0F5B"/>
    <w:rsid w:val="006E114B"/>
    <w:rsid w:val="006E1699"/>
    <w:rsid w:val="006E18DE"/>
    <w:rsid w:val="006E1929"/>
    <w:rsid w:val="006E19AE"/>
    <w:rsid w:val="006E19BA"/>
    <w:rsid w:val="006E1B14"/>
    <w:rsid w:val="006E1B5F"/>
    <w:rsid w:val="006E1DC2"/>
    <w:rsid w:val="006E1E99"/>
    <w:rsid w:val="006E1F9E"/>
    <w:rsid w:val="006E229C"/>
    <w:rsid w:val="006E2B01"/>
    <w:rsid w:val="006E2EBC"/>
    <w:rsid w:val="006E2F46"/>
    <w:rsid w:val="006E2FEE"/>
    <w:rsid w:val="006E30BB"/>
    <w:rsid w:val="006E33ED"/>
    <w:rsid w:val="006E3536"/>
    <w:rsid w:val="006E35DB"/>
    <w:rsid w:val="006E3608"/>
    <w:rsid w:val="006E36F9"/>
    <w:rsid w:val="006E37EC"/>
    <w:rsid w:val="006E3830"/>
    <w:rsid w:val="006E3CD7"/>
    <w:rsid w:val="006E3D26"/>
    <w:rsid w:val="006E3D4F"/>
    <w:rsid w:val="006E3DEC"/>
    <w:rsid w:val="006E41EF"/>
    <w:rsid w:val="006E45F9"/>
    <w:rsid w:val="006E47E4"/>
    <w:rsid w:val="006E48D5"/>
    <w:rsid w:val="006E4901"/>
    <w:rsid w:val="006E491F"/>
    <w:rsid w:val="006E4969"/>
    <w:rsid w:val="006E496F"/>
    <w:rsid w:val="006E49C9"/>
    <w:rsid w:val="006E4B26"/>
    <w:rsid w:val="006E4CB5"/>
    <w:rsid w:val="006E4CD9"/>
    <w:rsid w:val="006E5026"/>
    <w:rsid w:val="006E50E8"/>
    <w:rsid w:val="006E53E7"/>
    <w:rsid w:val="006E5426"/>
    <w:rsid w:val="006E54AD"/>
    <w:rsid w:val="006E54EC"/>
    <w:rsid w:val="006E5537"/>
    <w:rsid w:val="006E56DA"/>
    <w:rsid w:val="006E577F"/>
    <w:rsid w:val="006E5970"/>
    <w:rsid w:val="006E5993"/>
    <w:rsid w:val="006E59D6"/>
    <w:rsid w:val="006E59E1"/>
    <w:rsid w:val="006E5B90"/>
    <w:rsid w:val="006E5B91"/>
    <w:rsid w:val="006E5D21"/>
    <w:rsid w:val="006E5D68"/>
    <w:rsid w:val="006E5F2A"/>
    <w:rsid w:val="006E5FE3"/>
    <w:rsid w:val="006E60CD"/>
    <w:rsid w:val="006E6306"/>
    <w:rsid w:val="006E648F"/>
    <w:rsid w:val="006E64A7"/>
    <w:rsid w:val="006E64B6"/>
    <w:rsid w:val="006E650B"/>
    <w:rsid w:val="006E6709"/>
    <w:rsid w:val="006E683C"/>
    <w:rsid w:val="006E686C"/>
    <w:rsid w:val="006E6879"/>
    <w:rsid w:val="006E6930"/>
    <w:rsid w:val="006E6C96"/>
    <w:rsid w:val="006E6CA4"/>
    <w:rsid w:val="006E6E46"/>
    <w:rsid w:val="006E6F26"/>
    <w:rsid w:val="006E7197"/>
    <w:rsid w:val="006E74C8"/>
    <w:rsid w:val="006E75CF"/>
    <w:rsid w:val="006E790C"/>
    <w:rsid w:val="006E7947"/>
    <w:rsid w:val="006E79DB"/>
    <w:rsid w:val="006E7B84"/>
    <w:rsid w:val="006E7E73"/>
    <w:rsid w:val="006E7FD9"/>
    <w:rsid w:val="006F059A"/>
    <w:rsid w:val="006F059B"/>
    <w:rsid w:val="006F08C4"/>
    <w:rsid w:val="006F08E1"/>
    <w:rsid w:val="006F0968"/>
    <w:rsid w:val="006F0B31"/>
    <w:rsid w:val="006F0DD1"/>
    <w:rsid w:val="006F0E59"/>
    <w:rsid w:val="006F0EB0"/>
    <w:rsid w:val="006F1001"/>
    <w:rsid w:val="006F1093"/>
    <w:rsid w:val="006F1239"/>
    <w:rsid w:val="006F12AD"/>
    <w:rsid w:val="006F12D4"/>
    <w:rsid w:val="006F12ED"/>
    <w:rsid w:val="006F1479"/>
    <w:rsid w:val="006F1618"/>
    <w:rsid w:val="006F1B91"/>
    <w:rsid w:val="006F1E5A"/>
    <w:rsid w:val="006F2771"/>
    <w:rsid w:val="006F283F"/>
    <w:rsid w:val="006F298F"/>
    <w:rsid w:val="006F2998"/>
    <w:rsid w:val="006F2ADA"/>
    <w:rsid w:val="006F2B9E"/>
    <w:rsid w:val="006F3226"/>
    <w:rsid w:val="006F356F"/>
    <w:rsid w:val="006F37CC"/>
    <w:rsid w:val="006F3A3F"/>
    <w:rsid w:val="006F3B6D"/>
    <w:rsid w:val="006F3D7A"/>
    <w:rsid w:val="006F3F58"/>
    <w:rsid w:val="006F3F9D"/>
    <w:rsid w:val="006F4040"/>
    <w:rsid w:val="006F4296"/>
    <w:rsid w:val="006F42FE"/>
    <w:rsid w:val="006F4332"/>
    <w:rsid w:val="006F463B"/>
    <w:rsid w:val="006F48FB"/>
    <w:rsid w:val="006F4AB5"/>
    <w:rsid w:val="006F4B3E"/>
    <w:rsid w:val="006F4DD4"/>
    <w:rsid w:val="006F4E79"/>
    <w:rsid w:val="006F5041"/>
    <w:rsid w:val="006F5362"/>
    <w:rsid w:val="006F56F3"/>
    <w:rsid w:val="006F5E9C"/>
    <w:rsid w:val="006F5FB0"/>
    <w:rsid w:val="006F62A9"/>
    <w:rsid w:val="006F645D"/>
    <w:rsid w:val="006F64AA"/>
    <w:rsid w:val="006F66E1"/>
    <w:rsid w:val="006F676D"/>
    <w:rsid w:val="006F67BE"/>
    <w:rsid w:val="006F6913"/>
    <w:rsid w:val="006F697F"/>
    <w:rsid w:val="006F6A9A"/>
    <w:rsid w:val="006F6B8E"/>
    <w:rsid w:val="006F6BB0"/>
    <w:rsid w:val="006F752A"/>
    <w:rsid w:val="006F7568"/>
    <w:rsid w:val="006F76DF"/>
    <w:rsid w:val="006F77CC"/>
    <w:rsid w:val="006F7BB5"/>
    <w:rsid w:val="006F7F18"/>
    <w:rsid w:val="0070005B"/>
    <w:rsid w:val="00700096"/>
    <w:rsid w:val="00700202"/>
    <w:rsid w:val="00700227"/>
    <w:rsid w:val="0070032E"/>
    <w:rsid w:val="007005EC"/>
    <w:rsid w:val="00700926"/>
    <w:rsid w:val="00700D21"/>
    <w:rsid w:val="00700F14"/>
    <w:rsid w:val="00701124"/>
    <w:rsid w:val="007011D6"/>
    <w:rsid w:val="0070129D"/>
    <w:rsid w:val="00701307"/>
    <w:rsid w:val="00701311"/>
    <w:rsid w:val="00701313"/>
    <w:rsid w:val="00701640"/>
    <w:rsid w:val="00701744"/>
    <w:rsid w:val="00701D43"/>
    <w:rsid w:val="00701DD5"/>
    <w:rsid w:val="00701EBE"/>
    <w:rsid w:val="007020C4"/>
    <w:rsid w:val="007021AE"/>
    <w:rsid w:val="0070246C"/>
    <w:rsid w:val="007027B3"/>
    <w:rsid w:val="00702875"/>
    <w:rsid w:val="00702BBB"/>
    <w:rsid w:val="00702BE6"/>
    <w:rsid w:val="00702C7D"/>
    <w:rsid w:val="00702CF8"/>
    <w:rsid w:val="00702D2F"/>
    <w:rsid w:val="00702DE1"/>
    <w:rsid w:val="00702E4A"/>
    <w:rsid w:val="00703148"/>
    <w:rsid w:val="007031DE"/>
    <w:rsid w:val="007032ED"/>
    <w:rsid w:val="007032FC"/>
    <w:rsid w:val="00703440"/>
    <w:rsid w:val="00703843"/>
    <w:rsid w:val="007038BA"/>
    <w:rsid w:val="00703934"/>
    <w:rsid w:val="00703AAC"/>
    <w:rsid w:val="00703EC8"/>
    <w:rsid w:val="007045A7"/>
    <w:rsid w:val="007047ED"/>
    <w:rsid w:val="00704AF3"/>
    <w:rsid w:val="00704BA9"/>
    <w:rsid w:val="00704CDF"/>
    <w:rsid w:val="00704D06"/>
    <w:rsid w:val="00704D21"/>
    <w:rsid w:val="00704E5D"/>
    <w:rsid w:val="00704FE0"/>
    <w:rsid w:val="00705182"/>
    <w:rsid w:val="007056D6"/>
    <w:rsid w:val="00705806"/>
    <w:rsid w:val="00705966"/>
    <w:rsid w:val="00705D60"/>
    <w:rsid w:val="00705FDD"/>
    <w:rsid w:val="00706031"/>
    <w:rsid w:val="00706092"/>
    <w:rsid w:val="007060F7"/>
    <w:rsid w:val="0070617D"/>
    <w:rsid w:val="007063B9"/>
    <w:rsid w:val="00706643"/>
    <w:rsid w:val="0070665A"/>
    <w:rsid w:val="007066B4"/>
    <w:rsid w:val="0070681B"/>
    <w:rsid w:val="0070681D"/>
    <w:rsid w:val="00706897"/>
    <w:rsid w:val="00706A42"/>
    <w:rsid w:val="00706A47"/>
    <w:rsid w:val="00706A5D"/>
    <w:rsid w:val="00706CCD"/>
    <w:rsid w:val="00706E2B"/>
    <w:rsid w:val="00706FD4"/>
    <w:rsid w:val="0070718C"/>
    <w:rsid w:val="007072E7"/>
    <w:rsid w:val="00707497"/>
    <w:rsid w:val="007074EF"/>
    <w:rsid w:val="007077B3"/>
    <w:rsid w:val="00707867"/>
    <w:rsid w:val="00707BDB"/>
    <w:rsid w:val="00707C7F"/>
    <w:rsid w:val="00707C89"/>
    <w:rsid w:val="00707E1A"/>
    <w:rsid w:val="00707EA7"/>
    <w:rsid w:val="00710087"/>
    <w:rsid w:val="0071009C"/>
    <w:rsid w:val="007100B5"/>
    <w:rsid w:val="007102A0"/>
    <w:rsid w:val="00710307"/>
    <w:rsid w:val="0071040D"/>
    <w:rsid w:val="007105F7"/>
    <w:rsid w:val="00710765"/>
    <w:rsid w:val="007107E8"/>
    <w:rsid w:val="0071094E"/>
    <w:rsid w:val="00710C24"/>
    <w:rsid w:val="00710D24"/>
    <w:rsid w:val="00710FC2"/>
    <w:rsid w:val="00711113"/>
    <w:rsid w:val="0071113C"/>
    <w:rsid w:val="00711146"/>
    <w:rsid w:val="0071118F"/>
    <w:rsid w:val="007111D1"/>
    <w:rsid w:val="00711346"/>
    <w:rsid w:val="007113F9"/>
    <w:rsid w:val="007115FD"/>
    <w:rsid w:val="00711677"/>
    <w:rsid w:val="00711C23"/>
    <w:rsid w:val="00711D11"/>
    <w:rsid w:val="00711D69"/>
    <w:rsid w:val="00711E7B"/>
    <w:rsid w:val="0071213E"/>
    <w:rsid w:val="007121ED"/>
    <w:rsid w:val="0071228D"/>
    <w:rsid w:val="007126DD"/>
    <w:rsid w:val="00712705"/>
    <w:rsid w:val="007129A2"/>
    <w:rsid w:val="00712BE6"/>
    <w:rsid w:val="00712CF8"/>
    <w:rsid w:val="00712FF7"/>
    <w:rsid w:val="007131EA"/>
    <w:rsid w:val="00713320"/>
    <w:rsid w:val="0071344B"/>
    <w:rsid w:val="00713667"/>
    <w:rsid w:val="007137F9"/>
    <w:rsid w:val="00713829"/>
    <w:rsid w:val="0071395E"/>
    <w:rsid w:val="00713AEB"/>
    <w:rsid w:val="00713CBD"/>
    <w:rsid w:val="00713F06"/>
    <w:rsid w:val="0071402C"/>
    <w:rsid w:val="007140BD"/>
    <w:rsid w:val="0071419C"/>
    <w:rsid w:val="00714321"/>
    <w:rsid w:val="0071432B"/>
    <w:rsid w:val="0071438F"/>
    <w:rsid w:val="007143DB"/>
    <w:rsid w:val="00714559"/>
    <w:rsid w:val="00714687"/>
    <w:rsid w:val="00714874"/>
    <w:rsid w:val="00714C2E"/>
    <w:rsid w:val="00714D60"/>
    <w:rsid w:val="00714E5A"/>
    <w:rsid w:val="00714E7A"/>
    <w:rsid w:val="00714FB0"/>
    <w:rsid w:val="00715401"/>
    <w:rsid w:val="007158A1"/>
    <w:rsid w:val="007158A5"/>
    <w:rsid w:val="00715CDA"/>
    <w:rsid w:val="00716045"/>
    <w:rsid w:val="007161D0"/>
    <w:rsid w:val="007162E6"/>
    <w:rsid w:val="007163B6"/>
    <w:rsid w:val="007165C0"/>
    <w:rsid w:val="00716643"/>
    <w:rsid w:val="00716823"/>
    <w:rsid w:val="0071684C"/>
    <w:rsid w:val="00716C19"/>
    <w:rsid w:val="00716E6A"/>
    <w:rsid w:val="0071700C"/>
    <w:rsid w:val="00717212"/>
    <w:rsid w:val="00717403"/>
    <w:rsid w:val="007176BB"/>
    <w:rsid w:val="00717775"/>
    <w:rsid w:val="00717958"/>
    <w:rsid w:val="00717AE6"/>
    <w:rsid w:val="00717AF5"/>
    <w:rsid w:val="00717D05"/>
    <w:rsid w:val="00717ED8"/>
    <w:rsid w:val="0072004B"/>
    <w:rsid w:val="007200D9"/>
    <w:rsid w:val="0072019C"/>
    <w:rsid w:val="0072047C"/>
    <w:rsid w:val="0072062F"/>
    <w:rsid w:val="00720736"/>
    <w:rsid w:val="007208E7"/>
    <w:rsid w:val="00720B19"/>
    <w:rsid w:val="00720B79"/>
    <w:rsid w:val="00720CD7"/>
    <w:rsid w:val="00720E6E"/>
    <w:rsid w:val="00721164"/>
    <w:rsid w:val="0072117D"/>
    <w:rsid w:val="007211B7"/>
    <w:rsid w:val="00721227"/>
    <w:rsid w:val="00721245"/>
    <w:rsid w:val="00721306"/>
    <w:rsid w:val="00721338"/>
    <w:rsid w:val="00721481"/>
    <w:rsid w:val="007214B2"/>
    <w:rsid w:val="00721A4A"/>
    <w:rsid w:val="00721A7F"/>
    <w:rsid w:val="00721AD9"/>
    <w:rsid w:val="00721B13"/>
    <w:rsid w:val="00721BCE"/>
    <w:rsid w:val="00721CB4"/>
    <w:rsid w:val="00721F3B"/>
    <w:rsid w:val="0072200A"/>
    <w:rsid w:val="00722416"/>
    <w:rsid w:val="0072241C"/>
    <w:rsid w:val="007225EB"/>
    <w:rsid w:val="00722846"/>
    <w:rsid w:val="00722B79"/>
    <w:rsid w:val="00722D0B"/>
    <w:rsid w:val="00722E21"/>
    <w:rsid w:val="00722E89"/>
    <w:rsid w:val="00722E92"/>
    <w:rsid w:val="007230E4"/>
    <w:rsid w:val="007232FE"/>
    <w:rsid w:val="00723374"/>
    <w:rsid w:val="007237AD"/>
    <w:rsid w:val="00723962"/>
    <w:rsid w:val="00723A20"/>
    <w:rsid w:val="00723B55"/>
    <w:rsid w:val="00723B6C"/>
    <w:rsid w:val="00723BAE"/>
    <w:rsid w:val="00723D11"/>
    <w:rsid w:val="00723D64"/>
    <w:rsid w:val="00723D78"/>
    <w:rsid w:val="00723DDB"/>
    <w:rsid w:val="007241E5"/>
    <w:rsid w:val="00724459"/>
    <w:rsid w:val="007244EA"/>
    <w:rsid w:val="00724667"/>
    <w:rsid w:val="007246A9"/>
    <w:rsid w:val="00724793"/>
    <w:rsid w:val="0072487D"/>
    <w:rsid w:val="00724944"/>
    <w:rsid w:val="00724D82"/>
    <w:rsid w:val="00724E43"/>
    <w:rsid w:val="00724F0C"/>
    <w:rsid w:val="0072504B"/>
    <w:rsid w:val="007250B8"/>
    <w:rsid w:val="00725270"/>
    <w:rsid w:val="00725659"/>
    <w:rsid w:val="007256D5"/>
    <w:rsid w:val="007256FC"/>
    <w:rsid w:val="00725809"/>
    <w:rsid w:val="00725A6D"/>
    <w:rsid w:val="00725A8D"/>
    <w:rsid w:val="007262D7"/>
    <w:rsid w:val="00726390"/>
    <w:rsid w:val="00726437"/>
    <w:rsid w:val="00726478"/>
    <w:rsid w:val="00726918"/>
    <w:rsid w:val="00726942"/>
    <w:rsid w:val="00726964"/>
    <w:rsid w:val="007269BC"/>
    <w:rsid w:val="00726C3A"/>
    <w:rsid w:val="00726DCB"/>
    <w:rsid w:val="00727031"/>
    <w:rsid w:val="00727325"/>
    <w:rsid w:val="0072757C"/>
    <w:rsid w:val="00727683"/>
    <w:rsid w:val="0072780A"/>
    <w:rsid w:val="00727820"/>
    <w:rsid w:val="00727AF2"/>
    <w:rsid w:val="00727D92"/>
    <w:rsid w:val="007301D2"/>
    <w:rsid w:val="00730277"/>
    <w:rsid w:val="007303F7"/>
    <w:rsid w:val="007305FC"/>
    <w:rsid w:val="00730655"/>
    <w:rsid w:val="007307AF"/>
    <w:rsid w:val="007307E4"/>
    <w:rsid w:val="007309DD"/>
    <w:rsid w:val="00730ADF"/>
    <w:rsid w:val="00730C2F"/>
    <w:rsid w:val="00730FAB"/>
    <w:rsid w:val="00731010"/>
    <w:rsid w:val="00731576"/>
    <w:rsid w:val="0073163C"/>
    <w:rsid w:val="00731711"/>
    <w:rsid w:val="00731759"/>
    <w:rsid w:val="00731760"/>
    <w:rsid w:val="00731861"/>
    <w:rsid w:val="00731E21"/>
    <w:rsid w:val="007320F3"/>
    <w:rsid w:val="007323AD"/>
    <w:rsid w:val="00732410"/>
    <w:rsid w:val="0073249D"/>
    <w:rsid w:val="00732626"/>
    <w:rsid w:val="00732922"/>
    <w:rsid w:val="00732AEB"/>
    <w:rsid w:val="00732B45"/>
    <w:rsid w:val="00732CC5"/>
    <w:rsid w:val="00732F02"/>
    <w:rsid w:val="00732F9C"/>
    <w:rsid w:val="0073302A"/>
    <w:rsid w:val="007331B1"/>
    <w:rsid w:val="007331D1"/>
    <w:rsid w:val="00733254"/>
    <w:rsid w:val="00733365"/>
    <w:rsid w:val="00733428"/>
    <w:rsid w:val="0073352C"/>
    <w:rsid w:val="0073385A"/>
    <w:rsid w:val="00733A06"/>
    <w:rsid w:val="00733AEC"/>
    <w:rsid w:val="00733EDB"/>
    <w:rsid w:val="00733F42"/>
    <w:rsid w:val="00733FA1"/>
    <w:rsid w:val="00734032"/>
    <w:rsid w:val="00734207"/>
    <w:rsid w:val="00734419"/>
    <w:rsid w:val="007345B5"/>
    <w:rsid w:val="007349A1"/>
    <w:rsid w:val="00734AFB"/>
    <w:rsid w:val="00734B67"/>
    <w:rsid w:val="00734C51"/>
    <w:rsid w:val="00734FBB"/>
    <w:rsid w:val="00735439"/>
    <w:rsid w:val="0073554F"/>
    <w:rsid w:val="007356EB"/>
    <w:rsid w:val="00735770"/>
    <w:rsid w:val="00735798"/>
    <w:rsid w:val="007357EF"/>
    <w:rsid w:val="00735D0E"/>
    <w:rsid w:val="00735ECA"/>
    <w:rsid w:val="00736004"/>
    <w:rsid w:val="007361F1"/>
    <w:rsid w:val="00736269"/>
    <w:rsid w:val="0073644B"/>
    <w:rsid w:val="007365E5"/>
    <w:rsid w:val="00736664"/>
    <w:rsid w:val="007366E4"/>
    <w:rsid w:val="00736754"/>
    <w:rsid w:val="007369BB"/>
    <w:rsid w:val="00736AE0"/>
    <w:rsid w:val="00736B4D"/>
    <w:rsid w:val="00736CE1"/>
    <w:rsid w:val="00736FFB"/>
    <w:rsid w:val="0073705D"/>
    <w:rsid w:val="0073741F"/>
    <w:rsid w:val="0073747A"/>
    <w:rsid w:val="007375E7"/>
    <w:rsid w:val="00737788"/>
    <w:rsid w:val="00737926"/>
    <w:rsid w:val="0073794D"/>
    <w:rsid w:val="00737D4F"/>
    <w:rsid w:val="00737DC2"/>
    <w:rsid w:val="00737F3B"/>
    <w:rsid w:val="007405C5"/>
    <w:rsid w:val="007405CB"/>
    <w:rsid w:val="007406D8"/>
    <w:rsid w:val="0074073F"/>
    <w:rsid w:val="007409DC"/>
    <w:rsid w:val="00740B25"/>
    <w:rsid w:val="00740EB1"/>
    <w:rsid w:val="00741270"/>
    <w:rsid w:val="00741390"/>
    <w:rsid w:val="0074141D"/>
    <w:rsid w:val="00741529"/>
    <w:rsid w:val="007415FC"/>
    <w:rsid w:val="00741644"/>
    <w:rsid w:val="00741679"/>
    <w:rsid w:val="007418D4"/>
    <w:rsid w:val="00741D17"/>
    <w:rsid w:val="00741DE0"/>
    <w:rsid w:val="0074205B"/>
    <w:rsid w:val="007421A9"/>
    <w:rsid w:val="00742387"/>
    <w:rsid w:val="0074240C"/>
    <w:rsid w:val="0074241C"/>
    <w:rsid w:val="00742472"/>
    <w:rsid w:val="00742483"/>
    <w:rsid w:val="00742FE6"/>
    <w:rsid w:val="00743482"/>
    <w:rsid w:val="00743782"/>
    <w:rsid w:val="00743960"/>
    <w:rsid w:val="00743A0B"/>
    <w:rsid w:val="00743CFE"/>
    <w:rsid w:val="00743DAE"/>
    <w:rsid w:val="00743FC3"/>
    <w:rsid w:val="0074417B"/>
    <w:rsid w:val="00744377"/>
    <w:rsid w:val="00744383"/>
    <w:rsid w:val="00744990"/>
    <w:rsid w:val="00744A16"/>
    <w:rsid w:val="00744A6B"/>
    <w:rsid w:val="00744AB1"/>
    <w:rsid w:val="00744B9E"/>
    <w:rsid w:val="00744E62"/>
    <w:rsid w:val="00744EEC"/>
    <w:rsid w:val="00744F06"/>
    <w:rsid w:val="007450D7"/>
    <w:rsid w:val="00745147"/>
    <w:rsid w:val="00745235"/>
    <w:rsid w:val="00745259"/>
    <w:rsid w:val="007452F2"/>
    <w:rsid w:val="0074530A"/>
    <w:rsid w:val="00745335"/>
    <w:rsid w:val="007458A1"/>
    <w:rsid w:val="00745AA2"/>
    <w:rsid w:val="00745C14"/>
    <w:rsid w:val="00745D39"/>
    <w:rsid w:val="007461E1"/>
    <w:rsid w:val="00746280"/>
    <w:rsid w:val="00746474"/>
    <w:rsid w:val="00746500"/>
    <w:rsid w:val="00746515"/>
    <w:rsid w:val="007465E9"/>
    <w:rsid w:val="007469C6"/>
    <w:rsid w:val="00746C03"/>
    <w:rsid w:val="00746C6E"/>
    <w:rsid w:val="00746E19"/>
    <w:rsid w:val="0074706E"/>
    <w:rsid w:val="0074713A"/>
    <w:rsid w:val="0074725D"/>
    <w:rsid w:val="007476BC"/>
    <w:rsid w:val="0074799E"/>
    <w:rsid w:val="007479D4"/>
    <w:rsid w:val="00747CC8"/>
    <w:rsid w:val="00747D34"/>
    <w:rsid w:val="007500B1"/>
    <w:rsid w:val="00750185"/>
    <w:rsid w:val="00750376"/>
    <w:rsid w:val="007505F5"/>
    <w:rsid w:val="00750760"/>
    <w:rsid w:val="007507EC"/>
    <w:rsid w:val="00750B25"/>
    <w:rsid w:val="00750CAA"/>
    <w:rsid w:val="00750FEB"/>
    <w:rsid w:val="007512CD"/>
    <w:rsid w:val="007513FD"/>
    <w:rsid w:val="00751439"/>
    <w:rsid w:val="007517E0"/>
    <w:rsid w:val="00751994"/>
    <w:rsid w:val="00751A07"/>
    <w:rsid w:val="00751FCC"/>
    <w:rsid w:val="00752471"/>
    <w:rsid w:val="007524AA"/>
    <w:rsid w:val="00752539"/>
    <w:rsid w:val="007525A8"/>
    <w:rsid w:val="007527ED"/>
    <w:rsid w:val="00752D5F"/>
    <w:rsid w:val="00752E4B"/>
    <w:rsid w:val="00752FC2"/>
    <w:rsid w:val="0075319F"/>
    <w:rsid w:val="007535DC"/>
    <w:rsid w:val="0075368F"/>
    <w:rsid w:val="007538CE"/>
    <w:rsid w:val="00753AA3"/>
    <w:rsid w:val="00753B8F"/>
    <w:rsid w:val="00753C97"/>
    <w:rsid w:val="00753E95"/>
    <w:rsid w:val="00754150"/>
    <w:rsid w:val="0075420F"/>
    <w:rsid w:val="007543B6"/>
    <w:rsid w:val="0075440D"/>
    <w:rsid w:val="00754585"/>
    <w:rsid w:val="007545C4"/>
    <w:rsid w:val="007547A5"/>
    <w:rsid w:val="0075485C"/>
    <w:rsid w:val="00754D2F"/>
    <w:rsid w:val="00754FE4"/>
    <w:rsid w:val="00755479"/>
    <w:rsid w:val="007554ED"/>
    <w:rsid w:val="0075561E"/>
    <w:rsid w:val="007558C9"/>
    <w:rsid w:val="00755BC2"/>
    <w:rsid w:val="00755FF3"/>
    <w:rsid w:val="0075609C"/>
    <w:rsid w:val="007562AD"/>
    <w:rsid w:val="00756605"/>
    <w:rsid w:val="00756862"/>
    <w:rsid w:val="00756A77"/>
    <w:rsid w:val="00756B57"/>
    <w:rsid w:val="00756DCB"/>
    <w:rsid w:val="007571C6"/>
    <w:rsid w:val="00757664"/>
    <w:rsid w:val="0075769E"/>
    <w:rsid w:val="007576F8"/>
    <w:rsid w:val="007577AB"/>
    <w:rsid w:val="0075796E"/>
    <w:rsid w:val="007579F9"/>
    <w:rsid w:val="00760011"/>
    <w:rsid w:val="00760051"/>
    <w:rsid w:val="007600AE"/>
    <w:rsid w:val="0076016A"/>
    <w:rsid w:val="007602B7"/>
    <w:rsid w:val="00760575"/>
    <w:rsid w:val="007608AA"/>
    <w:rsid w:val="007609D6"/>
    <w:rsid w:val="00760E04"/>
    <w:rsid w:val="00760FAD"/>
    <w:rsid w:val="007610C3"/>
    <w:rsid w:val="0076110F"/>
    <w:rsid w:val="00761287"/>
    <w:rsid w:val="007612BE"/>
    <w:rsid w:val="007613D4"/>
    <w:rsid w:val="007614F0"/>
    <w:rsid w:val="00761697"/>
    <w:rsid w:val="00761883"/>
    <w:rsid w:val="007619BF"/>
    <w:rsid w:val="00761A46"/>
    <w:rsid w:val="00761AC4"/>
    <w:rsid w:val="00761ADF"/>
    <w:rsid w:val="00761C37"/>
    <w:rsid w:val="00761CC3"/>
    <w:rsid w:val="00762199"/>
    <w:rsid w:val="00762787"/>
    <w:rsid w:val="0076292C"/>
    <w:rsid w:val="00762A78"/>
    <w:rsid w:val="00762B7C"/>
    <w:rsid w:val="00762E09"/>
    <w:rsid w:val="00762E43"/>
    <w:rsid w:val="00762F3F"/>
    <w:rsid w:val="00762F5B"/>
    <w:rsid w:val="00762F7B"/>
    <w:rsid w:val="0076301B"/>
    <w:rsid w:val="00763041"/>
    <w:rsid w:val="0076308D"/>
    <w:rsid w:val="0076361A"/>
    <w:rsid w:val="00763762"/>
    <w:rsid w:val="00763797"/>
    <w:rsid w:val="00763B52"/>
    <w:rsid w:val="00763BD0"/>
    <w:rsid w:val="00763C7D"/>
    <w:rsid w:val="00763E65"/>
    <w:rsid w:val="00763E69"/>
    <w:rsid w:val="00764029"/>
    <w:rsid w:val="0076403D"/>
    <w:rsid w:val="00764198"/>
    <w:rsid w:val="0076434B"/>
    <w:rsid w:val="00764753"/>
    <w:rsid w:val="00764849"/>
    <w:rsid w:val="00764865"/>
    <w:rsid w:val="00764A15"/>
    <w:rsid w:val="00764A48"/>
    <w:rsid w:val="00764A6B"/>
    <w:rsid w:val="00764A8A"/>
    <w:rsid w:val="00764D1E"/>
    <w:rsid w:val="00764D55"/>
    <w:rsid w:val="00764E81"/>
    <w:rsid w:val="00764F14"/>
    <w:rsid w:val="00764FAD"/>
    <w:rsid w:val="00764FC3"/>
    <w:rsid w:val="00765001"/>
    <w:rsid w:val="0076502E"/>
    <w:rsid w:val="00765113"/>
    <w:rsid w:val="00765173"/>
    <w:rsid w:val="00765350"/>
    <w:rsid w:val="0076564A"/>
    <w:rsid w:val="00765A74"/>
    <w:rsid w:val="00765D6E"/>
    <w:rsid w:val="00765D8F"/>
    <w:rsid w:val="00765FE0"/>
    <w:rsid w:val="007661A7"/>
    <w:rsid w:val="0076670B"/>
    <w:rsid w:val="00766791"/>
    <w:rsid w:val="007667C3"/>
    <w:rsid w:val="0076689F"/>
    <w:rsid w:val="00766A53"/>
    <w:rsid w:val="00766B7B"/>
    <w:rsid w:val="00766D27"/>
    <w:rsid w:val="00766D3C"/>
    <w:rsid w:val="00766D97"/>
    <w:rsid w:val="00767082"/>
    <w:rsid w:val="00767163"/>
    <w:rsid w:val="007671C4"/>
    <w:rsid w:val="0076736D"/>
    <w:rsid w:val="007679F6"/>
    <w:rsid w:val="00767B3F"/>
    <w:rsid w:val="00767E3F"/>
    <w:rsid w:val="00767E5F"/>
    <w:rsid w:val="00767ECE"/>
    <w:rsid w:val="00770016"/>
    <w:rsid w:val="00770092"/>
    <w:rsid w:val="00770139"/>
    <w:rsid w:val="0077039A"/>
    <w:rsid w:val="00770434"/>
    <w:rsid w:val="00770795"/>
    <w:rsid w:val="00770879"/>
    <w:rsid w:val="0077088E"/>
    <w:rsid w:val="0077091A"/>
    <w:rsid w:val="00770AE1"/>
    <w:rsid w:val="00770BA5"/>
    <w:rsid w:val="00770BAF"/>
    <w:rsid w:val="00770D29"/>
    <w:rsid w:val="00770DC2"/>
    <w:rsid w:val="00770F16"/>
    <w:rsid w:val="00770F7E"/>
    <w:rsid w:val="007710B3"/>
    <w:rsid w:val="007710E3"/>
    <w:rsid w:val="007710E9"/>
    <w:rsid w:val="007715C2"/>
    <w:rsid w:val="007715F3"/>
    <w:rsid w:val="00771660"/>
    <w:rsid w:val="0077168A"/>
    <w:rsid w:val="0077192E"/>
    <w:rsid w:val="00771A8D"/>
    <w:rsid w:val="00771B69"/>
    <w:rsid w:val="00771BCB"/>
    <w:rsid w:val="00771BD9"/>
    <w:rsid w:val="00771EBC"/>
    <w:rsid w:val="007720BB"/>
    <w:rsid w:val="00772768"/>
    <w:rsid w:val="007727C3"/>
    <w:rsid w:val="007728E1"/>
    <w:rsid w:val="00772D22"/>
    <w:rsid w:val="00773075"/>
    <w:rsid w:val="007733F7"/>
    <w:rsid w:val="007735F6"/>
    <w:rsid w:val="00773660"/>
    <w:rsid w:val="00773725"/>
    <w:rsid w:val="007737EA"/>
    <w:rsid w:val="00773BD5"/>
    <w:rsid w:val="00773E81"/>
    <w:rsid w:val="0077400E"/>
    <w:rsid w:val="00774087"/>
    <w:rsid w:val="00774204"/>
    <w:rsid w:val="00774319"/>
    <w:rsid w:val="00774362"/>
    <w:rsid w:val="007747A4"/>
    <w:rsid w:val="0077487A"/>
    <w:rsid w:val="0077487D"/>
    <w:rsid w:val="00774A44"/>
    <w:rsid w:val="00774B30"/>
    <w:rsid w:val="00774C04"/>
    <w:rsid w:val="00774FE9"/>
    <w:rsid w:val="007750F3"/>
    <w:rsid w:val="007751A0"/>
    <w:rsid w:val="007751D4"/>
    <w:rsid w:val="0077538E"/>
    <w:rsid w:val="007754D6"/>
    <w:rsid w:val="007756CB"/>
    <w:rsid w:val="007757D2"/>
    <w:rsid w:val="007758AB"/>
    <w:rsid w:val="00775910"/>
    <w:rsid w:val="00775948"/>
    <w:rsid w:val="0077597C"/>
    <w:rsid w:val="00775997"/>
    <w:rsid w:val="00775B4B"/>
    <w:rsid w:val="00775C0E"/>
    <w:rsid w:val="00775CA7"/>
    <w:rsid w:val="00775D95"/>
    <w:rsid w:val="00775E9D"/>
    <w:rsid w:val="00775EC1"/>
    <w:rsid w:val="0077608A"/>
    <w:rsid w:val="0077610D"/>
    <w:rsid w:val="0077629D"/>
    <w:rsid w:val="007762A6"/>
    <w:rsid w:val="00776434"/>
    <w:rsid w:val="007766A9"/>
    <w:rsid w:val="00776B9A"/>
    <w:rsid w:val="00776B9F"/>
    <w:rsid w:val="00776C0B"/>
    <w:rsid w:val="00776C34"/>
    <w:rsid w:val="00776C83"/>
    <w:rsid w:val="00776D18"/>
    <w:rsid w:val="00777C82"/>
    <w:rsid w:val="00777DD5"/>
    <w:rsid w:val="00777F90"/>
    <w:rsid w:val="00777FC2"/>
    <w:rsid w:val="007803E7"/>
    <w:rsid w:val="00780797"/>
    <w:rsid w:val="0078099E"/>
    <w:rsid w:val="00780BFE"/>
    <w:rsid w:val="00780CC4"/>
    <w:rsid w:val="007811F0"/>
    <w:rsid w:val="0078120F"/>
    <w:rsid w:val="007812C1"/>
    <w:rsid w:val="00781343"/>
    <w:rsid w:val="0078134F"/>
    <w:rsid w:val="00781422"/>
    <w:rsid w:val="007816EC"/>
    <w:rsid w:val="007818AD"/>
    <w:rsid w:val="00781F05"/>
    <w:rsid w:val="00781FC0"/>
    <w:rsid w:val="00782063"/>
    <w:rsid w:val="00782244"/>
    <w:rsid w:val="00782255"/>
    <w:rsid w:val="007823E2"/>
    <w:rsid w:val="007823EE"/>
    <w:rsid w:val="0078245B"/>
    <w:rsid w:val="007824D9"/>
    <w:rsid w:val="007825C5"/>
    <w:rsid w:val="007827C5"/>
    <w:rsid w:val="0078283A"/>
    <w:rsid w:val="00782934"/>
    <w:rsid w:val="00782975"/>
    <w:rsid w:val="00782A75"/>
    <w:rsid w:val="00782CBF"/>
    <w:rsid w:val="00782EDA"/>
    <w:rsid w:val="00782EE1"/>
    <w:rsid w:val="00782F6A"/>
    <w:rsid w:val="00783002"/>
    <w:rsid w:val="007830CD"/>
    <w:rsid w:val="00783430"/>
    <w:rsid w:val="0078364F"/>
    <w:rsid w:val="00783A89"/>
    <w:rsid w:val="00783BF2"/>
    <w:rsid w:val="00783D95"/>
    <w:rsid w:val="00784167"/>
    <w:rsid w:val="007841DF"/>
    <w:rsid w:val="007842D2"/>
    <w:rsid w:val="007843F3"/>
    <w:rsid w:val="007844AE"/>
    <w:rsid w:val="0078457B"/>
    <w:rsid w:val="0078482B"/>
    <w:rsid w:val="00784864"/>
    <w:rsid w:val="0078487A"/>
    <w:rsid w:val="007848A1"/>
    <w:rsid w:val="00784959"/>
    <w:rsid w:val="007849EF"/>
    <w:rsid w:val="00784C91"/>
    <w:rsid w:val="00784FEE"/>
    <w:rsid w:val="007853B1"/>
    <w:rsid w:val="00785519"/>
    <w:rsid w:val="00785933"/>
    <w:rsid w:val="00785A0D"/>
    <w:rsid w:val="00785A4C"/>
    <w:rsid w:val="00785F94"/>
    <w:rsid w:val="0078615B"/>
    <w:rsid w:val="00786327"/>
    <w:rsid w:val="00786611"/>
    <w:rsid w:val="007867A5"/>
    <w:rsid w:val="0078694B"/>
    <w:rsid w:val="00786AC3"/>
    <w:rsid w:val="00786D01"/>
    <w:rsid w:val="00786F88"/>
    <w:rsid w:val="00787245"/>
    <w:rsid w:val="0078727B"/>
    <w:rsid w:val="007872F8"/>
    <w:rsid w:val="00787330"/>
    <w:rsid w:val="00787349"/>
    <w:rsid w:val="00787414"/>
    <w:rsid w:val="00787615"/>
    <w:rsid w:val="00787793"/>
    <w:rsid w:val="00787841"/>
    <w:rsid w:val="007879BA"/>
    <w:rsid w:val="007879BE"/>
    <w:rsid w:val="00787A2A"/>
    <w:rsid w:val="00787DA9"/>
    <w:rsid w:val="00787DEF"/>
    <w:rsid w:val="007900D9"/>
    <w:rsid w:val="00790581"/>
    <w:rsid w:val="0079098E"/>
    <w:rsid w:val="007909FC"/>
    <w:rsid w:val="00790AB6"/>
    <w:rsid w:val="00790B80"/>
    <w:rsid w:val="00790D5C"/>
    <w:rsid w:val="00790D7E"/>
    <w:rsid w:val="0079129B"/>
    <w:rsid w:val="007912FF"/>
    <w:rsid w:val="00791A71"/>
    <w:rsid w:val="00791DB2"/>
    <w:rsid w:val="00791E0A"/>
    <w:rsid w:val="00791FFF"/>
    <w:rsid w:val="007920A7"/>
    <w:rsid w:val="00792489"/>
    <w:rsid w:val="00792898"/>
    <w:rsid w:val="00792A29"/>
    <w:rsid w:val="00792A50"/>
    <w:rsid w:val="00792A53"/>
    <w:rsid w:val="00792B45"/>
    <w:rsid w:val="00792EB6"/>
    <w:rsid w:val="00792EDE"/>
    <w:rsid w:val="00793092"/>
    <w:rsid w:val="00793097"/>
    <w:rsid w:val="00793124"/>
    <w:rsid w:val="0079320D"/>
    <w:rsid w:val="00793216"/>
    <w:rsid w:val="007934B8"/>
    <w:rsid w:val="00793672"/>
    <w:rsid w:val="00793778"/>
    <w:rsid w:val="007939A7"/>
    <w:rsid w:val="00793D24"/>
    <w:rsid w:val="00793DE3"/>
    <w:rsid w:val="00793E8F"/>
    <w:rsid w:val="00793F51"/>
    <w:rsid w:val="007942C9"/>
    <w:rsid w:val="007943CF"/>
    <w:rsid w:val="00794513"/>
    <w:rsid w:val="007945D0"/>
    <w:rsid w:val="0079469F"/>
    <w:rsid w:val="007946E8"/>
    <w:rsid w:val="0079477B"/>
    <w:rsid w:val="007947CD"/>
    <w:rsid w:val="007947DF"/>
    <w:rsid w:val="00794839"/>
    <w:rsid w:val="007949CD"/>
    <w:rsid w:val="007949DA"/>
    <w:rsid w:val="00794D35"/>
    <w:rsid w:val="00794D3C"/>
    <w:rsid w:val="007951BA"/>
    <w:rsid w:val="007954C2"/>
    <w:rsid w:val="00795675"/>
    <w:rsid w:val="0079568C"/>
    <w:rsid w:val="0079576E"/>
    <w:rsid w:val="007957D7"/>
    <w:rsid w:val="007957DF"/>
    <w:rsid w:val="00795854"/>
    <w:rsid w:val="00795898"/>
    <w:rsid w:val="00795999"/>
    <w:rsid w:val="00795C41"/>
    <w:rsid w:val="00795DED"/>
    <w:rsid w:val="00795FA2"/>
    <w:rsid w:val="007960F6"/>
    <w:rsid w:val="0079628B"/>
    <w:rsid w:val="00796664"/>
    <w:rsid w:val="00796902"/>
    <w:rsid w:val="0079699B"/>
    <w:rsid w:val="00796B3E"/>
    <w:rsid w:val="00796F21"/>
    <w:rsid w:val="00797003"/>
    <w:rsid w:val="00797330"/>
    <w:rsid w:val="007974CC"/>
    <w:rsid w:val="0079768C"/>
    <w:rsid w:val="007977FE"/>
    <w:rsid w:val="0079784A"/>
    <w:rsid w:val="007978DF"/>
    <w:rsid w:val="00797902"/>
    <w:rsid w:val="00797A40"/>
    <w:rsid w:val="00797BFF"/>
    <w:rsid w:val="00797C47"/>
    <w:rsid w:val="00797C8F"/>
    <w:rsid w:val="00797D5A"/>
    <w:rsid w:val="007A00C3"/>
    <w:rsid w:val="007A0288"/>
    <w:rsid w:val="007A02D7"/>
    <w:rsid w:val="007A0474"/>
    <w:rsid w:val="007A0751"/>
    <w:rsid w:val="007A0969"/>
    <w:rsid w:val="007A09CF"/>
    <w:rsid w:val="007A09E1"/>
    <w:rsid w:val="007A0BBC"/>
    <w:rsid w:val="007A0C4D"/>
    <w:rsid w:val="007A0CE0"/>
    <w:rsid w:val="007A0F9E"/>
    <w:rsid w:val="007A1512"/>
    <w:rsid w:val="007A15DC"/>
    <w:rsid w:val="007A1724"/>
    <w:rsid w:val="007A182C"/>
    <w:rsid w:val="007A1A24"/>
    <w:rsid w:val="007A1A47"/>
    <w:rsid w:val="007A1A53"/>
    <w:rsid w:val="007A1A5E"/>
    <w:rsid w:val="007A23AB"/>
    <w:rsid w:val="007A25D4"/>
    <w:rsid w:val="007A261B"/>
    <w:rsid w:val="007A2668"/>
    <w:rsid w:val="007A2C12"/>
    <w:rsid w:val="007A2D2C"/>
    <w:rsid w:val="007A2DC5"/>
    <w:rsid w:val="007A2E4E"/>
    <w:rsid w:val="007A2F9B"/>
    <w:rsid w:val="007A30ED"/>
    <w:rsid w:val="007A315A"/>
    <w:rsid w:val="007A31D8"/>
    <w:rsid w:val="007A354D"/>
    <w:rsid w:val="007A36C9"/>
    <w:rsid w:val="007A37F0"/>
    <w:rsid w:val="007A3853"/>
    <w:rsid w:val="007A3A6A"/>
    <w:rsid w:val="007A3AB8"/>
    <w:rsid w:val="007A3ABF"/>
    <w:rsid w:val="007A3BDA"/>
    <w:rsid w:val="007A3D51"/>
    <w:rsid w:val="007A3DC2"/>
    <w:rsid w:val="007A3E98"/>
    <w:rsid w:val="007A4029"/>
    <w:rsid w:val="007A41F1"/>
    <w:rsid w:val="007A43D4"/>
    <w:rsid w:val="007A43F2"/>
    <w:rsid w:val="007A4B68"/>
    <w:rsid w:val="007A4BC7"/>
    <w:rsid w:val="007A4C2A"/>
    <w:rsid w:val="007A4F08"/>
    <w:rsid w:val="007A5819"/>
    <w:rsid w:val="007A5830"/>
    <w:rsid w:val="007A58A3"/>
    <w:rsid w:val="007A5C16"/>
    <w:rsid w:val="007A5DBB"/>
    <w:rsid w:val="007A5E52"/>
    <w:rsid w:val="007A62A9"/>
    <w:rsid w:val="007A6306"/>
    <w:rsid w:val="007A6356"/>
    <w:rsid w:val="007A6377"/>
    <w:rsid w:val="007A655C"/>
    <w:rsid w:val="007A656E"/>
    <w:rsid w:val="007A662A"/>
    <w:rsid w:val="007A6856"/>
    <w:rsid w:val="007A69C7"/>
    <w:rsid w:val="007A6A23"/>
    <w:rsid w:val="007A6A38"/>
    <w:rsid w:val="007A6A72"/>
    <w:rsid w:val="007A6C49"/>
    <w:rsid w:val="007A6D4C"/>
    <w:rsid w:val="007A6DC5"/>
    <w:rsid w:val="007A70BD"/>
    <w:rsid w:val="007A7144"/>
    <w:rsid w:val="007A7166"/>
    <w:rsid w:val="007A71FB"/>
    <w:rsid w:val="007A7230"/>
    <w:rsid w:val="007A733A"/>
    <w:rsid w:val="007A7591"/>
    <w:rsid w:val="007A7966"/>
    <w:rsid w:val="007A79BD"/>
    <w:rsid w:val="007A79CC"/>
    <w:rsid w:val="007A7A48"/>
    <w:rsid w:val="007A7BFD"/>
    <w:rsid w:val="007A7C8F"/>
    <w:rsid w:val="007A7CD4"/>
    <w:rsid w:val="007A7DD5"/>
    <w:rsid w:val="007B001A"/>
    <w:rsid w:val="007B0119"/>
    <w:rsid w:val="007B01AD"/>
    <w:rsid w:val="007B01B0"/>
    <w:rsid w:val="007B01CC"/>
    <w:rsid w:val="007B0243"/>
    <w:rsid w:val="007B02DC"/>
    <w:rsid w:val="007B02E9"/>
    <w:rsid w:val="007B03BF"/>
    <w:rsid w:val="007B0410"/>
    <w:rsid w:val="007B0603"/>
    <w:rsid w:val="007B0B4C"/>
    <w:rsid w:val="007B0B94"/>
    <w:rsid w:val="007B0C5D"/>
    <w:rsid w:val="007B0CDD"/>
    <w:rsid w:val="007B0D4B"/>
    <w:rsid w:val="007B0E06"/>
    <w:rsid w:val="007B0FEB"/>
    <w:rsid w:val="007B1095"/>
    <w:rsid w:val="007B112C"/>
    <w:rsid w:val="007B1475"/>
    <w:rsid w:val="007B1544"/>
    <w:rsid w:val="007B185A"/>
    <w:rsid w:val="007B1909"/>
    <w:rsid w:val="007B1B43"/>
    <w:rsid w:val="007B1B75"/>
    <w:rsid w:val="007B1C13"/>
    <w:rsid w:val="007B1DAF"/>
    <w:rsid w:val="007B1E64"/>
    <w:rsid w:val="007B1F1A"/>
    <w:rsid w:val="007B2208"/>
    <w:rsid w:val="007B22DE"/>
    <w:rsid w:val="007B2405"/>
    <w:rsid w:val="007B262A"/>
    <w:rsid w:val="007B274A"/>
    <w:rsid w:val="007B2785"/>
    <w:rsid w:val="007B28A9"/>
    <w:rsid w:val="007B2A19"/>
    <w:rsid w:val="007B2A8B"/>
    <w:rsid w:val="007B2CB6"/>
    <w:rsid w:val="007B2D9F"/>
    <w:rsid w:val="007B2E68"/>
    <w:rsid w:val="007B2EEE"/>
    <w:rsid w:val="007B3144"/>
    <w:rsid w:val="007B31CF"/>
    <w:rsid w:val="007B3787"/>
    <w:rsid w:val="007B3935"/>
    <w:rsid w:val="007B3996"/>
    <w:rsid w:val="007B39C9"/>
    <w:rsid w:val="007B3AFC"/>
    <w:rsid w:val="007B3BDF"/>
    <w:rsid w:val="007B3D93"/>
    <w:rsid w:val="007B3DB5"/>
    <w:rsid w:val="007B4224"/>
    <w:rsid w:val="007B495E"/>
    <w:rsid w:val="007B4B56"/>
    <w:rsid w:val="007B4B99"/>
    <w:rsid w:val="007B4C13"/>
    <w:rsid w:val="007B4D72"/>
    <w:rsid w:val="007B4F33"/>
    <w:rsid w:val="007B5380"/>
    <w:rsid w:val="007B53CA"/>
    <w:rsid w:val="007B53F3"/>
    <w:rsid w:val="007B54D2"/>
    <w:rsid w:val="007B553C"/>
    <w:rsid w:val="007B553F"/>
    <w:rsid w:val="007B5560"/>
    <w:rsid w:val="007B560C"/>
    <w:rsid w:val="007B5725"/>
    <w:rsid w:val="007B5A97"/>
    <w:rsid w:val="007B5AF0"/>
    <w:rsid w:val="007B5C4D"/>
    <w:rsid w:val="007B5CE1"/>
    <w:rsid w:val="007B5EEA"/>
    <w:rsid w:val="007B5F75"/>
    <w:rsid w:val="007B5F80"/>
    <w:rsid w:val="007B5FD4"/>
    <w:rsid w:val="007B614D"/>
    <w:rsid w:val="007B617A"/>
    <w:rsid w:val="007B62D8"/>
    <w:rsid w:val="007B6338"/>
    <w:rsid w:val="007B63F7"/>
    <w:rsid w:val="007B64F9"/>
    <w:rsid w:val="007B658F"/>
    <w:rsid w:val="007B67C5"/>
    <w:rsid w:val="007B67FF"/>
    <w:rsid w:val="007B6917"/>
    <w:rsid w:val="007B6ACF"/>
    <w:rsid w:val="007B6C72"/>
    <w:rsid w:val="007B6D45"/>
    <w:rsid w:val="007B6D84"/>
    <w:rsid w:val="007B6DB1"/>
    <w:rsid w:val="007B700F"/>
    <w:rsid w:val="007B727C"/>
    <w:rsid w:val="007B73C2"/>
    <w:rsid w:val="007B73D3"/>
    <w:rsid w:val="007B73D8"/>
    <w:rsid w:val="007B76CD"/>
    <w:rsid w:val="007B787A"/>
    <w:rsid w:val="007B7B49"/>
    <w:rsid w:val="007B7D7F"/>
    <w:rsid w:val="007C01F9"/>
    <w:rsid w:val="007C0302"/>
    <w:rsid w:val="007C0315"/>
    <w:rsid w:val="007C0322"/>
    <w:rsid w:val="007C076F"/>
    <w:rsid w:val="007C07E7"/>
    <w:rsid w:val="007C091B"/>
    <w:rsid w:val="007C091C"/>
    <w:rsid w:val="007C0D0E"/>
    <w:rsid w:val="007C0DAA"/>
    <w:rsid w:val="007C0EEE"/>
    <w:rsid w:val="007C108E"/>
    <w:rsid w:val="007C1205"/>
    <w:rsid w:val="007C136B"/>
    <w:rsid w:val="007C13A2"/>
    <w:rsid w:val="007C142C"/>
    <w:rsid w:val="007C148E"/>
    <w:rsid w:val="007C1566"/>
    <w:rsid w:val="007C158E"/>
    <w:rsid w:val="007C15D7"/>
    <w:rsid w:val="007C1B56"/>
    <w:rsid w:val="007C1C12"/>
    <w:rsid w:val="007C1E04"/>
    <w:rsid w:val="007C220D"/>
    <w:rsid w:val="007C22DA"/>
    <w:rsid w:val="007C24CA"/>
    <w:rsid w:val="007C2583"/>
    <w:rsid w:val="007C2800"/>
    <w:rsid w:val="007C284A"/>
    <w:rsid w:val="007C297B"/>
    <w:rsid w:val="007C2B02"/>
    <w:rsid w:val="007C2B29"/>
    <w:rsid w:val="007C2CF8"/>
    <w:rsid w:val="007C2D64"/>
    <w:rsid w:val="007C2F11"/>
    <w:rsid w:val="007C3006"/>
    <w:rsid w:val="007C30BB"/>
    <w:rsid w:val="007C3129"/>
    <w:rsid w:val="007C3136"/>
    <w:rsid w:val="007C318D"/>
    <w:rsid w:val="007C31AC"/>
    <w:rsid w:val="007C3285"/>
    <w:rsid w:val="007C32A2"/>
    <w:rsid w:val="007C32E7"/>
    <w:rsid w:val="007C3532"/>
    <w:rsid w:val="007C358E"/>
    <w:rsid w:val="007C361D"/>
    <w:rsid w:val="007C376E"/>
    <w:rsid w:val="007C387C"/>
    <w:rsid w:val="007C3A07"/>
    <w:rsid w:val="007C3C41"/>
    <w:rsid w:val="007C4316"/>
    <w:rsid w:val="007C4346"/>
    <w:rsid w:val="007C45DD"/>
    <w:rsid w:val="007C494D"/>
    <w:rsid w:val="007C4A6D"/>
    <w:rsid w:val="007C4B18"/>
    <w:rsid w:val="007C4DC4"/>
    <w:rsid w:val="007C5132"/>
    <w:rsid w:val="007C51EB"/>
    <w:rsid w:val="007C541B"/>
    <w:rsid w:val="007C5707"/>
    <w:rsid w:val="007C590B"/>
    <w:rsid w:val="007C5972"/>
    <w:rsid w:val="007C5B95"/>
    <w:rsid w:val="007C5C1B"/>
    <w:rsid w:val="007C5C79"/>
    <w:rsid w:val="007C5CB2"/>
    <w:rsid w:val="007C5D47"/>
    <w:rsid w:val="007C5DD9"/>
    <w:rsid w:val="007C5E6B"/>
    <w:rsid w:val="007C5E9C"/>
    <w:rsid w:val="007C5FB3"/>
    <w:rsid w:val="007C605A"/>
    <w:rsid w:val="007C654E"/>
    <w:rsid w:val="007C6676"/>
    <w:rsid w:val="007C6749"/>
    <w:rsid w:val="007C6905"/>
    <w:rsid w:val="007C6926"/>
    <w:rsid w:val="007C6B89"/>
    <w:rsid w:val="007C6BB9"/>
    <w:rsid w:val="007C6C86"/>
    <w:rsid w:val="007C6D1D"/>
    <w:rsid w:val="007C6D1E"/>
    <w:rsid w:val="007C6ED1"/>
    <w:rsid w:val="007C6F62"/>
    <w:rsid w:val="007C71AD"/>
    <w:rsid w:val="007C774C"/>
    <w:rsid w:val="007C7A1C"/>
    <w:rsid w:val="007C7E76"/>
    <w:rsid w:val="007C7EF7"/>
    <w:rsid w:val="007C7F96"/>
    <w:rsid w:val="007D029C"/>
    <w:rsid w:val="007D0385"/>
    <w:rsid w:val="007D0661"/>
    <w:rsid w:val="007D06C3"/>
    <w:rsid w:val="007D0736"/>
    <w:rsid w:val="007D0972"/>
    <w:rsid w:val="007D0B0D"/>
    <w:rsid w:val="007D0BA1"/>
    <w:rsid w:val="007D0BAA"/>
    <w:rsid w:val="007D0D4E"/>
    <w:rsid w:val="007D16AA"/>
    <w:rsid w:val="007D17DC"/>
    <w:rsid w:val="007D1D6B"/>
    <w:rsid w:val="007D20D4"/>
    <w:rsid w:val="007D210E"/>
    <w:rsid w:val="007D24FD"/>
    <w:rsid w:val="007D2626"/>
    <w:rsid w:val="007D267C"/>
    <w:rsid w:val="007D2705"/>
    <w:rsid w:val="007D281E"/>
    <w:rsid w:val="007D28AD"/>
    <w:rsid w:val="007D2904"/>
    <w:rsid w:val="007D2C1B"/>
    <w:rsid w:val="007D2C25"/>
    <w:rsid w:val="007D2DCB"/>
    <w:rsid w:val="007D2DD6"/>
    <w:rsid w:val="007D2EDD"/>
    <w:rsid w:val="007D2F39"/>
    <w:rsid w:val="007D2F7F"/>
    <w:rsid w:val="007D3976"/>
    <w:rsid w:val="007D3B95"/>
    <w:rsid w:val="007D3C0C"/>
    <w:rsid w:val="007D3DA2"/>
    <w:rsid w:val="007D44EC"/>
    <w:rsid w:val="007D4583"/>
    <w:rsid w:val="007D4608"/>
    <w:rsid w:val="007D471D"/>
    <w:rsid w:val="007D48FC"/>
    <w:rsid w:val="007D4A22"/>
    <w:rsid w:val="007D4CCD"/>
    <w:rsid w:val="007D4F5E"/>
    <w:rsid w:val="007D503A"/>
    <w:rsid w:val="007D510D"/>
    <w:rsid w:val="007D573B"/>
    <w:rsid w:val="007D5857"/>
    <w:rsid w:val="007D59EC"/>
    <w:rsid w:val="007D5AF9"/>
    <w:rsid w:val="007D5E81"/>
    <w:rsid w:val="007D60DB"/>
    <w:rsid w:val="007D6315"/>
    <w:rsid w:val="007D641D"/>
    <w:rsid w:val="007D65DF"/>
    <w:rsid w:val="007D680D"/>
    <w:rsid w:val="007D6A9D"/>
    <w:rsid w:val="007D6BC0"/>
    <w:rsid w:val="007D6ECA"/>
    <w:rsid w:val="007D708C"/>
    <w:rsid w:val="007D7401"/>
    <w:rsid w:val="007D7488"/>
    <w:rsid w:val="007D7A2D"/>
    <w:rsid w:val="007D7A50"/>
    <w:rsid w:val="007D7E11"/>
    <w:rsid w:val="007D7EBE"/>
    <w:rsid w:val="007D7F71"/>
    <w:rsid w:val="007E00F8"/>
    <w:rsid w:val="007E05DA"/>
    <w:rsid w:val="007E08D3"/>
    <w:rsid w:val="007E0BAA"/>
    <w:rsid w:val="007E1011"/>
    <w:rsid w:val="007E101D"/>
    <w:rsid w:val="007E1566"/>
    <w:rsid w:val="007E1601"/>
    <w:rsid w:val="007E17DB"/>
    <w:rsid w:val="007E1966"/>
    <w:rsid w:val="007E1975"/>
    <w:rsid w:val="007E1979"/>
    <w:rsid w:val="007E1A98"/>
    <w:rsid w:val="007E1B17"/>
    <w:rsid w:val="007E1C2B"/>
    <w:rsid w:val="007E1C84"/>
    <w:rsid w:val="007E1DDB"/>
    <w:rsid w:val="007E2331"/>
    <w:rsid w:val="007E266D"/>
    <w:rsid w:val="007E2884"/>
    <w:rsid w:val="007E2943"/>
    <w:rsid w:val="007E2A70"/>
    <w:rsid w:val="007E2DC7"/>
    <w:rsid w:val="007E2E12"/>
    <w:rsid w:val="007E2F78"/>
    <w:rsid w:val="007E3175"/>
    <w:rsid w:val="007E3198"/>
    <w:rsid w:val="007E3302"/>
    <w:rsid w:val="007E33F4"/>
    <w:rsid w:val="007E35FD"/>
    <w:rsid w:val="007E3656"/>
    <w:rsid w:val="007E36F9"/>
    <w:rsid w:val="007E3740"/>
    <w:rsid w:val="007E3771"/>
    <w:rsid w:val="007E388B"/>
    <w:rsid w:val="007E39F1"/>
    <w:rsid w:val="007E3AB7"/>
    <w:rsid w:val="007E3AEA"/>
    <w:rsid w:val="007E3C92"/>
    <w:rsid w:val="007E3F09"/>
    <w:rsid w:val="007E4159"/>
    <w:rsid w:val="007E419F"/>
    <w:rsid w:val="007E47A1"/>
    <w:rsid w:val="007E4841"/>
    <w:rsid w:val="007E4C7F"/>
    <w:rsid w:val="007E4D44"/>
    <w:rsid w:val="007E4D90"/>
    <w:rsid w:val="007E4D94"/>
    <w:rsid w:val="007E4EE7"/>
    <w:rsid w:val="007E5030"/>
    <w:rsid w:val="007E5089"/>
    <w:rsid w:val="007E5108"/>
    <w:rsid w:val="007E52F7"/>
    <w:rsid w:val="007E532D"/>
    <w:rsid w:val="007E55A7"/>
    <w:rsid w:val="007E567B"/>
    <w:rsid w:val="007E56B4"/>
    <w:rsid w:val="007E5984"/>
    <w:rsid w:val="007E59DB"/>
    <w:rsid w:val="007E5AAB"/>
    <w:rsid w:val="007E5C0C"/>
    <w:rsid w:val="007E5C93"/>
    <w:rsid w:val="007E5D6A"/>
    <w:rsid w:val="007E60BE"/>
    <w:rsid w:val="007E6254"/>
    <w:rsid w:val="007E6399"/>
    <w:rsid w:val="007E6723"/>
    <w:rsid w:val="007E683A"/>
    <w:rsid w:val="007E68EE"/>
    <w:rsid w:val="007E6AB6"/>
    <w:rsid w:val="007E6D6C"/>
    <w:rsid w:val="007E6E83"/>
    <w:rsid w:val="007E706A"/>
    <w:rsid w:val="007E70AE"/>
    <w:rsid w:val="007E734B"/>
    <w:rsid w:val="007E73F1"/>
    <w:rsid w:val="007E7523"/>
    <w:rsid w:val="007E75D4"/>
    <w:rsid w:val="007E7703"/>
    <w:rsid w:val="007E7704"/>
    <w:rsid w:val="007E78AF"/>
    <w:rsid w:val="007E7916"/>
    <w:rsid w:val="007E7967"/>
    <w:rsid w:val="007E7A08"/>
    <w:rsid w:val="007E7B52"/>
    <w:rsid w:val="007F0022"/>
    <w:rsid w:val="007F0379"/>
    <w:rsid w:val="007F0451"/>
    <w:rsid w:val="007F07B6"/>
    <w:rsid w:val="007F08E8"/>
    <w:rsid w:val="007F0970"/>
    <w:rsid w:val="007F14D7"/>
    <w:rsid w:val="007F1713"/>
    <w:rsid w:val="007F1BB6"/>
    <w:rsid w:val="007F1C1C"/>
    <w:rsid w:val="007F1C52"/>
    <w:rsid w:val="007F1D3D"/>
    <w:rsid w:val="007F1E2E"/>
    <w:rsid w:val="007F1F6B"/>
    <w:rsid w:val="007F2008"/>
    <w:rsid w:val="007F219E"/>
    <w:rsid w:val="007F2411"/>
    <w:rsid w:val="007F2476"/>
    <w:rsid w:val="007F2530"/>
    <w:rsid w:val="007F2A14"/>
    <w:rsid w:val="007F303A"/>
    <w:rsid w:val="007F3067"/>
    <w:rsid w:val="007F30E4"/>
    <w:rsid w:val="007F31A5"/>
    <w:rsid w:val="007F3242"/>
    <w:rsid w:val="007F37D6"/>
    <w:rsid w:val="007F3812"/>
    <w:rsid w:val="007F3990"/>
    <w:rsid w:val="007F39A2"/>
    <w:rsid w:val="007F39EA"/>
    <w:rsid w:val="007F3A51"/>
    <w:rsid w:val="007F3B47"/>
    <w:rsid w:val="007F3B99"/>
    <w:rsid w:val="007F3D92"/>
    <w:rsid w:val="007F3F47"/>
    <w:rsid w:val="007F3FA7"/>
    <w:rsid w:val="007F4003"/>
    <w:rsid w:val="007F4143"/>
    <w:rsid w:val="007F4520"/>
    <w:rsid w:val="007F46FF"/>
    <w:rsid w:val="007F4730"/>
    <w:rsid w:val="007F49C3"/>
    <w:rsid w:val="007F4AD0"/>
    <w:rsid w:val="007F4BC7"/>
    <w:rsid w:val="007F4FE6"/>
    <w:rsid w:val="007F52DC"/>
    <w:rsid w:val="007F554B"/>
    <w:rsid w:val="007F5B28"/>
    <w:rsid w:val="007F5DC3"/>
    <w:rsid w:val="007F5EB7"/>
    <w:rsid w:val="007F644C"/>
    <w:rsid w:val="007F6553"/>
    <w:rsid w:val="007F6606"/>
    <w:rsid w:val="007F662D"/>
    <w:rsid w:val="007F6AC3"/>
    <w:rsid w:val="007F6E13"/>
    <w:rsid w:val="007F7258"/>
    <w:rsid w:val="007F74FB"/>
    <w:rsid w:val="007F7D9A"/>
    <w:rsid w:val="007F7EA4"/>
    <w:rsid w:val="007F7F84"/>
    <w:rsid w:val="008002C5"/>
    <w:rsid w:val="008006EC"/>
    <w:rsid w:val="00800776"/>
    <w:rsid w:val="008007FB"/>
    <w:rsid w:val="008008D7"/>
    <w:rsid w:val="00800AEB"/>
    <w:rsid w:val="00800B31"/>
    <w:rsid w:val="00800BB6"/>
    <w:rsid w:val="00800C34"/>
    <w:rsid w:val="00800E0F"/>
    <w:rsid w:val="00800E51"/>
    <w:rsid w:val="00800F20"/>
    <w:rsid w:val="008010D2"/>
    <w:rsid w:val="00801130"/>
    <w:rsid w:val="00801302"/>
    <w:rsid w:val="008013B5"/>
    <w:rsid w:val="00801437"/>
    <w:rsid w:val="0080156E"/>
    <w:rsid w:val="008015A4"/>
    <w:rsid w:val="00801776"/>
    <w:rsid w:val="0080194A"/>
    <w:rsid w:val="00801C1E"/>
    <w:rsid w:val="00802180"/>
    <w:rsid w:val="0080221F"/>
    <w:rsid w:val="008026E4"/>
    <w:rsid w:val="0080270D"/>
    <w:rsid w:val="0080274B"/>
    <w:rsid w:val="00802E75"/>
    <w:rsid w:val="00802E9B"/>
    <w:rsid w:val="00802F0A"/>
    <w:rsid w:val="00802F71"/>
    <w:rsid w:val="00802FBF"/>
    <w:rsid w:val="008032BF"/>
    <w:rsid w:val="00803375"/>
    <w:rsid w:val="008035C4"/>
    <w:rsid w:val="008036AA"/>
    <w:rsid w:val="008037F5"/>
    <w:rsid w:val="0080383E"/>
    <w:rsid w:val="00803B6C"/>
    <w:rsid w:val="00803C93"/>
    <w:rsid w:val="00803D5B"/>
    <w:rsid w:val="00803E61"/>
    <w:rsid w:val="00803FDD"/>
    <w:rsid w:val="0080417F"/>
    <w:rsid w:val="008042BB"/>
    <w:rsid w:val="008043B2"/>
    <w:rsid w:val="008043B5"/>
    <w:rsid w:val="008043E9"/>
    <w:rsid w:val="00804454"/>
    <w:rsid w:val="0080461E"/>
    <w:rsid w:val="00804858"/>
    <w:rsid w:val="008049C6"/>
    <w:rsid w:val="008050B3"/>
    <w:rsid w:val="00805290"/>
    <w:rsid w:val="00805687"/>
    <w:rsid w:val="0080573C"/>
    <w:rsid w:val="00805AEB"/>
    <w:rsid w:val="00805DD1"/>
    <w:rsid w:val="00805E69"/>
    <w:rsid w:val="00805E81"/>
    <w:rsid w:val="00805E9E"/>
    <w:rsid w:val="008060BA"/>
    <w:rsid w:val="0080623E"/>
    <w:rsid w:val="00806465"/>
    <w:rsid w:val="008064F9"/>
    <w:rsid w:val="00806574"/>
    <w:rsid w:val="00806630"/>
    <w:rsid w:val="008066EB"/>
    <w:rsid w:val="0080697D"/>
    <w:rsid w:val="00806E40"/>
    <w:rsid w:val="00806FA7"/>
    <w:rsid w:val="00807079"/>
    <w:rsid w:val="00807243"/>
    <w:rsid w:val="008072A9"/>
    <w:rsid w:val="008073B7"/>
    <w:rsid w:val="0080746D"/>
    <w:rsid w:val="008079DB"/>
    <w:rsid w:val="00807DE3"/>
    <w:rsid w:val="0081003B"/>
    <w:rsid w:val="008100AE"/>
    <w:rsid w:val="00810304"/>
    <w:rsid w:val="0081034A"/>
    <w:rsid w:val="0081076E"/>
    <w:rsid w:val="008108E0"/>
    <w:rsid w:val="00810B37"/>
    <w:rsid w:val="00810BE3"/>
    <w:rsid w:val="00810C6C"/>
    <w:rsid w:val="00810CB1"/>
    <w:rsid w:val="00810F8E"/>
    <w:rsid w:val="00810FD5"/>
    <w:rsid w:val="0081104C"/>
    <w:rsid w:val="00811270"/>
    <w:rsid w:val="0081128F"/>
    <w:rsid w:val="00811310"/>
    <w:rsid w:val="0081137A"/>
    <w:rsid w:val="00811383"/>
    <w:rsid w:val="00811408"/>
    <w:rsid w:val="00811816"/>
    <w:rsid w:val="00811B08"/>
    <w:rsid w:val="00811C08"/>
    <w:rsid w:val="008121C1"/>
    <w:rsid w:val="0081222A"/>
    <w:rsid w:val="00812237"/>
    <w:rsid w:val="0081238B"/>
    <w:rsid w:val="00812483"/>
    <w:rsid w:val="0081260D"/>
    <w:rsid w:val="00812683"/>
    <w:rsid w:val="0081268F"/>
    <w:rsid w:val="008128FE"/>
    <w:rsid w:val="00812904"/>
    <w:rsid w:val="00812DD3"/>
    <w:rsid w:val="00812E58"/>
    <w:rsid w:val="00812E8D"/>
    <w:rsid w:val="00812F08"/>
    <w:rsid w:val="00813437"/>
    <w:rsid w:val="00813468"/>
    <w:rsid w:val="008134B6"/>
    <w:rsid w:val="00813702"/>
    <w:rsid w:val="008137F3"/>
    <w:rsid w:val="00813866"/>
    <w:rsid w:val="00813BC0"/>
    <w:rsid w:val="00814135"/>
    <w:rsid w:val="008141F6"/>
    <w:rsid w:val="00814292"/>
    <w:rsid w:val="00814382"/>
    <w:rsid w:val="008145E0"/>
    <w:rsid w:val="008147F6"/>
    <w:rsid w:val="00814841"/>
    <w:rsid w:val="00814D06"/>
    <w:rsid w:val="00815182"/>
    <w:rsid w:val="00815216"/>
    <w:rsid w:val="008153F0"/>
    <w:rsid w:val="008154DB"/>
    <w:rsid w:val="008155F2"/>
    <w:rsid w:val="00815C18"/>
    <w:rsid w:val="00815D2E"/>
    <w:rsid w:val="0081633F"/>
    <w:rsid w:val="008164B7"/>
    <w:rsid w:val="008165C1"/>
    <w:rsid w:val="0081661E"/>
    <w:rsid w:val="00816775"/>
    <w:rsid w:val="00816808"/>
    <w:rsid w:val="008168DE"/>
    <w:rsid w:val="008168E7"/>
    <w:rsid w:val="008168F2"/>
    <w:rsid w:val="00816930"/>
    <w:rsid w:val="00816933"/>
    <w:rsid w:val="00816AD9"/>
    <w:rsid w:val="00816B46"/>
    <w:rsid w:val="00816B5C"/>
    <w:rsid w:val="00816D37"/>
    <w:rsid w:val="00816DEA"/>
    <w:rsid w:val="00816E36"/>
    <w:rsid w:val="00816E9B"/>
    <w:rsid w:val="00816FDA"/>
    <w:rsid w:val="008170DC"/>
    <w:rsid w:val="00817209"/>
    <w:rsid w:val="0081730B"/>
    <w:rsid w:val="0081735F"/>
    <w:rsid w:val="0081763E"/>
    <w:rsid w:val="0081772F"/>
    <w:rsid w:val="0081773A"/>
    <w:rsid w:val="008177BD"/>
    <w:rsid w:val="008177E0"/>
    <w:rsid w:val="00817957"/>
    <w:rsid w:val="00817B63"/>
    <w:rsid w:val="00817BBE"/>
    <w:rsid w:val="00817CA1"/>
    <w:rsid w:val="0082005E"/>
    <w:rsid w:val="008201AD"/>
    <w:rsid w:val="00820335"/>
    <w:rsid w:val="0082066E"/>
    <w:rsid w:val="008208E4"/>
    <w:rsid w:val="00820B63"/>
    <w:rsid w:val="00820D2F"/>
    <w:rsid w:val="00821011"/>
    <w:rsid w:val="008210B0"/>
    <w:rsid w:val="00821188"/>
    <w:rsid w:val="0082126D"/>
    <w:rsid w:val="00821384"/>
    <w:rsid w:val="00821631"/>
    <w:rsid w:val="0082177E"/>
    <w:rsid w:val="00821951"/>
    <w:rsid w:val="008219C5"/>
    <w:rsid w:val="00821A99"/>
    <w:rsid w:val="00821B23"/>
    <w:rsid w:val="00821BF6"/>
    <w:rsid w:val="00821D3F"/>
    <w:rsid w:val="00821F75"/>
    <w:rsid w:val="00822315"/>
    <w:rsid w:val="0082234A"/>
    <w:rsid w:val="00822906"/>
    <w:rsid w:val="0082293C"/>
    <w:rsid w:val="00822960"/>
    <w:rsid w:val="008229F8"/>
    <w:rsid w:val="00822AA9"/>
    <w:rsid w:val="00822EE7"/>
    <w:rsid w:val="00823035"/>
    <w:rsid w:val="008234A6"/>
    <w:rsid w:val="008234BF"/>
    <w:rsid w:val="008235C6"/>
    <w:rsid w:val="00823642"/>
    <w:rsid w:val="0082364B"/>
    <w:rsid w:val="00823681"/>
    <w:rsid w:val="008236F5"/>
    <w:rsid w:val="008238C1"/>
    <w:rsid w:val="00823916"/>
    <w:rsid w:val="00823AC4"/>
    <w:rsid w:val="00823B43"/>
    <w:rsid w:val="00823FDA"/>
    <w:rsid w:val="00824030"/>
    <w:rsid w:val="0082412C"/>
    <w:rsid w:val="0082412F"/>
    <w:rsid w:val="00824198"/>
    <w:rsid w:val="008241F3"/>
    <w:rsid w:val="00824226"/>
    <w:rsid w:val="0082430C"/>
    <w:rsid w:val="0082433F"/>
    <w:rsid w:val="00824482"/>
    <w:rsid w:val="008244FC"/>
    <w:rsid w:val="00824559"/>
    <w:rsid w:val="008245BF"/>
    <w:rsid w:val="008245C7"/>
    <w:rsid w:val="00824CCD"/>
    <w:rsid w:val="00824D0D"/>
    <w:rsid w:val="00824F98"/>
    <w:rsid w:val="00825170"/>
    <w:rsid w:val="00825295"/>
    <w:rsid w:val="0082538A"/>
    <w:rsid w:val="00825537"/>
    <w:rsid w:val="00825F8C"/>
    <w:rsid w:val="0082625E"/>
    <w:rsid w:val="0082651E"/>
    <w:rsid w:val="0082666C"/>
    <w:rsid w:val="00826762"/>
    <w:rsid w:val="00826897"/>
    <w:rsid w:val="008269B7"/>
    <w:rsid w:val="00826A4E"/>
    <w:rsid w:val="00826A6B"/>
    <w:rsid w:val="00826AD4"/>
    <w:rsid w:val="00826B8B"/>
    <w:rsid w:val="00826BCD"/>
    <w:rsid w:val="00826C05"/>
    <w:rsid w:val="00826CE4"/>
    <w:rsid w:val="00826E90"/>
    <w:rsid w:val="00826F6C"/>
    <w:rsid w:val="0082701C"/>
    <w:rsid w:val="00827288"/>
    <w:rsid w:val="008276BF"/>
    <w:rsid w:val="008278E6"/>
    <w:rsid w:val="008279B3"/>
    <w:rsid w:val="00827C12"/>
    <w:rsid w:val="00827D47"/>
    <w:rsid w:val="00827DB5"/>
    <w:rsid w:val="00827EE3"/>
    <w:rsid w:val="0083008D"/>
    <w:rsid w:val="008301A6"/>
    <w:rsid w:val="008304AE"/>
    <w:rsid w:val="00830688"/>
    <w:rsid w:val="008307DE"/>
    <w:rsid w:val="0083088C"/>
    <w:rsid w:val="00830CAF"/>
    <w:rsid w:val="00830D49"/>
    <w:rsid w:val="00830DAA"/>
    <w:rsid w:val="00830DDF"/>
    <w:rsid w:val="00830F26"/>
    <w:rsid w:val="00830F9A"/>
    <w:rsid w:val="00831272"/>
    <w:rsid w:val="00831509"/>
    <w:rsid w:val="008315E9"/>
    <w:rsid w:val="0083167F"/>
    <w:rsid w:val="0083168D"/>
    <w:rsid w:val="00831ABF"/>
    <w:rsid w:val="00831B88"/>
    <w:rsid w:val="00831B9C"/>
    <w:rsid w:val="00831BB7"/>
    <w:rsid w:val="008321DD"/>
    <w:rsid w:val="00832616"/>
    <w:rsid w:val="00832772"/>
    <w:rsid w:val="008327FB"/>
    <w:rsid w:val="00832D7B"/>
    <w:rsid w:val="00832D9D"/>
    <w:rsid w:val="00832E3E"/>
    <w:rsid w:val="00832F11"/>
    <w:rsid w:val="00832F4E"/>
    <w:rsid w:val="00832FD7"/>
    <w:rsid w:val="00833105"/>
    <w:rsid w:val="0083338E"/>
    <w:rsid w:val="00833474"/>
    <w:rsid w:val="008334BB"/>
    <w:rsid w:val="00833694"/>
    <w:rsid w:val="008337B4"/>
    <w:rsid w:val="008337EC"/>
    <w:rsid w:val="00833A97"/>
    <w:rsid w:val="00833ADC"/>
    <w:rsid w:val="00833B1D"/>
    <w:rsid w:val="00833BBD"/>
    <w:rsid w:val="00833DAD"/>
    <w:rsid w:val="00833DB3"/>
    <w:rsid w:val="00833DE5"/>
    <w:rsid w:val="00834051"/>
    <w:rsid w:val="0083442E"/>
    <w:rsid w:val="00834512"/>
    <w:rsid w:val="00834607"/>
    <w:rsid w:val="008348B8"/>
    <w:rsid w:val="008348BB"/>
    <w:rsid w:val="008349DB"/>
    <w:rsid w:val="00834B10"/>
    <w:rsid w:val="00834B63"/>
    <w:rsid w:val="00834C46"/>
    <w:rsid w:val="00834C4B"/>
    <w:rsid w:val="00834CC5"/>
    <w:rsid w:val="00834ECB"/>
    <w:rsid w:val="00834F39"/>
    <w:rsid w:val="00835003"/>
    <w:rsid w:val="008350CB"/>
    <w:rsid w:val="0083522A"/>
    <w:rsid w:val="0083529B"/>
    <w:rsid w:val="0083542D"/>
    <w:rsid w:val="0083546D"/>
    <w:rsid w:val="00835538"/>
    <w:rsid w:val="0083570E"/>
    <w:rsid w:val="00835720"/>
    <w:rsid w:val="00835859"/>
    <w:rsid w:val="00835A30"/>
    <w:rsid w:val="00835ABE"/>
    <w:rsid w:val="00835B69"/>
    <w:rsid w:val="00835BA3"/>
    <w:rsid w:val="00835D50"/>
    <w:rsid w:val="00835D84"/>
    <w:rsid w:val="008360CB"/>
    <w:rsid w:val="008361EC"/>
    <w:rsid w:val="008364F3"/>
    <w:rsid w:val="0083650E"/>
    <w:rsid w:val="008368F3"/>
    <w:rsid w:val="00836952"/>
    <w:rsid w:val="00836969"/>
    <w:rsid w:val="00836D90"/>
    <w:rsid w:val="00837109"/>
    <w:rsid w:val="008371B4"/>
    <w:rsid w:val="008372D8"/>
    <w:rsid w:val="00837739"/>
    <w:rsid w:val="00837794"/>
    <w:rsid w:val="0083788D"/>
    <w:rsid w:val="008378DF"/>
    <w:rsid w:val="00837998"/>
    <w:rsid w:val="008379D6"/>
    <w:rsid w:val="00837F0B"/>
    <w:rsid w:val="008400B2"/>
    <w:rsid w:val="008400E7"/>
    <w:rsid w:val="00840206"/>
    <w:rsid w:val="008408C8"/>
    <w:rsid w:val="008409E7"/>
    <w:rsid w:val="00840A96"/>
    <w:rsid w:val="00840B4E"/>
    <w:rsid w:val="00840B58"/>
    <w:rsid w:val="00840B8B"/>
    <w:rsid w:val="00840C9F"/>
    <w:rsid w:val="00840F27"/>
    <w:rsid w:val="00841109"/>
    <w:rsid w:val="008413AB"/>
    <w:rsid w:val="0084168D"/>
    <w:rsid w:val="00841783"/>
    <w:rsid w:val="0084196A"/>
    <w:rsid w:val="00841A69"/>
    <w:rsid w:val="00841B71"/>
    <w:rsid w:val="00841C62"/>
    <w:rsid w:val="00841D3D"/>
    <w:rsid w:val="00841D54"/>
    <w:rsid w:val="00841E13"/>
    <w:rsid w:val="00841EC1"/>
    <w:rsid w:val="00842024"/>
    <w:rsid w:val="00842412"/>
    <w:rsid w:val="008425C3"/>
    <w:rsid w:val="008425FC"/>
    <w:rsid w:val="00842741"/>
    <w:rsid w:val="00842B71"/>
    <w:rsid w:val="00843070"/>
    <w:rsid w:val="0084342A"/>
    <w:rsid w:val="00843486"/>
    <w:rsid w:val="00843704"/>
    <w:rsid w:val="008437CD"/>
    <w:rsid w:val="0084394D"/>
    <w:rsid w:val="0084398E"/>
    <w:rsid w:val="00843B5C"/>
    <w:rsid w:val="00843B67"/>
    <w:rsid w:val="00843BAB"/>
    <w:rsid w:val="00843BBE"/>
    <w:rsid w:val="008440D1"/>
    <w:rsid w:val="00844239"/>
    <w:rsid w:val="0084429D"/>
    <w:rsid w:val="00844331"/>
    <w:rsid w:val="0084434D"/>
    <w:rsid w:val="008443AB"/>
    <w:rsid w:val="008444E6"/>
    <w:rsid w:val="00844551"/>
    <w:rsid w:val="00844657"/>
    <w:rsid w:val="00844958"/>
    <w:rsid w:val="00844A12"/>
    <w:rsid w:val="00844A3D"/>
    <w:rsid w:val="00844DEE"/>
    <w:rsid w:val="00844E0A"/>
    <w:rsid w:val="00844EDC"/>
    <w:rsid w:val="00844F43"/>
    <w:rsid w:val="00844FE9"/>
    <w:rsid w:val="0084508A"/>
    <w:rsid w:val="008451A4"/>
    <w:rsid w:val="0084539D"/>
    <w:rsid w:val="008455A5"/>
    <w:rsid w:val="00845776"/>
    <w:rsid w:val="00845885"/>
    <w:rsid w:val="00845A3D"/>
    <w:rsid w:val="00845AA7"/>
    <w:rsid w:val="00845B3F"/>
    <w:rsid w:val="00846022"/>
    <w:rsid w:val="008462A0"/>
    <w:rsid w:val="008462B4"/>
    <w:rsid w:val="008463DC"/>
    <w:rsid w:val="00846408"/>
    <w:rsid w:val="0084644A"/>
    <w:rsid w:val="0084659E"/>
    <w:rsid w:val="00846600"/>
    <w:rsid w:val="00846738"/>
    <w:rsid w:val="008468A0"/>
    <w:rsid w:val="008468C8"/>
    <w:rsid w:val="00846ACF"/>
    <w:rsid w:val="00846B93"/>
    <w:rsid w:val="00846C77"/>
    <w:rsid w:val="00846E11"/>
    <w:rsid w:val="00846E12"/>
    <w:rsid w:val="00846F36"/>
    <w:rsid w:val="00846F57"/>
    <w:rsid w:val="0084704E"/>
    <w:rsid w:val="00847076"/>
    <w:rsid w:val="00847144"/>
    <w:rsid w:val="00847377"/>
    <w:rsid w:val="008475C5"/>
    <w:rsid w:val="008475C7"/>
    <w:rsid w:val="0084774F"/>
    <w:rsid w:val="00847865"/>
    <w:rsid w:val="008478B0"/>
    <w:rsid w:val="008479A0"/>
    <w:rsid w:val="008479CC"/>
    <w:rsid w:val="00847DB8"/>
    <w:rsid w:val="00847E96"/>
    <w:rsid w:val="00850004"/>
    <w:rsid w:val="00850045"/>
    <w:rsid w:val="00850114"/>
    <w:rsid w:val="00850365"/>
    <w:rsid w:val="008503EF"/>
    <w:rsid w:val="00850609"/>
    <w:rsid w:val="008506EF"/>
    <w:rsid w:val="00850BC5"/>
    <w:rsid w:val="00850D22"/>
    <w:rsid w:val="00850E6E"/>
    <w:rsid w:val="00850E70"/>
    <w:rsid w:val="00850F8B"/>
    <w:rsid w:val="00851058"/>
    <w:rsid w:val="008510BB"/>
    <w:rsid w:val="00851366"/>
    <w:rsid w:val="008513D3"/>
    <w:rsid w:val="008517CF"/>
    <w:rsid w:val="008517DC"/>
    <w:rsid w:val="008518E9"/>
    <w:rsid w:val="00851E93"/>
    <w:rsid w:val="00851EEB"/>
    <w:rsid w:val="00851F03"/>
    <w:rsid w:val="00851F20"/>
    <w:rsid w:val="00851F84"/>
    <w:rsid w:val="00851F8B"/>
    <w:rsid w:val="00852142"/>
    <w:rsid w:val="0085225F"/>
    <w:rsid w:val="00852264"/>
    <w:rsid w:val="00852618"/>
    <w:rsid w:val="00852666"/>
    <w:rsid w:val="00852898"/>
    <w:rsid w:val="00852E2B"/>
    <w:rsid w:val="00852FF6"/>
    <w:rsid w:val="00853095"/>
    <w:rsid w:val="008535EC"/>
    <w:rsid w:val="0085367F"/>
    <w:rsid w:val="008536F4"/>
    <w:rsid w:val="00853709"/>
    <w:rsid w:val="00853715"/>
    <w:rsid w:val="00853854"/>
    <w:rsid w:val="008539B2"/>
    <w:rsid w:val="00853CEA"/>
    <w:rsid w:val="00853E4E"/>
    <w:rsid w:val="00853F42"/>
    <w:rsid w:val="008542E4"/>
    <w:rsid w:val="00854511"/>
    <w:rsid w:val="008545F4"/>
    <w:rsid w:val="00854613"/>
    <w:rsid w:val="00854786"/>
    <w:rsid w:val="008548CF"/>
    <w:rsid w:val="008548F0"/>
    <w:rsid w:val="008549F8"/>
    <w:rsid w:val="00854B1E"/>
    <w:rsid w:val="00854C05"/>
    <w:rsid w:val="00854CF8"/>
    <w:rsid w:val="00854EA8"/>
    <w:rsid w:val="00854F15"/>
    <w:rsid w:val="00854F54"/>
    <w:rsid w:val="0085509B"/>
    <w:rsid w:val="0085509C"/>
    <w:rsid w:val="008550AE"/>
    <w:rsid w:val="0085519B"/>
    <w:rsid w:val="00855267"/>
    <w:rsid w:val="008553D0"/>
    <w:rsid w:val="008556AA"/>
    <w:rsid w:val="00855806"/>
    <w:rsid w:val="008559B2"/>
    <w:rsid w:val="008559BE"/>
    <w:rsid w:val="008559C0"/>
    <w:rsid w:val="008559D1"/>
    <w:rsid w:val="00855B4B"/>
    <w:rsid w:val="00855ED4"/>
    <w:rsid w:val="00856410"/>
    <w:rsid w:val="008565DA"/>
    <w:rsid w:val="008565EF"/>
    <w:rsid w:val="008566F4"/>
    <w:rsid w:val="00856A39"/>
    <w:rsid w:val="00856B1F"/>
    <w:rsid w:val="00856C8A"/>
    <w:rsid w:val="00856E9F"/>
    <w:rsid w:val="00856F40"/>
    <w:rsid w:val="00856F47"/>
    <w:rsid w:val="00857015"/>
    <w:rsid w:val="0085703C"/>
    <w:rsid w:val="00857109"/>
    <w:rsid w:val="008571B5"/>
    <w:rsid w:val="00857211"/>
    <w:rsid w:val="0085727B"/>
    <w:rsid w:val="008573C7"/>
    <w:rsid w:val="00857437"/>
    <w:rsid w:val="00857443"/>
    <w:rsid w:val="0085758A"/>
    <w:rsid w:val="0085780C"/>
    <w:rsid w:val="00857850"/>
    <w:rsid w:val="008578CA"/>
    <w:rsid w:val="008578D4"/>
    <w:rsid w:val="00857A6F"/>
    <w:rsid w:val="00857AAD"/>
    <w:rsid w:val="00857B8A"/>
    <w:rsid w:val="00857F07"/>
    <w:rsid w:val="0086019C"/>
    <w:rsid w:val="008603FA"/>
    <w:rsid w:val="0086072C"/>
    <w:rsid w:val="008609A9"/>
    <w:rsid w:val="00860A70"/>
    <w:rsid w:val="00860A9F"/>
    <w:rsid w:val="00860C2B"/>
    <w:rsid w:val="00860E20"/>
    <w:rsid w:val="00860E36"/>
    <w:rsid w:val="00860EAF"/>
    <w:rsid w:val="00861347"/>
    <w:rsid w:val="0086134B"/>
    <w:rsid w:val="00861470"/>
    <w:rsid w:val="0086149E"/>
    <w:rsid w:val="008614EE"/>
    <w:rsid w:val="008614FE"/>
    <w:rsid w:val="00861517"/>
    <w:rsid w:val="0086187F"/>
    <w:rsid w:val="0086190D"/>
    <w:rsid w:val="00861925"/>
    <w:rsid w:val="008619A3"/>
    <w:rsid w:val="00861A21"/>
    <w:rsid w:val="00861A51"/>
    <w:rsid w:val="00861B0B"/>
    <w:rsid w:val="00861D68"/>
    <w:rsid w:val="00861DBB"/>
    <w:rsid w:val="0086216B"/>
    <w:rsid w:val="0086236B"/>
    <w:rsid w:val="0086270C"/>
    <w:rsid w:val="00862738"/>
    <w:rsid w:val="00862BBF"/>
    <w:rsid w:val="00862CEA"/>
    <w:rsid w:val="00862D17"/>
    <w:rsid w:val="00862E4A"/>
    <w:rsid w:val="00862E50"/>
    <w:rsid w:val="00862F17"/>
    <w:rsid w:val="00862F73"/>
    <w:rsid w:val="00862FE3"/>
    <w:rsid w:val="008630B4"/>
    <w:rsid w:val="008631DC"/>
    <w:rsid w:val="008631E9"/>
    <w:rsid w:val="00863236"/>
    <w:rsid w:val="0086351C"/>
    <w:rsid w:val="00863648"/>
    <w:rsid w:val="00863956"/>
    <w:rsid w:val="00863AC3"/>
    <w:rsid w:val="00863C5A"/>
    <w:rsid w:val="00863CC2"/>
    <w:rsid w:val="00863DE8"/>
    <w:rsid w:val="00863E0E"/>
    <w:rsid w:val="00863E8F"/>
    <w:rsid w:val="00863F4E"/>
    <w:rsid w:val="00864144"/>
    <w:rsid w:val="008643DD"/>
    <w:rsid w:val="008643ED"/>
    <w:rsid w:val="008646AE"/>
    <w:rsid w:val="0086479D"/>
    <w:rsid w:val="008647F1"/>
    <w:rsid w:val="00864880"/>
    <w:rsid w:val="00864B8B"/>
    <w:rsid w:val="00865140"/>
    <w:rsid w:val="008651B0"/>
    <w:rsid w:val="008653F3"/>
    <w:rsid w:val="00865521"/>
    <w:rsid w:val="00865591"/>
    <w:rsid w:val="00865685"/>
    <w:rsid w:val="008659E0"/>
    <w:rsid w:val="00865A90"/>
    <w:rsid w:val="00865B42"/>
    <w:rsid w:val="00865B51"/>
    <w:rsid w:val="00865ED1"/>
    <w:rsid w:val="008661CD"/>
    <w:rsid w:val="00866209"/>
    <w:rsid w:val="0086662D"/>
    <w:rsid w:val="00866AF7"/>
    <w:rsid w:val="00866C3B"/>
    <w:rsid w:val="00866CB5"/>
    <w:rsid w:val="00866CED"/>
    <w:rsid w:val="0086737C"/>
    <w:rsid w:val="0086739D"/>
    <w:rsid w:val="00867567"/>
    <w:rsid w:val="00867929"/>
    <w:rsid w:val="00867A14"/>
    <w:rsid w:val="00867BFF"/>
    <w:rsid w:val="00867C09"/>
    <w:rsid w:val="00867DD2"/>
    <w:rsid w:val="00867E15"/>
    <w:rsid w:val="00867E3F"/>
    <w:rsid w:val="00867E91"/>
    <w:rsid w:val="00867F59"/>
    <w:rsid w:val="008701F5"/>
    <w:rsid w:val="00870289"/>
    <w:rsid w:val="00870354"/>
    <w:rsid w:val="00870438"/>
    <w:rsid w:val="00870528"/>
    <w:rsid w:val="0087053A"/>
    <w:rsid w:val="008705DC"/>
    <w:rsid w:val="00870770"/>
    <w:rsid w:val="0087099B"/>
    <w:rsid w:val="00870ABE"/>
    <w:rsid w:val="00870B96"/>
    <w:rsid w:val="00870BB8"/>
    <w:rsid w:val="00870BB9"/>
    <w:rsid w:val="0087145E"/>
    <w:rsid w:val="0087172F"/>
    <w:rsid w:val="00871769"/>
    <w:rsid w:val="008717D0"/>
    <w:rsid w:val="00871903"/>
    <w:rsid w:val="00871A3E"/>
    <w:rsid w:val="00871AF2"/>
    <w:rsid w:val="00871BF7"/>
    <w:rsid w:val="00871C8E"/>
    <w:rsid w:val="00871DAB"/>
    <w:rsid w:val="00872145"/>
    <w:rsid w:val="008721A7"/>
    <w:rsid w:val="008721A9"/>
    <w:rsid w:val="00872227"/>
    <w:rsid w:val="008723F0"/>
    <w:rsid w:val="00872405"/>
    <w:rsid w:val="008724CE"/>
    <w:rsid w:val="00872578"/>
    <w:rsid w:val="0087259B"/>
    <w:rsid w:val="0087262E"/>
    <w:rsid w:val="008728E9"/>
    <w:rsid w:val="00872D9A"/>
    <w:rsid w:val="00872F1B"/>
    <w:rsid w:val="008730E8"/>
    <w:rsid w:val="008732A3"/>
    <w:rsid w:val="0087339B"/>
    <w:rsid w:val="008733A3"/>
    <w:rsid w:val="008733D7"/>
    <w:rsid w:val="00873458"/>
    <w:rsid w:val="0087355A"/>
    <w:rsid w:val="008735A7"/>
    <w:rsid w:val="00873797"/>
    <w:rsid w:val="008739D9"/>
    <w:rsid w:val="00873F56"/>
    <w:rsid w:val="008741B3"/>
    <w:rsid w:val="00874358"/>
    <w:rsid w:val="0087435E"/>
    <w:rsid w:val="00874386"/>
    <w:rsid w:val="008743EE"/>
    <w:rsid w:val="0087442F"/>
    <w:rsid w:val="0087447D"/>
    <w:rsid w:val="008744BF"/>
    <w:rsid w:val="008744D4"/>
    <w:rsid w:val="0087454D"/>
    <w:rsid w:val="008748E7"/>
    <w:rsid w:val="00874932"/>
    <w:rsid w:val="00874B6F"/>
    <w:rsid w:val="00874BB4"/>
    <w:rsid w:val="00874DAD"/>
    <w:rsid w:val="00874E37"/>
    <w:rsid w:val="00874FB1"/>
    <w:rsid w:val="00874FFB"/>
    <w:rsid w:val="00875179"/>
    <w:rsid w:val="00875195"/>
    <w:rsid w:val="00875265"/>
    <w:rsid w:val="00875486"/>
    <w:rsid w:val="00875595"/>
    <w:rsid w:val="0087565F"/>
    <w:rsid w:val="00875944"/>
    <w:rsid w:val="00875A71"/>
    <w:rsid w:val="00875AF3"/>
    <w:rsid w:val="00875AF4"/>
    <w:rsid w:val="00875CB2"/>
    <w:rsid w:val="00875D0C"/>
    <w:rsid w:val="00876085"/>
    <w:rsid w:val="00876435"/>
    <w:rsid w:val="008766C4"/>
    <w:rsid w:val="00876834"/>
    <w:rsid w:val="00876861"/>
    <w:rsid w:val="00876913"/>
    <w:rsid w:val="00876A13"/>
    <w:rsid w:val="00876BFB"/>
    <w:rsid w:val="00876C48"/>
    <w:rsid w:val="00876CE7"/>
    <w:rsid w:val="00876CFF"/>
    <w:rsid w:val="00876D14"/>
    <w:rsid w:val="00876F14"/>
    <w:rsid w:val="00877004"/>
    <w:rsid w:val="00877088"/>
    <w:rsid w:val="008770FD"/>
    <w:rsid w:val="00877196"/>
    <w:rsid w:val="008771D8"/>
    <w:rsid w:val="0087733B"/>
    <w:rsid w:val="008776F6"/>
    <w:rsid w:val="00877999"/>
    <w:rsid w:val="00877CB4"/>
    <w:rsid w:val="00877D45"/>
    <w:rsid w:val="00877DF1"/>
    <w:rsid w:val="00880010"/>
    <w:rsid w:val="00880045"/>
    <w:rsid w:val="00880303"/>
    <w:rsid w:val="0088043F"/>
    <w:rsid w:val="008804C0"/>
    <w:rsid w:val="00880AAA"/>
    <w:rsid w:val="00880B82"/>
    <w:rsid w:val="00880CA3"/>
    <w:rsid w:val="00880DF2"/>
    <w:rsid w:val="00880E56"/>
    <w:rsid w:val="00880F2F"/>
    <w:rsid w:val="00881097"/>
    <w:rsid w:val="00881155"/>
    <w:rsid w:val="00881245"/>
    <w:rsid w:val="008812E3"/>
    <w:rsid w:val="00881303"/>
    <w:rsid w:val="0088132D"/>
    <w:rsid w:val="00881857"/>
    <w:rsid w:val="008818A1"/>
    <w:rsid w:val="008818A7"/>
    <w:rsid w:val="00881A16"/>
    <w:rsid w:val="00881C61"/>
    <w:rsid w:val="00881DE7"/>
    <w:rsid w:val="008821B4"/>
    <w:rsid w:val="0088253D"/>
    <w:rsid w:val="00882666"/>
    <w:rsid w:val="008828D1"/>
    <w:rsid w:val="008828EC"/>
    <w:rsid w:val="00882AFE"/>
    <w:rsid w:val="00882B6A"/>
    <w:rsid w:val="00882C4E"/>
    <w:rsid w:val="008830C2"/>
    <w:rsid w:val="0088328C"/>
    <w:rsid w:val="008833C7"/>
    <w:rsid w:val="008833C9"/>
    <w:rsid w:val="008835AB"/>
    <w:rsid w:val="00883684"/>
    <w:rsid w:val="008839AD"/>
    <w:rsid w:val="008839FE"/>
    <w:rsid w:val="00883C33"/>
    <w:rsid w:val="00883D46"/>
    <w:rsid w:val="00883E7E"/>
    <w:rsid w:val="00883FB3"/>
    <w:rsid w:val="00884447"/>
    <w:rsid w:val="008846D6"/>
    <w:rsid w:val="008847E2"/>
    <w:rsid w:val="00884881"/>
    <w:rsid w:val="00884AD2"/>
    <w:rsid w:val="00884C4C"/>
    <w:rsid w:val="00884DC7"/>
    <w:rsid w:val="00884F11"/>
    <w:rsid w:val="008851FF"/>
    <w:rsid w:val="00885291"/>
    <w:rsid w:val="0088534C"/>
    <w:rsid w:val="00885409"/>
    <w:rsid w:val="00885691"/>
    <w:rsid w:val="00885AAE"/>
    <w:rsid w:val="00885AB2"/>
    <w:rsid w:val="00886136"/>
    <w:rsid w:val="00886254"/>
    <w:rsid w:val="008862CC"/>
    <w:rsid w:val="0088639E"/>
    <w:rsid w:val="008865D9"/>
    <w:rsid w:val="008867FD"/>
    <w:rsid w:val="008868DC"/>
    <w:rsid w:val="00886B08"/>
    <w:rsid w:val="00886E56"/>
    <w:rsid w:val="00886E92"/>
    <w:rsid w:val="0088724F"/>
    <w:rsid w:val="008872F3"/>
    <w:rsid w:val="0088752A"/>
    <w:rsid w:val="00887615"/>
    <w:rsid w:val="0088766E"/>
    <w:rsid w:val="0088784E"/>
    <w:rsid w:val="00887868"/>
    <w:rsid w:val="008878E7"/>
    <w:rsid w:val="00887A3F"/>
    <w:rsid w:val="00887CCA"/>
    <w:rsid w:val="00887CD4"/>
    <w:rsid w:val="00887D53"/>
    <w:rsid w:val="00887E99"/>
    <w:rsid w:val="00887F79"/>
    <w:rsid w:val="00887FBC"/>
    <w:rsid w:val="008902C5"/>
    <w:rsid w:val="00890383"/>
    <w:rsid w:val="0089066F"/>
    <w:rsid w:val="00890687"/>
    <w:rsid w:val="008907E8"/>
    <w:rsid w:val="00890873"/>
    <w:rsid w:val="00890B44"/>
    <w:rsid w:val="00890C6B"/>
    <w:rsid w:val="00890F04"/>
    <w:rsid w:val="00891106"/>
    <w:rsid w:val="00891275"/>
    <w:rsid w:val="008912FD"/>
    <w:rsid w:val="008913B3"/>
    <w:rsid w:val="008916FD"/>
    <w:rsid w:val="0089174B"/>
    <w:rsid w:val="008919D0"/>
    <w:rsid w:val="00891A28"/>
    <w:rsid w:val="00891B44"/>
    <w:rsid w:val="00891EC3"/>
    <w:rsid w:val="00892076"/>
    <w:rsid w:val="008921E4"/>
    <w:rsid w:val="008922E2"/>
    <w:rsid w:val="008923D4"/>
    <w:rsid w:val="00892645"/>
    <w:rsid w:val="00892695"/>
    <w:rsid w:val="00892BFF"/>
    <w:rsid w:val="0089323B"/>
    <w:rsid w:val="00893387"/>
    <w:rsid w:val="0089340D"/>
    <w:rsid w:val="00893575"/>
    <w:rsid w:val="00893628"/>
    <w:rsid w:val="00893739"/>
    <w:rsid w:val="008937FB"/>
    <w:rsid w:val="00893B2C"/>
    <w:rsid w:val="00893CAC"/>
    <w:rsid w:val="00893E5C"/>
    <w:rsid w:val="00894071"/>
    <w:rsid w:val="00894152"/>
    <w:rsid w:val="00894396"/>
    <w:rsid w:val="008944C7"/>
    <w:rsid w:val="008944F3"/>
    <w:rsid w:val="008945E8"/>
    <w:rsid w:val="0089477A"/>
    <w:rsid w:val="00894B24"/>
    <w:rsid w:val="00894C6F"/>
    <w:rsid w:val="00894D6C"/>
    <w:rsid w:val="00895229"/>
    <w:rsid w:val="008952BB"/>
    <w:rsid w:val="008952CB"/>
    <w:rsid w:val="00895408"/>
    <w:rsid w:val="0089553E"/>
    <w:rsid w:val="0089572E"/>
    <w:rsid w:val="0089594C"/>
    <w:rsid w:val="00895A2F"/>
    <w:rsid w:val="00895D23"/>
    <w:rsid w:val="00895F4B"/>
    <w:rsid w:val="008960CE"/>
    <w:rsid w:val="008962FA"/>
    <w:rsid w:val="00896799"/>
    <w:rsid w:val="008968CC"/>
    <w:rsid w:val="00896970"/>
    <w:rsid w:val="00896A17"/>
    <w:rsid w:val="00896A47"/>
    <w:rsid w:val="00896D66"/>
    <w:rsid w:val="00896DC3"/>
    <w:rsid w:val="0089701F"/>
    <w:rsid w:val="00897187"/>
    <w:rsid w:val="008973AA"/>
    <w:rsid w:val="00897540"/>
    <w:rsid w:val="00897618"/>
    <w:rsid w:val="00897747"/>
    <w:rsid w:val="0089782E"/>
    <w:rsid w:val="00897BE3"/>
    <w:rsid w:val="00897CF6"/>
    <w:rsid w:val="00897D57"/>
    <w:rsid w:val="00897F11"/>
    <w:rsid w:val="00897F86"/>
    <w:rsid w:val="00897F99"/>
    <w:rsid w:val="008A0015"/>
    <w:rsid w:val="008A0152"/>
    <w:rsid w:val="008A01A0"/>
    <w:rsid w:val="008A01B7"/>
    <w:rsid w:val="008A039C"/>
    <w:rsid w:val="008A03E1"/>
    <w:rsid w:val="008A0517"/>
    <w:rsid w:val="008A0754"/>
    <w:rsid w:val="008A0A6B"/>
    <w:rsid w:val="008A0A94"/>
    <w:rsid w:val="008A0BD2"/>
    <w:rsid w:val="008A0CAE"/>
    <w:rsid w:val="008A0F04"/>
    <w:rsid w:val="008A0F94"/>
    <w:rsid w:val="008A0FF2"/>
    <w:rsid w:val="008A11BC"/>
    <w:rsid w:val="008A1214"/>
    <w:rsid w:val="008A144E"/>
    <w:rsid w:val="008A14ED"/>
    <w:rsid w:val="008A1530"/>
    <w:rsid w:val="008A15AE"/>
    <w:rsid w:val="008A161F"/>
    <w:rsid w:val="008A1645"/>
    <w:rsid w:val="008A171F"/>
    <w:rsid w:val="008A1B48"/>
    <w:rsid w:val="008A1E5F"/>
    <w:rsid w:val="008A1ED8"/>
    <w:rsid w:val="008A2077"/>
    <w:rsid w:val="008A20F2"/>
    <w:rsid w:val="008A2122"/>
    <w:rsid w:val="008A23B1"/>
    <w:rsid w:val="008A2423"/>
    <w:rsid w:val="008A24DA"/>
    <w:rsid w:val="008A252B"/>
    <w:rsid w:val="008A2699"/>
    <w:rsid w:val="008A27C7"/>
    <w:rsid w:val="008A2980"/>
    <w:rsid w:val="008A29CE"/>
    <w:rsid w:val="008A3030"/>
    <w:rsid w:val="008A3120"/>
    <w:rsid w:val="008A3140"/>
    <w:rsid w:val="008A329E"/>
    <w:rsid w:val="008A32D7"/>
    <w:rsid w:val="008A330A"/>
    <w:rsid w:val="008A35B5"/>
    <w:rsid w:val="008A3620"/>
    <w:rsid w:val="008A3673"/>
    <w:rsid w:val="008A37A6"/>
    <w:rsid w:val="008A37A8"/>
    <w:rsid w:val="008A386F"/>
    <w:rsid w:val="008A395D"/>
    <w:rsid w:val="008A3A78"/>
    <w:rsid w:val="008A3C1E"/>
    <w:rsid w:val="008A3E23"/>
    <w:rsid w:val="008A3F3D"/>
    <w:rsid w:val="008A4145"/>
    <w:rsid w:val="008A42A1"/>
    <w:rsid w:val="008A4423"/>
    <w:rsid w:val="008A45AA"/>
    <w:rsid w:val="008A4654"/>
    <w:rsid w:val="008A47E9"/>
    <w:rsid w:val="008A4B8C"/>
    <w:rsid w:val="008A4D36"/>
    <w:rsid w:val="008A534B"/>
    <w:rsid w:val="008A53D2"/>
    <w:rsid w:val="008A5B75"/>
    <w:rsid w:val="008A5D8C"/>
    <w:rsid w:val="008A5DDF"/>
    <w:rsid w:val="008A5E14"/>
    <w:rsid w:val="008A5F74"/>
    <w:rsid w:val="008A6070"/>
    <w:rsid w:val="008A62F3"/>
    <w:rsid w:val="008A638A"/>
    <w:rsid w:val="008A6471"/>
    <w:rsid w:val="008A6497"/>
    <w:rsid w:val="008A67FF"/>
    <w:rsid w:val="008A6828"/>
    <w:rsid w:val="008A6B96"/>
    <w:rsid w:val="008A6D3F"/>
    <w:rsid w:val="008A6D67"/>
    <w:rsid w:val="008A6EED"/>
    <w:rsid w:val="008A6F6F"/>
    <w:rsid w:val="008A7191"/>
    <w:rsid w:val="008A7242"/>
    <w:rsid w:val="008A73E8"/>
    <w:rsid w:val="008A7482"/>
    <w:rsid w:val="008A7B6C"/>
    <w:rsid w:val="008A7C41"/>
    <w:rsid w:val="008A7F99"/>
    <w:rsid w:val="008B0131"/>
    <w:rsid w:val="008B0212"/>
    <w:rsid w:val="008B0292"/>
    <w:rsid w:val="008B037B"/>
    <w:rsid w:val="008B0721"/>
    <w:rsid w:val="008B07C9"/>
    <w:rsid w:val="008B081D"/>
    <w:rsid w:val="008B08BE"/>
    <w:rsid w:val="008B0AAA"/>
    <w:rsid w:val="008B0C05"/>
    <w:rsid w:val="008B0C29"/>
    <w:rsid w:val="008B0EC6"/>
    <w:rsid w:val="008B158E"/>
    <w:rsid w:val="008B1868"/>
    <w:rsid w:val="008B1983"/>
    <w:rsid w:val="008B1B1E"/>
    <w:rsid w:val="008B21D6"/>
    <w:rsid w:val="008B2213"/>
    <w:rsid w:val="008B2433"/>
    <w:rsid w:val="008B2733"/>
    <w:rsid w:val="008B27D2"/>
    <w:rsid w:val="008B288C"/>
    <w:rsid w:val="008B2C8E"/>
    <w:rsid w:val="008B2EF9"/>
    <w:rsid w:val="008B2F71"/>
    <w:rsid w:val="008B3279"/>
    <w:rsid w:val="008B3325"/>
    <w:rsid w:val="008B34FA"/>
    <w:rsid w:val="008B38BA"/>
    <w:rsid w:val="008B392C"/>
    <w:rsid w:val="008B3BE7"/>
    <w:rsid w:val="008B3C70"/>
    <w:rsid w:val="008B3D23"/>
    <w:rsid w:val="008B3D5E"/>
    <w:rsid w:val="008B3D8E"/>
    <w:rsid w:val="008B3DF0"/>
    <w:rsid w:val="008B3E33"/>
    <w:rsid w:val="008B3E93"/>
    <w:rsid w:val="008B3F65"/>
    <w:rsid w:val="008B3F72"/>
    <w:rsid w:val="008B417E"/>
    <w:rsid w:val="008B426A"/>
    <w:rsid w:val="008B4341"/>
    <w:rsid w:val="008B45D1"/>
    <w:rsid w:val="008B4649"/>
    <w:rsid w:val="008B4775"/>
    <w:rsid w:val="008B4C15"/>
    <w:rsid w:val="008B4DEC"/>
    <w:rsid w:val="008B4E6B"/>
    <w:rsid w:val="008B4F4B"/>
    <w:rsid w:val="008B5025"/>
    <w:rsid w:val="008B517E"/>
    <w:rsid w:val="008B51A0"/>
    <w:rsid w:val="008B5229"/>
    <w:rsid w:val="008B562A"/>
    <w:rsid w:val="008B569D"/>
    <w:rsid w:val="008B5767"/>
    <w:rsid w:val="008B5A3E"/>
    <w:rsid w:val="008B5BBE"/>
    <w:rsid w:val="008B5D84"/>
    <w:rsid w:val="008B6231"/>
    <w:rsid w:val="008B62E0"/>
    <w:rsid w:val="008B636A"/>
    <w:rsid w:val="008B6383"/>
    <w:rsid w:val="008B65B6"/>
    <w:rsid w:val="008B65B8"/>
    <w:rsid w:val="008B65D7"/>
    <w:rsid w:val="008B6B26"/>
    <w:rsid w:val="008B6DA8"/>
    <w:rsid w:val="008B7065"/>
    <w:rsid w:val="008B7096"/>
    <w:rsid w:val="008B73AD"/>
    <w:rsid w:val="008B7465"/>
    <w:rsid w:val="008B75FF"/>
    <w:rsid w:val="008B7A24"/>
    <w:rsid w:val="008B7A95"/>
    <w:rsid w:val="008B7CDA"/>
    <w:rsid w:val="008B7ED0"/>
    <w:rsid w:val="008C027B"/>
    <w:rsid w:val="008C02F6"/>
    <w:rsid w:val="008C0321"/>
    <w:rsid w:val="008C046C"/>
    <w:rsid w:val="008C0621"/>
    <w:rsid w:val="008C06CC"/>
    <w:rsid w:val="008C0892"/>
    <w:rsid w:val="008C092C"/>
    <w:rsid w:val="008C0969"/>
    <w:rsid w:val="008C09CA"/>
    <w:rsid w:val="008C0A11"/>
    <w:rsid w:val="008C0BAD"/>
    <w:rsid w:val="008C0C3E"/>
    <w:rsid w:val="008C0C41"/>
    <w:rsid w:val="008C0E84"/>
    <w:rsid w:val="008C0F67"/>
    <w:rsid w:val="008C0FF6"/>
    <w:rsid w:val="008C1105"/>
    <w:rsid w:val="008C118E"/>
    <w:rsid w:val="008C12D2"/>
    <w:rsid w:val="008C12F0"/>
    <w:rsid w:val="008C1304"/>
    <w:rsid w:val="008C132D"/>
    <w:rsid w:val="008C134E"/>
    <w:rsid w:val="008C13EE"/>
    <w:rsid w:val="008C1765"/>
    <w:rsid w:val="008C1BBC"/>
    <w:rsid w:val="008C1DB7"/>
    <w:rsid w:val="008C2184"/>
    <w:rsid w:val="008C23F3"/>
    <w:rsid w:val="008C273D"/>
    <w:rsid w:val="008C2824"/>
    <w:rsid w:val="008C2B1B"/>
    <w:rsid w:val="008C2E1A"/>
    <w:rsid w:val="008C2F00"/>
    <w:rsid w:val="008C2FD9"/>
    <w:rsid w:val="008C302D"/>
    <w:rsid w:val="008C30AE"/>
    <w:rsid w:val="008C30E3"/>
    <w:rsid w:val="008C333F"/>
    <w:rsid w:val="008C35FC"/>
    <w:rsid w:val="008C36A9"/>
    <w:rsid w:val="008C3E76"/>
    <w:rsid w:val="008C3FAB"/>
    <w:rsid w:val="008C4072"/>
    <w:rsid w:val="008C40B0"/>
    <w:rsid w:val="008C4159"/>
    <w:rsid w:val="008C42B3"/>
    <w:rsid w:val="008C42FB"/>
    <w:rsid w:val="008C44BC"/>
    <w:rsid w:val="008C4BEC"/>
    <w:rsid w:val="008C509F"/>
    <w:rsid w:val="008C5409"/>
    <w:rsid w:val="008C54BA"/>
    <w:rsid w:val="008C55CC"/>
    <w:rsid w:val="008C57B5"/>
    <w:rsid w:val="008C59C7"/>
    <w:rsid w:val="008C654B"/>
    <w:rsid w:val="008C65B6"/>
    <w:rsid w:val="008C68E6"/>
    <w:rsid w:val="008C6C9B"/>
    <w:rsid w:val="008C6D70"/>
    <w:rsid w:val="008C6D94"/>
    <w:rsid w:val="008C6E71"/>
    <w:rsid w:val="008C6FE8"/>
    <w:rsid w:val="008C7060"/>
    <w:rsid w:val="008C7892"/>
    <w:rsid w:val="008C7AAA"/>
    <w:rsid w:val="008C7AF0"/>
    <w:rsid w:val="008C7C57"/>
    <w:rsid w:val="008D0069"/>
    <w:rsid w:val="008D024B"/>
    <w:rsid w:val="008D0584"/>
    <w:rsid w:val="008D07C1"/>
    <w:rsid w:val="008D07E2"/>
    <w:rsid w:val="008D085A"/>
    <w:rsid w:val="008D0B64"/>
    <w:rsid w:val="008D0E2B"/>
    <w:rsid w:val="008D0F0B"/>
    <w:rsid w:val="008D0F3D"/>
    <w:rsid w:val="008D10DD"/>
    <w:rsid w:val="008D11CA"/>
    <w:rsid w:val="008D1272"/>
    <w:rsid w:val="008D138E"/>
    <w:rsid w:val="008D14BD"/>
    <w:rsid w:val="008D155B"/>
    <w:rsid w:val="008D15F7"/>
    <w:rsid w:val="008D1922"/>
    <w:rsid w:val="008D1B18"/>
    <w:rsid w:val="008D20B4"/>
    <w:rsid w:val="008D20FB"/>
    <w:rsid w:val="008D2567"/>
    <w:rsid w:val="008D258F"/>
    <w:rsid w:val="008D26AE"/>
    <w:rsid w:val="008D287F"/>
    <w:rsid w:val="008D289B"/>
    <w:rsid w:val="008D28E6"/>
    <w:rsid w:val="008D28F7"/>
    <w:rsid w:val="008D2B9E"/>
    <w:rsid w:val="008D2D9F"/>
    <w:rsid w:val="008D2E39"/>
    <w:rsid w:val="008D2FCE"/>
    <w:rsid w:val="008D3145"/>
    <w:rsid w:val="008D3257"/>
    <w:rsid w:val="008D32CE"/>
    <w:rsid w:val="008D331F"/>
    <w:rsid w:val="008D33D8"/>
    <w:rsid w:val="008D34C9"/>
    <w:rsid w:val="008D36C4"/>
    <w:rsid w:val="008D3847"/>
    <w:rsid w:val="008D3CF0"/>
    <w:rsid w:val="008D3DFE"/>
    <w:rsid w:val="008D3E12"/>
    <w:rsid w:val="008D3EF8"/>
    <w:rsid w:val="008D3F28"/>
    <w:rsid w:val="008D4236"/>
    <w:rsid w:val="008D428A"/>
    <w:rsid w:val="008D433C"/>
    <w:rsid w:val="008D44AC"/>
    <w:rsid w:val="008D4508"/>
    <w:rsid w:val="008D458C"/>
    <w:rsid w:val="008D4845"/>
    <w:rsid w:val="008D4934"/>
    <w:rsid w:val="008D4948"/>
    <w:rsid w:val="008D494E"/>
    <w:rsid w:val="008D4A40"/>
    <w:rsid w:val="008D4BAB"/>
    <w:rsid w:val="008D4E92"/>
    <w:rsid w:val="008D4F5D"/>
    <w:rsid w:val="008D4FF2"/>
    <w:rsid w:val="008D5057"/>
    <w:rsid w:val="008D51F2"/>
    <w:rsid w:val="008D54A1"/>
    <w:rsid w:val="008D54EB"/>
    <w:rsid w:val="008D5529"/>
    <w:rsid w:val="008D5538"/>
    <w:rsid w:val="008D576A"/>
    <w:rsid w:val="008D582F"/>
    <w:rsid w:val="008D5862"/>
    <w:rsid w:val="008D5AAA"/>
    <w:rsid w:val="008D5C40"/>
    <w:rsid w:val="008D5FCC"/>
    <w:rsid w:val="008D60ED"/>
    <w:rsid w:val="008D6124"/>
    <w:rsid w:val="008D61EE"/>
    <w:rsid w:val="008D6296"/>
    <w:rsid w:val="008D6527"/>
    <w:rsid w:val="008D652C"/>
    <w:rsid w:val="008D66A9"/>
    <w:rsid w:val="008D6935"/>
    <w:rsid w:val="008D6A5D"/>
    <w:rsid w:val="008D6B51"/>
    <w:rsid w:val="008D6E95"/>
    <w:rsid w:val="008D7195"/>
    <w:rsid w:val="008D73BF"/>
    <w:rsid w:val="008D73C7"/>
    <w:rsid w:val="008D74E1"/>
    <w:rsid w:val="008D7565"/>
    <w:rsid w:val="008D7697"/>
    <w:rsid w:val="008D7722"/>
    <w:rsid w:val="008D7762"/>
    <w:rsid w:val="008D7823"/>
    <w:rsid w:val="008D7A8B"/>
    <w:rsid w:val="008D7A8C"/>
    <w:rsid w:val="008D7E20"/>
    <w:rsid w:val="008D7EE2"/>
    <w:rsid w:val="008E0098"/>
    <w:rsid w:val="008E012D"/>
    <w:rsid w:val="008E01DD"/>
    <w:rsid w:val="008E0278"/>
    <w:rsid w:val="008E043F"/>
    <w:rsid w:val="008E059A"/>
    <w:rsid w:val="008E05E0"/>
    <w:rsid w:val="008E06D9"/>
    <w:rsid w:val="008E0746"/>
    <w:rsid w:val="008E07CE"/>
    <w:rsid w:val="008E083C"/>
    <w:rsid w:val="008E0A19"/>
    <w:rsid w:val="008E0E59"/>
    <w:rsid w:val="008E0F24"/>
    <w:rsid w:val="008E10BB"/>
    <w:rsid w:val="008E133F"/>
    <w:rsid w:val="008E13E1"/>
    <w:rsid w:val="008E15E6"/>
    <w:rsid w:val="008E18CF"/>
    <w:rsid w:val="008E1977"/>
    <w:rsid w:val="008E19C9"/>
    <w:rsid w:val="008E1AFD"/>
    <w:rsid w:val="008E1B83"/>
    <w:rsid w:val="008E1BA7"/>
    <w:rsid w:val="008E1BAB"/>
    <w:rsid w:val="008E1CFB"/>
    <w:rsid w:val="008E212B"/>
    <w:rsid w:val="008E242C"/>
    <w:rsid w:val="008E25CC"/>
    <w:rsid w:val="008E28AB"/>
    <w:rsid w:val="008E29B7"/>
    <w:rsid w:val="008E2A1B"/>
    <w:rsid w:val="008E2A61"/>
    <w:rsid w:val="008E2BAE"/>
    <w:rsid w:val="008E2DCC"/>
    <w:rsid w:val="008E2EC8"/>
    <w:rsid w:val="008E302D"/>
    <w:rsid w:val="008E33A0"/>
    <w:rsid w:val="008E3419"/>
    <w:rsid w:val="008E3BD4"/>
    <w:rsid w:val="008E3F8C"/>
    <w:rsid w:val="008E400A"/>
    <w:rsid w:val="008E424B"/>
    <w:rsid w:val="008E43D0"/>
    <w:rsid w:val="008E475C"/>
    <w:rsid w:val="008E48EC"/>
    <w:rsid w:val="008E4E7B"/>
    <w:rsid w:val="008E4F21"/>
    <w:rsid w:val="008E504F"/>
    <w:rsid w:val="008E544C"/>
    <w:rsid w:val="008E54EA"/>
    <w:rsid w:val="008E564F"/>
    <w:rsid w:val="008E56B0"/>
    <w:rsid w:val="008E56BD"/>
    <w:rsid w:val="008E5C35"/>
    <w:rsid w:val="008E5D85"/>
    <w:rsid w:val="008E5E7E"/>
    <w:rsid w:val="008E5EC1"/>
    <w:rsid w:val="008E5EDF"/>
    <w:rsid w:val="008E5F01"/>
    <w:rsid w:val="008E5F3A"/>
    <w:rsid w:val="008E5F7F"/>
    <w:rsid w:val="008E5FDC"/>
    <w:rsid w:val="008E6033"/>
    <w:rsid w:val="008E618B"/>
    <w:rsid w:val="008E63E7"/>
    <w:rsid w:val="008E6493"/>
    <w:rsid w:val="008E6515"/>
    <w:rsid w:val="008E6553"/>
    <w:rsid w:val="008E6561"/>
    <w:rsid w:val="008E6763"/>
    <w:rsid w:val="008E69B5"/>
    <w:rsid w:val="008E6BB1"/>
    <w:rsid w:val="008E6D96"/>
    <w:rsid w:val="008E6EB4"/>
    <w:rsid w:val="008E7123"/>
    <w:rsid w:val="008E728F"/>
    <w:rsid w:val="008E7345"/>
    <w:rsid w:val="008E73CF"/>
    <w:rsid w:val="008E7422"/>
    <w:rsid w:val="008E761D"/>
    <w:rsid w:val="008E7823"/>
    <w:rsid w:val="008E7838"/>
    <w:rsid w:val="008E7CE4"/>
    <w:rsid w:val="008E7D1C"/>
    <w:rsid w:val="008E7DF6"/>
    <w:rsid w:val="008E7E4D"/>
    <w:rsid w:val="008F0155"/>
    <w:rsid w:val="008F04A6"/>
    <w:rsid w:val="008F04B4"/>
    <w:rsid w:val="008F063F"/>
    <w:rsid w:val="008F07E1"/>
    <w:rsid w:val="008F08D6"/>
    <w:rsid w:val="008F08E4"/>
    <w:rsid w:val="008F0AF1"/>
    <w:rsid w:val="008F0BC2"/>
    <w:rsid w:val="008F0BCF"/>
    <w:rsid w:val="008F1219"/>
    <w:rsid w:val="008F122F"/>
    <w:rsid w:val="008F16ED"/>
    <w:rsid w:val="008F1778"/>
    <w:rsid w:val="008F1807"/>
    <w:rsid w:val="008F1A33"/>
    <w:rsid w:val="008F1DE3"/>
    <w:rsid w:val="008F1E02"/>
    <w:rsid w:val="008F23B4"/>
    <w:rsid w:val="008F25FF"/>
    <w:rsid w:val="008F2660"/>
    <w:rsid w:val="008F2A75"/>
    <w:rsid w:val="008F2C11"/>
    <w:rsid w:val="008F2CCC"/>
    <w:rsid w:val="008F317C"/>
    <w:rsid w:val="008F34AE"/>
    <w:rsid w:val="008F368D"/>
    <w:rsid w:val="008F36A6"/>
    <w:rsid w:val="008F3703"/>
    <w:rsid w:val="008F3852"/>
    <w:rsid w:val="008F388E"/>
    <w:rsid w:val="008F38A0"/>
    <w:rsid w:val="008F39A2"/>
    <w:rsid w:val="008F39DD"/>
    <w:rsid w:val="008F3A1D"/>
    <w:rsid w:val="008F3B69"/>
    <w:rsid w:val="008F3BA6"/>
    <w:rsid w:val="008F3BF1"/>
    <w:rsid w:val="008F3E02"/>
    <w:rsid w:val="008F3EC6"/>
    <w:rsid w:val="008F3FC6"/>
    <w:rsid w:val="008F3FFB"/>
    <w:rsid w:val="008F4049"/>
    <w:rsid w:val="008F40AD"/>
    <w:rsid w:val="008F40C2"/>
    <w:rsid w:val="008F41AA"/>
    <w:rsid w:val="008F41AD"/>
    <w:rsid w:val="008F430F"/>
    <w:rsid w:val="008F44C4"/>
    <w:rsid w:val="008F48B4"/>
    <w:rsid w:val="008F495A"/>
    <w:rsid w:val="008F4B99"/>
    <w:rsid w:val="008F4CE1"/>
    <w:rsid w:val="008F4EC2"/>
    <w:rsid w:val="008F4ECB"/>
    <w:rsid w:val="008F521A"/>
    <w:rsid w:val="008F5477"/>
    <w:rsid w:val="008F567C"/>
    <w:rsid w:val="008F5889"/>
    <w:rsid w:val="008F5927"/>
    <w:rsid w:val="008F5B19"/>
    <w:rsid w:val="008F5B7C"/>
    <w:rsid w:val="008F5F6E"/>
    <w:rsid w:val="008F627F"/>
    <w:rsid w:val="008F65A8"/>
    <w:rsid w:val="008F663B"/>
    <w:rsid w:val="008F67C5"/>
    <w:rsid w:val="008F67CD"/>
    <w:rsid w:val="008F6819"/>
    <w:rsid w:val="008F6B50"/>
    <w:rsid w:val="008F6F71"/>
    <w:rsid w:val="008F7217"/>
    <w:rsid w:val="008F73A3"/>
    <w:rsid w:val="008F73FB"/>
    <w:rsid w:val="008F7515"/>
    <w:rsid w:val="008F76A1"/>
    <w:rsid w:val="008F79F7"/>
    <w:rsid w:val="008F7B59"/>
    <w:rsid w:val="008F7C58"/>
    <w:rsid w:val="008F7E71"/>
    <w:rsid w:val="008F7F87"/>
    <w:rsid w:val="00900120"/>
    <w:rsid w:val="00900232"/>
    <w:rsid w:val="009003BB"/>
    <w:rsid w:val="0090046D"/>
    <w:rsid w:val="00900735"/>
    <w:rsid w:val="009007FE"/>
    <w:rsid w:val="009009FC"/>
    <w:rsid w:val="00900A6F"/>
    <w:rsid w:val="00900AAB"/>
    <w:rsid w:val="00900D15"/>
    <w:rsid w:val="00900DE9"/>
    <w:rsid w:val="0090106C"/>
    <w:rsid w:val="009011B3"/>
    <w:rsid w:val="009011ED"/>
    <w:rsid w:val="0090143C"/>
    <w:rsid w:val="009014A7"/>
    <w:rsid w:val="009017E1"/>
    <w:rsid w:val="00901801"/>
    <w:rsid w:val="00901886"/>
    <w:rsid w:val="0090192D"/>
    <w:rsid w:val="009019A7"/>
    <w:rsid w:val="00901ABB"/>
    <w:rsid w:val="00901DD6"/>
    <w:rsid w:val="00901DDE"/>
    <w:rsid w:val="00901DF1"/>
    <w:rsid w:val="00901F0B"/>
    <w:rsid w:val="0090219C"/>
    <w:rsid w:val="0090229A"/>
    <w:rsid w:val="009023FC"/>
    <w:rsid w:val="0090244E"/>
    <w:rsid w:val="009027BD"/>
    <w:rsid w:val="00902821"/>
    <w:rsid w:val="00902833"/>
    <w:rsid w:val="00902A28"/>
    <w:rsid w:val="00902A2B"/>
    <w:rsid w:val="00902AC3"/>
    <w:rsid w:val="00902F13"/>
    <w:rsid w:val="0090320E"/>
    <w:rsid w:val="00903293"/>
    <w:rsid w:val="0090352B"/>
    <w:rsid w:val="00903568"/>
    <w:rsid w:val="0090360C"/>
    <w:rsid w:val="0090363E"/>
    <w:rsid w:val="00903720"/>
    <w:rsid w:val="00903D61"/>
    <w:rsid w:val="00903FD8"/>
    <w:rsid w:val="009040A2"/>
    <w:rsid w:val="0090413D"/>
    <w:rsid w:val="00904157"/>
    <w:rsid w:val="009043AF"/>
    <w:rsid w:val="00904422"/>
    <w:rsid w:val="00904450"/>
    <w:rsid w:val="009045A9"/>
    <w:rsid w:val="0090482E"/>
    <w:rsid w:val="0090499A"/>
    <w:rsid w:val="009049CB"/>
    <w:rsid w:val="00904CD4"/>
    <w:rsid w:val="00904EAB"/>
    <w:rsid w:val="00904F64"/>
    <w:rsid w:val="00905000"/>
    <w:rsid w:val="0090524C"/>
    <w:rsid w:val="009054D2"/>
    <w:rsid w:val="00905535"/>
    <w:rsid w:val="009056C4"/>
    <w:rsid w:val="00905AD7"/>
    <w:rsid w:val="00905D9E"/>
    <w:rsid w:val="00905E9A"/>
    <w:rsid w:val="00906002"/>
    <w:rsid w:val="00906259"/>
    <w:rsid w:val="00906414"/>
    <w:rsid w:val="009065E7"/>
    <w:rsid w:val="0090676F"/>
    <w:rsid w:val="0090686C"/>
    <w:rsid w:val="009068BC"/>
    <w:rsid w:val="00906A9D"/>
    <w:rsid w:val="00906C62"/>
    <w:rsid w:val="00906D64"/>
    <w:rsid w:val="00906D6B"/>
    <w:rsid w:val="00906F0E"/>
    <w:rsid w:val="0090704C"/>
    <w:rsid w:val="00907196"/>
    <w:rsid w:val="00907228"/>
    <w:rsid w:val="009072B6"/>
    <w:rsid w:val="00907393"/>
    <w:rsid w:val="009073CD"/>
    <w:rsid w:val="009073D8"/>
    <w:rsid w:val="00907875"/>
    <w:rsid w:val="009078BC"/>
    <w:rsid w:val="009078E9"/>
    <w:rsid w:val="00907A1B"/>
    <w:rsid w:val="00907D5D"/>
    <w:rsid w:val="00907DAA"/>
    <w:rsid w:val="009100E5"/>
    <w:rsid w:val="00910347"/>
    <w:rsid w:val="009104B8"/>
    <w:rsid w:val="00910765"/>
    <w:rsid w:val="009107C6"/>
    <w:rsid w:val="009108B3"/>
    <w:rsid w:val="00910A4E"/>
    <w:rsid w:val="00910A65"/>
    <w:rsid w:val="00910AB7"/>
    <w:rsid w:val="00910BF4"/>
    <w:rsid w:val="00910C69"/>
    <w:rsid w:val="00910DB6"/>
    <w:rsid w:val="0091100A"/>
    <w:rsid w:val="0091100C"/>
    <w:rsid w:val="00911025"/>
    <w:rsid w:val="009111FE"/>
    <w:rsid w:val="00911341"/>
    <w:rsid w:val="00911380"/>
    <w:rsid w:val="009113AB"/>
    <w:rsid w:val="0091141E"/>
    <w:rsid w:val="00911932"/>
    <w:rsid w:val="00911BB8"/>
    <w:rsid w:val="00911BEA"/>
    <w:rsid w:val="00911BF4"/>
    <w:rsid w:val="00911F58"/>
    <w:rsid w:val="00912057"/>
    <w:rsid w:val="009120D9"/>
    <w:rsid w:val="00912470"/>
    <w:rsid w:val="00912493"/>
    <w:rsid w:val="0091278F"/>
    <w:rsid w:val="009127F1"/>
    <w:rsid w:val="009128B0"/>
    <w:rsid w:val="009129B7"/>
    <w:rsid w:val="00912B63"/>
    <w:rsid w:val="00912D05"/>
    <w:rsid w:val="00912E50"/>
    <w:rsid w:val="00912EF6"/>
    <w:rsid w:val="00912FCD"/>
    <w:rsid w:val="00913032"/>
    <w:rsid w:val="00913374"/>
    <w:rsid w:val="009133CD"/>
    <w:rsid w:val="009135CF"/>
    <w:rsid w:val="009137FE"/>
    <w:rsid w:val="00913866"/>
    <w:rsid w:val="009138B8"/>
    <w:rsid w:val="00913B65"/>
    <w:rsid w:val="00913BBB"/>
    <w:rsid w:val="00913BBE"/>
    <w:rsid w:val="00913C3D"/>
    <w:rsid w:val="00913C87"/>
    <w:rsid w:val="00913E38"/>
    <w:rsid w:val="00913FE7"/>
    <w:rsid w:val="0091402F"/>
    <w:rsid w:val="0091411D"/>
    <w:rsid w:val="00914178"/>
    <w:rsid w:val="009141D4"/>
    <w:rsid w:val="00914253"/>
    <w:rsid w:val="009143A4"/>
    <w:rsid w:val="009144D1"/>
    <w:rsid w:val="009145C0"/>
    <w:rsid w:val="009145C3"/>
    <w:rsid w:val="00914744"/>
    <w:rsid w:val="009148DE"/>
    <w:rsid w:val="009149A8"/>
    <w:rsid w:val="00915077"/>
    <w:rsid w:val="009150AC"/>
    <w:rsid w:val="009151AE"/>
    <w:rsid w:val="00915491"/>
    <w:rsid w:val="009156DA"/>
    <w:rsid w:val="0091579F"/>
    <w:rsid w:val="009157F3"/>
    <w:rsid w:val="009158AE"/>
    <w:rsid w:val="009158E4"/>
    <w:rsid w:val="009159C7"/>
    <w:rsid w:val="00915E5D"/>
    <w:rsid w:val="00916364"/>
    <w:rsid w:val="00916381"/>
    <w:rsid w:val="00916422"/>
    <w:rsid w:val="009164D1"/>
    <w:rsid w:val="00916631"/>
    <w:rsid w:val="00916773"/>
    <w:rsid w:val="0091683B"/>
    <w:rsid w:val="009169E9"/>
    <w:rsid w:val="00916A92"/>
    <w:rsid w:val="00916AAB"/>
    <w:rsid w:val="00916B31"/>
    <w:rsid w:val="00916C37"/>
    <w:rsid w:val="00916DC1"/>
    <w:rsid w:val="00916E56"/>
    <w:rsid w:val="00916F91"/>
    <w:rsid w:val="0091713B"/>
    <w:rsid w:val="0091731A"/>
    <w:rsid w:val="0091734B"/>
    <w:rsid w:val="009173BE"/>
    <w:rsid w:val="009174C8"/>
    <w:rsid w:val="00917610"/>
    <w:rsid w:val="0091775C"/>
    <w:rsid w:val="00917B3B"/>
    <w:rsid w:val="00917B65"/>
    <w:rsid w:val="00917B77"/>
    <w:rsid w:val="00917C21"/>
    <w:rsid w:val="00917C7B"/>
    <w:rsid w:val="00917D0D"/>
    <w:rsid w:val="00917EF5"/>
    <w:rsid w:val="00917EFF"/>
    <w:rsid w:val="009202B7"/>
    <w:rsid w:val="00920396"/>
    <w:rsid w:val="00920506"/>
    <w:rsid w:val="0092054B"/>
    <w:rsid w:val="00920815"/>
    <w:rsid w:val="00920AA8"/>
    <w:rsid w:val="00920AAF"/>
    <w:rsid w:val="00920B4C"/>
    <w:rsid w:val="00920C17"/>
    <w:rsid w:val="00920F64"/>
    <w:rsid w:val="0092125A"/>
    <w:rsid w:val="0092145C"/>
    <w:rsid w:val="00921513"/>
    <w:rsid w:val="00921791"/>
    <w:rsid w:val="00921DD9"/>
    <w:rsid w:val="00921F04"/>
    <w:rsid w:val="009220E4"/>
    <w:rsid w:val="009220E6"/>
    <w:rsid w:val="00922119"/>
    <w:rsid w:val="0092253F"/>
    <w:rsid w:val="00922561"/>
    <w:rsid w:val="00922672"/>
    <w:rsid w:val="00922866"/>
    <w:rsid w:val="009229B5"/>
    <w:rsid w:val="009229BE"/>
    <w:rsid w:val="00922A1B"/>
    <w:rsid w:val="00922B9D"/>
    <w:rsid w:val="00922BF2"/>
    <w:rsid w:val="00922CD9"/>
    <w:rsid w:val="00922D19"/>
    <w:rsid w:val="00922DE8"/>
    <w:rsid w:val="00922F3E"/>
    <w:rsid w:val="00922F7D"/>
    <w:rsid w:val="0092339C"/>
    <w:rsid w:val="009234AD"/>
    <w:rsid w:val="00923BC5"/>
    <w:rsid w:val="00923C7E"/>
    <w:rsid w:val="00923EEC"/>
    <w:rsid w:val="00923F39"/>
    <w:rsid w:val="00923FDA"/>
    <w:rsid w:val="00924048"/>
    <w:rsid w:val="00924155"/>
    <w:rsid w:val="009243E7"/>
    <w:rsid w:val="0092442B"/>
    <w:rsid w:val="00924650"/>
    <w:rsid w:val="0092487B"/>
    <w:rsid w:val="00924EA6"/>
    <w:rsid w:val="00924FE4"/>
    <w:rsid w:val="009250CB"/>
    <w:rsid w:val="009250FF"/>
    <w:rsid w:val="009253AD"/>
    <w:rsid w:val="0092552B"/>
    <w:rsid w:val="009256DC"/>
    <w:rsid w:val="0092570D"/>
    <w:rsid w:val="00925C6E"/>
    <w:rsid w:val="00925F56"/>
    <w:rsid w:val="009261A1"/>
    <w:rsid w:val="00926236"/>
    <w:rsid w:val="009264D6"/>
    <w:rsid w:val="009264D9"/>
    <w:rsid w:val="009266B6"/>
    <w:rsid w:val="00926AC3"/>
    <w:rsid w:val="00926B41"/>
    <w:rsid w:val="00926B5F"/>
    <w:rsid w:val="00926CE0"/>
    <w:rsid w:val="00926D52"/>
    <w:rsid w:val="00926E34"/>
    <w:rsid w:val="00927368"/>
    <w:rsid w:val="009273C7"/>
    <w:rsid w:val="0092772A"/>
    <w:rsid w:val="00927765"/>
    <w:rsid w:val="00927924"/>
    <w:rsid w:val="00927A2E"/>
    <w:rsid w:val="00927AFB"/>
    <w:rsid w:val="00927CD6"/>
    <w:rsid w:val="00927E00"/>
    <w:rsid w:val="00927FDC"/>
    <w:rsid w:val="00930367"/>
    <w:rsid w:val="00930405"/>
    <w:rsid w:val="0093074C"/>
    <w:rsid w:val="00930A58"/>
    <w:rsid w:val="00930BC4"/>
    <w:rsid w:val="00930CBC"/>
    <w:rsid w:val="00930DA7"/>
    <w:rsid w:val="00930DBF"/>
    <w:rsid w:val="0093110B"/>
    <w:rsid w:val="009311B6"/>
    <w:rsid w:val="00931315"/>
    <w:rsid w:val="00931427"/>
    <w:rsid w:val="009314F4"/>
    <w:rsid w:val="00931517"/>
    <w:rsid w:val="009317A2"/>
    <w:rsid w:val="0093193B"/>
    <w:rsid w:val="00931BAB"/>
    <w:rsid w:val="00931DF6"/>
    <w:rsid w:val="00931EDA"/>
    <w:rsid w:val="00931FB3"/>
    <w:rsid w:val="0093203A"/>
    <w:rsid w:val="009320CA"/>
    <w:rsid w:val="009320E8"/>
    <w:rsid w:val="009324ED"/>
    <w:rsid w:val="00932823"/>
    <w:rsid w:val="009328EA"/>
    <w:rsid w:val="00932D67"/>
    <w:rsid w:val="00932FE9"/>
    <w:rsid w:val="00933297"/>
    <w:rsid w:val="00933324"/>
    <w:rsid w:val="00933351"/>
    <w:rsid w:val="0093335D"/>
    <w:rsid w:val="0093348E"/>
    <w:rsid w:val="0093350D"/>
    <w:rsid w:val="0093352D"/>
    <w:rsid w:val="009336F6"/>
    <w:rsid w:val="0093399D"/>
    <w:rsid w:val="00933B0B"/>
    <w:rsid w:val="00933CDD"/>
    <w:rsid w:val="00933E21"/>
    <w:rsid w:val="00933E50"/>
    <w:rsid w:val="00934123"/>
    <w:rsid w:val="00934192"/>
    <w:rsid w:val="0093427F"/>
    <w:rsid w:val="00934299"/>
    <w:rsid w:val="009342F2"/>
    <w:rsid w:val="0093459A"/>
    <w:rsid w:val="00934B95"/>
    <w:rsid w:val="00934ECF"/>
    <w:rsid w:val="0093505F"/>
    <w:rsid w:val="0093515C"/>
    <w:rsid w:val="00935413"/>
    <w:rsid w:val="0093546D"/>
    <w:rsid w:val="0093574B"/>
    <w:rsid w:val="00935BA5"/>
    <w:rsid w:val="00935D7C"/>
    <w:rsid w:val="00935E17"/>
    <w:rsid w:val="0093606D"/>
    <w:rsid w:val="009368FC"/>
    <w:rsid w:val="0093694C"/>
    <w:rsid w:val="00936BF9"/>
    <w:rsid w:val="00936D57"/>
    <w:rsid w:val="00936E60"/>
    <w:rsid w:val="00936FCF"/>
    <w:rsid w:val="00937215"/>
    <w:rsid w:val="0093754B"/>
    <w:rsid w:val="009377B1"/>
    <w:rsid w:val="00937CC7"/>
    <w:rsid w:val="00937E68"/>
    <w:rsid w:val="00937FD3"/>
    <w:rsid w:val="00940361"/>
    <w:rsid w:val="00940362"/>
    <w:rsid w:val="009406DC"/>
    <w:rsid w:val="00940769"/>
    <w:rsid w:val="00940836"/>
    <w:rsid w:val="009409D7"/>
    <w:rsid w:val="00940A18"/>
    <w:rsid w:val="009411EC"/>
    <w:rsid w:val="00941209"/>
    <w:rsid w:val="0094127C"/>
    <w:rsid w:val="009412AA"/>
    <w:rsid w:val="009412F9"/>
    <w:rsid w:val="009415C9"/>
    <w:rsid w:val="00941660"/>
    <w:rsid w:val="009416A9"/>
    <w:rsid w:val="0094171B"/>
    <w:rsid w:val="00941955"/>
    <w:rsid w:val="009419B4"/>
    <w:rsid w:val="00941A4F"/>
    <w:rsid w:val="00941ABB"/>
    <w:rsid w:val="00941B79"/>
    <w:rsid w:val="00941CF6"/>
    <w:rsid w:val="00941D7B"/>
    <w:rsid w:val="00941DC6"/>
    <w:rsid w:val="00941E59"/>
    <w:rsid w:val="00941EF9"/>
    <w:rsid w:val="00941F27"/>
    <w:rsid w:val="009420B3"/>
    <w:rsid w:val="009422A7"/>
    <w:rsid w:val="009427BA"/>
    <w:rsid w:val="009429F0"/>
    <w:rsid w:val="00942A43"/>
    <w:rsid w:val="00942C07"/>
    <w:rsid w:val="00942D56"/>
    <w:rsid w:val="00942E68"/>
    <w:rsid w:val="00942FFE"/>
    <w:rsid w:val="00943194"/>
    <w:rsid w:val="009434E4"/>
    <w:rsid w:val="009434F1"/>
    <w:rsid w:val="00943655"/>
    <w:rsid w:val="00943668"/>
    <w:rsid w:val="009438DE"/>
    <w:rsid w:val="0094392F"/>
    <w:rsid w:val="00943967"/>
    <w:rsid w:val="00943BF2"/>
    <w:rsid w:val="00943CED"/>
    <w:rsid w:val="00943DB2"/>
    <w:rsid w:val="00943E1B"/>
    <w:rsid w:val="00943E99"/>
    <w:rsid w:val="0094426A"/>
    <w:rsid w:val="009443C3"/>
    <w:rsid w:val="009449AB"/>
    <w:rsid w:val="00944AE9"/>
    <w:rsid w:val="00944D74"/>
    <w:rsid w:val="00944EAA"/>
    <w:rsid w:val="009450EA"/>
    <w:rsid w:val="00945161"/>
    <w:rsid w:val="009452BD"/>
    <w:rsid w:val="00945413"/>
    <w:rsid w:val="0094546F"/>
    <w:rsid w:val="009456DD"/>
    <w:rsid w:val="0094571C"/>
    <w:rsid w:val="00945BA7"/>
    <w:rsid w:val="00945C33"/>
    <w:rsid w:val="00945F6F"/>
    <w:rsid w:val="00946073"/>
    <w:rsid w:val="00946659"/>
    <w:rsid w:val="009466D0"/>
    <w:rsid w:val="009467D8"/>
    <w:rsid w:val="00946880"/>
    <w:rsid w:val="00946A4F"/>
    <w:rsid w:val="00946B0F"/>
    <w:rsid w:val="00946C0D"/>
    <w:rsid w:val="00946E2A"/>
    <w:rsid w:val="00946E58"/>
    <w:rsid w:val="00946F4D"/>
    <w:rsid w:val="00946F9F"/>
    <w:rsid w:val="009471E2"/>
    <w:rsid w:val="00947497"/>
    <w:rsid w:val="009477BC"/>
    <w:rsid w:val="009478A1"/>
    <w:rsid w:val="009479DE"/>
    <w:rsid w:val="00947A1A"/>
    <w:rsid w:val="00947BC8"/>
    <w:rsid w:val="00947D3B"/>
    <w:rsid w:val="00947E55"/>
    <w:rsid w:val="0095060C"/>
    <w:rsid w:val="00950717"/>
    <w:rsid w:val="0095080F"/>
    <w:rsid w:val="00950912"/>
    <w:rsid w:val="00950A24"/>
    <w:rsid w:val="00950AE0"/>
    <w:rsid w:val="00950DE6"/>
    <w:rsid w:val="00950EA6"/>
    <w:rsid w:val="00950EBC"/>
    <w:rsid w:val="00950FCC"/>
    <w:rsid w:val="009512A1"/>
    <w:rsid w:val="009513FF"/>
    <w:rsid w:val="0095190E"/>
    <w:rsid w:val="00951CB4"/>
    <w:rsid w:val="009522CE"/>
    <w:rsid w:val="00952384"/>
    <w:rsid w:val="009524AB"/>
    <w:rsid w:val="00952536"/>
    <w:rsid w:val="009526C0"/>
    <w:rsid w:val="009526C4"/>
    <w:rsid w:val="0095271E"/>
    <w:rsid w:val="00952755"/>
    <w:rsid w:val="009527AD"/>
    <w:rsid w:val="0095291B"/>
    <w:rsid w:val="00952A81"/>
    <w:rsid w:val="00952B1A"/>
    <w:rsid w:val="00952C1C"/>
    <w:rsid w:val="00952F74"/>
    <w:rsid w:val="00953255"/>
    <w:rsid w:val="00953864"/>
    <w:rsid w:val="0095388B"/>
    <w:rsid w:val="00953965"/>
    <w:rsid w:val="00953B27"/>
    <w:rsid w:val="00953CB6"/>
    <w:rsid w:val="00953D6E"/>
    <w:rsid w:val="00953D83"/>
    <w:rsid w:val="00953DA4"/>
    <w:rsid w:val="00953EEA"/>
    <w:rsid w:val="00954130"/>
    <w:rsid w:val="009541E2"/>
    <w:rsid w:val="00954266"/>
    <w:rsid w:val="009542A8"/>
    <w:rsid w:val="00954516"/>
    <w:rsid w:val="009548BA"/>
    <w:rsid w:val="00954960"/>
    <w:rsid w:val="00954B7C"/>
    <w:rsid w:val="00954FFE"/>
    <w:rsid w:val="0095512F"/>
    <w:rsid w:val="009551FB"/>
    <w:rsid w:val="0095529C"/>
    <w:rsid w:val="009552DC"/>
    <w:rsid w:val="009555E1"/>
    <w:rsid w:val="00955A0C"/>
    <w:rsid w:val="00955AF5"/>
    <w:rsid w:val="00955BDC"/>
    <w:rsid w:val="00955E2A"/>
    <w:rsid w:val="00955F9C"/>
    <w:rsid w:val="0095600E"/>
    <w:rsid w:val="009560A4"/>
    <w:rsid w:val="00956274"/>
    <w:rsid w:val="009562CF"/>
    <w:rsid w:val="00956305"/>
    <w:rsid w:val="00956B16"/>
    <w:rsid w:val="00956E3F"/>
    <w:rsid w:val="00956F00"/>
    <w:rsid w:val="00956F4E"/>
    <w:rsid w:val="00957174"/>
    <w:rsid w:val="009572A8"/>
    <w:rsid w:val="009572C5"/>
    <w:rsid w:val="009574B6"/>
    <w:rsid w:val="00957818"/>
    <w:rsid w:val="009578D8"/>
    <w:rsid w:val="00957A97"/>
    <w:rsid w:val="00957B71"/>
    <w:rsid w:val="00957E55"/>
    <w:rsid w:val="00957F81"/>
    <w:rsid w:val="00960014"/>
    <w:rsid w:val="00960180"/>
    <w:rsid w:val="00960194"/>
    <w:rsid w:val="009602A4"/>
    <w:rsid w:val="00960300"/>
    <w:rsid w:val="00960308"/>
    <w:rsid w:val="0096041C"/>
    <w:rsid w:val="00960473"/>
    <w:rsid w:val="00960483"/>
    <w:rsid w:val="009604D2"/>
    <w:rsid w:val="009604F1"/>
    <w:rsid w:val="00960633"/>
    <w:rsid w:val="00960696"/>
    <w:rsid w:val="00960D35"/>
    <w:rsid w:val="00960D69"/>
    <w:rsid w:val="00961006"/>
    <w:rsid w:val="00961092"/>
    <w:rsid w:val="009610BF"/>
    <w:rsid w:val="0096123A"/>
    <w:rsid w:val="00961279"/>
    <w:rsid w:val="009613E5"/>
    <w:rsid w:val="00961443"/>
    <w:rsid w:val="009614B3"/>
    <w:rsid w:val="0096164C"/>
    <w:rsid w:val="009619F5"/>
    <w:rsid w:val="00961A51"/>
    <w:rsid w:val="00961B91"/>
    <w:rsid w:val="00961BB8"/>
    <w:rsid w:val="00961F50"/>
    <w:rsid w:val="00962284"/>
    <w:rsid w:val="00962306"/>
    <w:rsid w:val="0096233C"/>
    <w:rsid w:val="0096239F"/>
    <w:rsid w:val="00962435"/>
    <w:rsid w:val="00962549"/>
    <w:rsid w:val="00962593"/>
    <w:rsid w:val="0096261A"/>
    <w:rsid w:val="009627CC"/>
    <w:rsid w:val="009628BB"/>
    <w:rsid w:val="00962936"/>
    <w:rsid w:val="009629B0"/>
    <w:rsid w:val="00962A0A"/>
    <w:rsid w:val="00962B34"/>
    <w:rsid w:val="00962B51"/>
    <w:rsid w:val="00962B59"/>
    <w:rsid w:val="00962CAD"/>
    <w:rsid w:val="00962D56"/>
    <w:rsid w:val="00962DAE"/>
    <w:rsid w:val="009631CD"/>
    <w:rsid w:val="009631EA"/>
    <w:rsid w:val="00963478"/>
    <w:rsid w:val="0096376D"/>
    <w:rsid w:val="00963B1D"/>
    <w:rsid w:val="00963B54"/>
    <w:rsid w:val="00963B92"/>
    <w:rsid w:val="00963D80"/>
    <w:rsid w:val="00963DA0"/>
    <w:rsid w:val="00963DE9"/>
    <w:rsid w:val="00964024"/>
    <w:rsid w:val="009643D6"/>
    <w:rsid w:val="0096473F"/>
    <w:rsid w:val="0096476B"/>
    <w:rsid w:val="00964A22"/>
    <w:rsid w:val="00964A52"/>
    <w:rsid w:val="00964B41"/>
    <w:rsid w:val="00964CE9"/>
    <w:rsid w:val="00964D1C"/>
    <w:rsid w:val="00964DAC"/>
    <w:rsid w:val="0096522B"/>
    <w:rsid w:val="0096526F"/>
    <w:rsid w:val="00965293"/>
    <w:rsid w:val="0096532B"/>
    <w:rsid w:val="009653AF"/>
    <w:rsid w:val="009656B6"/>
    <w:rsid w:val="0096576A"/>
    <w:rsid w:val="0096595C"/>
    <w:rsid w:val="00965B6A"/>
    <w:rsid w:val="00965E0E"/>
    <w:rsid w:val="00965EC6"/>
    <w:rsid w:val="00966193"/>
    <w:rsid w:val="009663CD"/>
    <w:rsid w:val="00966550"/>
    <w:rsid w:val="00966603"/>
    <w:rsid w:val="009667AF"/>
    <w:rsid w:val="0096696D"/>
    <w:rsid w:val="009669E4"/>
    <w:rsid w:val="00966B27"/>
    <w:rsid w:val="00966C0E"/>
    <w:rsid w:val="00966D92"/>
    <w:rsid w:val="00966E37"/>
    <w:rsid w:val="00966FA3"/>
    <w:rsid w:val="009670A3"/>
    <w:rsid w:val="0096717E"/>
    <w:rsid w:val="009671C2"/>
    <w:rsid w:val="009671C4"/>
    <w:rsid w:val="00967295"/>
    <w:rsid w:val="009672D9"/>
    <w:rsid w:val="009675D8"/>
    <w:rsid w:val="009675E9"/>
    <w:rsid w:val="0096784F"/>
    <w:rsid w:val="0096791F"/>
    <w:rsid w:val="00967B4D"/>
    <w:rsid w:val="00967F09"/>
    <w:rsid w:val="0097005C"/>
    <w:rsid w:val="00970177"/>
    <w:rsid w:val="0097029D"/>
    <w:rsid w:val="009703C9"/>
    <w:rsid w:val="0097061C"/>
    <w:rsid w:val="00970643"/>
    <w:rsid w:val="00970AA6"/>
    <w:rsid w:val="00970E8A"/>
    <w:rsid w:val="009713B0"/>
    <w:rsid w:val="00971471"/>
    <w:rsid w:val="009715EC"/>
    <w:rsid w:val="009715F1"/>
    <w:rsid w:val="0097172B"/>
    <w:rsid w:val="009717E4"/>
    <w:rsid w:val="009717ED"/>
    <w:rsid w:val="00971803"/>
    <w:rsid w:val="00971931"/>
    <w:rsid w:val="00971B2B"/>
    <w:rsid w:val="00971B52"/>
    <w:rsid w:val="00971C8C"/>
    <w:rsid w:val="0097201B"/>
    <w:rsid w:val="00972114"/>
    <w:rsid w:val="009723B3"/>
    <w:rsid w:val="0097246C"/>
    <w:rsid w:val="0097252E"/>
    <w:rsid w:val="00972790"/>
    <w:rsid w:val="00972BA6"/>
    <w:rsid w:val="00972BCB"/>
    <w:rsid w:val="00972E97"/>
    <w:rsid w:val="00972FA4"/>
    <w:rsid w:val="00972FF3"/>
    <w:rsid w:val="00973486"/>
    <w:rsid w:val="009735EE"/>
    <w:rsid w:val="00973683"/>
    <w:rsid w:val="00973828"/>
    <w:rsid w:val="00973954"/>
    <w:rsid w:val="00973B63"/>
    <w:rsid w:val="00973BB2"/>
    <w:rsid w:val="00973DC4"/>
    <w:rsid w:val="00973FCE"/>
    <w:rsid w:val="0097411B"/>
    <w:rsid w:val="00974284"/>
    <w:rsid w:val="00974318"/>
    <w:rsid w:val="009743C4"/>
    <w:rsid w:val="009746D1"/>
    <w:rsid w:val="00974807"/>
    <w:rsid w:val="00974A3A"/>
    <w:rsid w:val="00974A93"/>
    <w:rsid w:val="00974C29"/>
    <w:rsid w:val="00974FF6"/>
    <w:rsid w:val="00975083"/>
    <w:rsid w:val="009753D6"/>
    <w:rsid w:val="009755C3"/>
    <w:rsid w:val="00975626"/>
    <w:rsid w:val="00975659"/>
    <w:rsid w:val="0097565D"/>
    <w:rsid w:val="00975748"/>
    <w:rsid w:val="0097593D"/>
    <w:rsid w:val="00975AA1"/>
    <w:rsid w:val="00975AF6"/>
    <w:rsid w:val="00975B94"/>
    <w:rsid w:val="00975BDF"/>
    <w:rsid w:val="00975E65"/>
    <w:rsid w:val="00975F02"/>
    <w:rsid w:val="009760A4"/>
    <w:rsid w:val="009765A4"/>
    <w:rsid w:val="009765D8"/>
    <w:rsid w:val="00976684"/>
    <w:rsid w:val="009766E2"/>
    <w:rsid w:val="00976817"/>
    <w:rsid w:val="00976920"/>
    <w:rsid w:val="00976A26"/>
    <w:rsid w:val="00976B93"/>
    <w:rsid w:val="00976BF1"/>
    <w:rsid w:val="00976CA6"/>
    <w:rsid w:val="00976D0C"/>
    <w:rsid w:val="00976D3A"/>
    <w:rsid w:val="00976F50"/>
    <w:rsid w:val="0097723C"/>
    <w:rsid w:val="00977246"/>
    <w:rsid w:val="009772C0"/>
    <w:rsid w:val="009773C6"/>
    <w:rsid w:val="0097741D"/>
    <w:rsid w:val="0097744C"/>
    <w:rsid w:val="00977699"/>
    <w:rsid w:val="009779EF"/>
    <w:rsid w:val="00977A32"/>
    <w:rsid w:val="00977A6F"/>
    <w:rsid w:val="00977A9F"/>
    <w:rsid w:val="00977BED"/>
    <w:rsid w:val="00977D60"/>
    <w:rsid w:val="00977EA2"/>
    <w:rsid w:val="00977F04"/>
    <w:rsid w:val="0098006D"/>
    <w:rsid w:val="009801A4"/>
    <w:rsid w:val="00980348"/>
    <w:rsid w:val="00980359"/>
    <w:rsid w:val="0098041D"/>
    <w:rsid w:val="0098046D"/>
    <w:rsid w:val="00980472"/>
    <w:rsid w:val="009807F9"/>
    <w:rsid w:val="00980809"/>
    <w:rsid w:val="009810F0"/>
    <w:rsid w:val="00981118"/>
    <w:rsid w:val="009814F0"/>
    <w:rsid w:val="00981563"/>
    <w:rsid w:val="009815ED"/>
    <w:rsid w:val="00981867"/>
    <w:rsid w:val="00981983"/>
    <w:rsid w:val="00981A86"/>
    <w:rsid w:val="00981CAA"/>
    <w:rsid w:val="00981CB5"/>
    <w:rsid w:val="00981D5B"/>
    <w:rsid w:val="0098213C"/>
    <w:rsid w:val="00982313"/>
    <w:rsid w:val="00982454"/>
    <w:rsid w:val="00982911"/>
    <w:rsid w:val="00982BAA"/>
    <w:rsid w:val="00982C45"/>
    <w:rsid w:val="00982D03"/>
    <w:rsid w:val="00982D59"/>
    <w:rsid w:val="00982DA0"/>
    <w:rsid w:val="00982DBB"/>
    <w:rsid w:val="0098304B"/>
    <w:rsid w:val="009831F8"/>
    <w:rsid w:val="009833D3"/>
    <w:rsid w:val="009834B5"/>
    <w:rsid w:val="00983506"/>
    <w:rsid w:val="009835C1"/>
    <w:rsid w:val="009835FB"/>
    <w:rsid w:val="00983957"/>
    <w:rsid w:val="009839E1"/>
    <w:rsid w:val="00983B7F"/>
    <w:rsid w:val="00983B86"/>
    <w:rsid w:val="00983D27"/>
    <w:rsid w:val="00983ED3"/>
    <w:rsid w:val="00983F15"/>
    <w:rsid w:val="009840C4"/>
    <w:rsid w:val="009847FC"/>
    <w:rsid w:val="00984A3E"/>
    <w:rsid w:val="00984BAA"/>
    <w:rsid w:val="00984C96"/>
    <w:rsid w:val="00984DE0"/>
    <w:rsid w:val="00984FD3"/>
    <w:rsid w:val="009850A8"/>
    <w:rsid w:val="009853B1"/>
    <w:rsid w:val="00985421"/>
    <w:rsid w:val="00985529"/>
    <w:rsid w:val="009855AE"/>
    <w:rsid w:val="0098580B"/>
    <w:rsid w:val="00985936"/>
    <w:rsid w:val="00985994"/>
    <w:rsid w:val="00985BE3"/>
    <w:rsid w:val="00986341"/>
    <w:rsid w:val="0098654D"/>
    <w:rsid w:val="009866B1"/>
    <w:rsid w:val="0098678C"/>
    <w:rsid w:val="0098680D"/>
    <w:rsid w:val="00986907"/>
    <w:rsid w:val="00986921"/>
    <w:rsid w:val="009869E5"/>
    <w:rsid w:val="00986ABF"/>
    <w:rsid w:val="00986C3D"/>
    <w:rsid w:val="00986C54"/>
    <w:rsid w:val="00986C78"/>
    <w:rsid w:val="00986D0E"/>
    <w:rsid w:val="00986D57"/>
    <w:rsid w:val="00986EC1"/>
    <w:rsid w:val="009872C2"/>
    <w:rsid w:val="00987382"/>
    <w:rsid w:val="00987462"/>
    <w:rsid w:val="00987471"/>
    <w:rsid w:val="009876E7"/>
    <w:rsid w:val="009878C7"/>
    <w:rsid w:val="00987A00"/>
    <w:rsid w:val="00987F37"/>
    <w:rsid w:val="009903B9"/>
    <w:rsid w:val="00990568"/>
    <w:rsid w:val="00990A0D"/>
    <w:rsid w:val="00990B5A"/>
    <w:rsid w:val="00990C34"/>
    <w:rsid w:val="00990D25"/>
    <w:rsid w:val="00990D34"/>
    <w:rsid w:val="00990D4B"/>
    <w:rsid w:val="00991565"/>
    <w:rsid w:val="009915EE"/>
    <w:rsid w:val="00991644"/>
    <w:rsid w:val="00991675"/>
    <w:rsid w:val="0099206F"/>
    <w:rsid w:val="009920A7"/>
    <w:rsid w:val="00992212"/>
    <w:rsid w:val="00992310"/>
    <w:rsid w:val="00992325"/>
    <w:rsid w:val="009923BD"/>
    <w:rsid w:val="00992726"/>
    <w:rsid w:val="00992749"/>
    <w:rsid w:val="0099290E"/>
    <w:rsid w:val="009929B6"/>
    <w:rsid w:val="00992A12"/>
    <w:rsid w:val="00992A28"/>
    <w:rsid w:val="00992C34"/>
    <w:rsid w:val="00992C4F"/>
    <w:rsid w:val="00992D3B"/>
    <w:rsid w:val="00992F82"/>
    <w:rsid w:val="009931ED"/>
    <w:rsid w:val="00993445"/>
    <w:rsid w:val="009935A2"/>
    <w:rsid w:val="0099367F"/>
    <w:rsid w:val="00993984"/>
    <w:rsid w:val="0099398B"/>
    <w:rsid w:val="00993AB1"/>
    <w:rsid w:val="00993C3A"/>
    <w:rsid w:val="00993F09"/>
    <w:rsid w:val="0099405B"/>
    <w:rsid w:val="00994129"/>
    <w:rsid w:val="0099430A"/>
    <w:rsid w:val="009943A1"/>
    <w:rsid w:val="009943E0"/>
    <w:rsid w:val="00994517"/>
    <w:rsid w:val="00994907"/>
    <w:rsid w:val="00994970"/>
    <w:rsid w:val="009949A3"/>
    <w:rsid w:val="00994A9A"/>
    <w:rsid w:val="00994C80"/>
    <w:rsid w:val="009950C2"/>
    <w:rsid w:val="009952E8"/>
    <w:rsid w:val="009953C8"/>
    <w:rsid w:val="00995507"/>
    <w:rsid w:val="00995526"/>
    <w:rsid w:val="009959F3"/>
    <w:rsid w:val="00995AC9"/>
    <w:rsid w:val="00995DC7"/>
    <w:rsid w:val="00996134"/>
    <w:rsid w:val="00996438"/>
    <w:rsid w:val="009965E6"/>
    <w:rsid w:val="00996641"/>
    <w:rsid w:val="009966DC"/>
    <w:rsid w:val="00996800"/>
    <w:rsid w:val="00996844"/>
    <w:rsid w:val="00996A49"/>
    <w:rsid w:val="00996BCE"/>
    <w:rsid w:val="00996E09"/>
    <w:rsid w:val="00996EF1"/>
    <w:rsid w:val="009971B6"/>
    <w:rsid w:val="009971CC"/>
    <w:rsid w:val="0099729D"/>
    <w:rsid w:val="009973D8"/>
    <w:rsid w:val="009974C9"/>
    <w:rsid w:val="0099759E"/>
    <w:rsid w:val="00997998"/>
    <w:rsid w:val="009979F9"/>
    <w:rsid w:val="00997B3A"/>
    <w:rsid w:val="00997D51"/>
    <w:rsid w:val="00997D8A"/>
    <w:rsid w:val="00997FA3"/>
    <w:rsid w:val="00997FCF"/>
    <w:rsid w:val="009A01CF"/>
    <w:rsid w:val="009A02A0"/>
    <w:rsid w:val="009A0635"/>
    <w:rsid w:val="009A069F"/>
    <w:rsid w:val="009A0988"/>
    <w:rsid w:val="009A0CF8"/>
    <w:rsid w:val="009A0D15"/>
    <w:rsid w:val="009A0D9A"/>
    <w:rsid w:val="009A0DFD"/>
    <w:rsid w:val="009A0FF6"/>
    <w:rsid w:val="009A1053"/>
    <w:rsid w:val="009A109F"/>
    <w:rsid w:val="009A10B2"/>
    <w:rsid w:val="009A120F"/>
    <w:rsid w:val="009A13D2"/>
    <w:rsid w:val="009A14F0"/>
    <w:rsid w:val="009A1530"/>
    <w:rsid w:val="009A16BA"/>
    <w:rsid w:val="009A1C72"/>
    <w:rsid w:val="009A1CB7"/>
    <w:rsid w:val="009A1D53"/>
    <w:rsid w:val="009A1D7A"/>
    <w:rsid w:val="009A1DB7"/>
    <w:rsid w:val="009A21E0"/>
    <w:rsid w:val="009A2601"/>
    <w:rsid w:val="009A26BA"/>
    <w:rsid w:val="009A26BE"/>
    <w:rsid w:val="009A26ED"/>
    <w:rsid w:val="009A2910"/>
    <w:rsid w:val="009A291A"/>
    <w:rsid w:val="009A2CE8"/>
    <w:rsid w:val="009A2F4D"/>
    <w:rsid w:val="009A304B"/>
    <w:rsid w:val="009A3194"/>
    <w:rsid w:val="009A323C"/>
    <w:rsid w:val="009A32E8"/>
    <w:rsid w:val="009A3414"/>
    <w:rsid w:val="009A3532"/>
    <w:rsid w:val="009A3652"/>
    <w:rsid w:val="009A38D7"/>
    <w:rsid w:val="009A3909"/>
    <w:rsid w:val="009A3948"/>
    <w:rsid w:val="009A3AE5"/>
    <w:rsid w:val="009A3E3F"/>
    <w:rsid w:val="009A3EF5"/>
    <w:rsid w:val="009A3FE2"/>
    <w:rsid w:val="009A4183"/>
    <w:rsid w:val="009A45A5"/>
    <w:rsid w:val="009A4686"/>
    <w:rsid w:val="009A4878"/>
    <w:rsid w:val="009A4C5D"/>
    <w:rsid w:val="009A4D6B"/>
    <w:rsid w:val="009A4EBE"/>
    <w:rsid w:val="009A501D"/>
    <w:rsid w:val="009A51BE"/>
    <w:rsid w:val="009A52F8"/>
    <w:rsid w:val="009A53E6"/>
    <w:rsid w:val="009A54D1"/>
    <w:rsid w:val="009A562B"/>
    <w:rsid w:val="009A58AC"/>
    <w:rsid w:val="009A5A05"/>
    <w:rsid w:val="009A5CF2"/>
    <w:rsid w:val="009A5D70"/>
    <w:rsid w:val="009A5F16"/>
    <w:rsid w:val="009A5FF4"/>
    <w:rsid w:val="009A6264"/>
    <w:rsid w:val="009A6481"/>
    <w:rsid w:val="009A65B0"/>
    <w:rsid w:val="009A6664"/>
    <w:rsid w:val="009A68D0"/>
    <w:rsid w:val="009A6A7F"/>
    <w:rsid w:val="009A6C45"/>
    <w:rsid w:val="009A7026"/>
    <w:rsid w:val="009A70E7"/>
    <w:rsid w:val="009A71D2"/>
    <w:rsid w:val="009A721D"/>
    <w:rsid w:val="009A76EE"/>
    <w:rsid w:val="009A7928"/>
    <w:rsid w:val="009A7B54"/>
    <w:rsid w:val="009A7BD9"/>
    <w:rsid w:val="009A7CB2"/>
    <w:rsid w:val="009A7FFD"/>
    <w:rsid w:val="009B014C"/>
    <w:rsid w:val="009B01BA"/>
    <w:rsid w:val="009B020D"/>
    <w:rsid w:val="009B0280"/>
    <w:rsid w:val="009B0604"/>
    <w:rsid w:val="009B08A1"/>
    <w:rsid w:val="009B08AE"/>
    <w:rsid w:val="009B09B5"/>
    <w:rsid w:val="009B0B0F"/>
    <w:rsid w:val="009B0B45"/>
    <w:rsid w:val="009B0BF5"/>
    <w:rsid w:val="009B0CB7"/>
    <w:rsid w:val="009B0CBD"/>
    <w:rsid w:val="009B0D2C"/>
    <w:rsid w:val="009B103B"/>
    <w:rsid w:val="009B117D"/>
    <w:rsid w:val="009B12B4"/>
    <w:rsid w:val="009B16CD"/>
    <w:rsid w:val="009B1808"/>
    <w:rsid w:val="009B1904"/>
    <w:rsid w:val="009B200F"/>
    <w:rsid w:val="009B20CB"/>
    <w:rsid w:val="009B2210"/>
    <w:rsid w:val="009B2399"/>
    <w:rsid w:val="009B27C7"/>
    <w:rsid w:val="009B2A2F"/>
    <w:rsid w:val="009B2B2B"/>
    <w:rsid w:val="009B2CA9"/>
    <w:rsid w:val="009B2E53"/>
    <w:rsid w:val="009B2EEE"/>
    <w:rsid w:val="009B3060"/>
    <w:rsid w:val="009B30EB"/>
    <w:rsid w:val="009B3100"/>
    <w:rsid w:val="009B31CB"/>
    <w:rsid w:val="009B3535"/>
    <w:rsid w:val="009B3668"/>
    <w:rsid w:val="009B37E5"/>
    <w:rsid w:val="009B39CE"/>
    <w:rsid w:val="009B3B7A"/>
    <w:rsid w:val="009B3BB1"/>
    <w:rsid w:val="009B3C40"/>
    <w:rsid w:val="009B3EA7"/>
    <w:rsid w:val="009B3FF7"/>
    <w:rsid w:val="009B4108"/>
    <w:rsid w:val="009B4430"/>
    <w:rsid w:val="009B44FF"/>
    <w:rsid w:val="009B46B6"/>
    <w:rsid w:val="009B47FF"/>
    <w:rsid w:val="009B4868"/>
    <w:rsid w:val="009B4DCA"/>
    <w:rsid w:val="009B4EF3"/>
    <w:rsid w:val="009B5035"/>
    <w:rsid w:val="009B51E9"/>
    <w:rsid w:val="009B5337"/>
    <w:rsid w:val="009B544F"/>
    <w:rsid w:val="009B54F0"/>
    <w:rsid w:val="009B552D"/>
    <w:rsid w:val="009B55E2"/>
    <w:rsid w:val="009B569B"/>
    <w:rsid w:val="009B571C"/>
    <w:rsid w:val="009B584B"/>
    <w:rsid w:val="009B58F5"/>
    <w:rsid w:val="009B5BEE"/>
    <w:rsid w:val="009B6002"/>
    <w:rsid w:val="009B6072"/>
    <w:rsid w:val="009B60E1"/>
    <w:rsid w:val="009B6680"/>
    <w:rsid w:val="009B6E88"/>
    <w:rsid w:val="009B6F5F"/>
    <w:rsid w:val="009B701C"/>
    <w:rsid w:val="009B72E2"/>
    <w:rsid w:val="009B7349"/>
    <w:rsid w:val="009B73C6"/>
    <w:rsid w:val="009B75A3"/>
    <w:rsid w:val="009B7A54"/>
    <w:rsid w:val="009B7AA7"/>
    <w:rsid w:val="009B7C3F"/>
    <w:rsid w:val="009B7CAE"/>
    <w:rsid w:val="009B7DDF"/>
    <w:rsid w:val="009B7FF7"/>
    <w:rsid w:val="009C00C3"/>
    <w:rsid w:val="009C01DB"/>
    <w:rsid w:val="009C04AE"/>
    <w:rsid w:val="009C0639"/>
    <w:rsid w:val="009C0720"/>
    <w:rsid w:val="009C0750"/>
    <w:rsid w:val="009C0841"/>
    <w:rsid w:val="009C0993"/>
    <w:rsid w:val="009C09B9"/>
    <w:rsid w:val="009C0AB8"/>
    <w:rsid w:val="009C0B5E"/>
    <w:rsid w:val="009C0E3F"/>
    <w:rsid w:val="009C107C"/>
    <w:rsid w:val="009C10BC"/>
    <w:rsid w:val="009C121A"/>
    <w:rsid w:val="009C13B1"/>
    <w:rsid w:val="009C1507"/>
    <w:rsid w:val="009C1546"/>
    <w:rsid w:val="009C163F"/>
    <w:rsid w:val="009C184D"/>
    <w:rsid w:val="009C1972"/>
    <w:rsid w:val="009C1999"/>
    <w:rsid w:val="009C1A10"/>
    <w:rsid w:val="009C1CD5"/>
    <w:rsid w:val="009C1E90"/>
    <w:rsid w:val="009C1EFA"/>
    <w:rsid w:val="009C1EFD"/>
    <w:rsid w:val="009C1FF4"/>
    <w:rsid w:val="009C20CD"/>
    <w:rsid w:val="009C213E"/>
    <w:rsid w:val="009C22AA"/>
    <w:rsid w:val="009C2345"/>
    <w:rsid w:val="009C25B8"/>
    <w:rsid w:val="009C28B6"/>
    <w:rsid w:val="009C2949"/>
    <w:rsid w:val="009C2A06"/>
    <w:rsid w:val="009C2F34"/>
    <w:rsid w:val="009C2FD3"/>
    <w:rsid w:val="009C315C"/>
    <w:rsid w:val="009C3189"/>
    <w:rsid w:val="009C32B3"/>
    <w:rsid w:val="009C330D"/>
    <w:rsid w:val="009C335D"/>
    <w:rsid w:val="009C33C2"/>
    <w:rsid w:val="009C38D7"/>
    <w:rsid w:val="009C39CE"/>
    <w:rsid w:val="009C402D"/>
    <w:rsid w:val="009C40AF"/>
    <w:rsid w:val="009C412B"/>
    <w:rsid w:val="009C4234"/>
    <w:rsid w:val="009C46CC"/>
    <w:rsid w:val="009C4832"/>
    <w:rsid w:val="009C485D"/>
    <w:rsid w:val="009C49ED"/>
    <w:rsid w:val="009C4B9E"/>
    <w:rsid w:val="009C4C04"/>
    <w:rsid w:val="009C4DD7"/>
    <w:rsid w:val="009C4EF1"/>
    <w:rsid w:val="009C52F5"/>
    <w:rsid w:val="009C531A"/>
    <w:rsid w:val="009C5561"/>
    <w:rsid w:val="009C562E"/>
    <w:rsid w:val="009C59DF"/>
    <w:rsid w:val="009C59FA"/>
    <w:rsid w:val="009C5B16"/>
    <w:rsid w:val="009C5B85"/>
    <w:rsid w:val="009C5C7B"/>
    <w:rsid w:val="009C5D84"/>
    <w:rsid w:val="009C602E"/>
    <w:rsid w:val="009C60B2"/>
    <w:rsid w:val="009C62E1"/>
    <w:rsid w:val="009C65FF"/>
    <w:rsid w:val="009C6670"/>
    <w:rsid w:val="009C66A6"/>
    <w:rsid w:val="009C6A39"/>
    <w:rsid w:val="009C6A7E"/>
    <w:rsid w:val="009C6B6A"/>
    <w:rsid w:val="009C6C3E"/>
    <w:rsid w:val="009C71E3"/>
    <w:rsid w:val="009C7342"/>
    <w:rsid w:val="009C7604"/>
    <w:rsid w:val="009C7683"/>
    <w:rsid w:val="009C76C1"/>
    <w:rsid w:val="009C771A"/>
    <w:rsid w:val="009C7761"/>
    <w:rsid w:val="009C7B30"/>
    <w:rsid w:val="009C7C1F"/>
    <w:rsid w:val="009C7D2E"/>
    <w:rsid w:val="009C7D8D"/>
    <w:rsid w:val="009C7E4F"/>
    <w:rsid w:val="009D0459"/>
    <w:rsid w:val="009D083C"/>
    <w:rsid w:val="009D08D7"/>
    <w:rsid w:val="009D0A30"/>
    <w:rsid w:val="009D0B91"/>
    <w:rsid w:val="009D0BE8"/>
    <w:rsid w:val="009D0D86"/>
    <w:rsid w:val="009D0DC6"/>
    <w:rsid w:val="009D0E8B"/>
    <w:rsid w:val="009D0E97"/>
    <w:rsid w:val="009D1286"/>
    <w:rsid w:val="009D1440"/>
    <w:rsid w:val="009D144A"/>
    <w:rsid w:val="009D155E"/>
    <w:rsid w:val="009D15C2"/>
    <w:rsid w:val="009D16E4"/>
    <w:rsid w:val="009D1714"/>
    <w:rsid w:val="009D17F3"/>
    <w:rsid w:val="009D1AD0"/>
    <w:rsid w:val="009D1B99"/>
    <w:rsid w:val="009D1C49"/>
    <w:rsid w:val="009D1C4B"/>
    <w:rsid w:val="009D1E40"/>
    <w:rsid w:val="009D1E9B"/>
    <w:rsid w:val="009D1EB3"/>
    <w:rsid w:val="009D20A2"/>
    <w:rsid w:val="009D2147"/>
    <w:rsid w:val="009D2457"/>
    <w:rsid w:val="009D2518"/>
    <w:rsid w:val="009D26EA"/>
    <w:rsid w:val="009D2AD3"/>
    <w:rsid w:val="009D2F67"/>
    <w:rsid w:val="009D3066"/>
    <w:rsid w:val="009D33BD"/>
    <w:rsid w:val="009D343D"/>
    <w:rsid w:val="009D3791"/>
    <w:rsid w:val="009D38A5"/>
    <w:rsid w:val="009D3971"/>
    <w:rsid w:val="009D3986"/>
    <w:rsid w:val="009D3C8A"/>
    <w:rsid w:val="009D406C"/>
    <w:rsid w:val="009D4082"/>
    <w:rsid w:val="009D40B8"/>
    <w:rsid w:val="009D4263"/>
    <w:rsid w:val="009D42DD"/>
    <w:rsid w:val="009D439E"/>
    <w:rsid w:val="009D4408"/>
    <w:rsid w:val="009D4694"/>
    <w:rsid w:val="009D4699"/>
    <w:rsid w:val="009D49C3"/>
    <w:rsid w:val="009D4B06"/>
    <w:rsid w:val="009D4B70"/>
    <w:rsid w:val="009D4B79"/>
    <w:rsid w:val="009D4CEB"/>
    <w:rsid w:val="009D4D8E"/>
    <w:rsid w:val="009D5129"/>
    <w:rsid w:val="009D588F"/>
    <w:rsid w:val="009D59F0"/>
    <w:rsid w:val="009D5AB3"/>
    <w:rsid w:val="009D5B4E"/>
    <w:rsid w:val="009D5DF8"/>
    <w:rsid w:val="009D602C"/>
    <w:rsid w:val="009D61E0"/>
    <w:rsid w:val="009D6450"/>
    <w:rsid w:val="009D661E"/>
    <w:rsid w:val="009D6E90"/>
    <w:rsid w:val="009D6EB7"/>
    <w:rsid w:val="009D6EF4"/>
    <w:rsid w:val="009D7042"/>
    <w:rsid w:val="009D70BE"/>
    <w:rsid w:val="009D711B"/>
    <w:rsid w:val="009D79D6"/>
    <w:rsid w:val="009D7A00"/>
    <w:rsid w:val="009D7F85"/>
    <w:rsid w:val="009D7FDF"/>
    <w:rsid w:val="009E0044"/>
    <w:rsid w:val="009E012A"/>
    <w:rsid w:val="009E01FF"/>
    <w:rsid w:val="009E0559"/>
    <w:rsid w:val="009E0727"/>
    <w:rsid w:val="009E0936"/>
    <w:rsid w:val="009E0A2B"/>
    <w:rsid w:val="009E0AD6"/>
    <w:rsid w:val="009E0BB6"/>
    <w:rsid w:val="009E0DA4"/>
    <w:rsid w:val="009E0E57"/>
    <w:rsid w:val="009E0E7A"/>
    <w:rsid w:val="009E0F41"/>
    <w:rsid w:val="009E1081"/>
    <w:rsid w:val="009E1146"/>
    <w:rsid w:val="009E120F"/>
    <w:rsid w:val="009E1396"/>
    <w:rsid w:val="009E13FC"/>
    <w:rsid w:val="009E1410"/>
    <w:rsid w:val="009E15EA"/>
    <w:rsid w:val="009E1631"/>
    <w:rsid w:val="009E1A7E"/>
    <w:rsid w:val="009E1AAC"/>
    <w:rsid w:val="009E1B44"/>
    <w:rsid w:val="009E1B4D"/>
    <w:rsid w:val="009E1D20"/>
    <w:rsid w:val="009E1EA4"/>
    <w:rsid w:val="009E1F77"/>
    <w:rsid w:val="009E1FA1"/>
    <w:rsid w:val="009E1FDB"/>
    <w:rsid w:val="009E202D"/>
    <w:rsid w:val="009E2189"/>
    <w:rsid w:val="009E22FA"/>
    <w:rsid w:val="009E239D"/>
    <w:rsid w:val="009E2532"/>
    <w:rsid w:val="009E26D3"/>
    <w:rsid w:val="009E2BC2"/>
    <w:rsid w:val="009E2C75"/>
    <w:rsid w:val="009E2D15"/>
    <w:rsid w:val="009E2E73"/>
    <w:rsid w:val="009E2EA4"/>
    <w:rsid w:val="009E2FCD"/>
    <w:rsid w:val="009E3136"/>
    <w:rsid w:val="009E3196"/>
    <w:rsid w:val="009E31F3"/>
    <w:rsid w:val="009E3510"/>
    <w:rsid w:val="009E3516"/>
    <w:rsid w:val="009E3603"/>
    <w:rsid w:val="009E37EA"/>
    <w:rsid w:val="009E3AC0"/>
    <w:rsid w:val="009E3C3A"/>
    <w:rsid w:val="009E3D1C"/>
    <w:rsid w:val="009E4448"/>
    <w:rsid w:val="009E46B1"/>
    <w:rsid w:val="009E4AD4"/>
    <w:rsid w:val="009E4CEC"/>
    <w:rsid w:val="009E4CFB"/>
    <w:rsid w:val="009E4DF4"/>
    <w:rsid w:val="009E4EBB"/>
    <w:rsid w:val="009E51AB"/>
    <w:rsid w:val="009E535D"/>
    <w:rsid w:val="009E593F"/>
    <w:rsid w:val="009E5BAC"/>
    <w:rsid w:val="009E5E78"/>
    <w:rsid w:val="009E5F58"/>
    <w:rsid w:val="009E5FD3"/>
    <w:rsid w:val="009E60F0"/>
    <w:rsid w:val="009E621B"/>
    <w:rsid w:val="009E6349"/>
    <w:rsid w:val="009E63B7"/>
    <w:rsid w:val="009E646E"/>
    <w:rsid w:val="009E64A6"/>
    <w:rsid w:val="009E67CB"/>
    <w:rsid w:val="009E6B2A"/>
    <w:rsid w:val="009E6E05"/>
    <w:rsid w:val="009E6E31"/>
    <w:rsid w:val="009E7046"/>
    <w:rsid w:val="009E705E"/>
    <w:rsid w:val="009E70F3"/>
    <w:rsid w:val="009E740B"/>
    <w:rsid w:val="009E77D1"/>
    <w:rsid w:val="009E7AC0"/>
    <w:rsid w:val="009E7C18"/>
    <w:rsid w:val="009E7C90"/>
    <w:rsid w:val="009E7D86"/>
    <w:rsid w:val="009E7FD2"/>
    <w:rsid w:val="009F0065"/>
    <w:rsid w:val="009F053E"/>
    <w:rsid w:val="009F0864"/>
    <w:rsid w:val="009F095D"/>
    <w:rsid w:val="009F09E0"/>
    <w:rsid w:val="009F0B6E"/>
    <w:rsid w:val="009F0BA4"/>
    <w:rsid w:val="009F0C96"/>
    <w:rsid w:val="009F0DBB"/>
    <w:rsid w:val="009F0E84"/>
    <w:rsid w:val="009F0F3D"/>
    <w:rsid w:val="009F1162"/>
    <w:rsid w:val="009F1378"/>
    <w:rsid w:val="009F1662"/>
    <w:rsid w:val="009F16E8"/>
    <w:rsid w:val="009F170C"/>
    <w:rsid w:val="009F19AC"/>
    <w:rsid w:val="009F1A27"/>
    <w:rsid w:val="009F1AE8"/>
    <w:rsid w:val="009F1E7E"/>
    <w:rsid w:val="009F1EE2"/>
    <w:rsid w:val="009F1F19"/>
    <w:rsid w:val="009F2154"/>
    <w:rsid w:val="009F22FA"/>
    <w:rsid w:val="009F2684"/>
    <w:rsid w:val="009F2736"/>
    <w:rsid w:val="009F2786"/>
    <w:rsid w:val="009F2C94"/>
    <w:rsid w:val="009F2D99"/>
    <w:rsid w:val="009F2E27"/>
    <w:rsid w:val="009F2FC4"/>
    <w:rsid w:val="009F31FA"/>
    <w:rsid w:val="009F328B"/>
    <w:rsid w:val="009F32C2"/>
    <w:rsid w:val="009F3522"/>
    <w:rsid w:val="009F36B6"/>
    <w:rsid w:val="009F3B02"/>
    <w:rsid w:val="009F3F6A"/>
    <w:rsid w:val="009F40CD"/>
    <w:rsid w:val="009F41DF"/>
    <w:rsid w:val="009F4290"/>
    <w:rsid w:val="009F458F"/>
    <w:rsid w:val="009F460A"/>
    <w:rsid w:val="009F47F0"/>
    <w:rsid w:val="009F47F2"/>
    <w:rsid w:val="009F4AC0"/>
    <w:rsid w:val="009F4D53"/>
    <w:rsid w:val="009F4E1D"/>
    <w:rsid w:val="009F4F49"/>
    <w:rsid w:val="009F51FF"/>
    <w:rsid w:val="009F52BE"/>
    <w:rsid w:val="009F55E0"/>
    <w:rsid w:val="009F570D"/>
    <w:rsid w:val="009F579B"/>
    <w:rsid w:val="009F59ED"/>
    <w:rsid w:val="009F5AD2"/>
    <w:rsid w:val="009F5DEC"/>
    <w:rsid w:val="009F5E5B"/>
    <w:rsid w:val="009F5EFF"/>
    <w:rsid w:val="009F6544"/>
    <w:rsid w:val="009F66AB"/>
    <w:rsid w:val="009F66EC"/>
    <w:rsid w:val="009F66F9"/>
    <w:rsid w:val="009F687D"/>
    <w:rsid w:val="009F698C"/>
    <w:rsid w:val="009F6C98"/>
    <w:rsid w:val="009F6DDC"/>
    <w:rsid w:val="009F6E69"/>
    <w:rsid w:val="009F71CA"/>
    <w:rsid w:val="009F7280"/>
    <w:rsid w:val="009F72E3"/>
    <w:rsid w:val="009F73D5"/>
    <w:rsid w:val="009F73D8"/>
    <w:rsid w:val="009F7836"/>
    <w:rsid w:val="009F790C"/>
    <w:rsid w:val="009F7E0F"/>
    <w:rsid w:val="00A000D3"/>
    <w:rsid w:val="00A00212"/>
    <w:rsid w:val="00A0024D"/>
    <w:rsid w:val="00A00314"/>
    <w:rsid w:val="00A0045F"/>
    <w:rsid w:val="00A00610"/>
    <w:rsid w:val="00A00792"/>
    <w:rsid w:val="00A00798"/>
    <w:rsid w:val="00A008DC"/>
    <w:rsid w:val="00A009E7"/>
    <w:rsid w:val="00A00A8A"/>
    <w:rsid w:val="00A00C86"/>
    <w:rsid w:val="00A0117E"/>
    <w:rsid w:val="00A013F0"/>
    <w:rsid w:val="00A01483"/>
    <w:rsid w:val="00A014AE"/>
    <w:rsid w:val="00A0151A"/>
    <w:rsid w:val="00A016F1"/>
    <w:rsid w:val="00A019FC"/>
    <w:rsid w:val="00A01BCD"/>
    <w:rsid w:val="00A01F89"/>
    <w:rsid w:val="00A01F94"/>
    <w:rsid w:val="00A023A2"/>
    <w:rsid w:val="00A02454"/>
    <w:rsid w:val="00A02854"/>
    <w:rsid w:val="00A029D5"/>
    <w:rsid w:val="00A029DE"/>
    <w:rsid w:val="00A02EBC"/>
    <w:rsid w:val="00A02F2C"/>
    <w:rsid w:val="00A02F8A"/>
    <w:rsid w:val="00A02FE5"/>
    <w:rsid w:val="00A03298"/>
    <w:rsid w:val="00A0345E"/>
    <w:rsid w:val="00A035A8"/>
    <w:rsid w:val="00A035E9"/>
    <w:rsid w:val="00A03622"/>
    <w:rsid w:val="00A03632"/>
    <w:rsid w:val="00A03849"/>
    <w:rsid w:val="00A03A41"/>
    <w:rsid w:val="00A03BAD"/>
    <w:rsid w:val="00A03C6C"/>
    <w:rsid w:val="00A040AC"/>
    <w:rsid w:val="00A045EC"/>
    <w:rsid w:val="00A0477A"/>
    <w:rsid w:val="00A04871"/>
    <w:rsid w:val="00A048C0"/>
    <w:rsid w:val="00A048D2"/>
    <w:rsid w:val="00A04DA9"/>
    <w:rsid w:val="00A04E8A"/>
    <w:rsid w:val="00A05299"/>
    <w:rsid w:val="00A05382"/>
    <w:rsid w:val="00A05391"/>
    <w:rsid w:val="00A054EA"/>
    <w:rsid w:val="00A0581E"/>
    <w:rsid w:val="00A05AB0"/>
    <w:rsid w:val="00A05B99"/>
    <w:rsid w:val="00A05F4E"/>
    <w:rsid w:val="00A062A2"/>
    <w:rsid w:val="00A062AB"/>
    <w:rsid w:val="00A06482"/>
    <w:rsid w:val="00A06542"/>
    <w:rsid w:val="00A06918"/>
    <w:rsid w:val="00A06A3E"/>
    <w:rsid w:val="00A06BA1"/>
    <w:rsid w:val="00A06C84"/>
    <w:rsid w:val="00A06D6F"/>
    <w:rsid w:val="00A06DFB"/>
    <w:rsid w:val="00A07247"/>
    <w:rsid w:val="00A072C2"/>
    <w:rsid w:val="00A07502"/>
    <w:rsid w:val="00A07525"/>
    <w:rsid w:val="00A077EF"/>
    <w:rsid w:val="00A07B6D"/>
    <w:rsid w:val="00A07C4E"/>
    <w:rsid w:val="00A07ECD"/>
    <w:rsid w:val="00A10333"/>
    <w:rsid w:val="00A10357"/>
    <w:rsid w:val="00A1048F"/>
    <w:rsid w:val="00A10618"/>
    <w:rsid w:val="00A107B1"/>
    <w:rsid w:val="00A107B4"/>
    <w:rsid w:val="00A109FD"/>
    <w:rsid w:val="00A10D13"/>
    <w:rsid w:val="00A10DF9"/>
    <w:rsid w:val="00A10EF6"/>
    <w:rsid w:val="00A10F29"/>
    <w:rsid w:val="00A111FB"/>
    <w:rsid w:val="00A11247"/>
    <w:rsid w:val="00A113C8"/>
    <w:rsid w:val="00A11430"/>
    <w:rsid w:val="00A1162A"/>
    <w:rsid w:val="00A1169A"/>
    <w:rsid w:val="00A11707"/>
    <w:rsid w:val="00A117A4"/>
    <w:rsid w:val="00A11830"/>
    <w:rsid w:val="00A11A16"/>
    <w:rsid w:val="00A11A8A"/>
    <w:rsid w:val="00A11CD2"/>
    <w:rsid w:val="00A11D4A"/>
    <w:rsid w:val="00A1220E"/>
    <w:rsid w:val="00A12336"/>
    <w:rsid w:val="00A12464"/>
    <w:rsid w:val="00A125EB"/>
    <w:rsid w:val="00A126FB"/>
    <w:rsid w:val="00A12764"/>
    <w:rsid w:val="00A12CC2"/>
    <w:rsid w:val="00A12F46"/>
    <w:rsid w:val="00A12FFD"/>
    <w:rsid w:val="00A13188"/>
    <w:rsid w:val="00A131FD"/>
    <w:rsid w:val="00A13277"/>
    <w:rsid w:val="00A13860"/>
    <w:rsid w:val="00A13956"/>
    <w:rsid w:val="00A1397D"/>
    <w:rsid w:val="00A1398A"/>
    <w:rsid w:val="00A13A7A"/>
    <w:rsid w:val="00A13BCE"/>
    <w:rsid w:val="00A13C15"/>
    <w:rsid w:val="00A13FE3"/>
    <w:rsid w:val="00A142F6"/>
    <w:rsid w:val="00A14529"/>
    <w:rsid w:val="00A14576"/>
    <w:rsid w:val="00A14805"/>
    <w:rsid w:val="00A149A3"/>
    <w:rsid w:val="00A149D2"/>
    <w:rsid w:val="00A14D0F"/>
    <w:rsid w:val="00A14D7A"/>
    <w:rsid w:val="00A14FA4"/>
    <w:rsid w:val="00A1501E"/>
    <w:rsid w:val="00A15380"/>
    <w:rsid w:val="00A155A7"/>
    <w:rsid w:val="00A158E7"/>
    <w:rsid w:val="00A15938"/>
    <w:rsid w:val="00A15A00"/>
    <w:rsid w:val="00A15A4F"/>
    <w:rsid w:val="00A15AC4"/>
    <w:rsid w:val="00A15C19"/>
    <w:rsid w:val="00A15D58"/>
    <w:rsid w:val="00A15D74"/>
    <w:rsid w:val="00A163C3"/>
    <w:rsid w:val="00A1669C"/>
    <w:rsid w:val="00A166A5"/>
    <w:rsid w:val="00A16AC5"/>
    <w:rsid w:val="00A16B36"/>
    <w:rsid w:val="00A16C23"/>
    <w:rsid w:val="00A16D36"/>
    <w:rsid w:val="00A16F6D"/>
    <w:rsid w:val="00A176DC"/>
    <w:rsid w:val="00A177D5"/>
    <w:rsid w:val="00A1792C"/>
    <w:rsid w:val="00A179FA"/>
    <w:rsid w:val="00A17AD8"/>
    <w:rsid w:val="00A17BCD"/>
    <w:rsid w:val="00A202DD"/>
    <w:rsid w:val="00A20355"/>
    <w:rsid w:val="00A20555"/>
    <w:rsid w:val="00A20B27"/>
    <w:rsid w:val="00A20C1C"/>
    <w:rsid w:val="00A20CB2"/>
    <w:rsid w:val="00A20D68"/>
    <w:rsid w:val="00A20EF3"/>
    <w:rsid w:val="00A21047"/>
    <w:rsid w:val="00A21073"/>
    <w:rsid w:val="00A21122"/>
    <w:rsid w:val="00A2126A"/>
    <w:rsid w:val="00A2135C"/>
    <w:rsid w:val="00A214C2"/>
    <w:rsid w:val="00A21950"/>
    <w:rsid w:val="00A21991"/>
    <w:rsid w:val="00A21B01"/>
    <w:rsid w:val="00A21CB9"/>
    <w:rsid w:val="00A21DAC"/>
    <w:rsid w:val="00A21E1E"/>
    <w:rsid w:val="00A21EFB"/>
    <w:rsid w:val="00A21F71"/>
    <w:rsid w:val="00A22072"/>
    <w:rsid w:val="00A2232E"/>
    <w:rsid w:val="00A224D0"/>
    <w:rsid w:val="00A2264F"/>
    <w:rsid w:val="00A22911"/>
    <w:rsid w:val="00A2298F"/>
    <w:rsid w:val="00A22BA5"/>
    <w:rsid w:val="00A22CA0"/>
    <w:rsid w:val="00A22D30"/>
    <w:rsid w:val="00A22D47"/>
    <w:rsid w:val="00A22DA7"/>
    <w:rsid w:val="00A23818"/>
    <w:rsid w:val="00A23A2D"/>
    <w:rsid w:val="00A23B06"/>
    <w:rsid w:val="00A23B0F"/>
    <w:rsid w:val="00A23CBF"/>
    <w:rsid w:val="00A23D41"/>
    <w:rsid w:val="00A23E3E"/>
    <w:rsid w:val="00A23E43"/>
    <w:rsid w:val="00A23F4B"/>
    <w:rsid w:val="00A241F9"/>
    <w:rsid w:val="00A244BD"/>
    <w:rsid w:val="00A246CC"/>
    <w:rsid w:val="00A24813"/>
    <w:rsid w:val="00A2490D"/>
    <w:rsid w:val="00A24981"/>
    <w:rsid w:val="00A24B72"/>
    <w:rsid w:val="00A24CCB"/>
    <w:rsid w:val="00A24CF6"/>
    <w:rsid w:val="00A24DA2"/>
    <w:rsid w:val="00A24E18"/>
    <w:rsid w:val="00A24EBA"/>
    <w:rsid w:val="00A24F4D"/>
    <w:rsid w:val="00A250A3"/>
    <w:rsid w:val="00A25334"/>
    <w:rsid w:val="00A256B4"/>
    <w:rsid w:val="00A2582C"/>
    <w:rsid w:val="00A2592F"/>
    <w:rsid w:val="00A25AD6"/>
    <w:rsid w:val="00A25F83"/>
    <w:rsid w:val="00A25F86"/>
    <w:rsid w:val="00A260CF"/>
    <w:rsid w:val="00A262D4"/>
    <w:rsid w:val="00A2645E"/>
    <w:rsid w:val="00A26483"/>
    <w:rsid w:val="00A264DB"/>
    <w:rsid w:val="00A265CD"/>
    <w:rsid w:val="00A266D1"/>
    <w:rsid w:val="00A267DD"/>
    <w:rsid w:val="00A269AC"/>
    <w:rsid w:val="00A26AB7"/>
    <w:rsid w:val="00A26CE3"/>
    <w:rsid w:val="00A26D0F"/>
    <w:rsid w:val="00A26D21"/>
    <w:rsid w:val="00A26DFA"/>
    <w:rsid w:val="00A27033"/>
    <w:rsid w:val="00A270A3"/>
    <w:rsid w:val="00A27102"/>
    <w:rsid w:val="00A274AC"/>
    <w:rsid w:val="00A274DB"/>
    <w:rsid w:val="00A275A0"/>
    <w:rsid w:val="00A27658"/>
    <w:rsid w:val="00A27737"/>
    <w:rsid w:val="00A27745"/>
    <w:rsid w:val="00A277D5"/>
    <w:rsid w:val="00A2790B"/>
    <w:rsid w:val="00A27CF9"/>
    <w:rsid w:val="00A27E84"/>
    <w:rsid w:val="00A30012"/>
    <w:rsid w:val="00A300E3"/>
    <w:rsid w:val="00A30169"/>
    <w:rsid w:val="00A30293"/>
    <w:rsid w:val="00A30397"/>
    <w:rsid w:val="00A308D8"/>
    <w:rsid w:val="00A30937"/>
    <w:rsid w:val="00A30A00"/>
    <w:rsid w:val="00A30CB2"/>
    <w:rsid w:val="00A30D9B"/>
    <w:rsid w:val="00A30F18"/>
    <w:rsid w:val="00A30FB9"/>
    <w:rsid w:val="00A312EF"/>
    <w:rsid w:val="00A313FA"/>
    <w:rsid w:val="00A314D8"/>
    <w:rsid w:val="00A31526"/>
    <w:rsid w:val="00A31844"/>
    <w:rsid w:val="00A31926"/>
    <w:rsid w:val="00A31CBA"/>
    <w:rsid w:val="00A31D3C"/>
    <w:rsid w:val="00A31E9E"/>
    <w:rsid w:val="00A322C2"/>
    <w:rsid w:val="00A32342"/>
    <w:rsid w:val="00A32456"/>
    <w:rsid w:val="00A3269D"/>
    <w:rsid w:val="00A326B8"/>
    <w:rsid w:val="00A329E9"/>
    <w:rsid w:val="00A32B28"/>
    <w:rsid w:val="00A32B42"/>
    <w:rsid w:val="00A32C35"/>
    <w:rsid w:val="00A32F3F"/>
    <w:rsid w:val="00A32F7B"/>
    <w:rsid w:val="00A3308C"/>
    <w:rsid w:val="00A330F1"/>
    <w:rsid w:val="00A332B5"/>
    <w:rsid w:val="00A33394"/>
    <w:rsid w:val="00A3340B"/>
    <w:rsid w:val="00A3359C"/>
    <w:rsid w:val="00A33653"/>
    <w:rsid w:val="00A33783"/>
    <w:rsid w:val="00A3392B"/>
    <w:rsid w:val="00A33AD6"/>
    <w:rsid w:val="00A33D81"/>
    <w:rsid w:val="00A340B9"/>
    <w:rsid w:val="00A340EC"/>
    <w:rsid w:val="00A344F9"/>
    <w:rsid w:val="00A34A27"/>
    <w:rsid w:val="00A34B6E"/>
    <w:rsid w:val="00A34C16"/>
    <w:rsid w:val="00A34C6F"/>
    <w:rsid w:val="00A34CDF"/>
    <w:rsid w:val="00A34E78"/>
    <w:rsid w:val="00A34E87"/>
    <w:rsid w:val="00A34E93"/>
    <w:rsid w:val="00A35128"/>
    <w:rsid w:val="00A351EC"/>
    <w:rsid w:val="00A353A6"/>
    <w:rsid w:val="00A353DF"/>
    <w:rsid w:val="00A354B6"/>
    <w:rsid w:val="00A3575D"/>
    <w:rsid w:val="00A35809"/>
    <w:rsid w:val="00A35930"/>
    <w:rsid w:val="00A35E9D"/>
    <w:rsid w:val="00A35F60"/>
    <w:rsid w:val="00A35F6A"/>
    <w:rsid w:val="00A360B6"/>
    <w:rsid w:val="00A36263"/>
    <w:rsid w:val="00A36352"/>
    <w:rsid w:val="00A36980"/>
    <w:rsid w:val="00A36B72"/>
    <w:rsid w:val="00A36CFB"/>
    <w:rsid w:val="00A36D90"/>
    <w:rsid w:val="00A36E10"/>
    <w:rsid w:val="00A3727C"/>
    <w:rsid w:val="00A37297"/>
    <w:rsid w:val="00A37492"/>
    <w:rsid w:val="00A375DE"/>
    <w:rsid w:val="00A376C1"/>
    <w:rsid w:val="00A37747"/>
    <w:rsid w:val="00A377BD"/>
    <w:rsid w:val="00A37897"/>
    <w:rsid w:val="00A378EB"/>
    <w:rsid w:val="00A3799D"/>
    <w:rsid w:val="00A37BFF"/>
    <w:rsid w:val="00A37C67"/>
    <w:rsid w:val="00A37F82"/>
    <w:rsid w:val="00A40067"/>
    <w:rsid w:val="00A40552"/>
    <w:rsid w:val="00A408AE"/>
    <w:rsid w:val="00A409F2"/>
    <w:rsid w:val="00A40B1D"/>
    <w:rsid w:val="00A40C21"/>
    <w:rsid w:val="00A40C28"/>
    <w:rsid w:val="00A4101B"/>
    <w:rsid w:val="00A411FE"/>
    <w:rsid w:val="00A4128B"/>
    <w:rsid w:val="00A41343"/>
    <w:rsid w:val="00A41FF7"/>
    <w:rsid w:val="00A4202B"/>
    <w:rsid w:val="00A42082"/>
    <w:rsid w:val="00A42472"/>
    <w:rsid w:val="00A4278E"/>
    <w:rsid w:val="00A42938"/>
    <w:rsid w:val="00A429EB"/>
    <w:rsid w:val="00A42AE8"/>
    <w:rsid w:val="00A42B1E"/>
    <w:rsid w:val="00A42BC1"/>
    <w:rsid w:val="00A43008"/>
    <w:rsid w:val="00A43613"/>
    <w:rsid w:val="00A4361C"/>
    <w:rsid w:val="00A43675"/>
    <w:rsid w:val="00A4397F"/>
    <w:rsid w:val="00A439A9"/>
    <w:rsid w:val="00A43ABE"/>
    <w:rsid w:val="00A43AC2"/>
    <w:rsid w:val="00A44368"/>
    <w:rsid w:val="00A44426"/>
    <w:rsid w:val="00A44431"/>
    <w:rsid w:val="00A444FC"/>
    <w:rsid w:val="00A44745"/>
    <w:rsid w:val="00A44892"/>
    <w:rsid w:val="00A448B6"/>
    <w:rsid w:val="00A44A23"/>
    <w:rsid w:val="00A44DC2"/>
    <w:rsid w:val="00A44DCF"/>
    <w:rsid w:val="00A44E32"/>
    <w:rsid w:val="00A44E8A"/>
    <w:rsid w:val="00A44F09"/>
    <w:rsid w:val="00A453B0"/>
    <w:rsid w:val="00A453B4"/>
    <w:rsid w:val="00A45669"/>
    <w:rsid w:val="00A45823"/>
    <w:rsid w:val="00A45B2C"/>
    <w:rsid w:val="00A45B93"/>
    <w:rsid w:val="00A462E5"/>
    <w:rsid w:val="00A465D3"/>
    <w:rsid w:val="00A4663E"/>
    <w:rsid w:val="00A468E2"/>
    <w:rsid w:val="00A46B2D"/>
    <w:rsid w:val="00A46B5F"/>
    <w:rsid w:val="00A46BFA"/>
    <w:rsid w:val="00A46C91"/>
    <w:rsid w:val="00A46F8B"/>
    <w:rsid w:val="00A4708A"/>
    <w:rsid w:val="00A47243"/>
    <w:rsid w:val="00A47314"/>
    <w:rsid w:val="00A47377"/>
    <w:rsid w:val="00A4763C"/>
    <w:rsid w:val="00A47A78"/>
    <w:rsid w:val="00A47CD7"/>
    <w:rsid w:val="00A47E7E"/>
    <w:rsid w:val="00A47EB0"/>
    <w:rsid w:val="00A47EE1"/>
    <w:rsid w:val="00A5025B"/>
    <w:rsid w:val="00A503ED"/>
    <w:rsid w:val="00A5040B"/>
    <w:rsid w:val="00A5052E"/>
    <w:rsid w:val="00A50539"/>
    <w:rsid w:val="00A505A4"/>
    <w:rsid w:val="00A505D9"/>
    <w:rsid w:val="00A507E3"/>
    <w:rsid w:val="00A50828"/>
    <w:rsid w:val="00A50B9F"/>
    <w:rsid w:val="00A50C75"/>
    <w:rsid w:val="00A50E3E"/>
    <w:rsid w:val="00A5113C"/>
    <w:rsid w:val="00A511FE"/>
    <w:rsid w:val="00A513AB"/>
    <w:rsid w:val="00A513ED"/>
    <w:rsid w:val="00A5146D"/>
    <w:rsid w:val="00A51518"/>
    <w:rsid w:val="00A51574"/>
    <w:rsid w:val="00A516F9"/>
    <w:rsid w:val="00A5170A"/>
    <w:rsid w:val="00A51834"/>
    <w:rsid w:val="00A5188C"/>
    <w:rsid w:val="00A51BFD"/>
    <w:rsid w:val="00A51D1D"/>
    <w:rsid w:val="00A51E06"/>
    <w:rsid w:val="00A51E7E"/>
    <w:rsid w:val="00A51FE4"/>
    <w:rsid w:val="00A52574"/>
    <w:rsid w:val="00A525CD"/>
    <w:rsid w:val="00A52630"/>
    <w:rsid w:val="00A526E9"/>
    <w:rsid w:val="00A52A10"/>
    <w:rsid w:val="00A52B2F"/>
    <w:rsid w:val="00A52B99"/>
    <w:rsid w:val="00A52C59"/>
    <w:rsid w:val="00A52C8A"/>
    <w:rsid w:val="00A52D97"/>
    <w:rsid w:val="00A52DA6"/>
    <w:rsid w:val="00A53159"/>
    <w:rsid w:val="00A531EC"/>
    <w:rsid w:val="00A532A7"/>
    <w:rsid w:val="00A533F0"/>
    <w:rsid w:val="00A53443"/>
    <w:rsid w:val="00A5349D"/>
    <w:rsid w:val="00A53503"/>
    <w:rsid w:val="00A53569"/>
    <w:rsid w:val="00A53792"/>
    <w:rsid w:val="00A537A2"/>
    <w:rsid w:val="00A537D5"/>
    <w:rsid w:val="00A53DDF"/>
    <w:rsid w:val="00A5409A"/>
    <w:rsid w:val="00A545D6"/>
    <w:rsid w:val="00A54603"/>
    <w:rsid w:val="00A54626"/>
    <w:rsid w:val="00A54630"/>
    <w:rsid w:val="00A5493F"/>
    <w:rsid w:val="00A549BF"/>
    <w:rsid w:val="00A54F89"/>
    <w:rsid w:val="00A54FB4"/>
    <w:rsid w:val="00A55289"/>
    <w:rsid w:val="00A553A7"/>
    <w:rsid w:val="00A55614"/>
    <w:rsid w:val="00A55813"/>
    <w:rsid w:val="00A558C9"/>
    <w:rsid w:val="00A55937"/>
    <w:rsid w:val="00A55A8F"/>
    <w:rsid w:val="00A55B95"/>
    <w:rsid w:val="00A55BAF"/>
    <w:rsid w:val="00A55C97"/>
    <w:rsid w:val="00A55D44"/>
    <w:rsid w:val="00A55D69"/>
    <w:rsid w:val="00A55E60"/>
    <w:rsid w:val="00A55EC1"/>
    <w:rsid w:val="00A55EEB"/>
    <w:rsid w:val="00A56275"/>
    <w:rsid w:val="00A562D9"/>
    <w:rsid w:val="00A56330"/>
    <w:rsid w:val="00A563C1"/>
    <w:rsid w:val="00A5644A"/>
    <w:rsid w:val="00A5665A"/>
    <w:rsid w:val="00A568A4"/>
    <w:rsid w:val="00A56952"/>
    <w:rsid w:val="00A57184"/>
    <w:rsid w:val="00A574FE"/>
    <w:rsid w:val="00A57561"/>
    <w:rsid w:val="00A576E0"/>
    <w:rsid w:val="00A57A45"/>
    <w:rsid w:val="00A57B9C"/>
    <w:rsid w:val="00A57BC9"/>
    <w:rsid w:val="00A57BD7"/>
    <w:rsid w:val="00A57C8F"/>
    <w:rsid w:val="00A57D8E"/>
    <w:rsid w:val="00A57ED9"/>
    <w:rsid w:val="00A57EDD"/>
    <w:rsid w:val="00A57F5B"/>
    <w:rsid w:val="00A601A6"/>
    <w:rsid w:val="00A602FA"/>
    <w:rsid w:val="00A60328"/>
    <w:rsid w:val="00A6036F"/>
    <w:rsid w:val="00A603A7"/>
    <w:rsid w:val="00A603F1"/>
    <w:rsid w:val="00A606B1"/>
    <w:rsid w:val="00A6164C"/>
    <w:rsid w:val="00A61717"/>
    <w:rsid w:val="00A617B1"/>
    <w:rsid w:val="00A61C50"/>
    <w:rsid w:val="00A61CA6"/>
    <w:rsid w:val="00A61CD4"/>
    <w:rsid w:val="00A61CE1"/>
    <w:rsid w:val="00A61D07"/>
    <w:rsid w:val="00A61F15"/>
    <w:rsid w:val="00A6204E"/>
    <w:rsid w:val="00A622DC"/>
    <w:rsid w:val="00A625B1"/>
    <w:rsid w:val="00A626DD"/>
    <w:rsid w:val="00A6278A"/>
    <w:rsid w:val="00A62A9A"/>
    <w:rsid w:val="00A62B89"/>
    <w:rsid w:val="00A62BFF"/>
    <w:rsid w:val="00A62E42"/>
    <w:rsid w:val="00A62F2A"/>
    <w:rsid w:val="00A62F4D"/>
    <w:rsid w:val="00A6303C"/>
    <w:rsid w:val="00A631E3"/>
    <w:rsid w:val="00A63228"/>
    <w:rsid w:val="00A6331C"/>
    <w:rsid w:val="00A6358E"/>
    <w:rsid w:val="00A6365E"/>
    <w:rsid w:val="00A637C2"/>
    <w:rsid w:val="00A63847"/>
    <w:rsid w:val="00A63AB3"/>
    <w:rsid w:val="00A63B17"/>
    <w:rsid w:val="00A63E74"/>
    <w:rsid w:val="00A63FEB"/>
    <w:rsid w:val="00A640A0"/>
    <w:rsid w:val="00A64141"/>
    <w:rsid w:val="00A64150"/>
    <w:rsid w:val="00A641FF"/>
    <w:rsid w:val="00A6420E"/>
    <w:rsid w:val="00A64297"/>
    <w:rsid w:val="00A64477"/>
    <w:rsid w:val="00A64649"/>
    <w:rsid w:val="00A647D8"/>
    <w:rsid w:val="00A647FA"/>
    <w:rsid w:val="00A64867"/>
    <w:rsid w:val="00A6496B"/>
    <w:rsid w:val="00A64B2A"/>
    <w:rsid w:val="00A64D0F"/>
    <w:rsid w:val="00A64D24"/>
    <w:rsid w:val="00A64EF4"/>
    <w:rsid w:val="00A650EC"/>
    <w:rsid w:val="00A65491"/>
    <w:rsid w:val="00A6549A"/>
    <w:rsid w:val="00A654C1"/>
    <w:rsid w:val="00A65532"/>
    <w:rsid w:val="00A658B8"/>
    <w:rsid w:val="00A65BD6"/>
    <w:rsid w:val="00A65D03"/>
    <w:rsid w:val="00A65E86"/>
    <w:rsid w:val="00A65FC9"/>
    <w:rsid w:val="00A66011"/>
    <w:rsid w:val="00A6622D"/>
    <w:rsid w:val="00A6644F"/>
    <w:rsid w:val="00A66568"/>
    <w:rsid w:val="00A66998"/>
    <w:rsid w:val="00A669EC"/>
    <w:rsid w:val="00A66A26"/>
    <w:rsid w:val="00A66AF8"/>
    <w:rsid w:val="00A66B3D"/>
    <w:rsid w:val="00A66B68"/>
    <w:rsid w:val="00A66BBB"/>
    <w:rsid w:val="00A66C7D"/>
    <w:rsid w:val="00A66D1C"/>
    <w:rsid w:val="00A66E4E"/>
    <w:rsid w:val="00A670A6"/>
    <w:rsid w:val="00A670A9"/>
    <w:rsid w:val="00A6717F"/>
    <w:rsid w:val="00A675AC"/>
    <w:rsid w:val="00A67706"/>
    <w:rsid w:val="00A67851"/>
    <w:rsid w:val="00A678D6"/>
    <w:rsid w:val="00A67A7E"/>
    <w:rsid w:val="00A67BC8"/>
    <w:rsid w:val="00A67D6D"/>
    <w:rsid w:val="00A67DD9"/>
    <w:rsid w:val="00A70135"/>
    <w:rsid w:val="00A7016D"/>
    <w:rsid w:val="00A704FE"/>
    <w:rsid w:val="00A70565"/>
    <w:rsid w:val="00A706A5"/>
    <w:rsid w:val="00A707E1"/>
    <w:rsid w:val="00A709CE"/>
    <w:rsid w:val="00A70A6F"/>
    <w:rsid w:val="00A70AC3"/>
    <w:rsid w:val="00A70AE1"/>
    <w:rsid w:val="00A70C3B"/>
    <w:rsid w:val="00A70C5C"/>
    <w:rsid w:val="00A70F73"/>
    <w:rsid w:val="00A71460"/>
    <w:rsid w:val="00A71472"/>
    <w:rsid w:val="00A714B2"/>
    <w:rsid w:val="00A715D7"/>
    <w:rsid w:val="00A7172B"/>
    <w:rsid w:val="00A717B2"/>
    <w:rsid w:val="00A71845"/>
    <w:rsid w:val="00A71873"/>
    <w:rsid w:val="00A7196D"/>
    <w:rsid w:val="00A71B96"/>
    <w:rsid w:val="00A71BB8"/>
    <w:rsid w:val="00A71D93"/>
    <w:rsid w:val="00A71FE3"/>
    <w:rsid w:val="00A721AF"/>
    <w:rsid w:val="00A7226B"/>
    <w:rsid w:val="00A724CC"/>
    <w:rsid w:val="00A725AF"/>
    <w:rsid w:val="00A7274F"/>
    <w:rsid w:val="00A727A7"/>
    <w:rsid w:val="00A727ED"/>
    <w:rsid w:val="00A72902"/>
    <w:rsid w:val="00A729FE"/>
    <w:rsid w:val="00A72DBE"/>
    <w:rsid w:val="00A72F71"/>
    <w:rsid w:val="00A730DE"/>
    <w:rsid w:val="00A737AD"/>
    <w:rsid w:val="00A73AE0"/>
    <w:rsid w:val="00A73FDA"/>
    <w:rsid w:val="00A7402A"/>
    <w:rsid w:val="00A74041"/>
    <w:rsid w:val="00A740EA"/>
    <w:rsid w:val="00A742EA"/>
    <w:rsid w:val="00A7461F"/>
    <w:rsid w:val="00A74977"/>
    <w:rsid w:val="00A74BA9"/>
    <w:rsid w:val="00A74C6C"/>
    <w:rsid w:val="00A74F34"/>
    <w:rsid w:val="00A75257"/>
    <w:rsid w:val="00A7541E"/>
    <w:rsid w:val="00A754D9"/>
    <w:rsid w:val="00A758B4"/>
    <w:rsid w:val="00A75DB3"/>
    <w:rsid w:val="00A75E3C"/>
    <w:rsid w:val="00A765EF"/>
    <w:rsid w:val="00A768E9"/>
    <w:rsid w:val="00A76B15"/>
    <w:rsid w:val="00A76C16"/>
    <w:rsid w:val="00A76CDC"/>
    <w:rsid w:val="00A76D71"/>
    <w:rsid w:val="00A76F62"/>
    <w:rsid w:val="00A77023"/>
    <w:rsid w:val="00A77200"/>
    <w:rsid w:val="00A77284"/>
    <w:rsid w:val="00A774D5"/>
    <w:rsid w:val="00A7794F"/>
    <w:rsid w:val="00A779AB"/>
    <w:rsid w:val="00A77A60"/>
    <w:rsid w:val="00A77B12"/>
    <w:rsid w:val="00A77C78"/>
    <w:rsid w:val="00A77F67"/>
    <w:rsid w:val="00A8024C"/>
    <w:rsid w:val="00A803CC"/>
    <w:rsid w:val="00A80450"/>
    <w:rsid w:val="00A80469"/>
    <w:rsid w:val="00A805A4"/>
    <w:rsid w:val="00A80620"/>
    <w:rsid w:val="00A80687"/>
    <w:rsid w:val="00A806CC"/>
    <w:rsid w:val="00A807C9"/>
    <w:rsid w:val="00A80AEA"/>
    <w:rsid w:val="00A80B86"/>
    <w:rsid w:val="00A80D4A"/>
    <w:rsid w:val="00A80DCB"/>
    <w:rsid w:val="00A80F1A"/>
    <w:rsid w:val="00A8128B"/>
    <w:rsid w:val="00A8143C"/>
    <w:rsid w:val="00A815F1"/>
    <w:rsid w:val="00A81839"/>
    <w:rsid w:val="00A818E2"/>
    <w:rsid w:val="00A8190F"/>
    <w:rsid w:val="00A81972"/>
    <w:rsid w:val="00A81B07"/>
    <w:rsid w:val="00A81F48"/>
    <w:rsid w:val="00A826F7"/>
    <w:rsid w:val="00A82A3B"/>
    <w:rsid w:val="00A82CFD"/>
    <w:rsid w:val="00A82E64"/>
    <w:rsid w:val="00A83678"/>
    <w:rsid w:val="00A83981"/>
    <w:rsid w:val="00A83D4F"/>
    <w:rsid w:val="00A8419F"/>
    <w:rsid w:val="00A842D8"/>
    <w:rsid w:val="00A84387"/>
    <w:rsid w:val="00A8450E"/>
    <w:rsid w:val="00A8491C"/>
    <w:rsid w:val="00A84B40"/>
    <w:rsid w:val="00A84C07"/>
    <w:rsid w:val="00A84C92"/>
    <w:rsid w:val="00A84EC9"/>
    <w:rsid w:val="00A84ED1"/>
    <w:rsid w:val="00A85095"/>
    <w:rsid w:val="00A853BA"/>
    <w:rsid w:val="00A854D7"/>
    <w:rsid w:val="00A85607"/>
    <w:rsid w:val="00A8575B"/>
    <w:rsid w:val="00A857F4"/>
    <w:rsid w:val="00A8598D"/>
    <w:rsid w:val="00A859C0"/>
    <w:rsid w:val="00A859D4"/>
    <w:rsid w:val="00A85A1D"/>
    <w:rsid w:val="00A85D6B"/>
    <w:rsid w:val="00A85E83"/>
    <w:rsid w:val="00A86097"/>
    <w:rsid w:val="00A86101"/>
    <w:rsid w:val="00A862B5"/>
    <w:rsid w:val="00A865F3"/>
    <w:rsid w:val="00A86819"/>
    <w:rsid w:val="00A86C7E"/>
    <w:rsid w:val="00A86D7C"/>
    <w:rsid w:val="00A86E87"/>
    <w:rsid w:val="00A86F06"/>
    <w:rsid w:val="00A87045"/>
    <w:rsid w:val="00A870B9"/>
    <w:rsid w:val="00A8736A"/>
    <w:rsid w:val="00A87437"/>
    <w:rsid w:val="00A87635"/>
    <w:rsid w:val="00A87658"/>
    <w:rsid w:val="00A8773E"/>
    <w:rsid w:val="00A877D2"/>
    <w:rsid w:val="00A87B35"/>
    <w:rsid w:val="00A87E91"/>
    <w:rsid w:val="00A87EF5"/>
    <w:rsid w:val="00A90213"/>
    <w:rsid w:val="00A903D9"/>
    <w:rsid w:val="00A90422"/>
    <w:rsid w:val="00A90484"/>
    <w:rsid w:val="00A90509"/>
    <w:rsid w:val="00A9050F"/>
    <w:rsid w:val="00A90586"/>
    <w:rsid w:val="00A906F9"/>
    <w:rsid w:val="00A9081E"/>
    <w:rsid w:val="00A90909"/>
    <w:rsid w:val="00A90918"/>
    <w:rsid w:val="00A90973"/>
    <w:rsid w:val="00A90995"/>
    <w:rsid w:val="00A90A97"/>
    <w:rsid w:val="00A90B31"/>
    <w:rsid w:val="00A90C98"/>
    <w:rsid w:val="00A90E6C"/>
    <w:rsid w:val="00A90F96"/>
    <w:rsid w:val="00A91008"/>
    <w:rsid w:val="00A9103D"/>
    <w:rsid w:val="00A910B7"/>
    <w:rsid w:val="00A910CF"/>
    <w:rsid w:val="00A910FB"/>
    <w:rsid w:val="00A91147"/>
    <w:rsid w:val="00A913EB"/>
    <w:rsid w:val="00A9141B"/>
    <w:rsid w:val="00A9146B"/>
    <w:rsid w:val="00A9155D"/>
    <w:rsid w:val="00A91811"/>
    <w:rsid w:val="00A918B1"/>
    <w:rsid w:val="00A9190C"/>
    <w:rsid w:val="00A91984"/>
    <w:rsid w:val="00A91AFA"/>
    <w:rsid w:val="00A91C6F"/>
    <w:rsid w:val="00A91C75"/>
    <w:rsid w:val="00A91DD7"/>
    <w:rsid w:val="00A91E38"/>
    <w:rsid w:val="00A91E8F"/>
    <w:rsid w:val="00A91F2D"/>
    <w:rsid w:val="00A92287"/>
    <w:rsid w:val="00A922F1"/>
    <w:rsid w:val="00A925B1"/>
    <w:rsid w:val="00A92632"/>
    <w:rsid w:val="00A92737"/>
    <w:rsid w:val="00A928C0"/>
    <w:rsid w:val="00A928DC"/>
    <w:rsid w:val="00A929EF"/>
    <w:rsid w:val="00A929FE"/>
    <w:rsid w:val="00A92A17"/>
    <w:rsid w:val="00A92A5A"/>
    <w:rsid w:val="00A92A88"/>
    <w:rsid w:val="00A92C46"/>
    <w:rsid w:val="00A92C5F"/>
    <w:rsid w:val="00A92C6C"/>
    <w:rsid w:val="00A92F5E"/>
    <w:rsid w:val="00A92FC6"/>
    <w:rsid w:val="00A93205"/>
    <w:rsid w:val="00A93244"/>
    <w:rsid w:val="00A933CE"/>
    <w:rsid w:val="00A934BE"/>
    <w:rsid w:val="00A935E9"/>
    <w:rsid w:val="00A935FB"/>
    <w:rsid w:val="00A93643"/>
    <w:rsid w:val="00A936ED"/>
    <w:rsid w:val="00A937B0"/>
    <w:rsid w:val="00A938CA"/>
    <w:rsid w:val="00A93971"/>
    <w:rsid w:val="00A93AEE"/>
    <w:rsid w:val="00A93C7F"/>
    <w:rsid w:val="00A93D35"/>
    <w:rsid w:val="00A93EF1"/>
    <w:rsid w:val="00A9409F"/>
    <w:rsid w:val="00A94126"/>
    <w:rsid w:val="00A94441"/>
    <w:rsid w:val="00A9449D"/>
    <w:rsid w:val="00A945A8"/>
    <w:rsid w:val="00A9461E"/>
    <w:rsid w:val="00A947AE"/>
    <w:rsid w:val="00A94890"/>
    <w:rsid w:val="00A94AC3"/>
    <w:rsid w:val="00A94AEA"/>
    <w:rsid w:val="00A94B9A"/>
    <w:rsid w:val="00A94C22"/>
    <w:rsid w:val="00A94DBB"/>
    <w:rsid w:val="00A94F79"/>
    <w:rsid w:val="00A951A9"/>
    <w:rsid w:val="00A95341"/>
    <w:rsid w:val="00A9542E"/>
    <w:rsid w:val="00A95485"/>
    <w:rsid w:val="00A954D0"/>
    <w:rsid w:val="00A9567F"/>
    <w:rsid w:val="00A956A7"/>
    <w:rsid w:val="00A956AE"/>
    <w:rsid w:val="00A9573E"/>
    <w:rsid w:val="00A9588A"/>
    <w:rsid w:val="00A95915"/>
    <w:rsid w:val="00A95A5A"/>
    <w:rsid w:val="00A95AFE"/>
    <w:rsid w:val="00A95B75"/>
    <w:rsid w:val="00A95B91"/>
    <w:rsid w:val="00A95EDC"/>
    <w:rsid w:val="00A95F6F"/>
    <w:rsid w:val="00A95FCE"/>
    <w:rsid w:val="00A96197"/>
    <w:rsid w:val="00A9637E"/>
    <w:rsid w:val="00A96452"/>
    <w:rsid w:val="00A966D9"/>
    <w:rsid w:val="00A96752"/>
    <w:rsid w:val="00A9678F"/>
    <w:rsid w:val="00A96C09"/>
    <w:rsid w:val="00A96CBE"/>
    <w:rsid w:val="00A96D90"/>
    <w:rsid w:val="00A96D9F"/>
    <w:rsid w:val="00A971A6"/>
    <w:rsid w:val="00A971AE"/>
    <w:rsid w:val="00A9735A"/>
    <w:rsid w:val="00A9747E"/>
    <w:rsid w:val="00A974AB"/>
    <w:rsid w:val="00A97688"/>
    <w:rsid w:val="00A97849"/>
    <w:rsid w:val="00A97AF3"/>
    <w:rsid w:val="00A97B96"/>
    <w:rsid w:val="00A97C04"/>
    <w:rsid w:val="00AA0012"/>
    <w:rsid w:val="00AA002D"/>
    <w:rsid w:val="00AA0115"/>
    <w:rsid w:val="00AA05D6"/>
    <w:rsid w:val="00AA0C9B"/>
    <w:rsid w:val="00AA0D72"/>
    <w:rsid w:val="00AA0DBE"/>
    <w:rsid w:val="00AA0FE2"/>
    <w:rsid w:val="00AA11C1"/>
    <w:rsid w:val="00AA120C"/>
    <w:rsid w:val="00AA12B1"/>
    <w:rsid w:val="00AA1317"/>
    <w:rsid w:val="00AA13DD"/>
    <w:rsid w:val="00AA170E"/>
    <w:rsid w:val="00AA193C"/>
    <w:rsid w:val="00AA1B6C"/>
    <w:rsid w:val="00AA1BE3"/>
    <w:rsid w:val="00AA1CE0"/>
    <w:rsid w:val="00AA1D43"/>
    <w:rsid w:val="00AA1F90"/>
    <w:rsid w:val="00AA213A"/>
    <w:rsid w:val="00AA248B"/>
    <w:rsid w:val="00AA250E"/>
    <w:rsid w:val="00AA26B9"/>
    <w:rsid w:val="00AA278F"/>
    <w:rsid w:val="00AA284A"/>
    <w:rsid w:val="00AA28BC"/>
    <w:rsid w:val="00AA28C6"/>
    <w:rsid w:val="00AA29F7"/>
    <w:rsid w:val="00AA3043"/>
    <w:rsid w:val="00AA308D"/>
    <w:rsid w:val="00AA3463"/>
    <w:rsid w:val="00AA36F8"/>
    <w:rsid w:val="00AA3799"/>
    <w:rsid w:val="00AA37BC"/>
    <w:rsid w:val="00AA3938"/>
    <w:rsid w:val="00AA398A"/>
    <w:rsid w:val="00AA39EB"/>
    <w:rsid w:val="00AA3D74"/>
    <w:rsid w:val="00AA3F0C"/>
    <w:rsid w:val="00AA4179"/>
    <w:rsid w:val="00AA4270"/>
    <w:rsid w:val="00AA4348"/>
    <w:rsid w:val="00AA4441"/>
    <w:rsid w:val="00AA4492"/>
    <w:rsid w:val="00AA45BA"/>
    <w:rsid w:val="00AA46B5"/>
    <w:rsid w:val="00AA4758"/>
    <w:rsid w:val="00AA4962"/>
    <w:rsid w:val="00AA4AF0"/>
    <w:rsid w:val="00AA4C59"/>
    <w:rsid w:val="00AA4CE4"/>
    <w:rsid w:val="00AA4D41"/>
    <w:rsid w:val="00AA4F37"/>
    <w:rsid w:val="00AA5116"/>
    <w:rsid w:val="00AA5119"/>
    <w:rsid w:val="00AA511A"/>
    <w:rsid w:val="00AA52C5"/>
    <w:rsid w:val="00AA5422"/>
    <w:rsid w:val="00AA5528"/>
    <w:rsid w:val="00AA5578"/>
    <w:rsid w:val="00AA5688"/>
    <w:rsid w:val="00AA5805"/>
    <w:rsid w:val="00AA585B"/>
    <w:rsid w:val="00AA5B33"/>
    <w:rsid w:val="00AA5C9F"/>
    <w:rsid w:val="00AA5CBF"/>
    <w:rsid w:val="00AA5D31"/>
    <w:rsid w:val="00AA5D8F"/>
    <w:rsid w:val="00AA5FA0"/>
    <w:rsid w:val="00AA6127"/>
    <w:rsid w:val="00AA624C"/>
    <w:rsid w:val="00AA6555"/>
    <w:rsid w:val="00AA6730"/>
    <w:rsid w:val="00AA68FC"/>
    <w:rsid w:val="00AA6939"/>
    <w:rsid w:val="00AA69FD"/>
    <w:rsid w:val="00AA6C3C"/>
    <w:rsid w:val="00AA6FC7"/>
    <w:rsid w:val="00AA718D"/>
    <w:rsid w:val="00AA7327"/>
    <w:rsid w:val="00AA7524"/>
    <w:rsid w:val="00AA755F"/>
    <w:rsid w:val="00AA76B8"/>
    <w:rsid w:val="00AA76C5"/>
    <w:rsid w:val="00AA7742"/>
    <w:rsid w:val="00AA7869"/>
    <w:rsid w:val="00AA7AE5"/>
    <w:rsid w:val="00AA7BB3"/>
    <w:rsid w:val="00AA7D6D"/>
    <w:rsid w:val="00AA7F0D"/>
    <w:rsid w:val="00AB000B"/>
    <w:rsid w:val="00AB001C"/>
    <w:rsid w:val="00AB0116"/>
    <w:rsid w:val="00AB02CD"/>
    <w:rsid w:val="00AB0946"/>
    <w:rsid w:val="00AB09DC"/>
    <w:rsid w:val="00AB0ABA"/>
    <w:rsid w:val="00AB0AC8"/>
    <w:rsid w:val="00AB0BF6"/>
    <w:rsid w:val="00AB0D1D"/>
    <w:rsid w:val="00AB0F4B"/>
    <w:rsid w:val="00AB1121"/>
    <w:rsid w:val="00AB131A"/>
    <w:rsid w:val="00AB16DE"/>
    <w:rsid w:val="00AB1771"/>
    <w:rsid w:val="00AB186B"/>
    <w:rsid w:val="00AB19A2"/>
    <w:rsid w:val="00AB1B8E"/>
    <w:rsid w:val="00AB1CDB"/>
    <w:rsid w:val="00AB1F61"/>
    <w:rsid w:val="00AB2029"/>
    <w:rsid w:val="00AB210B"/>
    <w:rsid w:val="00AB26E2"/>
    <w:rsid w:val="00AB2DB1"/>
    <w:rsid w:val="00AB305A"/>
    <w:rsid w:val="00AB309B"/>
    <w:rsid w:val="00AB3272"/>
    <w:rsid w:val="00AB348A"/>
    <w:rsid w:val="00AB34E9"/>
    <w:rsid w:val="00AB35DF"/>
    <w:rsid w:val="00AB3622"/>
    <w:rsid w:val="00AB37EA"/>
    <w:rsid w:val="00AB3973"/>
    <w:rsid w:val="00AB3C12"/>
    <w:rsid w:val="00AB3F2F"/>
    <w:rsid w:val="00AB3F87"/>
    <w:rsid w:val="00AB3F96"/>
    <w:rsid w:val="00AB41D4"/>
    <w:rsid w:val="00AB43AE"/>
    <w:rsid w:val="00AB45B4"/>
    <w:rsid w:val="00AB4670"/>
    <w:rsid w:val="00AB4989"/>
    <w:rsid w:val="00AB4B4A"/>
    <w:rsid w:val="00AB4CE2"/>
    <w:rsid w:val="00AB4D45"/>
    <w:rsid w:val="00AB4D47"/>
    <w:rsid w:val="00AB5194"/>
    <w:rsid w:val="00AB53B5"/>
    <w:rsid w:val="00AB5481"/>
    <w:rsid w:val="00AB54AB"/>
    <w:rsid w:val="00AB54D5"/>
    <w:rsid w:val="00AB554A"/>
    <w:rsid w:val="00AB55EE"/>
    <w:rsid w:val="00AB578C"/>
    <w:rsid w:val="00AB58C4"/>
    <w:rsid w:val="00AB5AD2"/>
    <w:rsid w:val="00AB5B26"/>
    <w:rsid w:val="00AB5C66"/>
    <w:rsid w:val="00AB5D44"/>
    <w:rsid w:val="00AB5D5B"/>
    <w:rsid w:val="00AB5F62"/>
    <w:rsid w:val="00AB6245"/>
    <w:rsid w:val="00AB6385"/>
    <w:rsid w:val="00AB6778"/>
    <w:rsid w:val="00AB6948"/>
    <w:rsid w:val="00AB6DCA"/>
    <w:rsid w:val="00AB7002"/>
    <w:rsid w:val="00AB700A"/>
    <w:rsid w:val="00AB713F"/>
    <w:rsid w:val="00AB7493"/>
    <w:rsid w:val="00AB762A"/>
    <w:rsid w:val="00AB78F9"/>
    <w:rsid w:val="00AB7BD2"/>
    <w:rsid w:val="00AB7C08"/>
    <w:rsid w:val="00AB7FC4"/>
    <w:rsid w:val="00AC0079"/>
    <w:rsid w:val="00AC0370"/>
    <w:rsid w:val="00AC05E7"/>
    <w:rsid w:val="00AC0A4B"/>
    <w:rsid w:val="00AC0B25"/>
    <w:rsid w:val="00AC1143"/>
    <w:rsid w:val="00AC1150"/>
    <w:rsid w:val="00AC1271"/>
    <w:rsid w:val="00AC129C"/>
    <w:rsid w:val="00AC12F3"/>
    <w:rsid w:val="00AC1329"/>
    <w:rsid w:val="00AC1373"/>
    <w:rsid w:val="00AC15D3"/>
    <w:rsid w:val="00AC1692"/>
    <w:rsid w:val="00AC18E7"/>
    <w:rsid w:val="00AC1A4D"/>
    <w:rsid w:val="00AC1FD0"/>
    <w:rsid w:val="00AC20F9"/>
    <w:rsid w:val="00AC22EC"/>
    <w:rsid w:val="00AC2576"/>
    <w:rsid w:val="00AC2900"/>
    <w:rsid w:val="00AC2925"/>
    <w:rsid w:val="00AC2935"/>
    <w:rsid w:val="00AC2C01"/>
    <w:rsid w:val="00AC2D5E"/>
    <w:rsid w:val="00AC2D84"/>
    <w:rsid w:val="00AC2DBA"/>
    <w:rsid w:val="00AC2DCC"/>
    <w:rsid w:val="00AC2E7E"/>
    <w:rsid w:val="00AC2F28"/>
    <w:rsid w:val="00AC31D6"/>
    <w:rsid w:val="00AC3268"/>
    <w:rsid w:val="00AC3383"/>
    <w:rsid w:val="00AC3437"/>
    <w:rsid w:val="00AC34D6"/>
    <w:rsid w:val="00AC3519"/>
    <w:rsid w:val="00AC3761"/>
    <w:rsid w:val="00AC3AAE"/>
    <w:rsid w:val="00AC4071"/>
    <w:rsid w:val="00AC40EF"/>
    <w:rsid w:val="00AC41BB"/>
    <w:rsid w:val="00AC4459"/>
    <w:rsid w:val="00AC448F"/>
    <w:rsid w:val="00AC44BA"/>
    <w:rsid w:val="00AC45CE"/>
    <w:rsid w:val="00AC4671"/>
    <w:rsid w:val="00AC473C"/>
    <w:rsid w:val="00AC4750"/>
    <w:rsid w:val="00AC4BFC"/>
    <w:rsid w:val="00AC4CFE"/>
    <w:rsid w:val="00AC4DB1"/>
    <w:rsid w:val="00AC4DE1"/>
    <w:rsid w:val="00AC4DEC"/>
    <w:rsid w:val="00AC50A2"/>
    <w:rsid w:val="00AC521E"/>
    <w:rsid w:val="00AC5560"/>
    <w:rsid w:val="00AC57C7"/>
    <w:rsid w:val="00AC5A4F"/>
    <w:rsid w:val="00AC5BF0"/>
    <w:rsid w:val="00AC5C39"/>
    <w:rsid w:val="00AC5D7B"/>
    <w:rsid w:val="00AC5E49"/>
    <w:rsid w:val="00AC60B9"/>
    <w:rsid w:val="00AC6159"/>
    <w:rsid w:val="00AC61F7"/>
    <w:rsid w:val="00AC6543"/>
    <w:rsid w:val="00AC6897"/>
    <w:rsid w:val="00AC68F6"/>
    <w:rsid w:val="00AC69A8"/>
    <w:rsid w:val="00AC6BE1"/>
    <w:rsid w:val="00AC6D48"/>
    <w:rsid w:val="00AC6ED0"/>
    <w:rsid w:val="00AC6F80"/>
    <w:rsid w:val="00AC6F8F"/>
    <w:rsid w:val="00AC6FA2"/>
    <w:rsid w:val="00AC6FCE"/>
    <w:rsid w:val="00AC71B7"/>
    <w:rsid w:val="00AC73D7"/>
    <w:rsid w:val="00AC73EE"/>
    <w:rsid w:val="00AC7531"/>
    <w:rsid w:val="00AC76FF"/>
    <w:rsid w:val="00AC77B3"/>
    <w:rsid w:val="00AC77EE"/>
    <w:rsid w:val="00AC7A39"/>
    <w:rsid w:val="00AC7A40"/>
    <w:rsid w:val="00AC7A47"/>
    <w:rsid w:val="00AC7CE6"/>
    <w:rsid w:val="00AC7D2A"/>
    <w:rsid w:val="00AC7DB1"/>
    <w:rsid w:val="00AD0011"/>
    <w:rsid w:val="00AD0049"/>
    <w:rsid w:val="00AD00ED"/>
    <w:rsid w:val="00AD02B3"/>
    <w:rsid w:val="00AD03B4"/>
    <w:rsid w:val="00AD07D6"/>
    <w:rsid w:val="00AD0855"/>
    <w:rsid w:val="00AD092A"/>
    <w:rsid w:val="00AD0A8B"/>
    <w:rsid w:val="00AD0BC4"/>
    <w:rsid w:val="00AD0C15"/>
    <w:rsid w:val="00AD0C1C"/>
    <w:rsid w:val="00AD0C73"/>
    <w:rsid w:val="00AD0DD8"/>
    <w:rsid w:val="00AD0F1B"/>
    <w:rsid w:val="00AD0F76"/>
    <w:rsid w:val="00AD119E"/>
    <w:rsid w:val="00AD11B5"/>
    <w:rsid w:val="00AD1371"/>
    <w:rsid w:val="00AD13A0"/>
    <w:rsid w:val="00AD1493"/>
    <w:rsid w:val="00AD15E6"/>
    <w:rsid w:val="00AD186D"/>
    <w:rsid w:val="00AD1969"/>
    <w:rsid w:val="00AD1B89"/>
    <w:rsid w:val="00AD1C18"/>
    <w:rsid w:val="00AD1E27"/>
    <w:rsid w:val="00AD20F3"/>
    <w:rsid w:val="00AD23A6"/>
    <w:rsid w:val="00AD2442"/>
    <w:rsid w:val="00AD25DA"/>
    <w:rsid w:val="00AD274F"/>
    <w:rsid w:val="00AD2804"/>
    <w:rsid w:val="00AD29AD"/>
    <w:rsid w:val="00AD2A1E"/>
    <w:rsid w:val="00AD2C06"/>
    <w:rsid w:val="00AD2CA6"/>
    <w:rsid w:val="00AD2E46"/>
    <w:rsid w:val="00AD3094"/>
    <w:rsid w:val="00AD316C"/>
    <w:rsid w:val="00AD31AB"/>
    <w:rsid w:val="00AD31C0"/>
    <w:rsid w:val="00AD3389"/>
    <w:rsid w:val="00AD33D7"/>
    <w:rsid w:val="00AD362C"/>
    <w:rsid w:val="00AD364A"/>
    <w:rsid w:val="00AD3746"/>
    <w:rsid w:val="00AD3762"/>
    <w:rsid w:val="00AD38EA"/>
    <w:rsid w:val="00AD3912"/>
    <w:rsid w:val="00AD394F"/>
    <w:rsid w:val="00AD39CC"/>
    <w:rsid w:val="00AD3D41"/>
    <w:rsid w:val="00AD3FA2"/>
    <w:rsid w:val="00AD42A2"/>
    <w:rsid w:val="00AD44ED"/>
    <w:rsid w:val="00AD4576"/>
    <w:rsid w:val="00AD46AA"/>
    <w:rsid w:val="00AD46E5"/>
    <w:rsid w:val="00AD47D9"/>
    <w:rsid w:val="00AD4845"/>
    <w:rsid w:val="00AD494E"/>
    <w:rsid w:val="00AD4CBE"/>
    <w:rsid w:val="00AD4CFD"/>
    <w:rsid w:val="00AD4E00"/>
    <w:rsid w:val="00AD502D"/>
    <w:rsid w:val="00AD5032"/>
    <w:rsid w:val="00AD5224"/>
    <w:rsid w:val="00AD55E9"/>
    <w:rsid w:val="00AD56AC"/>
    <w:rsid w:val="00AD5746"/>
    <w:rsid w:val="00AD59DB"/>
    <w:rsid w:val="00AD5A12"/>
    <w:rsid w:val="00AD5A1B"/>
    <w:rsid w:val="00AD5AFD"/>
    <w:rsid w:val="00AD5D19"/>
    <w:rsid w:val="00AD5E5B"/>
    <w:rsid w:val="00AD5F1E"/>
    <w:rsid w:val="00AD601A"/>
    <w:rsid w:val="00AD61A6"/>
    <w:rsid w:val="00AD6273"/>
    <w:rsid w:val="00AD627D"/>
    <w:rsid w:val="00AD64B2"/>
    <w:rsid w:val="00AD64CA"/>
    <w:rsid w:val="00AD6575"/>
    <w:rsid w:val="00AD6AB2"/>
    <w:rsid w:val="00AD6AC2"/>
    <w:rsid w:val="00AD6B6E"/>
    <w:rsid w:val="00AD6E0C"/>
    <w:rsid w:val="00AD70ED"/>
    <w:rsid w:val="00AD71BA"/>
    <w:rsid w:val="00AD7247"/>
    <w:rsid w:val="00AD744E"/>
    <w:rsid w:val="00AD75DA"/>
    <w:rsid w:val="00AD77D7"/>
    <w:rsid w:val="00AD79AA"/>
    <w:rsid w:val="00AD7A87"/>
    <w:rsid w:val="00AD7C74"/>
    <w:rsid w:val="00AD7C96"/>
    <w:rsid w:val="00AD7CF9"/>
    <w:rsid w:val="00AD7D7F"/>
    <w:rsid w:val="00AD7F13"/>
    <w:rsid w:val="00AD7F59"/>
    <w:rsid w:val="00AD7FF9"/>
    <w:rsid w:val="00AE0190"/>
    <w:rsid w:val="00AE0230"/>
    <w:rsid w:val="00AE04EF"/>
    <w:rsid w:val="00AE059B"/>
    <w:rsid w:val="00AE08D9"/>
    <w:rsid w:val="00AE0B60"/>
    <w:rsid w:val="00AE0ED4"/>
    <w:rsid w:val="00AE0F2B"/>
    <w:rsid w:val="00AE1041"/>
    <w:rsid w:val="00AE10B8"/>
    <w:rsid w:val="00AE11E8"/>
    <w:rsid w:val="00AE12B1"/>
    <w:rsid w:val="00AE14F2"/>
    <w:rsid w:val="00AE16D4"/>
    <w:rsid w:val="00AE184F"/>
    <w:rsid w:val="00AE187A"/>
    <w:rsid w:val="00AE19C0"/>
    <w:rsid w:val="00AE1C08"/>
    <w:rsid w:val="00AE1DA9"/>
    <w:rsid w:val="00AE207D"/>
    <w:rsid w:val="00AE2182"/>
    <w:rsid w:val="00AE22E0"/>
    <w:rsid w:val="00AE22E3"/>
    <w:rsid w:val="00AE283B"/>
    <w:rsid w:val="00AE28FC"/>
    <w:rsid w:val="00AE295E"/>
    <w:rsid w:val="00AE2982"/>
    <w:rsid w:val="00AE2A1A"/>
    <w:rsid w:val="00AE2C49"/>
    <w:rsid w:val="00AE2DB9"/>
    <w:rsid w:val="00AE2DDD"/>
    <w:rsid w:val="00AE2EE2"/>
    <w:rsid w:val="00AE315E"/>
    <w:rsid w:val="00AE36A1"/>
    <w:rsid w:val="00AE3802"/>
    <w:rsid w:val="00AE38E4"/>
    <w:rsid w:val="00AE3B2E"/>
    <w:rsid w:val="00AE3C59"/>
    <w:rsid w:val="00AE41AA"/>
    <w:rsid w:val="00AE4A0F"/>
    <w:rsid w:val="00AE4A3B"/>
    <w:rsid w:val="00AE4F14"/>
    <w:rsid w:val="00AE5040"/>
    <w:rsid w:val="00AE50BA"/>
    <w:rsid w:val="00AE5191"/>
    <w:rsid w:val="00AE5421"/>
    <w:rsid w:val="00AE592B"/>
    <w:rsid w:val="00AE5C45"/>
    <w:rsid w:val="00AE5D7C"/>
    <w:rsid w:val="00AE5E49"/>
    <w:rsid w:val="00AE5E63"/>
    <w:rsid w:val="00AE5EF8"/>
    <w:rsid w:val="00AE6135"/>
    <w:rsid w:val="00AE667D"/>
    <w:rsid w:val="00AE671F"/>
    <w:rsid w:val="00AE6841"/>
    <w:rsid w:val="00AE6AB1"/>
    <w:rsid w:val="00AE6BE6"/>
    <w:rsid w:val="00AE6CFB"/>
    <w:rsid w:val="00AE6F3C"/>
    <w:rsid w:val="00AE6FB1"/>
    <w:rsid w:val="00AE7078"/>
    <w:rsid w:val="00AE710C"/>
    <w:rsid w:val="00AE7151"/>
    <w:rsid w:val="00AE7259"/>
    <w:rsid w:val="00AE73E3"/>
    <w:rsid w:val="00AE7445"/>
    <w:rsid w:val="00AE766B"/>
    <w:rsid w:val="00AE76DA"/>
    <w:rsid w:val="00AE7716"/>
    <w:rsid w:val="00AE78CC"/>
    <w:rsid w:val="00AE7AE0"/>
    <w:rsid w:val="00AE7B96"/>
    <w:rsid w:val="00AE7E0D"/>
    <w:rsid w:val="00AF0090"/>
    <w:rsid w:val="00AF0201"/>
    <w:rsid w:val="00AF0729"/>
    <w:rsid w:val="00AF0794"/>
    <w:rsid w:val="00AF09DF"/>
    <w:rsid w:val="00AF0C9E"/>
    <w:rsid w:val="00AF0E1D"/>
    <w:rsid w:val="00AF107F"/>
    <w:rsid w:val="00AF1139"/>
    <w:rsid w:val="00AF12E6"/>
    <w:rsid w:val="00AF1356"/>
    <w:rsid w:val="00AF180F"/>
    <w:rsid w:val="00AF1CD2"/>
    <w:rsid w:val="00AF1E85"/>
    <w:rsid w:val="00AF20D5"/>
    <w:rsid w:val="00AF22DB"/>
    <w:rsid w:val="00AF23CC"/>
    <w:rsid w:val="00AF2558"/>
    <w:rsid w:val="00AF284B"/>
    <w:rsid w:val="00AF29CF"/>
    <w:rsid w:val="00AF2A84"/>
    <w:rsid w:val="00AF2BBD"/>
    <w:rsid w:val="00AF2BFB"/>
    <w:rsid w:val="00AF2D3F"/>
    <w:rsid w:val="00AF2E17"/>
    <w:rsid w:val="00AF2E39"/>
    <w:rsid w:val="00AF2E3F"/>
    <w:rsid w:val="00AF2F4E"/>
    <w:rsid w:val="00AF2F90"/>
    <w:rsid w:val="00AF3110"/>
    <w:rsid w:val="00AF327A"/>
    <w:rsid w:val="00AF35F3"/>
    <w:rsid w:val="00AF3620"/>
    <w:rsid w:val="00AF3A66"/>
    <w:rsid w:val="00AF3ACF"/>
    <w:rsid w:val="00AF3BC7"/>
    <w:rsid w:val="00AF3EFB"/>
    <w:rsid w:val="00AF3F0F"/>
    <w:rsid w:val="00AF3FAF"/>
    <w:rsid w:val="00AF4381"/>
    <w:rsid w:val="00AF4435"/>
    <w:rsid w:val="00AF447F"/>
    <w:rsid w:val="00AF480C"/>
    <w:rsid w:val="00AF4BBC"/>
    <w:rsid w:val="00AF4D3B"/>
    <w:rsid w:val="00AF4D45"/>
    <w:rsid w:val="00AF4FD6"/>
    <w:rsid w:val="00AF51A1"/>
    <w:rsid w:val="00AF523D"/>
    <w:rsid w:val="00AF53C3"/>
    <w:rsid w:val="00AF553B"/>
    <w:rsid w:val="00AF56DC"/>
    <w:rsid w:val="00AF571A"/>
    <w:rsid w:val="00AF5761"/>
    <w:rsid w:val="00AF5822"/>
    <w:rsid w:val="00AF596F"/>
    <w:rsid w:val="00AF5B3E"/>
    <w:rsid w:val="00AF5B75"/>
    <w:rsid w:val="00AF5CD4"/>
    <w:rsid w:val="00AF5D23"/>
    <w:rsid w:val="00AF6399"/>
    <w:rsid w:val="00AF650F"/>
    <w:rsid w:val="00AF66F4"/>
    <w:rsid w:val="00AF6739"/>
    <w:rsid w:val="00AF679A"/>
    <w:rsid w:val="00AF6A68"/>
    <w:rsid w:val="00AF6A98"/>
    <w:rsid w:val="00AF6E13"/>
    <w:rsid w:val="00AF7056"/>
    <w:rsid w:val="00AF70A6"/>
    <w:rsid w:val="00AF7331"/>
    <w:rsid w:val="00AF7340"/>
    <w:rsid w:val="00AF753A"/>
    <w:rsid w:val="00AF768A"/>
    <w:rsid w:val="00AF7A73"/>
    <w:rsid w:val="00AF7E6F"/>
    <w:rsid w:val="00AF7FC7"/>
    <w:rsid w:val="00B002BD"/>
    <w:rsid w:val="00B003A1"/>
    <w:rsid w:val="00B005B2"/>
    <w:rsid w:val="00B0061F"/>
    <w:rsid w:val="00B00781"/>
    <w:rsid w:val="00B00974"/>
    <w:rsid w:val="00B00991"/>
    <w:rsid w:val="00B00B69"/>
    <w:rsid w:val="00B00C34"/>
    <w:rsid w:val="00B00D46"/>
    <w:rsid w:val="00B00DBB"/>
    <w:rsid w:val="00B00EED"/>
    <w:rsid w:val="00B010B5"/>
    <w:rsid w:val="00B011B7"/>
    <w:rsid w:val="00B017A2"/>
    <w:rsid w:val="00B01A3E"/>
    <w:rsid w:val="00B01A7A"/>
    <w:rsid w:val="00B01D0D"/>
    <w:rsid w:val="00B01D18"/>
    <w:rsid w:val="00B01D2A"/>
    <w:rsid w:val="00B01FDB"/>
    <w:rsid w:val="00B02258"/>
    <w:rsid w:val="00B02640"/>
    <w:rsid w:val="00B02780"/>
    <w:rsid w:val="00B02AED"/>
    <w:rsid w:val="00B02B31"/>
    <w:rsid w:val="00B02D7C"/>
    <w:rsid w:val="00B02EC4"/>
    <w:rsid w:val="00B02F5E"/>
    <w:rsid w:val="00B03120"/>
    <w:rsid w:val="00B03379"/>
    <w:rsid w:val="00B03479"/>
    <w:rsid w:val="00B035FF"/>
    <w:rsid w:val="00B03670"/>
    <w:rsid w:val="00B03EAA"/>
    <w:rsid w:val="00B0407E"/>
    <w:rsid w:val="00B041BE"/>
    <w:rsid w:val="00B043BD"/>
    <w:rsid w:val="00B0445F"/>
    <w:rsid w:val="00B0451F"/>
    <w:rsid w:val="00B048BD"/>
    <w:rsid w:val="00B04AF8"/>
    <w:rsid w:val="00B04B28"/>
    <w:rsid w:val="00B04F26"/>
    <w:rsid w:val="00B0504A"/>
    <w:rsid w:val="00B05137"/>
    <w:rsid w:val="00B0521C"/>
    <w:rsid w:val="00B0537D"/>
    <w:rsid w:val="00B05522"/>
    <w:rsid w:val="00B05590"/>
    <w:rsid w:val="00B0568D"/>
    <w:rsid w:val="00B05710"/>
    <w:rsid w:val="00B0588C"/>
    <w:rsid w:val="00B05975"/>
    <w:rsid w:val="00B0597E"/>
    <w:rsid w:val="00B0599C"/>
    <w:rsid w:val="00B05A7B"/>
    <w:rsid w:val="00B05CB2"/>
    <w:rsid w:val="00B05F40"/>
    <w:rsid w:val="00B0601D"/>
    <w:rsid w:val="00B0610F"/>
    <w:rsid w:val="00B0644C"/>
    <w:rsid w:val="00B06450"/>
    <w:rsid w:val="00B066F0"/>
    <w:rsid w:val="00B06766"/>
    <w:rsid w:val="00B06824"/>
    <w:rsid w:val="00B068DD"/>
    <w:rsid w:val="00B06940"/>
    <w:rsid w:val="00B06AC4"/>
    <w:rsid w:val="00B06E9A"/>
    <w:rsid w:val="00B06ED9"/>
    <w:rsid w:val="00B06F8E"/>
    <w:rsid w:val="00B07125"/>
    <w:rsid w:val="00B0754B"/>
    <w:rsid w:val="00B077FE"/>
    <w:rsid w:val="00B0797D"/>
    <w:rsid w:val="00B07B2C"/>
    <w:rsid w:val="00B07E45"/>
    <w:rsid w:val="00B07E81"/>
    <w:rsid w:val="00B07EF2"/>
    <w:rsid w:val="00B07EF3"/>
    <w:rsid w:val="00B100DE"/>
    <w:rsid w:val="00B10314"/>
    <w:rsid w:val="00B103ED"/>
    <w:rsid w:val="00B105D3"/>
    <w:rsid w:val="00B10685"/>
    <w:rsid w:val="00B10783"/>
    <w:rsid w:val="00B1099D"/>
    <w:rsid w:val="00B10A7F"/>
    <w:rsid w:val="00B10AC3"/>
    <w:rsid w:val="00B10AD3"/>
    <w:rsid w:val="00B10CB8"/>
    <w:rsid w:val="00B10CCB"/>
    <w:rsid w:val="00B10CFA"/>
    <w:rsid w:val="00B10D89"/>
    <w:rsid w:val="00B10F1C"/>
    <w:rsid w:val="00B10F23"/>
    <w:rsid w:val="00B1100B"/>
    <w:rsid w:val="00B110B7"/>
    <w:rsid w:val="00B11415"/>
    <w:rsid w:val="00B1146B"/>
    <w:rsid w:val="00B1183D"/>
    <w:rsid w:val="00B118AC"/>
    <w:rsid w:val="00B119F2"/>
    <w:rsid w:val="00B11B61"/>
    <w:rsid w:val="00B11B8D"/>
    <w:rsid w:val="00B12163"/>
    <w:rsid w:val="00B12198"/>
    <w:rsid w:val="00B12228"/>
    <w:rsid w:val="00B125B4"/>
    <w:rsid w:val="00B12720"/>
    <w:rsid w:val="00B127D0"/>
    <w:rsid w:val="00B127F9"/>
    <w:rsid w:val="00B1280E"/>
    <w:rsid w:val="00B12D82"/>
    <w:rsid w:val="00B132A7"/>
    <w:rsid w:val="00B13491"/>
    <w:rsid w:val="00B13601"/>
    <w:rsid w:val="00B13612"/>
    <w:rsid w:val="00B1364D"/>
    <w:rsid w:val="00B1368E"/>
    <w:rsid w:val="00B137E1"/>
    <w:rsid w:val="00B1396D"/>
    <w:rsid w:val="00B13E19"/>
    <w:rsid w:val="00B13E26"/>
    <w:rsid w:val="00B1407B"/>
    <w:rsid w:val="00B14124"/>
    <w:rsid w:val="00B1436B"/>
    <w:rsid w:val="00B14440"/>
    <w:rsid w:val="00B148CF"/>
    <w:rsid w:val="00B1492F"/>
    <w:rsid w:val="00B1499D"/>
    <w:rsid w:val="00B14D5B"/>
    <w:rsid w:val="00B14E5F"/>
    <w:rsid w:val="00B14EEF"/>
    <w:rsid w:val="00B14F8D"/>
    <w:rsid w:val="00B151CD"/>
    <w:rsid w:val="00B1524D"/>
    <w:rsid w:val="00B15261"/>
    <w:rsid w:val="00B152E9"/>
    <w:rsid w:val="00B153AD"/>
    <w:rsid w:val="00B153CA"/>
    <w:rsid w:val="00B15492"/>
    <w:rsid w:val="00B1577A"/>
    <w:rsid w:val="00B15882"/>
    <w:rsid w:val="00B158A3"/>
    <w:rsid w:val="00B159EE"/>
    <w:rsid w:val="00B15A1D"/>
    <w:rsid w:val="00B15A3B"/>
    <w:rsid w:val="00B15A3F"/>
    <w:rsid w:val="00B15CCD"/>
    <w:rsid w:val="00B15D46"/>
    <w:rsid w:val="00B15DC9"/>
    <w:rsid w:val="00B15EF8"/>
    <w:rsid w:val="00B15FC8"/>
    <w:rsid w:val="00B1603E"/>
    <w:rsid w:val="00B1618C"/>
    <w:rsid w:val="00B16205"/>
    <w:rsid w:val="00B1642D"/>
    <w:rsid w:val="00B164CB"/>
    <w:rsid w:val="00B1651A"/>
    <w:rsid w:val="00B165F3"/>
    <w:rsid w:val="00B16691"/>
    <w:rsid w:val="00B1670E"/>
    <w:rsid w:val="00B16717"/>
    <w:rsid w:val="00B16E27"/>
    <w:rsid w:val="00B17078"/>
    <w:rsid w:val="00B1712C"/>
    <w:rsid w:val="00B1718C"/>
    <w:rsid w:val="00B17494"/>
    <w:rsid w:val="00B17637"/>
    <w:rsid w:val="00B17EF3"/>
    <w:rsid w:val="00B17F2D"/>
    <w:rsid w:val="00B17F4C"/>
    <w:rsid w:val="00B2002E"/>
    <w:rsid w:val="00B2013A"/>
    <w:rsid w:val="00B201FA"/>
    <w:rsid w:val="00B2057E"/>
    <w:rsid w:val="00B205EF"/>
    <w:rsid w:val="00B207F8"/>
    <w:rsid w:val="00B209C2"/>
    <w:rsid w:val="00B209FF"/>
    <w:rsid w:val="00B210C5"/>
    <w:rsid w:val="00B213A5"/>
    <w:rsid w:val="00B213C4"/>
    <w:rsid w:val="00B21420"/>
    <w:rsid w:val="00B215CE"/>
    <w:rsid w:val="00B21685"/>
    <w:rsid w:val="00B216AC"/>
    <w:rsid w:val="00B216CE"/>
    <w:rsid w:val="00B219A4"/>
    <w:rsid w:val="00B219C7"/>
    <w:rsid w:val="00B21AA4"/>
    <w:rsid w:val="00B21F7D"/>
    <w:rsid w:val="00B2201F"/>
    <w:rsid w:val="00B22204"/>
    <w:rsid w:val="00B222BA"/>
    <w:rsid w:val="00B2236F"/>
    <w:rsid w:val="00B223D7"/>
    <w:rsid w:val="00B223DE"/>
    <w:rsid w:val="00B22449"/>
    <w:rsid w:val="00B227B8"/>
    <w:rsid w:val="00B2282B"/>
    <w:rsid w:val="00B2287F"/>
    <w:rsid w:val="00B22E53"/>
    <w:rsid w:val="00B22E8B"/>
    <w:rsid w:val="00B23009"/>
    <w:rsid w:val="00B23033"/>
    <w:rsid w:val="00B233A8"/>
    <w:rsid w:val="00B233AE"/>
    <w:rsid w:val="00B23515"/>
    <w:rsid w:val="00B239DB"/>
    <w:rsid w:val="00B23A64"/>
    <w:rsid w:val="00B24112"/>
    <w:rsid w:val="00B241AD"/>
    <w:rsid w:val="00B24236"/>
    <w:rsid w:val="00B24704"/>
    <w:rsid w:val="00B24757"/>
    <w:rsid w:val="00B249F7"/>
    <w:rsid w:val="00B24A25"/>
    <w:rsid w:val="00B24ACD"/>
    <w:rsid w:val="00B24AE1"/>
    <w:rsid w:val="00B24B4D"/>
    <w:rsid w:val="00B24DEE"/>
    <w:rsid w:val="00B24F4E"/>
    <w:rsid w:val="00B2535A"/>
    <w:rsid w:val="00B253BF"/>
    <w:rsid w:val="00B253C3"/>
    <w:rsid w:val="00B2541E"/>
    <w:rsid w:val="00B255A5"/>
    <w:rsid w:val="00B255DA"/>
    <w:rsid w:val="00B256A4"/>
    <w:rsid w:val="00B25775"/>
    <w:rsid w:val="00B25AF2"/>
    <w:rsid w:val="00B26170"/>
    <w:rsid w:val="00B26C64"/>
    <w:rsid w:val="00B26D19"/>
    <w:rsid w:val="00B26DAB"/>
    <w:rsid w:val="00B26FA7"/>
    <w:rsid w:val="00B271CB"/>
    <w:rsid w:val="00B272E5"/>
    <w:rsid w:val="00B273BC"/>
    <w:rsid w:val="00B274E8"/>
    <w:rsid w:val="00B27987"/>
    <w:rsid w:val="00B27C4B"/>
    <w:rsid w:val="00B27CCE"/>
    <w:rsid w:val="00B27E28"/>
    <w:rsid w:val="00B27F08"/>
    <w:rsid w:val="00B27FFD"/>
    <w:rsid w:val="00B30110"/>
    <w:rsid w:val="00B30223"/>
    <w:rsid w:val="00B30241"/>
    <w:rsid w:val="00B30873"/>
    <w:rsid w:val="00B309CE"/>
    <w:rsid w:val="00B30A31"/>
    <w:rsid w:val="00B30A70"/>
    <w:rsid w:val="00B30CD4"/>
    <w:rsid w:val="00B31124"/>
    <w:rsid w:val="00B31222"/>
    <w:rsid w:val="00B316A8"/>
    <w:rsid w:val="00B3174F"/>
    <w:rsid w:val="00B3190E"/>
    <w:rsid w:val="00B3192E"/>
    <w:rsid w:val="00B31AAD"/>
    <w:rsid w:val="00B31B24"/>
    <w:rsid w:val="00B31E96"/>
    <w:rsid w:val="00B31ED0"/>
    <w:rsid w:val="00B32158"/>
    <w:rsid w:val="00B324C9"/>
    <w:rsid w:val="00B32567"/>
    <w:rsid w:val="00B325F4"/>
    <w:rsid w:val="00B3268D"/>
    <w:rsid w:val="00B326BC"/>
    <w:rsid w:val="00B32731"/>
    <w:rsid w:val="00B329AB"/>
    <w:rsid w:val="00B32BA7"/>
    <w:rsid w:val="00B32D0D"/>
    <w:rsid w:val="00B32DFC"/>
    <w:rsid w:val="00B32E56"/>
    <w:rsid w:val="00B3315B"/>
    <w:rsid w:val="00B3352B"/>
    <w:rsid w:val="00B335E3"/>
    <w:rsid w:val="00B3363B"/>
    <w:rsid w:val="00B3398E"/>
    <w:rsid w:val="00B33C5F"/>
    <w:rsid w:val="00B33E0B"/>
    <w:rsid w:val="00B34011"/>
    <w:rsid w:val="00B340C7"/>
    <w:rsid w:val="00B3415A"/>
    <w:rsid w:val="00B34231"/>
    <w:rsid w:val="00B34854"/>
    <w:rsid w:val="00B3491E"/>
    <w:rsid w:val="00B34D18"/>
    <w:rsid w:val="00B34D25"/>
    <w:rsid w:val="00B353E8"/>
    <w:rsid w:val="00B354BA"/>
    <w:rsid w:val="00B3568B"/>
    <w:rsid w:val="00B3575F"/>
    <w:rsid w:val="00B35F42"/>
    <w:rsid w:val="00B3618D"/>
    <w:rsid w:val="00B361A2"/>
    <w:rsid w:val="00B362AB"/>
    <w:rsid w:val="00B364FE"/>
    <w:rsid w:val="00B36548"/>
    <w:rsid w:val="00B367BB"/>
    <w:rsid w:val="00B368C3"/>
    <w:rsid w:val="00B36913"/>
    <w:rsid w:val="00B36953"/>
    <w:rsid w:val="00B36DFC"/>
    <w:rsid w:val="00B36E79"/>
    <w:rsid w:val="00B36EF7"/>
    <w:rsid w:val="00B36F58"/>
    <w:rsid w:val="00B37170"/>
    <w:rsid w:val="00B371C6"/>
    <w:rsid w:val="00B37209"/>
    <w:rsid w:val="00B37A00"/>
    <w:rsid w:val="00B37AC9"/>
    <w:rsid w:val="00B37BEE"/>
    <w:rsid w:val="00B37C29"/>
    <w:rsid w:val="00B37CA8"/>
    <w:rsid w:val="00B37CF6"/>
    <w:rsid w:val="00B37DDC"/>
    <w:rsid w:val="00B37E16"/>
    <w:rsid w:val="00B37E8D"/>
    <w:rsid w:val="00B37F6A"/>
    <w:rsid w:val="00B401E3"/>
    <w:rsid w:val="00B403B7"/>
    <w:rsid w:val="00B40556"/>
    <w:rsid w:val="00B40A13"/>
    <w:rsid w:val="00B40AE7"/>
    <w:rsid w:val="00B40DD4"/>
    <w:rsid w:val="00B40E51"/>
    <w:rsid w:val="00B40E7E"/>
    <w:rsid w:val="00B410F4"/>
    <w:rsid w:val="00B41255"/>
    <w:rsid w:val="00B414AF"/>
    <w:rsid w:val="00B41566"/>
    <w:rsid w:val="00B415DD"/>
    <w:rsid w:val="00B41656"/>
    <w:rsid w:val="00B416B2"/>
    <w:rsid w:val="00B4187D"/>
    <w:rsid w:val="00B418DC"/>
    <w:rsid w:val="00B41DE3"/>
    <w:rsid w:val="00B421EC"/>
    <w:rsid w:val="00B423AD"/>
    <w:rsid w:val="00B42861"/>
    <w:rsid w:val="00B42975"/>
    <w:rsid w:val="00B42C64"/>
    <w:rsid w:val="00B42C6A"/>
    <w:rsid w:val="00B42D5A"/>
    <w:rsid w:val="00B42DC7"/>
    <w:rsid w:val="00B42E65"/>
    <w:rsid w:val="00B430BD"/>
    <w:rsid w:val="00B434E4"/>
    <w:rsid w:val="00B43698"/>
    <w:rsid w:val="00B4380B"/>
    <w:rsid w:val="00B43835"/>
    <w:rsid w:val="00B43B32"/>
    <w:rsid w:val="00B43BF8"/>
    <w:rsid w:val="00B43CD1"/>
    <w:rsid w:val="00B43CD9"/>
    <w:rsid w:val="00B43D3D"/>
    <w:rsid w:val="00B43D60"/>
    <w:rsid w:val="00B43F16"/>
    <w:rsid w:val="00B4400D"/>
    <w:rsid w:val="00B440B0"/>
    <w:rsid w:val="00B44225"/>
    <w:rsid w:val="00B442AB"/>
    <w:rsid w:val="00B44739"/>
    <w:rsid w:val="00B4495C"/>
    <w:rsid w:val="00B44A20"/>
    <w:rsid w:val="00B44ACD"/>
    <w:rsid w:val="00B44D58"/>
    <w:rsid w:val="00B44DE9"/>
    <w:rsid w:val="00B44F06"/>
    <w:rsid w:val="00B44F1A"/>
    <w:rsid w:val="00B44FE8"/>
    <w:rsid w:val="00B45230"/>
    <w:rsid w:val="00B4566E"/>
    <w:rsid w:val="00B45721"/>
    <w:rsid w:val="00B45A0E"/>
    <w:rsid w:val="00B45ACC"/>
    <w:rsid w:val="00B45B67"/>
    <w:rsid w:val="00B45BCD"/>
    <w:rsid w:val="00B45C13"/>
    <w:rsid w:val="00B45C76"/>
    <w:rsid w:val="00B45F13"/>
    <w:rsid w:val="00B45F30"/>
    <w:rsid w:val="00B45FAE"/>
    <w:rsid w:val="00B46046"/>
    <w:rsid w:val="00B46295"/>
    <w:rsid w:val="00B465B1"/>
    <w:rsid w:val="00B4663D"/>
    <w:rsid w:val="00B46645"/>
    <w:rsid w:val="00B467EB"/>
    <w:rsid w:val="00B468C9"/>
    <w:rsid w:val="00B46910"/>
    <w:rsid w:val="00B46921"/>
    <w:rsid w:val="00B46B61"/>
    <w:rsid w:val="00B46B93"/>
    <w:rsid w:val="00B46E30"/>
    <w:rsid w:val="00B46FCF"/>
    <w:rsid w:val="00B4720F"/>
    <w:rsid w:val="00B47382"/>
    <w:rsid w:val="00B473F2"/>
    <w:rsid w:val="00B476AE"/>
    <w:rsid w:val="00B4777B"/>
    <w:rsid w:val="00B4797D"/>
    <w:rsid w:val="00B47B24"/>
    <w:rsid w:val="00B47CA9"/>
    <w:rsid w:val="00B47CBE"/>
    <w:rsid w:val="00B47CF8"/>
    <w:rsid w:val="00B50352"/>
    <w:rsid w:val="00B50492"/>
    <w:rsid w:val="00B507E5"/>
    <w:rsid w:val="00B50A3C"/>
    <w:rsid w:val="00B50B4E"/>
    <w:rsid w:val="00B510AC"/>
    <w:rsid w:val="00B514C1"/>
    <w:rsid w:val="00B514E7"/>
    <w:rsid w:val="00B5190E"/>
    <w:rsid w:val="00B51A35"/>
    <w:rsid w:val="00B51A59"/>
    <w:rsid w:val="00B51B84"/>
    <w:rsid w:val="00B51C99"/>
    <w:rsid w:val="00B51FB7"/>
    <w:rsid w:val="00B5210B"/>
    <w:rsid w:val="00B52549"/>
    <w:rsid w:val="00B5273B"/>
    <w:rsid w:val="00B529B2"/>
    <w:rsid w:val="00B52AFB"/>
    <w:rsid w:val="00B52B08"/>
    <w:rsid w:val="00B52EDE"/>
    <w:rsid w:val="00B53012"/>
    <w:rsid w:val="00B53068"/>
    <w:rsid w:val="00B5311C"/>
    <w:rsid w:val="00B53267"/>
    <w:rsid w:val="00B532D2"/>
    <w:rsid w:val="00B532D3"/>
    <w:rsid w:val="00B53480"/>
    <w:rsid w:val="00B5383C"/>
    <w:rsid w:val="00B539BF"/>
    <w:rsid w:val="00B53A0A"/>
    <w:rsid w:val="00B53B97"/>
    <w:rsid w:val="00B53D7B"/>
    <w:rsid w:val="00B54033"/>
    <w:rsid w:val="00B542D7"/>
    <w:rsid w:val="00B54384"/>
    <w:rsid w:val="00B543A8"/>
    <w:rsid w:val="00B544B0"/>
    <w:rsid w:val="00B545CC"/>
    <w:rsid w:val="00B546AF"/>
    <w:rsid w:val="00B54704"/>
    <w:rsid w:val="00B54774"/>
    <w:rsid w:val="00B547D5"/>
    <w:rsid w:val="00B5485D"/>
    <w:rsid w:val="00B549F7"/>
    <w:rsid w:val="00B54C07"/>
    <w:rsid w:val="00B54C1C"/>
    <w:rsid w:val="00B54C32"/>
    <w:rsid w:val="00B54C8E"/>
    <w:rsid w:val="00B54CFF"/>
    <w:rsid w:val="00B551B7"/>
    <w:rsid w:val="00B551BA"/>
    <w:rsid w:val="00B5531D"/>
    <w:rsid w:val="00B553CE"/>
    <w:rsid w:val="00B5567C"/>
    <w:rsid w:val="00B55731"/>
    <w:rsid w:val="00B5579B"/>
    <w:rsid w:val="00B55CF0"/>
    <w:rsid w:val="00B55D5C"/>
    <w:rsid w:val="00B55E3D"/>
    <w:rsid w:val="00B56257"/>
    <w:rsid w:val="00B5646E"/>
    <w:rsid w:val="00B565CC"/>
    <w:rsid w:val="00B566FA"/>
    <w:rsid w:val="00B56735"/>
    <w:rsid w:val="00B56813"/>
    <w:rsid w:val="00B56862"/>
    <w:rsid w:val="00B5687C"/>
    <w:rsid w:val="00B56975"/>
    <w:rsid w:val="00B56CD3"/>
    <w:rsid w:val="00B56CE4"/>
    <w:rsid w:val="00B56FA4"/>
    <w:rsid w:val="00B5702E"/>
    <w:rsid w:val="00B570B2"/>
    <w:rsid w:val="00B570CB"/>
    <w:rsid w:val="00B575F5"/>
    <w:rsid w:val="00B578BD"/>
    <w:rsid w:val="00B57AF4"/>
    <w:rsid w:val="00B57B0D"/>
    <w:rsid w:val="00B57C60"/>
    <w:rsid w:val="00B6033E"/>
    <w:rsid w:val="00B60402"/>
    <w:rsid w:val="00B604B8"/>
    <w:rsid w:val="00B604B9"/>
    <w:rsid w:val="00B6059D"/>
    <w:rsid w:val="00B60973"/>
    <w:rsid w:val="00B609ED"/>
    <w:rsid w:val="00B60B24"/>
    <w:rsid w:val="00B60BB8"/>
    <w:rsid w:val="00B60BBF"/>
    <w:rsid w:val="00B60C80"/>
    <w:rsid w:val="00B60E0B"/>
    <w:rsid w:val="00B60F51"/>
    <w:rsid w:val="00B60F84"/>
    <w:rsid w:val="00B61073"/>
    <w:rsid w:val="00B612FF"/>
    <w:rsid w:val="00B61442"/>
    <w:rsid w:val="00B61515"/>
    <w:rsid w:val="00B61567"/>
    <w:rsid w:val="00B6160C"/>
    <w:rsid w:val="00B6185D"/>
    <w:rsid w:val="00B61964"/>
    <w:rsid w:val="00B61CBF"/>
    <w:rsid w:val="00B62164"/>
    <w:rsid w:val="00B6263B"/>
    <w:rsid w:val="00B62686"/>
    <w:rsid w:val="00B62706"/>
    <w:rsid w:val="00B627DD"/>
    <w:rsid w:val="00B629B3"/>
    <w:rsid w:val="00B62A95"/>
    <w:rsid w:val="00B62C3C"/>
    <w:rsid w:val="00B62E5E"/>
    <w:rsid w:val="00B62E62"/>
    <w:rsid w:val="00B62E77"/>
    <w:rsid w:val="00B62EF1"/>
    <w:rsid w:val="00B62FA0"/>
    <w:rsid w:val="00B6322A"/>
    <w:rsid w:val="00B632C6"/>
    <w:rsid w:val="00B633B8"/>
    <w:rsid w:val="00B63530"/>
    <w:rsid w:val="00B636C5"/>
    <w:rsid w:val="00B63857"/>
    <w:rsid w:val="00B63C97"/>
    <w:rsid w:val="00B63D6E"/>
    <w:rsid w:val="00B63D78"/>
    <w:rsid w:val="00B63D93"/>
    <w:rsid w:val="00B63E56"/>
    <w:rsid w:val="00B64079"/>
    <w:rsid w:val="00B641D0"/>
    <w:rsid w:val="00B6442A"/>
    <w:rsid w:val="00B6499F"/>
    <w:rsid w:val="00B64AB8"/>
    <w:rsid w:val="00B64F4B"/>
    <w:rsid w:val="00B65110"/>
    <w:rsid w:val="00B6511A"/>
    <w:rsid w:val="00B65187"/>
    <w:rsid w:val="00B653E9"/>
    <w:rsid w:val="00B653F3"/>
    <w:rsid w:val="00B6547E"/>
    <w:rsid w:val="00B65530"/>
    <w:rsid w:val="00B65539"/>
    <w:rsid w:val="00B65613"/>
    <w:rsid w:val="00B6561A"/>
    <w:rsid w:val="00B656DE"/>
    <w:rsid w:val="00B656EE"/>
    <w:rsid w:val="00B657DB"/>
    <w:rsid w:val="00B65810"/>
    <w:rsid w:val="00B65842"/>
    <w:rsid w:val="00B65A72"/>
    <w:rsid w:val="00B65B4E"/>
    <w:rsid w:val="00B65C52"/>
    <w:rsid w:val="00B65CC4"/>
    <w:rsid w:val="00B65E5E"/>
    <w:rsid w:val="00B65FB9"/>
    <w:rsid w:val="00B65FD0"/>
    <w:rsid w:val="00B660DD"/>
    <w:rsid w:val="00B660EF"/>
    <w:rsid w:val="00B663B2"/>
    <w:rsid w:val="00B663FE"/>
    <w:rsid w:val="00B6643E"/>
    <w:rsid w:val="00B66483"/>
    <w:rsid w:val="00B6656B"/>
    <w:rsid w:val="00B6678E"/>
    <w:rsid w:val="00B66CE2"/>
    <w:rsid w:val="00B66D6D"/>
    <w:rsid w:val="00B66D81"/>
    <w:rsid w:val="00B6719B"/>
    <w:rsid w:val="00B67469"/>
    <w:rsid w:val="00B6773C"/>
    <w:rsid w:val="00B67771"/>
    <w:rsid w:val="00B6784C"/>
    <w:rsid w:val="00B67897"/>
    <w:rsid w:val="00B67980"/>
    <w:rsid w:val="00B679A1"/>
    <w:rsid w:val="00B679DD"/>
    <w:rsid w:val="00B67C58"/>
    <w:rsid w:val="00B67C93"/>
    <w:rsid w:val="00B67CB7"/>
    <w:rsid w:val="00B67D49"/>
    <w:rsid w:val="00B67DB2"/>
    <w:rsid w:val="00B67E71"/>
    <w:rsid w:val="00B7012B"/>
    <w:rsid w:val="00B704AA"/>
    <w:rsid w:val="00B704C8"/>
    <w:rsid w:val="00B7095A"/>
    <w:rsid w:val="00B70969"/>
    <w:rsid w:val="00B70A26"/>
    <w:rsid w:val="00B70B1D"/>
    <w:rsid w:val="00B70B83"/>
    <w:rsid w:val="00B70C36"/>
    <w:rsid w:val="00B70D1E"/>
    <w:rsid w:val="00B70D4D"/>
    <w:rsid w:val="00B70DFC"/>
    <w:rsid w:val="00B70E7D"/>
    <w:rsid w:val="00B70ECC"/>
    <w:rsid w:val="00B710C7"/>
    <w:rsid w:val="00B71180"/>
    <w:rsid w:val="00B711E9"/>
    <w:rsid w:val="00B712BB"/>
    <w:rsid w:val="00B7134D"/>
    <w:rsid w:val="00B71417"/>
    <w:rsid w:val="00B71516"/>
    <w:rsid w:val="00B715F7"/>
    <w:rsid w:val="00B716D6"/>
    <w:rsid w:val="00B71710"/>
    <w:rsid w:val="00B71743"/>
    <w:rsid w:val="00B717CD"/>
    <w:rsid w:val="00B7195C"/>
    <w:rsid w:val="00B71A5B"/>
    <w:rsid w:val="00B71BF8"/>
    <w:rsid w:val="00B71C2A"/>
    <w:rsid w:val="00B71C2B"/>
    <w:rsid w:val="00B71EE6"/>
    <w:rsid w:val="00B72047"/>
    <w:rsid w:val="00B720BC"/>
    <w:rsid w:val="00B721CE"/>
    <w:rsid w:val="00B7232E"/>
    <w:rsid w:val="00B723DF"/>
    <w:rsid w:val="00B72520"/>
    <w:rsid w:val="00B7252D"/>
    <w:rsid w:val="00B7259D"/>
    <w:rsid w:val="00B727A8"/>
    <w:rsid w:val="00B727D7"/>
    <w:rsid w:val="00B727E3"/>
    <w:rsid w:val="00B72E54"/>
    <w:rsid w:val="00B73046"/>
    <w:rsid w:val="00B730B4"/>
    <w:rsid w:val="00B73185"/>
    <w:rsid w:val="00B736B8"/>
    <w:rsid w:val="00B736C2"/>
    <w:rsid w:val="00B73843"/>
    <w:rsid w:val="00B738CD"/>
    <w:rsid w:val="00B73A28"/>
    <w:rsid w:val="00B73A54"/>
    <w:rsid w:val="00B73B58"/>
    <w:rsid w:val="00B73B5E"/>
    <w:rsid w:val="00B73BB5"/>
    <w:rsid w:val="00B73C5B"/>
    <w:rsid w:val="00B73C66"/>
    <w:rsid w:val="00B73FF3"/>
    <w:rsid w:val="00B74082"/>
    <w:rsid w:val="00B7412C"/>
    <w:rsid w:val="00B74263"/>
    <w:rsid w:val="00B74292"/>
    <w:rsid w:val="00B742D6"/>
    <w:rsid w:val="00B74348"/>
    <w:rsid w:val="00B74584"/>
    <w:rsid w:val="00B7459B"/>
    <w:rsid w:val="00B7459F"/>
    <w:rsid w:val="00B74621"/>
    <w:rsid w:val="00B7465F"/>
    <w:rsid w:val="00B74845"/>
    <w:rsid w:val="00B748B8"/>
    <w:rsid w:val="00B7499F"/>
    <w:rsid w:val="00B74A4B"/>
    <w:rsid w:val="00B74A92"/>
    <w:rsid w:val="00B74B07"/>
    <w:rsid w:val="00B74C5A"/>
    <w:rsid w:val="00B74FC2"/>
    <w:rsid w:val="00B75590"/>
    <w:rsid w:val="00B755D9"/>
    <w:rsid w:val="00B7574D"/>
    <w:rsid w:val="00B75765"/>
    <w:rsid w:val="00B757B5"/>
    <w:rsid w:val="00B75BF6"/>
    <w:rsid w:val="00B75CC0"/>
    <w:rsid w:val="00B75D1A"/>
    <w:rsid w:val="00B75DA1"/>
    <w:rsid w:val="00B75EBC"/>
    <w:rsid w:val="00B75EF6"/>
    <w:rsid w:val="00B761C5"/>
    <w:rsid w:val="00B766AA"/>
    <w:rsid w:val="00B76D0C"/>
    <w:rsid w:val="00B76F55"/>
    <w:rsid w:val="00B7703D"/>
    <w:rsid w:val="00B771F4"/>
    <w:rsid w:val="00B773A1"/>
    <w:rsid w:val="00B773A9"/>
    <w:rsid w:val="00B773C0"/>
    <w:rsid w:val="00B773E9"/>
    <w:rsid w:val="00B773F5"/>
    <w:rsid w:val="00B774C1"/>
    <w:rsid w:val="00B7756A"/>
    <w:rsid w:val="00B77633"/>
    <w:rsid w:val="00B7763D"/>
    <w:rsid w:val="00B801B5"/>
    <w:rsid w:val="00B8035E"/>
    <w:rsid w:val="00B8054A"/>
    <w:rsid w:val="00B8068C"/>
    <w:rsid w:val="00B807C2"/>
    <w:rsid w:val="00B8087E"/>
    <w:rsid w:val="00B80960"/>
    <w:rsid w:val="00B80DAF"/>
    <w:rsid w:val="00B80F81"/>
    <w:rsid w:val="00B8104B"/>
    <w:rsid w:val="00B81070"/>
    <w:rsid w:val="00B813AB"/>
    <w:rsid w:val="00B81624"/>
    <w:rsid w:val="00B81EB1"/>
    <w:rsid w:val="00B82038"/>
    <w:rsid w:val="00B8204F"/>
    <w:rsid w:val="00B824D8"/>
    <w:rsid w:val="00B82507"/>
    <w:rsid w:val="00B82629"/>
    <w:rsid w:val="00B82665"/>
    <w:rsid w:val="00B826D6"/>
    <w:rsid w:val="00B8277C"/>
    <w:rsid w:val="00B8287B"/>
    <w:rsid w:val="00B8289D"/>
    <w:rsid w:val="00B828A0"/>
    <w:rsid w:val="00B82A1E"/>
    <w:rsid w:val="00B82C09"/>
    <w:rsid w:val="00B82D39"/>
    <w:rsid w:val="00B82F58"/>
    <w:rsid w:val="00B82F66"/>
    <w:rsid w:val="00B82F8A"/>
    <w:rsid w:val="00B83016"/>
    <w:rsid w:val="00B8321C"/>
    <w:rsid w:val="00B838E2"/>
    <w:rsid w:val="00B839EA"/>
    <w:rsid w:val="00B83A09"/>
    <w:rsid w:val="00B83A87"/>
    <w:rsid w:val="00B83C50"/>
    <w:rsid w:val="00B83D22"/>
    <w:rsid w:val="00B83F14"/>
    <w:rsid w:val="00B841FC"/>
    <w:rsid w:val="00B844D4"/>
    <w:rsid w:val="00B8453D"/>
    <w:rsid w:val="00B8474A"/>
    <w:rsid w:val="00B8478B"/>
    <w:rsid w:val="00B84A00"/>
    <w:rsid w:val="00B84A50"/>
    <w:rsid w:val="00B84AB7"/>
    <w:rsid w:val="00B84FE6"/>
    <w:rsid w:val="00B854E6"/>
    <w:rsid w:val="00B8572C"/>
    <w:rsid w:val="00B858A3"/>
    <w:rsid w:val="00B85B02"/>
    <w:rsid w:val="00B85CF4"/>
    <w:rsid w:val="00B85CF9"/>
    <w:rsid w:val="00B85DA8"/>
    <w:rsid w:val="00B85E0B"/>
    <w:rsid w:val="00B85F2F"/>
    <w:rsid w:val="00B85F62"/>
    <w:rsid w:val="00B8614B"/>
    <w:rsid w:val="00B8620D"/>
    <w:rsid w:val="00B86360"/>
    <w:rsid w:val="00B863FF"/>
    <w:rsid w:val="00B8654D"/>
    <w:rsid w:val="00B86734"/>
    <w:rsid w:val="00B86830"/>
    <w:rsid w:val="00B86B98"/>
    <w:rsid w:val="00B86BBD"/>
    <w:rsid w:val="00B86C21"/>
    <w:rsid w:val="00B86D03"/>
    <w:rsid w:val="00B86D32"/>
    <w:rsid w:val="00B86DA9"/>
    <w:rsid w:val="00B86E64"/>
    <w:rsid w:val="00B86EAA"/>
    <w:rsid w:val="00B86F63"/>
    <w:rsid w:val="00B872BF"/>
    <w:rsid w:val="00B873C4"/>
    <w:rsid w:val="00B87455"/>
    <w:rsid w:val="00B877F4"/>
    <w:rsid w:val="00B878B3"/>
    <w:rsid w:val="00B87A47"/>
    <w:rsid w:val="00B87B1E"/>
    <w:rsid w:val="00B9005C"/>
    <w:rsid w:val="00B90193"/>
    <w:rsid w:val="00B9024B"/>
    <w:rsid w:val="00B903D7"/>
    <w:rsid w:val="00B9049D"/>
    <w:rsid w:val="00B9055C"/>
    <w:rsid w:val="00B90659"/>
    <w:rsid w:val="00B906C6"/>
    <w:rsid w:val="00B909CD"/>
    <w:rsid w:val="00B90A39"/>
    <w:rsid w:val="00B90B04"/>
    <w:rsid w:val="00B90B4A"/>
    <w:rsid w:val="00B90D09"/>
    <w:rsid w:val="00B90D40"/>
    <w:rsid w:val="00B90E2A"/>
    <w:rsid w:val="00B90E32"/>
    <w:rsid w:val="00B90F5A"/>
    <w:rsid w:val="00B90F8D"/>
    <w:rsid w:val="00B91318"/>
    <w:rsid w:val="00B91343"/>
    <w:rsid w:val="00B91370"/>
    <w:rsid w:val="00B9162D"/>
    <w:rsid w:val="00B9167F"/>
    <w:rsid w:val="00B917CE"/>
    <w:rsid w:val="00B917EA"/>
    <w:rsid w:val="00B918AE"/>
    <w:rsid w:val="00B91BE6"/>
    <w:rsid w:val="00B91E5A"/>
    <w:rsid w:val="00B91EF5"/>
    <w:rsid w:val="00B921C5"/>
    <w:rsid w:val="00B921DF"/>
    <w:rsid w:val="00B92443"/>
    <w:rsid w:val="00B925A8"/>
    <w:rsid w:val="00B92895"/>
    <w:rsid w:val="00B929A5"/>
    <w:rsid w:val="00B92DAF"/>
    <w:rsid w:val="00B92EA4"/>
    <w:rsid w:val="00B92F0C"/>
    <w:rsid w:val="00B935AC"/>
    <w:rsid w:val="00B9384F"/>
    <w:rsid w:val="00B938C1"/>
    <w:rsid w:val="00B93CA9"/>
    <w:rsid w:val="00B93DB8"/>
    <w:rsid w:val="00B93F72"/>
    <w:rsid w:val="00B940A2"/>
    <w:rsid w:val="00B94102"/>
    <w:rsid w:val="00B9420B"/>
    <w:rsid w:val="00B942B8"/>
    <w:rsid w:val="00B944BD"/>
    <w:rsid w:val="00B944C8"/>
    <w:rsid w:val="00B945B5"/>
    <w:rsid w:val="00B94939"/>
    <w:rsid w:val="00B94981"/>
    <w:rsid w:val="00B94A47"/>
    <w:rsid w:val="00B94A53"/>
    <w:rsid w:val="00B94AB4"/>
    <w:rsid w:val="00B94BEA"/>
    <w:rsid w:val="00B94E2B"/>
    <w:rsid w:val="00B94E68"/>
    <w:rsid w:val="00B94F7D"/>
    <w:rsid w:val="00B950AD"/>
    <w:rsid w:val="00B9512E"/>
    <w:rsid w:val="00B95148"/>
    <w:rsid w:val="00B9549A"/>
    <w:rsid w:val="00B954E6"/>
    <w:rsid w:val="00B9581C"/>
    <w:rsid w:val="00B95854"/>
    <w:rsid w:val="00B95A0B"/>
    <w:rsid w:val="00B95A12"/>
    <w:rsid w:val="00B95A8A"/>
    <w:rsid w:val="00B95B52"/>
    <w:rsid w:val="00B95E0C"/>
    <w:rsid w:val="00B95E92"/>
    <w:rsid w:val="00B95F2D"/>
    <w:rsid w:val="00B95F49"/>
    <w:rsid w:val="00B95F9F"/>
    <w:rsid w:val="00B96031"/>
    <w:rsid w:val="00B96139"/>
    <w:rsid w:val="00B96336"/>
    <w:rsid w:val="00B963E2"/>
    <w:rsid w:val="00B96521"/>
    <w:rsid w:val="00B965D1"/>
    <w:rsid w:val="00B969F9"/>
    <w:rsid w:val="00B96B01"/>
    <w:rsid w:val="00B96F63"/>
    <w:rsid w:val="00B970BA"/>
    <w:rsid w:val="00B971DD"/>
    <w:rsid w:val="00B972FA"/>
    <w:rsid w:val="00B9737F"/>
    <w:rsid w:val="00B976B0"/>
    <w:rsid w:val="00B978DF"/>
    <w:rsid w:val="00B97992"/>
    <w:rsid w:val="00B97C7A"/>
    <w:rsid w:val="00B97E1B"/>
    <w:rsid w:val="00BA016B"/>
    <w:rsid w:val="00BA054F"/>
    <w:rsid w:val="00BA0576"/>
    <w:rsid w:val="00BA0848"/>
    <w:rsid w:val="00BA08C0"/>
    <w:rsid w:val="00BA08E4"/>
    <w:rsid w:val="00BA0A1E"/>
    <w:rsid w:val="00BA0D0A"/>
    <w:rsid w:val="00BA0F1E"/>
    <w:rsid w:val="00BA131D"/>
    <w:rsid w:val="00BA1365"/>
    <w:rsid w:val="00BA142C"/>
    <w:rsid w:val="00BA1590"/>
    <w:rsid w:val="00BA16F3"/>
    <w:rsid w:val="00BA1B69"/>
    <w:rsid w:val="00BA1B82"/>
    <w:rsid w:val="00BA1DFF"/>
    <w:rsid w:val="00BA1E46"/>
    <w:rsid w:val="00BA20DC"/>
    <w:rsid w:val="00BA2327"/>
    <w:rsid w:val="00BA23C3"/>
    <w:rsid w:val="00BA2400"/>
    <w:rsid w:val="00BA2532"/>
    <w:rsid w:val="00BA2938"/>
    <w:rsid w:val="00BA29CB"/>
    <w:rsid w:val="00BA2BEE"/>
    <w:rsid w:val="00BA2CB4"/>
    <w:rsid w:val="00BA2D03"/>
    <w:rsid w:val="00BA2E7C"/>
    <w:rsid w:val="00BA2EE5"/>
    <w:rsid w:val="00BA2F09"/>
    <w:rsid w:val="00BA3002"/>
    <w:rsid w:val="00BA30E0"/>
    <w:rsid w:val="00BA332C"/>
    <w:rsid w:val="00BA3369"/>
    <w:rsid w:val="00BA3468"/>
    <w:rsid w:val="00BA35F3"/>
    <w:rsid w:val="00BA371C"/>
    <w:rsid w:val="00BA3930"/>
    <w:rsid w:val="00BA3BF2"/>
    <w:rsid w:val="00BA3E92"/>
    <w:rsid w:val="00BA4036"/>
    <w:rsid w:val="00BA4281"/>
    <w:rsid w:val="00BA43A4"/>
    <w:rsid w:val="00BA43C4"/>
    <w:rsid w:val="00BA453E"/>
    <w:rsid w:val="00BA4981"/>
    <w:rsid w:val="00BA49B5"/>
    <w:rsid w:val="00BA4A48"/>
    <w:rsid w:val="00BA4A4F"/>
    <w:rsid w:val="00BA4B38"/>
    <w:rsid w:val="00BA4C05"/>
    <w:rsid w:val="00BA4FB5"/>
    <w:rsid w:val="00BA506B"/>
    <w:rsid w:val="00BA50CC"/>
    <w:rsid w:val="00BA5256"/>
    <w:rsid w:val="00BA5506"/>
    <w:rsid w:val="00BA56C6"/>
    <w:rsid w:val="00BA5F5B"/>
    <w:rsid w:val="00BA5F62"/>
    <w:rsid w:val="00BA5F70"/>
    <w:rsid w:val="00BA5F79"/>
    <w:rsid w:val="00BA6021"/>
    <w:rsid w:val="00BA6221"/>
    <w:rsid w:val="00BA643D"/>
    <w:rsid w:val="00BA644A"/>
    <w:rsid w:val="00BA6652"/>
    <w:rsid w:val="00BA68B0"/>
    <w:rsid w:val="00BA6BC6"/>
    <w:rsid w:val="00BA6E68"/>
    <w:rsid w:val="00BA6E72"/>
    <w:rsid w:val="00BA6EEC"/>
    <w:rsid w:val="00BA6F21"/>
    <w:rsid w:val="00BA74A3"/>
    <w:rsid w:val="00BA77EA"/>
    <w:rsid w:val="00BA7894"/>
    <w:rsid w:val="00BA7941"/>
    <w:rsid w:val="00BA7A50"/>
    <w:rsid w:val="00BA7B07"/>
    <w:rsid w:val="00BA7F80"/>
    <w:rsid w:val="00BA7FBD"/>
    <w:rsid w:val="00BB043A"/>
    <w:rsid w:val="00BB047D"/>
    <w:rsid w:val="00BB061C"/>
    <w:rsid w:val="00BB065A"/>
    <w:rsid w:val="00BB084C"/>
    <w:rsid w:val="00BB09EA"/>
    <w:rsid w:val="00BB0E30"/>
    <w:rsid w:val="00BB0E99"/>
    <w:rsid w:val="00BB128B"/>
    <w:rsid w:val="00BB1633"/>
    <w:rsid w:val="00BB166E"/>
    <w:rsid w:val="00BB183B"/>
    <w:rsid w:val="00BB1A6F"/>
    <w:rsid w:val="00BB1A83"/>
    <w:rsid w:val="00BB1B98"/>
    <w:rsid w:val="00BB1DDC"/>
    <w:rsid w:val="00BB1E43"/>
    <w:rsid w:val="00BB1FE2"/>
    <w:rsid w:val="00BB23C2"/>
    <w:rsid w:val="00BB27DA"/>
    <w:rsid w:val="00BB3005"/>
    <w:rsid w:val="00BB319B"/>
    <w:rsid w:val="00BB337D"/>
    <w:rsid w:val="00BB339E"/>
    <w:rsid w:val="00BB3501"/>
    <w:rsid w:val="00BB350B"/>
    <w:rsid w:val="00BB368A"/>
    <w:rsid w:val="00BB374A"/>
    <w:rsid w:val="00BB374E"/>
    <w:rsid w:val="00BB3850"/>
    <w:rsid w:val="00BB391C"/>
    <w:rsid w:val="00BB3964"/>
    <w:rsid w:val="00BB39E6"/>
    <w:rsid w:val="00BB3C3F"/>
    <w:rsid w:val="00BB3FED"/>
    <w:rsid w:val="00BB4328"/>
    <w:rsid w:val="00BB4741"/>
    <w:rsid w:val="00BB4954"/>
    <w:rsid w:val="00BB4B3B"/>
    <w:rsid w:val="00BB4BD1"/>
    <w:rsid w:val="00BB4CD5"/>
    <w:rsid w:val="00BB4E3E"/>
    <w:rsid w:val="00BB4EC8"/>
    <w:rsid w:val="00BB5050"/>
    <w:rsid w:val="00BB5066"/>
    <w:rsid w:val="00BB51FF"/>
    <w:rsid w:val="00BB5238"/>
    <w:rsid w:val="00BB52AD"/>
    <w:rsid w:val="00BB57F3"/>
    <w:rsid w:val="00BB580E"/>
    <w:rsid w:val="00BB585B"/>
    <w:rsid w:val="00BB592A"/>
    <w:rsid w:val="00BB5944"/>
    <w:rsid w:val="00BB5E69"/>
    <w:rsid w:val="00BB5E74"/>
    <w:rsid w:val="00BB5FDA"/>
    <w:rsid w:val="00BB6048"/>
    <w:rsid w:val="00BB6067"/>
    <w:rsid w:val="00BB63A7"/>
    <w:rsid w:val="00BB697F"/>
    <w:rsid w:val="00BB6AF1"/>
    <w:rsid w:val="00BB6E45"/>
    <w:rsid w:val="00BB7034"/>
    <w:rsid w:val="00BB7153"/>
    <w:rsid w:val="00BB71A3"/>
    <w:rsid w:val="00BB71B8"/>
    <w:rsid w:val="00BB72FA"/>
    <w:rsid w:val="00BB7381"/>
    <w:rsid w:val="00BB73B5"/>
    <w:rsid w:val="00BB7444"/>
    <w:rsid w:val="00BB75B9"/>
    <w:rsid w:val="00BB779C"/>
    <w:rsid w:val="00BB78F8"/>
    <w:rsid w:val="00BB79C2"/>
    <w:rsid w:val="00BB79FE"/>
    <w:rsid w:val="00BB7B07"/>
    <w:rsid w:val="00BB7BE1"/>
    <w:rsid w:val="00BB7D80"/>
    <w:rsid w:val="00BB7F0D"/>
    <w:rsid w:val="00BC0298"/>
    <w:rsid w:val="00BC03F6"/>
    <w:rsid w:val="00BC042D"/>
    <w:rsid w:val="00BC06E9"/>
    <w:rsid w:val="00BC0B52"/>
    <w:rsid w:val="00BC126B"/>
    <w:rsid w:val="00BC138D"/>
    <w:rsid w:val="00BC17AB"/>
    <w:rsid w:val="00BC1DDD"/>
    <w:rsid w:val="00BC1FB7"/>
    <w:rsid w:val="00BC1FE0"/>
    <w:rsid w:val="00BC22C2"/>
    <w:rsid w:val="00BC22FE"/>
    <w:rsid w:val="00BC2302"/>
    <w:rsid w:val="00BC2594"/>
    <w:rsid w:val="00BC2929"/>
    <w:rsid w:val="00BC2993"/>
    <w:rsid w:val="00BC29A6"/>
    <w:rsid w:val="00BC2B76"/>
    <w:rsid w:val="00BC2C04"/>
    <w:rsid w:val="00BC2F1A"/>
    <w:rsid w:val="00BC30F2"/>
    <w:rsid w:val="00BC31C4"/>
    <w:rsid w:val="00BC333F"/>
    <w:rsid w:val="00BC33E6"/>
    <w:rsid w:val="00BC3649"/>
    <w:rsid w:val="00BC36B3"/>
    <w:rsid w:val="00BC38BA"/>
    <w:rsid w:val="00BC3A41"/>
    <w:rsid w:val="00BC3BDD"/>
    <w:rsid w:val="00BC3DAA"/>
    <w:rsid w:val="00BC3DE9"/>
    <w:rsid w:val="00BC3E72"/>
    <w:rsid w:val="00BC3F95"/>
    <w:rsid w:val="00BC4020"/>
    <w:rsid w:val="00BC4159"/>
    <w:rsid w:val="00BC4C32"/>
    <w:rsid w:val="00BC4CE1"/>
    <w:rsid w:val="00BC4D2C"/>
    <w:rsid w:val="00BC4E7E"/>
    <w:rsid w:val="00BC4F17"/>
    <w:rsid w:val="00BC4FEC"/>
    <w:rsid w:val="00BC538A"/>
    <w:rsid w:val="00BC559E"/>
    <w:rsid w:val="00BC5702"/>
    <w:rsid w:val="00BC57F4"/>
    <w:rsid w:val="00BC58D4"/>
    <w:rsid w:val="00BC5A6A"/>
    <w:rsid w:val="00BC5BE8"/>
    <w:rsid w:val="00BC5C1F"/>
    <w:rsid w:val="00BC5CEC"/>
    <w:rsid w:val="00BC5D8C"/>
    <w:rsid w:val="00BC5DD7"/>
    <w:rsid w:val="00BC5E4B"/>
    <w:rsid w:val="00BC5EEC"/>
    <w:rsid w:val="00BC60C4"/>
    <w:rsid w:val="00BC63A5"/>
    <w:rsid w:val="00BC692E"/>
    <w:rsid w:val="00BC6953"/>
    <w:rsid w:val="00BC6A7C"/>
    <w:rsid w:val="00BC6CC6"/>
    <w:rsid w:val="00BC6FF8"/>
    <w:rsid w:val="00BC702E"/>
    <w:rsid w:val="00BC71C4"/>
    <w:rsid w:val="00BC75A3"/>
    <w:rsid w:val="00BC75A4"/>
    <w:rsid w:val="00BC7672"/>
    <w:rsid w:val="00BC772C"/>
    <w:rsid w:val="00BC7792"/>
    <w:rsid w:val="00BC7C8C"/>
    <w:rsid w:val="00BC7C8D"/>
    <w:rsid w:val="00BC7D38"/>
    <w:rsid w:val="00BC7D81"/>
    <w:rsid w:val="00BC7D98"/>
    <w:rsid w:val="00BC7E12"/>
    <w:rsid w:val="00BC7E23"/>
    <w:rsid w:val="00BC7E8D"/>
    <w:rsid w:val="00BC7EDA"/>
    <w:rsid w:val="00BC7FC2"/>
    <w:rsid w:val="00BD0285"/>
    <w:rsid w:val="00BD0387"/>
    <w:rsid w:val="00BD045A"/>
    <w:rsid w:val="00BD05B3"/>
    <w:rsid w:val="00BD0710"/>
    <w:rsid w:val="00BD0741"/>
    <w:rsid w:val="00BD086B"/>
    <w:rsid w:val="00BD0AE5"/>
    <w:rsid w:val="00BD0F84"/>
    <w:rsid w:val="00BD0FF1"/>
    <w:rsid w:val="00BD10F8"/>
    <w:rsid w:val="00BD1250"/>
    <w:rsid w:val="00BD1287"/>
    <w:rsid w:val="00BD13F3"/>
    <w:rsid w:val="00BD1633"/>
    <w:rsid w:val="00BD1716"/>
    <w:rsid w:val="00BD18A1"/>
    <w:rsid w:val="00BD197A"/>
    <w:rsid w:val="00BD1A70"/>
    <w:rsid w:val="00BD1B50"/>
    <w:rsid w:val="00BD1FAB"/>
    <w:rsid w:val="00BD2152"/>
    <w:rsid w:val="00BD21A7"/>
    <w:rsid w:val="00BD2234"/>
    <w:rsid w:val="00BD22E1"/>
    <w:rsid w:val="00BD22FE"/>
    <w:rsid w:val="00BD2632"/>
    <w:rsid w:val="00BD2806"/>
    <w:rsid w:val="00BD28C1"/>
    <w:rsid w:val="00BD28FD"/>
    <w:rsid w:val="00BD29F3"/>
    <w:rsid w:val="00BD2A0A"/>
    <w:rsid w:val="00BD2B10"/>
    <w:rsid w:val="00BD2C4B"/>
    <w:rsid w:val="00BD2D1C"/>
    <w:rsid w:val="00BD30AC"/>
    <w:rsid w:val="00BD3101"/>
    <w:rsid w:val="00BD31E0"/>
    <w:rsid w:val="00BD33D2"/>
    <w:rsid w:val="00BD353F"/>
    <w:rsid w:val="00BD360C"/>
    <w:rsid w:val="00BD3628"/>
    <w:rsid w:val="00BD3777"/>
    <w:rsid w:val="00BD3780"/>
    <w:rsid w:val="00BD39C2"/>
    <w:rsid w:val="00BD3A22"/>
    <w:rsid w:val="00BD3A54"/>
    <w:rsid w:val="00BD3AB9"/>
    <w:rsid w:val="00BD3C26"/>
    <w:rsid w:val="00BD3EEC"/>
    <w:rsid w:val="00BD40AD"/>
    <w:rsid w:val="00BD449A"/>
    <w:rsid w:val="00BD4513"/>
    <w:rsid w:val="00BD458E"/>
    <w:rsid w:val="00BD4628"/>
    <w:rsid w:val="00BD4708"/>
    <w:rsid w:val="00BD4716"/>
    <w:rsid w:val="00BD472F"/>
    <w:rsid w:val="00BD4854"/>
    <w:rsid w:val="00BD48E3"/>
    <w:rsid w:val="00BD48FA"/>
    <w:rsid w:val="00BD4B0B"/>
    <w:rsid w:val="00BD4C79"/>
    <w:rsid w:val="00BD4D2F"/>
    <w:rsid w:val="00BD4D6F"/>
    <w:rsid w:val="00BD4ED3"/>
    <w:rsid w:val="00BD5227"/>
    <w:rsid w:val="00BD53FB"/>
    <w:rsid w:val="00BD551B"/>
    <w:rsid w:val="00BD582A"/>
    <w:rsid w:val="00BD5881"/>
    <w:rsid w:val="00BD5905"/>
    <w:rsid w:val="00BD6067"/>
    <w:rsid w:val="00BD6117"/>
    <w:rsid w:val="00BD6305"/>
    <w:rsid w:val="00BD64FB"/>
    <w:rsid w:val="00BD67FD"/>
    <w:rsid w:val="00BD6A22"/>
    <w:rsid w:val="00BD6A5C"/>
    <w:rsid w:val="00BD6D2F"/>
    <w:rsid w:val="00BD6E1A"/>
    <w:rsid w:val="00BD6E3D"/>
    <w:rsid w:val="00BD6E6C"/>
    <w:rsid w:val="00BD6EF5"/>
    <w:rsid w:val="00BD718E"/>
    <w:rsid w:val="00BD729D"/>
    <w:rsid w:val="00BD72A8"/>
    <w:rsid w:val="00BD72F0"/>
    <w:rsid w:val="00BD73D5"/>
    <w:rsid w:val="00BD743C"/>
    <w:rsid w:val="00BD7885"/>
    <w:rsid w:val="00BD7996"/>
    <w:rsid w:val="00BD7A5F"/>
    <w:rsid w:val="00BD7CF1"/>
    <w:rsid w:val="00BD7FEF"/>
    <w:rsid w:val="00BE009F"/>
    <w:rsid w:val="00BE00D1"/>
    <w:rsid w:val="00BE0262"/>
    <w:rsid w:val="00BE029A"/>
    <w:rsid w:val="00BE0323"/>
    <w:rsid w:val="00BE04AC"/>
    <w:rsid w:val="00BE04FB"/>
    <w:rsid w:val="00BE0603"/>
    <w:rsid w:val="00BE092C"/>
    <w:rsid w:val="00BE0EDC"/>
    <w:rsid w:val="00BE0EE3"/>
    <w:rsid w:val="00BE0F8D"/>
    <w:rsid w:val="00BE11F7"/>
    <w:rsid w:val="00BE17A7"/>
    <w:rsid w:val="00BE180C"/>
    <w:rsid w:val="00BE1B84"/>
    <w:rsid w:val="00BE1BD3"/>
    <w:rsid w:val="00BE1C68"/>
    <w:rsid w:val="00BE1D81"/>
    <w:rsid w:val="00BE2231"/>
    <w:rsid w:val="00BE2253"/>
    <w:rsid w:val="00BE24AC"/>
    <w:rsid w:val="00BE2511"/>
    <w:rsid w:val="00BE2523"/>
    <w:rsid w:val="00BE26FD"/>
    <w:rsid w:val="00BE2A39"/>
    <w:rsid w:val="00BE2DD7"/>
    <w:rsid w:val="00BE2F77"/>
    <w:rsid w:val="00BE2FD7"/>
    <w:rsid w:val="00BE3041"/>
    <w:rsid w:val="00BE3048"/>
    <w:rsid w:val="00BE309A"/>
    <w:rsid w:val="00BE3174"/>
    <w:rsid w:val="00BE32B4"/>
    <w:rsid w:val="00BE33F3"/>
    <w:rsid w:val="00BE3714"/>
    <w:rsid w:val="00BE3747"/>
    <w:rsid w:val="00BE37DD"/>
    <w:rsid w:val="00BE3854"/>
    <w:rsid w:val="00BE38F1"/>
    <w:rsid w:val="00BE39DE"/>
    <w:rsid w:val="00BE3EE7"/>
    <w:rsid w:val="00BE400F"/>
    <w:rsid w:val="00BE43BB"/>
    <w:rsid w:val="00BE441A"/>
    <w:rsid w:val="00BE44A2"/>
    <w:rsid w:val="00BE4777"/>
    <w:rsid w:val="00BE4A66"/>
    <w:rsid w:val="00BE4BE3"/>
    <w:rsid w:val="00BE4D2E"/>
    <w:rsid w:val="00BE4F87"/>
    <w:rsid w:val="00BE50CC"/>
    <w:rsid w:val="00BE51D6"/>
    <w:rsid w:val="00BE52B7"/>
    <w:rsid w:val="00BE545B"/>
    <w:rsid w:val="00BE5867"/>
    <w:rsid w:val="00BE58DA"/>
    <w:rsid w:val="00BE5C4D"/>
    <w:rsid w:val="00BE5D41"/>
    <w:rsid w:val="00BE5D58"/>
    <w:rsid w:val="00BE5F6A"/>
    <w:rsid w:val="00BE649C"/>
    <w:rsid w:val="00BE67B2"/>
    <w:rsid w:val="00BE681A"/>
    <w:rsid w:val="00BE6A35"/>
    <w:rsid w:val="00BE6B54"/>
    <w:rsid w:val="00BE6FFC"/>
    <w:rsid w:val="00BE70D6"/>
    <w:rsid w:val="00BE726F"/>
    <w:rsid w:val="00BE7293"/>
    <w:rsid w:val="00BE731F"/>
    <w:rsid w:val="00BE759C"/>
    <w:rsid w:val="00BE76F6"/>
    <w:rsid w:val="00BE77C2"/>
    <w:rsid w:val="00BE791D"/>
    <w:rsid w:val="00BE7B7F"/>
    <w:rsid w:val="00BE7BEA"/>
    <w:rsid w:val="00BE7D30"/>
    <w:rsid w:val="00BF006B"/>
    <w:rsid w:val="00BF00AE"/>
    <w:rsid w:val="00BF030B"/>
    <w:rsid w:val="00BF0661"/>
    <w:rsid w:val="00BF06BE"/>
    <w:rsid w:val="00BF0C95"/>
    <w:rsid w:val="00BF0D90"/>
    <w:rsid w:val="00BF0E26"/>
    <w:rsid w:val="00BF0F5B"/>
    <w:rsid w:val="00BF106D"/>
    <w:rsid w:val="00BF11ED"/>
    <w:rsid w:val="00BF1207"/>
    <w:rsid w:val="00BF13A1"/>
    <w:rsid w:val="00BF16CE"/>
    <w:rsid w:val="00BF173A"/>
    <w:rsid w:val="00BF1828"/>
    <w:rsid w:val="00BF1846"/>
    <w:rsid w:val="00BF19CC"/>
    <w:rsid w:val="00BF1A89"/>
    <w:rsid w:val="00BF1BA3"/>
    <w:rsid w:val="00BF1D12"/>
    <w:rsid w:val="00BF1EE1"/>
    <w:rsid w:val="00BF209D"/>
    <w:rsid w:val="00BF2135"/>
    <w:rsid w:val="00BF2174"/>
    <w:rsid w:val="00BF229B"/>
    <w:rsid w:val="00BF23CD"/>
    <w:rsid w:val="00BF248A"/>
    <w:rsid w:val="00BF24AB"/>
    <w:rsid w:val="00BF251D"/>
    <w:rsid w:val="00BF2562"/>
    <w:rsid w:val="00BF26A4"/>
    <w:rsid w:val="00BF275B"/>
    <w:rsid w:val="00BF281B"/>
    <w:rsid w:val="00BF2838"/>
    <w:rsid w:val="00BF2B8D"/>
    <w:rsid w:val="00BF2C90"/>
    <w:rsid w:val="00BF2E6F"/>
    <w:rsid w:val="00BF2FF8"/>
    <w:rsid w:val="00BF33AA"/>
    <w:rsid w:val="00BF3608"/>
    <w:rsid w:val="00BF3676"/>
    <w:rsid w:val="00BF3763"/>
    <w:rsid w:val="00BF37EF"/>
    <w:rsid w:val="00BF3D4C"/>
    <w:rsid w:val="00BF3DA5"/>
    <w:rsid w:val="00BF4034"/>
    <w:rsid w:val="00BF4168"/>
    <w:rsid w:val="00BF4330"/>
    <w:rsid w:val="00BF44CD"/>
    <w:rsid w:val="00BF4622"/>
    <w:rsid w:val="00BF4666"/>
    <w:rsid w:val="00BF478B"/>
    <w:rsid w:val="00BF4985"/>
    <w:rsid w:val="00BF4B30"/>
    <w:rsid w:val="00BF4B7B"/>
    <w:rsid w:val="00BF4C72"/>
    <w:rsid w:val="00BF4DA7"/>
    <w:rsid w:val="00BF4F17"/>
    <w:rsid w:val="00BF50C0"/>
    <w:rsid w:val="00BF52C4"/>
    <w:rsid w:val="00BF5343"/>
    <w:rsid w:val="00BF5477"/>
    <w:rsid w:val="00BF5559"/>
    <w:rsid w:val="00BF5612"/>
    <w:rsid w:val="00BF5800"/>
    <w:rsid w:val="00BF5825"/>
    <w:rsid w:val="00BF5A95"/>
    <w:rsid w:val="00BF5C7A"/>
    <w:rsid w:val="00BF5D92"/>
    <w:rsid w:val="00BF5DA5"/>
    <w:rsid w:val="00BF5E54"/>
    <w:rsid w:val="00BF5E9D"/>
    <w:rsid w:val="00BF5FCC"/>
    <w:rsid w:val="00BF6018"/>
    <w:rsid w:val="00BF63CD"/>
    <w:rsid w:val="00BF6663"/>
    <w:rsid w:val="00BF6700"/>
    <w:rsid w:val="00BF6850"/>
    <w:rsid w:val="00BF6C70"/>
    <w:rsid w:val="00BF6DFB"/>
    <w:rsid w:val="00BF6E68"/>
    <w:rsid w:val="00BF6E74"/>
    <w:rsid w:val="00BF6EBD"/>
    <w:rsid w:val="00BF6EBE"/>
    <w:rsid w:val="00BF6F36"/>
    <w:rsid w:val="00BF704A"/>
    <w:rsid w:val="00BF7061"/>
    <w:rsid w:val="00BF7152"/>
    <w:rsid w:val="00BF7556"/>
    <w:rsid w:val="00BF764A"/>
    <w:rsid w:val="00BF7668"/>
    <w:rsid w:val="00BF78C5"/>
    <w:rsid w:val="00BF79C4"/>
    <w:rsid w:val="00BF7A6E"/>
    <w:rsid w:val="00BF7B57"/>
    <w:rsid w:val="00BF7B58"/>
    <w:rsid w:val="00BF7CD2"/>
    <w:rsid w:val="00BF7DA6"/>
    <w:rsid w:val="00BF7E77"/>
    <w:rsid w:val="00C001D7"/>
    <w:rsid w:val="00C001E3"/>
    <w:rsid w:val="00C00257"/>
    <w:rsid w:val="00C002AC"/>
    <w:rsid w:val="00C004F0"/>
    <w:rsid w:val="00C00726"/>
    <w:rsid w:val="00C00785"/>
    <w:rsid w:val="00C00AB9"/>
    <w:rsid w:val="00C00BBC"/>
    <w:rsid w:val="00C00BF5"/>
    <w:rsid w:val="00C012DC"/>
    <w:rsid w:val="00C01331"/>
    <w:rsid w:val="00C01428"/>
    <w:rsid w:val="00C017E7"/>
    <w:rsid w:val="00C01815"/>
    <w:rsid w:val="00C01937"/>
    <w:rsid w:val="00C01A40"/>
    <w:rsid w:val="00C01A48"/>
    <w:rsid w:val="00C01BFE"/>
    <w:rsid w:val="00C01D5C"/>
    <w:rsid w:val="00C021BF"/>
    <w:rsid w:val="00C0224E"/>
    <w:rsid w:val="00C0264A"/>
    <w:rsid w:val="00C0265D"/>
    <w:rsid w:val="00C02930"/>
    <w:rsid w:val="00C02998"/>
    <w:rsid w:val="00C02AA3"/>
    <w:rsid w:val="00C02E47"/>
    <w:rsid w:val="00C02F65"/>
    <w:rsid w:val="00C03614"/>
    <w:rsid w:val="00C03644"/>
    <w:rsid w:val="00C036D9"/>
    <w:rsid w:val="00C0380C"/>
    <w:rsid w:val="00C039C4"/>
    <w:rsid w:val="00C039F5"/>
    <w:rsid w:val="00C03D0E"/>
    <w:rsid w:val="00C03DB4"/>
    <w:rsid w:val="00C03E04"/>
    <w:rsid w:val="00C03F78"/>
    <w:rsid w:val="00C04030"/>
    <w:rsid w:val="00C04059"/>
    <w:rsid w:val="00C04176"/>
    <w:rsid w:val="00C0425B"/>
    <w:rsid w:val="00C042CF"/>
    <w:rsid w:val="00C04450"/>
    <w:rsid w:val="00C044C2"/>
    <w:rsid w:val="00C04707"/>
    <w:rsid w:val="00C04A9F"/>
    <w:rsid w:val="00C04B43"/>
    <w:rsid w:val="00C05120"/>
    <w:rsid w:val="00C05235"/>
    <w:rsid w:val="00C0543D"/>
    <w:rsid w:val="00C058D8"/>
    <w:rsid w:val="00C05994"/>
    <w:rsid w:val="00C05BB4"/>
    <w:rsid w:val="00C05BBC"/>
    <w:rsid w:val="00C05CCF"/>
    <w:rsid w:val="00C05E56"/>
    <w:rsid w:val="00C05E87"/>
    <w:rsid w:val="00C05F41"/>
    <w:rsid w:val="00C060AA"/>
    <w:rsid w:val="00C0649F"/>
    <w:rsid w:val="00C064ED"/>
    <w:rsid w:val="00C065B7"/>
    <w:rsid w:val="00C06767"/>
    <w:rsid w:val="00C06831"/>
    <w:rsid w:val="00C06852"/>
    <w:rsid w:val="00C06925"/>
    <w:rsid w:val="00C06AE9"/>
    <w:rsid w:val="00C07118"/>
    <w:rsid w:val="00C07368"/>
    <w:rsid w:val="00C07AC0"/>
    <w:rsid w:val="00C07C18"/>
    <w:rsid w:val="00C07C53"/>
    <w:rsid w:val="00C1009C"/>
    <w:rsid w:val="00C101DA"/>
    <w:rsid w:val="00C105D8"/>
    <w:rsid w:val="00C10AC8"/>
    <w:rsid w:val="00C10C04"/>
    <w:rsid w:val="00C10F50"/>
    <w:rsid w:val="00C11121"/>
    <w:rsid w:val="00C1126E"/>
    <w:rsid w:val="00C11353"/>
    <w:rsid w:val="00C117D1"/>
    <w:rsid w:val="00C118A6"/>
    <w:rsid w:val="00C11977"/>
    <w:rsid w:val="00C11B2A"/>
    <w:rsid w:val="00C11C46"/>
    <w:rsid w:val="00C11D80"/>
    <w:rsid w:val="00C121A8"/>
    <w:rsid w:val="00C127C7"/>
    <w:rsid w:val="00C1291E"/>
    <w:rsid w:val="00C12936"/>
    <w:rsid w:val="00C12BBD"/>
    <w:rsid w:val="00C12D27"/>
    <w:rsid w:val="00C12E51"/>
    <w:rsid w:val="00C12EBE"/>
    <w:rsid w:val="00C13174"/>
    <w:rsid w:val="00C133DC"/>
    <w:rsid w:val="00C1348E"/>
    <w:rsid w:val="00C13658"/>
    <w:rsid w:val="00C139F9"/>
    <w:rsid w:val="00C13A9E"/>
    <w:rsid w:val="00C13C41"/>
    <w:rsid w:val="00C13C9C"/>
    <w:rsid w:val="00C13CDF"/>
    <w:rsid w:val="00C13CEC"/>
    <w:rsid w:val="00C13E84"/>
    <w:rsid w:val="00C13FAA"/>
    <w:rsid w:val="00C1415D"/>
    <w:rsid w:val="00C141FE"/>
    <w:rsid w:val="00C1444A"/>
    <w:rsid w:val="00C14454"/>
    <w:rsid w:val="00C144E9"/>
    <w:rsid w:val="00C14AFE"/>
    <w:rsid w:val="00C14B0E"/>
    <w:rsid w:val="00C14BB1"/>
    <w:rsid w:val="00C14D74"/>
    <w:rsid w:val="00C14E79"/>
    <w:rsid w:val="00C14EE7"/>
    <w:rsid w:val="00C14F40"/>
    <w:rsid w:val="00C1511C"/>
    <w:rsid w:val="00C1557C"/>
    <w:rsid w:val="00C15739"/>
    <w:rsid w:val="00C15773"/>
    <w:rsid w:val="00C15945"/>
    <w:rsid w:val="00C15C21"/>
    <w:rsid w:val="00C15FB8"/>
    <w:rsid w:val="00C1611E"/>
    <w:rsid w:val="00C16657"/>
    <w:rsid w:val="00C16667"/>
    <w:rsid w:val="00C16896"/>
    <w:rsid w:val="00C168FA"/>
    <w:rsid w:val="00C16B1B"/>
    <w:rsid w:val="00C16B3A"/>
    <w:rsid w:val="00C16C12"/>
    <w:rsid w:val="00C16CF2"/>
    <w:rsid w:val="00C16D8C"/>
    <w:rsid w:val="00C17063"/>
    <w:rsid w:val="00C170EA"/>
    <w:rsid w:val="00C171BB"/>
    <w:rsid w:val="00C1729F"/>
    <w:rsid w:val="00C173EF"/>
    <w:rsid w:val="00C17435"/>
    <w:rsid w:val="00C1771E"/>
    <w:rsid w:val="00C1773D"/>
    <w:rsid w:val="00C17AE7"/>
    <w:rsid w:val="00C17B49"/>
    <w:rsid w:val="00C17B91"/>
    <w:rsid w:val="00C17BAB"/>
    <w:rsid w:val="00C17CEE"/>
    <w:rsid w:val="00C17D58"/>
    <w:rsid w:val="00C17E18"/>
    <w:rsid w:val="00C200BE"/>
    <w:rsid w:val="00C206B0"/>
    <w:rsid w:val="00C209A3"/>
    <w:rsid w:val="00C20A02"/>
    <w:rsid w:val="00C20A75"/>
    <w:rsid w:val="00C20A7F"/>
    <w:rsid w:val="00C20C8E"/>
    <w:rsid w:val="00C20DA0"/>
    <w:rsid w:val="00C211F2"/>
    <w:rsid w:val="00C21268"/>
    <w:rsid w:val="00C212F9"/>
    <w:rsid w:val="00C2138F"/>
    <w:rsid w:val="00C213C2"/>
    <w:rsid w:val="00C21468"/>
    <w:rsid w:val="00C214C7"/>
    <w:rsid w:val="00C21560"/>
    <w:rsid w:val="00C2164B"/>
    <w:rsid w:val="00C217DA"/>
    <w:rsid w:val="00C218FB"/>
    <w:rsid w:val="00C2192F"/>
    <w:rsid w:val="00C21AA7"/>
    <w:rsid w:val="00C21AD0"/>
    <w:rsid w:val="00C21AEB"/>
    <w:rsid w:val="00C21B8B"/>
    <w:rsid w:val="00C21D8D"/>
    <w:rsid w:val="00C21E79"/>
    <w:rsid w:val="00C21EE4"/>
    <w:rsid w:val="00C22214"/>
    <w:rsid w:val="00C22251"/>
    <w:rsid w:val="00C22357"/>
    <w:rsid w:val="00C22580"/>
    <w:rsid w:val="00C22832"/>
    <w:rsid w:val="00C228AF"/>
    <w:rsid w:val="00C22986"/>
    <w:rsid w:val="00C229E5"/>
    <w:rsid w:val="00C22A09"/>
    <w:rsid w:val="00C22A56"/>
    <w:rsid w:val="00C22B8E"/>
    <w:rsid w:val="00C22D18"/>
    <w:rsid w:val="00C22D7A"/>
    <w:rsid w:val="00C22DB5"/>
    <w:rsid w:val="00C22DBE"/>
    <w:rsid w:val="00C22DFA"/>
    <w:rsid w:val="00C23064"/>
    <w:rsid w:val="00C230D9"/>
    <w:rsid w:val="00C230FA"/>
    <w:rsid w:val="00C231B8"/>
    <w:rsid w:val="00C231DC"/>
    <w:rsid w:val="00C23226"/>
    <w:rsid w:val="00C23234"/>
    <w:rsid w:val="00C2330B"/>
    <w:rsid w:val="00C233FA"/>
    <w:rsid w:val="00C23775"/>
    <w:rsid w:val="00C23798"/>
    <w:rsid w:val="00C23E15"/>
    <w:rsid w:val="00C24060"/>
    <w:rsid w:val="00C2438F"/>
    <w:rsid w:val="00C243C7"/>
    <w:rsid w:val="00C244D0"/>
    <w:rsid w:val="00C24643"/>
    <w:rsid w:val="00C24925"/>
    <w:rsid w:val="00C24AE6"/>
    <w:rsid w:val="00C24C6B"/>
    <w:rsid w:val="00C24F63"/>
    <w:rsid w:val="00C250EC"/>
    <w:rsid w:val="00C250FC"/>
    <w:rsid w:val="00C25255"/>
    <w:rsid w:val="00C252FC"/>
    <w:rsid w:val="00C25368"/>
    <w:rsid w:val="00C255A4"/>
    <w:rsid w:val="00C257FF"/>
    <w:rsid w:val="00C2582F"/>
    <w:rsid w:val="00C258F6"/>
    <w:rsid w:val="00C25ED6"/>
    <w:rsid w:val="00C25F36"/>
    <w:rsid w:val="00C2613A"/>
    <w:rsid w:val="00C26147"/>
    <w:rsid w:val="00C2628B"/>
    <w:rsid w:val="00C262A2"/>
    <w:rsid w:val="00C26475"/>
    <w:rsid w:val="00C2671B"/>
    <w:rsid w:val="00C2687A"/>
    <w:rsid w:val="00C26B1C"/>
    <w:rsid w:val="00C27115"/>
    <w:rsid w:val="00C2749D"/>
    <w:rsid w:val="00C27541"/>
    <w:rsid w:val="00C27662"/>
    <w:rsid w:val="00C27711"/>
    <w:rsid w:val="00C2771C"/>
    <w:rsid w:val="00C27B2B"/>
    <w:rsid w:val="00C27B8F"/>
    <w:rsid w:val="00C27D02"/>
    <w:rsid w:val="00C27D6D"/>
    <w:rsid w:val="00C27E87"/>
    <w:rsid w:val="00C27FA4"/>
    <w:rsid w:val="00C27FB5"/>
    <w:rsid w:val="00C302CE"/>
    <w:rsid w:val="00C30578"/>
    <w:rsid w:val="00C306EF"/>
    <w:rsid w:val="00C3075A"/>
    <w:rsid w:val="00C3087B"/>
    <w:rsid w:val="00C30955"/>
    <w:rsid w:val="00C30C38"/>
    <w:rsid w:val="00C30C46"/>
    <w:rsid w:val="00C30D4B"/>
    <w:rsid w:val="00C30DEA"/>
    <w:rsid w:val="00C30EE4"/>
    <w:rsid w:val="00C31045"/>
    <w:rsid w:val="00C31339"/>
    <w:rsid w:val="00C31893"/>
    <w:rsid w:val="00C319CC"/>
    <w:rsid w:val="00C31D99"/>
    <w:rsid w:val="00C31E76"/>
    <w:rsid w:val="00C32110"/>
    <w:rsid w:val="00C3211F"/>
    <w:rsid w:val="00C324C7"/>
    <w:rsid w:val="00C32645"/>
    <w:rsid w:val="00C328C9"/>
    <w:rsid w:val="00C329FE"/>
    <w:rsid w:val="00C32E15"/>
    <w:rsid w:val="00C3310F"/>
    <w:rsid w:val="00C3324D"/>
    <w:rsid w:val="00C33259"/>
    <w:rsid w:val="00C33336"/>
    <w:rsid w:val="00C334F8"/>
    <w:rsid w:val="00C3375A"/>
    <w:rsid w:val="00C337BA"/>
    <w:rsid w:val="00C338D6"/>
    <w:rsid w:val="00C33AEE"/>
    <w:rsid w:val="00C3400E"/>
    <w:rsid w:val="00C34206"/>
    <w:rsid w:val="00C3424F"/>
    <w:rsid w:val="00C343A3"/>
    <w:rsid w:val="00C3471B"/>
    <w:rsid w:val="00C3477D"/>
    <w:rsid w:val="00C347D8"/>
    <w:rsid w:val="00C347E7"/>
    <w:rsid w:val="00C3481D"/>
    <w:rsid w:val="00C349FD"/>
    <w:rsid w:val="00C34A1E"/>
    <w:rsid w:val="00C34A40"/>
    <w:rsid w:val="00C350EB"/>
    <w:rsid w:val="00C35285"/>
    <w:rsid w:val="00C354F5"/>
    <w:rsid w:val="00C35639"/>
    <w:rsid w:val="00C356BE"/>
    <w:rsid w:val="00C356E5"/>
    <w:rsid w:val="00C357D6"/>
    <w:rsid w:val="00C357ED"/>
    <w:rsid w:val="00C35A7B"/>
    <w:rsid w:val="00C35CC8"/>
    <w:rsid w:val="00C35FE9"/>
    <w:rsid w:val="00C36107"/>
    <w:rsid w:val="00C362FE"/>
    <w:rsid w:val="00C364E1"/>
    <w:rsid w:val="00C36651"/>
    <w:rsid w:val="00C366E7"/>
    <w:rsid w:val="00C3692A"/>
    <w:rsid w:val="00C36A08"/>
    <w:rsid w:val="00C36A95"/>
    <w:rsid w:val="00C36B66"/>
    <w:rsid w:val="00C36BD9"/>
    <w:rsid w:val="00C36C2E"/>
    <w:rsid w:val="00C36C7D"/>
    <w:rsid w:val="00C36CA2"/>
    <w:rsid w:val="00C36CFA"/>
    <w:rsid w:val="00C36D38"/>
    <w:rsid w:val="00C36E3B"/>
    <w:rsid w:val="00C36E73"/>
    <w:rsid w:val="00C3712A"/>
    <w:rsid w:val="00C371A7"/>
    <w:rsid w:val="00C371DB"/>
    <w:rsid w:val="00C372EB"/>
    <w:rsid w:val="00C3732D"/>
    <w:rsid w:val="00C373BB"/>
    <w:rsid w:val="00C373F2"/>
    <w:rsid w:val="00C37633"/>
    <w:rsid w:val="00C37690"/>
    <w:rsid w:val="00C3774F"/>
    <w:rsid w:val="00C40234"/>
    <w:rsid w:val="00C40329"/>
    <w:rsid w:val="00C4033D"/>
    <w:rsid w:val="00C40349"/>
    <w:rsid w:val="00C40485"/>
    <w:rsid w:val="00C40585"/>
    <w:rsid w:val="00C406B1"/>
    <w:rsid w:val="00C40BFF"/>
    <w:rsid w:val="00C40DBA"/>
    <w:rsid w:val="00C4122C"/>
    <w:rsid w:val="00C415E3"/>
    <w:rsid w:val="00C41B05"/>
    <w:rsid w:val="00C41C06"/>
    <w:rsid w:val="00C41CCC"/>
    <w:rsid w:val="00C41EEB"/>
    <w:rsid w:val="00C41F50"/>
    <w:rsid w:val="00C42010"/>
    <w:rsid w:val="00C42161"/>
    <w:rsid w:val="00C423E1"/>
    <w:rsid w:val="00C42412"/>
    <w:rsid w:val="00C425B0"/>
    <w:rsid w:val="00C42784"/>
    <w:rsid w:val="00C428DF"/>
    <w:rsid w:val="00C4296A"/>
    <w:rsid w:val="00C42C12"/>
    <w:rsid w:val="00C43017"/>
    <w:rsid w:val="00C43344"/>
    <w:rsid w:val="00C434AA"/>
    <w:rsid w:val="00C43528"/>
    <w:rsid w:val="00C43578"/>
    <w:rsid w:val="00C43821"/>
    <w:rsid w:val="00C4382D"/>
    <w:rsid w:val="00C43851"/>
    <w:rsid w:val="00C4390C"/>
    <w:rsid w:val="00C43C2C"/>
    <w:rsid w:val="00C43C79"/>
    <w:rsid w:val="00C43CD8"/>
    <w:rsid w:val="00C43D46"/>
    <w:rsid w:val="00C43EC1"/>
    <w:rsid w:val="00C43EF1"/>
    <w:rsid w:val="00C43F1E"/>
    <w:rsid w:val="00C4407A"/>
    <w:rsid w:val="00C440EF"/>
    <w:rsid w:val="00C4413D"/>
    <w:rsid w:val="00C44333"/>
    <w:rsid w:val="00C4445F"/>
    <w:rsid w:val="00C44740"/>
    <w:rsid w:val="00C44847"/>
    <w:rsid w:val="00C44904"/>
    <w:rsid w:val="00C44FF8"/>
    <w:rsid w:val="00C4509F"/>
    <w:rsid w:val="00C4519E"/>
    <w:rsid w:val="00C4520B"/>
    <w:rsid w:val="00C4520D"/>
    <w:rsid w:val="00C4561B"/>
    <w:rsid w:val="00C4586A"/>
    <w:rsid w:val="00C458DF"/>
    <w:rsid w:val="00C45B42"/>
    <w:rsid w:val="00C45D51"/>
    <w:rsid w:val="00C46394"/>
    <w:rsid w:val="00C464E6"/>
    <w:rsid w:val="00C46A3E"/>
    <w:rsid w:val="00C46AD5"/>
    <w:rsid w:val="00C46DC8"/>
    <w:rsid w:val="00C46E60"/>
    <w:rsid w:val="00C4708A"/>
    <w:rsid w:val="00C472C0"/>
    <w:rsid w:val="00C47459"/>
    <w:rsid w:val="00C474A9"/>
    <w:rsid w:val="00C47559"/>
    <w:rsid w:val="00C47809"/>
    <w:rsid w:val="00C47DB5"/>
    <w:rsid w:val="00C47EC7"/>
    <w:rsid w:val="00C47F4D"/>
    <w:rsid w:val="00C5021D"/>
    <w:rsid w:val="00C50369"/>
    <w:rsid w:val="00C509A2"/>
    <w:rsid w:val="00C50A8C"/>
    <w:rsid w:val="00C50BF3"/>
    <w:rsid w:val="00C50DEB"/>
    <w:rsid w:val="00C50E4B"/>
    <w:rsid w:val="00C50E77"/>
    <w:rsid w:val="00C50E83"/>
    <w:rsid w:val="00C50F06"/>
    <w:rsid w:val="00C511FE"/>
    <w:rsid w:val="00C5123D"/>
    <w:rsid w:val="00C51974"/>
    <w:rsid w:val="00C51A6F"/>
    <w:rsid w:val="00C51AB4"/>
    <w:rsid w:val="00C51B10"/>
    <w:rsid w:val="00C51B19"/>
    <w:rsid w:val="00C51B5D"/>
    <w:rsid w:val="00C51C82"/>
    <w:rsid w:val="00C520F3"/>
    <w:rsid w:val="00C5228A"/>
    <w:rsid w:val="00C522A3"/>
    <w:rsid w:val="00C523E1"/>
    <w:rsid w:val="00C52419"/>
    <w:rsid w:val="00C52461"/>
    <w:rsid w:val="00C527C6"/>
    <w:rsid w:val="00C52830"/>
    <w:rsid w:val="00C52B5F"/>
    <w:rsid w:val="00C52B84"/>
    <w:rsid w:val="00C52D34"/>
    <w:rsid w:val="00C52DEB"/>
    <w:rsid w:val="00C52F95"/>
    <w:rsid w:val="00C52FEA"/>
    <w:rsid w:val="00C5317C"/>
    <w:rsid w:val="00C531AD"/>
    <w:rsid w:val="00C536C4"/>
    <w:rsid w:val="00C5371B"/>
    <w:rsid w:val="00C538D0"/>
    <w:rsid w:val="00C53913"/>
    <w:rsid w:val="00C539E0"/>
    <w:rsid w:val="00C53A3A"/>
    <w:rsid w:val="00C53AE4"/>
    <w:rsid w:val="00C53B2C"/>
    <w:rsid w:val="00C53F7D"/>
    <w:rsid w:val="00C5400A"/>
    <w:rsid w:val="00C540D0"/>
    <w:rsid w:val="00C54234"/>
    <w:rsid w:val="00C54359"/>
    <w:rsid w:val="00C544F2"/>
    <w:rsid w:val="00C5451F"/>
    <w:rsid w:val="00C548AA"/>
    <w:rsid w:val="00C548B3"/>
    <w:rsid w:val="00C54D6C"/>
    <w:rsid w:val="00C54DA0"/>
    <w:rsid w:val="00C54FE1"/>
    <w:rsid w:val="00C55088"/>
    <w:rsid w:val="00C550A0"/>
    <w:rsid w:val="00C55174"/>
    <w:rsid w:val="00C55447"/>
    <w:rsid w:val="00C554C3"/>
    <w:rsid w:val="00C555DB"/>
    <w:rsid w:val="00C55893"/>
    <w:rsid w:val="00C55ABB"/>
    <w:rsid w:val="00C55D5E"/>
    <w:rsid w:val="00C55FE8"/>
    <w:rsid w:val="00C561C8"/>
    <w:rsid w:val="00C562A4"/>
    <w:rsid w:val="00C562D6"/>
    <w:rsid w:val="00C56402"/>
    <w:rsid w:val="00C564AD"/>
    <w:rsid w:val="00C566DE"/>
    <w:rsid w:val="00C56E51"/>
    <w:rsid w:val="00C56FB2"/>
    <w:rsid w:val="00C57006"/>
    <w:rsid w:val="00C5701E"/>
    <w:rsid w:val="00C571F2"/>
    <w:rsid w:val="00C57228"/>
    <w:rsid w:val="00C5737A"/>
    <w:rsid w:val="00C574C8"/>
    <w:rsid w:val="00C575C0"/>
    <w:rsid w:val="00C578BF"/>
    <w:rsid w:val="00C578FE"/>
    <w:rsid w:val="00C57923"/>
    <w:rsid w:val="00C57A54"/>
    <w:rsid w:val="00C57D31"/>
    <w:rsid w:val="00C57D69"/>
    <w:rsid w:val="00C57DF1"/>
    <w:rsid w:val="00C57ECD"/>
    <w:rsid w:val="00C57F97"/>
    <w:rsid w:val="00C60049"/>
    <w:rsid w:val="00C60056"/>
    <w:rsid w:val="00C60105"/>
    <w:rsid w:val="00C6016B"/>
    <w:rsid w:val="00C6018B"/>
    <w:rsid w:val="00C60217"/>
    <w:rsid w:val="00C60260"/>
    <w:rsid w:val="00C603A6"/>
    <w:rsid w:val="00C6049C"/>
    <w:rsid w:val="00C6056F"/>
    <w:rsid w:val="00C60674"/>
    <w:rsid w:val="00C6068E"/>
    <w:rsid w:val="00C60855"/>
    <w:rsid w:val="00C6098D"/>
    <w:rsid w:val="00C60CF2"/>
    <w:rsid w:val="00C60D26"/>
    <w:rsid w:val="00C60E16"/>
    <w:rsid w:val="00C60E29"/>
    <w:rsid w:val="00C60E39"/>
    <w:rsid w:val="00C60F29"/>
    <w:rsid w:val="00C60F45"/>
    <w:rsid w:val="00C6118C"/>
    <w:rsid w:val="00C61242"/>
    <w:rsid w:val="00C613FE"/>
    <w:rsid w:val="00C61466"/>
    <w:rsid w:val="00C616B6"/>
    <w:rsid w:val="00C617A3"/>
    <w:rsid w:val="00C61B87"/>
    <w:rsid w:val="00C61DD7"/>
    <w:rsid w:val="00C61F46"/>
    <w:rsid w:val="00C621B2"/>
    <w:rsid w:val="00C62339"/>
    <w:rsid w:val="00C6248A"/>
    <w:rsid w:val="00C624E6"/>
    <w:rsid w:val="00C62508"/>
    <w:rsid w:val="00C6252C"/>
    <w:rsid w:val="00C625F8"/>
    <w:rsid w:val="00C62664"/>
    <w:rsid w:val="00C6298A"/>
    <w:rsid w:val="00C62A39"/>
    <w:rsid w:val="00C62B2F"/>
    <w:rsid w:val="00C62BB4"/>
    <w:rsid w:val="00C62F28"/>
    <w:rsid w:val="00C630A7"/>
    <w:rsid w:val="00C63433"/>
    <w:rsid w:val="00C635EB"/>
    <w:rsid w:val="00C63654"/>
    <w:rsid w:val="00C63662"/>
    <w:rsid w:val="00C63792"/>
    <w:rsid w:val="00C6390E"/>
    <w:rsid w:val="00C639A4"/>
    <w:rsid w:val="00C63B3E"/>
    <w:rsid w:val="00C63B6D"/>
    <w:rsid w:val="00C63C1D"/>
    <w:rsid w:val="00C63C47"/>
    <w:rsid w:val="00C63D12"/>
    <w:rsid w:val="00C64659"/>
    <w:rsid w:val="00C646CB"/>
    <w:rsid w:val="00C64AA8"/>
    <w:rsid w:val="00C64B28"/>
    <w:rsid w:val="00C64E5C"/>
    <w:rsid w:val="00C64FBD"/>
    <w:rsid w:val="00C651E7"/>
    <w:rsid w:val="00C6562C"/>
    <w:rsid w:val="00C65653"/>
    <w:rsid w:val="00C65678"/>
    <w:rsid w:val="00C6582E"/>
    <w:rsid w:val="00C659C6"/>
    <w:rsid w:val="00C65B06"/>
    <w:rsid w:val="00C65C59"/>
    <w:rsid w:val="00C66097"/>
    <w:rsid w:val="00C662E3"/>
    <w:rsid w:val="00C66361"/>
    <w:rsid w:val="00C66440"/>
    <w:rsid w:val="00C66597"/>
    <w:rsid w:val="00C667E6"/>
    <w:rsid w:val="00C66852"/>
    <w:rsid w:val="00C66B56"/>
    <w:rsid w:val="00C66BF2"/>
    <w:rsid w:val="00C66DD7"/>
    <w:rsid w:val="00C66FD2"/>
    <w:rsid w:val="00C6703D"/>
    <w:rsid w:val="00C670B8"/>
    <w:rsid w:val="00C673DB"/>
    <w:rsid w:val="00C6754D"/>
    <w:rsid w:val="00C6788D"/>
    <w:rsid w:val="00C67C0D"/>
    <w:rsid w:val="00C67D7B"/>
    <w:rsid w:val="00C67E7D"/>
    <w:rsid w:val="00C70084"/>
    <w:rsid w:val="00C700F2"/>
    <w:rsid w:val="00C70242"/>
    <w:rsid w:val="00C707DE"/>
    <w:rsid w:val="00C7088A"/>
    <w:rsid w:val="00C70AE8"/>
    <w:rsid w:val="00C70C48"/>
    <w:rsid w:val="00C70D84"/>
    <w:rsid w:val="00C70E21"/>
    <w:rsid w:val="00C710CB"/>
    <w:rsid w:val="00C710D8"/>
    <w:rsid w:val="00C710DD"/>
    <w:rsid w:val="00C715AB"/>
    <w:rsid w:val="00C717ED"/>
    <w:rsid w:val="00C7181C"/>
    <w:rsid w:val="00C7184D"/>
    <w:rsid w:val="00C71B91"/>
    <w:rsid w:val="00C72094"/>
    <w:rsid w:val="00C7213B"/>
    <w:rsid w:val="00C721EE"/>
    <w:rsid w:val="00C72393"/>
    <w:rsid w:val="00C725A1"/>
    <w:rsid w:val="00C7286D"/>
    <w:rsid w:val="00C7296C"/>
    <w:rsid w:val="00C72A45"/>
    <w:rsid w:val="00C72A6D"/>
    <w:rsid w:val="00C72A78"/>
    <w:rsid w:val="00C72AA5"/>
    <w:rsid w:val="00C72AE9"/>
    <w:rsid w:val="00C72B08"/>
    <w:rsid w:val="00C72B33"/>
    <w:rsid w:val="00C72C07"/>
    <w:rsid w:val="00C72D86"/>
    <w:rsid w:val="00C735D6"/>
    <w:rsid w:val="00C737BE"/>
    <w:rsid w:val="00C73822"/>
    <w:rsid w:val="00C73889"/>
    <w:rsid w:val="00C73AB0"/>
    <w:rsid w:val="00C73AC2"/>
    <w:rsid w:val="00C73C4E"/>
    <w:rsid w:val="00C73EA8"/>
    <w:rsid w:val="00C74177"/>
    <w:rsid w:val="00C741ED"/>
    <w:rsid w:val="00C74213"/>
    <w:rsid w:val="00C74259"/>
    <w:rsid w:val="00C745C0"/>
    <w:rsid w:val="00C74829"/>
    <w:rsid w:val="00C74936"/>
    <w:rsid w:val="00C74C41"/>
    <w:rsid w:val="00C74CC8"/>
    <w:rsid w:val="00C74D48"/>
    <w:rsid w:val="00C74EFE"/>
    <w:rsid w:val="00C74F73"/>
    <w:rsid w:val="00C74FD2"/>
    <w:rsid w:val="00C7510D"/>
    <w:rsid w:val="00C751A6"/>
    <w:rsid w:val="00C7524E"/>
    <w:rsid w:val="00C754A2"/>
    <w:rsid w:val="00C7560B"/>
    <w:rsid w:val="00C75725"/>
    <w:rsid w:val="00C75726"/>
    <w:rsid w:val="00C7573F"/>
    <w:rsid w:val="00C7575E"/>
    <w:rsid w:val="00C75E58"/>
    <w:rsid w:val="00C75F34"/>
    <w:rsid w:val="00C7610B"/>
    <w:rsid w:val="00C76411"/>
    <w:rsid w:val="00C76496"/>
    <w:rsid w:val="00C7649A"/>
    <w:rsid w:val="00C764F4"/>
    <w:rsid w:val="00C76510"/>
    <w:rsid w:val="00C76590"/>
    <w:rsid w:val="00C768C1"/>
    <w:rsid w:val="00C76971"/>
    <w:rsid w:val="00C76BFE"/>
    <w:rsid w:val="00C76C65"/>
    <w:rsid w:val="00C76CEB"/>
    <w:rsid w:val="00C7705B"/>
    <w:rsid w:val="00C770F4"/>
    <w:rsid w:val="00C771E8"/>
    <w:rsid w:val="00C7748D"/>
    <w:rsid w:val="00C774C4"/>
    <w:rsid w:val="00C774CE"/>
    <w:rsid w:val="00C77A1A"/>
    <w:rsid w:val="00C77B59"/>
    <w:rsid w:val="00C77BA5"/>
    <w:rsid w:val="00C800FF"/>
    <w:rsid w:val="00C801DA"/>
    <w:rsid w:val="00C80364"/>
    <w:rsid w:val="00C803A7"/>
    <w:rsid w:val="00C80409"/>
    <w:rsid w:val="00C8061C"/>
    <w:rsid w:val="00C807F9"/>
    <w:rsid w:val="00C80959"/>
    <w:rsid w:val="00C80DC7"/>
    <w:rsid w:val="00C80DD2"/>
    <w:rsid w:val="00C80E53"/>
    <w:rsid w:val="00C80ED4"/>
    <w:rsid w:val="00C81069"/>
    <w:rsid w:val="00C81095"/>
    <w:rsid w:val="00C810D5"/>
    <w:rsid w:val="00C810E4"/>
    <w:rsid w:val="00C812BE"/>
    <w:rsid w:val="00C812CD"/>
    <w:rsid w:val="00C81468"/>
    <w:rsid w:val="00C81710"/>
    <w:rsid w:val="00C819C7"/>
    <w:rsid w:val="00C81A45"/>
    <w:rsid w:val="00C81A69"/>
    <w:rsid w:val="00C81E28"/>
    <w:rsid w:val="00C82017"/>
    <w:rsid w:val="00C8232E"/>
    <w:rsid w:val="00C8245E"/>
    <w:rsid w:val="00C82A6F"/>
    <w:rsid w:val="00C82A90"/>
    <w:rsid w:val="00C82CAE"/>
    <w:rsid w:val="00C82CC5"/>
    <w:rsid w:val="00C82D85"/>
    <w:rsid w:val="00C82E23"/>
    <w:rsid w:val="00C82F28"/>
    <w:rsid w:val="00C83220"/>
    <w:rsid w:val="00C837A0"/>
    <w:rsid w:val="00C837F5"/>
    <w:rsid w:val="00C838AC"/>
    <w:rsid w:val="00C83937"/>
    <w:rsid w:val="00C83B7B"/>
    <w:rsid w:val="00C83CBE"/>
    <w:rsid w:val="00C83F9C"/>
    <w:rsid w:val="00C84181"/>
    <w:rsid w:val="00C84189"/>
    <w:rsid w:val="00C841C8"/>
    <w:rsid w:val="00C844F4"/>
    <w:rsid w:val="00C845F4"/>
    <w:rsid w:val="00C846DA"/>
    <w:rsid w:val="00C8474B"/>
    <w:rsid w:val="00C848FA"/>
    <w:rsid w:val="00C84D27"/>
    <w:rsid w:val="00C84D3D"/>
    <w:rsid w:val="00C84D70"/>
    <w:rsid w:val="00C851A0"/>
    <w:rsid w:val="00C85678"/>
    <w:rsid w:val="00C85957"/>
    <w:rsid w:val="00C85BBE"/>
    <w:rsid w:val="00C85C80"/>
    <w:rsid w:val="00C85DFA"/>
    <w:rsid w:val="00C85E28"/>
    <w:rsid w:val="00C85FA3"/>
    <w:rsid w:val="00C8600D"/>
    <w:rsid w:val="00C860F3"/>
    <w:rsid w:val="00C86176"/>
    <w:rsid w:val="00C86404"/>
    <w:rsid w:val="00C864F2"/>
    <w:rsid w:val="00C8650F"/>
    <w:rsid w:val="00C86551"/>
    <w:rsid w:val="00C86572"/>
    <w:rsid w:val="00C8657A"/>
    <w:rsid w:val="00C86802"/>
    <w:rsid w:val="00C86E3F"/>
    <w:rsid w:val="00C87087"/>
    <w:rsid w:val="00C870C6"/>
    <w:rsid w:val="00C8731B"/>
    <w:rsid w:val="00C8732C"/>
    <w:rsid w:val="00C87492"/>
    <w:rsid w:val="00C8749F"/>
    <w:rsid w:val="00C87546"/>
    <w:rsid w:val="00C876AF"/>
    <w:rsid w:val="00C87714"/>
    <w:rsid w:val="00C8771A"/>
    <w:rsid w:val="00C87730"/>
    <w:rsid w:val="00C87923"/>
    <w:rsid w:val="00C87B56"/>
    <w:rsid w:val="00C87C0D"/>
    <w:rsid w:val="00C87CF0"/>
    <w:rsid w:val="00C87D7D"/>
    <w:rsid w:val="00C87FBE"/>
    <w:rsid w:val="00C90170"/>
    <w:rsid w:val="00C90630"/>
    <w:rsid w:val="00C906E7"/>
    <w:rsid w:val="00C908D6"/>
    <w:rsid w:val="00C90CB6"/>
    <w:rsid w:val="00C90D43"/>
    <w:rsid w:val="00C90D91"/>
    <w:rsid w:val="00C91175"/>
    <w:rsid w:val="00C911B4"/>
    <w:rsid w:val="00C914D2"/>
    <w:rsid w:val="00C91772"/>
    <w:rsid w:val="00C91880"/>
    <w:rsid w:val="00C9196A"/>
    <w:rsid w:val="00C91B2C"/>
    <w:rsid w:val="00C91C11"/>
    <w:rsid w:val="00C91D36"/>
    <w:rsid w:val="00C91F56"/>
    <w:rsid w:val="00C9203D"/>
    <w:rsid w:val="00C920AF"/>
    <w:rsid w:val="00C92207"/>
    <w:rsid w:val="00C92557"/>
    <w:rsid w:val="00C9273A"/>
    <w:rsid w:val="00C92830"/>
    <w:rsid w:val="00C92923"/>
    <w:rsid w:val="00C92A5E"/>
    <w:rsid w:val="00C92D51"/>
    <w:rsid w:val="00C92F91"/>
    <w:rsid w:val="00C92FAD"/>
    <w:rsid w:val="00C93108"/>
    <w:rsid w:val="00C93234"/>
    <w:rsid w:val="00C93269"/>
    <w:rsid w:val="00C933AA"/>
    <w:rsid w:val="00C9355C"/>
    <w:rsid w:val="00C93590"/>
    <w:rsid w:val="00C935CC"/>
    <w:rsid w:val="00C93690"/>
    <w:rsid w:val="00C93790"/>
    <w:rsid w:val="00C93847"/>
    <w:rsid w:val="00C93B52"/>
    <w:rsid w:val="00C93C79"/>
    <w:rsid w:val="00C93CB4"/>
    <w:rsid w:val="00C93D54"/>
    <w:rsid w:val="00C93E83"/>
    <w:rsid w:val="00C93ED9"/>
    <w:rsid w:val="00C94362"/>
    <w:rsid w:val="00C9443A"/>
    <w:rsid w:val="00C945B1"/>
    <w:rsid w:val="00C9468E"/>
    <w:rsid w:val="00C94757"/>
    <w:rsid w:val="00C949BC"/>
    <w:rsid w:val="00C94AD9"/>
    <w:rsid w:val="00C94D1A"/>
    <w:rsid w:val="00C94ED2"/>
    <w:rsid w:val="00C9517A"/>
    <w:rsid w:val="00C9519E"/>
    <w:rsid w:val="00C952F8"/>
    <w:rsid w:val="00C954C9"/>
    <w:rsid w:val="00C95733"/>
    <w:rsid w:val="00C958F6"/>
    <w:rsid w:val="00C95C53"/>
    <w:rsid w:val="00C95D0C"/>
    <w:rsid w:val="00C95D52"/>
    <w:rsid w:val="00C95EA2"/>
    <w:rsid w:val="00C95F7E"/>
    <w:rsid w:val="00C96391"/>
    <w:rsid w:val="00C96A5B"/>
    <w:rsid w:val="00C96D7F"/>
    <w:rsid w:val="00C97118"/>
    <w:rsid w:val="00C97992"/>
    <w:rsid w:val="00C97A09"/>
    <w:rsid w:val="00C97B77"/>
    <w:rsid w:val="00C97C0E"/>
    <w:rsid w:val="00C97D5D"/>
    <w:rsid w:val="00C97E79"/>
    <w:rsid w:val="00C97F7D"/>
    <w:rsid w:val="00CA010C"/>
    <w:rsid w:val="00CA012E"/>
    <w:rsid w:val="00CA0277"/>
    <w:rsid w:val="00CA02B8"/>
    <w:rsid w:val="00CA03A7"/>
    <w:rsid w:val="00CA05EE"/>
    <w:rsid w:val="00CA076A"/>
    <w:rsid w:val="00CA079E"/>
    <w:rsid w:val="00CA088F"/>
    <w:rsid w:val="00CA0CDC"/>
    <w:rsid w:val="00CA0F15"/>
    <w:rsid w:val="00CA0F43"/>
    <w:rsid w:val="00CA1148"/>
    <w:rsid w:val="00CA18BE"/>
    <w:rsid w:val="00CA1A63"/>
    <w:rsid w:val="00CA1A89"/>
    <w:rsid w:val="00CA1AF4"/>
    <w:rsid w:val="00CA1C2F"/>
    <w:rsid w:val="00CA1EA0"/>
    <w:rsid w:val="00CA212D"/>
    <w:rsid w:val="00CA2174"/>
    <w:rsid w:val="00CA2182"/>
    <w:rsid w:val="00CA2424"/>
    <w:rsid w:val="00CA2576"/>
    <w:rsid w:val="00CA2717"/>
    <w:rsid w:val="00CA2BDE"/>
    <w:rsid w:val="00CA2D88"/>
    <w:rsid w:val="00CA2E08"/>
    <w:rsid w:val="00CA2E9F"/>
    <w:rsid w:val="00CA2F09"/>
    <w:rsid w:val="00CA31C8"/>
    <w:rsid w:val="00CA3499"/>
    <w:rsid w:val="00CA349A"/>
    <w:rsid w:val="00CA34F6"/>
    <w:rsid w:val="00CA36A6"/>
    <w:rsid w:val="00CA378B"/>
    <w:rsid w:val="00CA3AC3"/>
    <w:rsid w:val="00CA3C10"/>
    <w:rsid w:val="00CA3F6F"/>
    <w:rsid w:val="00CA4027"/>
    <w:rsid w:val="00CA40C2"/>
    <w:rsid w:val="00CA4139"/>
    <w:rsid w:val="00CA4341"/>
    <w:rsid w:val="00CA43A4"/>
    <w:rsid w:val="00CA449F"/>
    <w:rsid w:val="00CA44A0"/>
    <w:rsid w:val="00CA4BEA"/>
    <w:rsid w:val="00CA4D34"/>
    <w:rsid w:val="00CA4DBD"/>
    <w:rsid w:val="00CA4EFB"/>
    <w:rsid w:val="00CA4F34"/>
    <w:rsid w:val="00CA4F80"/>
    <w:rsid w:val="00CA5011"/>
    <w:rsid w:val="00CA501A"/>
    <w:rsid w:val="00CA5268"/>
    <w:rsid w:val="00CA528F"/>
    <w:rsid w:val="00CA534A"/>
    <w:rsid w:val="00CA56DD"/>
    <w:rsid w:val="00CA5BCA"/>
    <w:rsid w:val="00CA601E"/>
    <w:rsid w:val="00CA6253"/>
    <w:rsid w:val="00CA6459"/>
    <w:rsid w:val="00CA672E"/>
    <w:rsid w:val="00CA68D7"/>
    <w:rsid w:val="00CA6B1D"/>
    <w:rsid w:val="00CA6C93"/>
    <w:rsid w:val="00CA6E39"/>
    <w:rsid w:val="00CA6EC5"/>
    <w:rsid w:val="00CA7045"/>
    <w:rsid w:val="00CA71DD"/>
    <w:rsid w:val="00CA7315"/>
    <w:rsid w:val="00CA76B6"/>
    <w:rsid w:val="00CA7997"/>
    <w:rsid w:val="00CA7A6E"/>
    <w:rsid w:val="00CA7C3A"/>
    <w:rsid w:val="00CA7C82"/>
    <w:rsid w:val="00CA7C8C"/>
    <w:rsid w:val="00CA7E19"/>
    <w:rsid w:val="00CB017B"/>
    <w:rsid w:val="00CB0265"/>
    <w:rsid w:val="00CB0454"/>
    <w:rsid w:val="00CB04C6"/>
    <w:rsid w:val="00CB05A7"/>
    <w:rsid w:val="00CB0674"/>
    <w:rsid w:val="00CB0707"/>
    <w:rsid w:val="00CB070B"/>
    <w:rsid w:val="00CB07D0"/>
    <w:rsid w:val="00CB0820"/>
    <w:rsid w:val="00CB0EEF"/>
    <w:rsid w:val="00CB0FC7"/>
    <w:rsid w:val="00CB0FDD"/>
    <w:rsid w:val="00CB1151"/>
    <w:rsid w:val="00CB13E8"/>
    <w:rsid w:val="00CB1747"/>
    <w:rsid w:val="00CB1A23"/>
    <w:rsid w:val="00CB1AC9"/>
    <w:rsid w:val="00CB1D1A"/>
    <w:rsid w:val="00CB1D67"/>
    <w:rsid w:val="00CB1F0F"/>
    <w:rsid w:val="00CB2278"/>
    <w:rsid w:val="00CB2300"/>
    <w:rsid w:val="00CB238D"/>
    <w:rsid w:val="00CB23AD"/>
    <w:rsid w:val="00CB2488"/>
    <w:rsid w:val="00CB2547"/>
    <w:rsid w:val="00CB27B6"/>
    <w:rsid w:val="00CB2DAE"/>
    <w:rsid w:val="00CB2E41"/>
    <w:rsid w:val="00CB32D8"/>
    <w:rsid w:val="00CB32DD"/>
    <w:rsid w:val="00CB33D1"/>
    <w:rsid w:val="00CB34F3"/>
    <w:rsid w:val="00CB350D"/>
    <w:rsid w:val="00CB366D"/>
    <w:rsid w:val="00CB3734"/>
    <w:rsid w:val="00CB38F0"/>
    <w:rsid w:val="00CB3947"/>
    <w:rsid w:val="00CB3AC5"/>
    <w:rsid w:val="00CB3B36"/>
    <w:rsid w:val="00CB3EC0"/>
    <w:rsid w:val="00CB3F3B"/>
    <w:rsid w:val="00CB419B"/>
    <w:rsid w:val="00CB41D9"/>
    <w:rsid w:val="00CB4277"/>
    <w:rsid w:val="00CB4292"/>
    <w:rsid w:val="00CB429D"/>
    <w:rsid w:val="00CB43F0"/>
    <w:rsid w:val="00CB44C7"/>
    <w:rsid w:val="00CB4520"/>
    <w:rsid w:val="00CB4656"/>
    <w:rsid w:val="00CB4699"/>
    <w:rsid w:val="00CB49A0"/>
    <w:rsid w:val="00CB4C27"/>
    <w:rsid w:val="00CB4E9F"/>
    <w:rsid w:val="00CB5251"/>
    <w:rsid w:val="00CB5262"/>
    <w:rsid w:val="00CB5339"/>
    <w:rsid w:val="00CB54B9"/>
    <w:rsid w:val="00CB54DC"/>
    <w:rsid w:val="00CB576F"/>
    <w:rsid w:val="00CB5791"/>
    <w:rsid w:val="00CB5806"/>
    <w:rsid w:val="00CB58A7"/>
    <w:rsid w:val="00CB5A74"/>
    <w:rsid w:val="00CB5ADE"/>
    <w:rsid w:val="00CB5D18"/>
    <w:rsid w:val="00CB5DF4"/>
    <w:rsid w:val="00CB5F82"/>
    <w:rsid w:val="00CB5FF5"/>
    <w:rsid w:val="00CB6038"/>
    <w:rsid w:val="00CB609B"/>
    <w:rsid w:val="00CB61E1"/>
    <w:rsid w:val="00CB6201"/>
    <w:rsid w:val="00CB629A"/>
    <w:rsid w:val="00CB6341"/>
    <w:rsid w:val="00CB65AB"/>
    <w:rsid w:val="00CB66A4"/>
    <w:rsid w:val="00CB66F4"/>
    <w:rsid w:val="00CB68FA"/>
    <w:rsid w:val="00CB6904"/>
    <w:rsid w:val="00CB6D0B"/>
    <w:rsid w:val="00CB6F08"/>
    <w:rsid w:val="00CB707A"/>
    <w:rsid w:val="00CB70FA"/>
    <w:rsid w:val="00CB7530"/>
    <w:rsid w:val="00CB755B"/>
    <w:rsid w:val="00CB76E3"/>
    <w:rsid w:val="00CB7733"/>
    <w:rsid w:val="00CB7754"/>
    <w:rsid w:val="00CB78CE"/>
    <w:rsid w:val="00CB7C50"/>
    <w:rsid w:val="00CB7C8D"/>
    <w:rsid w:val="00CC0054"/>
    <w:rsid w:val="00CC0063"/>
    <w:rsid w:val="00CC05C4"/>
    <w:rsid w:val="00CC06EB"/>
    <w:rsid w:val="00CC0825"/>
    <w:rsid w:val="00CC0968"/>
    <w:rsid w:val="00CC0D50"/>
    <w:rsid w:val="00CC0D5A"/>
    <w:rsid w:val="00CC1030"/>
    <w:rsid w:val="00CC10C5"/>
    <w:rsid w:val="00CC13E5"/>
    <w:rsid w:val="00CC18F7"/>
    <w:rsid w:val="00CC1A0D"/>
    <w:rsid w:val="00CC1AB6"/>
    <w:rsid w:val="00CC1B29"/>
    <w:rsid w:val="00CC1C88"/>
    <w:rsid w:val="00CC1E6D"/>
    <w:rsid w:val="00CC200C"/>
    <w:rsid w:val="00CC2251"/>
    <w:rsid w:val="00CC22F0"/>
    <w:rsid w:val="00CC23EE"/>
    <w:rsid w:val="00CC241E"/>
    <w:rsid w:val="00CC2734"/>
    <w:rsid w:val="00CC2B9B"/>
    <w:rsid w:val="00CC2E1B"/>
    <w:rsid w:val="00CC2E8E"/>
    <w:rsid w:val="00CC2ECF"/>
    <w:rsid w:val="00CC3112"/>
    <w:rsid w:val="00CC326A"/>
    <w:rsid w:val="00CC33D1"/>
    <w:rsid w:val="00CC34C9"/>
    <w:rsid w:val="00CC3656"/>
    <w:rsid w:val="00CC3B22"/>
    <w:rsid w:val="00CC3E8B"/>
    <w:rsid w:val="00CC3F74"/>
    <w:rsid w:val="00CC4008"/>
    <w:rsid w:val="00CC4020"/>
    <w:rsid w:val="00CC416B"/>
    <w:rsid w:val="00CC4380"/>
    <w:rsid w:val="00CC49BE"/>
    <w:rsid w:val="00CC4A27"/>
    <w:rsid w:val="00CC4B30"/>
    <w:rsid w:val="00CC4CA6"/>
    <w:rsid w:val="00CC4DA8"/>
    <w:rsid w:val="00CC50FD"/>
    <w:rsid w:val="00CC53EC"/>
    <w:rsid w:val="00CC540D"/>
    <w:rsid w:val="00CC54A0"/>
    <w:rsid w:val="00CC5516"/>
    <w:rsid w:val="00CC566D"/>
    <w:rsid w:val="00CC569D"/>
    <w:rsid w:val="00CC571E"/>
    <w:rsid w:val="00CC5932"/>
    <w:rsid w:val="00CC5ABD"/>
    <w:rsid w:val="00CC5BFA"/>
    <w:rsid w:val="00CC5CB6"/>
    <w:rsid w:val="00CC5EBD"/>
    <w:rsid w:val="00CC5F5B"/>
    <w:rsid w:val="00CC63E2"/>
    <w:rsid w:val="00CC661F"/>
    <w:rsid w:val="00CC6E7F"/>
    <w:rsid w:val="00CC6EF7"/>
    <w:rsid w:val="00CC6F93"/>
    <w:rsid w:val="00CC6FA3"/>
    <w:rsid w:val="00CC714F"/>
    <w:rsid w:val="00CC7355"/>
    <w:rsid w:val="00CC763A"/>
    <w:rsid w:val="00CC7717"/>
    <w:rsid w:val="00CC7E70"/>
    <w:rsid w:val="00CC7F66"/>
    <w:rsid w:val="00CD01C2"/>
    <w:rsid w:val="00CD03EB"/>
    <w:rsid w:val="00CD0580"/>
    <w:rsid w:val="00CD0587"/>
    <w:rsid w:val="00CD05F3"/>
    <w:rsid w:val="00CD0614"/>
    <w:rsid w:val="00CD061B"/>
    <w:rsid w:val="00CD090A"/>
    <w:rsid w:val="00CD0958"/>
    <w:rsid w:val="00CD0B8E"/>
    <w:rsid w:val="00CD0BDC"/>
    <w:rsid w:val="00CD1412"/>
    <w:rsid w:val="00CD1521"/>
    <w:rsid w:val="00CD1587"/>
    <w:rsid w:val="00CD1664"/>
    <w:rsid w:val="00CD1858"/>
    <w:rsid w:val="00CD19FC"/>
    <w:rsid w:val="00CD1BB5"/>
    <w:rsid w:val="00CD1C32"/>
    <w:rsid w:val="00CD1CB1"/>
    <w:rsid w:val="00CD1DB0"/>
    <w:rsid w:val="00CD1DB9"/>
    <w:rsid w:val="00CD2383"/>
    <w:rsid w:val="00CD251C"/>
    <w:rsid w:val="00CD26AD"/>
    <w:rsid w:val="00CD27F5"/>
    <w:rsid w:val="00CD29ED"/>
    <w:rsid w:val="00CD2C91"/>
    <w:rsid w:val="00CD2D1D"/>
    <w:rsid w:val="00CD2FC5"/>
    <w:rsid w:val="00CD3094"/>
    <w:rsid w:val="00CD3688"/>
    <w:rsid w:val="00CD3776"/>
    <w:rsid w:val="00CD386C"/>
    <w:rsid w:val="00CD3955"/>
    <w:rsid w:val="00CD39A6"/>
    <w:rsid w:val="00CD3D5F"/>
    <w:rsid w:val="00CD3D6D"/>
    <w:rsid w:val="00CD3DF9"/>
    <w:rsid w:val="00CD3E10"/>
    <w:rsid w:val="00CD3EAD"/>
    <w:rsid w:val="00CD3EBE"/>
    <w:rsid w:val="00CD41A9"/>
    <w:rsid w:val="00CD4378"/>
    <w:rsid w:val="00CD4465"/>
    <w:rsid w:val="00CD4503"/>
    <w:rsid w:val="00CD4A88"/>
    <w:rsid w:val="00CD4AA6"/>
    <w:rsid w:val="00CD4B1D"/>
    <w:rsid w:val="00CD4B4B"/>
    <w:rsid w:val="00CD4BD2"/>
    <w:rsid w:val="00CD4C18"/>
    <w:rsid w:val="00CD4DE2"/>
    <w:rsid w:val="00CD51D0"/>
    <w:rsid w:val="00CD5252"/>
    <w:rsid w:val="00CD52FF"/>
    <w:rsid w:val="00CD5451"/>
    <w:rsid w:val="00CD557B"/>
    <w:rsid w:val="00CD5633"/>
    <w:rsid w:val="00CD576B"/>
    <w:rsid w:val="00CD601E"/>
    <w:rsid w:val="00CD6089"/>
    <w:rsid w:val="00CD60B4"/>
    <w:rsid w:val="00CD6168"/>
    <w:rsid w:val="00CD6301"/>
    <w:rsid w:val="00CD636D"/>
    <w:rsid w:val="00CD6418"/>
    <w:rsid w:val="00CD65B4"/>
    <w:rsid w:val="00CD6701"/>
    <w:rsid w:val="00CD6B2C"/>
    <w:rsid w:val="00CD6CB4"/>
    <w:rsid w:val="00CD6DE9"/>
    <w:rsid w:val="00CD6F27"/>
    <w:rsid w:val="00CD7038"/>
    <w:rsid w:val="00CD71D6"/>
    <w:rsid w:val="00CD741E"/>
    <w:rsid w:val="00CD773C"/>
    <w:rsid w:val="00CD794F"/>
    <w:rsid w:val="00CD7CE1"/>
    <w:rsid w:val="00CD7DEC"/>
    <w:rsid w:val="00CD7F09"/>
    <w:rsid w:val="00CE00B9"/>
    <w:rsid w:val="00CE0816"/>
    <w:rsid w:val="00CE0A90"/>
    <w:rsid w:val="00CE0D3A"/>
    <w:rsid w:val="00CE0D5B"/>
    <w:rsid w:val="00CE0EB7"/>
    <w:rsid w:val="00CE0EC8"/>
    <w:rsid w:val="00CE0FD8"/>
    <w:rsid w:val="00CE1119"/>
    <w:rsid w:val="00CE1238"/>
    <w:rsid w:val="00CE142E"/>
    <w:rsid w:val="00CE15C0"/>
    <w:rsid w:val="00CE1901"/>
    <w:rsid w:val="00CE197D"/>
    <w:rsid w:val="00CE1AA1"/>
    <w:rsid w:val="00CE1BF7"/>
    <w:rsid w:val="00CE1C2F"/>
    <w:rsid w:val="00CE1C7E"/>
    <w:rsid w:val="00CE1C9D"/>
    <w:rsid w:val="00CE1D19"/>
    <w:rsid w:val="00CE1E00"/>
    <w:rsid w:val="00CE1F81"/>
    <w:rsid w:val="00CE2400"/>
    <w:rsid w:val="00CE278B"/>
    <w:rsid w:val="00CE2840"/>
    <w:rsid w:val="00CE2E1B"/>
    <w:rsid w:val="00CE2EB6"/>
    <w:rsid w:val="00CE2F1E"/>
    <w:rsid w:val="00CE2F75"/>
    <w:rsid w:val="00CE2F89"/>
    <w:rsid w:val="00CE30EF"/>
    <w:rsid w:val="00CE3131"/>
    <w:rsid w:val="00CE352A"/>
    <w:rsid w:val="00CE36EC"/>
    <w:rsid w:val="00CE37A2"/>
    <w:rsid w:val="00CE3A74"/>
    <w:rsid w:val="00CE3CA4"/>
    <w:rsid w:val="00CE3CD5"/>
    <w:rsid w:val="00CE408B"/>
    <w:rsid w:val="00CE411D"/>
    <w:rsid w:val="00CE41F9"/>
    <w:rsid w:val="00CE431D"/>
    <w:rsid w:val="00CE46EE"/>
    <w:rsid w:val="00CE4961"/>
    <w:rsid w:val="00CE4B8A"/>
    <w:rsid w:val="00CE4D60"/>
    <w:rsid w:val="00CE51B2"/>
    <w:rsid w:val="00CE5224"/>
    <w:rsid w:val="00CE54A4"/>
    <w:rsid w:val="00CE54EF"/>
    <w:rsid w:val="00CE5754"/>
    <w:rsid w:val="00CE57B1"/>
    <w:rsid w:val="00CE59C4"/>
    <w:rsid w:val="00CE5C71"/>
    <w:rsid w:val="00CE5D19"/>
    <w:rsid w:val="00CE5E33"/>
    <w:rsid w:val="00CE5FB7"/>
    <w:rsid w:val="00CE5FF7"/>
    <w:rsid w:val="00CE62E0"/>
    <w:rsid w:val="00CE6347"/>
    <w:rsid w:val="00CE648D"/>
    <w:rsid w:val="00CE67A5"/>
    <w:rsid w:val="00CE67D1"/>
    <w:rsid w:val="00CE68C6"/>
    <w:rsid w:val="00CE6CA2"/>
    <w:rsid w:val="00CE6DA6"/>
    <w:rsid w:val="00CE6EE5"/>
    <w:rsid w:val="00CE7332"/>
    <w:rsid w:val="00CE7903"/>
    <w:rsid w:val="00CE7921"/>
    <w:rsid w:val="00CE79BA"/>
    <w:rsid w:val="00CE79CC"/>
    <w:rsid w:val="00CE7DAA"/>
    <w:rsid w:val="00CE7EF7"/>
    <w:rsid w:val="00CF02E9"/>
    <w:rsid w:val="00CF065A"/>
    <w:rsid w:val="00CF095E"/>
    <w:rsid w:val="00CF09CB"/>
    <w:rsid w:val="00CF0CDB"/>
    <w:rsid w:val="00CF0D63"/>
    <w:rsid w:val="00CF10BF"/>
    <w:rsid w:val="00CF1753"/>
    <w:rsid w:val="00CF1802"/>
    <w:rsid w:val="00CF18A3"/>
    <w:rsid w:val="00CF19E1"/>
    <w:rsid w:val="00CF1B87"/>
    <w:rsid w:val="00CF1BC1"/>
    <w:rsid w:val="00CF1CEB"/>
    <w:rsid w:val="00CF1E54"/>
    <w:rsid w:val="00CF1F61"/>
    <w:rsid w:val="00CF207B"/>
    <w:rsid w:val="00CF2470"/>
    <w:rsid w:val="00CF255C"/>
    <w:rsid w:val="00CF2651"/>
    <w:rsid w:val="00CF2743"/>
    <w:rsid w:val="00CF2B35"/>
    <w:rsid w:val="00CF2C22"/>
    <w:rsid w:val="00CF2CF8"/>
    <w:rsid w:val="00CF3009"/>
    <w:rsid w:val="00CF300B"/>
    <w:rsid w:val="00CF306B"/>
    <w:rsid w:val="00CF307C"/>
    <w:rsid w:val="00CF3094"/>
    <w:rsid w:val="00CF3115"/>
    <w:rsid w:val="00CF323A"/>
    <w:rsid w:val="00CF32A7"/>
    <w:rsid w:val="00CF36D8"/>
    <w:rsid w:val="00CF39DB"/>
    <w:rsid w:val="00CF3B15"/>
    <w:rsid w:val="00CF3BEE"/>
    <w:rsid w:val="00CF403E"/>
    <w:rsid w:val="00CF40D7"/>
    <w:rsid w:val="00CF4198"/>
    <w:rsid w:val="00CF44EA"/>
    <w:rsid w:val="00CF48F7"/>
    <w:rsid w:val="00CF4A73"/>
    <w:rsid w:val="00CF4CFC"/>
    <w:rsid w:val="00CF4E68"/>
    <w:rsid w:val="00CF50CA"/>
    <w:rsid w:val="00CF51A6"/>
    <w:rsid w:val="00CF5426"/>
    <w:rsid w:val="00CF5534"/>
    <w:rsid w:val="00CF5594"/>
    <w:rsid w:val="00CF5691"/>
    <w:rsid w:val="00CF56F5"/>
    <w:rsid w:val="00CF593C"/>
    <w:rsid w:val="00CF59E2"/>
    <w:rsid w:val="00CF5C1D"/>
    <w:rsid w:val="00CF5F4B"/>
    <w:rsid w:val="00CF5FA2"/>
    <w:rsid w:val="00CF61DF"/>
    <w:rsid w:val="00CF641F"/>
    <w:rsid w:val="00CF6496"/>
    <w:rsid w:val="00CF65A7"/>
    <w:rsid w:val="00CF6749"/>
    <w:rsid w:val="00CF6AB5"/>
    <w:rsid w:val="00CF6B36"/>
    <w:rsid w:val="00CF6B3C"/>
    <w:rsid w:val="00CF6C41"/>
    <w:rsid w:val="00CF6DF3"/>
    <w:rsid w:val="00CF7426"/>
    <w:rsid w:val="00CF74A9"/>
    <w:rsid w:val="00CF7516"/>
    <w:rsid w:val="00CF75AC"/>
    <w:rsid w:val="00CF7C11"/>
    <w:rsid w:val="00CF7CC1"/>
    <w:rsid w:val="00CF7DE4"/>
    <w:rsid w:val="00CF7E83"/>
    <w:rsid w:val="00D000E2"/>
    <w:rsid w:val="00D00163"/>
    <w:rsid w:val="00D00458"/>
    <w:rsid w:val="00D0059F"/>
    <w:rsid w:val="00D00652"/>
    <w:rsid w:val="00D007C2"/>
    <w:rsid w:val="00D00E03"/>
    <w:rsid w:val="00D01069"/>
    <w:rsid w:val="00D010F5"/>
    <w:rsid w:val="00D013A2"/>
    <w:rsid w:val="00D01468"/>
    <w:rsid w:val="00D014E9"/>
    <w:rsid w:val="00D01654"/>
    <w:rsid w:val="00D017E7"/>
    <w:rsid w:val="00D01822"/>
    <w:rsid w:val="00D01836"/>
    <w:rsid w:val="00D01860"/>
    <w:rsid w:val="00D0193D"/>
    <w:rsid w:val="00D019A7"/>
    <w:rsid w:val="00D01BCA"/>
    <w:rsid w:val="00D022B5"/>
    <w:rsid w:val="00D022C1"/>
    <w:rsid w:val="00D024EC"/>
    <w:rsid w:val="00D026DE"/>
    <w:rsid w:val="00D026E3"/>
    <w:rsid w:val="00D02849"/>
    <w:rsid w:val="00D02A89"/>
    <w:rsid w:val="00D02D8B"/>
    <w:rsid w:val="00D02FE0"/>
    <w:rsid w:val="00D03065"/>
    <w:rsid w:val="00D030AE"/>
    <w:rsid w:val="00D030C0"/>
    <w:rsid w:val="00D031AC"/>
    <w:rsid w:val="00D032D1"/>
    <w:rsid w:val="00D0337A"/>
    <w:rsid w:val="00D033F2"/>
    <w:rsid w:val="00D034C2"/>
    <w:rsid w:val="00D038C0"/>
    <w:rsid w:val="00D03B50"/>
    <w:rsid w:val="00D03BC2"/>
    <w:rsid w:val="00D03C96"/>
    <w:rsid w:val="00D03CAA"/>
    <w:rsid w:val="00D03CE2"/>
    <w:rsid w:val="00D0443F"/>
    <w:rsid w:val="00D04444"/>
    <w:rsid w:val="00D04511"/>
    <w:rsid w:val="00D04680"/>
    <w:rsid w:val="00D046B3"/>
    <w:rsid w:val="00D047EA"/>
    <w:rsid w:val="00D04A17"/>
    <w:rsid w:val="00D04B29"/>
    <w:rsid w:val="00D04B7E"/>
    <w:rsid w:val="00D04F88"/>
    <w:rsid w:val="00D050A3"/>
    <w:rsid w:val="00D0511F"/>
    <w:rsid w:val="00D051DD"/>
    <w:rsid w:val="00D053A8"/>
    <w:rsid w:val="00D055C3"/>
    <w:rsid w:val="00D057A6"/>
    <w:rsid w:val="00D058FD"/>
    <w:rsid w:val="00D05ACD"/>
    <w:rsid w:val="00D05BF2"/>
    <w:rsid w:val="00D05C81"/>
    <w:rsid w:val="00D05CED"/>
    <w:rsid w:val="00D05EEA"/>
    <w:rsid w:val="00D060A0"/>
    <w:rsid w:val="00D0611A"/>
    <w:rsid w:val="00D06217"/>
    <w:rsid w:val="00D06357"/>
    <w:rsid w:val="00D06544"/>
    <w:rsid w:val="00D0659D"/>
    <w:rsid w:val="00D06998"/>
    <w:rsid w:val="00D069A2"/>
    <w:rsid w:val="00D06A86"/>
    <w:rsid w:val="00D06AED"/>
    <w:rsid w:val="00D06B75"/>
    <w:rsid w:val="00D06BD0"/>
    <w:rsid w:val="00D07081"/>
    <w:rsid w:val="00D072EF"/>
    <w:rsid w:val="00D07552"/>
    <w:rsid w:val="00D075E2"/>
    <w:rsid w:val="00D075EB"/>
    <w:rsid w:val="00D07644"/>
    <w:rsid w:val="00D07892"/>
    <w:rsid w:val="00D079BA"/>
    <w:rsid w:val="00D07DA4"/>
    <w:rsid w:val="00D07E6C"/>
    <w:rsid w:val="00D07F83"/>
    <w:rsid w:val="00D10013"/>
    <w:rsid w:val="00D10537"/>
    <w:rsid w:val="00D107C3"/>
    <w:rsid w:val="00D107D1"/>
    <w:rsid w:val="00D1098B"/>
    <w:rsid w:val="00D10B2D"/>
    <w:rsid w:val="00D10BCA"/>
    <w:rsid w:val="00D10C27"/>
    <w:rsid w:val="00D10F66"/>
    <w:rsid w:val="00D10FED"/>
    <w:rsid w:val="00D11090"/>
    <w:rsid w:val="00D11179"/>
    <w:rsid w:val="00D1124A"/>
    <w:rsid w:val="00D115A5"/>
    <w:rsid w:val="00D1179F"/>
    <w:rsid w:val="00D11804"/>
    <w:rsid w:val="00D11A9A"/>
    <w:rsid w:val="00D11C4D"/>
    <w:rsid w:val="00D11CA1"/>
    <w:rsid w:val="00D11D5C"/>
    <w:rsid w:val="00D11E0B"/>
    <w:rsid w:val="00D11F6F"/>
    <w:rsid w:val="00D11FDA"/>
    <w:rsid w:val="00D12032"/>
    <w:rsid w:val="00D1209E"/>
    <w:rsid w:val="00D122F1"/>
    <w:rsid w:val="00D124BC"/>
    <w:rsid w:val="00D124F4"/>
    <w:rsid w:val="00D12584"/>
    <w:rsid w:val="00D1273E"/>
    <w:rsid w:val="00D1276D"/>
    <w:rsid w:val="00D128C0"/>
    <w:rsid w:val="00D128E5"/>
    <w:rsid w:val="00D12A6A"/>
    <w:rsid w:val="00D12ACA"/>
    <w:rsid w:val="00D12B06"/>
    <w:rsid w:val="00D12C89"/>
    <w:rsid w:val="00D12C8A"/>
    <w:rsid w:val="00D12CD0"/>
    <w:rsid w:val="00D132D0"/>
    <w:rsid w:val="00D1354D"/>
    <w:rsid w:val="00D1372A"/>
    <w:rsid w:val="00D1379D"/>
    <w:rsid w:val="00D13A21"/>
    <w:rsid w:val="00D13A81"/>
    <w:rsid w:val="00D13C16"/>
    <w:rsid w:val="00D13CA4"/>
    <w:rsid w:val="00D13CDF"/>
    <w:rsid w:val="00D13DD5"/>
    <w:rsid w:val="00D13F1C"/>
    <w:rsid w:val="00D1406D"/>
    <w:rsid w:val="00D141A3"/>
    <w:rsid w:val="00D1426D"/>
    <w:rsid w:val="00D142E8"/>
    <w:rsid w:val="00D142F6"/>
    <w:rsid w:val="00D1448F"/>
    <w:rsid w:val="00D14B38"/>
    <w:rsid w:val="00D14D0B"/>
    <w:rsid w:val="00D14D65"/>
    <w:rsid w:val="00D14DBA"/>
    <w:rsid w:val="00D14F00"/>
    <w:rsid w:val="00D14F4F"/>
    <w:rsid w:val="00D1501C"/>
    <w:rsid w:val="00D154DE"/>
    <w:rsid w:val="00D155DB"/>
    <w:rsid w:val="00D156AB"/>
    <w:rsid w:val="00D158BD"/>
    <w:rsid w:val="00D15AD1"/>
    <w:rsid w:val="00D15B5F"/>
    <w:rsid w:val="00D15BC1"/>
    <w:rsid w:val="00D15D36"/>
    <w:rsid w:val="00D15D6D"/>
    <w:rsid w:val="00D15D82"/>
    <w:rsid w:val="00D15E3A"/>
    <w:rsid w:val="00D15E7D"/>
    <w:rsid w:val="00D15F36"/>
    <w:rsid w:val="00D1600E"/>
    <w:rsid w:val="00D1601B"/>
    <w:rsid w:val="00D16088"/>
    <w:rsid w:val="00D160F6"/>
    <w:rsid w:val="00D1618F"/>
    <w:rsid w:val="00D1627B"/>
    <w:rsid w:val="00D162B6"/>
    <w:rsid w:val="00D16618"/>
    <w:rsid w:val="00D16797"/>
    <w:rsid w:val="00D1685E"/>
    <w:rsid w:val="00D169AC"/>
    <w:rsid w:val="00D16A9C"/>
    <w:rsid w:val="00D16BD0"/>
    <w:rsid w:val="00D16C24"/>
    <w:rsid w:val="00D16C6F"/>
    <w:rsid w:val="00D16C7C"/>
    <w:rsid w:val="00D16CD1"/>
    <w:rsid w:val="00D1714F"/>
    <w:rsid w:val="00D17170"/>
    <w:rsid w:val="00D172B8"/>
    <w:rsid w:val="00D173AC"/>
    <w:rsid w:val="00D17407"/>
    <w:rsid w:val="00D1747B"/>
    <w:rsid w:val="00D175AC"/>
    <w:rsid w:val="00D178D4"/>
    <w:rsid w:val="00D17934"/>
    <w:rsid w:val="00D17D8D"/>
    <w:rsid w:val="00D17EE3"/>
    <w:rsid w:val="00D20279"/>
    <w:rsid w:val="00D203A9"/>
    <w:rsid w:val="00D205AB"/>
    <w:rsid w:val="00D206C6"/>
    <w:rsid w:val="00D20794"/>
    <w:rsid w:val="00D207EF"/>
    <w:rsid w:val="00D209D6"/>
    <w:rsid w:val="00D20C74"/>
    <w:rsid w:val="00D20C78"/>
    <w:rsid w:val="00D20D00"/>
    <w:rsid w:val="00D20E1A"/>
    <w:rsid w:val="00D20EBF"/>
    <w:rsid w:val="00D20EC8"/>
    <w:rsid w:val="00D2101F"/>
    <w:rsid w:val="00D211AA"/>
    <w:rsid w:val="00D21202"/>
    <w:rsid w:val="00D21250"/>
    <w:rsid w:val="00D2144A"/>
    <w:rsid w:val="00D216F1"/>
    <w:rsid w:val="00D21A37"/>
    <w:rsid w:val="00D21AAB"/>
    <w:rsid w:val="00D21AE2"/>
    <w:rsid w:val="00D21D4D"/>
    <w:rsid w:val="00D21F4B"/>
    <w:rsid w:val="00D22062"/>
    <w:rsid w:val="00D22079"/>
    <w:rsid w:val="00D22112"/>
    <w:rsid w:val="00D22152"/>
    <w:rsid w:val="00D2218F"/>
    <w:rsid w:val="00D224A9"/>
    <w:rsid w:val="00D2276C"/>
    <w:rsid w:val="00D2298A"/>
    <w:rsid w:val="00D229D7"/>
    <w:rsid w:val="00D22CD5"/>
    <w:rsid w:val="00D22DE6"/>
    <w:rsid w:val="00D22EA7"/>
    <w:rsid w:val="00D22FCC"/>
    <w:rsid w:val="00D2312B"/>
    <w:rsid w:val="00D2339B"/>
    <w:rsid w:val="00D23795"/>
    <w:rsid w:val="00D2396C"/>
    <w:rsid w:val="00D23A9F"/>
    <w:rsid w:val="00D23AFF"/>
    <w:rsid w:val="00D23BC8"/>
    <w:rsid w:val="00D23D4F"/>
    <w:rsid w:val="00D23DBD"/>
    <w:rsid w:val="00D23F09"/>
    <w:rsid w:val="00D23F84"/>
    <w:rsid w:val="00D240A5"/>
    <w:rsid w:val="00D2420D"/>
    <w:rsid w:val="00D242FF"/>
    <w:rsid w:val="00D2433D"/>
    <w:rsid w:val="00D243B5"/>
    <w:rsid w:val="00D2446E"/>
    <w:rsid w:val="00D24581"/>
    <w:rsid w:val="00D24623"/>
    <w:rsid w:val="00D24802"/>
    <w:rsid w:val="00D24A49"/>
    <w:rsid w:val="00D24A8B"/>
    <w:rsid w:val="00D24AC6"/>
    <w:rsid w:val="00D24B08"/>
    <w:rsid w:val="00D24D71"/>
    <w:rsid w:val="00D24E09"/>
    <w:rsid w:val="00D24E34"/>
    <w:rsid w:val="00D24FC3"/>
    <w:rsid w:val="00D25130"/>
    <w:rsid w:val="00D2517B"/>
    <w:rsid w:val="00D25450"/>
    <w:rsid w:val="00D25546"/>
    <w:rsid w:val="00D255E1"/>
    <w:rsid w:val="00D25818"/>
    <w:rsid w:val="00D258DC"/>
    <w:rsid w:val="00D25A51"/>
    <w:rsid w:val="00D25B23"/>
    <w:rsid w:val="00D25CE4"/>
    <w:rsid w:val="00D25EBF"/>
    <w:rsid w:val="00D26184"/>
    <w:rsid w:val="00D261D8"/>
    <w:rsid w:val="00D26216"/>
    <w:rsid w:val="00D262F0"/>
    <w:rsid w:val="00D263A4"/>
    <w:rsid w:val="00D2651C"/>
    <w:rsid w:val="00D2656D"/>
    <w:rsid w:val="00D265A9"/>
    <w:rsid w:val="00D265DE"/>
    <w:rsid w:val="00D26603"/>
    <w:rsid w:val="00D26789"/>
    <w:rsid w:val="00D268A4"/>
    <w:rsid w:val="00D269BE"/>
    <w:rsid w:val="00D26A47"/>
    <w:rsid w:val="00D26C6C"/>
    <w:rsid w:val="00D26F9C"/>
    <w:rsid w:val="00D2724D"/>
    <w:rsid w:val="00D2741A"/>
    <w:rsid w:val="00D27425"/>
    <w:rsid w:val="00D27437"/>
    <w:rsid w:val="00D27441"/>
    <w:rsid w:val="00D2754E"/>
    <w:rsid w:val="00D2776F"/>
    <w:rsid w:val="00D27779"/>
    <w:rsid w:val="00D27A36"/>
    <w:rsid w:val="00D27A47"/>
    <w:rsid w:val="00D27AD4"/>
    <w:rsid w:val="00D27B43"/>
    <w:rsid w:val="00D27B79"/>
    <w:rsid w:val="00D27C31"/>
    <w:rsid w:val="00D27DD3"/>
    <w:rsid w:val="00D27DE2"/>
    <w:rsid w:val="00D27E66"/>
    <w:rsid w:val="00D27F90"/>
    <w:rsid w:val="00D27FF1"/>
    <w:rsid w:val="00D301A6"/>
    <w:rsid w:val="00D3037F"/>
    <w:rsid w:val="00D3048A"/>
    <w:rsid w:val="00D30509"/>
    <w:rsid w:val="00D3070F"/>
    <w:rsid w:val="00D30851"/>
    <w:rsid w:val="00D308C6"/>
    <w:rsid w:val="00D30936"/>
    <w:rsid w:val="00D309E6"/>
    <w:rsid w:val="00D30C51"/>
    <w:rsid w:val="00D30D39"/>
    <w:rsid w:val="00D30F43"/>
    <w:rsid w:val="00D30FC3"/>
    <w:rsid w:val="00D3123B"/>
    <w:rsid w:val="00D312C7"/>
    <w:rsid w:val="00D312F7"/>
    <w:rsid w:val="00D313B7"/>
    <w:rsid w:val="00D313F3"/>
    <w:rsid w:val="00D3164C"/>
    <w:rsid w:val="00D31C6B"/>
    <w:rsid w:val="00D31F8C"/>
    <w:rsid w:val="00D32037"/>
    <w:rsid w:val="00D32060"/>
    <w:rsid w:val="00D32235"/>
    <w:rsid w:val="00D3253E"/>
    <w:rsid w:val="00D3282C"/>
    <w:rsid w:val="00D328A0"/>
    <w:rsid w:val="00D333EF"/>
    <w:rsid w:val="00D334E0"/>
    <w:rsid w:val="00D33533"/>
    <w:rsid w:val="00D33651"/>
    <w:rsid w:val="00D33864"/>
    <w:rsid w:val="00D3425C"/>
    <w:rsid w:val="00D34296"/>
    <w:rsid w:val="00D34414"/>
    <w:rsid w:val="00D3448C"/>
    <w:rsid w:val="00D344B5"/>
    <w:rsid w:val="00D34500"/>
    <w:rsid w:val="00D34517"/>
    <w:rsid w:val="00D3452B"/>
    <w:rsid w:val="00D34B0F"/>
    <w:rsid w:val="00D34BA6"/>
    <w:rsid w:val="00D34BF7"/>
    <w:rsid w:val="00D34C27"/>
    <w:rsid w:val="00D34F5A"/>
    <w:rsid w:val="00D34F8F"/>
    <w:rsid w:val="00D35142"/>
    <w:rsid w:val="00D35397"/>
    <w:rsid w:val="00D35409"/>
    <w:rsid w:val="00D35437"/>
    <w:rsid w:val="00D35447"/>
    <w:rsid w:val="00D35482"/>
    <w:rsid w:val="00D35685"/>
    <w:rsid w:val="00D35770"/>
    <w:rsid w:val="00D3577B"/>
    <w:rsid w:val="00D359A8"/>
    <w:rsid w:val="00D35D03"/>
    <w:rsid w:val="00D35F4A"/>
    <w:rsid w:val="00D36213"/>
    <w:rsid w:val="00D3627A"/>
    <w:rsid w:val="00D362B5"/>
    <w:rsid w:val="00D364AC"/>
    <w:rsid w:val="00D36598"/>
    <w:rsid w:val="00D365BC"/>
    <w:rsid w:val="00D365D7"/>
    <w:rsid w:val="00D365ED"/>
    <w:rsid w:val="00D36A93"/>
    <w:rsid w:val="00D36AA5"/>
    <w:rsid w:val="00D36B4F"/>
    <w:rsid w:val="00D36CAF"/>
    <w:rsid w:val="00D36E48"/>
    <w:rsid w:val="00D36E4D"/>
    <w:rsid w:val="00D36E85"/>
    <w:rsid w:val="00D3788C"/>
    <w:rsid w:val="00D37A1A"/>
    <w:rsid w:val="00D37D03"/>
    <w:rsid w:val="00D37EAE"/>
    <w:rsid w:val="00D37EB2"/>
    <w:rsid w:val="00D37F54"/>
    <w:rsid w:val="00D40335"/>
    <w:rsid w:val="00D404AE"/>
    <w:rsid w:val="00D4055B"/>
    <w:rsid w:val="00D407D3"/>
    <w:rsid w:val="00D4093C"/>
    <w:rsid w:val="00D40AAA"/>
    <w:rsid w:val="00D40B13"/>
    <w:rsid w:val="00D40D89"/>
    <w:rsid w:val="00D40E84"/>
    <w:rsid w:val="00D40EB6"/>
    <w:rsid w:val="00D40EDF"/>
    <w:rsid w:val="00D41198"/>
    <w:rsid w:val="00D41207"/>
    <w:rsid w:val="00D412A8"/>
    <w:rsid w:val="00D41799"/>
    <w:rsid w:val="00D41972"/>
    <w:rsid w:val="00D41B36"/>
    <w:rsid w:val="00D41B71"/>
    <w:rsid w:val="00D41C58"/>
    <w:rsid w:val="00D421BF"/>
    <w:rsid w:val="00D423F2"/>
    <w:rsid w:val="00D42506"/>
    <w:rsid w:val="00D4252D"/>
    <w:rsid w:val="00D42657"/>
    <w:rsid w:val="00D426B6"/>
    <w:rsid w:val="00D42716"/>
    <w:rsid w:val="00D42C5B"/>
    <w:rsid w:val="00D43265"/>
    <w:rsid w:val="00D434A7"/>
    <w:rsid w:val="00D43548"/>
    <w:rsid w:val="00D436CC"/>
    <w:rsid w:val="00D43874"/>
    <w:rsid w:val="00D439A0"/>
    <w:rsid w:val="00D43BDA"/>
    <w:rsid w:val="00D43C62"/>
    <w:rsid w:val="00D43D2E"/>
    <w:rsid w:val="00D43D67"/>
    <w:rsid w:val="00D43F09"/>
    <w:rsid w:val="00D43FC5"/>
    <w:rsid w:val="00D440AC"/>
    <w:rsid w:val="00D440B5"/>
    <w:rsid w:val="00D44135"/>
    <w:rsid w:val="00D441CE"/>
    <w:rsid w:val="00D442D1"/>
    <w:rsid w:val="00D442D3"/>
    <w:rsid w:val="00D4435C"/>
    <w:rsid w:val="00D44587"/>
    <w:rsid w:val="00D44726"/>
    <w:rsid w:val="00D44853"/>
    <w:rsid w:val="00D4485B"/>
    <w:rsid w:val="00D44D79"/>
    <w:rsid w:val="00D44E0E"/>
    <w:rsid w:val="00D44EBB"/>
    <w:rsid w:val="00D4503F"/>
    <w:rsid w:val="00D450CC"/>
    <w:rsid w:val="00D45420"/>
    <w:rsid w:val="00D45566"/>
    <w:rsid w:val="00D45733"/>
    <w:rsid w:val="00D45791"/>
    <w:rsid w:val="00D457AC"/>
    <w:rsid w:val="00D45972"/>
    <w:rsid w:val="00D459D2"/>
    <w:rsid w:val="00D45B8F"/>
    <w:rsid w:val="00D45E07"/>
    <w:rsid w:val="00D46017"/>
    <w:rsid w:val="00D46036"/>
    <w:rsid w:val="00D460C6"/>
    <w:rsid w:val="00D46165"/>
    <w:rsid w:val="00D46394"/>
    <w:rsid w:val="00D464F3"/>
    <w:rsid w:val="00D46520"/>
    <w:rsid w:val="00D465BD"/>
    <w:rsid w:val="00D46699"/>
    <w:rsid w:val="00D469E0"/>
    <w:rsid w:val="00D46C33"/>
    <w:rsid w:val="00D46CBB"/>
    <w:rsid w:val="00D46E20"/>
    <w:rsid w:val="00D46E3A"/>
    <w:rsid w:val="00D46EA3"/>
    <w:rsid w:val="00D46F5D"/>
    <w:rsid w:val="00D47117"/>
    <w:rsid w:val="00D4720E"/>
    <w:rsid w:val="00D472D9"/>
    <w:rsid w:val="00D4730A"/>
    <w:rsid w:val="00D4742F"/>
    <w:rsid w:val="00D47668"/>
    <w:rsid w:val="00D477FA"/>
    <w:rsid w:val="00D47920"/>
    <w:rsid w:val="00D479A9"/>
    <w:rsid w:val="00D479B8"/>
    <w:rsid w:val="00D47A71"/>
    <w:rsid w:val="00D47FF4"/>
    <w:rsid w:val="00D500CB"/>
    <w:rsid w:val="00D50135"/>
    <w:rsid w:val="00D50186"/>
    <w:rsid w:val="00D50471"/>
    <w:rsid w:val="00D50491"/>
    <w:rsid w:val="00D504E4"/>
    <w:rsid w:val="00D5058F"/>
    <w:rsid w:val="00D5059B"/>
    <w:rsid w:val="00D5066E"/>
    <w:rsid w:val="00D5098F"/>
    <w:rsid w:val="00D50A2C"/>
    <w:rsid w:val="00D50B8D"/>
    <w:rsid w:val="00D50F09"/>
    <w:rsid w:val="00D510BA"/>
    <w:rsid w:val="00D515C9"/>
    <w:rsid w:val="00D51876"/>
    <w:rsid w:val="00D51C77"/>
    <w:rsid w:val="00D51E7D"/>
    <w:rsid w:val="00D521E8"/>
    <w:rsid w:val="00D522E6"/>
    <w:rsid w:val="00D52429"/>
    <w:rsid w:val="00D52445"/>
    <w:rsid w:val="00D52834"/>
    <w:rsid w:val="00D52936"/>
    <w:rsid w:val="00D52BD5"/>
    <w:rsid w:val="00D52C71"/>
    <w:rsid w:val="00D52D86"/>
    <w:rsid w:val="00D52E5C"/>
    <w:rsid w:val="00D53140"/>
    <w:rsid w:val="00D534EC"/>
    <w:rsid w:val="00D538DE"/>
    <w:rsid w:val="00D538E2"/>
    <w:rsid w:val="00D538F6"/>
    <w:rsid w:val="00D53AF2"/>
    <w:rsid w:val="00D53C1C"/>
    <w:rsid w:val="00D53D10"/>
    <w:rsid w:val="00D53FE7"/>
    <w:rsid w:val="00D541A7"/>
    <w:rsid w:val="00D545C4"/>
    <w:rsid w:val="00D54859"/>
    <w:rsid w:val="00D5485E"/>
    <w:rsid w:val="00D5495B"/>
    <w:rsid w:val="00D54A29"/>
    <w:rsid w:val="00D54A35"/>
    <w:rsid w:val="00D54A72"/>
    <w:rsid w:val="00D54D2A"/>
    <w:rsid w:val="00D54D74"/>
    <w:rsid w:val="00D54E99"/>
    <w:rsid w:val="00D5505E"/>
    <w:rsid w:val="00D55272"/>
    <w:rsid w:val="00D55493"/>
    <w:rsid w:val="00D554B8"/>
    <w:rsid w:val="00D5566B"/>
    <w:rsid w:val="00D556FF"/>
    <w:rsid w:val="00D55831"/>
    <w:rsid w:val="00D55896"/>
    <w:rsid w:val="00D558AB"/>
    <w:rsid w:val="00D558B2"/>
    <w:rsid w:val="00D55ABF"/>
    <w:rsid w:val="00D55E72"/>
    <w:rsid w:val="00D55FC3"/>
    <w:rsid w:val="00D56238"/>
    <w:rsid w:val="00D5630F"/>
    <w:rsid w:val="00D566D9"/>
    <w:rsid w:val="00D56776"/>
    <w:rsid w:val="00D5679E"/>
    <w:rsid w:val="00D56B7E"/>
    <w:rsid w:val="00D56DBC"/>
    <w:rsid w:val="00D571BC"/>
    <w:rsid w:val="00D5748E"/>
    <w:rsid w:val="00D576B6"/>
    <w:rsid w:val="00D57AE7"/>
    <w:rsid w:val="00D57C9A"/>
    <w:rsid w:val="00D57D0A"/>
    <w:rsid w:val="00D57F6E"/>
    <w:rsid w:val="00D57FCB"/>
    <w:rsid w:val="00D600CC"/>
    <w:rsid w:val="00D603D7"/>
    <w:rsid w:val="00D6054A"/>
    <w:rsid w:val="00D60857"/>
    <w:rsid w:val="00D608B3"/>
    <w:rsid w:val="00D60B76"/>
    <w:rsid w:val="00D610F6"/>
    <w:rsid w:val="00D61627"/>
    <w:rsid w:val="00D6195E"/>
    <w:rsid w:val="00D61C9E"/>
    <w:rsid w:val="00D61DBD"/>
    <w:rsid w:val="00D61E01"/>
    <w:rsid w:val="00D62086"/>
    <w:rsid w:val="00D620D5"/>
    <w:rsid w:val="00D622F9"/>
    <w:rsid w:val="00D625FA"/>
    <w:rsid w:val="00D62616"/>
    <w:rsid w:val="00D6289C"/>
    <w:rsid w:val="00D6289F"/>
    <w:rsid w:val="00D629D3"/>
    <w:rsid w:val="00D62D6D"/>
    <w:rsid w:val="00D62DA1"/>
    <w:rsid w:val="00D62FAC"/>
    <w:rsid w:val="00D6303A"/>
    <w:rsid w:val="00D63075"/>
    <w:rsid w:val="00D630F2"/>
    <w:rsid w:val="00D632AD"/>
    <w:rsid w:val="00D63363"/>
    <w:rsid w:val="00D635D2"/>
    <w:rsid w:val="00D63669"/>
    <w:rsid w:val="00D636AB"/>
    <w:rsid w:val="00D63B22"/>
    <w:rsid w:val="00D63C39"/>
    <w:rsid w:val="00D63CB5"/>
    <w:rsid w:val="00D642CD"/>
    <w:rsid w:val="00D6433A"/>
    <w:rsid w:val="00D6433F"/>
    <w:rsid w:val="00D64342"/>
    <w:rsid w:val="00D645E8"/>
    <w:rsid w:val="00D6466F"/>
    <w:rsid w:val="00D6491E"/>
    <w:rsid w:val="00D64DBD"/>
    <w:rsid w:val="00D65301"/>
    <w:rsid w:val="00D654A6"/>
    <w:rsid w:val="00D65587"/>
    <w:rsid w:val="00D65644"/>
    <w:rsid w:val="00D6565F"/>
    <w:rsid w:val="00D657C2"/>
    <w:rsid w:val="00D65801"/>
    <w:rsid w:val="00D658FF"/>
    <w:rsid w:val="00D65904"/>
    <w:rsid w:val="00D65980"/>
    <w:rsid w:val="00D65C76"/>
    <w:rsid w:val="00D65DA7"/>
    <w:rsid w:val="00D65FD6"/>
    <w:rsid w:val="00D66009"/>
    <w:rsid w:val="00D664CE"/>
    <w:rsid w:val="00D66505"/>
    <w:rsid w:val="00D667F0"/>
    <w:rsid w:val="00D669DA"/>
    <w:rsid w:val="00D66B27"/>
    <w:rsid w:val="00D66C00"/>
    <w:rsid w:val="00D66D68"/>
    <w:rsid w:val="00D66E08"/>
    <w:rsid w:val="00D66F20"/>
    <w:rsid w:val="00D66F2B"/>
    <w:rsid w:val="00D66FD9"/>
    <w:rsid w:val="00D67028"/>
    <w:rsid w:val="00D67233"/>
    <w:rsid w:val="00D67478"/>
    <w:rsid w:val="00D678F8"/>
    <w:rsid w:val="00D67C21"/>
    <w:rsid w:val="00D67D81"/>
    <w:rsid w:val="00D700F4"/>
    <w:rsid w:val="00D7032E"/>
    <w:rsid w:val="00D703C5"/>
    <w:rsid w:val="00D70413"/>
    <w:rsid w:val="00D7079D"/>
    <w:rsid w:val="00D70851"/>
    <w:rsid w:val="00D70875"/>
    <w:rsid w:val="00D70D05"/>
    <w:rsid w:val="00D7165B"/>
    <w:rsid w:val="00D71687"/>
    <w:rsid w:val="00D71F47"/>
    <w:rsid w:val="00D71F4D"/>
    <w:rsid w:val="00D722D6"/>
    <w:rsid w:val="00D724FE"/>
    <w:rsid w:val="00D7253D"/>
    <w:rsid w:val="00D725A6"/>
    <w:rsid w:val="00D7274A"/>
    <w:rsid w:val="00D72A4D"/>
    <w:rsid w:val="00D72ACA"/>
    <w:rsid w:val="00D72BBD"/>
    <w:rsid w:val="00D72C6B"/>
    <w:rsid w:val="00D72ED9"/>
    <w:rsid w:val="00D72FAF"/>
    <w:rsid w:val="00D73303"/>
    <w:rsid w:val="00D733BF"/>
    <w:rsid w:val="00D73431"/>
    <w:rsid w:val="00D73487"/>
    <w:rsid w:val="00D73503"/>
    <w:rsid w:val="00D735BB"/>
    <w:rsid w:val="00D735D5"/>
    <w:rsid w:val="00D73682"/>
    <w:rsid w:val="00D73835"/>
    <w:rsid w:val="00D738DC"/>
    <w:rsid w:val="00D73B91"/>
    <w:rsid w:val="00D73D70"/>
    <w:rsid w:val="00D740B5"/>
    <w:rsid w:val="00D742C1"/>
    <w:rsid w:val="00D74545"/>
    <w:rsid w:val="00D74554"/>
    <w:rsid w:val="00D7473D"/>
    <w:rsid w:val="00D74888"/>
    <w:rsid w:val="00D748E8"/>
    <w:rsid w:val="00D74C54"/>
    <w:rsid w:val="00D74C67"/>
    <w:rsid w:val="00D74F37"/>
    <w:rsid w:val="00D7514A"/>
    <w:rsid w:val="00D7519D"/>
    <w:rsid w:val="00D75455"/>
    <w:rsid w:val="00D7571C"/>
    <w:rsid w:val="00D7581E"/>
    <w:rsid w:val="00D75A5A"/>
    <w:rsid w:val="00D75B3D"/>
    <w:rsid w:val="00D75D9B"/>
    <w:rsid w:val="00D75EC4"/>
    <w:rsid w:val="00D75F9E"/>
    <w:rsid w:val="00D75FFA"/>
    <w:rsid w:val="00D761D4"/>
    <w:rsid w:val="00D762B8"/>
    <w:rsid w:val="00D762BD"/>
    <w:rsid w:val="00D765AB"/>
    <w:rsid w:val="00D76639"/>
    <w:rsid w:val="00D7672F"/>
    <w:rsid w:val="00D76881"/>
    <w:rsid w:val="00D76899"/>
    <w:rsid w:val="00D76A1D"/>
    <w:rsid w:val="00D76A20"/>
    <w:rsid w:val="00D76A4B"/>
    <w:rsid w:val="00D76B18"/>
    <w:rsid w:val="00D76C12"/>
    <w:rsid w:val="00D76CED"/>
    <w:rsid w:val="00D7760E"/>
    <w:rsid w:val="00D77740"/>
    <w:rsid w:val="00D77842"/>
    <w:rsid w:val="00D77B73"/>
    <w:rsid w:val="00D77D79"/>
    <w:rsid w:val="00D77F6F"/>
    <w:rsid w:val="00D801D6"/>
    <w:rsid w:val="00D803F2"/>
    <w:rsid w:val="00D8073A"/>
    <w:rsid w:val="00D80B6A"/>
    <w:rsid w:val="00D80CE1"/>
    <w:rsid w:val="00D80EB1"/>
    <w:rsid w:val="00D81042"/>
    <w:rsid w:val="00D811F0"/>
    <w:rsid w:val="00D81261"/>
    <w:rsid w:val="00D814C0"/>
    <w:rsid w:val="00D81509"/>
    <w:rsid w:val="00D815B8"/>
    <w:rsid w:val="00D81609"/>
    <w:rsid w:val="00D81794"/>
    <w:rsid w:val="00D8188B"/>
    <w:rsid w:val="00D818F9"/>
    <w:rsid w:val="00D8192E"/>
    <w:rsid w:val="00D81A55"/>
    <w:rsid w:val="00D81D0A"/>
    <w:rsid w:val="00D81EEC"/>
    <w:rsid w:val="00D81F18"/>
    <w:rsid w:val="00D8211E"/>
    <w:rsid w:val="00D8225C"/>
    <w:rsid w:val="00D82421"/>
    <w:rsid w:val="00D824CE"/>
    <w:rsid w:val="00D826F7"/>
    <w:rsid w:val="00D82AD6"/>
    <w:rsid w:val="00D82C5E"/>
    <w:rsid w:val="00D82CCC"/>
    <w:rsid w:val="00D82FA2"/>
    <w:rsid w:val="00D83356"/>
    <w:rsid w:val="00D833E5"/>
    <w:rsid w:val="00D833F2"/>
    <w:rsid w:val="00D83524"/>
    <w:rsid w:val="00D83903"/>
    <w:rsid w:val="00D83A3B"/>
    <w:rsid w:val="00D83A41"/>
    <w:rsid w:val="00D83B1E"/>
    <w:rsid w:val="00D83C90"/>
    <w:rsid w:val="00D83E90"/>
    <w:rsid w:val="00D84170"/>
    <w:rsid w:val="00D841F9"/>
    <w:rsid w:val="00D8442D"/>
    <w:rsid w:val="00D84635"/>
    <w:rsid w:val="00D84902"/>
    <w:rsid w:val="00D84960"/>
    <w:rsid w:val="00D849F2"/>
    <w:rsid w:val="00D84A12"/>
    <w:rsid w:val="00D84ACE"/>
    <w:rsid w:val="00D84BEB"/>
    <w:rsid w:val="00D84BF7"/>
    <w:rsid w:val="00D84D75"/>
    <w:rsid w:val="00D84D8A"/>
    <w:rsid w:val="00D84E4D"/>
    <w:rsid w:val="00D84EBE"/>
    <w:rsid w:val="00D84FC3"/>
    <w:rsid w:val="00D84FE7"/>
    <w:rsid w:val="00D850B7"/>
    <w:rsid w:val="00D851CA"/>
    <w:rsid w:val="00D852A5"/>
    <w:rsid w:val="00D852C7"/>
    <w:rsid w:val="00D8533B"/>
    <w:rsid w:val="00D85433"/>
    <w:rsid w:val="00D856B4"/>
    <w:rsid w:val="00D85740"/>
    <w:rsid w:val="00D85A2A"/>
    <w:rsid w:val="00D85CDD"/>
    <w:rsid w:val="00D85D00"/>
    <w:rsid w:val="00D85D10"/>
    <w:rsid w:val="00D85DCB"/>
    <w:rsid w:val="00D85E12"/>
    <w:rsid w:val="00D85E95"/>
    <w:rsid w:val="00D86214"/>
    <w:rsid w:val="00D86329"/>
    <w:rsid w:val="00D8632B"/>
    <w:rsid w:val="00D8660C"/>
    <w:rsid w:val="00D86624"/>
    <w:rsid w:val="00D86678"/>
    <w:rsid w:val="00D869E8"/>
    <w:rsid w:val="00D86A1C"/>
    <w:rsid w:val="00D86BE8"/>
    <w:rsid w:val="00D86BF9"/>
    <w:rsid w:val="00D86D18"/>
    <w:rsid w:val="00D86EB0"/>
    <w:rsid w:val="00D86FAD"/>
    <w:rsid w:val="00D87094"/>
    <w:rsid w:val="00D87280"/>
    <w:rsid w:val="00D8773C"/>
    <w:rsid w:val="00D8776B"/>
    <w:rsid w:val="00D8778A"/>
    <w:rsid w:val="00D87ED9"/>
    <w:rsid w:val="00D900E2"/>
    <w:rsid w:val="00D9043D"/>
    <w:rsid w:val="00D904DB"/>
    <w:rsid w:val="00D908B0"/>
    <w:rsid w:val="00D90B22"/>
    <w:rsid w:val="00D90C67"/>
    <w:rsid w:val="00D90E01"/>
    <w:rsid w:val="00D90E99"/>
    <w:rsid w:val="00D91145"/>
    <w:rsid w:val="00D9120C"/>
    <w:rsid w:val="00D9127D"/>
    <w:rsid w:val="00D9133A"/>
    <w:rsid w:val="00D91408"/>
    <w:rsid w:val="00D91473"/>
    <w:rsid w:val="00D914C9"/>
    <w:rsid w:val="00D91526"/>
    <w:rsid w:val="00D9152F"/>
    <w:rsid w:val="00D9162B"/>
    <w:rsid w:val="00D9175E"/>
    <w:rsid w:val="00D919D9"/>
    <w:rsid w:val="00D91A6E"/>
    <w:rsid w:val="00D91BAD"/>
    <w:rsid w:val="00D91C9B"/>
    <w:rsid w:val="00D91CC5"/>
    <w:rsid w:val="00D91DDD"/>
    <w:rsid w:val="00D91F93"/>
    <w:rsid w:val="00D9204D"/>
    <w:rsid w:val="00D920CF"/>
    <w:rsid w:val="00D920FD"/>
    <w:rsid w:val="00D92194"/>
    <w:rsid w:val="00D921BD"/>
    <w:rsid w:val="00D921FA"/>
    <w:rsid w:val="00D9224F"/>
    <w:rsid w:val="00D923BE"/>
    <w:rsid w:val="00D9259A"/>
    <w:rsid w:val="00D92704"/>
    <w:rsid w:val="00D92709"/>
    <w:rsid w:val="00D92969"/>
    <w:rsid w:val="00D92C18"/>
    <w:rsid w:val="00D92F01"/>
    <w:rsid w:val="00D93182"/>
    <w:rsid w:val="00D93312"/>
    <w:rsid w:val="00D934B4"/>
    <w:rsid w:val="00D935BB"/>
    <w:rsid w:val="00D935C5"/>
    <w:rsid w:val="00D93611"/>
    <w:rsid w:val="00D93623"/>
    <w:rsid w:val="00D936FF"/>
    <w:rsid w:val="00D9370D"/>
    <w:rsid w:val="00D937B0"/>
    <w:rsid w:val="00D9382E"/>
    <w:rsid w:val="00D93902"/>
    <w:rsid w:val="00D93984"/>
    <w:rsid w:val="00D93FBB"/>
    <w:rsid w:val="00D94015"/>
    <w:rsid w:val="00D9410E"/>
    <w:rsid w:val="00D94130"/>
    <w:rsid w:val="00D94645"/>
    <w:rsid w:val="00D948D4"/>
    <w:rsid w:val="00D94964"/>
    <w:rsid w:val="00D94A41"/>
    <w:rsid w:val="00D94A66"/>
    <w:rsid w:val="00D94A99"/>
    <w:rsid w:val="00D94BCA"/>
    <w:rsid w:val="00D94E86"/>
    <w:rsid w:val="00D94ED4"/>
    <w:rsid w:val="00D9500C"/>
    <w:rsid w:val="00D95134"/>
    <w:rsid w:val="00D9557D"/>
    <w:rsid w:val="00D95727"/>
    <w:rsid w:val="00D957D1"/>
    <w:rsid w:val="00D958BC"/>
    <w:rsid w:val="00D95D8D"/>
    <w:rsid w:val="00D95F36"/>
    <w:rsid w:val="00D960FA"/>
    <w:rsid w:val="00D961C1"/>
    <w:rsid w:val="00D9632B"/>
    <w:rsid w:val="00D9633F"/>
    <w:rsid w:val="00D964D4"/>
    <w:rsid w:val="00D96726"/>
    <w:rsid w:val="00D96797"/>
    <w:rsid w:val="00D9685A"/>
    <w:rsid w:val="00D9687A"/>
    <w:rsid w:val="00D968D8"/>
    <w:rsid w:val="00D969F0"/>
    <w:rsid w:val="00D96BE3"/>
    <w:rsid w:val="00D96CFB"/>
    <w:rsid w:val="00D9704D"/>
    <w:rsid w:val="00D971F1"/>
    <w:rsid w:val="00D97229"/>
    <w:rsid w:val="00D97366"/>
    <w:rsid w:val="00D973D4"/>
    <w:rsid w:val="00D97498"/>
    <w:rsid w:val="00D97542"/>
    <w:rsid w:val="00D97A55"/>
    <w:rsid w:val="00D97ADF"/>
    <w:rsid w:val="00D97F9B"/>
    <w:rsid w:val="00DA02F3"/>
    <w:rsid w:val="00DA0385"/>
    <w:rsid w:val="00DA0714"/>
    <w:rsid w:val="00DA08AB"/>
    <w:rsid w:val="00DA08EF"/>
    <w:rsid w:val="00DA0B77"/>
    <w:rsid w:val="00DA0C7F"/>
    <w:rsid w:val="00DA0F7F"/>
    <w:rsid w:val="00DA0F92"/>
    <w:rsid w:val="00DA103A"/>
    <w:rsid w:val="00DA13AD"/>
    <w:rsid w:val="00DA13D3"/>
    <w:rsid w:val="00DA13FA"/>
    <w:rsid w:val="00DA1429"/>
    <w:rsid w:val="00DA1473"/>
    <w:rsid w:val="00DA16B4"/>
    <w:rsid w:val="00DA17F2"/>
    <w:rsid w:val="00DA1E4A"/>
    <w:rsid w:val="00DA1EB8"/>
    <w:rsid w:val="00DA1F47"/>
    <w:rsid w:val="00DA20F4"/>
    <w:rsid w:val="00DA2266"/>
    <w:rsid w:val="00DA24A2"/>
    <w:rsid w:val="00DA2549"/>
    <w:rsid w:val="00DA291C"/>
    <w:rsid w:val="00DA2A35"/>
    <w:rsid w:val="00DA2A45"/>
    <w:rsid w:val="00DA2B80"/>
    <w:rsid w:val="00DA2BB4"/>
    <w:rsid w:val="00DA2BBD"/>
    <w:rsid w:val="00DA2C04"/>
    <w:rsid w:val="00DA2D6A"/>
    <w:rsid w:val="00DA3237"/>
    <w:rsid w:val="00DA34F0"/>
    <w:rsid w:val="00DA358A"/>
    <w:rsid w:val="00DA3604"/>
    <w:rsid w:val="00DA3691"/>
    <w:rsid w:val="00DA37D0"/>
    <w:rsid w:val="00DA3A7A"/>
    <w:rsid w:val="00DA3BE0"/>
    <w:rsid w:val="00DA3CFA"/>
    <w:rsid w:val="00DA3D92"/>
    <w:rsid w:val="00DA40EB"/>
    <w:rsid w:val="00DA4280"/>
    <w:rsid w:val="00DA42C7"/>
    <w:rsid w:val="00DA4383"/>
    <w:rsid w:val="00DA4399"/>
    <w:rsid w:val="00DA43A4"/>
    <w:rsid w:val="00DA4493"/>
    <w:rsid w:val="00DA4683"/>
    <w:rsid w:val="00DA46D1"/>
    <w:rsid w:val="00DA4740"/>
    <w:rsid w:val="00DA4AA6"/>
    <w:rsid w:val="00DA4ABA"/>
    <w:rsid w:val="00DA4AF9"/>
    <w:rsid w:val="00DA4C2C"/>
    <w:rsid w:val="00DA4EC4"/>
    <w:rsid w:val="00DA4F6F"/>
    <w:rsid w:val="00DA5051"/>
    <w:rsid w:val="00DA5057"/>
    <w:rsid w:val="00DA5091"/>
    <w:rsid w:val="00DA5265"/>
    <w:rsid w:val="00DA5983"/>
    <w:rsid w:val="00DA5ACC"/>
    <w:rsid w:val="00DA5B41"/>
    <w:rsid w:val="00DA5B69"/>
    <w:rsid w:val="00DA5B8C"/>
    <w:rsid w:val="00DA5C1E"/>
    <w:rsid w:val="00DA5CF0"/>
    <w:rsid w:val="00DA5E7F"/>
    <w:rsid w:val="00DA5EAD"/>
    <w:rsid w:val="00DA5FCC"/>
    <w:rsid w:val="00DA6014"/>
    <w:rsid w:val="00DA602A"/>
    <w:rsid w:val="00DA60F5"/>
    <w:rsid w:val="00DA63B8"/>
    <w:rsid w:val="00DA64E9"/>
    <w:rsid w:val="00DA657D"/>
    <w:rsid w:val="00DA68D6"/>
    <w:rsid w:val="00DA6924"/>
    <w:rsid w:val="00DA6A16"/>
    <w:rsid w:val="00DA6CF5"/>
    <w:rsid w:val="00DA6DB5"/>
    <w:rsid w:val="00DA6DBE"/>
    <w:rsid w:val="00DA7191"/>
    <w:rsid w:val="00DA73ED"/>
    <w:rsid w:val="00DA74FB"/>
    <w:rsid w:val="00DA7525"/>
    <w:rsid w:val="00DA754D"/>
    <w:rsid w:val="00DA783A"/>
    <w:rsid w:val="00DA7BD5"/>
    <w:rsid w:val="00DA7E92"/>
    <w:rsid w:val="00DB01ED"/>
    <w:rsid w:val="00DB05C5"/>
    <w:rsid w:val="00DB05F5"/>
    <w:rsid w:val="00DB0656"/>
    <w:rsid w:val="00DB08BD"/>
    <w:rsid w:val="00DB0A2F"/>
    <w:rsid w:val="00DB0A66"/>
    <w:rsid w:val="00DB0BEB"/>
    <w:rsid w:val="00DB0C7B"/>
    <w:rsid w:val="00DB0D64"/>
    <w:rsid w:val="00DB0FF9"/>
    <w:rsid w:val="00DB1283"/>
    <w:rsid w:val="00DB154D"/>
    <w:rsid w:val="00DB16BA"/>
    <w:rsid w:val="00DB16EE"/>
    <w:rsid w:val="00DB179E"/>
    <w:rsid w:val="00DB183D"/>
    <w:rsid w:val="00DB1950"/>
    <w:rsid w:val="00DB1A7E"/>
    <w:rsid w:val="00DB1CEF"/>
    <w:rsid w:val="00DB1CFB"/>
    <w:rsid w:val="00DB1E8D"/>
    <w:rsid w:val="00DB1EF6"/>
    <w:rsid w:val="00DB240F"/>
    <w:rsid w:val="00DB291B"/>
    <w:rsid w:val="00DB2923"/>
    <w:rsid w:val="00DB29E0"/>
    <w:rsid w:val="00DB2B0E"/>
    <w:rsid w:val="00DB2B1D"/>
    <w:rsid w:val="00DB2BCA"/>
    <w:rsid w:val="00DB2BEA"/>
    <w:rsid w:val="00DB2C9A"/>
    <w:rsid w:val="00DB3095"/>
    <w:rsid w:val="00DB30A6"/>
    <w:rsid w:val="00DB31A2"/>
    <w:rsid w:val="00DB34CC"/>
    <w:rsid w:val="00DB34EA"/>
    <w:rsid w:val="00DB35F0"/>
    <w:rsid w:val="00DB37FD"/>
    <w:rsid w:val="00DB3936"/>
    <w:rsid w:val="00DB3ABE"/>
    <w:rsid w:val="00DB3CBD"/>
    <w:rsid w:val="00DB3E0C"/>
    <w:rsid w:val="00DB3E2A"/>
    <w:rsid w:val="00DB3E34"/>
    <w:rsid w:val="00DB4107"/>
    <w:rsid w:val="00DB421F"/>
    <w:rsid w:val="00DB434E"/>
    <w:rsid w:val="00DB4425"/>
    <w:rsid w:val="00DB485E"/>
    <w:rsid w:val="00DB4904"/>
    <w:rsid w:val="00DB4AFE"/>
    <w:rsid w:val="00DB4BEA"/>
    <w:rsid w:val="00DB4D27"/>
    <w:rsid w:val="00DB50C2"/>
    <w:rsid w:val="00DB50D0"/>
    <w:rsid w:val="00DB52DC"/>
    <w:rsid w:val="00DB52DE"/>
    <w:rsid w:val="00DB5FD5"/>
    <w:rsid w:val="00DB6131"/>
    <w:rsid w:val="00DB62D3"/>
    <w:rsid w:val="00DB63A0"/>
    <w:rsid w:val="00DB6660"/>
    <w:rsid w:val="00DB666D"/>
    <w:rsid w:val="00DB6769"/>
    <w:rsid w:val="00DB696A"/>
    <w:rsid w:val="00DB6A1C"/>
    <w:rsid w:val="00DB6A4C"/>
    <w:rsid w:val="00DB6B5A"/>
    <w:rsid w:val="00DB6CA8"/>
    <w:rsid w:val="00DB6DF9"/>
    <w:rsid w:val="00DB7164"/>
    <w:rsid w:val="00DB71DA"/>
    <w:rsid w:val="00DB725C"/>
    <w:rsid w:val="00DB7297"/>
    <w:rsid w:val="00DB74D8"/>
    <w:rsid w:val="00DB75BE"/>
    <w:rsid w:val="00DB7687"/>
    <w:rsid w:val="00DB7704"/>
    <w:rsid w:val="00DB7885"/>
    <w:rsid w:val="00DB7ABA"/>
    <w:rsid w:val="00DB7AFF"/>
    <w:rsid w:val="00DB7B93"/>
    <w:rsid w:val="00DB7C5A"/>
    <w:rsid w:val="00DB7CA7"/>
    <w:rsid w:val="00DB7CA8"/>
    <w:rsid w:val="00DB7D0A"/>
    <w:rsid w:val="00DB7DF3"/>
    <w:rsid w:val="00DB7F32"/>
    <w:rsid w:val="00DC0009"/>
    <w:rsid w:val="00DC0076"/>
    <w:rsid w:val="00DC00EC"/>
    <w:rsid w:val="00DC01BA"/>
    <w:rsid w:val="00DC01CF"/>
    <w:rsid w:val="00DC0640"/>
    <w:rsid w:val="00DC07AE"/>
    <w:rsid w:val="00DC07FB"/>
    <w:rsid w:val="00DC0AB9"/>
    <w:rsid w:val="00DC0B1B"/>
    <w:rsid w:val="00DC0B9E"/>
    <w:rsid w:val="00DC0BC1"/>
    <w:rsid w:val="00DC0C8C"/>
    <w:rsid w:val="00DC0E07"/>
    <w:rsid w:val="00DC0E86"/>
    <w:rsid w:val="00DC11D2"/>
    <w:rsid w:val="00DC138E"/>
    <w:rsid w:val="00DC14B9"/>
    <w:rsid w:val="00DC1668"/>
    <w:rsid w:val="00DC1916"/>
    <w:rsid w:val="00DC192C"/>
    <w:rsid w:val="00DC1BAB"/>
    <w:rsid w:val="00DC1D19"/>
    <w:rsid w:val="00DC1D55"/>
    <w:rsid w:val="00DC1F1E"/>
    <w:rsid w:val="00DC2317"/>
    <w:rsid w:val="00DC2787"/>
    <w:rsid w:val="00DC290B"/>
    <w:rsid w:val="00DC2B59"/>
    <w:rsid w:val="00DC2C17"/>
    <w:rsid w:val="00DC2F2B"/>
    <w:rsid w:val="00DC315B"/>
    <w:rsid w:val="00DC339B"/>
    <w:rsid w:val="00DC33A5"/>
    <w:rsid w:val="00DC3551"/>
    <w:rsid w:val="00DC3577"/>
    <w:rsid w:val="00DC3779"/>
    <w:rsid w:val="00DC3A26"/>
    <w:rsid w:val="00DC3CA8"/>
    <w:rsid w:val="00DC3CDB"/>
    <w:rsid w:val="00DC401B"/>
    <w:rsid w:val="00DC405B"/>
    <w:rsid w:val="00DC407B"/>
    <w:rsid w:val="00DC4213"/>
    <w:rsid w:val="00DC4423"/>
    <w:rsid w:val="00DC455A"/>
    <w:rsid w:val="00DC472C"/>
    <w:rsid w:val="00DC474E"/>
    <w:rsid w:val="00DC4943"/>
    <w:rsid w:val="00DC4994"/>
    <w:rsid w:val="00DC4AC4"/>
    <w:rsid w:val="00DC4ADA"/>
    <w:rsid w:val="00DC4BE6"/>
    <w:rsid w:val="00DC4CBC"/>
    <w:rsid w:val="00DC50BB"/>
    <w:rsid w:val="00DC50E7"/>
    <w:rsid w:val="00DC528C"/>
    <w:rsid w:val="00DC53DD"/>
    <w:rsid w:val="00DC566A"/>
    <w:rsid w:val="00DC5843"/>
    <w:rsid w:val="00DC58D0"/>
    <w:rsid w:val="00DC5C87"/>
    <w:rsid w:val="00DC5DB5"/>
    <w:rsid w:val="00DC61E4"/>
    <w:rsid w:val="00DC6215"/>
    <w:rsid w:val="00DC65E7"/>
    <w:rsid w:val="00DC66A8"/>
    <w:rsid w:val="00DC66BD"/>
    <w:rsid w:val="00DC67CD"/>
    <w:rsid w:val="00DC680F"/>
    <w:rsid w:val="00DC68B0"/>
    <w:rsid w:val="00DC694D"/>
    <w:rsid w:val="00DC6AD6"/>
    <w:rsid w:val="00DC6E57"/>
    <w:rsid w:val="00DC710A"/>
    <w:rsid w:val="00DC7125"/>
    <w:rsid w:val="00DC7260"/>
    <w:rsid w:val="00DC76EB"/>
    <w:rsid w:val="00DC7787"/>
    <w:rsid w:val="00DC7872"/>
    <w:rsid w:val="00DC78ED"/>
    <w:rsid w:val="00DC793B"/>
    <w:rsid w:val="00DC7B29"/>
    <w:rsid w:val="00DC7B46"/>
    <w:rsid w:val="00DC7B88"/>
    <w:rsid w:val="00DC7D55"/>
    <w:rsid w:val="00DD001B"/>
    <w:rsid w:val="00DD00A1"/>
    <w:rsid w:val="00DD014D"/>
    <w:rsid w:val="00DD0217"/>
    <w:rsid w:val="00DD0582"/>
    <w:rsid w:val="00DD0681"/>
    <w:rsid w:val="00DD095D"/>
    <w:rsid w:val="00DD0AC7"/>
    <w:rsid w:val="00DD0E3F"/>
    <w:rsid w:val="00DD0F77"/>
    <w:rsid w:val="00DD1014"/>
    <w:rsid w:val="00DD10E6"/>
    <w:rsid w:val="00DD13CC"/>
    <w:rsid w:val="00DD14A5"/>
    <w:rsid w:val="00DD157C"/>
    <w:rsid w:val="00DD15F1"/>
    <w:rsid w:val="00DD167F"/>
    <w:rsid w:val="00DD1732"/>
    <w:rsid w:val="00DD1755"/>
    <w:rsid w:val="00DD178F"/>
    <w:rsid w:val="00DD1974"/>
    <w:rsid w:val="00DD1A54"/>
    <w:rsid w:val="00DD1A84"/>
    <w:rsid w:val="00DD1ACA"/>
    <w:rsid w:val="00DD1AE0"/>
    <w:rsid w:val="00DD1D17"/>
    <w:rsid w:val="00DD1ED5"/>
    <w:rsid w:val="00DD2310"/>
    <w:rsid w:val="00DD2457"/>
    <w:rsid w:val="00DD2863"/>
    <w:rsid w:val="00DD2871"/>
    <w:rsid w:val="00DD2934"/>
    <w:rsid w:val="00DD29FA"/>
    <w:rsid w:val="00DD2A17"/>
    <w:rsid w:val="00DD2BC3"/>
    <w:rsid w:val="00DD2E75"/>
    <w:rsid w:val="00DD2F97"/>
    <w:rsid w:val="00DD3446"/>
    <w:rsid w:val="00DD3635"/>
    <w:rsid w:val="00DD375C"/>
    <w:rsid w:val="00DD3775"/>
    <w:rsid w:val="00DD3860"/>
    <w:rsid w:val="00DD3A12"/>
    <w:rsid w:val="00DD3BAB"/>
    <w:rsid w:val="00DD3C19"/>
    <w:rsid w:val="00DD3C7E"/>
    <w:rsid w:val="00DD3CAE"/>
    <w:rsid w:val="00DD3E70"/>
    <w:rsid w:val="00DD403F"/>
    <w:rsid w:val="00DD426D"/>
    <w:rsid w:val="00DD42B0"/>
    <w:rsid w:val="00DD4361"/>
    <w:rsid w:val="00DD442A"/>
    <w:rsid w:val="00DD4A86"/>
    <w:rsid w:val="00DD4F43"/>
    <w:rsid w:val="00DD4FFB"/>
    <w:rsid w:val="00DD50A9"/>
    <w:rsid w:val="00DD5173"/>
    <w:rsid w:val="00DD51F0"/>
    <w:rsid w:val="00DD52EC"/>
    <w:rsid w:val="00DD5332"/>
    <w:rsid w:val="00DD5475"/>
    <w:rsid w:val="00DD552F"/>
    <w:rsid w:val="00DD555F"/>
    <w:rsid w:val="00DD5710"/>
    <w:rsid w:val="00DD57CE"/>
    <w:rsid w:val="00DD5983"/>
    <w:rsid w:val="00DD5B05"/>
    <w:rsid w:val="00DD5B6A"/>
    <w:rsid w:val="00DD5B72"/>
    <w:rsid w:val="00DD5B97"/>
    <w:rsid w:val="00DD5CAD"/>
    <w:rsid w:val="00DD5CC9"/>
    <w:rsid w:val="00DD5CFA"/>
    <w:rsid w:val="00DD5DA3"/>
    <w:rsid w:val="00DD5F49"/>
    <w:rsid w:val="00DD61DA"/>
    <w:rsid w:val="00DD62E9"/>
    <w:rsid w:val="00DD6416"/>
    <w:rsid w:val="00DD659A"/>
    <w:rsid w:val="00DD67C8"/>
    <w:rsid w:val="00DD6850"/>
    <w:rsid w:val="00DD68C6"/>
    <w:rsid w:val="00DD69B3"/>
    <w:rsid w:val="00DD6BCF"/>
    <w:rsid w:val="00DD6BE4"/>
    <w:rsid w:val="00DD6CEC"/>
    <w:rsid w:val="00DD6D0C"/>
    <w:rsid w:val="00DD71EE"/>
    <w:rsid w:val="00DD72AA"/>
    <w:rsid w:val="00DD748D"/>
    <w:rsid w:val="00DD7533"/>
    <w:rsid w:val="00DD7572"/>
    <w:rsid w:val="00DD75F7"/>
    <w:rsid w:val="00DD76CC"/>
    <w:rsid w:val="00DD777E"/>
    <w:rsid w:val="00DD7AD5"/>
    <w:rsid w:val="00DD7CBB"/>
    <w:rsid w:val="00DD7D73"/>
    <w:rsid w:val="00DD7DD1"/>
    <w:rsid w:val="00DD7DE0"/>
    <w:rsid w:val="00DD7F12"/>
    <w:rsid w:val="00DD7FDE"/>
    <w:rsid w:val="00DE0431"/>
    <w:rsid w:val="00DE072E"/>
    <w:rsid w:val="00DE07AC"/>
    <w:rsid w:val="00DE0C17"/>
    <w:rsid w:val="00DE0CC9"/>
    <w:rsid w:val="00DE0D8D"/>
    <w:rsid w:val="00DE0EB7"/>
    <w:rsid w:val="00DE0F71"/>
    <w:rsid w:val="00DE105C"/>
    <w:rsid w:val="00DE106F"/>
    <w:rsid w:val="00DE118A"/>
    <w:rsid w:val="00DE119D"/>
    <w:rsid w:val="00DE12B5"/>
    <w:rsid w:val="00DE14E1"/>
    <w:rsid w:val="00DE15D5"/>
    <w:rsid w:val="00DE17D1"/>
    <w:rsid w:val="00DE1894"/>
    <w:rsid w:val="00DE18D6"/>
    <w:rsid w:val="00DE194E"/>
    <w:rsid w:val="00DE198E"/>
    <w:rsid w:val="00DE1D10"/>
    <w:rsid w:val="00DE1F3D"/>
    <w:rsid w:val="00DE1FF6"/>
    <w:rsid w:val="00DE219B"/>
    <w:rsid w:val="00DE2463"/>
    <w:rsid w:val="00DE2483"/>
    <w:rsid w:val="00DE2492"/>
    <w:rsid w:val="00DE2918"/>
    <w:rsid w:val="00DE2934"/>
    <w:rsid w:val="00DE2C08"/>
    <w:rsid w:val="00DE2D13"/>
    <w:rsid w:val="00DE2F1D"/>
    <w:rsid w:val="00DE2F59"/>
    <w:rsid w:val="00DE2FAF"/>
    <w:rsid w:val="00DE3033"/>
    <w:rsid w:val="00DE320F"/>
    <w:rsid w:val="00DE32AB"/>
    <w:rsid w:val="00DE32CA"/>
    <w:rsid w:val="00DE33AC"/>
    <w:rsid w:val="00DE33CE"/>
    <w:rsid w:val="00DE3539"/>
    <w:rsid w:val="00DE3610"/>
    <w:rsid w:val="00DE38EB"/>
    <w:rsid w:val="00DE3944"/>
    <w:rsid w:val="00DE3A29"/>
    <w:rsid w:val="00DE3AE4"/>
    <w:rsid w:val="00DE3B5B"/>
    <w:rsid w:val="00DE3B8F"/>
    <w:rsid w:val="00DE3C7F"/>
    <w:rsid w:val="00DE3DDC"/>
    <w:rsid w:val="00DE3E49"/>
    <w:rsid w:val="00DE4312"/>
    <w:rsid w:val="00DE43F4"/>
    <w:rsid w:val="00DE4443"/>
    <w:rsid w:val="00DE44C9"/>
    <w:rsid w:val="00DE44E7"/>
    <w:rsid w:val="00DE468D"/>
    <w:rsid w:val="00DE4714"/>
    <w:rsid w:val="00DE4728"/>
    <w:rsid w:val="00DE4992"/>
    <w:rsid w:val="00DE49D1"/>
    <w:rsid w:val="00DE49D8"/>
    <w:rsid w:val="00DE49E9"/>
    <w:rsid w:val="00DE4BD3"/>
    <w:rsid w:val="00DE4C3D"/>
    <w:rsid w:val="00DE4E4C"/>
    <w:rsid w:val="00DE4EB2"/>
    <w:rsid w:val="00DE4EDD"/>
    <w:rsid w:val="00DE52EC"/>
    <w:rsid w:val="00DE53C1"/>
    <w:rsid w:val="00DE559E"/>
    <w:rsid w:val="00DE567E"/>
    <w:rsid w:val="00DE5736"/>
    <w:rsid w:val="00DE5742"/>
    <w:rsid w:val="00DE5767"/>
    <w:rsid w:val="00DE5911"/>
    <w:rsid w:val="00DE5926"/>
    <w:rsid w:val="00DE5CA1"/>
    <w:rsid w:val="00DE5CC8"/>
    <w:rsid w:val="00DE5DEE"/>
    <w:rsid w:val="00DE5ED3"/>
    <w:rsid w:val="00DE6009"/>
    <w:rsid w:val="00DE602E"/>
    <w:rsid w:val="00DE641C"/>
    <w:rsid w:val="00DE6601"/>
    <w:rsid w:val="00DE66BD"/>
    <w:rsid w:val="00DE680E"/>
    <w:rsid w:val="00DE6AC0"/>
    <w:rsid w:val="00DE6BA6"/>
    <w:rsid w:val="00DE6E3C"/>
    <w:rsid w:val="00DE7144"/>
    <w:rsid w:val="00DE71BF"/>
    <w:rsid w:val="00DE7212"/>
    <w:rsid w:val="00DE72DA"/>
    <w:rsid w:val="00DE73FA"/>
    <w:rsid w:val="00DE76C6"/>
    <w:rsid w:val="00DE76C9"/>
    <w:rsid w:val="00DE7776"/>
    <w:rsid w:val="00DE7814"/>
    <w:rsid w:val="00DE788C"/>
    <w:rsid w:val="00DE79E1"/>
    <w:rsid w:val="00DE7A9B"/>
    <w:rsid w:val="00DE7BDC"/>
    <w:rsid w:val="00DE7D66"/>
    <w:rsid w:val="00DF022B"/>
    <w:rsid w:val="00DF0301"/>
    <w:rsid w:val="00DF046D"/>
    <w:rsid w:val="00DF0704"/>
    <w:rsid w:val="00DF07C7"/>
    <w:rsid w:val="00DF0977"/>
    <w:rsid w:val="00DF099C"/>
    <w:rsid w:val="00DF0AD8"/>
    <w:rsid w:val="00DF0B63"/>
    <w:rsid w:val="00DF0E32"/>
    <w:rsid w:val="00DF0EC3"/>
    <w:rsid w:val="00DF1098"/>
    <w:rsid w:val="00DF10F0"/>
    <w:rsid w:val="00DF11CE"/>
    <w:rsid w:val="00DF128B"/>
    <w:rsid w:val="00DF1589"/>
    <w:rsid w:val="00DF1854"/>
    <w:rsid w:val="00DF1868"/>
    <w:rsid w:val="00DF1935"/>
    <w:rsid w:val="00DF1C2D"/>
    <w:rsid w:val="00DF1D27"/>
    <w:rsid w:val="00DF1FAC"/>
    <w:rsid w:val="00DF20B0"/>
    <w:rsid w:val="00DF22EE"/>
    <w:rsid w:val="00DF238F"/>
    <w:rsid w:val="00DF2537"/>
    <w:rsid w:val="00DF2996"/>
    <w:rsid w:val="00DF2DB1"/>
    <w:rsid w:val="00DF2DC9"/>
    <w:rsid w:val="00DF2E1D"/>
    <w:rsid w:val="00DF302A"/>
    <w:rsid w:val="00DF3440"/>
    <w:rsid w:val="00DF351E"/>
    <w:rsid w:val="00DF3554"/>
    <w:rsid w:val="00DF36AA"/>
    <w:rsid w:val="00DF36E3"/>
    <w:rsid w:val="00DF3828"/>
    <w:rsid w:val="00DF3990"/>
    <w:rsid w:val="00DF3B00"/>
    <w:rsid w:val="00DF4038"/>
    <w:rsid w:val="00DF4337"/>
    <w:rsid w:val="00DF4516"/>
    <w:rsid w:val="00DF45DC"/>
    <w:rsid w:val="00DF46D2"/>
    <w:rsid w:val="00DF46F2"/>
    <w:rsid w:val="00DF47B6"/>
    <w:rsid w:val="00DF49E1"/>
    <w:rsid w:val="00DF4B3D"/>
    <w:rsid w:val="00DF4B85"/>
    <w:rsid w:val="00DF5021"/>
    <w:rsid w:val="00DF50AA"/>
    <w:rsid w:val="00DF5131"/>
    <w:rsid w:val="00DF52A2"/>
    <w:rsid w:val="00DF537B"/>
    <w:rsid w:val="00DF5461"/>
    <w:rsid w:val="00DF5654"/>
    <w:rsid w:val="00DF56BB"/>
    <w:rsid w:val="00DF57B8"/>
    <w:rsid w:val="00DF594D"/>
    <w:rsid w:val="00DF5A34"/>
    <w:rsid w:val="00DF5EF8"/>
    <w:rsid w:val="00DF5F1C"/>
    <w:rsid w:val="00DF5FD1"/>
    <w:rsid w:val="00DF6285"/>
    <w:rsid w:val="00DF6366"/>
    <w:rsid w:val="00DF684E"/>
    <w:rsid w:val="00DF688D"/>
    <w:rsid w:val="00DF6D90"/>
    <w:rsid w:val="00DF6E94"/>
    <w:rsid w:val="00DF6F33"/>
    <w:rsid w:val="00DF7120"/>
    <w:rsid w:val="00DF724A"/>
    <w:rsid w:val="00DF7255"/>
    <w:rsid w:val="00DF7277"/>
    <w:rsid w:val="00DF72AB"/>
    <w:rsid w:val="00DF7586"/>
    <w:rsid w:val="00DF7633"/>
    <w:rsid w:val="00DF7781"/>
    <w:rsid w:val="00DF77F9"/>
    <w:rsid w:val="00DF79E5"/>
    <w:rsid w:val="00DF7C32"/>
    <w:rsid w:val="00DF7DB3"/>
    <w:rsid w:val="00DF7E51"/>
    <w:rsid w:val="00DF7EB0"/>
    <w:rsid w:val="00E0027F"/>
    <w:rsid w:val="00E0043A"/>
    <w:rsid w:val="00E00733"/>
    <w:rsid w:val="00E00779"/>
    <w:rsid w:val="00E00B26"/>
    <w:rsid w:val="00E00CC4"/>
    <w:rsid w:val="00E01277"/>
    <w:rsid w:val="00E012E8"/>
    <w:rsid w:val="00E012ED"/>
    <w:rsid w:val="00E0137A"/>
    <w:rsid w:val="00E015C2"/>
    <w:rsid w:val="00E016EF"/>
    <w:rsid w:val="00E023F6"/>
    <w:rsid w:val="00E02405"/>
    <w:rsid w:val="00E02511"/>
    <w:rsid w:val="00E0257F"/>
    <w:rsid w:val="00E02705"/>
    <w:rsid w:val="00E02741"/>
    <w:rsid w:val="00E02856"/>
    <w:rsid w:val="00E02AD3"/>
    <w:rsid w:val="00E02B0F"/>
    <w:rsid w:val="00E02B24"/>
    <w:rsid w:val="00E02C5A"/>
    <w:rsid w:val="00E02CA0"/>
    <w:rsid w:val="00E02E3A"/>
    <w:rsid w:val="00E02EDA"/>
    <w:rsid w:val="00E0308E"/>
    <w:rsid w:val="00E03158"/>
    <w:rsid w:val="00E0345F"/>
    <w:rsid w:val="00E0365D"/>
    <w:rsid w:val="00E03812"/>
    <w:rsid w:val="00E03855"/>
    <w:rsid w:val="00E03931"/>
    <w:rsid w:val="00E03AB4"/>
    <w:rsid w:val="00E03AC0"/>
    <w:rsid w:val="00E04036"/>
    <w:rsid w:val="00E0405D"/>
    <w:rsid w:val="00E040E3"/>
    <w:rsid w:val="00E0438A"/>
    <w:rsid w:val="00E04451"/>
    <w:rsid w:val="00E045E8"/>
    <w:rsid w:val="00E0462C"/>
    <w:rsid w:val="00E0471F"/>
    <w:rsid w:val="00E047C0"/>
    <w:rsid w:val="00E04840"/>
    <w:rsid w:val="00E04902"/>
    <w:rsid w:val="00E04A62"/>
    <w:rsid w:val="00E04B3F"/>
    <w:rsid w:val="00E04C5D"/>
    <w:rsid w:val="00E04E49"/>
    <w:rsid w:val="00E04ECD"/>
    <w:rsid w:val="00E0542C"/>
    <w:rsid w:val="00E054E9"/>
    <w:rsid w:val="00E058E6"/>
    <w:rsid w:val="00E059F6"/>
    <w:rsid w:val="00E05B4E"/>
    <w:rsid w:val="00E05BE8"/>
    <w:rsid w:val="00E05D07"/>
    <w:rsid w:val="00E05DB0"/>
    <w:rsid w:val="00E05DBD"/>
    <w:rsid w:val="00E05EF2"/>
    <w:rsid w:val="00E06043"/>
    <w:rsid w:val="00E06066"/>
    <w:rsid w:val="00E06146"/>
    <w:rsid w:val="00E062CC"/>
    <w:rsid w:val="00E063AF"/>
    <w:rsid w:val="00E064B7"/>
    <w:rsid w:val="00E067CC"/>
    <w:rsid w:val="00E06907"/>
    <w:rsid w:val="00E06A9F"/>
    <w:rsid w:val="00E06E2A"/>
    <w:rsid w:val="00E06E2B"/>
    <w:rsid w:val="00E071DD"/>
    <w:rsid w:val="00E071FA"/>
    <w:rsid w:val="00E0734F"/>
    <w:rsid w:val="00E07418"/>
    <w:rsid w:val="00E0746E"/>
    <w:rsid w:val="00E074C9"/>
    <w:rsid w:val="00E074F3"/>
    <w:rsid w:val="00E07815"/>
    <w:rsid w:val="00E078B2"/>
    <w:rsid w:val="00E07A18"/>
    <w:rsid w:val="00E07AE5"/>
    <w:rsid w:val="00E07B3A"/>
    <w:rsid w:val="00E07BED"/>
    <w:rsid w:val="00E07D4B"/>
    <w:rsid w:val="00E07FDF"/>
    <w:rsid w:val="00E10123"/>
    <w:rsid w:val="00E10367"/>
    <w:rsid w:val="00E10454"/>
    <w:rsid w:val="00E10506"/>
    <w:rsid w:val="00E10542"/>
    <w:rsid w:val="00E10552"/>
    <w:rsid w:val="00E10606"/>
    <w:rsid w:val="00E107D3"/>
    <w:rsid w:val="00E10962"/>
    <w:rsid w:val="00E10ED0"/>
    <w:rsid w:val="00E1101E"/>
    <w:rsid w:val="00E110FB"/>
    <w:rsid w:val="00E11200"/>
    <w:rsid w:val="00E112E8"/>
    <w:rsid w:val="00E112F0"/>
    <w:rsid w:val="00E114AD"/>
    <w:rsid w:val="00E1157B"/>
    <w:rsid w:val="00E116EA"/>
    <w:rsid w:val="00E11708"/>
    <w:rsid w:val="00E11732"/>
    <w:rsid w:val="00E11742"/>
    <w:rsid w:val="00E11806"/>
    <w:rsid w:val="00E11847"/>
    <w:rsid w:val="00E11B4D"/>
    <w:rsid w:val="00E11BFD"/>
    <w:rsid w:val="00E11D95"/>
    <w:rsid w:val="00E11F06"/>
    <w:rsid w:val="00E11F19"/>
    <w:rsid w:val="00E121B1"/>
    <w:rsid w:val="00E122B1"/>
    <w:rsid w:val="00E12938"/>
    <w:rsid w:val="00E12A76"/>
    <w:rsid w:val="00E12AEA"/>
    <w:rsid w:val="00E12DEA"/>
    <w:rsid w:val="00E12F66"/>
    <w:rsid w:val="00E1300F"/>
    <w:rsid w:val="00E13209"/>
    <w:rsid w:val="00E13271"/>
    <w:rsid w:val="00E133EF"/>
    <w:rsid w:val="00E13525"/>
    <w:rsid w:val="00E135A9"/>
    <w:rsid w:val="00E1360B"/>
    <w:rsid w:val="00E1387F"/>
    <w:rsid w:val="00E13A89"/>
    <w:rsid w:val="00E13FD3"/>
    <w:rsid w:val="00E140C9"/>
    <w:rsid w:val="00E1467D"/>
    <w:rsid w:val="00E147FB"/>
    <w:rsid w:val="00E14A71"/>
    <w:rsid w:val="00E14CB8"/>
    <w:rsid w:val="00E14D33"/>
    <w:rsid w:val="00E14FC4"/>
    <w:rsid w:val="00E14FE0"/>
    <w:rsid w:val="00E15338"/>
    <w:rsid w:val="00E15383"/>
    <w:rsid w:val="00E15389"/>
    <w:rsid w:val="00E153DF"/>
    <w:rsid w:val="00E1545B"/>
    <w:rsid w:val="00E1569D"/>
    <w:rsid w:val="00E15B25"/>
    <w:rsid w:val="00E15C3B"/>
    <w:rsid w:val="00E15CCC"/>
    <w:rsid w:val="00E15DCF"/>
    <w:rsid w:val="00E15EF2"/>
    <w:rsid w:val="00E161EE"/>
    <w:rsid w:val="00E1624D"/>
    <w:rsid w:val="00E16253"/>
    <w:rsid w:val="00E16257"/>
    <w:rsid w:val="00E16265"/>
    <w:rsid w:val="00E16268"/>
    <w:rsid w:val="00E1645A"/>
    <w:rsid w:val="00E164BC"/>
    <w:rsid w:val="00E1657B"/>
    <w:rsid w:val="00E1674C"/>
    <w:rsid w:val="00E16774"/>
    <w:rsid w:val="00E16817"/>
    <w:rsid w:val="00E16823"/>
    <w:rsid w:val="00E169D6"/>
    <w:rsid w:val="00E169F8"/>
    <w:rsid w:val="00E16AD0"/>
    <w:rsid w:val="00E16B0F"/>
    <w:rsid w:val="00E16D72"/>
    <w:rsid w:val="00E16F3B"/>
    <w:rsid w:val="00E16F8D"/>
    <w:rsid w:val="00E17327"/>
    <w:rsid w:val="00E1734B"/>
    <w:rsid w:val="00E1746D"/>
    <w:rsid w:val="00E176DF"/>
    <w:rsid w:val="00E177EF"/>
    <w:rsid w:val="00E17803"/>
    <w:rsid w:val="00E17A7A"/>
    <w:rsid w:val="00E17E6A"/>
    <w:rsid w:val="00E2006E"/>
    <w:rsid w:val="00E200CD"/>
    <w:rsid w:val="00E20134"/>
    <w:rsid w:val="00E2017C"/>
    <w:rsid w:val="00E202DA"/>
    <w:rsid w:val="00E204B7"/>
    <w:rsid w:val="00E204F4"/>
    <w:rsid w:val="00E20626"/>
    <w:rsid w:val="00E20885"/>
    <w:rsid w:val="00E20975"/>
    <w:rsid w:val="00E20A25"/>
    <w:rsid w:val="00E20B31"/>
    <w:rsid w:val="00E20B61"/>
    <w:rsid w:val="00E210BB"/>
    <w:rsid w:val="00E21287"/>
    <w:rsid w:val="00E21353"/>
    <w:rsid w:val="00E2174F"/>
    <w:rsid w:val="00E217C6"/>
    <w:rsid w:val="00E219CC"/>
    <w:rsid w:val="00E21B0E"/>
    <w:rsid w:val="00E21BD6"/>
    <w:rsid w:val="00E21D0B"/>
    <w:rsid w:val="00E21DB8"/>
    <w:rsid w:val="00E21ED5"/>
    <w:rsid w:val="00E21F64"/>
    <w:rsid w:val="00E22323"/>
    <w:rsid w:val="00E22531"/>
    <w:rsid w:val="00E2275D"/>
    <w:rsid w:val="00E227CE"/>
    <w:rsid w:val="00E228E5"/>
    <w:rsid w:val="00E229AC"/>
    <w:rsid w:val="00E229B6"/>
    <w:rsid w:val="00E22AE5"/>
    <w:rsid w:val="00E22C6D"/>
    <w:rsid w:val="00E22F8F"/>
    <w:rsid w:val="00E22FF7"/>
    <w:rsid w:val="00E231C5"/>
    <w:rsid w:val="00E232BE"/>
    <w:rsid w:val="00E232E9"/>
    <w:rsid w:val="00E23587"/>
    <w:rsid w:val="00E235CB"/>
    <w:rsid w:val="00E23671"/>
    <w:rsid w:val="00E236D2"/>
    <w:rsid w:val="00E237DE"/>
    <w:rsid w:val="00E23910"/>
    <w:rsid w:val="00E239E5"/>
    <w:rsid w:val="00E23A80"/>
    <w:rsid w:val="00E23AB6"/>
    <w:rsid w:val="00E23ECA"/>
    <w:rsid w:val="00E24258"/>
    <w:rsid w:val="00E24703"/>
    <w:rsid w:val="00E2481F"/>
    <w:rsid w:val="00E248E5"/>
    <w:rsid w:val="00E24CB7"/>
    <w:rsid w:val="00E251F1"/>
    <w:rsid w:val="00E252B9"/>
    <w:rsid w:val="00E25336"/>
    <w:rsid w:val="00E25375"/>
    <w:rsid w:val="00E25411"/>
    <w:rsid w:val="00E25413"/>
    <w:rsid w:val="00E25579"/>
    <w:rsid w:val="00E256FC"/>
    <w:rsid w:val="00E2583B"/>
    <w:rsid w:val="00E25875"/>
    <w:rsid w:val="00E25930"/>
    <w:rsid w:val="00E2599A"/>
    <w:rsid w:val="00E25A3C"/>
    <w:rsid w:val="00E25B62"/>
    <w:rsid w:val="00E25C49"/>
    <w:rsid w:val="00E25C4F"/>
    <w:rsid w:val="00E260D6"/>
    <w:rsid w:val="00E26106"/>
    <w:rsid w:val="00E26150"/>
    <w:rsid w:val="00E263B1"/>
    <w:rsid w:val="00E2654C"/>
    <w:rsid w:val="00E26689"/>
    <w:rsid w:val="00E2669B"/>
    <w:rsid w:val="00E266EC"/>
    <w:rsid w:val="00E26717"/>
    <w:rsid w:val="00E26A3D"/>
    <w:rsid w:val="00E26AD7"/>
    <w:rsid w:val="00E26B43"/>
    <w:rsid w:val="00E26D72"/>
    <w:rsid w:val="00E26D90"/>
    <w:rsid w:val="00E27126"/>
    <w:rsid w:val="00E27503"/>
    <w:rsid w:val="00E2793A"/>
    <w:rsid w:val="00E27CBA"/>
    <w:rsid w:val="00E27CD7"/>
    <w:rsid w:val="00E27D8E"/>
    <w:rsid w:val="00E27E0E"/>
    <w:rsid w:val="00E27F2A"/>
    <w:rsid w:val="00E27F8F"/>
    <w:rsid w:val="00E30099"/>
    <w:rsid w:val="00E3034D"/>
    <w:rsid w:val="00E3038D"/>
    <w:rsid w:val="00E303F7"/>
    <w:rsid w:val="00E30421"/>
    <w:rsid w:val="00E30606"/>
    <w:rsid w:val="00E3097C"/>
    <w:rsid w:val="00E30B22"/>
    <w:rsid w:val="00E30B81"/>
    <w:rsid w:val="00E30BC5"/>
    <w:rsid w:val="00E30F12"/>
    <w:rsid w:val="00E31025"/>
    <w:rsid w:val="00E31026"/>
    <w:rsid w:val="00E3134E"/>
    <w:rsid w:val="00E313E9"/>
    <w:rsid w:val="00E314A3"/>
    <w:rsid w:val="00E3179E"/>
    <w:rsid w:val="00E3184A"/>
    <w:rsid w:val="00E31B3C"/>
    <w:rsid w:val="00E31CDC"/>
    <w:rsid w:val="00E31EC6"/>
    <w:rsid w:val="00E31F27"/>
    <w:rsid w:val="00E321A1"/>
    <w:rsid w:val="00E32304"/>
    <w:rsid w:val="00E3235D"/>
    <w:rsid w:val="00E32374"/>
    <w:rsid w:val="00E323D0"/>
    <w:rsid w:val="00E32439"/>
    <w:rsid w:val="00E324AE"/>
    <w:rsid w:val="00E3256D"/>
    <w:rsid w:val="00E328EB"/>
    <w:rsid w:val="00E32AAF"/>
    <w:rsid w:val="00E32BA8"/>
    <w:rsid w:val="00E32D04"/>
    <w:rsid w:val="00E32DB6"/>
    <w:rsid w:val="00E32E08"/>
    <w:rsid w:val="00E32EE7"/>
    <w:rsid w:val="00E3304E"/>
    <w:rsid w:val="00E331FF"/>
    <w:rsid w:val="00E33227"/>
    <w:rsid w:val="00E33277"/>
    <w:rsid w:val="00E334F9"/>
    <w:rsid w:val="00E33564"/>
    <w:rsid w:val="00E3356B"/>
    <w:rsid w:val="00E335F5"/>
    <w:rsid w:val="00E336FD"/>
    <w:rsid w:val="00E33726"/>
    <w:rsid w:val="00E33F51"/>
    <w:rsid w:val="00E34085"/>
    <w:rsid w:val="00E3413E"/>
    <w:rsid w:val="00E341B0"/>
    <w:rsid w:val="00E343F8"/>
    <w:rsid w:val="00E34A10"/>
    <w:rsid w:val="00E34E31"/>
    <w:rsid w:val="00E35016"/>
    <w:rsid w:val="00E35110"/>
    <w:rsid w:val="00E351D9"/>
    <w:rsid w:val="00E3532D"/>
    <w:rsid w:val="00E353B3"/>
    <w:rsid w:val="00E35427"/>
    <w:rsid w:val="00E35581"/>
    <w:rsid w:val="00E35A2A"/>
    <w:rsid w:val="00E35B31"/>
    <w:rsid w:val="00E35BC2"/>
    <w:rsid w:val="00E35C0F"/>
    <w:rsid w:val="00E35CDA"/>
    <w:rsid w:val="00E361F0"/>
    <w:rsid w:val="00E36458"/>
    <w:rsid w:val="00E36788"/>
    <w:rsid w:val="00E36B09"/>
    <w:rsid w:val="00E36BA0"/>
    <w:rsid w:val="00E36D12"/>
    <w:rsid w:val="00E37005"/>
    <w:rsid w:val="00E3734A"/>
    <w:rsid w:val="00E37369"/>
    <w:rsid w:val="00E375E6"/>
    <w:rsid w:val="00E375EA"/>
    <w:rsid w:val="00E379C0"/>
    <w:rsid w:val="00E37AB1"/>
    <w:rsid w:val="00E37B1C"/>
    <w:rsid w:val="00E37D5E"/>
    <w:rsid w:val="00E37F0F"/>
    <w:rsid w:val="00E37F19"/>
    <w:rsid w:val="00E4039D"/>
    <w:rsid w:val="00E40453"/>
    <w:rsid w:val="00E404CE"/>
    <w:rsid w:val="00E4053A"/>
    <w:rsid w:val="00E409AF"/>
    <w:rsid w:val="00E40A37"/>
    <w:rsid w:val="00E40CC3"/>
    <w:rsid w:val="00E40EBC"/>
    <w:rsid w:val="00E40F4D"/>
    <w:rsid w:val="00E40FED"/>
    <w:rsid w:val="00E411F7"/>
    <w:rsid w:val="00E4130A"/>
    <w:rsid w:val="00E41373"/>
    <w:rsid w:val="00E4144C"/>
    <w:rsid w:val="00E41663"/>
    <w:rsid w:val="00E416C0"/>
    <w:rsid w:val="00E418BB"/>
    <w:rsid w:val="00E41979"/>
    <w:rsid w:val="00E419D9"/>
    <w:rsid w:val="00E41B92"/>
    <w:rsid w:val="00E422B0"/>
    <w:rsid w:val="00E422B4"/>
    <w:rsid w:val="00E42434"/>
    <w:rsid w:val="00E42530"/>
    <w:rsid w:val="00E42547"/>
    <w:rsid w:val="00E425EF"/>
    <w:rsid w:val="00E42794"/>
    <w:rsid w:val="00E42B88"/>
    <w:rsid w:val="00E42C26"/>
    <w:rsid w:val="00E42CA0"/>
    <w:rsid w:val="00E42DE1"/>
    <w:rsid w:val="00E42F20"/>
    <w:rsid w:val="00E43037"/>
    <w:rsid w:val="00E4305B"/>
    <w:rsid w:val="00E4347B"/>
    <w:rsid w:val="00E4367D"/>
    <w:rsid w:val="00E4381F"/>
    <w:rsid w:val="00E43A86"/>
    <w:rsid w:val="00E43B7F"/>
    <w:rsid w:val="00E43C12"/>
    <w:rsid w:val="00E43D4E"/>
    <w:rsid w:val="00E44010"/>
    <w:rsid w:val="00E4426E"/>
    <w:rsid w:val="00E445D7"/>
    <w:rsid w:val="00E44785"/>
    <w:rsid w:val="00E449D8"/>
    <w:rsid w:val="00E44C29"/>
    <w:rsid w:val="00E44CC6"/>
    <w:rsid w:val="00E44D10"/>
    <w:rsid w:val="00E44D47"/>
    <w:rsid w:val="00E44F22"/>
    <w:rsid w:val="00E4520C"/>
    <w:rsid w:val="00E45589"/>
    <w:rsid w:val="00E45C3A"/>
    <w:rsid w:val="00E45FF4"/>
    <w:rsid w:val="00E4619A"/>
    <w:rsid w:val="00E46431"/>
    <w:rsid w:val="00E464CA"/>
    <w:rsid w:val="00E465D3"/>
    <w:rsid w:val="00E466BF"/>
    <w:rsid w:val="00E4689E"/>
    <w:rsid w:val="00E46A24"/>
    <w:rsid w:val="00E46AD3"/>
    <w:rsid w:val="00E46D05"/>
    <w:rsid w:val="00E472C2"/>
    <w:rsid w:val="00E47787"/>
    <w:rsid w:val="00E4789D"/>
    <w:rsid w:val="00E47B57"/>
    <w:rsid w:val="00E47C09"/>
    <w:rsid w:val="00E47CA1"/>
    <w:rsid w:val="00E47E1F"/>
    <w:rsid w:val="00E47FA0"/>
    <w:rsid w:val="00E5038C"/>
    <w:rsid w:val="00E50502"/>
    <w:rsid w:val="00E5059E"/>
    <w:rsid w:val="00E50760"/>
    <w:rsid w:val="00E507CE"/>
    <w:rsid w:val="00E50B1A"/>
    <w:rsid w:val="00E50BDF"/>
    <w:rsid w:val="00E50E64"/>
    <w:rsid w:val="00E50E84"/>
    <w:rsid w:val="00E50F8D"/>
    <w:rsid w:val="00E50FC0"/>
    <w:rsid w:val="00E510DC"/>
    <w:rsid w:val="00E516FB"/>
    <w:rsid w:val="00E51734"/>
    <w:rsid w:val="00E517EE"/>
    <w:rsid w:val="00E518DA"/>
    <w:rsid w:val="00E51A29"/>
    <w:rsid w:val="00E51CCE"/>
    <w:rsid w:val="00E51D82"/>
    <w:rsid w:val="00E51DFD"/>
    <w:rsid w:val="00E51FFC"/>
    <w:rsid w:val="00E52064"/>
    <w:rsid w:val="00E52252"/>
    <w:rsid w:val="00E5233F"/>
    <w:rsid w:val="00E5259E"/>
    <w:rsid w:val="00E525A4"/>
    <w:rsid w:val="00E525EA"/>
    <w:rsid w:val="00E527F5"/>
    <w:rsid w:val="00E527FE"/>
    <w:rsid w:val="00E5289E"/>
    <w:rsid w:val="00E528CA"/>
    <w:rsid w:val="00E52BD7"/>
    <w:rsid w:val="00E52CB9"/>
    <w:rsid w:val="00E53092"/>
    <w:rsid w:val="00E5319B"/>
    <w:rsid w:val="00E53247"/>
    <w:rsid w:val="00E5330A"/>
    <w:rsid w:val="00E535DA"/>
    <w:rsid w:val="00E53648"/>
    <w:rsid w:val="00E53AE3"/>
    <w:rsid w:val="00E53C4B"/>
    <w:rsid w:val="00E53D07"/>
    <w:rsid w:val="00E53F50"/>
    <w:rsid w:val="00E542EB"/>
    <w:rsid w:val="00E5439A"/>
    <w:rsid w:val="00E54436"/>
    <w:rsid w:val="00E5491D"/>
    <w:rsid w:val="00E54CD0"/>
    <w:rsid w:val="00E54D46"/>
    <w:rsid w:val="00E54E59"/>
    <w:rsid w:val="00E54F36"/>
    <w:rsid w:val="00E551C9"/>
    <w:rsid w:val="00E553A8"/>
    <w:rsid w:val="00E553CB"/>
    <w:rsid w:val="00E553D0"/>
    <w:rsid w:val="00E553DC"/>
    <w:rsid w:val="00E5542E"/>
    <w:rsid w:val="00E5549D"/>
    <w:rsid w:val="00E55974"/>
    <w:rsid w:val="00E55B1D"/>
    <w:rsid w:val="00E55B1E"/>
    <w:rsid w:val="00E55B7A"/>
    <w:rsid w:val="00E55D65"/>
    <w:rsid w:val="00E55D7D"/>
    <w:rsid w:val="00E55E39"/>
    <w:rsid w:val="00E56054"/>
    <w:rsid w:val="00E56202"/>
    <w:rsid w:val="00E56288"/>
    <w:rsid w:val="00E56610"/>
    <w:rsid w:val="00E5680B"/>
    <w:rsid w:val="00E568F8"/>
    <w:rsid w:val="00E56A91"/>
    <w:rsid w:val="00E56C53"/>
    <w:rsid w:val="00E56DFD"/>
    <w:rsid w:val="00E56EE9"/>
    <w:rsid w:val="00E56F54"/>
    <w:rsid w:val="00E56F5A"/>
    <w:rsid w:val="00E57048"/>
    <w:rsid w:val="00E570FC"/>
    <w:rsid w:val="00E5722B"/>
    <w:rsid w:val="00E572F4"/>
    <w:rsid w:val="00E57323"/>
    <w:rsid w:val="00E574DC"/>
    <w:rsid w:val="00E57667"/>
    <w:rsid w:val="00E5785D"/>
    <w:rsid w:val="00E578EE"/>
    <w:rsid w:val="00E57917"/>
    <w:rsid w:val="00E5795D"/>
    <w:rsid w:val="00E57F19"/>
    <w:rsid w:val="00E57FA8"/>
    <w:rsid w:val="00E6048B"/>
    <w:rsid w:val="00E604F2"/>
    <w:rsid w:val="00E60505"/>
    <w:rsid w:val="00E60840"/>
    <w:rsid w:val="00E608F1"/>
    <w:rsid w:val="00E609C5"/>
    <w:rsid w:val="00E60CDC"/>
    <w:rsid w:val="00E60D81"/>
    <w:rsid w:val="00E60E65"/>
    <w:rsid w:val="00E60F05"/>
    <w:rsid w:val="00E61035"/>
    <w:rsid w:val="00E61129"/>
    <w:rsid w:val="00E618DD"/>
    <w:rsid w:val="00E618FC"/>
    <w:rsid w:val="00E61A33"/>
    <w:rsid w:val="00E61A69"/>
    <w:rsid w:val="00E61A82"/>
    <w:rsid w:val="00E61B6E"/>
    <w:rsid w:val="00E61C09"/>
    <w:rsid w:val="00E61F58"/>
    <w:rsid w:val="00E626D6"/>
    <w:rsid w:val="00E62800"/>
    <w:rsid w:val="00E629F9"/>
    <w:rsid w:val="00E62B3E"/>
    <w:rsid w:val="00E62B7C"/>
    <w:rsid w:val="00E62ED7"/>
    <w:rsid w:val="00E63AD6"/>
    <w:rsid w:val="00E63B7A"/>
    <w:rsid w:val="00E63D43"/>
    <w:rsid w:val="00E63DCE"/>
    <w:rsid w:val="00E64095"/>
    <w:rsid w:val="00E64204"/>
    <w:rsid w:val="00E644AB"/>
    <w:rsid w:val="00E645D6"/>
    <w:rsid w:val="00E64619"/>
    <w:rsid w:val="00E648EB"/>
    <w:rsid w:val="00E6497D"/>
    <w:rsid w:val="00E64ADB"/>
    <w:rsid w:val="00E64CFC"/>
    <w:rsid w:val="00E64E0D"/>
    <w:rsid w:val="00E6502C"/>
    <w:rsid w:val="00E65048"/>
    <w:rsid w:val="00E652CB"/>
    <w:rsid w:val="00E652F9"/>
    <w:rsid w:val="00E65333"/>
    <w:rsid w:val="00E657CE"/>
    <w:rsid w:val="00E65847"/>
    <w:rsid w:val="00E65935"/>
    <w:rsid w:val="00E65A34"/>
    <w:rsid w:val="00E65C6B"/>
    <w:rsid w:val="00E65E10"/>
    <w:rsid w:val="00E65E19"/>
    <w:rsid w:val="00E65F52"/>
    <w:rsid w:val="00E6611B"/>
    <w:rsid w:val="00E6624C"/>
    <w:rsid w:val="00E6634B"/>
    <w:rsid w:val="00E664CD"/>
    <w:rsid w:val="00E66DB9"/>
    <w:rsid w:val="00E66E31"/>
    <w:rsid w:val="00E670AF"/>
    <w:rsid w:val="00E67148"/>
    <w:rsid w:val="00E67293"/>
    <w:rsid w:val="00E67353"/>
    <w:rsid w:val="00E6735E"/>
    <w:rsid w:val="00E677C2"/>
    <w:rsid w:val="00E67890"/>
    <w:rsid w:val="00E67A3E"/>
    <w:rsid w:val="00E67B75"/>
    <w:rsid w:val="00E67D39"/>
    <w:rsid w:val="00E701D3"/>
    <w:rsid w:val="00E7054B"/>
    <w:rsid w:val="00E70791"/>
    <w:rsid w:val="00E709E5"/>
    <w:rsid w:val="00E70AC0"/>
    <w:rsid w:val="00E70BFB"/>
    <w:rsid w:val="00E70D41"/>
    <w:rsid w:val="00E70DD5"/>
    <w:rsid w:val="00E70DFD"/>
    <w:rsid w:val="00E71016"/>
    <w:rsid w:val="00E71059"/>
    <w:rsid w:val="00E7159B"/>
    <w:rsid w:val="00E7163E"/>
    <w:rsid w:val="00E7166A"/>
    <w:rsid w:val="00E716AA"/>
    <w:rsid w:val="00E716FB"/>
    <w:rsid w:val="00E71B33"/>
    <w:rsid w:val="00E71BE3"/>
    <w:rsid w:val="00E71E97"/>
    <w:rsid w:val="00E72013"/>
    <w:rsid w:val="00E72898"/>
    <w:rsid w:val="00E729C5"/>
    <w:rsid w:val="00E72A13"/>
    <w:rsid w:val="00E72B12"/>
    <w:rsid w:val="00E72B4B"/>
    <w:rsid w:val="00E72B9F"/>
    <w:rsid w:val="00E72BAE"/>
    <w:rsid w:val="00E72E65"/>
    <w:rsid w:val="00E72FFF"/>
    <w:rsid w:val="00E7305E"/>
    <w:rsid w:val="00E73143"/>
    <w:rsid w:val="00E731E0"/>
    <w:rsid w:val="00E73228"/>
    <w:rsid w:val="00E7326A"/>
    <w:rsid w:val="00E73392"/>
    <w:rsid w:val="00E734AD"/>
    <w:rsid w:val="00E734B7"/>
    <w:rsid w:val="00E736EA"/>
    <w:rsid w:val="00E73766"/>
    <w:rsid w:val="00E737AB"/>
    <w:rsid w:val="00E73937"/>
    <w:rsid w:val="00E73CED"/>
    <w:rsid w:val="00E742E0"/>
    <w:rsid w:val="00E74918"/>
    <w:rsid w:val="00E74981"/>
    <w:rsid w:val="00E74AC4"/>
    <w:rsid w:val="00E74DC7"/>
    <w:rsid w:val="00E74E67"/>
    <w:rsid w:val="00E74EA5"/>
    <w:rsid w:val="00E74ED8"/>
    <w:rsid w:val="00E750EE"/>
    <w:rsid w:val="00E752F3"/>
    <w:rsid w:val="00E7545A"/>
    <w:rsid w:val="00E754F2"/>
    <w:rsid w:val="00E758B9"/>
    <w:rsid w:val="00E759B3"/>
    <w:rsid w:val="00E75ABA"/>
    <w:rsid w:val="00E75BE7"/>
    <w:rsid w:val="00E75FA3"/>
    <w:rsid w:val="00E762AC"/>
    <w:rsid w:val="00E76334"/>
    <w:rsid w:val="00E76629"/>
    <w:rsid w:val="00E768B9"/>
    <w:rsid w:val="00E769F5"/>
    <w:rsid w:val="00E76D81"/>
    <w:rsid w:val="00E76F4E"/>
    <w:rsid w:val="00E76FE8"/>
    <w:rsid w:val="00E77034"/>
    <w:rsid w:val="00E770ED"/>
    <w:rsid w:val="00E77157"/>
    <w:rsid w:val="00E771D9"/>
    <w:rsid w:val="00E77276"/>
    <w:rsid w:val="00E776EE"/>
    <w:rsid w:val="00E77A70"/>
    <w:rsid w:val="00E77AC3"/>
    <w:rsid w:val="00E77EB2"/>
    <w:rsid w:val="00E77FBA"/>
    <w:rsid w:val="00E80127"/>
    <w:rsid w:val="00E803EF"/>
    <w:rsid w:val="00E80BED"/>
    <w:rsid w:val="00E80CB7"/>
    <w:rsid w:val="00E80D6D"/>
    <w:rsid w:val="00E80D95"/>
    <w:rsid w:val="00E80E6F"/>
    <w:rsid w:val="00E810E5"/>
    <w:rsid w:val="00E81522"/>
    <w:rsid w:val="00E816C1"/>
    <w:rsid w:val="00E8195E"/>
    <w:rsid w:val="00E8199A"/>
    <w:rsid w:val="00E81DF7"/>
    <w:rsid w:val="00E82035"/>
    <w:rsid w:val="00E820A6"/>
    <w:rsid w:val="00E82425"/>
    <w:rsid w:val="00E8255A"/>
    <w:rsid w:val="00E82634"/>
    <w:rsid w:val="00E8264B"/>
    <w:rsid w:val="00E82806"/>
    <w:rsid w:val="00E828CC"/>
    <w:rsid w:val="00E8296C"/>
    <w:rsid w:val="00E8297D"/>
    <w:rsid w:val="00E82A4B"/>
    <w:rsid w:val="00E82C4A"/>
    <w:rsid w:val="00E82E1B"/>
    <w:rsid w:val="00E82E93"/>
    <w:rsid w:val="00E82FB8"/>
    <w:rsid w:val="00E830E0"/>
    <w:rsid w:val="00E831A8"/>
    <w:rsid w:val="00E83217"/>
    <w:rsid w:val="00E83230"/>
    <w:rsid w:val="00E8331E"/>
    <w:rsid w:val="00E8343D"/>
    <w:rsid w:val="00E83744"/>
    <w:rsid w:val="00E837B0"/>
    <w:rsid w:val="00E837CD"/>
    <w:rsid w:val="00E8383C"/>
    <w:rsid w:val="00E83BB3"/>
    <w:rsid w:val="00E83FA5"/>
    <w:rsid w:val="00E8423B"/>
    <w:rsid w:val="00E8423D"/>
    <w:rsid w:val="00E84675"/>
    <w:rsid w:val="00E849A0"/>
    <w:rsid w:val="00E84D0D"/>
    <w:rsid w:val="00E84E18"/>
    <w:rsid w:val="00E84ED1"/>
    <w:rsid w:val="00E84FC7"/>
    <w:rsid w:val="00E85295"/>
    <w:rsid w:val="00E853E2"/>
    <w:rsid w:val="00E854EC"/>
    <w:rsid w:val="00E855FF"/>
    <w:rsid w:val="00E85DAC"/>
    <w:rsid w:val="00E86215"/>
    <w:rsid w:val="00E862B9"/>
    <w:rsid w:val="00E86367"/>
    <w:rsid w:val="00E866CD"/>
    <w:rsid w:val="00E868E2"/>
    <w:rsid w:val="00E86990"/>
    <w:rsid w:val="00E86FC0"/>
    <w:rsid w:val="00E8717F"/>
    <w:rsid w:val="00E87292"/>
    <w:rsid w:val="00E872FA"/>
    <w:rsid w:val="00E877B1"/>
    <w:rsid w:val="00E879A4"/>
    <w:rsid w:val="00E879D0"/>
    <w:rsid w:val="00E879D5"/>
    <w:rsid w:val="00E87CFF"/>
    <w:rsid w:val="00E87D12"/>
    <w:rsid w:val="00E87D5E"/>
    <w:rsid w:val="00E90696"/>
    <w:rsid w:val="00E908CF"/>
    <w:rsid w:val="00E90923"/>
    <w:rsid w:val="00E90A5D"/>
    <w:rsid w:val="00E90AA0"/>
    <w:rsid w:val="00E90AFB"/>
    <w:rsid w:val="00E90B75"/>
    <w:rsid w:val="00E90BB2"/>
    <w:rsid w:val="00E90C36"/>
    <w:rsid w:val="00E90D26"/>
    <w:rsid w:val="00E91155"/>
    <w:rsid w:val="00E91360"/>
    <w:rsid w:val="00E91503"/>
    <w:rsid w:val="00E9156C"/>
    <w:rsid w:val="00E91626"/>
    <w:rsid w:val="00E91A18"/>
    <w:rsid w:val="00E91A75"/>
    <w:rsid w:val="00E91B54"/>
    <w:rsid w:val="00E91CD6"/>
    <w:rsid w:val="00E91E14"/>
    <w:rsid w:val="00E91E17"/>
    <w:rsid w:val="00E922B8"/>
    <w:rsid w:val="00E922BB"/>
    <w:rsid w:val="00E922F2"/>
    <w:rsid w:val="00E92343"/>
    <w:rsid w:val="00E92471"/>
    <w:rsid w:val="00E92617"/>
    <w:rsid w:val="00E92652"/>
    <w:rsid w:val="00E928BC"/>
    <w:rsid w:val="00E928F9"/>
    <w:rsid w:val="00E929CF"/>
    <w:rsid w:val="00E92AF9"/>
    <w:rsid w:val="00E92B52"/>
    <w:rsid w:val="00E92B82"/>
    <w:rsid w:val="00E9323B"/>
    <w:rsid w:val="00E93447"/>
    <w:rsid w:val="00E936F2"/>
    <w:rsid w:val="00E9390F"/>
    <w:rsid w:val="00E93A30"/>
    <w:rsid w:val="00E93B67"/>
    <w:rsid w:val="00E93C54"/>
    <w:rsid w:val="00E945D3"/>
    <w:rsid w:val="00E94990"/>
    <w:rsid w:val="00E94AD7"/>
    <w:rsid w:val="00E94C15"/>
    <w:rsid w:val="00E94E2A"/>
    <w:rsid w:val="00E94FC1"/>
    <w:rsid w:val="00E950FD"/>
    <w:rsid w:val="00E95146"/>
    <w:rsid w:val="00E9525B"/>
    <w:rsid w:val="00E952FE"/>
    <w:rsid w:val="00E956B6"/>
    <w:rsid w:val="00E957EC"/>
    <w:rsid w:val="00E95A40"/>
    <w:rsid w:val="00E95A53"/>
    <w:rsid w:val="00E95B92"/>
    <w:rsid w:val="00E95D6E"/>
    <w:rsid w:val="00E95D74"/>
    <w:rsid w:val="00E95D9B"/>
    <w:rsid w:val="00E95DA7"/>
    <w:rsid w:val="00E95E31"/>
    <w:rsid w:val="00E95F7F"/>
    <w:rsid w:val="00E96132"/>
    <w:rsid w:val="00E961CE"/>
    <w:rsid w:val="00E9627D"/>
    <w:rsid w:val="00E96566"/>
    <w:rsid w:val="00E96940"/>
    <w:rsid w:val="00E96A54"/>
    <w:rsid w:val="00E96A70"/>
    <w:rsid w:val="00E96A9E"/>
    <w:rsid w:val="00E96CAD"/>
    <w:rsid w:val="00E96FB5"/>
    <w:rsid w:val="00E9704C"/>
    <w:rsid w:val="00E97152"/>
    <w:rsid w:val="00E971D9"/>
    <w:rsid w:val="00E972A6"/>
    <w:rsid w:val="00E97394"/>
    <w:rsid w:val="00E973FC"/>
    <w:rsid w:val="00E9751A"/>
    <w:rsid w:val="00E9755B"/>
    <w:rsid w:val="00E97567"/>
    <w:rsid w:val="00E97689"/>
    <w:rsid w:val="00E97853"/>
    <w:rsid w:val="00E97AC8"/>
    <w:rsid w:val="00E97B44"/>
    <w:rsid w:val="00E97E48"/>
    <w:rsid w:val="00E97EDD"/>
    <w:rsid w:val="00EA02BD"/>
    <w:rsid w:val="00EA0495"/>
    <w:rsid w:val="00EA04A9"/>
    <w:rsid w:val="00EA0761"/>
    <w:rsid w:val="00EA092D"/>
    <w:rsid w:val="00EA0A6D"/>
    <w:rsid w:val="00EA0AE8"/>
    <w:rsid w:val="00EA0AEF"/>
    <w:rsid w:val="00EA0C06"/>
    <w:rsid w:val="00EA0C33"/>
    <w:rsid w:val="00EA0D27"/>
    <w:rsid w:val="00EA1210"/>
    <w:rsid w:val="00EA1519"/>
    <w:rsid w:val="00EA15C7"/>
    <w:rsid w:val="00EA1635"/>
    <w:rsid w:val="00EA1724"/>
    <w:rsid w:val="00EA1807"/>
    <w:rsid w:val="00EA18B3"/>
    <w:rsid w:val="00EA18ED"/>
    <w:rsid w:val="00EA1932"/>
    <w:rsid w:val="00EA1A8B"/>
    <w:rsid w:val="00EA1BAA"/>
    <w:rsid w:val="00EA1C62"/>
    <w:rsid w:val="00EA1D10"/>
    <w:rsid w:val="00EA1D14"/>
    <w:rsid w:val="00EA1D4E"/>
    <w:rsid w:val="00EA213E"/>
    <w:rsid w:val="00EA2269"/>
    <w:rsid w:val="00EA22B9"/>
    <w:rsid w:val="00EA2335"/>
    <w:rsid w:val="00EA2352"/>
    <w:rsid w:val="00EA23DD"/>
    <w:rsid w:val="00EA24DC"/>
    <w:rsid w:val="00EA26DF"/>
    <w:rsid w:val="00EA2A76"/>
    <w:rsid w:val="00EA2C38"/>
    <w:rsid w:val="00EA2C82"/>
    <w:rsid w:val="00EA2C85"/>
    <w:rsid w:val="00EA2CDC"/>
    <w:rsid w:val="00EA2FAE"/>
    <w:rsid w:val="00EA2FD9"/>
    <w:rsid w:val="00EA32BB"/>
    <w:rsid w:val="00EA33EA"/>
    <w:rsid w:val="00EA3422"/>
    <w:rsid w:val="00EA3637"/>
    <w:rsid w:val="00EA372E"/>
    <w:rsid w:val="00EA38B3"/>
    <w:rsid w:val="00EA38EE"/>
    <w:rsid w:val="00EA3B35"/>
    <w:rsid w:val="00EA3BC3"/>
    <w:rsid w:val="00EA3C0D"/>
    <w:rsid w:val="00EA3C92"/>
    <w:rsid w:val="00EA3DFE"/>
    <w:rsid w:val="00EA3EDC"/>
    <w:rsid w:val="00EA4241"/>
    <w:rsid w:val="00EA4733"/>
    <w:rsid w:val="00EA47C0"/>
    <w:rsid w:val="00EA47CA"/>
    <w:rsid w:val="00EA4AAD"/>
    <w:rsid w:val="00EA4B26"/>
    <w:rsid w:val="00EA4CCC"/>
    <w:rsid w:val="00EA4F55"/>
    <w:rsid w:val="00EA5094"/>
    <w:rsid w:val="00EA5159"/>
    <w:rsid w:val="00EA52CC"/>
    <w:rsid w:val="00EA535C"/>
    <w:rsid w:val="00EA5768"/>
    <w:rsid w:val="00EA57BB"/>
    <w:rsid w:val="00EA59EE"/>
    <w:rsid w:val="00EA5ACB"/>
    <w:rsid w:val="00EA5B08"/>
    <w:rsid w:val="00EA5D1D"/>
    <w:rsid w:val="00EA5E16"/>
    <w:rsid w:val="00EA6223"/>
    <w:rsid w:val="00EA6617"/>
    <w:rsid w:val="00EA689E"/>
    <w:rsid w:val="00EA6B0B"/>
    <w:rsid w:val="00EA6C70"/>
    <w:rsid w:val="00EA6EAD"/>
    <w:rsid w:val="00EA6F21"/>
    <w:rsid w:val="00EA6F62"/>
    <w:rsid w:val="00EA70D7"/>
    <w:rsid w:val="00EA758A"/>
    <w:rsid w:val="00EA77E8"/>
    <w:rsid w:val="00EA79F6"/>
    <w:rsid w:val="00EA7A4C"/>
    <w:rsid w:val="00EA7A5E"/>
    <w:rsid w:val="00EA7BBE"/>
    <w:rsid w:val="00EA7D87"/>
    <w:rsid w:val="00EB0039"/>
    <w:rsid w:val="00EB0056"/>
    <w:rsid w:val="00EB0282"/>
    <w:rsid w:val="00EB038D"/>
    <w:rsid w:val="00EB0391"/>
    <w:rsid w:val="00EB0458"/>
    <w:rsid w:val="00EB0563"/>
    <w:rsid w:val="00EB0D84"/>
    <w:rsid w:val="00EB0E32"/>
    <w:rsid w:val="00EB0E41"/>
    <w:rsid w:val="00EB0EE6"/>
    <w:rsid w:val="00EB1305"/>
    <w:rsid w:val="00EB1312"/>
    <w:rsid w:val="00EB132A"/>
    <w:rsid w:val="00EB149F"/>
    <w:rsid w:val="00EB15A6"/>
    <w:rsid w:val="00EB1671"/>
    <w:rsid w:val="00EB16E4"/>
    <w:rsid w:val="00EB1762"/>
    <w:rsid w:val="00EB1932"/>
    <w:rsid w:val="00EB195B"/>
    <w:rsid w:val="00EB1A97"/>
    <w:rsid w:val="00EB1D23"/>
    <w:rsid w:val="00EB1DF1"/>
    <w:rsid w:val="00EB1F1D"/>
    <w:rsid w:val="00EB2A82"/>
    <w:rsid w:val="00EB2B7B"/>
    <w:rsid w:val="00EB2C1C"/>
    <w:rsid w:val="00EB2DE9"/>
    <w:rsid w:val="00EB2F13"/>
    <w:rsid w:val="00EB31D4"/>
    <w:rsid w:val="00EB3412"/>
    <w:rsid w:val="00EB34DB"/>
    <w:rsid w:val="00EB3559"/>
    <w:rsid w:val="00EB3568"/>
    <w:rsid w:val="00EB3573"/>
    <w:rsid w:val="00EB3623"/>
    <w:rsid w:val="00EB39AF"/>
    <w:rsid w:val="00EB3C2E"/>
    <w:rsid w:val="00EB3C30"/>
    <w:rsid w:val="00EB3CA5"/>
    <w:rsid w:val="00EB3EF1"/>
    <w:rsid w:val="00EB3F89"/>
    <w:rsid w:val="00EB41D5"/>
    <w:rsid w:val="00EB42D2"/>
    <w:rsid w:val="00EB4451"/>
    <w:rsid w:val="00EB48D8"/>
    <w:rsid w:val="00EB49DF"/>
    <w:rsid w:val="00EB4A66"/>
    <w:rsid w:val="00EB4A72"/>
    <w:rsid w:val="00EB4D9B"/>
    <w:rsid w:val="00EB4E2A"/>
    <w:rsid w:val="00EB4F26"/>
    <w:rsid w:val="00EB4FE9"/>
    <w:rsid w:val="00EB50ED"/>
    <w:rsid w:val="00EB53A7"/>
    <w:rsid w:val="00EB5474"/>
    <w:rsid w:val="00EB55E8"/>
    <w:rsid w:val="00EB5611"/>
    <w:rsid w:val="00EB5A4A"/>
    <w:rsid w:val="00EB5B7E"/>
    <w:rsid w:val="00EB5D11"/>
    <w:rsid w:val="00EB5D1A"/>
    <w:rsid w:val="00EB5EED"/>
    <w:rsid w:val="00EB5F5B"/>
    <w:rsid w:val="00EB611F"/>
    <w:rsid w:val="00EB612D"/>
    <w:rsid w:val="00EB6193"/>
    <w:rsid w:val="00EB6277"/>
    <w:rsid w:val="00EB6462"/>
    <w:rsid w:val="00EB67F3"/>
    <w:rsid w:val="00EB684F"/>
    <w:rsid w:val="00EB6F3E"/>
    <w:rsid w:val="00EB6F43"/>
    <w:rsid w:val="00EB75E7"/>
    <w:rsid w:val="00EB766B"/>
    <w:rsid w:val="00EB7C25"/>
    <w:rsid w:val="00EB7E3D"/>
    <w:rsid w:val="00EB7FAC"/>
    <w:rsid w:val="00EB7FDF"/>
    <w:rsid w:val="00EC0053"/>
    <w:rsid w:val="00EC0356"/>
    <w:rsid w:val="00EC03BB"/>
    <w:rsid w:val="00EC04BE"/>
    <w:rsid w:val="00EC050A"/>
    <w:rsid w:val="00EC058D"/>
    <w:rsid w:val="00EC0728"/>
    <w:rsid w:val="00EC0811"/>
    <w:rsid w:val="00EC08E3"/>
    <w:rsid w:val="00EC0917"/>
    <w:rsid w:val="00EC0A2F"/>
    <w:rsid w:val="00EC0B44"/>
    <w:rsid w:val="00EC0B8E"/>
    <w:rsid w:val="00EC0D5C"/>
    <w:rsid w:val="00EC0DEA"/>
    <w:rsid w:val="00EC0EB4"/>
    <w:rsid w:val="00EC10AA"/>
    <w:rsid w:val="00EC11D8"/>
    <w:rsid w:val="00EC11E3"/>
    <w:rsid w:val="00EC1344"/>
    <w:rsid w:val="00EC1361"/>
    <w:rsid w:val="00EC1684"/>
    <w:rsid w:val="00EC1685"/>
    <w:rsid w:val="00EC1708"/>
    <w:rsid w:val="00EC1BA3"/>
    <w:rsid w:val="00EC1C6C"/>
    <w:rsid w:val="00EC1D1C"/>
    <w:rsid w:val="00EC1D2C"/>
    <w:rsid w:val="00EC1F89"/>
    <w:rsid w:val="00EC2025"/>
    <w:rsid w:val="00EC213C"/>
    <w:rsid w:val="00EC23FC"/>
    <w:rsid w:val="00EC24AC"/>
    <w:rsid w:val="00EC2598"/>
    <w:rsid w:val="00EC25E0"/>
    <w:rsid w:val="00EC2635"/>
    <w:rsid w:val="00EC2688"/>
    <w:rsid w:val="00EC27FD"/>
    <w:rsid w:val="00EC2870"/>
    <w:rsid w:val="00EC2C82"/>
    <w:rsid w:val="00EC3098"/>
    <w:rsid w:val="00EC30B4"/>
    <w:rsid w:val="00EC3149"/>
    <w:rsid w:val="00EC3182"/>
    <w:rsid w:val="00EC334E"/>
    <w:rsid w:val="00EC34F0"/>
    <w:rsid w:val="00EC3732"/>
    <w:rsid w:val="00EC3823"/>
    <w:rsid w:val="00EC3967"/>
    <w:rsid w:val="00EC3AB5"/>
    <w:rsid w:val="00EC3B06"/>
    <w:rsid w:val="00EC3BEC"/>
    <w:rsid w:val="00EC3CFA"/>
    <w:rsid w:val="00EC3DE3"/>
    <w:rsid w:val="00EC3E7C"/>
    <w:rsid w:val="00EC3EA7"/>
    <w:rsid w:val="00EC3FA6"/>
    <w:rsid w:val="00EC4117"/>
    <w:rsid w:val="00EC426D"/>
    <w:rsid w:val="00EC44B8"/>
    <w:rsid w:val="00EC44DA"/>
    <w:rsid w:val="00EC4564"/>
    <w:rsid w:val="00EC4676"/>
    <w:rsid w:val="00EC48A4"/>
    <w:rsid w:val="00EC4AE2"/>
    <w:rsid w:val="00EC4B68"/>
    <w:rsid w:val="00EC51F2"/>
    <w:rsid w:val="00EC5293"/>
    <w:rsid w:val="00EC52FB"/>
    <w:rsid w:val="00EC5573"/>
    <w:rsid w:val="00EC5880"/>
    <w:rsid w:val="00EC595B"/>
    <w:rsid w:val="00EC5B28"/>
    <w:rsid w:val="00EC5F4F"/>
    <w:rsid w:val="00EC6105"/>
    <w:rsid w:val="00EC6174"/>
    <w:rsid w:val="00EC61A0"/>
    <w:rsid w:val="00EC61E2"/>
    <w:rsid w:val="00EC6470"/>
    <w:rsid w:val="00EC6714"/>
    <w:rsid w:val="00EC67C6"/>
    <w:rsid w:val="00EC685B"/>
    <w:rsid w:val="00EC68DF"/>
    <w:rsid w:val="00EC6937"/>
    <w:rsid w:val="00EC6A34"/>
    <w:rsid w:val="00EC6C08"/>
    <w:rsid w:val="00EC6DE6"/>
    <w:rsid w:val="00EC717C"/>
    <w:rsid w:val="00EC732D"/>
    <w:rsid w:val="00EC74C1"/>
    <w:rsid w:val="00EC75C3"/>
    <w:rsid w:val="00EC784B"/>
    <w:rsid w:val="00EC79B8"/>
    <w:rsid w:val="00EC7CE9"/>
    <w:rsid w:val="00EC7D2F"/>
    <w:rsid w:val="00EC7D9D"/>
    <w:rsid w:val="00ED00AF"/>
    <w:rsid w:val="00ED022E"/>
    <w:rsid w:val="00ED026B"/>
    <w:rsid w:val="00ED0280"/>
    <w:rsid w:val="00ED039E"/>
    <w:rsid w:val="00ED0917"/>
    <w:rsid w:val="00ED0BA0"/>
    <w:rsid w:val="00ED0E70"/>
    <w:rsid w:val="00ED0E97"/>
    <w:rsid w:val="00ED0FC8"/>
    <w:rsid w:val="00ED10E7"/>
    <w:rsid w:val="00ED1179"/>
    <w:rsid w:val="00ED11A6"/>
    <w:rsid w:val="00ED12BC"/>
    <w:rsid w:val="00ED1418"/>
    <w:rsid w:val="00ED14BC"/>
    <w:rsid w:val="00ED1693"/>
    <w:rsid w:val="00ED1A6F"/>
    <w:rsid w:val="00ED1C58"/>
    <w:rsid w:val="00ED20D5"/>
    <w:rsid w:val="00ED2289"/>
    <w:rsid w:val="00ED27FE"/>
    <w:rsid w:val="00ED2C0A"/>
    <w:rsid w:val="00ED2CFE"/>
    <w:rsid w:val="00ED2D0F"/>
    <w:rsid w:val="00ED2D41"/>
    <w:rsid w:val="00ED2DBC"/>
    <w:rsid w:val="00ED327D"/>
    <w:rsid w:val="00ED331E"/>
    <w:rsid w:val="00ED3390"/>
    <w:rsid w:val="00ED3440"/>
    <w:rsid w:val="00ED3504"/>
    <w:rsid w:val="00ED3906"/>
    <w:rsid w:val="00ED3A42"/>
    <w:rsid w:val="00ED3F77"/>
    <w:rsid w:val="00ED4055"/>
    <w:rsid w:val="00ED4105"/>
    <w:rsid w:val="00ED4202"/>
    <w:rsid w:val="00ED4240"/>
    <w:rsid w:val="00ED4390"/>
    <w:rsid w:val="00ED43DF"/>
    <w:rsid w:val="00ED45D1"/>
    <w:rsid w:val="00ED45F5"/>
    <w:rsid w:val="00ED4945"/>
    <w:rsid w:val="00ED49AC"/>
    <w:rsid w:val="00ED4B56"/>
    <w:rsid w:val="00ED4B68"/>
    <w:rsid w:val="00ED4C13"/>
    <w:rsid w:val="00ED4F00"/>
    <w:rsid w:val="00ED4FB6"/>
    <w:rsid w:val="00ED501F"/>
    <w:rsid w:val="00ED5024"/>
    <w:rsid w:val="00ED510A"/>
    <w:rsid w:val="00ED53C1"/>
    <w:rsid w:val="00ED54FA"/>
    <w:rsid w:val="00ED5624"/>
    <w:rsid w:val="00ED56C6"/>
    <w:rsid w:val="00ED5A5E"/>
    <w:rsid w:val="00ED5C0E"/>
    <w:rsid w:val="00ED5FE7"/>
    <w:rsid w:val="00ED6460"/>
    <w:rsid w:val="00ED660B"/>
    <w:rsid w:val="00ED6744"/>
    <w:rsid w:val="00ED674D"/>
    <w:rsid w:val="00ED677A"/>
    <w:rsid w:val="00ED6B65"/>
    <w:rsid w:val="00ED6E16"/>
    <w:rsid w:val="00ED6F3B"/>
    <w:rsid w:val="00ED703C"/>
    <w:rsid w:val="00ED70DF"/>
    <w:rsid w:val="00ED71B5"/>
    <w:rsid w:val="00ED72ED"/>
    <w:rsid w:val="00ED735A"/>
    <w:rsid w:val="00ED7444"/>
    <w:rsid w:val="00ED759C"/>
    <w:rsid w:val="00ED75B5"/>
    <w:rsid w:val="00ED77C0"/>
    <w:rsid w:val="00ED793B"/>
    <w:rsid w:val="00ED798D"/>
    <w:rsid w:val="00ED7999"/>
    <w:rsid w:val="00ED79D3"/>
    <w:rsid w:val="00ED7A25"/>
    <w:rsid w:val="00ED7AA8"/>
    <w:rsid w:val="00ED7CB4"/>
    <w:rsid w:val="00ED7F78"/>
    <w:rsid w:val="00ED7FE3"/>
    <w:rsid w:val="00EE08C3"/>
    <w:rsid w:val="00EE0904"/>
    <w:rsid w:val="00EE09F3"/>
    <w:rsid w:val="00EE0AA6"/>
    <w:rsid w:val="00EE0D66"/>
    <w:rsid w:val="00EE0E7C"/>
    <w:rsid w:val="00EE102B"/>
    <w:rsid w:val="00EE10C2"/>
    <w:rsid w:val="00EE11A0"/>
    <w:rsid w:val="00EE12A0"/>
    <w:rsid w:val="00EE15B4"/>
    <w:rsid w:val="00EE1AD5"/>
    <w:rsid w:val="00EE1D57"/>
    <w:rsid w:val="00EE1E82"/>
    <w:rsid w:val="00EE20FD"/>
    <w:rsid w:val="00EE21F1"/>
    <w:rsid w:val="00EE21FE"/>
    <w:rsid w:val="00EE221F"/>
    <w:rsid w:val="00EE22F5"/>
    <w:rsid w:val="00EE233A"/>
    <w:rsid w:val="00EE25EB"/>
    <w:rsid w:val="00EE26AB"/>
    <w:rsid w:val="00EE29C4"/>
    <w:rsid w:val="00EE2A51"/>
    <w:rsid w:val="00EE2A9A"/>
    <w:rsid w:val="00EE2B3A"/>
    <w:rsid w:val="00EE2DEA"/>
    <w:rsid w:val="00EE3063"/>
    <w:rsid w:val="00EE327E"/>
    <w:rsid w:val="00EE32D2"/>
    <w:rsid w:val="00EE3820"/>
    <w:rsid w:val="00EE3828"/>
    <w:rsid w:val="00EE387D"/>
    <w:rsid w:val="00EE38F7"/>
    <w:rsid w:val="00EE392F"/>
    <w:rsid w:val="00EE39E7"/>
    <w:rsid w:val="00EE3A67"/>
    <w:rsid w:val="00EE3BAC"/>
    <w:rsid w:val="00EE3C21"/>
    <w:rsid w:val="00EE3F0C"/>
    <w:rsid w:val="00EE403C"/>
    <w:rsid w:val="00EE413E"/>
    <w:rsid w:val="00EE433C"/>
    <w:rsid w:val="00EE4647"/>
    <w:rsid w:val="00EE4971"/>
    <w:rsid w:val="00EE4BE5"/>
    <w:rsid w:val="00EE4F41"/>
    <w:rsid w:val="00EE513A"/>
    <w:rsid w:val="00EE530F"/>
    <w:rsid w:val="00EE532F"/>
    <w:rsid w:val="00EE5363"/>
    <w:rsid w:val="00EE55E5"/>
    <w:rsid w:val="00EE57ED"/>
    <w:rsid w:val="00EE59D7"/>
    <w:rsid w:val="00EE5ACB"/>
    <w:rsid w:val="00EE5C7F"/>
    <w:rsid w:val="00EE5D80"/>
    <w:rsid w:val="00EE5E41"/>
    <w:rsid w:val="00EE5F82"/>
    <w:rsid w:val="00EE5F88"/>
    <w:rsid w:val="00EE5F9D"/>
    <w:rsid w:val="00EE5FC8"/>
    <w:rsid w:val="00EE6097"/>
    <w:rsid w:val="00EE60A0"/>
    <w:rsid w:val="00EE60BF"/>
    <w:rsid w:val="00EE6174"/>
    <w:rsid w:val="00EE62DE"/>
    <w:rsid w:val="00EE6394"/>
    <w:rsid w:val="00EE63ED"/>
    <w:rsid w:val="00EE6769"/>
    <w:rsid w:val="00EE6771"/>
    <w:rsid w:val="00EE69B4"/>
    <w:rsid w:val="00EE6C8F"/>
    <w:rsid w:val="00EE6DA8"/>
    <w:rsid w:val="00EE6E80"/>
    <w:rsid w:val="00EE7219"/>
    <w:rsid w:val="00EE7287"/>
    <w:rsid w:val="00EE72FD"/>
    <w:rsid w:val="00EE7482"/>
    <w:rsid w:val="00EE7559"/>
    <w:rsid w:val="00EE7839"/>
    <w:rsid w:val="00EE7A97"/>
    <w:rsid w:val="00EE7ADC"/>
    <w:rsid w:val="00EE7AE0"/>
    <w:rsid w:val="00EE7DC6"/>
    <w:rsid w:val="00EE7F12"/>
    <w:rsid w:val="00EF0025"/>
    <w:rsid w:val="00EF00C3"/>
    <w:rsid w:val="00EF0170"/>
    <w:rsid w:val="00EF01D2"/>
    <w:rsid w:val="00EF0529"/>
    <w:rsid w:val="00EF08B5"/>
    <w:rsid w:val="00EF0C5E"/>
    <w:rsid w:val="00EF0C92"/>
    <w:rsid w:val="00EF0CC4"/>
    <w:rsid w:val="00EF12A3"/>
    <w:rsid w:val="00EF1469"/>
    <w:rsid w:val="00EF14AB"/>
    <w:rsid w:val="00EF1609"/>
    <w:rsid w:val="00EF17F2"/>
    <w:rsid w:val="00EF1B84"/>
    <w:rsid w:val="00EF1C6D"/>
    <w:rsid w:val="00EF2143"/>
    <w:rsid w:val="00EF26C3"/>
    <w:rsid w:val="00EF2B5B"/>
    <w:rsid w:val="00EF2CC7"/>
    <w:rsid w:val="00EF2CED"/>
    <w:rsid w:val="00EF3267"/>
    <w:rsid w:val="00EF349F"/>
    <w:rsid w:val="00EF3745"/>
    <w:rsid w:val="00EF37E6"/>
    <w:rsid w:val="00EF3BDB"/>
    <w:rsid w:val="00EF3F70"/>
    <w:rsid w:val="00EF4075"/>
    <w:rsid w:val="00EF415B"/>
    <w:rsid w:val="00EF41DE"/>
    <w:rsid w:val="00EF4220"/>
    <w:rsid w:val="00EF4233"/>
    <w:rsid w:val="00EF441A"/>
    <w:rsid w:val="00EF449D"/>
    <w:rsid w:val="00EF45C6"/>
    <w:rsid w:val="00EF4810"/>
    <w:rsid w:val="00EF485A"/>
    <w:rsid w:val="00EF49BB"/>
    <w:rsid w:val="00EF4AB1"/>
    <w:rsid w:val="00EF4BD2"/>
    <w:rsid w:val="00EF4C52"/>
    <w:rsid w:val="00EF4DB2"/>
    <w:rsid w:val="00EF4EA2"/>
    <w:rsid w:val="00EF4F05"/>
    <w:rsid w:val="00EF5175"/>
    <w:rsid w:val="00EF52C6"/>
    <w:rsid w:val="00EF53C2"/>
    <w:rsid w:val="00EF54A7"/>
    <w:rsid w:val="00EF5675"/>
    <w:rsid w:val="00EF576F"/>
    <w:rsid w:val="00EF57DE"/>
    <w:rsid w:val="00EF58BF"/>
    <w:rsid w:val="00EF59A0"/>
    <w:rsid w:val="00EF5DFB"/>
    <w:rsid w:val="00EF5E8E"/>
    <w:rsid w:val="00EF61BE"/>
    <w:rsid w:val="00EF625B"/>
    <w:rsid w:val="00EF627F"/>
    <w:rsid w:val="00EF62CC"/>
    <w:rsid w:val="00EF642F"/>
    <w:rsid w:val="00EF671C"/>
    <w:rsid w:val="00EF6B92"/>
    <w:rsid w:val="00EF6E39"/>
    <w:rsid w:val="00EF7306"/>
    <w:rsid w:val="00EF73DB"/>
    <w:rsid w:val="00EF7903"/>
    <w:rsid w:val="00EF7BA1"/>
    <w:rsid w:val="00EF7BE8"/>
    <w:rsid w:val="00F005BA"/>
    <w:rsid w:val="00F0075C"/>
    <w:rsid w:val="00F00D4B"/>
    <w:rsid w:val="00F01065"/>
    <w:rsid w:val="00F01326"/>
    <w:rsid w:val="00F015C2"/>
    <w:rsid w:val="00F01760"/>
    <w:rsid w:val="00F01899"/>
    <w:rsid w:val="00F018B4"/>
    <w:rsid w:val="00F018F7"/>
    <w:rsid w:val="00F01AE3"/>
    <w:rsid w:val="00F01C21"/>
    <w:rsid w:val="00F01DD3"/>
    <w:rsid w:val="00F01EC7"/>
    <w:rsid w:val="00F02428"/>
    <w:rsid w:val="00F025E9"/>
    <w:rsid w:val="00F02724"/>
    <w:rsid w:val="00F02A76"/>
    <w:rsid w:val="00F02D2A"/>
    <w:rsid w:val="00F02E8A"/>
    <w:rsid w:val="00F02F10"/>
    <w:rsid w:val="00F02F3E"/>
    <w:rsid w:val="00F03339"/>
    <w:rsid w:val="00F03621"/>
    <w:rsid w:val="00F03716"/>
    <w:rsid w:val="00F037F0"/>
    <w:rsid w:val="00F03934"/>
    <w:rsid w:val="00F03B13"/>
    <w:rsid w:val="00F03B4A"/>
    <w:rsid w:val="00F03C9F"/>
    <w:rsid w:val="00F03E30"/>
    <w:rsid w:val="00F03FEE"/>
    <w:rsid w:val="00F04070"/>
    <w:rsid w:val="00F041DF"/>
    <w:rsid w:val="00F0438E"/>
    <w:rsid w:val="00F04454"/>
    <w:rsid w:val="00F04816"/>
    <w:rsid w:val="00F04987"/>
    <w:rsid w:val="00F0498A"/>
    <w:rsid w:val="00F049B6"/>
    <w:rsid w:val="00F04DEE"/>
    <w:rsid w:val="00F04E48"/>
    <w:rsid w:val="00F05029"/>
    <w:rsid w:val="00F05264"/>
    <w:rsid w:val="00F05423"/>
    <w:rsid w:val="00F05844"/>
    <w:rsid w:val="00F05A6F"/>
    <w:rsid w:val="00F05ABB"/>
    <w:rsid w:val="00F0601B"/>
    <w:rsid w:val="00F061C6"/>
    <w:rsid w:val="00F061E6"/>
    <w:rsid w:val="00F06274"/>
    <w:rsid w:val="00F06905"/>
    <w:rsid w:val="00F069A7"/>
    <w:rsid w:val="00F06A1B"/>
    <w:rsid w:val="00F06C7D"/>
    <w:rsid w:val="00F0713C"/>
    <w:rsid w:val="00F07209"/>
    <w:rsid w:val="00F0751E"/>
    <w:rsid w:val="00F0774A"/>
    <w:rsid w:val="00F07798"/>
    <w:rsid w:val="00F07C9E"/>
    <w:rsid w:val="00F07CA5"/>
    <w:rsid w:val="00F07DDB"/>
    <w:rsid w:val="00F100B9"/>
    <w:rsid w:val="00F10215"/>
    <w:rsid w:val="00F10229"/>
    <w:rsid w:val="00F102CD"/>
    <w:rsid w:val="00F103D0"/>
    <w:rsid w:val="00F10835"/>
    <w:rsid w:val="00F109A7"/>
    <w:rsid w:val="00F10AC5"/>
    <w:rsid w:val="00F10DC5"/>
    <w:rsid w:val="00F10E87"/>
    <w:rsid w:val="00F10FA0"/>
    <w:rsid w:val="00F11133"/>
    <w:rsid w:val="00F11262"/>
    <w:rsid w:val="00F113D2"/>
    <w:rsid w:val="00F115C9"/>
    <w:rsid w:val="00F115E1"/>
    <w:rsid w:val="00F116D5"/>
    <w:rsid w:val="00F118C3"/>
    <w:rsid w:val="00F11904"/>
    <w:rsid w:val="00F11947"/>
    <w:rsid w:val="00F11989"/>
    <w:rsid w:val="00F11A57"/>
    <w:rsid w:val="00F11AAD"/>
    <w:rsid w:val="00F11CC9"/>
    <w:rsid w:val="00F11E97"/>
    <w:rsid w:val="00F12033"/>
    <w:rsid w:val="00F120BE"/>
    <w:rsid w:val="00F125F7"/>
    <w:rsid w:val="00F126A0"/>
    <w:rsid w:val="00F129B8"/>
    <w:rsid w:val="00F12A02"/>
    <w:rsid w:val="00F12B28"/>
    <w:rsid w:val="00F12B8A"/>
    <w:rsid w:val="00F12EC0"/>
    <w:rsid w:val="00F13147"/>
    <w:rsid w:val="00F135FA"/>
    <w:rsid w:val="00F1371A"/>
    <w:rsid w:val="00F137E4"/>
    <w:rsid w:val="00F13812"/>
    <w:rsid w:val="00F139E0"/>
    <w:rsid w:val="00F13A83"/>
    <w:rsid w:val="00F13AD6"/>
    <w:rsid w:val="00F13CB3"/>
    <w:rsid w:val="00F13CF9"/>
    <w:rsid w:val="00F13E16"/>
    <w:rsid w:val="00F13FA8"/>
    <w:rsid w:val="00F140E3"/>
    <w:rsid w:val="00F1427A"/>
    <w:rsid w:val="00F14328"/>
    <w:rsid w:val="00F14606"/>
    <w:rsid w:val="00F14692"/>
    <w:rsid w:val="00F146B4"/>
    <w:rsid w:val="00F146C1"/>
    <w:rsid w:val="00F146F2"/>
    <w:rsid w:val="00F14A36"/>
    <w:rsid w:val="00F14D6B"/>
    <w:rsid w:val="00F15185"/>
    <w:rsid w:val="00F151A2"/>
    <w:rsid w:val="00F151D7"/>
    <w:rsid w:val="00F152A1"/>
    <w:rsid w:val="00F1530A"/>
    <w:rsid w:val="00F153FB"/>
    <w:rsid w:val="00F1548F"/>
    <w:rsid w:val="00F1563A"/>
    <w:rsid w:val="00F159AF"/>
    <w:rsid w:val="00F15B98"/>
    <w:rsid w:val="00F15FC5"/>
    <w:rsid w:val="00F1603E"/>
    <w:rsid w:val="00F16126"/>
    <w:rsid w:val="00F1644A"/>
    <w:rsid w:val="00F16500"/>
    <w:rsid w:val="00F16749"/>
    <w:rsid w:val="00F1681B"/>
    <w:rsid w:val="00F16BD8"/>
    <w:rsid w:val="00F16C0E"/>
    <w:rsid w:val="00F16CB4"/>
    <w:rsid w:val="00F16CBD"/>
    <w:rsid w:val="00F172BF"/>
    <w:rsid w:val="00F17453"/>
    <w:rsid w:val="00F17475"/>
    <w:rsid w:val="00F174CE"/>
    <w:rsid w:val="00F175FB"/>
    <w:rsid w:val="00F1776D"/>
    <w:rsid w:val="00F178FE"/>
    <w:rsid w:val="00F179F2"/>
    <w:rsid w:val="00F17C36"/>
    <w:rsid w:val="00F17CCE"/>
    <w:rsid w:val="00F17E0C"/>
    <w:rsid w:val="00F17E7D"/>
    <w:rsid w:val="00F17F6C"/>
    <w:rsid w:val="00F20312"/>
    <w:rsid w:val="00F203C8"/>
    <w:rsid w:val="00F205F3"/>
    <w:rsid w:val="00F20653"/>
    <w:rsid w:val="00F20A11"/>
    <w:rsid w:val="00F20A6B"/>
    <w:rsid w:val="00F20B6E"/>
    <w:rsid w:val="00F20BA7"/>
    <w:rsid w:val="00F21423"/>
    <w:rsid w:val="00F2146D"/>
    <w:rsid w:val="00F215F1"/>
    <w:rsid w:val="00F217FB"/>
    <w:rsid w:val="00F21948"/>
    <w:rsid w:val="00F21A0A"/>
    <w:rsid w:val="00F21C57"/>
    <w:rsid w:val="00F21F5F"/>
    <w:rsid w:val="00F2207E"/>
    <w:rsid w:val="00F22250"/>
    <w:rsid w:val="00F22377"/>
    <w:rsid w:val="00F223A5"/>
    <w:rsid w:val="00F225C6"/>
    <w:rsid w:val="00F226A8"/>
    <w:rsid w:val="00F226C0"/>
    <w:rsid w:val="00F22792"/>
    <w:rsid w:val="00F227D6"/>
    <w:rsid w:val="00F22863"/>
    <w:rsid w:val="00F22F96"/>
    <w:rsid w:val="00F230B6"/>
    <w:rsid w:val="00F23174"/>
    <w:rsid w:val="00F23175"/>
    <w:rsid w:val="00F2321B"/>
    <w:rsid w:val="00F2357A"/>
    <w:rsid w:val="00F235AE"/>
    <w:rsid w:val="00F2362F"/>
    <w:rsid w:val="00F23767"/>
    <w:rsid w:val="00F237CE"/>
    <w:rsid w:val="00F23901"/>
    <w:rsid w:val="00F23A1E"/>
    <w:rsid w:val="00F240AA"/>
    <w:rsid w:val="00F240DE"/>
    <w:rsid w:val="00F2435C"/>
    <w:rsid w:val="00F2442A"/>
    <w:rsid w:val="00F245CE"/>
    <w:rsid w:val="00F24874"/>
    <w:rsid w:val="00F248E1"/>
    <w:rsid w:val="00F24956"/>
    <w:rsid w:val="00F24C1B"/>
    <w:rsid w:val="00F24CB1"/>
    <w:rsid w:val="00F25143"/>
    <w:rsid w:val="00F251FD"/>
    <w:rsid w:val="00F2540A"/>
    <w:rsid w:val="00F25614"/>
    <w:rsid w:val="00F256FD"/>
    <w:rsid w:val="00F2581E"/>
    <w:rsid w:val="00F2584D"/>
    <w:rsid w:val="00F25906"/>
    <w:rsid w:val="00F25919"/>
    <w:rsid w:val="00F25B52"/>
    <w:rsid w:val="00F25BE1"/>
    <w:rsid w:val="00F25C81"/>
    <w:rsid w:val="00F25D9C"/>
    <w:rsid w:val="00F25DAE"/>
    <w:rsid w:val="00F25EDE"/>
    <w:rsid w:val="00F25EE2"/>
    <w:rsid w:val="00F26111"/>
    <w:rsid w:val="00F261DC"/>
    <w:rsid w:val="00F26241"/>
    <w:rsid w:val="00F26350"/>
    <w:rsid w:val="00F26355"/>
    <w:rsid w:val="00F263BF"/>
    <w:rsid w:val="00F266BD"/>
    <w:rsid w:val="00F266F5"/>
    <w:rsid w:val="00F267B0"/>
    <w:rsid w:val="00F26862"/>
    <w:rsid w:val="00F26C09"/>
    <w:rsid w:val="00F26C5E"/>
    <w:rsid w:val="00F26D54"/>
    <w:rsid w:val="00F26D7E"/>
    <w:rsid w:val="00F271FA"/>
    <w:rsid w:val="00F272BD"/>
    <w:rsid w:val="00F27324"/>
    <w:rsid w:val="00F2753B"/>
    <w:rsid w:val="00F27796"/>
    <w:rsid w:val="00F27816"/>
    <w:rsid w:val="00F27884"/>
    <w:rsid w:val="00F27A17"/>
    <w:rsid w:val="00F27A2E"/>
    <w:rsid w:val="00F27F72"/>
    <w:rsid w:val="00F30047"/>
    <w:rsid w:val="00F30372"/>
    <w:rsid w:val="00F30439"/>
    <w:rsid w:val="00F304EF"/>
    <w:rsid w:val="00F305B0"/>
    <w:rsid w:val="00F30683"/>
    <w:rsid w:val="00F306F3"/>
    <w:rsid w:val="00F30762"/>
    <w:rsid w:val="00F30A53"/>
    <w:rsid w:val="00F30A9A"/>
    <w:rsid w:val="00F30DE1"/>
    <w:rsid w:val="00F30F94"/>
    <w:rsid w:val="00F3101E"/>
    <w:rsid w:val="00F31531"/>
    <w:rsid w:val="00F31830"/>
    <w:rsid w:val="00F319B9"/>
    <w:rsid w:val="00F319D5"/>
    <w:rsid w:val="00F31A16"/>
    <w:rsid w:val="00F31A5F"/>
    <w:rsid w:val="00F31B2D"/>
    <w:rsid w:val="00F31D40"/>
    <w:rsid w:val="00F31E9C"/>
    <w:rsid w:val="00F320A8"/>
    <w:rsid w:val="00F32140"/>
    <w:rsid w:val="00F324C9"/>
    <w:rsid w:val="00F3264C"/>
    <w:rsid w:val="00F326D2"/>
    <w:rsid w:val="00F327A6"/>
    <w:rsid w:val="00F327E3"/>
    <w:rsid w:val="00F32949"/>
    <w:rsid w:val="00F32952"/>
    <w:rsid w:val="00F3295E"/>
    <w:rsid w:val="00F329BB"/>
    <w:rsid w:val="00F33094"/>
    <w:rsid w:val="00F332AE"/>
    <w:rsid w:val="00F334A8"/>
    <w:rsid w:val="00F335D5"/>
    <w:rsid w:val="00F338C6"/>
    <w:rsid w:val="00F33FE8"/>
    <w:rsid w:val="00F340C9"/>
    <w:rsid w:val="00F342BB"/>
    <w:rsid w:val="00F34318"/>
    <w:rsid w:val="00F343ED"/>
    <w:rsid w:val="00F3453B"/>
    <w:rsid w:val="00F3474D"/>
    <w:rsid w:val="00F3475F"/>
    <w:rsid w:val="00F3477D"/>
    <w:rsid w:val="00F3485E"/>
    <w:rsid w:val="00F34AFE"/>
    <w:rsid w:val="00F34D06"/>
    <w:rsid w:val="00F34D69"/>
    <w:rsid w:val="00F34EC5"/>
    <w:rsid w:val="00F34F66"/>
    <w:rsid w:val="00F35071"/>
    <w:rsid w:val="00F351DF"/>
    <w:rsid w:val="00F35369"/>
    <w:rsid w:val="00F35753"/>
    <w:rsid w:val="00F35BBD"/>
    <w:rsid w:val="00F35C91"/>
    <w:rsid w:val="00F36238"/>
    <w:rsid w:val="00F36250"/>
    <w:rsid w:val="00F362D0"/>
    <w:rsid w:val="00F3646F"/>
    <w:rsid w:val="00F36495"/>
    <w:rsid w:val="00F364A9"/>
    <w:rsid w:val="00F3650F"/>
    <w:rsid w:val="00F3683F"/>
    <w:rsid w:val="00F36879"/>
    <w:rsid w:val="00F36932"/>
    <w:rsid w:val="00F36A35"/>
    <w:rsid w:val="00F36A95"/>
    <w:rsid w:val="00F36B25"/>
    <w:rsid w:val="00F36B7E"/>
    <w:rsid w:val="00F36CA7"/>
    <w:rsid w:val="00F36D13"/>
    <w:rsid w:val="00F36F19"/>
    <w:rsid w:val="00F37101"/>
    <w:rsid w:val="00F371BB"/>
    <w:rsid w:val="00F37401"/>
    <w:rsid w:val="00F374FE"/>
    <w:rsid w:val="00F378DF"/>
    <w:rsid w:val="00F37911"/>
    <w:rsid w:val="00F37919"/>
    <w:rsid w:val="00F37A18"/>
    <w:rsid w:val="00F37AB1"/>
    <w:rsid w:val="00F37B3F"/>
    <w:rsid w:val="00F37CEA"/>
    <w:rsid w:val="00F37D71"/>
    <w:rsid w:val="00F37DB1"/>
    <w:rsid w:val="00F37FAF"/>
    <w:rsid w:val="00F37FE7"/>
    <w:rsid w:val="00F4013B"/>
    <w:rsid w:val="00F406A2"/>
    <w:rsid w:val="00F406C7"/>
    <w:rsid w:val="00F4072A"/>
    <w:rsid w:val="00F408BD"/>
    <w:rsid w:val="00F408C1"/>
    <w:rsid w:val="00F4096C"/>
    <w:rsid w:val="00F40999"/>
    <w:rsid w:val="00F40F0A"/>
    <w:rsid w:val="00F41029"/>
    <w:rsid w:val="00F411C8"/>
    <w:rsid w:val="00F411DA"/>
    <w:rsid w:val="00F415FB"/>
    <w:rsid w:val="00F41811"/>
    <w:rsid w:val="00F418A9"/>
    <w:rsid w:val="00F418DB"/>
    <w:rsid w:val="00F41E63"/>
    <w:rsid w:val="00F41E91"/>
    <w:rsid w:val="00F42097"/>
    <w:rsid w:val="00F420A0"/>
    <w:rsid w:val="00F421CC"/>
    <w:rsid w:val="00F4231B"/>
    <w:rsid w:val="00F423FF"/>
    <w:rsid w:val="00F42497"/>
    <w:rsid w:val="00F424B7"/>
    <w:rsid w:val="00F42542"/>
    <w:rsid w:val="00F427D8"/>
    <w:rsid w:val="00F42A1F"/>
    <w:rsid w:val="00F42A63"/>
    <w:rsid w:val="00F42B95"/>
    <w:rsid w:val="00F42C44"/>
    <w:rsid w:val="00F42C80"/>
    <w:rsid w:val="00F42E2C"/>
    <w:rsid w:val="00F42E88"/>
    <w:rsid w:val="00F43065"/>
    <w:rsid w:val="00F43189"/>
    <w:rsid w:val="00F431F2"/>
    <w:rsid w:val="00F438B3"/>
    <w:rsid w:val="00F4391A"/>
    <w:rsid w:val="00F43CE9"/>
    <w:rsid w:val="00F43D45"/>
    <w:rsid w:val="00F43DD2"/>
    <w:rsid w:val="00F4442A"/>
    <w:rsid w:val="00F448E0"/>
    <w:rsid w:val="00F4498C"/>
    <w:rsid w:val="00F44A91"/>
    <w:rsid w:val="00F44D00"/>
    <w:rsid w:val="00F44EA3"/>
    <w:rsid w:val="00F44ED0"/>
    <w:rsid w:val="00F4518C"/>
    <w:rsid w:val="00F453F2"/>
    <w:rsid w:val="00F45819"/>
    <w:rsid w:val="00F45829"/>
    <w:rsid w:val="00F45939"/>
    <w:rsid w:val="00F45A1A"/>
    <w:rsid w:val="00F45A3E"/>
    <w:rsid w:val="00F45DBE"/>
    <w:rsid w:val="00F46103"/>
    <w:rsid w:val="00F46574"/>
    <w:rsid w:val="00F468E8"/>
    <w:rsid w:val="00F4694A"/>
    <w:rsid w:val="00F4695E"/>
    <w:rsid w:val="00F469DB"/>
    <w:rsid w:val="00F46CB5"/>
    <w:rsid w:val="00F46DB8"/>
    <w:rsid w:val="00F46DE0"/>
    <w:rsid w:val="00F46F60"/>
    <w:rsid w:val="00F471D4"/>
    <w:rsid w:val="00F472E4"/>
    <w:rsid w:val="00F4733E"/>
    <w:rsid w:val="00F47532"/>
    <w:rsid w:val="00F475EA"/>
    <w:rsid w:val="00F47687"/>
    <w:rsid w:val="00F477A9"/>
    <w:rsid w:val="00F4783E"/>
    <w:rsid w:val="00F47CBB"/>
    <w:rsid w:val="00F47ED9"/>
    <w:rsid w:val="00F47EEA"/>
    <w:rsid w:val="00F50013"/>
    <w:rsid w:val="00F5023A"/>
    <w:rsid w:val="00F5024E"/>
    <w:rsid w:val="00F5035C"/>
    <w:rsid w:val="00F50428"/>
    <w:rsid w:val="00F504E1"/>
    <w:rsid w:val="00F50594"/>
    <w:rsid w:val="00F506F8"/>
    <w:rsid w:val="00F50712"/>
    <w:rsid w:val="00F50768"/>
    <w:rsid w:val="00F50936"/>
    <w:rsid w:val="00F50E71"/>
    <w:rsid w:val="00F50F3C"/>
    <w:rsid w:val="00F50FA4"/>
    <w:rsid w:val="00F51156"/>
    <w:rsid w:val="00F5125E"/>
    <w:rsid w:val="00F5163E"/>
    <w:rsid w:val="00F519B5"/>
    <w:rsid w:val="00F51A88"/>
    <w:rsid w:val="00F51B34"/>
    <w:rsid w:val="00F51B7D"/>
    <w:rsid w:val="00F51D58"/>
    <w:rsid w:val="00F52067"/>
    <w:rsid w:val="00F52099"/>
    <w:rsid w:val="00F52340"/>
    <w:rsid w:val="00F52380"/>
    <w:rsid w:val="00F523C0"/>
    <w:rsid w:val="00F52599"/>
    <w:rsid w:val="00F525A9"/>
    <w:rsid w:val="00F527DB"/>
    <w:rsid w:val="00F527E6"/>
    <w:rsid w:val="00F52839"/>
    <w:rsid w:val="00F5293A"/>
    <w:rsid w:val="00F52ACC"/>
    <w:rsid w:val="00F52C24"/>
    <w:rsid w:val="00F52C57"/>
    <w:rsid w:val="00F53078"/>
    <w:rsid w:val="00F533EC"/>
    <w:rsid w:val="00F539D3"/>
    <w:rsid w:val="00F53CF4"/>
    <w:rsid w:val="00F53DDB"/>
    <w:rsid w:val="00F54074"/>
    <w:rsid w:val="00F54245"/>
    <w:rsid w:val="00F543D9"/>
    <w:rsid w:val="00F5472D"/>
    <w:rsid w:val="00F54738"/>
    <w:rsid w:val="00F5490E"/>
    <w:rsid w:val="00F54922"/>
    <w:rsid w:val="00F54B6D"/>
    <w:rsid w:val="00F54DD3"/>
    <w:rsid w:val="00F54DE3"/>
    <w:rsid w:val="00F54E23"/>
    <w:rsid w:val="00F54E74"/>
    <w:rsid w:val="00F54EE8"/>
    <w:rsid w:val="00F54FAB"/>
    <w:rsid w:val="00F550CD"/>
    <w:rsid w:val="00F55151"/>
    <w:rsid w:val="00F5542F"/>
    <w:rsid w:val="00F55680"/>
    <w:rsid w:val="00F55985"/>
    <w:rsid w:val="00F55AFA"/>
    <w:rsid w:val="00F55B10"/>
    <w:rsid w:val="00F55BB3"/>
    <w:rsid w:val="00F5633A"/>
    <w:rsid w:val="00F566F9"/>
    <w:rsid w:val="00F56717"/>
    <w:rsid w:val="00F567C0"/>
    <w:rsid w:val="00F5685A"/>
    <w:rsid w:val="00F56877"/>
    <w:rsid w:val="00F5690E"/>
    <w:rsid w:val="00F56F39"/>
    <w:rsid w:val="00F56FAE"/>
    <w:rsid w:val="00F57078"/>
    <w:rsid w:val="00F57126"/>
    <w:rsid w:val="00F571D8"/>
    <w:rsid w:val="00F57310"/>
    <w:rsid w:val="00F576BB"/>
    <w:rsid w:val="00F57721"/>
    <w:rsid w:val="00F5793B"/>
    <w:rsid w:val="00F579D2"/>
    <w:rsid w:val="00F57B1B"/>
    <w:rsid w:val="00F57E00"/>
    <w:rsid w:val="00F57E1A"/>
    <w:rsid w:val="00F57E77"/>
    <w:rsid w:val="00F57ECE"/>
    <w:rsid w:val="00F60136"/>
    <w:rsid w:val="00F601AE"/>
    <w:rsid w:val="00F602AC"/>
    <w:rsid w:val="00F603DB"/>
    <w:rsid w:val="00F604ED"/>
    <w:rsid w:val="00F606F0"/>
    <w:rsid w:val="00F60741"/>
    <w:rsid w:val="00F60896"/>
    <w:rsid w:val="00F60A17"/>
    <w:rsid w:val="00F60A66"/>
    <w:rsid w:val="00F60ACE"/>
    <w:rsid w:val="00F60C11"/>
    <w:rsid w:val="00F60CE5"/>
    <w:rsid w:val="00F60E36"/>
    <w:rsid w:val="00F60E3F"/>
    <w:rsid w:val="00F60EA9"/>
    <w:rsid w:val="00F6106F"/>
    <w:rsid w:val="00F61073"/>
    <w:rsid w:val="00F610C2"/>
    <w:rsid w:val="00F61299"/>
    <w:rsid w:val="00F614C2"/>
    <w:rsid w:val="00F614F1"/>
    <w:rsid w:val="00F615FA"/>
    <w:rsid w:val="00F6186E"/>
    <w:rsid w:val="00F6196A"/>
    <w:rsid w:val="00F61AF7"/>
    <w:rsid w:val="00F61BE4"/>
    <w:rsid w:val="00F61BF8"/>
    <w:rsid w:val="00F61CC1"/>
    <w:rsid w:val="00F61D44"/>
    <w:rsid w:val="00F620BC"/>
    <w:rsid w:val="00F6219C"/>
    <w:rsid w:val="00F62451"/>
    <w:rsid w:val="00F6267F"/>
    <w:rsid w:val="00F62685"/>
    <w:rsid w:val="00F62730"/>
    <w:rsid w:val="00F627D5"/>
    <w:rsid w:val="00F62852"/>
    <w:rsid w:val="00F62B0F"/>
    <w:rsid w:val="00F62B3E"/>
    <w:rsid w:val="00F62C48"/>
    <w:rsid w:val="00F62DCE"/>
    <w:rsid w:val="00F63021"/>
    <w:rsid w:val="00F632C3"/>
    <w:rsid w:val="00F63310"/>
    <w:rsid w:val="00F63809"/>
    <w:rsid w:val="00F63884"/>
    <w:rsid w:val="00F6390C"/>
    <w:rsid w:val="00F639E0"/>
    <w:rsid w:val="00F63A86"/>
    <w:rsid w:val="00F63ACE"/>
    <w:rsid w:val="00F63BE4"/>
    <w:rsid w:val="00F63C80"/>
    <w:rsid w:val="00F63D0B"/>
    <w:rsid w:val="00F6400D"/>
    <w:rsid w:val="00F6413D"/>
    <w:rsid w:val="00F643F3"/>
    <w:rsid w:val="00F644A6"/>
    <w:rsid w:val="00F64592"/>
    <w:rsid w:val="00F6469D"/>
    <w:rsid w:val="00F64740"/>
    <w:rsid w:val="00F64B8A"/>
    <w:rsid w:val="00F64BDC"/>
    <w:rsid w:val="00F64E1D"/>
    <w:rsid w:val="00F64EB6"/>
    <w:rsid w:val="00F650F4"/>
    <w:rsid w:val="00F65255"/>
    <w:rsid w:val="00F6529E"/>
    <w:rsid w:val="00F65490"/>
    <w:rsid w:val="00F65515"/>
    <w:rsid w:val="00F65686"/>
    <w:rsid w:val="00F6571C"/>
    <w:rsid w:val="00F659F8"/>
    <w:rsid w:val="00F65BB9"/>
    <w:rsid w:val="00F65F80"/>
    <w:rsid w:val="00F66142"/>
    <w:rsid w:val="00F663AE"/>
    <w:rsid w:val="00F66585"/>
    <w:rsid w:val="00F6675D"/>
    <w:rsid w:val="00F66807"/>
    <w:rsid w:val="00F669D5"/>
    <w:rsid w:val="00F672EE"/>
    <w:rsid w:val="00F6755B"/>
    <w:rsid w:val="00F675DB"/>
    <w:rsid w:val="00F67842"/>
    <w:rsid w:val="00F67AB1"/>
    <w:rsid w:val="00F67BF3"/>
    <w:rsid w:val="00F67C87"/>
    <w:rsid w:val="00F67EBE"/>
    <w:rsid w:val="00F700BF"/>
    <w:rsid w:val="00F700D9"/>
    <w:rsid w:val="00F70138"/>
    <w:rsid w:val="00F7045E"/>
    <w:rsid w:val="00F704F1"/>
    <w:rsid w:val="00F7058A"/>
    <w:rsid w:val="00F7066D"/>
    <w:rsid w:val="00F70728"/>
    <w:rsid w:val="00F70833"/>
    <w:rsid w:val="00F70A02"/>
    <w:rsid w:val="00F70D26"/>
    <w:rsid w:val="00F70DD1"/>
    <w:rsid w:val="00F70EA7"/>
    <w:rsid w:val="00F71207"/>
    <w:rsid w:val="00F712DC"/>
    <w:rsid w:val="00F71321"/>
    <w:rsid w:val="00F713DE"/>
    <w:rsid w:val="00F71437"/>
    <w:rsid w:val="00F71559"/>
    <w:rsid w:val="00F717C4"/>
    <w:rsid w:val="00F718ED"/>
    <w:rsid w:val="00F719E5"/>
    <w:rsid w:val="00F71A7E"/>
    <w:rsid w:val="00F71B90"/>
    <w:rsid w:val="00F71BB2"/>
    <w:rsid w:val="00F71D07"/>
    <w:rsid w:val="00F71D75"/>
    <w:rsid w:val="00F71D84"/>
    <w:rsid w:val="00F722B1"/>
    <w:rsid w:val="00F724A2"/>
    <w:rsid w:val="00F724D8"/>
    <w:rsid w:val="00F725C3"/>
    <w:rsid w:val="00F725D3"/>
    <w:rsid w:val="00F7297B"/>
    <w:rsid w:val="00F72A53"/>
    <w:rsid w:val="00F72BA9"/>
    <w:rsid w:val="00F72CD8"/>
    <w:rsid w:val="00F72D86"/>
    <w:rsid w:val="00F7300D"/>
    <w:rsid w:val="00F73056"/>
    <w:rsid w:val="00F7313B"/>
    <w:rsid w:val="00F73166"/>
    <w:rsid w:val="00F731CA"/>
    <w:rsid w:val="00F735D3"/>
    <w:rsid w:val="00F7364D"/>
    <w:rsid w:val="00F73793"/>
    <w:rsid w:val="00F737D0"/>
    <w:rsid w:val="00F73F00"/>
    <w:rsid w:val="00F74341"/>
    <w:rsid w:val="00F7455C"/>
    <w:rsid w:val="00F74605"/>
    <w:rsid w:val="00F74794"/>
    <w:rsid w:val="00F747B4"/>
    <w:rsid w:val="00F74867"/>
    <w:rsid w:val="00F74A83"/>
    <w:rsid w:val="00F74AAE"/>
    <w:rsid w:val="00F74C49"/>
    <w:rsid w:val="00F751E5"/>
    <w:rsid w:val="00F751EE"/>
    <w:rsid w:val="00F75418"/>
    <w:rsid w:val="00F75457"/>
    <w:rsid w:val="00F7567A"/>
    <w:rsid w:val="00F757DD"/>
    <w:rsid w:val="00F75A77"/>
    <w:rsid w:val="00F75A7B"/>
    <w:rsid w:val="00F75B37"/>
    <w:rsid w:val="00F75B66"/>
    <w:rsid w:val="00F75C65"/>
    <w:rsid w:val="00F75CB3"/>
    <w:rsid w:val="00F75D2C"/>
    <w:rsid w:val="00F75DC0"/>
    <w:rsid w:val="00F75E96"/>
    <w:rsid w:val="00F75F13"/>
    <w:rsid w:val="00F75F4B"/>
    <w:rsid w:val="00F75FBB"/>
    <w:rsid w:val="00F7628E"/>
    <w:rsid w:val="00F76462"/>
    <w:rsid w:val="00F767D4"/>
    <w:rsid w:val="00F76807"/>
    <w:rsid w:val="00F76976"/>
    <w:rsid w:val="00F76AA0"/>
    <w:rsid w:val="00F76AB8"/>
    <w:rsid w:val="00F76D11"/>
    <w:rsid w:val="00F76D69"/>
    <w:rsid w:val="00F76F92"/>
    <w:rsid w:val="00F7703D"/>
    <w:rsid w:val="00F77077"/>
    <w:rsid w:val="00F7709F"/>
    <w:rsid w:val="00F770DC"/>
    <w:rsid w:val="00F77292"/>
    <w:rsid w:val="00F7749D"/>
    <w:rsid w:val="00F7749F"/>
    <w:rsid w:val="00F77958"/>
    <w:rsid w:val="00F779D1"/>
    <w:rsid w:val="00F77A51"/>
    <w:rsid w:val="00F77A70"/>
    <w:rsid w:val="00F77A7B"/>
    <w:rsid w:val="00F77A7E"/>
    <w:rsid w:val="00F8009D"/>
    <w:rsid w:val="00F8023F"/>
    <w:rsid w:val="00F8032D"/>
    <w:rsid w:val="00F80427"/>
    <w:rsid w:val="00F8056E"/>
    <w:rsid w:val="00F808E7"/>
    <w:rsid w:val="00F809D1"/>
    <w:rsid w:val="00F80E47"/>
    <w:rsid w:val="00F80E95"/>
    <w:rsid w:val="00F811C1"/>
    <w:rsid w:val="00F813E4"/>
    <w:rsid w:val="00F81466"/>
    <w:rsid w:val="00F818BA"/>
    <w:rsid w:val="00F81AF2"/>
    <w:rsid w:val="00F81C94"/>
    <w:rsid w:val="00F81D0E"/>
    <w:rsid w:val="00F81DA0"/>
    <w:rsid w:val="00F81ECC"/>
    <w:rsid w:val="00F822E0"/>
    <w:rsid w:val="00F82360"/>
    <w:rsid w:val="00F824B9"/>
    <w:rsid w:val="00F827A8"/>
    <w:rsid w:val="00F82872"/>
    <w:rsid w:val="00F828A4"/>
    <w:rsid w:val="00F829D3"/>
    <w:rsid w:val="00F82AB1"/>
    <w:rsid w:val="00F82AD4"/>
    <w:rsid w:val="00F82BF2"/>
    <w:rsid w:val="00F82E5C"/>
    <w:rsid w:val="00F82EBC"/>
    <w:rsid w:val="00F8305C"/>
    <w:rsid w:val="00F83076"/>
    <w:rsid w:val="00F83104"/>
    <w:rsid w:val="00F831D8"/>
    <w:rsid w:val="00F8339F"/>
    <w:rsid w:val="00F83526"/>
    <w:rsid w:val="00F835BA"/>
    <w:rsid w:val="00F83B3F"/>
    <w:rsid w:val="00F83DE2"/>
    <w:rsid w:val="00F84062"/>
    <w:rsid w:val="00F843E4"/>
    <w:rsid w:val="00F844EE"/>
    <w:rsid w:val="00F8453A"/>
    <w:rsid w:val="00F8453D"/>
    <w:rsid w:val="00F845F5"/>
    <w:rsid w:val="00F84829"/>
    <w:rsid w:val="00F849E5"/>
    <w:rsid w:val="00F84B13"/>
    <w:rsid w:val="00F84C99"/>
    <w:rsid w:val="00F84E34"/>
    <w:rsid w:val="00F84EC1"/>
    <w:rsid w:val="00F84F50"/>
    <w:rsid w:val="00F85095"/>
    <w:rsid w:val="00F8512F"/>
    <w:rsid w:val="00F853CD"/>
    <w:rsid w:val="00F85534"/>
    <w:rsid w:val="00F85578"/>
    <w:rsid w:val="00F8557E"/>
    <w:rsid w:val="00F858F5"/>
    <w:rsid w:val="00F8592F"/>
    <w:rsid w:val="00F85A63"/>
    <w:rsid w:val="00F85B8B"/>
    <w:rsid w:val="00F85C19"/>
    <w:rsid w:val="00F85EE6"/>
    <w:rsid w:val="00F86375"/>
    <w:rsid w:val="00F86479"/>
    <w:rsid w:val="00F86676"/>
    <w:rsid w:val="00F86776"/>
    <w:rsid w:val="00F86876"/>
    <w:rsid w:val="00F86987"/>
    <w:rsid w:val="00F870DA"/>
    <w:rsid w:val="00F871D9"/>
    <w:rsid w:val="00F873FA"/>
    <w:rsid w:val="00F8782C"/>
    <w:rsid w:val="00F8784A"/>
    <w:rsid w:val="00F87A56"/>
    <w:rsid w:val="00F87AFF"/>
    <w:rsid w:val="00F87C5D"/>
    <w:rsid w:val="00F87D10"/>
    <w:rsid w:val="00F87F7C"/>
    <w:rsid w:val="00F90197"/>
    <w:rsid w:val="00F901FF"/>
    <w:rsid w:val="00F90304"/>
    <w:rsid w:val="00F905AF"/>
    <w:rsid w:val="00F9073D"/>
    <w:rsid w:val="00F908D7"/>
    <w:rsid w:val="00F90969"/>
    <w:rsid w:val="00F90C41"/>
    <w:rsid w:val="00F90D7C"/>
    <w:rsid w:val="00F90E09"/>
    <w:rsid w:val="00F90E38"/>
    <w:rsid w:val="00F90F66"/>
    <w:rsid w:val="00F90FFB"/>
    <w:rsid w:val="00F912D7"/>
    <w:rsid w:val="00F91310"/>
    <w:rsid w:val="00F9143B"/>
    <w:rsid w:val="00F91514"/>
    <w:rsid w:val="00F91619"/>
    <w:rsid w:val="00F91680"/>
    <w:rsid w:val="00F9177B"/>
    <w:rsid w:val="00F91A05"/>
    <w:rsid w:val="00F91B5A"/>
    <w:rsid w:val="00F91B87"/>
    <w:rsid w:val="00F91BBC"/>
    <w:rsid w:val="00F91BE9"/>
    <w:rsid w:val="00F91F65"/>
    <w:rsid w:val="00F91FBC"/>
    <w:rsid w:val="00F92348"/>
    <w:rsid w:val="00F92379"/>
    <w:rsid w:val="00F92383"/>
    <w:rsid w:val="00F923BA"/>
    <w:rsid w:val="00F925A3"/>
    <w:rsid w:val="00F92648"/>
    <w:rsid w:val="00F92A12"/>
    <w:rsid w:val="00F92AE1"/>
    <w:rsid w:val="00F92BC1"/>
    <w:rsid w:val="00F92E43"/>
    <w:rsid w:val="00F931DF"/>
    <w:rsid w:val="00F93221"/>
    <w:rsid w:val="00F932AB"/>
    <w:rsid w:val="00F933C4"/>
    <w:rsid w:val="00F93500"/>
    <w:rsid w:val="00F93665"/>
    <w:rsid w:val="00F93680"/>
    <w:rsid w:val="00F9387B"/>
    <w:rsid w:val="00F93A45"/>
    <w:rsid w:val="00F93CAE"/>
    <w:rsid w:val="00F93D0A"/>
    <w:rsid w:val="00F93E48"/>
    <w:rsid w:val="00F93E4B"/>
    <w:rsid w:val="00F93F5D"/>
    <w:rsid w:val="00F940C8"/>
    <w:rsid w:val="00F94198"/>
    <w:rsid w:val="00F941E5"/>
    <w:rsid w:val="00F94232"/>
    <w:rsid w:val="00F9438E"/>
    <w:rsid w:val="00F94753"/>
    <w:rsid w:val="00F94BD7"/>
    <w:rsid w:val="00F951B1"/>
    <w:rsid w:val="00F95247"/>
    <w:rsid w:val="00F95428"/>
    <w:rsid w:val="00F9555B"/>
    <w:rsid w:val="00F9568A"/>
    <w:rsid w:val="00F957C2"/>
    <w:rsid w:val="00F95B57"/>
    <w:rsid w:val="00F95BEB"/>
    <w:rsid w:val="00F95C4B"/>
    <w:rsid w:val="00F95F85"/>
    <w:rsid w:val="00F9618A"/>
    <w:rsid w:val="00F96231"/>
    <w:rsid w:val="00F96278"/>
    <w:rsid w:val="00F963C3"/>
    <w:rsid w:val="00F963D5"/>
    <w:rsid w:val="00F9662A"/>
    <w:rsid w:val="00F96652"/>
    <w:rsid w:val="00F968F9"/>
    <w:rsid w:val="00F9693F"/>
    <w:rsid w:val="00F96A4F"/>
    <w:rsid w:val="00F96C12"/>
    <w:rsid w:val="00F96C40"/>
    <w:rsid w:val="00F96D5A"/>
    <w:rsid w:val="00F96D7E"/>
    <w:rsid w:val="00F96EC2"/>
    <w:rsid w:val="00F9700D"/>
    <w:rsid w:val="00F9706B"/>
    <w:rsid w:val="00F9748F"/>
    <w:rsid w:val="00F9756E"/>
    <w:rsid w:val="00F9757F"/>
    <w:rsid w:val="00F977A3"/>
    <w:rsid w:val="00F97A46"/>
    <w:rsid w:val="00F97CD4"/>
    <w:rsid w:val="00F97F24"/>
    <w:rsid w:val="00F97FAD"/>
    <w:rsid w:val="00F97FD9"/>
    <w:rsid w:val="00FA00FF"/>
    <w:rsid w:val="00FA02C1"/>
    <w:rsid w:val="00FA05A4"/>
    <w:rsid w:val="00FA06FA"/>
    <w:rsid w:val="00FA0753"/>
    <w:rsid w:val="00FA08B8"/>
    <w:rsid w:val="00FA091D"/>
    <w:rsid w:val="00FA0A50"/>
    <w:rsid w:val="00FA0C41"/>
    <w:rsid w:val="00FA0DA8"/>
    <w:rsid w:val="00FA0E05"/>
    <w:rsid w:val="00FA1396"/>
    <w:rsid w:val="00FA1507"/>
    <w:rsid w:val="00FA1777"/>
    <w:rsid w:val="00FA17C8"/>
    <w:rsid w:val="00FA1BBE"/>
    <w:rsid w:val="00FA1F89"/>
    <w:rsid w:val="00FA225C"/>
    <w:rsid w:val="00FA2441"/>
    <w:rsid w:val="00FA2597"/>
    <w:rsid w:val="00FA25A2"/>
    <w:rsid w:val="00FA25A5"/>
    <w:rsid w:val="00FA2677"/>
    <w:rsid w:val="00FA27DE"/>
    <w:rsid w:val="00FA2A15"/>
    <w:rsid w:val="00FA2A36"/>
    <w:rsid w:val="00FA3143"/>
    <w:rsid w:val="00FA32F0"/>
    <w:rsid w:val="00FA347A"/>
    <w:rsid w:val="00FA34A9"/>
    <w:rsid w:val="00FA3509"/>
    <w:rsid w:val="00FA368B"/>
    <w:rsid w:val="00FA3706"/>
    <w:rsid w:val="00FA374F"/>
    <w:rsid w:val="00FA3A6D"/>
    <w:rsid w:val="00FA3A98"/>
    <w:rsid w:val="00FA3D50"/>
    <w:rsid w:val="00FA3DE6"/>
    <w:rsid w:val="00FA45E1"/>
    <w:rsid w:val="00FA46CB"/>
    <w:rsid w:val="00FA473F"/>
    <w:rsid w:val="00FA4855"/>
    <w:rsid w:val="00FA49A7"/>
    <w:rsid w:val="00FA50EB"/>
    <w:rsid w:val="00FA519F"/>
    <w:rsid w:val="00FA51FB"/>
    <w:rsid w:val="00FA5341"/>
    <w:rsid w:val="00FA5466"/>
    <w:rsid w:val="00FA5544"/>
    <w:rsid w:val="00FA561E"/>
    <w:rsid w:val="00FA563D"/>
    <w:rsid w:val="00FA58B2"/>
    <w:rsid w:val="00FA5B1B"/>
    <w:rsid w:val="00FA5C2A"/>
    <w:rsid w:val="00FA5EEC"/>
    <w:rsid w:val="00FA62AB"/>
    <w:rsid w:val="00FA652E"/>
    <w:rsid w:val="00FA65A0"/>
    <w:rsid w:val="00FA6601"/>
    <w:rsid w:val="00FA695B"/>
    <w:rsid w:val="00FA6AE6"/>
    <w:rsid w:val="00FA6BCA"/>
    <w:rsid w:val="00FA6BF1"/>
    <w:rsid w:val="00FA6E43"/>
    <w:rsid w:val="00FA720A"/>
    <w:rsid w:val="00FA7291"/>
    <w:rsid w:val="00FA7470"/>
    <w:rsid w:val="00FA76CF"/>
    <w:rsid w:val="00FA7D1A"/>
    <w:rsid w:val="00FA7D8F"/>
    <w:rsid w:val="00FA7DE9"/>
    <w:rsid w:val="00FA7E0C"/>
    <w:rsid w:val="00FA7E2C"/>
    <w:rsid w:val="00FB03CC"/>
    <w:rsid w:val="00FB040A"/>
    <w:rsid w:val="00FB07D2"/>
    <w:rsid w:val="00FB08C2"/>
    <w:rsid w:val="00FB0B05"/>
    <w:rsid w:val="00FB0D94"/>
    <w:rsid w:val="00FB0FE0"/>
    <w:rsid w:val="00FB0FE7"/>
    <w:rsid w:val="00FB1053"/>
    <w:rsid w:val="00FB1059"/>
    <w:rsid w:val="00FB10A9"/>
    <w:rsid w:val="00FB10F2"/>
    <w:rsid w:val="00FB147D"/>
    <w:rsid w:val="00FB153E"/>
    <w:rsid w:val="00FB1551"/>
    <w:rsid w:val="00FB17F9"/>
    <w:rsid w:val="00FB1906"/>
    <w:rsid w:val="00FB1A84"/>
    <w:rsid w:val="00FB1C62"/>
    <w:rsid w:val="00FB1ED6"/>
    <w:rsid w:val="00FB1F40"/>
    <w:rsid w:val="00FB1F84"/>
    <w:rsid w:val="00FB205E"/>
    <w:rsid w:val="00FB2221"/>
    <w:rsid w:val="00FB22D8"/>
    <w:rsid w:val="00FB2630"/>
    <w:rsid w:val="00FB269B"/>
    <w:rsid w:val="00FB2A78"/>
    <w:rsid w:val="00FB2B6C"/>
    <w:rsid w:val="00FB2B7B"/>
    <w:rsid w:val="00FB2E01"/>
    <w:rsid w:val="00FB2E52"/>
    <w:rsid w:val="00FB2EE9"/>
    <w:rsid w:val="00FB334B"/>
    <w:rsid w:val="00FB3408"/>
    <w:rsid w:val="00FB3562"/>
    <w:rsid w:val="00FB35CD"/>
    <w:rsid w:val="00FB35ED"/>
    <w:rsid w:val="00FB36DD"/>
    <w:rsid w:val="00FB37EA"/>
    <w:rsid w:val="00FB3A85"/>
    <w:rsid w:val="00FB3BC4"/>
    <w:rsid w:val="00FB3CA3"/>
    <w:rsid w:val="00FB3DE4"/>
    <w:rsid w:val="00FB40B3"/>
    <w:rsid w:val="00FB410D"/>
    <w:rsid w:val="00FB42DB"/>
    <w:rsid w:val="00FB4313"/>
    <w:rsid w:val="00FB43EB"/>
    <w:rsid w:val="00FB4A0C"/>
    <w:rsid w:val="00FB4B8F"/>
    <w:rsid w:val="00FB4D37"/>
    <w:rsid w:val="00FB4D89"/>
    <w:rsid w:val="00FB5162"/>
    <w:rsid w:val="00FB5241"/>
    <w:rsid w:val="00FB52B2"/>
    <w:rsid w:val="00FB56C2"/>
    <w:rsid w:val="00FB5808"/>
    <w:rsid w:val="00FB5CCD"/>
    <w:rsid w:val="00FB5E9D"/>
    <w:rsid w:val="00FB5EE4"/>
    <w:rsid w:val="00FB6015"/>
    <w:rsid w:val="00FB6460"/>
    <w:rsid w:val="00FB6563"/>
    <w:rsid w:val="00FB6736"/>
    <w:rsid w:val="00FB6879"/>
    <w:rsid w:val="00FB6A02"/>
    <w:rsid w:val="00FB6BDE"/>
    <w:rsid w:val="00FB6D4D"/>
    <w:rsid w:val="00FB6E07"/>
    <w:rsid w:val="00FB6EF7"/>
    <w:rsid w:val="00FB6F82"/>
    <w:rsid w:val="00FB6FD2"/>
    <w:rsid w:val="00FB720F"/>
    <w:rsid w:val="00FB7271"/>
    <w:rsid w:val="00FB72A8"/>
    <w:rsid w:val="00FB73B5"/>
    <w:rsid w:val="00FB757B"/>
    <w:rsid w:val="00FB76DD"/>
    <w:rsid w:val="00FB77C7"/>
    <w:rsid w:val="00FB78FE"/>
    <w:rsid w:val="00FB796F"/>
    <w:rsid w:val="00FB7B24"/>
    <w:rsid w:val="00FB7C38"/>
    <w:rsid w:val="00FB7D30"/>
    <w:rsid w:val="00FB7D87"/>
    <w:rsid w:val="00FB7EE7"/>
    <w:rsid w:val="00FC005C"/>
    <w:rsid w:val="00FC00A6"/>
    <w:rsid w:val="00FC0113"/>
    <w:rsid w:val="00FC01C9"/>
    <w:rsid w:val="00FC045C"/>
    <w:rsid w:val="00FC0713"/>
    <w:rsid w:val="00FC0765"/>
    <w:rsid w:val="00FC0830"/>
    <w:rsid w:val="00FC0B1C"/>
    <w:rsid w:val="00FC0F61"/>
    <w:rsid w:val="00FC0FBF"/>
    <w:rsid w:val="00FC10ED"/>
    <w:rsid w:val="00FC117A"/>
    <w:rsid w:val="00FC122E"/>
    <w:rsid w:val="00FC1460"/>
    <w:rsid w:val="00FC1525"/>
    <w:rsid w:val="00FC1589"/>
    <w:rsid w:val="00FC1925"/>
    <w:rsid w:val="00FC193C"/>
    <w:rsid w:val="00FC1A76"/>
    <w:rsid w:val="00FC1EA6"/>
    <w:rsid w:val="00FC22A6"/>
    <w:rsid w:val="00FC2534"/>
    <w:rsid w:val="00FC2561"/>
    <w:rsid w:val="00FC2693"/>
    <w:rsid w:val="00FC2DCE"/>
    <w:rsid w:val="00FC2E94"/>
    <w:rsid w:val="00FC2F33"/>
    <w:rsid w:val="00FC316C"/>
    <w:rsid w:val="00FC31C2"/>
    <w:rsid w:val="00FC3544"/>
    <w:rsid w:val="00FC3C38"/>
    <w:rsid w:val="00FC3DE5"/>
    <w:rsid w:val="00FC41F8"/>
    <w:rsid w:val="00FC432A"/>
    <w:rsid w:val="00FC4425"/>
    <w:rsid w:val="00FC4785"/>
    <w:rsid w:val="00FC487B"/>
    <w:rsid w:val="00FC48F0"/>
    <w:rsid w:val="00FC4AE4"/>
    <w:rsid w:val="00FC4B92"/>
    <w:rsid w:val="00FC4C81"/>
    <w:rsid w:val="00FC4CFC"/>
    <w:rsid w:val="00FC4E0F"/>
    <w:rsid w:val="00FC4E90"/>
    <w:rsid w:val="00FC4F36"/>
    <w:rsid w:val="00FC501C"/>
    <w:rsid w:val="00FC50B1"/>
    <w:rsid w:val="00FC528F"/>
    <w:rsid w:val="00FC532E"/>
    <w:rsid w:val="00FC5395"/>
    <w:rsid w:val="00FC5418"/>
    <w:rsid w:val="00FC584E"/>
    <w:rsid w:val="00FC595B"/>
    <w:rsid w:val="00FC5A7D"/>
    <w:rsid w:val="00FC5B63"/>
    <w:rsid w:val="00FC5BCE"/>
    <w:rsid w:val="00FC5CFF"/>
    <w:rsid w:val="00FC5D4E"/>
    <w:rsid w:val="00FC60DD"/>
    <w:rsid w:val="00FC622E"/>
    <w:rsid w:val="00FC6250"/>
    <w:rsid w:val="00FC6420"/>
    <w:rsid w:val="00FC6468"/>
    <w:rsid w:val="00FC6602"/>
    <w:rsid w:val="00FC6729"/>
    <w:rsid w:val="00FC676A"/>
    <w:rsid w:val="00FC68CB"/>
    <w:rsid w:val="00FC6997"/>
    <w:rsid w:val="00FC69CB"/>
    <w:rsid w:val="00FC6AC9"/>
    <w:rsid w:val="00FC6F6D"/>
    <w:rsid w:val="00FC701C"/>
    <w:rsid w:val="00FC7126"/>
    <w:rsid w:val="00FC7160"/>
    <w:rsid w:val="00FC7169"/>
    <w:rsid w:val="00FC7181"/>
    <w:rsid w:val="00FC757F"/>
    <w:rsid w:val="00FC7653"/>
    <w:rsid w:val="00FC796D"/>
    <w:rsid w:val="00FC7AAA"/>
    <w:rsid w:val="00FC7B3F"/>
    <w:rsid w:val="00FC7D49"/>
    <w:rsid w:val="00FC7E1B"/>
    <w:rsid w:val="00FD00A4"/>
    <w:rsid w:val="00FD00F2"/>
    <w:rsid w:val="00FD0147"/>
    <w:rsid w:val="00FD01A9"/>
    <w:rsid w:val="00FD046F"/>
    <w:rsid w:val="00FD0474"/>
    <w:rsid w:val="00FD087B"/>
    <w:rsid w:val="00FD0A03"/>
    <w:rsid w:val="00FD0CE2"/>
    <w:rsid w:val="00FD0DB6"/>
    <w:rsid w:val="00FD0EDC"/>
    <w:rsid w:val="00FD0F95"/>
    <w:rsid w:val="00FD10A4"/>
    <w:rsid w:val="00FD10BB"/>
    <w:rsid w:val="00FD11C5"/>
    <w:rsid w:val="00FD120B"/>
    <w:rsid w:val="00FD1360"/>
    <w:rsid w:val="00FD148E"/>
    <w:rsid w:val="00FD191A"/>
    <w:rsid w:val="00FD195E"/>
    <w:rsid w:val="00FD19EE"/>
    <w:rsid w:val="00FD1B1B"/>
    <w:rsid w:val="00FD1FF2"/>
    <w:rsid w:val="00FD1FF7"/>
    <w:rsid w:val="00FD2294"/>
    <w:rsid w:val="00FD257E"/>
    <w:rsid w:val="00FD2655"/>
    <w:rsid w:val="00FD27B6"/>
    <w:rsid w:val="00FD2876"/>
    <w:rsid w:val="00FD2BA5"/>
    <w:rsid w:val="00FD2C17"/>
    <w:rsid w:val="00FD2D2A"/>
    <w:rsid w:val="00FD2F5C"/>
    <w:rsid w:val="00FD2FFC"/>
    <w:rsid w:val="00FD326C"/>
    <w:rsid w:val="00FD32FA"/>
    <w:rsid w:val="00FD354D"/>
    <w:rsid w:val="00FD35F5"/>
    <w:rsid w:val="00FD36D6"/>
    <w:rsid w:val="00FD3838"/>
    <w:rsid w:val="00FD3853"/>
    <w:rsid w:val="00FD3AC6"/>
    <w:rsid w:val="00FD3C49"/>
    <w:rsid w:val="00FD3DD0"/>
    <w:rsid w:val="00FD3EDE"/>
    <w:rsid w:val="00FD3F1F"/>
    <w:rsid w:val="00FD4098"/>
    <w:rsid w:val="00FD40A1"/>
    <w:rsid w:val="00FD4141"/>
    <w:rsid w:val="00FD44A0"/>
    <w:rsid w:val="00FD45CE"/>
    <w:rsid w:val="00FD47CD"/>
    <w:rsid w:val="00FD48B8"/>
    <w:rsid w:val="00FD4AC9"/>
    <w:rsid w:val="00FD4CBA"/>
    <w:rsid w:val="00FD4CFD"/>
    <w:rsid w:val="00FD4D06"/>
    <w:rsid w:val="00FD5008"/>
    <w:rsid w:val="00FD507E"/>
    <w:rsid w:val="00FD5104"/>
    <w:rsid w:val="00FD516F"/>
    <w:rsid w:val="00FD530E"/>
    <w:rsid w:val="00FD554E"/>
    <w:rsid w:val="00FD56F4"/>
    <w:rsid w:val="00FD57C8"/>
    <w:rsid w:val="00FD59AD"/>
    <w:rsid w:val="00FD59F5"/>
    <w:rsid w:val="00FD5ABF"/>
    <w:rsid w:val="00FD5B63"/>
    <w:rsid w:val="00FD5C07"/>
    <w:rsid w:val="00FD5D09"/>
    <w:rsid w:val="00FD5E51"/>
    <w:rsid w:val="00FD6017"/>
    <w:rsid w:val="00FD6158"/>
    <w:rsid w:val="00FD61A4"/>
    <w:rsid w:val="00FD6399"/>
    <w:rsid w:val="00FD6729"/>
    <w:rsid w:val="00FD6768"/>
    <w:rsid w:val="00FD6899"/>
    <w:rsid w:val="00FD6AF9"/>
    <w:rsid w:val="00FD6B73"/>
    <w:rsid w:val="00FD6EF0"/>
    <w:rsid w:val="00FD6F42"/>
    <w:rsid w:val="00FD6FEE"/>
    <w:rsid w:val="00FD71B5"/>
    <w:rsid w:val="00FD71CB"/>
    <w:rsid w:val="00FD7210"/>
    <w:rsid w:val="00FD740A"/>
    <w:rsid w:val="00FD740D"/>
    <w:rsid w:val="00FD747A"/>
    <w:rsid w:val="00FD75B0"/>
    <w:rsid w:val="00FD7832"/>
    <w:rsid w:val="00FD7866"/>
    <w:rsid w:val="00FD7A9A"/>
    <w:rsid w:val="00FD7AA0"/>
    <w:rsid w:val="00FD7CCD"/>
    <w:rsid w:val="00FD7F10"/>
    <w:rsid w:val="00FE0384"/>
    <w:rsid w:val="00FE08DD"/>
    <w:rsid w:val="00FE0B17"/>
    <w:rsid w:val="00FE0DE8"/>
    <w:rsid w:val="00FE0FEA"/>
    <w:rsid w:val="00FE1103"/>
    <w:rsid w:val="00FE1199"/>
    <w:rsid w:val="00FE12D0"/>
    <w:rsid w:val="00FE133F"/>
    <w:rsid w:val="00FE13AB"/>
    <w:rsid w:val="00FE14E9"/>
    <w:rsid w:val="00FE1517"/>
    <w:rsid w:val="00FE1554"/>
    <w:rsid w:val="00FE190E"/>
    <w:rsid w:val="00FE1B80"/>
    <w:rsid w:val="00FE1B92"/>
    <w:rsid w:val="00FE1CC9"/>
    <w:rsid w:val="00FE1D18"/>
    <w:rsid w:val="00FE1F5C"/>
    <w:rsid w:val="00FE208B"/>
    <w:rsid w:val="00FE2198"/>
    <w:rsid w:val="00FE2235"/>
    <w:rsid w:val="00FE2306"/>
    <w:rsid w:val="00FE23BF"/>
    <w:rsid w:val="00FE23E6"/>
    <w:rsid w:val="00FE28A6"/>
    <w:rsid w:val="00FE291B"/>
    <w:rsid w:val="00FE2A9E"/>
    <w:rsid w:val="00FE2F46"/>
    <w:rsid w:val="00FE2F52"/>
    <w:rsid w:val="00FE2FB1"/>
    <w:rsid w:val="00FE316C"/>
    <w:rsid w:val="00FE3213"/>
    <w:rsid w:val="00FE322D"/>
    <w:rsid w:val="00FE3464"/>
    <w:rsid w:val="00FE34C6"/>
    <w:rsid w:val="00FE35CC"/>
    <w:rsid w:val="00FE3626"/>
    <w:rsid w:val="00FE391B"/>
    <w:rsid w:val="00FE3A23"/>
    <w:rsid w:val="00FE3B12"/>
    <w:rsid w:val="00FE3D0A"/>
    <w:rsid w:val="00FE3D8A"/>
    <w:rsid w:val="00FE3F85"/>
    <w:rsid w:val="00FE402F"/>
    <w:rsid w:val="00FE4261"/>
    <w:rsid w:val="00FE42B7"/>
    <w:rsid w:val="00FE42BB"/>
    <w:rsid w:val="00FE437B"/>
    <w:rsid w:val="00FE453E"/>
    <w:rsid w:val="00FE4540"/>
    <w:rsid w:val="00FE462D"/>
    <w:rsid w:val="00FE469C"/>
    <w:rsid w:val="00FE484C"/>
    <w:rsid w:val="00FE486F"/>
    <w:rsid w:val="00FE48C8"/>
    <w:rsid w:val="00FE4C49"/>
    <w:rsid w:val="00FE4CCB"/>
    <w:rsid w:val="00FE4CFA"/>
    <w:rsid w:val="00FE5238"/>
    <w:rsid w:val="00FE531B"/>
    <w:rsid w:val="00FE5510"/>
    <w:rsid w:val="00FE5801"/>
    <w:rsid w:val="00FE58AF"/>
    <w:rsid w:val="00FE5A57"/>
    <w:rsid w:val="00FE5C88"/>
    <w:rsid w:val="00FE5D0E"/>
    <w:rsid w:val="00FE5D19"/>
    <w:rsid w:val="00FE5D9A"/>
    <w:rsid w:val="00FE5E03"/>
    <w:rsid w:val="00FE5E5C"/>
    <w:rsid w:val="00FE60B7"/>
    <w:rsid w:val="00FE6150"/>
    <w:rsid w:val="00FE6372"/>
    <w:rsid w:val="00FE6548"/>
    <w:rsid w:val="00FE6674"/>
    <w:rsid w:val="00FE6783"/>
    <w:rsid w:val="00FE6D3F"/>
    <w:rsid w:val="00FE6ECF"/>
    <w:rsid w:val="00FE7019"/>
    <w:rsid w:val="00FE71E3"/>
    <w:rsid w:val="00FE72B1"/>
    <w:rsid w:val="00FE744A"/>
    <w:rsid w:val="00FE76CE"/>
    <w:rsid w:val="00FE7C58"/>
    <w:rsid w:val="00FE7DDC"/>
    <w:rsid w:val="00FE7E76"/>
    <w:rsid w:val="00FF04D1"/>
    <w:rsid w:val="00FF059B"/>
    <w:rsid w:val="00FF0A3A"/>
    <w:rsid w:val="00FF0ECA"/>
    <w:rsid w:val="00FF0EE5"/>
    <w:rsid w:val="00FF0FF3"/>
    <w:rsid w:val="00FF1061"/>
    <w:rsid w:val="00FF1395"/>
    <w:rsid w:val="00FF15A2"/>
    <w:rsid w:val="00FF173B"/>
    <w:rsid w:val="00FF1920"/>
    <w:rsid w:val="00FF1959"/>
    <w:rsid w:val="00FF1C32"/>
    <w:rsid w:val="00FF1CAC"/>
    <w:rsid w:val="00FF1CE3"/>
    <w:rsid w:val="00FF20ED"/>
    <w:rsid w:val="00FF211A"/>
    <w:rsid w:val="00FF23E3"/>
    <w:rsid w:val="00FF2563"/>
    <w:rsid w:val="00FF261D"/>
    <w:rsid w:val="00FF2693"/>
    <w:rsid w:val="00FF2A26"/>
    <w:rsid w:val="00FF2B87"/>
    <w:rsid w:val="00FF2E04"/>
    <w:rsid w:val="00FF2E90"/>
    <w:rsid w:val="00FF2EDF"/>
    <w:rsid w:val="00FF2F94"/>
    <w:rsid w:val="00FF2FBE"/>
    <w:rsid w:val="00FF30EF"/>
    <w:rsid w:val="00FF3387"/>
    <w:rsid w:val="00FF33C3"/>
    <w:rsid w:val="00FF342C"/>
    <w:rsid w:val="00FF36EE"/>
    <w:rsid w:val="00FF36F2"/>
    <w:rsid w:val="00FF38A3"/>
    <w:rsid w:val="00FF3946"/>
    <w:rsid w:val="00FF3B67"/>
    <w:rsid w:val="00FF3BAE"/>
    <w:rsid w:val="00FF3E41"/>
    <w:rsid w:val="00FF4132"/>
    <w:rsid w:val="00FF427E"/>
    <w:rsid w:val="00FF44DC"/>
    <w:rsid w:val="00FF4575"/>
    <w:rsid w:val="00FF462A"/>
    <w:rsid w:val="00FF469E"/>
    <w:rsid w:val="00FF485C"/>
    <w:rsid w:val="00FF4B11"/>
    <w:rsid w:val="00FF4DA9"/>
    <w:rsid w:val="00FF4DD6"/>
    <w:rsid w:val="00FF4EE2"/>
    <w:rsid w:val="00FF50E2"/>
    <w:rsid w:val="00FF53EF"/>
    <w:rsid w:val="00FF5488"/>
    <w:rsid w:val="00FF5721"/>
    <w:rsid w:val="00FF5A19"/>
    <w:rsid w:val="00FF5C71"/>
    <w:rsid w:val="00FF5E5A"/>
    <w:rsid w:val="00FF5F6C"/>
    <w:rsid w:val="00FF64B9"/>
    <w:rsid w:val="00FF64BB"/>
    <w:rsid w:val="00FF6621"/>
    <w:rsid w:val="00FF687A"/>
    <w:rsid w:val="00FF68A5"/>
    <w:rsid w:val="00FF68BC"/>
    <w:rsid w:val="00FF6C7A"/>
    <w:rsid w:val="00FF6FD4"/>
    <w:rsid w:val="00FF70B9"/>
    <w:rsid w:val="00FF70CE"/>
    <w:rsid w:val="00FF712C"/>
    <w:rsid w:val="00FF7691"/>
    <w:rsid w:val="00FF78CE"/>
    <w:rsid w:val="00FF7B4A"/>
    <w:rsid w:val="00FF7CEF"/>
    <w:rsid w:val="00FF7DD0"/>
    <w:rsid w:val="00FF7F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1BED5"/>
  <w15:docId w15:val="{A9C1B377-1AAC-4F2E-A7D4-3798609E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AD0"/>
  </w:style>
  <w:style w:type="paragraph" w:styleId="Heading1">
    <w:name w:val="heading 1"/>
    <w:basedOn w:val="Normal"/>
    <w:next w:val="Normal"/>
    <w:link w:val="Heading1Char"/>
    <w:uiPriority w:val="9"/>
    <w:qFormat/>
    <w:rsid w:val="00D93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934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3F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F07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934B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934B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934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934B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934B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A30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30FB9"/>
    <w:rPr>
      <w:rFonts w:ascii="Tahoma" w:hAnsi="Tahoma" w:cs="Tahoma"/>
      <w:sz w:val="16"/>
      <w:szCs w:val="16"/>
    </w:rPr>
  </w:style>
  <w:style w:type="paragraph" w:styleId="ListParagraph">
    <w:name w:val="List Paragraph"/>
    <w:aliases w:val="Bullets_size 10,List Paragraph1,Bullet Number,lp1,lp11,List Paragraph11,Use Case List Paragraph,Num Bullet 1,Steps,Medium Grid 1 - Accent 21"/>
    <w:basedOn w:val="Normal"/>
    <w:link w:val="ListParagraphChar"/>
    <w:uiPriority w:val="34"/>
    <w:qFormat/>
    <w:rsid w:val="00DF022B"/>
    <w:pPr>
      <w:spacing w:after="0" w:line="240" w:lineRule="auto"/>
      <w:ind w:left="720"/>
    </w:pPr>
    <w:rPr>
      <w:rFonts w:ascii="Times New Roman" w:eastAsia="Times New Roman" w:hAnsi="Times New Roman" w:cs="Times New Roman"/>
      <w:sz w:val="24"/>
      <w:szCs w:val="24"/>
    </w:rPr>
  </w:style>
  <w:style w:type="paragraph" w:styleId="BodyText3">
    <w:name w:val="Body Text 3"/>
    <w:basedOn w:val="Normal"/>
    <w:link w:val="BodyText3Char"/>
    <w:rsid w:val="00DF022B"/>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pPr>
    <w:rPr>
      <w:rFonts w:ascii="Times New Roman" w:eastAsia="Times New Roman" w:hAnsi="Times New Roman" w:cs="Times New Roman"/>
      <w:szCs w:val="20"/>
      <w:lang w:eastAsia="el-GR"/>
    </w:rPr>
  </w:style>
  <w:style w:type="character" w:customStyle="1" w:styleId="BodyText3Char">
    <w:name w:val="Body Text 3 Char"/>
    <w:basedOn w:val="DefaultParagraphFont"/>
    <w:link w:val="BodyText3"/>
    <w:rsid w:val="00DF022B"/>
    <w:rPr>
      <w:rFonts w:ascii="Times New Roman" w:eastAsia="Times New Roman" w:hAnsi="Times New Roman" w:cs="Times New Roman"/>
      <w:szCs w:val="20"/>
      <w:lang w:eastAsia="el-GR"/>
    </w:rPr>
  </w:style>
  <w:style w:type="paragraph" w:styleId="FootnoteText">
    <w:name w:val="footnote text"/>
    <w:aliases w:val="Fußnotentext Char,Fußnotentext Char1 Char,Fußnotentext Char Char Char,Fußnotentext Char1 Char Char Char Char,Fußnotentext Char Char Char Char Char Char,Fußnotentext Char1 Char Char Char Char Char Char,Fußnotentext Char2,Fußnotentext Char1"/>
    <w:basedOn w:val="Normal"/>
    <w:link w:val="FootnoteTextChar"/>
    <w:uiPriority w:val="99"/>
    <w:rsid w:val="005C0A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ußnotentext Char Char,Fußnotentext Char1 Char Char,Fußnotentext Char Char Char Char,Fußnotentext Char1 Char Char Char Char Char,Fußnotentext Char Char Char Char Char Char Char,Fußnotentext Char1 Char Char Char Char Char Char Char"/>
    <w:basedOn w:val="DefaultParagraphFont"/>
    <w:link w:val="FootnoteText"/>
    <w:uiPriority w:val="99"/>
    <w:rsid w:val="005C0A4E"/>
    <w:rPr>
      <w:rFonts w:ascii="Times New Roman" w:eastAsia="Times New Roman" w:hAnsi="Times New Roman" w:cs="Times New Roman"/>
      <w:sz w:val="20"/>
      <w:szCs w:val="20"/>
      <w:lang w:val="en-GB"/>
    </w:rPr>
  </w:style>
  <w:style w:type="character" w:styleId="FootnoteReference">
    <w:name w:val="footnote reference"/>
    <w:uiPriority w:val="99"/>
    <w:rsid w:val="005C0A4E"/>
    <w:rPr>
      <w:vertAlign w:val="superscript"/>
    </w:rPr>
  </w:style>
  <w:style w:type="paragraph" w:styleId="Footer">
    <w:name w:val="footer"/>
    <w:basedOn w:val="Normal"/>
    <w:link w:val="FooterChar"/>
    <w:uiPriority w:val="99"/>
    <w:rsid w:val="005C0A4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C0A4E"/>
    <w:rPr>
      <w:rFonts w:ascii="Times New Roman" w:eastAsia="Times New Roman" w:hAnsi="Times New Roman" w:cs="Times New Roman"/>
      <w:sz w:val="24"/>
      <w:szCs w:val="20"/>
      <w:lang w:val="en-GB"/>
    </w:rPr>
  </w:style>
  <w:style w:type="paragraph" w:customStyle="1" w:styleId="irnormaltext">
    <w:name w:val="irnormaltext"/>
    <w:basedOn w:val="Normal"/>
    <w:uiPriority w:val="99"/>
    <w:rsid w:val="005C0A4E"/>
    <w:pPr>
      <w:spacing w:before="100" w:beforeAutospacing="1" w:after="100" w:afterAutospacing="1" w:line="240" w:lineRule="auto"/>
    </w:pPr>
    <w:rPr>
      <w:rFonts w:ascii="Arial" w:eastAsia="Times New Roman" w:hAnsi="Arial" w:cs="Arial"/>
      <w:color w:val="231F20"/>
      <w:sz w:val="16"/>
      <w:szCs w:val="16"/>
      <w:lang w:val="en-US"/>
    </w:rPr>
  </w:style>
  <w:style w:type="paragraph" w:customStyle="1" w:styleId="Default">
    <w:name w:val="Default"/>
    <w:rsid w:val="005C75B1"/>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196C15"/>
    <w:rPr>
      <w:color w:val="0000FF"/>
      <w:u w:val="single"/>
    </w:rPr>
  </w:style>
  <w:style w:type="paragraph" w:styleId="EndnoteText">
    <w:name w:val="endnote text"/>
    <w:basedOn w:val="Normal"/>
    <w:link w:val="EndnoteTextChar"/>
    <w:uiPriority w:val="99"/>
    <w:unhideWhenUsed/>
    <w:rsid w:val="00191BFC"/>
    <w:pPr>
      <w:spacing w:after="0" w:line="240" w:lineRule="auto"/>
    </w:pPr>
    <w:rPr>
      <w:sz w:val="20"/>
      <w:szCs w:val="20"/>
    </w:rPr>
  </w:style>
  <w:style w:type="character" w:customStyle="1" w:styleId="EndnoteTextChar">
    <w:name w:val="Endnote Text Char"/>
    <w:basedOn w:val="DefaultParagraphFont"/>
    <w:link w:val="EndnoteText"/>
    <w:uiPriority w:val="99"/>
    <w:rsid w:val="00191BFC"/>
    <w:rPr>
      <w:sz w:val="20"/>
      <w:szCs w:val="20"/>
    </w:rPr>
  </w:style>
  <w:style w:type="character" w:styleId="EndnoteReference">
    <w:name w:val="endnote reference"/>
    <w:basedOn w:val="DefaultParagraphFont"/>
    <w:uiPriority w:val="99"/>
    <w:unhideWhenUsed/>
    <w:rsid w:val="00191BFC"/>
    <w:rPr>
      <w:vertAlign w:val="superscript"/>
    </w:rPr>
  </w:style>
  <w:style w:type="paragraph" w:styleId="BodyText2">
    <w:name w:val="Body Text 2"/>
    <w:basedOn w:val="Normal"/>
    <w:link w:val="BodyText2Char"/>
    <w:rsid w:val="0077594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75948"/>
    <w:rPr>
      <w:rFonts w:ascii="Times New Roman" w:eastAsia="Times New Roman" w:hAnsi="Times New Roman" w:cs="Times New Roman"/>
      <w:sz w:val="24"/>
      <w:szCs w:val="24"/>
      <w:lang w:val="en-GB"/>
    </w:rPr>
  </w:style>
  <w:style w:type="paragraph" w:styleId="ListBullet">
    <w:name w:val="List Bullet"/>
    <w:basedOn w:val="Normal"/>
    <w:autoRedefine/>
    <w:rsid w:val="00B74263"/>
    <w:pPr>
      <w:framePr w:hSpace="180" w:wrap="around" w:vAnchor="text" w:hAnchor="text" w:x="-527" w:y="1"/>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suppressOverlap/>
    </w:pPr>
    <w:rPr>
      <w:rFonts w:ascii="Arial" w:eastAsia="Times New Roman" w:hAnsi="Arial" w:cs="Arial"/>
      <w:sz w:val="16"/>
      <w:szCs w:val="16"/>
      <w:lang w:val="el-GR" w:eastAsia="el-GR"/>
    </w:rPr>
  </w:style>
  <w:style w:type="paragraph" w:styleId="Title">
    <w:name w:val="Title"/>
    <w:basedOn w:val="Normal"/>
    <w:link w:val="TitleChar"/>
    <w:qFormat/>
    <w:rsid w:val="00F34F66"/>
    <w:pPr>
      <w:tabs>
        <w:tab w:val="left" w:pos="0"/>
        <w:tab w:val="left" w:pos="282"/>
        <w:tab w:val="left" w:pos="720"/>
      </w:tabs>
      <w:suppressAutoHyphens/>
      <w:spacing w:after="0" w:line="240" w:lineRule="auto"/>
      <w:jc w:val="center"/>
    </w:pPr>
    <w:rPr>
      <w:rFonts w:ascii="Times New Roman" w:eastAsia="Times New Roman" w:hAnsi="Times New Roman" w:cs="Times New Roman"/>
      <w:b/>
      <w:color w:val="FF6600"/>
      <w:sz w:val="24"/>
      <w:szCs w:val="20"/>
      <w:lang w:val="en-US"/>
    </w:rPr>
  </w:style>
  <w:style w:type="character" w:customStyle="1" w:styleId="TitleChar">
    <w:name w:val="Title Char"/>
    <w:basedOn w:val="DefaultParagraphFont"/>
    <w:link w:val="Title"/>
    <w:rsid w:val="00F34F66"/>
    <w:rPr>
      <w:rFonts w:ascii="Times New Roman" w:eastAsia="Times New Roman" w:hAnsi="Times New Roman" w:cs="Times New Roman"/>
      <w:b/>
      <w:color w:val="FF6600"/>
      <w:sz w:val="24"/>
      <w:szCs w:val="20"/>
      <w:lang w:val="en-US"/>
    </w:rPr>
  </w:style>
  <w:style w:type="character" w:styleId="CommentReference">
    <w:name w:val="annotation reference"/>
    <w:basedOn w:val="DefaultParagraphFont"/>
    <w:uiPriority w:val="99"/>
    <w:unhideWhenUsed/>
    <w:rsid w:val="00B55D5C"/>
    <w:rPr>
      <w:sz w:val="16"/>
      <w:szCs w:val="16"/>
    </w:rPr>
  </w:style>
  <w:style w:type="paragraph" w:styleId="CommentText">
    <w:name w:val="annotation text"/>
    <w:basedOn w:val="Normal"/>
    <w:link w:val="CommentTextChar"/>
    <w:uiPriority w:val="99"/>
    <w:unhideWhenUsed/>
    <w:rsid w:val="00B55D5C"/>
    <w:pPr>
      <w:spacing w:line="240" w:lineRule="auto"/>
    </w:pPr>
    <w:rPr>
      <w:sz w:val="20"/>
      <w:szCs w:val="20"/>
    </w:rPr>
  </w:style>
  <w:style w:type="character" w:customStyle="1" w:styleId="CommentTextChar">
    <w:name w:val="Comment Text Char"/>
    <w:basedOn w:val="DefaultParagraphFont"/>
    <w:link w:val="CommentText"/>
    <w:uiPriority w:val="99"/>
    <w:rsid w:val="00B55D5C"/>
    <w:rPr>
      <w:sz w:val="20"/>
      <w:szCs w:val="20"/>
    </w:rPr>
  </w:style>
  <w:style w:type="paragraph" w:styleId="CommentSubject">
    <w:name w:val="annotation subject"/>
    <w:basedOn w:val="CommentText"/>
    <w:next w:val="CommentText"/>
    <w:link w:val="CommentSubjectChar"/>
    <w:unhideWhenUsed/>
    <w:rsid w:val="00B55D5C"/>
    <w:rPr>
      <w:b/>
      <w:bCs/>
    </w:rPr>
  </w:style>
  <w:style w:type="character" w:customStyle="1" w:styleId="CommentSubjectChar">
    <w:name w:val="Comment Subject Char"/>
    <w:basedOn w:val="CommentTextChar"/>
    <w:link w:val="CommentSubject"/>
    <w:rsid w:val="00B55D5C"/>
    <w:rPr>
      <w:b/>
      <w:bCs/>
      <w:sz w:val="20"/>
      <w:szCs w:val="20"/>
    </w:rPr>
  </w:style>
  <w:style w:type="paragraph" w:styleId="Revision">
    <w:name w:val="Revision"/>
    <w:hidden/>
    <w:uiPriority w:val="99"/>
    <w:semiHidden/>
    <w:rsid w:val="00A44892"/>
    <w:pPr>
      <w:spacing w:after="0" w:line="240" w:lineRule="auto"/>
    </w:pPr>
  </w:style>
  <w:style w:type="paragraph" w:styleId="Header">
    <w:name w:val="header"/>
    <w:basedOn w:val="Normal"/>
    <w:link w:val="HeaderChar"/>
    <w:uiPriority w:val="99"/>
    <w:unhideWhenUsed/>
    <w:rsid w:val="00DB0D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0D64"/>
  </w:style>
  <w:style w:type="paragraph" w:customStyle="1" w:styleId="01squarebullet">
    <w:name w:val="01 square bullet"/>
    <w:basedOn w:val="Normal"/>
    <w:uiPriority w:val="3"/>
    <w:qFormat/>
    <w:rsid w:val="005C6467"/>
    <w:pPr>
      <w:numPr>
        <w:numId w:val="1"/>
      </w:numPr>
      <w:spacing w:before="120" w:after="120" w:line="264" w:lineRule="auto"/>
      <w:ind w:right="142"/>
      <w:jc w:val="both"/>
    </w:pPr>
    <w:rPr>
      <w:rFonts w:ascii="Arial" w:eastAsia="Times New Roman" w:hAnsi="Arial" w:cs="Times New Roman"/>
      <w:sz w:val="24"/>
      <w:szCs w:val="20"/>
      <w:lang w:val="en-US" w:eastAsia="en-US"/>
    </w:rPr>
  </w:style>
  <w:style w:type="paragraph" w:customStyle="1" w:styleId="list0020bullet1">
    <w:name w:val="list_0020bullet1"/>
    <w:basedOn w:val="Normal"/>
    <w:rsid w:val="002516DF"/>
    <w:pPr>
      <w:spacing w:after="240" w:line="260" w:lineRule="atLeast"/>
    </w:pPr>
    <w:rPr>
      <w:rFonts w:ascii="Times New Roman" w:eastAsia="Times New Roman" w:hAnsi="Times New Roman" w:cs="Times New Roman"/>
      <w:sz w:val="24"/>
      <w:szCs w:val="24"/>
      <w:lang w:val="en-US" w:eastAsia="en-US"/>
    </w:rPr>
  </w:style>
  <w:style w:type="character" w:customStyle="1" w:styleId="list0020bulletchar1">
    <w:name w:val="list_0020bullet__char1"/>
    <w:basedOn w:val="DefaultParagraphFont"/>
    <w:rsid w:val="002516DF"/>
    <w:rPr>
      <w:rFonts w:ascii="Times New Roman" w:hAnsi="Times New Roman" w:cs="Times New Roman" w:hint="default"/>
      <w:sz w:val="24"/>
      <w:szCs w:val="24"/>
    </w:rPr>
  </w:style>
  <w:style w:type="table" w:styleId="TableGrid">
    <w:name w:val="Table Grid"/>
    <w:basedOn w:val="TableNormal"/>
    <w:uiPriority w:val="59"/>
    <w:rsid w:val="00552FD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2CEA"/>
    <w:pPr>
      <w:spacing w:before="100" w:beforeAutospacing="1" w:after="100" w:afterAutospacing="1" w:line="240" w:lineRule="auto"/>
    </w:pPr>
    <w:rPr>
      <w:rFonts w:ascii="Times New Roman" w:eastAsia="Times New Roman" w:hAnsi="Times New Roman" w:cs="Times New Roman"/>
      <w:sz w:val="19"/>
      <w:szCs w:val="19"/>
    </w:rPr>
  </w:style>
  <w:style w:type="paragraph" w:styleId="PlainText">
    <w:name w:val="Plain Text"/>
    <w:basedOn w:val="Normal"/>
    <w:link w:val="PlainTextChar"/>
    <w:uiPriority w:val="99"/>
    <w:unhideWhenUsed/>
    <w:rsid w:val="00DC01CF"/>
    <w:pPr>
      <w:spacing w:after="0" w:line="240" w:lineRule="auto"/>
    </w:pPr>
    <w:rPr>
      <w:rFonts w:ascii="Calibri" w:eastAsiaTheme="minorHAnsi" w:hAnsi="Calibri" w:cs="Calibri"/>
    </w:rPr>
  </w:style>
  <w:style w:type="character" w:customStyle="1" w:styleId="PlainTextChar">
    <w:name w:val="Plain Text Char"/>
    <w:basedOn w:val="DefaultParagraphFont"/>
    <w:link w:val="PlainText"/>
    <w:uiPriority w:val="99"/>
    <w:rsid w:val="00DC01CF"/>
    <w:rPr>
      <w:rFonts w:ascii="Calibri" w:eastAsiaTheme="minorHAnsi" w:hAnsi="Calibri" w:cs="Calibri"/>
    </w:rPr>
  </w:style>
  <w:style w:type="paragraph" w:styleId="TOC3">
    <w:name w:val="toc 3"/>
    <w:basedOn w:val="Normal"/>
    <w:next w:val="Normal"/>
    <w:autoRedefine/>
    <w:rsid w:val="005A7B82"/>
    <w:pPr>
      <w:tabs>
        <w:tab w:val="left" w:leader="dot" w:pos="9000"/>
        <w:tab w:val="right" w:pos="9360"/>
      </w:tabs>
      <w:suppressAutoHyphens/>
      <w:spacing w:after="0" w:line="240" w:lineRule="auto"/>
      <w:ind w:left="2160" w:right="720" w:hanging="720"/>
    </w:pPr>
    <w:rPr>
      <w:rFonts w:ascii="Times New Roman" w:eastAsia="Times New Roman" w:hAnsi="Times New Roman" w:cs="Times New Roman"/>
      <w:sz w:val="20"/>
      <w:szCs w:val="20"/>
      <w:lang w:eastAsia="en-US"/>
    </w:rPr>
  </w:style>
  <w:style w:type="paragraph" w:customStyle="1" w:styleId="xmsonormal">
    <w:name w:val="x_msonormal"/>
    <w:basedOn w:val="Normal"/>
    <w:rsid w:val="0032084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msolistparagraph">
    <w:name w:val="x_msolistparagraph"/>
    <w:basedOn w:val="Normal"/>
    <w:rsid w:val="0032084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02dash">
    <w:name w:val="02 dash"/>
    <w:basedOn w:val="01squarebullet"/>
    <w:uiPriority w:val="4"/>
    <w:qFormat/>
    <w:rsid w:val="005D0916"/>
    <w:pPr>
      <w:numPr>
        <w:numId w:val="2"/>
      </w:numPr>
      <w:tabs>
        <w:tab w:val="left" w:pos="646"/>
      </w:tabs>
    </w:pPr>
  </w:style>
  <w:style w:type="paragraph" w:customStyle="1" w:styleId="03opensquarebullet">
    <w:name w:val="03 open square bullet"/>
    <w:basedOn w:val="02dash"/>
    <w:uiPriority w:val="5"/>
    <w:qFormat/>
    <w:rsid w:val="005D0916"/>
    <w:pPr>
      <w:numPr>
        <w:numId w:val="3"/>
      </w:numPr>
      <w:tabs>
        <w:tab w:val="clear" w:pos="646"/>
        <w:tab w:val="left" w:pos="924"/>
      </w:tabs>
    </w:pPr>
  </w:style>
  <w:style w:type="character" w:customStyle="1" w:styleId="Heading3Char">
    <w:name w:val="Heading 3 Char"/>
    <w:basedOn w:val="DefaultParagraphFont"/>
    <w:link w:val="Heading3"/>
    <w:uiPriority w:val="9"/>
    <w:rsid w:val="00383F9A"/>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unhideWhenUsed/>
    <w:rsid w:val="00793124"/>
    <w:rPr>
      <w:color w:val="800080" w:themeColor="followedHyperlink"/>
      <w:u w:val="single"/>
    </w:rPr>
  </w:style>
  <w:style w:type="paragraph" w:customStyle="1" w:styleId="Normal0">
    <w:name w:val="[Normal]"/>
    <w:rsid w:val="003A371C"/>
    <w:pPr>
      <w:widowControl w:val="0"/>
      <w:autoSpaceDE w:val="0"/>
      <w:autoSpaceDN w:val="0"/>
      <w:adjustRightInd w:val="0"/>
      <w:spacing w:after="0" w:line="240" w:lineRule="auto"/>
    </w:pPr>
    <w:rPr>
      <w:rFonts w:ascii="Arial" w:eastAsiaTheme="minorHAnsi" w:hAnsi="Arial" w:cs="Arial"/>
      <w:sz w:val="24"/>
      <w:szCs w:val="24"/>
      <w:lang w:val="en-US" w:eastAsia="en-US"/>
    </w:rPr>
  </w:style>
  <w:style w:type="paragraph" w:customStyle="1" w:styleId="UKBodyText">
    <w:name w:val="UK Body Text"/>
    <w:basedOn w:val="Normal"/>
    <w:rsid w:val="00503553"/>
    <w:pPr>
      <w:spacing w:after="120" w:line="240" w:lineRule="auto"/>
      <w:jc w:val="both"/>
    </w:pPr>
    <w:rPr>
      <w:rFonts w:ascii="Times New Roman" w:eastAsia="Times New Roman" w:hAnsi="Times New Roman" w:cs="Times New Roman"/>
      <w:sz w:val="21"/>
      <w:szCs w:val="20"/>
      <w:lang w:eastAsia="en-US"/>
    </w:rPr>
  </w:style>
  <w:style w:type="paragraph" w:customStyle="1" w:styleId="astandard3520normal">
    <w:name w:val="a_standard__35__20_normal"/>
    <w:basedOn w:val="Normal"/>
    <w:rsid w:val="005F1C63"/>
    <w:pPr>
      <w:spacing w:after="120" w:line="240" w:lineRule="auto"/>
      <w:ind w:right="57"/>
      <w:jc w:val="both"/>
    </w:pPr>
    <w:rPr>
      <w:rFonts w:ascii="Times New Roman" w:eastAsia="Times New Roman" w:hAnsi="Times New Roman" w:cs="Times New Roman"/>
      <w:sz w:val="24"/>
      <w:szCs w:val="24"/>
      <w:lang w:val="en-US" w:eastAsia="en-US"/>
    </w:rPr>
  </w:style>
  <w:style w:type="paragraph" w:customStyle="1" w:styleId="e6f5ed41-1005-4925-af08-f2ff1cbb9fd2">
    <w:name w:val="e6f5ed41-1005-4925-af08-f2ff1cbb9fd2"/>
    <w:basedOn w:val="Normal"/>
    <w:rsid w:val="00EE513A"/>
    <w:pPr>
      <w:spacing w:after="0" w:line="240" w:lineRule="auto"/>
    </w:pPr>
    <w:rPr>
      <w:rFonts w:ascii="Times New Roman" w:eastAsiaTheme="minorHAnsi" w:hAnsi="Times New Roman" w:cs="Times New Roman"/>
      <w:sz w:val="24"/>
      <w:szCs w:val="24"/>
    </w:rPr>
  </w:style>
  <w:style w:type="character" w:customStyle="1" w:styleId="text6">
    <w:name w:val="text6"/>
    <w:basedOn w:val="DefaultParagraphFont"/>
    <w:rsid w:val="00AB4B4A"/>
    <w:rPr>
      <w:rFonts w:ascii="Verdana" w:hAnsi="Verdana" w:hint="default"/>
      <w:b w:val="0"/>
      <w:bCs w:val="0"/>
      <w:color w:val="333333"/>
      <w:sz w:val="17"/>
      <w:szCs w:val="17"/>
    </w:rPr>
  </w:style>
  <w:style w:type="character" w:customStyle="1" w:styleId="Heading1Char">
    <w:name w:val="Heading 1 Char"/>
    <w:basedOn w:val="DefaultParagraphFont"/>
    <w:link w:val="Heading1"/>
    <w:uiPriority w:val="9"/>
    <w:rsid w:val="00D934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934B4"/>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D934B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934B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934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D934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934B4"/>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unhideWhenUsed/>
    <w:rsid w:val="00D934B4"/>
    <w:pPr>
      <w:spacing w:after="120"/>
    </w:pPr>
  </w:style>
  <w:style w:type="character" w:customStyle="1" w:styleId="BodyTextChar">
    <w:name w:val="Body Text Char"/>
    <w:basedOn w:val="DefaultParagraphFont"/>
    <w:link w:val="BodyText"/>
    <w:uiPriority w:val="99"/>
    <w:rsid w:val="00D934B4"/>
  </w:style>
  <w:style w:type="paragraph" w:styleId="NoSpacing">
    <w:name w:val="No Spacing"/>
    <w:uiPriority w:val="1"/>
    <w:qFormat/>
    <w:rsid w:val="000136A2"/>
    <w:pPr>
      <w:spacing w:after="0" w:line="240" w:lineRule="auto"/>
    </w:pPr>
  </w:style>
  <w:style w:type="character" w:customStyle="1" w:styleId="Heading4Char">
    <w:name w:val="Heading 4 Char"/>
    <w:basedOn w:val="DefaultParagraphFont"/>
    <w:link w:val="Heading4"/>
    <w:uiPriority w:val="9"/>
    <w:rsid w:val="003F0752"/>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unhideWhenUsed/>
    <w:rsid w:val="005972E0"/>
    <w:pPr>
      <w:spacing w:after="120"/>
      <w:ind w:left="283"/>
    </w:pPr>
  </w:style>
  <w:style w:type="character" w:customStyle="1" w:styleId="BodyTextIndentChar">
    <w:name w:val="Body Text Indent Char"/>
    <w:basedOn w:val="DefaultParagraphFont"/>
    <w:link w:val="BodyTextIndent"/>
    <w:uiPriority w:val="99"/>
    <w:rsid w:val="005972E0"/>
  </w:style>
  <w:style w:type="character" w:styleId="PageNumber">
    <w:name w:val="page number"/>
    <w:basedOn w:val="DefaultParagraphFont"/>
    <w:unhideWhenUsed/>
    <w:rsid w:val="00716823"/>
  </w:style>
  <w:style w:type="paragraph" w:customStyle="1" w:styleId="ColorfulList-Accent11">
    <w:name w:val="Colorful List - Accent 11"/>
    <w:basedOn w:val="Normal"/>
    <w:uiPriority w:val="34"/>
    <w:qFormat/>
    <w:rsid w:val="00716823"/>
    <w:pPr>
      <w:spacing w:after="0" w:line="240" w:lineRule="auto"/>
      <w:ind w:left="720"/>
      <w:contextualSpacing/>
    </w:pPr>
    <w:rPr>
      <w:rFonts w:ascii="Times New Roman" w:eastAsia="Batang" w:hAnsi="Times New Roman" w:cs="Times New Roman"/>
      <w:sz w:val="24"/>
      <w:szCs w:val="24"/>
      <w:lang w:val="en-US" w:eastAsia="en-US"/>
    </w:rPr>
  </w:style>
  <w:style w:type="paragraph" w:styleId="TOAHeading">
    <w:name w:val="toa heading"/>
    <w:basedOn w:val="Normal"/>
    <w:next w:val="Normal"/>
    <w:rsid w:val="00716823"/>
    <w:pPr>
      <w:tabs>
        <w:tab w:val="left" w:pos="9000"/>
        <w:tab w:val="right" w:pos="9360"/>
      </w:tabs>
      <w:suppressAutoHyphens/>
      <w:spacing w:after="0" w:line="240" w:lineRule="auto"/>
    </w:pPr>
    <w:rPr>
      <w:rFonts w:ascii="Times New Roman" w:eastAsia="Batang" w:hAnsi="Times New Roman" w:cs="Times New Roman"/>
      <w:sz w:val="20"/>
      <w:szCs w:val="20"/>
      <w:lang w:val="en-US" w:eastAsia="en-US"/>
    </w:rPr>
  </w:style>
  <w:style w:type="paragraph" w:styleId="Caption">
    <w:name w:val="caption"/>
    <w:aliases w:val="Accounts bold"/>
    <w:basedOn w:val="Normal"/>
    <w:next w:val="Normal"/>
    <w:qFormat/>
    <w:rsid w:val="00716823"/>
    <w:pPr>
      <w:tabs>
        <w:tab w:val="left" w:pos="0"/>
        <w:tab w:val="left" w:pos="1416"/>
        <w:tab w:val="decimal" w:pos="4962"/>
        <w:tab w:val="decimal" w:pos="6521"/>
        <w:tab w:val="right" w:pos="7560"/>
        <w:tab w:val="decimal" w:pos="8220"/>
        <w:tab w:val="left" w:pos="8640"/>
        <w:tab w:val="right" w:pos="9000"/>
      </w:tabs>
      <w:suppressAutoHyphens/>
      <w:spacing w:after="0" w:line="240" w:lineRule="auto"/>
    </w:pPr>
    <w:rPr>
      <w:rFonts w:ascii="Times New Roman" w:eastAsia="Batang" w:hAnsi="Times New Roman" w:cs="Times New Roman"/>
      <w:b/>
      <w:sz w:val="20"/>
      <w:szCs w:val="20"/>
      <w:lang w:val="el-GR" w:eastAsia="el-GR"/>
    </w:rPr>
  </w:style>
  <w:style w:type="paragraph" w:styleId="BodyTextIndent2">
    <w:name w:val="Body Text Indent 2"/>
    <w:basedOn w:val="Normal"/>
    <w:link w:val="BodyTextIndent2Char"/>
    <w:rsid w:val="00716823"/>
    <w:pPr>
      <w:tabs>
        <w:tab w:val="left" w:pos="360"/>
      </w:tabs>
      <w:suppressAutoHyphens/>
      <w:spacing w:after="0" w:line="240" w:lineRule="auto"/>
      <w:ind w:left="360"/>
      <w:jc w:val="both"/>
    </w:pPr>
    <w:rPr>
      <w:rFonts w:ascii="Times New Roman" w:eastAsia="Batang" w:hAnsi="Times New Roman" w:cs="Times New Roman"/>
      <w:iCs/>
      <w:szCs w:val="24"/>
      <w:lang w:val="en-US" w:eastAsia="en-US"/>
    </w:rPr>
  </w:style>
  <w:style w:type="character" w:customStyle="1" w:styleId="BodyTextIndent2Char">
    <w:name w:val="Body Text Indent 2 Char"/>
    <w:basedOn w:val="DefaultParagraphFont"/>
    <w:link w:val="BodyTextIndent2"/>
    <w:rsid w:val="00716823"/>
    <w:rPr>
      <w:rFonts w:ascii="Times New Roman" w:eastAsia="Batang" w:hAnsi="Times New Roman" w:cs="Times New Roman"/>
      <w:iCs/>
      <w:szCs w:val="24"/>
      <w:lang w:val="en-US" w:eastAsia="en-US"/>
    </w:rPr>
  </w:style>
  <w:style w:type="paragraph" w:styleId="BodyTextIndent3">
    <w:name w:val="Body Text Indent 3"/>
    <w:basedOn w:val="Normal"/>
    <w:link w:val="BodyTextIndent3Char"/>
    <w:rsid w:val="00716823"/>
    <w:pPr>
      <w:tabs>
        <w:tab w:val="left" w:pos="360"/>
      </w:tabs>
      <w:suppressAutoHyphens/>
      <w:spacing w:after="0" w:line="240" w:lineRule="auto"/>
      <w:ind w:left="284"/>
      <w:jc w:val="both"/>
    </w:pPr>
    <w:rPr>
      <w:rFonts w:ascii="Times New Roman" w:eastAsia="Batang" w:hAnsi="Times New Roman" w:cs="Times New Roman"/>
      <w:iCs/>
      <w:szCs w:val="24"/>
      <w:lang w:val="en-US" w:eastAsia="en-US"/>
    </w:rPr>
  </w:style>
  <w:style w:type="character" w:customStyle="1" w:styleId="BodyTextIndent3Char">
    <w:name w:val="Body Text Indent 3 Char"/>
    <w:basedOn w:val="DefaultParagraphFont"/>
    <w:link w:val="BodyTextIndent3"/>
    <w:rsid w:val="00716823"/>
    <w:rPr>
      <w:rFonts w:ascii="Times New Roman" w:eastAsia="Batang" w:hAnsi="Times New Roman" w:cs="Times New Roman"/>
      <w:iCs/>
      <w:szCs w:val="24"/>
      <w:lang w:val="en-US" w:eastAsia="en-US"/>
    </w:rPr>
  </w:style>
  <w:style w:type="paragraph" w:styleId="BlockText">
    <w:name w:val="Block Text"/>
    <w:basedOn w:val="Normal"/>
    <w:rsid w:val="00716823"/>
    <w:pPr>
      <w:tabs>
        <w:tab w:val="left" w:pos="426"/>
        <w:tab w:val="left" w:pos="720"/>
      </w:tabs>
      <w:suppressAutoHyphens/>
      <w:spacing w:after="0" w:line="240" w:lineRule="auto"/>
      <w:ind w:left="426" w:right="-185"/>
      <w:jc w:val="both"/>
    </w:pPr>
    <w:rPr>
      <w:rFonts w:ascii="Times New Roman" w:eastAsia="Batang" w:hAnsi="Times New Roman" w:cs="Times New Roman"/>
      <w:bCs/>
      <w:szCs w:val="20"/>
      <w:lang w:val="el-GR" w:eastAsia="en-US"/>
    </w:rPr>
  </w:style>
  <w:style w:type="paragraph" w:customStyle="1" w:styleId="Subject">
    <w:name w:val="Subject"/>
    <w:basedOn w:val="Normal"/>
    <w:rsid w:val="00716823"/>
    <w:pPr>
      <w:keepNext/>
      <w:keepLines/>
      <w:spacing w:after="0" w:line="290" w:lineRule="atLeast"/>
    </w:pPr>
    <w:rPr>
      <w:rFonts w:ascii="Times New Roman" w:eastAsia="Batang" w:hAnsi="Times New Roman" w:cs="Times New Roman"/>
      <w:b/>
      <w:sz w:val="24"/>
      <w:szCs w:val="20"/>
      <w:lang w:eastAsia="en-US"/>
    </w:rPr>
  </w:style>
  <w:style w:type="paragraph" w:styleId="TOC1">
    <w:name w:val="toc 1"/>
    <w:basedOn w:val="Heading1"/>
    <w:next w:val="Heading1"/>
    <w:autoRedefine/>
    <w:rsid w:val="00716823"/>
    <w:pPr>
      <w:keepLines w:val="0"/>
      <w:tabs>
        <w:tab w:val="left" w:pos="0"/>
        <w:tab w:val="left" w:pos="426"/>
        <w:tab w:val="right" w:pos="8640"/>
      </w:tabs>
      <w:suppressAutoHyphens/>
      <w:spacing w:before="0" w:line="240" w:lineRule="auto"/>
      <w:ind w:left="426" w:hanging="426"/>
    </w:pPr>
    <w:rPr>
      <w:rFonts w:ascii="Times New Roman" w:eastAsia="Batang" w:hAnsi="Times New Roman" w:cs="Times New Roman"/>
      <w:b w:val="0"/>
      <w:bCs w:val="0"/>
      <w:i/>
      <w:color w:val="auto"/>
      <w:sz w:val="24"/>
      <w:szCs w:val="20"/>
      <w:lang w:val="el-GR" w:eastAsia="el-GR"/>
    </w:rPr>
  </w:style>
  <w:style w:type="paragraph" w:styleId="TOC2">
    <w:name w:val="toc 2"/>
    <w:basedOn w:val="Normal"/>
    <w:next w:val="Normal"/>
    <w:autoRedefine/>
    <w:rsid w:val="00716823"/>
    <w:pPr>
      <w:spacing w:after="0" w:line="240" w:lineRule="auto"/>
    </w:pPr>
    <w:rPr>
      <w:rFonts w:ascii="Verdana" w:eastAsia="Batang" w:hAnsi="Verdana" w:cs="Times New Roman"/>
      <w:b/>
      <w:color w:val="262626"/>
      <w:sz w:val="18"/>
      <w:szCs w:val="18"/>
      <w:lang w:eastAsia="en-US"/>
    </w:rPr>
  </w:style>
  <w:style w:type="paragraph" w:styleId="TOC4">
    <w:name w:val="toc 4"/>
    <w:basedOn w:val="Normal"/>
    <w:next w:val="Normal"/>
    <w:autoRedefine/>
    <w:rsid w:val="00716823"/>
    <w:pPr>
      <w:spacing w:after="0" w:line="240" w:lineRule="auto"/>
      <w:ind w:left="720"/>
    </w:pPr>
    <w:rPr>
      <w:rFonts w:ascii="Times New Roman" w:eastAsia="Batang" w:hAnsi="Times New Roman" w:cs="Times New Roman"/>
      <w:sz w:val="24"/>
      <w:szCs w:val="24"/>
      <w:lang w:eastAsia="en-US"/>
    </w:rPr>
  </w:style>
  <w:style w:type="paragraph" w:styleId="TOC5">
    <w:name w:val="toc 5"/>
    <w:basedOn w:val="Normal"/>
    <w:next w:val="Normal"/>
    <w:autoRedefine/>
    <w:rsid w:val="00716823"/>
    <w:pPr>
      <w:spacing w:after="0" w:line="240" w:lineRule="auto"/>
    </w:pPr>
    <w:rPr>
      <w:rFonts w:ascii="Arial" w:eastAsia="Batang" w:hAnsi="Arial" w:cs="Times New Roman"/>
      <w:sz w:val="16"/>
      <w:szCs w:val="16"/>
      <w:lang w:val="el-GR" w:eastAsia="en-US"/>
    </w:rPr>
  </w:style>
  <w:style w:type="paragraph" w:styleId="TOC6">
    <w:name w:val="toc 6"/>
    <w:basedOn w:val="Normal"/>
    <w:next w:val="Normal"/>
    <w:autoRedefine/>
    <w:rsid w:val="00716823"/>
    <w:pPr>
      <w:spacing w:after="0" w:line="240" w:lineRule="auto"/>
      <w:ind w:left="1200"/>
    </w:pPr>
    <w:rPr>
      <w:rFonts w:ascii="Times New Roman" w:eastAsia="Batang" w:hAnsi="Times New Roman" w:cs="Times New Roman"/>
      <w:sz w:val="24"/>
      <w:szCs w:val="24"/>
      <w:lang w:eastAsia="en-US"/>
    </w:rPr>
  </w:style>
  <w:style w:type="paragraph" w:styleId="TOC7">
    <w:name w:val="toc 7"/>
    <w:basedOn w:val="Normal"/>
    <w:next w:val="Normal"/>
    <w:autoRedefine/>
    <w:rsid w:val="00716823"/>
    <w:pPr>
      <w:spacing w:after="0" w:line="240" w:lineRule="auto"/>
      <w:ind w:left="1440"/>
    </w:pPr>
    <w:rPr>
      <w:rFonts w:ascii="Times New Roman" w:eastAsia="Batang" w:hAnsi="Times New Roman" w:cs="Times New Roman"/>
      <w:sz w:val="24"/>
      <w:szCs w:val="24"/>
      <w:lang w:eastAsia="en-US"/>
    </w:rPr>
  </w:style>
  <w:style w:type="paragraph" w:styleId="TOC8">
    <w:name w:val="toc 8"/>
    <w:basedOn w:val="Normal"/>
    <w:next w:val="Normal"/>
    <w:autoRedefine/>
    <w:rsid w:val="00716823"/>
    <w:pPr>
      <w:spacing w:after="0" w:line="240" w:lineRule="auto"/>
      <w:ind w:left="1680"/>
    </w:pPr>
    <w:rPr>
      <w:rFonts w:ascii="Times New Roman" w:eastAsia="Batang" w:hAnsi="Times New Roman" w:cs="Times New Roman"/>
      <w:sz w:val="24"/>
      <w:szCs w:val="24"/>
      <w:lang w:eastAsia="en-US"/>
    </w:rPr>
  </w:style>
  <w:style w:type="paragraph" w:styleId="TOC9">
    <w:name w:val="toc 9"/>
    <w:basedOn w:val="Normal"/>
    <w:next w:val="Normal"/>
    <w:autoRedefine/>
    <w:rsid w:val="00716823"/>
    <w:pPr>
      <w:spacing w:after="0" w:line="240" w:lineRule="auto"/>
      <w:ind w:left="1920"/>
    </w:pPr>
    <w:rPr>
      <w:rFonts w:ascii="Times New Roman" w:eastAsia="Batang" w:hAnsi="Times New Roman" w:cs="Times New Roman"/>
      <w:sz w:val="24"/>
      <w:szCs w:val="24"/>
      <w:lang w:eastAsia="en-US"/>
    </w:rPr>
  </w:style>
  <w:style w:type="character" w:customStyle="1" w:styleId="CommentTextChar2">
    <w:name w:val="Comment Text Char2"/>
    <w:rsid w:val="00716823"/>
    <w:rPr>
      <w:rFonts w:ascii="Times New Roman" w:eastAsia="Batang" w:hAnsi="Times New Roman"/>
    </w:rPr>
  </w:style>
  <w:style w:type="paragraph" w:customStyle="1" w:styleId="Headingline1">
    <w:name w:val="Heading line 1"/>
    <w:rsid w:val="00716823"/>
    <w:pPr>
      <w:widowControl w:val="0"/>
      <w:autoSpaceDE w:val="0"/>
      <w:autoSpaceDN w:val="0"/>
      <w:adjustRightInd w:val="0"/>
      <w:spacing w:after="0" w:line="240" w:lineRule="auto"/>
    </w:pPr>
    <w:rPr>
      <w:rFonts w:ascii="Tahoma" w:eastAsia="Malgun Gothic" w:hAnsi="Tahoma" w:cs="Tahoma"/>
      <w:b/>
      <w:bCs/>
      <w:color w:val="000000"/>
      <w:sz w:val="28"/>
      <w:szCs w:val="28"/>
      <w:lang w:val="el-GR" w:eastAsia="el-GR"/>
    </w:rPr>
  </w:style>
  <w:style w:type="paragraph" w:styleId="DocumentMap">
    <w:name w:val="Document Map"/>
    <w:basedOn w:val="Normal"/>
    <w:link w:val="DocumentMapChar"/>
    <w:rsid w:val="00716823"/>
    <w:pPr>
      <w:spacing w:after="0" w:line="240" w:lineRule="auto"/>
    </w:pPr>
    <w:rPr>
      <w:rFonts w:ascii="Lucida Grande" w:eastAsia="Batang" w:hAnsi="Lucida Grande" w:cs="Times New Roman"/>
      <w:sz w:val="24"/>
      <w:szCs w:val="24"/>
      <w:lang w:val="en-US" w:eastAsia="en-US"/>
    </w:rPr>
  </w:style>
  <w:style w:type="character" w:customStyle="1" w:styleId="DocumentMapChar">
    <w:name w:val="Document Map Char"/>
    <w:basedOn w:val="DefaultParagraphFont"/>
    <w:link w:val="DocumentMap"/>
    <w:rsid w:val="00716823"/>
    <w:rPr>
      <w:rFonts w:ascii="Lucida Grande" w:eastAsia="Batang" w:hAnsi="Lucida Grande" w:cs="Times New Roman"/>
      <w:sz w:val="24"/>
      <w:szCs w:val="24"/>
      <w:lang w:val="en-US" w:eastAsia="en-US"/>
    </w:rPr>
  </w:style>
  <w:style w:type="paragraph" w:styleId="Date">
    <w:name w:val="Date"/>
    <w:basedOn w:val="Normal"/>
    <w:next w:val="Normal"/>
    <w:link w:val="DateChar"/>
    <w:rsid w:val="00716823"/>
    <w:pPr>
      <w:spacing w:after="0" w:line="240" w:lineRule="auto"/>
    </w:pPr>
    <w:rPr>
      <w:rFonts w:ascii="Times New Roman" w:eastAsia="Batang" w:hAnsi="Times New Roman" w:cs="Times New Roman"/>
      <w:sz w:val="24"/>
      <w:szCs w:val="24"/>
      <w:lang w:val="en-US" w:eastAsia="en-US"/>
    </w:rPr>
  </w:style>
  <w:style w:type="character" w:customStyle="1" w:styleId="DateChar">
    <w:name w:val="Date Char"/>
    <w:basedOn w:val="DefaultParagraphFont"/>
    <w:link w:val="Date"/>
    <w:rsid w:val="00716823"/>
    <w:rPr>
      <w:rFonts w:ascii="Times New Roman" w:eastAsia="Batang" w:hAnsi="Times New Roman" w:cs="Times New Roman"/>
      <w:sz w:val="24"/>
      <w:szCs w:val="24"/>
      <w:lang w:val="en-US" w:eastAsia="en-US"/>
    </w:rPr>
  </w:style>
  <w:style w:type="character" w:customStyle="1" w:styleId="CommentTextChar1">
    <w:name w:val="Comment Text Char1"/>
    <w:uiPriority w:val="99"/>
    <w:rsid w:val="00716823"/>
    <w:rPr>
      <w:rFonts w:eastAsia="Batang"/>
      <w:lang w:val="en-GB" w:eastAsia="en-US" w:bidi="ar-SA"/>
    </w:rPr>
  </w:style>
  <w:style w:type="paragraph" w:customStyle="1" w:styleId="Notesbodytext">
    <w:name w:val="Notes body text"/>
    <w:basedOn w:val="Normal"/>
    <w:link w:val="NotesbodytextChar"/>
    <w:rsid w:val="00716823"/>
    <w:pPr>
      <w:overflowPunct w:val="0"/>
      <w:autoSpaceDE w:val="0"/>
      <w:autoSpaceDN w:val="0"/>
      <w:adjustRightInd w:val="0"/>
      <w:spacing w:after="120" w:line="240" w:lineRule="exact"/>
      <w:textAlignment w:val="baseline"/>
    </w:pPr>
    <w:rPr>
      <w:rFonts w:ascii="EYInterstate Light" w:eastAsia="Calibri" w:hAnsi="EYInterstate Light" w:cs="Arial"/>
      <w:color w:val="000000"/>
      <w:sz w:val="18"/>
      <w:szCs w:val="20"/>
      <w:lang w:eastAsia="en-US"/>
    </w:rPr>
  </w:style>
  <w:style w:type="character" w:customStyle="1" w:styleId="NotesbodytextChar">
    <w:name w:val="Notes body text Char"/>
    <w:link w:val="Notesbodytext"/>
    <w:locked/>
    <w:rsid w:val="00716823"/>
    <w:rPr>
      <w:rFonts w:ascii="EYInterstate Light" w:eastAsia="Calibri" w:hAnsi="EYInterstate Light" w:cs="Arial"/>
      <w:color w:val="000000"/>
      <w:sz w:val="18"/>
      <w:szCs w:val="20"/>
      <w:lang w:eastAsia="en-US"/>
    </w:rPr>
  </w:style>
  <w:style w:type="character" w:styleId="Emphasis">
    <w:name w:val="Emphasis"/>
    <w:uiPriority w:val="20"/>
    <w:qFormat/>
    <w:rsid w:val="00716823"/>
    <w:rPr>
      <w:i/>
      <w:iCs/>
    </w:rPr>
  </w:style>
  <w:style w:type="paragraph" w:customStyle="1" w:styleId="Pa02">
    <w:name w:val="Pa0+2"/>
    <w:basedOn w:val="Default"/>
    <w:next w:val="Default"/>
    <w:uiPriority w:val="99"/>
    <w:rsid w:val="00716823"/>
    <w:pPr>
      <w:widowControl w:val="0"/>
      <w:spacing w:line="241" w:lineRule="atLeast"/>
    </w:pPr>
    <w:rPr>
      <w:rFonts w:ascii="PF BeauSans Pro" w:eastAsia="Cambria" w:hAnsi="PF BeauSans Pro" w:cs="Times New Roman"/>
      <w:color w:val="auto"/>
      <w:lang w:val="en-US" w:eastAsia="en-US"/>
    </w:rPr>
  </w:style>
  <w:style w:type="character" w:customStyle="1" w:styleId="A51">
    <w:name w:val="A5+1"/>
    <w:uiPriority w:val="99"/>
    <w:rsid w:val="00716823"/>
    <w:rPr>
      <w:rFonts w:cs="PF BeauSans Pro"/>
      <w:color w:val="905521"/>
      <w:sz w:val="30"/>
      <w:szCs w:val="30"/>
    </w:rPr>
  </w:style>
  <w:style w:type="paragraph" w:customStyle="1" w:styleId="ColorfulList-Accent12">
    <w:name w:val="Colorful List - Accent 12"/>
    <w:basedOn w:val="Normal"/>
    <w:uiPriority w:val="34"/>
    <w:qFormat/>
    <w:rsid w:val="00716823"/>
    <w:pPr>
      <w:ind w:left="720"/>
      <w:contextualSpacing/>
    </w:pPr>
    <w:rPr>
      <w:rFonts w:ascii="EYInterstate Light" w:eastAsia="Times New Roman" w:hAnsi="EYInterstate Light" w:cs="Times New Roman"/>
      <w:sz w:val="24"/>
      <w:lang w:val="el-GR" w:eastAsia="en-US"/>
    </w:rPr>
  </w:style>
  <w:style w:type="character" w:customStyle="1" w:styleId="BodyText3Char1">
    <w:name w:val="Body Text 3 Char1"/>
    <w:rsid w:val="00716823"/>
    <w:rPr>
      <w:rFonts w:ascii="Times New Roman" w:eastAsia="Batang" w:hAnsi="Times New Roman"/>
      <w:sz w:val="16"/>
      <w:szCs w:val="16"/>
      <w:lang w:val="en-US"/>
    </w:rPr>
  </w:style>
  <w:style w:type="character" w:customStyle="1" w:styleId="BodyTextChar1">
    <w:name w:val="Body Text Char1"/>
    <w:rsid w:val="00716823"/>
    <w:rPr>
      <w:rFonts w:ascii="Verdana" w:eastAsia="Batang" w:hAnsi="Verdana"/>
      <w:sz w:val="16"/>
      <w:szCs w:val="24"/>
      <w:lang w:val="en-US"/>
    </w:rPr>
  </w:style>
  <w:style w:type="paragraph" w:customStyle="1" w:styleId="Accounts">
    <w:name w:val="Accounts"/>
    <w:basedOn w:val="Normal"/>
    <w:qFormat/>
    <w:rsid w:val="00716823"/>
    <w:pPr>
      <w:spacing w:after="0" w:line="240" w:lineRule="auto"/>
      <w:jc w:val="both"/>
    </w:pPr>
    <w:rPr>
      <w:rFonts w:ascii="Verdana" w:eastAsia="Batang" w:hAnsi="Verdana" w:cs="Times New Roman"/>
      <w:sz w:val="18"/>
      <w:szCs w:val="24"/>
      <w:lang w:val="el-GR" w:eastAsia="en-US"/>
    </w:rPr>
  </w:style>
  <w:style w:type="paragraph" w:customStyle="1" w:styleId="ColorfulShading-Accent11">
    <w:name w:val="Colorful Shading - Accent 11"/>
    <w:hidden/>
    <w:uiPriority w:val="99"/>
    <w:semiHidden/>
    <w:rsid w:val="00716823"/>
    <w:pPr>
      <w:spacing w:after="0" w:line="240" w:lineRule="auto"/>
    </w:pPr>
    <w:rPr>
      <w:rFonts w:ascii="Times New Roman" w:eastAsia="Batang" w:hAnsi="Times New Roman" w:cs="Times New Roman"/>
      <w:sz w:val="24"/>
      <w:szCs w:val="24"/>
      <w:lang w:val="en-US" w:eastAsia="en-US"/>
    </w:rPr>
  </w:style>
  <w:style w:type="character" w:customStyle="1" w:styleId="longtext">
    <w:name w:val="long_text"/>
    <w:basedOn w:val="DefaultParagraphFont"/>
    <w:rsid w:val="00716823"/>
  </w:style>
  <w:style w:type="character" w:customStyle="1" w:styleId="PlaceholderText1">
    <w:name w:val="Placeholder Text1"/>
    <w:uiPriority w:val="99"/>
    <w:rsid w:val="00716823"/>
    <w:rPr>
      <w:color w:val="808080"/>
    </w:rPr>
  </w:style>
  <w:style w:type="paragraph" w:customStyle="1" w:styleId="04shortdash">
    <w:name w:val="04 short dash"/>
    <w:basedOn w:val="03opensquarebullet"/>
    <w:uiPriority w:val="6"/>
    <w:qFormat/>
    <w:rsid w:val="00716823"/>
    <w:pPr>
      <w:numPr>
        <w:numId w:val="0"/>
      </w:numPr>
      <w:tabs>
        <w:tab w:val="clear" w:pos="924"/>
        <w:tab w:val="num" w:pos="1213"/>
      </w:tabs>
      <w:spacing w:after="60" w:line="240" w:lineRule="auto"/>
      <w:ind w:left="1211" w:hanging="284"/>
      <w:jc w:val="left"/>
    </w:pPr>
    <w:rPr>
      <w:rFonts w:ascii="Times New Roman" w:hAnsi="Times New Roman"/>
      <w:sz w:val="26"/>
    </w:rPr>
  </w:style>
  <w:style w:type="paragraph" w:customStyle="1" w:styleId="Normal39">
    <w:name w:val="Normal_39"/>
    <w:uiPriority w:val="99"/>
    <w:rsid w:val="00716823"/>
    <w:pPr>
      <w:widowControl w:val="0"/>
      <w:autoSpaceDE w:val="0"/>
      <w:autoSpaceDN w:val="0"/>
      <w:adjustRightInd w:val="0"/>
      <w:spacing w:after="0" w:line="240" w:lineRule="auto"/>
    </w:pPr>
    <w:rPr>
      <w:rFonts w:ascii="Times New Roman" w:eastAsia="Times New Roman" w:hAnsi="Times New Roman" w:cs="Times New Roman"/>
      <w:sz w:val="20"/>
      <w:lang w:val="en-US" w:eastAsia="en-US"/>
    </w:rPr>
  </w:style>
  <w:style w:type="paragraph" w:customStyle="1" w:styleId="AUKFirstLine5">
    <w:name w:val="A UK First Line .5&quot;"/>
    <w:basedOn w:val="Normal"/>
    <w:rsid w:val="00716823"/>
    <w:pPr>
      <w:spacing w:after="240" w:line="240" w:lineRule="auto"/>
      <w:ind w:firstLine="720"/>
      <w:jc w:val="both"/>
    </w:pPr>
    <w:rPr>
      <w:rFonts w:ascii="Times New Roman" w:eastAsia="Times New Roman" w:hAnsi="Times New Roman" w:cs="Times New Roman"/>
      <w:sz w:val="21"/>
      <w:szCs w:val="20"/>
      <w:lang w:eastAsia="en-US"/>
    </w:rPr>
  </w:style>
  <w:style w:type="paragraph" w:styleId="BodyTextFirstIndent2">
    <w:name w:val="Body Text First Indent 2"/>
    <w:basedOn w:val="BodyTextIndent"/>
    <w:link w:val="BodyTextFirstIndent2Char"/>
    <w:rsid w:val="00716823"/>
    <w:pPr>
      <w:spacing w:line="240" w:lineRule="auto"/>
      <w:ind w:firstLine="210"/>
    </w:pPr>
    <w:rPr>
      <w:rFonts w:ascii="Times New Roman" w:eastAsia="Times New Roman" w:hAnsi="Times New Roman" w:cs="Times New Roman"/>
      <w:sz w:val="24"/>
      <w:szCs w:val="24"/>
      <w:lang w:val="en-US" w:eastAsia="en-US"/>
    </w:rPr>
  </w:style>
  <w:style w:type="character" w:customStyle="1" w:styleId="BodyTextFirstIndent2Char">
    <w:name w:val="Body Text First Indent 2 Char"/>
    <w:basedOn w:val="BodyTextIndentChar"/>
    <w:link w:val="BodyTextFirstIndent2"/>
    <w:rsid w:val="00716823"/>
    <w:rPr>
      <w:rFonts w:ascii="Times New Roman" w:eastAsia="Times New Roman" w:hAnsi="Times New Roman" w:cs="Times New Roman"/>
      <w:sz w:val="24"/>
      <w:szCs w:val="24"/>
      <w:lang w:val="en-US" w:eastAsia="en-US"/>
    </w:rPr>
  </w:style>
  <w:style w:type="paragraph" w:customStyle="1" w:styleId="body0020text00203">
    <w:name w:val="body_0020text_00203"/>
    <w:basedOn w:val="Normal"/>
    <w:rsid w:val="00716823"/>
    <w:pPr>
      <w:spacing w:after="0" w:line="240" w:lineRule="auto"/>
      <w:jc w:val="right"/>
    </w:pPr>
    <w:rPr>
      <w:rFonts w:ascii="Times New Roman" w:eastAsia="Times New Roman" w:hAnsi="Times New Roman" w:cs="Times New Roman"/>
      <w:lang w:val="en-US" w:eastAsia="en-US"/>
    </w:rPr>
  </w:style>
  <w:style w:type="paragraph" w:customStyle="1" w:styleId="default0">
    <w:name w:val="default"/>
    <w:basedOn w:val="Normal"/>
    <w:uiPriority w:val="99"/>
    <w:rsid w:val="00716823"/>
    <w:pPr>
      <w:spacing w:after="0" w:line="240" w:lineRule="auto"/>
    </w:pPr>
    <w:rPr>
      <w:rFonts w:ascii="Arial" w:eastAsia="Times New Roman" w:hAnsi="Arial" w:cs="Arial"/>
      <w:sz w:val="24"/>
      <w:szCs w:val="24"/>
      <w:lang w:val="en-US" w:eastAsia="en-US"/>
    </w:rPr>
  </w:style>
  <w:style w:type="character" w:customStyle="1" w:styleId="body0020text00203char1">
    <w:name w:val="body_0020text_00203__char1"/>
    <w:rsid w:val="00716823"/>
    <w:rPr>
      <w:rFonts w:ascii="Times New Roman" w:hAnsi="Times New Roman" w:cs="Times New Roman" w:hint="default"/>
      <w:sz w:val="22"/>
      <w:szCs w:val="22"/>
    </w:rPr>
  </w:style>
  <w:style w:type="character" w:customStyle="1" w:styleId="defaultchar1">
    <w:name w:val="default__char1"/>
    <w:rsid w:val="00716823"/>
    <w:rPr>
      <w:rFonts w:ascii="Arial" w:hAnsi="Arial" w:cs="Arial" w:hint="default"/>
      <w:sz w:val="24"/>
      <w:szCs w:val="24"/>
    </w:rPr>
  </w:style>
  <w:style w:type="paragraph" w:customStyle="1" w:styleId="EYBusinessaddress">
    <w:name w:val="EY Business address"/>
    <w:basedOn w:val="Normal"/>
    <w:rsid w:val="00716823"/>
    <w:pPr>
      <w:suppressAutoHyphens/>
      <w:spacing w:after="0" w:line="170" w:lineRule="atLeast"/>
    </w:pPr>
    <w:rPr>
      <w:rFonts w:ascii="Arial" w:eastAsia="Times New Roman" w:hAnsi="Arial" w:cs="Times New Roman"/>
      <w:color w:val="666666"/>
      <w:kern w:val="12"/>
      <w:sz w:val="15"/>
      <w:szCs w:val="24"/>
      <w:lang w:eastAsia="en-US"/>
    </w:rPr>
  </w:style>
  <w:style w:type="paragraph" w:customStyle="1" w:styleId="EYBusinessaddressbold">
    <w:name w:val="EY Business address (bold)"/>
    <w:basedOn w:val="EYBusinessaddress"/>
    <w:next w:val="EYBusinessaddress"/>
    <w:rsid w:val="00716823"/>
    <w:rPr>
      <w:rFonts w:ascii="Arial Bold" w:hAnsi="Arial Bold"/>
      <w:b/>
    </w:rPr>
  </w:style>
  <w:style w:type="paragraph" w:customStyle="1" w:styleId="EYFooterinfo">
    <w:name w:val="EY Footer info"/>
    <w:basedOn w:val="Normal"/>
    <w:rsid w:val="00716823"/>
    <w:pPr>
      <w:suppressAutoHyphens/>
      <w:spacing w:after="0" w:line="240" w:lineRule="auto"/>
    </w:pPr>
    <w:rPr>
      <w:rFonts w:ascii="Arial" w:eastAsia="Times New Roman" w:hAnsi="Arial" w:cs="Times New Roman"/>
      <w:color w:val="666666"/>
      <w:kern w:val="12"/>
      <w:sz w:val="11"/>
      <w:szCs w:val="24"/>
      <w:lang w:eastAsia="en-US"/>
    </w:rPr>
  </w:style>
  <w:style w:type="character" w:customStyle="1" w:styleId="HeaderChar1">
    <w:name w:val="Header Char1"/>
    <w:rsid w:val="00716823"/>
    <w:rPr>
      <w:sz w:val="24"/>
      <w:lang w:val="en-GB"/>
    </w:rPr>
  </w:style>
  <w:style w:type="table" w:customStyle="1" w:styleId="TableGrid1">
    <w:name w:val="Table Grid1"/>
    <w:basedOn w:val="TableNormal"/>
    <w:next w:val="TableGrid"/>
    <w:uiPriority w:val="59"/>
    <w:rsid w:val="00716823"/>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16823"/>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6">
    <w:name w:val="index 6"/>
    <w:basedOn w:val="Normal"/>
    <w:next w:val="Normal"/>
    <w:autoRedefine/>
    <w:uiPriority w:val="99"/>
    <w:unhideWhenUsed/>
    <w:rsid w:val="00716823"/>
    <w:pPr>
      <w:spacing w:after="0" w:line="240" w:lineRule="auto"/>
      <w:ind w:left="1440" w:hanging="240"/>
      <w:jc w:val="both"/>
    </w:pPr>
    <w:rPr>
      <w:rFonts w:ascii="Times New Roman" w:eastAsia="Times New Roman" w:hAnsi="Times New Roman" w:cs="Times New Roman"/>
      <w:sz w:val="24"/>
      <w:szCs w:val="24"/>
      <w:lang w:eastAsia="en-US"/>
    </w:rPr>
  </w:style>
  <w:style w:type="paragraph" w:customStyle="1" w:styleId="5Normal">
    <w:name w:val="5 Normal"/>
    <w:basedOn w:val="Normal"/>
    <w:link w:val="5NormalChar"/>
    <w:rsid w:val="0071682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rPr>
  </w:style>
  <w:style w:type="character" w:customStyle="1" w:styleId="5NormalChar">
    <w:name w:val="5 Normal Char"/>
    <w:link w:val="5Normal"/>
    <w:locked/>
    <w:rsid w:val="00716823"/>
    <w:rPr>
      <w:rFonts w:ascii="Verdana" w:eastAsia="Times New Roman" w:hAnsi="Verdana" w:cs="Times New Roman"/>
      <w:spacing w:val="-2"/>
      <w:sz w:val="20"/>
      <w:szCs w:val="24"/>
    </w:rPr>
  </w:style>
  <w:style w:type="character" w:customStyle="1" w:styleId="st1">
    <w:name w:val="st1"/>
    <w:basedOn w:val="DefaultParagraphFont"/>
    <w:rsid w:val="00716823"/>
  </w:style>
  <w:style w:type="character" w:customStyle="1" w:styleId="ListParagraphChar">
    <w:name w:val="List Paragraph Char"/>
    <w:aliases w:val="Bullets_size 10 Char,List Paragraph1 Char,Bullet Number Char,lp1 Char,lp11 Char,List Paragraph11 Char,Use Case List Paragraph Char,Num Bullet 1 Char,Steps Char,Medium Grid 1 - Accent 21 Char"/>
    <w:link w:val="ListParagraph"/>
    <w:uiPriority w:val="34"/>
    <w:locked/>
    <w:rsid w:val="00716823"/>
    <w:rPr>
      <w:rFonts w:ascii="Times New Roman" w:eastAsia="Times New Roman" w:hAnsi="Times New Roman" w:cs="Times New Roman"/>
      <w:sz w:val="24"/>
      <w:szCs w:val="24"/>
    </w:rPr>
  </w:style>
  <w:style w:type="paragraph" w:styleId="ListNumber">
    <w:name w:val="List Number"/>
    <w:basedOn w:val="Normal"/>
    <w:qFormat/>
    <w:rsid w:val="008B21D6"/>
    <w:pPr>
      <w:numPr>
        <w:numId w:val="5"/>
      </w:numPr>
      <w:spacing w:after="240" w:line="240" w:lineRule="auto"/>
      <w:contextualSpacing/>
    </w:pPr>
    <w:rPr>
      <w:rFonts w:ascii="Times New Roman" w:eastAsiaTheme="minorHAnsi" w:hAnsi="Times New Roman"/>
      <w:sz w:val="24"/>
      <w:szCs w:val="24"/>
      <w:lang w:eastAsia="en-US"/>
    </w:rPr>
  </w:style>
  <w:style w:type="paragraph" w:customStyle="1" w:styleId="56208c2a-a4c3-421e-ac31-9fb12a4345aa">
    <w:name w:val="56208c2a-a4c3-421e-ac31-9fb12a4345aa"/>
    <w:basedOn w:val="Normal"/>
    <w:uiPriority w:val="99"/>
    <w:rsid w:val="000641D6"/>
    <w:pPr>
      <w:spacing w:after="0" w:line="240" w:lineRule="auto"/>
    </w:pPr>
    <w:rPr>
      <w:rFonts w:ascii="Times New Roman" w:eastAsiaTheme="minorHAnsi" w:hAnsi="Times New Roman" w:cs="Times New Roman"/>
      <w:sz w:val="24"/>
      <w:szCs w:val="24"/>
    </w:rPr>
  </w:style>
  <w:style w:type="paragraph" w:customStyle="1" w:styleId="Bodytxt2">
    <w:name w:val="Body txt2"/>
    <w:basedOn w:val="Normal"/>
    <w:uiPriority w:val="99"/>
    <w:rsid w:val="00D86678"/>
    <w:pPr>
      <w:autoSpaceDE w:val="0"/>
      <w:autoSpaceDN w:val="0"/>
      <w:spacing w:before="215" w:after="0" w:line="240" w:lineRule="auto"/>
      <w:jc w:val="both"/>
    </w:pPr>
    <w:rPr>
      <w:rFonts w:ascii="Verdana" w:eastAsiaTheme="minorHAnsi" w:hAnsi="Verdana" w:cs="Times New Roman"/>
      <w:color w:val="000000"/>
      <w:sz w:val="18"/>
      <w:szCs w:val="18"/>
    </w:rPr>
  </w:style>
  <w:style w:type="paragraph" w:customStyle="1" w:styleId="e97625f8-6b2e-41df-91a7-71350c791624">
    <w:name w:val="e97625f8-6b2e-41df-91a7-71350c791624"/>
    <w:basedOn w:val="Normal"/>
    <w:rsid w:val="00C21EE4"/>
    <w:pPr>
      <w:spacing w:after="0" w:line="240" w:lineRule="auto"/>
    </w:pPr>
    <w:rPr>
      <w:rFonts w:ascii="Times New Roman" w:eastAsiaTheme="minorHAnsi" w:hAnsi="Times New Roman" w:cs="Times New Roman"/>
      <w:sz w:val="24"/>
      <w:szCs w:val="24"/>
      <w:lang w:val="en-US" w:eastAsia="en-US"/>
    </w:rPr>
  </w:style>
  <w:style w:type="table" w:customStyle="1" w:styleId="TableGrid21">
    <w:name w:val="Table Grid21"/>
    <w:basedOn w:val="TableNormal"/>
    <w:next w:val="TableGrid"/>
    <w:uiPriority w:val="59"/>
    <w:rsid w:val="00C21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E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Numbersyr0">
    <w:name w:val="8 Numbers yr0"/>
    <w:uiPriority w:val="99"/>
    <w:rsid w:val="00C21EE4"/>
    <w:pPr>
      <w:widowControl w:val="0"/>
      <w:autoSpaceDE w:val="0"/>
      <w:autoSpaceDN w:val="0"/>
      <w:adjustRightInd w:val="0"/>
      <w:spacing w:before="28" w:after="28" w:line="240" w:lineRule="auto"/>
      <w:ind w:right="56"/>
      <w:jc w:val="right"/>
    </w:pPr>
    <w:rPr>
      <w:rFonts w:ascii="Verdana" w:hAnsi="Verdana" w:cs="Verdana"/>
      <w:b/>
      <w:bCs/>
      <w:color w:val="000000"/>
      <w:sz w:val="16"/>
      <w:szCs w:val="16"/>
    </w:rPr>
  </w:style>
  <w:style w:type="paragraph" w:customStyle="1" w:styleId="Headingyearbold">
    <w:name w:val="Heading year bold"/>
    <w:uiPriority w:val="99"/>
    <w:rsid w:val="008A2699"/>
    <w:pPr>
      <w:widowControl w:val="0"/>
      <w:autoSpaceDE w:val="0"/>
      <w:autoSpaceDN w:val="0"/>
      <w:adjustRightInd w:val="0"/>
      <w:spacing w:after="0" w:line="240" w:lineRule="auto"/>
      <w:jc w:val="center"/>
    </w:pPr>
    <w:rPr>
      <w:rFonts w:ascii="Verdana" w:hAnsi="Verdana" w:cs="Verdana"/>
      <w:b/>
      <w:bCs/>
      <w:color w:val="000000"/>
      <w:sz w:val="18"/>
      <w:szCs w:val="18"/>
    </w:rPr>
  </w:style>
  <w:style w:type="paragraph" w:customStyle="1" w:styleId="Bullet4">
    <w:name w:val="Bullet 4"/>
    <w:uiPriority w:val="99"/>
    <w:rsid w:val="008A2699"/>
    <w:pPr>
      <w:widowControl w:val="0"/>
      <w:autoSpaceDE w:val="0"/>
      <w:autoSpaceDN w:val="0"/>
      <w:adjustRightInd w:val="0"/>
      <w:spacing w:after="0" w:line="240" w:lineRule="auto"/>
      <w:ind w:left="283"/>
      <w:jc w:val="both"/>
    </w:pPr>
    <w:rPr>
      <w:rFonts w:ascii="Verdana" w:hAnsi="Verdana" w:cs="Verdana"/>
      <w:color w:val="000000"/>
      <w:sz w:val="18"/>
      <w:szCs w:val="18"/>
    </w:rPr>
  </w:style>
  <w:style w:type="paragraph" w:customStyle="1" w:styleId="Headingpolicyi">
    <w:name w:val="Heading policy (i)"/>
    <w:uiPriority w:val="99"/>
    <w:rsid w:val="008A2699"/>
    <w:pPr>
      <w:keepNext/>
      <w:widowControl w:val="0"/>
      <w:autoSpaceDE w:val="0"/>
      <w:autoSpaceDN w:val="0"/>
      <w:adjustRightInd w:val="0"/>
      <w:spacing w:before="215" w:after="0" w:line="240" w:lineRule="auto"/>
    </w:pPr>
    <w:rPr>
      <w:rFonts w:ascii="Verdana" w:hAnsi="Verdana" w:cs="Verdana"/>
      <w:i/>
      <w:iCs/>
      <w:color w:val="000000"/>
      <w:sz w:val="18"/>
      <w:szCs w:val="18"/>
    </w:rPr>
  </w:style>
  <w:style w:type="paragraph" w:customStyle="1" w:styleId="Headingyear">
    <w:name w:val="Heading year"/>
    <w:uiPriority w:val="99"/>
    <w:rsid w:val="008A2699"/>
    <w:pPr>
      <w:widowControl w:val="0"/>
      <w:autoSpaceDE w:val="0"/>
      <w:autoSpaceDN w:val="0"/>
      <w:adjustRightInd w:val="0"/>
      <w:spacing w:after="0" w:line="240" w:lineRule="auto"/>
      <w:jc w:val="center"/>
    </w:pPr>
    <w:rPr>
      <w:rFonts w:ascii="Verdana" w:hAnsi="Verdana" w:cs="Verdana"/>
      <w:color w:val="000000"/>
      <w:sz w:val="18"/>
      <w:szCs w:val="18"/>
    </w:rPr>
  </w:style>
  <w:style w:type="paragraph" w:customStyle="1" w:styleId="TableHdgNoBorder">
    <w:name w:val="Table Hdg No Border"/>
    <w:uiPriority w:val="99"/>
    <w:rsid w:val="008A2699"/>
    <w:pPr>
      <w:widowControl w:val="0"/>
      <w:autoSpaceDE w:val="0"/>
      <w:autoSpaceDN w:val="0"/>
      <w:adjustRightInd w:val="0"/>
      <w:spacing w:after="0" w:line="240" w:lineRule="auto"/>
      <w:ind w:left="56"/>
    </w:pPr>
    <w:rPr>
      <w:rFonts w:ascii="Verdana" w:hAnsi="Verdana" w:cs="Verdana"/>
      <w:b/>
      <w:bCs/>
      <w:color w:val="000000"/>
      <w:sz w:val="18"/>
      <w:szCs w:val="18"/>
    </w:rPr>
  </w:style>
  <w:style w:type="paragraph" w:customStyle="1" w:styleId="Tablecolumn1">
    <w:name w:val="Table column 1"/>
    <w:uiPriority w:val="99"/>
    <w:rsid w:val="008A2699"/>
    <w:pPr>
      <w:widowControl w:val="0"/>
      <w:tabs>
        <w:tab w:val="left" w:pos="4592"/>
      </w:tabs>
      <w:autoSpaceDE w:val="0"/>
      <w:autoSpaceDN w:val="0"/>
      <w:adjustRightInd w:val="0"/>
      <w:spacing w:after="0" w:line="240" w:lineRule="auto"/>
      <w:ind w:left="56"/>
    </w:pPr>
    <w:rPr>
      <w:rFonts w:ascii="Verdana" w:hAnsi="Verdana" w:cs="Verdana"/>
      <w:color w:val="000000"/>
      <w:sz w:val="18"/>
      <w:szCs w:val="18"/>
    </w:rPr>
  </w:style>
  <w:style w:type="paragraph" w:customStyle="1" w:styleId="Numbertotalyr0">
    <w:name w:val="Number total yr0"/>
    <w:uiPriority w:val="99"/>
    <w:rsid w:val="008A2699"/>
    <w:pPr>
      <w:widowControl w:val="0"/>
      <w:tabs>
        <w:tab w:val="left" w:pos="963"/>
      </w:tabs>
      <w:autoSpaceDE w:val="0"/>
      <w:autoSpaceDN w:val="0"/>
      <w:adjustRightInd w:val="0"/>
      <w:spacing w:before="28" w:after="28" w:line="240" w:lineRule="auto"/>
      <w:ind w:right="56"/>
      <w:jc w:val="right"/>
    </w:pPr>
    <w:rPr>
      <w:rFonts w:ascii="Verdana" w:hAnsi="Verdana" w:cs="Verdana"/>
      <w:b/>
      <w:bCs/>
      <w:color w:val="000000"/>
      <w:sz w:val="18"/>
      <w:szCs w:val="18"/>
    </w:rPr>
  </w:style>
  <w:style w:type="paragraph" w:customStyle="1" w:styleId="Numbersyr1">
    <w:name w:val="Numbers yr1"/>
    <w:uiPriority w:val="99"/>
    <w:rsid w:val="008A2699"/>
    <w:pPr>
      <w:widowControl w:val="0"/>
      <w:autoSpaceDE w:val="0"/>
      <w:autoSpaceDN w:val="0"/>
      <w:adjustRightInd w:val="0"/>
      <w:spacing w:before="28" w:after="28" w:line="240" w:lineRule="auto"/>
      <w:ind w:right="56"/>
      <w:jc w:val="right"/>
    </w:pPr>
    <w:rPr>
      <w:rFonts w:ascii="Verdana" w:hAnsi="Verdana" w:cs="Verdana"/>
      <w:color w:val="000000"/>
      <w:sz w:val="18"/>
      <w:szCs w:val="18"/>
    </w:rPr>
  </w:style>
  <w:style w:type="table" w:customStyle="1" w:styleId="TableGrid4">
    <w:name w:val="Table Grid4"/>
    <w:basedOn w:val="TableNormal"/>
    <w:next w:val="TableGrid"/>
    <w:uiPriority w:val="59"/>
    <w:rsid w:val="008A2699"/>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A2699"/>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13BE1"/>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13BE1"/>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13BE1"/>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13BE1"/>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Numbersyr1">
    <w:name w:val="7 Numbers yr1"/>
    <w:uiPriority w:val="99"/>
    <w:rsid w:val="000538CA"/>
    <w:pPr>
      <w:widowControl w:val="0"/>
      <w:autoSpaceDE w:val="0"/>
      <w:autoSpaceDN w:val="0"/>
      <w:adjustRightInd w:val="0"/>
      <w:spacing w:before="28" w:after="28" w:line="240" w:lineRule="auto"/>
      <w:ind w:right="56"/>
      <w:jc w:val="right"/>
    </w:pPr>
    <w:rPr>
      <w:rFonts w:ascii="Verdana" w:hAnsi="Verdana" w:cs="Verdana"/>
      <w:color w:val="000000"/>
      <w:sz w:val="14"/>
      <w:szCs w:val="14"/>
    </w:rPr>
  </w:style>
  <w:style w:type="paragraph" w:customStyle="1" w:styleId="BodyTxt1">
    <w:name w:val="Body Txt1"/>
    <w:basedOn w:val="Normal"/>
    <w:uiPriority w:val="99"/>
    <w:rsid w:val="000538CA"/>
    <w:pPr>
      <w:autoSpaceDE w:val="0"/>
      <w:autoSpaceDN w:val="0"/>
      <w:spacing w:after="0" w:line="240" w:lineRule="auto"/>
      <w:jc w:val="both"/>
    </w:pPr>
    <w:rPr>
      <w:rFonts w:ascii="Verdana" w:eastAsia="Times New Roman" w:hAnsi="Verdana" w:cs="Calibri"/>
      <w:color w:val="000000"/>
      <w:sz w:val="18"/>
      <w:szCs w:val="18"/>
    </w:rPr>
  </w:style>
  <w:style w:type="paragraph" w:customStyle="1" w:styleId="8Headingsign">
    <w:name w:val="8 Heading sign"/>
    <w:uiPriority w:val="99"/>
    <w:rsid w:val="000538CA"/>
    <w:pPr>
      <w:widowControl w:val="0"/>
      <w:autoSpaceDE w:val="0"/>
      <w:autoSpaceDN w:val="0"/>
      <w:adjustRightInd w:val="0"/>
      <w:spacing w:after="0" w:line="240" w:lineRule="auto"/>
      <w:jc w:val="center"/>
    </w:pPr>
    <w:rPr>
      <w:rFonts w:ascii="Verdana" w:hAnsi="Verdana" w:cs="Verdana"/>
      <w:color w:val="000000"/>
      <w:sz w:val="16"/>
      <w:szCs w:val="16"/>
    </w:rPr>
  </w:style>
  <w:style w:type="paragraph" w:customStyle="1" w:styleId="7Numbersyr0">
    <w:name w:val="7 Numbers yr0"/>
    <w:uiPriority w:val="99"/>
    <w:rsid w:val="000538CA"/>
    <w:pPr>
      <w:widowControl w:val="0"/>
      <w:autoSpaceDE w:val="0"/>
      <w:autoSpaceDN w:val="0"/>
      <w:adjustRightInd w:val="0"/>
      <w:spacing w:before="28" w:after="28" w:line="240" w:lineRule="auto"/>
      <w:ind w:right="56"/>
      <w:jc w:val="right"/>
    </w:pPr>
    <w:rPr>
      <w:rFonts w:ascii="Verdana" w:hAnsi="Verdana" w:cs="Verdana"/>
      <w:b/>
      <w:bCs/>
      <w:color w:val="000000"/>
      <w:sz w:val="14"/>
      <w:szCs w:val="14"/>
    </w:rPr>
  </w:style>
  <w:style w:type="paragraph" w:customStyle="1" w:styleId="Numbersyr0">
    <w:name w:val="Numbers yr0"/>
    <w:uiPriority w:val="99"/>
    <w:rsid w:val="000538CA"/>
    <w:pPr>
      <w:widowControl w:val="0"/>
      <w:autoSpaceDE w:val="0"/>
      <w:autoSpaceDN w:val="0"/>
      <w:adjustRightInd w:val="0"/>
      <w:spacing w:before="28" w:after="28" w:line="240" w:lineRule="auto"/>
      <w:ind w:right="56"/>
      <w:jc w:val="right"/>
    </w:pPr>
    <w:rPr>
      <w:rFonts w:ascii="Verdana" w:hAnsi="Verdana" w:cs="Verdana"/>
      <w:b/>
      <w:bCs/>
      <w:color w:val="000000"/>
      <w:sz w:val="18"/>
      <w:szCs w:val="18"/>
    </w:rPr>
  </w:style>
  <w:style w:type="paragraph" w:customStyle="1" w:styleId="Headingpolicynotes">
    <w:name w:val="Heading policy notes"/>
    <w:basedOn w:val="Normal"/>
    <w:uiPriority w:val="99"/>
    <w:rsid w:val="000538CA"/>
    <w:pPr>
      <w:keepNext/>
      <w:autoSpaceDE w:val="0"/>
      <w:autoSpaceDN w:val="0"/>
      <w:spacing w:before="215" w:after="0" w:line="240" w:lineRule="auto"/>
      <w:jc w:val="both"/>
    </w:pPr>
    <w:rPr>
      <w:rFonts w:ascii="Verdana" w:eastAsia="Times New Roman" w:hAnsi="Verdana" w:cs="Calibri"/>
      <w:b/>
      <w:bCs/>
      <w:color w:val="000000"/>
      <w:sz w:val="18"/>
      <w:szCs w:val="18"/>
    </w:rPr>
  </w:style>
  <w:style w:type="character" w:customStyle="1" w:styleId="UnresolvedMention1">
    <w:name w:val="Unresolved Mention1"/>
    <w:basedOn w:val="DefaultParagraphFont"/>
    <w:uiPriority w:val="99"/>
    <w:semiHidden/>
    <w:unhideWhenUsed/>
    <w:rsid w:val="000538CA"/>
    <w:rPr>
      <w:color w:val="605E5C"/>
      <w:shd w:val="clear" w:color="auto" w:fill="E1DFDD"/>
    </w:rPr>
  </w:style>
  <w:style w:type="table" w:customStyle="1" w:styleId="TableGrid10">
    <w:name w:val="Table Grid10"/>
    <w:basedOn w:val="TableNormal"/>
    <w:next w:val="TableGrid"/>
    <w:uiPriority w:val="59"/>
    <w:rsid w:val="00375A05"/>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2C7B88"/>
    <w:rPr>
      <w:color w:val="2B579A"/>
      <w:shd w:val="clear" w:color="auto" w:fill="E1DFDD"/>
    </w:rPr>
  </w:style>
  <w:style w:type="character" w:customStyle="1" w:styleId="hps">
    <w:name w:val="hps"/>
    <w:basedOn w:val="DefaultParagraphFont"/>
    <w:rsid w:val="00B60E0B"/>
  </w:style>
  <w:style w:type="character" w:customStyle="1" w:styleId="shorttext">
    <w:name w:val="short_text"/>
    <w:basedOn w:val="DefaultParagraphFont"/>
    <w:rsid w:val="00B60E0B"/>
  </w:style>
  <w:style w:type="paragraph" w:styleId="HTMLPreformatted">
    <w:name w:val="HTML Preformatted"/>
    <w:basedOn w:val="Normal"/>
    <w:link w:val="HTMLPreformattedChar"/>
    <w:uiPriority w:val="99"/>
    <w:unhideWhenUsed/>
    <w:rsid w:val="00B60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60E0B"/>
    <w:rPr>
      <w:rFonts w:ascii="Courier New" w:eastAsia="Times New Roman" w:hAnsi="Courier New" w:cs="Courier New"/>
      <w:sz w:val="20"/>
      <w:szCs w:val="20"/>
      <w:lang w:val="en-US" w:eastAsia="en-US"/>
    </w:rPr>
  </w:style>
  <w:style w:type="paragraph" w:styleId="TOCHeading">
    <w:name w:val="TOC Heading"/>
    <w:basedOn w:val="Heading1"/>
    <w:next w:val="Normal"/>
    <w:uiPriority w:val="39"/>
    <w:unhideWhenUsed/>
    <w:qFormat/>
    <w:rsid w:val="00954FFE"/>
    <w:pPr>
      <w:spacing w:before="240" w:line="259" w:lineRule="auto"/>
      <w:outlineLvl w:val="9"/>
    </w:pPr>
    <w:rPr>
      <w:b w:val="0"/>
      <w:bCs w:val="0"/>
      <w:sz w:val="32"/>
      <w:szCs w:val="32"/>
      <w:lang w:val="en-US" w:eastAsia="en-US"/>
    </w:rPr>
  </w:style>
  <w:style w:type="paragraph" w:customStyle="1" w:styleId="Bulletnumber">
    <w:name w:val="Bullet number"/>
    <w:uiPriority w:val="99"/>
    <w:rsid w:val="004C0196"/>
    <w:pPr>
      <w:widowControl w:val="0"/>
      <w:autoSpaceDE w:val="0"/>
      <w:autoSpaceDN w:val="0"/>
      <w:adjustRightInd w:val="0"/>
      <w:spacing w:after="0" w:line="240" w:lineRule="auto"/>
      <w:ind w:left="680" w:hanging="396"/>
      <w:jc w:val="both"/>
    </w:pPr>
    <w:rPr>
      <w:rFonts w:ascii="Verdana" w:hAnsi="Verdana" w:cs="Verdana"/>
      <w:color w:val="000000"/>
      <w:sz w:val="18"/>
      <w:szCs w:val="18"/>
    </w:rPr>
  </w:style>
  <w:style w:type="character" w:styleId="UnresolvedMention">
    <w:name w:val="Unresolved Mention"/>
    <w:basedOn w:val="DefaultParagraphFont"/>
    <w:uiPriority w:val="99"/>
    <w:semiHidden/>
    <w:unhideWhenUsed/>
    <w:rsid w:val="00D142F6"/>
    <w:rPr>
      <w:color w:val="605E5C"/>
      <w:shd w:val="clear" w:color="auto" w:fill="E1DFDD"/>
    </w:rPr>
  </w:style>
  <w:style w:type="table" w:customStyle="1" w:styleId="GridTable5Dark-Accent51">
    <w:name w:val="Grid Table 5 Dark - Accent 51"/>
    <w:basedOn w:val="TableNormal"/>
    <w:uiPriority w:val="50"/>
    <w:rsid w:val="00597DDB"/>
    <w:pPr>
      <w:spacing w:after="0" w:line="240" w:lineRule="auto"/>
    </w:pPr>
    <w:rPr>
      <w:rFonts w:ascii="Cambria" w:eastAsia="Cambria" w:hAnsi="Cambria" w:cs="Times New Roman"/>
      <w:sz w:val="20"/>
      <w:szCs w:val="20"/>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Grid13">
    <w:name w:val="Table Grid13"/>
    <w:basedOn w:val="TableNormal"/>
    <w:next w:val="TableGrid"/>
    <w:uiPriority w:val="59"/>
    <w:rsid w:val="00412673"/>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12673"/>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352599"/>
  </w:style>
  <w:style w:type="table" w:customStyle="1" w:styleId="TableGrid17">
    <w:name w:val="Table Grid17"/>
    <w:basedOn w:val="TableNormal"/>
    <w:next w:val="TableGrid"/>
    <w:uiPriority w:val="59"/>
    <w:rsid w:val="004953BA"/>
    <w:pPr>
      <w:spacing w:after="0" w:line="240" w:lineRule="auto"/>
    </w:pPr>
    <w:rPr>
      <w:rFonts w:ascii="Times New Roman" w:eastAsia="Batang" w:hAnsi="Times New Roman"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953BA"/>
    <w:pPr>
      <w:spacing w:after="0" w:line="240" w:lineRule="auto"/>
    </w:pPr>
    <w:rPr>
      <w:rFonts w:ascii="Times New Roman" w:eastAsia="Batang" w:hAnsi="Times New Roman"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D10DD"/>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D10DD"/>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0238">
      <w:bodyDiv w:val="1"/>
      <w:marLeft w:val="0"/>
      <w:marRight w:val="0"/>
      <w:marTop w:val="0"/>
      <w:marBottom w:val="0"/>
      <w:divBdr>
        <w:top w:val="none" w:sz="0" w:space="0" w:color="auto"/>
        <w:left w:val="none" w:sz="0" w:space="0" w:color="auto"/>
        <w:bottom w:val="none" w:sz="0" w:space="0" w:color="auto"/>
        <w:right w:val="none" w:sz="0" w:space="0" w:color="auto"/>
      </w:divBdr>
    </w:div>
    <w:div w:id="9331935">
      <w:bodyDiv w:val="1"/>
      <w:marLeft w:val="0"/>
      <w:marRight w:val="0"/>
      <w:marTop w:val="0"/>
      <w:marBottom w:val="0"/>
      <w:divBdr>
        <w:top w:val="none" w:sz="0" w:space="0" w:color="auto"/>
        <w:left w:val="none" w:sz="0" w:space="0" w:color="auto"/>
        <w:bottom w:val="none" w:sz="0" w:space="0" w:color="auto"/>
        <w:right w:val="none" w:sz="0" w:space="0" w:color="auto"/>
      </w:divBdr>
    </w:div>
    <w:div w:id="10962232">
      <w:bodyDiv w:val="1"/>
      <w:marLeft w:val="0"/>
      <w:marRight w:val="0"/>
      <w:marTop w:val="0"/>
      <w:marBottom w:val="0"/>
      <w:divBdr>
        <w:top w:val="none" w:sz="0" w:space="0" w:color="auto"/>
        <w:left w:val="none" w:sz="0" w:space="0" w:color="auto"/>
        <w:bottom w:val="none" w:sz="0" w:space="0" w:color="auto"/>
        <w:right w:val="none" w:sz="0" w:space="0" w:color="auto"/>
      </w:divBdr>
    </w:div>
    <w:div w:id="17700036">
      <w:bodyDiv w:val="1"/>
      <w:marLeft w:val="0"/>
      <w:marRight w:val="0"/>
      <w:marTop w:val="0"/>
      <w:marBottom w:val="0"/>
      <w:divBdr>
        <w:top w:val="none" w:sz="0" w:space="0" w:color="auto"/>
        <w:left w:val="none" w:sz="0" w:space="0" w:color="auto"/>
        <w:bottom w:val="none" w:sz="0" w:space="0" w:color="auto"/>
        <w:right w:val="none" w:sz="0" w:space="0" w:color="auto"/>
      </w:divBdr>
    </w:div>
    <w:div w:id="18437645">
      <w:bodyDiv w:val="1"/>
      <w:marLeft w:val="0"/>
      <w:marRight w:val="0"/>
      <w:marTop w:val="0"/>
      <w:marBottom w:val="0"/>
      <w:divBdr>
        <w:top w:val="none" w:sz="0" w:space="0" w:color="auto"/>
        <w:left w:val="none" w:sz="0" w:space="0" w:color="auto"/>
        <w:bottom w:val="none" w:sz="0" w:space="0" w:color="auto"/>
        <w:right w:val="none" w:sz="0" w:space="0" w:color="auto"/>
      </w:divBdr>
    </w:div>
    <w:div w:id="18899379">
      <w:bodyDiv w:val="1"/>
      <w:marLeft w:val="0"/>
      <w:marRight w:val="0"/>
      <w:marTop w:val="0"/>
      <w:marBottom w:val="0"/>
      <w:divBdr>
        <w:top w:val="none" w:sz="0" w:space="0" w:color="auto"/>
        <w:left w:val="none" w:sz="0" w:space="0" w:color="auto"/>
        <w:bottom w:val="none" w:sz="0" w:space="0" w:color="auto"/>
        <w:right w:val="none" w:sz="0" w:space="0" w:color="auto"/>
      </w:divBdr>
    </w:div>
    <w:div w:id="30426407">
      <w:bodyDiv w:val="1"/>
      <w:marLeft w:val="0"/>
      <w:marRight w:val="0"/>
      <w:marTop w:val="0"/>
      <w:marBottom w:val="0"/>
      <w:divBdr>
        <w:top w:val="none" w:sz="0" w:space="0" w:color="auto"/>
        <w:left w:val="none" w:sz="0" w:space="0" w:color="auto"/>
        <w:bottom w:val="none" w:sz="0" w:space="0" w:color="auto"/>
        <w:right w:val="none" w:sz="0" w:space="0" w:color="auto"/>
      </w:divBdr>
    </w:div>
    <w:div w:id="33039746">
      <w:bodyDiv w:val="1"/>
      <w:marLeft w:val="0"/>
      <w:marRight w:val="0"/>
      <w:marTop w:val="0"/>
      <w:marBottom w:val="0"/>
      <w:divBdr>
        <w:top w:val="none" w:sz="0" w:space="0" w:color="auto"/>
        <w:left w:val="none" w:sz="0" w:space="0" w:color="auto"/>
        <w:bottom w:val="none" w:sz="0" w:space="0" w:color="auto"/>
        <w:right w:val="none" w:sz="0" w:space="0" w:color="auto"/>
      </w:divBdr>
    </w:div>
    <w:div w:id="42877538">
      <w:bodyDiv w:val="1"/>
      <w:marLeft w:val="0"/>
      <w:marRight w:val="0"/>
      <w:marTop w:val="0"/>
      <w:marBottom w:val="0"/>
      <w:divBdr>
        <w:top w:val="none" w:sz="0" w:space="0" w:color="auto"/>
        <w:left w:val="none" w:sz="0" w:space="0" w:color="auto"/>
        <w:bottom w:val="none" w:sz="0" w:space="0" w:color="auto"/>
        <w:right w:val="none" w:sz="0" w:space="0" w:color="auto"/>
      </w:divBdr>
    </w:div>
    <w:div w:id="52429481">
      <w:bodyDiv w:val="1"/>
      <w:marLeft w:val="0"/>
      <w:marRight w:val="0"/>
      <w:marTop w:val="0"/>
      <w:marBottom w:val="0"/>
      <w:divBdr>
        <w:top w:val="none" w:sz="0" w:space="0" w:color="auto"/>
        <w:left w:val="none" w:sz="0" w:space="0" w:color="auto"/>
        <w:bottom w:val="none" w:sz="0" w:space="0" w:color="auto"/>
        <w:right w:val="none" w:sz="0" w:space="0" w:color="auto"/>
      </w:divBdr>
    </w:div>
    <w:div w:id="58023309">
      <w:bodyDiv w:val="1"/>
      <w:marLeft w:val="0"/>
      <w:marRight w:val="0"/>
      <w:marTop w:val="0"/>
      <w:marBottom w:val="0"/>
      <w:divBdr>
        <w:top w:val="none" w:sz="0" w:space="0" w:color="auto"/>
        <w:left w:val="none" w:sz="0" w:space="0" w:color="auto"/>
        <w:bottom w:val="none" w:sz="0" w:space="0" w:color="auto"/>
        <w:right w:val="none" w:sz="0" w:space="0" w:color="auto"/>
      </w:divBdr>
    </w:div>
    <w:div w:id="73359757">
      <w:bodyDiv w:val="1"/>
      <w:marLeft w:val="0"/>
      <w:marRight w:val="0"/>
      <w:marTop w:val="0"/>
      <w:marBottom w:val="0"/>
      <w:divBdr>
        <w:top w:val="none" w:sz="0" w:space="0" w:color="auto"/>
        <w:left w:val="none" w:sz="0" w:space="0" w:color="auto"/>
        <w:bottom w:val="none" w:sz="0" w:space="0" w:color="auto"/>
        <w:right w:val="none" w:sz="0" w:space="0" w:color="auto"/>
      </w:divBdr>
      <w:divsChild>
        <w:div w:id="743181690">
          <w:marLeft w:val="274"/>
          <w:marRight w:val="0"/>
          <w:marTop w:val="40"/>
          <w:marBottom w:val="40"/>
          <w:divBdr>
            <w:top w:val="none" w:sz="0" w:space="0" w:color="auto"/>
            <w:left w:val="none" w:sz="0" w:space="0" w:color="auto"/>
            <w:bottom w:val="none" w:sz="0" w:space="0" w:color="auto"/>
            <w:right w:val="none" w:sz="0" w:space="0" w:color="auto"/>
          </w:divBdr>
        </w:div>
      </w:divsChild>
    </w:div>
    <w:div w:id="73624567">
      <w:bodyDiv w:val="1"/>
      <w:marLeft w:val="0"/>
      <w:marRight w:val="0"/>
      <w:marTop w:val="0"/>
      <w:marBottom w:val="0"/>
      <w:divBdr>
        <w:top w:val="none" w:sz="0" w:space="0" w:color="auto"/>
        <w:left w:val="none" w:sz="0" w:space="0" w:color="auto"/>
        <w:bottom w:val="none" w:sz="0" w:space="0" w:color="auto"/>
        <w:right w:val="none" w:sz="0" w:space="0" w:color="auto"/>
      </w:divBdr>
    </w:div>
    <w:div w:id="77748743">
      <w:bodyDiv w:val="1"/>
      <w:marLeft w:val="0"/>
      <w:marRight w:val="0"/>
      <w:marTop w:val="0"/>
      <w:marBottom w:val="0"/>
      <w:divBdr>
        <w:top w:val="none" w:sz="0" w:space="0" w:color="auto"/>
        <w:left w:val="none" w:sz="0" w:space="0" w:color="auto"/>
        <w:bottom w:val="none" w:sz="0" w:space="0" w:color="auto"/>
        <w:right w:val="none" w:sz="0" w:space="0" w:color="auto"/>
      </w:divBdr>
    </w:div>
    <w:div w:id="77798311">
      <w:bodyDiv w:val="1"/>
      <w:marLeft w:val="0"/>
      <w:marRight w:val="0"/>
      <w:marTop w:val="0"/>
      <w:marBottom w:val="0"/>
      <w:divBdr>
        <w:top w:val="none" w:sz="0" w:space="0" w:color="auto"/>
        <w:left w:val="none" w:sz="0" w:space="0" w:color="auto"/>
        <w:bottom w:val="none" w:sz="0" w:space="0" w:color="auto"/>
        <w:right w:val="none" w:sz="0" w:space="0" w:color="auto"/>
      </w:divBdr>
    </w:div>
    <w:div w:id="78599477">
      <w:bodyDiv w:val="1"/>
      <w:marLeft w:val="0"/>
      <w:marRight w:val="0"/>
      <w:marTop w:val="0"/>
      <w:marBottom w:val="0"/>
      <w:divBdr>
        <w:top w:val="none" w:sz="0" w:space="0" w:color="auto"/>
        <w:left w:val="none" w:sz="0" w:space="0" w:color="auto"/>
        <w:bottom w:val="none" w:sz="0" w:space="0" w:color="auto"/>
        <w:right w:val="none" w:sz="0" w:space="0" w:color="auto"/>
      </w:divBdr>
      <w:divsChild>
        <w:div w:id="71977425">
          <w:marLeft w:val="274"/>
          <w:marRight w:val="0"/>
          <w:marTop w:val="40"/>
          <w:marBottom w:val="40"/>
          <w:divBdr>
            <w:top w:val="none" w:sz="0" w:space="0" w:color="auto"/>
            <w:left w:val="none" w:sz="0" w:space="0" w:color="auto"/>
            <w:bottom w:val="none" w:sz="0" w:space="0" w:color="auto"/>
            <w:right w:val="none" w:sz="0" w:space="0" w:color="auto"/>
          </w:divBdr>
        </w:div>
        <w:div w:id="303314918">
          <w:marLeft w:val="274"/>
          <w:marRight w:val="0"/>
          <w:marTop w:val="40"/>
          <w:marBottom w:val="40"/>
          <w:divBdr>
            <w:top w:val="none" w:sz="0" w:space="0" w:color="auto"/>
            <w:left w:val="none" w:sz="0" w:space="0" w:color="auto"/>
            <w:bottom w:val="none" w:sz="0" w:space="0" w:color="auto"/>
            <w:right w:val="none" w:sz="0" w:space="0" w:color="auto"/>
          </w:divBdr>
        </w:div>
        <w:div w:id="1339425878">
          <w:marLeft w:val="274"/>
          <w:marRight w:val="0"/>
          <w:marTop w:val="40"/>
          <w:marBottom w:val="40"/>
          <w:divBdr>
            <w:top w:val="none" w:sz="0" w:space="0" w:color="auto"/>
            <w:left w:val="none" w:sz="0" w:space="0" w:color="auto"/>
            <w:bottom w:val="none" w:sz="0" w:space="0" w:color="auto"/>
            <w:right w:val="none" w:sz="0" w:space="0" w:color="auto"/>
          </w:divBdr>
        </w:div>
        <w:div w:id="1517385616">
          <w:marLeft w:val="274"/>
          <w:marRight w:val="0"/>
          <w:marTop w:val="40"/>
          <w:marBottom w:val="40"/>
          <w:divBdr>
            <w:top w:val="none" w:sz="0" w:space="0" w:color="auto"/>
            <w:left w:val="none" w:sz="0" w:space="0" w:color="auto"/>
            <w:bottom w:val="none" w:sz="0" w:space="0" w:color="auto"/>
            <w:right w:val="none" w:sz="0" w:space="0" w:color="auto"/>
          </w:divBdr>
        </w:div>
      </w:divsChild>
    </w:div>
    <w:div w:id="81264837">
      <w:bodyDiv w:val="1"/>
      <w:marLeft w:val="0"/>
      <w:marRight w:val="0"/>
      <w:marTop w:val="0"/>
      <w:marBottom w:val="0"/>
      <w:divBdr>
        <w:top w:val="none" w:sz="0" w:space="0" w:color="auto"/>
        <w:left w:val="none" w:sz="0" w:space="0" w:color="auto"/>
        <w:bottom w:val="none" w:sz="0" w:space="0" w:color="auto"/>
        <w:right w:val="none" w:sz="0" w:space="0" w:color="auto"/>
      </w:divBdr>
    </w:div>
    <w:div w:id="81950372">
      <w:bodyDiv w:val="1"/>
      <w:marLeft w:val="0"/>
      <w:marRight w:val="0"/>
      <w:marTop w:val="0"/>
      <w:marBottom w:val="0"/>
      <w:divBdr>
        <w:top w:val="none" w:sz="0" w:space="0" w:color="auto"/>
        <w:left w:val="none" w:sz="0" w:space="0" w:color="auto"/>
        <w:bottom w:val="none" w:sz="0" w:space="0" w:color="auto"/>
        <w:right w:val="none" w:sz="0" w:space="0" w:color="auto"/>
      </w:divBdr>
    </w:div>
    <w:div w:id="83649669">
      <w:bodyDiv w:val="1"/>
      <w:marLeft w:val="0"/>
      <w:marRight w:val="0"/>
      <w:marTop w:val="0"/>
      <w:marBottom w:val="0"/>
      <w:divBdr>
        <w:top w:val="none" w:sz="0" w:space="0" w:color="auto"/>
        <w:left w:val="none" w:sz="0" w:space="0" w:color="auto"/>
        <w:bottom w:val="none" w:sz="0" w:space="0" w:color="auto"/>
        <w:right w:val="none" w:sz="0" w:space="0" w:color="auto"/>
      </w:divBdr>
    </w:div>
    <w:div w:id="89859907">
      <w:bodyDiv w:val="1"/>
      <w:marLeft w:val="0"/>
      <w:marRight w:val="0"/>
      <w:marTop w:val="0"/>
      <w:marBottom w:val="0"/>
      <w:divBdr>
        <w:top w:val="none" w:sz="0" w:space="0" w:color="auto"/>
        <w:left w:val="none" w:sz="0" w:space="0" w:color="auto"/>
        <w:bottom w:val="none" w:sz="0" w:space="0" w:color="auto"/>
        <w:right w:val="none" w:sz="0" w:space="0" w:color="auto"/>
      </w:divBdr>
    </w:div>
    <w:div w:id="94253003">
      <w:bodyDiv w:val="1"/>
      <w:marLeft w:val="0"/>
      <w:marRight w:val="0"/>
      <w:marTop w:val="0"/>
      <w:marBottom w:val="0"/>
      <w:divBdr>
        <w:top w:val="none" w:sz="0" w:space="0" w:color="auto"/>
        <w:left w:val="none" w:sz="0" w:space="0" w:color="auto"/>
        <w:bottom w:val="none" w:sz="0" w:space="0" w:color="auto"/>
        <w:right w:val="none" w:sz="0" w:space="0" w:color="auto"/>
      </w:divBdr>
    </w:div>
    <w:div w:id="94834578">
      <w:bodyDiv w:val="1"/>
      <w:marLeft w:val="0"/>
      <w:marRight w:val="0"/>
      <w:marTop w:val="0"/>
      <w:marBottom w:val="0"/>
      <w:divBdr>
        <w:top w:val="none" w:sz="0" w:space="0" w:color="auto"/>
        <w:left w:val="none" w:sz="0" w:space="0" w:color="auto"/>
        <w:bottom w:val="none" w:sz="0" w:space="0" w:color="auto"/>
        <w:right w:val="none" w:sz="0" w:space="0" w:color="auto"/>
      </w:divBdr>
    </w:div>
    <w:div w:id="96413871">
      <w:bodyDiv w:val="1"/>
      <w:marLeft w:val="0"/>
      <w:marRight w:val="0"/>
      <w:marTop w:val="0"/>
      <w:marBottom w:val="0"/>
      <w:divBdr>
        <w:top w:val="none" w:sz="0" w:space="0" w:color="auto"/>
        <w:left w:val="none" w:sz="0" w:space="0" w:color="auto"/>
        <w:bottom w:val="none" w:sz="0" w:space="0" w:color="auto"/>
        <w:right w:val="none" w:sz="0" w:space="0" w:color="auto"/>
      </w:divBdr>
    </w:div>
    <w:div w:id="99495298">
      <w:bodyDiv w:val="1"/>
      <w:marLeft w:val="0"/>
      <w:marRight w:val="0"/>
      <w:marTop w:val="0"/>
      <w:marBottom w:val="0"/>
      <w:divBdr>
        <w:top w:val="none" w:sz="0" w:space="0" w:color="auto"/>
        <w:left w:val="none" w:sz="0" w:space="0" w:color="auto"/>
        <w:bottom w:val="none" w:sz="0" w:space="0" w:color="auto"/>
        <w:right w:val="none" w:sz="0" w:space="0" w:color="auto"/>
      </w:divBdr>
    </w:div>
    <w:div w:id="100541477">
      <w:bodyDiv w:val="1"/>
      <w:marLeft w:val="0"/>
      <w:marRight w:val="0"/>
      <w:marTop w:val="0"/>
      <w:marBottom w:val="0"/>
      <w:divBdr>
        <w:top w:val="none" w:sz="0" w:space="0" w:color="auto"/>
        <w:left w:val="none" w:sz="0" w:space="0" w:color="auto"/>
        <w:bottom w:val="none" w:sz="0" w:space="0" w:color="auto"/>
        <w:right w:val="none" w:sz="0" w:space="0" w:color="auto"/>
      </w:divBdr>
    </w:div>
    <w:div w:id="112752072">
      <w:bodyDiv w:val="1"/>
      <w:marLeft w:val="0"/>
      <w:marRight w:val="0"/>
      <w:marTop w:val="0"/>
      <w:marBottom w:val="0"/>
      <w:divBdr>
        <w:top w:val="none" w:sz="0" w:space="0" w:color="auto"/>
        <w:left w:val="none" w:sz="0" w:space="0" w:color="auto"/>
        <w:bottom w:val="none" w:sz="0" w:space="0" w:color="auto"/>
        <w:right w:val="none" w:sz="0" w:space="0" w:color="auto"/>
      </w:divBdr>
    </w:div>
    <w:div w:id="115834438">
      <w:bodyDiv w:val="1"/>
      <w:marLeft w:val="0"/>
      <w:marRight w:val="0"/>
      <w:marTop w:val="0"/>
      <w:marBottom w:val="0"/>
      <w:divBdr>
        <w:top w:val="none" w:sz="0" w:space="0" w:color="auto"/>
        <w:left w:val="none" w:sz="0" w:space="0" w:color="auto"/>
        <w:bottom w:val="none" w:sz="0" w:space="0" w:color="auto"/>
        <w:right w:val="none" w:sz="0" w:space="0" w:color="auto"/>
      </w:divBdr>
    </w:div>
    <w:div w:id="120920625">
      <w:bodyDiv w:val="1"/>
      <w:marLeft w:val="0"/>
      <w:marRight w:val="0"/>
      <w:marTop w:val="0"/>
      <w:marBottom w:val="0"/>
      <w:divBdr>
        <w:top w:val="none" w:sz="0" w:space="0" w:color="auto"/>
        <w:left w:val="none" w:sz="0" w:space="0" w:color="auto"/>
        <w:bottom w:val="none" w:sz="0" w:space="0" w:color="auto"/>
        <w:right w:val="none" w:sz="0" w:space="0" w:color="auto"/>
      </w:divBdr>
    </w:div>
    <w:div w:id="127865065">
      <w:bodyDiv w:val="1"/>
      <w:marLeft w:val="0"/>
      <w:marRight w:val="0"/>
      <w:marTop w:val="0"/>
      <w:marBottom w:val="0"/>
      <w:divBdr>
        <w:top w:val="none" w:sz="0" w:space="0" w:color="auto"/>
        <w:left w:val="none" w:sz="0" w:space="0" w:color="auto"/>
        <w:bottom w:val="none" w:sz="0" w:space="0" w:color="auto"/>
        <w:right w:val="none" w:sz="0" w:space="0" w:color="auto"/>
      </w:divBdr>
    </w:div>
    <w:div w:id="130371305">
      <w:bodyDiv w:val="1"/>
      <w:marLeft w:val="0"/>
      <w:marRight w:val="0"/>
      <w:marTop w:val="0"/>
      <w:marBottom w:val="0"/>
      <w:divBdr>
        <w:top w:val="none" w:sz="0" w:space="0" w:color="auto"/>
        <w:left w:val="none" w:sz="0" w:space="0" w:color="auto"/>
        <w:bottom w:val="none" w:sz="0" w:space="0" w:color="auto"/>
        <w:right w:val="none" w:sz="0" w:space="0" w:color="auto"/>
      </w:divBdr>
      <w:divsChild>
        <w:div w:id="85544698">
          <w:marLeft w:val="274"/>
          <w:marRight w:val="0"/>
          <w:marTop w:val="40"/>
          <w:marBottom w:val="40"/>
          <w:divBdr>
            <w:top w:val="none" w:sz="0" w:space="0" w:color="auto"/>
            <w:left w:val="none" w:sz="0" w:space="0" w:color="auto"/>
            <w:bottom w:val="none" w:sz="0" w:space="0" w:color="auto"/>
            <w:right w:val="none" w:sz="0" w:space="0" w:color="auto"/>
          </w:divBdr>
        </w:div>
        <w:div w:id="249851940">
          <w:marLeft w:val="274"/>
          <w:marRight w:val="0"/>
          <w:marTop w:val="40"/>
          <w:marBottom w:val="40"/>
          <w:divBdr>
            <w:top w:val="none" w:sz="0" w:space="0" w:color="auto"/>
            <w:left w:val="none" w:sz="0" w:space="0" w:color="auto"/>
            <w:bottom w:val="none" w:sz="0" w:space="0" w:color="auto"/>
            <w:right w:val="none" w:sz="0" w:space="0" w:color="auto"/>
          </w:divBdr>
        </w:div>
        <w:div w:id="566381336">
          <w:marLeft w:val="274"/>
          <w:marRight w:val="0"/>
          <w:marTop w:val="40"/>
          <w:marBottom w:val="40"/>
          <w:divBdr>
            <w:top w:val="none" w:sz="0" w:space="0" w:color="auto"/>
            <w:left w:val="none" w:sz="0" w:space="0" w:color="auto"/>
            <w:bottom w:val="none" w:sz="0" w:space="0" w:color="auto"/>
            <w:right w:val="none" w:sz="0" w:space="0" w:color="auto"/>
          </w:divBdr>
        </w:div>
        <w:div w:id="920482048">
          <w:marLeft w:val="274"/>
          <w:marRight w:val="0"/>
          <w:marTop w:val="40"/>
          <w:marBottom w:val="40"/>
          <w:divBdr>
            <w:top w:val="none" w:sz="0" w:space="0" w:color="auto"/>
            <w:left w:val="none" w:sz="0" w:space="0" w:color="auto"/>
            <w:bottom w:val="none" w:sz="0" w:space="0" w:color="auto"/>
            <w:right w:val="none" w:sz="0" w:space="0" w:color="auto"/>
          </w:divBdr>
        </w:div>
        <w:div w:id="1131243640">
          <w:marLeft w:val="274"/>
          <w:marRight w:val="0"/>
          <w:marTop w:val="40"/>
          <w:marBottom w:val="40"/>
          <w:divBdr>
            <w:top w:val="none" w:sz="0" w:space="0" w:color="auto"/>
            <w:left w:val="none" w:sz="0" w:space="0" w:color="auto"/>
            <w:bottom w:val="none" w:sz="0" w:space="0" w:color="auto"/>
            <w:right w:val="none" w:sz="0" w:space="0" w:color="auto"/>
          </w:divBdr>
        </w:div>
      </w:divsChild>
    </w:div>
    <w:div w:id="132068189">
      <w:bodyDiv w:val="1"/>
      <w:marLeft w:val="0"/>
      <w:marRight w:val="0"/>
      <w:marTop w:val="0"/>
      <w:marBottom w:val="0"/>
      <w:divBdr>
        <w:top w:val="none" w:sz="0" w:space="0" w:color="auto"/>
        <w:left w:val="none" w:sz="0" w:space="0" w:color="auto"/>
        <w:bottom w:val="none" w:sz="0" w:space="0" w:color="auto"/>
        <w:right w:val="none" w:sz="0" w:space="0" w:color="auto"/>
      </w:divBdr>
    </w:div>
    <w:div w:id="135489551">
      <w:bodyDiv w:val="1"/>
      <w:marLeft w:val="0"/>
      <w:marRight w:val="0"/>
      <w:marTop w:val="0"/>
      <w:marBottom w:val="0"/>
      <w:divBdr>
        <w:top w:val="none" w:sz="0" w:space="0" w:color="auto"/>
        <w:left w:val="none" w:sz="0" w:space="0" w:color="auto"/>
        <w:bottom w:val="none" w:sz="0" w:space="0" w:color="auto"/>
        <w:right w:val="none" w:sz="0" w:space="0" w:color="auto"/>
      </w:divBdr>
      <w:divsChild>
        <w:div w:id="228924368">
          <w:marLeft w:val="288"/>
          <w:marRight w:val="0"/>
          <w:marTop w:val="0"/>
          <w:marBottom w:val="0"/>
          <w:divBdr>
            <w:top w:val="none" w:sz="0" w:space="0" w:color="auto"/>
            <w:left w:val="none" w:sz="0" w:space="0" w:color="auto"/>
            <w:bottom w:val="none" w:sz="0" w:space="0" w:color="auto"/>
            <w:right w:val="none" w:sz="0" w:space="0" w:color="auto"/>
          </w:divBdr>
        </w:div>
        <w:div w:id="801462979">
          <w:marLeft w:val="288"/>
          <w:marRight w:val="0"/>
          <w:marTop w:val="0"/>
          <w:marBottom w:val="0"/>
          <w:divBdr>
            <w:top w:val="none" w:sz="0" w:space="0" w:color="auto"/>
            <w:left w:val="none" w:sz="0" w:space="0" w:color="auto"/>
            <w:bottom w:val="none" w:sz="0" w:space="0" w:color="auto"/>
            <w:right w:val="none" w:sz="0" w:space="0" w:color="auto"/>
          </w:divBdr>
        </w:div>
        <w:div w:id="914900493">
          <w:marLeft w:val="288"/>
          <w:marRight w:val="0"/>
          <w:marTop w:val="0"/>
          <w:marBottom w:val="0"/>
          <w:divBdr>
            <w:top w:val="none" w:sz="0" w:space="0" w:color="auto"/>
            <w:left w:val="none" w:sz="0" w:space="0" w:color="auto"/>
            <w:bottom w:val="none" w:sz="0" w:space="0" w:color="auto"/>
            <w:right w:val="none" w:sz="0" w:space="0" w:color="auto"/>
          </w:divBdr>
        </w:div>
        <w:div w:id="1973948220">
          <w:marLeft w:val="288"/>
          <w:marRight w:val="0"/>
          <w:marTop w:val="0"/>
          <w:marBottom w:val="0"/>
          <w:divBdr>
            <w:top w:val="none" w:sz="0" w:space="0" w:color="auto"/>
            <w:left w:val="none" w:sz="0" w:space="0" w:color="auto"/>
            <w:bottom w:val="none" w:sz="0" w:space="0" w:color="auto"/>
            <w:right w:val="none" w:sz="0" w:space="0" w:color="auto"/>
          </w:divBdr>
        </w:div>
        <w:div w:id="2095783149">
          <w:marLeft w:val="288"/>
          <w:marRight w:val="0"/>
          <w:marTop w:val="0"/>
          <w:marBottom w:val="0"/>
          <w:divBdr>
            <w:top w:val="none" w:sz="0" w:space="0" w:color="auto"/>
            <w:left w:val="none" w:sz="0" w:space="0" w:color="auto"/>
            <w:bottom w:val="none" w:sz="0" w:space="0" w:color="auto"/>
            <w:right w:val="none" w:sz="0" w:space="0" w:color="auto"/>
          </w:divBdr>
        </w:div>
      </w:divsChild>
    </w:div>
    <w:div w:id="137963882">
      <w:bodyDiv w:val="1"/>
      <w:marLeft w:val="0"/>
      <w:marRight w:val="0"/>
      <w:marTop w:val="0"/>
      <w:marBottom w:val="0"/>
      <w:divBdr>
        <w:top w:val="none" w:sz="0" w:space="0" w:color="auto"/>
        <w:left w:val="none" w:sz="0" w:space="0" w:color="auto"/>
        <w:bottom w:val="none" w:sz="0" w:space="0" w:color="auto"/>
        <w:right w:val="none" w:sz="0" w:space="0" w:color="auto"/>
      </w:divBdr>
    </w:div>
    <w:div w:id="138769763">
      <w:bodyDiv w:val="1"/>
      <w:marLeft w:val="0"/>
      <w:marRight w:val="0"/>
      <w:marTop w:val="0"/>
      <w:marBottom w:val="0"/>
      <w:divBdr>
        <w:top w:val="none" w:sz="0" w:space="0" w:color="auto"/>
        <w:left w:val="none" w:sz="0" w:space="0" w:color="auto"/>
        <w:bottom w:val="none" w:sz="0" w:space="0" w:color="auto"/>
        <w:right w:val="none" w:sz="0" w:space="0" w:color="auto"/>
      </w:divBdr>
    </w:div>
    <w:div w:id="138808361">
      <w:bodyDiv w:val="1"/>
      <w:marLeft w:val="0"/>
      <w:marRight w:val="0"/>
      <w:marTop w:val="0"/>
      <w:marBottom w:val="0"/>
      <w:divBdr>
        <w:top w:val="none" w:sz="0" w:space="0" w:color="auto"/>
        <w:left w:val="none" w:sz="0" w:space="0" w:color="auto"/>
        <w:bottom w:val="none" w:sz="0" w:space="0" w:color="auto"/>
        <w:right w:val="none" w:sz="0" w:space="0" w:color="auto"/>
      </w:divBdr>
      <w:divsChild>
        <w:div w:id="1312753891">
          <w:marLeft w:val="274"/>
          <w:marRight w:val="0"/>
          <w:marTop w:val="120"/>
          <w:marBottom w:val="120"/>
          <w:divBdr>
            <w:top w:val="none" w:sz="0" w:space="0" w:color="auto"/>
            <w:left w:val="none" w:sz="0" w:space="0" w:color="auto"/>
            <w:bottom w:val="none" w:sz="0" w:space="0" w:color="auto"/>
            <w:right w:val="none" w:sz="0" w:space="0" w:color="auto"/>
          </w:divBdr>
        </w:div>
      </w:divsChild>
    </w:div>
    <w:div w:id="139199611">
      <w:bodyDiv w:val="1"/>
      <w:marLeft w:val="0"/>
      <w:marRight w:val="0"/>
      <w:marTop w:val="0"/>
      <w:marBottom w:val="0"/>
      <w:divBdr>
        <w:top w:val="none" w:sz="0" w:space="0" w:color="auto"/>
        <w:left w:val="none" w:sz="0" w:space="0" w:color="auto"/>
        <w:bottom w:val="none" w:sz="0" w:space="0" w:color="auto"/>
        <w:right w:val="none" w:sz="0" w:space="0" w:color="auto"/>
      </w:divBdr>
    </w:div>
    <w:div w:id="139420143">
      <w:bodyDiv w:val="1"/>
      <w:marLeft w:val="0"/>
      <w:marRight w:val="0"/>
      <w:marTop w:val="0"/>
      <w:marBottom w:val="0"/>
      <w:divBdr>
        <w:top w:val="none" w:sz="0" w:space="0" w:color="auto"/>
        <w:left w:val="none" w:sz="0" w:space="0" w:color="auto"/>
        <w:bottom w:val="none" w:sz="0" w:space="0" w:color="auto"/>
        <w:right w:val="none" w:sz="0" w:space="0" w:color="auto"/>
      </w:divBdr>
    </w:div>
    <w:div w:id="142476524">
      <w:bodyDiv w:val="1"/>
      <w:marLeft w:val="0"/>
      <w:marRight w:val="0"/>
      <w:marTop w:val="0"/>
      <w:marBottom w:val="0"/>
      <w:divBdr>
        <w:top w:val="none" w:sz="0" w:space="0" w:color="auto"/>
        <w:left w:val="none" w:sz="0" w:space="0" w:color="auto"/>
        <w:bottom w:val="none" w:sz="0" w:space="0" w:color="auto"/>
        <w:right w:val="none" w:sz="0" w:space="0" w:color="auto"/>
      </w:divBdr>
    </w:div>
    <w:div w:id="150372053">
      <w:bodyDiv w:val="1"/>
      <w:marLeft w:val="0"/>
      <w:marRight w:val="0"/>
      <w:marTop w:val="0"/>
      <w:marBottom w:val="0"/>
      <w:divBdr>
        <w:top w:val="none" w:sz="0" w:space="0" w:color="auto"/>
        <w:left w:val="none" w:sz="0" w:space="0" w:color="auto"/>
        <w:bottom w:val="none" w:sz="0" w:space="0" w:color="auto"/>
        <w:right w:val="none" w:sz="0" w:space="0" w:color="auto"/>
      </w:divBdr>
      <w:divsChild>
        <w:div w:id="1321737658">
          <w:marLeft w:val="274"/>
          <w:marRight w:val="0"/>
          <w:marTop w:val="60"/>
          <w:marBottom w:val="60"/>
          <w:divBdr>
            <w:top w:val="none" w:sz="0" w:space="0" w:color="auto"/>
            <w:left w:val="none" w:sz="0" w:space="0" w:color="auto"/>
            <w:bottom w:val="none" w:sz="0" w:space="0" w:color="auto"/>
            <w:right w:val="none" w:sz="0" w:space="0" w:color="auto"/>
          </w:divBdr>
        </w:div>
      </w:divsChild>
    </w:div>
    <w:div w:id="150567955">
      <w:bodyDiv w:val="1"/>
      <w:marLeft w:val="0"/>
      <w:marRight w:val="0"/>
      <w:marTop w:val="0"/>
      <w:marBottom w:val="0"/>
      <w:divBdr>
        <w:top w:val="none" w:sz="0" w:space="0" w:color="auto"/>
        <w:left w:val="none" w:sz="0" w:space="0" w:color="auto"/>
        <w:bottom w:val="none" w:sz="0" w:space="0" w:color="auto"/>
        <w:right w:val="none" w:sz="0" w:space="0" w:color="auto"/>
      </w:divBdr>
      <w:divsChild>
        <w:div w:id="1237397738">
          <w:marLeft w:val="274"/>
          <w:marRight w:val="0"/>
          <w:marTop w:val="40"/>
          <w:marBottom w:val="40"/>
          <w:divBdr>
            <w:top w:val="none" w:sz="0" w:space="0" w:color="auto"/>
            <w:left w:val="none" w:sz="0" w:space="0" w:color="auto"/>
            <w:bottom w:val="none" w:sz="0" w:space="0" w:color="auto"/>
            <w:right w:val="none" w:sz="0" w:space="0" w:color="auto"/>
          </w:divBdr>
        </w:div>
        <w:div w:id="1917125990">
          <w:marLeft w:val="274"/>
          <w:marRight w:val="0"/>
          <w:marTop w:val="40"/>
          <w:marBottom w:val="40"/>
          <w:divBdr>
            <w:top w:val="none" w:sz="0" w:space="0" w:color="auto"/>
            <w:left w:val="none" w:sz="0" w:space="0" w:color="auto"/>
            <w:bottom w:val="none" w:sz="0" w:space="0" w:color="auto"/>
            <w:right w:val="none" w:sz="0" w:space="0" w:color="auto"/>
          </w:divBdr>
        </w:div>
      </w:divsChild>
    </w:div>
    <w:div w:id="156461734">
      <w:bodyDiv w:val="1"/>
      <w:marLeft w:val="0"/>
      <w:marRight w:val="0"/>
      <w:marTop w:val="0"/>
      <w:marBottom w:val="0"/>
      <w:divBdr>
        <w:top w:val="none" w:sz="0" w:space="0" w:color="auto"/>
        <w:left w:val="none" w:sz="0" w:space="0" w:color="auto"/>
        <w:bottom w:val="none" w:sz="0" w:space="0" w:color="auto"/>
        <w:right w:val="none" w:sz="0" w:space="0" w:color="auto"/>
      </w:divBdr>
    </w:div>
    <w:div w:id="158543676">
      <w:bodyDiv w:val="1"/>
      <w:marLeft w:val="0"/>
      <w:marRight w:val="0"/>
      <w:marTop w:val="0"/>
      <w:marBottom w:val="0"/>
      <w:divBdr>
        <w:top w:val="none" w:sz="0" w:space="0" w:color="auto"/>
        <w:left w:val="none" w:sz="0" w:space="0" w:color="auto"/>
        <w:bottom w:val="none" w:sz="0" w:space="0" w:color="auto"/>
        <w:right w:val="none" w:sz="0" w:space="0" w:color="auto"/>
      </w:divBdr>
    </w:div>
    <w:div w:id="168450328">
      <w:bodyDiv w:val="1"/>
      <w:marLeft w:val="0"/>
      <w:marRight w:val="0"/>
      <w:marTop w:val="0"/>
      <w:marBottom w:val="0"/>
      <w:divBdr>
        <w:top w:val="none" w:sz="0" w:space="0" w:color="auto"/>
        <w:left w:val="none" w:sz="0" w:space="0" w:color="auto"/>
        <w:bottom w:val="none" w:sz="0" w:space="0" w:color="auto"/>
        <w:right w:val="none" w:sz="0" w:space="0" w:color="auto"/>
      </w:divBdr>
    </w:div>
    <w:div w:id="169685254">
      <w:bodyDiv w:val="1"/>
      <w:marLeft w:val="0"/>
      <w:marRight w:val="0"/>
      <w:marTop w:val="0"/>
      <w:marBottom w:val="0"/>
      <w:divBdr>
        <w:top w:val="none" w:sz="0" w:space="0" w:color="auto"/>
        <w:left w:val="none" w:sz="0" w:space="0" w:color="auto"/>
        <w:bottom w:val="none" w:sz="0" w:space="0" w:color="auto"/>
        <w:right w:val="none" w:sz="0" w:space="0" w:color="auto"/>
      </w:divBdr>
    </w:div>
    <w:div w:id="175466764">
      <w:bodyDiv w:val="1"/>
      <w:marLeft w:val="0"/>
      <w:marRight w:val="0"/>
      <w:marTop w:val="0"/>
      <w:marBottom w:val="0"/>
      <w:divBdr>
        <w:top w:val="none" w:sz="0" w:space="0" w:color="auto"/>
        <w:left w:val="none" w:sz="0" w:space="0" w:color="auto"/>
        <w:bottom w:val="none" w:sz="0" w:space="0" w:color="auto"/>
        <w:right w:val="none" w:sz="0" w:space="0" w:color="auto"/>
      </w:divBdr>
    </w:div>
    <w:div w:id="179517125">
      <w:bodyDiv w:val="1"/>
      <w:marLeft w:val="0"/>
      <w:marRight w:val="0"/>
      <w:marTop w:val="0"/>
      <w:marBottom w:val="0"/>
      <w:divBdr>
        <w:top w:val="none" w:sz="0" w:space="0" w:color="auto"/>
        <w:left w:val="none" w:sz="0" w:space="0" w:color="auto"/>
        <w:bottom w:val="none" w:sz="0" w:space="0" w:color="auto"/>
        <w:right w:val="none" w:sz="0" w:space="0" w:color="auto"/>
      </w:divBdr>
    </w:div>
    <w:div w:id="183402046">
      <w:bodyDiv w:val="1"/>
      <w:marLeft w:val="0"/>
      <w:marRight w:val="0"/>
      <w:marTop w:val="0"/>
      <w:marBottom w:val="0"/>
      <w:divBdr>
        <w:top w:val="none" w:sz="0" w:space="0" w:color="auto"/>
        <w:left w:val="none" w:sz="0" w:space="0" w:color="auto"/>
        <w:bottom w:val="none" w:sz="0" w:space="0" w:color="auto"/>
        <w:right w:val="none" w:sz="0" w:space="0" w:color="auto"/>
      </w:divBdr>
    </w:div>
    <w:div w:id="185368377">
      <w:bodyDiv w:val="1"/>
      <w:marLeft w:val="0"/>
      <w:marRight w:val="0"/>
      <w:marTop w:val="0"/>
      <w:marBottom w:val="0"/>
      <w:divBdr>
        <w:top w:val="none" w:sz="0" w:space="0" w:color="auto"/>
        <w:left w:val="none" w:sz="0" w:space="0" w:color="auto"/>
        <w:bottom w:val="none" w:sz="0" w:space="0" w:color="auto"/>
        <w:right w:val="none" w:sz="0" w:space="0" w:color="auto"/>
      </w:divBdr>
    </w:div>
    <w:div w:id="188952287">
      <w:bodyDiv w:val="1"/>
      <w:marLeft w:val="0"/>
      <w:marRight w:val="0"/>
      <w:marTop w:val="0"/>
      <w:marBottom w:val="0"/>
      <w:divBdr>
        <w:top w:val="none" w:sz="0" w:space="0" w:color="auto"/>
        <w:left w:val="none" w:sz="0" w:space="0" w:color="auto"/>
        <w:bottom w:val="none" w:sz="0" w:space="0" w:color="auto"/>
        <w:right w:val="none" w:sz="0" w:space="0" w:color="auto"/>
      </w:divBdr>
    </w:div>
    <w:div w:id="193269065">
      <w:bodyDiv w:val="1"/>
      <w:marLeft w:val="0"/>
      <w:marRight w:val="0"/>
      <w:marTop w:val="0"/>
      <w:marBottom w:val="0"/>
      <w:divBdr>
        <w:top w:val="none" w:sz="0" w:space="0" w:color="auto"/>
        <w:left w:val="none" w:sz="0" w:space="0" w:color="auto"/>
        <w:bottom w:val="none" w:sz="0" w:space="0" w:color="auto"/>
        <w:right w:val="none" w:sz="0" w:space="0" w:color="auto"/>
      </w:divBdr>
    </w:div>
    <w:div w:id="195892889">
      <w:bodyDiv w:val="1"/>
      <w:marLeft w:val="0"/>
      <w:marRight w:val="0"/>
      <w:marTop w:val="0"/>
      <w:marBottom w:val="0"/>
      <w:divBdr>
        <w:top w:val="none" w:sz="0" w:space="0" w:color="auto"/>
        <w:left w:val="none" w:sz="0" w:space="0" w:color="auto"/>
        <w:bottom w:val="none" w:sz="0" w:space="0" w:color="auto"/>
        <w:right w:val="none" w:sz="0" w:space="0" w:color="auto"/>
      </w:divBdr>
    </w:div>
    <w:div w:id="212162922">
      <w:bodyDiv w:val="1"/>
      <w:marLeft w:val="0"/>
      <w:marRight w:val="0"/>
      <w:marTop w:val="0"/>
      <w:marBottom w:val="0"/>
      <w:divBdr>
        <w:top w:val="none" w:sz="0" w:space="0" w:color="auto"/>
        <w:left w:val="none" w:sz="0" w:space="0" w:color="auto"/>
        <w:bottom w:val="none" w:sz="0" w:space="0" w:color="auto"/>
        <w:right w:val="none" w:sz="0" w:space="0" w:color="auto"/>
      </w:divBdr>
    </w:div>
    <w:div w:id="214437196">
      <w:bodyDiv w:val="1"/>
      <w:marLeft w:val="0"/>
      <w:marRight w:val="0"/>
      <w:marTop w:val="0"/>
      <w:marBottom w:val="0"/>
      <w:divBdr>
        <w:top w:val="none" w:sz="0" w:space="0" w:color="auto"/>
        <w:left w:val="none" w:sz="0" w:space="0" w:color="auto"/>
        <w:bottom w:val="none" w:sz="0" w:space="0" w:color="auto"/>
        <w:right w:val="none" w:sz="0" w:space="0" w:color="auto"/>
      </w:divBdr>
    </w:div>
    <w:div w:id="219556391">
      <w:bodyDiv w:val="1"/>
      <w:marLeft w:val="0"/>
      <w:marRight w:val="0"/>
      <w:marTop w:val="0"/>
      <w:marBottom w:val="0"/>
      <w:divBdr>
        <w:top w:val="none" w:sz="0" w:space="0" w:color="auto"/>
        <w:left w:val="none" w:sz="0" w:space="0" w:color="auto"/>
        <w:bottom w:val="none" w:sz="0" w:space="0" w:color="auto"/>
        <w:right w:val="none" w:sz="0" w:space="0" w:color="auto"/>
      </w:divBdr>
    </w:div>
    <w:div w:id="229315360">
      <w:bodyDiv w:val="1"/>
      <w:marLeft w:val="0"/>
      <w:marRight w:val="0"/>
      <w:marTop w:val="0"/>
      <w:marBottom w:val="0"/>
      <w:divBdr>
        <w:top w:val="none" w:sz="0" w:space="0" w:color="auto"/>
        <w:left w:val="none" w:sz="0" w:space="0" w:color="auto"/>
        <w:bottom w:val="none" w:sz="0" w:space="0" w:color="auto"/>
        <w:right w:val="none" w:sz="0" w:space="0" w:color="auto"/>
      </w:divBdr>
    </w:div>
    <w:div w:id="246307046">
      <w:bodyDiv w:val="1"/>
      <w:marLeft w:val="0"/>
      <w:marRight w:val="0"/>
      <w:marTop w:val="0"/>
      <w:marBottom w:val="0"/>
      <w:divBdr>
        <w:top w:val="none" w:sz="0" w:space="0" w:color="auto"/>
        <w:left w:val="none" w:sz="0" w:space="0" w:color="auto"/>
        <w:bottom w:val="none" w:sz="0" w:space="0" w:color="auto"/>
        <w:right w:val="none" w:sz="0" w:space="0" w:color="auto"/>
      </w:divBdr>
    </w:div>
    <w:div w:id="246576023">
      <w:bodyDiv w:val="1"/>
      <w:marLeft w:val="0"/>
      <w:marRight w:val="0"/>
      <w:marTop w:val="0"/>
      <w:marBottom w:val="0"/>
      <w:divBdr>
        <w:top w:val="none" w:sz="0" w:space="0" w:color="auto"/>
        <w:left w:val="none" w:sz="0" w:space="0" w:color="auto"/>
        <w:bottom w:val="none" w:sz="0" w:space="0" w:color="auto"/>
        <w:right w:val="none" w:sz="0" w:space="0" w:color="auto"/>
      </w:divBdr>
    </w:div>
    <w:div w:id="250048150">
      <w:bodyDiv w:val="1"/>
      <w:marLeft w:val="0"/>
      <w:marRight w:val="0"/>
      <w:marTop w:val="0"/>
      <w:marBottom w:val="0"/>
      <w:divBdr>
        <w:top w:val="none" w:sz="0" w:space="0" w:color="auto"/>
        <w:left w:val="none" w:sz="0" w:space="0" w:color="auto"/>
        <w:bottom w:val="none" w:sz="0" w:space="0" w:color="auto"/>
        <w:right w:val="none" w:sz="0" w:space="0" w:color="auto"/>
      </w:divBdr>
    </w:div>
    <w:div w:id="250243165">
      <w:bodyDiv w:val="1"/>
      <w:marLeft w:val="0"/>
      <w:marRight w:val="0"/>
      <w:marTop w:val="0"/>
      <w:marBottom w:val="0"/>
      <w:divBdr>
        <w:top w:val="none" w:sz="0" w:space="0" w:color="auto"/>
        <w:left w:val="none" w:sz="0" w:space="0" w:color="auto"/>
        <w:bottom w:val="none" w:sz="0" w:space="0" w:color="auto"/>
        <w:right w:val="none" w:sz="0" w:space="0" w:color="auto"/>
      </w:divBdr>
    </w:div>
    <w:div w:id="252325769">
      <w:bodyDiv w:val="1"/>
      <w:marLeft w:val="0"/>
      <w:marRight w:val="0"/>
      <w:marTop w:val="0"/>
      <w:marBottom w:val="0"/>
      <w:divBdr>
        <w:top w:val="none" w:sz="0" w:space="0" w:color="auto"/>
        <w:left w:val="none" w:sz="0" w:space="0" w:color="auto"/>
        <w:bottom w:val="none" w:sz="0" w:space="0" w:color="auto"/>
        <w:right w:val="none" w:sz="0" w:space="0" w:color="auto"/>
      </w:divBdr>
      <w:divsChild>
        <w:div w:id="390737180">
          <w:marLeft w:val="274"/>
          <w:marRight w:val="0"/>
          <w:marTop w:val="40"/>
          <w:marBottom w:val="40"/>
          <w:divBdr>
            <w:top w:val="none" w:sz="0" w:space="0" w:color="auto"/>
            <w:left w:val="none" w:sz="0" w:space="0" w:color="auto"/>
            <w:bottom w:val="none" w:sz="0" w:space="0" w:color="auto"/>
            <w:right w:val="none" w:sz="0" w:space="0" w:color="auto"/>
          </w:divBdr>
        </w:div>
      </w:divsChild>
    </w:div>
    <w:div w:id="261190360">
      <w:bodyDiv w:val="1"/>
      <w:marLeft w:val="0"/>
      <w:marRight w:val="0"/>
      <w:marTop w:val="0"/>
      <w:marBottom w:val="0"/>
      <w:divBdr>
        <w:top w:val="none" w:sz="0" w:space="0" w:color="auto"/>
        <w:left w:val="none" w:sz="0" w:space="0" w:color="auto"/>
        <w:bottom w:val="none" w:sz="0" w:space="0" w:color="auto"/>
        <w:right w:val="none" w:sz="0" w:space="0" w:color="auto"/>
      </w:divBdr>
    </w:div>
    <w:div w:id="267200914">
      <w:bodyDiv w:val="1"/>
      <w:marLeft w:val="0"/>
      <w:marRight w:val="0"/>
      <w:marTop w:val="0"/>
      <w:marBottom w:val="0"/>
      <w:divBdr>
        <w:top w:val="none" w:sz="0" w:space="0" w:color="auto"/>
        <w:left w:val="none" w:sz="0" w:space="0" w:color="auto"/>
        <w:bottom w:val="none" w:sz="0" w:space="0" w:color="auto"/>
        <w:right w:val="none" w:sz="0" w:space="0" w:color="auto"/>
      </w:divBdr>
    </w:div>
    <w:div w:id="268702879">
      <w:bodyDiv w:val="1"/>
      <w:marLeft w:val="0"/>
      <w:marRight w:val="0"/>
      <w:marTop w:val="0"/>
      <w:marBottom w:val="0"/>
      <w:divBdr>
        <w:top w:val="none" w:sz="0" w:space="0" w:color="auto"/>
        <w:left w:val="none" w:sz="0" w:space="0" w:color="auto"/>
        <w:bottom w:val="none" w:sz="0" w:space="0" w:color="auto"/>
        <w:right w:val="none" w:sz="0" w:space="0" w:color="auto"/>
      </w:divBdr>
    </w:div>
    <w:div w:id="275715569">
      <w:bodyDiv w:val="1"/>
      <w:marLeft w:val="0"/>
      <w:marRight w:val="0"/>
      <w:marTop w:val="0"/>
      <w:marBottom w:val="0"/>
      <w:divBdr>
        <w:top w:val="none" w:sz="0" w:space="0" w:color="auto"/>
        <w:left w:val="none" w:sz="0" w:space="0" w:color="auto"/>
        <w:bottom w:val="none" w:sz="0" w:space="0" w:color="auto"/>
        <w:right w:val="none" w:sz="0" w:space="0" w:color="auto"/>
      </w:divBdr>
      <w:divsChild>
        <w:div w:id="1056049847">
          <w:marLeft w:val="274"/>
          <w:marRight w:val="0"/>
          <w:marTop w:val="40"/>
          <w:marBottom w:val="40"/>
          <w:divBdr>
            <w:top w:val="none" w:sz="0" w:space="0" w:color="auto"/>
            <w:left w:val="none" w:sz="0" w:space="0" w:color="auto"/>
            <w:bottom w:val="none" w:sz="0" w:space="0" w:color="auto"/>
            <w:right w:val="none" w:sz="0" w:space="0" w:color="auto"/>
          </w:divBdr>
        </w:div>
      </w:divsChild>
    </w:div>
    <w:div w:id="278613453">
      <w:bodyDiv w:val="1"/>
      <w:marLeft w:val="0"/>
      <w:marRight w:val="0"/>
      <w:marTop w:val="0"/>
      <w:marBottom w:val="0"/>
      <w:divBdr>
        <w:top w:val="none" w:sz="0" w:space="0" w:color="auto"/>
        <w:left w:val="none" w:sz="0" w:space="0" w:color="auto"/>
        <w:bottom w:val="none" w:sz="0" w:space="0" w:color="auto"/>
        <w:right w:val="none" w:sz="0" w:space="0" w:color="auto"/>
      </w:divBdr>
    </w:div>
    <w:div w:id="279260489">
      <w:bodyDiv w:val="1"/>
      <w:marLeft w:val="0"/>
      <w:marRight w:val="0"/>
      <w:marTop w:val="0"/>
      <w:marBottom w:val="0"/>
      <w:divBdr>
        <w:top w:val="none" w:sz="0" w:space="0" w:color="auto"/>
        <w:left w:val="none" w:sz="0" w:space="0" w:color="auto"/>
        <w:bottom w:val="none" w:sz="0" w:space="0" w:color="auto"/>
        <w:right w:val="none" w:sz="0" w:space="0" w:color="auto"/>
      </w:divBdr>
    </w:div>
    <w:div w:id="285938230">
      <w:bodyDiv w:val="1"/>
      <w:marLeft w:val="0"/>
      <w:marRight w:val="0"/>
      <w:marTop w:val="0"/>
      <w:marBottom w:val="0"/>
      <w:divBdr>
        <w:top w:val="none" w:sz="0" w:space="0" w:color="auto"/>
        <w:left w:val="none" w:sz="0" w:space="0" w:color="auto"/>
        <w:bottom w:val="none" w:sz="0" w:space="0" w:color="auto"/>
        <w:right w:val="none" w:sz="0" w:space="0" w:color="auto"/>
      </w:divBdr>
    </w:div>
    <w:div w:id="292099394">
      <w:bodyDiv w:val="1"/>
      <w:marLeft w:val="0"/>
      <w:marRight w:val="0"/>
      <w:marTop w:val="0"/>
      <w:marBottom w:val="0"/>
      <w:divBdr>
        <w:top w:val="none" w:sz="0" w:space="0" w:color="auto"/>
        <w:left w:val="none" w:sz="0" w:space="0" w:color="auto"/>
        <w:bottom w:val="none" w:sz="0" w:space="0" w:color="auto"/>
        <w:right w:val="none" w:sz="0" w:space="0" w:color="auto"/>
      </w:divBdr>
    </w:div>
    <w:div w:id="292954347">
      <w:bodyDiv w:val="1"/>
      <w:marLeft w:val="0"/>
      <w:marRight w:val="0"/>
      <w:marTop w:val="0"/>
      <w:marBottom w:val="0"/>
      <w:divBdr>
        <w:top w:val="none" w:sz="0" w:space="0" w:color="auto"/>
        <w:left w:val="none" w:sz="0" w:space="0" w:color="auto"/>
        <w:bottom w:val="none" w:sz="0" w:space="0" w:color="auto"/>
        <w:right w:val="none" w:sz="0" w:space="0" w:color="auto"/>
      </w:divBdr>
    </w:div>
    <w:div w:id="295723603">
      <w:bodyDiv w:val="1"/>
      <w:marLeft w:val="0"/>
      <w:marRight w:val="0"/>
      <w:marTop w:val="0"/>
      <w:marBottom w:val="0"/>
      <w:divBdr>
        <w:top w:val="none" w:sz="0" w:space="0" w:color="auto"/>
        <w:left w:val="none" w:sz="0" w:space="0" w:color="auto"/>
        <w:bottom w:val="none" w:sz="0" w:space="0" w:color="auto"/>
        <w:right w:val="none" w:sz="0" w:space="0" w:color="auto"/>
      </w:divBdr>
    </w:div>
    <w:div w:id="299845912">
      <w:bodyDiv w:val="1"/>
      <w:marLeft w:val="0"/>
      <w:marRight w:val="0"/>
      <w:marTop w:val="0"/>
      <w:marBottom w:val="0"/>
      <w:divBdr>
        <w:top w:val="none" w:sz="0" w:space="0" w:color="auto"/>
        <w:left w:val="none" w:sz="0" w:space="0" w:color="auto"/>
        <w:bottom w:val="none" w:sz="0" w:space="0" w:color="auto"/>
        <w:right w:val="none" w:sz="0" w:space="0" w:color="auto"/>
      </w:divBdr>
    </w:div>
    <w:div w:id="305085863">
      <w:bodyDiv w:val="1"/>
      <w:marLeft w:val="0"/>
      <w:marRight w:val="0"/>
      <w:marTop w:val="0"/>
      <w:marBottom w:val="0"/>
      <w:divBdr>
        <w:top w:val="none" w:sz="0" w:space="0" w:color="auto"/>
        <w:left w:val="none" w:sz="0" w:space="0" w:color="auto"/>
        <w:bottom w:val="none" w:sz="0" w:space="0" w:color="auto"/>
        <w:right w:val="none" w:sz="0" w:space="0" w:color="auto"/>
      </w:divBdr>
      <w:divsChild>
        <w:div w:id="394282223">
          <w:marLeft w:val="274"/>
          <w:marRight w:val="0"/>
          <w:marTop w:val="40"/>
          <w:marBottom w:val="40"/>
          <w:divBdr>
            <w:top w:val="none" w:sz="0" w:space="0" w:color="auto"/>
            <w:left w:val="none" w:sz="0" w:space="0" w:color="auto"/>
            <w:bottom w:val="none" w:sz="0" w:space="0" w:color="auto"/>
            <w:right w:val="none" w:sz="0" w:space="0" w:color="auto"/>
          </w:divBdr>
        </w:div>
      </w:divsChild>
    </w:div>
    <w:div w:id="316806946">
      <w:bodyDiv w:val="1"/>
      <w:marLeft w:val="0"/>
      <w:marRight w:val="0"/>
      <w:marTop w:val="0"/>
      <w:marBottom w:val="0"/>
      <w:divBdr>
        <w:top w:val="none" w:sz="0" w:space="0" w:color="auto"/>
        <w:left w:val="none" w:sz="0" w:space="0" w:color="auto"/>
        <w:bottom w:val="none" w:sz="0" w:space="0" w:color="auto"/>
        <w:right w:val="none" w:sz="0" w:space="0" w:color="auto"/>
      </w:divBdr>
    </w:div>
    <w:div w:id="318003986">
      <w:bodyDiv w:val="1"/>
      <w:marLeft w:val="0"/>
      <w:marRight w:val="0"/>
      <w:marTop w:val="0"/>
      <w:marBottom w:val="0"/>
      <w:divBdr>
        <w:top w:val="none" w:sz="0" w:space="0" w:color="auto"/>
        <w:left w:val="none" w:sz="0" w:space="0" w:color="auto"/>
        <w:bottom w:val="none" w:sz="0" w:space="0" w:color="auto"/>
        <w:right w:val="none" w:sz="0" w:space="0" w:color="auto"/>
      </w:divBdr>
      <w:divsChild>
        <w:div w:id="77990114">
          <w:marLeft w:val="274"/>
          <w:marRight w:val="0"/>
          <w:marTop w:val="40"/>
          <w:marBottom w:val="40"/>
          <w:divBdr>
            <w:top w:val="none" w:sz="0" w:space="0" w:color="auto"/>
            <w:left w:val="none" w:sz="0" w:space="0" w:color="auto"/>
            <w:bottom w:val="none" w:sz="0" w:space="0" w:color="auto"/>
            <w:right w:val="none" w:sz="0" w:space="0" w:color="auto"/>
          </w:divBdr>
        </w:div>
        <w:div w:id="1012416323">
          <w:marLeft w:val="274"/>
          <w:marRight w:val="0"/>
          <w:marTop w:val="40"/>
          <w:marBottom w:val="40"/>
          <w:divBdr>
            <w:top w:val="none" w:sz="0" w:space="0" w:color="auto"/>
            <w:left w:val="none" w:sz="0" w:space="0" w:color="auto"/>
            <w:bottom w:val="none" w:sz="0" w:space="0" w:color="auto"/>
            <w:right w:val="none" w:sz="0" w:space="0" w:color="auto"/>
          </w:divBdr>
        </w:div>
        <w:div w:id="1058548656">
          <w:marLeft w:val="274"/>
          <w:marRight w:val="0"/>
          <w:marTop w:val="40"/>
          <w:marBottom w:val="40"/>
          <w:divBdr>
            <w:top w:val="none" w:sz="0" w:space="0" w:color="auto"/>
            <w:left w:val="none" w:sz="0" w:space="0" w:color="auto"/>
            <w:bottom w:val="none" w:sz="0" w:space="0" w:color="auto"/>
            <w:right w:val="none" w:sz="0" w:space="0" w:color="auto"/>
          </w:divBdr>
        </w:div>
        <w:div w:id="1812862340">
          <w:marLeft w:val="274"/>
          <w:marRight w:val="0"/>
          <w:marTop w:val="40"/>
          <w:marBottom w:val="40"/>
          <w:divBdr>
            <w:top w:val="none" w:sz="0" w:space="0" w:color="auto"/>
            <w:left w:val="none" w:sz="0" w:space="0" w:color="auto"/>
            <w:bottom w:val="none" w:sz="0" w:space="0" w:color="auto"/>
            <w:right w:val="none" w:sz="0" w:space="0" w:color="auto"/>
          </w:divBdr>
        </w:div>
      </w:divsChild>
    </w:div>
    <w:div w:id="322969734">
      <w:bodyDiv w:val="1"/>
      <w:marLeft w:val="0"/>
      <w:marRight w:val="0"/>
      <w:marTop w:val="0"/>
      <w:marBottom w:val="0"/>
      <w:divBdr>
        <w:top w:val="none" w:sz="0" w:space="0" w:color="auto"/>
        <w:left w:val="none" w:sz="0" w:space="0" w:color="auto"/>
        <w:bottom w:val="none" w:sz="0" w:space="0" w:color="auto"/>
        <w:right w:val="none" w:sz="0" w:space="0" w:color="auto"/>
      </w:divBdr>
    </w:div>
    <w:div w:id="328795282">
      <w:bodyDiv w:val="1"/>
      <w:marLeft w:val="0"/>
      <w:marRight w:val="0"/>
      <w:marTop w:val="0"/>
      <w:marBottom w:val="0"/>
      <w:divBdr>
        <w:top w:val="none" w:sz="0" w:space="0" w:color="auto"/>
        <w:left w:val="none" w:sz="0" w:space="0" w:color="auto"/>
        <w:bottom w:val="none" w:sz="0" w:space="0" w:color="auto"/>
        <w:right w:val="none" w:sz="0" w:space="0" w:color="auto"/>
      </w:divBdr>
    </w:div>
    <w:div w:id="333068225">
      <w:bodyDiv w:val="1"/>
      <w:marLeft w:val="0"/>
      <w:marRight w:val="0"/>
      <w:marTop w:val="0"/>
      <w:marBottom w:val="0"/>
      <w:divBdr>
        <w:top w:val="none" w:sz="0" w:space="0" w:color="auto"/>
        <w:left w:val="none" w:sz="0" w:space="0" w:color="auto"/>
        <w:bottom w:val="none" w:sz="0" w:space="0" w:color="auto"/>
        <w:right w:val="none" w:sz="0" w:space="0" w:color="auto"/>
      </w:divBdr>
    </w:div>
    <w:div w:id="337076998">
      <w:bodyDiv w:val="1"/>
      <w:marLeft w:val="0"/>
      <w:marRight w:val="0"/>
      <w:marTop w:val="0"/>
      <w:marBottom w:val="0"/>
      <w:divBdr>
        <w:top w:val="none" w:sz="0" w:space="0" w:color="auto"/>
        <w:left w:val="none" w:sz="0" w:space="0" w:color="auto"/>
        <w:bottom w:val="none" w:sz="0" w:space="0" w:color="auto"/>
        <w:right w:val="none" w:sz="0" w:space="0" w:color="auto"/>
      </w:divBdr>
    </w:div>
    <w:div w:id="340621930">
      <w:bodyDiv w:val="1"/>
      <w:marLeft w:val="0"/>
      <w:marRight w:val="0"/>
      <w:marTop w:val="0"/>
      <w:marBottom w:val="0"/>
      <w:divBdr>
        <w:top w:val="none" w:sz="0" w:space="0" w:color="auto"/>
        <w:left w:val="none" w:sz="0" w:space="0" w:color="auto"/>
        <w:bottom w:val="none" w:sz="0" w:space="0" w:color="auto"/>
        <w:right w:val="none" w:sz="0" w:space="0" w:color="auto"/>
      </w:divBdr>
    </w:div>
    <w:div w:id="352145587">
      <w:bodyDiv w:val="1"/>
      <w:marLeft w:val="0"/>
      <w:marRight w:val="0"/>
      <w:marTop w:val="0"/>
      <w:marBottom w:val="0"/>
      <w:divBdr>
        <w:top w:val="none" w:sz="0" w:space="0" w:color="auto"/>
        <w:left w:val="none" w:sz="0" w:space="0" w:color="auto"/>
        <w:bottom w:val="none" w:sz="0" w:space="0" w:color="auto"/>
        <w:right w:val="none" w:sz="0" w:space="0" w:color="auto"/>
      </w:divBdr>
    </w:div>
    <w:div w:id="353112767">
      <w:bodyDiv w:val="1"/>
      <w:marLeft w:val="0"/>
      <w:marRight w:val="0"/>
      <w:marTop w:val="0"/>
      <w:marBottom w:val="0"/>
      <w:divBdr>
        <w:top w:val="none" w:sz="0" w:space="0" w:color="auto"/>
        <w:left w:val="none" w:sz="0" w:space="0" w:color="auto"/>
        <w:bottom w:val="none" w:sz="0" w:space="0" w:color="auto"/>
        <w:right w:val="none" w:sz="0" w:space="0" w:color="auto"/>
      </w:divBdr>
    </w:div>
    <w:div w:id="357388127">
      <w:bodyDiv w:val="1"/>
      <w:marLeft w:val="0"/>
      <w:marRight w:val="0"/>
      <w:marTop w:val="0"/>
      <w:marBottom w:val="0"/>
      <w:divBdr>
        <w:top w:val="none" w:sz="0" w:space="0" w:color="auto"/>
        <w:left w:val="none" w:sz="0" w:space="0" w:color="auto"/>
        <w:bottom w:val="none" w:sz="0" w:space="0" w:color="auto"/>
        <w:right w:val="none" w:sz="0" w:space="0" w:color="auto"/>
      </w:divBdr>
    </w:div>
    <w:div w:id="361252571">
      <w:bodyDiv w:val="1"/>
      <w:marLeft w:val="0"/>
      <w:marRight w:val="0"/>
      <w:marTop w:val="0"/>
      <w:marBottom w:val="0"/>
      <w:divBdr>
        <w:top w:val="none" w:sz="0" w:space="0" w:color="auto"/>
        <w:left w:val="none" w:sz="0" w:space="0" w:color="auto"/>
        <w:bottom w:val="none" w:sz="0" w:space="0" w:color="auto"/>
        <w:right w:val="none" w:sz="0" w:space="0" w:color="auto"/>
      </w:divBdr>
    </w:div>
    <w:div w:id="385177818">
      <w:bodyDiv w:val="1"/>
      <w:marLeft w:val="0"/>
      <w:marRight w:val="0"/>
      <w:marTop w:val="0"/>
      <w:marBottom w:val="0"/>
      <w:divBdr>
        <w:top w:val="none" w:sz="0" w:space="0" w:color="auto"/>
        <w:left w:val="none" w:sz="0" w:space="0" w:color="auto"/>
        <w:bottom w:val="none" w:sz="0" w:space="0" w:color="auto"/>
        <w:right w:val="none" w:sz="0" w:space="0" w:color="auto"/>
      </w:divBdr>
    </w:div>
    <w:div w:id="393167423">
      <w:bodyDiv w:val="1"/>
      <w:marLeft w:val="0"/>
      <w:marRight w:val="0"/>
      <w:marTop w:val="0"/>
      <w:marBottom w:val="0"/>
      <w:divBdr>
        <w:top w:val="none" w:sz="0" w:space="0" w:color="auto"/>
        <w:left w:val="none" w:sz="0" w:space="0" w:color="auto"/>
        <w:bottom w:val="none" w:sz="0" w:space="0" w:color="auto"/>
        <w:right w:val="none" w:sz="0" w:space="0" w:color="auto"/>
      </w:divBdr>
      <w:divsChild>
        <w:div w:id="74132330">
          <w:marLeft w:val="274"/>
          <w:marRight w:val="0"/>
          <w:marTop w:val="40"/>
          <w:marBottom w:val="40"/>
          <w:divBdr>
            <w:top w:val="none" w:sz="0" w:space="0" w:color="auto"/>
            <w:left w:val="none" w:sz="0" w:space="0" w:color="auto"/>
            <w:bottom w:val="none" w:sz="0" w:space="0" w:color="auto"/>
            <w:right w:val="none" w:sz="0" w:space="0" w:color="auto"/>
          </w:divBdr>
        </w:div>
      </w:divsChild>
    </w:div>
    <w:div w:id="395595359">
      <w:bodyDiv w:val="1"/>
      <w:marLeft w:val="0"/>
      <w:marRight w:val="0"/>
      <w:marTop w:val="0"/>
      <w:marBottom w:val="0"/>
      <w:divBdr>
        <w:top w:val="none" w:sz="0" w:space="0" w:color="auto"/>
        <w:left w:val="none" w:sz="0" w:space="0" w:color="auto"/>
        <w:bottom w:val="none" w:sz="0" w:space="0" w:color="auto"/>
        <w:right w:val="none" w:sz="0" w:space="0" w:color="auto"/>
      </w:divBdr>
    </w:div>
    <w:div w:id="396902855">
      <w:bodyDiv w:val="1"/>
      <w:marLeft w:val="0"/>
      <w:marRight w:val="0"/>
      <w:marTop w:val="0"/>
      <w:marBottom w:val="0"/>
      <w:divBdr>
        <w:top w:val="none" w:sz="0" w:space="0" w:color="auto"/>
        <w:left w:val="none" w:sz="0" w:space="0" w:color="auto"/>
        <w:bottom w:val="none" w:sz="0" w:space="0" w:color="auto"/>
        <w:right w:val="none" w:sz="0" w:space="0" w:color="auto"/>
      </w:divBdr>
      <w:divsChild>
        <w:div w:id="1790859541">
          <w:marLeft w:val="274"/>
          <w:marRight w:val="0"/>
          <w:marTop w:val="120"/>
          <w:marBottom w:val="120"/>
          <w:divBdr>
            <w:top w:val="none" w:sz="0" w:space="0" w:color="auto"/>
            <w:left w:val="none" w:sz="0" w:space="0" w:color="auto"/>
            <w:bottom w:val="none" w:sz="0" w:space="0" w:color="auto"/>
            <w:right w:val="none" w:sz="0" w:space="0" w:color="auto"/>
          </w:divBdr>
        </w:div>
      </w:divsChild>
    </w:div>
    <w:div w:id="403726219">
      <w:bodyDiv w:val="1"/>
      <w:marLeft w:val="0"/>
      <w:marRight w:val="0"/>
      <w:marTop w:val="0"/>
      <w:marBottom w:val="0"/>
      <w:divBdr>
        <w:top w:val="none" w:sz="0" w:space="0" w:color="auto"/>
        <w:left w:val="none" w:sz="0" w:space="0" w:color="auto"/>
        <w:bottom w:val="none" w:sz="0" w:space="0" w:color="auto"/>
        <w:right w:val="none" w:sz="0" w:space="0" w:color="auto"/>
      </w:divBdr>
      <w:divsChild>
        <w:div w:id="739404995">
          <w:marLeft w:val="274"/>
          <w:marRight w:val="0"/>
          <w:marTop w:val="40"/>
          <w:marBottom w:val="40"/>
          <w:divBdr>
            <w:top w:val="none" w:sz="0" w:space="0" w:color="auto"/>
            <w:left w:val="none" w:sz="0" w:space="0" w:color="auto"/>
            <w:bottom w:val="none" w:sz="0" w:space="0" w:color="auto"/>
            <w:right w:val="none" w:sz="0" w:space="0" w:color="auto"/>
          </w:divBdr>
        </w:div>
      </w:divsChild>
    </w:div>
    <w:div w:id="406343928">
      <w:bodyDiv w:val="1"/>
      <w:marLeft w:val="0"/>
      <w:marRight w:val="0"/>
      <w:marTop w:val="0"/>
      <w:marBottom w:val="0"/>
      <w:divBdr>
        <w:top w:val="none" w:sz="0" w:space="0" w:color="auto"/>
        <w:left w:val="none" w:sz="0" w:space="0" w:color="auto"/>
        <w:bottom w:val="none" w:sz="0" w:space="0" w:color="auto"/>
        <w:right w:val="none" w:sz="0" w:space="0" w:color="auto"/>
      </w:divBdr>
    </w:div>
    <w:div w:id="412626690">
      <w:bodyDiv w:val="1"/>
      <w:marLeft w:val="0"/>
      <w:marRight w:val="0"/>
      <w:marTop w:val="0"/>
      <w:marBottom w:val="0"/>
      <w:divBdr>
        <w:top w:val="none" w:sz="0" w:space="0" w:color="auto"/>
        <w:left w:val="none" w:sz="0" w:space="0" w:color="auto"/>
        <w:bottom w:val="none" w:sz="0" w:space="0" w:color="auto"/>
        <w:right w:val="none" w:sz="0" w:space="0" w:color="auto"/>
      </w:divBdr>
      <w:divsChild>
        <w:div w:id="1821463505">
          <w:marLeft w:val="0"/>
          <w:marRight w:val="0"/>
          <w:marTop w:val="0"/>
          <w:marBottom w:val="0"/>
          <w:divBdr>
            <w:top w:val="none" w:sz="0" w:space="0" w:color="auto"/>
            <w:left w:val="none" w:sz="0" w:space="0" w:color="auto"/>
            <w:bottom w:val="none" w:sz="0" w:space="0" w:color="auto"/>
            <w:right w:val="none" w:sz="0" w:space="0" w:color="auto"/>
          </w:divBdr>
          <w:divsChild>
            <w:div w:id="62265952">
              <w:marLeft w:val="0"/>
              <w:marRight w:val="0"/>
              <w:marTop w:val="0"/>
              <w:marBottom w:val="0"/>
              <w:divBdr>
                <w:top w:val="none" w:sz="0" w:space="0" w:color="auto"/>
                <w:left w:val="none" w:sz="0" w:space="0" w:color="auto"/>
                <w:bottom w:val="none" w:sz="0" w:space="0" w:color="auto"/>
                <w:right w:val="none" w:sz="0" w:space="0" w:color="auto"/>
              </w:divBdr>
              <w:divsChild>
                <w:div w:id="1384596388">
                  <w:marLeft w:val="0"/>
                  <w:marRight w:val="0"/>
                  <w:marTop w:val="0"/>
                  <w:marBottom w:val="0"/>
                  <w:divBdr>
                    <w:top w:val="none" w:sz="0" w:space="0" w:color="auto"/>
                    <w:left w:val="none" w:sz="0" w:space="0" w:color="auto"/>
                    <w:bottom w:val="none" w:sz="0" w:space="0" w:color="auto"/>
                    <w:right w:val="none" w:sz="0" w:space="0" w:color="auto"/>
                  </w:divBdr>
                  <w:divsChild>
                    <w:div w:id="1887333609">
                      <w:marLeft w:val="0"/>
                      <w:marRight w:val="0"/>
                      <w:marTop w:val="0"/>
                      <w:marBottom w:val="0"/>
                      <w:divBdr>
                        <w:top w:val="none" w:sz="0" w:space="0" w:color="auto"/>
                        <w:left w:val="none" w:sz="0" w:space="0" w:color="auto"/>
                        <w:bottom w:val="none" w:sz="0" w:space="0" w:color="auto"/>
                        <w:right w:val="none" w:sz="0" w:space="0" w:color="auto"/>
                      </w:divBdr>
                      <w:divsChild>
                        <w:div w:id="1784877931">
                          <w:marLeft w:val="13380"/>
                          <w:marRight w:val="0"/>
                          <w:marTop w:val="0"/>
                          <w:marBottom w:val="0"/>
                          <w:divBdr>
                            <w:top w:val="none" w:sz="0" w:space="0" w:color="auto"/>
                            <w:left w:val="none" w:sz="0" w:space="0" w:color="auto"/>
                            <w:bottom w:val="none" w:sz="0" w:space="0" w:color="auto"/>
                            <w:right w:val="none" w:sz="0" w:space="0" w:color="auto"/>
                          </w:divBdr>
                          <w:divsChild>
                            <w:div w:id="939948974">
                              <w:marLeft w:val="0"/>
                              <w:marRight w:val="0"/>
                              <w:marTop w:val="0"/>
                              <w:marBottom w:val="0"/>
                              <w:divBdr>
                                <w:top w:val="none" w:sz="0" w:space="0" w:color="auto"/>
                                <w:left w:val="none" w:sz="0" w:space="0" w:color="auto"/>
                                <w:bottom w:val="none" w:sz="0" w:space="0" w:color="auto"/>
                                <w:right w:val="none" w:sz="0" w:space="0" w:color="auto"/>
                              </w:divBdr>
                              <w:divsChild>
                                <w:div w:id="1722947637">
                                  <w:marLeft w:val="0"/>
                                  <w:marRight w:val="0"/>
                                  <w:marTop w:val="0"/>
                                  <w:marBottom w:val="0"/>
                                  <w:divBdr>
                                    <w:top w:val="none" w:sz="0" w:space="0" w:color="auto"/>
                                    <w:left w:val="none" w:sz="0" w:space="0" w:color="auto"/>
                                    <w:bottom w:val="none" w:sz="0" w:space="0" w:color="auto"/>
                                    <w:right w:val="none" w:sz="0" w:space="0" w:color="auto"/>
                                  </w:divBdr>
                                  <w:divsChild>
                                    <w:div w:id="1775904697">
                                      <w:marLeft w:val="0"/>
                                      <w:marRight w:val="0"/>
                                      <w:marTop w:val="0"/>
                                      <w:marBottom w:val="0"/>
                                      <w:divBdr>
                                        <w:top w:val="none" w:sz="0" w:space="0" w:color="auto"/>
                                        <w:left w:val="none" w:sz="0" w:space="0" w:color="auto"/>
                                        <w:bottom w:val="none" w:sz="0" w:space="0" w:color="auto"/>
                                        <w:right w:val="none" w:sz="0" w:space="0" w:color="auto"/>
                                      </w:divBdr>
                                      <w:divsChild>
                                        <w:div w:id="1469594634">
                                          <w:marLeft w:val="0"/>
                                          <w:marRight w:val="0"/>
                                          <w:marTop w:val="0"/>
                                          <w:marBottom w:val="0"/>
                                          <w:divBdr>
                                            <w:top w:val="none" w:sz="0" w:space="0" w:color="auto"/>
                                            <w:left w:val="none" w:sz="0" w:space="0" w:color="auto"/>
                                            <w:bottom w:val="none" w:sz="0" w:space="0" w:color="auto"/>
                                            <w:right w:val="none" w:sz="0" w:space="0" w:color="auto"/>
                                          </w:divBdr>
                                          <w:divsChild>
                                            <w:div w:id="1970210058">
                                              <w:marLeft w:val="0"/>
                                              <w:marRight w:val="0"/>
                                              <w:marTop w:val="0"/>
                                              <w:marBottom w:val="0"/>
                                              <w:divBdr>
                                                <w:top w:val="none" w:sz="0" w:space="0" w:color="auto"/>
                                                <w:left w:val="none" w:sz="0" w:space="0" w:color="auto"/>
                                                <w:bottom w:val="none" w:sz="0" w:space="0" w:color="auto"/>
                                                <w:right w:val="none" w:sz="0" w:space="0" w:color="auto"/>
                                              </w:divBdr>
                                              <w:divsChild>
                                                <w:div w:id="1753623878">
                                                  <w:marLeft w:val="0"/>
                                                  <w:marRight w:val="0"/>
                                                  <w:marTop w:val="0"/>
                                                  <w:marBottom w:val="0"/>
                                                  <w:divBdr>
                                                    <w:top w:val="none" w:sz="0" w:space="0" w:color="auto"/>
                                                    <w:left w:val="none" w:sz="0" w:space="0" w:color="auto"/>
                                                    <w:bottom w:val="none" w:sz="0" w:space="0" w:color="auto"/>
                                                    <w:right w:val="none" w:sz="0" w:space="0" w:color="auto"/>
                                                  </w:divBdr>
                                                  <w:divsChild>
                                                    <w:div w:id="1435437960">
                                                      <w:marLeft w:val="0"/>
                                                      <w:marRight w:val="0"/>
                                                      <w:marTop w:val="0"/>
                                                      <w:marBottom w:val="0"/>
                                                      <w:divBdr>
                                                        <w:top w:val="none" w:sz="0" w:space="0" w:color="auto"/>
                                                        <w:left w:val="none" w:sz="0" w:space="0" w:color="auto"/>
                                                        <w:bottom w:val="none" w:sz="0" w:space="0" w:color="auto"/>
                                                        <w:right w:val="none" w:sz="0" w:space="0" w:color="auto"/>
                                                      </w:divBdr>
                                                      <w:divsChild>
                                                        <w:div w:id="205456440">
                                                          <w:marLeft w:val="0"/>
                                                          <w:marRight w:val="0"/>
                                                          <w:marTop w:val="0"/>
                                                          <w:marBottom w:val="0"/>
                                                          <w:divBdr>
                                                            <w:top w:val="none" w:sz="0" w:space="0" w:color="auto"/>
                                                            <w:left w:val="none" w:sz="0" w:space="0" w:color="auto"/>
                                                            <w:bottom w:val="none" w:sz="0" w:space="0" w:color="auto"/>
                                                            <w:right w:val="none" w:sz="0" w:space="0" w:color="auto"/>
                                                          </w:divBdr>
                                                          <w:divsChild>
                                                            <w:div w:id="21269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7211921">
      <w:bodyDiv w:val="1"/>
      <w:marLeft w:val="0"/>
      <w:marRight w:val="0"/>
      <w:marTop w:val="0"/>
      <w:marBottom w:val="0"/>
      <w:divBdr>
        <w:top w:val="none" w:sz="0" w:space="0" w:color="auto"/>
        <w:left w:val="none" w:sz="0" w:space="0" w:color="auto"/>
        <w:bottom w:val="none" w:sz="0" w:space="0" w:color="auto"/>
        <w:right w:val="none" w:sz="0" w:space="0" w:color="auto"/>
      </w:divBdr>
      <w:divsChild>
        <w:div w:id="298340518">
          <w:marLeft w:val="274"/>
          <w:marRight w:val="0"/>
          <w:marTop w:val="120"/>
          <w:marBottom w:val="120"/>
          <w:divBdr>
            <w:top w:val="none" w:sz="0" w:space="0" w:color="auto"/>
            <w:left w:val="none" w:sz="0" w:space="0" w:color="auto"/>
            <w:bottom w:val="none" w:sz="0" w:space="0" w:color="auto"/>
            <w:right w:val="none" w:sz="0" w:space="0" w:color="auto"/>
          </w:divBdr>
        </w:div>
        <w:div w:id="1469786582">
          <w:marLeft w:val="274"/>
          <w:marRight w:val="0"/>
          <w:marTop w:val="120"/>
          <w:marBottom w:val="120"/>
          <w:divBdr>
            <w:top w:val="none" w:sz="0" w:space="0" w:color="auto"/>
            <w:left w:val="none" w:sz="0" w:space="0" w:color="auto"/>
            <w:bottom w:val="none" w:sz="0" w:space="0" w:color="auto"/>
            <w:right w:val="none" w:sz="0" w:space="0" w:color="auto"/>
          </w:divBdr>
        </w:div>
      </w:divsChild>
    </w:div>
    <w:div w:id="417405199">
      <w:bodyDiv w:val="1"/>
      <w:marLeft w:val="0"/>
      <w:marRight w:val="0"/>
      <w:marTop w:val="0"/>
      <w:marBottom w:val="0"/>
      <w:divBdr>
        <w:top w:val="none" w:sz="0" w:space="0" w:color="auto"/>
        <w:left w:val="none" w:sz="0" w:space="0" w:color="auto"/>
        <w:bottom w:val="none" w:sz="0" w:space="0" w:color="auto"/>
        <w:right w:val="none" w:sz="0" w:space="0" w:color="auto"/>
      </w:divBdr>
    </w:div>
    <w:div w:id="417947360">
      <w:bodyDiv w:val="1"/>
      <w:marLeft w:val="0"/>
      <w:marRight w:val="0"/>
      <w:marTop w:val="0"/>
      <w:marBottom w:val="0"/>
      <w:divBdr>
        <w:top w:val="none" w:sz="0" w:space="0" w:color="auto"/>
        <w:left w:val="none" w:sz="0" w:space="0" w:color="auto"/>
        <w:bottom w:val="none" w:sz="0" w:space="0" w:color="auto"/>
        <w:right w:val="none" w:sz="0" w:space="0" w:color="auto"/>
      </w:divBdr>
    </w:div>
    <w:div w:id="419185180">
      <w:bodyDiv w:val="1"/>
      <w:marLeft w:val="0"/>
      <w:marRight w:val="0"/>
      <w:marTop w:val="0"/>
      <w:marBottom w:val="0"/>
      <w:divBdr>
        <w:top w:val="none" w:sz="0" w:space="0" w:color="auto"/>
        <w:left w:val="none" w:sz="0" w:space="0" w:color="auto"/>
        <w:bottom w:val="none" w:sz="0" w:space="0" w:color="auto"/>
        <w:right w:val="none" w:sz="0" w:space="0" w:color="auto"/>
      </w:divBdr>
    </w:div>
    <w:div w:id="432675218">
      <w:bodyDiv w:val="1"/>
      <w:marLeft w:val="0"/>
      <w:marRight w:val="0"/>
      <w:marTop w:val="0"/>
      <w:marBottom w:val="0"/>
      <w:divBdr>
        <w:top w:val="none" w:sz="0" w:space="0" w:color="auto"/>
        <w:left w:val="none" w:sz="0" w:space="0" w:color="auto"/>
        <w:bottom w:val="none" w:sz="0" w:space="0" w:color="auto"/>
        <w:right w:val="none" w:sz="0" w:space="0" w:color="auto"/>
      </w:divBdr>
    </w:div>
    <w:div w:id="433786901">
      <w:bodyDiv w:val="1"/>
      <w:marLeft w:val="0"/>
      <w:marRight w:val="0"/>
      <w:marTop w:val="0"/>
      <w:marBottom w:val="0"/>
      <w:divBdr>
        <w:top w:val="none" w:sz="0" w:space="0" w:color="auto"/>
        <w:left w:val="none" w:sz="0" w:space="0" w:color="auto"/>
        <w:bottom w:val="none" w:sz="0" w:space="0" w:color="auto"/>
        <w:right w:val="none" w:sz="0" w:space="0" w:color="auto"/>
      </w:divBdr>
    </w:div>
    <w:div w:id="436147180">
      <w:bodyDiv w:val="1"/>
      <w:marLeft w:val="0"/>
      <w:marRight w:val="0"/>
      <w:marTop w:val="0"/>
      <w:marBottom w:val="0"/>
      <w:divBdr>
        <w:top w:val="none" w:sz="0" w:space="0" w:color="auto"/>
        <w:left w:val="none" w:sz="0" w:space="0" w:color="auto"/>
        <w:bottom w:val="none" w:sz="0" w:space="0" w:color="auto"/>
        <w:right w:val="none" w:sz="0" w:space="0" w:color="auto"/>
      </w:divBdr>
      <w:divsChild>
        <w:div w:id="963002650">
          <w:marLeft w:val="274"/>
          <w:marRight w:val="0"/>
          <w:marTop w:val="40"/>
          <w:marBottom w:val="40"/>
          <w:divBdr>
            <w:top w:val="none" w:sz="0" w:space="0" w:color="auto"/>
            <w:left w:val="none" w:sz="0" w:space="0" w:color="auto"/>
            <w:bottom w:val="none" w:sz="0" w:space="0" w:color="auto"/>
            <w:right w:val="none" w:sz="0" w:space="0" w:color="auto"/>
          </w:divBdr>
        </w:div>
        <w:div w:id="1191800528">
          <w:marLeft w:val="274"/>
          <w:marRight w:val="0"/>
          <w:marTop w:val="40"/>
          <w:marBottom w:val="40"/>
          <w:divBdr>
            <w:top w:val="none" w:sz="0" w:space="0" w:color="auto"/>
            <w:left w:val="none" w:sz="0" w:space="0" w:color="auto"/>
            <w:bottom w:val="none" w:sz="0" w:space="0" w:color="auto"/>
            <w:right w:val="none" w:sz="0" w:space="0" w:color="auto"/>
          </w:divBdr>
        </w:div>
        <w:div w:id="1548180749">
          <w:marLeft w:val="274"/>
          <w:marRight w:val="0"/>
          <w:marTop w:val="40"/>
          <w:marBottom w:val="40"/>
          <w:divBdr>
            <w:top w:val="none" w:sz="0" w:space="0" w:color="auto"/>
            <w:left w:val="none" w:sz="0" w:space="0" w:color="auto"/>
            <w:bottom w:val="none" w:sz="0" w:space="0" w:color="auto"/>
            <w:right w:val="none" w:sz="0" w:space="0" w:color="auto"/>
          </w:divBdr>
        </w:div>
      </w:divsChild>
    </w:div>
    <w:div w:id="437719348">
      <w:bodyDiv w:val="1"/>
      <w:marLeft w:val="0"/>
      <w:marRight w:val="0"/>
      <w:marTop w:val="0"/>
      <w:marBottom w:val="0"/>
      <w:divBdr>
        <w:top w:val="none" w:sz="0" w:space="0" w:color="auto"/>
        <w:left w:val="none" w:sz="0" w:space="0" w:color="auto"/>
        <w:bottom w:val="none" w:sz="0" w:space="0" w:color="auto"/>
        <w:right w:val="none" w:sz="0" w:space="0" w:color="auto"/>
      </w:divBdr>
    </w:div>
    <w:div w:id="439112012">
      <w:bodyDiv w:val="1"/>
      <w:marLeft w:val="0"/>
      <w:marRight w:val="0"/>
      <w:marTop w:val="0"/>
      <w:marBottom w:val="0"/>
      <w:divBdr>
        <w:top w:val="none" w:sz="0" w:space="0" w:color="auto"/>
        <w:left w:val="none" w:sz="0" w:space="0" w:color="auto"/>
        <w:bottom w:val="none" w:sz="0" w:space="0" w:color="auto"/>
        <w:right w:val="none" w:sz="0" w:space="0" w:color="auto"/>
      </w:divBdr>
    </w:div>
    <w:div w:id="442574164">
      <w:bodyDiv w:val="1"/>
      <w:marLeft w:val="0"/>
      <w:marRight w:val="0"/>
      <w:marTop w:val="0"/>
      <w:marBottom w:val="0"/>
      <w:divBdr>
        <w:top w:val="none" w:sz="0" w:space="0" w:color="auto"/>
        <w:left w:val="none" w:sz="0" w:space="0" w:color="auto"/>
        <w:bottom w:val="none" w:sz="0" w:space="0" w:color="auto"/>
        <w:right w:val="none" w:sz="0" w:space="0" w:color="auto"/>
      </w:divBdr>
    </w:div>
    <w:div w:id="446462259">
      <w:bodyDiv w:val="1"/>
      <w:marLeft w:val="0"/>
      <w:marRight w:val="0"/>
      <w:marTop w:val="0"/>
      <w:marBottom w:val="0"/>
      <w:divBdr>
        <w:top w:val="none" w:sz="0" w:space="0" w:color="auto"/>
        <w:left w:val="none" w:sz="0" w:space="0" w:color="auto"/>
        <w:bottom w:val="none" w:sz="0" w:space="0" w:color="auto"/>
        <w:right w:val="none" w:sz="0" w:space="0" w:color="auto"/>
      </w:divBdr>
    </w:div>
    <w:div w:id="447623829">
      <w:bodyDiv w:val="1"/>
      <w:marLeft w:val="0"/>
      <w:marRight w:val="0"/>
      <w:marTop w:val="0"/>
      <w:marBottom w:val="0"/>
      <w:divBdr>
        <w:top w:val="none" w:sz="0" w:space="0" w:color="auto"/>
        <w:left w:val="none" w:sz="0" w:space="0" w:color="auto"/>
        <w:bottom w:val="none" w:sz="0" w:space="0" w:color="auto"/>
        <w:right w:val="none" w:sz="0" w:space="0" w:color="auto"/>
      </w:divBdr>
    </w:div>
    <w:div w:id="450511751">
      <w:bodyDiv w:val="1"/>
      <w:marLeft w:val="0"/>
      <w:marRight w:val="0"/>
      <w:marTop w:val="0"/>
      <w:marBottom w:val="0"/>
      <w:divBdr>
        <w:top w:val="none" w:sz="0" w:space="0" w:color="auto"/>
        <w:left w:val="none" w:sz="0" w:space="0" w:color="auto"/>
        <w:bottom w:val="none" w:sz="0" w:space="0" w:color="auto"/>
        <w:right w:val="none" w:sz="0" w:space="0" w:color="auto"/>
      </w:divBdr>
    </w:div>
    <w:div w:id="452017070">
      <w:bodyDiv w:val="1"/>
      <w:marLeft w:val="0"/>
      <w:marRight w:val="0"/>
      <w:marTop w:val="0"/>
      <w:marBottom w:val="0"/>
      <w:divBdr>
        <w:top w:val="none" w:sz="0" w:space="0" w:color="auto"/>
        <w:left w:val="none" w:sz="0" w:space="0" w:color="auto"/>
        <w:bottom w:val="none" w:sz="0" w:space="0" w:color="auto"/>
        <w:right w:val="none" w:sz="0" w:space="0" w:color="auto"/>
      </w:divBdr>
    </w:div>
    <w:div w:id="454714527">
      <w:bodyDiv w:val="1"/>
      <w:marLeft w:val="0"/>
      <w:marRight w:val="0"/>
      <w:marTop w:val="0"/>
      <w:marBottom w:val="0"/>
      <w:divBdr>
        <w:top w:val="none" w:sz="0" w:space="0" w:color="auto"/>
        <w:left w:val="none" w:sz="0" w:space="0" w:color="auto"/>
        <w:bottom w:val="none" w:sz="0" w:space="0" w:color="auto"/>
        <w:right w:val="none" w:sz="0" w:space="0" w:color="auto"/>
      </w:divBdr>
      <w:divsChild>
        <w:div w:id="828138197">
          <w:marLeft w:val="274"/>
          <w:marRight w:val="0"/>
          <w:marTop w:val="40"/>
          <w:marBottom w:val="40"/>
          <w:divBdr>
            <w:top w:val="none" w:sz="0" w:space="0" w:color="auto"/>
            <w:left w:val="none" w:sz="0" w:space="0" w:color="auto"/>
            <w:bottom w:val="none" w:sz="0" w:space="0" w:color="auto"/>
            <w:right w:val="none" w:sz="0" w:space="0" w:color="auto"/>
          </w:divBdr>
        </w:div>
        <w:div w:id="918293545">
          <w:marLeft w:val="274"/>
          <w:marRight w:val="0"/>
          <w:marTop w:val="40"/>
          <w:marBottom w:val="40"/>
          <w:divBdr>
            <w:top w:val="none" w:sz="0" w:space="0" w:color="auto"/>
            <w:left w:val="none" w:sz="0" w:space="0" w:color="auto"/>
            <w:bottom w:val="none" w:sz="0" w:space="0" w:color="auto"/>
            <w:right w:val="none" w:sz="0" w:space="0" w:color="auto"/>
          </w:divBdr>
        </w:div>
        <w:div w:id="1252814626">
          <w:marLeft w:val="274"/>
          <w:marRight w:val="0"/>
          <w:marTop w:val="40"/>
          <w:marBottom w:val="40"/>
          <w:divBdr>
            <w:top w:val="none" w:sz="0" w:space="0" w:color="auto"/>
            <w:left w:val="none" w:sz="0" w:space="0" w:color="auto"/>
            <w:bottom w:val="none" w:sz="0" w:space="0" w:color="auto"/>
            <w:right w:val="none" w:sz="0" w:space="0" w:color="auto"/>
          </w:divBdr>
        </w:div>
      </w:divsChild>
    </w:div>
    <w:div w:id="457918970">
      <w:bodyDiv w:val="1"/>
      <w:marLeft w:val="0"/>
      <w:marRight w:val="0"/>
      <w:marTop w:val="0"/>
      <w:marBottom w:val="0"/>
      <w:divBdr>
        <w:top w:val="none" w:sz="0" w:space="0" w:color="auto"/>
        <w:left w:val="none" w:sz="0" w:space="0" w:color="auto"/>
        <w:bottom w:val="none" w:sz="0" w:space="0" w:color="auto"/>
        <w:right w:val="none" w:sz="0" w:space="0" w:color="auto"/>
      </w:divBdr>
    </w:div>
    <w:div w:id="460612292">
      <w:bodyDiv w:val="1"/>
      <w:marLeft w:val="0"/>
      <w:marRight w:val="0"/>
      <w:marTop w:val="0"/>
      <w:marBottom w:val="0"/>
      <w:divBdr>
        <w:top w:val="none" w:sz="0" w:space="0" w:color="auto"/>
        <w:left w:val="none" w:sz="0" w:space="0" w:color="auto"/>
        <w:bottom w:val="none" w:sz="0" w:space="0" w:color="auto"/>
        <w:right w:val="none" w:sz="0" w:space="0" w:color="auto"/>
      </w:divBdr>
    </w:div>
    <w:div w:id="460803693">
      <w:bodyDiv w:val="1"/>
      <w:marLeft w:val="0"/>
      <w:marRight w:val="0"/>
      <w:marTop w:val="0"/>
      <w:marBottom w:val="0"/>
      <w:divBdr>
        <w:top w:val="none" w:sz="0" w:space="0" w:color="auto"/>
        <w:left w:val="none" w:sz="0" w:space="0" w:color="auto"/>
        <w:bottom w:val="none" w:sz="0" w:space="0" w:color="auto"/>
        <w:right w:val="none" w:sz="0" w:space="0" w:color="auto"/>
      </w:divBdr>
    </w:div>
    <w:div w:id="462308178">
      <w:bodyDiv w:val="1"/>
      <w:marLeft w:val="0"/>
      <w:marRight w:val="0"/>
      <w:marTop w:val="0"/>
      <w:marBottom w:val="0"/>
      <w:divBdr>
        <w:top w:val="none" w:sz="0" w:space="0" w:color="auto"/>
        <w:left w:val="none" w:sz="0" w:space="0" w:color="auto"/>
        <w:bottom w:val="none" w:sz="0" w:space="0" w:color="auto"/>
        <w:right w:val="none" w:sz="0" w:space="0" w:color="auto"/>
      </w:divBdr>
    </w:div>
    <w:div w:id="467817834">
      <w:bodyDiv w:val="1"/>
      <w:marLeft w:val="0"/>
      <w:marRight w:val="0"/>
      <w:marTop w:val="0"/>
      <w:marBottom w:val="0"/>
      <w:divBdr>
        <w:top w:val="none" w:sz="0" w:space="0" w:color="auto"/>
        <w:left w:val="none" w:sz="0" w:space="0" w:color="auto"/>
        <w:bottom w:val="none" w:sz="0" w:space="0" w:color="auto"/>
        <w:right w:val="none" w:sz="0" w:space="0" w:color="auto"/>
      </w:divBdr>
    </w:div>
    <w:div w:id="469247611">
      <w:bodyDiv w:val="1"/>
      <w:marLeft w:val="0"/>
      <w:marRight w:val="0"/>
      <w:marTop w:val="0"/>
      <w:marBottom w:val="0"/>
      <w:divBdr>
        <w:top w:val="none" w:sz="0" w:space="0" w:color="auto"/>
        <w:left w:val="none" w:sz="0" w:space="0" w:color="auto"/>
        <w:bottom w:val="none" w:sz="0" w:space="0" w:color="auto"/>
        <w:right w:val="none" w:sz="0" w:space="0" w:color="auto"/>
      </w:divBdr>
    </w:div>
    <w:div w:id="470442943">
      <w:bodyDiv w:val="1"/>
      <w:marLeft w:val="0"/>
      <w:marRight w:val="0"/>
      <w:marTop w:val="0"/>
      <w:marBottom w:val="0"/>
      <w:divBdr>
        <w:top w:val="none" w:sz="0" w:space="0" w:color="auto"/>
        <w:left w:val="none" w:sz="0" w:space="0" w:color="auto"/>
        <w:bottom w:val="none" w:sz="0" w:space="0" w:color="auto"/>
        <w:right w:val="none" w:sz="0" w:space="0" w:color="auto"/>
      </w:divBdr>
    </w:div>
    <w:div w:id="471411415">
      <w:bodyDiv w:val="1"/>
      <w:marLeft w:val="0"/>
      <w:marRight w:val="0"/>
      <w:marTop w:val="0"/>
      <w:marBottom w:val="0"/>
      <w:divBdr>
        <w:top w:val="none" w:sz="0" w:space="0" w:color="auto"/>
        <w:left w:val="none" w:sz="0" w:space="0" w:color="auto"/>
        <w:bottom w:val="none" w:sz="0" w:space="0" w:color="auto"/>
        <w:right w:val="none" w:sz="0" w:space="0" w:color="auto"/>
      </w:divBdr>
    </w:div>
    <w:div w:id="481240827">
      <w:bodyDiv w:val="1"/>
      <w:marLeft w:val="0"/>
      <w:marRight w:val="0"/>
      <w:marTop w:val="0"/>
      <w:marBottom w:val="0"/>
      <w:divBdr>
        <w:top w:val="none" w:sz="0" w:space="0" w:color="auto"/>
        <w:left w:val="none" w:sz="0" w:space="0" w:color="auto"/>
        <w:bottom w:val="none" w:sz="0" w:space="0" w:color="auto"/>
        <w:right w:val="none" w:sz="0" w:space="0" w:color="auto"/>
      </w:divBdr>
      <w:divsChild>
        <w:div w:id="2046901480">
          <w:marLeft w:val="274"/>
          <w:marRight w:val="0"/>
          <w:marTop w:val="0"/>
          <w:marBottom w:val="0"/>
          <w:divBdr>
            <w:top w:val="none" w:sz="0" w:space="0" w:color="auto"/>
            <w:left w:val="none" w:sz="0" w:space="0" w:color="auto"/>
            <w:bottom w:val="none" w:sz="0" w:space="0" w:color="auto"/>
            <w:right w:val="none" w:sz="0" w:space="0" w:color="auto"/>
          </w:divBdr>
        </w:div>
      </w:divsChild>
    </w:div>
    <w:div w:id="483088444">
      <w:bodyDiv w:val="1"/>
      <w:marLeft w:val="0"/>
      <w:marRight w:val="0"/>
      <w:marTop w:val="0"/>
      <w:marBottom w:val="0"/>
      <w:divBdr>
        <w:top w:val="none" w:sz="0" w:space="0" w:color="auto"/>
        <w:left w:val="none" w:sz="0" w:space="0" w:color="auto"/>
        <w:bottom w:val="none" w:sz="0" w:space="0" w:color="auto"/>
        <w:right w:val="none" w:sz="0" w:space="0" w:color="auto"/>
      </w:divBdr>
    </w:div>
    <w:div w:id="483276538">
      <w:bodyDiv w:val="1"/>
      <w:marLeft w:val="0"/>
      <w:marRight w:val="0"/>
      <w:marTop w:val="0"/>
      <w:marBottom w:val="0"/>
      <w:divBdr>
        <w:top w:val="none" w:sz="0" w:space="0" w:color="auto"/>
        <w:left w:val="none" w:sz="0" w:space="0" w:color="auto"/>
        <w:bottom w:val="none" w:sz="0" w:space="0" w:color="auto"/>
        <w:right w:val="none" w:sz="0" w:space="0" w:color="auto"/>
      </w:divBdr>
    </w:div>
    <w:div w:id="503672121">
      <w:bodyDiv w:val="1"/>
      <w:marLeft w:val="0"/>
      <w:marRight w:val="0"/>
      <w:marTop w:val="0"/>
      <w:marBottom w:val="0"/>
      <w:divBdr>
        <w:top w:val="none" w:sz="0" w:space="0" w:color="auto"/>
        <w:left w:val="none" w:sz="0" w:space="0" w:color="auto"/>
        <w:bottom w:val="none" w:sz="0" w:space="0" w:color="auto"/>
        <w:right w:val="none" w:sz="0" w:space="0" w:color="auto"/>
      </w:divBdr>
    </w:div>
    <w:div w:id="515732409">
      <w:bodyDiv w:val="1"/>
      <w:marLeft w:val="0"/>
      <w:marRight w:val="0"/>
      <w:marTop w:val="0"/>
      <w:marBottom w:val="0"/>
      <w:divBdr>
        <w:top w:val="none" w:sz="0" w:space="0" w:color="auto"/>
        <w:left w:val="none" w:sz="0" w:space="0" w:color="auto"/>
        <w:bottom w:val="none" w:sz="0" w:space="0" w:color="auto"/>
        <w:right w:val="none" w:sz="0" w:space="0" w:color="auto"/>
      </w:divBdr>
    </w:div>
    <w:div w:id="524901036">
      <w:bodyDiv w:val="1"/>
      <w:marLeft w:val="0"/>
      <w:marRight w:val="0"/>
      <w:marTop w:val="0"/>
      <w:marBottom w:val="0"/>
      <w:divBdr>
        <w:top w:val="none" w:sz="0" w:space="0" w:color="auto"/>
        <w:left w:val="none" w:sz="0" w:space="0" w:color="auto"/>
        <w:bottom w:val="none" w:sz="0" w:space="0" w:color="auto"/>
        <w:right w:val="none" w:sz="0" w:space="0" w:color="auto"/>
      </w:divBdr>
    </w:div>
    <w:div w:id="539052088">
      <w:bodyDiv w:val="1"/>
      <w:marLeft w:val="0"/>
      <w:marRight w:val="0"/>
      <w:marTop w:val="0"/>
      <w:marBottom w:val="0"/>
      <w:divBdr>
        <w:top w:val="none" w:sz="0" w:space="0" w:color="auto"/>
        <w:left w:val="none" w:sz="0" w:space="0" w:color="auto"/>
        <w:bottom w:val="none" w:sz="0" w:space="0" w:color="auto"/>
        <w:right w:val="none" w:sz="0" w:space="0" w:color="auto"/>
      </w:divBdr>
    </w:div>
    <w:div w:id="544295002">
      <w:bodyDiv w:val="1"/>
      <w:marLeft w:val="0"/>
      <w:marRight w:val="0"/>
      <w:marTop w:val="0"/>
      <w:marBottom w:val="0"/>
      <w:divBdr>
        <w:top w:val="none" w:sz="0" w:space="0" w:color="auto"/>
        <w:left w:val="none" w:sz="0" w:space="0" w:color="auto"/>
        <w:bottom w:val="none" w:sz="0" w:space="0" w:color="auto"/>
        <w:right w:val="none" w:sz="0" w:space="0" w:color="auto"/>
      </w:divBdr>
    </w:div>
    <w:div w:id="546993992">
      <w:bodyDiv w:val="1"/>
      <w:marLeft w:val="0"/>
      <w:marRight w:val="0"/>
      <w:marTop w:val="0"/>
      <w:marBottom w:val="0"/>
      <w:divBdr>
        <w:top w:val="none" w:sz="0" w:space="0" w:color="auto"/>
        <w:left w:val="none" w:sz="0" w:space="0" w:color="auto"/>
        <w:bottom w:val="none" w:sz="0" w:space="0" w:color="auto"/>
        <w:right w:val="none" w:sz="0" w:space="0" w:color="auto"/>
      </w:divBdr>
      <w:divsChild>
        <w:div w:id="988509966">
          <w:marLeft w:val="130"/>
          <w:marRight w:val="0"/>
          <w:marTop w:val="0"/>
          <w:marBottom w:val="0"/>
          <w:divBdr>
            <w:top w:val="none" w:sz="0" w:space="0" w:color="auto"/>
            <w:left w:val="none" w:sz="0" w:space="0" w:color="auto"/>
            <w:bottom w:val="none" w:sz="0" w:space="0" w:color="auto"/>
            <w:right w:val="none" w:sz="0" w:space="0" w:color="auto"/>
          </w:divBdr>
        </w:div>
        <w:div w:id="1494449619">
          <w:marLeft w:val="130"/>
          <w:marRight w:val="0"/>
          <w:marTop w:val="0"/>
          <w:marBottom w:val="0"/>
          <w:divBdr>
            <w:top w:val="none" w:sz="0" w:space="0" w:color="auto"/>
            <w:left w:val="none" w:sz="0" w:space="0" w:color="auto"/>
            <w:bottom w:val="none" w:sz="0" w:space="0" w:color="auto"/>
            <w:right w:val="none" w:sz="0" w:space="0" w:color="auto"/>
          </w:divBdr>
        </w:div>
        <w:div w:id="1951623149">
          <w:marLeft w:val="130"/>
          <w:marRight w:val="0"/>
          <w:marTop w:val="0"/>
          <w:marBottom w:val="0"/>
          <w:divBdr>
            <w:top w:val="none" w:sz="0" w:space="0" w:color="auto"/>
            <w:left w:val="none" w:sz="0" w:space="0" w:color="auto"/>
            <w:bottom w:val="none" w:sz="0" w:space="0" w:color="auto"/>
            <w:right w:val="none" w:sz="0" w:space="0" w:color="auto"/>
          </w:divBdr>
        </w:div>
      </w:divsChild>
    </w:div>
    <w:div w:id="551305426">
      <w:bodyDiv w:val="1"/>
      <w:marLeft w:val="0"/>
      <w:marRight w:val="0"/>
      <w:marTop w:val="0"/>
      <w:marBottom w:val="0"/>
      <w:divBdr>
        <w:top w:val="none" w:sz="0" w:space="0" w:color="auto"/>
        <w:left w:val="none" w:sz="0" w:space="0" w:color="auto"/>
        <w:bottom w:val="none" w:sz="0" w:space="0" w:color="auto"/>
        <w:right w:val="none" w:sz="0" w:space="0" w:color="auto"/>
      </w:divBdr>
    </w:div>
    <w:div w:id="553661659">
      <w:bodyDiv w:val="1"/>
      <w:marLeft w:val="0"/>
      <w:marRight w:val="0"/>
      <w:marTop w:val="0"/>
      <w:marBottom w:val="0"/>
      <w:divBdr>
        <w:top w:val="none" w:sz="0" w:space="0" w:color="auto"/>
        <w:left w:val="none" w:sz="0" w:space="0" w:color="auto"/>
        <w:bottom w:val="none" w:sz="0" w:space="0" w:color="auto"/>
        <w:right w:val="none" w:sz="0" w:space="0" w:color="auto"/>
      </w:divBdr>
    </w:div>
    <w:div w:id="554007749">
      <w:bodyDiv w:val="1"/>
      <w:marLeft w:val="0"/>
      <w:marRight w:val="0"/>
      <w:marTop w:val="0"/>
      <w:marBottom w:val="0"/>
      <w:divBdr>
        <w:top w:val="none" w:sz="0" w:space="0" w:color="auto"/>
        <w:left w:val="none" w:sz="0" w:space="0" w:color="auto"/>
        <w:bottom w:val="none" w:sz="0" w:space="0" w:color="auto"/>
        <w:right w:val="none" w:sz="0" w:space="0" w:color="auto"/>
      </w:divBdr>
    </w:div>
    <w:div w:id="568930417">
      <w:bodyDiv w:val="1"/>
      <w:marLeft w:val="0"/>
      <w:marRight w:val="0"/>
      <w:marTop w:val="0"/>
      <w:marBottom w:val="0"/>
      <w:divBdr>
        <w:top w:val="none" w:sz="0" w:space="0" w:color="auto"/>
        <w:left w:val="none" w:sz="0" w:space="0" w:color="auto"/>
        <w:bottom w:val="none" w:sz="0" w:space="0" w:color="auto"/>
        <w:right w:val="none" w:sz="0" w:space="0" w:color="auto"/>
      </w:divBdr>
    </w:div>
    <w:div w:id="573978718">
      <w:bodyDiv w:val="1"/>
      <w:marLeft w:val="0"/>
      <w:marRight w:val="0"/>
      <w:marTop w:val="0"/>
      <w:marBottom w:val="0"/>
      <w:divBdr>
        <w:top w:val="none" w:sz="0" w:space="0" w:color="auto"/>
        <w:left w:val="none" w:sz="0" w:space="0" w:color="auto"/>
        <w:bottom w:val="none" w:sz="0" w:space="0" w:color="auto"/>
        <w:right w:val="none" w:sz="0" w:space="0" w:color="auto"/>
      </w:divBdr>
    </w:div>
    <w:div w:id="577253218">
      <w:bodyDiv w:val="1"/>
      <w:marLeft w:val="0"/>
      <w:marRight w:val="0"/>
      <w:marTop w:val="0"/>
      <w:marBottom w:val="0"/>
      <w:divBdr>
        <w:top w:val="none" w:sz="0" w:space="0" w:color="auto"/>
        <w:left w:val="none" w:sz="0" w:space="0" w:color="auto"/>
        <w:bottom w:val="none" w:sz="0" w:space="0" w:color="auto"/>
        <w:right w:val="none" w:sz="0" w:space="0" w:color="auto"/>
      </w:divBdr>
      <w:divsChild>
        <w:div w:id="495606975">
          <w:marLeft w:val="274"/>
          <w:marRight w:val="0"/>
          <w:marTop w:val="40"/>
          <w:marBottom w:val="40"/>
          <w:divBdr>
            <w:top w:val="none" w:sz="0" w:space="0" w:color="auto"/>
            <w:left w:val="none" w:sz="0" w:space="0" w:color="auto"/>
            <w:bottom w:val="none" w:sz="0" w:space="0" w:color="auto"/>
            <w:right w:val="none" w:sz="0" w:space="0" w:color="auto"/>
          </w:divBdr>
        </w:div>
      </w:divsChild>
    </w:div>
    <w:div w:id="581109411">
      <w:bodyDiv w:val="1"/>
      <w:marLeft w:val="0"/>
      <w:marRight w:val="0"/>
      <w:marTop w:val="0"/>
      <w:marBottom w:val="0"/>
      <w:divBdr>
        <w:top w:val="none" w:sz="0" w:space="0" w:color="auto"/>
        <w:left w:val="none" w:sz="0" w:space="0" w:color="auto"/>
        <w:bottom w:val="none" w:sz="0" w:space="0" w:color="auto"/>
        <w:right w:val="none" w:sz="0" w:space="0" w:color="auto"/>
      </w:divBdr>
      <w:divsChild>
        <w:div w:id="1242568594">
          <w:marLeft w:val="288"/>
          <w:marRight w:val="0"/>
          <w:marTop w:val="0"/>
          <w:marBottom w:val="0"/>
          <w:divBdr>
            <w:top w:val="none" w:sz="0" w:space="0" w:color="auto"/>
            <w:left w:val="none" w:sz="0" w:space="0" w:color="auto"/>
            <w:bottom w:val="none" w:sz="0" w:space="0" w:color="auto"/>
            <w:right w:val="none" w:sz="0" w:space="0" w:color="auto"/>
          </w:divBdr>
        </w:div>
        <w:div w:id="1260875261">
          <w:marLeft w:val="288"/>
          <w:marRight w:val="0"/>
          <w:marTop w:val="0"/>
          <w:marBottom w:val="0"/>
          <w:divBdr>
            <w:top w:val="none" w:sz="0" w:space="0" w:color="auto"/>
            <w:left w:val="none" w:sz="0" w:space="0" w:color="auto"/>
            <w:bottom w:val="none" w:sz="0" w:space="0" w:color="auto"/>
            <w:right w:val="none" w:sz="0" w:space="0" w:color="auto"/>
          </w:divBdr>
        </w:div>
        <w:div w:id="1686862282">
          <w:marLeft w:val="288"/>
          <w:marRight w:val="0"/>
          <w:marTop w:val="0"/>
          <w:marBottom w:val="0"/>
          <w:divBdr>
            <w:top w:val="none" w:sz="0" w:space="0" w:color="auto"/>
            <w:left w:val="none" w:sz="0" w:space="0" w:color="auto"/>
            <w:bottom w:val="none" w:sz="0" w:space="0" w:color="auto"/>
            <w:right w:val="none" w:sz="0" w:space="0" w:color="auto"/>
          </w:divBdr>
        </w:div>
        <w:div w:id="2036688731">
          <w:marLeft w:val="288"/>
          <w:marRight w:val="0"/>
          <w:marTop w:val="0"/>
          <w:marBottom w:val="0"/>
          <w:divBdr>
            <w:top w:val="none" w:sz="0" w:space="0" w:color="auto"/>
            <w:left w:val="none" w:sz="0" w:space="0" w:color="auto"/>
            <w:bottom w:val="none" w:sz="0" w:space="0" w:color="auto"/>
            <w:right w:val="none" w:sz="0" w:space="0" w:color="auto"/>
          </w:divBdr>
        </w:div>
      </w:divsChild>
    </w:div>
    <w:div w:id="581988363">
      <w:bodyDiv w:val="1"/>
      <w:marLeft w:val="0"/>
      <w:marRight w:val="0"/>
      <w:marTop w:val="0"/>
      <w:marBottom w:val="0"/>
      <w:divBdr>
        <w:top w:val="none" w:sz="0" w:space="0" w:color="auto"/>
        <w:left w:val="none" w:sz="0" w:space="0" w:color="auto"/>
        <w:bottom w:val="none" w:sz="0" w:space="0" w:color="auto"/>
        <w:right w:val="none" w:sz="0" w:space="0" w:color="auto"/>
      </w:divBdr>
    </w:div>
    <w:div w:id="582497635">
      <w:bodyDiv w:val="1"/>
      <w:marLeft w:val="0"/>
      <w:marRight w:val="0"/>
      <w:marTop w:val="0"/>
      <w:marBottom w:val="0"/>
      <w:divBdr>
        <w:top w:val="none" w:sz="0" w:space="0" w:color="auto"/>
        <w:left w:val="none" w:sz="0" w:space="0" w:color="auto"/>
        <w:bottom w:val="none" w:sz="0" w:space="0" w:color="auto"/>
        <w:right w:val="none" w:sz="0" w:space="0" w:color="auto"/>
      </w:divBdr>
    </w:div>
    <w:div w:id="584149885">
      <w:bodyDiv w:val="1"/>
      <w:marLeft w:val="0"/>
      <w:marRight w:val="0"/>
      <w:marTop w:val="0"/>
      <w:marBottom w:val="0"/>
      <w:divBdr>
        <w:top w:val="none" w:sz="0" w:space="0" w:color="auto"/>
        <w:left w:val="none" w:sz="0" w:space="0" w:color="auto"/>
        <w:bottom w:val="none" w:sz="0" w:space="0" w:color="auto"/>
        <w:right w:val="none" w:sz="0" w:space="0" w:color="auto"/>
      </w:divBdr>
    </w:div>
    <w:div w:id="585529678">
      <w:bodyDiv w:val="1"/>
      <w:marLeft w:val="0"/>
      <w:marRight w:val="0"/>
      <w:marTop w:val="0"/>
      <w:marBottom w:val="0"/>
      <w:divBdr>
        <w:top w:val="none" w:sz="0" w:space="0" w:color="auto"/>
        <w:left w:val="none" w:sz="0" w:space="0" w:color="auto"/>
        <w:bottom w:val="none" w:sz="0" w:space="0" w:color="auto"/>
        <w:right w:val="none" w:sz="0" w:space="0" w:color="auto"/>
      </w:divBdr>
      <w:divsChild>
        <w:div w:id="158472351">
          <w:marLeft w:val="130"/>
          <w:marRight w:val="0"/>
          <w:marTop w:val="0"/>
          <w:marBottom w:val="0"/>
          <w:divBdr>
            <w:top w:val="none" w:sz="0" w:space="0" w:color="auto"/>
            <w:left w:val="none" w:sz="0" w:space="0" w:color="auto"/>
            <w:bottom w:val="none" w:sz="0" w:space="0" w:color="auto"/>
            <w:right w:val="none" w:sz="0" w:space="0" w:color="auto"/>
          </w:divBdr>
        </w:div>
      </w:divsChild>
    </w:div>
    <w:div w:id="586154481">
      <w:bodyDiv w:val="1"/>
      <w:marLeft w:val="0"/>
      <w:marRight w:val="0"/>
      <w:marTop w:val="0"/>
      <w:marBottom w:val="0"/>
      <w:divBdr>
        <w:top w:val="none" w:sz="0" w:space="0" w:color="auto"/>
        <w:left w:val="none" w:sz="0" w:space="0" w:color="auto"/>
        <w:bottom w:val="none" w:sz="0" w:space="0" w:color="auto"/>
        <w:right w:val="none" w:sz="0" w:space="0" w:color="auto"/>
      </w:divBdr>
    </w:div>
    <w:div w:id="597831478">
      <w:bodyDiv w:val="1"/>
      <w:marLeft w:val="0"/>
      <w:marRight w:val="0"/>
      <w:marTop w:val="0"/>
      <w:marBottom w:val="0"/>
      <w:divBdr>
        <w:top w:val="none" w:sz="0" w:space="0" w:color="auto"/>
        <w:left w:val="none" w:sz="0" w:space="0" w:color="auto"/>
        <w:bottom w:val="none" w:sz="0" w:space="0" w:color="auto"/>
        <w:right w:val="none" w:sz="0" w:space="0" w:color="auto"/>
      </w:divBdr>
    </w:div>
    <w:div w:id="599486540">
      <w:bodyDiv w:val="1"/>
      <w:marLeft w:val="0"/>
      <w:marRight w:val="0"/>
      <w:marTop w:val="0"/>
      <w:marBottom w:val="0"/>
      <w:divBdr>
        <w:top w:val="none" w:sz="0" w:space="0" w:color="auto"/>
        <w:left w:val="none" w:sz="0" w:space="0" w:color="auto"/>
        <w:bottom w:val="none" w:sz="0" w:space="0" w:color="auto"/>
        <w:right w:val="none" w:sz="0" w:space="0" w:color="auto"/>
      </w:divBdr>
      <w:divsChild>
        <w:div w:id="243537479">
          <w:marLeft w:val="288"/>
          <w:marRight w:val="0"/>
          <w:marTop w:val="0"/>
          <w:marBottom w:val="0"/>
          <w:divBdr>
            <w:top w:val="none" w:sz="0" w:space="0" w:color="auto"/>
            <w:left w:val="none" w:sz="0" w:space="0" w:color="auto"/>
            <w:bottom w:val="none" w:sz="0" w:space="0" w:color="auto"/>
            <w:right w:val="none" w:sz="0" w:space="0" w:color="auto"/>
          </w:divBdr>
        </w:div>
        <w:div w:id="621809001">
          <w:marLeft w:val="288"/>
          <w:marRight w:val="0"/>
          <w:marTop w:val="0"/>
          <w:marBottom w:val="0"/>
          <w:divBdr>
            <w:top w:val="none" w:sz="0" w:space="0" w:color="auto"/>
            <w:left w:val="none" w:sz="0" w:space="0" w:color="auto"/>
            <w:bottom w:val="none" w:sz="0" w:space="0" w:color="auto"/>
            <w:right w:val="none" w:sz="0" w:space="0" w:color="auto"/>
          </w:divBdr>
        </w:div>
        <w:div w:id="920062433">
          <w:marLeft w:val="288"/>
          <w:marRight w:val="0"/>
          <w:marTop w:val="0"/>
          <w:marBottom w:val="0"/>
          <w:divBdr>
            <w:top w:val="none" w:sz="0" w:space="0" w:color="auto"/>
            <w:left w:val="none" w:sz="0" w:space="0" w:color="auto"/>
            <w:bottom w:val="none" w:sz="0" w:space="0" w:color="auto"/>
            <w:right w:val="none" w:sz="0" w:space="0" w:color="auto"/>
          </w:divBdr>
        </w:div>
        <w:div w:id="1296789334">
          <w:marLeft w:val="288"/>
          <w:marRight w:val="0"/>
          <w:marTop w:val="0"/>
          <w:marBottom w:val="0"/>
          <w:divBdr>
            <w:top w:val="none" w:sz="0" w:space="0" w:color="auto"/>
            <w:left w:val="none" w:sz="0" w:space="0" w:color="auto"/>
            <w:bottom w:val="none" w:sz="0" w:space="0" w:color="auto"/>
            <w:right w:val="none" w:sz="0" w:space="0" w:color="auto"/>
          </w:divBdr>
        </w:div>
        <w:div w:id="1584726451">
          <w:marLeft w:val="288"/>
          <w:marRight w:val="0"/>
          <w:marTop w:val="0"/>
          <w:marBottom w:val="0"/>
          <w:divBdr>
            <w:top w:val="none" w:sz="0" w:space="0" w:color="auto"/>
            <w:left w:val="none" w:sz="0" w:space="0" w:color="auto"/>
            <w:bottom w:val="none" w:sz="0" w:space="0" w:color="auto"/>
            <w:right w:val="none" w:sz="0" w:space="0" w:color="auto"/>
          </w:divBdr>
        </w:div>
        <w:div w:id="1694503062">
          <w:marLeft w:val="288"/>
          <w:marRight w:val="0"/>
          <w:marTop w:val="0"/>
          <w:marBottom w:val="0"/>
          <w:divBdr>
            <w:top w:val="none" w:sz="0" w:space="0" w:color="auto"/>
            <w:left w:val="none" w:sz="0" w:space="0" w:color="auto"/>
            <w:bottom w:val="none" w:sz="0" w:space="0" w:color="auto"/>
            <w:right w:val="none" w:sz="0" w:space="0" w:color="auto"/>
          </w:divBdr>
        </w:div>
      </w:divsChild>
    </w:div>
    <w:div w:id="603343316">
      <w:bodyDiv w:val="1"/>
      <w:marLeft w:val="0"/>
      <w:marRight w:val="0"/>
      <w:marTop w:val="0"/>
      <w:marBottom w:val="0"/>
      <w:divBdr>
        <w:top w:val="none" w:sz="0" w:space="0" w:color="auto"/>
        <w:left w:val="none" w:sz="0" w:space="0" w:color="auto"/>
        <w:bottom w:val="none" w:sz="0" w:space="0" w:color="auto"/>
        <w:right w:val="none" w:sz="0" w:space="0" w:color="auto"/>
      </w:divBdr>
    </w:div>
    <w:div w:id="605846871">
      <w:bodyDiv w:val="1"/>
      <w:marLeft w:val="0"/>
      <w:marRight w:val="0"/>
      <w:marTop w:val="0"/>
      <w:marBottom w:val="0"/>
      <w:divBdr>
        <w:top w:val="none" w:sz="0" w:space="0" w:color="auto"/>
        <w:left w:val="none" w:sz="0" w:space="0" w:color="auto"/>
        <w:bottom w:val="none" w:sz="0" w:space="0" w:color="auto"/>
        <w:right w:val="none" w:sz="0" w:space="0" w:color="auto"/>
      </w:divBdr>
    </w:div>
    <w:div w:id="610211396">
      <w:bodyDiv w:val="1"/>
      <w:marLeft w:val="0"/>
      <w:marRight w:val="0"/>
      <w:marTop w:val="0"/>
      <w:marBottom w:val="0"/>
      <w:divBdr>
        <w:top w:val="none" w:sz="0" w:space="0" w:color="auto"/>
        <w:left w:val="none" w:sz="0" w:space="0" w:color="auto"/>
        <w:bottom w:val="none" w:sz="0" w:space="0" w:color="auto"/>
        <w:right w:val="none" w:sz="0" w:space="0" w:color="auto"/>
      </w:divBdr>
    </w:div>
    <w:div w:id="614748444">
      <w:bodyDiv w:val="1"/>
      <w:marLeft w:val="0"/>
      <w:marRight w:val="0"/>
      <w:marTop w:val="0"/>
      <w:marBottom w:val="0"/>
      <w:divBdr>
        <w:top w:val="none" w:sz="0" w:space="0" w:color="auto"/>
        <w:left w:val="none" w:sz="0" w:space="0" w:color="auto"/>
        <w:bottom w:val="none" w:sz="0" w:space="0" w:color="auto"/>
        <w:right w:val="none" w:sz="0" w:space="0" w:color="auto"/>
      </w:divBdr>
    </w:div>
    <w:div w:id="615412385">
      <w:bodyDiv w:val="1"/>
      <w:marLeft w:val="0"/>
      <w:marRight w:val="0"/>
      <w:marTop w:val="0"/>
      <w:marBottom w:val="0"/>
      <w:divBdr>
        <w:top w:val="none" w:sz="0" w:space="0" w:color="auto"/>
        <w:left w:val="none" w:sz="0" w:space="0" w:color="auto"/>
        <w:bottom w:val="none" w:sz="0" w:space="0" w:color="auto"/>
        <w:right w:val="none" w:sz="0" w:space="0" w:color="auto"/>
      </w:divBdr>
    </w:div>
    <w:div w:id="618728199">
      <w:bodyDiv w:val="1"/>
      <w:marLeft w:val="0"/>
      <w:marRight w:val="0"/>
      <w:marTop w:val="0"/>
      <w:marBottom w:val="0"/>
      <w:divBdr>
        <w:top w:val="none" w:sz="0" w:space="0" w:color="auto"/>
        <w:left w:val="none" w:sz="0" w:space="0" w:color="auto"/>
        <w:bottom w:val="none" w:sz="0" w:space="0" w:color="auto"/>
        <w:right w:val="none" w:sz="0" w:space="0" w:color="auto"/>
      </w:divBdr>
    </w:div>
    <w:div w:id="622227232">
      <w:bodyDiv w:val="1"/>
      <w:marLeft w:val="0"/>
      <w:marRight w:val="0"/>
      <w:marTop w:val="0"/>
      <w:marBottom w:val="0"/>
      <w:divBdr>
        <w:top w:val="none" w:sz="0" w:space="0" w:color="auto"/>
        <w:left w:val="none" w:sz="0" w:space="0" w:color="auto"/>
        <w:bottom w:val="none" w:sz="0" w:space="0" w:color="auto"/>
        <w:right w:val="none" w:sz="0" w:space="0" w:color="auto"/>
      </w:divBdr>
    </w:div>
    <w:div w:id="622538874">
      <w:bodyDiv w:val="1"/>
      <w:marLeft w:val="0"/>
      <w:marRight w:val="0"/>
      <w:marTop w:val="0"/>
      <w:marBottom w:val="0"/>
      <w:divBdr>
        <w:top w:val="none" w:sz="0" w:space="0" w:color="auto"/>
        <w:left w:val="none" w:sz="0" w:space="0" w:color="auto"/>
        <w:bottom w:val="none" w:sz="0" w:space="0" w:color="auto"/>
        <w:right w:val="none" w:sz="0" w:space="0" w:color="auto"/>
      </w:divBdr>
    </w:div>
    <w:div w:id="628317814">
      <w:bodyDiv w:val="1"/>
      <w:marLeft w:val="0"/>
      <w:marRight w:val="0"/>
      <w:marTop w:val="0"/>
      <w:marBottom w:val="0"/>
      <w:divBdr>
        <w:top w:val="none" w:sz="0" w:space="0" w:color="auto"/>
        <w:left w:val="none" w:sz="0" w:space="0" w:color="auto"/>
        <w:bottom w:val="none" w:sz="0" w:space="0" w:color="auto"/>
        <w:right w:val="none" w:sz="0" w:space="0" w:color="auto"/>
      </w:divBdr>
    </w:div>
    <w:div w:id="628439161">
      <w:bodyDiv w:val="1"/>
      <w:marLeft w:val="0"/>
      <w:marRight w:val="0"/>
      <w:marTop w:val="0"/>
      <w:marBottom w:val="0"/>
      <w:divBdr>
        <w:top w:val="none" w:sz="0" w:space="0" w:color="auto"/>
        <w:left w:val="none" w:sz="0" w:space="0" w:color="auto"/>
        <w:bottom w:val="none" w:sz="0" w:space="0" w:color="auto"/>
        <w:right w:val="none" w:sz="0" w:space="0" w:color="auto"/>
      </w:divBdr>
      <w:divsChild>
        <w:div w:id="1240750754">
          <w:marLeft w:val="274"/>
          <w:marRight w:val="0"/>
          <w:marTop w:val="40"/>
          <w:marBottom w:val="40"/>
          <w:divBdr>
            <w:top w:val="none" w:sz="0" w:space="0" w:color="auto"/>
            <w:left w:val="none" w:sz="0" w:space="0" w:color="auto"/>
            <w:bottom w:val="none" w:sz="0" w:space="0" w:color="auto"/>
            <w:right w:val="none" w:sz="0" w:space="0" w:color="auto"/>
          </w:divBdr>
        </w:div>
      </w:divsChild>
    </w:div>
    <w:div w:id="629869984">
      <w:bodyDiv w:val="1"/>
      <w:marLeft w:val="0"/>
      <w:marRight w:val="0"/>
      <w:marTop w:val="0"/>
      <w:marBottom w:val="0"/>
      <w:divBdr>
        <w:top w:val="none" w:sz="0" w:space="0" w:color="auto"/>
        <w:left w:val="none" w:sz="0" w:space="0" w:color="auto"/>
        <w:bottom w:val="none" w:sz="0" w:space="0" w:color="auto"/>
        <w:right w:val="none" w:sz="0" w:space="0" w:color="auto"/>
      </w:divBdr>
    </w:div>
    <w:div w:id="635640884">
      <w:bodyDiv w:val="1"/>
      <w:marLeft w:val="0"/>
      <w:marRight w:val="0"/>
      <w:marTop w:val="0"/>
      <w:marBottom w:val="0"/>
      <w:divBdr>
        <w:top w:val="none" w:sz="0" w:space="0" w:color="auto"/>
        <w:left w:val="none" w:sz="0" w:space="0" w:color="auto"/>
        <w:bottom w:val="none" w:sz="0" w:space="0" w:color="auto"/>
        <w:right w:val="none" w:sz="0" w:space="0" w:color="auto"/>
      </w:divBdr>
    </w:div>
    <w:div w:id="636951920">
      <w:bodyDiv w:val="1"/>
      <w:marLeft w:val="0"/>
      <w:marRight w:val="0"/>
      <w:marTop w:val="0"/>
      <w:marBottom w:val="0"/>
      <w:divBdr>
        <w:top w:val="none" w:sz="0" w:space="0" w:color="auto"/>
        <w:left w:val="none" w:sz="0" w:space="0" w:color="auto"/>
        <w:bottom w:val="none" w:sz="0" w:space="0" w:color="auto"/>
        <w:right w:val="none" w:sz="0" w:space="0" w:color="auto"/>
      </w:divBdr>
    </w:div>
    <w:div w:id="643433065">
      <w:bodyDiv w:val="1"/>
      <w:marLeft w:val="0"/>
      <w:marRight w:val="0"/>
      <w:marTop w:val="0"/>
      <w:marBottom w:val="0"/>
      <w:divBdr>
        <w:top w:val="none" w:sz="0" w:space="0" w:color="auto"/>
        <w:left w:val="none" w:sz="0" w:space="0" w:color="auto"/>
        <w:bottom w:val="none" w:sz="0" w:space="0" w:color="auto"/>
        <w:right w:val="none" w:sz="0" w:space="0" w:color="auto"/>
      </w:divBdr>
    </w:div>
    <w:div w:id="644162304">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57341542">
      <w:bodyDiv w:val="1"/>
      <w:marLeft w:val="0"/>
      <w:marRight w:val="0"/>
      <w:marTop w:val="0"/>
      <w:marBottom w:val="0"/>
      <w:divBdr>
        <w:top w:val="none" w:sz="0" w:space="0" w:color="auto"/>
        <w:left w:val="none" w:sz="0" w:space="0" w:color="auto"/>
        <w:bottom w:val="none" w:sz="0" w:space="0" w:color="auto"/>
        <w:right w:val="none" w:sz="0" w:space="0" w:color="auto"/>
      </w:divBdr>
    </w:div>
    <w:div w:id="660885621">
      <w:bodyDiv w:val="1"/>
      <w:marLeft w:val="0"/>
      <w:marRight w:val="0"/>
      <w:marTop w:val="0"/>
      <w:marBottom w:val="0"/>
      <w:divBdr>
        <w:top w:val="none" w:sz="0" w:space="0" w:color="auto"/>
        <w:left w:val="none" w:sz="0" w:space="0" w:color="auto"/>
        <w:bottom w:val="none" w:sz="0" w:space="0" w:color="auto"/>
        <w:right w:val="none" w:sz="0" w:space="0" w:color="auto"/>
      </w:divBdr>
    </w:div>
    <w:div w:id="667169702">
      <w:bodyDiv w:val="1"/>
      <w:marLeft w:val="0"/>
      <w:marRight w:val="0"/>
      <w:marTop w:val="0"/>
      <w:marBottom w:val="0"/>
      <w:divBdr>
        <w:top w:val="none" w:sz="0" w:space="0" w:color="auto"/>
        <w:left w:val="none" w:sz="0" w:space="0" w:color="auto"/>
        <w:bottom w:val="none" w:sz="0" w:space="0" w:color="auto"/>
        <w:right w:val="none" w:sz="0" w:space="0" w:color="auto"/>
      </w:divBdr>
    </w:div>
    <w:div w:id="668407090">
      <w:bodyDiv w:val="1"/>
      <w:marLeft w:val="0"/>
      <w:marRight w:val="0"/>
      <w:marTop w:val="0"/>
      <w:marBottom w:val="0"/>
      <w:divBdr>
        <w:top w:val="none" w:sz="0" w:space="0" w:color="auto"/>
        <w:left w:val="none" w:sz="0" w:space="0" w:color="auto"/>
        <w:bottom w:val="none" w:sz="0" w:space="0" w:color="auto"/>
        <w:right w:val="none" w:sz="0" w:space="0" w:color="auto"/>
      </w:divBdr>
      <w:divsChild>
        <w:div w:id="215431116">
          <w:marLeft w:val="274"/>
          <w:marRight w:val="0"/>
          <w:marTop w:val="40"/>
          <w:marBottom w:val="40"/>
          <w:divBdr>
            <w:top w:val="none" w:sz="0" w:space="0" w:color="auto"/>
            <w:left w:val="none" w:sz="0" w:space="0" w:color="auto"/>
            <w:bottom w:val="none" w:sz="0" w:space="0" w:color="auto"/>
            <w:right w:val="none" w:sz="0" w:space="0" w:color="auto"/>
          </w:divBdr>
        </w:div>
      </w:divsChild>
    </w:div>
    <w:div w:id="672293344">
      <w:bodyDiv w:val="1"/>
      <w:marLeft w:val="0"/>
      <w:marRight w:val="0"/>
      <w:marTop w:val="0"/>
      <w:marBottom w:val="0"/>
      <w:divBdr>
        <w:top w:val="none" w:sz="0" w:space="0" w:color="auto"/>
        <w:left w:val="none" w:sz="0" w:space="0" w:color="auto"/>
        <w:bottom w:val="none" w:sz="0" w:space="0" w:color="auto"/>
        <w:right w:val="none" w:sz="0" w:space="0" w:color="auto"/>
      </w:divBdr>
    </w:div>
    <w:div w:id="673455247">
      <w:bodyDiv w:val="1"/>
      <w:marLeft w:val="0"/>
      <w:marRight w:val="0"/>
      <w:marTop w:val="0"/>
      <w:marBottom w:val="0"/>
      <w:divBdr>
        <w:top w:val="none" w:sz="0" w:space="0" w:color="auto"/>
        <w:left w:val="none" w:sz="0" w:space="0" w:color="auto"/>
        <w:bottom w:val="none" w:sz="0" w:space="0" w:color="auto"/>
        <w:right w:val="none" w:sz="0" w:space="0" w:color="auto"/>
      </w:divBdr>
    </w:div>
    <w:div w:id="674764237">
      <w:bodyDiv w:val="1"/>
      <w:marLeft w:val="0"/>
      <w:marRight w:val="0"/>
      <w:marTop w:val="0"/>
      <w:marBottom w:val="0"/>
      <w:divBdr>
        <w:top w:val="none" w:sz="0" w:space="0" w:color="auto"/>
        <w:left w:val="none" w:sz="0" w:space="0" w:color="auto"/>
        <w:bottom w:val="none" w:sz="0" w:space="0" w:color="auto"/>
        <w:right w:val="none" w:sz="0" w:space="0" w:color="auto"/>
      </w:divBdr>
    </w:div>
    <w:div w:id="674845175">
      <w:bodyDiv w:val="1"/>
      <w:marLeft w:val="0"/>
      <w:marRight w:val="0"/>
      <w:marTop w:val="0"/>
      <w:marBottom w:val="0"/>
      <w:divBdr>
        <w:top w:val="none" w:sz="0" w:space="0" w:color="auto"/>
        <w:left w:val="none" w:sz="0" w:space="0" w:color="auto"/>
        <w:bottom w:val="none" w:sz="0" w:space="0" w:color="auto"/>
        <w:right w:val="none" w:sz="0" w:space="0" w:color="auto"/>
      </w:divBdr>
    </w:div>
    <w:div w:id="674846197">
      <w:bodyDiv w:val="1"/>
      <w:marLeft w:val="0"/>
      <w:marRight w:val="0"/>
      <w:marTop w:val="0"/>
      <w:marBottom w:val="0"/>
      <w:divBdr>
        <w:top w:val="none" w:sz="0" w:space="0" w:color="auto"/>
        <w:left w:val="none" w:sz="0" w:space="0" w:color="auto"/>
        <w:bottom w:val="none" w:sz="0" w:space="0" w:color="auto"/>
        <w:right w:val="none" w:sz="0" w:space="0" w:color="auto"/>
      </w:divBdr>
    </w:div>
    <w:div w:id="676659867">
      <w:bodyDiv w:val="1"/>
      <w:marLeft w:val="0"/>
      <w:marRight w:val="0"/>
      <w:marTop w:val="0"/>
      <w:marBottom w:val="0"/>
      <w:divBdr>
        <w:top w:val="none" w:sz="0" w:space="0" w:color="auto"/>
        <w:left w:val="none" w:sz="0" w:space="0" w:color="auto"/>
        <w:bottom w:val="none" w:sz="0" w:space="0" w:color="auto"/>
        <w:right w:val="none" w:sz="0" w:space="0" w:color="auto"/>
      </w:divBdr>
      <w:divsChild>
        <w:div w:id="154883268">
          <w:marLeft w:val="274"/>
          <w:marRight w:val="0"/>
          <w:marTop w:val="0"/>
          <w:marBottom w:val="0"/>
          <w:divBdr>
            <w:top w:val="none" w:sz="0" w:space="0" w:color="auto"/>
            <w:left w:val="none" w:sz="0" w:space="0" w:color="auto"/>
            <w:bottom w:val="none" w:sz="0" w:space="0" w:color="auto"/>
            <w:right w:val="none" w:sz="0" w:space="0" w:color="auto"/>
          </w:divBdr>
        </w:div>
        <w:div w:id="815680044">
          <w:marLeft w:val="994"/>
          <w:marRight w:val="0"/>
          <w:marTop w:val="0"/>
          <w:marBottom w:val="0"/>
          <w:divBdr>
            <w:top w:val="none" w:sz="0" w:space="0" w:color="auto"/>
            <w:left w:val="none" w:sz="0" w:space="0" w:color="auto"/>
            <w:bottom w:val="none" w:sz="0" w:space="0" w:color="auto"/>
            <w:right w:val="none" w:sz="0" w:space="0" w:color="auto"/>
          </w:divBdr>
        </w:div>
        <w:div w:id="1309358067">
          <w:marLeft w:val="994"/>
          <w:marRight w:val="0"/>
          <w:marTop w:val="0"/>
          <w:marBottom w:val="0"/>
          <w:divBdr>
            <w:top w:val="none" w:sz="0" w:space="0" w:color="auto"/>
            <w:left w:val="none" w:sz="0" w:space="0" w:color="auto"/>
            <w:bottom w:val="none" w:sz="0" w:space="0" w:color="auto"/>
            <w:right w:val="none" w:sz="0" w:space="0" w:color="auto"/>
          </w:divBdr>
        </w:div>
        <w:div w:id="1368064490">
          <w:marLeft w:val="994"/>
          <w:marRight w:val="0"/>
          <w:marTop w:val="0"/>
          <w:marBottom w:val="0"/>
          <w:divBdr>
            <w:top w:val="none" w:sz="0" w:space="0" w:color="auto"/>
            <w:left w:val="none" w:sz="0" w:space="0" w:color="auto"/>
            <w:bottom w:val="none" w:sz="0" w:space="0" w:color="auto"/>
            <w:right w:val="none" w:sz="0" w:space="0" w:color="auto"/>
          </w:divBdr>
        </w:div>
      </w:divsChild>
    </w:div>
    <w:div w:id="677581216">
      <w:bodyDiv w:val="1"/>
      <w:marLeft w:val="0"/>
      <w:marRight w:val="0"/>
      <w:marTop w:val="0"/>
      <w:marBottom w:val="0"/>
      <w:divBdr>
        <w:top w:val="none" w:sz="0" w:space="0" w:color="auto"/>
        <w:left w:val="none" w:sz="0" w:space="0" w:color="auto"/>
        <w:bottom w:val="none" w:sz="0" w:space="0" w:color="auto"/>
        <w:right w:val="none" w:sz="0" w:space="0" w:color="auto"/>
      </w:divBdr>
    </w:div>
    <w:div w:id="678584912">
      <w:bodyDiv w:val="1"/>
      <w:marLeft w:val="0"/>
      <w:marRight w:val="0"/>
      <w:marTop w:val="0"/>
      <w:marBottom w:val="0"/>
      <w:divBdr>
        <w:top w:val="none" w:sz="0" w:space="0" w:color="auto"/>
        <w:left w:val="none" w:sz="0" w:space="0" w:color="auto"/>
        <w:bottom w:val="none" w:sz="0" w:space="0" w:color="auto"/>
        <w:right w:val="none" w:sz="0" w:space="0" w:color="auto"/>
      </w:divBdr>
    </w:div>
    <w:div w:id="682517385">
      <w:bodyDiv w:val="1"/>
      <w:marLeft w:val="0"/>
      <w:marRight w:val="0"/>
      <w:marTop w:val="0"/>
      <w:marBottom w:val="0"/>
      <w:divBdr>
        <w:top w:val="none" w:sz="0" w:space="0" w:color="auto"/>
        <w:left w:val="none" w:sz="0" w:space="0" w:color="auto"/>
        <w:bottom w:val="none" w:sz="0" w:space="0" w:color="auto"/>
        <w:right w:val="none" w:sz="0" w:space="0" w:color="auto"/>
      </w:divBdr>
    </w:div>
    <w:div w:id="683631129">
      <w:bodyDiv w:val="1"/>
      <w:marLeft w:val="0"/>
      <w:marRight w:val="0"/>
      <w:marTop w:val="0"/>
      <w:marBottom w:val="0"/>
      <w:divBdr>
        <w:top w:val="none" w:sz="0" w:space="0" w:color="auto"/>
        <w:left w:val="none" w:sz="0" w:space="0" w:color="auto"/>
        <w:bottom w:val="none" w:sz="0" w:space="0" w:color="auto"/>
        <w:right w:val="none" w:sz="0" w:space="0" w:color="auto"/>
      </w:divBdr>
    </w:div>
    <w:div w:id="684593183">
      <w:bodyDiv w:val="1"/>
      <w:marLeft w:val="0"/>
      <w:marRight w:val="0"/>
      <w:marTop w:val="0"/>
      <w:marBottom w:val="0"/>
      <w:divBdr>
        <w:top w:val="none" w:sz="0" w:space="0" w:color="auto"/>
        <w:left w:val="none" w:sz="0" w:space="0" w:color="auto"/>
        <w:bottom w:val="none" w:sz="0" w:space="0" w:color="auto"/>
        <w:right w:val="none" w:sz="0" w:space="0" w:color="auto"/>
      </w:divBdr>
    </w:div>
    <w:div w:id="689382435">
      <w:bodyDiv w:val="1"/>
      <w:marLeft w:val="0"/>
      <w:marRight w:val="0"/>
      <w:marTop w:val="0"/>
      <w:marBottom w:val="0"/>
      <w:divBdr>
        <w:top w:val="none" w:sz="0" w:space="0" w:color="auto"/>
        <w:left w:val="none" w:sz="0" w:space="0" w:color="auto"/>
        <w:bottom w:val="none" w:sz="0" w:space="0" w:color="auto"/>
        <w:right w:val="none" w:sz="0" w:space="0" w:color="auto"/>
      </w:divBdr>
    </w:div>
    <w:div w:id="693307907">
      <w:bodyDiv w:val="1"/>
      <w:marLeft w:val="0"/>
      <w:marRight w:val="0"/>
      <w:marTop w:val="0"/>
      <w:marBottom w:val="0"/>
      <w:divBdr>
        <w:top w:val="none" w:sz="0" w:space="0" w:color="auto"/>
        <w:left w:val="none" w:sz="0" w:space="0" w:color="auto"/>
        <w:bottom w:val="none" w:sz="0" w:space="0" w:color="auto"/>
        <w:right w:val="none" w:sz="0" w:space="0" w:color="auto"/>
      </w:divBdr>
    </w:div>
    <w:div w:id="696782055">
      <w:bodyDiv w:val="1"/>
      <w:marLeft w:val="0"/>
      <w:marRight w:val="0"/>
      <w:marTop w:val="0"/>
      <w:marBottom w:val="0"/>
      <w:divBdr>
        <w:top w:val="none" w:sz="0" w:space="0" w:color="auto"/>
        <w:left w:val="none" w:sz="0" w:space="0" w:color="auto"/>
        <w:bottom w:val="none" w:sz="0" w:space="0" w:color="auto"/>
        <w:right w:val="none" w:sz="0" w:space="0" w:color="auto"/>
      </w:divBdr>
    </w:div>
    <w:div w:id="700787056">
      <w:bodyDiv w:val="1"/>
      <w:marLeft w:val="0"/>
      <w:marRight w:val="0"/>
      <w:marTop w:val="0"/>
      <w:marBottom w:val="0"/>
      <w:divBdr>
        <w:top w:val="none" w:sz="0" w:space="0" w:color="auto"/>
        <w:left w:val="none" w:sz="0" w:space="0" w:color="auto"/>
        <w:bottom w:val="none" w:sz="0" w:space="0" w:color="auto"/>
        <w:right w:val="none" w:sz="0" w:space="0" w:color="auto"/>
      </w:divBdr>
    </w:div>
    <w:div w:id="703139649">
      <w:bodyDiv w:val="1"/>
      <w:marLeft w:val="0"/>
      <w:marRight w:val="0"/>
      <w:marTop w:val="0"/>
      <w:marBottom w:val="0"/>
      <w:divBdr>
        <w:top w:val="none" w:sz="0" w:space="0" w:color="auto"/>
        <w:left w:val="none" w:sz="0" w:space="0" w:color="auto"/>
        <w:bottom w:val="none" w:sz="0" w:space="0" w:color="auto"/>
        <w:right w:val="none" w:sz="0" w:space="0" w:color="auto"/>
      </w:divBdr>
    </w:div>
    <w:div w:id="704214334">
      <w:bodyDiv w:val="1"/>
      <w:marLeft w:val="0"/>
      <w:marRight w:val="0"/>
      <w:marTop w:val="0"/>
      <w:marBottom w:val="0"/>
      <w:divBdr>
        <w:top w:val="none" w:sz="0" w:space="0" w:color="auto"/>
        <w:left w:val="none" w:sz="0" w:space="0" w:color="auto"/>
        <w:bottom w:val="none" w:sz="0" w:space="0" w:color="auto"/>
        <w:right w:val="none" w:sz="0" w:space="0" w:color="auto"/>
      </w:divBdr>
      <w:divsChild>
        <w:div w:id="362171107">
          <w:marLeft w:val="274"/>
          <w:marRight w:val="0"/>
          <w:marTop w:val="60"/>
          <w:marBottom w:val="60"/>
          <w:divBdr>
            <w:top w:val="none" w:sz="0" w:space="0" w:color="auto"/>
            <w:left w:val="none" w:sz="0" w:space="0" w:color="auto"/>
            <w:bottom w:val="none" w:sz="0" w:space="0" w:color="auto"/>
            <w:right w:val="none" w:sz="0" w:space="0" w:color="auto"/>
          </w:divBdr>
        </w:div>
        <w:div w:id="479003550">
          <w:marLeft w:val="274"/>
          <w:marRight w:val="0"/>
          <w:marTop w:val="60"/>
          <w:marBottom w:val="60"/>
          <w:divBdr>
            <w:top w:val="none" w:sz="0" w:space="0" w:color="auto"/>
            <w:left w:val="none" w:sz="0" w:space="0" w:color="auto"/>
            <w:bottom w:val="none" w:sz="0" w:space="0" w:color="auto"/>
            <w:right w:val="none" w:sz="0" w:space="0" w:color="auto"/>
          </w:divBdr>
        </w:div>
        <w:div w:id="551112230">
          <w:marLeft w:val="274"/>
          <w:marRight w:val="0"/>
          <w:marTop w:val="60"/>
          <w:marBottom w:val="60"/>
          <w:divBdr>
            <w:top w:val="none" w:sz="0" w:space="0" w:color="auto"/>
            <w:left w:val="none" w:sz="0" w:space="0" w:color="auto"/>
            <w:bottom w:val="none" w:sz="0" w:space="0" w:color="auto"/>
            <w:right w:val="none" w:sz="0" w:space="0" w:color="auto"/>
          </w:divBdr>
        </w:div>
        <w:div w:id="755135405">
          <w:marLeft w:val="274"/>
          <w:marRight w:val="0"/>
          <w:marTop w:val="60"/>
          <w:marBottom w:val="60"/>
          <w:divBdr>
            <w:top w:val="none" w:sz="0" w:space="0" w:color="auto"/>
            <w:left w:val="none" w:sz="0" w:space="0" w:color="auto"/>
            <w:bottom w:val="none" w:sz="0" w:space="0" w:color="auto"/>
            <w:right w:val="none" w:sz="0" w:space="0" w:color="auto"/>
          </w:divBdr>
        </w:div>
      </w:divsChild>
    </w:div>
    <w:div w:id="705103100">
      <w:bodyDiv w:val="1"/>
      <w:marLeft w:val="0"/>
      <w:marRight w:val="0"/>
      <w:marTop w:val="0"/>
      <w:marBottom w:val="0"/>
      <w:divBdr>
        <w:top w:val="none" w:sz="0" w:space="0" w:color="auto"/>
        <w:left w:val="none" w:sz="0" w:space="0" w:color="auto"/>
        <w:bottom w:val="none" w:sz="0" w:space="0" w:color="auto"/>
        <w:right w:val="none" w:sz="0" w:space="0" w:color="auto"/>
      </w:divBdr>
    </w:div>
    <w:div w:id="706105105">
      <w:bodyDiv w:val="1"/>
      <w:marLeft w:val="0"/>
      <w:marRight w:val="0"/>
      <w:marTop w:val="0"/>
      <w:marBottom w:val="0"/>
      <w:divBdr>
        <w:top w:val="none" w:sz="0" w:space="0" w:color="auto"/>
        <w:left w:val="none" w:sz="0" w:space="0" w:color="auto"/>
        <w:bottom w:val="none" w:sz="0" w:space="0" w:color="auto"/>
        <w:right w:val="none" w:sz="0" w:space="0" w:color="auto"/>
      </w:divBdr>
      <w:divsChild>
        <w:div w:id="892884622">
          <w:marLeft w:val="274"/>
          <w:marRight w:val="0"/>
          <w:marTop w:val="40"/>
          <w:marBottom w:val="40"/>
          <w:divBdr>
            <w:top w:val="none" w:sz="0" w:space="0" w:color="auto"/>
            <w:left w:val="none" w:sz="0" w:space="0" w:color="auto"/>
            <w:bottom w:val="none" w:sz="0" w:space="0" w:color="auto"/>
            <w:right w:val="none" w:sz="0" w:space="0" w:color="auto"/>
          </w:divBdr>
        </w:div>
      </w:divsChild>
    </w:div>
    <w:div w:id="707997252">
      <w:bodyDiv w:val="1"/>
      <w:marLeft w:val="0"/>
      <w:marRight w:val="0"/>
      <w:marTop w:val="0"/>
      <w:marBottom w:val="0"/>
      <w:divBdr>
        <w:top w:val="none" w:sz="0" w:space="0" w:color="auto"/>
        <w:left w:val="none" w:sz="0" w:space="0" w:color="auto"/>
        <w:bottom w:val="none" w:sz="0" w:space="0" w:color="auto"/>
        <w:right w:val="none" w:sz="0" w:space="0" w:color="auto"/>
      </w:divBdr>
    </w:div>
    <w:div w:id="709380953">
      <w:bodyDiv w:val="1"/>
      <w:marLeft w:val="0"/>
      <w:marRight w:val="0"/>
      <w:marTop w:val="0"/>
      <w:marBottom w:val="0"/>
      <w:divBdr>
        <w:top w:val="none" w:sz="0" w:space="0" w:color="auto"/>
        <w:left w:val="none" w:sz="0" w:space="0" w:color="auto"/>
        <w:bottom w:val="none" w:sz="0" w:space="0" w:color="auto"/>
        <w:right w:val="none" w:sz="0" w:space="0" w:color="auto"/>
      </w:divBdr>
      <w:divsChild>
        <w:div w:id="846559572">
          <w:marLeft w:val="274"/>
          <w:marRight w:val="0"/>
          <w:marTop w:val="60"/>
          <w:marBottom w:val="60"/>
          <w:divBdr>
            <w:top w:val="none" w:sz="0" w:space="0" w:color="auto"/>
            <w:left w:val="none" w:sz="0" w:space="0" w:color="auto"/>
            <w:bottom w:val="none" w:sz="0" w:space="0" w:color="auto"/>
            <w:right w:val="none" w:sz="0" w:space="0" w:color="auto"/>
          </w:divBdr>
        </w:div>
      </w:divsChild>
    </w:div>
    <w:div w:id="723022386">
      <w:bodyDiv w:val="1"/>
      <w:marLeft w:val="0"/>
      <w:marRight w:val="0"/>
      <w:marTop w:val="0"/>
      <w:marBottom w:val="0"/>
      <w:divBdr>
        <w:top w:val="none" w:sz="0" w:space="0" w:color="auto"/>
        <w:left w:val="none" w:sz="0" w:space="0" w:color="auto"/>
        <w:bottom w:val="none" w:sz="0" w:space="0" w:color="auto"/>
        <w:right w:val="none" w:sz="0" w:space="0" w:color="auto"/>
      </w:divBdr>
    </w:div>
    <w:div w:id="727218432">
      <w:bodyDiv w:val="1"/>
      <w:marLeft w:val="0"/>
      <w:marRight w:val="0"/>
      <w:marTop w:val="0"/>
      <w:marBottom w:val="0"/>
      <w:divBdr>
        <w:top w:val="none" w:sz="0" w:space="0" w:color="auto"/>
        <w:left w:val="none" w:sz="0" w:space="0" w:color="auto"/>
        <w:bottom w:val="none" w:sz="0" w:space="0" w:color="auto"/>
        <w:right w:val="none" w:sz="0" w:space="0" w:color="auto"/>
      </w:divBdr>
    </w:div>
    <w:div w:id="741758085">
      <w:bodyDiv w:val="1"/>
      <w:marLeft w:val="0"/>
      <w:marRight w:val="0"/>
      <w:marTop w:val="0"/>
      <w:marBottom w:val="0"/>
      <w:divBdr>
        <w:top w:val="none" w:sz="0" w:space="0" w:color="auto"/>
        <w:left w:val="none" w:sz="0" w:space="0" w:color="auto"/>
        <w:bottom w:val="none" w:sz="0" w:space="0" w:color="auto"/>
        <w:right w:val="none" w:sz="0" w:space="0" w:color="auto"/>
      </w:divBdr>
      <w:divsChild>
        <w:div w:id="97413969">
          <w:marLeft w:val="274"/>
          <w:marRight w:val="0"/>
          <w:marTop w:val="0"/>
          <w:marBottom w:val="0"/>
          <w:divBdr>
            <w:top w:val="none" w:sz="0" w:space="0" w:color="auto"/>
            <w:left w:val="none" w:sz="0" w:space="0" w:color="auto"/>
            <w:bottom w:val="none" w:sz="0" w:space="0" w:color="auto"/>
            <w:right w:val="none" w:sz="0" w:space="0" w:color="auto"/>
          </w:divBdr>
        </w:div>
      </w:divsChild>
    </w:div>
    <w:div w:id="755400697">
      <w:bodyDiv w:val="1"/>
      <w:marLeft w:val="0"/>
      <w:marRight w:val="0"/>
      <w:marTop w:val="0"/>
      <w:marBottom w:val="0"/>
      <w:divBdr>
        <w:top w:val="none" w:sz="0" w:space="0" w:color="auto"/>
        <w:left w:val="none" w:sz="0" w:space="0" w:color="auto"/>
        <w:bottom w:val="none" w:sz="0" w:space="0" w:color="auto"/>
        <w:right w:val="none" w:sz="0" w:space="0" w:color="auto"/>
      </w:divBdr>
    </w:div>
    <w:div w:id="756438772">
      <w:bodyDiv w:val="1"/>
      <w:marLeft w:val="0"/>
      <w:marRight w:val="0"/>
      <w:marTop w:val="0"/>
      <w:marBottom w:val="0"/>
      <w:divBdr>
        <w:top w:val="none" w:sz="0" w:space="0" w:color="auto"/>
        <w:left w:val="none" w:sz="0" w:space="0" w:color="auto"/>
        <w:bottom w:val="none" w:sz="0" w:space="0" w:color="auto"/>
        <w:right w:val="none" w:sz="0" w:space="0" w:color="auto"/>
      </w:divBdr>
    </w:div>
    <w:div w:id="757409176">
      <w:bodyDiv w:val="1"/>
      <w:marLeft w:val="0"/>
      <w:marRight w:val="0"/>
      <w:marTop w:val="0"/>
      <w:marBottom w:val="0"/>
      <w:divBdr>
        <w:top w:val="none" w:sz="0" w:space="0" w:color="auto"/>
        <w:left w:val="none" w:sz="0" w:space="0" w:color="auto"/>
        <w:bottom w:val="none" w:sz="0" w:space="0" w:color="auto"/>
        <w:right w:val="none" w:sz="0" w:space="0" w:color="auto"/>
      </w:divBdr>
    </w:div>
    <w:div w:id="759528723">
      <w:bodyDiv w:val="1"/>
      <w:marLeft w:val="0"/>
      <w:marRight w:val="0"/>
      <w:marTop w:val="0"/>
      <w:marBottom w:val="0"/>
      <w:divBdr>
        <w:top w:val="none" w:sz="0" w:space="0" w:color="auto"/>
        <w:left w:val="none" w:sz="0" w:space="0" w:color="auto"/>
        <w:bottom w:val="none" w:sz="0" w:space="0" w:color="auto"/>
        <w:right w:val="none" w:sz="0" w:space="0" w:color="auto"/>
      </w:divBdr>
    </w:div>
    <w:div w:id="762871463">
      <w:bodyDiv w:val="1"/>
      <w:marLeft w:val="0"/>
      <w:marRight w:val="0"/>
      <w:marTop w:val="0"/>
      <w:marBottom w:val="0"/>
      <w:divBdr>
        <w:top w:val="none" w:sz="0" w:space="0" w:color="auto"/>
        <w:left w:val="none" w:sz="0" w:space="0" w:color="auto"/>
        <w:bottom w:val="none" w:sz="0" w:space="0" w:color="auto"/>
        <w:right w:val="none" w:sz="0" w:space="0" w:color="auto"/>
      </w:divBdr>
    </w:div>
    <w:div w:id="764963868">
      <w:bodyDiv w:val="1"/>
      <w:marLeft w:val="0"/>
      <w:marRight w:val="0"/>
      <w:marTop w:val="0"/>
      <w:marBottom w:val="0"/>
      <w:divBdr>
        <w:top w:val="none" w:sz="0" w:space="0" w:color="auto"/>
        <w:left w:val="none" w:sz="0" w:space="0" w:color="auto"/>
        <w:bottom w:val="none" w:sz="0" w:space="0" w:color="auto"/>
        <w:right w:val="none" w:sz="0" w:space="0" w:color="auto"/>
      </w:divBdr>
    </w:div>
    <w:div w:id="770513124">
      <w:bodyDiv w:val="1"/>
      <w:marLeft w:val="0"/>
      <w:marRight w:val="0"/>
      <w:marTop w:val="0"/>
      <w:marBottom w:val="0"/>
      <w:divBdr>
        <w:top w:val="none" w:sz="0" w:space="0" w:color="auto"/>
        <w:left w:val="none" w:sz="0" w:space="0" w:color="auto"/>
        <w:bottom w:val="none" w:sz="0" w:space="0" w:color="auto"/>
        <w:right w:val="none" w:sz="0" w:space="0" w:color="auto"/>
      </w:divBdr>
    </w:div>
    <w:div w:id="779111845">
      <w:bodyDiv w:val="1"/>
      <w:marLeft w:val="0"/>
      <w:marRight w:val="0"/>
      <w:marTop w:val="0"/>
      <w:marBottom w:val="0"/>
      <w:divBdr>
        <w:top w:val="none" w:sz="0" w:space="0" w:color="auto"/>
        <w:left w:val="none" w:sz="0" w:space="0" w:color="auto"/>
        <w:bottom w:val="none" w:sz="0" w:space="0" w:color="auto"/>
        <w:right w:val="none" w:sz="0" w:space="0" w:color="auto"/>
      </w:divBdr>
    </w:div>
    <w:div w:id="783235686">
      <w:bodyDiv w:val="1"/>
      <w:marLeft w:val="0"/>
      <w:marRight w:val="0"/>
      <w:marTop w:val="0"/>
      <w:marBottom w:val="0"/>
      <w:divBdr>
        <w:top w:val="none" w:sz="0" w:space="0" w:color="auto"/>
        <w:left w:val="none" w:sz="0" w:space="0" w:color="auto"/>
        <w:bottom w:val="none" w:sz="0" w:space="0" w:color="auto"/>
        <w:right w:val="none" w:sz="0" w:space="0" w:color="auto"/>
      </w:divBdr>
    </w:div>
    <w:div w:id="783621944">
      <w:bodyDiv w:val="1"/>
      <w:marLeft w:val="0"/>
      <w:marRight w:val="0"/>
      <w:marTop w:val="0"/>
      <w:marBottom w:val="0"/>
      <w:divBdr>
        <w:top w:val="none" w:sz="0" w:space="0" w:color="auto"/>
        <w:left w:val="none" w:sz="0" w:space="0" w:color="auto"/>
        <w:bottom w:val="none" w:sz="0" w:space="0" w:color="auto"/>
        <w:right w:val="none" w:sz="0" w:space="0" w:color="auto"/>
      </w:divBdr>
    </w:div>
    <w:div w:id="791553269">
      <w:bodyDiv w:val="1"/>
      <w:marLeft w:val="0"/>
      <w:marRight w:val="0"/>
      <w:marTop w:val="0"/>
      <w:marBottom w:val="0"/>
      <w:divBdr>
        <w:top w:val="none" w:sz="0" w:space="0" w:color="auto"/>
        <w:left w:val="none" w:sz="0" w:space="0" w:color="auto"/>
        <w:bottom w:val="none" w:sz="0" w:space="0" w:color="auto"/>
        <w:right w:val="none" w:sz="0" w:space="0" w:color="auto"/>
      </w:divBdr>
      <w:divsChild>
        <w:div w:id="1713993821">
          <w:marLeft w:val="274"/>
          <w:marRight w:val="0"/>
          <w:marTop w:val="0"/>
          <w:marBottom w:val="0"/>
          <w:divBdr>
            <w:top w:val="none" w:sz="0" w:space="0" w:color="auto"/>
            <w:left w:val="none" w:sz="0" w:space="0" w:color="auto"/>
            <w:bottom w:val="none" w:sz="0" w:space="0" w:color="auto"/>
            <w:right w:val="none" w:sz="0" w:space="0" w:color="auto"/>
          </w:divBdr>
        </w:div>
      </w:divsChild>
    </w:div>
    <w:div w:id="798569050">
      <w:bodyDiv w:val="1"/>
      <w:marLeft w:val="0"/>
      <w:marRight w:val="0"/>
      <w:marTop w:val="0"/>
      <w:marBottom w:val="0"/>
      <w:divBdr>
        <w:top w:val="none" w:sz="0" w:space="0" w:color="auto"/>
        <w:left w:val="none" w:sz="0" w:space="0" w:color="auto"/>
        <w:bottom w:val="none" w:sz="0" w:space="0" w:color="auto"/>
        <w:right w:val="none" w:sz="0" w:space="0" w:color="auto"/>
      </w:divBdr>
    </w:div>
    <w:div w:id="799305243">
      <w:bodyDiv w:val="1"/>
      <w:marLeft w:val="0"/>
      <w:marRight w:val="0"/>
      <w:marTop w:val="0"/>
      <w:marBottom w:val="0"/>
      <w:divBdr>
        <w:top w:val="none" w:sz="0" w:space="0" w:color="auto"/>
        <w:left w:val="none" w:sz="0" w:space="0" w:color="auto"/>
        <w:bottom w:val="none" w:sz="0" w:space="0" w:color="auto"/>
        <w:right w:val="none" w:sz="0" w:space="0" w:color="auto"/>
      </w:divBdr>
    </w:div>
    <w:div w:id="826094540">
      <w:bodyDiv w:val="1"/>
      <w:marLeft w:val="0"/>
      <w:marRight w:val="0"/>
      <w:marTop w:val="0"/>
      <w:marBottom w:val="0"/>
      <w:divBdr>
        <w:top w:val="none" w:sz="0" w:space="0" w:color="auto"/>
        <w:left w:val="none" w:sz="0" w:space="0" w:color="auto"/>
        <w:bottom w:val="none" w:sz="0" w:space="0" w:color="auto"/>
        <w:right w:val="none" w:sz="0" w:space="0" w:color="auto"/>
      </w:divBdr>
    </w:div>
    <w:div w:id="827209658">
      <w:bodyDiv w:val="1"/>
      <w:marLeft w:val="0"/>
      <w:marRight w:val="0"/>
      <w:marTop w:val="0"/>
      <w:marBottom w:val="0"/>
      <w:divBdr>
        <w:top w:val="none" w:sz="0" w:space="0" w:color="auto"/>
        <w:left w:val="none" w:sz="0" w:space="0" w:color="auto"/>
        <w:bottom w:val="none" w:sz="0" w:space="0" w:color="auto"/>
        <w:right w:val="none" w:sz="0" w:space="0" w:color="auto"/>
      </w:divBdr>
    </w:div>
    <w:div w:id="831026828">
      <w:bodyDiv w:val="1"/>
      <w:marLeft w:val="0"/>
      <w:marRight w:val="0"/>
      <w:marTop w:val="0"/>
      <w:marBottom w:val="0"/>
      <w:divBdr>
        <w:top w:val="none" w:sz="0" w:space="0" w:color="auto"/>
        <w:left w:val="none" w:sz="0" w:space="0" w:color="auto"/>
        <w:bottom w:val="none" w:sz="0" w:space="0" w:color="auto"/>
        <w:right w:val="none" w:sz="0" w:space="0" w:color="auto"/>
      </w:divBdr>
    </w:div>
    <w:div w:id="831994432">
      <w:bodyDiv w:val="1"/>
      <w:marLeft w:val="0"/>
      <w:marRight w:val="0"/>
      <w:marTop w:val="0"/>
      <w:marBottom w:val="0"/>
      <w:divBdr>
        <w:top w:val="none" w:sz="0" w:space="0" w:color="auto"/>
        <w:left w:val="none" w:sz="0" w:space="0" w:color="auto"/>
        <w:bottom w:val="none" w:sz="0" w:space="0" w:color="auto"/>
        <w:right w:val="none" w:sz="0" w:space="0" w:color="auto"/>
      </w:divBdr>
    </w:div>
    <w:div w:id="835612428">
      <w:bodyDiv w:val="1"/>
      <w:marLeft w:val="0"/>
      <w:marRight w:val="0"/>
      <w:marTop w:val="0"/>
      <w:marBottom w:val="0"/>
      <w:divBdr>
        <w:top w:val="none" w:sz="0" w:space="0" w:color="auto"/>
        <w:left w:val="none" w:sz="0" w:space="0" w:color="auto"/>
        <w:bottom w:val="none" w:sz="0" w:space="0" w:color="auto"/>
        <w:right w:val="none" w:sz="0" w:space="0" w:color="auto"/>
      </w:divBdr>
      <w:divsChild>
        <w:div w:id="1389649921">
          <w:marLeft w:val="0"/>
          <w:marRight w:val="0"/>
          <w:marTop w:val="0"/>
          <w:marBottom w:val="0"/>
          <w:divBdr>
            <w:top w:val="none" w:sz="0" w:space="0" w:color="auto"/>
            <w:left w:val="none" w:sz="0" w:space="0" w:color="auto"/>
            <w:bottom w:val="none" w:sz="0" w:space="0" w:color="auto"/>
            <w:right w:val="none" w:sz="0" w:space="0" w:color="auto"/>
          </w:divBdr>
        </w:div>
      </w:divsChild>
    </w:div>
    <w:div w:id="839926371">
      <w:bodyDiv w:val="1"/>
      <w:marLeft w:val="0"/>
      <w:marRight w:val="0"/>
      <w:marTop w:val="0"/>
      <w:marBottom w:val="0"/>
      <w:divBdr>
        <w:top w:val="none" w:sz="0" w:space="0" w:color="auto"/>
        <w:left w:val="none" w:sz="0" w:space="0" w:color="auto"/>
        <w:bottom w:val="none" w:sz="0" w:space="0" w:color="auto"/>
        <w:right w:val="none" w:sz="0" w:space="0" w:color="auto"/>
      </w:divBdr>
    </w:div>
    <w:div w:id="843861979">
      <w:bodyDiv w:val="1"/>
      <w:marLeft w:val="0"/>
      <w:marRight w:val="0"/>
      <w:marTop w:val="0"/>
      <w:marBottom w:val="0"/>
      <w:divBdr>
        <w:top w:val="none" w:sz="0" w:space="0" w:color="auto"/>
        <w:left w:val="none" w:sz="0" w:space="0" w:color="auto"/>
        <w:bottom w:val="none" w:sz="0" w:space="0" w:color="auto"/>
        <w:right w:val="none" w:sz="0" w:space="0" w:color="auto"/>
      </w:divBdr>
    </w:div>
    <w:div w:id="844436915">
      <w:bodyDiv w:val="1"/>
      <w:marLeft w:val="0"/>
      <w:marRight w:val="0"/>
      <w:marTop w:val="0"/>
      <w:marBottom w:val="0"/>
      <w:divBdr>
        <w:top w:val="none" w:sz="0" w:space="0" w:color="auto"/>
        <w:left w:val="none" w:sz="0" w:space="0" w:color="auto"/>
        <w:bottom w:val="none" w:sz="0" w:space="0" w:color="auto"/>
        <w:right w:val="none" w:sz="0" w:space="0" w:color="auto"/>
      </w:divBdr>
      <w:divsChild>
        <w:div w:id="852383201">
          <w:marLeft w:val="274"/>
          <w:marRight w:val="0"/>
          <w:marTop w:val="40"/>
          <w:marBottom w:val="40"/>
          <w:divBdr>
            <w:top w:val="none" w:sz="0" w:space="0" w:color="auto"/>
            <w:left w:val="none" w:sz="0" w:space="0" w:color="auto"/>
            <w:bottom w:val="none" w:sz="0" w:space="0" w:color="auto"/>
            <w:right w:val="none" w:sz="0" w:space="0" w:color="auto"/>
          </w:divBdr>
        </w:div>
      </w:divsChild>
    </w:div>
    <w:div w:id="851145648">
      <w:bodyDiv w:val="1"/>
      <w:marLeft w:val="0"/>
      <w:marRight w:val="0"/>
      <w:marTop w:val="0"/>
      <w:marBottom w:val="0"/>
      <w:divBdr>
        <w:top w:val="none" w:sz="0" w:space="0" w:color="auto"/>
        <w:left w:val="none" w:sz="0" w:space="0" w:color="auto"/>
        <w:bottom w:val="none" w:sz="0" w:space="0" w:color="auto"/>
        <w:right w:val="none" w:sz="0" w:space="0" w:color="auto"/>
      </w:divBdr>
    </w:div>
    <w:div w:id="851993272">
      <w:bodyDiv w:val="1"/>
      <w:marLeft w:val="0"/>
      <w:marRight w:val="0"/>
      <w:marTop w:val="0"/>
      <w:marBottom w:val="0"/>
      <w:divBdr>
        <w:top w:val="none" w:sz="0" w:space="0" w:color="auto"/>
        <w:left w:val="none" w:sz="0" w:space="0" w:color="auto"/>
        <w:bottom w:val="none" w:sz="0" w:space="0" w:color="auto"/>
        <w:right w:val="none" w:sz="0" w:space="0" w:color="auto"/>
      </w:divBdr>
      <w:divsChild>
        <w:div w:id="1947423701">
          <w:marLeft w:val="274"/>
          <w:marRight w:val="0"/>
          <w:marTop w:val="40"/>
          <w:marBottom w:val="40"/>
          <w:divBdr>
            <w:top w:val="none" w:sz="0" w:space="0" w:color="auto"/>
            <w:left w:val="none" w:sz="0" w:space="0" w:color="auto"/>
            <w:bottom w:val="none" w:sz="0" w:space="0" w:color="auto"/>
            <w:right w:val="none" w:sz="0" w:space="0" w:color="auto"/>
          </w:divBdr>
        </w:div>
      </w:divsChild>
    </w:div>
    <w:div w:id="853496278">
      <w:bodyDiv w:val="1"/>
      <w:marLeft w:val="0"/>
      <w:marRight w:val="0"/>
      <w:marTop w:val="0"/>
      <w:marBottom w:val="0"/>
      <w:divBdr>
        <w:top w:val="none" w:sz="0" w:space="0" w:color="auto"/>
        <w:left w:val="none" w:sz="0" w:space="0" w:color="auto"/>
        <w:bottom w:val="none" w:sz="0" w:space="0" w:color="auto"/>
        <w:right w:val="none" w:sz="0" w:space="0" w:color="auto"/>
      </w:divBdr>
    </w:div>
    <w:div w:id="858273882">
      <w:bodyDiv w:val="1"/>
      <w:marLeft w:val="0"/>
      <w:marRight w:val="0"/>
      <w:marTop w:val="0"/>
      <w:marBottom w:val="0"/>
      <w:divBdr>
        <w:top w:val="none" w:sz="0" w:space="0" w:color="auto"/>
        <w:left w:val="none" w:sz="0" w:space="0" w:color="auto"/>
        <w:bottom w:val="none" w:sz="0" w:space="0" w:color="auto"/>
        <w:right w:val="none" w:sz="0" w:space="0" w:color="auto"/>
      </w:divBdr>
    </w:div>
    <w:div w:id="860554580">
      <w:bodyDiv w:val="1"/>
      <w:marLeft w:val="0"/>
      <w:marRight w:val="0"/>
      <w:marTop w:val="0"/>
      <w:marBottom w:val="0"/>
      <w:divBdr>
        <w:top w:val="none" w:sz="0" w:space="0" w:color="auto"/>
        <w:left w:val="none" w:sz="0" w:space="0" w:color="auto"/>
        <w:bottom w:val="none" w:sz="0" w:space="0" w:color="auto"/>
        <w:right w:val="none" w:sz="0" w:space="0" w:color="auto"/>
      </w:divBdr>
    </w:div>
    <w:div w:id="862867774">
      <w:bodyDiv w:val="1"/>
      <w:marLeft w:val="0"/>
      <w:marRight w:val="0"/>
      <w:marTop w:val="0"/>
      <w:marBottom w:val="0"/>
      <w:divBdr>
        <w:top w:val="none" w:sz="0" w:space="0" w:color="auto"/>
        <w:left w:val="none" w:sz="0" w:space="0" w:color="auto"/>
        <w:bottom w:val="none" w:sz="0" w:space="0" w:color="auto"/>
        <w:right w:val="none" w:sz="0" w:space="0" w:color="auto"/>
      </w:divBdr>
    </w:div>
    <w:div w:id="864908654">
      <w:bodyDiv w:val="1"/>
      <w:marLeft w:val="0"/>
      <w:marRight w:val="0"/>
      <w:marTop w:val="0"/>
      <w:marBottom w:val="0"/>
      <w:divBdr>
        <w:top w:val="none" w:sz="0" w:space="0" w:color="auto"/>
        <w:left w:val="none" w:sz="0" w:space="0" w:color="auto"/>
        <w:bottom w:val="none" w:sz="0" w:space="0" w:color="auto"/>
        <w:right w:val="none" w:sz="0" w:space="0" w:color="auto"/>
      </w:divBdr>
    </w:div>
    <w:div w:id="868418665">
      <w:bodyDiv w:val="1"/>
      <w:marLeft w:val="0"/>
      <w:marRight w:val="0"/>
      <w:marTop w:val="0"/>
      <w:marBottom w:val="0"/>
      <w:divBdr>
        <w:top w:val="none" w:sz="0" w:space="0" w:color="auto"/>
        <w:left w:val="none" w:sz="0" w:space="0" w:color="auto"/>
        <w:bottom w:val="none" w:sz="0" w:space="0" w:color="auto"/>
        <w:right w:val="none" w:sz="0" w:space="0" w:color="auto"/>
      </w:divBdr>
    </w:div>
    <w:div w:id="870340533">
      <w:bodyDiv w:val="1"/>
      <w:marLeft w:val="0"/>
      <w:marRight w:val="0"/>
      <w:marTop w:val="0"/>
      <w:marBottom w:val="0"/>
      <w:divBdr>
        <w:top w:val="none" w:sz="0" w:space="0" w:color="auto"/>
        <w:left w:val="none" w:sz="0" w:space="0" w:color="auto"/>
        <w:bottom w:val="none" w:sz="0" w:space="0" w:color="auto"/>
        <w:right w:val="none" w:sz="0" w:space="0" w:color="auto"/>
      </w:divBdr>
    </w:div>
    <w:div w:id="872500835">
      <w:bodyDiv w:val="1"/>
      <w:marLeft w:val="0"/>
      <w:marRight w:val="0"/>
      <w:marTop w:val="0"/>
      <w:marBottom w:val="0"/>
      <w:divBdr>
        <w:top w:val="none" w:sz="0" w:space="0" w:color="auto"/>
        <w:left w:val="none" w:sz="0" w:space="0" w:color="auto"/>
        <w:bottom w:val="none" w:sz="0" w:space="0" w:color="auto"/>
        <w:right w:val="none" w:sz="0" w:space="0" w:color="auto"/>
      </w:divBdr>
    </w:div>
    <w:div w:id="873999610">
      <w:bodyDiv w:val="1"/>
      <w:marLeft w:val="0"/>
      <w:marRight w:val="0"/>
      <w:marTop w:val="0"/>
      <w:marBottom w:val="0"/>
      <w:divBdr>
        <w:top w:val="none" w:sz="0" w:space="0" w:color="auto"/>
        <w:left w:val="none" w:sz="0" w:space="0" w:color="auto"/>
        <w:bottom w:val="none" w:sz="0" w:space="0" w:color="auto"/>
        <w:right w:val="none" w:sz="0" w:space="0" w:color="auto"/>
      </w:divBdr>
    </w:div>
    <w:div w:id="874847529">
      <w:bodyDiv w:val="1"/>
      <w:marLeft w:val="0"/>
      <w:marRight w:val="0"/>
      <w:marTop w:val="0"/>
      <w:marBottom w:val="0"/>
      <w:divBdr>
        <w:top w:val="none" w:sz="0" w:space="0" w:color="auto"/>
        <w:left w:val="none" w:sz="0" w:space="0" w:color="auto"/>
        <w:bottom w:val="none" w:sz="0" w:space="0" w:color="auto"/>
        <w:right w:val="none" w:sz="0" w:space="0" w:color="auto"/>
      </w:divBdr>
    </w:div>
    <w:div w:id="879318091">
      <w:bodyDiv w:val="1"/>
      <w:marLeft w:val="0"/>
      <w:marRight w:val="0"/>
      <w:marTop w:val="0"/>
      <w:marBottom w:val="0"/>
      <w:divBdr>
        <w:top w:val="none" w:sz="0" w:space="0" w:color="auto"/>
        <w:left w:val="none" w:sz="0" w:space="0" w:color="auto"/>
        <w:bottom w:val="none" w:sz="0" w:space="0" w:color="auto"/>
        <w:right w:val="none" w:sz="0" w:space="0" w:color="auto"/>
      </w:divBdr>
    </w:div>
    <w:div w:id="882597101">
      <w:bodyDiv w:val="1"/>
      <w:marLeft w:val="0"/>
      <w:marRight w:val="0"/>
      <w:marTop w:val="0"/>
      <w:marBottom w:val="0"/>
      <w:divBdr>
        <w:top w:val="none" w:sz="0" w:space="0" w:color="auto"/>
        <w:left w:val="none" w:sz="0" w:space="0" w:color="auto"/>
        <w:bottom w:val="none" w:sz="0" w:space="0" w:color="auto"/>
        <w:right w:val="none" w:sz="0" w:space="0" w:color="auto"/>
      </w:divBdr>
    </w:div>
    <w:div w:id="894269485">
      <w:bodyDiv w:val="1"/>
      <w:marLeft w:val="0"/>
      <w:marRight w:val="0"/>
      <w:marTop w:val="0"/>
      <w:marBottom w:val="0"/>
      <w:divBdr>
        <w:top w:val="none" w:sz="0" w:space="0" w:color="auto"/>
        <w:left w:val="none" w:sz="0" w:space="0" w:color="auto"/>
        <w:bottom w:val="none" w:sz="0" w:space="0" w:color="auto"/>
        <w:right w:val="none" w:sz="0" w:space="0" w:color="auto"/>
      </w:divBdr>
      <w:divsChild>
        <w:div w:id="663977163">
          <w:marLeft w:val="0"/>
          <w:marRight w:val="0"/>
          <w:marTop w:val="0"/>
          <w:marBottom w:val="0"/>
          <w:divBdr>
            <w:top w:val="none" w:sz="0" w:space="0" w:color="auto"/>
            <w:left w:val="none" w:sz="0" w:space="0" w:color="auto"/>
            <w:bottom w:val="none" w:sz="0" w:space="0" w:color="auto"/>
            <w:right w:val="none" w:sz="0" w:space="0" w:color="auto"/>
          </w:divBdr>
        </w:div>
      </w:divsChild>
    </w:div>
    <w:div w:id="907767803">
      <w:bodyDiv w:val="1"/>
      <w:marLeft w:val="0"/>
      <w:marRight w:val="0"/>
      <w:marTop w:val="0"/>
      <w:marBottom w:val="0"/>
      <w:divBdr>
        <w:top w:val="none" w:sz="0" w:space="0" w:color="auto"/>
        <w:left w:val="none" w:sz="0" w:space="0" w:color="auto"/>
        <w:bottom w:val="none" w:sz="0" w:space="0" w:color="auto"/>
        <w:right w:val="none" w:sz="0" w:space="0" w:color="auto"/>
      </w:divBdr>
      <w:divsChild>
        <w:div w:id="482238332">
          <w:marLeft w:val="274"/>
          <w:marRight w:val="0"/>
          <w:marTop w:val="40"/>
          <w:marBottom w:val="40"/>
          <w:divBdr>
            <w:top w:val="none" w:sz="0" w:space="0" w:color="auto"/>
            <w:left w:val="none" w:sz="0" w:space="0" w:color="auto"/>
            <w:bottom w:val="none" w:sz="0" w:space="0" w:color="auto"/>
            <w:right w:val="none" w:sz="0" w:space="0" w:color="auto"/>
          </w:divBdr>
        </w:div>
        <w:div w:id="732698085">
          <w:marLeft w:val="274"/>
          <w:marRight w:val="0"/>
          <w:marTop w:val="40"/>
          <w:marBottom w:val="40"/>
          <w:divBdr>
            <w:top w:val="none" w:sz="0" w:space="0" w:color="auto"/>
            <w:left w:val="none" w:sz="0" w:space="0" w:color="auto"/>
            <w:bottom w:val="none" w:sz="0" w:space="0" w:color="auto"/>
            <w:right w:val="none" w:sz="0" w:space="0" w:color="auto"/>
          </w:divBdr>
        </w:div>
        <w:div w:id="945887333">
          <w:marLeft w:val="274"/>
          <w:marRight w:val="0"/>
          <w:marTop w:val="40"/>
          <w:marBottom w:val="40"/>
          <w:divBdr>
            <w:top w:val="none" w:sz="0" w:space="0" w:color="auto"/>
            <w:left w:val="none" w:sz="0" w:space="0" w:color="auto"/>
            <w:bottom w:val="none" w:sz="0" w:space="0" w:color="auto"/>
            <w:right w:val="none" w:sz="0" w:space="0" w:color="auto"/>
          </w:divBdr>
        </w:div>
        <w:div w:id="1178691811">
          <w:marLeft w:val="274"/>
          <w:marRight w:val="0"/>
          <w:marTop w:val="40"/>
          <w:marBottom w:val="40"/>
          <w:divBdr>
            <w:top w:val="none" w:sz="0" w:space="0" w:color="auto"/>
            <w:left w:val="none" w:sz="0" w:space="0" w:color="auto"/>
            <w:bottom w:val="none" w:sz="0" w:space="0" w:color="auto"/>
            <w:right w:val="none" w:sz="0" w:space="0" w:color="auto"/>
          </w:divBdr>
        </w:div>
      </w:divsChild>
    </w:div>
    <w:div w:id="909466357">
      <w:bodyDiv w:val="1"/>
      <w:marLeft w:val="0"/>
      <w:marRight w:val="0"/>
      <w:marTop w:val="0"/>
      <w:marBottom w:val="0"/>
      <w:divBdr>
        <w:top w:val="none" w:sz="0" w:space="0" w:color="auto"/>
        <w:left w:val="none" w:sz="0" w:space="0" w:color="auto"/>
        <w:bottom w:val="none" w:sz="0" w:space="0" w:color="auto"/>
        <w:right w:val="none" w:sz="0" w:space="0" w:color="auto"/>
      </w:divBdr>
    </w:div>
    <w:div w:id="916859438">
      <w:bodyDiv w:val="1"/>
      <w:marLeft w:val="0"/>
      <w:marRight w:val="0"/>
      <w:marTop w:val="0"/>
      <w:marBottom w:val="0"/>
      <w:divBdr>
        <w:top w:val="none" w:sz="0" w:space="0" w:color="auto"/>
        <w:left w:val="none" w:sz="0" w:space="0" w:color="auto"/>
        <w:bottom w:val="none" w:sz="0" w:space="0" w:color="auto"/>
        <w:right w:val="none" w:sz="0" w:space="0" w:color="auto"/>
      </w:divBdr>
    </w:div>
    <w:div w:id="922877957">
      <w:bodyDiv w:val="1"/>
      <w:marLeft w:val="0"/>
      <w:marRight w:val="0"/>
      <w:marTop w:val="0"/>
      <w:marBottom w:val="0"/>
      <w:divBdr>
        <w:top w:val="none" w:sz="0" w:space="0" w:color="auto"/>
        <w:left w:val="none" w:sz="0" w:space="0" w:color="auto"/>
        <w:bottom w:val="none" w:sz="0" w:space="0" w:color="auto"/>
        <w:right w:val="none" w:sz="0" w:space="0" w:color="auto"/>
      </w:divBdr>
    </w:div>
    <w:div w:id="925115692">
      <w:bodyDiv w:val="1"/>
      <w:marLeft w:val="0"/>
      <w:marRight w:val="0"/>
      <w:marTop w:val="0"/>
      <w:marBottom w:val="0"/>
      <w:divBdr>
        <w:top w:val="none" w:sz="0" w:space="0" w:color="auto"/>
        <w:left w:val="none" w:sz="0" w:space="0" w:color="auto"/>
        <w:bottom w:val="none" w:sz="0" w:space="0" w:color="auto"/>
        <w:right w:val="none" w:sz="0" w:space="0" w:color="auto"/>
      </w:divBdr>
    </w:div>
    <w:div w:id="925265585">
      <w:bodyDiv w:val="1"/>
      <w:marLeft w:val="0"/>
      <w:marRight w:val="0"/>
      <w:marTop w:val="0"/>
      <w:marBottom w:val="0"/>
      <w:divBdr>
        <w:top w:val="none" w:sz="0" w:space="0" w:color="auto"/>
        <w:left w:val="none" w:sz="0" w:space="0" w:color="auto"/>
        <w:bottom w:val="none" w:sz="0" w:space="0" w:color="auto"/>
        <w:right w:val="none" w:sz="0" w:space="0" w:color="auto"/>
      </w:divBdr>
    </w:div>
    <w:div w:id="925307445">
      <w:bodyDiv w:val="1"/>
      <w:marLeft w:val="0"/>
      <w:marRight w:val="0"/>
      <w:marTop w:val="0"/>
      <w:marBottom w:val="0"/>
      <w:divBdr>
        <w:top w:val="none" w:sz="0" w:space="0" w:color="auto"/>
        <w:left w:val="none" w:sz="0" w:space="0" w:color="auto"/>
        <w:bottom w:val="none" w:sz="0" w:space="0" w:color="auto"/>
        <w:right w:val="none" w:sz="0" w:space="0" w:color="auto"/>
      </w:divBdr>
    </w:div>
    <w:div w:id="934706207">
      <w:bodyDiv w:val="1"/>
      <w:marLeft w:val="0"/>
      <w:marRight w:val="0"/>
      <w:marTop w:val="0"/>
      <w:marBottom w:val="0"/>
      <w:divBdr>
        <w:top w:val="none" w:sz="0" w:space="0" w:color="auto"/>
        <w:left w:val="none" w:sz="0" w:space="0" w:color="auto"/>
        <w:bottom w:val="none" w:sz="0" w:space="0" w:color="auto"/>
        <w:right w:val="none" w:sz="0" w:space="0" w:color="auto"/>
      </w:divBdr>
    </w:div>
    <w:div w:id="937836049">
      <w:bodyDiv w:val="1"/>
      <w:marLeft w:val="0"/>
      <w:marRight w:val="0"/>
      <w:marTop w:val="0"/>
      <w:marBottom w:val="0"/>
      <w:divBdr>
        <w:top w:val="none" w:sz="0" w:space="0" w:color="auto"/>
        <w:left w:val="none" w:sz="0" w:space="0" w:color="auto"/>
        <w:bottom w:val="none" w:sz="0" w:space="0" w:color="auto"/>
        <w:right w:val="none" w:sz="0" w:space="0" w:color="auto"/>
      </w:divBdr>
      <w:divsChild>
        <w:div w:id="933198558">
          <w:marLeft w:val="0"/>
          <w:marRight w:val="0"/>
          <w:marTop w:val="0"/>
          <w:marBottom w:val="0"/>
          <w:divBdr>
            <w:top w:val="none" w:sz="0" w:space="0" w:color="auto"/>
            <w:left w:val="none" w:sz="0" w:space="0" w:color="auto"/>
            <w:bottom w:val="none" w:sz="0" w:space="0" w:color="auto"/>
            <w:right w:val="none" w:sz="0" w:space="0" w:color="auto"/>
          </w:divBdr>
          <w:divsChild>
            <w:div w:id="1959876222">
              <w:marLeft w:val="0"/>
              <w:marRight w:val="0"/>
              <w:marTop w:val="0"/>
              <w:marBottom w:val="0"/>
              <w:divBdr>
                <w:top w:val="none" w:sz="0" w:space="0" w:color="auto"/>
                <w:left w:val="none" w:sz="0" w:space="0" w:color="auto"/>
                <w:bottom w:val="none" w:sz="0" w:space="0" w:color="auto"/>
                <w:right w:val="none" w:sz="0" w:space="0" w:color="auto"/>
              </w:divBdr>
              <w:divsChild>
                <w:div w:id="3484998">
                  <w:marLeft w:val="0"/>
                  <w:marRight w:val="0"/>
                  <w:marTop w:val="0"/>
                  <w:marBottom w:val="0"/>
                  <w:divBdr>
                    <w:top w:val="none" w:sz="0" w:space="0" w:color="auto"/>
                    <w:left w:val="none" w:sz="0" w:space="0" w:color="auto"/>
                    <w:bottom w:val="none" w:sz="0" w:space="0" w:color="auto"/>
                    <w:right w:val="none" w:sz="0" w:space="0" w:color="auto"/>
                  </w:divBdr>
                  <w:divsChild>
                    <w:div w:id="1008559862">
                      <w:marLeft w:val="0"/>
                      <w:marRight w:val="0"/>
                      <w:marTop w:val="0"/>
                      <w:marBottom w:val="0"/>
                      <w:divBdr>
                        <w:top w:val="none" w:sz="0" w:space="0" w:color="auto"/>
                        <w:left w:val="none" w:sz="0" w:space="0" w:color="auto"/>
                        <w:bottom w:val="none" w:sz="0" w:space="0" w:color="auto"/>
                        <w:right w:val="none" w:sz="0" w:space="0" w:color="auto"/>
                      </w:divBdr>
                      <w:divsChild>
                        <w:div w:id="1220899202">
                          <w:marLeft w:val="13380"/>
                          <w:marRight w:val="0"/>
                          <w:marTop w:val="0"/>
                          <w:marBottom w:val="0"/>
                          <w:divBdr>
                            <w:top w:val="none" w:sz="0" w:space="0" w:color="auto"/>
                            <w:left w:val="none" w:sz="0" w:space="0" w:color="auto"/>
                            <w:bottom w:val="none" w:sz="0" w:space="0" w:color="auto"/>
                            <w:right w:val="none" w:sz="0" w:space="0" w:color="auto"/>
                          </w:divBdr>
                          <w:divsChild>
                            <w:div w:id="521747585">
                              <w:marLeft w:val="0"/>
                              <w:marRight w:val="0"/>
                              <w:marTop w:val="0"/>
                              <w:marBottom w:val="0"/>
                              <w:divBdr>
                                <w:top w:val="none" w:sz="0" w:space="0" w:color="auto"/>
                                <w:left w:val="none" w:sz="0" w:space="0" w:color="auto"/>
                                <w:bottom w:val="none" w:sz="0" w:space="0" w:color="auto"/>
                                <w:right w:val="none" w:sz="0" w:space="0" w:color="auto"/>
                              </w:divBdr>
                              <w:divsChild>
                                <w:div w:id="1806921443">
                                  <w:marLeft w:val="0"/>
                                  <w:marRight w:val="0"/>
                                  <w:marTop w:val="0"/>
                                  <w:marBottom w:val="0"/>
                                  <w:divBdr>
                                    <w:top w:val="none" w:sz="0" w:space="0" w:color="auto"/>
                                    <w:left w:val="none" w:sz="0" w:space="0" w:color="auto"/>
                                    <w:bottom w:val="none" w:sz="0" w:space="0" w:color="auto"/>
                                    <w:right w:val="none" w:sz="0" w:space="0" w:color="auto"/>
                                  </w:divBdr>
                                  <w:divsChild>
                                    <w:div w:id="1544904957">
                                      <w:marLeft w:val="0"/>
                                      <w:marRight w:val="0"/>
                                      <w:marTop w:val="0"/>
                                      <w:marBottom w:val="0"/>
                                      <w:divBdr>
                                        <w:top w:val="none" w:sz="0" w:space="0" w:color="auto"/>
                                        <w:left w:val="none" w:sz="0" w:space="0" w:color="auto"/>
                                        <w:bottom w:val="none" w:sz="0" w:space="0" w:color="auto"/>
                                        <w:right w:val="none" w:sz="0" w:space="0" w:color="auto"/>
                                      </w:divBdr>
                                      <w:divsChild>
                                        <w:div w:id="248077261">
                                          <w:marLeft w:val="0"/>
                                          <w:marRight w:val="0"/>
                                          <w:marTop w:val="0"/>
                                          <w:marBottom w:val="0"/>
                                          <w:divBdr>
                                            <w:top w:val="none" w:sz="0" w:space="0" w:color="auto"/>
                                            <w:left w:val="none" w:sz="0" w:space="0" w:color="auto"/>
                                            <w:bottom w:val="none" w:sz="0" w:space="0" w:color="auto"/>
                                            <w:right w:val="none" w:sz="0" w:space="0" w:color="auto"/>
                                          </w:divBdr>
                                          <w:divsChild>
                                            <w:div w:id="1461268297">
                                              <w:marLeft w:val="0"/>
                                              <w:marRight w:val="0"/>
                                              <w:marTop w:val="0"/>
                                              <w:marBottom w:val="0"/>
                                              <w:divBdr>
                                                <w:top w:val="none" w:sz="0" w:space="0" w:color="auto"/>
                                                <w:left w:val="none" w:sz="0" w:space="0" w:color="auto"/>
                                                <w:bottom w:val="none" w:sz="0" w:space="0" w:color="auto"/>
                                                <w:right w:val="none" w:sz="0" w:space="0" w:color="auto"/>
                                              </w:divBdr>
                                              <w:divsChild>
                                                <w:div w:id="845484225">
                                                  <w:marLeft w:val="0"/>
                                                  <w:marRight w:val="0"/>
                                                  <w:marTop w:val="0"/>
                                                  <w:marBottom w:val="0"/>
                                                  <w:divBdr>
                                                    <w:top w:val="none" w:sz="0" w:space="0" w:color="auto"/>
                                                    <w:left w:val="none" w:sz="0" w:space="0" w:color="auto"/>
                                                    <w:bottom w:val="none" w:sz="0" w:space="0" w:color="auto"/>
                                                    <w:right w:val="none" w:sz="0" w:space="0" w:color="auto"/>
                                                  </w:divBdr>
                                                  <w:divsChild>
                                                    <w:div w:id="690037397">
                                                      <w:marLeft w:val="0"/>
                                                      <w:marRight w:val="0"/>
                                                      <w:marTop w:val="0"/>
                                                      <w:marBottom w:val="0"/>
                                                      <w:divBdr>
                                                        <w:top w:val="none" w:sz="0" w:space="0" w:color="auto"/>
                                                        <w:left w:val="none" w:sz="0" w:space="0" w:color="auto"/>
                                                        <w:bottom w:val="none" w:sz="0" w:space="0" w:color="auto"/>
                                                        <w:right w:val="none" w:sz="0" w:space="0" w:color="auto"/>
                                                      </w:divBdr>
                                                      <w:divsChild>
                                                        <w:div w:id="598949380">
                                                          <w:marLeft w:val="0"/>
                                                          <w:marRight w:val="0"/>
                                                          <w:marTop w:val="0"/>
                                                          <w:marBottom w:val="0"/>
                                                          <w:divBdr>
                                                            <w:top w:val="none" w:sz="0" w:space="0" w:color="auto"/>
                                                            <w:left w:val="none" w:sz="0" w:space="0" w:color="auto"/>
                                                            <w:bottom w:val="none" w:sz="0" w:space="0" w:color="auto"/>
                                                            <w:right w:val="none" w:sz="0" w:space="0" w:color="auto"/>
                                                          </w:divBdr>
                                                          <w:divsChild>
                                                            <w:div w:id="19102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3243363">
      <w:bodyDiv w:val="1"/>
      <w:marLeft w:val="0"/>
      <w:marRight w:val="0"/>
      <w:marTop w:val="0"/>
      <w:marBottom w:val="0"/>
      <w:divBdr>
        <w:top w:val="none" w:sz="0" w:space="0" w:color="auto"/>
        <w:left w:val="none" w:sz="0" w:space="0" w:color="auto"/>
        <w:bottom w:val="none" w:sz="0" w:space="0" w:color="auto"/>
        <w:right w:val="none" w:sz="0" w:space="0" w:color="auto"/>
      </w:divBdr>
      <w:divsChild>
        <w:div w:id="1833835914">
          <w:marLeft w:val="274"/>
          <w:marRight w:val="0"/>
          <w:marTop w:val="40"/>
          <w:marBottom w:val="40"/>
          <w:divBdr>
            <w:top w:val="none" w:sz="0" w:space="0" w:color="auto"/>
            <w:left w:val="none" w:sz="0" w:space="0" w:color="auto"/>
            <w:bottom w:val="none" w:sz="0" w:space="0" w:color="auto"/>
            <w:right w:val="none" w:sz="0" w:space="0" w:color="auto"/>
          </w:divBdr>
        </w:div>
      </w:divsChild>
    </w:div>
    <w:div w:id="956718716">
      <w:bodyDiv w:val="1"/>
      <w:marLeft w:val="0"/>
      <w:marRight w:val="0"/>
      <w:marTop w:val="0"/>
      <w:marBottom w:val="0"/>
      <w:divBdr>
        <w:top w:val="none" w:sz="0" w:space="0" w:color="auto"/>
        <w:left w:val="none" w:sz="0" w:space="0" w:color="auto"/>
        <w:bottom w:val="none" w:sz="0" w:space="0" w:color="auto"/>
        <w:right w:val="none" w:sz="0" w:space="0" w:color="auto"/>
      </w:divBdr>
    </w:div>
    <w:div w:id="958875945">
      <w:bodyDiv w:val="1"/>
      <w:marLeft w:val="0"/>
      <w:marRight w:val="0"/>
      <w:marTop w:val="0"/>
      <w:marBottom w:val="0"/>
      <w:divBdr>
        <w:top w:val="none" w:sz="0" w:space="0" w:color="auto"/>
        <w:left w:val="none" w:sz="0" w:space="0" w:color="auto"/>
        <w:bottom w:val="none" w:sz="0" w:space="0" w:color="auto"/>
        <w:right w:val="none" w:sz="0" w:space="0" w:color="auto"/>
      </w:divBdr>
      <w:divsChild>
        <w:div w:id="259215284">
          <w:marLeft w:val="274"/>
          <w:marRight w:val="0"/>
          <w:marTop w:val="0"/>
          <w:marBottom w:val="0"/>
          <w:divBdr>
            <w:top w:val="none" w:sz="0" w:space="0" w:color="auto"/>
            <w:left w:val="none" w:sz="0" w:space="0" w:color="auto"/>
            <w:bottom w:val="none" w:sz="0" w:space="0" w:color="auto"/>
            <w:right w:val="none" w:sz="0" w:space="0" w:color="auto"/>
          </w:divBdr>
        </w:div>
      </w:divsChild>
    </w:div>
    <w:div w:id="977959547">
      <w:bodyDiv w:val="1"/>
      <w:marLeft w:val="0"/>
      <w:marRight w:val="0"/>
      <w:marTop w:val="0"/>
      <w:marBottom w:val="0"/>
      <w:divBdr>
        <w:top w:val="none" w:sz="0" w:space="0" w:color="auto"/>
        <w:left w:val="none" w:sz="0" w:space="0" w:color="auto"/>
        <w:bottom w:val="none" w:sz="0" w:space="0" w:color="auto"/>
        <w:right w:val="none" w:sz="0" w:space="0" w:color="auto"/>
      </w:divBdr>
    </w:div>
    <w:div w:id="980770444">
      <w:bodyDiv w:val="1"/>
      <w:marLeft w:val="0"/>
      <w:marRight w:val="0"/>
      <w:marTop w:val="0"/>
      <w:marBottom w:val="0"/>
      <w:divBdr>
        <w:top w:val="none" w:sz="0" w:space="0" w:color="auto"/>
        <w:left w:val="none" w:sz="0" w:space="0" w:color="auto"/>
        <w:bottom w:val="none" w:sz="0" w:space="0" w:color="auto"/>
        <w:right w:val="none" w:sz="0" w:space="0" w:color="auto"/>
      </w:divBdr>
    </w:div>
    <w:div w:id="981272964">
      <w:bodyDiv w:val="1"/>
      <w:marLeft w:val="0"/>
      <w:marRight w:val="0"/>
      <w:marTop w:val="0"/>
      <w:marBottom w:val="0"/>
      <w:divBdr>
        <w:top w:val="none" w:sz="0" w:space="0" w:color="auto"/>
        <w:left w:val="none" w:sz="0" w:space="0" w:color="auto"/>
        <w:bottom w:val="none" w:sz="0" w:space="0" w:color="auto"/>
        <w:right w:val="none" w:sz="0" w:space="0" w:color="auto"/>
      </w:divBdr>
    </w:div>
    <w:div w:id="984236382">
      <w:bodyDiv w:val="1"/>
      <w:marLeft w:val="0"/>
      <w:marRight w:val="0"/>
      <w:marTop w:val="0"/>
      <w:marBottom w:val="0"/>
      <w:divBdr>
        <w:top w:val="none" w:sz="0" w:space="0" w:color="auto"/>
        <w:left w:val="none" w:sz="0" w:space="0" w:color="auto"/>
        <w:bottom w:val="none" w:sz="0" w:space="0" w:color="auto"/>
        <w:right w:val="none" w:sz="0" w:space="0" w:color="auto"/>
      </w:divBdr>
    </w:div>
    <w:div w:id="1002973238">
      <w:bodyDiv w:val="1"/>
      <w:marLeft w:val="0"/>
      <w:marRight w:val="0"/>
      <w:marTop w:val="0"/>
      <w:marBottom w:val="0"/>
      <w:divBdr>
        <w:top w:val="none" w:sz="0" w:space="0" w:color="auto"/>
        <w:left w:val="none" w:sz="0" w:space="0" w:color="auto"/>
        <w:bottom w:val="none" w:sz="0" w:space="0" w:color="auto"/>
        <w:right w:val="none" w:sz="0" w:space="0" w:color="auto"/>
      </w:divBdr>
    </w:div>
    <w:div w:id="1006593540">
      <w:bodyDiv w:val="1"/>
      <w:marLeft w:val="0"/>
      <w:marRight w:val="0"/>
      <w:marTop w:val="0"/>
      <w:marBottom w:val="0"/>
      <w:divBdr>
        <w:top w:val="none" w:sz="0" w:space="0" w:color="auto"/>
        <w:left w:val="none" w:sz="0" w:space="0" w:color="auto"/>
        <w:bottom w:val="none" w:sz="0" w:space="0" w:color="auto"/>
        <w:right w:val="none" w:sz="0" w:space="0" w:color="auto"/>
      </w:divBdr>
    </w:div>
    <w:div w:id="1007944050">
      <w:bodyDiv w:val="1"/>
      <w:marLeft w:val="0"/>
      <w:marRight w:val="0"/>
      <w:marTop w:val="0"/>
      <w:marBottom w:val="0"/>
      <w:divBdr>
        <w:top w:val="none" w:sz="0" w:space="0" w:color="auto"/>
        <w:left w:val="none" w:sz="0" w:space="0" w:color="auto"/>
        <w:bottom w:val="none" w:sz="0" w:space="0" w:color="auto"/>
        <w:right w:val="none" w:sz="0" w:space="0" w:color="auto"/>
      </w:divBdr>
    </w:div>
    <w:div w:id="1009984025">
      <w:bodyDiv w:val="1"/>
      <w:marLeft w:val="0"/>
      <w:marRight w:val="0"/>
      <w:marTop w:val="0"/>
      <w:marBottom w:val="0"/>
      <w:divBdr>
        <w:top w:val="none" w:sz="0" w:space="0" w:color="auto"/>
        <w:left w:val="none" w:sz="0" w:space="0" w:color="auto"/>
        <w:bottom w:val="none" w:sz="0" w:space="0" w:color="auto"/>
        <w:right w:val="none" w:sz="0" w:space="0" w:color="auto"/>
      </w:divBdr>
    </w:div>
    <w:div w:id="1018848199">
      <w:bodyDiv w:val="1"/>
      <w:marLeft w:val="0"/>
      <w:marRight w:val="0"/>
      <w:marTop w:val="0"/>
      <w:marBottom w:val="0"/>
      <w:divBdr>
        <w:top w:val="none" w:sz="0" w:space="0" w:color="auto"/>
        <w:left w:val="none" w:sz="0" w:space="0" w:color="auto"/>
        <w:bottom w:val="none" w:sz="0" w:space="0" w:color="auto"/>
        <w:right w:val="none" w:sz="0" w:space="0" w:color="auto"/>
      </w:divBdr>
    </w:div>
    <w:div w:id="1024017935">
      <w:bodyDiv w:val="1"/>
      <w:marLeft w:val="0"/>
      <w:marRight w:val="0"/>
      <w:marTop w:val="0"/>
      <w:marBottom w:val="0"/>
      <w:divBdr>
        <w:top w:val="none" w:sz="0" w:space="0" w:color="auto"/>
        <w:left w:val="none" w:sz="0" w:space="0" w:color="auto"/>
        <w:bottom w:val="none" w:sz="0" w:space="0" w:color="auto"/>
        <w:right w:val="none" w:sz="0" w:space="0" w:color="auto"/>
      </w:divBdr>
    </w:div>
    <w:div w:id="1035279173">
      <w:bodyDiv w:val="1"/>
      <w:marLeft w:val="0"/>
      <w:marRight w:val="0"/>
      <w:marTop w:val="0"/>
      <w:marBottom w:val="0"/>
      <w:divBdr>
        <w:top w:val="none" w:sz="0" w:space="0" w:color="auto"/>
        <w:left w:val="none" w:sz="0" w:space="0" w:color="auto"/>
        <w:bottom w:val="none" w:sz="0" w:space="0" w:color="auto"/>
        <w:right w:val="none" w:sz="0" w:space="0" w:color="auto"/>
      </w:divBdr>
    </w:div>
    <w:div w:id="1042436335">
      <w:bodyDiv w:val="1"/>
      <w:marLeft w:val="0"/>
      <w:marRight w:val="0"/>
      <w:marTop w:val="0"/>
      <w:marBottom w:val="0"/>
      <w:divBdr>
        <w:top w:val="none" w:sz="0" w:space="0" w:color="auto"/>
        <w:left w:val="none" w:sz="0" w:space="0" w:color="auto"/>
        <w:bottom w:val="none" w:sz="0" w:space="0" w:color="auto"/>
        <w:right w:val="none" w:sz="0" w:space="0" w:color="auto"/>
      </w:divBdr>
      <w:divsChild>
        <w:div w:id="38752173">
          <w:marLeft w:val="274"/>
          <w:marRight w:val="0"/>
          <w:marTop w:val="60"/>
          <w:marBottom w:val="60"/>
          <w:divBdr>
            <w:top w:val="none" w:sz="0" w:space="0" w:color="auto"/>
            <w:left w:val="none" w:sz="0" w:space="0" w:color="auto"/>
            <w:bottom w:val="none" w:sz="0" w:space="0" w:color="auto"/>
            <w:right w:val="none" w:sz="0" w:space="0" w:color="auto"/>
          </w:divBdr>
        </w:div>
        <w:div w:id="1126579503">
          <w:marLeft w:val="274"/>
          <w:marRight w:val="0"/>
          <w:marTop w:val="60"/>
          <w:marBottom w:val="60"/>
          <w:divBdr>
            <w:top w:val="none" w:sz="0" w:space="0" w:color="auto"/>
            <w:left w:val="none" w:sz="0" w:space="0" w:color="auto"/>
            <w:bottom w:val="none" w:sz="0" w:space="0" w:color="auto"/>
            <w:right w:val="none" w:sz="0" w:space="0" w:color="auto"/>
          </w:divBdr>
        </w:div>
      </w:divsChild>
    </w:div>
    <w:div w:id="1056047356">
      <w:bodyDiv w:val="1"/>
      <w:marLeft w:val="0"/>
      <w:marRight w:val="0"/>
      <w:marTop w:val="0"/>
      <w:marBottom w:val="0"/>
      <w:divBdr>
        <w:top w:val="none" w:sz="0" w:space="0" w:color="auto"/>
        <w:left w:val="none" w:sz="0" w:space="0" w:color="auto"/>
        <w:bottom w:val="none" w:sz="0" w:space="0" w:color="auto"/>
        <w:right w:val="none" w:sz="0" w:space="0" w:color="auto"/>
      </w:divBdr>
    </w:div>
    <w:div w:id="1056706092">
      <w:bodyDiv w:val="1"/>
      <w:marLeft w:val="0"/>
      <w:marRight w:val="0"/>
      <w:marTop w:val="0"/>
      <w:marBottom w:val="0"/>
      <w:divBdr>
        <w:top w:val="none" w:sz="0" w:space="0" w:color="auto"/>
        <w:left w:val="none" w:sz="0" w:space="0" w:color="auto"/>
        <w:bottom w:val="none" w:sz="0" w:space="0" w:color="auto"/>
        <w:right w:val="none" w:sz="0" w:space="0" w:color="auto"/>
      </w:divBdr>
    </w:div>
    <w:div w:id="1059401040">
      <w:bodyDiv w:val="1"/>
      <w:marLeft w:val="0"/>
      <w:marRight w:val="0"/>
      <w:marTop w:val="0"/>
      <w:marBottom w:val="0"/>
      <w:divBdr>
        <w:top w:val="none" w:sz="0" w:space="0" w:color="auto"/>
        <w:left w:val="none" w:sz="0" w:space="0" w:color="auto"/>
        <w:bottom w:val="none" w:sz="0" w:space="0" w:color="auto"/>
        <w:right w:val="none" w:sz="0" w:space="0" w:color="auto"/>
      </w:divBdr>
    </w:div>
    <w:div w:id="1059672754">
      <w:bodyDiv w:val="1"/>
      <w:marLeft w:val="0"/>
      <w:marRight w:val="0"/>
      <w:marTop w:val="0"/>
      <w:marBottom w:val="0"/>
      <w:divBdr>
        <w:top w:val="none" w:sz="0" w:space="0" w:color="auto"/>
        <w:left w:val="none" w:sz="0" w:space="0" w:color="auto"/>
        <w:bottom w:val="none" w:sz="0" w:space="0" w:color="auto"/>
        <w:right w:val="none" w:sz="0" w:space="0" w:color="auto"/>
      </w:divBdr>
    </w:div>
    <w:div w:id="1061902425">
      <w:bodyDiv w:val="1"/>
      <w:marLeft w:val="0"/>
      <w:marRight w:val="0"/>
      <w:marTop w:val="0"/>
      <w:marBottom w:val="0"/>
      <w:divBdr>
        <w:top w:val="none" w:sz="0" w:space="0" w:color="auto"/>
        <w:left w:val="none" w:sz="0" w:space="0" w:color="auto"/>
        <w:bottom w:val="none" w:sz="0" w:space="0" w:color="auto"/>
        <w:right w:val="none" w:sz="0" w:space="0" w:color="auto"/>
      </w:divBdr>
    </w:div>
    <w:div w:id="1063288030">
      <w:bodyDiv w:val="1"/>
      <w:marLeft w:val="0"/>
      <w:marRight w:val="0"/>
      <w:marTop w:val="0"/>
      <w:marBottom w:val="0"/>
      <w:divBdr>
        <w:top w:val="none" w:sz="0" w:space="0" w:color="auto"/>
        <w:left w:val="none" w:sz="0" w:space="0" w:color="auto"/>
        <w:bottom w:val="none" w:sz="0" w:space="0" w:color="auto"/>
        <w:right w:val="none" w:sz="0" w:space="0" w:color="auto"/>
      </w:divBdr>
    </w:div>
    <w:div w:id="1068767482">
      <w:bodyDiv w:val="1"/>
      <w:marLeft w:val="0"/>
      <w:marRight w:val="0"/>
      <w:marTop w:val="0"/>
      <w:marBottom w:val="0"/>
      <w:divBdr>
        <w:top w:val="none" w:sz="0" w:space="0" w:color="auto"/>
        <w:left w:val="none" w:sz="0" w:space="0" w:color="auto"/>
        <w:bottom w:val="none" w:sz="0" w:space="0" w:color="auto"/>
        <w:right w:val="none" w:sz="0" w:space="0" w:color="auto"/>
      </w:divBdr>
    </w:div>
    <w:div w:id="1072236474">
      <w:bodyDiv w:val="1"/>
      <w:marLeft w:val="0"/>
      <w:marRight w:val="0"/>
      <w:marTop w:val="0"/>
      <w:marBottom w:val="0"/>
      <w:divBdr>
        <w:top w:val="none" w:sz="0" w:space="0" w:color="auto"/>
        <w:left w:val="none" w:sz="0" w:space="0" w:color="auto"/>
        <w:bottom w:val="none" w:sz="0" w:space="0" w:color="auto"/>
        <w:right w:val="none" w:sz="0" w:space="0" w:color="auto"/>
      </w:divBdr>
    </w:div>
    <w:div w:id="1074350761">
      <w:bodyDiv w:val="1"/>
      <w:marLeft w:val="0"/>
      <w:marRight w:val="0"/>
      <w:marTop w:val="0"/>
      <w:marBottom w:val="0"/>
      <w:divBdr>
        <w:top w:val="none" w:sz="0" w:space="0" w:color="auto"/>
        <w:left w:val="none" w:sz="0" w:space="0" w:color="auto"/>
        <w:bottom w:val="none" w:sz="0" w:space="0" w:color="auto"/>
        <w:right w:val="none" w:sz="0" w:space="0" w:color="auto"/>
      </w:divBdr>
    </w:div>
    <w:div w:id="1075738103">
      <w:bodyDiv w:val="1"/>
      <w:marLeft w:val="0"/>
      <w:marRight w:val="0"/>
      <w:marTop w:val="0"/>
      <w:marBottom w:val="0"/>
      <w:divBdr>
        <w:top w:val="none" w:sz="0" w:space="0" w:color="auto"/>
        <w:left w:val="none" w:sz="0" w:space="0" w:color="auto"/>
        <w:bottom w:val="none" w:sz="0" w:space="0" w:color="auto"/>
        <w:right w:val="none" w:sz="0" w:space="0" w:color="auto"/>
      </w:divBdr>
    </w:div>
    <w:div w:id="1082793300">
      <w:bodyDiv w:val="1"/>
      <w:marLeft w:val="0"/>
      <w:marRight w:val="0"/>
      <w:marTop w:val="0"/>
      <w:marBottom w:val="0"/>
      <w:divBdr>
        <w:top w:val="none" w:sz="0" w:space="0" w:color="auto"/>
        <w:left w:val="none" w:sz="0" w:space="0" w:color="auto"/>
        <w:bottom w:val="none" w:sz="0" w:space="0" w:color="auto"/>
        <w:right w:val="none" w:sz="0" w:space="0" w:color="auto"/>
      </w:divBdr>
      <w:divsChild>
        <w:div w:id="179010827">
          <w:marLeft w:val="288"/>
          <w:marRight w:val="0"/>
          <w:marTop w:val="0"/>
          <w:marBottom w:val="0"/>
          <w:divBdr>
            <w:top w:val="none" w:sz="0" w:space="0" w:color="auto"/>
            <w:left w:val="none" w:sz="0" w:space="0" w:color="auto"/>
            <w:bottom w:val="none" w:sz="0" w:space="0" w:color="auto"/>
            <w:right w:val="none" w:sz="0" w:space="0" w:color="auto"/>
          </w:divBdr>
        </w:div>
        <w:div w:id="874003360">
          <w:marLeft w:val="288"/>
          <w:marRight w:val="0"/>
          <w:marTop w:val="0"/>
          <w:marBottom w:val="0"/>
          <w:divBdr>
            <w:top w:val="none" w:sz="0" w:space="0" w:color="auto"/>
            <w:left w:val="none" w:sz="0" w:space="0" w:color="auto"/>
            <w:bottom w:val="none" w:sz="0" w:space="0" w:color="auto"/>
            <w:right w:val="none" w:sz="0" w:space="0" w:color="auto"/>
          </w:divBdr>
        </w:div>
        <w:div w:id="964392209">
          <w:marLeft w:val="288"/>
          <w:marRight w:val="0"/>
          <w:marTop w:val="0"/>
          <w:marBottom w:val="0"/>
          <w:divBdr>
            <w:top w:val="none" w:sz="0" w:space="0" w:color="auto"/>
            <w:left w:val="none" w:sz="0" w:space="0" w:color="auto"/>
            <w:bottom w:val="none" w:sz="0" w:space="0" w:color="auto"/>
            <w:right w:val="none" w:sz="0" w:space="0" w:color="auto"/>
          </w:divBdr>
        </w:div>
        <w:div w:id="1565027581">
          <w:marLeft w:val="288"/>
          <w:marRight w:val="0"/>
          <w:marTop w:val="0"/>
          <w:marBottom w:val="0"/>
          <w:divBdr>
            <w:top w:val="none" w:sz="0" w:space="0" w:color="auto"/>
            <w:left w:val="none" w:sz="0" w:space="0" w:color="auto"/>
            <w:bottom w:val="none" w:sz="0" w:space="0" w:color="auto"/>
            <w:right w:val="none" w:sz="0" w:space="0" w:color="auto"/>
          </w:divBdr>
        </w:div>
      </w:divsChild>
    </w:div>
    <w:div w:id="1085690830">
      <w:bodyDiv w:val="1"/>
      <w:marLeft w:val="0"/>
      <w:marRight w:val="0"/>
      <w:marTop w:val="0"/>
      <w:marBottom w:val="0"/>
      <w:divBdr>
        <w:top w:val="none" w:sz="0" w:space="0" w:color="auto"/>
        <w:left w:val="none" w:sz="0" w:space="0" w:color="auto"/>
        <w:bottom w:val="none" w:sz="0" w:space="0" w:color="auto"/>
        <w:right w:val="none" w:sz="0" w:space="0" w:color="auto"/>
      </w:divBdr>
    </w:div>
    <w:div w:id="1088845352">
      <w:bodyDiv w:val="1"/>
      <w:marLeft w:val="0"/>
      <w:marRight w:val="0"/>
      <w:marTop w:val="0"/>
      <w:marBottom w:val="0"/>
      <w:divBdr>
        <w:top w:val="none" w:sz="0" w:space="0" w:color="auto"/>
        <w:left w:val="none" w:sz="0" w:space="0" w:color="auto"/>
        <w:bottom w:val="none" w:sz="0" w:space="0" w:color="auto"/>
        <w:right w:val="none" w:sz="0" w:space="0" w:color="auto"/>
      </w:divBdr>
      <w:divsChild>
        <w:div w:id="1518303465">
          <w:marLeft w:val="274"/>
          <w:marRight w:val="0"/>
          <w:marTop w:val="0"/>
          <w:marBottom w:val="0"/>
          <w:divBdr>
            <w:top w:val="none" w:sz="0" w:space="0" w:color="auto"/>
            <w:left w:val="none" w:sz="0" w:space="0" w:color="auto"/>
            <w:bottom w:val="none" w:sz="0" w:space="0" w:color="auto"/>
            <w:right w:val="none" w:sz="0" w:space="0" w:color="auto"/>
          </w:divBdr>
        </w:div>
      </w:divsChild>
    </w:div>
    <w:div w:id="1094202622">
      <w:bodyDiv w:val="1"/>
      <w:marLeft w:val="0"/>
      <w:marRight w:val="0"/>
      <w:marTop w:val="0"/>
      <w:marBottom w:val="0"/>
      <w:divBdr>
        <w:top w:val="none" w:sz="0" w:space="0" w:color="auto"/>
        <w:left w:val="none" w:sz="0" w:space="0" w:color="auto"/>
        <w:bottom w:val="none" w:sz="0" w:space="0" w:color="auto"/>
        <w:right w:val="none" w:sz="0" w:space="0" w:color="auto"/>
      </w:divBdr>
      <w:divsChild>
        <w:div w:id="177082147">
          <w:marLeft w:val="274"/>
          <w:marRight w:val="0"/>
          <w:marTop w:val="60"/>
          <w:marBottom w:val="60"/>
          <w:divBdr>
            <w:top w:val="none" w:sz="0" w:space="0" w:color="auto"/>
            <w:left w:val="none" w:sz="0" w:space="0" w:color="auto"/>
            <w:bottom w:val="none" w:sz="0" w:space="0" w:color="auto"/>
            <w:right w:val="none" w:sz="0" w:space="0" w:color="auto"/>
          </w:divBdr>
        </w:div>
        <w:div w:id="1222252556">
          <w:marLeft w:val="274"/>
          <w:marRight w:val="0"/>
          <w:marTop w:val="60"/>
          <w:marBottom w:val="60"/>
          <w:divBdr>
            <w:top w:val="none" w:sz="0" w:space="0" w:color="auto"/>
            <w:left w:val="none" w:sz="0" w:space="0" w:color="auto"/>
            <w:bottom w:val="none" w:sz="0" w:space="0" w:color="auto"/>
            <w:right w:val="none" w:sz="0" w:space="0" w:color="auto"/>
          </w:divBdr>
        </w:div>
        <w:div w:id="1325359386">
          <w:marLeft w:val="274"/>
          <w:marRight w:val="0"/>
          <w:marTop w:val="60"/>
          <w:marBottom w:val="60"/>
          <w:divBdr>
            <w:top w:val="none" w:sz="0" w:space="0" w:color="auto"/>
            <w:left w:val="none" w:sz="0" w:space="0" w:color="auto"/>
            <w:bottom w:val="none" w:sz="0" w:space="0" w:color="auto"/>
            <w:right w:val="none" w:sz="0" w:space="0" w:color="auto"/>
          </w:divBdr>
        </w:div>
        <w:div w:id="1681472231">
          <w:marLeft w:val="274"/>
          <w:marRight w:val="0"/>
          <w:marTop w:val="60"/>
          <w:marBottom w:val="60"/>
          <w:divBdr>
            <w:top w:val="none" w:sz="0" w:space="0" w:color="auto"/>
            <w:left w:val="none" w:sz="0" w:space="0" w:color="auto"/>
            <w:bottom w:val="none" w:sz="0" w:space="0" w:color="auto"/>
            <w:right w:val="none" w:sz="0" w:space="0" w:color="auto"/>
          </w:divBdr>
        </w:div>
      </w:divsChild>
    </w:div>
    <w:div w:id="1097597387">
      <w:bodyDiv w:val="1"/>
      <w:marLeft w:val="0"/>
      <w:marRight w:val="0"/>
      <w:marTop w:val="0"/>
      <w:marBottom w:val="0"/>
      <w:divBdr>
        <w:top w:val="none" w:sz="0" w:space="0" w:color="auto"/>
        <w:left w:val="none" w:sz="0" w:space="0" w:color="auto"/>
        <w:bottom w:val="none" w:sz="0" w:space="0" w:color="auto"/>
        <w:right w:val="none" w:sz="0" w:space="0" w:color="auto"/>
      </w:divBdr>
    </w:div>
    <w:div w:id="1099638949">
      <w:bodyDiv w:val="1"/>
      <w:marLeft w:val="0"/>
      <w:marRight w:val="0"/>
      <w:marTop w:val="0"/>
      <w:marBottom w:val="0"/>
      <w:divBdr>
        <w:top w:val="none" w:sz="0" w:space="0" w:color="auto"/>
        <w:left w:val="none" w:sz="0" w:space="0" w:color="auto"/>
        <w:bottom w:val="none" w:sz="0" w:space="0" w:color="auto"/>
        <w:right w:val="none" w:sz="0" w:space="0" w:color="auto"/>
      </w:divBdr>
    </w:div>
    <w:div w:id="1105923962">
      <w:bodyDiv w:val="1"/>
      <w:marLeft w:val="0"/>
      <w:marRight w:val="0"/>
      <w:marTop w:val="0"/>
      <w:marBottom w:val="0"/>
      <w:divBdr>
        <w:top w:val="none" w:sz="0" w:space="0" w:color="auto"/>
        <w:left w:val="none" w:sz="0" w:space="0" w:color="auto"/>
        <w:bottom w:val="none" w:sz="0" w:space="0" w:color="auto"/>
        <w:right w:val="none" w:sz="0" w:space="0" w:color="auto"/>
      </w:divBdr>
    </w:div>
    <w:div w:id="1106652332">
      <w:bodyDiv w:val="1"/>
      <w:marLeft w:val="0"/>
      <w:marRight w:val="0"/>
      <w:marTop w:val="0"/>
      <w:marBottom w:val="0"/>
      <w:divBdr>
        <w:top w:val="none" w:sz="0" w:space="0" w:color="auto"/>
        <w:left w:val="none" w:sz="0" w:space="0" w:color="auto"/>
        <w:bottom w:val="none" w:sz="0" w:space="0" w:color="auto"/>
        <w:right w:val="none" w:sz="0" w:space="0" w:color="auto"/>
      </w:divBdr>
    </w:div>
    <w:div w:id="1114710034">
      <w:bodyDiv w:val="1"/>
      <w:marLeft w:val="0"/>
      <w:marRight w:val="0"/>
      <w:marTop w:val="0"/>
      <w:marBottom w:val="0"/>
      <w:divBdr>
        <w:top w:val="none" w:sz="0" w:space="0" w:color="auto"/>
        <w:left w:val="none" w:sz="0" w:space="0" w:color="auto"/>
        <w:bottom w:val="none" w:sz="0" w:space="0" w:color="auto"/>
        <w:right w:val="none" w:sz="0" w:space="0" w:color="auto"/>
      </w:divBdr>
    </w:div>
    <w:div w:id="1115296644">
      <w:bodyDiv w:val="1"/>
      <w:marLeft w:val="0"/>
      <w:marRight w:val="0"/>
      <w:marTop w:val="0"/>
      <w:marBottom w:val="0"/>
      <w:divBdr>
        <w:top w:val="none" w:sz="0" w:space="0" w:color="auto"/>
        <w:left w:val="none" w:sz="0" w:space="0" w:color="auto"/>
        <w:bottom w:val="none" w:sz="0" w:space="0" w:color="auto"/>
        <w:right w:val="none" w:sz="0" w:space="0" w:color="auto"/>
      </w:divBdr>
    </w:div>
    <w:div w:id="1121345578">
      <w:bodyDiv w:val="1"/>
      <w:marLeft w:val="0"/>
      <w:marRight w:val="0"/>
      <w:marTop w:val="0"/>
      <w:marBottom w:val="0"/>
      <w:divBdr>
        <w:top w:val="none" w:sz="0" w:space="0" w:color="auto"/>
        <w:left w:val="none" w:sz="0" w:space="0" w:color="auto"/>
        <w:bottom w:val="none" w:sz="0" w:space="0" w:color="auto"/>
        <w:right w:val="none" w:sz="0" w:space="0" w:color="auto"/>
      </w:divBdr>
    </w:div>
    <w:div w:id="1124545471">
      <w:bodyDiv w:val="1"/>
      <w:marLeft w:val="0"/>
      <w:marRight w:val="0"/>
      <w:marTop w:val="0"/>
      <w:marBottom w:val="0"/>
      <w:divBdr>
        <w:top w:val="none" w:sz="0" w:space="0" w:color="auto"/>
        <w:left w:val="none" w:sz="0" w:space="0" w:color="auto"/>
        <w:bottom w:val="none" w:sz="0" w:space="0" w:color="auto"/>
        <w:right w:val="none" w:sz="0" w:space="0" w:color="auto"/>
      </w:divBdr>
    </w:div>
    <w:div w:id="1126507462">
      <w:bodyDiv w:val="1"/>
      <w:marLeft w:val="0"/>
      <w:marRight w:val="0"/>
      <w:marTop w:val="0"/>
      <w:marBottom w:val="0"/>
      <w:divBdr>
        <w:top w:val="none" w:sz="0" w:space="0" w:color="auto"/>
        <w:left w:val="none" w:sz="0" w:space="0" w:color="auto"/>
        <w:bottom w:val="none" w:sz="0" w:space="0" w:color="auto"/>
        <w:right w:val="none" w:sz="0" w:space="0" w:color="auto"/>
      </w:divBdr>
    </w:div>
    <w:div w:id="1127819388">
      <w:bodyDiv w:val="1"/>
      <w:marLeft w:val="0"/>
      <w:marRight w:val="0"/>
      <w:marTop w:val="0"/>
      <w:marBottom w:val="0"/>
      <w:divBdr>
        <w:top w:val="none" w:sz="0" w:space="0" w:color="auto"/>
        <w:left w:val="none" w:sz="0" w:space="0" w:color="auto"/>
        <w:bottom w:val="none" w:sz="0" w:space="0" w:color="auto"/>
        <w:right w:val="none" w:sz="0" w:space="0" w:color="auto"/>
      </w:divBdr>
    </w:div>
    <w:div w:id="1139034724">
      <w:bodyDiv w:val="1"/>
      <w:marLeft w:val="0"/>
      <w:marRight w:val="0"/>
      <w:marTop w:val="0"/>
      <w:marBottom w:val="0"/>
      <w:divBdr>
        <w:top w:val="none" w:sz="0" w:space="0" w:color="auto"/>
        <w:left w:val="none" w:sz="0" w:space="0" w:color="auto"/>
        <w:bottom w:val="none" w:sz="0" w:space="0" w:color="auto"/>
        <w:right w:val="none" w:sz="0" w:space="0" w:color="auto"/>
      </w:divBdr>
    </w:div>
    <w:div w:id="1174799784">
      <w:bodyDiv w:val="1"/>
      <w:marLeft w:val="0"/>
      <w:marRight w:val="0"/>
      <w:marTop w:val="0"/>
      <w:marBottom w:val="0"/>
      <w:divBdr>
        <w:top w:val="none" w:sz="0" w:space="0" w:color="auto"/>
        <w:left w:val="none" w:sz="0" w:space="0" w:color="auto"/>
        <w:bottom w:val="none" w:sz="0" w:space="0" w:color="auto"/>
        <w:right w:val="none" w:sz="0" w:space="0" w:color="auto"/>
      </w:divBdr>
    </w:div>
    <w:div w:id="1174877513">
      <w:bodyDiv w:val="1"/>
      <w:marLeft w:val="0"/>
      <w:marRight w:val="0"/>
      <w:marTop w:val="0"/>
      <w:marBottom w:val="0"/>
      <w:divBdr>
        <w:top w:val="none" w:sz="0" w:space="0" w:color="auto"/>
        <w:left w:val="none" w:sz="0" w:space="0" w:color="auto"/>
        <w:bottom w:val="none" w:sz="0" w:space="0" w:color="auto"/>
        <w:right w:val="none" w:sz="0" w:space="0" w:color="auto"/>
      </w:divBdr>
    </w:div>
    <w:div w:id="1176305771">
      <w:bodyDiv w:val="1"/>
      <w:marLeft w:val="0"/>
      <w:marRight w:val="0"/>
      <w:marTop w:val="0"/>
      <w:marBottom w:val="0"/>
      <w:divBdr>
        <w:top w:val="none" w:sz="0" w:space="0" w:color="auto"/>
        <w:left w:val="none" w:sz="0" w:space="0" w:color="auto"/>
        <w:bottom w:val="none" w:sz="0" w:space="0" w:color="auto"/>
        <w:right w:val="none" w:sz="0" w:space="0" w:color="auto"/>
      </w:divBdr>
      <w:divsChild>
        <w:div w:id="324671933">
          <w:marLeft w:val="130"/>
          <w:marRight w:val="0"/>
          <w:marTop w:val="0"/>
          <w:marBottom w:val="0"/>
          <w:divBdr>
            <w:top w:val="none" w:sz="0" w:space="0" w:color="auto"/>
            <w:left w:val="none" w:sz="0" w:space="0" w:color="auto"/>
            <w:bottom w:val="none" w:sz="0" w:space="0" w:color="auto"/>
            <w:right w:val="none" w:sz="0" w:space="0" w:color="auto"/>
          </w:divBdr>
        </w:div>
        <w:div w:id="846092204">
          <w:marLeft w:val="130"/>
          <w:marRight w:val="0"/>
          <w:marTop w:val="0"/>
          <w:marBottom w:val="0"/>
          <w:divBdr>
            <w:top w:val="none" w:sz="0" w:space="0" w:color="auto"/>
            <w:left w:val="none" w:sz="0" w:space="0" w:color="auto"/>
            <w:bottom w:val="none" w:sz="0" w:space="0" w:color="auto"/>
            <w:right w:val="none" w:sz="0" w:space="0" w:color="auto"/>
          </w:divBdr>
        </w:div>
        <w:div w:id="1133599926">
          <w:marLeft w:val="130"/>
          <w:marRight w:val="0"/>
          <w:marTop w:val="0"/>
          <w:marBottom w:val="0"/>
          <w:divBdr>
            <w:top w:val="none" w:sz="0" w:space="0" w:color="auto"/>
            <w:left w:val="none" w:sz="0" w:space="0" w:color="auto"/>
            <w:bottom w:val="none" w:sz="0" w:space="0" w:color="auto"/>
            <w:right w:val="none" w:sz="0" w:space="0" w:color="auto"/>
          </w:divBdr>
        </w:div>
      </w:divsChild>
    </w:div>
    <w:div w:id="1176919106">
      <w:bodyDiv w:val="1"/>
      <w:marLeft w:val="0"/>
      <w:marRight w:val="0"/>
      <w:marTop w:val="0"/>
      <w:marBottom w:val="0"/>
      <w:divBdr>
        <w:top w:val="none" w:sz="0" w:space="0" w:color="auto"/>
        <w:left w:val="none" w:sz="0" w:space="0" w:color="auto"/>
        <w:bottom w:val="none" w:sz="0" w:space="0" w:color="auto"/>
        <w:right w:val="none" w:sz="0" w:space="0" w:color="auto"/>
      </w:divBdr>
    </w:div>
    <w:div w:id="1179539500">
      <w:bodyDiv w:val="1"/>
      <w:marLeft w:val="0"/>
      <w:marRight w:val="0"/>
      <w:marTop w:val="0"/>
      <w:marBottom w:val="0"/>
      <w:divBdr>
        <w:top w:val="none" w:sz="0" w:space="0" w:color="auto"/>
        <w:left w:val="none" w:sz="0" w:space="0" w:color="auto"/>
        <w:bottom w:val="none" w:sz="0" w:space="0" w:color="auto"/>
        <w:right w:val="none" w:sz="0" w:space="0" w:color="auto"/>
      </w:divBdr>
      <w:divsChild>
        <w:div w:id="2090468287">
          <w:marLeft w:val="1166"/>
          <w:marRight w:val="0"/>
          <w:marTop w:val="0"/>
          <w:marBottom w:val="0"/>
          <w:divBdr>
            <w:top w:val="none" w:sz="0" w:space="0" w:color="auto"/>
            <w:left w:val="none" w:sz="0" w:space="0" w:color="auto"/>
            <w:bottom w:val="none" w:sz="0" w:space="0" w:color="auto"/>
            <w:right w:val="none" w:sz="0" w:space="0" w:color="auto"/>
          </w:divBdr>
        </w:div>
      </w:divsChild>
    </w:div>
    <w:div w:id="1187594545">
      <w:bodyDiv w:val="1"/>
      <w:marLeft w:val="0"/>
      <w:marRight w:val="0"/>
      <w:marTop w:val="0"/>
      <w:marBottom w:val="0"/>
      <w:divBdr>
        <w:top w:val="none" w:sz="0" w:space="0" w:color="auto"/>
        <w:left w:val="none" w:sz="0" w:space="0" w:color="auto"/>
        <w:bottom w:val="none" w:sz="0" w:space="0" w:color="auto"/>
        <w:right w:val="none" w:sz="0" w:space="0" w:color="auto"/>
      </w:divBdr>
    </w:div>
    <w:div w:id="1188131860">
      <w:bodyDiv w:val="1"/>
      <w:marLeft w:val="0"/>
      <w:marRight w:val="0"/>
      <w:marTop w:val="0"/>
      <w:marBottom w:val="0"/>
      <w:divBdr>
        <w:top w:val="none" w:sz="0" w:space="0" w:color="auto"/>
        <w:left w:val="none" w:sz="0" w:space="0" w:color="auto"/>
        <w:bottom w:val="none" w:sz="0" w:space="0" w:color="auto"/>
        <w:right w:val="none" w:sz="0" w:space="0" w:color="auto"/>
      </w:divBdr>
      <w:divsChild>
        <w:div w:id="116022629">
          <w:marLeft w:val="288"/>
          <w:marRight w:val="0"/>
          <w:marTop w:val="0"/>
          <w:marBottom w:val="0"/>
          <w:divBdr>
            <w:top w:val="none" w:sz="0" w:space="0" w:color="auto"/>
            <w:left w:val="none" w:sz="0" w:space="0" w:color="auto"/>
            <w:bottom w:val="none" w:sz="0" w:space="0" w:color="auto"/>
            <w:right w:val="none" w:sz="0" w:space="0" w:color="auto"/>
          </w:divBdr>
        </w:div>
        <w:div w:id="868759066">
          <w:marLeft w:val="288"/>
          <w:marRight w:val="0"/>
          <w:marTop w:val="0"/>
          <w:marBottom w:val="0"/>
          <w:divBdr>
            <w:top w:val="none" w:sz="0" w:space="0" w:color="auto"/>
            <w:left w:val="none" w:sz="0" w:space="0" w:color="auto"/>
            <w:bottom w:val="none" w:sz="0" w:space="0" w:color="auto"/>
            <w:right w:val="none" w:sz="0" w:space="0" w:color="auto"/>
          </w:divBdr>
        </w:div>
        <w:div w:id="1836258524">
          <w:marLeft w:val="288"/>
          <w:marRight w:val="0"/>
          <w:marTop w:val="0"/>
          <w:marBottom w:val="0"/>
          <w:divBdr>
            <w:top w:val="none" w:sz="0" w:space="0" w:color="auto"/>
            <w:left w:val="none" w:sz="0" w:space="0" w:color="auto"/>
            <w:bottom w:val="none" w:sz="0" w:space="0" w:color="auto"/>
            <w:right w:val="none" w:sz="0" w:space="0" w:color="auto"/>
          </w:divBdr>
        </w:div>
      </w:divsChild>
    </w:div>
    <w:div w:id="1196847167">
      <w:bodyDiv w:val="1"/>
      <w:marLeft w:val="0"/>
      <w:marRight w:val="0"/>
      <w:marTop w:val="0"/>
      <w:marBottom w:val="0"/>
      <w:divBdr>
        <w:top w:val="none" w:sz="0" w:space="0" w:color="auto"/>
        <w:left w:val="none" w:sz="0" w:space="0" w:color="auto"/>
        <w:bottom w:val="none" w:sz="0" w:space="0" w:color="auto"/>
        <w:right w:val="none" w:sz="0" w:space="0" w:color="auto"/>
      </w:divBdr>
      <w:divsChild>
        <w:div w:id="1072965346">
          <w:marLeft w:val="274"/>
          <w:marRight w:val="0"/>
          <w:marTop w:val="60"/>
          <w:marBottom w:val="60"/>
          <w:divBdr>
            <w:top w:val="none" w:sz="0" w:space="0" w:color="auto"/>
            <w:left w:val="none" w:sz="0" w:space="0" w:color="auto"/>
            <w:bottom w:val="none" w:sz="0" w:space="0" w:color="auto"/>
            <w:right w:val="none" w:sz="0" w:space="0" w:color="auto"/>
          </w:divBdr>
        </w:div>
        <w:div w:id="1654991654">
          <w:marLeft w:val="274"/>
          <w:marRight w:val="0"/>
          <w:marTop w:val="60"/>
          <w:marBottom w:val="60"/>
          <w:divBdr>
            <w:top w:val="none" w:sz="0" w:space="0" w:color="auto"/>
            <w:left w:val="none" w:sz="0" w:space="0" w:color="auto"/>
            <w:bottom w:val="none" w:sz="0" w:space="0" w:color="auto"/>
            <w:right w:val="none" w:sz="0" w:space="0" w:color="auto"/>
          </w:divBdr>
        </w:div>
        <w:div w:id="2105884035">
          <w:marLeft w:val="274"/>
          <w:marRight w:val="0"/>
          <w:marTop w:val="60"/>
          <w:marBottom w:val="60"/>
          <w:divBdr>
            <w:top w:val="none" w:sz="0" w:space="0" w:color="auto"/>
            <w:left w:val="none" w:sz="0" w:space="0" w:color="auto"/>
            <w:bottom w:val="none" w:sz="0" w:space="0" w:color="auto"/>
            <w:right w:val="none" w:sz="0" w:space="0" w:color="auto"/>
          </w:divBdr>
        </w:div>
      </w:divsChild>
    </w:div>
    <w:div w:id="1197623509">
      <w:bodyDiv w:val="1"/>
      <w:marLeft w:val="0"/>
      <w:marRight w:val="0"/>
      <w:marTop w:val="0"/>
      <w:marBottom w:val="0"/>
      <w:divBdr>
        <w:top w:val="none" w:sz="0" w:space="0" w:color="auto"/>
        <w:left w:val="none" w:sz="0" w:space="0" w:color="auto"/>
        <w:bottom w:val="none" w:sz="0" w:space="0" w:color="auto"/>
        <w:right w:val="none" w:sz="0" w:space="0" w:color="auto"/>
      </w:divBdr>
    </w:div>
    <w:div w:id="1199054107">
      <w:bodyDiv w:val="1"/>
      <w:marLeft w:val="0"/>
      <w:marRight w:val="0"/>
      <w:marTop w:val="0"/>
      <w:marBottom w:val="0"/>
      <w:divBdr>
        <w:top w:val="none" w:sz="0" w:space="0" w:color="auto"/>
        <w:left w:val="none" w:sz="0" w:space="0" w:color="auto"/>
        <w:bottom w:val="none" w:sz="0" w:space="0" w:color="auto"/>
        <w:right w:val="none" w:sz="0" w:space="0" w:color="auto"/>
      </w:divBdr>
    </w:div>
    <w:div w:id="1200633234">
      <w:bodyDiv w:val="1"/>
      <w:marLeft w:val="0"/>
      <w:marRight w:val="0"/>
      <w:marTop w:val="0"/>
      <w:marBottom w:val="0"/>
      <w:divBdr>
        <w:top w:val="none" w:sz="0" w:space="0" w:color="auto"/>
        <w:left w:val="none" w:sz="0" w:space="0" w:color="auto"/>
        <w:bottom w:val="none" w:sz="0" w:space="0" w:color="auto"/>
        <w:right w:val="none" w:sz="0" w:space="0" w:color="auto"/>
      </w:divBdr>
      <w:divsChild>
        <w:div w:id="979111051">
          <w:marLeft w:val="274"/>
          <w:marRight w:val="0"/>
          <w:marTop w:val="0"/>
          <w:marBottom w:val="0"/>
          <w:divBdr>
            <w:top w:val="none" w:sz="0" w:space="0" w:color="auto"/>
            <w:left w:val="none" w:sz="0" w:space="0" w:color="auto"/>
            <w:bottom w:val="none" w:sz="0" w:space="0" w:color="auto"/>
            <w:right w:val="none" w:sz="0" w:space="0" w:color="auto"/>
          </w:divBdr>
        </w:div>
        <w:div w:id="1107234152">
          <w:marLeft w:val="274"/>
          <w:marRight w:val="0"/>
          <w:marTop w:val="0"/>
          <w:marBottom w:val="0"/>
          <w:divBdr>
            <w:top w:val="none" w:sz="0" w:space="0" w:color="auto"/>
            <w:left w:val="none" w:sz="0" w:space="0" w:color="auto"/>
            <w:bottom w:val="none" w:sz="0" w:space="0" w:color="auto"/>
            <w:right w:val="none" w:sz="0" w:space="0" w:color="auto"/>
          </w:divBdr>
        </w:div>
        <w:div w:id="1866362009">
          <w:marLeft w:val="274"/>
          <w:marRight w:val="0"/>
          <w:marTop w:val="0"/>
          <w:marBottom w:val="0"/>
          <w:divBdr>
            <w:top w:val="none" w:sz="0" w:space="0" w:color="auto"/>
            <w:left w:val="none" w:sz="0" w:space="0" w:color="auto"/>
            <w:bottom w:val="none" w:sz="0" w:space="0" w:color="auto"/>
            <w:right w:val="none" w:sz="0" w:space="0" w:color="auto"/>
          </w:divBdr>
        </w:div>
      </w:divsChild>
    </w:div>
    <w:div w:id="1203446092">
      <w:bodyDiv w:val="1"/>
      <w:marLeft w:val="0"/>
      <w:marRight w:val="0"/>
      <w:marTop w:val="0"/>
      <w:marBottom w:val="0"/>
      <w:divBdr>
        <w:top w:val="none" w:sz="0" w:space="0" w:color="auto"/>
        <w:left w:val="none" w:sz="0" w:space="0" w:color="auto"/>
        <w:bottom w:val="none" w:sz="0" w:space="0" w:color="auto"/>
        <w:right w:val="none" w:sz="0" w:space="0" w:color="auto"/>
      </w:divBdr>
    </w:div>
    <w:div w:id="1208688740">
      <w:bodyDiv w:val="1"/>
      <w:marLeft w:val="0"/>
      <w:marRight w:val="0"/>
      <w:marTop w:val="0"/>
      <w:marBottom w:val="0"/>
      <w:divBdr>
        <w:top w:val="none" w:sz="0" w:space="0" w:color="auto"/>
        <w:left w:val="none" w:sz="0" w:space="0" w:color="auto"/>
        <w:bottom w:val="none" w:sz="0" w:space="0" w:color="auto"/>
        <w:right w:val="none" w:sz="0" w:space="0" w:color="auto"/>
      </w:divBdr>
      <w:divsChild>
        <w:div w:id="465126236">
          <w:marLeft w:val="274"/>
          <w:marRight w:val="0"/>
          <w:marTop w:val="40"/>
          <w:marBottom w:val="40"/>
          <w:divBdr>
            <w:top w:val="none" w:sz="0" w:space="0" w:color="auto"/>
            <w:left w:val="none" w:sz="0" w:space="0" w:color="auto"/>
            <w:bottom w:val="none" w:sz="0" w:space="0" w:color="auto"/>
            <w:right w:val="none" w:sz="0" w:space="0" w:color="auto"/>
          </w:divBdr>
        </w:div>
      </w:divsChild>
    </w:div>
    <w:div w:id="1229918935">
      <w:bodyDiv w:val="1"/>
      <w:marLeft w:val="0"/>
      <w:marRight w:val="0"/>
      <w:marTop w:val="0"/>
      <w:marBottom w:val="0"/>
      <w:divBdr>
        <w:top w:val="none" w:sz="0" w:space="0" w:color="auto"/>
        <w:left w:val="none" w:sz="0" w:space="0" w:color="auto"/>
        <w:bottom w:val="none" w:sz="0" w:space="0" w:color="auto"/>
        <w:right w:val="none" w:sz="0" w:space="0" w:color="auto"/>
      </w:divBdr>
      <w:divsChild>
        <w:div w:id="279723258">
          <w:marLeft w:val="274"/>
          <w:marRight w:val="0"/>
          <w:marTop w:val="40"/>
          <w:marBottom w:val="40"/>
          <w:divBdr>
            <w:top w:val="none" w:sz="0" w:space="0" w:color="auto"/>
            <w:left w:val="none" w:sz="0" w:space="0" w:color="auto"/>
            <w:bottom w:val="none" w:sz="0" w:space="0" w:color="auto"/>
            <w:right w:val="none" w:sz="0" w:space="0" w:color="auto"/>
          </w:divBdr>
        </w:div>
        <w:div w:id="738140391">
          <w:marLeft w:val="274"/>
          <w:marRight w:val="0"/>
          <w:marTop w:val="40"/>
          <w:marBottom w:val="40"/>
          <w:divBdr>
            <w:top w:val="none" w:sz="0" w:space="0" w:color="auto"/>
            <w:left w:val="none" w:sz="0" w:space="0" w:color="auto"/>
            <w:bottom w:val="none" w:sz="0" w:space="0" w:color="auto"/>
            <w:right w:val="none" w:sz="0" w:space="0" w:color="auto"/>
          </w:divBdr>
        </w:div>
        <w:div w:id="2080706895">
          <w:marLeft w:val="274"/>
          <w:marRight w:val="0"/>
          <w:marTop w:val="40"/>
          <w:marBottom w:val="40"/>
          <w:divBdr>
            <w:top w:val="none" w:sz="0" w:space="0" w:color="auto"/>
            <w:left w:val="none" w:sz="0" w:space="0" w:color="auto"/>
            <w:bottom w:val="none" w:sz="0" w:space="0" w:color="auto"/>
            <w:right w:val="none" w:sz="0" w:space="0" w:color="auto"/>
          </w:divBdr>
        </w:div>
      </w:divsChild>
    </w:div>
    <w:div w:id="1232693680">
      <w:bodyDiv w:val="1"/>
      <w:marLeft w:val="0"/>
      <w:marRight w:val="0"/>
      <w:marTop w:val="0"/>
      <w:marBottom w:val="0"/>
      <w:divBdr>
        <w:top w:val="none" w:sz="0" w:space="0" w:color="auto"/>
        <w:left w:val="none" w:sz="0" w:space="0" w:color="auto"/>
        <w:bottom w:val="none" w:sz="0" w:space="0" w:color="auto"/>
        <w:right w:val="none" w:sz="0" w:space="0" w:color="auto"/>
      </w:divBdr>
    </w:div>
    <w:div w:id="1239556006">
      <w:bodyDiv w:val="1"/>
      <w:marLeft w:val="0"/>
      <w:marRight w:val="0"/>
      <w:marTop w:val="0"/>
      <w:marBottom w:val="0"/>
      <w:divBdr>
        <w:top w:val="none" w:sz="0" w:space="0" w:color="auto"/>
        <w:left w:val="none" w:sz="0" w:space="0" w:color="auto"/>
        <w:bottom w:val="none" w:sz="0" w:space="0" w:color="auto"/>
        <w:right w:val="none" w:sz="0" w:space="0" w:color="auto"/>
      </w:divBdr>
    </w:div>
    <w:div w:id="1241217382">
      <w:bodyDiv w:val="1"/>
      <w:marLeft w:val="0"/>
      <w:marRight w:val="0"/>
      <w:marTop w:val="0"/>
      <w:marBottom w:val="0"/>
      <w:divBdr>
        <w:top w:val="none" w:sz="0" w:space="0" w:color="auto"/>
        <w:left w:val="none" w:sz="0" w:space="0" w:color="auto"/>
        <w:bottom w:val="none" w:sz="0" w:space="0" w:color="auto"/>
        <w:right w:val="none" w:sz="0" w:space="0" w:color="auto"/>
      </w:divBdr>
    </w:div>
    <w:div w:id="1243685940">
      <w:bodyDiv w:val="1"/>
      <w:marLeft w:val="0"/>
      <w:marRight w:val="0"/>
      <w:marTop w:val="0"/>
      <w:marBottom w:val="0"/>
      <w:divBdr>
        <w:top w:val="none" w:sz="0" w:space="0" w:color="auto"/>
        <w:left w:val="none" w:sz="0" w:space="0" w:color="auto"/>
        <w:bottom w:val="none" w:sz="0" w:space="0" w:color="auto"/>
        <w:right w:val="none" w:sz="0" w:space="0" w:color="auto"/>
      </w:divBdr>
    </w:div>
    <w:div w:id="1246573601">
      <w:bodyDiv w:val="1"/>
      <w:marLeft w:val="0"/>
      <w:marRight w:val="0"/>
      <w:marTop w:val="0"/>
      <w:marBottom w:val="0"/>
      <w:divBdr>
        <w:top w:val="none" w:sz="0" w:space="0" w:color="auto"/>
        <w:left w:val="none" w:sz="0" w:space="0" w:color="auto"/>
        <w:bottom w:val="none" w:sz="0" w:space="0" w:color="auto"/>
        <w:right w:val="none" w:sz="0" w:space="0" w:color="auto"/>
      </w:divBdr>
    </w:div>
    <w:div w:id="1249383974">
      <w:bodyDiv w:val="1"/>
      <w:marLeft w:val="0"/>
      <w:marRight w:val="0"/>
      <w:marTop w:val="0"/>
      <w:marBottom w:val="0"/>
      <w:divBdr>
        <w:top w:val="none" w:sz="0" w:space="0" w:color="auto"/>
        <w:left w:val="none" w:sz="0" w:space="0" w:color="auto"/>
        <w:bottom w:val="none" w:sz="0" w:space="0" w:color="auto"/>
        <w:right w:val="none" w:sz="0" w:space="0" w:color="auto"/>
      </w:divBdr>
    </w:div>
    <w:div w:id="1254704102">
      <w:bodyDiv w:val="1"/>
      <w:marLeft w:val="0"/>
      <w:marRight w:val="0"/>
      <w:marTop w:val="0"/>
      <w:marBottom w:val="0"/>
      <w:divBdr>
        <w:top w:val="none" w:sz="0" w:space="0" w:color="auto"/>
        <w:left w:val="none" w:sz="0" w:space="0" w:color="auto"/>
        <w:bottom w:val="none" w:sz="0" w:space="0" w:color="auto"/>
        <w:right w:val="none" w:sz="0" w:space="0" w:color="auto"/>
      </w:divBdr>
    </w:div>
    <w:div w:id="1255090638">
      <w:bodyDiv w:val="1"/>
      <w:marLeft w:val="0"/>
      <w:marRight w:val="0"/>
      <w:marTop w:val="0"/>
      <w:marBottom w:val="0"/>
      <w:divBdr>
        <w:top w:val="none" w:sz="0" w:space="0" w:color="auto"/>
        <w:left w:val="none" w:sz="0" w:space="0" w:color="auto"/>
        <w:bottom w:val="none" w:sz="0" w:space="0" w:color="auto"/>
        <w:right w:val="none" w:sz="0" w:space="0" w:color="auto"/>
      </w:divBdr>
    </w:div>
    <w:div w:id="1264613850">
      <w:bodyDiv w:val="1"/>
      <w:marLeft w:val="0"/>
      <w:marRight w:val="0"/>
      <w:marTop w:val="0"/>
      <w:marBottom w:val="0"/>
      <w:divBdr>
        <w:top w:val="none" w:sz="0" w:space="0" w:color="auto"/>
        <w:left w:val="none" w:sz="0" w:space="0" w:color="auto"/>
        <w:bottom w:val="none" w:sz="0" w:space="0" w:color="auto"/>
        <w:right w:val="none" w:sz="0" w:space="0" w:color="auto"/>
      </w:divBdr>
    </w:div>
    <w:div w:id="1267468089">
      <w:bodyDiv w:val="1"/>
      <w:marLeft w:val="0"/>
      <w:marRight w:val="0"/>
      <w:marTop w:val="0"/>
      <w:marBottom w:val="0"/>
      <w:divBdr>
        <w:top w:val="none" w:sz="0" w:space="0" w:color="auto"/>
        <w:left w:val="none" w:sz="0" w:space="0" w:color="auto"/>
        <w:bottom w:val="none" w:sz="0" w:space="0" w:color="auto"/>
        <w:right w:val="none" w:sz="0" w:space="0" w:color="auto"/>
      </w:divBdr>
    </w:div>
    <w:div w:id="1275013298">
      <w:bodyDiv w:val="1"/>
      <w:marLeft w:val="0"/>
      <w:marRight w:val="0"/>
      <w:marTop w:val="0"/>
      <w:marBottom w:val="0"/>
      <w:divBdr>
        <w:top w:val="none" w:sz="0" w:space="0" w:color="auto"/>
        <w:left w:val="none" w:sz="0" w:space="0" w:color="auto"/>
        <w:bottom w:val="none" w:sz="0" w:space="0" w:color="auto"/>
        <w:right w:val="none" w:sz="0" w:space="0" w:color="auto"/>
      </w:divBdr>
    </w:div>
    <w:div w:id="1284965381">
      <w:bodyDiv w:val="1"/>
      <w:marLeft w:val="0"/>
      <w:marRight w:val="0"/>
      <w:marTop w:val="0"/>
      <w:marBottom w:val="0"/>
      <w:divBdr>
        <w:top w:val="none" w:sz="0" w:space="0" w:color="auto"/>
        <w:left w:val="none" w:sz="0" w:space="0" w:color="auto"/>
        <w:bottom w:val="none" w:sz="0" w:space="0" w:color="auto"/>
        <w:right w:val="none" w:sz="0" w:space="0" w:color="auto"/>
      </w:divBdr>
    </w:div>
    <w:div w:id="1294481529">
      <w:bodyDiv w:val="1"/>
      <w:marLeft w:val="0"/>
      <w:marRight w:val="0"/>
      <w:marTop w:val="0"/>
      <w:marBottom w:val="0"/>
      <w:divBdr>
        <w:top w:val="none" w:sz="0" w:space="0" w:color="auto"/>
        <w:left w:val="none" w:sz="0" w:space="0" w:color="auto"/>
        <w:bottom w:val="none" w:sz="0" w:space="0" w:color="auto"/>
        <w:right w:val="none" w:sz="0" w:space="0" w:color="auto"/>
      </w:divBdr>
    </w:div>
    <w:div w:id="1298415350">
      <w:bodyDiv w:val="1"/>
      <w:marLeft w:val="0"/>
      <w:marRight w:val="0"/>
      <w:marTop w:val="0"/>
      <w:marBottom w:val="0"/>
      <w:divBdr>
        <w:top w:val="none" w:sz="0" w:space="0" w:color="auto"/>
        <w:left w:val="none" w:sz="0" w:space="0" w:color="auto"/>
        <w:bottom w:val="none" w:sz="0" w:space="0" w:color="auto"/>
        <w:right w:val="none" w:sz="0" w:space="0" w:color="auto"/>
      </w:divBdr>
    </w:div>
    <w:div w:id="1299799692">
      <w:bodyDiv w:val="1"/>
      <w:marLeft w:val="0"/>
      <w:marRight w:val="0"/>
      <w:marTop w:val="0"/>
      <w:marBottom w:val="0"/>
      <w:divBdr>
        <w:top w:val="none" w:sz="0" w:space="0" w:color="auto"/>
        <w:left w:val="none" w:sz="0" w:space="0" w:color="auto"/>
        <w:bottom w:val="none" w:sz="0" w:space="0" w:color="auto"/>
        <w:right w:val="none" w:sz="0" w:space="0" w:color="auto"/>
      </w:divBdr>
    </w:div>
    <w:div w:id="1300111375">
      <w:bodyDiv w:val="1"/>
      <w:marLeft w:val="0"/>
      <w:marRight w:val="0"/>
      <w:marTop w:val="0"/>
      <w:marBottom w:val="0"/>
      <w:divBdr>
        <w:top w:val="none" w:sz="0" w:space="0" w:color="auto"/>
        <w:left w:val="none" w:sz="0" w:space="0" w:color="auto"/>
        <w:bottom w:val="none" w:sz="0" w:space="0" w:color="auto"/>
        <w:right w:val="none" w:sz="0" w:space="0" w:color="auto"/>
      </w:divBdr>
    </w:div>
    <w:div w:id="1303269792">
      <w:bodyDiv w:val="1"/>
      <w:marLeft w:val="0"/>
      <w:marRight w:val="0"/>
      <w:marTop w:val="0"/>
      <w:marBottom w:val="0"/>
      <w:divBdr>
        <w:top w:val="none" w:sz="0" w:space="0" w:color="auto"/>
        <w:left w:val="none" w:sz="0" w:space="0" w:color="auto"/>
        <w:bottom w:val="none" w:sz="0" w:space="0" w:color="auto"/>
        <w:right w:val="none" w:sz="0" w:space="0" w:color="auto"/>
      </w:divBdr>
      <w:divsChild>
        <w:div w:id="366877289">
          <w:marLeft w:val="274"/>
          <w:marRight w:val="0"/>
          <w:marTop w:val="40"/>
          <w:marBottom w:val="40"/>
          <w:divBdr>
            <w:top w:val="none" w:sz="0" w:space="0" w:color="auto"/>
            <w:left w:val="none" w:sz="0" w:space="0" w:color="auto"/>
            <w:bottom w:val="none" w:sz="0" w:space="0" w:color="auto"/>
            <w:right w:val="none" w:sz="0" w:space="0" w:color="auto"/>
          </w:divBdr>
        </w:div>
        <w:div w:id="375859889">
          <w:marLeft w:val="274"/>
          <w:marRight w:val="0"/>
          <w:marTop w:val="40"/>
          <w:marBottom w:val="40"/>
          <w:divBdr>
            <w:top w:val="none" w:sz="0" w:space="0" w:color="auto"/>
            <w:left w:val="none" w:sz="0" w:space="0" w:color="auto"/>
            <w:bottom w:val="none" w:sz="0" w:space="0" w:color="auto"/>
            <w:right w:val="none" w:sz="0" w:space="0" w:color="auto"/>
          </w:divBdr>
        </w:div>
        <w:div w:id="1043290394">
          <w:marLeft w:val="274"/>
          <w:marRight w:val="0"/>
          <w:marTop w:val="40"/>
          <w:marBottom w:val="40"/>
          <w:divBdr>
            <w:top w:val="none" w:sz="0" w:space="0" w:color="auto"/>
            <w:left w:val="none" w:sz="0" w:space="0" w:color="auto"/>
            <w:bottom w:val="none" w:sz="0" w:space="0" w:color="auto"/>
            <w:right w:val="none" w:sz="0" w:space="0" w:color="auto"/>
          </w:divBdr>
        </w:div>
      </w:divsChild>
    </w:div>
    <w:div w:id="1307321447">
      <w:bodyDiv w:val="1"/>
      <w:marLeft w:val="0"/>
      <w:marRight w:val="0"/>
      <w:marTop w:val="0"/>
      <w:marBottom w:val="0"/>
      <w:divBdr>
        <w:top w:val="none" w:sz="0" w:space="0" w:color="auto"/>
        <w:left w:val="none" w:sz="0" w:space="0" w:color="auto"/>
        <w:bottom w:val="none" w:sz="0" w:space="0" w:color="auto"/>
        <w:right w:val="none" w:sz="0" w:space="0" w:color="auto"/>
      </w:divBdr>
    </w:div>
    <w:div w:id="1311255869">
      <w:bodyDiv w:val="1"/>
      <w:marLeft w:val="0"/>
      <w:marRight w:val="0"/>
      <w:marTop w:val="0"/>
      <w:marBottom w:val="0"/>
      <w:divBdr>
        <w:top w:val="none" w:sz="0" w:space="0" w:color="auto"/>
        <w:left w:val="none" w:sz="0" w:space="0" w:color="auto"/>
        <w:bottom w:val="none" w:sz="0" w:space="0" w:color="auto"/>
        <w:right w:val="none" w:sz="0" w:space="0" w:color="auto"/>
      </w:divBdr>
    </w:div>
    <w:div w:id="1313020771">
      <w:bodyDiv w:val="1"/>
      <w:marLeft w:val="0"/>
      <w:marRight w:val="0"/>
      <w:marTop w:val="0"/>
      <w:marBottom w:val="0"/>
      <w:divBdr>
        <w:top w:val="none" w:sz="0" w:space="0" w:color="auto"/>
        <w:left w:val="none" w:sz="0" w:space="0" w:color="auto"/>
        <w:bottom w:val="none" w:sz="0" w:space="0" w:color="auto"/>
        <w:right w:val="none" w:sz="0" w:space="0" w:color="auto"/>
      </w:divBdr>
    </w:div>
    <w:div w:id="1318074170">
      <w:bodyDiv w:val="1"/>
      <w:marLeft w:val="0"/>
      <w:marRight w:val="0"/>
      <w:marTop w:val="0"/>
      <w:marBottom w:val="0"/>
      <w:divBdr>
        <w:top w:val="none" w:sz="0" w:space="0" w:color="auto"/>
        <w:left w:val="none" w:sz="0" w:space="0" w:color="auto"/>
        <w:bottom w:val="none" w:sz="0" w:space="0" w:color="auto"/>
        <w:right w:val="none" w:sz="0" w:space="0" w:color="auto"/>
      </w:divBdr>
    </w:div>
    <w:div w:id="1318344079">
      <w:bodyDiv w:val="1"/>
      <w:marLeft w:val="0"/>
      <w:marRight w:val="0"/>
      <w:marTop w:val="0"/>
      <w:marBottom w:val="0"/>
      <w:divBdr>
        <w:top w:val="none" w:sz="0" w:space="0" w:color="auto"/>
        <w:left w:val="none" w:sz="0" w:space="0" w:color="auto"/>
        <w:bottom w:val="none" w:sz="0" w:space="0" w:color="auto"/>
        <w:right w:val="none" w:sz="0" w:space="0" w:color="auto"/>
      </w:divBdr>
    </w:div>
    <w:div w:id="1325090935">
      <w:bodyDiv w:val="1"/>
      <w:marLeft w:val="0"/>
      <w:marRight w:val="0"/>
      <w:marTop w:val="0"/>
      <w:marBottom w:val="0"/>
      <w:divBdr>
        <w:top w:val="none" w:sz="0" w:space="0" w:color="auto"/>
        <w:left w:val="none" w:sz="0" w:space="0" w:color="auto"/>
        <w:bottom w:val="none" w:sz="0" w:space="0" w:color="auto"/>
        <w:right w:val="none" w:sz="0" w:space="0" w:color="auto"/>
      </w:divBdr>
    </w:div>
    <w:div w:id="1331104269">
      <w:bodyDiv w:val="1"/>
      <w:marLeft w:val="0"/>
      <w:marRight w:val="0"/>
      <w:marTop w:val="0"/>
      <w:marBottom w:val="0"/>
      <w:divBdr>
        <w:top w:val="none" w:sz="0" w:space="0" w:color="auto"/>
        <w:left w:val="none" w:sz="0" w:space="0" w:color="auto"/>
        <w:bottom w:val="none" w:sz="0" w:space="0" w:color="auto"/>
        <w:right w:val="none" w:sz="0" w:space="0" w:color="auto"/>
      </w:divBdr>
    </w:div>
    <w:div w:id="1333069401">
      <w:bodyDiv w:val="1"/>
      <w:marLeft w:val="0"/>
      <w:marRight w:val="0"/>
      <w:marTop w:val="0"/>
      <w:marBottom w:val="0"/>
      <w:divBdr>
        <w:top w:val="none" w:sz="0" w:space="0" w:color="auto"/>
        <w:left w:val="none" w:sz="0" w:space="0" w:color="auto"/>
        <w:bottom w:val="none" w:sz="0" w:space="0" w:color="auto"/>
        <w:right w:val="none" w:sz="0" w:space="0" w:color="auto"/>
      </w:divBdr>
      <w:divsChild>
        <w:div w:id="218176893">
          <w:marLeft w:val="274"/>
          <w:marRight w:val="0"/>
          <w:marTop w:val="40"/>
          <w:marBottom w:val="40"/>
          <w:divBdr>
            <w:top w:val="none" w:sz="0" w:space="0" w:color="auto"/>
            <w:left w:val="none" w:sz="0" w:space="0" w:color="auto"/>
            <w:bottom w:val="none" w:sz="0" w:space="0" w:color="auto"/>
            <w:right w:val="none" w:sz="0" w:space="0" w:color="auto"/>
          </w:divBdr>
        </w:div>
        <w:div w:id="1003624559">
          <w:marLeft w:val="274"/>
          <w:marRight w:val="0"/>
          <w:marTop w:val="40"/>
          <w:marBottom w:val="40"/>
          <w:divBdr>
            <w:top w:val="none" w:sz="0" w:space="0" w:color="auto"/>
            <w:left w:val="none" w:sz="0" w:space="0" w:color="auto"/>
            <w:bottom w:val="none" w:sz="0" w:space="0" w:color="auto"/>
            <w:right w:val="none" w:sz="0" w:space="0" w:color="auto"/>
          </w:divBdr>
        </w:div>
        <w:div w:id="1104348933">
          <w:marLeft w:val="274"/>
          <w:marRight w:val="0"/>
          <w:marTop w:val="40"/>
          <w:marBottom w:val="40"/>
          <w:divBdr>
            <w:top w:val="none" w:sz="0" w:space="0" w:color="auto"/>
            <w:left w:val="none" w:sz="0" w:space="0" w:color="auto"/>
            <w:bottom w:val="none" w:sz="0" w:space="0" w:color="auto"/>
            <w:right w:val="none" w:sz="0" w:space="0" w:color="auto"/>
          </w:divBdr>
        </w:div>
        <w:div w:id="2079670866">
          <w:marLeft w:val="274"/>
          <w:marRight w:val="0"/>
          <w:marTop w:val="40"/>
          <w:marBottom w:val="40"/>
          <w:divBdr>
            <w:top w:val="none" w:sz="0" w:space="0" w:color="auto"/>
            <w:left w:val="none" w:sz="0" w:space="0" w:color="auto"/>
            <w:bottom w:val="none" w:sz="0" w:space="0" w:color="auto"/>
            <w:right w:val="none" w:sz="0" w:space="0" w:color="auto"/>
          </w:divBdr>
        </w:div>
      </w:divsChild>
    </w:div>
    <w:div w:id="1333221641">
      <w:bodyDiv w:val="1"/>
      <w:marLeft w:val="0"/>
      <w:marRight w:val="0"/>
      <w:marTop w:val="0"/>
      <w:marBottom w:val="0"/>
      <w:divBdr>
        <w:top w:val="none" w:sz="0" w:space="0" w:color="auto"/>
        <w:left w:val="none" w:sz="0" w:space="0" w:color="auto"/>
        <w:bottom w:val="none" w:sz="0" w:space="0" w:color="auto"/>
        <w:right w:val="none" w:sz="0" w:space="0" w:color="auto"/>
      </w:divBdr>
    </w:div>
    <w:div w:id="1334451964">
      <w:bodyDiv w:val="1"/>
      <w:marLeft w:val="0"/>
      <w:marRight w:val="0"/>
      <w:marTop w:val="0"/>
      <w:marBottom w:val="0"/>
      <w:divBdr>
        <w:top w:val="none" w:sz="0" w:space="0" w:color="auto"/>
        <w:left w:val="none" w:sz="0" w:space="0" w:color="auto"/>
        <w:bottom w:val="none" w:sz="0" w:space="0" w:color="auto"/>
        <w:right w:val="none" w:sz="0" w:space="0" w:color="auto"/>
      </w:divBdr>
      <w:divsChild>
        <w:div w:id="308480213">
          <w:marLeft w:val="288"/>
          <w:marRight w:val="0"/>
          <w:marTop w:val="0"/>
          <w:marBottom w:val="0"/>
          <w:divBdr>
            <w:top w:val="none" w:sz="0" w:space="0" w:color="auto"/>
            <w:left w:val="none" w:sz="0" w:space="0" w:color="auto"/>
            <w:bottom w:val="none" w:sz="0" w:space="0" w:color="auto"/>
            <w:right w:val="none" w:sz="0" w:space="0" w:color="auto"/>
          </w:divBdr>
        </w:div>
      </w:divsChild>
    </w:div>
    <w:div w:id="1338002362">
      <w:bodyDiv w:val="1"/>
      <w:marLeft w:val="0"/>
      <w:marRight w:val="0"/>
      <w:marTop w:val="0"/>
      <w:marBottom w:val="0"/>
      <w:divBdr>
        <w:top w:val="none" w:sz="0" w:space="0" w:color="auto"/>
        <w:left w:val="none" w:sz="0" w:space="0" w:color="auto"/>
        <w:bottom w:val="none" w:sz="0" w:space="0" w:color="auto"/>
        <w:right w:val="none" w:sz="0" w:space="0" w:color="auto"/>
      </w:divBdr>
      <w:divsChild>
        <w:div w:id="1239947524">
          <w:marLeft w:val="0"/>
          <w:marRight w:val="0"/>
          <w:marTop w:val="0"/>
          <w:marBottom w:val="0"/>
          <w:divBdr>
            <w:top w:val="single" w:sz="6" w:space="0" w:color="D2D2D2"/>
            <w:left w:val="single" w:sz="6" w:space="0" w:color="D2D2D2"/>
            <w:bottom w:val="single" w:sz="6" w:space="11" w:color="D2D2D2"/>
            <w:right w:val="single" w:sz="6" w:space="0" w:color="D2D2D2"/>
          </w:divBdr>
          <w:divsChild>
            <w:div w:id="2010212515">
              <w:marLeft w:val="0"/>
              <w:marRight w:val="150"/>
              <w:marTop w:val="0"/>
              <w:marBottom w:val="0"/>
              <w:divBdr>
                <w:top w:val="none" w:sz="0" w:space="0" w:color="auto"/>
                <w:left w:val="none" w:sz="0" w:space="0" w:color="auto"/>
                <w:bottom w:val="none" w:sz="0" w:space="0" w:color="auto"/>
                <w:right w:val="none" w:sz="0" w:space="0" w:color="auto"/>
              </w:divBdr>
              <w:divsChild>
                <w:div w:id="3911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46">
      <w:bodyDiv w:val="1"/>
      <w:marLeft w:val="0"/>
      <w:marRight w:val="0"/>
      <w:marTop w:val="0"/>
      <w:marBottom w:val="0"/>
      <w:divBdr>
        <w:top w:val="none" w:sz="0" w:space="0" w:color="auto"/>
        <w:left w:val="none" w:sz="0" w:space="0" w:color="auto"/>
        <w:bottom w:val="none" w:sz="0" w:space="0" w:color="auto"/>
        <w:right w:val="none" w:sz="0" w:space="0" w:color="auto"/>
      </w:divBdr>
    </w:div>
    <w:div w:id="1343584964">
      <w:bodyDiv w:val="1"/>
      <w:marLeft w:val="0"/>
      <w:marRight w:val="0"/>
      <w:marTop w:val="0"/>
      <w:marBottom w:val="0"/>
      <w:divBdr>
        <w:top w:val="none" w:sz="0" w:space="0" w:color="auto"/>
        <w:left w:val="none" w:sz="0" w:space="0" w:color="auto"/>
        <w:bottom w:val="none" w:sz="0" w:space="0" w:color="auto"/>
        <w:right w:val="none" w:sz="0" w:space="0" w:color="auto"/>
      </w:divBdr>
    </w:div>
    <w:div w:id="1348799295">
      <w:bodyDiv w:val="1"/>
      <w:marLeft w:val="0"/>
      <w:marRight w:val="0"/>
      <w:marTop w:val="0"/>
      <w:marBottom w:val="0"/>
      <w:divBdr>
        <w:top w:val="none" w:sz="0" w:space="0" w:color="auto"/>
        <w:left w:val="none" w:sz="0" w:space="0" w:color="auto"/>
        <w:bottom w:val="none" w:sz="0" w:space="0" w:color="auto"/>
        <w:right w:val="none" w:sz="0" w:space="0" w:color="auto"/>
      </w:divBdr>
      <w:divsChild>
        <w:div w:id="2083260197">
          <w:marLeft w:val="0"/>
          <w:marRight w:val="0"/>
          <w:marTop w:val="0"/>
          <w:marBottom w:val="0"/>
          <w:divBdr>
            <w:top w:val="none" w:sz="0" w:space="0" w:color="auto"/>
            <w:left w:val="none" w:sz="0" w:space="0" w:color="auto"/>
            <w:bottom w:val="none" w:sz="0" w:space="0" w:color="auto"/>
            <w:right w:val="none" w:sz="0" w:space="0" w:color="auto"/>
          </w:divBdr>
          <w:divsChild>
            <w:div w:id="1538078810">
              <w:marLeft w:val="0"/>
              <w:marRight w:val="0"/>
              <w:marTop w:val="0"/>
              <w:marBottom w:val="0"/>
              <w:divBdr>
                <w:top w:val="none" w:sz="0" w:space="0" w:color="auto"/>
                <w:left w:val="none" w:sz="0" w:space="0" w:color="auto"/>
                <w:bottom w:val="none" w:sz="0" w:space="0" w:color="auto"/>
                <w:right w:val="none" w:sz="0" w:space="0" w:color="auto"/>
              </w:divBdr>
              <w:divsChild>
                <w:div w:id="40517428">
                  <w:marLeft w:val="0"/>
                  <w:marRight w:val="0"/>
                  <w:marTop w:val="0"/>
                  <w:marBottom w:val="0"/>
                  <w:divBdr>
                    <w:top w:val="single" w:sz="8" w:space="3" w:color="FFFFFF"/>
                    <w:left w:val="none" w:sz="0" w:space="0" w:color="auto"/>
                    <w:bottom w:val="none" w:sz="0" w:space="0" w:color="auto"/>
                    <w:right w:val="none" w:sz="0" w:space="0" w:color="auto"/>
                  </w:divBdr>
                  <w:divsChild>
                    <w:div w:id="17181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6275">
      <w:bodyDiv w:val="1"/>
      <w:marLeft w:val="0"/>
      <w:marRight w:val="0"/>
      <w:marTop w:val="0"/>
      <w:marBottom w:val="0"/>
      <w:divBdr>
        <w:top w:val="none" w:sz="0" w:space="0" w:color="auto"/>
        <w:left w:val="none" w:sz="0" w:space="0" w:color="auto"/>
        <w:bottom w:val="none" w:sz="0" w:space="0" w:color="auto"/>
        <w:right w:val="none" w:sz="0" w:space="0" w:color="auto"/>
      </w:divBdr>
    </w:div>
    <w:div w:id="1357345862">
      <w:bodyDiv w:val="1"/>
      <w:marLeft w:val="0"/>
      <w:marRight w:val="0"/>
      <w:marTop w:val="0"/>
      <w:marBottom w:val="0"/>
      <w:divBdr>
        <w:top w:val="none" w:sz="0" w:space="0" w:color="auto"/>
        <w:left w:val="none" w:sz="0" w:space="0" w:color="auto"/>
        <w:bottom w:val="none" w:sz="0" w:space="0" w:color="auto"/>
        <w:right w:val="none" w:sz="0" w:space="0" w:color="auto"/>
      </w:divBdr>
    </w:div>
    <w:div w:id="1361273317">
      <w:bodyDiv w:val="1"/>
      <w:marLeft w:val="0"/>
      <w:marRight w:val="0"/>
      <w:marTop w:val="0"/>
      <w:marBottom w:val="0"/>
      <w:divBdr>
        <w:top w:val="none" w:sz="0" w:space="0" w:color="auto"/>
        <w:left w:val="none" w:sz="0" w:space="0" w:color="auto"/>
        <w:bottom w:val="none" w:sz="0" w:space="0" w:color="auto"/>
        <w:right w:val="none" w:sz="0" w:space="0" w:color="auto"/>
      </w:divBdr>
    </w:div>
    <w:div w:id="1361391448">
      <w:bodyDiv w:val="1"/>
      <w:marLeft w:val="0"/>
      <w:marRight w:val="0"/>
      <w:marTop w:val="0"/>
      <w:marBottom w:val="0"/>
      <w:divBdr>
        <w:top w:val="none" w:sz="0" w:space="0" w:color="auto"/>
        <w:left w:val="none" w:sz="0" w:space="0" w:color="auto"/>
        <w:bottom w:val="none" w:sz="0" w:space="0" w:color="auto"/>
        <w:right w:val="none" w:sz="0" w:space="0" w:color="auto"/>
      </w:divBdr>
    </w:div>
    <w:div w:id="1372346202">
      <w:bodyDiv w:val="1"/>
      <w:marLeft w:val="0"/>
      <w:marRight w:val="0"/>
      <w:marTop w:val="0"/>
      <w:marBottom w:val="0"/>
      <w:divBdr>
        <w:top w:val="none" w:sz="0" w:space="0" w:color="auto"/>
        <w:left w:val="none" w:sz="0" w:space="0" w:color="auto"/>
        <w:bottom w:val="none" w:sz="0" w:space="0" w:color="auto"/>
        <w:right w:val="none" w:sz="0" w:space="0" w:color="auto"/>
      </w:divBdr>
    </w:div>
    <w:div w:id="1376929276">
      <w:bodyDiv w:val="1"/>
      <w:marLeft w:val="0"/>
      <w:marRight w:val="0"/>
      <w:marTop w:val="0"/>
      <w:marBottom w:val="0"/>
      <w:divBdr>
        <w:top w:val="none" w:sz="0" w:space="0" w:color="auto"/>
        <w:left w:val="none" w:sz="0" w:space="0" w:color="auto"/>
        <w:bottom w:val="none" w:sz="0" w:space="0" w:color="auto"/>
        <w:right w:val="none" w:sz="0" w:space="0" w:color="auto"/>
      </w:divBdr>
    </w:div>
    <w:div w:id="1384021341">
      <w:bodyDiv w:val="1"/>
      <w:marLeft w:val="0"/>
      <w:marRight w:val="0"/>
      <w:marTop w:val="0"/>
      <w:marBottom w:val="0"/>
      <w:divBdr>
        <w:top w:val="none" w:sz="0" w:space="0" w:color="auto"/>
        <w:left w:val="none" w:sz="0" w:space="0" w:color="auto"/>
        <w:bottom w:val="none" w:sz="0" w:space="0" w:color="auto"/>
        <w:right w:val="none" w:sz="0" w:space="0" w:color="auto"/>
      </w:divBdr>
      <w:divsChild>
        <w:div w:id="527723524">
          <w:marLeft w:val="130"/>
          <w:marRight w:val="0"/>
          <w:marTop w:val="0"/>
          <w:marBottom w:val="0"/>
          <w:divBdr>
            <w:top w:val="none" w:sz="0" w:space="0" w:color="auto"/>
            <w:left w:val="none" w:sz="0" w:space="0" w:color="auto"/>
            <w:bottom w:val="none" w:sz="0" w:space="0" w:color="auto"/>
            <w:right w:val="none" w:sz="0" w:space="0" w:color="auto"/>
          </w:divBdr>
        </w:div>
        <w:div w:id="808472505">
          <w:marLeft w:val="130"/>
          <w:marRight w:val="0"/>
          <w:marTop w:val="0"/>
          <w:marBottom w:val="0"/>
          <w:divBdr>
            <w:top w:val="none" w:sz="0" w:space="0" w:color="auto"/>
            <w:left w:val="none" w:sz="0" w:space="0" w:color="auto"/>
            <w:bottom w:val="none" w:sz="0" w:space="0" w:color="auto"/>
            <w:right w:val="none" w:sz="0" w:space="0" w:color="auto"/>
          </w:divBdr>
        </w:div>
        <w:div w:id="1230731936">
          <w:marLeft w:val="130"/>
          <w:marRight w:val="0"/>
          <w:marTop w:val="0"/>
          <w:marBottom w:val="0"/>
          <w:divBdr>
            <w:top w:val="none" w:sz="0" w:space="0" w:color="auto"/>
            <w:left w:val="none" w:sz="0" w:space="0" w:color="auto"/>
            <w:bottom w:val="none" w:sz="0" w:space="0" w:color="auto"/>
            <w:right w:val="none" w:sz="0" w:space="0" w:color="auto"/>
          </w:divBdr>
        </w:div>
        <w:div w:id="1649742281">
          <w:marLeft w:val="130"/>
          <w:marRight w:val="0"/>
          <w:marTop w:val="0"/>
          <w:marBottom w:val="0"/>
          <w:divBdr>
            <w:top w:val="none" w:sz="0" w:space="0" w:color="auto"/>
            <w:left w:val="none" w:sz="0" w:space="0" w:color="auto"/>
            <w:bottom w:val="none" w:sz="0" w:space="0" w:color="auto"/>
            <w:right w:val="none" w:sz="0" w:space="0" w:color="auto"/>
          </w:divBdr>
        </w:div>
      </w:divsChild>
    </w:div>
    <w:div w:id="1385253612">
      <w:bodyDiv w:val="1"/>
      <w:marLeft w:val="0"/>
      <w:marRight w:val="0"/>
      <w:marTop w:val="0"/>
      <w:marBottom w:val="0"/>
      <w:divBdr>
        <w:top w:val="none" w:sz="0" w:space="0" w:color="auto"/>
        <w:left w:val="none" w:sz="0" w:space="0" w:color="auto"/>
        <w:bottom w:val="none" w:sz="0" w:space="0" w:color="auto"/>
        <w:right w:val="none" w:sz="0" w:space="0" w:color="auto"/>
      </w:divBdr>
    </w:div>
    <w:div w:id="1386879018">
      <w:bodyDiv w:val="1"/>
      <w:marLeft w:val="0"/>
      <w:marRight w:val="0"/>
      <w:marTop w:val="0"/>
      <w:marBottom w:val="0"/>
      <w:divBdr>
        <w:top w:val="none" w:sz="0" w:space="0" w:color="auto"/>
        <w:left w:val="none" w:sz="0" w:space="0" w:color="auto"/>
        <w:bottom w:val="none" w:sz="0" w:space="0" w:color="auto"/>
        <w:right w:val="none" w:sz="0" w:space="0" w:color="auto"/>
      </w:divBdr>
    </w:div>
    <w:div w:id="1387797487">
      <w:bodyDiv w:val="1"/>
      <w:marLeft w:val="0"/>
      <w:marRight w:val="0"/>
      <w:marTop w:val="0"/>
      <w:marBottom w:val="0"/>
      <w:divBdr>
        <w:top w:val="none" w:sz="0" w:space="0" w:color="auto"/>
        <w:left w:val="none" w:sz="0" w:space="0" w:color="auto"/>
        <w:bottom w:val="none" w:sz="0" w:space="0" w:color="auto"/>
        <w:right w:val="none" w:sz="0" w:space="0" w:color="auto"/>
      </w:divBdr>
    </w:div>
    <w:div w:id="1389304479">
      <w:bodyDiv w:val="1"/>
      <w:marLeft w:val="0"/>
      <w:marRight w:val="0"/>
      <w:marTop w:val="0"/>
      <w:marBottom w:val="0"/>
      <w:divBdr>
        <w:top w:val="none" w:sz="0" w:space="0" w:color="auto"/>
        <w:left w:val="none" w:sz="0" w:space="0" w:color="auto"/>
        <w:bottom w:val="none" w:sz="0" w:space="0" w:color="auto"/>
        <w:right w:val="none" w:sz="0" w:space="0" w:color="auto"/>
      </w:divBdr>
    </w:div>
    <w:div w:id="1396123962">
      <w:bodyDiv w:val="1"/>
      <w:marLeft w:val="0"/>
      <w:marRight w:val="0"/>
      <w:marTop w:val="0"/>
      <w:marBottom w:val="0"/>
      <w:divBdr>
        <w:top w:val="none" w:sz="0" w:space="0" w:color="auto"/>
        <w:left w:val="none" w:sz="0" w:space="0" w:color="auto"/>
        <w:bottom w:val="none" w:sz="0" w:space="0" w:color="auto"/>
        <w:right w:val="none" w:sz="0" w:space="0" w:color="auto"/>
      </w:divBdr>
    </w:div>
    <w:div w:id="1409159495">
      <w:bodyDiv w:val="1"/>
      <w:marLeft w:val="0"/>
      <w:marRight w:val="0"/>
      <w:marTop w:val="0"/>
      <w:marBottom w:val="0"/>
      <w:divBdr>
        <w:top w:val="none" w:sz="0" w:space="0" w:color="auto"/>
        <w:left w:val="none" w:sz="0" w:space="0" w:color="auto"/>
        <w:bottom w:val="none" w:sz="0" w:space="0" w:color="auto"/>
        <w:right w:val="none" w:sz="0" w:space="0" w:color="auto"/>
      </w:divBdr>
    </w:div>
    <w:div w:id="1414278101">
      <w:bodyDiv w:val="1"/>
      <w:marLeft w:val="0"/>
      <w:marRight w:val="0"/>
      <w:marTop w:val="0"/>
      <w:marBottom w:val="0"/>
      <w:divBdr>
        <w:top w:val="none" w:sz="0" w:space="0" w:color="auto"/>
        <w:left w:val="none" w:sz="0" w:space="0" w:color="auto"/>
        <w:bottom w:val="none" w:sz="0" w:space="0" w:color="auto"/>
        <w:right w:val="none" w:sz="0" w:space="0" w:color="auto"/>
      </w:divBdr>
    </w:div>
    <w:div w:id="1416123615">
      <w:bodyDiv w:val="1"/>
      <w:marLeft w:val="0"/>
      <w:marRight w:val="0"/>
      <w:marTop w:val="0"/>
      <w:marBottom w:val="0"/>
      <w:divBdr>
        <w:top w:val="none" w:sz="0" w:space="0" w:color="auto"/>
        <w:left w:val="none" w:sz="0" w:space="0" w:color="auto"/>
        <w:bottom w:val="none" w:sz="0" w:space="0" w:color="auto"/>
        <w:right w:val="none" w:sz="0" w:space="0" w:color="auto"/>
      </w:divBdr>
    </w:div>
    <w:div w:id="1417634481">
      <w:bodyDiv w:val="1"/>
      <w:marLeft w:val="0"/>
      <w:marRight w:val="0"/>
      <w:marTop w:val="0"/>
      <w:marBottom w:val="0"/>
      <w:divBdr>
        <w:top w:val="none" w:sz="0" w:space="0" w:color="auto"/>
        <w:left w:val="none" w:sz="0" w:space="0" w:color="auto"/>
        <w:bottom w:val="none" w:sz="0" w:space="0" w:color="auto"/>
        <w:right w:val="none" w:sz="0" w:space="0" w:color="auto"/>
      </w:divBdr>
      <w:divsChild>
        <w:div w:id="288249460">
          <w:marLeft w:val="274"/>
          <w:marRight w:val="0"/>
          <w:marTop w:val="40"/>
          <w:marBottom w:val="40"/>
          <w:divBdr>
            <w:top w:val="none" w:sz="0" w:space="0" w:color="auto"/>
            <w:left w:val="none" w:sz="0" w:space="0" w:color="auto"/>
            <w:bottom w:val="none" w:sz="0" w:space="0" w:color="auto"/>
            <w:right w:val="none" w:sz="0" w:space="0" w:color="auto"/>
          </w:divBdr>
        </w:div>
      </w:divsChild>
    </w:div>
    <w:div w:id="1417827454">
      <w:bodyDiv w:val="1"/>
      <w:marLeft w:val="0"/>
      <w:marRight w:val="0"/>
      <w:marTop w:val="0"/>
      <w:marBottom w:val="0"/>
      <w:divBdr>
        <w:top w:val="none" w:sz="0" w:space="0" w:color="auto"/>
        <w:left w:val="none" w:sz="0" w:space="0" w:color="auto"/>
        <w:bottom w:val="none" w:sz="0" w:space="0" w:color="auto"/>
        <w:right w:val="none" w:sz="0" w:space="0" w:color="auto"/>
      </w:divBdr>
    </w:div>
    <w:div w:id="1420059618">
      <w:bodyDiv w:val="1"/>
      <w:marLeft w:val="0"/>
      <w:marRight w:val="0"/>
      <w:marTop w:val="0"/>
      <w:marBottom w:val="0"/>
      <w:divBdr>
        <w:top w:val="none" w:sz="0" w:space="0" w:color="auto"/>
        <w:left w:val="none" w:sz="0" w:space="0" w:color="auto"/>
        <w:bottom w:val="none" w:sz="0" w:space="0" w:color="auto"/>
        <w:right w:val="none" w:sz="0" w:space="0" w:color="auto"/>
      </w:divBdr>
    </w:div>
    <w:div w:id="1420102580">
      <w:bodyDiv w:val="1"/>
      <w:marLeft w:val="0"/>
      <w:marRight w:val="0"/>
      <w:marTop w:val="0"/>
      <w:marBottom w:val="0"/>
      <w:divBdr>
        <w:top w:val="none" w:sz="0" w:space="0" w:color="auto"/>
        <w:left w:val="none" w:sz="0" w:space="0" w:color="auto"/>
        <w:bottom w:val="none" w:sz="0" w:space="0" w:color="auto"/>
        <w:right w:val="none" w:sz="0" w:space="0" w:color="auto"/>
      </w:divBdr>
    </w:div>
    <w:div w:id="1426657721">
      <w:bodyDiv w:val="1"/>
      <w:marLeft w:val="0"/>
      <w:marRight w:val="0"/>
      <w:marTop w:val="0"/>
      <w:marBottom w:val="0"/>
      <w:divBdr>
        <w:top w:val="none" w:sz="0" w:space="0" w:color="auto"/>
        <w:left w:val="none" w:sz="0" w:space="0" w:color="auto"/>
        <w:bottom w:val="none" w:sz="0" w:space="0" w:color="auto"/>
        <w:right w:val="none" w:sz="0" w:space="0" w:color="auto"/>
      </w:divBdr>
    </w:div>
    <w:div w:id="1427967639">
      <w:bodyDiv w:val="1"/>
      <w:marLeft w:val="0"/>
      <w:marRight w:val="0"/>
      <w:marTop w:val="0"/>
      <w:marBottom w:val="0"/>
      <w:divBdr>
        <w:top w:val="none" w:sz="0" w:space="0" w:color="auto"/>
        <w:left w:val="none" w:sz="0" w:space="0" w:color="auto"/>
        <w:bottom w:val="none" w:sz="0" w:space="0" w:color="auto"/>
        <w:right w:val="none" w:sz="0" w:space="0" w:color="auto"/>
      </w:divBdr>
    </w:div>
    <w:div w:id="1430857370">
      <w:bodyDiv w:val="1"/>
      <w:marLeft w:val="0"/>
      <w:marRight w:val="0"/>
      <w:marTop w:val="0"/>
      <w:marBottom w:val="0"/>
      <w:divBdr>
        <w:top w:val="none" w:sz="0" w:space="0" w:color="auto"/>
        <w:left w:val="none" w:sz="0" w:space="0" w:color="auto"/>
        <w:bottom w:val="none" w:sz="0" w:space="0" w:color="auto"/>
        <w:right w:val="none" w:sz="0" w:space="0" w:color="auto"/>
      </w:divBdr>
    </w:div>
    <w:div w:id="1430857981">
      <w:bodyDiv w:val="1"/>
      <w:marLeft w:val="0"/>
      <w:marRight w:val="0"/>
      <w:marTop w:val="0"/>
      <w:marBottom w:val="0"/>
      <w:divBdr>
        <w:top w:val="none" w:sz="0" w:space="0" w:color="auto"/>
        <w:left w:val="none" w:sz="0" w:space="0" w:color="auto"/>
        <w:bottom w:val="none" w:sz="0" w:space="0" w:color="auto"/>
        <w:right w:val="none" w:sz="0" w:space="0" w:color="auto"/>
      </w:divBdr>
    </w:div>
    <w:div w:id="1436051047">
      <w:bodyDiv w:val="1"/>
      <w:marLeft w:val="0"/>
      <w:marRight w:val="0"/>
      <w:marTop w:val="0"/>
      <w:marBottom w:val="0"/>
      <w:divBdr>
        <w:top w:val="none" w:sz="0" w:space="0" w:color="auto"/>
        <w:left w:val="none" w:sz="0" w:space="0" w:color="auto"/>
        <w:bottom w:val="none" w:sz="0" w:space="0" w:color="auto"/>
        <w:right w:val="none" w:sz="0" w:space="0" w:color="auto"/>
      </w:divBdr>
      <w:divsChild>
        <w:div w:id="51273667">
          <w:marLeft w:val="274"/>
          <w:marRight w:val="0"/>
          <w:marTop w:val="40"/>
          <w:marBottom w:val="40"/>
          <w:divBdr>
            <w:top w:val="none" w:sz="0" w:space="0" w:color="auto"/>
            <w:left w:val="none" w:sz="0" w:space="0" w:color="auto"/>
            <w:bottom w:val="none" w:sz="0" w:space="0" w:color="auto"/>
            <w:right w:val="none" w:sz="0" w:space="0" w:color="auto"/>
          </w:divBdr>
        </w:div>
        <w:div w:id="836306195">
          <w:marLeft w:val="274"/>
          <w:marRight w:val="0"/>
          <w:marTop w:val="40"/>
          <w:marBottom w:val="40"/>
          <w:divBdr>
            <w:top w:val="none" w:sz="0" w:space="0" w:color="auto"/>
            <w:left w:val="none" w:sz="0" w:space="0" w:color="auto"/>
            <w:bottom w:val="none" w:sz="0" w:space="0" w:color="auto"/>
            <w:right w:val="none" w:sz="0" w:space="0" w:color="auto"/>
          </w:divBdr>
        </w:div>
        <w:div w:id="1166483245">
          <w:marLeft w:val="274"/>
          <w:marRight w:val="0"/>
          <w:marTop w:val="40"/>
          <w:marBottom w:val="40"/>
          <w:divBdr>
            <w:top w:val="none" w:sz="0" w:space="0" w:color="auto"/>
            <w:left w:val="none" w:sz="0" w:space="0" w:color="auto"/>
            <w:bottom w:val="none" w:sz="0" w:space="0" w:color="auto"/>
            <w:right w:val="none" w:sz="0" w:space="0" w:color="auto"/>
          </w:divBdr>
        </w:div>
        <w:div w:id="1924945829">
          <w:marLeft w:val="274"/>
          <w:marRight w:val="0"/>
          <w:marTop w:val="40"/>
          <w:marBottom w:val="40"/>
          <w:divBdr>
            <w:top w:val="none" w:sz="0" w:space="0" w:color="auto"/>
            <w:left w:val="none" w:sz="0" w:space="0" w:color="auto"/>
            <w:bottom w:val="none" w:sz="0" w:space="0" w:color="auto"/>
            <w:right w:val="none" w:sz="0" w:space="0" w:color="auto"/>
          </w:divBdr>
        </w:div>
      </w:divsChild>
    </w:div>
    <w:div w:id="1436363652">
      <w:bodyDiv w:val="1"/>
      <w:marLeft w:val="0"/>
      <w:marRight w:val="0"/>
      <w:marTop w:val="0"/>
      <w:marBottom w:val="0"/>
      <w:divBdr>
        <w:top w:val="none" w:sz="0" w:space="0" w:color="auto"/>
        <w:left w:val="none" w:sz="0" w:space="0" w:color="auto"/>
        <w:bottom w:val="none" w:sz="0" w:space="0" w:color="auto"/>
        <w:right w:val="none" w:sz="0" w:space="0" w:color="auto"/>
      </w:divBdr>
    </w:div>
    <w:div w:id="1448235790">
      <w:bodyDiv w:val="1"/>
      <w:marLeft w:val="0"/>
      <w:marRight w:val="0"/>
      <w:marTop w:val="0"/>
      <w:marBottom w:val="0"/>
      <w:divBdr>
        <w:top w:val="none" w:sz="0" w:space="0" w:color="auto"/>
        <w:left w:val="none" w:sz="0" w:space="0" w:color="auto"/>
        <w:bottom w:val="none" w:sz="0" w:space="0" w:color="auto"/>
        <w:right w:val="none" w:sz="0" w:space="0" w:color="auto"/>
      </w:divBdr>
    </w:div>
    <w:div w:id="1457480210">
      <w:bodyDiv w:val="1"/>
      <w:marLeft w:val="0"/>
      <w:marRight w:val="0"/>
      <w:marTop w:val="0"/>
      <w:marBottom w:val="0"/>
      <w:divBdr>
        <w:top w:val="none" w:sz="0" w:space="0" w:color="auto"/>
        <w:left w:val="none" w:sz="0" w:space="0" w:color="auto"/>
        <w:bottom w:val="none" w:sz="0" w:space="0" w:color="auto"/>
        <w:right w:val="none" w:sz="0" w:space="0" w:color="auto"/>
      </w:divBdr>
    </w:div>
    <w:div w:id="1458260756">
      <w:bodyDiv w:val="1"/>
      <w:marLeft w:val="0"/>
      <w:marRight w:val="0"/>
      <w:marTop w:val="0"/>
      <w:marBottom w:val="0"/>
      <w:divBdr>
        <w:top w:val="none" w:sz="0" w:space="0" w:color="auto"/>
        <w:left w:val="none" w:sz="0" w:space="0" w:color="auto"/>
        <w:bottom w:val="none" w:sz="0" w:space="0" w:color="auto"/>
        <w:right w:val="none" w:sz="0" w:space="0" w:color="auto"/>
      </w:divBdr>
    </w:div>
    <w:div w:id="1459645344">
      <w:bodyDiv w:val="1"/>
      <w:marLeft w:val="0"/>
      <w:marRight w:val="0"/>
      <w:marTop w:val="0"/>
      <w:marBottom w:val="0"/>
      <w:divBdr>
        <w:top w:val="none" w:sz="0" w:space="0" w:color="auto"/>
        <w:left w:val="none" w:sz="0" w:space="0" w:color="auto"/>
        <w:bottom w:val="none" w:sz="0" w:space="0" w:color="auto"/>
        <w:right w:val="none" w:sz="0" w:space="0" w:color="auto"/>
      </w:divBdr>
    </w:div>
    <w:div w:id="1467506345">
      <w:bodyDiv w:val="1"/>
      <w:marLeft w:val="0"/>
      <w:marRight w:val="0"/>
      <w:marTop w:val="0"/>
      <w:marBottom w:val="0"/>
      <w:divBdr>
        <w:top w:val="none" w:sz="0" w:space="0" w:color="auto"/>
        <w:left w:val="none" w:sz="0" w:space="0" w:color="auto"/>
        <w:bottom w:val="none" w:sz="0" w:space="0" w:color="auto"/>
        <w:right w:val="none" w:sz="0" w:space="0" w:color="auto"/>
      </w:divBdr>
    </w:div>
    <w:div w:id="1467550957">
      <w:bodyDiv w:val="1"/>
      <w:marLeft w:val="0"/>
      <w:marRight w:val="0"/>
      <w:marTop w:val="0"/>
      <w:marBottom w:val="0"/>
      <w:divBdr>
        <w:top w:val="none" w:sz="0" w:space="0" w:color="auto"/>
        <w:left w:val="none" w:sz="0" w:space="0" w:color="auto"/>
        <w:bottom w:val="none" w:sz="0" w:space="0" w:color="auto"/>
        <w:right w:val="none" w:sz="0" w:space="0" w:color="auto"/>
      </w:divBdr>
      <w:divsChild>
        <w:div w:id="558591630">
          <w:marLeft w:val="130"/>
          <w:marRight w:val="0"/>
          <w:marTop w:val="0"/>
          <w:marBottom w:val="0"/>
          <w:divBdr>
            <w:top w:val="none" w:sz="0" w:space="0" w:color="auto"/>
            <w:left w:val="none" w:sz="0" w:space="0" w:color="auto"/>
            <w:bottom w:val="none" w:sz="0" w:space="0" w:color="auto"/>
            <w:right w:val="none" w:sz="0" w:space="0" w:color="auto"/>
          </w:divBdr>
        </w:div>
        <w:div w:id="1637488320">
          <w:marLeft w:val="130"/>
          <w:marRight w:val="0"/>
          <w:marTop w:val="0"/>
          <w:marBottom w:val="0"/>
          <w:divBdr>
            <w:top w:val="none" w:sz="0" w:space="0" w:color="auto"/>
            <w:left w:val="none" w:sz="0" w:space="0" w:color="auto"/>
            <w:bottom w:val="none" w:sz="0" w:space="0" w:color="auto"/>
            <w:right w:val="none" w:sz="0" w:space="0" w:color="auto"/>
          </w:divBdr>
        </w:div>
        <w:div w:id="1776897640">
          <w:marLeft w:val="130"/>
          <w:marRight w:val="0"/>
          <w:marTop w:val="0"/>
          <w:marBottom w:val="0"/>
          <w:divBdr>
            <w:top w:val="none" w:sz="0" w:space="0" w:color="auto"/>
            <w:left w:val="none" w:sz="0" w:space="0" w:color="auto"/>
            <w:bottom w:val="none" w:sz="0" w:space="0" w:color="auto"/>
            <w:right w:val="none" w:sz="0" w:space="0" w:color="auto"/>
          </w:divBdr>
        </w:div>
      </w:divsChild>
    </w:div>
    <w:div w:id="1473863213">
      <w:bodyDiv w:val="1"/>
      <w:marLeft w:val="0"/>
      <w:marRight w:val="0"/>
      <w:marTop w:val="0"/>
      <w:marBottom w:val="0"/>
      <w:divBdr>
        <w:top w:val="none" w:sz="0" w:space="0" w:color="auto"/>
        <w:left w:val="none" w:sz="0" w:space="0" w:color="auto"/>
        <w:bottom w:val="none" w:sz="0" w:space="0" w:color="auto"/>
        <w:right w:val="none" w:sz="0" w:space="0" w:color="auto"/>
      </w:divBdr>
    </w:div>
    <w:div w:id="1477337667">
      <w:bodyDiv w:val="1"/>
      <w:marLeft w:val="0"/>
      <w:marRight w:val="0"/>
      <w:marTop w:val="0"/>
      <w:marBottom w:val="0"/>
      <w:divBdr>
        <w:top w:val="none" w:sz="0" w:space="0" w:color="auto"/>
        <w:left w:val="none" w:sz="0" w:space="0" w:color="auto"/>
        <w:bottom w:val="none" w:sz="0" w:space="0" w:color="auto"/>
        <w:right w:val="none" w:sz="0" w:space="0" w:color="auto"/>
      </w:divBdr>
    </w:div>
    <w:div w:id="1480225777">
      <w:bodyDiv w:val="1"/>
      <w:marLeft w:val="0"/>
      <w:marRight w:val="0"/>
      <w:marTop w:val="0"/>
      <w:marBottom w:val="0"/>
      <w:divBdr>
        <w:top w:val="none" w:sz="0" w:space="0" w:color="auto"/>
        <w:left w:val="none" w:sz="0" w:space="0" w:color="auto"/>
        <w:bottom w:val="none" w:sz="0" w:space="0" w:color="auto"/>
        <w:right w:val="none" w:sz="0" w:space="0" w:color="auto"/>
      </w:divBdr>
      <w:divsChild>
        <w:div w:id="106897823">
          <w:marLeft w:val="274"/>
          <w:marRight w:val="0"/>
          <w:marTop w:val="40"/>
          <w:marBottom w:val="40"/>
          <w:divBdr>
            <w:top w:val="none" w:sz="0" w:space="0" w:color="auto"/>
            <w:left w:val="none" w:sz="0" w:space="0" w:color="auto"/>
            <w:bottom w:val="none" w:sz="0" w:space="0" w:color="auto"/>
            <w:right w:val="none" w:sz="0" w:space="0" w:color="auto"/>
          </w:divBdr>
        </w:div>
        <w:div w:id="789906628">
          <w:marLeft w:val="274"/>
          <w:marRight w:val="0"/>
          <w:marTop w:val="40"/>
          <w:marBottom w:val="40"/>
          <w:divBdr>
            <w:top w:val="none" w:sz="0" w:space="0" w:color="auto"/>
            <w:left w:val="none" w:sz="0" w:space="0" w:color="auto"/>
            <w:bottom w:val="none" w:sz="0" w:space="0" w:color="auto"/>
            <w:right w:val="none" w:sz="0" w:space="0" w:color="auto"/>
          </w:divBdr>
        </w:div>
        <w:div w:id="1830050799">
          <w:marLeft w:val="274"/>
          <w:marRight w:val="0"/>
          <w:marTop w:val="40"/>
          <w:marBottom w:val="40"/>
          <w:divBdr>
            <w:top w:val="none" w:sz="0" w:space="0" w:color="auto"/>
            <w:left w:val="none" w:sz="0" w:space="0" w:color="auto"/>
            <w:bottom w:val="none" w:sz="0" w:space="0" w:color="auto"/>
            <w:right w:val="none" w:sz="0" w:space="0" w:color="auto"/>
          </w:divBdr>
        </w:div>
      </w:divsChild>
    </w:div>
    <w:div w:id="1480417337">
      <w:bodyDiv w:val="1"/>
      <w:marLeft w:val="0"/>
      <w:marRight w:val="0"/>
      <w:marTop w:val="0"/>
      <w:marBottom w:val="0"/>
      <w:divBdr>
        <w:top w:val="none" w:sz="0" w:space="0" w:color="auto"/>
        <w:left w:val="none" w:sz="0" w:space="0" w:color="auto"/>
        <w:bottom w:val="none" w:sz="0" w:space="0" w:color="auto"/>
        <w:right w:val="none" w:sz="0" w:space="0" w:color="auto"/>
      </w:divBdr>
    </w:div>
    <w:div w:id="1487358194">
      <w:bodyDiv w:val="1"/>
      <w:marLeft w:val="0"/>
      <w:marRight w:val="0"/>
      <w:marTop w:val="0"/>
      <w:marBottom w:val="0"/>
      <w:divBdr>
        <w:top w:val="none" w:sz="0" w:space="0" w:color="auto"/>
        <w:left w:val="none" w:sz="0" w:space="0" w:color="auto"/>
        <w:bottom w:val="none" w:sz="0" w:space="0" w:color="auto"/>
        <w:right w:val="none" w:sz="0" w:space="0" w:color="auto"/>
      </w:divBdr>
    </w:div>
    <w:div w:id="1494834486">
      <w:bodyDiv w:val="1"/>
      <w:marLeft w:val="0"/>
      <w:marRight w:val="0"/>
      <w:marTop w:val="0"/>
      <w:marBottom w:val="0"/>
      <w:divBdr>
        <w:top w:val="none" w:sz="0" w:space="0" w:color="auto"/>
        <w:left w:val="none" w:sz="0" w:space="0" w:color="auto"/>
        <w:bottom w:val="none" w:sz="0" w:space="0" w:color="auto"/>
        <w:right w:val="none" w:sz="0" w:space="0" w:color="auto"/>
      </w:divBdr>
    </w:div>
    <w:div w:id="1495875241">
      <w:bodyDiv w:val="1"/>
      <w:marLeft w:val="0"/>
      <w:marRight w:val="0"/>
      <w:marTop w:val="0"/>
      <w:marBottom w:val="0"/>
      <w:divBdr>
        <w:top w:val="none" w:sz="0" w:space="0" w:color="auto"/>
        <w:left w:val="none" w:sz="0" w:space="0" w:color="auto"/>
        <w:bottom w:val="none" w:sz="0" w:space="0" w:color="auto"/>
        <w:right w:val="none" w:sz="0" w:space="0" w:color="auto"/>
      </w:divBdr>
      <w:divsChild>
        <w:div w:id="1809399484">
          <w:marLeft w:val="274"/>
          <w:marRight w:val="0"/>
          <w:marTop w:val="120"/>
          <w:marBottom w:val="120"/>
          <w:divBdr>
            <w:top w:val="none" w:sz="0" w:space="0" w:color="auto"/>
            <w:left w:val="none" w:sz="0" w:space="0" w:color="auto"/>
            <w:bottom w:val="none" w:sz="0" w:space="0" w:color="auto"/>
            <w:right w:val="none" w:sz="0" w:space="0" w:color="auto"/>
          </w:divBdr>
        </w:div>
      </w:divsChild>
    </w:div>
    <w:div w:id="1498883362">
      <w:bodyDiv w:val="1"/>
      <w:marLeft w:val="0"/>
      <w:marRight w:val="0"/>
      <w:marTop w:val="0"/>
      <w:marBottom w:val="0"/>
      <w:divBdr>
        <w:top w:val="none" w:sz="0" w:space="0" w:color="auto"/>
        <w:left w:val="none" w:sz="0" w:space="0" w:color="auto"/>
        <w:bottom w:val="none" w:sz="0" w:space="0" w:color="auto"/>
        <w:right w:val="none" w:sz="0" w:space="0" w:color="auto"/>
      </w:divBdr>
      <w:divsChild>
        <w:div w:id="1877620188">
          <w:marLeft w:val="274"/>
          <w:marRight w:val="0"/>
          <w:marTop w:val="0"/>
          <w:marBottom w:val="0"/>
          <w:divBdr>
            <w:top w:val="none" w:sz="0" w:space="0" w:color="auto"/>
            <w:left w:val="none" w:sz="0" w:space="0" w:color="auto"/>
            <w:bottom w:val="none" w:sz="0" w:space="0" w:color="auto"/>
            <w:right w:val="none" w:sz="0" w:space="0" w:color="auto"/>
          </w:divBdr>
        </w:div>
      </w:divsChild>
    </w:div>
    <w:div w:id="1500190944">
      <w:bodyDiv w:val="1"/>
      <w:marLeft w:val="0"/>
      <w:marRight w:val="0"/>
      <w:marTop w:val="0"/>
      <w:marBottom w:val="0"/>
      <w:divBdr>
        <w:top w:val="none" w:sz="0" w:space="0" w:color="auto"/>
        <w:left w:val="none" w:sz="0" w:space="0" w:color="auto"/>
        <w:bottom w:val="none" w:sz="0" w:space="0" w:color="auto"/>
        <w:right w:val="none" w:sz="0" w:space="0" w:color="auto"/>
      </w:divBdr>
    </w:div>
    <w:div w:id="1504583611">
      <w:bodyDiv w:val="1"/>
      <w:marLeft w:val="0"/>
      <w:marRight w:val="0"/>
      <w:marTop w:val="0"/>
      <w:marBottom w:val="0"/>
      <w:divBdr>
        <w:top w:val="none" w:sz="0" w:space="0" w:color="auto"/>
        <w:left w:val="none" w:sz="0" w:space="0" w:color="auto"/>
        <w:bottom w:val="none" w:sz="0" w:space="0" w:color="auto"/>
        <w:right w:val="none" w:sz="0" w:space="0" w:color="auto"/>
      </w:divBdr>
    </w:div>
    <w:div w:id="1504976276">
      <w:bodyDiv w:val="1"/>
      <w:marLeft w:val="0"/>
      <w:marRight w:val="0"/>
      <w:marTop w:val="0"/>
      <w:marBottom w:val="0"/>
      <w:divBdr>
        <w:top w:val="none" w:sz="0" w:space="0" w:color="auto"/>
        <w:left w:val="none" w:sz="0" w:space="0" w:color="auto"/>
        <w:bottom w:val="none" w:sz="0" w:space="0" w:color="auto"/>
        <w:right w:val="none" w:sz="0" w:space="0" w:color="auto"/>
      </w:divBdr>
    </w:div>
    <w:div w:id="1506673707">
      <w:bodyDiv w:val="1"/>
      <w:marLeft w:val="0"/>
      <w:marRight w:val="0"/>
      <w:marTop w:val="0"/>
      <w:marBottom w:val="0"/>
      <w:divBdr>
        <w:top w:val="none" w:sz="0" w:space="0" w:color="auto"/>
        <w:left w:val="none" w:sz="0" w:space="0" w:color="auto"/>
        <w:bottom w:val="none" w:sz="0" w:space="0" w:color="auto"/>
        <w:right w:val="none" w:sz="0" w:space="0" w:color="auto"/>
      </w:divBdr>
    </w:div>
    <w:div w:id="1508061535">
      <w:bodyDiv w:val="1"/>
      <w:marLeft w:val="0"/>
      <w:marRight w:val="0"/>
      <w:marTop w:val="0"/>
      <w:marBottom w:val="0"/>
      <w:divBdr>
        <w:top w:val="none" w:sz="0" w:space="0" w:color="auto"/>
        <w:left w:val="none" w:sz="0" w:space="0" w:color="auto"/>
        <w:bottom w:val="none" w:sz="0" w:space="0" w:color="auto"/>
        <w:right w:val="none" w:sz="0" w:space="0" w:color="auto"/>
      </w:divBdr>
      <w:divsChild>
        <w:div w:id="133062351">
          <w:marLeft w:val="274"/>
          <w:marRight w:val="0"/>
          <w:marTop w:val="40"/>
          <w:marBottom w:val="40"/>
          <w:divBdr>
            <w:top w:val="none" w:sz="0" w:space="0" w:color="auto"/>
            <w:left w:val="none" w:sz="0" w:space="0" w:color="auto"/>
            <w:bottom w:val="none" w:sz="0" w:space="0" w:color="auto"/>
            <w:right w:val="none" w:sz="0" w:space="0" w:color="auto"/>
          </w:divBdr>
        </w:div>
      </w:divsChild>
    </w:div>
    <w:div w:id="1510411794">
      <w:bodyDiv w:val="1"/>
      <w:marLeft w:val="0"/>
      <w:marRight w:val="0"/>
      <w:marTop w:val="0"/>
      <w:marBottom w:val="0"/>
      <w:divBdr>
        <w:top w:val="none" w:sz="0" w:space="0" w:color="auto"/>
        <w:left w:val="none" w:sz="0" w:space="0" w:color="auto"/>
        <w:bottom w:val="none" w:sz="0" w:space="0" w:color="auto"/>
        <w:right w:val="none" w:sz="0" w:space="0" w:color="auto"/>
      </w:divBdr>
    </w:div>
    <w:div w:id="1513493773">
      <w:bodyDiv w:val="1"/>
      <w:marLeft w:val="0"/>
      <w:marRight w:val="0"/>
      <w:marTop w:val="0"/>
      <w:marBottom w:val="0"/>
      <w:divBdr>
        <w:top w:val="none" w:sz="0" w:space="0" w:color="auto"/>
        <w:left w:val="none" w:sz="0" w:space="0" w:color="auto"/>
        <w:bottom w:val="none" w:sz="0" w:space="0" w:color="auto"/>
        <w:right w:val="none" w:sz="0" w:space="0" w:color="auto"/>
      </w:divBdr>
    </w:div>
    <w:div w:id="1514564242">
      <w:bodyDiv w:val="1"/>
      <w:marLeft w:val="0"/>
      <w:marRight w:val="0"/>
      <w:marTop w:val="0"/>
      <w:marBottom w:val="0"/>
      <w:divBdr>
        <w:top w:val="none" w:sz="0" w:space="0" w:color="auto"/>
        <w:left w:val="none" w:sz="0" w:space="0" w:color="auto"/>
        <w:bottom w:val="none" w:sz="0" w:space="0" w:color="auto"/>
        <w:right w:val="none" w:sz="0" w:space="0" w:color="auto"/>
      </w:divBdr>
    </w:div>
    <w:div w:id="1519469869">
      <w:bodyDiv w:val="1"/>
      <w:marLeft w:val="0"/>
      <w:marRight w:val="0"/>
      <w:marTop w:val="0"/>
      <w:marBottom w:val="0"/>
      <w:divBdr>
        <w:top w:val="none" w:sz="0" w:space="0" w:color="auto"/>
        <w:left w:val="none" w:sz="0" w:space="0" w:color="auto"/>
        <w:bottom w:val="none" w:sz="0" w:space="0" w:color="auto"/>
        <w:right w:val="none" w:sz="0" w:space="0" w:color="auto"/>
      </w:divBdr>
      <w:divsChild>
        <w:div w:id="670525900">
          <w:marLeft w:val="274"/>
          <w:marRight w:val="0"/>
          <w:marTop w:val="40"/>
          <w:marBottom w:val="40"/>
          <w:divBdr>
            <w:top w:val="none" w:sz="0" w:space="0" w:color="auto"/>
            <w:left w:val="none" w:sz="0" w:space="0" w:color="auto"/>
            <w:bottom w:val="none" w:sz="0" w:space="0" w:color="auto"/>
            <w:right w:val="none" w:sz="0" w:space="0" w:color="auto"/>
          </w:divBdr>
        </w:div>
        <w:div w:id="875461112">
          <w:marLeft w:val="274"/>
          <w:marRight w:val="0"/>
          <w:marTop w:val="40"/>
          <w:marBottom w:val="40"/>
          <w:divBdr>
            <w:top w:val="none" w:sz="0" w:space="0" w:color="auto"/>
            <w:left w:val="none" w:sz="0" w:space="0" w:color="auto"/>
            <w:bottom w:val="none" w:sz="0" w:space="0" w:color="auto"/>
            <w:right w:val="none" w:sz="0" w:space="0" w:color="auto"/>
          </w:divBdr>
        </w:div>
        <w:div w:id="1314532091">
          <w:marLeft w:val="274"/>
          <w:marRight w:val="0"/>
          <w:marTop w:val="40"/>
          <w:marBottom w:val="40"/>
          <w:divBdr>
            <w:top w:val="none" w:sz="0" w:space="0" w:color="auto"/>
            <w:left w:val="none" w:sz="0" w:space="0" w:color="auto"/>
            <w:bottom w:val="none" w:sz="0" w:space="0" w:color="auto"/>
            <w:right w:val="none" w:sz="0" w:space="0" w:color="auto"/>
          </w:divBdr>
        </w:div>
        <w:div w:id="1518814901">
          <w:marLeft w:val="274"/>
          <w:marRight w:val="0"/>
          <w:marTop w:val="40"/>
          <w:marBottom w:val="40"/>
          <w:divBdr>
            <w:top w:val="none" w:sz="0" w:space="0" w:color="auto"/>
            <w:left w:val="none" w:sz="0" w:space="0" w:color="auto"/>
            <w:bottom w:val="none" w:sz="0" w:space="0" w:color="auto"/>
            <w:right w:val="none" w:sz="0" w:space="0" w:color="auto"/>
          </w:divBdr>
        </w:div>
      </w:divsChild>
    </w:div>
    <w:div w:id="1519736742">
      <w:bodyDiv w:val="1"/>
      <w:marLeft w:val="0"/>
      <w:marRight w:val="0"/>
      <w:marTop w:val="0"/>
      <w:marBottom w:val="0"/>
      <w:divBdr>
        <w:top w:val="none" w:sz="0" w:space="0" w:color="auto"/>
        <w:left w:val="none" w:sz="0" w:space="0" w:color="auto"/>
        <w:bottom w:val="none" w:sz="0" w:space="0" w:color="auto"/>
        <w:right w:val="none" w:sz="0" w:space="0" w:color="auto"/>
      </w:divBdr>
    </w:div>
    <w:div w:id="1521316209">
      <w:bodyDiv w:val="1"/>
      <w:marLeft w:val="0"/>
      <w:marRight w:val="0"/>
      <w:marTop w:val="0"/>
      <w:marBottom w:val="0"/>
      <w:divBdr>
        <w:top w:val="none" w:sz="0" w:space="0" w:color="auto"/>
        <w:left w:val="none" w:sz="0" w:space="0" w:color="auto"/>
        <w:bottom w:val="none" w:sz="0" w:space="0" w:color="auto"/>
        <w:right w:val="none" w:sz="0" w:space="0" w:color="auto"/>
      </w:divBdr>
    </w:div>
    <w:div w:id="1523006937">
      <w:bodyDiv w:val="1"/>
      <w:marLeft w:val="0"/>
      <w:marRight w:val="0"/>
      <w:marTop w:val="0"/>
      <w:marBottom w:val="0"/>
      <w:divBdr>
        <w:top w:val="none" w:sz="0" w:space="0" w:color="auto"/>
        <w:left w:val="none" w:sz="0" w:space="0" w:color="auto"/>
        <w:bottom w:val="none" w:sz="0" w:space="0" w:color="auto"/>
        <w:right w:val="none" w:sz="0" w:space="0" w:color="auto"/>
      </w:divBdr>
    </w:div>
    <w:div w:id="1525679299">
      <w:bodyDiv w:val="1"/>
      <w:marLeft w:val="0"/>
      <w:marRight w:val="0"/>
      <w:marTop w:val="0"/>
      <w:marBottom w:val="0"/>
      <w:divBdr>
        <w:top w:val="none" w:sz="0" w:space="0" w:color="auto"/>
        <w:left w:val="none" w:sz="0" w:space="0" w:color="auto"/>
        <w:bottom w:val="none" w:sz="0" w:space="0" w:color="auto"/>
        <w:right w:val="none" w:sz="0" w:space="0" w:color="auto"/>
      </w:divBdr>
      <w:divsChild>
        <w:div w:id="486241964">
          <w:marLeft w:val="0"/>
          <w:marRight w:val="0"/>
          <w:marTop w:val="0"/>
          <w:marBottom w:val="0"/>
          <w:divBdr>
            <w:top w:val="none" w:sz="0" w:space="0" w:color="auto"/>
            <w:left w:val="none" w:sz="0" w:space="0" w:color="auto"/>
            <w:bottom w:val="none" w:sz="0" w:space="0" w:color="auto"/>
            <w:right w:val="none" w:sz="0" w:space="0" w:color="auto"/>
          </w:divBdr>
          <w:divsChild>
            <w:div w:id="1758285727">
              <w:marLeft w:val="0"/>
              <w:marRight w:val="0"/>
              <w:marTop w:val="0"/>
              <w:marBottom w:val="0"/>
              <w:divBdr>
                <w:top w:val="single" w:sz="8" w:space="3" w:color="FFFFFF"/>
                <w:left w:val="none" w:sz="0" w:space="0" w:color="auto"/>
                <w:bottom w:val="none" w:sz="0" w:space="0" w:color="auto"/>
                <w:right w:val="none" w:sz="0" w:space="0" w:color="auto"/>
              </w:divBdr>
            </w:div>
          </w:divsChild>
        </w:div>
      </w:divsChild>
    </w:div>
    <w:div w:id="1540623212">
      <w:bodyDiv w:val="1"/>
      <w:marLeft w:val="0"/>
      <w:marRight w:val="0"/>
      <w:marTop w:val="0"/>
      <w:marBottom w:val="0"/>
      <w:divBdr>
        <w:top w:val="none" w:sz="0" w:space="0" w:color="auto"/>
        <w:left w:val="none" w:sz="0" w:space="0" w:color="auto"/>
        <w:bottom w:val="none" w:sz="0" w:space="0" w:color="auto"/>
        <w:right w:val="none" w:sz="0" w:space="0" w:color="auto"/>
      </w:divBdr>
    </w:div>
    <w:div w:id="1541480758">
      <w:bodyDiv w:val="1"/>
      <w:marLeft w:val="0"/>
      <w:marRight w:val="0"/>
      <w:marTop w:val="0"/>
      <w:marBottom w:val="0"/>
      <w:divBdr>
        <w:top w:val="none" w:sz="0" w:space="0" w:color="auto"/>
        <w:left w:val="none" w:sz="0" w:space="0" w:color="auto"/>
        <w:bottom w:val="none" w:sz="0" w:space="0" w:color="auto"/>
        <w:right w:val="none" w:sz="0" w:space="0" w:color="auto"/>
      </w:divBdr>
    </w:div>
    <w:div w:id="1547251128">
      <w:bodyDiv w:val="1"/>
      <w:marLeft w:val="0"/>
      <w:marRight w:val="0"/>
      <w:marTop w:val="0"/>
      <w:marBottom w:val="0"/>
      <w:divBdr>
        <w:top w:val="none" w:sz="0" w:space="0" w:color="auto"/>
        <w:left w:val="none" w:sz="0" w:space="0" w:color="auto"/>
        <w:bottom w:val="none" w:sz="0" w:space="0" w:color="auto"/>
        <w:right w:val="none" w:sz="0" w:space="0" w:color="auto"/>
      </w:divBdr>
      <w:divsChild>
        <w:div w:id="1057898853">
          <w:marLeft w:val="274"/>
          <w:marRight w:val="0"/>
          <w:marTop w:val="40"/>
          <w:marBottom w:val="40"/>
          <w:divBdr>
            <w:top w:val="none" w:sz="0" w:space="0" w:color="auto"/>
            <w:left w:val="none" w:sz="0" w:space="0" w:color="auto"/>
            <w:bottom w:val="none" w:sz="0" w:space="0" w:color="auto"/>
            <w:right w:val="none" w:sz="0" w:space="0" w:color="auto"/>
          </w:divBdr>
        </w:div>
      </w:divsChild>
    </w:div>
    <w:div w:id="1557084246">
      <w:bodyDiv w:val="1"/>
      <w:marLeft w:val="0"/>
      <w:marRight w:val="0"/>
      <w:marTop w:val="0"/>
      <w:marBottom w:val="0"/>
      <w:divBdr>
        <w:top w:val="none" w:sz="0" w:space="0" w:color="auto"/>
        <w:left w:val="none" w:sz="0" w:space="0" w:color="auto"/>
        <w:bottom w:val="none" w:sz="0" w:space="0" w:color="auto"/>
        <w:right w:val="none" w:sz="0" w:space="0" w:color="auto"/>
      </w:divBdr>
    </w:div>
    <w:div w:id="1560819448">
      <w:bodyDiv w:val="1"/>
      <w:marLeft w:val="0"/>
      <w:marRight w:val="0"/>
      <w:marTop w:val="0"/>
      <w:marBottom w:val="0"/>
      <w:divBdr>
        <w:top w:val="none" w:sz="0" w:space="0" w:color="auto"/>
        <w:left w:val="none" w:sz="0" w:space="0" w:color="auto"/>
        <w:bottom w:val="none" w:sz="0" w:space="0" w:color="auto"/>
        <w:right w:val="none" w:sz="0" w:space="0" w:color="auto"/>
      </w:divBdr>
    </w:div>
    <w:div w:id="1562596308">
      <w:bodyDiv w:val="1"/>
      <w:marLeft w:val="0"/>
      <w:marRight w:val="0"/>
      <w:marTop w:val="0"/>
      <w:marBottom w:val="0"/>
      <w:divBdr>
        <w:top w:val="none" w:sz="0" w:space="0" w:color="auto"/>
        <w:left w:val="none" w:sz="0" w:space="0" w:color="auto"/>
        <w:bottom w:val="none" w:sz="0" w:space="0" w:color="auto"/>
        <w:right w:val="none" w:sz="0" w:space="0" w:color="auto"/>
      </w:divBdr>
    </w:div>
    <w:div w:id="1564634521">
      <w:bodyDiv w:val="1"/>
      <w:marLeft w:val="0"/>
      <w:marRight w:val="0"/>
      <w:marTop w:val="0"/>
      <w:marBottom w:val="0"/>
      <w:divBdr>
        <w:top w:val="none" w:sz="0" w:space="0" w:color="auto"/>
        <w:left w:val="none" w:sz="0" w:space="0" w:color="auto"/>
        <w:bottom w:val="none" w:sz="0" w:space="0" w:color="auto"/>
        <w:right w:val="none" w:sz="0" w:space="0" w:color="auto"/>
      </w:divBdr>
    </w:div>
    <w:div w:id="1564947791">
      <w:bodyDiv w:val="1"/>
      <w:marLeft w:val="0"/>
      <w:marRight w:val="0"/>
      <w:marTop w:val="0"/>
      <w:marBottom w:val="0"/>
      <w:divBdr>
        <w:top w:val="none" w:sz="0" w:space="0" w:color="auto"/>
        <w:left w:val="none" w:sz="0" w:space="0" w:color="auto"/>
        <w:bottom w:val="none" w:sz="0" w:space="0" w:color="auto"/>
        <w:right w:val="none" w:sz="0" w:space="0" w:color="auto"/>
      </w:divBdr>
    </w:div>
    <w:div w:id="1565683430">
      <w:bodyDiv w:val="1"/>
      <w:marLeft w:val="0"/>
      <w:marRight w:val="0"/>
      <w:marTop w:val="0"/>
      <w:marBottom w:val="0"/>
      <w:divBdr>
        <w:top w:val="none" w:sz="0" w:space="0" w:color="auto"/>
        <w:left w:val="none" w:sz="0" w:space="0" w:color="auto"/>
        <w:bottom w:val="none" w:sz="0" w:space="0" w:color="auto"/>
        <w:right w:val="none" w:sz="0" w:space="0" w:color="auto"/>
      </w:divBdr>
    </w:div>
    <w:div w:id="1566528002">
      <w:bodyDiv w:val="1"/>
      <w:marLeft w:val="0"/>
      <w:marRight w:val="0"/>
      <w:marTop w:val="0"/>
      <w:marBottom w:val="0"/>
      <w:divBdr>
        <w:top w:val="none" w:sz="0" w:space="0" w:color="auto"/>
        <w:left w:val="none" w:sz="0" w:space="0" w:color="auto"/>
        <w:bottom w:val="none" w:sz="0" w:space="0" w:color="auto"/>
        <w:right w:val="none" w:sz="0" w:space="0" w:color="auto"/>
      </w:divBdr>
    </w:div>
    <w:div w:id="1572034364">
      <w:bodyDiv w:val="1"/>
      <w:marLeft w:val="0"/>
      <w:marRight w:val="0"/>
      <w:marTop w:val="0"/>
      <w:marBottom w:val="0"/>
      <w:divBdr>
        <w:top w:val="none" w:sz="0" w:space="0" w:color="auto"/>
        <w:left w:val="none" w:sz="0" w:space="0" w:color="auto"/>
        <w:bottom w:val="none" w:sz="0" w:space="0" w:color="auto"/>
        <w:right w:val="none" w:sz="0" w:space="0" w:color="auto"/>
      </w:divBdr>
    </w:div>
    <w:div w:id="1580754787">
      <w:bodyDiv w:val="1"/>
      <w:marLeft w:val="0"/>
      <w:marRight w:val="0"/>
      <w:marTop w:val="0"/>
      <w:marBottom w:val="0"/>
      <w:divBdr>
        <w:top w:val="none" w:sz="0" w:space="0" w:color="auto"/>
        <w:left w:val="none" w:sz="0" w:space="0" w:color="auto"/>
        <w:bottom w:val="none" w:sz="0" w:space="0" w:color="auto"/>
        <w:right w:val="none" w:sz="0" w:space="0" w:color="auto"/>
      </w:divBdr>
    </w:div>
    <w:div w:id="1607883448">
      <w:bodyDiv w:val="1"/>
      <w:marLeft w:val="0"/>
      <w:marRight w:val="0"/>
      <w:marTop w:val="0"/>
      <w:marBottom w:val="0"/>
      <w:divBdr>
        <w:top w:val="none" w:sz="0" w:space="0" w:color="auto"/>
        <w:left w:val="none" w:sz="0" w:space="0" w:color="auto"/>
        <w:bottom w:val="none" w:sz="0" w:space="0" w:color="auto"/>
        <w:right w:val="none" w:sz="0" w:space="0" w:color="auto"/>
      </w:divBdr>
    </w:div>
    <w:div w:id="1618559396">
      <w:bodyDiv w:val="1"/>
      <w:marLeft w:val="0"/>
      <w:marRight w:val="0"/>
      <w:marTop w:val="0"/>
      <w:marBottom w:val="0"/>
      <w:divBdr>
        <w:top w:val="none" w:sz="0" w:space="0" w:color="auto"/>
        <w:left w:val="none" w:sz="0" w:space="0" w:color="auto"/>
        <w:bottom w:val="none" w:sz="0" w:space="0" w:color="auto"/>
        <w:right w:val="none" w:sz="0" w:space="0" w:color="auto"/>
      </w:divBdr>
    </w:div>
    <w:div w:id="1620647279">
      <w:bodyDiv w:val="1"/>
      <w:marLeft w:val="0"/>
      <w:marRight w:val="0"/>
      <w:marTop w:val="0"/>
      <w:marBottom w:val="0"/>
      <w:divBdr>
        <w:top w:val="none" w:sz="0" w:space="0" w:color="auto"/>
        <w:left w:val="none" w:sz="0" w:space="0" w:color="auto"/>
        <w:bottom w:val="none" w:sz="0" w:space="0" w:color="auto"/>
        <w:right w:val="none" w:sz="0" w:space="0" w:color="auto"/>
      </w:divBdr>
    </w:div>
    <w:div w:id="1620868053">
      <w:bodyDiv w:val="1"/>
      <w:marLeft w:val="0"/>
      <w:marRight w:val="0"/>
      <w:marTop w:val="0"/>
      <w:marBottom w:val="0"/>
      <w:divBdr>
        <w:top w:val="none" w:sz="0" w:space="0" w:color="auto"/>
        <w:left w:val="none" w:sz="0" w:space="0" w:color="auto"/>
        <w:bottom w:val="none" w:sz="0" w:space="0" w:color="auto"/>
        <w:right w:val="none" w:sz="0" w:space="0" w:color="auto"/>
      </w:divBdr>
    </w:div>
    <w:div w:id="1624536108">
      <w:bodyDiv w:val="1"/>
      <w:marLeft w:val="0"/>
      <w:marRight w:val="0"/>
      <w:marTop w:val="0"/>
      <w:marBottom w:val="0"/>
      <w:divBdr>
        <w:top w:val="none" w:sz="0" w:space="0" w:color="auto"/>
        <w:left w:val="none" w:sz="0" w:space="0" w:color="auto"/>
        <w:bottom w:val="none" w:sz="0" w:space="0" w:color="auto"/>
        <w:right w:val="none" w:sz="0" w:space="0" w:color="auto"/>
      </w:divBdr>
    </w:div>
    <w:div w:id="1627396363">
      <w:bodyDiv w:val="1"/>
      <w:marLeft w:val="0"/>
      <w:marRight w:val="0"/>
      <w:marTop w:val="0"/>
      <w:marBottom w:val="0"/>
      <w:divBdr>
        <w:top w:val="none" w:sz="0" w:space="0" w:color="auto"/>
        <w:left w:val="none" w:sz="0" w:space="0" w:color="auto"/>
        <w:bottom w:val="none" w:sz="0" w:space="0" w:color="auto"/>
        <w:right w:val="none" w:sz="0" w:space="0" w:color="auto"/>
      </w:divBdr>
    </w:div>
    <w:div w:id="1634362046">
      <w:bodyDiv w:val="1"/>
      <w:marLeft w:val="0"/>
      <w:marRight w:val="0"/>
      <w:marTop w:val="0"/>
      <w:marBottom w:val="0"/>
      <w:divBdr>
        <w:top w:val="none" w:sz="0" w:space="0" w:color="auto"/>
        <w:left w:val="none" w:sz="0" w:space="0" w:color="auto"/>
        <w:bottom w:val="none" w:sz="0" w:space="0" w:color="auto"/>
        <w:right w:val="none" w:sz="0" w:space="0" w:color="auto"/>
      </w:divBdr>
    </w:div>
    <w:div w:id="1644852885">
      <w:bodyDiv w:val="1"/>
      <w:marLeft w:val="0"/>
      <w:marRight w:val="0"/>
      <w:marTop w:val="0"/>
      <w:marBottom w:val="0"/>
      <w:divBdr>
        <w:top w:val="none" w:sz="0" w:space="0" w:color="auto"/>
        <w:left w:val="none" w:sz="0" w:space="0" w:color="auto"/>
        <w:bottom w:val="none" w:sz="0" w:space="0" w:color="auto"/>
        <w:right w:val="none" w:sz="0" w:space="0" w:color="auto"/>
      </w:divBdr>
    </w:div>
    <w:div w:id="1645313734">
      <w:bodyDiv w:val="1"/>
      <w:marLeft w:val="0"/>
      <w:marRight w:val="0"/>
      <w:marTop w:val="0"/>
      <w:marBottom w:val="0"/>
      <w:divBdr>
        <w:top w:val="none" w:sz="0" w:space="0" w:color="auto"/>
        <w:left w:val="none" w:sz="0" w:space="0" w:color="auto"/>
        <w:bottom w:val="none" w:sz="0" w:space="0" w:color="auto"/>
        <w:right w:val="none" w:sz="0" w:space="0" w:color="auto"/>
      </w:divBdr>
    </w:div>
    <w:div w:id="1651790293">
      <w:bodyDiv w:val="1"/>
      <w:marLeft w:val="0"/>
      <w:marRight w:val="0"/>
      <w:marTop w:val="0"/>
      <w:marBottom w:val="0"/>
      <w:divBdr>
        <w:top w:val="none" w:sz="0" w:space="0" w:color="auto"/>
        <w:left w:val="none" w:sz="0" w:space="0" w:color="auto"/>
        <w:bottom w:val="none" w:sz="0" w:space="0" w:color="auto"/>
        <w:right w:val="none" w:sz="0" w:space="0" w:color="auto"/>
      </w:divBdr>
    </w:div>
    <w:div w:id="1654917806">
      <w:bodyDiv w:val="1"/>
      <w:marLeft w:val="0"/>
      <w:marRight w:val="0"/>
      <w:marTop w:val="0"/>
      <w:marBottom w:val="0"/>
      <w:divBdr>
        <w:top w:val="none" w:sz="0" w:space="0" w:color="auto"/>
        <w:left w:val="none" w:sz="0" w:space="0" w:color="auto"/>
        <w:bottom w:val="none" w:sz="0" w:space="0" w:color="auto"/>
        <w:right w:val="none" w:sz="0" w:space="0" w:color="auto"/>
      </w:divBdr>
    </w:div>
    <w:div w:id="1660302566">
      <w:bodyDiv w:val="1"/>
      <w:marLeft w:val="0"/>
      <w:marRight w:val="0"/>
      <w:marTop w:val="0"/>
      <w:marBottom w:val="0"/>
      <w:divBdr>
        <w:top w:val="none" w:sz="0" w:space="0" w:color="auto"/>
        <w:left w:val="none" w:sz="0" w:space="0" w:color="auto"/>
        <w:bottom w:val="none" w:sz="0" w:space="0" w:color="auto"/>
        <w:right w:val="none" w:sz="0" w:space="0" w:color="auto"/>
      </w:divBdr>
    </w:div>
    <w:div w:id="1666086871">
      <w:bodyDiv w:val="1"/>
      <w:marLeft w:val="0"/>
      <w:marRight w:val="0"/>
      <w:marTop w:val="0"/>
      <w:marBottom w:val="0"/>
      <w:divBdr>
        <w:top w:val="none" w:sz="0" w:space="0" w:color="auto"/>
        <w:left w:val="none" w:sz="0" w:space="0" w:color="auto"/>
        <w:bottom w:val="none" w:sz="0" w:space="0" w:color="auto"/>
        <w:right w:val="none" w:sz="0" w:space="0" w:color="auto"/>
      </w:divBdr>
    </w:div>
    <w:div w:id="1667972623">
      <w:bodyDiv w:val="1"/>
      <w:marLeft w:val="0"/>
      <w:marRight w:val="0"/>
      <w:marTop w:val="0"/>
      <w:marBottom w:val="0"/>
      <w:divBdr>
        <w:top w:val="none" w:sz="0" w:space="0" w:color="auto"/>
        <w:left w:val="none" w:sz="0" w:space="0" w:color="auto"/>
        <w:bottom w:val="none" w:sz="0" w:space="0" w:color="auto"/>
        <w:right w:val="none" w:sz="0" w:space="0" w:color="auto"/>
      </w:divBdr>
    </w:div>
    <w:div w:id="1669289512">
      <w:bodyDiv w:val="1"/>
      <w:marLeft w:val="0"/>
      <w:marRight w:val="0"/>
      <w:marTop w:val="0"/>
      <w:marBottom w:val="0"/>
      <w:divBdr>
        <w:top w:val="none" w:sz="0" w:space="0" w:color="auto"/>
        <w:left w:val="none" w:sz="0" w:space="0" w:color="auto"/>
        <w:bottom w:val="none" w:sz="0" w:space="0" w:color="auto"/>
        <w:right w:val="none" w:sz="0" w:space="0" w:color="auto"/>
      </w:divBdr>
    </w:div>
    <w:div w:id="1674214705">
      <w:bodyDiv w:val="1"/>
      <w:marLeft w:val="0"/>
      <w:marRight w:val="0"/>
      <w:marTop w:val="0"/>
      <w:marBottom w:val="0"/>
      <w:divBdr>
        <w:top w:val="none" w:sz="0" w:space="0" w:color="auto"/>
        <w:left w:val="none" w:sz="0" w:space="0" w:color="auto"/>
        <w:bottom w:val="none" w:sz="0" w:space="0" w:color="auto"/>
        <w:right w:val="none" w:sz="0" w:space="0" w:color="auto"/>
      </w:divBdr>
      <w:divsChild>
        <w:div w:id="131799531">
          <w:marLeft w:val="274"/>
          <w:marRight w:val="0"/>
          <w:marTop w:val="40"/>
          <w:marBottom w:val="40"/>
          <w:divBdr>
            <w:top w:val="none" w:sz="0" w:space="0" w:color="auto"/>
            <w:left w:val="none" w:sz="0" w:space="0" w:color="auto"/>
            <w:bottom w:val="none" w:sz="0" w:space="0" w:color="auto"/>
            <w:right w:val="none" w:sz="0" w:space="0" w:color="auto"/>
          </w:divBdr>
        </w:div>
      </w:divsChild>
    </w:div>
    <w:div w:id="1677414521">
      <w:bodyDiv w:val="1"/>
      <w:marLeft w:val="0"/>
      <w:marRight w:val="0"/>
      <w:marTop w:val="0"/>
      <w:marBottom w:val="0"/>
      <w:divBdr>
        <w:top w:val="none" w:sz="0" w:space="0" w:color="auto"/>
        <w:left w:val="none" w:sz="0" w:space="0" w:color="auto"/>
        <w:bottom w:val="none" w:sz="0" w:space="0" w:color="auto"/>
        <w:right w:val="none" w:sz="0" w:space="0" w:color="auto"/>
      </w:divBdr>
      <w:divsChild>
        <w:div w:id="1068462150">
          <w:marLeft w:val="274"/>
          <w:marRight w:val="0"/>
          <w:marTop w:val="0"/>
          <w:marBottom w:val="0"/>
          <w:divBdr>
            <w:top w:val="none" w:sz="0" w:space="0" w:color="auto"/>
            <w:left w:val="none" w:sz="0" w:space="0" w:color="auto"/>
            <w:bottom w:val="none" w:sz="0" w:space="0" w:color="auto"/>
            <w:right w:val="none" w:sz="0" w:space="0" w:color="auto"/>
          </w:divBdr>
        </w:div>
      </w:divsChild>
    </w:div>
    <w:div w:id="1679697804">
      <w:bodyDiv w:val="1"/>
      <w:marLeft w:val="0"/>
      <w:marRight w:val="0"/>
      <w:marTop w:val="0"/>
      <w:marBottom w:val="0"/>
      <w:divBdr>
        <w:top w:val="none" w:sz="0" w:space="0" w:color="auto"/>
        <w:left w:val="none" w:sz="0" w:space="0" w:color="auto"/>
        <w:bottom w:val="none" w:sz="0" w:space="0" w:color="auto"/>
        <w:right w:val="none" w:sz="0" w:space="0" w:color="auto"/>
      </w:divBdr>
      <w:divsChild>
        <w:div w:id="466047388">
          <w:marLeft w:val="274"/>
          <w:marRight w:val="0"/>
          <w:marTop w:val="120"/>
          <w:marBottom w:val="120"/>
          <w:divBdr>
            <w:top w:val="none" w:sz="0" w:space="0" w:color="auto"/>
            <w:left w:val="none" w:sz="0" w:space="0" w:color="auto"/>
            <w:bottom w:val="none" w:sz="0" w:space="0" w:color="auto"/>
            <w:right w:val="none" w:sz="0" w:space="0" w:color="auto"/>
          </w:divBdr>
        </w:div>
      </w:divsChild>
    </w:div>
    <w:div w:id="1681349795">
      <w:bodyDiv w:val="1"/>
      <w:marLeft w:val="0"/>
      <w:marRight w:val="0"/>
      <w:marTop w:val="0"/>
      <w:marBottom w:val="0"/>
      <w:divBdr>
        <w:top w:val="none" w:sz="0" w:space="0" w:color="auto"/>
        <w:left w:val="none" w:sz="0" w:space="0" w:color="auto"/>
        <w:bottom w:val="none" w:sz="0" w:space="0" w:color="auto"/>
        <w:right w:val="none" w:sz="0" w:space="0" w:color="auto"/>
      </w:divBdr>
    </w:div>
    <w:div w:id="1683429845">
      <w:bodyDiv w:val="1"/>
      <w:marLeft w:val="0"/>
      <w:marRight w:val="0"/>
      <w:marTop w:val="0"/>
      <w:marBottom w:val="0"/>
      <w:divBdr>
        <w:top w:val="none" w:sz="0" w:space="0" w:color="auto"/>
        <w:left w:val="none" w:sz="0" w:space="0" w:color="auto"/>
        <w:bottom w:val="none" w:sz="0" w:space="0" w:color="auto"/>
        <w:right w:val="none" w:sz="0" w:space="0" w:color="auto"/>
      </w:divBdr>
    </w:div>
    <w:div w:id="1683774927">
      <w:bodyDiv w:val="1"/>
      <w:marLeft w:val="0"/>
      <w:marRight w:val="0"/>
      <w:marTop w:val="0"/>
      <w:marBottom w:val="0"/>
      <w:divBdr>
        <w:top w:val="none" w:sz="0" w:space="0" w:color="auto"/>
        <w:left w:val="none" w:sz="0" w:space="0" w:color="auto"/>
        <w:bottom w:val="none" w:sz="0" w:space="0" w:color="auto"/>
        <w:right w:val="none" w:sz="0" w:space="0" w:color="auto"/>
      </w:divBdr>
      <w:divsChild>
        <w:div w:id="2089422424">
          <w:marLeft w:val="1166"/>
          <w:marRight w:val="0"/>
          <w:marTop w:val="0"/>
          <w:marBottom w:val="0"/>
          <w:divBdr>
            <w:top w:val="none" w:sz="0" w:space="0" w:color="auto"/>
            <w:left w:val="none" w:sz="0" w:space="0" w:color="auto"/>
            <w:bottom w:val="none" w:sz="0" w:space="0" w:color="auto"/>
            <w:right w:val="none" w:sz="0" w:space="0" w:color="auto"/>
          </w:divBdr>
        </w:div>
      </w:divsChild>
    </w:div>
    <w:div w:id="1688674008">
      <w:bodyDiv w:val="1"/>
      <w:marLeft w:val="0"/>
      <w:marRight w:val="0"/>
      <w:marTop w:val="0"/>
      <w:marBottom w:val="0"/>
      <w:divBdr>
        <w:top w:val="none" w:sz="0" w:space="0" w:color="auto"/>
        <w:left w:val="none" w:sz="0" w:space="0" w:color="auto"/>
        <w:bottom w:val="none" w:sz="0" w:space="0" w:color="auto"/>
        <w:right w:val="none" w:sz="0" w:space="0" w:color="auto"/>
      </w:divBdr>
    </w:div>
    <w:div w:id="1692102649">
      <w:bodyDiv w:val="1"/>
      <w:marLeft w:val="0"/>
      <w:marRight w:val="0"/>
      <w:marTop w:val="0"/>
      <w:marBottom w:val="0"/>
      <w:divBdr>
        <w:top w:val="none" w:sz="0" w:space="0" w:color="auto"/>
        <w:left w:val="none" w:sz="0" w:space="0" w:color="auto"/>
        <w:bottom w:val="none" w:sz="0" w:space="0" w:color="auto"/>
        <w:right w:val="none" w:sz="0" w:space="0" w:color="auto"/>
      </w:divBdr>
    </w:div>
    <w:div w:id="1694376033">
      <w:bodyDiv w:val="1"/>
      <w:marLeft w:val="0"/>
      <w:marRight w:val="0"/>
      <w:marTop w:val="0"/>
      <w:marBottom w:val="0"/>
      <w:divBdr>
        <w:top w:val="none" w:sz="0" w:space="0" w:color="auto"/>
        <w:left w:val="none" w:sz="0" w:space="0" w:color="auto"/>
        <w:bottom w:val="none" w:sz="0" w:space="0" w:color="auto"/>
        <w:right w:val="none" w:sz="0" w:space="0" w:color="auto"/>
      </w:divBdr>
    </w:div>
    <w:div w:id="1701975813">
      <w:bodyDiv w:val="1"/>
      <w:marLeft w:val="0"/>
      <w:marRight w:val="0"/>
      <w:marTop w:val="0"/>
      <w:marBottom w:val="0"/>
      <w:divBdr>
        <w:top w:val="none" w:sz="0" w:space="0" w:color="auto"/>
        <w:left w:val="none" w:sz="0" w:space="0" w:color="auto"/>
        <w:bottom w:val="none" w:sz="0" w:space="0" w:color="auto"/>
        <w:right w:val="none" w:sz="0" w:space="0" w:color="auto"/>
      </w:divBdr>
      <w:divsChild>
        <w:div w:id="1912695274">
          <w:marLeft w:val="274"/>
          <w:marRight w:val="0"/>
          <w:marTop w:val="40"/>
          <w:marBottom w:val="40"/>
          <w:divBdr>
            <w:top w:val="none" w:sz="0" w:space="0" w:color="auto"/>
            <w:left w:val="none" w:sz="0" w:space="0" w:color="auto"/>
            <w:bottom w:val="none" w:sz="0" w:space="0" w:color="auto"/>
            <w:right w:val="none" w:sz="0" w:space="0" w:color="auto"/>
          </w:divBdr>
        </w:div>
      </w:divsChild>
    </w:div>
    <w:div w:id="1703826031">
      <w:bodyDiv w:val="1"/>
      <w:marLeft w:val="0"/>
      <w:marRight w:val="0"/>
      <w:marTop w:val="0"/>
      <w:marBottom w:val="0"/>
      <w:divBdr>
        <w:top w:val="none" w:sz="0" w:space="0" w:color="auto"/>
        <w:left w:val="none" w:sz="0" w:space="0" w:color="auto"/>
        <w:bottom w:val="none" w:sz="0" w:space="0" w:color="auto"/>
        <w:right w:val="none" w:sz="0" w:space="0" w:color="auto"/>
      </w:divBdr>
    </w:div>
    <w:div w:id="1704556584">
      <w:bodyDiv w:val="1"/>
      <w:marLeft w:val="0"/>
      <w:marRight w:val="0"/>
      <w:marTop w:val="0"/>
      <w:marBottom w:val="0"/>
      <w:divBdr>
        <w:top w:val="none" w:sz="0" w:space="0" w:color="auto"/>
        <w:left w:val="none" w:sz="0" w:space="0" w:color="auto"/>
        <w:bottom w:val="none" w:sz="0" w:space="0" w:color="auto"/>
        <w:right w:val="none" w:sz="0" w:space="0" w:color="auto"/>
      </w:divBdr>
    </w:div>
    <w:div w:id="1705246924">
      <w:bodyDiv w:val="1"/>
      <w:marLeft w:val="0"/>
      <w:marRight w:val="0"/>
      <w:marTop w:val="0"/>
      <w:marBottom w:val="0"/>
      <w:divBdr>
        <w:top w:val="none" w:sz="0" w:space="0" w:color="auto"/>
        <w:left w:val="none" w:sz="0" w:space="0" w:color="auto"/>
        <w:bottom w:val="none" w:sz="0" w:space="0" w:color="auto"/>
        <w:right w:val="none" w:sz="0" w:space="0" w:color="auto"/>
      </w:divBdr>
    </w:div>
    <w:div w:id="1708800943">
      <w:bodyDiv w:val="1"/>
      <w:marLeft w:val="0"/>
      <w:marRight w:val="0"/>
      <w:marTop w:val="0"/>
      <w:marBottom w:val="0"/>
      <w:divBdr>
        <w:top w:val="none" w:sz="0" w:space="0" w:color="auto"/>
        <w:left w:val="none" w:sz="0" w:space="0" w:color="auto"/>
        <w:bottom w:val="none" w:sz="0" w:space="0" w:color="auto"/>
        <w:right w:val="none" w:sz="0" w:space="0" w:color="auto"/>
      </w:divBdr>
    </w:div>
    <w:div w:id="1712916980">
      <w:bodyDiv w:val="1"/>
      <w:marLeft w:val="0"/>
      <w:marRight w:val="0"/>
      <w:marTop w:val="0"/>
      <w:marBottom w:val="0"/>
      <w:divBdr>
        <w:top w:val="none" w:sz="0" w:space="0" w:color="auto"/>
        <w:left w:val="none" w:sz="0" w:space="0" w:color="auto"/>
        <w:bottom w:val="none" w:sz="0" w:space="0" w:color="auto"/>
        <w:right w:val="none" w:sz="0" w:space="0" w:color="auto"/>
      </w:divBdr>
      <w:divsChild>
        <w:div w:id="1378821088">
          <w:marLeft w:val="274"/>
          <w:marRight w:val="0"/>
          <w:marTop w:val="40"/>
          <w:marBottom w:val="40"/>
          <w:divBdr>
            <w:top w:val="none" w:sz="0" w:space="0" w:color="auto"/>
            <w:left w:val="none" w:sz="0" w:space="0" w:color="auto"/>
            <w:bottom w:val="none" w:sz="0" w:space="0" w:color="auto"/>
            <w:right w:val="none" w:sz="0" w:space="0" w:color="auto"/>
          </w:divBdr>
        </w:div>
      </w:divsChild>
    </w:div>
    <w:div w:id="1713729975">
      <w:bodyDiv w:val="1"/>
      <w:marLeft w:val="0"/>
      <w:marRight w:val="0"/>
      <w:marTop w:val="0"/>
      <w:marBottom w:val="0"/>
      <w:divBdr>
        <w:top w:val="none" w:sz="0" w:space="0" w:color="auto"/>
        <w:left w:val="none" w:sz="0" w:space="0" w:color="auto"/>
        <w:bottom w:val="none" w:sz="0" w:space="0" w:color="auto"/>
        <w:right w:val="none" w:sz="0" w:space="0" w:color="auto"/>
      </w:divBdr>
    </w:div>
    <w:div w:id="1714227473">
      <w:bodyDiv w:val="1"/>
      <w:marLeft w:val="0"/>
      <w:marRight w:val="0"/>
      <w:marTop w:val="0"/>
      <w:marBottom w:val="0"/>
      <w:divBdr>
        <w:top w:val="none" w:sz="0" w:space="0" w:color="auto"/>
        <w:left w:val="none" w:sz="0" w:space="0" w:color="auto"/>
        <w:bottom w:val="none" w:sz="0" w:space="0" w:color="auto"/>
        <w:right w:val="none" w:sz="0" w:space="0" w:color="auto"/>
      </w:divBdr>
    </w:div>
    <w:div w:id="1718623973">
      <w:bodyDiv w:val="1"/>
      <w:marLeft w:val="0"/>
      <w:marRight w:val="0"/>
      <w:marTop w:val="0"/>
      <w:marBottom w:val="0"/>
      <w:divBdr>
        <w:top w:val="none" w:sz="0" w:space="0" w:color="auto"/>
        <w:left w:val="none" w:sz="0" w:space="0" w:color="auto"/>
        <w:bottom w:val="none" w:sz="0" w:space="0" w:color="auto"/>
        <w:right w:val="none" w:sz="0" w:space="0" w:color="auto"/>
      </w:divBdr>
    </w:div>
    <w:div w:id="1718817511">
      <w:bodyDiv w:val="1"/>
      <w:marLeft w:val="0"/>
      <w:marRight w:val="0"/>
      <w:marTop w:val="0"/>
      <w:marBottom w:val="0"/>
      <w:divBdr>
        <w:top w:val="none" w:sz="0" w:space="0" w:color="auto"/>
        <w:left w:val="none" w:sz="0" w:space="0" w:color="auto"/>
        <w:bottom w:val="none" w:sz="0" w:space="0" w:color="auto"/>
        <w:right w:val="none" w:sz="0" w:space="0" w:color="auto"/>
      </w:divBdr>
      <w:divsChild>
        <w:div w:id="1878851990">
          <w:marLeft w:val="274"/>
          <w:marRight w:val="0"/>
          <w:marTop w:val="0"/>
          <w:marBottom w:val="0"/>
          <w:divBdr>
            <w:top w:val="none" w:sz="0" w:space="0" w:color="auto"/>
            <w:left w:val="none" w:sz="0" w:space="0" w:color="auto"/>
            <w:bottom w:val="none" w:sz="0" w:space="0" w:color="auto"/>
            <w:right w:val="none" w:sz="0" w:space="0" w:color="auto"/>
          </w:divBdr>
        </w:div>
      </w:divsChild>
    </w:div>
    <w:div w:id="1722902739">
      <w:bodyDiv w:val="1"/>
      <w:marLeft w:val="0"/>
      <w:marRight w:val="0"/>
      <w:marTop w:val="0"/>
      <w:marBottom w:val="0"/>
      <w:divBdr>
        <w:top w:val="none" w:sz="0" w:space="0" w:color="auto"/>
        <w:left w:val="none" w:sz="0" w:space="0" w:color="auto"/>
        <w:bottom w:val="none" w:sz="0" w:space="0" w:color="auto"/>
        <w:right w:val="none" w:sz="0" w:space="0" w:color="auto"/>
      </w:divBdr>
    </w:div>
    <w:div w:id="1733969350">
      <w:bodyDiv w:val="1"/>
      <w:marLeft w:val="0"/>
      <w:marRight w:val="0"/>
      <w:marTop w:val="0"/>
      <w:marBottom w:val="0"/>
      <w:divBdr>
        <w:top w:val="none" w:sz="0" w:space="0" w:color="auto"/>
        <w:left w:val="none" w:sz="0" w:space="0" w:color="auto"/>
        <w:bottom w:val="none" w:sz="0" w:space="0" w:color="auto"/>
        <w:right w:val="none" w:sz="0" w:space="0" w:color="auto"/>
      </w:divBdr>
    </w:div>
    <w:div w:id="1734086195">
      <w:bodyDiv w:val="1"/>
      <w:marLeft w:val="0"/>
      <w:marRight w:val="0"/>
      <w:marTop w:val="0"/>
      <w:marBottom w:val="0"/>
      <w:divBdr>
        <w:top w:val="none" w:sz="0" w:space="0" w:color="auto"/>
        <w:left w:val="none" w:sz="0" w:space="0" w:color="auto"/>
        <w:bottom w:val="none" w:sz="0" w:space="0" w:color="auto"/>
        <w:right w:val="none" w:sz="0" w:space="0" w:color="auto"/>
      </w:divBdr>
    </w:div>
    <w:div w:id="1736053063">
      <w:bodyDiv w:val="1"/>
      <w:marLeft w:val="0"/>
      <w:marRight w:val="0"/>
      <w:marTop w:val="0"/>
      <w:marBottom w:val="0"/>
      <w:divBdr>
        <w:top w:val="none" w:sz="0" w:space="0" w:color="auto"/>
        <w:left w:val="none" w:sz="0" w:space="0" w:color="auto"/>
        <w:bottom w:val="none" w:sz="0" w:space="0" w:color="auto"/>
        <w:right w:val="none" w:sz="0" w:space="0" w:color="auto"/>
      </w:divBdr>
    </w:div>
    <w:div w:id="1738360950">
      <w:bodyDiv w:val="1"/>
      <w:marLeft w:val="0"/>
      <w:marRight w:val="0"/>
      <w:marTop w:val="0"/>
      <w:marBottom w:val="0"/>
      <w:divBdr>
        <w:top w:val="none" w:sz="0" w:space="0" w:color="auto"/>
        <w:left w:val="none" w:sz="0" w:space="0" w:color="auto"/>
        <w:bottom w:val="none" w:sz="0" w:space="0" w:color="auto"/>
        <w:right w:val="none" w:sz="0" w:space="0" w:color="auto"/>
      </w:divBdr>
    </w:div>
    <w:div w:id="1745764336">
      <w:bodyDiv w:val="1"/>
      <w:marLeft w:val="0"/>
      <w:marRight w:val="0"/>
      <w:marTop w:val="0"/>
      <w:marBottom w:val="0"/>
      <w:divBdr>
        <w:top w:val="none" w:sz="0" w:space="0" w:color="auto"/>
        <w:left w:val="none" w:sz="0" w:space="0" w:color="auto"/>
        <w:bottom w:val="none" w:sz="0" w:space="0" w:color="auto"/>
        <w:right w:val="none" w:sz="0" w:space="0" w:color="auto"/>
      </w:divBdr>
    </w:div>
    <w:div w:id="1754472687">
      <w:bodyDiv w:val="1"/>
      <w:marLeft w:val="0"/>
      <w:marRight w:val="0"/>
      <w:marTop w:val="0"/>
      <w:marBottom w:val="0"/>
      <w:divBdr>
        <w:top w:val="none" w:sz="0" w:space="0" w:color="auto"/>
        <w:left w:val="none" w:sz="0" w:space="0" w:color="auto"/>
        <w:bottom w:val="none" w:sz="0" w:space="0" w:color="auto"/>
        <w:right w:val="none" w:sz="0" w:space="0" w:color="auto"/>
      </w:divBdr>
    </w:div>
    <w:div w:id="1762605031">
      <w:bodyDiv w:val="1"/>
      <w:marLeft w:val="0"/>
      <w:marRight w:val="0"/>
      <w:marTop w:val="0"/>
      <w:marBottom w:val="0"/>
      <w:divBdr>
        <w:top w:val="none" w:sz="0" w:space="0" w:color="auto"/>
        <w:left w:val="none" w:sz="0" w:space="0" w:color="auto"/>
        <w:bottom w:val="none" w:sz="0" w:space="0" w:color="auto"/>
        <w:right w:val="none" w:sz="0" w:space="0" w:color="auto"/>
      </w:divBdr>
      <w:divsChild>
        <w:div w:id="2121944989">
          <w:marLeft w:val="274"/>
          <w:marRight w:val="0"/>
          <w:marTop w:val="40"/>
          <w:marBottom w:val="40"/>
          <w:divBdr>
            <w:top w:val="none" w:sz="0" w:space="0" w:color="auto"/>
            <w:left w:val="none" w:sz="0" w:space="0" w:color="auto"/>
            <w:bottom w:val="none" w:sz="0" w:space="0" w:color="auto"/>
            <w:right w:val="none" w:sz="0" w:space="0" w:color="auto"/>
          </w:divBdr>
        </w:div>
      </w:divsChild>
    </w:div>
    <w:div w:id="1762676730">
      <w:bodyDiv w:val="1"/>
      <w:marLeft w:val="0"/>
      <w:marRight w:val="0"/>
      <w:marTop w:val="0"/>
      <w:marBottom w:val="0"/>
      <w:divBdr>
        <w:top w:val="none" w:sz="0" w:space="0" w:color="auto"/>
        <w:left w:val="none" w:sz="0" w:space="0" w:color="auto"/>
        <w:bottom w:val="none" w:sz="0" w:space="0" w:color="auto"/>
        <w:right w:val="none" w:sz="0" w:space="0" w:color="auto"/>
      </w:divBdr>
    </w:div>
    <w:div w:id="1763792302">
      <w:bodyDiv w:val="1"/>
      <w:marLeft w:val="0"/>
      <w:marRight w:val="0"/>
      <w:marTop w:val="0"/>
      <w:marBottom w:val="0"/>
      <w:divBdr>
        <w:top w:val="none" w:sz="0" w:space="0" w:color="auto"/>
        <w:left w:val="none" w:sz="0" w:space="0" w:color="auto"/>
        <w:bottom w:val="none" w:sz="0" w:space="0" w:color="auto"/>
        <w:right w:val="none" w:sz="0" w:space="0" w:color="auto"/>
      </w:divBdr>
    </w:div>
    <w:div w:id="1765803038">
      <w:bodyDiv w:val="1"/>
      <w:marLeft w:val="0"/>
      <w:marRight w:val="0"/>
      <w:marTop w:val="0"/>
      <w:marBottom w:val="0"/>
      <w:divBdr>
        <w:top w:val="none" w:sz="0" w:space="0" w:color="auto"/>
        <w:left w:val="none" w:sz="0" w:space="0" w:color="auto"/>
        <w:bottom w:val="none" w:sz="0" w:space="0" w:color="auto"/>
        <w:right w:val="none" w:sz="0" w:space="0" w:color="auto"/>
      </w:divBdr>
    </w:div>
    <w:div w:id="1770390759">
      <w:bodyDiv w:val="1"/>
      <w:marLeft w:val="0"/>
      <w:marRight w:val="0"/>
      <w:marTop w:val="0"/>
      <w:marBottom w:val="0"/>
      <w:divBdr>
        <w:top w:val="none" w:sz="0" w:space="0" w:color="auto"/>
        <w:left w:val="none" w:sz="0" w:space="0" w:color="auto"/>
        <w:bottom w:val="none" w:sz="0" w:space="0" w:color="auto"/>
        <w:right w:val="none" w:sz="0" w:space="0" w:color="auto"/>
      </w:divBdr>
    </w:div>
    <w:div w:id="1771004846">
      <w:bodyDiv w:val="1"/>
      <w:marLeft w:val="0"/>
      <w:marRight w:val="0"/>
      <w:marTop w:val="0"/>
      <w:marBottom w:val="0"/>
      <w:divBdr>
        <w:top w:val="none" w:sz="0" w:space="0" w:color="auto"/>
        <w:left w:val="none" w:sz="0" w:space="0" w:color="auto"/>
        <w:bottom w:val="none" w:sz="0" w:space="0" w:color="auto"/>
        <w:right w:val="none" w:sz="0" w:space="0" w:color="auto"/>
      </w:divBdr>
    </w:div>
    <w:div w:id="1772817119">
      <w:bodyDiv w:val="1"/>
      <w:marLeft w:val="0"/>
      <w:marRight w:val="0"/>
      <w:marTop w:val="0"/>
      <w:marBottom w:val="0"/>
      <w:divBdr>
        <w:top w:val="none" w:sz="0" w:space="0" w:color="auto"/>
        <w:left w:val="none" w:sz="0" w:space="0" w:color="auto"/>
        <w:bottom w:val="none" w:sz="0" w:space="0" w:color="auto"/>
        <w:right w:val="none" w:sz="0" w:space="0" w:color="auto"/>
      </w:divBdr>
    </w:div>
    <w:div w:id="1774402255">
      <w:bodyDiv w:val="1"/>
      <w:marLeft w:val="0"/>
      <w:marRight w:val="0"/>
      <w:marTop w:val="0"/>
      <w:marBottom w:val="0"/>
      <w:divBdr>
        <w:top w:val="none" w:sz="0" w:space="0" w:color="auto"/>
        <w:left w:val="none" w:sz="0" w:space="0" w:color="auto"/>
        <w:bottom w:val="none" w:sz="0" w:space="0" w:color="auto"/>
        <w:right w:val="none" w:sz="0" w:space="0" w:color="auto"/>
      </w:divBdr>
    </w:div>
    <w:div w:id="1780760744">
      <w:bodyDiv w:val="1"/>
      <w:marLeft w:val="0"/>
      <w:marRight w:val="0"/>
      <w:marTop w:val="0"/>
      <w:marBottom w:val="0"/>
      <w:divBdr>
        <w:top w:val="none" w:sz="0" w:space="0" w:color="auto"/>
        <w:left w:val="none" w:sz="0" w:space="0" w:color="auto"/>
        <w:bottom w:val="none" w:sz="0" w:space="0" w:color="auto"/>
        <w:right w:val="none" w:sz="0" w:space="0" w:color="auto"/>
      </w:divBdr>
    </w:div>
    <w:div w:id="1782064870">
      <w:bodyDiv w:val="1"/>
      <w:marLeft w:val="0"/>
      <w:marRight w:val="0"/>
      <w:marTop w:val="0"/>
      <w:marBottom w:val="0"/>
      <w:divBdr>
        <w:top w:val="none" w:sz="0" w:space="0" w:color="auto"/>
        <w:left w:val="none" w:sz="0" w:space="0" w:color="auto"/>
        <w:bottom w:val="none" w:sz="0" w:space="0" w:color="auto"/>
        <w:right w:val="none" w:sz="0" w:space="0" w:color="auto"/>
      </w:divBdr>
    </w:div>
    <w:div w:id="1796559530">
      <w:bodyDiv w:val="1"/>
      <w:marLeft w:val="0"/>
      <w:marRight w:val="0"/>
      <w:marTop w:val="0"/>
      <w:marBottom w:val="0"/>
      <w:divBdr>
        <w:top w:val="none" w:sz="0" w:space="0" w:color="auto"/>
        <w:left w:val="none" w:sz="0" w:space="0" w:color="auto"/>
        <w:bottom w:val="none" w:sz="0" w:space="0" w:color="auto"/>
        <w:right w:val="none" w:sz="0" w:space="0" w:color="auto"/>
      </w:divBdr>
      <w:divsChild>
        <w:div w:id="338626163">
          <w:marLeft w:val="274"/>
          <w:marRight w:val="0"/>
          <w:marTop w:val="40"/>
          <w:marBottom w:val="40"/>
          <w:divBdr>
            <w:top w:val="none" w:sz="0" w:space="0" w:color="auto"/>
            <w:left w:val="none" w:sz="0" w:space="0" w:color="auto"/>
            <w:bottom w:val="none" w:sz="0" w:space="0" w:color="auto"/>
            <w:right w:val="none" w:sz="0" w:space="0" w:color="auto"/>
          </w:divBdr>
        </w:div>
      </w:divsChild>
    </w:div>
    <w:div w:id="1796875090">
      <w:bodyDiv w:val="1"/>
      <w:marLeft w:val="0"/>
      <w:marRight w:val="0"/>
      <w:marTop w:val="0"/>
      <w:marBottom w:val="0"/>
      <w:divBdr>
        <w:top w:val="none" w:sz="0" w:space="0" w:color="auto"/>
        <w:left w:val="none" w:sz="0" w:space="0" w:color="auto"/>
        <w:bottom w:val="none" w:sz="0" w:space="0" w:color="auto"/>
        <w:right w:val="none" w:sz="0" w:space="0" w:color="auto"/>
      </w:divBdr>
    </w:div>
    <w:div w:id="1799375795">
      <w:bodyDiv w:val="1"/>
      <w:marLeft w:val="0"/>
      <w:marRight w:val="0"/>
      <w:marTop w:val="0"/>
      <w:marBottom w:val="0"/>
      <w:divBdr>
        <w:top w:val="none" w:sz="0" w:space="0" w:color="auto"/>
        <w:left w:val="none" w:sz="0" w:space="0" w:color="auto"/>
        <w:bottom w:val="none" w:sz="0" w:space="0" w:color="auto"/>
        <w:right w:val="none" w:sz="0" w:space="0" w:color="auto"/>
      </w:divBdr>
      <w:divsChild>
        <w:div w:id="475610509">
          <w:marLeft w:val="360"/>
          <w:marRight w:val="0"/>
          <w:marTop w:val="0"/>
          <w:marBottom w:val="0"/>
          <w:divBdr>
            <w:top w:val="none" w:sz="0" w:space="0" w:color="auto"/>
            <w:left w:val="none" w:sz="0" w:space="0" w:color="auto"/>
            <w:bottom w:val="none" w:sz="0" w:space="0" w:color="auto"/>
            <w:right w:val="none" w:sz="0" w:space="0" w:color="auto"/>
          </w:divBdr>
        </w:div>
      </w:divsChild>
    </w:div>
    <w:div w:id="1799645291">
      <w:bodyDiv w:val="1"/>
      <w:marLeft w:val="0"/>
      <w:marRight w:val="0"/>
      <w:marTop w:val="0"/>
      <w:marBottom w:val="0"/>
      <w:divBdr>
        <w:top w:val="none" w:sz="0" w:space="0" w:color="auto"/>
        <w:left w:val="none" w:sz="0" w:space="0" w:color="auto"/>
        <w:bottom w:val="none" w:sz="0" w:space="0" w:color="auto"/>
        <w:right w:val="none" w:sz="0" w:space="0" w:color="auto"/>
      </w:divBdr>
      <w:divsChild>
        <w:div w:id="2123957354">
          <w:marLeft w:val="274"/>
          <w:marRight w:val="0"/>
          <w:marTop w:val="40"/>
          <w:marBottom w:val="40"/>
          <w:divBdr>
            <w:top w:val="none" w:sz="0" w:space="0" w:color="auto"/>
            <w:left w:val="none" w:sz="0" w:space="0" w:color="auto"/>
            <w:bottom w:val="none" w:sz="0" w:space="0" w:color="auto"/>
            <w:right w:val="none" w:sz="0" w:space="0" w:color="auto"/>
          </w:divBdr>
        </w:div>
      </w:divsChild>
    </w:div>
    <w:div w:id="1800876930">
      <w:bodyDiv w:val="1"/>
      <w:marLeft w:val="0"/>
      <w:marRight w:val="0"/>
      <w:marTop w:val="0"/>
      <w:marBottom w:val="0"/>
      <w:divBdr>
        <w:top w:val="none" w:sz="0" w:space="0" w:color="auto"/>
        <w:left w:val="none" w:sz="0" w:space="0" w:color="auto"/>
        <w:bottom w:val="none" w:sz="0" w:space="0" w:color="auto"/>
        <w:right w:val="none" w:sz="0" w:space="0" w:color="auto"/>
      </w:divBdr>
      <w:divsChild>
        <w:div w:id="819078753">
          <w:marLeft w:val="274"/>
          <w:marRight w:val="0"/>
          <w:marTop w:val="40"/>
          <w:marBottom w:val="40"/>
          <w:divBdr>
            <w:top w:val="none" w:sz="0" w:space="0" w:color="auto"/>
            <w:left w:val="none" w:sz="0" w:space="0" w:color="auto"/>
            <w:bottom w:val="none" w:sz="0" w:space="0" w:color="auto"/>
            <w:right w:val="none" w:sz="0" w:space="0" w:color="auto"/>
          </w:divBdr>
        </w:div>
      </w:divsChild>
    </w:div>
    <w:div w:id="1809786190">
      <w:bodyDiv w:val="1"/>
      <w:marLeft w:val="0"/>
      <w:marRight w:val="0"/>
      <w:marTop w:val="0"/>
      <w:marBottom w:val="0"/>
      <w:divBdr>
        <w:top w:val="none" w:sz="0" w:space="0" w:color="auto"/>
        <w:left w:val="none" w:sz="0" w:space="0" w:color="auto"/>
        <w:bottom w:val="none" w:sz="0" w:space="0" w:color="auto"/>
        <w:right w:val="none" w:sz="0" w:space="0" w:color="auto"/>
      </w:divBdr>
    </w:div>
    <w:div w:id="1810517615">
      <w:bodyDiv w:val="1"/>
      <w:marLeft w:val="0"/>
      <w:marRight w:val="0"/>
      <w:marTop w:val="0"/>
      <w:marBottom w:val="0"/>
      <w:divBdr>
        <w:top w:val="none" w:sz="0" w:space="0" w:color="auto"/>
        <w:left w:val="none" w:sz="0" w:space="0" w:color="auto"/>
        <w:bottom w:val="none" w:sz="0" w:space="0" w:color="auto"/>
        <w:right w:val="none" w:sz="0" w:space="0" w:color="auto"/>
      </w:divBdr>
    </w:div>
    <w:div w:id="1811289181">
      <w:bodyDiv w:val="1"/>
      <w:marLeft w:val="0"/>
      <w:marRight w:val="0"/>
      <w:marTop w:val="0"/>
      <w:marBottom w:val="0"/>
      <w:divBdr>
        <w:top w:val="none" w:sz="0" w:space="0" w:color="auto"/>
        <w:left w:val="none" w:sz="0" w:space="0" w:color="auto"/>
        <w:bottom w:val="none" w:sz="0" w:space="0" w:color="auto"/>
        <w:right w:val="none" w:sz="0" w:space="0" w:color="auto"/>
      </w:divBdr>
      <w:divsChild>
        <w:div w:id="116880532">
          <w:marLeft w:val="274"/>
          <w:marRight w:val="0"/>
          <w:marTop w:val="0"/>
          <w:marBottom w:val="0"/>
          <w:divBdr>
            <w:top w:val="none" w:sz="0" w:space="0" w:color="auto"/>
            <w:left w:val="none" w:sz="0" w:space="0" w:color="auto"/>
            <w:bottom w:val="none" w:sz="0" w:space="0" w:color="auto"/>
            <w:right w:val="none" w:sz="0" w:space="0" w:color="auto"/>
          </w:divBdr>
        </w:div>
        <w:div w:id="966859140">
          <w:marLeft w:val="274"/>
          <w:marRight w:val="0"/>
          <w:marTop w:val="0"/>
          <w:marBottom w:val="0"/>
          <w:divBdr>
            <w:top w:val="none" w:sz="0" w:space="0" w:color="auto"/>
            <w:left w:val="none" w:sz="0" w:space="0" w:color="auto"/>
            <w:bottom w:val="none" w:sz="0" w:space="0" w:color="auto"/>
            <w:right w:val="none" w:sz="0" w:space="0" w:color="auto"/>
          </w:divBdr>
        </w:div>
        <w:div w:id="1735737150">
          <w:marLeft w:val="274"/>
          <w:marRight w:val="0"/>
          <w:marTop w:val="0"/>
          <w:marBottom w:val="0"/>
          <w:divBdr>
            <w:top w:val="none" w:sz="0" w:space="0" w:color="auto"/>
            <w:left w:val="none" w:sz="0" w:space="0" w:color="auto"/>
            <w:bottom w:val="none" w:sz="0" w:space="0" w:color="auto"/>
            <w:right w:val="none" w:sz="0" w:space="0" w:color="auto"/>
          </w:divBdr>
        </w:div>
      </w:divsChild>
    </w:div>
    <w:div w:id="1814178342">
      <w:bodyDiv w:val="1"/>
      <w:marLeft w:val="0"/>
      <w:marRight w:val="0"/>
      <w:marTop w:val="0"/>
      <w:marBottom w:val="0"/>
      <w:divBdr>
        <w:top w:val="none" w:sz="0" w:space="0" w:color="auto"/>
        <w:left w:val="none" w:sz="0" w:space="0" w:color="auto"/>
        <w:bottom w:val="none" w:sz="0" w:space="0" w:color="auto"/>
        <w:right w:val="none" w:sz="0" w:space="0" w:color="auto"/>
      </w:divBdr>
    </w:div>
    <w:div w:id="1816752164">
      <w:bodyDiv w:val="1"/>
      <w:marLeft w:val="0"/>
      <w:marRight w:val="0"/>
      <w:marTop w:val="0"/>
      <w:marBottom w:val="0"/>
      <w:divBdr>
        <w:top w:val="none" w:sz="0" w:space="0" w:color="auto"/>
        <w:left w:val="none" w:sz="0" w:space="0" w:color="auto"/>
        <w:bottom w:val="none" w:sz="0" w:space="0" w:color="auto"/>
        <w:right w:val="none" w:sz="0" w:space="0" w:color="auto"/>
      </w:divBdr>
    </w:div>
    <w:div w:id="1819572033">
      <w:bodyDiv w:val="1"/>
      <w:marLeft w:val="0"/>
      <w:marRight w:val="0"/>
      <w:marTop w:val="0"/>
      <w:marBottom w:val="0"/>
      <w:divBdr>
        <w:top w:val="none" w:sz="0" w:space="0" w:color="auto"/>
        <w:left w:val="none" w:sz="0" w:space="0" w:color="auto"/>
        <w:bottom w:val="none" w:sz="0" w:space="0" w:color="auto"/>
        <w:right w:val="none" w:sz="0" w:space="0" w:color="auto"/>
      </w:divBdr>
    </w:div>
    <w:div w:id="1819765490">
      <w:bodyDiv w:val="1"/>
      <w:marLeft w:val="0"/>
      <w:marRight w:val="0"/>
      <w:marTop w:val="0"/>
      <w:marBottom w:val="0"/>
      <w:divBdr>
        <w:top w:val="none" w:sz="0" w:space="0" w:color="auto"/>
        <w:left w:val="none" w:sz="0" w:space="0" w:color="auto"/>
        <w:bottom w:val="none" w:sz="0" w:space="0" w:color="auto"/>
        <w:right w:val="none" w:sz="0" w:space="0" w:color="auto"/>
      </w:divBdr>
    </w:div>
    <w:div w:id="1821342605">
      <w:bodyDiv w:val="1"/>
      <w:marLeft w:val="0"/>
      <w:marRight w:val="0"/>
      <w:marTop w:val="0"/>
      <w:marBottom w:val="0"/>
      <w:divBdr>
        <w:top w:val="none" w:sz="0" w:space="0" w:color="auto"/>
        <w:left w:val="none" w:sz="0" w:space="0" w:color="auto"/>
        <w:bottom w:val="none" w:sz="0" w:space="0" w:color="auto"/>
        <w:right w:val="none" w:sz="0" w:space="0" w:color="auto"/>
      </w:divBdr>
    </w:div>
    <w:div w:id="1825388126">
      <w:bodyDiv w:val="1"/>
      <w:marLeft w:val="0"/>
      <w:marRight w:val="0"/>
      <w:marTop w:val="0"/>
      <w:marBottom w:val="0"/>
      <w:divBdr>
        <w:top w:val="none" w:sz="0" w:space="0" w:color="auto"/>
        <w:left w:val="none" w:sz="0" w:space="0" w:color="auto"/>
        <w:bottom w:val="none" w:sz="0" w:space="0" w:color="auto"/>
        <w:right w:val="none" w:sz="0" w:space="0" w:color="auto"/>
      </w:divBdr>
    </w:div>
    <w:div w:id="1827820207">
      <w:bodyDiv w:val="1"/>
      <w:marLeft w:val="0"/>
      <w:marRight w:val="0"/>
      <w:marTop w:val="0"/>
      <w:marBottom w:val="0"/>
      <w:divBdr>
        <w:top w:val="none" w:sz="0" w:space="0" w:color="auto"/>
        <w:left w:val="none" w:sz="0" w:space="0" w:color="auto"/>
        <w:bottom w:val="none" w:sz="0" w:space="0" w:color="auto"/>
        <w:right w:val="none" w:sz="0" w:space="0" w:color="auto"/>
      </w:divBdr>
    </w:div>
    <w:div w:id="1839491251">
      <w:bodyDiv w:val="1"/>
      <w:marLeft w:val="0"/>
      <w:marRight w:val="0"/>
      <w:marTop w:val="0"/>
      <w:marBottom w:val="0"/>
      <w:divBdr>
        <w:top w:val="none" w:sz="0" w:space="0" w:color="auto"/>
        <w:left w:val="none" w:sz="0" w:space="0" w:color="auto"/>
        <w:bottom w:val="none" w:sz="0" w:space="0" w:color="auto"/>
        <w:right w:val="none" w:sz="0" w:space="0" w:color="auto"/>
      </w:divBdr>
      <w:divsChild>
        <w:div w:id="258568102">
          <w:marLeft w:val="274"/>
          <w:marRight w:val="0"/>
          <w:marTop w:val="60"/>
          <w:marBottom w:val="60"/>
          <w:divBdr>
            <w:top w:val="none" w:sz="0" w:space="0" w:color="auto"/>
            <w:left w:val="none" w:sz="0" w:space="0" w:color="auto"/>
            <w:bottom w:val="none" w:sz="0" w:space="0" w:color="auto"/>
            <w:right w:val="none" w:sz="0" w:space="0" w:color="auto"/>
          </w:divBdr>
        </w:div>
      </w:divsChild>
    </w:div>
    <w:div w:id="1840851025">
      <w:bodyDiv w:val="1"/>
      <w:marLeft w:val="0"/>
      <w:marRight w:val="0"/>
      <w:marTop w:val="0"/>
      <w:marBottom w:val="0"/>
      <w:divBdr>
        <w:top w:val="none" w:sz="0" w:space="0" w:color="auto"/>
        <w:left w:val="none" w:sz="0" w:space="0" w:color="auto"/>
        <w:bottom w:val="none" w:sz="0" w:space="0" w:color="auto"/>
        <w:right w:val="none" w:sz="0" w:space="0" w:color="auto"/>
      </w:divBdr>
    </w:div>
    <w:div w:id="1841239223">
      <w:bodyDiv w:val="1"/>
      <w:marLeft w:val="0"/>
      <w:marRight w:val="0"/>
      <w:marTop w:val="0"/>
      <w:marBottom w:val="0"/>
      <w:divBdr>
        <w:top w:val="none" w:sz="0" w:space="0" w:color="auto"/>
        <w:left w:val="none" w:sz="0" w:space="0" w:color="auto"/>
        <w:bottom w:val="none" w:sz="0" w:space="0" w:color="auto"/>
        <w:right w:val="none" w:sz="0" w:space="0" w:color="auto"/>
      </w:divBdr>
    </w:div>
    <w:div w:id="1842236393">
      <w:bodyDiv w:val="1"/>
      <w:marLeft w:val="0"/>
      <w:marRight w:val="0"/>
      <w:marTop w:val="0"/>
      <w:marBottom w:val="0"/>
      <w:divBdr>
        <w:top w:val="none" w:sz="0" w:space="0" w:color="auto"/>
        <w:left w:val="none" w:sz="0" w:space="0" w:color="auto"/>
        <w:bottom w:val="none" w:sz="0" w:space="0" w:color="auto"/>
        <w:right w:val="none" w:sz="0" w:space="0" w:color="auto"/>
      </w:divBdr>
    </w:div>
    <w:div w:id="1848253056">
      <w:bodyDiv w:val="1"/>
      <w:marLeft w:val="0"/>
      <w:marRight w:val="0"/>
      <w:marTop w:val="0"/>
      <w:marBottom w:val="0"/>
      <w:divBdr>
        <w:top w:val="none" w:sz="0" w:space="0" w:color="auto"/>
        <w:left w:val="none" w:sz="0" w:space="0" w:color="auto"/>
        <w:bottom w:val="none" w:sz="0" w:space="0" w:color="auto"/>
        <w:right w:val="none" w:sz="0" w:space="0" w:color="auto"/>
      </w:divBdr>
    </w:div>
    <w:div w:id="1848443453">
      <w:bodyDiv w:val="1"/>
      <w:marLeft w:val="0"/>
      <w:marRight w:val="0"/>
      <w:marTop w:val="0"/>
      <w:marBottom w:val="0"/>
      <w:divBdr>
        <w:top w:val="none" w:sz="0" w:space="0" w:color="auto"/>
        <w:left w:val="none" w:sz="0" w:space="0" w:color="auto"/>
        <w:bottom w:val="none" w:sz="0" w:space="0" w:color="auto"/>
        <w:right w:val="none" w:sz="0" w:space="0" w:color="auto"/>
      </w:divBdr>
    </w:div>
    <w:div w:id="1849366195">
      <w:bodyDiv w:val="1"/>
      <w:marLeft w:val="0"/>
      <w:marRight w:val="0"/>
      <w:marTop w:val="0"/>
      <w:marBottom w:val="0"/>
      <w:divBdr>
        <w:top w:val="none" w:sz="0" w:space="0" w:color="auto"/>
        <w:left w:val="none" w:sz="0" w:space="0" w:color="auto"/>
        <w:bottom w:val="none" w:sz="0" w:space="0" w:color="auto"/>
        <w:right w:val="none" w:sz="0" w:space="0" w:color="auto"/>
      </w:divBdr>
    </w:div>
    <w:div w:id="1854027947">
      <w:bodyDiv w:val="1"/>
      <w:marLeft w:val="0"/>
      <w:marRight w:val="0"/>
      <w:marTop w:val="0"/>
      <w:marBottom w:val="0"/>
      <w:divBdr>
        <w:top w:val="none" w:sz="0" w:space="0" w:color="auto"/>
        <w:left w:val="none" w:sz="0" w:space="0" w:color="auto"/>
        <w:bottom w:val="none" w:sz="0" w:space="0" w:color="auto"/>
        <w:right w:val="none" w:sz="0" w:space="0" w:color="auto"/>
      </w:divBdr>
    </w:div>
    <w:div w:id="1861161904">
      <w:bodyDiv w:val="1"/>
      <w:marLeft w:val="0"/>
      <w:marRight w:val="0"/>
      <w:marTop w:val="0"/>
      <w:marBottom w:val="0"/>
      <w:divBdr>
        <w:top w:val="none" w:sz="0" w:space="0" w:color="auto"/>
        <w:left w:val="none" w:sz="0" w:space="0" w:color="auto"/>
        <w:bottom w:val="none" w:sz="0" w:space="0" w:color="auto"/>
        <w:right w:val="none" w:sz="0" w:space="0" w:color="auto"/>
      </w:divBdr>
    </w:div>
    <w:div w:id="1863324898">
      <w:bodyDiv w:val="1"/>
      <w:marLeft w:val="0"/>
      <w:marRight w:val="0"/>
      <w:marTop w:val="0"/>
      <w:marBottom w:val="0"/>
      <w:divBdr>
        <w:top w:val="none" w:sz="0" w:space="0" w:color="auto"/>
        <w:left w:val="none" w:sz="0" w:space="0" w:color="auto"/>
        <w:bottom w:val="none" w:sz="0" w:space="0" w:color="auto"/>
        <w:right w:val="none" w:sz="0" w:space="0" w:color="auto"/>
      </w:divBdr>
    </w:div>
    <w:div w:id="1864004873">
      <w:bodyDiv w:val="1"/>
      <w:marLeft w:val="0"/>
      <w:marRight w:val="0"/>
      <w:marTop w:val="0"/>
      <w:marBottom w:val="0"/>
      <w:divBdr>
        <w:top w:val="none" w:sz="0" w:space="0" w:color="auto"/>
        <w:left w:val="none" w:sz="0" w:space="0" w:color="auto"/>
        <w:bottom w:val="none" w:sz="0" w:space="0" w:color="auto"/>
        <w:right w:val="none" w:sz="0" w:space="0" w:color="auto"/>
      </w:divBdr>
    </w:div>
    <w:div w:id="1869027134">
      <w:bodyDiv w:val="1"/>
      <w:marLeft w:val="0"/>
      <w:marRight w:val="0"/>
      <w:marTop w:val="0"/>
      <w:marBottom w:val="0"/>
      <w:divBdr>
        <w:top w:val="none" w:sz="0" w:space="0" w:color="auto"/>
        <w:left w:val="none" w:sz="0" w:space="0" w:color="auto"/>
        <w:bottom w:val="none" w:sz="0" w:space="0" w:color="auto"/>
        <w:right w:val="none" w:sz="0" w:space="0" w:color="auto"/>
      </w:divBdr>
    </w:div>
    <w:div w:id="1880434990">
      <w:bodyDiv w:val="1"/>
      <w:marLeft w:val="0"/>
      <w:marRight w:val="0"/>
      <w:marTop w:val="0"/>
      <w:marBottom w:val="0"/>
      <w:divBdr>
        <w:top w:val="none" w:sz="0" w:space="0" w:color="auto"/>
        <w:left w:val="none" w:sz="0" w:space="0" w:color="auto"/>
        <w:bottom w:val="none" w:sz="0" w:space="0" w:color="auto"/>
        <w:right w:val="none" w:sz="0" w:space="0" w:color="auto"/>
      </w:divBdr>
    </w:div>
    <w:div w:id="1881673548">
      <w:bodyDiv w:val="1"/>
      <w:marLeft w:val="0"/>
      <w:marRight w:val="0"/>
      <w:marTop w:val="0"/>
      <w:marBottom w:val="0"/>
      <w:divBdr>
        <w:top w:val="none" w:sz="0" w:space="0" w:color="auto"/>
        <w:left w:val="none" w:sz="0" w:space="0" w:color="auto"/>
        <w:bottom w:val="none" w:sz="0" w:space="0" w:color="auto"/>
        <w:right w:val="none" w:sz="0" w:space="0" w:color="auto"/>
      </w:divBdr>
    </w:div>
    <w:div w:id="1887059595">
      <w:bodyDiv w:val="1"/>
      <w:marLeft w:val="0"/>
      <w:marRight w:val="0"/>
      <w:marTop w:val="0"/>
      <w:marBottom w:val="0"/>
      <w:divBdr>
        <w:top w:val="none" w:sz="0" w:space="0" w:color="auto"/>
        <w:left w:val="none" w:sz="0" w:space="0" w:color="auto"/>
        <w:bottom w:val="none" w:sz="0" w:space="0" w:color="auto"/>
        <w:right w:val="none" w:sz="0" w:space="0" w:color="auto"/>
      </w:divBdr>
    </w:div>
    <w:div w:id="1891307064">
      <w:bodyDiv w:val="1"/>
      <w:marLeft w:val="0"/>
      <w:marRight w:val="0"/>
      <w:marTop w:val="0"/>
      <w:marBottom w:val="0"/>
      <w:divBdr>
        <w:top w:val="none" w:sz="0" w:space="0" w:color="auto"/>
        <w:left w:val="none" w:sz="0" w:space="0" w:color="auto"/>
        <w:bottom w:val="none" w:sz="0" w:space="0" w:color="auto"/>
        <w:right w:val="none" w:sz="0" w:space="0" w:color="auto"/>
      </w:divBdr>
      <w:divsChild>
        <w:div w:id="187767517">
          <w:marLeft w:val="274"/>
          <w:marRight w:val="0"/>
          <w:marTop w:val="40"/>
          <w:marBottom w:val="40"/>
          <w:divBdr>
            <w:top w:val="none" w:sz="0" w:space="0" w:color="auto"/>
            <w:left w:val="none" w:sz="0" w:space="0" w:color="auto"/>
            <w:bottom w:val="none" w:sz="0" w:space="0" w:color="auto"/>
            <w:right w:val="none" w:sz="0" w:space="0" w:color="auto"/>
          </w:divBdr>
        </w:div>
        <w:div w:id="710694170">
          <w:marLeft w:val="274"/>
          <w:marRight w:val="0"/>
          <w:marTop w:val="40"/>
          <w:marBottom w:val="40"/>
          <w:divBdr>
            <w:top w:val="none" w:sz="0" w:space="0" w:color="auto"/>
            <w:left w:val="none" w:sz="0" w:space="0" w:color="auto"/>
            <w:bottom w:val="none" w:sz="0" w:space="0" w:color="auto"/>
            <w:right w:val="none" w:sz="0" w:space="0" w:color="auto"/>
          </w:divBdr>
        </w:div>
        <w:div w:id="1852600753">
          <w:marLeft w:val="274"/>
          <w:marRight w:val="0"/>
          <w:marTop w:val="40"/>
          <w:marBottom w:val="40"/>
          <w:divBdr>
            <w:top w:val="none" w:sz="0" w:space="0" w:color="auto"/>
            <w:left w:val="none" w:sz="0" w:space="0" w:color="auto"/>
            <w:bottom w:val="none" w:sz="0" w:space="0" w:color="auto"/>
            <w:right w:val="none" w:sz="0" w:space="0" w:color="auto"/>
          </w:divBdr>
        </w:div>
      </w:divsChild>
    </w:div>
    <w:div w:id="1899440542">
      <w:bodyDiv w:val="1"/>
      <w:marLeft w:val="0"/>
      <w:marRight w:val="0"/>
      <w:marTop w:val="0"/>
      <w:marBottom w:val="0"/>
      <w:divBdr>
        <w:top w:val="none" w:sz="0" w:space="0" w:color="auto"/>
        <w:left w:val="none" w:sz="0" w:space="0" w:color="auto"/>
        <w:bottom w:val="none" w:sz="0" w:space="0" w:color="auto"/>
        <w:right w:val="none" w:sz="0" w:space="0" w:color="auto"/>
      </w:divBdr>
    </w:div>
    <w:div w:id="1900090060">
      <w:bodyDiv w:val="1"/>
      <w:marLeft w:val="0"/>
      <w:marRight w:val="0"/>
      <w:marTop w:val="0"/>
      <w:marBottom w:val="0"/>
      <w:divBdr>
        <w:top w:val="none" w:sz="0" w:space="0" w:color="auto"/>
        <w:left w:val="none" w:sz="0" w:space="0" w:color="auto"/>
        <w:bottom w:val="none" w:sz="0" w:space="0" w:color="auto"/>
        <w:right w:val="none" w:sz="0" w:space="0" w:color="auto"/>
      </w:divBdr>
    </w:div>
    <w:div w:id="1900748185">
      <w:bodyDiv w:val="1"/>
      <w:marLeft w:val="0"/>
      <w:marRight w:val="0"/>
      <w:marTop w:val="0"/>
      <w:marBottom w:val="0"/>
      <w:divBdr>
        <w:top w:val="none" w:sz="0" w:space="0" w:color="auto"/>
        <w:left w:val="none" w:sz="0" w:space="0" w:color="auto"/>
        <w:bottom w:val="none" w:sz="0" w:space="0" w:color="auto"/>
        <w:right w:val="none" w:sz="0" w:space="0" w:color="auto"/>
      </w:divBdr>
    </w:div>
    <w:div w:id="1901936566">
      <w:bodyDiv w:val="1"/>
      <w:marLeft w:val="0"/>
      <w:marRight w:val="0"/>
      <w:marTop w:val="0"/>
      <w:marBottom w:val="0"/>
      <w:divBdr>
        <w:top w:val="none" w:sz="0" w:space="0" w:color="auto"/>
        <w:left w:val="none" w:sz="0" w:space="0" w:color="auto"/>
        <w:bottom w:val="none" w:sz="0" w:space="0" w:color="auto"/>
        <w:right w:val="none" w:sz="0" w:space="0" w:color="auto"/>
      </w:divBdr>
    </w:div>
    <w:div w:id="1906448043">
      <w:bodyDiv w:val="1"/>
      <w:marLeft w:val="0"/>
      <w:marRight w:val="0"/>
      <w:marTop w:val="0"/>
      <w:marBottom w:val="0"/>
      <w:divBdr>
        <w:top w:val="none" w:sz="0" w:space="0" w:color="auto"/>
        <w:left w:val="none" w:sz="0" w:space="0" w:color="auto"/>
        <w:bottom w:val="none" w:sz="0" w:space="0" w:color="auto"/>
        <w:right w:val="none" w:sz="0" w:space="0" w:color="auto"/>
      </w:divBdr>
    </w:div>
    <w:div w:id="1908488936">
      <w:bodyDiv w:val="1"/>
      <w:marLeft w:val="0"/>
      <w:marRight w:val="0"/>
      <w:marTop w:val="0"/>
      <w:marBottom w:val="0"/>
      <w:divBdr>
        <w:top w:val="none" w:sz="0" w:space="0" w:color="auto"/>
        <w:left w:val="none" w:sz="0" w:space="0" w:color="auto"/>
        <w:bottom w:val="none" w:sz="0" w:space="0" w:color="auto"/>
        <w:right w:val="none" w:sz="0" w:space="0" w:color="auto"/>
      </w:divBdr>
    </w:div>
    <w:div w:id="1911840359">
      <w:bodyDiv w:val="1"/>
      <w:marLeft w:val="0"/>
      <w:marRight w:val="0"/>
      <w:marTop w:val="0"/>
      <w:marBottom w:val="0"/>
      <w:divBdr>
        <w:top w:val="none" w:sz="0" w:space="0" w:color="auto"/>
        <w:left w:val="none" w:sz="0" w:space="0" w:color="auto"/>
        <w:bottom w:val="none" w:sz="0" w:space="0" w:color="auto"/>
        <w:right w:val="none" w:sz="0" w:space="0" w:color="auto"/>
      </w:divBdr>
    </w:div>
    <w:div w:id="1913857206">
      <w:bodyDiv w:val="1"/>
      <w:marLeft w:val="0"/>
      <w:marRight w:val="0"/>
      <w:marTop w:val="0"/>
      <w:marBottom w:val="0"/>
      <w:divBdr>
        <w:top w:val="none" w:sz="0" w:space="0" w:color="auto"/>
        <w:left w:val="none" w:sz="0" w:space="0" w:color="auto"/>
        <w:bottom w:val="none" w:sz="0" w:space="0" w:color="auto"/>
        <w:right w:val="none" w:sz="0" w:space="0" w:color="auto"/>
      </w:divBdr>
    </w:div>
    <w:div w:id="1914310765">
      <w:bodyDiv w:val="1"/>
      <w:marLeft w:val="0"/>
      <w:marRight w:val="0"/>
      <w:marTop w:val="0"/>
      <w:marBottom w:val="0"/>
      <w:divBdr>
        <w:top w:val="none" w:sz="0" w:space="0" w:color="auto"/>
        <w:left w:val="none" w:sz="0" w:space="0" w:color="auto"/>
        <w:bottom w:val="none" w:sz="0" w:space="0" w:color="auto"/>
        <w:right w:val="none" w:sz="0" w:space="0" w:color="auto"/>
      </w:divBdr>
    </w:div>
    <w:div w:id="1917587323">
      <w:bodyDiv w:val="1"/>
      <w:marLeft w:val="0"/>
      <w:marRight w:val="0"/>
      <w:marTop w:val="0"/>
      <w:marBottom w:val="0"/>
      <w:divBdr>
        <w:top w:val="none" w:sz="0" w:space="0" w:color="auto"/>
        <w:left w:val="none" w:sz="0" w:space="0" w:color="auto"/>
        <w:bottom w:val="none" w:sz="0" w:space="0" w:color="auto"/>
        <w:right w:val="none" w:sz="0" w:space="0" w:color="auto"/>
      </w:divBdr>
    </w:div>
    <w:div w:id="1927610458">
      <w:bodyDiv w:val="1"/>
      <w:marLeft w:val="0"/>
      <w:marRight w:val="0"/>
      <w:marTop w:val="0"/>
      <w:marBottom w:val="0"/>
      <w:divBdr>
        <w:top w:val="none" w:sz="0" w:space="0" w:color="auto"/>
        <w:left w:val="none" w:sz="0" w:space="0" w:color="auto"/>
        <w:bottom w:val="none" w:sz="0" w:space="0" w:color="auto"/>
        <w:right w:val="none" w:sz="0" w:space="0" w:color="auto"/>
      </w:divBdr>
    </w:div>
    <w:div w:id="1942908439">
      <w:bodyDiv w:val="1"/>
      <w:marLeft w:val="0"/>
      <w:marRight w:val="0"/>
      <w:marTop w:val="0"/>
      <w:marBottom w:val="0"/>
      <w:divBdr>
        <w:top w:val="none" w:sz="0" w:space="0" w:color="auto"/>
        <w:left w:val="none" w:sz="0" w:space="0" w:color="auto"/>
        <w:bottom w:val="none" w:sz="0" w:space="0" w:color="auto"/>
        <w:right w:val="none" w:sz="0" w:space="0" w:color="auto"/>
      </w:divBdr>
    </w:div>
    <w:div w:id="1944223412">
      <w:bodyDiv w:val="1"/>
      <w:marLeft w:val="0"/>
      <w:marRight w:val="0"/>
      <w:marTop w:val="0"/>
      <w:marBottom w:val="0"/>
      <w:divBdr>
        <w:top w:val="none" w:sz="0" w:space="0" w:color="auto"/>
        <w:left w:val="none" w:sz="0" w:space="0" w:color="auto"/>
        <w:bottom w:val="none" w:sz="0" w:space="0" w:color="auto"/>
        <w:right w:val="none" w:sz="0" w:space="0" w:color="auto"/>
      </w:divBdr>
    </w:div>
    <w:div w:id="1947880209">
      <w:bodyDiv w:val="1"/>
      <w:marLeft w:val="0"/>
      <w:marRight w:val="0"/>
      <w:marTop w:val="0"/>
      <w:marBottom w:val="0"/>
      <w:divBdr>
        <w:top w:val="none" w:sz="0" w:space="0" w:color="auto"/>
        <w:left w:val="none" w:sz="0" w:space="0" w:color="auto"/>
        <w:bottom w:val="none" w:sz="0" w:space="0" w:color="auto"/>
        <w:right w:val="none" w:sz="0" w:space="0" w:color="auto"/>
      </w:divBdr>
    </w:div>
    <w:div w:id="1956519632">
      <w:bodyDiv w:val="1"/>
      <w:marLeft w:val="0"/>
      <w:marRight w:val="0"/>
      <w:marTop w:val="0"/>
      <w:marBottom w:val="0"/>
      <w:divBdr>
        <w:top w:val="none" w:sz="0" w:space="0" w:color="auto"/>
        <w:left w:val="none" w:sz="0" w:space="0" w:color="auto"/>
        <w:bottom w:val="none" w:sz="0" w:space="0" w:color="auto"/>
        <w:right w:val="none" w:sz="0" w:space="0" w:color="auto"/>
      </w:divBdr>
    </w:div>
    <w:div w:id="1958948170">
      <w:bodyDiv w:val="1"/>
      <w:marLeft w:val="0"/>
      <w:marRight w:val="0"/>
      <w:marTop w:val="0"/>
      <w:marBottom w:val="0"/>
      <w:divBdr>
        <w:top w:val="none" w:sz="0" w:space="0" w:color="auto"/>
        <w:left w:val="none" w:sz="0" w:space="0" w:color="auto"/>
        <w:bottom w:val="none" w:sz="0" w:space="0" w:color="auto"/>
        <w:right w:val="none" w:sz="0" w:space="0" w:color="auto"/>
      </w:divBdr>
    </w:div>
    <w:div w:id="1963270918">
      <w:bodyDiv w:val="1"/>
      <w:marLeft w:val="0"/>
      <w:marRight w:val="0"/>
      <w:marTop w:val="0"/>
      <w:marBottom w:val="0"/>
      <w:divBdr>
        <w:top w:val="none" w:sz="0" w:space="0" w:color="auto"/>
        <w:left w:val="none" w:sz="0" w:space="0" w:color="auto"/>
        <w:bottom w:val="none" w:sz="0" w:space="0" w:color="auto"/>
        <w:right w:val="none" w:sz="0" w:space="0" w:color="auto"/>
      </w:divBdr>
    </w:div>
    <w:div w:id="1980332739">
      <w:bodyDiv w:val="1"/>
      <w:marLeft w:val="0"/>
      <w:marRight w:val="0"/>
      <w:marTop w:val="0"/>
      <w:marBottom w:val="0"/>
      <w:divBdr>
        <w:top w:val="none" w:sz="0" w:space="0" w:color="auto"/>
        <w:left w:val="none" w:sz="0" w:space="0" w:color="auto"/>
        <w:bottom w:val="none" w:sz="0" w:space="0" w:color="auto"/>
        <w:right w:val="none" w:sz="0" w:space="0" w:color="auto"/>
      </w:divBdr>
    </w:div>
    <w:div w:id="1980764630">
      <w:bodyDiv w:val="1"/>
      <w:marLeft w:val="0"/>
      <w:marRight w:val="0"/>
      <w:marTop w:val="0"/>
      <w:marBottom w:val="0"/>
      <w:divBdr>
        <w:top w:val="none" w:sz="0" w:space="0" w:color="auto"/>
        <w:left w:val="none" w:sz="0" w:space="0" w:color="auto"/>
        <w:bottom w:val="none" w:sz="0" w:space="0" w:color="auto"/>
        <w:right w:val="none" w:sz="0" w:space="0" w:color="auto"/>
      </w:divBdr>
    </w:div>
    <w:div w:id="1983539306">
      <w:bodyDiv w:val="1"/>
      <w:marLeft w:val="0"/>
      <w:marRight w:val="0"/>
      <w:marTop w:val="0"/>
      <w:marBottom w:val="0"/>
      <w:divBdr>
        <w:top w:val="none" w:sz="0" w:space="0" w:color="auto"/>
        <w:left w:val="none" w:sz="0" w:space="0" w:color="auto"/>
        <w:bottom w:val="none" w:sz="0" w:space="0" w:color="auto"/>
        <w:right w:val="none" w:sz="0" w:space="0" w:color="auto"/>
      </w:divBdr>
    </w:div>
    <w:div w:id="1988437642">
      <w:bodyDiv w:val="1"/>
      <w:marLeft w:val="0"/>
      <w:marRight w:val="0"/>
      <w:marTop w:val="0"/>
      <w:marBottom w:val="0"/>
      <w:divBdr>
        <w:top w:val="none" w:sz="0" w:space="0" w:color="auto"/>
        <w:left w:val="none" w:sz="0" w:space="0" w:color="auto"/>
        <w:bottom w:val="none" w:sz="0" w:space="0" w:color="auto"/>
        <w:right w:val="none" w:sz="0" w:space="0" w:color="auto"/>
      </w:divBdr>
    </w:div>
    <w:div w:id="1997031294">
      <w:bodyDiv w:val="1"/>
      <w:marLeft w:val="0"/>
      <w:marRight w:val="0"/>
      <w:marTop w:val="0"/>
      <w:marBottom w:val="0"/>
      <w:divBdr>
        <w:top w:val="none" w:sz="0" w:space="0" w:color="auto"/>
        <w:left w:val="none" w:sz="0" w:space="0" w:color="auto"/>
        <w:bottom w:val="none" w:sz="0" w:space="0" w:color="auto"/>
        <w:right w:val="none" w:sz="0" w:space="0" w:color="auto"/>
      </w:divBdr>
      <w:divsChild>
        <w:div w:id="361519467">
          <w:marLeft w:val="274"/>
          <w:marRight w:val="0"/>
          <w:marTop w:val="0"/>
          <w:marBottom w:val="0"/>
          <w:divBdr>
            <w:top w:val="none" w:sz="0" w:space="0" w:color="auto"/>
            <w:left w:val="none" w:sz="0" w:space="0" w:color="auto"/>
            <w:bottom w:val="none" w:sz="0" w:space="0" w:color="auto"/>
            <w:right w:val="none" w:sz="0" w:space="0" w:color="auto"/>
          </w:divBdr>
        </w:div>
        <w:div w:id="1593128257">
          <w:marLeft w:val="274"/>
          <w:marRight w:val="0"/>
          <w:marTop w:val="0"/>
          <w:marBottom w:val="0"/>
          <w:divBdr>
            <w:top w:val="none" w:sz="0" w:space="0" w:color="auto"/>
            <w:left w:val="none" w:sz="0" w:space="0" w:color="auto"/>
            <w:bottom w:val="none" w:sz="0" w:space="0" w:color="auto"/>
            <w:right w:val="none" w:sz="0" w:space="0" w:color="auto"/>
          </w:divBdr>
        </w:div>
      </w:divsChild>
    </w:div>
    <w:div w:id="2006473337">
      <w:bodyDiv w:val="1"/>
      <w:marLeft w:val="0"/>
      <w:marRight w:val="0"/>
      <w:marTop w:val="0"/>
      <w:marBottom w:val="0"/>
      <w:divBdr>
        <w:top w:val="none" w:sz="0" w:space="0" w:color="auto"/>
        <w:left w:val="none" w:sz="0" w:space="0" w:color="auto"/>
        <w:bottom w:val="none" w:sz="0" w:space="0" w:color="auto"/>
        <w:right w:val="none" w:sz="0" w:space="0" w:color="auto"/>
      </w:divBdr>
    </w:div>
    <w:div w:id="2008053926">
      <w:bodyDiv w:val="1"/>
      <w:marLeft w:val="0"/>
      <w:marRight w:val="0"/>
      <w:marTop w:val="0"/>
      <w:marBottom w:val="0"/>
      <w:divBdr>
        <w:top w:val="none" w:sz="0" w:space="0" w:color="auto"/>
        <w:left w:val="none" w:sz="0" w:space="0" w:color="auto"/>
        <w:bottom w:val="none" w:sz="0" w:space="0" w:color="auto"/>
        <w:right w:val="none" w:sz="0" w:space="0" w:color="auto"/>
      </w:divBdr>
    </w:div>
    <w:div w:id="2015915506">
      <w:bodyDiv w:val="1"/>
      <w:marLeft w:val="0"/>
      <w:marRight w:val="0"/>
      <w:marTop w:val="0"/>
      <w:marBottom w:val="0"/>
      <w:divBdr>
        <w:top w:val="none" w:sz="0" w:space="0" w:color="auto"/>
        <w:left w:val="none" w:sz="0" w:space="0" w:color="auto"/>
        <w:bottom w:val="none" w:sz="0" w:space="0" w:color="auto"/>
        <w:right w:val="none" w:sz="0" w:space="0" w:color="auto"/>
      </w:divBdr>
    </w:div>
    <w:div w:id="2030522459">
      <w:bodyDiv w:val="1"/>
      <w:marLeft w:val="0"/>
      <w:marRight w:val="0"/>
      <w:marTop w:val="0"/>
      <w:marBottom w:val="0"/>
      <w:divBdr>
        <w:top w:val="none" w:sz="0" w:space="0" w:color="auto"/>
        <w:left w:val="none" w:sz="0" w:space="0" w:color="auto"/>
        <w:bottom w:val="none" w:sz="0" w:space="0" w:color="auto"/>
        <w:right w:val="none" w:sz="0" w:space="0" w:color="auto"/>
      </w:divBdr>
      <w:divsChild>
        <w:div w:id="107090955">
          <w:marLeft w:val="274"/>
          <w:marRight w:val="0"/>
          <w:marTop w:val="0"/>
          <w:marBottom w:val="0"/>
          <w:divBdr>
            <w:top w:val="none" w:sz="0" w:space="0" w:color="auto"/>
            <w:left w:val="none" w:sz="0" w:space="0" w:color="auto"/>
            <w:bottom w:val="none" w:sz="0" w:space="0" w:color="auto"/>
            <w:right w:val="none" w:sz="0" w:space="0" w:color="auto"/>
          </w:divBdr>
        </w:div>
      </w:divsChild>
    </w:div>
    <w:div w:id="2040660863">
      <w:bodyDiv w:val="1"/>
      <w:marLeft w:val="0"/>
      <w:marRight w:val="0"/>
      <w:marTop w:val="0"/>
      <w:marBottom w:val="0"/>
      <w:divBdr>
        <w:top w:val="none" w:sz="0" w:space="0" w:color="auto"/>
        <w:left w:val="none" w:sz="0" w:space="0" w:color="auto"/>
        <w:bottom w:val="none" w:sz="0" w:space="0" w:color="auto"/>
        <w:right w:val="none" w:sz="0" w:space="0" w:color="auto"/>
      </w:divBdr>
    </w:div>
    <w:div w:id="2049135757">
      <w:bodyDiv w:val="1"/>
      <w:marLeft w:val="0"/>
      <w:marRight w:val="0"/>
      <w:marTop w:val="0"/>
      <w:marBottom w:val="0"/>
      <w:divBdr>
        <w:top w:val="none" w:sz="0" w:space="0" w:color="auto"/>
        <w:left w:val="none" w:sz="0" w:space="0" w:color="auto"/>
        <w:bottom w:val="none" w:sz="0" w:space="0" w:color="auto"/>
        <w:right w:val="none" w:sz="0" w:space="0" w:color="auto"/>
      </w:divBdr>
    </w:div>
    <w:div w:id="2051998897">
      <w:bodyDiv w:val="1"/>
      <w:marLeft w:val="0"/>
      <w:marRight w:val="0"/>
      <w:marTop w:val="0"/>
      <w:marBottom w:val="0"/>
      <w:divBdr>
        <w:top w:val="none" w:sz="0" w:space="0" w:color="auto"/>
        <w:left w:val="none" w:sz="0" w:space="0" w:color="auto"/>
        <w:bottom w:val="none" w:sz="0" w:space="0" w:color="auto"/>
        <w:right w:val="none" w:sz="0" w:space="0" w:color="auto"/>
      </w:divBdr>
    </w:div>
    <w:div w:id="2053114020">
      <w:bodyDiv w:val="1"/>
      <w:marLeft w:val="0"/>
      <w:marRight w:val="0"/>
      <w:marTop w:val="0"/>
      <w:marBottom w:val="0"/>
      <w:divBdr>
        <w:top w:val="none" w:sz="0" w:space="0" w:color="auto"/>
        <w:left w:val="none" w:sz="0" w:space="0" w:color="auto"/>
        <w:bottom w:val="none" w:sz="0" w:space="0" w:color="auto"/>
        <w:right w:val="none" w:sz="0" w:space="0" w:color="auto"/>
      </w:divBdr>
    </w:div>
    <w:div w:id="2057466313">
      <w:bodyDiv w:val="1"/>
      <w:marLeft w:val="0"/>
      <w:marRight w:val="0"/>
      <w:marTop w:val="0"/>
      <w:marBottom w:val="0"/>
      <w:divBdr>
        <w:top w:val="none" w:sz="0" w:space="0" w:color="auto"/>
        <w:left w:val="none" w:sz="0" w:space="0" w:color="auto"/>
        <w:bottom w:val="none" w:sz="0" w:space="0" w:color="auto"/>
        <w:right w:val="none" w:sz="0" w:space="0" w:color="auto"/>
      </w:divBdr>
    </w:div>
    <w:div w:id="2067557650">
      <w:bodyDiv w:val="1"/>
      <w:marLeft w:val="0"/>
      <w:marRight w:val="0"/>
      <w:marTop w:val="0"/>
      <w:marBottom w:val="0"/>
      <w:divBdr>
        <w:top w:val="none" w:sz="0" w:space="0" w:color="auto"/>
        <w:left w:val="none" w:sz="0" w:space="0" w:color="auto"/>
        <w:bottom w:val="none" w:sz="0" w:space="0" w:color="auto"/>
        <w:right w:val="none" w:sz="0" w:space="0" w:color="auto"/>
      </w:divBdr>
    </w:div>
    <w:div w:id="2071537268">
      <w:bodyDiv w:val="1"/>
      <w:marLeft w:val="0"/>
      <w:marRight w:val="0"/>
      <w:marTop w:val="0"/>
      <w:marBottom w:val="0"/>
      <w:divBdr>
        <w:top w:val="none" w:sz="0" w:space="0" w:color="auto"/>
        <w:left w:val="none" w:sz="0" w:space="0" w:color="auto"/>
        <w:bottom w:val="none" w:sz="0" w:space="0" w:color="auto"/>
        <w:right w:val="none" w:sz="0" w:space="0" w:color="auto"/>
      </w:divBdr>
    </w:div>
    <w:div w:id="2071927517">
      <w:bodyDiv w:val="1"/>
      <w:marLeft w:val="0"/>
      <w:marRight w:val="0"/>
      <w:marTop w:val="0"/>
      <w:marBottom w:val="0"/>
      <w:divBdr>
        <w:top w:val="none" w:sz="0" w:space="0" w:color="auto"/>
        <w:left w:val="none" w:sz="0" w:space="0" w:color="auto"/>
        <w:bottom w:val="none" w:sz="0" w:space="0" w:color="auto"/>
        <w:right w:val="none" w:sz="0" w:space="0" w:color="auto"/>
      </w:divBdr>
    </w:div>
    <w:div w:id="2073969082">
      <w:bodyDiv w:val="1"/>
      <w:marLeft w:val="0"/>
      <w:marRight w:val="0"/>
      <w:marTop w:val="0"/>
      <w:marBottom w:val="0"/>
      <w:divBdr>
        <w:top w:val="none" w:sz="0" w:space="0" w:color="auto"/>
        <w:left w:val="none" w:sz="0" w:space="0" w:color="auto"/>
        <w:bottom w:val="none" w:sz="0" w:space="0" w:color="auto"/>
        <w:right w:val="none" w:sz="0" w:space="0" w:color="auto"/>
      </w:divBdr>
    </w:div>
    <w:div w:id="2079208134">
      <w:bodyDiv w:val="1"/>
      <w:marLeft w:val="0"/>
      <w:marRight w:val="0"/>
      <w:marTop w:val="0"/>
      <w:marBottom w:val="0"/>
      <w:divBdr>
        <w:top w:val="none" w:sz="0" w:space="0" w:color="auto"/>
        <w:left w:val="none" w:sz="0" w:space="0" w:color="auto"/>
        <w:bottom w:val="none" w:sz="0" w:space="0" w:color="auto"/>
        <w:right w:val="none" w:sz="0" w:space="0" w:color="auto"/>
      </w:divBdr>
    </w:div>
    <w:div w:id="2083795122">
      <w:bodyDiv w:val="1"/>
      <w:marLeft w:val="0"/>
      <w:marRight w:val="0"/>
      <w:marTop w:val="0"/>
      <w:marBottom w:val="0"/>
      <w:divBdr>
        <w:top w:val="none" w:sz="0" w:space="0" w:color="auto"/>
        <w:left w:val="none" w:sz="0" w:space="0" w:color="auto"/>
        <w:bottom w:val="none" w:sz="0" w:space="0" w:color="auto"/>
        <w:right w:val="none" w:sz="0" w:space="0" w:color="auto"/>
      </w:divBdr>
      <w:divsChild>
        <w:div w:id="311520674">
          <w:marLeft w:val="274"/>
          <w:marRight w:val="0"/>
          <w:marTop w:val="40"/>
          <w:marBottom w:val="40"/>
          <w:divBdr>
            <w:top w:val="none" w:sz="0" w:space="0" w:color="auto"/>
            <w:left w:val="none" w:sz="0" w:space="0" w:color="auto"/>
            <w:bottom w:val="none" w:sz="0" w:space="0" w:color="auto"/>
            <w:right w:val="none" w:sz="0" w:space="0" w:color="auto"/>
          </w:divBdr>
        </w:div>
        <w:div w:id="1338656280">
          <w:marLeft w:val="274"/>
          <w:marRight w:val="0"/>
          <w:marTop w:val="40"/>
          <w:marBottom w:val="40"/>
          <w:divBdr>
            <w:top w:val="none" w:sz="0" w:space="0" w:color="auto"/>
            <w:left w:val="none" w:sz="0" w:space="0" w:color="auto"/>
            <w:bottom w:val="none" w:sz="0" w:space="0" w:color="auto"/>
            <w:right w:val="none" w:sz="0" w:space="0" w:color="auto"/>
          </w:divBdr>
        </w:div>
      </w:divsChild>
    </w:div>
    <w:div w:id="2087804149">
      <w:bodyDiv w:val="1"/>
      <w:marLeft w:val="0"/>
      <w:marRight w:val="0"/>
      <w:marTop w:val="0"/>
      <w:marBottom w:val="0"/>
      <w:divBdr>
        <w:top w:val="none" w:sz="0" w:space="0" w:color="auto"/>
        <w:left w:val="none" w:sz="0" w:space="0" w:color="auto"/>
        <w:bottom w:val="none" w:sz="0" w:space="0" w:color="auto"/>
        <w:right w:val="none" w:sz="0" w:space="0" w:color="auto"/>
      </w:divBdr>
    </w:div>
    <w:div w:id="2089839199">
      <w:bodyDiv w:val="1"/>
      <w:marLeft w:val="0"/>
      <w:marRight w:val="0"/>
      <w:marTop w:val="0"/>
      <w:marBottom w:val="0"/>
      <w:divBdr>
        <w:top w:val="none" w:sz="0" w:space="0" w:color="auto"/>
        <w:left w:val="none" w:sz="0" w:space="0" w:color="auto"/>
        <w:bottom w:val="none" w:sz="0" w:space="0" w:color="auto"/>
        <w:right w:val="none" w:sz="0" w:space="0" w:color="auto"/>
      </w:divBdr>
    </w:div>
    <w:div w:id="2091076520">
      <w:bodyDiv w:val="1"/>
      <w:marLeft w:val="0"/>
      <w:marRight w:val="0"/>
      <w:marTop w:val="0"/>
      <w:marBottom w:val="0"/>
      <w:divBdr>
        <w:top w:val="none" w:sz="0" w:space="0" w:color="auto"/>
        <w:left w:val="none" w:sz="0" w:space="0" w:color="auto"/>
        <w:bottom w:val="none" w:sz="0" w:space="0" w:color="auto"/>
        <w:right w:val="none" w:sz="0" w:space="0" w:color="auto"/>
      </w:divBdr>
    </w:div>
    <w:div w:id="2098015065">
      <w:bodyDiv w:val="1"/>
      <w:marLeft w:val="0"/>
      <w:marRight w:val="0"/>
      <w:marTop w:val="0"/>
      <w:marBottom w:val="0"/>
      <w:divBdr>
        <w:top w:val="none" w:sz="0" w:space="0" w:color="auto"/>
        <w:left w:val="none" w:sz="0" w:space="0" w:color="auto"/>
        <w:bottom w:val="none" w:sz="0" w:space="0" w:color="auto"/>
        <w:right w:val="none" w:sz="0" w:space="0" w:color="auto"/>
      </w:divBdr>
      <w:divsChild>
        <w:div w:id="911965790">
          <w:marLeft w:val="274"/>
          <w:marRight w:val="0"/>
          <w:marTop w:val="40"/>
          <w:marBottom w:val="40"/>
          <w:divBdr>
            <w:top w:val="none" w:sz="0" w:space="0" w:color="auto"/>
            <w:left w:val="none" w:sz="0" w:space="0" w:color="auto"/>
            <w:bottom w:val="none" w:sz="0" w:space="0" w:color="auto"/>
            <w:right w:val="none" w:sz="0" w:space="0" w:color="auto"/>
          </w:divBdr>
        </w:div>
      </w:divsChild>
    </w:div>
    <w:div w:id="2102486918">
      <w:bodyDiv w:val="1"/>
      <w:marLeft w:val="0"/>
      <w:marRight w:val="0"/>
      <w:marTop w:val="0"/>
      <w:marBottom w:val="0"/>
      <w:divBdr>
        <w:top w:val="none" w:sz="0" w:space="0" w:color="auto"/>
        <w:left w:val="none" w:sz="0" w:space="0" w:color="auto"/>
        <w:bottom w:val="none" w:sz="0" w:space="0" w:color="auto"/>
        <w:right w:val="none" w:sz="0" w:space="0" w:color="auto"/>
      </w:divBdr>
    </w:div>
    <w:div w:id="2105106373">
      <w:bodyDiv w:val="1"/>
      <w:marLeft w:val="0"/>
      <w:marRight w:val="0"/>
      <w:marTop w:val="0"/>
      <w:marBottom w:val="0"/>
      <w:divBdr>
        <w:top w:val="none" w:sz="0" w:space="0" w:color="auto"/>
        <w:left w:val="none" w:sz="0" w:space="0" w:color="auto"/>
        <w:bottom w:val="none" w:sz="0" w:space="0" w:color="auto"/>
        <w:right w:val="none" w:sz="0" w:space="0" w:color="auto"/>
      </w:divBdr>
      <w:divsChild>
        <w:div w:id="180050203">
          <w:marLeft w:val="274"/>
          <w:marRight w:val="0"/>
          <w:marTop w:val="40"/>
          <w:marBottom w:val="40"/>
          <w:divBdr>
            <w:top w:val="none" w:sz="0" w:space="0" w:color="auto"/>
            <w:left w:val="none" w:sz="0" w:space="0" w:color="auto"/>
            <w:bottom w:val="none" w:sz="0" w:space="0" w:color="auto"/>
            <w:right w:val="none" w:sz="0" w:space="0" w:color="auto"/>
          </w:divBdr>
        </w:div>
        <w:div w:id="547642351">
          <w:marLeft w:val="274"/>
          <w:marRight w:val="0"/>
          <w:marTop w:val="40"/>
          <w:marBottom w:val="40"/>
          <w:divBdr>
            <w:top w:val="none" w:sz="0" w:space="0" w:color="auto"/>
            <w:left w:val="none" w:sz="0" w:space="0" w:color="auto"/>
            <w:bottom w:val="none" w:sz="0" w:space="0" w:color="auto"/>
            <w:right w:val="none" w:sz="0" w:space="0" w:color="auto"/>
          </w:divBdr>
        </w:div>
        <w:div w:id="758020845">
          <w:marLeft w:val="274"/>
          <w:marRight w:val="0"/>
          <w:marTop w:val="40"/>
          <w:marBottom w:val="40"/>
          <w:divBdr>
            <w:top w:val="none" w:sz="0" w:space="0" w:color="auto"/>
            <w:left w:val="none" w:sz="0" w:space="0" w:color="auto"/>
            <w:bottom w:val="none" w:sz="0" w:space="0" w:color="auto"/>
            <w:right w:val="none" w:sz="0" w:space="0" w:color="auto"/>
          </w:divBdr>
        </w:div>
        <w:div w:id="1489131602">
          <w:marLeft w:val="274"/>
          <w:marRight w:val="0"/>
          <w:marTop w:val="40"/>
          <w:marBottom w:val="40"/>
          <w:divBdr>
            <w:top w:val="none" w:sz="0" w:space="0" w:color="auto"/>
            <w:left w:val="none" w:sz="0" w:space="0" w:color="auto"/>
            <w:bottom w:val="none" w:sz="0" w:space="0" w:color="auto"/>
            <w:right w:val="none" w:sz="0" w:space="0" w:color="auto"/>
          </w:divBdr>
        </w:div>
      </w:divsChild>
    </w:div>
    <w:div w:id="2107191195">
      <w:bodyDiv w:val="1"/>
      <w:marLeft w:val="0"/>
      <w:marRight w:val="0"/>
      <w:marTop w:val="0"/>
      <w:marBottom w:val="0"/>
      <w:divBdr>
        <w:top w:val="none" w:sz="0" w:space="0" w:color="auto"/>
        <w:left w:val="none" w:sz="0" w:space="0" w:color="auto"/>
        <w:bottom w:val="none" w:sz="0" w:space="0" w:color="auto"/>
        <w:right w:val="none" w:sz="0" w:space="0" w:color="auto"/>
      </w:divBdr>
      <w:divsChild>
        <w:div w:id="623848040">
          <w:marLeft w:val="274"/>
          <w:marRight w:val="0"/>
          <w:marTop w:val="40"/>
          <w:marBottom w:val="40"/>
          <w:divBdr>
            <w:top w:val="none" w:sz="0" w:space="0" w:color="auto"/>
            <w:left w:val="none" w:sz="0" w:space="0" w:color="auto"/>
            <w:bottom w:val="none" w:sz="0" w:space="0" w:color="auto"/>
            <w:right w:val="none" w:sz="0" w:space="0" w:color="auto"/>
          </w:divBdr>
        </w:div>
        <w:div w:id="805050648">
          <w:marLeft w:val="274"/>
          <w:marRight w:val="0"/>
          <w:marTop w:val="40"/>
          <w:marBottom w:val="40"/>
          <w:divBdr>
            <w:top w:val="none" w:sz="0" w:space="0" w:color="auto"/>
            <w:left w:val="none" w:sz="0" w:space="0" w:color="auto"/>
            <w:bottom w:val="none" w:sz="0" w:space="0" w:color="auto"/>
            <w:right w:val="none" w:sz="0" w:space="0" w:color="auto"/>
          </w:divBdr>
        </w:div>
        <w:div w:id="875432878">
          <w:marLeft w:val="274"/>
          <w:marRight w:val="0"/>
          <w:marTop w:val="40"/>
          <w:marBottom w:val="40"/>
          <w:divBdr>
            <w:top w:val="none" w:sz="0" w:space="0" w:color="auto"/>
            <w:left w:val="none" w:sz="0" w:space="0" w:color="auto"/>
            <w:bottom w:val="none" w:sz="0" w:space="0" w:color="auto"/>
            <w:right w:val="none" w:sz="0" w:space="0" w:color="auto"/>
          </w:divBdr>
        </w:div>
        <w:div w:id="992568418">
          <w:marLeft w:val="274"/>
          <w:marRight w:val="0"/>
          <w:marTop w:val="40"/>
          <w:marBottom w:val="40"/>
          <w:divBdr>
            <w:top w:val="none" w:sz="0" w:space="0" w:color="auto"/>
            <w:left w:val="none" w:sz="0" w:space="0" w:color="auto"/>
            <w:bottom w:val="none" w:sz="0" w:space="0" w:color="auto"/>
            <w:right w:val="none" w:sz="0" w:space="0" w:color="auto"/>
          </w:divBdr>
        </w:div>
        <w:div w:id="1930693017">
          <w:marLeft w:val="274"/>
          <w:marRight w:val="0"/>
          <w:marTop w:val="40"/>
          <w:marBottom w:val="40"/>
          <w:divBdr>
            <w:top w:val="none" w:sz="0" w:space="0" w:color="auto"/>
            <w:left w:val="none" w:sz="0" w:space="0" w:color="auto"/>
            <w:bottom w:val="none" w:sz="0" w:space="0" w:color="auto"/>
            <w:right w:val="none" w:sz="0" w:space="0" w:color="auto"/>
          </w:divBdr>
        </w:div>
      </w:divsChild>
    </w:div>
    <w:div w:id="2109229860">
      <w:bodyDiv w:val="1"/>
      <w:marLeft w:val="0"/>
      <w:marRight w:val="0"/>
      <w:marTop w:val="0"/>
      <w:marBottom w:val="0"/>
      <w:divBdr>
        <w:top w:val="none" w:sz="0" w:space="0" w:color="auto"/>
        <w:left w:val="none" w:sz="0" w:space="0" w:color="auto"/>
        <w:bottom w:val="none" w:sz="0" w:space="0" w:color="auto"/>
        <w:right w:val="none" w:sz="0" w:space="0" w:color="auto"/>
      </w:divBdr>
    </w:div>
    <w:div w:id="2110201440">
      <w:bodyDiv w:val="1"/>
      <w:marLeft w:val="0"/>
      <w:marRight w:val="0"/>
      <w:marTop w:val="0"/>
      <w:marBottom w:val="0"/>
      <w:divBdr>
        <w:top w:val="none" w:sz="0" w:space="0" w:color="auto"/>
        <w:left w:val="none" w:sz="0" w:space="0" w:color="auto"/>
        <w:bottom w:val="none" w:sz="0" w:space="0" w:color="auto"/>
        <w:right w:val="none" w:sz="0" w:space="0" w:color="auto"/>
      </w:divBdr>
    </w:div>
    <w:div w:id="2114129603">
      <w:bodyDiv w:val="1"/>
      <w:marLeft w:val="0"/>
      <w:marRight w:val="0"/>
      <w:marTop w:val="0"/>
      <w:marBottom w:val="0"/>
      <w:divBdr>
        <w:top w:val="none" w:sz="0" w:space="0" w:color="auto"/>
        <w:left w:val="none" w:sz="0" w:space="0" w:color="auto"/>
        <w:bottom w:val="none" w:sz="0" w:space="0" w:color="auto"/>
        <w:right w:val="none" w:sz="0" w:space="0" w:color="auto"/>
      </w:divBdr>
    </w:div>
    <w:div w:id="2114586951">
      <w:bodyDiv w:val="1"/>
      <w:marLeft w:val="0"/>
      <w:marRight w:val="0"/>
      <w:marTop w:val="0"/>
      <w:marBottom w:val="0"/>
      <w:divBdr>
        <w:top w:val="none" w:sz="0" w:space="0" w:color="auto"/>
        <w:left w:val="none" w:sz="0" w:space="0" w:color="auto"/>
        <w:bottom w:val="none" w:sz="0" w:space="0" w:color="auto"/>
        <w:right w:val="none" w:sz="0" w:space="0" w:color="auto"/>
      </w:divBdr>
    </w:div>
    <w:div w:id="2121604178">
      <w:bodyDiv w:val="1"/>
      <w:marLeft w:val="0"/>
      <w:marRight w:val="0"/>
      <w:marTop w:val="0"/>
      <w:marBottom w:val="0"/>
      <w:divBdr>
        <w:top w:val="none" w:sz="0" w:space="0" w:color="auto"/>
        <w:left w:val="none" w:sz="0" w:space="0" w:color="auto"/>
        <w:bottom w:val="none" w:sz="0" w:space="0" w:color="auto"/>
        <w:right w:val="none" w:sz="0" w:space="0" w:color="auto"/>
      </w:divBdr>
    </w:div>
    <w:div w:id="2122994104">
      <w:bodyDiv w:val="1"/>
      <w:marLeft w:val="0"/>
      <w:marRight w:val="0"/>
      <w:marTop w:val="0"/>
      <w:marBottom w:val="0"/>
      <w:divBdr>
        <w:top w:val="none" w:sz="0" w:space="0" w:color="auto"/>
        <w:left w:val="none" w:sz="0" w:space="0" w:color="auto"/>
        <w:bottom w:val="none" w:sz="0" w:space="0" w:color="auto"/>
        <w:right w:val="none" w:sz="0" w:space="0" w:color="auto"/>
      </w:divBdr>
    </w:div>
    <w:div w:id="2123571354">
      <w:bodyDiv w:val="1"/>
      <w:marLeft w:val="0"/>
      <w:marRight w:val="0"/>
      <w:marTop w:val="0"/>
      <w:marBottom w:val="0"/>
      <w:divBdr>
        <w:top w:val="none" w:sz="0" w:space="0" w:color="auto"/>
        <w:left w:val="none" w:sz="0" w:space="0" w:color="auto"/>
        <w:bottom w:val="none" w:sz="0" w:space="0" w:color="auto"/>
        <w:right w:val="none" w:sz="0" w:space="0" w:color="auto"/>
      </w:divBdr>
    </w:div>
    <w:div w:id="2125808391">
      <w:bodyDiv w:val="1"/>
      <w:marLeft w:val="0"/>
      <w:marRight w:val="0"/>
      <w:marTop w:val="0"/>
      <w:marBottom w:val="0"/>
      <w:divBdr>
        <w:top w:val="none" w:sz="0" w:space="0" w:color="auto"/>
        <w:left w:val="none" w:sz="0" w:space="0" w:color="auto"/>
        <w:bottom w:val="none" w:sz="0" w:space="0" w:color="auto"/>
        <w:right w:val="none" w:sz="0" w:space="0" w:color="auto"/>
      </w:divBdr>
    </w:div>
    <w:div w:id="2132429232">
      <w:bodyDiv w:val="1"/>
      <w:marLeft w:val="0"/>
      <w:marRight w:val="0"/>
      <w:marTop w:val="0"/>
      <w:marBottom w:val="0"/>
      <w:divBdr>
        <w:top w:val="none" w:sz="0" w:space="0" w:color="auto"/>
        <w:left w:val="none" w:sz="0" w:space="0" w:color="auto"/>
        <w:bottom w:val="none" w:sz="0" w:space="0" w:color="auto"/>
        <w:right w:val="none" w:sz="0" w:space="0" w:color="auto"/>
      </w:divBdr>
    </w:div>
    <w:div w:id="2135974598">
      <w:bodyDiv w:val="1"/>
      <w:marLeft w:val="0"/>
      <w:marRight w:val="0"/>
      <w:marTop w:val="0"/>
      <w:marBottom w:val="0"/>
      <w:divBdr>
        <w:top w:val="none" w:sz="0" w:space="0" w:color="auto"/>
        <w:left w:val="none" w:sz="0" w:space="0" w:color="auto"/>
        <w:bottom w:val="none" w:sz="0" w:space="0" w:color="auto"/>
        <w:right w:val="none" w:sz="0" w:space="0" w:color="auto"/>
      </w:divBdr>
    </w:div>
    <w:div w:id="2137024800">
      <w:bodyDiv w:val="1"/>
      <w:marLeft w:val="0"/>
      <w:marRight w:val="0"/>
      <w:marTop w:val="0"/>
      <w:marBottom w:val="0"/>
      <w:divBdr>
        <w:top w:val="none" w:sz="0" w:space="0" w:color="auto"/>
        <w:left w:val="none" w:sz="0" w:space="0" w:color="auto"/>
        <w:bottom w:val="none" w:sz="0" w:space="0" w:color="auto"/>
        <w:right w:val="none" w:sz="0" w:space="0" w:color="auto"/>
      </w:divBdr>
    </w:div>
    <w:div w:id="2139836516">
      <w:bodyDiv w:val="1"/>
      <w:marLeft w:val="0"/>
      <w:marRight w:val="0"/>
      <w:marTop w:val="0"/>
      <w:marBottom w:val="0"/>
      <w:divBdr>
        <w:top w:val="none" w:sz="0" w:space="0" w:color="auto"/>
        <w:left w:val="none" w:sz="0" w:space="0" w:color="auto"/>
        <w:bottom w:val="none" w:sz="0" w:space="0" w:color="auto"/>
        <w:right w:val="none" w:sz="0" w:space="0" w:color="auto"/>
      </w:divBdr>
    </w:div>
    <w:div w:id="2140563747">
      <w:bodyDiv w:val="1"/>
      <w:marLeft w:val="0"/>
      <w:marRight w:val="0"/>
      <w:marTop w:val="0"/>
      <w:marBottom w:val="0"/>
      <w:divBdr>
        <w:top w:val="none" w:sz="0" w:space="0" w:color="auto"/>
        <w:left w:val="none" w:sz="0" w:space="0" w:color="auto"/>
        <w:bottom w:val="none" w:sz="0" w:space="0" w:color="auto"/>
        <w:right w:val="none" w:sz="0" w:space="0" w:color="auto"/>
      </w:divBdr>
      <w:divsChild>
        <w:div w:id="1431855935">
          <w:marLeft w:val="274"/>
          <w:marRight w:val="0"/>
          <w:marTop w:val="0"/>
          <w:marBottom w:val="0"/>
          <w:divBdr>
            <w:top w:val="none" w:sz="0" w:space="0" w:color="auto"/>
            <w:left w:val="none" w:sz="0" w:space="0" w:color="auto"/>
            <w:bottom w:val="none" w:sz="0" w:space="0" w:color="auto"/>
            <w:right w:val="none" w:sz="0" w:space="0" w:color="auto"/>
          </w:divBdr>
        </w:div>
      </w:divsChild>
    </w:div>
    <w:div w:id="214298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FED7D-3364-4A61-9094-1235678F4785}">
  <ds:schemaRefs>
    <ds:schemaRef ds:uri="http://schemas.openxmlformats.org/officeDocument/2006/bibliography"/>
  </ds:schemaRefs>
</ds:datastoreItem>
</file>

<file path=customXml/itemProps2.xml><?xml version="1.0" encoding="utf-8"?>
<ds:datastoreItem xmlns:ds="http://schemas.openxmlformats.org/officeDocument/2006/customXml" ds:itemID="{7B916288-1D0B-4CFB-94C9-1363352E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43278</Words>
  <Characters>246689</Characters>
  <Application>Microsoft Office Word</Application>
  <DocSecurity>0</DocSecurity>
  <Lines>2055</Lines>
  <Paragraphs>578</Paragraphs>
  <ScaleCrop>false</ScaleCrop>
  <HeadingPairs>
    <vt:vector size="2" baseType="variant">
      <vt:variant>
        <vt:lpstr>Title</vt:lpstr>
      </vt:variant>
      <vt:variant>
        <vt:i4>1</vt:i4>
      </vt:variant>
    </vt:vector>
  </HeadingPairs>
  <TitlesOfParts>
    <vt:vector size="1" baseType="lpstr">
      <vt:lpstr/>
    </vt:vector>
  </TitlesOfParts>
  <Company>Bank of Cyprus</Company>
  <LinksUpToDate>false</LinksUpToDate>
  <CharactersWithSpaces>289389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4779</dc:creator>
  <cp:keywords/>
  <dc:description/>
  <cp:lastModifiedBy>Dafni Georgiou</cp:lastModifiedBy>
  <cp:revision>3</cp:revision>
  <cp:lastPrinted>2024-11-07T10:10:00Z</cp:lastPrinted>
  <dcterms:created xsi:type="dcterms:W3CDTF">2024-11-11T15:27:00Z</dcterms:created>
  <dcterms:modified xsi:type="dcterms:W3CDTF">2024-11-11T16:17:00Z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123ef0-1eab-4049-8ca8-6c7e4b49fb43_Enabled">
    <vt:lpwstr>true</vt:lpwstr>
  </property>
  <property fmtid="{D5CDD505-2E9C-101B-9397-08002B2CF9AE}" pid="3" name="MSIP_Label_ad123ef0-1eab-4049-8ca8-6c7e4b49fb43_SetDate">
    <vt:lpwstr>2024-11-11T15:27:13Z</vt:lpwstr>
  </property>
  <property fmtid="{D5CDD505-2E9C-101B-9397-08002B2CF9AE}" pid="4" name="MSIP_Label_ad123ef0-1eab-4049-8ca8-6c7e4b49fb43_Method">
    <vt:lpwstr>Privileged</vt:lpwstr>
  </property>
  <property fmtid="{D5CDD505-2E9C-101B-9397-08002B2CF9AE}" pid="5" name="MSIP_Label_ad123ef0-1eab-4049-8ca8-6c7e4b49fb43_Name">
    <vt:lpwstr>Public</vt:lpwstr>
  </property>
  <property fmtid="{D5CDD505-2E9C-101B-9397-08002B2CF9AE}" pid="6" name="MSIP_Label_ad123ef0-1eab-4049-8ca8-6c7e4b49fb43_SiteId">
    <vt:lpwstr>adc46af2-9b39-4b5e-a6e6-c2437f7c5706</vt:lpwstr>
  </property>
  <property fmtid="{D5CDD505-2E9C-101B-9397-08002B2CF9AE}" pid="7" name="MSIP_Label_ad123ef0-1eab-4049-8ca8-6c7e4b49fb43_ActionId">
    <vt:lpwstr>fbc4a330-6503-48c8-a91b-cf8b0ca54f8f</vt:lpwstr>
  </property>
  <property fmtid="{D5CDD505-2E9C-101B-9397-08002B2CF9AE}" pid="8" name="MSIP_Label_ad123ef0-1eab-4049-8ca8-6c7e4b49fb43_ContentBits">
    <vt:lpwstr>0</vt:lpwstr>
  </property>
</Properties>
</file>